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F75BB">
      <w:pPr>
        <w:spacing w:line="1000" w:lineRule="exact"/>
        <w:jc w:val="center"/>
        <w:rPr>
          <w:rFonts w:hint="eastAsia" w:ascii="宋体" w:hAnsi="宋体" w:eastAsia="宋体" w:cs="宋体"/>
          <w:b/>
          <w:bCs/>
          <w:color w:val="auto"/>
          <w:sz w:val="72"/>
          <w:highlight w:val="none"/>
        </w:rPr>
      </w:pPr>
      <w:r>
        <w:rPr>
          <w:rFonts w:hint="eastAsia" w:ascii="宋体" w:hAnsi="宋体" w:cs="宋体"/>
          <w:b/>
          <w:bCs/>
          <w:color w:val="auto"/>
          <w:sz w:val="56"/>
          <w:szCs w:val="22"/>
          <w:highlight w:val="none"/>
          <w:lang w:eastAsia="zh-CN"/>
        </w:rPr>
        <w:t>广西凯胜建设项目管理咨询有限公司</w:t>
      </w:r>
      <w:r>
        <w:rPr>
          <w:rFonts w:hint="eastAsia" w:ascii="宋体" w:hAnsi="宋体" w:eastAsia="宋体" w:cs="宋体"/>
          <w:b/>
          <w:bCs/>
          <w:color w:val="auto"/>
          <w:sz w:val="72"/>
          <w:highlight w:val="none"/>
        </w:rPr>
        <w:cr/>
      </w:r>
    </w:p>
    <w:p w14:paraId="51EE6604">
      <w:pPr>
        <w:spacing w:line="1000" w:lineRule="exact"/>
        <w:jc w:val="center"/>
        <w:rPr>
          <w:rFonts w:hint="eastAsia" w:ascii="宋体" w:hAnsi="宋体" w:eastAsia="宋体" w:cs="宋体"/>
          <w:b/>
          <w:color w:val="auto"/>
          <w:sz w:val="84"/>
          <w:szCs w:val="84"/>
          <w:highlight w:val="none"/>
        </w:rPr>
      </w:pPr>
    </w:p>
    <w:p w14:paraId="74DD360D">
      <w:pPr>
        <w:spacing w:line="1000" w:lineRule="exact"/>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r>
        <w:rPr>
          <w:rFonts w:hint="eastAsia" w:ascii="宋体" w:hAnsi="宋体" w:eastAsia="宋体" w:cs="宋体"/>
          <w:b/>
          <w:color w:val="auto"/>
          <w:sz w:val="84"/>
          <w:szCs w:val="84"/>
          <w:highlight w:val="none"/>
        </w:rPr>
        <w:cr/>
      </w:r>
      <w:r>
        <w:rPr>
          <w:rFonts w:hint="eastAsia" w:ascii="宋体" w:hAnsi="宋体" w:eastAsia="宋体" w:cs="宋体"/>
          <w:b/>
          <w:color w:val="auto"/>
          <w:sz w:val="84"/>
          <w:szCs w:val="84"/>
          <w:highlight w:val="none"/>
        </w:rPr>
        <w:cr/>
      </w:r>
    </w:p>
    <w:p w14:paraId="41741898">
      <w:pPr>
        <w:pStyle w:val="14"/>
        <w:ind w:firstLine="3990" w:firstLineChars="1900"/>
        <w:rPr>
          <w:rFonts w:hint="eastAsia" w:ascii="宋体" w:hAnsi="宋体" w:eastAsia="宋体" w:cs="宋体"/>
          <w:color w:val="auto"/>
          <w:highlight w:val="none"/>
        </w:rPr>
      </w:pPr>
    </w:p>
    <w:p w14:paraId="701725C4">
      <w:pPr>
        <w:pStyle w:val="14"/>
        <w:rPr>
          <w:rFonts w:hint="eastAsia" w:ascii="宋体" w:hAnsi="宋体" w:eastAsia="宋体" w:cs="宋体"/>
          <w:color w:val="auto"/>
          <w:highlight w:val="none"/>
        </w:rPr>
      </w:pPr>
    </w:p>
    <w:p w14:paraId="43839977">
      <w:pPr>
        <w:ind w:left="2082" w:leftChars="304" w:hanging="1444" w:hangingChars="400"/>
        <w:jc w:val="both"/>
        <w:rPr>
          <w:rFonts w:hint="eastAsia" w:ascii="宋体" w:hAnsi="宋体" w:eastAsia="宋体" w:cs="宋体"/>
          <w:b/>
          <w:bCs/>
          <w:color w:val="auto"/>
          <w:spacing w:val="40"/>
          <w:sz w:val="28"/>
          <w:szCs w:val="22"/>
          <w:highlight w:val="none"/>
          <w:lang w:val="en-US" w:eastAsia="zh-CN"/>
        </w:rPr>
      </w:pPr>
      <w:r>
        <w:rPr>
          <w:rFonts w:hint="eastAsia" w:ascii="宋体" w:hAnsi="宋体" w:eastAsia="宋体" w:cs="宋体"/>
          <w:b/>
          <w:bCs/>
          <w:color w:val="auto"/>
          <w:spacing w:val="40"/>
          <w:sz w:val="28"/>
          <w:szCs w:val="22"/>
          <w:highlight w:val="none"/>
        </w:rPr>
        <w:t>项目名称：</w:t>
      </w:r>
      <w:r>
        <w:rPr>
          <w:rFonts w:hint="eastAsia" w:ascii="宋体" w:hAnsi="宋体" w:cs="宋体"/>
          <w:b/>
          <w:bCs/>
          <w:color w:val="auto"/>
          <w:spacing w:val="40"/>
          <w:sz w:val="28"/>
          <w:szCs w:val="22"/>
          <w:highlight w:val="none"/>
          <w:lang w:eastAsia="zh-CN"/>
        </w:rPr>
        <w:t>平等镇农产品综合交易场地建设项目</w:t>
      </w:r>
    </w:p>
    <w:p w14:paraId="40D4158C">
      <w:pPr>
        <w:ind w:left="2082" w:leftChars="304" w:hanging="1444" w:hangingChars="400"/>
        <w:jc w:val="both"/>
        <w:rPr>
          <w:rFonts w:hint="eastAsia" w:ascii="宋体" w:hAnsi="宋体" w:eastAsia="宋体" w:cs="宋体"/>
          <w:b/>
          <w:bCs/>
          <w:color w:val="auto"/>
          <w:spacing w:val="40"/>
          <w:sz w:val="28"/>
          <w:szCs w:val="22"/>
          <w:highlight w:val="none"/>
          <w:lang w:eastAsia="zh-CN"/>
        </w:rPr>
      </w:pPr>
      <w:r>
        <w:rPr>
          <w:rFonts w:hint="eastAsia" w:ascii="宋体" w:hAnsi="宋体" w:eastAsia="宋体" w:cs="宋体"/>
          <w:b/>
          <w:bCs/>
          <w:color w:val="auto"/>
          <w:spacing w:val="40"/>
          <w:sz w:val="28"/>
          <w:szCs w:val="22"/>
          <w:highlight w:val="none"/>
        </w:rPr>
        <w:t>项目编号</w:t>
      </w:r>
      <w:r>
        <w:rPr>
          <w:rFonts w:hint="eastAsia" w:ascii="宋体" w:hAnsi="宋体" w:eastAsia="宋体" w:cs="宋体"/>
          <w:b/>
          <w:bCs/>
          <w:color w:val="auto"/>
          <w:spacing w:val="40"/>
          <w:sz w:val="28"/>
          <w:szCs w:val="22"/>
          <w:highlight w:val="none"/>
          <w:lang w:eastAsia="zh-CN"/>
        </w:rPr>
        <w:t>：</w:t>
      </w:r>
      <w:r>
        <w:rPr>
          <w:rFonts w:hint="eastAsia" w:ascii="宋体" w:hAnsi="宋体" w:cs="宋体"/>
          <w:b/>
          <w:bCs/>
          <w:color w:val="auto"/>
          <w:spacing w:val="40"/>
          <w:sz w:val="28"/>
          <w:szCs w:val="22"/>
          <w:highlight w:val="none"/>
          <w:lang w:eastAsia="zh-CN"/>
        </w:rPr>
        <w:t>GLZC2025-C2-280031-GXKS</w:t>
      </w:r>
    </w:p>
    <w:p w14:paraId="5E1B0658">
      <w:pPr>
        <w:ind w:firstLine="420" w:firstLineChars="200"/>
        <w:rPr>
          <w:rFonts w:hint="eastAsia" w:ascii="宋体" w:hAnsi="宋体" w:eastAsia="宋体" w:cs="宋体"/>
          <w:color w:val="auto"/>
          <w:highlight w:val="none"/>
        </w:rPr>
      </w:pPr>
    </w:p>
    <w:p w14:paraId="022B2A7D">
      <w:pPr>
        <w:ind w:firstLine="401" w:firstLineChars="100"/>
        <w:jc w:val="both"/>
        <w:rPr>
          <w:rFonts w:hint="default" w:ascii="宋体" w:hAnsi="宋体" w:eastAsia="宋体" w:cs="宋体"/>
          <w:b/>
          <w:bCs/>
          <w:color w:val="auto"/>
          <w:spacing w:val="40"/>
          <w:sz w:val="32"/>
          <w:highlight w:val="none"/>
          <w:lang w:val="en-US"/>
        </w:rPr>
      </w:pPr>
    </w:p>
    <w:p w14:paraId="615E9BC7">
      <w:pPr>
        <w:ind w:firstLine="1050" w:firstLineChars="500"/>
        <w:rPr>
          <w:rFonts w:hint="eastAsia" w:ascii="宋体" w:hAnsi="宋体" w:eastAsia="宋体" w:cs="宋体"/>
          <w:color w:val="auto"/>
          <w:highlight w:val="none"/>
        </w:rPr>
      </w:pPr>
    </w:p>
    <w:p w14:paraId="06486249">
      <w:pPr>
        <w:ind w:firstLine="1050" w:firstLineChars="500"/>
        <w:rPr>
          <w:rFonts w:hint="eastAsia" w:ascii="宋体" w:hAnsi="宋体" w:eastAsia="宋体" w:cs="宋体"/>
          <w:color w:val="auto"/>
          <w:highlight w:val="none"/>
        </w:rPr>
      </w:pPr>
    </w:p>
    <w:p w14:paraId="355BB029">
      <w:pPr>
        <w:ind w:firstLine="1050" w:firstLineChars="500"/>
        <w:rPr>
          <w:rFonts w:hint="eastAsia" w:ascii="宋体" w:hAnsi="宋体" w:eastAsia="宋体" w:cs="宋体"/>
          <w:color w:val="auto"/>
          <w:highlight w:val="none"/>
        </w:rPr>
      </w:pPr>
    </w:p>
    <w:p w14:paraId="68D61902">
      <w:pPr>
        <w:pStyle w:val="11"/>
        <w:rPr>
          <w:rFonts w:hint="eastAsia"/>
          <w:color w:val="auto"/>
          <w:highlight w:val="none"/>
        </w:rPr>
      </w:pPr>
    </w:p>
    <w:p w14:paraId="761172E6">
      <w:pPr>
        <w:ind w:left="-2" w:leftChars="-1" w:firstLine="630" w:firstLineChars="300"/>
        <w:rPr>
          <w:rFonts w:hint="eastAsia" w:ascii="宋体" w:hAnsi="宋体" w:eastAsia="宋体" w:cs="宋体"/>
          <w:color w:val="auto"/>
          <w:highlight w:val="none"/>
        </w:rPr>
      </w:pPr>
    </w:p>
    <w:p w14:paraId="440DB041">
      <w:pPr>
        <w:ind w:left="-2" w:leftChars="-1" w:firstLine="630" w:firstLineChars="300"/>
        <w:rPr>
          <w:rFonts w:hint="eastAsia" w:ascii="宋体" w:hAnsi="宋体" w:eastAsia="宋体" w:cs="宋体"/>
          <w:color w:val="auto"/>
          <w:highlight w:val="none"/>
        </w:rPr>
      </w:pPr>
    </w:p>
    <w:p w14:paraId="2BDB487B">
      <w:pPr>
        <w:ind w:left="-2" w:leftChars="-1" w:firstLine="630" w:firstLineChars="300"/>
        <w:rPr>
          <w:rFonts w:hint="eastAsia" w:ascii="宋体" w:hAnsi="宋体" w:eastAsia="宋体" w:cs="宋体"/>
          <w:color w:val="auto"/>
          <w:highlight w:val="none"/>
        </w:rPr>
      </w:pPr>
    </w:p>
    <w:p w14:paraId="266F104B">
      <w:pPr>
        <w:pStyle w:val="15"/>
        <w:rPr>
          <w:rFonts w:hint="eastAsia"/>
          <w:color w:val="auto"/>
          <w:highlight w:val="none"/>
        </w:rPr>
      </w:pPr>
    </w:p>
    <w:p w14:paraId="47A1C5B7">
      <w:pPr>
        <w:ind w:firstLine="643" w:firstLineChars="200"/>
        <w:rPr>
          <w:rFonts w:hint="eastAsia" w:ascii="宋体" w:hAnsi="宋体" w:eastAsia="宋体" w:cs="宋体"/>
          <w:color w:val="auto"/>
          <w:sz w:val="32"/>
          <w:szCs w:val="32"/>
          <w:highlight w:val="none"/>
        </w:rPr>
      </w:pPr>
      <w:r>
        <w:rPr>
          <w:rFonts w:hint="eastAsia" w:ascii="宋体" w:hAnsi="宋体" w:eastAsia="宋体" w:cs="宋体"/>
          <w:b/>
          <w:bCs/>
          <w:color w:val="auto"/>
          <w:sz w:val="32"/>
          <w:highlight w:val="none"/>
          <w:lang w:val="en-US" w:eastAsia="zh-CN"/>
        </w:rPr>
        <w:t xml:space="preserve">  </w:t>
      </w:r>
      <w:r>
        <w:rPr>
          <w:rFonts w:hint="eastAsia" w:ascii="宋体" w:hAnsi="宋体" w:eastAsia="宋体" w:cs="宋体"/>
          <w:b/>
          <w:bCs/>
          <w:color w:val="auto"/>
          <w:sz w:val="32"/>
          <w:highlight w:val="none"/>
        </w:rPr>
        <w:t>采购代理机构：</w:t>
      </w:r>
      <w:r>
        <w:rPr>
          <w:rFonts w:hint="eastAsia" w:ascii="宋体" w:hAnsi="宋体" w:cs="宋体"/>
          <w:b/>
          <w:bCs/>
          <w:color w:val="auto"/>
          <w:sz w:val="32"/>
          <w:highlight w:val="none"/>
          <w:lang w:eastAsia="zh-CN"/>
        </w:rPr>
        <w:t xml:space="preserve">广西凯胜建设项目管理咨询有限公司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pacing w:val="40"/>
          <w:kern w:val="0"/>
          <w:sz w:val="32"/>
          <w:highlight w:val="none"/>
        </w:rPr>
        <w:t xml:space="preserve">           </w:t>
      </w:r>
      <w:r>
        <w:rPr>
          <w:rFonts w:hint="eastAsia" w:ascii="宋体" w:hAnsi="宋体" w:eastAsia="宋体" w:cs="宋体"/>
          <w:color w:val="auto"/>
          <w:sz w:val="32"/>
          <w:szCs w:val="32"/>
          <w:highlight w:val="none"/>
        </w:rPr>
        <w:t xml:space="preserve">     </w:t>
      </w:r>
    </w:p>
    <w:p w14:paraId="3C049A96">
      <w:pPr>
        <w:ind w:firstLine="3694" w:firstLineChars="1150"/>
        <w:rPr>
          <w:rFonts w:hint="eastAsia" w:ascii="宋体" w:hAnsi="宋体" w:eastAsia="宋体" w:cs="宋体"/>
          <w:color w:val="auto"/>
          <w:sz w:val="32"/>
          <w:highlight w:val="none"/>
        </w:rPr>
      </w:pPr>
      <w:r>
        <w:rPr>
          <w:rFonts w:hint="eastAsia" w:ascii="宋体" w:hAnsi="宋体" w:cs="宋体"/>
          <w:b/>
          <w:bCs/>
          <w:color w:val="auto"/>
          <w:sz w:val="32"/>
          <w:highlight w:val="none"/>
          <w:lang w:val="en-US" w:eastAsia="zh-CN"/>
        </w:rPr>
        <w:t>2025</w:t>
      </w:r>
      <w:r>
        <w:rPr>
          <w:rFonts w:hint="eastAsia" w:ascii="宋体" w:hAnsi="宋体" w:eastAsia="宋体" w:cs="宋体"/>
          <w:b/>
          <w:bCs/>
          <w:color w:val="auto"/>
          <w:sz w:val="32"/>
          <w:highlight w:val="none"/>
        </w:rPr>
        <w:t>年</w:t>
      </w:r>
      <w:r>
        <w:rPr>
          <w:rFonts w:hint="eastAsia" w:ascii="宋体" w:hAnsi="宋体" w:cs="宋体"/>
          <w:b/>
          <w:bCs/>
          <w:color w:val="auto"/>
          <w:sz w:val="32"/>
          <w:highlight w:val="none"/>
          <w:lang w:val="en-US" w:eastAsia="zh-CN"/>
        </w:rPr>
        <w:t>6</w:t>
      </w:r>
      <w:r>
        <w:rPr>
          <w:rFonts w:hint="eastAsia" w:ascii="宋体" w:hAnsi="宋体" w:eastAsia="宋体" w:cs="宋体"/>
          <w:b/>
          <w:bCs/>
          <w:color w:val="auto"/>
          <w:sz w:val="32"/>
          <w:highlight w:val="none"/>
        </w:rPr>
        <w:t>月</w:t>
      </w:r>
    </w:p>
    <w:p w14:paraId="199F9BE7">
      <w:pPr>
        <w:pStyle w:val="17"/>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p>
    <w:p w14:paraId="06337A07">
      <w:pPr>
        <w:pStyle w:val="17"/>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start="1"/>
          <w:cols w:space="720" w:num="1"/>
          <w:titlePg/>
          <w:docGrid w:type="lines" w:linePitch="312" w:charSpace="0"/>
        </w:sectPr>
      </w:pPr>
    </w:p>
    <w:p w14:paraId="4025C8AE">
      <w:pPr>
        <w:rPr>
          <w:rFonts w:hint="eastAsia"/>
          <w:color w:val="auto"/>
          <w:highlight w:val="none"/>
          <w:lang w:eastAsia="zh-CN"/>
        </w:rPr>
      </w:pPr>
    </w:p>
    <w:p w14:paraId="20014795">
      <w:pPr>
        <w:pStyle w:val="17"/>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48"/>
          <w:szCs w:val="48"/>
          <w:highlight w:val="none"/>
          <w:lang w:eastAsia="zh-CN"/>
        </w:rPr>
      </w:pPr>
      <w:r>
        <w:rPr>
          <w:rFonts w:hint="eastAsia" w:ascii="宋体" w:hAnsi="宋体" w:eastAsia="宋体" w:cs="宋体"/>
          <w:b/>
          <w:color w:val="auto"/>
          <w:spacing w:val="-6"/>
          <w:kern w:val="0"/>
          <w:sz w:val="48"/>
          <w:szCs w:val="48"/>
          <w:highlight w:val="none"/>
          <w:lang w:eastAsia="zh-CN"/>
        </w:rPr>
        <w:t>目</w:t>
      </w:r>
      <w:r>
        <w:rPr>
          <w:rFonts w:hint="eastAsia" w:ascii="宋体" w:hAnsi="宋体" w:eastAsia="宋体" w:cs="宋体"/>
          <w:b/>
          <w:color w:val="auto"/>
          <w:spacing w:val="-6"/>
          <w:kern w:val="0"/>
          <w:sz w:val="48"/>
          <w:szCs w:val="48"/>
          <w:highlight w:val="none"/>
          <w:lang w:val="en-US" w:eastAsia="zh-CN"/>
        </w:rPr>
        <w:t xml:space="preserve">  </w:t>
      </w:r>
      <w:r>
        <w:rPr>
          <w:rFonts w:hint="eastAsia" w:ascii="宋体" w:hAnsi="宋体" w:eastAsia="宋体" w:cs="宋体"/>
          <w:b/>
          <w:color w:val="auto"/>
          <w:spacing w:val="-6"/>
          <w:kern w:val="0"/>
          <w:sz w:val="48"/>
          <w:szCs w:val="48"/>
          <w:highlight w:val="none"/>
          <w:lang w:eastAsia="zh-CN"/>
        </w:rPr>
        <w:t>录</w:t>
      </w:r>
    </w:p>
    <w:p w14:paraId="17418BA8">
      <w:pPr>
        <w:rPr>
          <w:rFonts w:hint="eastAsia"/>
          <w:color w:val="auto"/>
          <w:highlight w:val="none"/>
          <w:lang w:eastAsia="zh-CN"/>
        </w:rPr>
      </w:pPr>
    </w:p>
    <w:p w14:paraId="5FC9FDDB">
      <w:pPr>
        <w:pStyle w:val="17"/>
        <w:tabs>
          <w:tab w:val="right" w:leader="dot" w:pos="9660"/>
        </w:tabs>
        <w:rPr>
          <w:color w:val="auto"/>
          <w:sz w:val="28"/>
          <w:szCs w:val="36"/>
          <w:highlight w:val="none"/>
        </w:rPr>
      </w:pPr>
      <w:r>
        <w:rPr>
          <w:rFonts w:hint="eastAsia" w:ascii="宋体" w:hAnsi="宋体" w:eastAsia="宋体" w:cs="宋体"/>
          <w:b/>
          <w:color w:val="auto"/>
          <w:spacing w:val="-6"/>
          <w:kern w:val="0"/>
          <w:sz w:val="36"/>
          <w:szCs w:val="36"/>
          <w:highlight w:val="none"/>
        </w:rPr>
        <w:fldChar w:fldCharType="begin"/>
      </w:r>
      <w:r>
        <w:rPr>
          <w:rFonts w:hint="eastAsia" w:ascii="宋体" w:hAnsi="宋体" w:eastAsia="宋体" w:cs="宋体"/>
          <w:b/>
          <w:color w:val="auto"/>
          <w:spacing w:val="-6"/>
          <w:kern w:val="0"/>
          <w:sz w:val="36"/>
          <w:szCs w:val="36"/>
          <w:highlight w:val="none"/>
        </w:rPr>
        <w:instrText xml:space="preserve">TOC \o "1-2" \h \u </w:instrText>
      </w:r>
      <w:r>
        <w:rPr>
          <w:rFonts w:hint="eastAsia" w:ascii="宋体" w:hAnsi="宋体" w:eastAsia="宋体" w:cs="宋体"/>
          <w:b/>
          <w:color w:val="auto"/>
          <w:spacing w:val="-6"/>
          <w:kern w:val="0"/>
          <w:sz w:val="36"/>
          <w:szCs w:val="36"/>
          <w:highlight w:val="none"/>
        </w:rPr>
        <w:fldChar w:fldCharType="separate"/>
      </w: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_Toc4654 </w:instrText>
      </w:r>
      <w:r>
        <w:rPr>
          <w:rFonts w:hint="eastAsia" w:ascii="宋体" w:hAnsi="宋体" w:eastAsia="宋体" w:cs="宋体"/>
          <w:color w:val="auto"/>
          <w:spacing w:val="-6"/>
          <w:kern w:val="0"/>
          <w:sz w:val="28"/>
          <w:szCs w:val="36"/>
          <w:highlight w:val="none"/>
        </w:rPr>
        <w:fldChar w:fldCharType="separate"/>
      </w:r>
      <w:r>
        <w:rPr>
          <w:rFonts w:hint="eastAsia" w:ascii="宋体" w:hAnsi="宋体" w:eastAsia="宋体" w:cs="宋体"/>
          <w:color w:val="auto"/>
          <w:sz w:val="28"/>
          <w:szCs w:val="44"/>
          <w:highlight w:val="none"/>
          <w:lang w:eastAsia="zh-CN"/>
        </w:rPr>
        <w:t>第一章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竞争性磋商公告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_Toc4654 \h </w:instrText>
      </w:r>
      <w:r>
        <w:rPr>
          <w:color w:val="auto"/>
          <w:sz w:val="28"/>
          <w:szCs w:val="36"/>
          <w:highlight w:val="none"/>
        </w:rPr>
        <w:fldChar w:fldCharType="separate"/>
      </w:r>
      <w:r>
        <w:rPr>
          <w:color w:val="auto"/>
          <w:sz w:val="28"/>
          <w:szCs w:val="36"/>
          <w:highlight w:val="none"/>
        </w:rPr>
        <w:t>2</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42A17445">
      <w:pPr>
        <w:pStyle w:val="17"/>
        <w:tabs>
          <w:tab w:val="right" w:leader="dot" w:pos="9660"/>
        </w:tabs>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_Toc30160 </w:instrText>
      </w:r>
      <w:r>
        <w:rPr>
          <w:rFonts w:hint="eastAsia" w:ascii="宋体" w:hAnsi="宋体" w:eastAsia="宋体" w:cs="宋体"/>
          <w:color w:val="auto"/>
          <w:spacing w:val="-6"/>
          <w:kern w:val="0"/>
          <w:sz w:val="28"/>
          <w:szCs w:val="36"/>
          <w:highlight w:val="none"/>
        </w:rPr>
        <w:fldChar w:fldCharType="separate"/>
      </w:r>
      <w:r>
        <w:rPr>
          <w:rFonts w:hint="eastAsia" w:ascii="宋体" w:hAnsi="宋体" w:eastAsia="宋体" w:cs="宋体"/>
          <w:color w:val="auto"/>
          <w:sz w:val="28"/>
          <w:szCs w:val="44"/>
          <w:highlight w:val="none"/>
          <w:lang w:eastAsia="zh-CN"/>
        </w:rPr>
        <w:t>第二章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供应商须知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_Toc30160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520033B5">
      <w:pPr>
        <w:pStyle w:val="17"/>
        <w:tabs>
          <w:tab w:val="right" w:leader="dot" w:pos="9660"/>
        </w:tabs>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_Toc31415 </w:instrText>
      </w:r>
      <w:r>
        <w:rPr>
          <w:rFonts w:hint="eastAsia" w:ascii="宋体" w:hAnsi="宋体" w:eastAsia="宋体" w:cs="宋体"/>
          <w:color w:val="auto"/>
          <w:spacing w:val="-6"/>
          <w:kern w:val="0"/>
          <w:sz w:val="28"/>
          <w:szCs w:val="36"/>
          <w:highlight w:val="none"/>
        </w:rPr>
        <w:fldChar w:fldCharType="separate"/>
      </w:r>
      <w:r>
        <w:rPr>
          <w:rFonts w:hint="eastAsia"/>
          <w:color w:val="auto"/>
          <w:sz w:val="28"/>
          <w:szCs w:val="44"/>
          <w:highlight w:val="none"/>
        </w:rPr>
        <w:t xml:space="preserve">第三章  </w:t>
      </w:r>
      <w:r>
        <w:rPr>
          <w:rFonts w:hint="eastAsia"/>
          <w:color w:val="auto"/>
          <w:sz w:val="28"/>
          <w:szCs w:val="44"/>
          <w:highlight w:val="none"/>
          <w:lang w:eastAsia="zh-CN"/>
        </w:rPr>
        <w:t>工程量清单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_Toc31415 \h </w:instrText>
      </w:r>
      <w:r>
        <w:rPr>
          <w:color w:val="auto"/>
          <w:sz w:val="28"/>
          <w:szCs w:val="36"/>
          <w:highlight w:val="none"/>
        </w:rPr>
        <w:fldChar w:fldCharType="separate"/>
      </w:r>
      <w:r>
        <w:rPr>
          <w:color w:val="auto"/>
          <w:sz w:val="28"/>
          <w:szCs w:val="36"/>
          <w:highlight w:val="none"/>
        </w:rPr>
        <w:t>27</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5958FB1A">
      <w:pPr>
        <w:pStyle w:val="17"/>
        <w:tabs>
          <w:tab w:val="right" w:leader="dot" w:pos="9660"/>
        </w:tabs>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_Toc17774 </w:instrText>
      </w:r>
      <w:r>
        <w:rPr>
          <w:rFonts w:hint="eastAsia" w:ascii="宋体" w:hAnsi="宋体" w:eastAsia="宋体" w:cs="宋体"/>
          <w:color w:val="auto"/>
          <w:spacing w:val="-6"/>
          <w:kern w:val="0"/>
          <w:sz w:val="28"/>
          <w:szCs w:val="36"/>
          <w:highlight w:val="none"/>
        </w:rPr>
        <w:fldChar w:fldCharType="separate"/>
      </w:r>
      <w:r>
        <w:rPr>
          <w:rFonts w:hint="eastAsia" w:ascii="宋体" w:hAnsi="宋体" w:eastAsia="宋体" w:cs="宋体"/>
          <w:color w:val="auto"/>
          <w:sz w:val="28"/>
          <w:szCs w:val="44"/>
          <w:highlight w:val="none"/>
          <w:lang w:eastAsia="zh-CN"/>
        </w:rPr>
        <w:t>第四章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评审办法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_Toc17774 \h </w:instrText>
      </w:r>
      <w:r>
        <w:rPr>
          <w:color w:val="auto"/>
          <w:sz w:val="28"/>
          <w:szCs w:val="36"/>
          <w:highlight w:val="none"/>
        </w:rPr>
        <w:fldChar w:fldCharType="separate"/>
      </w:r>
      <w:r>
        <w:rPr>
          <w:color w:val="auto"/>
          <w:sz w:val="28"/>
          <w:szCs w:val="36"/>
          <w:highlight w:val="none"/>
        </w:rPr>
        <w:t>28</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567F47FC">
      <w:pPr>
        <w:pStyle w:val="17"/>
        <w:tabs>
          <w:tab w:val="right" w:leader="dot" w:pos="9660"/>
        </w:tabs>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_Toc7776 </w:instrText>
      </w:r>
      <w:r>
        <w:rPr>
          <w:rFonts w:hint="eastAsia" w:ascii="宋体" w:hAnsi="宋体" w:eastAsia="宋体" w:cs="宋体"/>
          <w:color w:val="auto"/>
          <w:spacing w:val="-6"/>
          <w:kern w:val="0"/>
          <w:sz w:val="28"/>
          <w:szCs w:val="36"/>
          <w:highlight w:val="none"/>
        </w:rPr>
        <w:fldChar w:fldCharType="separate"/>
      </w:r>
      <w:r>
        <w:rPr>
          <w:rFonts w:hint="eastAsia" w:ascii="宋体" w:hAnsi="宋体" w:eastAsia="宋体" w:cs="宋体"/>
          <w:color w:val="auto"/>
          <w:sz w:val="28"/>
          <w:szCs w:val="44"/>
          <w:highlight w:val="none"/>
          <w:lang w:eastAsia="zh-CN"/>
        </w:rPr>
        <w:t>第五章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采购合同（合同主要条款及格式）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_Toc7776 \h </w:instrText>
      </w:r>
      <w:r>
        <w:rPr>
          <w:color w:val="auto"/>
          <w:sz w:val="28"/>
          <w:szCs w:val="36"/>
          <w:highlight w:val="none"/>
        </w:rPr>
        <w:fldChar w:fldCharType="separate"/>
      </w:r>
      <w:r>
        <w:rPr>
          <w:color w:val="auto"/>
          <w:sz w:val="28"/>
          <w:szCs w:val="36"/>
          <w:highlight w:val="none"/>
        </w:rPr>
        <w:t>35</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09C19EE0">
      <w:pPr>
        <w:pStyle w:val="18"/>
        <w:tabs>
          <w:tab w:val="right" w:leader="dot" w:pos="9660"/>
        </w:tabs>
        <w:ind w:left="0" w:leftChars="0" w:firstLine="0" w:firstLineChars="0"/>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_Toc32030 </w:instrText>
      </w:r>
      <w:r>
        <w:rPr>
          <w:rFonts w:hint="eastAsia" w:ascii="宋体" w:hAnsi="宋体" w:eastAsia="宋体" w:cs="宋体"/>
          <w:color w:val="auto"/>
          <w:spacing w:val="-6"/>
          <w:kern w:val="0"/>
          <w:sz w:val="28"/>
          <w:szCs w:val="36"/>
          <w:highlight w:val="none"/>
        </w:rPr>
        <w:fldChar w:fldCharType="separate"/>
      </w:r>
      <w:r>
        <w:rPr>
          <w:rFonts w:hint="eastAsia" w:ascii="宋体" w:hAnsi="宋体" w:eastAsia="宋体" w:cs="宋体"/>
          <w:bCs/>
          <w:color w:val="auto"/>
          <w:kern w:val="44"/>
          <w:sz w:val="28"/>
          <w:szCs w:val="44"/>
          <w:highlight w:val="none"/>
        </w:rPr>
        <w:t xml:space="preserve">第六章  </w:t>
      </w:r>
      <w:r>
        <w:rPr>
          <w:rFonts w:hint="eastAsia" w:ascii="宋体" w:hAnsi="宋体" w:eastAsia="宋体" w:cs="宋体"/>
          <w:bCs/>
          <w:color w:val="auto"/>
          <w:sz w:val="28"/>
          <w:szCs w:val="44"/>
          <w:highlight w:val="none"/>
        </w:rPr>
        <w:t>响应文件（格式）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_Toc32030 \h </w:instrText>
      </w:r>
      <w:r>
        <w:rPr>
          <w:color w:val="auto"/>
          <w:sz w:val="28"/>
          <w:szCs w:val="36"/>
          <w:highlight w:val="none"/>
        </w:rPr>
        <w:fldChar w:fldCharType="separate"/>
      </w:r>
      <w:r>
        <w:rPr>
          <w:color w:val="auto"/>
          <w:sz w:val="28"/>
          <w:szCs w:val="36"/>
          <w:highlight w:val="none"/>
        </w:rPr>
        <w:t>78</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090126EB">
      <w:pPr>
        <w:pStyle w:val="17"/>
        <w:tabs>
          <w:tab w:val="right" w:leader="dot" w:pos="9660"/>
        </w:tabs>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_Toc6063 </w:instrText>
      </w:r>
      <w:r>
        <w:rPr>
          <w:rFonts w:hint="eastAsia" w:ascii="宋体" w:hAnsi="宋体" w:eastAsia="宋体" w:cs="宋体"/>
          <w:color w:val="auto"/>
          <w:spacing w:val="-6"/>
          <w:kern w:val="0"/>
          <w:sz w:val="28"/>
          <w:szCs w:val="36"/>
          <w:highlight w:val="none"/>
        </w:rPr>
        <w:fldChar w:fldCharType="separate"/>
      </w:r>
      <w:r>
        <w:rPr>
          <w:rFonts w:hint="eastAsia"/>
          <w:color w:val="auto"/>
          <w:sz w:val="28"/>
          <w:szCs w:val="36"/>
          <w:highlight w:val="none"/>
        </w:rPr>
        <w:t>第七章、图纸</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_Toc6063 \h </w:instrText>
      </w:r>
      <w:r>
        <w:rPr>
          <w:color w:val="auto"/>
          <w:sz w:val="28"/>
          <w:szCs w:val="36"/>
          <w:highlight w:val="none"/>
        </w:rPr>
        <w:fldChar w:fldCharType="separate"/>
      </w:r>
      <w:r>
        <w:rPr>
          <w:color w:val="auto"/>
          <w:sz w:val="28"/>
          <w:szCs w:val="36"/>
          <w:highlight w:val="none"/>
        </w:rPr>
        <w:t>100</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59B5519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pacing w:val="-6"/>
          <w:kern w:val="0"/>
          <w:sz w:val="36"/>
          <w:szCs w:val="36"/>
          <w:highlight w:val="none"/>
        </w:rPr>
      </w:pPr>
      <w:r>
        <w:rPr>
          <w:rFonts w:hint="eastAsia" w:ascii="宋体" w:hAnsi="宋体" w:eastAsia="宋体" w:cs="宋体"/>
          <w:color w:val="auto"/>
          <w:spacing w:val="-6"/>
          <w:kern w:val="0"/>
          <w:sz w:val="28"/>
          <w:szCs w:val="36"/>
          <w:highlight w:val="none"/>
        </w:rPr>
        <w:fldChar w:fldCharType="end"/>
      </w:r>
    </w:p>
    <w:p w14:paraId="217F62B2">
      <w:pPr>
        <w:pStyle w:val="5"/>
        <w:rPr>
          <w:rFonts w:hint="eastAsia" w:ascii="宋体" w:hAnsi="宋体" w:eastAsia="宋体" w:cs="宋体"/>
          <w:color w:val="auto"/>
          <w:spacing w:val="-6"/>
          <w:kern w:val="0"/>
          <w:sz w:val="24"/>
          <w:szCs w:val="24"/>
          <w:highlight w:val="none"/>
        </w:rPr>
      </w:pPr>
    </w:p>
    <w:p w14:paraId="17DD9239">
      <w:pPr>
        <w:rPr>
          <w:rFonts w:hint="eastAsia" w:ascii="宋体" w:hAnsi="宋体" w:eastAsia="宋体" w:cs="宋体"/>
          <w:color w:val="auto"/>
          <w:spacing w:val="-6"/>
          <w:kern w:val="0"/>
          <w:sz w:val="24"/>
          <w:szCs w:val="24"/>
          <w:highlight w:val="none"/>
        </w:rPr>
      </w:pPr>
    </w:p>
    <w:p w14:paraId="609621FD">
      <w:pPr>
        <w:pStyle w:val="5"/>
        <w:rPr>
          <w:rFonts w:hint="eastAsia" w:ascii="宋体" w:hAnsi="宋体" w:eastAsia="宋体" w:cs="宋体"/>
          <w:color w:val="auto"/>
          <w:spacing w:val="-6"/>
          <w:kern w:val="0"/>
          <w:sz w:val="24"/>
          <w:szCs w:val="24"/>
          <w:highlight w:val="none"/>
        </w:rPr>
      </w:pPr>
    </w:p>
    <w:p w14:paraId="37380C45">
      <w:pPr>
        <w:rPr>
          <w:rFonts w:hint="eastAsia" w:ascii="宋体" w:hAnsi="宋体" w:eastAsia="宋体" w:cs="宋体"/>
          <w:color w:val="auto"/>
          <w:spacing w:val="-6"/>
          <w:kern w:val="0"/>
          <w:sz w:val="24"/>
          <w:szCs w:val="24"/>
          <w:highlight w:val="none"/>
        </w:rPr>
      </w:pPr>
    </w:p>
    <w:p w14:paraId="77862924">
      <w:pPr>
        <w:pStyle w:val="5"/>
        <w:rPr>
          <w:rFonts w:hint="eastAsia" w:ascii="宋体" w:hAnsi="宋体" w:eastAsia="宋体" w:cs="宋体"/>
          <w:color w:val="auto"/>
          <w:spacing w:val="-6"/>
          <w:kern w:val="0"/>
          <w:sz w:val="24"/>
          <w:szCs w:val="24"/>
          <w:highlight w:val="none"/>
        </w:rPr>
      </w:pPr>
    </w:p>
    <w:p w14:paraId="06EBB8A9">
      <w:pPr>
        <w:rPr>
          <w:color w:val="auto"/>
          <w:highlight w:val="none"/>
        </w:rPr>
      </w:pPr>
    </w:p>
    <w:p w14:paraId="5FCB9521">
      <w:pPr>
        <w:pStyle w:val="4"/>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decimal" w:start="1"/>
          <w:cols w:space="720" w:num="1"/>
          <w:titlePg/>
          <w:docGrid w:type="lines" w:linePitch="312" w:charSpace="0"/>
        </w:sectPr>
      </w:pPr>
      <w:bookmarkStart w:id="0" w:name="_Toc21930"/>
      <w:bookmarkStart w:id="1" w:name="_Toc28359011"/>
      <w:bookmarkStart w:id="2" w:name="_Toc26809"/>
      <w:bookmarkStart w:id="3" w:name="_Toc35393797"/>
      <w:bookmarkStart w:id="4" w:name="_Toc30170"/>
    </w:p>
    <w:p w14:paraId="73FA726D">
      <w:pPr>
        <w:pStyle w:val="4"/>
        <w:numPr>
          <w:ilvl w:val="0"/>
          <w:numId w:val="0"/>
        </w:numPr>
        <w:tabs>
          <w:tab w:val="left" w:pos="0"/>
        </w:tabs>
        <w:autoSpaceDE w:val="0"/>
        <w:autoSpaceDN w:val="0"/>
        <w:adjustRightInd w:val="0"/>
        <w:spacing w:before="0" w:after="0" w:line="360" w:lineRule="auto"/>
        <w:ind w:left="425" w:leftChars="0"/>
        <w:jc w:val="center"/>
        <w:rPr>
          <w:rFonts w:hint="eastAsia" w:ascii="宋体" w:hAnsi="宋体" w:eastAsia="宋体" w:cs="宋体"/>
          <w:color w:val="auto"/>
          <w:sz w:val="32"/>
          <w:szCs w:val="32"/>
          <w:highlight w:val="none"/>
        </w:rPr>
      </w:pPr>
      <w:bookmarkStart w:id="5" w:name="_Toc4654"/>
      <w:r>
        <w:rPr>
          <w:rFonts w:hint="eastAsia" w:ascii="宋体" w:hAnsi="宋体" w:eastAsia="宋体" w:cs="宋体"/>
          <w:color w:val="auto"/>
          <w:sz w:val="32"/>
          <w:szCs w:val="32"/>
          <w:highlight w:val="none"/>
          <w:lang w:eastAsia="zh-CN"/>
        </w:rPr>
        <w:t>第一章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竞争性磋商公告</w:t>
      </w:r>
      <w:bookmarkEnd w:id="0"/>
      <w:bookmarkEnd w:id="1"/>
      <w:bookmarkEnd w:id="2"/>
      <w:bookmarkEnd w:id="3"/>
      <w:bookmarkEnd w:id="4"/>
      <w:bookmarkEnd w:id="5"/>
    </w:p>
    <w:tbl>
      <w:tblPr>
        <w:tblStyle w:val="30"/>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2503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320" w:type="dxa"/>
            <w:noWrap w:val="0"/>
            <w:vAlign w:val="top"/>
          </w:tcPr>
          <w:p w14:paraId="46DD2B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4D5D3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4"/>
                <w:highlight w:val="none"/>
                <w:lang w:val="en-US" w:eastAsia="zh-CN" w:bidi="ar-SA"/>
              </w:rPr>
              <w:t>平等镇农产品综合交易场地建设项目</w:t>
            </w:r>
            <w:r>
              <w:rPr>
                <w:rFonts w:hint="eastAsia" w:ascii="宋体" w:hAnsi="宋体" w:eastAsia="宋体" w:cs="宋体"/>
                <w:b w:val="0"/>
                <w:bCs w:val="0"/>
                <w:color w:val="auto"/>
                <w:kern w:val="2"/>
                <w:sz w:val="21"/>
                <w:szCs w:val="24"/>
                <w:highlight w:val="none"/>
                <w:lang w:val="en-US" w:eastAsia="zh-CN" w:bidi="ar-SA"/>
              </w:rPr>
              <w:t>的潜在供应商登陆广西政府采购云平台（https://www.gcy.zfcg.gxzf.gov.cn/）免费下载竞争性磋商文件电子版，并于</w:t>
            </w:r>
            <w:r>
              <w:rPr>
                <w:rFonts w:hint="eastAsia" w:ascii="宋体" w:hAnsi="宋体" w:cs="宋体"/>
                <w:b w:val="0"/>
                <w:bCs w:val="0"/>
                <w:color w:val="auto"/>
                <w:kern w:val="2"/>
                <w:sz w:val="21"/>
                <w:szCs w:val="24"/>
                <w:highlight w:val="none"/>
                <w:lang w:val="en-US" w:eastAsia="zh-CN" w:bidi="ar-SA"/>
              </w:rPr>
              <w:t>2025</w:t>
            </w:r>
            <w:r>
              <w:rPr>
                <w:rFonts w:hint="eastAsia" w:ascii="宋体" w:hAnsi="宋体" w:eastAsia="宋体" w:cs="宋体"/>
                <w:b w:val="0"/>
                <w:bCs w:val="0"/>
                <w:color w:val="auto"/>
                <w:kern w:val="2"/>
                <w:sz w:val="21"/>
                <w:szCs w:val="24"/>
                <w:highlight w:val="none"/>
                <w:lang w:val="en-US" w:eastAsia="zh-CN" w:bidi="ar-SA"/>
              </w:rPr>
              <w:t>年</w:t>
            </w:r>
            <w:r>
              <w:rPr>
                <w:rFonts w:hint="eastAsia" w:ascii="宋体" w:hAnsi="宋体" w:cs="宋体"/>
                <w:b w:val="0"/>
                <w:bCs w:val="0"/>
                <w:color w:val="auto"/>
                <w:kern w:val="2"/>
                <w:sz w:val="21"/>
                <w:szCs w:val="24"/>
                <w:highlight w:val="none"/>
                <w:lang w:val="en-US" w:eastAsia="zh-CN" w:bidi="ar-SA"/>
              </w:rPr>
              <w:t>7</w:t>
            </w:r>
            <w:r>
              <w:rPr>
                <w:rFonts w:hint="eastAsia" w:ascii="宋体" w:hAnsi="宋体" w:eastAsia="宋体" w:cs="宋体"/>
                <w:b w:val="0"/>
                <w:bCs w:val="0"/>
                <w:color w:val="auto"/>
                <w:kern w:val="2"/>
                <w:sz w:val="21"/>
                <w:szCs w:val="24"/>
                <w:highlight w:val="none"/>
                <w:lang w:val="en-US" w:eastAsia="zh-CN" w:bidi="ar-SA"/>
              </w:rPr>
              <w:t>月</w:t>
            </w:r>
            <w:r>
              <w:rPr>
                <w:rFonts w:hint="eastAsia" w:ascii="宋体" w:hAnsi="宋体" w:cs="宋体"/>
                <w:b w:val="0"/>
                <w:bCs w:val="0"/>
                <w:color w:val="auto"/>
                <w:kern w:val="2"/>
                <w:sz w:val="21"/>
                <w:szCs w:val="24"/>
                <w:highlight w:val="none"/>
                <w:lang w:val="en-US" w:eastAsia="zh-CN" w:bidi="ar-SA"/>
              </w:rPr>
              <w:t>7</w:t>
            </w:r>
            <w:r>
              <w:rPr>
                <w:rFonts w:hint="eastAsia" w:ascii="宋体" w:hAnsi="宋体" w:eastAsia="宋体" w:cs="宋体"/>
                <w:b w:val="0"/>
                <w:bCs w:val="0"/>
                <w:color w:val="auto"/>
                <w:kern w:val="2"/>
                <w:sz w:val="21"/>
                <w:szCs w:val="24"/>
                <w:highlight w:val="none"/>
                <w:lang w:val="en-US" w:eastAsia="zh-CN" w:bidi="ar-SA"/>
              </w:rPr>
              <w:t>日</w:t>
            </w:r>
            <w:r>
              <w:rPr>
                <w:rFonts w:hint="eastAsia" w:ascii="宋体" w:hAnsi="宋体" w:cs="宋体"/>
                <w:b w:val="0"/>
                <w:bCs w:val="0"/>
                <w:color w:val="auto"/>
                <w:kern w:val="2"/>
                <w:sz w:val="21"/>
                <w:szCs w:val="24"/>
                <w:highlight w:val="none"/>
                <w:lang w:val="en-US" w:eastAsia="zh-CN" w:bidi="ar-SA"/>
              </w:rPr>
              <w:t>9</w:t>
            </w:r>
            <w:r>
              <w:rPr>
                <w:rFonts w:hint="eastAsia" w:ascii="宋体" w:hAnsi="宋体" w:eastAsia="宋体" w:cs="宋体"/>
                <w:b w:val="0"/>
                <w:bCs w:val="0"/>
                <w:color w:val="auto"/>
                <w:kern w:val="2"/>
                <w:sz w:val="21"/>
                <w:szCs w:val="24"/>
                <w:highlight w:val="none"/>
                <w:lang w:val="en-US" w:eastAsia="zh-CN" w:bidi="ar-SA"/>
              </w:rPr>
              <w:t>点30分（北京时间）前提交</w:t>
            </w:r>
            <w:r>
              <w:rPr>
                <w:rFonts w:hint="eastAsia" w:ascii="宋体" w:hAnsi="宋体" w:cs="宋体"/>
                <w:b w:val="0"/>
                <w:bCs w:val="0"/>
                <w:color w:val="auto"/>
                <w:kern w:val="2"/>
                <w:sz w:val="21"/>
                <w:szCs w:val="24"/>
                <w:highlight w:val="none"/>
                <w:lang w:val="en-US" w:eastAsia="zh-CN" w:bidi="ar-SA"/>
              </w:rPr>
              <w:t>响应</w:t>
            </w:r>
            <w:r>
              <w:rPr>
                <w:rFonts w:hint="eastAsia" w:ascii="宋体" w:hAnsi="宋体" w:eastAsia="宋体" w:cs="宋体"/>
                <w:b w:val="0"/>
                <w:bCs w:val="0"/>
                <w:color w:val="auto"/>
                <w:kern w:val="2"/>
                <w:sz w:val="21"/>
                <w:szCs w:val="24"/>
                <w:highlight w:val="none"/>
                <w:lang w:val="en-US" w:eastAsia="zh-CN" w:bidi="ar-SA"/>
              </w:rPr>
              <w:t>文件。</w:t>
            </w:r>
          </w:p>
        </w:tc>
      </w:tr>
    </w:tbl>
    <w:p w14:paraId="5BFFFE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bookmarkStart w:id="6" w:name="_Toc35393629"/>
      <w:bookmarkStart w:id="7" w:name="_Toc28359089"/>
      <w:bookmarkStart w:id="8" w:name="_Toc28359012"/>
      <w:bookmarkStart w:id="9" w:name="_Toc35393798"/>
      <w:r>
        <w:rPr>
          <w:rFonts w:hint="eastAsia" w:ascii="宋体" w:hAnsi="宋体" w:eastAsia="宋体" w:cs="宋体"/>
          <w:b/>
          <w:bCs/>
          <w:color w:val="auto"/>
          <w:sz w:val="21"/>
          <w:szCs w:val="21"/>
          <w:highlight w:val="none"/>
        </w:rPr>
        <w:t>一、项目基本情况</w:t>
      </w:r>
      <w:bookmarkEnd w:id="6"/>
      <w:bookmarkEnd w:id="7"/>
      <w:bookmarkEnd w:id="8"/>
      <w:bookmarkEnd w:id="9"/>
    </w:p>
    <w:p w14:paraId="69F677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bookmarkStart w:id="10" w:name="_Toc28359090"/>
      <w:bookmarkStart w:id="11" w:name="_Toc35393630"/>
      <w:bookmarkStart w:id="12" w:name="_Toc35393799"/>
      <w:bookmarkStart w:id="13" w:name="_Toc28359013"/>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GLZC2025-C2-280031-GXKS</w:t>
      </w:r>
    </w:p>
    <w:p w14:paraId="00CE93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cs="宋体"/>
          <w:color w:val="auto"/>
          <w:sz w:val="21"/>
          <w:szCs w:val="21"/>
          <w:highlight w:val="none"/>
          <w:lang w:val="en-US" w:eastAsia="zh-CN"/>
        </w:rPr>
        <w:t>平等镇农产品综合交易场地建设项目</w:t>
      </w:r>
    </w:p>
    <w:p w14:paraId="120CDBA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采购方式：竞争性磋商 </w:t>
      </w:r>
    </w:p>
    <w:p w14:paraId="173312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预算总金额（元）：</w:t>
      </w:r>
      <w:r>
        <w:rPr>
          <w:rFonts w:hint="eastAsia" w:ascii="宋体" w:hAnsi="宋体" w:cs="宋体"/>
          <w:color w:val="auto"/>
          <w:sz w:val="21"/>
          <w:szCs w:val="21"/>
          <w:highlight w:val="none"/>
          <w:lang w:val="en-US" w:eastAsia="zh-CN"/>
        </w:rPr>
        <w:t>3801774.84</w:t>
      </w:r>
    </w:p>
    <w:p w14:paraId="072F9B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7A052B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 w:val="21"/>
          <w:szCs w:val="21"/>
          <w:highlight w:val="none"/>
          <w:lang w:val="en-US" w:eastAsia="zh-CN"/>
        </w:rPr>
        <w:t>平等镇农产品综合交易场地建设项目</w:t>
      </w:r>
    </w:p>
    <w:p w14:paraId="3C340F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数量:不限</w:t>
      </w:r>
    </w:p>
    <w:p w14:paraId="083D12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3801774.84</w:t>
      </w:r>
    </w:p>
    <w:p w14:paraId="6B5692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新建交易车间2栋，1#楼占地面积462.8平方米，建筑面积872.2平方米，2#楼占地面积423.8平方米，建筑面积797.8平方米；室外雨水排水钢筋混凝土管DN300：498m，雨水井19座；污水钢筋混凝土管DN300：77m，污水井5座；配套装修装饰、给排水、电路等设施建设。</w:t>
      </w:r>
      <w:r>
        <w:rPr>
          <w:rFonts w:hint="eastAsia" w:ascii="宋体" w:hAnsi="宋体" w:cs="宋体"/>
          <w:color w:val="auto"/>
          <w:szCs w:val="21"/>
          <w:highlight w:val="none"/>
          <w:u w:val="none"/>
          <w:lang w:eastAsia="zh-CN"/>
        </w:rPr>
        <w:t>具体内容详见施工图纸及工程量清单。</w:t>
      </w:r>
    </w:p>
    <w:p w14:paraId="0B28F5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3801774.84</w:t>
      </w:r>
    </w:p>
    <w:p w14:paraId="07457B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合同履约期限：自合同签订之日起</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lang w:val="en-US" w:eastAsia="zh-CN"/>
        </w:rPr>
        <w:t>个日历天内完工</w:t>
      </w:r>
      <w:r>
        <w:rPr>
          <w:rFonts w:hint="eastAsia" w:ascii="宋体" w:hAnsi="宋体" w:cs="宋体"/>
          <w:color w:val="auto"/>
          <w:sz w:val="21"/>
          <w:szCs w:val="21"/>
          <w:highlight w:val="none"/>
          <w:lang w:val="en-US" w:eastAsia="zh-CN"/>
        </w:rPr>
        <w:t>。</w:t>
      </w:r>
    </w:p>
    <w:p w14:paraId="03ACD9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接受联合体投标</w:t>
      </w:r>
    </w:p>
    <w:p w14:paraId="60738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cs="宋体"/>
          <w:color w:val="auto"/>
          <w:sz w:val="21"/>
          <w:szCs w:val="21"/>
          <w:highlight w:val="none"/>
          <w:lang w:val="en-US" w:eastAsia="zh-CN"/>
        </w:rPr>
        <w:t>无</w:t>
      </w:r>
    </w:p>
    <w:p w14:paraId="23CD150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10"/>
      <w:bookmarkEnd w:id="11"/>
      <w:bookmarkEnd w:id="12"/>
      <w:bookmarkEnd w:id="13"/>
    </w:p>
    <w:p w14:paraId="7CC8694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14FEC26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color w:val="auto"/>
          <w:sz w:val="21"/>
          <w:szCs w:val="21"/>
          <w:highlight w:val="none"/>
          <w:lang w:val="en-US" w:eastAsia="zh-CN"/>
        </w:rPr>
      </w:pPr>
      <w:bookmarkStart w:id="14" w:name="_Toc28359091"/>
      <w:bookmarkStart w:id="15" w:name="_Toc28359014"/>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14:paraId="2D509583">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bookmarkStart w:id="16" w:name="_Toc35393631"/>
      <w:bookmarkStart w:id="17" w:name="_Toc35393800"/>
      <w:r>
        <w:rPr>
          <w:rFonts w:hint="eastAsia" w:ascii="宋体" w:hAnsi="宋体" w:eastAsia="宋体" w:cs="宋体"/>
          <w:color w:val="auto"/>
          <w:szCs w:val="21"/>
          <w:highlight w:val="none"/>
        </w:rPr>
        <w:t>具备建筑工程施工总承包叁级（含三级）以上资质，同时具有有效的安全生产许可证，并在人员、设备、资金等方面具备相应的施工能力。拟投入本项目的项目经理必须具备建筑工程二级（含二级） 以上注册建造师执业资格，具备有</w:t>
      </w:r>
      <w:r>
        <w:rPr>
          <w:rFonts w:hint="eastAsia" w:ascii="宋体" w:hAnsi="宋体" w:cs="宋体"/>
          <w:color w:val="auto"/>
          <w:szCs w:val="21"/>
          <w:highlight w:val="none"/>
        </w:rPr>
        <w:t>效的安全生产考核合格证书（B 类）。本项目不接受有在建、已中标未开工或已列为其他项目中标候选人第一名的建造师作为项目经理</w:t>
      </w:r>
      <w:r>
        <w:rPr>
          <w:rFonts w:hint="eastAsia" w:ascii="宋体" w:hAnsi="宋体" w:cs="宋体"/>
          <w:color w:val="auto"/>
          <w:sz w:val="21"/>
          <w:szCs w:val="21"/>
          <w:highlight w:val="none"/>
          <w:lang w:val="en-US" w:eastAsia="zh-CN"/>
        </w:rPr>
        <w:t>。</w:t>
      </w:r>
    </w:p>
    <w:bookmarkEnd w:id="14"/>
    <w:bookmarkEnd w:id="15"/>
    <w:bookmarkEnd w:id="16"/>
    <w:bookmarkEnd w:id="17"/>
    <w:p w14:paraId="7AA9B705">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lang w:eastAsia="zh-CN"/>
        </w:rPr>
      </w:pPr>
      <w:bookmarkStart w:id="18" w:name="_Toc35393792"/>
      <w:bookmarkStart w:id="19" w:name="_Toc35393623"/>
      <w:bookmarkStart w:id="20" w:name="_Toc35393805"/>
      <w:bookmarkStart w:id="21" w:name="_Toc35393636"/>
      <w:bookmarkStart w:id="22" w:name="_Toc28359018"/>
      <w:bookmarkStart w:id="23" w:name="_Toc28359095"/>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18"/>
      <w:bookmarkEnd w:id="19"/>
      <w:r>
        <w:rPr>
          <w:rFonts w:hint="eastAsia" w:ascii="宋体" w:hAnsi="宋体" w:eastAsia="宋体" w:cs="宋体"/>
          <w:b/>
          <w:bCs/>
          <w:color w:val="auto"/>
          <w:sz w:val="21"/>
          <w:szCs w:val="21"/>
          <w:highlight w:val="none"/>
          <w:lang w:eastAsia="zh-CN"/>
        </w:rPr>
        <w:t>：</w:t>
      </w:r>
    </w:p>
    <w:p w14:paraId="6AB18D94">
      <w:pPr>
        <w:spacing w:line="380" w:lineRule="exact"/>
        <w:ind w:firstLine="540"/>
        <w:rPr>
          <w:rFonts w:hint="eastAsia" w:ascii="宋体" w:hAnsi="宋体" w:eastAsia="宋体" w:cs="宋体"/>
          <w:bCs/>
          <w:color w:val="auto"/>
          <w:kern w:val="0"/>
          <w:szCs w:val="21"/>
          <w:highlight w:val="none"/>
        </w:rPr>
      </w:pPr>
      <w:bookmarkStart w:id="24" w:name="_Toc28359082"/>
      <w:bookmarkStart w:id="25" w:name="_Toc28359005"/>
      <w:bookmarkStart w:id="26" w:name="_Toc35393624"/>
      <w:bookmarkStart w:id="27" w:name="_Toc35393793"/>
      <w:r>
        <w:rPr>
          <w:rFonts w:hint="eastAsia" w:ascii="宋体" w:hAnsi="宋体" w:eastAsia="宋体" w:cs="宋体"/>
          <w:bCs/>
          <w:color w:val="auto"/>
          <w:kern w:val="0"/>
          <w:szCs w:val="21"/>
          <w:highlight w:val="none"/>
        </w:rPr>
        <w:t>时间：</w:t>
      </w:r>
      <w:r>
        <w:rPr>
          <w:rFonts w:hint="eastAsia" w:ascii="宋体" w:hAnsi="宋体" w:cs="宋体"/>
          <w:bCs/>
          <w:color w:val="auto"/>
          <w:kern w:val="0"/>
          <w:szCs w:val="21"/>
          <w:highlight w:val="none"/>
          <w:lang w:eastAsia="zh-CN"/>
        </w:rPr>
        <w:t>公告发布之日起</w:t>
      </w:r>
      <w:r>
        <w:rPr>
          <w:rFonts w:hint="eastAsia" w:ascii="宋体" w:hAnsi="宋体" w:eastAsia="宋体" w:cs="宋体"/>
          <w:bCs/>
          <w:color w:val="auto"/>
          <w:kern w:val="0"/>
          <w:szCs w:val="21"/>
          <w:highlight w:val="none"/>
        </w:rPr>
        <w:t>至</w:t>
      </w:r>
      <w:r>
        <w:rPr>
          <w:rFonts w:hint="eastAsia" w:ascii="宋体" w:hAnsi="宋体" w:eastAsia="宋体" w:cs="宋体"/>
          <w:color w:val="auto"/>
          <w:kern w:val="2"/>
          <w:sz w:val="21"/>
          <w:szCs w:val="21"/>
          <w:highlight w:val="none"/>
          <w:lang w:val="en-US" w:eastAsia="zh-CN" w:bidi="ar-SA"/>
        </w:rPr>
        <w:t>投标文件递交的截止时间</w:t>
      </w:r>
      <w:r>
        <w:rPr>
          <w:rFonts w:hint="eastAsia" w:ascii="宋体" w:hAnsi="宋体" w:eastAsia="宋体" w:cs="宋体"/>
          <w:bCs/>
          <w:color w:val="auto"/>
          <w:kern w:val="0"/>
          <w:szCs w:val="21"/>
          <w:highlight w:val="none"/>
        </w:rPr>
        <w:t>，每天上午00:00至12:00，下午12:00至23:59（北京时间，法定节假日除外）</w:t>
      </w:r>
    </w:p>
    <w:p w14:paraId="7917815F">
      <w:pPr>
        <w:spacing w:line="380" w:lineRule="exact"/>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地点（网址）：广西政府采购云平台（https://www.gcy.zfcg.gxzf.gov.cn/）线上获取  </w:t>
      </w:r>
    </w:p>
    <w:p w14:paraId="21AB96D5">
      <w:pPr>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color w:val="auto"/>
          <w:kern w:val="2"/>
          <w:sz w:val="21"/>
          <w:szCs w:val="21"/>
          <w:highlight w:val="none"/>
          <w:lang w:val="en-US" w:eastAsia="zh-CN"/>
        </w:rPr>
        <w:t>登录广西政府采购云平台（ https://www.gcy.zfcg.gxzf.gov.cn/）在线申请获取采购文件（进入“项目采购”应用，在获取采购文件菜单中选择项目，申请获取采购文件）</w:t>
      </w:r>
      <w:r>
        <w:rPr>
          <w:rFonts w:hint="eastAsia" w:ascii="宋体" w:hAnsi="宋体" w:eastAsia="宋体" w:cs="宋体"/>
          <w:bCs/>
          <w:color w:val="auto"/>
          <w:kern w:val="0"/>
          <w:szCs w:val="21"/>
          <w:highlight w:val="none"/>
        </w:rPr>
        <w:t>。</w:t>
      </w:r>
    </w:p>
    <w:p w14:paraId="15FFA25F">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bookmarkEnd w:id="24"/>
      <w:bookmarkEnd w:id="25"/>
      <w:r>
        <w:rPr>
          <w:rFonts w:hint="eastAsia" w:ascii="宋体" w:hAnsi="宋体" w:eastAsia="宋体" w:cs="宋体"/>
          <w:b/>
          <w:bCs/>
          <w:color w:val="auto"/>
          <w:sz w:val="21"/>
          <w:szCs w:val="21"/>
          <w:highlight w:val="none"/>
          <w:lang w:eastAsia="zh-CN"/>
        </w:rPr>
        <w:t>提交</w:t>
      </w:r>
      <w:r>
        <w:rPr>
          <w:rFonts w:hint="eastAsia" w:ascii="宋体" w:hAnsi="宋体" w:eastAsia="宋体" w:cs="宋体"/>
          <w:b/>
          <w:bCs/>
          <w:color w:val="auto"/>
          <w:sz w:val="21"/>
          <w:szCs w:val="21"/>
          <w:highlight w:val="none"/>
        </w:rPr>
        <w:t>时间和地点</w:t>
      </w:r>
      <w:bookmarkEnd w:id="26"/>
      <w:bookmarkEnd w:id="27"/>
    </w:p>
    <w:p w14:paraId="4D5702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bCs/>
          <w:color w:val="auto"/>
          <w:sz w:val="21"/>
          <w:szCs w:val="21"/>
          <w:highlight w:val="none"/>
        </w:rPr>
        <w:t>（北京时间）。</w:t>
      </w:r>
    </w:p>
    <w:p w14:paraId="742ED2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点：通过广西政府采购云平台实行在线投标</w:t>
      </w:r>
      <w:r>
        <w:rPr>
          <w:rFonts w:hint="eastAsia" w:ascii="宋体" w:hAnsi="宋体" w:cs="Times New Roman"/>
          <w:color w:val="auto"/>
          <w:szCs w:val="21"/>
          <w:highlight w:val="none"/>
          <w:lang w:eastAsia="zh-CN"/>
        </w:rPr>
        <w:t>。</w:t>
      </w:r>
    </w:p>
    <w:p w14:paraId="507103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1EEFEC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7</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color w:val="auto"/>
          <w:sz w:val="21"/>
          <w:szCs w:val="21"/>
          <w:highlight w:val="none"/>
        </w:rPr>
        <w:t>（北京时间）截标后。</w:t>
      </w:r>
    </w:p>
    <w:p w14:paraId="65F7A70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地点：通过广西政府采购云平台实行在线解密开启。</w:t>
      </w:r>
    </w:p>
    <w:p w14:paraId="656226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bookmarkStart w:id="28" w:name="_Toc28359007"/>
      <w:bookmarkStart w:id="29" w:name="_Toc35393625"/>
      <w:bookmarkStart w:id="30" w:name="_Toc35393794"/>
      <w:bookmarkStart w:id="31" w:name="_Toc28359084"/>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、公告期限</w:t>
      </w:r>
      <w:bookmarkEnd w:id="28"/>
      <w:bookmarkEnd w:id="29"/>
      <w:bookmarkEnd w:id="30"/>
      <w:bookmarkEnd w:id="31"/>
    </w:p>
    <w:p w14:paraId="29BD34B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616B0E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bookmarkStart w:id="32" w:name="_Toc35393795"/>
      <w:bookmarkStart w:id="33" w:name="_Toc35393626"/>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bookmarkEnd w:id="32"/>
      <w:bookmarkEnd w:id="33"/>
    </w:p>
    <w:p w14:paraId="1B4158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14:paraId="4EDCEB29">
      <w:pPr>
        <w:keepNext w:val="0"/>
        <w:keepLines w:val="0"/>
        <w:pageBreakBefore w:val="0"/>
        <w:widowControl w:val="0"/>
        <w:numPr>
          <w:ilvl w:val="0"/>
          <w:numId w:val="0"/>
        </w:numPr>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14:paraId="2F3BB5A1">
      <w:pPr>
        <w:keepNext w:val="0"/>
        <w:keepLines w:val="0"/>
        <w:pageBreakBefore w:val="0"/>
        <w:widowControl w:val="0"/>
        <w:numPr>
          <w:ilvl w:val="0"/>
          <w:numId w:val="0"/>
        </w:numPr>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06DA7C4">
      <w:pPr>
        <w:keepNext w:val="0"/>
        <w:keepLines w:val="0"/>
        <w:pageBreakBefore w:val="0"/>
        <w:widowControl w:val="0"/>
        <w:numPr>
          <w:ilvl w:val="0"/>
          <w:numId w:val="0"/>
        </w:numPr>
        <w:kinsoku/>
        <w:wordWrap/>
        <w:overflowPunct/>
        <w:topLinePunct w:val="0"/>
        <w:bidi w:val="0"/>
        <w:snapToGrid/>
        <w:spacing w:line="420" w:lineRule="exact"/>
        <w:ind w:firstLine="420" w:firstLineChars="200"/>
        <w:textAlignment w:val="auto"/>
        <w:rPr>
          <w:rFonts w:hint="eastAsia" w:eastAsia="宋体"/>
          <w:color w:val="auto"/>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本项目信息发布媒体：http://www.ccgp.gov.cn（中国政府采购网）、http://www.ccgp-guangxi.gov.cn/（广西壮族自治区政府采购网）、（zfcg.czj.guilin.gov.cn）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桂林市政府采购网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p>
    <w:p w14:paraId="46C5BDFF">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lang w:val="en-US" w:eastAsia="zh-CN"/>
        </w:rPr>
        <w:t>本项目需要落实的政府采购政策：</w:t>
      </w:r>
    </w:p>
    <w:p w14:paraId="599D3D7A">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（1）政府采购促进中小企业发展。</w:t>
      </w:r>
    </w:p>
    <w:p w14:paraId="1DD35EEC">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w:t>
      </w:r>
      <w:r>
        <w:rPr>
          <w:rFonts w:hint="eastAsia" w:ascii="宋体" w:hAnsi="宋体" w:cs="宋体"/>
          <w:b w:val="0"/>
          <w:bCs/>
          <w:color w:val="auto"/>
          <w:sz w:val="21"/>
          <w:szCs w:val="21"/>
          <w:highlight w:val="none"/>
          <w:u w:val="none"/>
          <w:lang w:val="en-US" w:eastAsia="zh-CN"/>
        </w:rPr>
        <w:t>2</w:t>
      </w:r>
      <w:r>
        <w:rPr>
          <w:rFonts w:hint="eastAsia" w:ascii="宋体" w:hAnsi="宋体" w:eastAsia="宋体" w:cs="宋体"/>
          <w:b w:val="0"/>
          <w:bCs/>
          <w:color w:val="auto"/>
          <w:sz w:val="21"/>
          <w:szCs w:val="21"/>
          <w:highlight w:val="none"/>
          <w:u w:val="none"/>
          <w:lang w:val="en-US" w:eastAsia="zh-CN"/>
        </w:rPr>
        <w:t>）政府采购促进残疾人就业政策。</w:t>
      </w:r>
    </w:p>
    <w:p w14:paraId="0784311B">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w:t>
      </w:r>
      <w:r>
        <w:rPr>
          <w:rFonts w:hint="eastAsia" w:ascii="宋体" w:hAnsi="宋体" w:cs="宋体"/>
          <w:b w:val="0"/>
          <w:bCs/>
          <w:color w:val="auto"/>
          <w:sz w:val="21"/>
          <w:szCs w:val="21"/>
          <w:highlight w:val="none"/>
          <w:u w:val="none"/>
          <w:lang w:val="en-US" w:eastAsia="zh-CN"/>
        </w:rPr>
        <w:t>3</w:t>
      </w:r>
      <w:r>
        <w:rPr>
          <w:rFonts w:hint="eastAsia" w:ascii="宋体" w:hAnsi="宋体" w:eastAsia="宋体" w:cs="宋体"/>
          <w:b w:val="0"/>
          <w:bCs/>
          <w:color w:val="auto"/>
          <w:sz w:val="21"/>
          <w:szCs w:val="21"/>
          <w:highlight w:val="none"/>
          <w:u w:val="none"/>
          <w:lang w:val="en-US" w:eastAsia="zh-CN"/>
        </w:rPr>
        <w:t>）政府采购支持监狱企业发展。</w:t>
      </w:r>
    </w:p>
    <w:p w14:paraId="66D58EE9">
      <w:pPr>
        <w:wordWrap w:val="0"/>
        <w:spacing w:line="3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）本项目专门面向中小微企业采购。</w:t>
      </w:r>
    </w:p>
    <w:p w14:paraId="4DF2D9B3">
      <w:pPr>
        <w:wordWrap w:val="0"/>
        <w:spacing w:line="380" w:lineRule="exact"/>
        <w:ind w:firstLine="420" w:firstLineChars="200"/>
        <w:rPr>
          <w:rFonts w:hint="eastAsia" w:ascii="宋体" w:hAnsi="宋体" w:eastAsia="宋体" w:cs="宋体"/>
          <w:b w:val="0"/>
          <w:bCs/>
          <w:color w:val="auto"/>
          <w:sz w:val="21"/>
          <w:szCs w:val="21"/>
          <w:highlight w:val="none"/>
          <w:u w:val="none"/>
          <w:lang w:val="en-US" w:eastAsia="zh-CN"/>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）中小企业划分标准所属行业：“建筑业”。</w:t>
      </w:r>
    </w:p>
    <w:p w14:paraId="3FBA506E">
      <w:pPr>
        <w:pStyle w:val="32"/>
        <w:keepNext w:val="0"/>
        <w:keepLines w:val="0"/>
        <w:pageBreakBefore w:val="0"/>
        <w:widowControl w:val="0"/>
        <w:kinsoku/>
        <w:wordWrap/>
        <w:overflowPunct/>
        <w:topLinePunct w:val="0"/>
        <w:bidi w:val="0"/>
        <w:snapToGrid/>
        <w:spacing w:line="420" w:lineRule="exact"/>
        <w:ind w:left="420" w:leftChars="200" w:firstLine="0" w:firstLineChars="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cs="宋体"/>
          <w:b w:val="0"/>
          <w:bCs/>
          <w:color w:val="auto"/>
          <w:sz w:val="21"/>
          <w:szCs w:val="21"/>
          <w:highlight w:val="none"/>
          <w:u w:val="none"/>
          <w:lang w:val="en-US" w:eastAsia="zh-CN"/>
        </w:rPr>
        <w:t>6</w:t>
      </w:r>
      <w:r>
        <w:rPr>
          <w:rFonts w:hint="eastAsia" w:ascii="宋体" w:hAnsi="宋体" w:eastAsia="宋体" w:cs="宋体"/>
          <w:b w:val="0"/>
          <w:bCs/>
          <w:color w:val="auto"/>
          <w:sz w:val="21"/>
          <w:szCs w:val="21"/>
          <w:highlight w:val="none"/>
          <w:u w:val="none"/>
          <w:lang w:val="en-US" w:eastAsia="zh-CN"/>
        </w:rPr>
        <w:t>.供应商竞标注意事项</w:t>
      </w:r>
    </w:p>
    <w:p w14:paraId="683D2D47">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eastAsia="宋体" w:cs="宋体"/>
          <w:b w:val="0"/>
          <w:bCs/>
          <w:color w:val="auto"/>
          <w:kern w:val="2"/>
          <w:sz w:val="21"/>
          <w:szCs w:val="21"/>
          <w:highlight w:val="none"/>
          <w:u w:val="none"/>
          <w:lang w:val="en-US" w:eastAsia="zh-CN" w:bidi="ar-SA"/>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2DAA3058">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cs="宋体"/>
          <w:b w:val="0"/>
          <w:bCs/>
          <w:color w:val="auto"/>
          <w:kern w:val="2"/>
          <w:sz w:val="21"/>
          <w:szCs w:val="21"/>
          <w:highlight w:val="none"/>
          <w:u w:val="none"/>
          <w:lang w:val="en-US" w:eastAsia="zh-CN" w:bidi="ar-SA"/>
        </w:rPr>
        <w:t xml:space="preserve">  </w:t>
      </w:r>
      <w:r>
        <w:rPr>
          <w:rFonts w:hint="eastAsia" w:ascii="宋体" w:hAnsi="宋体" w:eastAsia="宋体" w:cs="宋体"/>
          <w:b w:val="0"/>
          <w:bCs/>
          <w:color w:val="auto"/>
          <w:kern w:val="2"/>
          <w:sz w:val="21"/>
          <w:szCs w:val="21"/>
          <w:highlight w:val="none"/>
          <w:u w:val="none"/>
          <w:lang w:val="en-US" w:eastAsia="zh-CN" w:bidi="ar-SA"/>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79ED65FD">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cs="宋体"/>
          <w:b w:val="0"/>
          <w:bCs/>
          <w:color w:val="auto"/>
          <w:kern w:val="2"/>
          <w:sz w:val="21"/>
          <w:szCs w:val="21"/>
          <w:highlight w:val="none"/>
          <w:u w:val="none"/>
          <w:lang w:val="en-US" w:eastAsia="zh-CN" w:bidi="ar-SA"/>
        </w:rPr>
        <w:t xml:space="preserve">  </w:t>
      </w:r>
      <w:r>
        <w:rPr>
          <w:rFonts w:hint="eastAsia" w:ascii="宋体" w:hAnsi="宋体" w:eastAsia="宋体" w:cs="宋体"/>
          <w:b w:val="0"/>
          <w:bCs/>
          <w:color w:val="auto"/>
          <w:kern w:val="2"/>
          <w:sz w:val="21"/>
          <w:szCs w:val="21"/>
          <w:highlight w:val="none"/>
          <w:u w:val="none"/>
          <w:lang w:val="en-US" w:eastAsia="zh-CN" w:bidi="ar-SA"/>
        </w:rPr>
        <w:t>（3）CA证书在线解密：首次响应文件开启时，需携带制作响应文件时用来加密的有效数字证书（CA认证）登录广西政府采购云平台电子开标大厅现场按规定时间对加密的响应文件进行解密，否则后果自负。</w:t>
      </w:r>
    </w:p>
    <w:p w14:paraId="05AD4E90">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cs="宋体"/>
          <w:b w:val="0"/>
          <w:bCs/>
          <w:color w:val="auto"/>
          <w:kern w:val="2"/>
          <w:sz w:val="21"/>
          <w:szCs w:val="21"/>
          <w:highlight w:val="none"/>
          <w:u w:val="none"/>
          <w:lang w:val="en-US" w:eastAsia="zh-CN" w:bidi="ar-SA"/>
        </w:rPr>
        <w:t xml:space="preserve">  </w:t>
      </w:r>
      <w:r>
        <w:rPr>
          <w:rFonts w:hint="eastAsia" w:ascii="宋体" w:hAnsi="宋体" w:eastAsia="宋体" w:cs="宋体"/>
          <w:b w:val="0"/>
          <w:bCs/>
          <w:color w:val="auto"/>
          <w:kern w:val="2"/>
          <w:sz w:val="21"/>
          <w:szCs w:val="21"/>
          <w:highlight w:val="none"/>
          <w:u w:val="none"/>
          <w:lang w:val="en-US" w:eastAsia="zh-CN" w:bidi="ar-SA"/>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9EFFB1E">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eastAsia="宋体" w:cs="宋体"/>
          <w:b w:val="0"/>
          <w:bCs/>
          <w:color w:val="auto"/>
          <w:kern w:val="2"/>
          <w:sz w:val="21"/>
          <w:szCs w:val="21"/>
          <w:highlight w:val="none"/>
          <w:u w:val="none"/>
          <w:lang w:val="en-US" w:eastAsia="zh-CN" w:bidi="ar-SA"/>
        </w:rPr>
        <w:t xml:space="preserve"> </w:t>
      </w:r>
      <w:r>
        <w:rPr>
          <w:rFonts w:hint="eastAsia" w:ascii="宋体" w:hAnsi="宋体" w:cs="宋体"/>
          <w:b w:val="0"/>
          <w:bCs/>
          <w:color w:val="auto"/>
          <w:kern w:val="2"/>
          <w:sz w:val="21"/>
          <w:szCs w:val="21"/>
          <w:highlight w:val="none"/>
          <w:u w:val="none"/>
          <w:lang w:val="en-US" w:eastAsia="zh-CN" w:bidi="ar-SA"/>
        </w:rPr>
        <w:t xml:space="preserve"> </w:t>
      </w:r>
      <w:r>
        <w:rPr>
          <w:rFonts w:hint="eastAsia" w:ascii="宋体" w:hAnsi="宋体" w:eastAsia="宋体" w:cs="宋体"/>
          <w:b w:val="0"/>
          <w:bCs/>
          <w:color w:val="auto"/>
          <w:kern w:val="2"/>
          <w:sz w:val="21"/>
          <w:szCs w:val="21"/>
          <w:highlight w:val="none"/>
          <w:u w:val="none"/>
          <w:lang w:val="en-US" w:eastAsia="zh-CN" w:bidi="ar-SA"/>
        </w:rPr>
        <w:t>（4）供应商需要在具备有摄像头及语音功能且互联网网络状况良好的电脑登录广西政府采购云平台远程开标大厅参与本次谈判，否则后果自负。</w:t>
      </w:r>
    </w:p>
    <w:p w14:paraId="74B9A2BF">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lang w:eastAsia="zh-CN"/>
        </w:rPr>
        <w:t>八</w:t>
      </w:r>
      <w:r>
        <w:rPr>
          <w:rFonts w:hint="eastAsia" w:ascii="宋体" w:hAnsi="宋体" w:eastAsia="宋体" w:cs="宋体"/>
          <w:b w:val="0"/>
          <w:bCs/>
          <w:color w:val="auto"/>
          <w:sz w:val="21"/>
          <w:szCs w:val="21"/>
          <w:highlight w:val="none"/>
          <w:u w:val="none"/>
        </w:rPr>
        <w:t>、凡对本次采购提出询问，请按以下方式联系。</w:t>
      </w:r>
      <w:bookmarkEnd w:id="20"/>
      <w:bookmarkEnd w:id="21"/>
      <w:bookmarkEnd w:id="22"/>
      <w:bookmarkEnd w:id="23"/>
    </w:p>
    <w:p w14:paraId="096961E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采购人信息</w:t>
      </w:r>
    </w:p>
    <w:p w14:paraId="10C54452">
      <w:pPr>
        <w:wordWrap w:val="0"/>
        <w:spacing w:line="360" w:lineRule="exact"/>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名    称：</w:t>
      </w:r>
      <w:r>
        <w:rPr>
          <w:rFonts w:hint="eastAsia" w:ascii="宋体" w:hAnsi="宋体"/>
          <w:bCs/>
          <w:color w:val="auto"/>
          <w:szCs w:val="21"/>
          <w:highlight w:val="none"/>
          <w:lang w:eastAsia="zh-CN"/>
        </w:rPr>
        <w:t>龙胜各族自治县平等镇人民政府</w:t>
      </w:r>
    </w:p>
    <w:p w14:paraId="2080621B">
      <w:pPr>
        <w:wordWrap w:val="0"/>
        <w:spacing w:line="36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地    址：</w:t>
      </w:r>
      <w:r>
        <w:rPr>
          <w:rFonts w:hint="eastAsia" w:ascii="宋体" w:hAnsi="宋体"/>
          <w:bCs/>
          <w:color w:val="auto"/>
          <w:szCs w:val="21"/>
          <w:highlight w:val="none"/>
          <w:lang w:eastAsia="zh-CN"/>
        </w:rPr>
        <w:t>龙胜各族自治县平等镇</w:t>
      </w:r>
      <w:r>
        <w:rPr>
          <w:rFonts w:hint="eastAsia" w:ascii="宋体" w:hAnsi="宋体"/>
          <w:bCs/>
          <w:color w:val="auto"/>
          <w:szCs w:val="21"/>
          <w:highlight w:val="none"/>
          <w:lang w:val="en-US" w:eastAsia="zh-CN"/>
        </w:rPr>
        <w:t>平等街15号</w:t>
      </w:r>
      <w:r>
        <w:rPr>
          <w:rFonts w:hint="eastAsia" w:ascii="宋体" w:hAnsi="宋体"/>
          <w:bCs/>
          <w:color w:val="auto"/>
          <w:szCs w:val="21"/>
          <w:highlight w:val="none"/>
        </w:rPr>
        <w:t xml:space="preserve"> </w:t>
      </w:r>
    </w:p>
    <w:p w14:paraId="40D7BDE1">
      <w:pPr>
        <w:wordWrap w:val="0"/>
        <w:spacing w:line="360" w:lineRule="exact"/>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项目联系人：</w:t>
      </w:r>
      <w:r>
        <w:rPr>
          <w:rFonts w:hint="eastAsia" w:ascii="宋体" w:hAnsi="宋体"/>
          <w:bCs/>
          <w:color w:val="auto"/>
          <w:szCs w:val="21"/>
          <w:highlight w:val="none"/>
          <w:lang w:val="en-US" w:eastAsia="zh-CN"/>
        </w:rPr>
        <w:t>石全威</w:t>
      </w:r>
    </w:p>
    <w:p w14:paraId="6D5B7803">
      <w:pPr>
        <w:wordWrap w:val="0"/>
        <w:spacing w:line="3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bCs/>
          <w:color w:val="auto"/>
          <w:szCs w:val="21"/>
          <w:highlight w:val="none"/>
        </w:rPr>
        <w:t>项目联系方式：0773-</w:t>
      </w:r>
      <w:r>
        <w:rPr>
          <w:rFonts w:hint="eastAsia" w:ascii="宋体" w:hAnsi="宋体"/>
          <w:bCs/>
          <w:color w:val="auto"/>
          <w:szCs w:val="21"/>
          <w:highlight w:val="none"/>
          <w:lang w:val="en-US" w:eastAsia="zh-CN"/>
        </w:rPr>
        <w:t>7455218</w:t>
      </w:r>
    </w:p>
    <w:p w14:paraId="2D67F7E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采购代理机构信息</w:t>
      </w:r>
    </w:p>
    <w:p w14:paraId="24E301CD">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广西凯胜建设项目管理咨询有限公司</w:t>
      </w:r>
    </w:p>
    <w:p w14:paraId="67DB0F8F">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r>
        <w:rPr>
          <w:rFonts w:hint="eastAsia" w:ascii="宋体" w:hAnsi="宋体"/>
          <w:bCs/>
          <w:color w:val="auto"/>
          <w:szCs w:val="21"/>
          <w:highlight w:val="none"/>
        </w:rPr>
        <w:t>龙胜县龙胜镇龙脊大道外侧（日新村日新组安置地住宅楼）1栋201室</w:t>
      </w:r>
    </w:p>
    <w:p w14:paraId="4B0F8519">
      <w:pPr>
        <w:wordWrap w:val="0"/>
        <w:spacing w:line="360" w:lineRule="exact"/>
        <w:ind w:firstLine="630" w:firstLineChars="300"/>
        <w:rPr>
          <w:rFonts w:hint="default" w:ascii="宋体" w:hAnsi="宋体" w:eastAsia="宋体"/>
          <w:bCs/>
          <w:color w:val="auto"/>
          <w:szCs w:val="21"/>
          <w:highlight w:val="none"/>
          <w:lang w:val="en-US" w:eastAsia="zh-CN"/>
        </w:rPr>
      </w:pPr>
      <w:bookmarkStart w:id="34" w:name="_Toc28359010"/>
      <w:bookmarkStart w:id="35" w:name="_Toc28359087"/>
      <w:r>
        <w:rPr>
          <w:rFonts w:hint="eastAsia" w:ascii="宋体" w:hAnsi="宋体"/>
          <w:bCs/>
          <w:color w:val="auto"/>
          <w:szCs w:val="21"/>
          <w:highlight w:val="none"/>
        </w:rPr>
        <w:t>项目联系人：</w:t>
      </w:r>
      <w:r>
        <w:rPr>
          <w:rFonts w:hint="eastAsia" w:ascii="宋体" w:hAnsi="宋体"/>
          <w:bCs/>
          <w:color w:val="auto"/>
          <w:szCs w:val="21"/>
          <w:highlight w:val="none"/>
          <w:lang w:val="en-US" w:eastAsia="zh-CN"/>
        </w:rPr>
        <w:t xml:space="preserve">文工 </w:t>
      </w:r>
    </w:p>
    <w:p w14:paraId="0F9E4DB7">
      <w:pPr>
        <w:wordWrap w:val="0"/>
        <w:spacing w:line="360" w:lineRule="exact"/>
        <w:ind w:firstLine="630" w:firstLineChars="3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项目联系方式：</w:t>
      </w:r>
      <w:r>
        <w:rPr>
          <w:rFonts w:hint="eastAsia" w:ascii="宋体" w:hAnsi="宋体"/>
          <w:bCs/>
          <w:color w:val="auto"/>
          <w:szCs w:val="21"/>
          <w:highlight w:val="none"/>
          <w:lang w:val="en-US" w:eastAsia="zh-CN"/>
        </w:rPr>
        <w:t xml:space="preserve"> 17376480912</w:t>
      </w:r>
    </w:p>
    <w:bookmarkEnd w:id="34"/>
    <w:bookmarkEnd w:id="35"/>
    <w:p w14:paraId="5E7DD36E">
      <w:pPr>
        <w:keepNext w:val="0"/>
        <w:keepLines w:val="0"/>
        <w:pageBreakBefore w:val="0"/>
        <w:widowControl w:val="0"/>
        <w:kinsoku/>
        <w:wordWrap/>
        <w:overflowPunct/>
        <w:topLinePunct w:val="0"/>
        <w:autoSpaceDE/>
        <w:autoSpaceDN/>
        <w:bidi w:val="0"/>
        <w:adjustRightInd/>
        <w:snapToGrid/>
        <w:spacing w:line="420" w:lineRule="exact"/>
        <w:ind w:left="0" w:leftChars="0" w:firstLine="638" w:firstLineChars="304"/>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highlight w:val="none"/>
          <w:lang w:val="en-US" w:eastAsia="zh-CN"/>
        </w:rPr>
        <w:t xml:space="preserve">                     </w:t>
      </w:r>
    </w:p>
    <w:p w14:paraId="0FC2E743">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05EA2332">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olor w:val="auto"/>
          <w:szCs w:val="21"/>
          <w:highlight w:val="none"/>
          <w:lang w:eastAsia="zh-CN"/>
        </w:rPr>
      </w:pP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color w:val="auto"/>
          <w:szCs w:val="21"/>
          <w:highlight w:val="none"/>
          <w:lang w:eastAsia="zh-CN"/>
        </w:rPr>
        <w:t>广西凯胜建设项目管理咨询有限公司</w:t>
      </w:r>
    </w:p>
    <w:p w14:paraId="5B7C7B05">
      <w:pPr>
        <w:keepNext w:val="0"/>
        <w:keepLines w:val="0"/>
        <w:pageBreakBefore w:val="0"/>
        <w:widowControl w:val="0"/>
        <w:kinsoku/>
        <w:wordWrap/>
        <w:overflowPunct/>
        <w:topLinePunct w:val="0"/>
        <w:autoSpaceDE/>
        <w:autoSpaceDN/>
        <w:bidi w:val="0"/>
        <w:adjustRightInd/>
        <w:snapToGrid/>
        <w:spacing w:line="360" w:lineRule="auto"/>
        <w:ind w:firstLine="6720" w:firstLineChars="3200"/>
        <w:textAlignment w:val="auto"/>
        <w:rPr>
          <w:rFonts w:hint="eastAsia" w:ascii="宋体" w:hAnsi="宋体"/>
          <w:color w:val="auto"/>
          <w:szCs w:val="21"/>
          <w:highlight w:val="none"/>
        </w:rPr>
      </w:pPr>
      <w:r>
        <w:rPr>
          <w:rFonts w:hint="eastAsia" w:ascii="宋体" w:hAnsi="宋体"/>
          <w:color w:val="auto"/>
          <w:szCs w:val="21"/>
          <w:highlight w:val="none"/>
          <w:lang w:eastAsia="zh-CN"/>
        </w:rPr>
        <w:t>2025</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w:t>
      </w:r>
      <w:bookmarkStart w:id="36" w:name="_Toc26924"/>
    </w:p>
    <w:p w14:paraId="6793724F">
      <w:pPr>
        <w:pStyle w:val="15"/>
        <w:rPr>
          <w:rFonts w:hint="eastAsia"/>
          <w:color w:val="auto"/>
          <w:highlight w:val="none"/>
        </w:rPr>
      </w:pPr>
    </w:p>
    <w:p w14:paraId="578C340C">
      <w:pPr>
        <w:pStyle w:val="15"/>
        <w:rPr>
          <w:rFonts w:hint="eastAsia"/>
          <w:color w:val="auto"/>
          <w:highlight w:val="none"/>
        </w:rPr>
      </w:pPr>
    </w:p>
    <w:p w14:paraId="20756AC6">
      <w:pPr>
        <w:pStyle w:val="15"/>
        <w:rPr>
          <w:rFonts w:hint="eastAsia"/>
          <w:color w:val="auto"/>
          <w:highlight w:val="none"/>
        </w:rPr>
      </w:pPr>
    </w:p>
    <w:p w14:paraId="689F1532">
      <w:pPr>
        <w:rPr>
          <w:rFonts w:hint="eastAsia"/>
          <w:color w:val="auto"/>
          <w:highlight w:val="none"/>
        </w:rPr>
      </w:pPr>
    </w:p>
    <w:p w14:paraId="554D3159">
      <w:pPr>
        <w:pStyle w:val="15"/>
        <w:rPr>
          <w:rFonts w:hint="eastAsia"/>
          <w:color w:val="auto"/>
          <w:highlight w:val="none"/>
        </w:rPr>
      </w:pPr>
    </w:p>
    <w:p w14:paraId="4B2E0399">
      <w:pPr>
        <w:pStyle w:val="15"/>
        <w:rPr>
          <w:rFonts w:hint="eastAsia"/>
          <w:color w:val="auto"/>
          <w:highlight w:val="none"/>
        </w:rPr>
      </w:pPr>
    </w:p>
    <w:p w14:paraId="23B2F889">
      <w:pPr>
        <w:pStyle w:val="15"/>
        <w:rPr>
          <w:rFonts w:hint="eastAsia"/>
          <w:color w:val="auto"/>
          <w:highlight w:val="none"/>
        </w:rPr>
      </w:pPr>
    </w:p>
    <w:p w14:paraId="1AE5CC62">
      <w:pPr>
        <w:pStyle w:val="15"/>
        <w:rPr>
          <w:rFonts w:hint="eastAsia"/>
          <w:color w:val="auto"/>
          <w:highlight w:val="none"/>
          <w:lang w:eastAsia="zh-CN"/>
        </w:rPr>
      </w:pPr>
    </w:p>
    <w:p w14:paraId="7AA2E40D">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370EFE0C">
      <w:pPr>
        <w:pStyle w:val="4"/>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2"/>
          <w:szCs w:val="32"/>
          <w:highlight w:val="none"/>
        </w:rPr>
      </w:pPr>
      <w:bookmarkStart w:id="37" w:name="_Toc30160"/>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37"/>
    </w:p>
    <w:p w14:paraId="2BEC847A">
      <w:pPr>
        <w:pStyle w:val="5"/>
        <w:keepNext/>
        <w:keepLines/>
        <w:pageBreakBefore w:val="0"/>
        <w:widowControl w:val="0"/>
        <w:tabs>
          <w:tab w:val="left" w:pos="567"/>
        </w:tabs>
        <w:kinsoku/>
        <w:wordWrap/>
        <w:overflowPunct/>
        <w:topLinePunct w:val="0"/>
        <w:autoSpaceDE/>
        <w:autoSpaceDN/>
        <w:bidi w:val="0"/>
        <w:adjustRightInd/>
        <w:snapToGrid/>
        <w:spacing w:line="400" w:lineRule="exact"/>
        <w:jc w:val="center"/>
        <w:textAlignment w:val="auto"/>
        <w:rPr>
          <w:rFonts w:hint="eastAsia"/>
          <w:color w:val="auto"/>
          <w:highlight w:val="none"/>
          <w:lang w:eastAsia="zh-CN"/>
        </w:rPr>
      </w:pPr>
      <w:bookmarkStart w:id="38" w:name="_Toc13547"/>
      <w:bookmarkStart w:id="39" w:name="_Toc21622"/>
      <w:bookmarkStart w:id="40" w:name="_Toc1585"/>
      <w:bookmarkStart w:id="41" w:name="_Toc25063"/>
      <w:bookmarkStart w:id="42" w:name="_Toc9508"/>
      <w:r>
        <w:rPr>
          <w:rFonts w:hint="eastAsia" w:ascii="宋体" w:hAnsi="宋体" w:eastAsia="宋体" w:cs="宋体"/>
          <w:b/>
          <w:bCs w:val="0"/>
          <w:color w:val="auto"/>
          <w:sz w:val="24"/>
          <w:szCs w:val="24"/>
          <w:highlight w:val="none"/>
        </w:rPr>
        <w:t>供 应 商 须 知 前 附 表</w:t>
      </w:r>
      <w:bookmarkEnd w:id="38"/>
      <w:bookmarkEnd w:id="39"/>
      <w:bookmarkEnd w:id="40"/>
      <w:bookmarkEnd w:id="41"/>
      <w:bookmarkEnd w:id="42"/>
    </w:p>
    <w:bookmarkEnd w:id="36"/>
    <w:tbl>
      <w:tblPr>
        <w:tblStyle w:val="29"/>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1D01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14:paraId="412B425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noWrap w:val="0"/>
            <w:vAlign w:val="center"/>
          </w:tcPr>
          <w:p w14:paraId="04D6EF5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noWrap w:val="0"/>
            <w:vAlign w:val="center"/>
          </w:tcPr>
          <w:p w14:paraId="53FFA37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noWrap w:val="0"/>
            <w:vAlign w:val="center"/>
          </w:tcPr>
          <w:p w14:paraId="470722E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6F88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371858A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noWrap w:val="0"/>
            <w:vAlign w:val="center"/>
          </w:tcPr>
          <w:p w14:paraId="5A3FF24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noWrap w:val="0"/>
            <w:vAlign w:val="center"/>
          </w:tcPr>
          <w:p w14:paraId="47EDABA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noWrap w:val="0"/>
            <w:vAlign w:val="center"/>
          </w:tcPr>
          <w:p w14:paraId="42A5E10B">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平等镇农产品综合交易场地建设项目</w:t>
            </w:r>
            <w:r>
              <w:rPr>
                <w:rFonts w:hint="eastAsia" w:ascii="宋体" w:hAnsi="宋体" w:eastAsia="宋体" w:cs="宋体"/>
                <w:color w:val="auto"/>
                <w:sz w:val="21"/>
                <w:szCs w:val="21"/>
                <w:highlight w:val="none"/>
              </w:rPr>
              <w:t xml:space="preserve"> </w:t>
            </w:r>
          </w:p>
          <w:p w14:paraId="4F79B294">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eastAsia="zh-CN"/>
              </w:rPr>
              <w:t>GLZC2025-C2-280031-GXKS</w:t>
            </w:r>
            <w:r>
              <w:rPr>
                <w:rFonts w:hint="eastAsia" w:ascii="宋体" w:hAnsi="宋体" w:cs="宋体"/>
                <w:color w:val="auto"/>
                <w:sz w:val="21"/>
                <w:szCs w:val="21"/>
                <w:highlight w:val="none"/>
                <w:lang w:val="en-US" w:eastAsia="zh-CN"/>
              </w:rPr>
              <w:t xml:space="preserve"> </w:t>
            </w:r>
          </w:p>
        </w:tc>
      </w:tr>
      <w:tr w14:paraId="0492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3829C40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noWrap w:val="0"/>
            <w:vAlign w:val="center"/>
          </w:tcPr>
          <w:p w14:paraId="2208247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noWrap w:val="0"/>
            <w:vAlign w:val="center"/>
          </w:tcPr>
          <w:p w14:paraId="1D66D25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noWrap w:val="0"/>
            <w:vAlign w:val="center"/>
          </w:tcPr>
          <w:p w14:paraId="116627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4B85C0C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14:paraId="1E71A89F">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textAlignment w:val="baseline"/>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3.3、</w:t>
            </w:r>
            <w:r>
              <w:rPr>
                <w:rFonts w:hint="eastAsia" w:ascii="宋体" w:hAnsi="宋体" w:eastAsia="宋体" w:cs="宋体"/>
                <w:color w:val="auto"/>
                <w:sz w:val="21"/>
                <w:szCs w:val="21"/>
                <w:highlight w:val="none"/>
              </w:rPr>
              <w:t>本项目的特定资格要求：</w:t>
            </w:r>
            <w:r>
              <w:rPr>
                <w:rFonts w:hint="eastAsia" w:ascii="宋体" w:hAnsi="宋体"/>
                <w:color w:val="auto"/>
                <w:szCs w:val="21"/>
                <w:highlight w:val="none"/>
              </w:rPr>
              <w:t>具备建筑工程施工总承包叁级（含三级）以上资质，同时具有有效的安全生产许可证，并在人员、设备、资金等方面具备相应的施工能力。拟投入本项目的项目经理必须具备建筑工程二级（含二级） 以上注册建造师执业资格，具备有效的安全生产考核合格证书（B 类）。本项目不接受有在建、已中标未开工或已列为其他项目中标候选人第一名的建造师作为项目经理</w:t>
            </w:r>
            <w:r>
              <w:rPr>
                <w:rFonts w:hint="eastAsia" w:ascii="宋体" w:hAnsi="宋体"/>
                <w:color w:val="auto"/>
                <w:szCs w:val="21"/>
                <w:highlight w:val="none"/>
                <w:lang w:eastAsia="zh-CN"/>
              </w:rPr>
              <w:t>。</w:t>
            </w:r>
          </w:p>
        </w:tc>
      </w:tr>
      <w:tr w14:paraId="14D3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07452C4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noWrap w:val="0"/>
            <w:vAlign w:val="center"/>
          </w:tcPr>
          <w:p w14:paraId="633CA83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noWrap w:val="0"/>
            <w:vAlign w:val="center"/>
          </w:tcPr>
          <w:p w14:paraId="04DB9F4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noWrap w:val="0"/>
            <w:vAlign w:val="center"/>
          </w:tcPr>
          <w:p w14:paraId="4EB59761">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1B70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27409E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noWrap w:val="0"/>
            <w:vAlign w:val="center"/>
          </w:tcPr>
          <w:p w14:paraId="3DB8A7A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noWrap w:val="0"/>
            <w:vAlign w:val="center"/>
          </w:tcPr>
          <w:p w14:paraId="69403E2A">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 w:val="21"/>
                <w:szCs w:val="21"/>
                <w:highlight w:val="none"/>
              </w:rPr>
              <w:t>磋商报价及</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控制价</w:t>
            </w:r>
          </w:p>
        </w:tc>
        <w:tc>
          <w:tcPr>
            <w:tcW w:w="6912" w:type="dxa"/>
            <w:noWrap w:val="0"/>
            <w:vAlign w:val="center"/>
          </w:tcPr>
          <w:p w14:paraId="5D2E97DB">
            <w:pPr>
              <w:keepNext w:val="0"/>
              <w:keepLines w:val="0"/>
              <w:pageBreakBefore w:val="0"/>
              <w:widowControl/>
              <w:kinsoku/>
              <w:wordWrap/>
              <w:overflowPunct/>
              <w:topLinePunct w:val="0"/>
              <w:autoSpaceDE/>
              <w:autoSpaceDN/>
              <w:bidi w:val="0"/>
              <w:adjustRightInd/>
              <w:snapToGrid w:val="0"/>
              <w:spacing w:line="360" w:lineRule="exact"/>
              <w:ind w:left="0" w:lef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本工程预算控制价（最高磋商限价）为人民币</w:t>
            </w:r>
            <w:r>
              <w:rPr>
                <w:rFonts w:hint="eastAsia" w:ascii="宋体" w:hAnsi="宋体" w:cs="宋体"/>
                <w:color w:val="auto"/>
                <w:kern w:val="0"/>
                <w:sz w:val="21"/>
                <w:szCs w:val="21"/>
                <w:highlight w:val="none"/>
                <w:shd w:val="clear" w:color="auto" w:fill="auto"/>
                <w:lang w:eastAsia="zh-CN"/>
              </w:rPr>
              <w:t>：</w:t>
            </w:r>
            <w:r>
              <w:rPr>
                <w:rFonts w:hint="eastAsia" w:ascii="宋体" w:hAnsi="宋体" w:cs="宋体"/>
                <w:color w:val="auto"/>
                <w:kern w:val="0"/>
                <w:sz w:val="21"/>
                <w:szCs w:val="21"/>
                <w:highlight w:val="none"/>
                <w:shd w:val="clear" w:color="auto" w:fill="auto"/>
                <w:lang w:val="en-US" w:eastAsia="zh-CN"/>
              </w:rPr>
              <w:t>叁佰捌拾万零壹仟柒佰柒拾肆元捌角肆分（￥:</w:t>
            </w:r>
            <w:r>
              <w:rPr>
                <w:rFonts w:hint="eastAsia" w:ascii="宋体" w:hAnsi="宋体" w:cs="宋体"/>
                <w:color w:val="auto"/>
                <w:kern w:val="0"/>
                <w:sz w:val="21"/>
                <w:szCs w:val="21"/>
                <w:highlight w:val="none"/>
                <w:u w:val="none"/>
                <w:shd w:val="clear" w:color="auto" w:fill="auto"/>
                <w:lang w:eastAsia="zh-CN"/>
              </w:rPr>
              <w:t>3801774.84</w:t>
            </w:r>
            <w:r>
              <w:rPr>
                <w:rFonts w:hint="eastAsia" w:ascii="宋体" w:hAnsi="宋体" w:eastAsia="宋体" w:cs="宋体"/>
                <w:color w:val="auto"/>
                <w:kern w:val="0"/>
                <w:sz w:val="21"/>
                <w:szCs w:val="21"/>
                <w:highlight w:val="none"/>
                <w:u w:val="none"/>
                <w:shd w:val="clear" w:color="auto" w:fill="auto"/>
                <w:lang w:val="en-US" w:eastAsia="zh-CN"/>
              </w:rPr>
              <w:t>元</w:t>
            </w:r>
            <w:r>
              <w:rPr>
                <w:rFonts w:hint="eastAsia" w:ascii="宋体" w:hAnsi="宋体" w:cs="宋体"/>
                <w:color w:val="auto"/>
                <w:kern w:val="0"/>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供应商磋商总报价不得高于本工程最高磋商限价，否则被视为无效报价，无效报价将不予评审。</w:t>
            </w:r>
          </w:p>
          <w:p w14:paraId="2878820C">
            <w:pPr>
              <w:keepNext w:val="0"/>
              <w:keepLines w:val="0"/>
              <w:pageBreakBefore w:val="0"/>
              <w:widowControl/>
              <w:kinsoku/>
              <w:wordWrap/>
              <w:overflowPunct/>
              <w:topLinePunct w:val="0"/>
              <w:autoSpaceDE/>
              <w:autoSpaceDN/>
              <w:bidi w:val="0"/>
              <w:adjustRightInd/>
              <w:snapToGrid w:val="0"/>
              <w:spacing w:line="360" w:lineRule="exact"/>
              <w:ind w:left="0" w:leftChars="0" w:firstLine="422"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kern w:val="0"/>
                <w:sz w:val="21"/>
                <w:szCs w:val="21"/>
                <w:highlight w:val="none"/>
                <w:lang w:eastAsia="zh-CN"/>
              </w:rPr>
              <w:t>预算控制价（最高限价），否则作无效标处理；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tc>
      </w:tr>
      <w:tr w14:paraId="4F02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4913C2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noWrap w:val="0"/>
            <w:vAlign w:val="center"/>
          </w:tcPr>
          <w:p w14:paraId="52F2878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noWrap w:val="0"/>
            <w:vAlign w:val="center"/>
          </w:tcPr>
          <w:p w14:paraId="4153504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noWrap w:val="0"/>
            <w:vAlign w:val="top"/>
          </w:tcPr>
          <w:p w14:paraId="10278609">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19D4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6556CFA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noWrap w:val="0"/>
            <w:vAlign w:val="center"/>
          </w:tcPr>
          <w:p w14:paraId="2C280A6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noWrap w:val="0"/>
            <w:vAlign w:val="center"/>
          </w:tcPr>
          <w:p w14:paraId="5FC1DA2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noWrap w:val="0"/>
            <w:vAlign w:val="top"/>
          </w:tcPr>
          <w:p w14:paraId="6D5A75DE">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40B2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35BEAC1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noWrap w:val="0"/>
            <w:vAlign w:val="center"/>
          </w:tcPr>
          <w:p w14:paraId="35F1418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775" w:type="dxa"/>
            <w:noWrap w:val="0"/>
            <w:vAlign w:val="center"/>
          </w:tcPr>
          <w:p w14:paraId="6ACA29D4">
            <w:pPr>
              <w:pStyle w:val="6"/>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val="0"/>
                <w:bCs/>
                <w:color w:val="auto"/>
                <w:sz w:val="21"/>
                <w:szCs w:val="21"/>
                <w:highlight w:val="none"/>
                <w:lang w:eastAsia="zh-CN"/>
              </w:rPr>
            </w:pPr>
            <w:bookmarkStart w:id="43" w:name="_Toc19954"/>
            <w:bookmarkStart w:id="44" w:name="_Toc19911"/>
            <w:bookmarkStart w:id="45" w:name="_Toc27452"/>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43"/>
            <w:bookmarkEnd w:id="44"/>
            <w:bookmarkEnd w:id="45"/>
          </w:p>
          <w:p w14:paraId="122C652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p>
        </w:tc>
        <w:tc>
          <w:tcPr>
            <w:tcW w:w="6912" w:type="dxa"/>
            <w:noWrap w:val="0"/>
            <w:vAlign w:val="center"/>
          </w:tcPr>
          <w:p w14:paraId="384848A3">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eastAsia="宋体" w:cs="宋体"/>
                <w:color w:val="auto"/>
                <w:szCs w:val="21"/>
                <w:highlight w:val="none"/>
                <w:lang w:val="en-US" w:eastAsia="zh-CN"/>
              </w:rPr>
              <w:t>数字证书（CA认证）</w:t>
            </w:r>
            <w:r>
              <w:rPr>
                <w:rFonts w:hint="eastAsia" w:ascii="宋体" w:hAnsi="宋体" w:eastAsia="宋体" w:cs="宋体"/>
                <w:color w:val="auto"/>
                <w:szCs w:val="21"/>
                <w:highlight w:val="none"/>
              </w:rPr>
              <w:t>签章，并根据“政府采购项目电子交易管理操作指南-供应商”及本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6886EBED">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742943E2">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4FE70336">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34B79FFC">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36786970">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正式注册入库供应商，并完成</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申领。因未注册入库、未办理</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等原因造成无法磋商或磋商失败等后果由供应商自行承担。 </w:t>
            </w:r>
          </w:p>
          <w:p w14:paraId="58ADCB34">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tc>
      </w:tr>
      <w:tr w14:paraId="6B09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2D072A4C">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noWrap w:val="0"/>
            <w:vAlign w:val="center"/>
          </w:tcPr>
          <w:p w14:paraId="0B4D92A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noWrap w:val="0"/>
            <w:vAlign w:val="center"/>
          </w:tcPr>
          <w:p w14:paraId="22A4D02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noWrap w:val="0"/>
            <w:vAlign w:val="center"/>
          </w:tcPr>
          <w:p w14:paraId="4CE161A3">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于</w:t>
            </w:r>
            <w:r>
              <w:rPr>
                <w:rFonts w:hint="eastAsia" w:ascii="宋体" w:hAnsi="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7 </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14:paraId="4975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5077A63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noWrap w:val="0"/>
            <w:vAlign w:val="center"/>
          </w:tcPr>
          <w:p w14:paraId="19E658A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noWrap w:val="0"/>
            <w:vAlign w:val="center"/>
          </w:tcPr>
          <w:p w14:paraId="2DB777E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p>
        </w:tc>
        <w:tc>
          <w:tcPr>
            <w:tcW w:w="6912" w:type="dxa"/>
            <w:noWrap w:val="0"/>
            <w:vAlign w:val="center"/>
          </w:tcPr>
          <w:p w14:paraId="3A604F67">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w:t>
            </w:r>
            <w:r>
              <w:rPr>
                <w:rFonts w:hint="eastAsia" w:ascii="宋体" w:hAnsi="宋体" w:eastAsia="宋体" w:cs="宋体"/>
                <w:b w:val="0"/>
                <w:bCs w:val="0"/>
                <w:color w:val="auto"/>
                <w:kern w:val="2"/>
                <w:highlight w:val="none"/>
                <w:lang w:eastAsia="zh-CN"/>
              </w:rPr>
              <w:t>：截标时间后</w:t>
            </w:r>
            <w:r>
              <w:rPr>
                <w:rFonts w:hint="eastAsia" w:ascii="宋体" w:hAnsi="宋体" w:eastAsia="宋体" w:cs="宋体"/>
                <w:b w:val="0"/>
                <w:bCs w:val="0"/>
                <w:color w:val="auto"/>
                <w:kern w:val="2"/>
                <w:highlight w:val="none"/>
                <w:u w:val="single"/>
                <w:lang w:eastAsia="zh-CN"/>
              </w:rPr>
              <w:t>30</w:t>
            </w:r>
            <w:r>
              <w:rPr>
                <w:rFonts w:hint="eastAsia" w:ascii="宋体" w:hAnsi="宋体" w:eastAsia="宋体" w:cs="宋体"/>
                <w:b w:val="0"/>
                <w:bCs w:val="0"/>
                <w:color w:val="auto"/>
                <w:kern w:val="2"/>
                <w:highlight w:val="none"/>
                <w:lang w:eastAsia="zh-CN"/>
              </w:rPr>
              <w:t>分钟内磋商供应商可以登录</w:t>
            </w:r>
            <w:r>
              <w:rPr>
                <w:rFonts w:hint="eastAsia" w:ascii="宋体" w:hAnsi="宋体" w:cs="宋体"/>
                <w:b w:val="0"/>
                <w:bCs w:val="0"/>
                <w:color w:val="auto"/>
                <w:kern w:val="2"/>
                <w:highlight w:val="none"/>
                <w:lang w:eastAsia="zh-CN"/>
              </w:rPr>
              <w:t>广西政府采购云平台</w:t>
            </w:r>
            <w:r>
              <w:rPr>
                <w:rFonts w:hint="eastAsia" w:ascii="宋体" w:hAnsi="宋体" w:eastAsia="宋体" w:cs="宋体"/>
                <w:b w:val="0"/>
                <w:bCs w:val="0"/>
                <w:color w:val="auto"/>
                <w:kern w:val="2"/>
                <w:highlight w:val="none"/>
                <w:lang w:eastAsia="zh-CN"/>
              </w:rPr>
              <w:t>，用“项目采购-开标评标”功能进行解密</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。若</w:t>
            </w:r>
            <w:r>
              <w:rPr>
                <w:rFonts w:hint="eastAsia" w:ascii="宋体" w:hAnsi="宋体" w:eastAsia="宋体" w:cs="宋体"/>
                <w:color w:val="auto"/>
                <w:highlight w:val="none"/>
                <w:lang w:eastAsia="zh-CN"/>
              </w:rPr>
              <w:t>磋商供应商</w:t>
            </w:r>
            <w:r>
              <w:rPr>
                <w:rFonts w:hint="eastAsia" w:ascii="宋体" w:hAnsi="宋体" w:eastAsia="宋体" w:cs="宋体"/>
                <w:b w:val="0"/>
                <w:bCs w:val="0"/>
                <w:color w:val="auto"/>
                <w:kern w:val="2"/>
                <w:highlight w:val="none"/>
                <w:lang w:eastAsia="zh-CN"/>
              </w:rPr>
              <w:t>在规定时间内无法解密或解密失败，可以以电子备份</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作为依据</w:t>
            </w:r>
            <w:r>
              <w:rPr>
                <w:rFonts w:hint="eastAsia" w:ascii="宋体" w:hAnsi="宋体" w:eastAsia="宋体" w:cs="宋体"/>
                <w:b/>
                <w:bCs/>
                <w:color w:val="auto"/>
                <w:kern w:val="2"/>
                <w:highlight w:val="none"/>
                <w:lang w:eastAsia="zh-CN"/>
              </w:rPr>
              <w:t>【在接到无法解密或解密失败的通知后，</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kern w:val="2"/>
                <w:highlight w:val="none"/>
                <w:lang w:eastAsia="zh-CN"/>
              </w:rPr>
              <w:t>可根据自身实际情况按通知时要求的时间到桂林市公共资源</w:t>
            </w:r>
            <w:r>
              <w:rPr>
                <w:rFonts w:hint="eastAsia" w:ascii="宋体" w:hAnsi="宋体" w:cs="宋体"/>
                <w:b/>
                <w:bCs/>
                <w:color w:val="auto"/>
                <w:kern w:val="2"/>
                <w:highlight w:val="none"/>
                <w:lang w:eastAsia="zh-CN"/>
              </w:rPr>
              <w:t>交易中心开标室</w:t>
            </w:r>
            <w:r>
              <w:rPr>
                <w:rFonts w:hint="eastAsia" w:ascii="宋体" w:hAnsi="宋体" w:eastAsia="宋体" w:cs="宋体"/>
                <w:b/>
                <w:bCs/>
                <w:color w:val="auto"/>
                <w:kern w:val="2"/>
                <w:highlight w:val="none"/>
                <w:lang w:eastAsia="zh-CN"/>
              </w:rPr>
              <w:t>现场提交或以电子邮件的形式（以通知时所告知的电子邮箱地址为准）提交电子备份</w:t>
            </w:r>
            <w:r>
              <w:rPr>
                <w:rFonts w:hint="eastAsia" w:ascii="宋体" w:hAnsi="宋体" w:eastAsia="宋体" w:cs="宋体"/>
                <w:b/>
                <w:bCs/>
                <w:color w:val="auto"/>
                <w:highlight w:val="none"/>
                <w:lang w:eastAsia="zh-CN"/>
              </w:rPr>
              <w:t>磋商响应文件</w:t>
            </w:r>
            <w:r>
              <w:rPr>
                <w:rFonts w:hint="eastAsia" w:ascii="宋体" w:hAnsi="宋体" w:eastAsia="宋体" w:cs="宋体"/>
                <w:b/>
                <w:bCs/>
                <w:color w:val="auto"/>
                <w:kern w:val="2"/>
                <w:highlight w:val="none"/>
                <w:lang w:eastAsia="zh-CN"/>
              </w:rPr>
              <w:t>】</w:t>
            </w:r>
            <w:r>
              <w:rPr>
                <w:rFonts w:hint="eastAsia" w:ascii="宋体" w:hAnsi="宋体" w:eastAsia="宋体" w:cs="宋体"/>
                <w:b w:val="0"/>
                <w:bCs w:val="0"/>
                <w:color w:val="auto"/>
                <w:kern w:val="2"/>
                <w:highlight w:val="none"/>
                <w:lang w:eastAsia="zh-CN"/>
              </w:rPr>
              <w:t>，若磋商供应商在规定时间内无法解密或解密失败且未提供电子备份磋商响应文件的(包含提供的电子备份文件无效或无法解密的情况)，视为无效响应。</w:t>
            </w:r>
          </w:p>
        </w:tc>
      </w:tr>
      <w:tr w14:paraId="695C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078463B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noWrap w:val="0"/>
            <w:vAlign w:val="center"/>
          </w:tcPr>
          <w:p w14:paraId="69D09D3B">
            <w:pPr>
              <w:pageBreakBefore w:val="0"/>
              <w:widowControl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noWrap w:val="0"/>
            <w:vAlign w:val="center"/>
          </w:tcPr>
          <w:p w14:paraId="695A885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noWrap w:val="0"/>
            <w:vAlign w:val="center"/>
          </w:tcPr>
          <w:p w14:paraId="4C9871D7">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tc>
      </w:tr>
      <w:tr w14:paraId="52B8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010C164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noWrap w:val="0"/>
            <w:vAlign w:val="center"/>
          </w:tcPr>
          <w:p w14:paraId="7EC15C3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noWrap w:val="0"/>
            <w:vAlign w:val="center"/>
          </w:tcPr>
          <w:p w14:paraId="5074673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noWrap w:val="0"/>
            <w:vAlign w:val="top"/>
          </w:tcPr>
          <w:p w14:paraId="34D2DF21">
            <w:pPr>
              <w:pageBreakBefore w:val="0"/>
              <w:widowControl w:val="0"/>
              <w:kinsoku/>
              <w:wordWrap/>
              <w:overflowPunct/>
              <w:topLinePunct w:val="0"/>
              <w:autoSpaceDE/>
              <w:autoSpaceDN/>
              <w:bidi w:val="0"/>
              <w:adjustRightInd/>
              <w:spacing w:line="440" w:lineRule="exact"/>
              <w:ind w:left="315" w:hanging="315" w:hangingChars="1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2395B9DA">
            <w:pPr>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42C41895">
            <w:pPr>
              <w:pageBreakBefore w:val="0"/>
              <w:widowControl w:val="0"/>
              <w:kinsoku/>
              <w:wordWrap/>
              <w:overflowPunct/>
              <w:topLinePunct w:val="0"/>
              <w:autoSpaceDE/>
              <w:autoSpaceDN/>
              <w:bidi w:val="0"/>
              <w:adjustRightInd/>
              <w:spacing w:line="440" w:lineRule="exact"/>
              <w:ind w:left="15" w:hanging="14" w:hangingChars="7"/>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w:t>
            </w:r>
            <w:r>
              <w:rPr>
                <w:rFonts w:hint="eastAsia" w:ascii="宋体" w:hAnsi="宋体" w:eastAsia="宋体" w:cs="宋体"/>
                <w:color w:val="auto"/>
                <w:szCs w:val="21"/>
                <w:highlight w:val="none"/>
                <w:u w:val="none"/>
              </w:rPr>
              <w:t>理人持有效身份证</w:t>
            </w:r>
            <w:r>
              <w:rPr>
                <w:rFonts w:hint="eastAsia" w:ascii="宋体" w:hAnsi="宋体" w:eastAsia="宋体" w:cs="宋体"/>
                <w:color w:val="auto"/>
                <w:szCs w:val="21"/>
                <w:highlight w:val="none"/>
                <w:u w:val="none"/>
                <w:lang w:eastAsia="zh-CN"/>
              </w:rPr>
              <w:t>和供应商</w:t>
            </w:r>
            <w:r>
              <w:rPr>
                <w:rFonts w:hint="eastAsia" w:ascii="宋体" w:hAnsi="宋体" w:cs="宋体"/>
                <w:color w:val="auto"/>
                <w:szCs w:val="21"/>
                <w:highlight w:val="none"/>
                <w:u w:val="none"/>
                <w:lang w:eastAsia="zh-CN"/>
              </w:rPr>
              <w:t>广西政府采购云平台</w:t>
            </w:r>
            <w:r>
              <w:rPr>
                <w:rFonts w:hint="eastAsia" w:ascii="宋体" w:hAnsi="宋体" w:eastAsia="宋体" w:cs="宋体"/>
                <w:color w:val="auto"/>
                <w:szCs w:val="21"/>
                <w:highlight w:val="none"/>
                <w:u w:val="none"/>
                <w:lang w:val="en-US" w:eastAsia="zh-CN"/>
              </w:rPr>
              <w:t>CA数字证书</w:t>
            </w:r>
            <w:r>
              <w:rPr>
                <w:rFonts w:hint="eastAsia" w:ascii="宋体" w:hAnsi="宋体" w:eastAsia="宋体" w:cs="宋体"/>
                <w:color w:val="auto"/>
                <w:szCs w:val="21"/>
                <w:highlight w:val="none"/>
              </w:rPr>
              <w:t>参加磋商。请供应商按时等候磋商。</w:t>
            </w:r>
          </w:p>
          <w:p w14:paraId="205FF3D8">
            <w:pPr>
              <w:pageBreakBefore w:val="0"/>
              <w:widowControl w:val="0"/>
              <w:tabs>
                <w:tab w:val="left" w:pos="114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14:paraId="34C1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noWrap w:val="0"/>
            <w:vAlign w:val="center"/>
          </w:tcPr>
          <w:p w14:paraId="73E75B0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noWrap w:val="0"/>
            <w:vAlign w:val="center"/>
          </w:tcPr>
          <w:p w14:paraId="259AB4F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noWrap w:val="0"/>
            <w:vAlign w:val="center"/>
          </w:tcPr>
          <w:p w14:paraId="37FC9A04">
            <w:pPr>
              <w:pStyle w:val="14"/>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noWrap w:val="0"/>
            <w:vAlign w:val="center"/>
          </w:tcPr>
          <w:p w14:paraId="6341CA48">
            <w:pPr>
              <w:pageBreakBefore w:val="0"/>
              <w:widowControl w:val="0"/>
              <w:tabs>
                <w:tab w:val="left" w:pos="1140"/>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6295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4D61A3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noWrap w:val="0"/>
            <w:vAlign w:val="center"/>
          </w:tcPr>
          <w:p w14:paraId="5EE8E8B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noWrap w:val="0"/>
            <w:vAlign w:val="center"/>
          </w:tcPr>
          <w:p w14:paraId="5E48BC7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noWrap w:val="0"/>
            <w:vAlign w:val="center"/>
          </w:tcPr>
          <w:p w14:paraId="36BD4308">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3E6DA4C5">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6BA06D52">
            <w:pPr>
              <w:pageBreakBefore w:val="0"/>
              <w:widowControl w:val="0"/>
              <w:kinsoku/>
              <w:wordWrap/>
              <w:overflowPunct/>
              <w:topLinePunct w:val="0"/>
              <w:autoSpaceDE/>
              <w:autoSpaceDN/>
              <w:bidi w:val="0"/>
              <w:adjustRightInd/>
              <w:spacing w:line="440" w:lineRule="exact"/>
              <w:ind w:left="315"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5A0E6AA7">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52E455B9">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8EE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2" w:type="dxa"/>
            <w:noWrap w:val="0"/>
            <w:vAlign w:val="center"/>
          </w:tcPr>
          <w:p w14:paraId="3AF7728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noWrap w:val="0"/>
            <w:vAlign w:val="center"/>
          </w:tcPr>
          <w:p w14:paraId="0FE3DCC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noWrap w:val="0"/>
            <w:vAlign w:val="center"/>
          </w:tcPr>
          <w:p w14:paraId="518B82D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4085431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noWrap w:val="0"/>
            <w:vAlign w:val="top"/>
          </w:tcPr>
          <w:p w14:paraId="69F9CDCA">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15971FF">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3D4D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noWrap w:val="0"/>
            <w:vAlign w:val="center"/>
          </w:tcPr>
          <w:p w14:paraId="77C73D5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noWrap w:val="0"/>
            <w:vAlign w:val="center"/>
          </w:tcPr>
          <w:p w14:paraId="31B089B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noWrap w:val="0"/>
            <w:vAlign w:val="center"/>
          </w:tcPr>
          <w:p w14:paraId="10EA81C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noWrap w:val="0"/>
            <w:vAlign w:val="center"/>
          </w:tcPr>
          <w:p w14:paraId="2E047B84">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hAnsi="宋体"/>
                <w:color w:val="auto"/>
                <w:szCs w:val="21"/>
                <w:highlight w:val="none"/>
                <w:lang w:eastAsia="zh-CN"/>
              </w:rPr>
              <w:t>本项目不收取履约保证金。</w:t>
            </w:r>
          </w:p>
        </w:tc>
      </w:tr>
      <w:tr w14:paraId="3CB3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146CBC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noWrap w:val="0"/>
            <w:vAlign w:val="center"/>
          </w:tcPr>
          <w:p w14:paraId="2C33EA3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noWrap w:val="0"/>
            <w:vAlign w:val="center"/>
          </w:tcPr>
          <w:p w14:paraId="3B9C63C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noWrap w:val="0"/>
            <w:vAlign w:val="top"/>
          </w:tcPr>
          <w:p w14:paraId="453AD6B3">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发出之日起</w:t>
            </w:r>
            <w:r>
              <w:rPr>
                <w:rFonts w:hint="eastAsia" w:ascii="宋体" w:hAnsi="宋体" w:cs="宋体"/>
                <w:bCs/>
                <w:color w:val="auto"/>
                <w:kern w:val="0"/>
                <w:szCs w:val="21"/>
                <w:highlight w:val="none"/>
                <w:lang w:val="en-US" w:eastAsia="zh-CN"/>
              </w:rPr>
              <w:t>8个工作日</w:t>
            </w:r>
            <w:r>
              <w:rPr>
                <w:rFonts w:hint="eastAsia" w:ascii="宋体" w:hAnsi="宋体" w:eastAsia="宋体" w:cs="宋体"/>
                <w:bCs/>
                <w:color w:val="auto"/>
                <w:kern w:val="0"/>
                <w:szCs w:val="21"/>
                <w:highlight w:val="none"/>
              </w:rPr>
              <w:t>内签订合同</w:t>
            </w:r>
            <w:r>
              <w:rPr>
                <w:rFonts w:hint="eastAsia" w:ascii="宋体" w:hAnsi="宋体" w:eastAsia="宋体" w:cs="宋体"/>
                <w:color w:val="auto"/>
                <w:highlight w:val="none"/>
              </w:rPr>
              <w:t>。</w:t>
            </w:r>
            <w:r>
              <w:rPr>
                <w:rFonts w:hint="eastAsia" w:ascii="宋体" w:hAnsi="宋体" w:eastAsia="宋体" w:cs="宋体"/>
                <w:color w:val="auto"/>
                <w:szCs w:val="21"/>
                <w:highlight w:val="none"/>
              </w:rPr>
              <w:t>成交供应商领取成交通知书后，应按规定与采购人签订合同。</w:t>
            </w:r>
          </w:p>
        </w:tc>
      </w:tr>
      <w:tr w14:paraId="13F2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1AD5BF8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noWrap w:val="0"/>
            <w:vAlign w:val="center"/>
          </w:tcPr>
          <w:p w14:paraId="4C7668C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noWrap w:val="0"/>
            <w:vAlign w:val="center"/>
          </w:tcPr>
          <w:p w14:paraId="64E541A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noWrap w:val="0"/>
            <w:vAlign w:val="center"/>
          </w:tcPr>
          <w:p w14:paraId="37945B38">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广西凯胜建设项目管理咨询有限公司</w:t>
            </w:r>
            <w:r>
              <w:rPr>
                <w:rFonts w:hint="eastAsia" w:ascii="宋体" w:hAnsi="宋体" w:eastAsia="宋体" w:cs="宋体"/>
                <w:color w:val="auto"/>
                <w:highlight w:val="none"/>
              </w:rPr>
              <w:t>存档。</w:t>
            </w:r>
          </w:p>
        </w:tc>
      </w:tr>
      <w:tr w14:paraId="083F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10F2941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noWrap w:val="0"/>
            <w:vAlign w:val="center"/>
          </w:tcPr>
          <w:p w14:paraId="2A9E775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noWrap w:val="0"/>
            <w:vAlign w:val="center"/>
          </w:tcPr>
          <w:p w14:paraId="6D21439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noWrap w:val="0"/>
            <w:vAlign w:val="top"/>
          </w:tcPr>
          <w:p w14:paraId="2648353B">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代理服务收费标准参照计价格[2002]1980号《招标代理服务收费管理暂行办法》</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人收取。</w:t>
            </w:r>
          </w:p>
        </w:tc>
      </w:tr>
      <w:tr w14:paraId="0D40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29FBB5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noWrap w:val="0"/>
            <w:vAlign w:val="center"/>
          </w:tcPr>
          <w:p w14:paraId="28C4CFF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noWrap w:val="0"/>
            <w:vAlign w:val="center"/>
          </w:tcPr>
          <w:p w14:paraId="48ECB5C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noWrap w:val="0"/>
            <w:vAlign w:val="top"/>
          </w:tcPr>
          <w:p w14:paraId="561FA722">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0B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14:paraId="68990BA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noWrap w:val="0"/>
            <w:vAlign w:val="center"/>
          </w:tcPr>
          <w:p w14:paraId="3D3AD3B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3544C97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noWrap w:val="0"/>
            <w:vAlign w:val="center"/>
          </w:tcPr>
          <w:p w14:paraId="4C6E17EF">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龙胜县财政局，联系电话：0773-7511322</w:t>
            </w:r>
          </w:p>
        </w:tc>
      </w:tr>
    </w:tbl>
    <w:p w14:paraId="29077E7B">
      <w:pPr>
        <w:pStyle w:val="28"/>
        <w:ind w:left="0" w:leftChars="0" w:firstLine="0" w:firstLineChars="0"/>
        <w:rPr>
          <w:rFonts w:hint="eastAsia" w:ascii="宋体" w:hAnsi="宋体" w:eastAsia="宋体" w:cs="宋体"/>
          <w:b/>
          <w:color w:val="auto"/>
          <w:sz w:val="28"/>
          <w:szCs w:val="28"/>
          <w:highlight w:val="none"/>
        </w:rPr>
      </w:pPr>
    </w:p>
    <w:p w14:paraId="7F5BD2F9">
      <w:pPr>
        <w:pStyle w:val="5"/>
        <w:tabs>
          <w:tab w:val="left" w:pos="567"/>
        </w:tabs>
        <w:ind w:left="0" w:leftChars="0" w:firstLine="0" w:firstLineChars="0"/>
        <w:jc w:val="both"/>
        <w:rPr>
          <w:rFonts w:hint="eastAsia" w:ascii="宋体" w:hAnsi="宋体" w:eastAsia="宋体" w:cs="宋体"/>
          <w:b/>
          <w:bCs w:val="0"/>
          <w:color w:val="auto"/>
          <w:szCs w:val="28"/>
          <w:highlight w:val="none"/>
        </w:rPr>
      </w:pPr>
    </w:p>
    <w:p w14:paraId="32678C00">
      <w:pPr>
        <w:rPr>
          <w:rFonts w:hint="eastAsia" w:ascii="宋体" w:hAnsi="宋体" w:eastAsia="宋体" w:cs="宋体"/>
          <w:b/>
          <w:bCs w:val="0"/>
          <w:color w:val="auto"/>
          <w:szCs w:val="28"/>
          <w:highlight w:val="none"/>
        </w:rPr>
      </w:pPr>
    </w:p>
    <w:p w14:paraId="79FC0E9A">
      <w:pPr>
        <w:pStyle w:val="5"/>
        <w:tabs>
          <w:tab w:val="left" w:pos="567"/>
        </w:tabs>
        <w:rPr>
          <w:rFonts w:hint="eastAsia" w:ascii="宋体" w:hAnsi="宋体" w:eastAsia="宋体" w:cs="宋体"/>
          <w:b/>
          <w:bCs w:val="0"/>
          <w:color w:val="auto"/>
          <w:szCs w:val="28"/>
          <w:highlight w:val="none"/>
        </w:rPr>
      </w:pPr>
    </w:p>
    <w:p w14:paraId="5AD793A9">
      <w:pPr>
        <w:pStyle w:val="5"/>
        <w:pageBreakBefore w:val="0"/>
        <w:widowControl w:val="0"/>
        <w:tabs>
          <w:tab w:val="left" w:pos="567"/>
        </w:tabs>
        <w:kinsoku/>
        <w:wordWrap/>
        <w:overflowPunct/>
        <w:topLinePunct w:val="0"/>
        <w:bidi w:val="0"/>
        <w:spacing w:line="440" w:lineRule="exact"/>
        <w:jc w:val="both"/>
        <w:textAlignment w:val="auto"/>
        <w:rPr>
          <w:rFonts w:hint="eastAsia" w:ascii="宋体" w:hAnsi="宋体" w:eastAsia="宋体" w:cs="宋体"/>
          <w:b/>
          <w:bCs w:val="0"/>
          <w:color w:val="auto"/>
          <w:szCs w:val="28"/>
          <w:highlight w:val="none"/>
        </w:rPr>
        <w:sectPr>
          <w:footerReference r:id="rId6" w:type="first"/>
          <w:footerReference r:id="rId5" w:type="default"/>
          <w:pgSz w:w="11906" w:h="16838"/>
          <w:pgMar w:top="1077" w:right="1115" w:bottom="1191" w:left="1131" w:header="851" w:footer="992" w:gutter="0"/>
          <w:pgNumType w:fmt="decimal"/>
          <w:cols w:space="720" w:num="1"/>
          <w:titlePg/>
          <w:docGrid w:type="lines" w:linePitch="312" w:charSpace="0"/>
        </w:sectPr>
      </w:pPr>
      <w:bookmarkStart w:id="46" w:name="_Toc22792"/>
      <w:bookmarkStart w:id="47" w:name="_Toc27120"/>
    </w:p>
    <w:p w14:paraId="7E044D6C">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48" w:name="_Toc22096"/>
      <w:r>
        <w:rPr>
          <w:rFonts w:hint="eastAsia" w:ascii="宋体" w:hAnsi="宋体" w:eastAsia="宋体" w:cs="宋体"/>
          <w:b/>
          <w:bCs w:val="0"/>
          <w:color w:val="auto"/>
          <w:szCs w:val="28"/>
          <w:highlight w:val="none"/>
        </w:rPr>
        <w:t>一、总则</w:t>
      </w:r>
      <w:bookmarkEnd w:id="46"/>
      <w:bookmarkEnd w:id="47"/>
      <w:bookmarkEnd w:id="48"/>
    </w:p>
    <w:p w14:paraId="1F35C1C3">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49" w:name="_Toc6626"/>
      <w:bookmarkStart w:id="50" w:name="_Toc3367"/>
      <w:r>
        <w:rPr>
          <w:rFonts w:hint="eastAsia" w:ascii="宋体" w:hAnsi="宋体" w:eastAsia="宋体" w:cs="宋体"/>
          <w:color w:val="auto"/>
          <w:sz w:val="21"/>
          <w:szCs w:val="21"/>
          <w:highlight w:val="none"/>
        </w:rPr>
        <w:t>1. 适应范围</w:t>
      </w:r>
      <w:bookmarkEnd w:id="49"/>
      <w:bookmarkEnd w:id="50"/>
    </w:p>
    <w:p w14:paraId="176439F4">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613906F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Cs w:val="21"/>
          <w:highlight w:val="none"/>
          <w:lang w:eastAsia="zh-CN"/>
        </w:rPr>
        <w:t>平等镇农产品综合交易场地建设项目</w:t>
      </w:r>
      <w:r>
        <w:rPr>
          <w:rFonts w:hint="eastAsia" w:ascii="宋体" w:hAnsi="宋体" w:eastAsia="宋体" w:cs="宋体"/>
          <w:color w:val="auto"/>
          <w:szCs w:val="21"/>
          <w:highlight w:val="none"/>
        </w:rPr>
        <w:t xml:space="preserve">  </w:t>
      </w:r>
    </w:p>
    <w:p w14:paraId="013C3EB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GLZC2025-C2-280031-GXKS</w:t>
      </w:r>
    </w:p>
    <w:p w14:paraId="32C88A20">
      <w:pPr>
        <w:pageBreakBefore w:val="0"/>
        <w:widowControl w:val="0"/>
        <w:kinsoku/>
        <w:wordWrap/>
        <w:overflowPunct/>
        <w:topLinePunct w:val="0"/>
        <w:bidi w:val="0"/>
        <w:spacing w:line="440" w:lineRule="exact"/>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486139A6">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51" w:name="_Toc28336"/>
      <w:bookmarkStart w:id="52" w:name="_Toc2845"/>
      <w:r>
        <w:rPr>
          <w:rFonts w:hint="eastAsia" w:ascii="宋体" w:hAnsi="宋体" w:eastAsia="宋体" w:cs="宋体"/>
          <w:color w:val="auto"/>
          <w:sz w:val="21"/>
          <w:szCs w:val="21"/>
          <w:highlight w:val="none"/>
        </w:rPr>
        <w:t>2. 定义</w:t>
      </w:r>
      <w:bookmarkEnd w:id="51"/>
      <w:bookmarkEnd w:id="52"/>
    </w:p>
    <w:p w14:paraId="51828BAD">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302C0F8A">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7B1E7961">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7A49D82C">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6EF46C3A">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0EC84A77">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53" w:name="_Toc25441"/>
      <w:bookmarkStart w:id="54" w:name="_Toc13017"/>
      <w:r>
        <w:rPr>
          <w:rFonts w:hint="eastAsia" w:ascii="宋体" w:hAnsi="宋体" w:eastAsia="宋体" w:cs="宋体"/>
          <w:color w:val="auto"/>
          <w:sz w:val="21"/>
          <w:szCs w:val="21"/>
          <w:highlight w:val="none"/>
        </w:rPr>
        <w:t>3. 供应商资格</w:t>
      </w:r>
      <w:bookmarkEnd w:id="53"/>
      <w:bookmarkEnd w:id="54"/>
    </w:p>
    <w:p w14:paraId="297E8C16">
      <w:pPr>
        <w:pStyle w:val="6"/>
        <w:pageBreakBefore w:val="0"/>
        <w:widowControl w:val="0"/>
        <w:kinsoku/>
        <w:wordWrap/>
        <w:overflowPunct/>
        <w:topLinePunct w:val="0"/>
        <w:bidi w:val="0"/>
        <w:spacing w:before="0" w:after="0"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55" w:name="_Toc9216"/>
      <w:bookmarkStart w:id="56" w:name="_Toc16496"/>
      <w:r>
        <w:rPr>
          <w:rFonts w:hint="eastAsia" w:ascii="宋体" w:hAnsi="宋体" w:eastAsia="宋体" w:cs="宋体"/>
          <w:b w:val="0"/>
          <w:bCs w:val="0"/>
          <w:color w:val="auto"/>
          <w:kern w:val="2"/>
          <w:sz w:val="21"/>
          <w:szCs w:val="21"/>
          <w:highlight w:val="none"/>
          <w:lang w:val="en-US" w:eastAsia="zh-CN" w:bidi="ar-SA"/>
        </w:rPr>
        <w:t>3.1、满足《中华人民共和国政府采购法》第二十二条规定；</w:t>
      </w:r>
    </w:p>
    <w:p w14:paraId="0861EF87">
      <w:pPr>
        <w:pStyle w:val="6"/>
        <w:pageBreakBefore w:val="0"/>
        <w:widowControl w:val="0"/>
        <w:kinsoku/>
        <w:wordWrap/>
        <w:overflowPunct/>
        <w:topLinePunct w:val="0"/>
        <w:bidi w:val="0"/>
        <w:spacing w:before="0" w:after="0"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3.2、落实政府采购政策需满足的资格要求：</w:t>
      </w:r>
      <w:r>
        <w:rPr>
          <w:rFonts w:hint="eastAsia" w:ascii="宋体" w:hAnsi="宋体" w:eastAsia="宋体" w:cs="宋体"/>
          <w:b w:val="0"/>
          <w:bCs w:val="0"/>
          <w:color w:val="auto"/>
          <w:kern w:val="2"/>
          <w:sz w:val="21"/>
          <w:szCs w:val="21"/>
          <w:highlight w:val="none"/>
          <w:lang w:val="en-US" w:eastAsia="zh-CN" w:bidi="ar-SA"/>
        </w:rPr>
        <w:t>本项目为专门面向中小微企业采购的项目（供应商应为中小微企业、监狱企业、残疾人福利性单位)；</w:t>
      </w:r>
    </w:p>
    <w:p w14:paraId="3180D720">
      <w:pPr>
        <w:pStyle w:val="6"/>
        <w:pageBreakBefore w:val="0"/>
        <w:widowControl w:val="0"/>
        <w:kinsoku/>
        <w:wordWrap/>
        <w:overflowPunct/>
        <w:topLinePunct w:val="0"/>
        <w:bidi w:val="0"/>
        <w:spacing w:before="0" w:after="0"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3.3、本项目的特定资格要求：具备建筑工程施工总承包叁级（含三级）以上资质，同时具有有效的安全生产许可证，并在人员、设备、资金等方面具备相应的施工能力。拟投入本项目的项目经理必须具备建筑工程二级（含二级） 以上注册建造师执业资格，具备有效的安全生产考核合格证书（B 类）。本项目不接受有在建、已中标未开工或已列为其他项目中标候选人第一名的建造师作为项目经理。</w:t>
      </w:r>
    </w:p>
    <w:p w14:paraId="655ABF59">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磋商费用</w:t>
      </w:r>
      <w:bookmarkEnd w:id="55"/>
      <w:bookmarkEnd w:id="56"/>
    </w:p>
    <w:p w14:paraId="302886DA">
      <w:pPr>
        <w:pageBreakBefore w:val="0"/>
        <w:widowControl w:val="0"/>
        <w:tabs>
          <w:tab w:val="left" w:pos="1635"/>
        </w:tabs>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42CD623C">
      <w:pPr>
        <w:pStyle w:val="6"/>
        <w:pageBreakBefore w:val="0"/>
        <w:widowControl w:val="0"/>
        <w:numPr>
          <w:ilvl w:val="0"/>
          <w:numId w:val="2"/>
        </w:numPr>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57" w:name="_Toc22877"/>
      <w:bookmarkStart w:id="58" w:name="_Toc31376"/>
      <w:r>
        <w:rPr>
          <w:rFonts w:hint="eastAsia" w:ascii="宋体" w:hAnsi="宋体" w:eastAsia="宋体" w:cs="宋体"/>
          <w:color w:val="auto"/>
          <w:sz w:val="21"/>
          <w:szCs w:val="21"/>
          <w:highlight w:val="none"/>
        </w:rPr>
        <w:t>联合体要求</w:t>
      </w:r>
      <w:bookmarkEnd w:id="57"/>
      <w:bookmarkEnd w:id="58"/>
    </w:p>
    <w:p w14:paraId="7918ED3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44A60D28">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59" w:name="_Toc18940"/>
      <w:bookmarkStart w:id="60" w:name="_Toc4152"/>
      <w:r>
        <w:rPr>
          <w:rFonts w:hint="eastAsia" w:ascii="宋体" w:hAnsi="宋体" w:eastAsia="宋体" w:cs="宋体"/>
          <w:color w:val="auto"/>
          <w:sz w:val="21"/>
          <w:szCs w:val="21"/>
          <w:highlight w:val="none"/>
        </w:rPr>
        <w:t>6. 质疑和投诉</w:t>
      </w:r>
      <w:bookmarkEnd w:id="59"/>
      <w:bookmarkEnd w:id="60"/>
      <w:r>
        <w:rPr>
          <w:rFonts w:hint="eastAsia" w:ascii="宋体" w:hAnsi="宋体" w:eastAsia="宋体" w:cs="宋体"/>
          <w:color w:val="auto"/>
          <w:sz w:val="21"/>
          <w:szCs w:val="21"/>
          <w:highlight w:val="none"/>
        </w:rPr>
        <w:tab/>
      </w:r>
    </w:p>
    <w:p w14:paraId="0D23585A">
      <w:pPr>
        <w:pageBreakBefore w:val="0"/>
        <w:widowControl w:val="0"/>
        <w:tabs>
          <w:tab w:val="left" w:pos="2190"/>
        </w:tabs>
        <w:kinsoku/>
        <w:wordWrap/>
        <w:overflowPunct/>
        <w:topLinePunct w:val="0"/>
        <w:bidi w:val="0"/>
        <w:spacing w:line="440" w:lineRule="exact"/>
        <w:ind w:firstLine="435"/>
        <w:textAlignment w:val="auto"/>
        <w:rPr>
          <w:rFonts w:hint="eastAsia" w:ascii="宋体" w:hAnsi="宋体" w:eastAsia="宋体" w:cs="宋体"/>
          <w:color w:val="auto"/>
          <w:szCs w:val="21"/>
          <w:highlight w:val="none"/>
          <w:u w:val="none"/>
        </w:rPr>
      </w:pPr>
      <w:bookmarkStart w:id="61" w:name="_Toc26087"/>
      <w:bookmarkStart w:id="62" w:name="_Toc8195"/>
      <w:r>
        <w:rPr>
          <w:rFonts w:hint="eastAsia" w:ascii="宋体" w:hAnsi="宋体" w:eastAsia="宋体" w:cs="宋体"/>
          <w:color w:val="auto"/>
          <w:szCs w:val="21"/>
          <w:highlight w:val="none"/>
          <w:u w:val="none"/>
        </w:rPr>
        <w:t>6.1供应对政府采购活动事项有疑问的，可以向采购人提出询问。</w:t>
      </w:r>
    </w:p>
    <w:p w14:paraId="3D31A5E5">
      <w:pPr>
        <w:pageBreakBefore w:val="0"/>
        <w:widowControl w:val="0"/>
        <w:tabs>
          <w:tab w:val="left" w:pos="2190"/>
        </w:tabs>
        <w:kinsoku/>
        <w:wordWrap/>
        <w:overflowPunct/>
        <w:topLinePunct w:val="0"/>
        <w:bidi w:val="0"/>
        <w:spacing w:line="440" w:lineRule="exact"/>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55289338">
      <w:pPr>
        <w:pageBreakBefore w:val="0"/>
        <w:widowControl w:val="0"/>
        <w:tabs>
          <w:tab w:val="left" w:pos="2190"/>
        </w:tabs>
        <w:kinsoku/>
        <w:wordWrap/>
        <w:overflowPunct/>
        <w:topLinePunct w:val="0"/>
        <w:bidi w:val="0"/>
        <w:spacing w:line="440" w:lineRule="exact"/>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6.3供应商对采购代理机构的质疑答复不满意或者采购代理机构未在规定的时间内作出答复的，可以在答复期满后十五个工作日内向本级财政部门投诉。</w:t>
      </w:r>
    </w:p>
    <w:p w14:paraId="15421514">
      <w:pPr>
        <w:pageBreakBefore w:val="0"/>
        <w:widowControl w:val="0"/>
        <w:tabs>
          <w:tab w:val="left" w:pos="2190"/>
        </w:tabs>
        <w:kinsoku/>
        <w:wordWrap/>
        <w:overflowPunct/>
        <w:topLinePunct w:val="0"/>
        <w:bidi w:val="0"/>
        <w:spacing w:line="440" w:lineRule="exact"/>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37580743">
      <w:pPr>
        <w:pageBreakBefore w:val="0"/>
        <w:widowControl w:val="0"/>
        <w:tabs>
          <w:tab w:val="left" w:pos="2190"/>
        </w:tabs>
        <w:kinsoku/>
        <w:wordWrap/>
        <w:overflowPunct/>
        <w:topLinePunct w:val="0"/>
        <w:bidi w:val="0"/>
        <w:spacing w:line="440" w:lineRule="exact"/>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6.5质疑联系</w:t>
      </w:r>
      <w:bookmarkEnd w:id="61"/>
      <w:bookmarkEnd w:id="62"/>
      <w:r>
        <w:rPr>
          <w:rFonts w:hint="eastAsia" w:ascii="宋体" w:hAnsi="宋体" w:eastAsia="宋体" w:cs="宋体"/>
          <w:color w:val="auto"/>
          <w:szCs w:val="21"/>
          <w:highlight w:val="none"/>
          <w:u w:val="none"/>
          <w:lang w:eastAsia="zh-CN"/>
        </w:rPr>
        <w:t>方式，详见磋商公告。</w:t>
      </w:r>
    </w:p>
    <w:p w14:paraId="284708C3">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63" w:name="_Toc5032"/>
      <w:bookmarkStart w:id="64" w:name="_Toc6998"/>
      <w:r>
        <w:rPr>
          <w:rFonts w:hint="eastAsia" w:ascii="宋体" w:hAnsi="宋体" w:eastAsia="宋体" w:cs="宋体"/>
          <w:color w:val="auto"/>
          <w:sz w:val="21"/>
          <w:szCs w:val="21"/>
          <w:highlight w:val="none"/>
        </w:rPr>
        <w:t>7. 转包与分包</w:t>
      </w:r>
      <w:bookmarkEnd w:id="63"/>
      <w:bookmarkEnd w:id="64"/>
    </w:p>
    <w:p w14:paraId="32E8A852">
      <w:pPr>
        <w:pageBreakBefore w:val="0"/>
        <w:widowControl w:val="0"/>
        <w:tabs>
          <w:tab w:val="left" w:pos="2190"/>
        </w:tabs>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shd w:val="clear" w:color="auto" w:fill="FFFFFF"/>
        </w:rPr>
        <w:t>.1 本项目不允许转包。</w:t>
      </w:r>
    </w:p>
    <w:p w14:paraId="1191FB9F">
      <w:pPr>
        <w:pageBreakBefore w:val="0"/>
        <w:widowControl w:val="0"/>
        <w:tabs>
          <w:tab w:val="left" w:pos="2190"/>
        </w:tabs>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7.2 本项目不可以分包。</w:t>
      </w:r>
    </w:p>
    <w:p w14:paraId="6A167E67">
      <w:pPr>
        <w:pageBreakBefore w:val="0"/>
        <w:widowControl w:val="0"/>
        <w:tabs>
          <w:tab w:val="left" w:pos="2190"/>
        </w:tabs>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7.3本项目不允许挂靠。</w:t>
      </w:r>
    </w:p>
    <w:p w14:paraId="425D2C07">
      <w:pPr>
        <w:pageBreakBefore w:val="0"/>
        <w:widowControl w:val="0"/>
        <w:tabs>
          <w:tab w:val="left" w:pos="2190"/>
        </w:tabs>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val="en-US" w:eastAsia="zh-CN"/>
        </w:rPr>
        <w:t>7.4如发现有以上行为，采购人有权终止合同，所有损失由成交供应商承担。</w:t>
      </w:r>
    </w:p>
    <w:p w14:paraId="4D8E8B6D">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特别说明</w:t>
      </w:r>
    </w:p>
    <w:p w14:paraId="27D5B1B8">
      <w:pPr>
        <w:pageBreakBefore w:val="0"/>
        <w:widowControl w:val="0"/>
        <w:tabs>
          <w:tab w:val="left" w:pos="1635"/>
        </w:tabs>
        <w:kinsoku/>
        <w:wordWrap/>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8.1关联供应商不得参加同一合同项下政府采购活动，否则响应文件将被视为无效：</w:t>
      </w:r>
    </w:p>
    <w:p w14:paraId="5C707C1C">
      <w:pPr>
        <w:pageBreakBefore w:val="0"/>
        <w:widowControl w:val="0"/>
        <w:tabs>
          <w:tab w:val="left" w:pos="1635"/>
        </w:tabs>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4C7D78C8">
      <w:pPr>
        <w:pStyle w:val="11"/>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14:paraId="2118FDFD">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65" w:name="_Toc29496"/>
      <w:bookmarkStart w:id="66" w:name="_Toc2062"/>
      <w:bookmarkStart w:id="67" w:name="_Toc22498"/>
      <w:r>
        <w:rPr>
          <w:rFonts w:hint="eastAsia" w:ascii="宋体" w:hAnsi="宋体" w:eastAsia="宋体" w:cs="宋体"/>
          <w:b/>
          <w:bCs w:val="0"/>
          <w:color w:val="auto"/>
          <w:szCs w:val="28"/>
          <w:highlight w:val="none"/>
        </w:rPr>
        <w:t>二、磋商文件</w:t>
      </w:r>
      <w:bookmarkEnd w:id="65"/>
      <w:bookmarkEnd w:id="66"/>
      <w:bookmarkEnd w:id="67"/>
    </w:p>
    <w:p w14:paraId="4A801E75">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val="pt-BR"/>
        </w:rPr>
      </w:pPr>
      <w:bookmarkStart w:id="68" w:name="_Toc20057"/>
      <w:bookmarkStart w:id="69"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68"/>
      <w:bookmarkEnd w:id="69"/>
    </w:p>
    <w:p w14:paraId="781A3BA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7DFB546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3BC0CED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（3）工程量清单</w:t>
      </w:r>
      <w:r>
        <w:rPr>
          <w:rFonts w:hint="eastAsia" w:ascii="宋体" w:hAnsi="宋体" w:eastAsia="宋体" w:cs="宋体"/>
          <w:bCs/>
          <w:color w:val="auto"/>
          <w:szCs w:val="21"/>
          <w:highlight w:val="none"/>
        </w:rPr>
        <w:t>；</w:t>
      </w:r>
    </w:p>
    <w:p w14:paraId="53A6172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23EEF47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40413BE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（6）响应文件（格式）</w:t>
      </w:r>
      <w:r>
        <w:rPr>
          <w:rFonts w:hint="eastAsia" w:ascii="宋体" w:hAnsi="宋体" w:eastAsia="宋体" w:cs="宋体"/>
          <w:color w:val="auto"/>
          <w:szCs w:val="21"/>
          <w:highlight w:val="none"/>
          <w:lang w:eastAsia="zh-CN"/>
        </w:rPr>
        <w:t>；</w:t>
      </w:r>
    </w:p>
    <w:p w14:paraId="7AA7DDA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bookmarkStart w:id="70" w:name="_Toc9103"/>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图纸。</w:t>
      </w:r>
    </w:p>
    <w:p w14:paraId="1A82E8C0">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71" w:name="_Toc17932"/>
      <w:r>
        <w:rPr>
          <w:rFonts w:hint="eastAsia" w:ascii="宋体" w:hAnsi="宋体" w:eastAsia="宋体" w:cs="宋体"/>
          <w:color w:val="auto"/>
          <w:sz w:val="21"/>
          <w:szCs w:val="21"/>
          <w:highlight w:val="none"/>
        </w:rPr>
        <w:t>10. 磋商文件的澄清与修改</w:t>
      </w:r>
      <w:bookmarkEnd w:id="70"/>
      <w:bookmarkEnd w:id="71"/>
    </w:p>
    <w:p w14:paraId="45075505">
      <w:pPr>
        <w:pageBreakBefore w:val="0"/>
        <w:widowControl w:val="0"/>
        <w:kinsoku/>
        <w:wordWrap/>
        <w:overflowPunct/>
        <w:topLinePunct w:val="0"/>
        <w:bidi w:val="0"/>
        <w:spacing w:line="440" w:lineRule="exact"/>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w:t>
      </w:r>
    </w:p>
    <w:p w14:paraId="737693B5">
      <w:pPr>
        <w:pageBreakBefore w:val="0"/>
        <w:widowControl w:val="0"/>
        <w:kinsoku/>
        <w:wordWrap/>
        <w:overflowPunct/>
        <w:topLinePunct w:val="0"/>
        <w:bidi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716D4F8D">
      <w:pPr>
        <w:pageBreakBefore w:val="0"/>
        <w:widowControl w:val="0"/>
        <w:kinsoku/>
        <w:wordWrap/>
        <w:overflowPunct/>
        <w:topLinePunct w:val="0"/>
        <w:bidi w:val="0"/>
        <w:spacing w:line="440" w:lineRule="exact"/>
        <w:ind w:left="420" w:leftChars="20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w:t>
      </w:r>
    </w:p>
    <w:p w14:paraId="44F153E0">
      <w:pPr>
        <w:pageBreakBefore w:val="0"/>
        <w:widowControl w:val="0"/>
        <w:kinsoku/>
        <w:wordWrap/>
        <w:overflowPunct/>
        <w:topLinePunct w:val="0"/>
        <w:bidi w:val="0"/>
        <w:spacing w:line="4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如因供应商未及时登录相关网站了解澄清、修改等与项目有关的内容，从而导致响应文件无效的，由供应商自行承担责任。</w:t>
      </w:r>
    </w:p>
    <w:p w14:paraId="5C99BDD6">
      <w:pPr>
        <w:pageBreakBefore w:val="0"/>
        <w:widowControl w:val="0"/>
        <w:kinsoku/>
        <w:wordWrap/>
        <w:overflowPunct/>
        <w:topLinePunct w:val="0"/>
        <w:bidi w:val="0"/>
        <w:spacing w:line="440" w:lineRule="exact"/>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w:t>
      </w:r>
    </w:p>
    <w:p w14:paraId="0CEA264A">
      <w:pPr>
        <w:pageBreakBefore w:val="0"/>
        <w:widowControl w:val="0"/>
        <w:kinsoku/>
        <w:wordWrap/>
        <w:overflowPunct/>
        <w:topLinePunct w:val="0"/>
        <w:bidi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时，以最后发出的文件为准。</w:t>
      </w:r>
    </w:p>
    <w:p w14:paraId="7292C416">
      <w:pPr>
        <w:pageBreakBefore w:val="0"/>
        <w:widowControl w:val="0"/>
        <w:kinsoku/>
        <w:wordWrap/>
        <w:overflowPunct/>
        <w:topLinePunct w:val="0"/>
        <w:bidi w:val="0"/>
        <w:spacing w:line="440" w:lineRule="exact"/>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w:t>
      </w:r>
    </w:p>
    <w:p w14:paraId="3C210D55">
      <w:pPr>
        <w:pageBreakBefore w:val="0"/>
        <w:widowControl w:val="0"/>
        <w:kinsoku/>
        <w:wordWrap/>
        <w:overflowPunct/>
        <w:topLinePunct w:val="0"/>
        <w:bidi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机构，不得擅自澄清或者修改磋商文件。</w:t>
      </w:r>
    </w:p>
    <w:p w14:paraId="19BB51B3">
      <w:pPr>
        <w:pageBreakBefore w:val="0"/>
        <w:widowControl w:val="0"/>
        <w:kinsoku/>
        <w:wordWrap/>
        <w:overflowPunct/>
        <w:topLinePunct w:val="0"/>
        <w:bidi w:val="0"/>
        <w:spacing w:line="440" w:lineRule="exact"/>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w:t>
      </w:r>
    </w:p>
    <w:p w14:paraId="6DC8FC47">
      <w:pPr>
        <w:pageBreakBefore w:val="0"/>
        <w:widowControl w:val="0"/>
        <w:kinsoku/>
        <w:wordWrap/>
        <w:overflowPunct/>
        <w:topLinePunct w:val="0"/>
        <w:bidi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告发布的同一媒体上发布变更公告。</w:t>
      </w:r>
    </w:p>
    <w:p w14:paraId="53806146">
      <w:pPr>
        <w:pStyle w:val="32"/>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14:paraId="368A8351">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72" w:name="_Toc17820"/>
      <w:bookmarkStart w:id="73" w:name="_Toc20830"/>
      <w:bookmarkStart w:id="74" w:name="_Toc23267"/>
      <w:r>
        <w:rPr>
          <w:rFonts w:hint="eastAsia" w:ascii="宋体" w:hAnsi="宋体" w:eastAsia="宋体" w:cs="宋体"/>
          <w:b/>
          <w:bCs w:val="0"/>
          <w:color w:val="auto"/>
          <w:szCs w:val="28"/>
          <w:highlight w:val="none"/>
        </w:rPr>
        <w:t>三、竞争性磋商响应文件的编制</w:t>
      </w:r>
      <w:bookmarkEnd w:id="72"/>
      <w:bookmarkEnd w:id="73"/>
      <w:bookmarkEnd w:id="74"/>
    </w:p>
    <w:p w14:paraId="1EDC2F54">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b/>
          <w:color w:val="auto"/>
          <w:sz w:val="21"/>
          <w:szCs w:val="21"/>
          <w:highlight w:val="none"/>
          <w:lang w:val="en-US" w:eastAsia="zh-CN"/>
        </w:rPr>
      </w:pPr>
      <w:bookmarkStart w:id="75" w:name="_Toc19747"/>
      <w:r>
        <w:rPr>
          <w:rFonts w:hint="eastAsia" w:ascii="宋体" w:hAnsi="宋体" w:eastAsia="宋体" w:cs="宋体"/>
          <w:b/>
          <w:color w:val="auto"/>
          <w:sz w:val="21"/>
          <w:szCs w:val="21"/>
          <w:highlight w:val="none"/>
          <w:lang w:val="en-US" w:eastAsia="zh-CN"/>
        </w:rPr>
        <w:t>11.竞争性磋商响应文件编制基本要求</w:t>
      </w:r>
      <w:bookmarkEnd w:id="75"/>
    </w:p>
    <w:p w14:paraId="65A7A0EB">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lang w:val="en-US" w:eastAsia="zh-CN"/>
        </w:rPr>
        <w:t>，供应商应准备电子磋商响应文件：</w:t>
      </w:r>
    </w:p>
    <w:p w14:paraId="705AE8E1">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11.1.1 电子响应文件按</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 xml:space="preserve">要求及本磋商文件要求制作、加密并递交。具体操作流程可参考《政府采购项目电子交易管理操作指南-供应商》，指南可在 “http://www.ccgp-guangxi.gov.cn/PurchaseAdvisory/ImportantNotice/2866753.html”下载。 </w:t>
      </w:r>
    </w:p>
    <w:p w14:paraId="6640E07E">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14:paraId="3E514B06">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14:paraId="3928F502">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14:paraId="2C55728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0728105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（委托代理时必须提供）</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除供应商为以下三种情形的：</w:t>
      </w:r>
    </w:p>
    <w:p w14:paraId="3BE17F4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①如供应商为截标时间前60日以内成立的公司，可以提供供应商与委托代理人签订的劳动合同复印件代替社保证明复印件；</w:t>
      </w:r>
    </w:p>
    <w:p w14:paraId="1DD0933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②如供应商为事业单位，可以提供事业单位机构编制管理证复印件或事业单位机构为其发放工资的工资条复印件代替社保证明复印件；</w:t>
      </w:r>
    </w:p>
    <w:p w14:paraId="4FF9BC7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50739312">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p>
    <w:p w14:paraId="3659789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684854EE">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供应商的法人或者其他组织营业执照等证明文件复印件</w:t>
      </w:r>
      <w:r>
        <w:rPr>
          <w:rFonts w:hint="eastAsia" w:ascii="宋体" w:hAnsi="宋体" w:eastAsia="宋体" w:cs="宋体"/>
          <w:b/>
          <w:bCs/>
          <w:color w:val="auto"/>
          <w:szCs w:val="21"/>
          <w:highlight w:val="none"/>
        </w:rPr>
        <w:t>（必须提供，自然人除外）；</w:t>
      </w:r>
    </w:p>
    <w:p w14:paraId="1B4857A8">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E57CD15">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14:paraId="6A00E0BF">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 w:val="21"/>
          <w:szCs w:val="21"/>
          <w:highlight w:val="none"/>
          <w:lang w:val="en-US" w:eastAsia="zh-CN" w:bidi="ar-SA"/>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bidi="ar-SA"/>
        </w:rPr>
        <w:t>（必须提供其中一项）</w:t>
      </w:r>
      <w:r>
        <w:rPr>
          <w:rFonts w:hint="eastAsia" w:ascii="宋体" w:hAnsi="宋体" w:eastAsia="宋体" w:cs="宋体"/>
          <w:b/>
          <w:bCs w:val="0"/>
          <w:color w:val="auto"/>
          <w:kern w:val="0"/>
          <w:szCs w:val="21"/>
          <w:highlight w:val="none"/>
          <w:lang w:val="en-US" w:eastAsia="zh-CN"/>
        </w:rPr>
        <w:t>；</w:t>
      </w:r>
    </w:p>
    <w:p w14:paraId="22BD3DE5">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供应商有效的安全生产许可证书复印件</w:t>
      </w:r>
      <w:r>
        <w:rPr>
          <w:rFonts w:hint="eastAsia" w:ascii="宋体" w:hAnsi="宋体" w:eastAsia="宋体" w:cs="宋体"/>
          <w:b/>
          <w:bCs w:val="0"/>
          <w:color w:val="auto"/>
          <w:kern w:val="0"/>
          <w:szCs w:val="21"/>
          <w:highlight w:val="none"/>
          <w:lang w:val="en-US" w:eastAsia="zh-CN"/>
        </w:rPr>
        <w:t>（必须提供）；</w:t>
      </w:r>
    </w:p>
    <w:p w14:paraId="4E966030">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color w:val="auto"/>
          <w:highlight w:val="none"/>
        </w:rPr>
      </w:pPr>
      <w:r>
        <w:rPr>
          <w:rFonts w:hint="eastAsia" w:ascii="宋体" w:hAnsi="宋体" w:cs="宋体"/>
          <w:bCs/>
          <w:color w:val="auto"/>
          <w:kern w:val="0"/>
          <w:szCs w:val="21"/>
          <w:highlight w:val="none"/>
          <w:lang w:eastAsia="zh-CN"/>
        </w:rPr>
        <w:t>供应商202</w:t>
      </w:r>
      <w:r>
        <w:rPr>
          <w:rFonts w:hint="eastAsia" w:ascii="宋体" w:hAnsi="宋体" w:cs="宋体"/>
          <w:bCs/>
          <w:color w:val="auto"/>
          <w:kern w:val="0"/>
          <w:szCs w:val="21"/>
          <w:highlight w:val="none"/>
          <w:lang w:val="en-US" w:eastAsia="zh-CN"/>
        </w:rPr>
        <w:t>3或2024</w:t>
      </w:r>
      <w:r>
        <w:rPr>
          <w:rFonts w:hint="eastAsia" w:ascii="宋体" w:hAnsi="宋体" w:cs="宋体"/>
          <w:bCs/>
          <w:color w:val="auto"/>
          <w:kern w:val="0"/>
          <w:szCs w:val="21"/>
          <w:highlight w:val="none"/>
          <w:lang w:eastAsia="zh-CN"/>
        </w:rPr>
        <w:t>年度财务状况报告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cs="宋体"/>
          <w:b/>
          <w:bCs/>
          <w:color w:val="auto"/>
          <w:szCs w:val="21"/>
          <w:highlight w:val="none"/>
          <w:lang w:eastAsia="zh-CN"/>
        </w:rPr>
        <w:t>，</w:t>
      </w:r>
      <w:r>
        <w:rPr>
          <w:rFonts w:ascii="宋体" w:hAnsi="宋体" w:cs="宋体"/>
          <w:b/>
          <w:bCs/>
          <w:color w:val="auto"/>
          <w:szCs w:val="21"/>
          <w:highlight w:val="none"/>
        </w:rPr>
        <w:t>可</w:t>
      </w:r>
      <w:r>
        <w:rPr>
          <w:rFonts w:hint="eastAsia" w:ascii="宋体" w:hAnsi="宋体" w:cs="宋体"/>
          <w:b/>
          <w:bCs/>
          <w:color w:val="auto"/>
          <w:szCs w:val="21"/>
          <w:highlight w:val="none"/>
          <w:lang w:eastAsia="zh-CN"/>
        </w:rPr>
        <w:t>以是磋商供应商</w:t>
      </w:r>
      <w:r>
        <w:rPr>
          <w:rFonts w:ascii="宋体" w:hAnsi="宋体" w:cs="宋体"/>
          <w:b/>
          <w:bCs/>
          <w:color w:val="auto"/>
          <w:szCs w:val="21"/>
          <w:highlight w:val="none"/>
        </w:rPr>
        <w:t>自行编制也可</w:t>
      </w:r>
      <w:r>
        <w:rPr>
          <w:rFonts w:hint="eastAsia" w:ascii="宋体" w:hAnsi="宋体" w:cs="宋体"/>
          <w:b/>
          <w:bCs/>
          <w:color w:val="auto"/>
          <w:szCs w:val="21"/>
          <w:highlight w:val="none"/>
          <w:lang w:eastAsia="zh-CN"/>
        </w:rPr>
        <w:t>是</w:t>
      </w:r>
      <w:r>
        <w:rPr>
          <w:rFonts w:ascii="宋体" w:hAnsi="宋体" w:cs="宋体"/>
          <w:b/>
          <w:bCs/>
          <w:color w:val="auto"/>
          <w:szCs w:val="21"/>
          <w:highlight w:val="none"/>
        </w:rPr>
        <w:t>通过</w:t>
      </w:r>
      <w:r>
        <w:rPr>
          <w:rFonts w:hint="eastAsia" w:ascii="宋体" w:hAnsi="宋体" w:cs="宋体"/>
          <w:b/>
          <w:bCs/>
          <w:color w:val="auto"/>
          <w:szCs w:val="21"/>
          <w:highlight w:val="none"/>
          <w:lang w:eastAsia="zh-CN"/>
        </w:rPr>
        <w:t>第三方</w:t>
      </w:r>
      <w:r>
        <w:rPr>
          <w:rFonts w:ascii="宋体" w:hAnsi="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Cs w:val="21"/>
          <w:highlight w:val="none"/>
        </w:rPr>
        <w:t>；</w:t>
      </w:r>
    </w:p>
    <w:p w14:paraId="51CDC306">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供应商近半年内任意一个月或任一季度依法缴纳税收的证明材料</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增值税</w:t>
      </w:r>
      <w:r>
        <w:rPr>
          <w:rFonts w:hint="eastAsia" w:ascii="宋体" w:hAnsi="宋体" w:cs="宋体"/>
          <w:color w:val="auto"/>
          <w:szCs w:val="21"/>
          <w:highlight w:val="none"/>
          <w:lang w:eastAsia="zh-CN"/>
        </w:rPr>
        <w:t>缴纳</w:t>
      </w:r>
      <w:r>
        <w:rPr>
          <w:rFonts w:hint="eastAsia" w:ascii="宋体" w:hAnsi="宋体" w:eastAsia="宋体" w:cs="宋体"/>
          <w:color w:val="auto"/>
          <w:szCs w:val="21"/>
          <w:highlight w:val="none"/>
        </w:rPr>
        <w:t>发票(税收完税证明)或企业所得税完税证明或税务部门出具的免税证明</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复印件</w:t>
      </w:r>
      <w:r>
        <w:rPr>
          <w:rFonts w:hint="eastAsia" w:ascii="宋体" w:hAnsi="宋体" w:eastAsia="宋体" w:cs="宋体"/>
          <w:b/>
          <w:bCs/>
          <w:color w:val="auto"/>
          <w:szCs w:val="21"/>
          <w:highlight w:val="none"/>
        </w:rPr>
        <w:t>（必须提供）。</w:t>
      </w:r>
    </w:p>
    <w:p w14:paraId="20EBFE40">
      <w:pPr>
        <w:pStyle w:val="28"/>
        <w:pageBreakBefore w:val="0"/>
        <w:widowControl w:val="0"/>
        <w:kinsoku/>
        <w:wordWrap/>
        <w:overflowPunct/>
        <w:topLinePunct w:val="0"/>
        <w:bidi w:val="0"/>
        <w:spacing w:line="440" w:lineRule="exact"/>
        <w:ind w:left="0" w:leftChars="0" w:firstLine="422"/>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14:paraId="31E792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bookmarkStart w:id="76" w:name="_Toc16312"/>
      <w:bookmarkStart w:id="77" w:name="_Toc2809"/>
      <w:bookmarkStart w:id="78" w:name="_Toc28932"/>
      <w:r>
        <w:rPr>
          <w:rFonts w:hint="eastAsia" w:ascii="宋体" w:hAnsi="宋体" w:eastAsia="宋体" w:cs="宋体"/>
          <w:color w:val="auto"/>
          <w:szCs w:val="21"/>
          <w:highlight w:val="none"/>
          <w:lang w:val="en-US"/>
        </w:rPr>
        <w:t>（1）响应函（格式见附件）</w:t>
      </w:r>
      <w:r>
        <w:rPr>
          <w:rFonts w:hint="eastAsia" w:ascii="宋体" w:hAnsi="宋体" w:eastAsia="宋体" w:cs="宋体"/>
          <w:b/>
          <w:bCs/>
          <w:color w:val="auto"/>
          <w:szCs w:val="21"/>
          <w:highlight w:val="none"/>
          <w:lang w:val="en-US"/>
        </w:rPr>
        <w:t>（必须提供）</w:t>
      </w:r>
      <w:bookmarkEnd w:id="76"/>
      <w:r>
        <w:rPr>
          <w:rFonts w:hint="eastAsia" w:ascii="宋体" w:hAnsi="宋体" w:eastAsia="宋体" w:cs="宋体"/>
          <w:color w:val="auto"/>
          <w:szCs w:val="21"/>
          <w:highlight w:val="none"/>
          <w:lang w:val="en-US" w:eastAsia="zh-CN"/>
        </w:rPr>
        <w:t>；</w:t>
      </w:r>
      <w:bookmarkEnd w:id="77"/>
      <w:bookmarkEnd w:id="78"/>
    </w:p>
    <w:p w14:paraId="2277E47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 xml:space="preserve"> 磋商报价汇总表</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3FDCB40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已标价工程量清单</w:t>
      </w:r>
      <w:r>
        <w:rPr>
          <w:rFonts w:hint="eastAsia" w:ascii="宋体" w:hAnsi="宋体" w:eastAsia="宋体" w:cs="宋体"/>
          <w:b/>
          <w:bCs w:val="0"/>
          <w:color w:val="auto"/>
          <w:kern w:val="0"/>
          <w:szCs w:val="21"/>
          <w:highlight w:val="none"/>
        </w:rPr>
        <w:t>（必须提供）</w:t>
      </w:r>
      <w:r>
        <w:rPr>
          <w:rFonts w:hint="eastAsia" w:ascii="宋体" w:hAnsi="宋体" w:eastAsia="宋体" w:cs="宋体"/>
          <w:b w:val="0"/>
          <w:bCs/>
          <w:color w:val="auto"/>
          <w:kern w:val="0"/>
          <w:szCs w:val="21"/>
          <w:highlight w:val="none"/>
          <w:lang w:eastAsia="zh-CN"/>
        </w:rPr>
        <w:t>；</w:t>
      </w:r>
    </w:p>
    <w:p w14:paraId="300A843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rPr>
        <w:t>拟投入本工程主要施工管理人员表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1612626C">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color w:val="auto"/>
          <w:szCs w:val="21"/>
          <w:highlight w:val="none"/>
        </w:rPr>
        <w:t>。</w:t>
      </w:r>
    </w:p>
    <w:p w14:paraId="311E5E0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担任本工程的项目经理简历表（应附相关证书、身份证复印件）</w:t>
      </w:r>
      <w:r>
        <w:rPr>
          <w:rFonts w:hint="eastAsia" w:ascii="宋体" w:hAnsi="宋体" w:eastAsia="宋体" w:cs="宋体"/>
          <w:b/>
          <w:bCs/>
          <w:color w:val="auto"/>
          <w:szCs w:val="21"/>
          <w:highlight w:val="none"/>
        </w:rPr>
        <w:t>（必须提供）</w:t>
      </w:r>
      <w:r>
        <w:rPr>
          <w:rFonts w:hint="eastAsia" w:ascii="宋体" w:hAnsi="宋体" w:eastAsia="宋体" w:cs="宋体"/>
          <w:b w:val="0"/>
          <w:bCs w:val="0"/>
          <w:color w:val="auto"/>
          <w:szCs w:val="21"/>
          <w:highlight w:val="none"/>
        </w:rPr>
        <w:t>；</w:t>
      </w:r>
    </w:p>
    <w:p w14:paraId="38DF9079">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14:paraId="57B67E3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lang w:val="en-US" w:eastAsia="zh-CN"/>
        </w:rPr>
        <w:t>工</w:t>
      </w:r>
      <w:r>
        <w:rPr>
          <w:rFonts w:hint="eastAsia" w:ascii="宋体" w:hAnsi="宋体" w:cs="宋体"/>
          <w:bCs/>
          <w:color w:val="auto"/>
          <w:kern w:val="0"/>
          <w:szCs w:val="21"/>
          <w:highlight w:val="none"/>
        </w:rPr>
        <w:t>程完工服务承诺书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14:paraId="716ABD7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14:paraId="42844C8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rPr>
        <w:t>城乡清洁工程渣土清运承诺书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Cs w:val="21"/>
          <w:highlight w:val="none"/>
          <w:lang w:eastAsia="zh-CN"/>
        </w:rPr>
        <w:t>。</w:t>
      </w:r>
    </w:p>
    <w:p w14:paraId="142BDC1A">
      <w:pPr>
        <w:pStyle w:val="28"/>
        <w:pageBreakBefore w:val="0"/>
        <w:widowControl w:val="0"/>
        <w:kinsoku/>
        <w:wordWrap/>
        <w:overflowPunct/>
        <w:topLinePunct w:val="0"/>
        <w:bidi w:val="0"/>
        <w:spacing w:line="440" w:lineRule="exact"/>
        <w:ind w:left="0" w:leftChars="0" w:firstLine="422"/>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14:paraId="7509D41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）供应商</w:t>
      </w:r>
      <w:r>
        <w:rPr>
          <w:rFonts w:hint="default" w:ascii="宋体" w:hAnsi="宋体" w:cs="宋体"/>
          <w:color w:val="auto"/>
          <w:szCs w:val="21"/>
          <w:highlight w:val="none"/>
          <w:lang w:val="en-US" w:eastAsia="zh-CN"/>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年1月1日以来</w:t>
      </w:r>
      <w:r>
        <w:rPr>
          <w:rFonts w:hint="eastAsia" w:ascii="宋体" w:hAnsi="宋体" w:eastAsia="宋体" w:cs="宋体"/>
          <w:color w:val="auto"/>
          <w:kern w:val="2"/>
          <w:sz w:val="21"/>
          <w:szCs w:val="24"/>
          <w:highlight w:val="none"/>
          <w:lang w:val="en-US" w:eastAsia="zh-CN" w:bidi="ar-SA"/>
        </w:rPr>
        <w:t>完成或在建的类似项目业绩</w:t>
      </w:r>
      <w:r>
        <w:rPr>
          <w:rFonts w:hint="eastAsia" w:ascii="宋体" w:hAnsi="宋体" w:eastAsia="宋体" w:cs="宋体"/>
          <w:color w:val="auto"/>
          <w:highlight w:val="none"/>
          <w:lang w:eastAsia="zh-CN"/>
        </w:rPr>
        <w:t>，</w:t>
      </w:r>
      <w:r>
        <w:rPr>
          <w:rFonts w:hint="eastAsia" w:ascii="宋体" w:hAnsi="宋体" w:eastAsia="宋体" w:cs="宋体"/>
          <w:color w:val="auto"/>
          <w:kern w:val="2"/>
          <w:sz w:val="21"/>
          <w:szCs w:val="24"/>
          <w:highlight w:val="none"/>
          <w:lang w:val="en-US" w:eastAsia="zh-CN" w:bidi="ar-SA"/>
        </w:rPr>
        <w:t>以中标(成交)通知书或签订的合同为准</w:t>
      </w:r>
      <w:r>
        <w:rPr>
          <w:rFonts w:hint="eastAsia" w:ascii="宋体" w:hAnsi="宋体" w:eastAsia="宋体" w:cs="宋体"/>
          <w:color w:val="auto"/>
          <w:szCs w:val="21"/>
          <w:highlight w:val="none"/>
        </w:rPr>
        <w:t>，并能清晰反映</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的名称、</w:t>
      </w:r>
      <w:r>
        <w:rPr>
          <w:rFonts w:hint="eastAsia" w:ascii="宋体" w:hAnsi="宋体" w:eastAsia="宋体" w:cs="宋体"/>
          <w:color w:val="auto"/>
          <w:szCs w:val="21"/>
          <w:highlight w:val="none"/>
          <w:lang w:eastAsia="zh-CN"/>
        </w:rPr>
        <w:t>采购内容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、采购时间</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w:t>
      </w:r>
      <w:r>
        <w:rPr>
          <w:rFonts w:hint="eastAsia" w:ascii="宋体" w:hAnsi="宋体" w:cs="宋体"/>
          <w:b/>
          <w:bCs/>
          <w:color w:val="auto"/>
          <w:szCs w:val="21"/>
          <w:highlight w:val="none"/>
          <w:lang w:val="en-US" w:eastAsia="zh-CN"/>
        </w:rPr>
        <w:t>，请提供</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w:t>
      </w:r>
    </w:p>
    <w:p w14:paraId="4520B5B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（2）供应商2020年1月1日以来获奖情况</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w:t>
      </w:r>
      <w:r>
        <w:rPr>
          <w:rFonts w:hint="eastAsia" w:ascii="宋体" w:hAnsi="宋体" w:cs="宋体"/>
          <w:b/>
          <w:bCs/>
          <w:color w:val="auto"/>
          <w:szCs w:val="21"/>
          <w:highlight w:val="none"/>
          <w:lang w:val="en-US" w:eastAsia="zh-CN"/>
        </w:rPr>
        <w:t>，请提供</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w:t>
      </w:r>
    </w:p>
    <w:p w14:paraId="552818F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w:t>
      </w:r>
      <w:r>
        <w:rPr>
          <w:rFonts w:hint="eastAsia" w:ascii="宋体" w:hAnsi="宋体" w:cs="宋体"/>
          <w:b/>
          <w:bCs/>
          <w:color w:val="auto"/>
          <w:szCs w:val="21"/>
          <w:highlight w:val="none"/>
          <w:lang w:val="en-US" w:eastAsia="zh-CN"/>
        </w:rPr>
        <w:t>，请提供</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w:t>
      </w:r>
    </w:p>
    <w:p w14:paraId="0A174425">
      <w:pPr>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w:t>
      </w:r>
      <w:r>
        <w:rPr>
          <w:rFonts w:hint="eastAsia" w:ascii="宋体" w:hAnsi="宋体" w:cs="宋体"/>
          <w:b/>
          <w:bCs/>
          <w:color w:val="auto"/>
          <w:highlight w:val="none"/>
          <w:lang w:eastAsia="zh-CN"/>
        </w:rPr>
        <w:t>数字证书（CA认证）</w:t>
      </w:r>
      <w:r>
        <w:rPr>
          <w:rFonts w:hint="eastAsia" w:ascii="宋体" w:hAnsi="宋体" w:eastAsia="宋体" w:cs="宋体"/>
          <w:b/>
          <w:bCs/>
          <w:color w:val="auto"/>
          <w:highlight w:val="none"/>
        </w:rPr>
        <w:t>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14:paraId="52EBD5F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14:paraId="62EDB537">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164C186D">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w:t>
      </w:r>
      <w:r>
        <w:rPr>
          <w:rFonts w:hint="eastAsia" w:ascii="宋体" w:hAnsi="宋体" w:cs="宋体"/>
          <w:b/>
          <w:color w:val="auto"/>
          <w:szCs w:val="21"/>
          <w:highlight w:val="none"/>
          <w:lang w:eastAsia="zh-CN"/>
        </w:rPr>
        <w:t>数字证书（CA认证）</w:t>
      </w:r>
      <w:r>
        <w:rPr>
          <w:rFonts w:hint="eastAsia" w:ascii="宋体" w:hAnsi="宋体" w:eastAsia="宋体" w:cs="宋体"/>
          <w:b/>
          <w:color w:val="auto"/>
          <w:szCs w:val="21"/>
          <w:highlight w:val="none"/>
        </w:rPr>
        <w:t>签章。若磋商文件中有专门标注的某关联点，并要求供应商在电子</w:t>
      </w:r>
      <w:r>
        <w:rPr>
          <w:rFonts w:hint="eastAsia" w:ascii="宋体" w:hAnsi="宋体" w:cs="宋体"/>
          <w:b/>
          <w:color w:val="auto"/>
          <w:szCs w:val="21"/>
          <w:highlight w:val="none"/>
          <w:lang w:eastAsia="zh-CN"/>
        </w:rPr>
        <w:t>响应</w:t>
      </w:r>
      <w:r>
        <w:rPr>
          <w:rFonts w:hint="eastAsia" w:ascii="宋体" w:hAnsi="宋体" w:eastAsia="宋体" w:cs="宋体"/>
          <w:b/>
          <w:color w:val="auto"/>
          <w:szCs w:val="21"/>
          <w:highlight w:val="none"/>
        </w:rPr>
        <w:t>系统中作出磋商响应的，如供应商未对关联点进行响应或者在响应文件其它内容进行描述，造成电子评审不能查询的责任由供应商自行承担。</w:t>
      </w:r>
    </w:p>
    <w:p w14:paraId="2205BA24">
      <w:pPr>
        <w:pageBreakBefore w:val="0"/>
        <w:widowControl w:val="0"/>
        <w:numPr>
          <w:ilvl w:val="0"/>
          <w:numId w:val="4"/>
        </w:numPr>
        <w:kinsoku/>
        <w:wordWrap/>
        <w:overflowPunct/>
        <w:topLinePunct w:val="0"/>
        <w:bidi w:val="0"/>
        <w:spacing w:line="440" w:lineRule="exact"/>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cs="宋体"/>
          <w:b/>
          <w:bCs/>
          <w:color w:val="auto"/>
          <w:szCs w:val="21"/>
          <w:highlight w:val="none"/>
          <w:lang w:val="en-US" w:eastAsia="zh-CN"/>
        </w:rPr>
        <w:t>数字证书（CA认证）</w:t>
      </w:r>
      <w:r>
        <w:rPr>
          <w:rFonts w:hint="eastAsia" w:ascii="宋体" w:hAnsi="宋体" w:eastAsia="宋体" w:cs="宋体"/>
          <w:b/>
          <w:bCs/>
          <w:color w:val="auto"/>
          <w:szCs w:val="21"/>
          <w:highlight w:val="none"/>
          <w:lang w:val="en-US" w:eastAsia="zh-CN"/>
        </w:rPr>
        <w:t>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14:paraId="03EE01E5">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79" w:name="_Toc13660"/>
      <w:bookmarkStart w:id="80" w:name="_Toc2180"/>
      <w:r>
        <w:rPr>
          <w:rFonts w:hint="eastAsia" w:ascii="宋体" w:hAnsi="宋体" w:eastAsia="宋体" w:cs="宋体"/>
          <w:color w:val="auto"/>
          <w:sz w:val="21"/>
          <w:szCs w:val="21"/>
          <w:highlight w:val="none"/>
        </w:rPr>
        <w:t>12. 响应文件的语言及计量</w:t>
      </w:r>
      <w:bookmarkEnd w:id="79"/>
      <w:bookmarkEnd w:id="80"/>
    </w:p>
    <w:p w14:paraId="03AABED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7E0606F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75F2B1B4">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81" w:name="_Toc10838"/>
      <w:bookmarkStart w:id="82" w:name="_Toc3058"/>
      <w:r>
        <w:rPr>
          <w:rFonts w:hint="eastAsia" w:ascii="宋体" w:hAnsi="宋体" w:eastAsia="宋体" w:cs="宋体"/>
          <w:color w:val="auto"/>
          <w:sz w:val="21"/>
          <w:szCs w:val="21"/>
          <w:highlight w:val="none"/>
        </w:rPr>
        <w:t>13. 磋商报价及采购预算金额</w:t>
      </w:r>
      <w:bookmarkEnd w:id="81"/>
      <w:bookmarkEnd w:id="82"/>
    </w:p>
    <w:p w14:paraId="0BDBCE55">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13.1、磋商总报价应按采购文件中相关附表格式填写。</w:t>
      </w:r>
    </w:p>
    <w:p w14:paraId="0E531C9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13.2、磋商供应商必须就磋商文件所有内容作完整唯一报价，否则，其磋商将被拒绝。响应文件只允许有一个报价，有选择的或有条件的报价将不予接受。</w:t>
      </w:r>
    </w:p>
    <w:p w14:paraId="2192B70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13.3、磋商总报价包括本项目采购范围内一切服务价款的总和；供应商综合考虑在报价中。</w:t>
      </w:r>
    </w:p>
    <w:p w14:paraId="24C434D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13.4、供应商按照采购人提供的工程量清单填写本合同各工程子目的单价、合价和总额价。磋商小组将按照下述规定对磋商报价进行算术性错误修正及其他错误修正。</w:t>
      </w:r>
    </w:p>
    <w:p w14:paraId="4705AD8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13.4.1磋商报价有算术错误的，磋商小组按以下原则对磋商报价进行修正，修正的价格经供应商书面确认后具有约束力。供应商不接受修正价格的，磋商小组应否决其投标。</w:t>
      </w:r>
    </w:p>
    <w:p w14:paraId="34C2A03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(1)响应文件中的大写金额与小写金额不一致的，以大写金额为准;</w:t>
      </w:r>
    </w:p>
    <w:p w14:paraId="7F5335C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总价金额与依据单价计算出的结果不一致的，以单价金额为准修正总价，但单价金额小数点有明显错误的除外;</w:t>
      </w:r>
    </w:p>
    <w:p w14:paraId="13CE01D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当单价与数量相乘不等于合价时，以单价计算为准，如果单价有明显的小数点位置差错，应以标出的合价为准，同时对单价予以修正;</w:t>
      </w:r>
    </w:p>
    <w:p w14:paraId="4CF2A29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(4)当各子目的合价累计不等于总价时，应以各子目合价累计数为准，修正总价。</w:t>
      </w:r>
    </w:p>
    <w:p w14:paraId="0AD008E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13.4.2工程量清单中的磋商报价有其他错误的，磋商小组按以下原则对磋商报价进行修正，修正的价格经供应商书面确认后具有约束力。供应商不接受修正价格的，磋商小组应否决其投标。</w:t>
      </w:r>
    </w:p>
    <w:p w14:paraId="559091A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4786862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14:paraId="6B50067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(3)当单价与数量的乘积与合价(金额)虽然一致，但供应商修改了该子目的工程数量，则其合价按采购人给定的工程数量乘以供应商所报单价予以修正。</w:t>
      </w:r>
    </w:p>
    <w:p w14:paraId="52129A4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13.5、未书面退出磋商的供应商在规定时间内提交最后报价，其最后报价超出采购预算金额导致已通过评审的响应文件无效的，按供应商在提交响应文件截止时间后撤回响应文件处理。</w:t>
      </w:r>
    </w:p>
    <w:p w14:paraId="4F5ADE8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13.6、最后磋商总报价超出本项目采购预算总金额的将被视为无效磋商。</w:t>
      </w:r>
    </w:p>
    <w:p w14:paraId="5011E2E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13.7、磋商总报价应包括本次采购范围内提供的服务、技术费、人工费、保险、税金、培训、版权费等全部费用，磋商供应商综合考虑在报价中。</w:t>
      </w:r>
    </w:p>
    <w:p w14:paraId="5076CCB5">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613ECC5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7C268B2C">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13.10、磋商供应商应对磋商文件中清单所列的各项内容和要求作实质性响应。</w:t>
      </w:r>
    </w:p>
    <w:p w14:paraId="39D441C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13.11、磋商供应商应采用综合单价对工程量清单进行磋商，不得采用总价让利或以百分比让利等形式进行磋商。</w:t>
      </w:r>
    </w:p>
    <w:p w14:paraId="6E08E4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供应商应在规定时间内在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系统上提交最后报价，超出</w:t>
      </w:r>
      <w:r>
        <w:rPr>
          <w:rFonts w:hint="eastAsia" w:ascii="宋体" w:hAnsi="宋体" w:cs="宋体"/>
          <w:color w:val="auto"/>
          <w:szCs w:val="21"/>
          <w:highlight w:val="none"/>
          <w:lang w:eastAsia="zh-CN"/>
        </w:rPr>
        <w:t>磋商小组</w:t>
      </w:r>
      <w:r>
        <w:rPr>
          <w:rFonts w:hint="eastAsia" w:ascii="宋体" w:hAnsi="宋体"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6D66E79C">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83" w:name="_Toc30554"/>
      <w:bookmarkStart w:id="84" w:name="_Toc26881"/>
      <w:r>
        <w:rPr>
          <w:rFonts w:hint="eastAsia" w:ascii="宋体" w:hAnsi="宋体" w:eastAsia="宋体" w:cs="宋体"/>
          <w:color w:val="auto"/>
          <w:sz w:val="21"/>
          <w:szCs w:val="21"/>
          <w:highlight w:val="none"/>
        </w:rPr>
        <w:t>14. 响应文件有效期</w:t>
      </w:r>
      <w:bookmarkEnd w:id="83"/>
      <w:bookmarkEnd w:id="84"/>
    </w:p>
    <w:p w14:paraId="2E8F055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62B4647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14:paraId="65E20A54">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85" w:name="_Toc22602"/>
      <w:bookmarkStart w:id="86" w:name="_Toc20698"/>
      <w:r>
        <w:rPr>
          <w:rFonts w:hint="eastAsia" w:ascii="宋体" w:hAnsi="宋体" w:eastAsia="宋体" w:cs="宋体"/>
          <w:color w:val="auto"/>
          <w:sz w:val="21"/>
          <w:szCs w:val="21"/>
          <w:highlight w:val="none"/>
        </w:rPr>
        <w:t>15. 保证金</w:t>
      </w:r>
      <w:bookmarkEnd w:id="85"/>
      <w:bookmarkEnd w:id="86"/>
    </w:p>
    <w:p w14:paraId="4D1F1D9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684A7B26">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87" w:name="_Toc387"/>
      <w:bookmarkStart w:id="88" w:name="_Toc30118"/>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87"/>
      <w:r>
        <w:rPr>
          <w:rFonts w:hint="eastAsia" w:ascii="宋体" w:hAnsi="宋体" w:eastAsia="宋体" w:cs="宋体"/>
          <w:color w:val="auto"/>
          <w:sz w:val="21"/>
          <w:szCs w:val="21"/>
          <w:highlight w:val="none"/>
          <w:lang w:eastAsia="zh-CN"/>
        </w:rPr>
        <w:t>制作</w:t>
      </w:r>
      <w:bookmarkEnd w:id="88"/>
    </w:p>
    <w:p w14:paraId="7201A98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 xml:space="preserve">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30ACA80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5B2F0EA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6C7FB78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39516E3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30F1D32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正式注册入库供应商，并完成</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 申领。因未注册入库、未办理</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等原因造成无法磋商或磋商失败等后果由供应商自行承担。 </w:t>
      </w:r>
    </w:p>
    <w:p w14:paraId="76E0FCA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 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p w14:paraId="417E0894">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89" w:name="_Toc9738"/>
      <w:r>
        <w:rPr>
          <w:rFonts w:hint="eastAsia" w:ascii="宋体" w:hAnsi="宋体" w:eastAsia="宋体" w:cs="宋体"/>
          <w:color w:val="auto"/>
          <w:sz w:val="21"/>
          <w:szCs w:val="21"/>
          <w:highlight w:val="none"/>
        </w:rPr>
        <w:t>17. 响应文件的修改和撤回</w:t>
      </w:r>
      <w:bookmarkEnd w:id="89"/>
    </w:p>
    <w:p w14:paraId="31F40F4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3B74270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29C0FF54">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90" w:name="_Toc30156"/>
      <w:bookmarkStart w:id="91" w:name="_Toc24690"/>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90"/>
      <w:bookmarkEnd w:id="91"/>
    </w:p>
    <w:p w14:paraId="709837E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7</w:t>
      </w:r>
      <w:bookmarkStart w:id="2435" w:name="_GoBack"/>
      <w:bookmarkEnd w:id="2435"/>
      <w:r>
        <w:rPr>
          <w:rFonts w:hint="eastAsia" w:ascii="宋体" w:hAnsi="宋体" w:eastAsia="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p w14:paraId="5B89931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w:t>
      </w:r>
      <w:r>
        <w:rPr>
          <w:rFonts w:hint="eastAsia" w:ascii="宋体" w:hAnsi="宋体" w:eastAsia="宋体" w:cs="宋体"/>
          <w:color w:val="auto"/>
          <w:szCs w:val="21"/>
          <w:highlight w:val="none"/>
          <w:u w:val="none"/>
        </w:rPr>
        <w:t>间后30分钟内磋商</w:t>
      </w:r>
      <w:r>
        <w:rPr>
          <w:rFonts w:hint="eastAsia" w:ascii="宋体" w:hAnsi="宋体" w:eastAsia="宋体" w:cs="宋体"/>
          <w:color w:val="auto"/>
          <w:szCs w:val="21"/>
          <w:highlight w:val="none"/>
        </w:rPr>
        <w:t>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w:t>
      </w:r>
      <w:r>
        <w:rPr>
          <w:rFonts w:hint="eastAsia" w:ascii="宋体" w:hAnsi="宋体" w:eastAsia="宋体" w:cs="宋体"/>
          <w:b/>
          <w:bCs/>
          <w:color w:val="auto"/>
          <w:szCs w:val="21"/>
          <w:highlight w:val="none"/>
          <w:lang w:eastAsia="zh-CN"/>
        </w:rPr>
        <w:t>磋商供应商</w:t>
      </w:r>
      <w:r>
        <w:rPr>
          <w:rFonts w:hint="eastAsia" w:ascii="宋体" w:hAnsi="宋体" w:eastAsia="宋体" w:cs="宋体"/>
          <w:b/>
          <w:bCs/>
          <w:color w:val="auto"/>
          <w:szCs w:val="21"/>
          <w:highlight w:val="none"/>
        </w:rPr>
        <w:t>可根据自身实际情况按通知时要求的时间到桂林市公共资源</w:t>
      </w:r>
      <w:r>
        <w:rPr>
          <w:rFonts w:hint="eastAsia" w:ascii="宋体" w:hAnsi="宋体" w:cs="宋体"/>
          <w:b/>
          <w:bCs/>
          <w:color w:val="auto"/>
          <w:szCs w:val="21"/>
          <w:highlight w:val="none"/>
          <w:lang w:eastAsia="zh-CN"/>
        </w:rPr>
        <w:t>交易中心开标室</w:t>
      </w:r>
      <w:r>
        <w:rPr>
          <w:rFonts w:hint="eastAsia" w:ascii="宋体" w:hAnsi="宋体" w:eastAsia="宋体" w:cs="宋体"/>
          <w:b/>
          <w:bCs/>
          <w:color w:val="auto"/>
          <w:szCs w:val="21"/>
          <w:highlight w:val="none"/>
        </w:rPr>
        <w:t>现场提交或以电子邮件的形式（以通知时所告知的电子邮箱地址为准）提交电子备份</w:t>
      </w:r>
      <w:r>
        <w:rPr>
          <w:rFonts w:hint="eastAsia" w:ascii="宋体" w:hAnsi="宋体" w:eastAsia="宋体" w:cs="宋体"/>
          <w:b/>
          <w:bCs/>
          <w:color w:val="auto"/>
          <w:szCs w:val="21"/>
          <w:highlight w:val="none"/>
          <w:lang w:eastAsia="zh-CN"/>
        </w:rPr>
        <w:t>磋商响应文件</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7DDA6D9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6E5CEAB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14:paraId="4E537C1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14:paraId="54C617D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10FACCA6">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92" w:name="_Toc2433"/>
    </w:p>
    <w:p w14:paraId="549B2156">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93" w:name="_Toc5807"/>
      <w:bookmarkStart w:id="94" w:name="_Toc16485"/>
      <w:r>
        <w:rPr>
          <w:rFonts w:hint="eastAsia" w:ascii="宋体" w:hAnsi="宋体" w:eastAsia="宋体" w:cs="宋体"/>
          <w:b/>
          <w:bCs w:val="0"/>
          <w:color w:val="auto"/>
          <w:szCs w:val="28"/>
          <w:highlight w:val="none"/>
        </w:rPr>
        <w:t>四、竞争性磋商（简称磋商）与评审</w:t>
      </w:r>
      <w:bookmarkEnd w:id="92"/>
      <w:bookmarkEnd w:id="93"/>
      <w:bookmarkEnd w:id="94"/>
    </w:p>
    <w:p w14:paraId="548698BB">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5" w:name="_Toc11021"/>
      <w:bookmarkStart w:id="96" w:name="_Toc31588"/>
      <w:r>
        <w:rPr>
          <w:rFonts w:hint="eastAsia" w:ascii="宋体" w:hAnsi="宋体" w:eastAsia="宋体" w:cs="宋体"/>
          <w:color w:val="auto"/>
          <w:sz w:val="21"/>
          <w:szCs w:val="21"/>
          <w:highlight w:val="none"/>
        </w:rPr>
        <w:t>19. 磋商小组组成及磋商时间、地点、人员</w:t>
      </w:r>
      <w:bookmarkEnd w:id="95"/>
      <w:bookmarkEnd w:id="96"/>
    </w:p>
    <w:p w14:paraId="2F4D9AD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4E1AE6C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p w14:paraId="2D1973A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649A5AD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bookmarkStart w:id="97" w:name="_Toc9878"/>
      <w:r>
        <w:rPr>
          <w:rFonts w:hint="eastAsia" w:ascii="宋体" w:hAnsi="宋体" w:eastAsia="宋体" w:cs="宋体"/>
          <w:color w:val="auto"/>
          <w:szCs w:val="21"/>
          <w:highlight w:val="none"/>
        </w:rPr>
        <w:t>19.2.1磋商时间：响应文件递交截止时间后。</w:t>
      </w:r>
      <w:bookmarkEnd w:id="97"/>
    </w:p>
    <w:p w14:paraId="5FA8C6D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bookmarkStart w:id="98" w:name="_Toc29268"/>
      <w:r>
        <w:rPr>
          <w:rFonts w:hint="eastAsia" w:ascii="宋体" w:hAnsi="宋体" w:eastAsia="宋体" w:cs="宋体"/>
          <w:color w:val="auto"/>
          <w:szCs w:val="21"/>
          <w:highlight w:val="none"/>
          <w:lang w:val="en-US" w:eastAsia="zh-CN"/>
        </w:rPr>
        <w:t>19.2.2磋商地点</w:t>
      </w:r>
      <w:r>
        <w:rPr>
          <w:rFonts w:hint="eastAsia" w:ascii="宋体" w:hAnsi="宋体" w:eastAsia="宋体" w:cs="宋体"/>
          <w:color w:val="auto"/>
          <w:szCs w:val="21"/>
          <w:highlight w:val="none"/>
        </w:rPr>
        <w:t>：</w:t>
      </w:r>
      <w:bookmarkEnd w:id="98"/>
      <w:r>
        <w:rPr>
          <w:rFonts w:hint="eastAsia" w:ascii="宋体" w:hAnsi="宋体" w:eastAsia="宋体" w:cs="宋体"/>
          <w:color w:val="auto"/>
          <w:szCs w:val="21"/>
          <w:highlight w:val="none"/>
        </w:rPr>
        <w:t>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7F47CB6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99" w:name="_Toc21307"/>
      <w:r>
        <w:rPr>
          <w:rFonts w:hint="eastAsia" w:ascii="宋体" w:hAnsi="宋体" w:eastAsia="宋体" w:cs="宋体"/>
          <w:color w:val="auto"/>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w:t>
      </w:r>
      <w:r>
        <w:rPr>
          <w:rFonts w:hint="eastAsia" w:ascii="宋体" w:hAnsi="宋体" w:eastAsia="宋体" w:cs="宋体"/>
          <w:b w:val="0"/>
          <w:bCs/>
          <w:color w:val="auto"/>
          <w:sz w:val="21"/>
          <w:szCs w:val="21"/>
          <w:highlight w:val="none"/>
        </w:rPr>
        <w:t>委托代理人持</w:t>
      </w:r>
      <w:r>
        <w:rPr>
          <w:rFonts w:hint="eastAsia" w:ascii="宋体" w:hAnsi="宋体" w:eastAsia="宋体" w:cs="宋体"/>
          <w:b w:val="0"/>
          <w:bCs/>
          <w:color w:val="auto"/>
          <w:sz w:val="21"/>
          <w:szCs w:val="21"/>
          <w:highlight w:val="none"/>
          <w:u w:val="single"/>
        </w:rPr>
        <w:t>有效身份证</w:t>
      </w:r>
      <w:r>
        <w:rPr>
          <w:rFonts w:hint="eastAsia" w:ascii="宋体" w:hAnsi="宋体" w:eastAsia="宋体" w:cs="宋体"/>
          <w:b w:val="0"/>
          <w:bCs/>
          <w:color w:val="auto"/>
          <w:sz w:val="21"/>
          <w:szCs w:val="21"/>
          <w:highlight w:val="none"/>
          <w:u w:val="single"/>
          <w:lang w:eastAsia="zh-CN"/>
        </w:rPr>
        <w:t>原件</w:t>
      </w:r>
      <w:r>
        <w:rPr>
          <w:rFonts w:hint="eastAsia" w:ascii="宋体" w:hAnsi="宋体" w:eastAsia="宋体" w:cs="宋体"/>
          <w:b w:val="0"/>
          <w:bCs/>
          <w:color w:val="auto"/>
          <w:sz w:val="21"/>
          <w:szCs w:val="21"/>
          <w:highlight w:val="none"/>
        </w:rPr>
        <w:t>和</w:t>
      </w:r>
      <w:r>
        <w:rPr>
          <w:rFonts w:hint="eastAsia" w:ascii="宋体" w:hAnsi="宋体" w:eastAsia="宋体" w:cs="宋体"/>
          <w:b w:val="0"/>
          <w:bCs/>
          <w:color w:val="auto"/>
          <w:sz w:val="21"/>
          <w:szCs w:val="21"/>
          <w:highlight w:val="none"/>
        </w:rPr>
        <w:t>供应商</w:t>
      </w:r>
      <w:r>
        <w:rPr>
          <w:rFonts w:hint="eastAsia" w:ascii="宋体" w:hAnsi="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参加磋商。请供应商按时等候磋商。</w:t>
      </w:r>
      <w:bookmarkEnd w:id="99"/>
    </w:p>
    <w:p w14:paraId="50B3A6D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100"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00"/>
    </w:p>
    <w:p w14:paraId="5B1B91F5">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1" w:name="_Toc25258"/>
      <w:bookmarkStart w:id="102" w:name="_Toc21088"/>
      <w:r>
        <w:rPr>
          <w:rFonts w:hint="eastAsia" w:ascii="宋体" w:hAnsi="宋体" w:eastAsia="宋体" w:cs="宋体"/>
          <w:color w:val="auto"/>
          <w:sz w:val="21"/>
          <w:szCs w:val="21"/>
          <w:highlight w:val="none"/>
        </w:rPr>
        <w:t>20. 评审原则</w:t>
      </w:r>
      <w:bookmarkEnd w:id="101"/>
      <w:bookmarkEnd w:id="102"/>
    </w:p>
    <w:p w14:paraId="46C22C2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2BA4CF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47DFDEC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663EE8D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3A009E9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3B84001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437AD546">
      <w:pPr>
        <w:pStyle w:val="33"/>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5EFC641A">
      <w:pPr>
        <w:pStyle w:val="33"/>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6FC9B6AD">
      <w:pPr>
        <w:pStyle w:val="33"/>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总价金额与依据单价计算出的结果不一致的，以单价金额为准修正总价，但单价金额小数点有明显错误的除外；</w:t>
      </w:r>
    </w:p>
    <w:p w14:paraId="70B65916">
      <w:pPr>
        <w:pStyle w:val="33"/>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 当单价与数量相乘不等于合价时，以单价计算为准，如果单价有明显的小数点位置差错，应以标出的合价为准，同时对单价予以修正</w:t>
      </w:r>
      <w:r>
        <w:rPr>
          <w:rFonts w:hint="eastAsia" w:ascii="宋体" w:hAnsi="宋体" w:eastAsia="宋体" w:cs="宋体"/>
          <w:color w:val="auto"/>
          <w:highlight w:val="none"/>
        </w:rPr>
        <w:t>。</w:t>
      </w:r>
    </w:p>
    <w:p w14:paraId="45B29C64">
      <w:pPr>
        <w:pStyle w:val="33"/>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eastAsia="宋体" w:cs="宋体"/>
          <w:color w:val="auto"/>
          <w:highlight w:val="none"/>
        </w:rPr>
        <w:t>当各子目的合价累计不等于总价时，应以各子目合价累计数为准，修正总价。</w:t>
      </w:r>
    </w:p>
    <w:p w14:paraId="721EA8D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4E5C5D3">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3" w:name="_Toc27193"/>
      <w:bookmarkStart w:id="104" w:name="_Toc21012"/>
      <w:r>
        <w:rPr>
          <w:rFonts w:hint="eastAsia" w:ascii="宋体" w:hAnsi="宋体" w:eastAsia="宋体" w:cs="宋体"/>
          <w:color w:val="auto"/>
          <w:sz w:val="21"/>
          <w:szCs w:val="21"/>
          <w:highlight w:val="none"/>
        </w:rPr>
        <w:t>21. 评审程序及磋商要求</w:t>
      </w:r>
      <w:bookmarkEnd w:id="103"/>
      <w:bookmarkEnd w:id="104"/>
    </w:p>
    <w:p w14:paraId="3D252C5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21.1磋商小组成员的通讯工具或相关电子设备交由桂林市公共资源交易中心统一保管后到达评标室，采购 </w:t>
      </w:r>
    </w:p>
    <w:p w14:paraId="64256180">
      <w:pPr>
        <w:pageBreakBefore w:val="0"/>
        <w:widowControl w:val="0"/>
        <w:kinsoku/>
        <w:wordWrap/>
        <w:overflowPunct/>
        <w:topLinePunct w:val="0"/>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代理机构核实磋商小组成员身份，告知回避要求，宣布评审工作纪律和程序，推选磋商小组组长。</w:t>
      </w:r>
    </w:p>
    <w:p w14:paraId="5C3BAD6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51EF4F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724E5EDD">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208361B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0F6472B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66EDD48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77EB3C1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35AF66A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0F98262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1FDC0A77">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Cs w:val="21"/>
          <w:highlight w:val="none"/>
          <w:lang w:eastAsia="zh-CN"/>
        </w:rPr>
        <w:t>线上</w:t>
      </w:r>
      <w:r>
        <w:rPr>
          <w:rFonts w:hint="eastAsia" w:ascii="宋体" w:hAnsi="宋体" w:eastAsia="宋体" w:cs="宋体"/>
          <w:b/>
          <w:bCs/>
          <w:color w:val="auto"/>
          <w:szCs w:val="21"/>
          <w:highlight w:val="none"/>
        </w:rPr>
        <w:t>补正或更正。</w:t>
      </w:r>
    </w:p>
    <w:p w14:paraId="70417FD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个人</w:t>
      </w:r>
      <w:r>
        <w:rPr>
          <w:rFonts w:hint="eastAsia" w:ascii="宋体" w:hAnsi="宋体" w:cs="宋体"/>
          <w:color w:val="auto"/>
          <w:highlight w:val="none"/>
          <w:lang w:val="en-US" w:eastAsia="zh-CN"/>
        </w:rPr>
        <w:t>数字证书（CA认证）</w:t>
      </w:r>
      <w:r>
        <w:rPr>
          <w:rFonts w:hint="eastAsia" w:ascii="宋体" w:hAnsi="宋体" w:eastAsia="宋体" w:cs="宋体"/>
          <w:color w:val="auto"/>
          <w:highlight w:val="none"/>
          <w:lang w:val="en-US" w:eastAsia="zh-CN"/>
        </w:rPr>
        <w:t>签章)</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p>
    <w:p w14:paraId="41AB4AD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 </w:t>
      </w:r>
    </w:p>
    <w:p w14:paraId="20A42F2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未实质性响应磋商文件的响应文件按无效处理，磋商小组应当告知有关供应商。 </w:t>
      </w:r>
    </w:p>
    <w:p w14:paraId="0C4938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磋商小组所有成员应当按已确定的磋商顺序集中与单一供应商分别进行磋商，并给予所有实质性响应竞争性磋商文件要求的供应商平等的磋商机会。 </w:t>
      </w:r>
    </w:p>
    <w:p w14:paraId="2A76F96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0E33204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32D6CCF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1152D25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10FF0D8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对磋商文件作出的实质性变动是磋商文件的有效组成部分，磋商小组应当及时</w:t>
      </w:r>
      <w:r>
        <w:rPr>
          <w:rFonts w:hint="eastAsia" w:ascii="宋体" w:hAnsi="宋体" w:eastAsia="宋体" w:cs="宋体"/>
          <w:color w:val="auto"/>
          <w:szCs w:val="21"/>
          <w:highlight w:val="none"/>
          <w:lang w:eastAsia="zh-CN"/>
        </w:rPr>
        <w:t>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 xml:space="preserve">通知所有参加磋商的供应商。 </w:t>
      </w:r>
    </w:p>
    <w:p w14:paraId="2CD540A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供应商应当按照磋商文件的变动情况和磋商小组的要求重新提交响应文件，并由其法定代表人、负责人、</w:t>
      </w:r>
      <w:r>
        <w:rPr>
          <w:rFonts w:hint="eastAsia" w:ascii="宋体" w:hAnsi="宋体" w:eastAsia="宋体" w:cs="宋体"/>
          <w:color w:val="auto"/>
          <w:szCs w:val="21"/>
          <w:highlight w:val="none"/>
          <w:lang w:eastAsia="zh-CN"/>
        </w:rPr>
        <w:t>自然人或相应的授权委托代表签字（个人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 xml:space="preserve">。逾时不交的，视同放弃磋商。 </w:t>
      </w:r>
    </w:p>
    <w:p w14:paraId="24BBF4D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18B8A96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68EF8A7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后按时</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w:t>
      </w:r>
    </w:p>
    <w:p w14:paraId="5CF239E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0BAEF8C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3F59315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6FA799A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21.11.1 磋商文件能够详细列明采购标的的质量要求的，磋商结束后，磋商小组应当要求所有继续参加磋商的供应商在规定时间内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提交最后报价，提交最后报价的供应商不得少于 3 家。 </w:t>
      </w:r>
    </w:p>
    <w:p w14:paraId="7B71767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21.11.2 </w:t>
      </w:r>
      <w:r>
        <w:rPr>
          <w:rFonts w:hint="eastAsia" w:ascii="宋体" w:hAnsi="宋体" w:cs="宋体"/>
          <w:color w:val="auto"/>
          <w:szCs w:val="21"/>
          <w:highlight w:val="none"/>
        </w:rPr>
        <w:t>磋商文件不能详细列明采购标的的施工要求，需经磋商由供应商提供最终设计方案或解决方案的</w:t>
      </w:r>
      <w:r>
        <w:rPr>
          <w:rFonts w:hint="eastAsia" w:ascii="宋体" w:hAnsi="宋体" w:eastAsia="宋体" w:cs="宋体"/>
          <w:color w:val="auto"/>
          <w:szCs w:val="21"/>
          <w:highlight w:val="none"/>
        </w:rPr>
        <w:t>，磋商结束后，磋商小组应当按照少数服从多数的原则投票推荐 3 家以上（含 3 家）供应商的设计方案或者解决方案，并要求其在规定时间内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 </w:t>
      </w:r>
    </w:p>
    <w:p w14:paraId="58235D3F">
      <w:pPr>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21.11.3</w:t>
      </w:r>
      <w:r>
        <w:rPr>
          <w:rFonts w:hint="eastAsia" w:hAnsi="宋体" w:cs="宋体"/>
          <w:color w:val="auto"/>
          <w:kern w:val="0"/>
          <w:szCs w:val="21"/>
          <w:highlight w:val="none"/>
        </w:rPr>
        <w:t>最后报价（应答文件）是供应商响应文件的有效组成部分：</w:t>
      </w:r>
      <w:r>
        <w:rPr>
          <w:rFonts w:hint="eastAsia" w:hAnsi="宋体" w:cs="宋体"/>
          <w:b/>
          <w:color w:val="auto"/>
          <w:spacing w:val="-4"/>
          <w:szCs w:val="21"/>
          <w:highlight w:val="none"/>
        </w:rPr>
        <w:t>供应商做最终报价时，如供应商维持磋商报价不变</w:t>
      </w:r>
      <w:r>
        <w:rPr>
          <w:rFonts w:hint="eastAsia" w:hAnsi="宋体" w:cs="宋体"/>
          <w:b/>
          <w:color w:val="auto"/>
          <w:spacing w:val="-4"/>
          <w:szCs w:val="21"/>
          <w:highlight w:val="none"/>
          <w:lang w:eastAsia="zh-CN"/>
        </w:rPr>
        <w:t>，</w:t>
      </w:r>
      <w:r>
        <w:rPr>
          <w:rFonts w:hint="eastAsia" w:hAnsi="宋体" w:cs="宋体"/>
          <w:b/>
          <w:color w:val="auto"/>
          <w:spacing w:val="-4"/>
          <w:szCs w:val="21"/>
          <w:highlight w:val="none"/>
        </w:rPr>
        <w:t>以原磋商报价作为供应商最后报价；供应商应预先准备好调整后的完整已标价的工程量清单。如供应商在磋商过程中，改变原报价且未按竞争性磋商文件要求提供调整后的磋商报价</w:t>
      </w:r>
      <w:r>
        <w:rPr>
          <w:rFonts w:hint="eastAsia" w:hAnsi="宋体" w:cs="宋体"/>
          <w:b/>
          <w:color w:val="auto"/>
          <w:spacing w:val="-4"/>
          <w:szCs w:val="21"/>
          <w:highlight w:val="none"/>
          <w:lang w:eastAsia="zh-CN"/>
        </w:rPr>
        <w:t>电子</w:t>
      </w:r>
      <w:r>
        <w:rPr>
          <w:rFonts w:hint="eastAsia" w:hAnsi="宋体" w:cs="宋体"/>
          <w:b/>
          <w:color w:val="auto"/>
          <w:spacing w:val="-4"/>
          <w:szCs w:val="21"/>
          <w:highlight w:val="none"/>
        </w:rPr>
        <w:t>版的，其报价不予认可，视供应商维持原磋商报价不变</w:t>
      </w:r>
      <w:r>
        <w:rPr>
          <w:rFonts w:hint="eastAsia" w:hAnsi="宋体" w:cs="宋体"/>
          <w:b/>
          <w:color w:val="auto"/>
          <w:szCs w:val="21"/>
          <w:highlight w:val="none"/>
        </w:rPr>
        <w:t>。</w:t>
      </w:r>
      <w:r>
        <w:rPr>
          <w:rFonts w:hint="eastAsia" w:hAnsi="宋体" w:cs="宋体"/>
          <w:color w:val="auto"/>
          <w:spacing w:val="-4"/>
          <w:szCs w:val="21"/>
          <w:highlight w:val="none"/>
        </w:rPr>
        <w:t>必须由供应商</w:t>
      </w:r>
      <w:r>
        <w:rPr>
          <w:rFonts w:hint="eastAsia" w:ascii="宋体" w:hAnsi="宋体" w:eastAsia="宋体" w:cs="宋体"/>
          <w:color w:val="auto"/>
          <w:szCs w:val="21"/>
          <w:highlight w:val="none"/>
        </w:rPr>
        <w:t>加盖公章</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hAnsi="宋体" w:cs="宋体"/>
          <w:color w:val="auto"/>
          <w:spacing w:val="-4"/>
          <w:szCs w:val="21"/>
          <w:highlight w:val="none"/>
        </w:rPr>
        <w:t>。</w:t>
      </w:r>
    </w:p>
    <w:p w14:paraId="169EBEA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21.11.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根据《财政部关于政府采购竞争性磋商采购方式管理暂行办法有关问题的补充通知》</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2E60D78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根据《政府采购竞争性磋商采购方式管理暂行办法》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符合本办法(财库〔2014〕214号文)第三条第四项情形的，提交最后报价的供应商可以为2家。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7933A3A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4B286E9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未书面退出磋商的供应商在规定时间内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14:paraId="02B6525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02AB609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6F5CE6C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6F4352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21.15 采购代理机构发现磋商小组有明显的违规倾向或歧视现象，或不按评审办法进行，或其他不正常行为的，应当及时制止。如制止无效，应及时向政府采购监督管理机构报告。</w:t>
      </w:r>
    </w:p>
    <w:p w14:paraId="7206F6D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val="0"/>
          <w:bCs w:val="0"/>
          <w:color w:val="auto"/>
          <w:szCs w:val="21"/>
          <w:highlight w:val="none"/>
        </w:rPr>
        <w:t>综合评分法。</w:t>
      </w:r>
    </w:p>
    <w:p w14:paraId="00683921">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5" w:name="_Toc18722"/>
      <w:bookmarkStart w:id="106" w:name="_Toc32470"/>
      <w:r>
        <w:rPr>
          <w:rFonts w:hint="eastAsia" w:ascii="宋体" w:hAnsi="宋体" w:eastAsia="宋体" w:cs="宋体"/>
          <w:color w:val="auto"/>
          <w:sz w:val="21"/>
          <w:szCs w:val="21"/>
          <w:highlight w:val="none"/>
        </w:rPr>
        <w:t>22. 确定成交供应商</w:t>
      </w:r>
      <w:bookmarkEnd w:id="105"/>
      <w:bookmarkEnd w:id="106"/>
    </w:p>
    <w:p w14:paraId="77898CB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05D3807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22.2采购单位应当确定磋商小组推荐排名第一的成交候选人为成交供应商。</w:t>
      </w:r>
    </w:p>
    <w:p w14:paraId="1642178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6695C1A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22.4排名第二的成交候选人因前款规定的同样原因不能签订合同的，采购单位可以确定排名第三的成交候选人为成交供应商。</w:t>
      </w:r>
    </w:p>
    <w:p w14:paraId="2262DE7C">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7" w:name="_Toc21715"/>
      <w:bookmarkStart w:id="108" w:name="_Toc15332"/>
      <w:r>
        <w:rPr>
          <w:rFonts w:hint="eastAsia" w:ascii="宋体" w:hAnsi="宋体" w:eastAsia="宋体" w:cs="宋体"/>
          <w:color w:val="auto"/>
          <w:sz w:val="21"/>
          <w:szCs w:val="21"/>
          <w:highlight w:val="none"/>
        </w:rPr>
        <w:t>23. 属于下列情况之一者，响应文件无效</w:t>
      </w:r>
      <w:bookmarkEnd w:id="107"/>
      <w:bookmarkEnd w:id="108"/>
    </w:p>
    <w:p w14:paraId="5829B76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rPr>
        <w:t>提交响应文件或未按规定要求</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的；</w:t>
      </w:r>
    </w:p>
    <w:p w14:paraId="2CD27D4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0D06AE4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4AC7074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）响应文件未按磋商文件的内容和要求编制，或提供虚假材料的；</w:t>
      </w:r>
    </w:p>
    <w:p w14:paraId="520E2AB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响应文件有效期、质量要求、工期要求不能满足采购文件要求的</w:t>
      </w:r>
      <w:r>
        <w:rPr>
          <w:rFonts w:hint="eastAsia" w:ascii="宋体" w:hAnsi="宋体" w:eastAsia="宋体" w:cs="宋体"/>
          <w:color w:val="auto"/>
          <w:szCs w:val="21"/>
          <w:highlight w:val="none"/>
        </w:rPr>
        <w:t>；</w:t>
      </w:r>
    </w:p>
    <w:p w14:paraId="518BAFE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）未在磋商小组规定的时间内提交响应文件(包括最后报价)的；</w:t>
      </w:r>
    </w:p>
    <w:p w14:paraId="042F9A5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）超越了按照法律法规规定必须获得行政许可或者行政审批的经营范围的；</w:t>
      </w:r>
    </w:p>
    <w:p w14:paraId="1651000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）未满足磋商文件实质性要求的或者响应文件有采购人不能接受的附加条件的；</w:t>
      </w:r>
    </w:p>
    <w:p w14:paraId="662203C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）响应文件实质性要求未做变动，供应商最后报价高于第一次报价的；</w:t>
      </w:r>
    </w:p>
    <w:p w14:paraId="2900EF9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）不符合法律、法规和磋商文件规定的其他实质性要求和条件的。</w:t>
      </w:r>
    </w:p>
    <w:p w14:paraId="44A55FC0">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58DDBD5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46DB55D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5FEA1AC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0D6F581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65AFAC5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w:t>
      </w:r>
      <w:r>
        <w:rPr>
          <w:rFonts w:hint="eastAsia" w:ascii="宋体" w:hAnsi="宋体" w:cs="宋体"/>
          <w:color w:val="auto"/>
          <w:szCs w:val="21"/>
          <w:highlight w:val="none"/>
          <w:lang w:eastAsia="zh-CN"/>
        </w:rPr>
        <w:t>编</w:t>
      </w:r>
      <w:r>
        <w:rPr>
          <w:rFonts w:hint="eastAsia" w:ascii="宋体" w:hAnsi="宋体" w:eastAsia="宋体" w:cs="宋体"/>
          <w:color w:val="auto"/>
          <w:szCs w:val="21"/>
          <w:highlight w:val="none"/>
        </w:rPr>
        <w:t>。</w:t>
      </w:r>
    </w:p>
    <w:p w14:paraId="343AEEE0">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9" w:name="_Toc27786"/>
      <w:bookmarkStart w:id="110"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09"/>
      <w:bookmarkEnd w:id="110"/>
    </w:p>
    <w:p w14:paraId="769AB5A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0EE55FA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1055955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14:paraId="7F3C74E0">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1" w:name="_Toc19105"/>
      <w:bookmarkStart w:id="112" w:name="_Toc19910"/>
      <w:r>
        <w:rPr>
          <w:rFonts w:hint="eastAsia" w:ascii="宋体" w:hAnsi="宋体" w:eastAsia="宋体" w:cs="宋体"/>
          <w:color w:val="auto"/>
          <w:sz w:val="21"/>
          <w:szCs w:val="21"/>
          <w:highlight w:val="none"/>
        </w:rPr>
        <w:t>25. 磋商过程的监控</w:t>
      </w:r>
      <w:bookmarkEnd w:id="111"/>
      <w:bookmarkEnd w:id="112"/>
    </w:p>
    <w:p w14:paraId="2F7FA37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1239A9D4">
      <w:pPr>
        <w:pStyle w:val="6"/>
        <w:pageBreakBefore w:val="0"/>
        <w:widowControl w:val="0"/>
        <w:numPr>
          <w:ilvl w:val="0"/>
          <w:numId w:val="5"/>
        </w:numPr>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3" w:name="_Toc26291"/>
      <w:bookmarkStart w:id="114" w:name="_Toc14787"/>
      <w:r>
        <w:rPr>
          <w:rFonts w:hint="eastAsia" w:ascii="宋体" w:hAnsi="宋体" w:eastAsia="宋体" w:cs="宋体"/>
          <w:color w:val="auto"/>
          <w:sz w:val="21"/>
          <w:szCs w:val="21"/>
          <w:highlight w:val="none"/>
        </w:rPr>
        <w:t>信用查询</w:t>
      </w:r>
      <w:bookmarkEnd w:id="113"/>
      <w:bookmarkEnd w:id="114"/>
    </w:p>
    <w:p w14:paraId="1C171E3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4B31D6BE">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3BA2A31D">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64B16892">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78F77DC8">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CF0512B">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5" w:name="_Toc9438"/>
      <w:bookmarkStart w:id="116" w:name="_Toc25468"/>
      <w:r>
        <w:rPr>
          <w:rFonts w:hint="eastAsia" w:ascii="宋体" w:hAnsi="宋体" w:eastAsia="宋体" w:cs="宋体"/>
          <w:color w:val="auto"/>
          <w:sz w:val="21"/>
          <w:szCs w:val="21"/>
          <w:highlight w:val="none"/>
        </w:rPr>
        <w:t>27. 成交结果公告及成交通知书</w:t>
      </w:r>
      <w:bookmarkEnd w:id="115"/>
      <w:bookmarkEnd w:id="116"/>
    </w:p>
    <w:p w14:paraId="540FF5A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BF35FC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79B80E3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val="0"/>
          <w:color w:val="auto"/>
          <w:szCs w:val="28"/>
          <w:highlight w:val="none"/>
        </w:rPr>
      </w:pPr>
      <w:r>
        <w:rPr>
          <w:rFonts w:hint="eastAsia" w:ascii="宋体" w:hAnsi="宋体" w:eastAsia="宋体" w:cs="宋体"/>
          <w:color w:val="auto"/>
          <w:szCs w:val="21"/>
          <w:highlight w:val="none"/>
        </w:rPr>
        <w:t>27.3 采购代理机构无义务向未成交的供应商解释未成交原因和退还响应文件。</w:t>
      </w:r>
      <w:bookmarkStart w:id="117" w:name="_Toc25593"/>
    </w:p>
    <w:p w14:paraId="46BC21B1">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118" w:name="_Toc24102"/>
      <w:bookmarkStart w:id="119" w:name="_Toc29518"/>
      <w:r>
        <w:rPr>
          <w:rFonts w:hint="eastAsia" w:ascii="宋体" w:hAnsi="宋体" w:eastAsia="宋体" w:cs="宋体"/>
          <w:b/>
          <w:bCs w:val="0"/>
          <w:color w:val="auto"/>
          <w:szCs w:val="28"/>
          <w:highlight w:val="none"/>
        </w:rPr>
        <w:t>五、签订合同</w:t>
      </w:r>
      <w:bookmarkEnd w:id="117"/>
      <w:bookmarkEnd w:id="118"/>
      <w:bookmarkEnd w:id="119"/>
    </w:p>
    <w:p w14:paraId="434CDE90">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highlight w:val="none"/>
        </w:rPr>
      </w:pPr>
      <w:bookmarkStart w:id="120" w:name="_Toc1032"/>
      <w:bookmarkStart w:id="121" w:name="_Toc26520"/>
      <w:r>
        <w:rPr>
          <w:rFonts w:hint="eastAsia" w:ascii="宋体" w:hAnsi="宋体" w:eastAsia="宋体" w:cs="宋体"/>
          <w:color w:val="auto"/>
          <w:sz w:val="21"/>
          <w:szCs w:val="21"/>
          <w:highlight w:val="none"/>
        </w:rPr>
        <w:t>28. 履约保证金</w:t>
      </w:r>
      <w:bookmarkEnd w:id="120"/>
      <w:bookmarkEnd w:id="121"/>
    </w:p>
    <w:p w14:paraId="646F679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bookmarkStart w:id="122" w:name="_Toc4956"/>
      <w:bookmarkStart w:id="123" w:name="_Toc22004"/>
      <w:r>
        <w:rPr>
          <w:rFonts w:hint="eastAsia" w:ascii="宋体" w:hAnsi="宋体" w:cs="宋体"/>
          <w:color w:val="auto"/>
          <w:szCs w:val="21"/>
          <w:highlight w:val="none"/>
          <w:lang w:eastAsia="zh-CN"/>
        </w:rPr>
        <w:t>本项目不收取履约保证金</w:t>
      </w:r>
      <w:r>
        <w:rPr>
          <w:rFonts w:hint="eastAsia" w:ascii="宋体" w:hAnsi="宋体" w:eastAsia="宋体" w:cs="宋体"/>
          <w:color w:val="auto"/>
          <w:szCs w:val="21"/>
          <w:highlight w:val="none"/>
        </w:rPr>
        <w:t>。</w:t>
      </w:r>
    </w:p>
    <w:p w14:paraId="1DC85F08">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22"/>
      <w:bookmarkEnd w:id="123"/>
    </w:p>
    <w:p w14:paraId="33E29CFD">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w:t>
      </w:r>
      <w:r>
        <w:rPr>
          <w:rFonts w:hint="eastAsia" w:ascii="宋体" w:hAnsi="宋体" w:eastAsia="宋体" w:cs="宋体"/>
          <w:b/>
          <w:bCs/>
          <w:color w:val="auto"/>
          <w:szCs w:val="21"/>
          <w:highlight w:val="none"/>
          <w:lang w:eastAsia="zh-CN"/>
        </w:rPr>
        <w:t>成交通知书</w:t>
      </w:r>
      <w:r>
        <w:rPr>
          <w:rFonts w:hint="eastAsia" w:ascii="宋体" w:hAnsi="宋体" w:eastAsia="宋体" w:cs="宋体"/>
          <w:b/>
          <w:bCs/>
          <w:color w:val="auto"/>
          <w:szCs w:val="21"/>
          <w:highlight w:val="none"/>
        </w:rPr>
        <w:t>发出之日起8个工作日内签订合同。成交供应商领取成交通知书后，应按规定与采购人签订合同。</w:t>
      </w:r>
    </w:p>
    <w:p w14:paraId="65D2FD4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18FA647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028EAA1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3D6B661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6C4020D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29.3 合同备案存档：</w:t>
      </w: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广西凯胜建设项目管理咨询有限公司</w:t>
      </w:r>
      <w:r>
        <w:rPr>
          <w:rFonts w:hint="eastAsia" w:ascii="宋体" w:hAnsi="宋体" w:eastAsia="宋体" w:cs="宋体"/>
          <w:color w:val="auto"/>
          <w:highlight w:val="none"/>
        </w:rPr>
        <w:t>存档。</w:t>
      </w:r>
    </w:p>
    <w:p w14:paraId="6AF32E94">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sectPr>
          <w:pgSz w:w="11906" w:h="16838"/>
          <w:pgMar w:top="1418" w:right="1115" w:bottom="1418" w:left="1131" w:header="851" w:footer="992" w:gutter="0"/>
          <w:pgNumType w:fmt="decimal"/>
          <w:cols w:space="720" w:num="1"/>
          <w:titlePg/>
          <w:docGrid w:type="lines" w:linePitch="312" w:charSpace="0"/>
        </w:sectPr>
      </w:pPr>
      <w:bookmarkStart w:id="124" w:name="_Toc17898"/>
      <w:bookmarkStart w:id="125" w:name="_Toc16348"/>
    </w:p>
    <w:p w14:paraId="442F8591">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126" w:name="_Toc30713"/>
      <w:r>
        <w:rPr>
          <w:rFonts w:hint="eastAsia" w:ascii="宋体" w:hAnsi="宋体" w:eastAsia="宋体" w:cs="宋体"/>
          <w:b/>
          <w:bCs w:val="0"/>
          <w:color w:val="auto"/>
          <w:szCs w:val="28"/>
          <w:highlight w:val="none"/>
        </w:rPr>
        <w:t>六、其他事项</w:t>
      </w:r>
      <w:bookmarkEnd w:id="124"/>
      <w:bookmarkEnd w:id="125"/>
      <w:bookmarkEnd w:id="126"/>
    </w:p>
    <w:p w14:paraId="12E8D8EC">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7" w:name="_Toc29572"/>
      <w:bookmarkStart w:id="128" w:name="_Toc28647"/>
      <w:r>
        <w:rPr>
          <w:rFonts w:hint="eastAsia" w:ascii="宋体" w:hAnsi="宋体" w:eastAsia="宋体" w:cs="宋体"/>
          <w:color w:val="auto"/>
          <w:sz w:val="21"/>
          <w:szCs w:val="21"/>
          <w:highlight w:val="none"/>
        </w:rPr>
        <w:t>30. 采购代理服务费</w:t>
      </w:r>
      <w:bookmarkEnd w:id="127"/>
      <w:bookmarkEnd w:id="128"/>
    </w:p>
    <w:p w14:paraId="7C906D30">
      <w:pPr>
        <w:spacing w:line="400" w:lineRule="exact"/>
        <w:ind w:firstLine="420"/>
        <w:rPr>
          <w:rFonts w:hint="eastAsia" w:ascii="宋体" w:hAnsi="宋体" w:eastAsia="宋体" w:cs="宋体"/>
          <w:color w:val="auto"/>
          <w:szCs w:val="21"/>
          <w:highlight w:val="none"/>
        </w:rPr>
      </w:pPr>
      <w:bookmarkStart w:id="129" w:name="_Toc12374"/>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成交供应商领取成交通知书前，</w:t>
      </w:r>
      <w:r>
        <w:rPr>
          <w:rFonts w:hint="eastAsia" w:ascii="宋体" w:hAnsi="宋体" w:eastAsia="宋体" w:cs="宋体"/>
          <w:color w:val="auto"/>
          <w:szCs w:val="21"/>
          <w:highlight w:val="none"/>
        </w:rPr>
        <w:t>向</w:t>
      </w:r>
      <w:r>
        <w:rPr>
          <w:rFonts w:hint="eastAsia" w:ascii="宋体" w:hAnsi="宋体" w:cs="宋体"/>
          <w:color w:val="auto"/>
          <w:highlight w:val="none"/>
          <w:lang w:eastAsia="zh-CN"/>
        </w:rPr>
        <w:t>广西凯胜建设项目管理咨询有限公司</w:t>
      </w:r>
      <w:r>
        <w:rPr>
          <w:rFonts w:hint="eastAsia" w:ascii="宋体" w:hAnsi="宋体" w:eastAsia="宋体" w:cs="宋体"/>
          <w:color w:val="auto"/>
          <w:highlight w:val="none"/>
        </w:rPr>
        <w:t>一次性付清代理服务费。</w:t>
      </w:r>
      <w:r>
        <w:rPr>
          <w:rFonts w:hint="eastAsia" w:ascii="宋体" w:hAnsi="宋体" w:eastAsia="宋体" w:cs="宋体"/>
          <w:color w:val="auto"/>
          <w:szCs w:val="21"/>
          <w:highlight w:val="none"/>
        </w:rPr>
        <w:t>本项目招标代理服务收费标准参照计价格[2002]1980号《招标代理服务收费管理暂行办法》</w:t>
      </w:r>
      <w:r>
        <w:rPr>
          <w:rFonts w:hint="eastAsia" w:ascii="宋体" w:hAnsi="宋体" w:eastAsia="宋体" w:cs="宋体"/>
          <w:color w:val="auto"/>
          <w:szCs w:val="21"/>
          <w:highlight w:val="none"/>
          <w:lang w:eastAsia="zh-CN"/>
        </w:rPr>
        <w:t>工程</w:t>
      </w:r>
      <w:r>
        <w:rPr>
          <w:rFonts w:hint="eastAsia" w:ascii="宋体" w:hAnsi="宋体" w:eastAsia="宋体" w:cs="宋体"/>
          <w:color w:val="auto"/>
          <w:szCs w:val="21"/>
          <w:highlight w:val="none"/>
        </w:rPr>
        <w:t>类收费标准向</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收取。</w:t>
      </w:r>
    </w:p>
    <w:tbl>
      <w:tblPr>
        <w:tblStyle w:val="29"/>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2006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76DDD9FD">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           服务类型</w:t>
            </w:r>
          </w:p>
          <w:p w14:paraId="56D7EE13">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14:paraId="7F3E1B0E">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841" w:type="dxa"/>
            <w:noWrap w:val="0"/>
            <w:vAlign w:val="center"/>
          </w:tcPr>
          <w:p w14:paraId="64375903">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992" w:type="dxa"/>
            <w:noWrap w:val="0"/>
            <w:vAlign w:val="center"/>
          </w:tcPr>
          <w:p w14:paraId="2E9358C7">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2293" w:type="dxa"/>
            <w:noWrap w:val="0"/>
            <w:vAlign w:val="center"/>
          </w:tcPr>
          <w:p w14:paraId="1001E936">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606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65D7B779">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41" w:type="dxa"/>
            <w:noWrap w:val="0"/>
            <w:vAlign w:val="top"/>
          </w:tcPr>
          <w:p w14:paraId="44C93FCE">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2" w:type="dxa"/>
            <w:noWrap w:val="0"/>
            <w:vAlign w:val="top"/>
          </w:tcPr>
          <w:p w14:paraId="023F85A5">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93" w:type="dxa"/>
            <w:noWrap w:val="0"/>
            <w:vAlign w:val="top"/>
          </w:tcPr>
          <w:p w14:paraId="2DA8460B">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B6D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55C53E07">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41" w:type="dxa"/>
            <w:noWrap w:val="0"/>
            <w:vAlign w:val="top"/>
          </w:tcPr>
          <w:p w14:paraId="7715CBFD">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2" w:type="dxa"/>
            <w:noWrap w:val="0"/>
            <w:vAlign w:val="top"/>
          </w:tcPr>
          <w:p w14:paraId="341AD6E8">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293" w:type="dxa"/>
            <w:noWrap w:val="0"/>
            <w:vAlign w:val="top"/>
          </w:tcPr>
          <w:p w14:paraId="673E9A21">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079C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CEFE07E">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41" w:type="dxa"/>
            <w:noWrap w:val="0"/>
            <w:vAlign w:val="top"/>
          </w:tcPr>
          <w:p w14:paraId="66AD6315">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992" w:type="dxa"/>
            <w:noWrap w:val="0"/>
            <w:vAlign w:val="top"/>
          </w:tcPr>
          <w:p w14:paraId="16A6A3BD">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293" w:type="dxa"/>
            <w:noWrap w:val="0"/>
            <w:vAlign w:val="top"/>
          </w:tcPr>
          <w:p w14:paraId="62971782">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5234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048F7CA">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41" w:type="dxa"/>
            <w:noWrap w:val="0"/>
            <w:vAlign w:val="top"/>
          </w:tcPr>
          <w:p w14:paraId="53817DFB">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992" w:type="dxa"/>
            <w:noWrap w:val="0"/>
            <w:vAlign w:val="top"/>
          </w:tcPr>
          <w:p w14:paraId="2DFAC183">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293" w:type="dxa"/>
            <w:noWrap w:val="0"/>
            <w:vAlign w:val="top"/>
          </w:tcPr>
          <w:p w14:paraId="498A0E5B">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391F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A377528">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41" w:type="dxa"/>
            <w:noWrap w:val="0"/>
            <w:vAlign w:val="top"/>
          </w:tcPr>
          <w:p w14:paraId="63A0C002">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992" w:type="dxa"/>
            <w:noWrap w:val="0"/>
            <w:vAlign w:val="top"/>
          </w:tcPr>
          <w:p w14:paraId="470BDF33">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293" w:type="dxa"/>
            <w:noWrap w:val="0"/>
            <w:vAlign w:val="top"/>
          </w:tcPr>
          <w:p w14:paraId="6C315D80">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14:paraId="00D45EAE">
      <w:pPr>
        <w:spacing w:before="0" w:after="0" w:line="400" w:lineRule="exact"/>
        <w:ind w:left="25" w:firstLine="0" w:firstLineChars="0"/>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注：招标代理服务收费按差额定率累进法计算。</w:t>
      </w:r>
    </w:p>
    <w:p w14:paraId="1053FF12">
      <w:pPr>
        <w:spacing w:before="0" w:after="0" w:line="400" w:lineRule="exact"/>
        <w:ind w:firstLine="422"/>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30.2</w:t>
      </w:r>
      <w:r>
        <w:rPr>
          <w:rFonts w:hint="eastAsia" w:ascii="宋体" w:hAnsi="宋体" w:eastAsia="宋体" w:cs="宋体"/>
          <w:b w:val="0"/>
          <w:bCs/>
          <w:color w:val="auto"/>
          <w:highlight w:val="none"/>
        </w:rPr>
        <w:t>招标代理服务费缴纳账户：</w:t>
      </w:r>
    </w:p>
    <w:p w14:paraId="6973A455">
      <w:pPr>
        <w:pageBreakBefore w:val="0"/>
        <w:widowControl w:val="0"/>
        <w:kinsoku/>
        <w:wordWrap/>
        <w:overflowPunct/>
        <w:topLinePunct w:val="0"/>
        <w:bidi w:val="0"/>
        <w:spacing w:line="440" w:lineRule="exact"/>
        <w:ind w:firstLine="420" w:firstLineChars="200"/>
        <w:textAlignment w:val="auto"/>
        <w:rPr>
          <w:rStyle w:val="34"/>
          <w:rFonts w:hint="eastAsia" w:ascii="宋体" w:hAnsi="宋体" w:eastAsia="宋体" w:cs="宋体"/>
          <w:b w:val="0"/>
          <w:bCs/>
          <w:color w:val="auto"/>
          <w:sz w:val="21"/>
          <w:szCs w:val="21"/>
          <w:highlight w:val="none"/>
          <w:lang w:val="en-US" w:eastAsia="zh-CN"/>
        </w:rPr>
      </w:pPr>
      <w:bookmarkStart w:id="130" w:name="_Toc9779"/>
      <w:r>
        <w:rPr>
          <w:rStyle w:val="34"/>
          <w:rFonts w:hint="eastAsia" w:ascii="宋体" w:hAnsi="宋体" w:eastAsia="宋体" w:cs="宋体"/>
          <w:b w:val="0"/>
          <w:bCs/>
          <w:color w:val="auto"/>
          <w:sz w:val="21"/>
          <w:szCs w:val="21"/>
          <w:highlight w:val="none"/>
          <w:lang w:val="en-US"/>
        </w:rPr>
        <w:t>开户名称：</w:t>
      </w:r>
      <w:r>
        <w:rPr>
          <w:rStyle w:val="34"/>
          <w:rFonts w:hint="eastAsia" w:ascii="宋体" w:hAnsi="宋体" w:cs="宋体"/>
          <w:b w:val="0"/>
          <w:bCs/>
          <w:color w:val="auto"/>
          <w:sz w:val="21"/>
          <w:szCs w:val="21"/>
          <w:highlight w:val="none"/>
          <w:lang w:val="en-US" w:eastAsia="zh-CN"/>
        </w:rPr>
        <w:t>广西凯胜建设项目管理咨询有限公司</w:t>
      </w:r>
    </w:p>
    <w:p w14:paraId="03077E17">
      <w:pPr>
        <w:spacing w:before="108" w:line="221" w:lineRule="auto"/>
        <w:ind w:left="7" w:firstLine="400" w:firstLineChars="200"/>
        <w:rPr>
          <w:rFonts w:ascii="宋体" w:hAnsi="宋体" w:eastAsia="宋体" w:cs="宋体"/>
          <w:color w:val="auto"/>
          <w:lang w:eastAsia="zh-CN"/>
        </w:rPr>
      </w:pPr>
      <w:r>
        <w:rPr>
          <w:rFonts w:ascii="宋体" w:hAnsi="宋体" w:eastAsia="宋体" w:cs="宋体"/>
          <w:color w:val="auto"/>
          <w:spacing w:val="-5"/>
          <w:lang w:eastAsia="zh-CN"/>
        </w:rPr>
        <w:t>开户银行：</w:t>
      </w:r>
      <w:r>
        <w:rPr>
          <w:rFonts w:hint="eastAsia" w:ascii="宋体" w:hAnsi="宋体" w:cs="宋体"/>
          <w:color w:val="auto"/>
          <w:lang w:eastAsia="zh-CN"/>
        </w:rPr>
        <w:t>广西北部湾银行股份有限公司龙胜支行</w:t>
      </w:r>
    </w:p>
    <w:p w14:paraId="0090F76B">
      <w:pPr>
        <w:spacing w:before="110" w:line="221" w:lineRule="auto"/>
        <w:ind w:left="7" w:firstLine="396" w:firstLineChars="200"/>
        <w:rPr>
          <w:rFonts w:ascii="宋体" w:hAnsi="宋体" w:eastAsia="宋体" w:cs="宋体"/>
          <w:color w:val="auto"/>
          <w:lang w:eastAsia="zh-CN"/>
        </w:rPr>
      </w:pPr>
      <w:r>
        <w:rPr>
          <w:rFonts w:ascii="宋体" w:hAnsi="宋体" w:eastAsia="宋体" w:cs="宋体"/>
          <w:color w:val="auto"/>
          <w:spacing w:val="-6"/>
          <w:lang w:eastAsia="zh-CN"/>
        </w:rPr>
        <w:t>银行账号：</w:t>
      </w:r>
      <w:r>
        <w:rPr>
          <w:rFonts w:hint="eastAsia" w:ascii="宋体" w:hAnsi="宋体" w:eastAsia="宋体" w:cs="宋体"/>
          <w:color w:val="auto"/>
          <w:spacing w:val="-6"/>
          <w:lang w:eastAsia="zh-CN"/>
        </w:rPr>
        <w:t>805478134200001</w:t>
      </w:r>
    </w:p>
    <w:p w14:paraId="33966A62">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Cs w:val="21"/>
          <w:highlight w:val="none"/>
        </w:rPr>
      </w:pPr>
      <w:r>
        <w:rPr>
          <w:rStyle w:val="34"/>
          <w:rFonts w:hint="eastAsia" w:ascii="宋体" w:hAnsi="宋体" w:eastAsia="宋体" w:cs="宋体"/>
          <w:color w:val="auto"/>
          <w:sz w:val="21"/>
          <w:szCs w:val="21"/>
          <w:highlight w:val="none"/>
        </w:rPr>
        <w:t>31. 解释权</w:t>
      </w:r>
      <w:bookmarkEnd w:id="129"/>
      <w:bookmarkEnd w:id="130"/>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4F5AA04B">
      <w:pPr>
        <w:spacing w:line="360" w:lineRule="exact"/>
        <w:ind w:left="315"/>
        <w:rPr>
          <w:rFonts w:ascii="宋体" w:hAnsi="宋体"/>
          <w:color w:val="auto"/>
          <w:highlight w:val="none"/>
        </w:rPr>
      </w:pPr>
      <w:bookmarkStart w:id="131" w:name="_Toc32738"/>
      <w:r>
        <w:rPr>
          <w:rStyle w:val="34"/>
          <w:rFonts w:hint="eastAsia" w:ascii="宋体" w:hAnsi="宋体" w:eastAsia="宋体" w:cs="宋体"/>
          <w:color w:val="auto"/>
          <w:sz w:val="21"/>
          <w:szCs w:val="21"/>
          <w:highlight w:val="none"/>
        </w:rPr>
        <w:t>32. 监督管理机构</w:t>
      </w:r>
      <w:bookmarkEnd w:id="131"/>
      <w:r>
        <w:rPr>
          <w:rFonts w:hint="eastAsia" w:ascii="宋体" w:hAnsi="宋体" w:eastAsia="宋体" w:cs="宋体"/>
          <w:color w:val="auto"/>
          <w:szCs w:val="21"/>
          <w:highlight w:val="none"/>
        </w:rPr>
        <w:t>：龙胜县财政局，联系电话：0773-7511322</w:t>
      </w:r>
    </w:p>
    <w:p w14:paraId="6FE11913">
      <w:pPr>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Cs w:val="21"/>
          <w:highlight w:val="none"/>
          <w:lang w:eastAsia="zh-CN"/>
        </w:rPr>
      </w:pPr>
    </w:p>
    <w:p w14:paraId="0976D8F3">
      <w:pPr>
        <w:pageBreakBefore w:val="0"/>
        <w:widowControl w:val="0"/>
        <w:kinsoku/>
        <w:wordWrap/>
        <w:overflowPunct/>
        <w:topLinePunct w:val="0"/>
        <w:bidi w:val="0"/>
        <w:spacing w:line="440" w:lineRule="exact"/>
        <w:textAlignment w:val="auto"/>
        <w:rPr>
          <w:rFonts w:hint="eastAsia"/>
          <w:color w:val="auto"/>
          <w:highlight w:val="none"/>
          <w:lang w:eastAsia="zh-CN"/>
        </w:rPr>
      </w:pPr>
    </w:p>
    <w:p w14:paraId="5C4E2DC8">
      <w:pPr>
        <w:pStyle w:val="13"/>
        <w:rPr>
          <w:rFonts w:hint="eastAsia"/>
          <w:color w:val="auto"/>
          <w:highlight w:val="none"/>
          <w:lang w:eastAsia="zh-CN"/>
        </w:rPr>
      </w:pPr>
    </w:p>
    <w:p w14:paraId="172E4B68">
      <w:pPr>
        <w:pStyle w:val="13"/>
        <w:rPr>
          <w:rFonts w:hint="eastAsia"/>
          <w:color w:val="auto"/>
          <w:highlight w:val="none"/>
          <w:lang w:eastAsia="zh-CN"/>
        </w:rPr>
      </w:pPr>
    </w:p>
    <w:p w14:paraId="7251967D">
      <w:pPr>
        <w:pStyle w:val="13"/>
        <w:rPr>
          <w:rFonts w:hint="eastAsia"/>
          <w:color w:val="auto"/>
          <w:highlight w:val="none"/>
          <w:lang w:eastAsia="zh-CN"/>
        </w:rPr>
      </w:pPr>
    </w:p>
    <w:p w14:paraId="6114636C">
      <w:pPr>
        <w:snapToGrid w:val="0"/>
        <w:rPr>
          <w:rFonts w:hint="eastAsia"/>
          <w:b/>
          <w:color w:val="auto"/>
          <w:kern w:val="0"/>
          <w:sz w:val="24"/>
          <w:highlight w:val="none"/>
        </w:rPr>
      </w:pPr>
    </w:p>
    <w:p w14:paraId="2570F115">
      <w:pPr>
        <w:snapToGrid w:val="0"/>
        <w:rPr>
          <w:rFonts w:hint="eastAsia"/>
          <w:b/>
          <w:color w:val="auto"/>
          <w:kern w:val="0"/>
          <w:sz w:val="24"/>
          <w:highlight w:val="none"/>
        </w:rPr>
      </w:pPr>
    </w:p>
    <w:p w14:paraId="4BE61950">
      <w:pPr>
        <w:snapToGrid w:val="0"/>
        <w:rPr>
          <w:rFonts w:hint="eastAsia"/>
          <w:b/>
          <w:color w:val="auto"/>
          <w:kern w:val="0"/>
          <w:sz w:val="24"/>
          <w:highlight w:val="none"/>
        </w:rPr>
        <w:sectPr>
          <w:pgSz w:w="11906" w:h="16838"/>
          <w:pgMar w:top="1418" w:right="1115" w:bottom="1418" w:left="1131" w:header="851" w:footer="992" w:gutter="0"/>
          <w:pgNumType w:fmt="decimal"/>
          <w:cols w:space="720" w:num="1"/>
          <w:titlePg/>
          <w:docGrid w:type="lines" w:linePitch="312" w:charSpace="0"/>
        </w:sectPr>
      </w:pPr>
    </w:p>
    <w:p w14:paraId="3C37D170">
      <w:pPr>
        <w:snapToGrid w:val="0"/>
        <w:rPr>
          <w:rFonts w:hint="eastAsia"/>
          <w:b/>
          <w:color w:val="auto"/>
          <w:kern w:val="0"/>
          <w:sz w:val="24"/>
          <w:highlight w:val="none"/>
        </w:rPr>
      </w:pPr>
    </w:p>
    <w:p w14:paraId="397D7E14">
      <w:pPr>
        <w:snapToGrid w:val="0"/>
        <w:rPr>
          <w:rFonts w:hAnsi="宋体"/>
          <w:b/>
          <w:color w:val="auto"/>
          <w:kern w:val="0"/>
          <w:sz w:val="24"/>
          <w:highlight w:val="none"/>
        </w:rPr>
      </w:pPr>
      <w:r>
        <w:rPr>
          <w:rFonts w:hint="eastAsia"/>
          <w:b/>
          <w:color w:val="auto"/>
          <w:kern w:val="0"/>
          <w:sz w:val="24"/>
          <w:highlight w:val="none"/>
        </w:rPr>
        <w:t>附表1：</w:t>
      </w:r>
    </w:p>
    <w:p w14:paraId="3F90777D">
      <w:pPr>
        <w:spacing w:line="460" w:lineRule="exact"/>
        <w:jc w:val="center"/>
        <w:rPr>
          <w:rFonts w:eastAsia="隶书"/>
          <w:color w:val="auto"/>
          <w:kern w:val="0"/>
          <w:sz w:val="44"/>
          <w:highlight w:val="none"/>
        </w:rPr>
      </w:pPr>
      <w:r>
        <w:rPr>
          <w:rFonts w:hint="eastAsia" w:eastAsia="隶书"/>
          <w:color w:val="auto"/>
          <w:kern w:val="0"/>
          <w:sz w:val="44"/>
          <w:highlight w:val="none"/>
        </w:rPr>
        <w:t>质疑函（格式）</w:t>
      </w:r>
    </w:p>
    <w:p w14:paraId="5F854A8C">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一、质疑供应商基本信息：</w:t>
      </w:r>
    </w:p>
    <w:p w14:paraId="6D8C97FC">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质疑供应商：</w:t>
      </w:r>
    </w:p>
    <w:p w14:paraId="59D9A98E">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7135C94D">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5A9D3E07">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授权代表：</w:t>
      </w:r>
    </w:p>
    <w:p w14:paraId="1F3DF48F">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联系电话：</w:t>
      </w:r>
    </w:p>
    <w:p w14:paraId="3C6E5FEA">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3ED3E062">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二、质疑项目基本情况：</w:t>
      </w:r>
    </w:p>
    <w:p w14:paraId="31F2C0A9">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项目的名称：</w:t>
      </w:r>
    </w:p>
    <w:p w14:paraId="740BB682">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项目的编号：</w:t>
      </w:r>
    </w:p>
    <w:p w14:paraId="77E9B72F">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采购人名称：</w:t>
      </w:r>
    </w:p>
    <w:p w14:paraId="3BF01EA8">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w:t>
      </w:r>
    </w:p>
    <w:p w14:paraId="7ABAC182">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采购文件   采购文件获取日期：</w:t>
      </w:r>
    </w:p>
    <w:p w14:paraId="799D6743">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采购过程   </w:t>
      </w:r>
    </w:p>
    <w:p w14:paraId="5BBDF042">
      <w:pPr>
        <w:spacing w:line="360" w:lineRule="exact"/>
        <w:ind w:left="25" w:leftChars="12" w:firstLine="441" w:firstLineChars="147"/>
        <w:rPr>
          <w:rFonts w:hint="eastAsia" w:ascii="宋体" w:hAnsi="宋体" w:eastAsia="宋体" w:cs="宋体"/>
          <w:bCs/>
          <w:color w:val="auto"/>
          <w:kern w:val="0"/>
          <w:highlight w:val="none"/>
          <w:u w:val="singl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成交结果   </w:t>
      </w:r>
    </w:p>
    <w:p w14:paraId="7C630427">
      <w:pPr>
        <w:spacing w:line="36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三、质疑事项具体内容</w:t>
      </w:r>
    </w:p>
    <w:p w14:paraId="3E1EE2A7">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w:t>
      </w:r>
    </w:p>
    <w:p w14:paraId="7EEAC00F">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事实依据：</w:t>
      </w:r>
    </w:p>
    <w:p w14:paraId="730386B1">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法律依据：</w:t>
      </w:r>
    </w:p>
    <w:p w14:paraId="69834F95">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w:t>
      </w:r>
    </w:p>
    <w:p w14:paraId="72F13F0A">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74AA31BB">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四、与质疑事项相关的质疑请求：</w:t>
      </w:r>
    </w:p>
    <w:p w14:paraId="0AB7D244">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59ADE749">
      <w:pPr>
        <w:spacing w:line="360" w:lineRule="exact"/>
        <w:ind w:left="25" w:leftChars="12" w:firstLine="308" w:firstLineChars="147"/>
        <w:rPr>
          <w:rFonts w:hint="eastAsia" w:ascii="宋体" w:hAnsi="宋体" w:eastAsia="宋体" w:cs="宋体"/>
          <w:color w:val="auto"/>
          <w:kern w:val="0"/>
          <w:szCs w:val="21"/>
          <w:highlight w:val="none"/>
        </w:rPr>
      </w:pPr>
    </w:p>
    <w:p w14:paraId="6042A88E">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2BB6BD4B">
      <w:pPr>
        <w:spacing w:line="360" w:lineRule="exact"/>
        <w:ind w:left="25" w:leftChars="12" w:firstLine="308" w:firstLineChars="147"/>
        <w:rPr>
          <w:rFonts w:hint="eastAsia" w:ascii="宋体" w:hAnsi="宋体" w:eastAsia="宋体" w:cs="宋体"/>
          <w:color w:val="auto"/>
          <w:kern w:val="0"/>
          <w:szCs w:val="21"/>
          <w:highlight w:val="none"/>
        </w:rPr>
      </w:pPr>
    </w:p>
    <w:p w14:paraId="76816FEE">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7BF6FFF5">
      <w:pPr>
        <w:snapToGrid w:val="0"/>
        <w:spacing w:line="340" w:lineRule="exact"/>
        <w:rPr>
          <w:rFonts w:hint="eastAsia" w:ascii="宋体" w:hAnsi="宋体" w:eastAsia="宋体" w:cs="宋体"/>
          <w:b/>
          <w:color w:val="auto"/>
          <w:kern w:val="0"/>
          <w:szCs w:val="21"/>
          <w:highlight w:val="none"/>
        </w:rPr>
      </w:pPr>
    </w:p>
    <w:p w14:paraId="78F26355">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0A219A4E">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1.供应商提出质疑时，应提交质疑函和必要的证明材料</w:t>
      </w:r>
      <w:r>
        <w:rPr>
          <w:rFonts w:hint="eastAsia" w:ascii="宋体" w:hAnsi="宋体" w:eastAsia="宋体" w:cs="宋体"/>
          <w:b/>
          <w:bCs/>
          <w:color w:val="auto"/>
          <w:kern w:val="0"/>
          <w:highlight w:val="none"/>
        </w:rPr>
        <w:t>。</w:t>
      </w:r>
    </w:p>
    <w:p w14:paraId="22B25187">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FA6094">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3.质疑函的质疑事项应具体、明确，并有必要的事实依据和法律依据。</w:t>
      </w:r>
    </w:p>
    <w:p w14:paraId="681F9927">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4.质疑函的质疑请求应与质疑事项相关。</w:t>
      </w:r>
    </w:p>
    <w:p w14:paraId="7A7E2AAA">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6.质疑供应商为法人或者其他组织的，质疑函应由法定代表人、主要负责人，或者其授权代表签字或者盖章，并加盖公章。</w:t>
      </w:r>
    </w:p>
    <w:p w14:paraId="2E4D090E">
      <w:pPr>
        <w:snapToGrid w:val="0"/>
        <w:rPr>
          <w:rFonts w:hAnsi="宋体"/>
          <w:b/>
          <w:color w:val="auto"/>
          <w:kern w:val="0"/>
          <w:sz w:val="24"/>
          <w:highlight w:val="none"/>
        </w:rPr>
      </w:pPr>
      <w:r>
        <w:rPr>
          <w:rFonts w:hint="eastAsia"/>
          <w:b/>
          <w:color w:val="auto"/>
          <w:kern w:val="0"/>
          <w:sz w:val="24"/>
          <w:highlight w:val="none"/>
        </w:rPr>
        <w:t>附表2：</w:t>
      </w:r>
    </w:p>
    <w:p w14:paraId="6BBE7011">
      <w:pPr>
        <w:spacing w:line="460" w:lineRule="exact"/>
        <w:jc w:val="center"/>
        <w:rPr>
          <w:rFonts w:eastAsia="隶书"/>
          <w:color w:val="auto"/>
          <w:kern w:val="0"/>
          <w:sz w:val="44"/>
          <w:highlight w:val="none"/>
        </w:rPr>
      </w:pPr>
    </w:p>
    <w:p w14:paraId="21AEF863">
      <w:pPr>
        <w:spacing w:line="460" w:lineRule="exact"/>
        <w:jc w:val="center"/>
        <w:rPr>
          <w:rFonts w:eastAsia="隶书"/>
          <w:color w:val="auto"/>
          <w:kern w:val="0"/>
          <w:sz w:val="44"/>
          <w:highlight w:val="none"/>
        </w:rPr>
      </w:pPr>
      <w:r>
        <w:rPr>
          <w:rFonts w:hint="eastAsia" w:eastAsia="隶书"/>
          <w:color w:val="auto"/>
          <w:kern w:val="0"/>
          <w:sz w:val="44"/>
          <w:highlight w:val="none"/>
        </w:rPr>
        <w:t>投诉书（格式）</w:t>
      </w:r>
    </w:p>
    <w:p w14:paraId="1DBF87DA">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一、投诉相关主体基本情况：</w:t>
      </w:r>
    </w:p>
    <w:p w14:paraId="729834C2">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供应商：</w:t>
      </w:r>
    </w:p>
    <w:p w14:paraId="6CE8C409">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1F8EA0A0">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法定代表人/主要负责人：</w:t>
      </w:r>
    </w:p>
    <w:p w14:paraId="725B342A">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联系电话：</w:t>
      </w:r>
    </w:p>
    <w:p w14:paraId="55FF2018">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授权代表：联系电话：</w:t>
      </w:r>
    </w:p>
    <w:p w14:paraId="43E7A601">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2E912B14">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被投诉人1：</w:t>
      </w:r>
    </w:p>
    <w:p w14:paraId="16D41649">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0E5FA53F">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联系人：联系电话：</w:t>
      </w:r>
    </w:p>
    <w:p w14:paraId="0E330A87">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被投诉人2：</w:t>
      </w:r>
    </w:p>
    <w:p w14:paraId="3F97A5B8">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2052BF2C">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相关供应商：</w:t>
      </w:r>
    </w:p>
    <w:p w14:paraId="12070601">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地址：邮编：</w:t>
      </w:r>
    </w:p>
    <w:p w14:paraId="482EFF5C">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0102ABE1">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二、投诉项目基本情况：</w:t>
      </w:r>
    </w:p>
    <w:p w14:paraId="444FED3D">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项目的名称：</w:t>
      </w:r>
    </w:p>
    <w:p w14:paraId="07CEFBC7">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项目的编号：</w:t>
      </w:r>
    </w:p>
    <w:p w14:paraId="4A57AD94">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采购人名称：</w:t>
      </w:r>
    </w:p>
    <w:p w14:paraId="49DB8C05">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代理机构名称：</w:t>
      </w:r>
    </w:p>
    <w:p w14:paraId="28575737">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采购文件公告：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2451A00E">
      <w:pPr>
        <w:spacing w:line="400" w:lineRule="exact"/>
        <w:ind w:left="25" w:leftChars="12" w:firstLine="413" w:firstLineChars="197"/>
        <w:rPr>
          <w:rFonts w:hint="eastAsia" w:ascii="宋体" w:hAnsi="宋体" w:eastAsia="宋体" w:cs="宋体"/>
          <w:b/>
          <w:color w:val="auto"/>
          <w:kern w:val="0"/>
          <w:szCs w:val="21"/>
          <w:highlight w:val="none"/>
        </w:rPr>
      </w:pPr>
      <w:r>
        <w:rPr>
          <w:rFonts w:hint="eastAsia" w:ascii="宋体" w:hAnsi="宋体" w:eastAsia="宋体" w:cs="宋体"/>
          <w:bCs/>
          <w:color w:val="auto"/>
          <w:kern w:val="0"/>
          <w:highlight w:val="none"/>
        </w:rPr>
        <w:t>采购结果公告：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22331911">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三、质疑基本情况</w:t>
      </w:r>
    </w:p>
    <w:p w14:paraId="7E87F24E">
      <w:pPr>
        <w:spacing w:line="400" w:lineRule="exact"/>
        <w:ind w:left="25" w:leftChars="12" w:firstLine="833" w:firstLineChars="3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投诉人于年月日，向提出质疑，质疑事项为：</w:t>
      </w:r>
    </w:p>
    <w:p w14:paraId="76A550F5">
      <w:pPr>
        <w:spacing w:line="400" w:lineRule="exact"/>
        <w:rPr>
          <w:rFonts w:hint="eastAsia" w:ascii="宋体" w:hAnsi="宋体" w:eastAsia="宋体" w:cs="宋体"/>
          <w:bCs/>
          <w:color w:val="auto"/>
          <w:kern w:val="0"/>
          <w:highlight w:val="none"/>
          <w:u w:val="single"/>
        </w:rPr>
      </w:pPr>
    </w:p>
    <w:p w14:paraId="5974E518">
      <w:pPr>
        <w:spacing w:line="400" w:lineRule="exact"/>
        <w:rPr>
          <w:rFonts w:hint="eastAsia" w:ascii="宋体" w:hAnsi="宋体" w:eastAsia="宋体" w:cs="宋体"/>
          <w:bCs/>
          <w:color w:val="auto"/>
          <w:kern w:val="0"/>
          <w:highlight w:val="none"/>
          <w:u w:val="single"/>
        </w:rPr>
      </w:pPr>
    </w:p>
    <w:p w14:paraId="3BC4CFF0">
      <w:pPr>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u w:val="single"/>
        </w:rPr>
        <w:t>采购人/代理机构</w:t>
      </w:r>
      <w:r>
        <w:rPr>
          <w:rFonts w:hint="eastAsia" w:ascii="宋体" w:hAnsi="宋体" w:eastAsia="宋体" w:cs="宋体"/>
          <w:bCs/>
          <w:color w:val="auto"/>
          <w:kern w:val="0"/>
          <w:highlight w:val="none"/>
        </w:rPr>
        <w:t>于</w:t>
      </w:r>
      <w:r>
        <w:rPr>
          <w:rFonts w:hint="eastAsia" w:ascii="宋体" w:hAnsi="宋体" w:eastAsia="宋体" w:cs="宋体"/>
          <w:color w:val="auto"/>
          <w:kern w:val="0"/>
          <w:szCs w:val="21"/>
          <w:highlight w:val="none"/>
        </w:rPr>
        <w:t>年月日，</w:t>
      </w:r>
      <w:r>
        <w:rPr>
          <w:rFonts w:hint="eastAsia" w:ascii="宋体" w:hAnsi="宋体" w:eastAsia="宋体" w:cs="宋体"/>
          <w:bCs/>
          <w:color w:val="auto"/>
          <w:kern w:val="0"/>
          <w:highlight w:val="none"/>
        </w:rPr>
        <w:t xml:space="preserve">就质疑事项作出了答复/没有在法定期限内作出答复。                                                                                             </w:t>
      </w:r>
    </w:p>
    <w:p w14:paraId="2B4B0504">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四、投诉事项具体内容</w:t>
      </w:r>
    </w:p>
    <w:p w14:paraId="71DD3D6B">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投诉事项1：</w:t>
      </w:r>
    </w:p>
    <w:p w14:paraId="2C313CC4">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事实依据：</w:t>
      </w:r>
    </w:p>
    <w:p w14:paraId="436CD200">
      <w:pPr>
        <w:spacing w:line="400" w:lineRule="exact"/>
        <w:ind w:left="25" w:leftChars="12" w:firstLine="413" w:firstLineChars="197"/>
        <w:rPr>
          <w:rFonts w:hint="eastAsia" w:ascii="宋体" w:hAnsi="宋体" w:eastAsia="宋体" w:cs="宋体"/>
          <w:color w:val="auto"/>
          <w:kern w:val="0"/>
          <w:szCs w:val="21"/>
          <w:highlight w:val="none"/>
        </w:rPr>
      </w:pPr>
    </w:p>
    <w:p w14:paraId="69C06A7D">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法律依据：</w:t>
      </w:r>
    </w:p>
    <w:p w14:paraId="72A24882">
      <w:pPr>
        <w:spacing w:line="400" w:lineRule="exact"/>
        <w:ind w:left="25" w:leftChars="12" w:firstLine="308" w:firstLineChars="147"/>
        <w:rPr>
          <w:rFonts w:hint="eastAsia" w:ascii="宋体" w:hAnsi="宋体" w:eastAsia="宋体" w:cs="宋体"/>
          <w:bCs/>
          <w:color w:val="auto"/>
          <w:kern w:val="0"/>
          <w:highlight w:val="none"/>
          <w:u w:val="single"/>
        </w:rPr>
      </w:pPr>
    </w:p>
    <w:p w14:paraId="76FD74FD">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color w:val="auto"/>
          <w:kern w:val="0"/>
          <w:szCs w:val="21"/>
          <w:highlight w:val="none"/>
        </w:rPr>
        <w:t xml:space="preserve">投诉事项2  </w:t>
      </w:r>
    </w:p>
    <w:p w14:paraId="13DAA88A">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2CE22ABB">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五、与投诉事项相关的投诉请求：</w:t>
      </w:r>
    </w:p>
    <w:p w14:paraId="18085B07">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1DACB5CF">
      <w:pPr>
        <w:spacing w:line="400" w:lineRule="exact"/>
        <w:ind w:left="25" w:leftChars="12" w:firstLine="308" w:firstLineChars="147"/>
        <w:rPr>
          <w:rFonts w:hint="eastAsia" w:ascii="宋体" w:hAnsi="宋体" w:eastAsia="宋体" w:cs="宋体"/>
          <w:color w:val="auto"/>
          <w:kern w:val="0"/>
          <w:szCs w:val="21"/>
          <w:highlight w:val="none"/>
        </w:rPr>
      </w:pPr>
    </w:p>
    <w:p w14:paraId="6A39E28A">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08479E66">
      <w:pPr>
        <w:spacing w:line="400" w:lineRule="exact"/>
        <w:ind w:left="25" w:leftChars="12" w:firstLine="308" w:firstLineChars="147"/>
        <w:rPr>
          <w:rFonts w:hint="eastAsia" w:ascii="宋体" w:hAnsi="宋体" w:eastAsia="宋体" w:cs="宋体"/>
          <w:color w:val="auto"/>
          <w:kern w:val="0"/>
          <w:szCs w:val="21"/>
          <w:highlight w:val="none"/>
        </w:rPr>
      </w:pPr>
    </w:p>
    <w:p w14:paraId="47C9DEBB">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198ACA54">
      <w:pPr>
        <w:spacing w:line="360" w:lineRule="exact"/>
        <w:ind w:left="25" w:leftChars="12" w:firstLine="413" w:firstLineChars="197"/>
        <w:rPr>
          <w:rFonts w:hint="eastAsia" w:ascii="宋体" w:hAnsi="宋体" w:eastAsia="宋体" w:cs="宋体"/>
          <w:color w:val="auto"/>
          <w:kern w:val="0"/>
          <w:szCs w:val="21"/>
          <w:highlight w:val="none"/>
        </w:rPr>
      </w:pPr>
    </w:p>
    <w:p w14:paraId="4A5F93CF">
      <w:pPr>
        <w:snapToGrid w:val="0"/>
        <w:spacing w:line="340" w:lineRule="exact"/>
        <w:rPr>
          <w:rFonts w:hint="eastAsia" w:ascii="宋体" w:hAnsi="宋体" w:eastAsia="宋体" w:cs="宋体"/>
          <w:b/>
          <w:color w:val="auto"/>
          <w:kern w:val="0"/>
          <w:szCs w:val="21"/>
          <w:highlight w:val="none"/>
        </w:rPr>
      </w:pPr>
    </w:p>
    <w:p w14:paraId="0EB5599A">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30E793DA">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highlight w:val="none"/>
        </w:rPr>
        <w:t>。</w:t>
      </w:r>
    </w:p>
    <w:p w14:paraId="3FDDBC0B">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EAB8705">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3.投诉书应简要列明质疑事项，质疑函、质疑答复等作为附件材料提供。</w:t>
      </w:r>
    </w:p>
    <w:p w14:paraId="1BE08C2C">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4.投诉书的投诉事项应具体、明确，并有必要的事实依据和法律依据。</w:t>
      </w:r>
    </w:p>
    <w:p w14:paraId="076C90ED">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5.投诉书的投诉请求应与投诉事项相关。</w:t>
      </w:r>
    </w:p>
    <w:p w14:paraId="77E4B81B">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6.</w:t>
      </w:r>
      <w:r>
        <w:rPr>
          <w:rFonts w:hint="eastAsia" w:ascii="宋体" w:hAnsi="宋体" w:eastAsia="宋体" w:cs="宋体"/>
          <w:b/>
          <w:color w:val="auto"/>
          <w:szCs w:val="21"/>
          <w:highlight w:val="none"/>
        </w:rPr>
        <w:t>投诉人为法人或者其他组织的，投诉书应由法定代表人、主要负责人，或者其授权代表签字或者盖章，并加盖公章。</w:t>
      </w:r>
    </w:p>
    <w:p w14:paraId="1CE0FD47">
      <w:pPr>
        <w:spacing w:line="340" w:lineRule="exact"/>
        <w:ind w:left="25" w:leftChars="12" w:firstLine="310" w:firstLineChars="147"/>
        <w:rPr>
          <w:rFonts w:hAnsi="宋体"/>
          <w:b/>
          <w:color w:val="auto"/>
          <w:kern w:val="0"/>
          <w:szCs w:val="21"/>
          <w:highlight w:val="none"/>
        </w:rPr>
      </w:pPr>
    </w:p>
    <w:p w14:paraId="1700B27D">
      <w:pPr>
        <w:pStyle w:val="5"/>
        <w:rPr>
          <w:rFonts w:hint="eastAsia"/>
          <w:color w:val="auto"/>
          <w:highlight w:val="none"/>
          <w:lang w:eastAsia="zh-CN"/>
        </w:rPr>
      </w:pPr>
    </w:p>
    <w:p w14:paraId="63A61F2D">
      <w:pPr>
        <w:rPr>
          <w:rFonts w:hint="eastAsia"/>
          <w:color w:val="auto"/>
          <w:highlight w:val="none"/>
          <w:lang w:eastAsia="zh-CN"/>
        </w:rPr>
      </w:pPr>
    </w:p>
    <w:p w14:paraId="22599FDC">
      <w:pPr>
        <w:pStyle w:val="5"/>
        <w:rPr>
          <w:rFonts w:hint="eastAsia"/>
          <w:color w:val="auto"/>
          <w:highlight w:val="none"/>
          <w:lang w:eastAsia="zh-CN"/>
        </w:rPr>
      </w:pPr>
    </w:p>
    <w:p w14:paraId="05FA84C0">
      <w:pPr>
        <w:rPr>
          <w:rFonts w:hint="eastAsia"/>
          <w:color w:val="auto"/>
          <w:highlight w:val="none"/>
          <w:lang w:eastAsia="zh-CN"/>
        </w:rPr>
      </w:pPr>
    </w:p>
    <w:p w14:paraId="034BAED9">
      <w:pPr>
        <w:pStyle w:val="5"/>
        <w:rPr>
          <w:rFonts w:hint="eastAsia"/>
          <w:color w:val="auto"/>
          <w:highlight w:val="none"/>
          <w:lang w:eastAsia="zh-CN"/>
        </w:rPr>
      </w:pPr>
    </w:p>
    <w:p w14:paraId="01AC7717">
      <w:pPr>
        <w:rPr>
          <w:rFonts w:hint="eastAsia"/>
          <w:color w:val="auto"/>
          <w:highlight w:val="none"/>
          <w:lang w:eastAsia="zh-CN"/>
        </w:rPr>
      </w:pPr>
    </w:p>
    <w:p w14:paraId="4542737B">
      <w:pPr>
        <w:pStyle w:val="35"/>
        <w:rPr>
          <w:rFonts w:hint="eastAsia"/>
          <w:color w:val="auto"/>
          <w:highlight w:val="none"/>
          <w:lang w:eastAsia="zh-CN"/>
        </w:rPr>
      </w:pPr>
    </w:p>
    <w:p w14:paraId="2D860E09">
      <w:pPr>
        <w:rPr>
          <w:rFonts w:hint="eastAsia"/>
          <w:color w:val="auto"/>
          <w:highlight w:val="none"/>
          <w:lang w:eastAsia="zh-CN"/>
        </w:rPr>
      </w:pPr>
    </w:p>
    <w:p w14:paraId="5779FC59">
      <w:pPr>
        <w:pStyle w:val="11"/>
        <w:rPr>
          <w:rFonts w:hint="eastAsia"/>
          <w:color w:val="auto"/>
          <w:highlight w:val="none"/>
          <w:lang w:eastAsia="zh-CN"/>
        </w:rPr>
      </w:pPr>
    </w:p>
    <w:p w14:paraId="411D3146">
      <w:pPr>
        <w:rPr>
          <w:rFonts w:hint="eastAsia"/>
          <w:color w:val="auto"/>
          <w:highlight w:val="none"/>
          <w:lang w:eastAsia="zh-CN"/>
        </w:rPr>
      </w:pPr>
    </w:p>
    <w:p w14:paraId="1D967D12">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olor w:val="auto"/>
          <w:sz w:val="32"/>
          <w:szCs w:val="32"/>
          <w:highlight w:val="none"/>
          <w:lang w:eastAsia="zh-CN"/>
        </w:rPr>
      </w:pPr>
      <w:bookmarkStart w:id="132" w:name="_Toc31415"/>
      <w:bookmarkStart w:id="133" w:name="_Toc28939"/>
      <w:bookmarkStart w:id="134" w:name="_Toc2989"/>
      <w:r>
        <w:rPr>
          <w:rFonts w:hint="eastAsia"/>
          <w:color w:val="auto"/>
          <w:sz w:val="32"/>
          <w:szCs w:val="32"/>
          <w:highlight w:val="none"/>
        </w:rPr>
        <w:t xml:space="preserve">第三章  </w:t>
      </w:r>
      <w:r>
        <w:rPr>
          <w:rFonts w:hint="eastAsia"/>
          <w:color w:val="auto"/>
          <w:sz w:val="32"/>
          <w:szCs w:val="32"/>
          <w:highlight w:val="none"/>
          <w:lang w:eastAsia="zh-CN"/>
        </w:rPr>
        <w:t>工程量清单</w:t>
      </w:r>
      <w:bookmarkEnd w:id="132"/>
      <w:bookmarkEnd w:id="133"/>
    </w:p>
    <w:p w14:paraId="3E23CAC6">
      <w:pPr>
        <w:adjustRightInd w:val="0"/>
        <w:spacing w:line="400" w:lineRule="exact"/>
        <w:ind w:firstLine="1205" w:firstLineChars="500"/>
        <w:rPr>
          <w:rFonts w:hint="eastAsia" w:ascii="宋体" w:hAnsi="宋体" w:eastAsia="宋体" w:cs="宋体"/>
          <w:color w:val="auto"/>
          <w:sz w:val="32"/>
          <w:szCs w:val="32"/>
          <w:highlight w:val="none"/>
          <w:lang w:eastAsia="zh-CN"/>
        </w:rPr>
      </w:pPr>
      <w:r>
        <w:rPr>
          <w:rFonts w:hint="eastAsia" w:ascii="宋体" w:hAnsi="宋体" w:cs="宋体"/>
          <w:b/>
          <w:color w:val="auto"/>
          <w:sz w:val="24"/>
          <w:szCs w:val="24"/>
          <w:highlight w:val="none"/>
        </w:rPr>
        <w:t>工程量清单（另册），是本竞争</w:t>
      </w:r>
      <w:r>
        <w:rPr>
          <w:rFonts w:hint="eastAsia" w:ascii="宋体" w:hAnsi="宋体" w:cs="宋体"/>
          <w:b/>
          <w:color w:val="auto"/>
          <w:sz w:val="24"/>
          <w:szCs w:val="24"/>
          <w:highlight w:val="none"/>
          <w:lang w:val="en-US" w:eastAsia="zh-CN"/>
        </w:rPr>
        <w:t>性磋商</w:t>
      </w:r>
      <w:r>
        <w:rPr>
          <w:rFonts w:hint="eastAsia" w:ascii="宋体" w:hAnsi="宋体" w:cs="宋体"/>
          <w:b/>
          <w:color w:val="auto"/>
          <w:sz w:val="24"/>
          <w:szCs w:val="24"/>
          <w:highlight w:val="none"/>
        </w:rPr>
        <w:t>文件的一个重要组成部分</w:t>
      </w:r>
      <w:bookmarkEnd w:id="134"/>
      <w:bookmarkStart w:id="135" w:name="_Toc17774"/>
    </w:p>
    <w:p w14:paraId="27B86B2F">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28F0036E">
      <w:pPr>
        <w:rPr>
          <w:rFonts w:hint="eastAsia"/>
          <w:color w:val="auto"/>
          <w:highlight w:val="none"/>
          <w:lang w:eastAsia="zh-CN"/>
        </w:rPr>
      </w:pPr>
    </w:p>
    <w:p w14:paraId="4581735A">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9DD7B8D">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7A5F0DE0">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DD0B895">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386DA1C0">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0F04C6F5">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2B26E48">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4112EDD">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42F850E3">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20046C8A">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E7FE6D9">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26BB9B66">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74698B75">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FB6C1DF">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333FB3E">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3CF9368F">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99A874C">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0CC3BEF">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1246CDEB">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360AED8">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40AE417">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C1B175D">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080B61B">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D7433A1">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126CE679">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36A24AD9">
      <w:pPr>
        <w:rPr>
          <w:rFonts w:hint="eastAsia" w:ascii="宋体" w:hAnsi="宋体" w:eastAsia="宋体" w:cs="宋体"/>
          <w:color w:val="auto"/>
          <w:sz w:val="32"/>
          <w:szCs w:val="32"/>
          <w:highlight w:val="none"/>
          <w:lang w:eastAsia="zh-CN"/>
        </w:rPr>
      </w:pPr>
    </w:p>
    <w:p w14:paraId="114D3892">
      <w:pPr>
        <w:pStyle w:val="11"/>
        <w:rPr>
          <w:rFonts w:hint="eastAsia"/>
          <w:color w:val="auto"/>
          <w:lang w:eastAsia="zh-CN"/>
        </w:rPr>
      </w:pPr>
    </w:p>
    <w:p w14:paraId="62FB30F6">
      <w:pPr>
        <w:rPr>
          <w:rFonts w:hint="eastAsia"/>
          <w:color w:val="auto"/>
          <w:highlight w:val="none"/>
          <w:lang w:eastAsia="zh-CN"/>
        </w:rPr>
      </w:pPr>
    </w:p>
    <w:p w14:paraId="5A023482">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b/>
          <w:bCs/>
          <w:color w:val="auto"/>
          <w:highlight w:val="none"/>
        </w:rPr>
      </w:pPr>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bookmarkEnd w:id="135"/>
    </w:p>
    <w:p w14:paraId="6668375E">
      <w:pPr>
        <w:pStyle w:val="14"/>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一、评审依据及方式</w:t>
      </w:r>
    </w:p>
    <w:p w14:paraId="2BAB4BD4">
      <w:pPr>
        <w:pStyle w:val="14"/>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1.评审依据：磋商小组以竞争性磋商文件和响应文件为评审依据，</w:t>
      </w:r>
      <w:r>
        <w:rPr>
          <w:rFonts w:hint="eastAsia" w:ascii="宋体" w:hAnsi="宋体" w:eastAsia="宋体" w:cs="宋体"/>
          <w:color w:val="auto"/>
          <w:highlight w:val="none"/>
          <w:lang w:val="en-US" w:eastAsia="zh-CN"/>
        </w:rPr>
        <w:t>对磋商供应商的响应文件按百分制打分</w:t>
      </w:r>
      <w:r>
        <w:rPr>
          <w:rFonts w:hint="eastAsia" w:ascii="宋体" w:hAnsi="宋体" w:eastAsia="宋体" w:cs="宋体"/>
          <w:color w:val="auto"/>
          <w:highlight w:val="none"/>
        </w:rPr>
        <w:t>。</w:t>
      </w:r>
    </w:p>
    <w:p w14:paraId="0CAACB1C">
      <w:pPr>
        <w:pStyle w:val="14"/>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2.评审方式：以封闭方式进行评审。</w:t>
      </w:r>
    </w:p>
    <w:p w14:paraId="60745855">
      <w:pPr>
        <w:pStyle w:val="14"/>
        <w:pageBreakBefore w:val="0"/>
        <w:widowControl w:val="0"/>
        <w:kinsoku/>
        <w:wordWrap/>
        <w:overflowPunct/>
        <w:topLinePunct w:val="0"/>
        <w:bidi w:val="0"/>
        <w:snapToGrid/>
        <w:spacing w:line="440" w:lineRule="exact"/>
        <w:ind w:left="210" w:leftChars="100"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3.根据财库〔2012〕69号文规定，采购人和采购代理机构，磋商小组成员要严格遵守政府采购相关法律制度，依法履行各自职责，公正、客观、审慎地组织和参与评审工作。</w:t>
      </w:r>
    </w:p>
    <w:p w14:paraId="253A121E">
      <w:pPr>
        <w:pStyle w:val="14"/>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二、评审办法</w:t>
      </w:r>
    </w:p>
    <w:p w14:paraId="62E48087">
      <w:pPr>
        <w:pStyle w:val="14"/>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（一）本次评标采用综合评分法。</w:t>
      </w:r>
      <w:r>
        <w:rPr>
          <w:rFonts w:hint="eastAsia" w:hAnsi="宋体" w:eastAsia="宋体" w:cs="宋体"/>
          <w:bCs/>
          <w:color w:val="auto"/>
          <w:highlight w:val="none"/>
          <w:lang w:eastAsia="zh-CN"/>
        </w:rPr>
        <w:t>磋商小组</w:t>
      </w:r>
      <w:r>
        <w:rPr>
          <w:rFonts w:hint="eastAsia" w:ascii="宋体" w:hAnsi="宋体" w:eastAsia="宋体" w:cs="宋体"/>
          <w:bCs/>
          <w:color w:val="auto"/>
          <w:highlight w:val="none"/>
        </w:rPr>
        <w:t>会首先对</w:t>
      </w:r>
      <w:r>
        <w:rPr>
          <w:rFonts w:hint="eastAsia" w:hAnsi="宋体" w:eastAsia="宋体" w:cs="宋体"/>
          <w:bCs/>
          <w:color w:val="auto"/>
          <w:highlight w:val="none"/>
          <w:lang w:eastAsia="zh-CN"/>
        </w:rPr>
        <w:t>磋商供应商</w:t>
      </w:r>
      <w:r>
        <w:rPr>
          <w:rFonts w:hint="eastAsia" w:ascii="宋体" w:hAnsi="宋体" w:eastAsia="宋体" w:cs="宋体"/>
          <w:bCs/>
          <w:color w:val="auto"/>
          <w:highlight w:val="none"/>
        </w:rPr>
        <w:t>提交的响应文件进行资格性审查和符合性审查，只有通过了资格性审查和符合性审查才能进入详评。</w:t>
      </w:r>
    </w:p>
    <w:p w14:paraId="36321629">
      <w:pPr>
        <w:pageBreakBefore w:val="0"/>
        <w:wordWrap/>
        <w:overflowPunct/>
        <w:topLinePunct w:val="0"/>
        <w:bidi w:val="0"/>
        <w:spacing w:line="500" w:lineRule="exact"/>
        <w:jc w:val="left"/>
        <w:rPr>
          <w:rFonts w:hint="eastAsia" w:ascii="宋体" w:hAnsi="宋体" w:eastAsia="宋体" w:cs="宋体"/>
          <w:b/>
          <w:color w:val="auto"/>
          <w:w w:val="99"/>
          <w:kern w:val="0"/>
          <w:sz w:val="24"/>
          <w:szCs w:val="24"/>
          <w:highlight w:val="none"/>
          <w:lang w:val="en-US" w:eastAsia="zh-CN"/>
        </w:rPr>
      </w:pPr>
      <w:r>
        <w:rPr>
          <w:rFonts w:hint="eastAsia" w:ascii="宋体" w:hAnsi="宋体" w:eastAsia="宋体" w:cs="宋体"/>
          <w:b/>
          <w:color w:val="auto"/>
          <w:w w:val="99"/>
          <w:kern w:val="0"/>
          <w:sz w:val="24"/>
          <w:szCs w:val="24"/>
          <w:highlight w:val="none"/>
          <w:lang w:val="en-US" w:eastAsia="zh-CN"/>
        </w:rPr>
        <w:t>初步评审：</w:t>
      </w:r>
    </w:p>
    <w:tbl>
      <w:tblPr>
        <w:tblStyle w:val="29"/>
        <w:tblW w:w="9948" w:type="dxa"/>
        <w:jc w:val="center"/>
        <w:tblLayout w:type="fixed"/>
        <w:tblCellMar>
          <w:top w:w="0" w:type="dxa"/>
          <w:left w:w="108" w:type="dxa"/>
          <w:bottom w:w="0" w:type="dxa"/>
          <w:right w:w="108" w:type="dxa"/>
        </w:tblCellMar>
      </w:tblPr>
      <w:tblGrid>
        <w:gridCol w:w="944"/>
        <w:gridCol w:w="1460"/>
        <w:gridCol w:w="2344"/>
        <w:gridCol w:w="5200"/>
      </w:tblGrid>
      <w:tr w14:paraId="6DAB9196">
        <w:tblPrEx>
          <w:tblCellMar>
            <w:top w:w="0" w:type="dxa"/>
            <w:left w:w="108" w:type="dxa"/>
            <w:bottom w:w="0" w:type="dxa"/>
            <w:right w:w="108" w:type="dxa"/>
          </w:tblCellMar>
        </w:tblPrEx>
        <w:trPr>
          <w:trHeight w:val="609"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5AECF52E">
            <w:pPr>
              <w:pStyle w:val="36"/>
              <w:pageBreakBefore w:val="0"/>
              <w:kinsoku/>
              <w:wordWrap/>
              <w:overflowPunct/>
              <w:topLinePunct w:val="0"/>
              <w:bidi w:val="0"/>
              <w:snapToGrid w:val="0"/>
              <w:spacing w:line="50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条款号</w:t>
            </w:r>
          </w:p>
        </w:tc>
        <w:tc>
          <w:tcPr>
            <w:tcW w:w="9004" w:type="dxa"/>
            <w:gridSpan w:val="3"/>
            <w:tcBorders>
              <w:top w:val="single" w:color="auto" w:sz="4" w:space="0"/>
              <w:left w:val="single" w:color="auto" w:sz="4" w:space="0"/>
              <w:bottom w:val="single" w:color="auto" w:sz="4" w:space="0"/>
              <w:right w:val="single" w:color="auto" w:sz="4" w:space="0"/>
            </w:tcBorders>
            <w:noWrap w:val="0"/>
            <w:vAlign w:val="center"/>
          </w:tcPr>
          <w:p w14:paraId="0706B472">
            <w:pPr>
              <w:pStyle w:val="36"/>
              <w:pageBreakBefore w:val="0"/>
              <w:kinsoku/>
              <w:wordWrap/>
              <w:overflowPunct/>
              <w:topLinePunct w:val="0"/>
              <w:bidi w:val="0"/>
              <w:snapToGrid w:val="0"/>
              <w:spacing w:line="50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评审标准</w:t>
            </w:r>
          </w:p>
        </w:tc>
      </w:tr>
      <w:tr w14:paraId="7913D03A">
        <w:tblPrEx>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3D4EE1E0">
            <w:pPr>
              <w:pageBreakBefore w:val="0"/>
              <w:widowControl/>
              <w:kinsoku/>
              <w:wordWrap/>
              <w:overflowPunct/>
              <w:topLinePunct w:val="0"/>
              <w:bidi w:val="0"/>
              <w:spacing w:line="500" w:lineRule="exact"/>
              <w:jc w:val="center"/>
              <w:rPr>
                <w:rFonts w:hint="eastAsia" w:ascii="宋体" w:hAnsi="宋体" w:cs="宋体"/>
                <w:color w:val="auto"/>
                <w:highlight w:val="none"/>
              </w:rPr>
            </w:pPr>
            <w:r>
              <w:rPr>
                <w:rFonts w:hint="eastAsia" w:ascii="宋体" w:hAnsi="宋体" w:cs="宋体"/>
                <w:color w:val="auto"/>
                <w:highlight w:val="none"/>
              </w:rPr>
              <w:t>2.1.1</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14:paraId="4EE59E58">
            <w:pPr>
              <w:pStyle w:val="36"/>
              <w:pageBreakBefore w:val="0"/>
              <w:kinsoku/>
              <w:wordWrap/>
              <w:overflowPunct/>
              <w:topLinePunct w:val="0"/>
              <w:bidi w:val="0"/>
              <w:snapToGrid w:val="0"/>
              <w:spacing w:line="500" w:lineRule="exact"/>
              <w:jc w:val="center"/>
              <w:rPr>
                <w:rFonts w:hint="eastAsia" w:ascii="宋体" w:hAnsi="宋体" w:eastAsia="宋体" w:cs="宋体"/>
                <w:color w:val="auto"/>
                <w:spacing w:val="-6"/>
                <w:highlight w:val="none"/>
                <w:lang w:eastAsia="zh-CN"/>
              </w:rPr>
            </w:pPr>
            <w:r>
              <w:rPr>
                <w:rFonts w:hint="eastAsia" w:ascii="宋体" w:hAnsi="宋体" w:cs="宋体"/>
                <w:color w:val="auto"/>
                <w:highlight w:val="none"/>
              </w:rPr>
              <w:t>资格</w:t>
            </w:r>
            <w:r>
              <w:rPr>
                <w:rFonts w:hint="eastAsia" w:ascii="宋体" w:hAnsi="宋体" w:cs="宋体"/>
                <w:color w:val="auto"/>
                <w:highlight w:val="none"/>
                <w:lang w:eastAsia="zh-CN"/>
              </w:rPr>
              <w:t>评审</w:t>
            </w:r>
          </w:p>
          <w:p w14:paraId="1D492BAF">
            <w:pPr>
              <w:pStyle w:val="17"/>
              <w:pageBreakBefore w:val="0"/>
              <w:kinsoku/>
              <w:wordWrap/>
              <w:overflowPunct/>
              <w:topLinePunct w:val="0"/>
              <w:bidi w:val="0"/>
              <w:snapToGrid w:val="0"/>
              <w:spacing w:line="500" w:lineRule="exact"/>
              <w:jc w:val="center"/>
              <w:rPr>
                <w:rFonts w:hint="eastAsia" w:ascii="宋体" w:hAnsi="宋体" w:cs="宋体"/>
                <w:color w:val="auto"/>
                <w:spacing w:val="-6"/>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D319CA4">
            <w:pPr>
              <w:pStyle w:val="36"/>
              <w:pageBreakBefore w:val="0"/>
              <w:kinsoku/>
              <w:wordWrap/>
              <w:overflowPunct/>
              <w:topLinePunct w:val="0"/>
              <w:bidi w:val="0"/>
              <w:snapToGrid w:val="0"/>
              <w:spacing w:line="500" w:lineRule="exact"/>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3F843132">
            <w:pPr>
              <w:pStyle w:val="36"/>
              <w:pageBreakBefore w:val="0"/>
              <w:kinsoku/>
              <w:wordWrap/>
              <w:overflowPunct/>
              <w:topLinePunct w:val="0"/>
              <w:bidi w:val="0"/>
              <w:snapToGrid w:val="0"/>
              <w:spacing w:line="500" w:lineRule="exact"/>
              <w:jc w:val="left"/>
              <w:rPr>
                <w:rFonts w:hint="eastAsia" w:ascii="宋体" w:hAnsi="宋体" w:cs="宋体"/>
                <w:b/>
                <w:color w:val="auto"/>
                <w:highlight w:val="none"/>
              </w:rPr>
            </w:pPr>
            <w:r>
              <w:rPr>
                <w:rFonts w:hint="eastAsia" w:ascii="宋体" w:hAnsi="宋体" w:cs="宋体"/>
                <w:b/>
                <w:color w:val="auto"/>
                <w:highlight w:val="none"/>
              </w:rPr>
              <w:t>评审标准</w:t>
            </w:r>
            <w:r>
              <w:rPr>
                <w:rFonts w:hint="eastAsia" w:ascii="宋体" w:hAnsi="宋体" w:cs="宋体"/>
                <w:b/>
                <w:bCs/>
                <w:color w:val="auto"/>
                <w:highlight w:val="none"/>
              </w:rPr>
              <w:t>（合格标准：缺少任何一项或有任何一项不合格者，其资格</w:t>
            </w:r>
            <w:r>
              <w:rPr>
                <w:rFonts w:hint="eastAsia" w:ascii="宋体" w:hAnsi="宋体" w:cs="宋体"/>
                <w:b/>
                <w:bCs/>
                <w:color w:val="auto"/>
                <w:highlight w:val="none"/>
                <w:lang w:eastAsia="zh-CN"/>
              </w:rPr>
              <w:t>评审</w:t>
            </w:r>
            <w:r>
              <w:rPr>
                <w:rFonts w:hint="eastAsia" w:ascii="宋体" w:hAnsi="宋体" w:cs="宋体"/>
                <w:b/>
                <w:bCs/>
                <w:color w:val="auto"/>
                <w:highlight w:val="none"/>
              </w:rPr>
              <w:t>视为不合格）</w:t>
            </w:r>
          </w:p>
        </w:tc>
      </w:tr>
      <w:tr w14:paraId="0BF773C4">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97973A2">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10414924">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5483290D">
            <w:pPr>
              <w:pStyle w:val="36"/>
              <w:pageBreakBefore w:val="0"/>
              <w:kinsoku/>
              <w:wordWrap/>
              <w:overflowPunct/>
              <w:topLinePunct w:val="0"/>
              <w:bidi w:val="0"/>
              <w:snapToGrid w:val="0"/>
              <w:spacing w:line="500" w:lineRule="exact"/>
              <w:ind w:left="720" w:hanging="720"/>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、委托代理人身份</w:t>
            </w:r>
            <w:r>
              <w:rPr>
                <w:rFonts w:hint="eastAsia" w:ascii="宋体" w:hAnsi="宋体" w:cs="宋体"/>
                <w:color w:val="auto"/>
                <w:szCs w:val="21"/>
                <w:highlight w:val="none"/>
                <w:lang w:eastAsia="zh-CN"/>
              </w:rPr>
              <w:t>证</w:t>
            </w:r>
            <w:r>
              <w:rPr>
                <w:rFonts w:hint="eastAsia" w:ascii="宋体" w:hAnsi="宋体" w:eastAsia="宋体" w:cs="宋体"/>
                <w:color w:val="auto"/>
                <w:szCs w:val="21"/>
                <w:highlight w:val="none"/>
                <w:lang w:eastAsia="zh-CN"/>
              </w:rPr>
              <w:t>明</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52ED9E2B">
            <w:pPr>
              <w:pStyle w:val="36"/>
              <w:pageBreakBefore w:val="0"/>
              <w:kinsoku/>
              <w:wordWrap/>
              <w:overflowPunct/>
              <w:topLinePunct w:val="0"/>
              <w:bidi w:val="0"/>
              <w:snapToGrid w:val="0"/>
              <w:spacing w:line="500" w:lineRule="exact"/>
              <w:rPr>
                <w:rFonts w:hint="eastAsia" w:ascii="宋体" w:hAnsi="宋体" w:cs="宋体"/>
                <w:color w:val="auto"/>
                <w:highlight w:val="none"/>
              </w:rPr>
            </w:pPr>
            <w:r>
              <w:rPr>
                <w:rFonts w:hint="eastAsia" w:ascii="宋体" w:hAnsi="宋体" w:cs="宋体"/>
                <w:color w:val="auto"/>
                <w:highlight w:val="none"/>
              </w:rPr>
              <w:t>有效的法定代表人身份</w:t>
            </w:r>
            <w:r>
              <w:rPr>
                <w:rFonts w:hint="eastAsia" w:ascii="宋体" w:hAnsi="宋体" w:cs="宋体"/>
                <w:color w:val="auto"/>
                <w:highlight w:val="none"/>
                <w:lang w:eastAsia="zh-CN"/>
              </w:rPr>
              <w:t>证</w:t>
            </w:r>
            <w:r>
              <w:rPr>
                <w:rFonts w:hint="eastAsia" w:ascii="宋体" w:hAnsi="宋体" w:cs="宋体"/>
                <w:color w:val="auto"/>
                <w:highlight w:val="none"/>
              </w:rPr>
              <w:t>复印件</w:t>
            </w:r>
            <w:r>
              <w:rPr>
                <w:rFonts w:hint="eastAsia" w:ascii="宋体" w:hAnsi="宋体" w:cs="宋体"/>
                <w:color w:val="auto"/>
                <w:highlight w:val="none"/>
                <w:lang w:eastAsia="zh-CN"/>
              </w:rPr>
              <w:t>、</w:t>
            </w:r>
            <w:r>
              <w:rPr>
                <w:rFonts w:hint="eastAsia" w:ascii="宋体" w:hAnsi="宋体" w:cs="宋体"/>
                <w:color w:val="auto"/>
                <w:highlight w:val="none"/>
              </w:rPr>
              <w:t>法人授权委托书（附身份证复印件，</w:t>
            </w:r>
            <w:r>
              <w:rPr>
                <w:rFonts w:hint="eastAsia" w:ascii="宋体" w:hAnsi="宋体" w:cs="宋体"/>
                <w:color w:val="auto"/>
                <w:highlight w:val="none"/>
                <w:lang w:eastAsia="zh-CN"/>
              </w:rPr>
              <w:t>社会保险缴纳证明材料</w:t>
            </w:r>
            <w:r>
              <w:rPr>
                <w:rFonts w:hint="eastAsia" w:ascii="宋体" w:hAnsi="宋体" w:cs="宋体"/>
                <w:color w:val="auto"/>
                <w:highlight w:val="none"/>
              </w:rPr>
              <w:t>授权代理时提供）</w:t>
            </w:r>
          </w:p>
        </w:tc>
      </w:tr>
      <w:tr w14:paraId="5EF81CE1">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D57E2B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6E764AEF">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2C1463BD">
            <w:pPr>
              <w:pStyle w:val="36"/>
              <w:pageBreakBefore w:val="0"/>
              <w:kinsoku/>
              <w:wordWrap/>
              <w:overflowPunct/>
              <w:topLinePunct w:val="0"/>
              <w:bidi w:val="0"/>
              <w:snapToGrid w:val="0"/>
              <w:spacing w:line="500" w:lineRule="exact"/>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重大违法记录的书面声明</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230FFD48">
            <w:pPr>
              <w:pStyle w:val="36"/>
              <w:pageBreakBefore w:val="0"/>
              <w:kinsoku/>
              <w:wordWrap/>
              <w:overflowPunct/>
              <w:topLinePunct w:val="0"/>
              <w:bidi w:val="0"/>
              <w:snapToGrid w:val="0"/>
              <w:spacing w:line="5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参加政府采购活动前3年内在经营活动中没有重大违法记录的书面声明</w:t>
            </w:r>
          </w:p>
        </w:tc>
      </w:tr>
      <w:tr w14:paraId="41839F6A">
        <w:tblPrEx>
          <w:tblCellMar>
            <w:top w:w="0" w:type="dxa"/>
            <w:left w:w="108" w:type="dxa"/>
            <w:bottom w:w="0" w:type="dxa"/>
            <w:right w:w="108" w:type="dxa"/>
          </w:tblCellMar>
        </w:tblPrEx>
        <w:trPr>
          <w:trHeight w:val="62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5E63EBE">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0A33E553">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9F96DED">
            <w:pPr>
              <w:pStyle w:val="36"/>
              <w:pageBreakBefore w:val="0"/>
              <w:kinsoku/>
              <w:wordWrap/>
              <w:overflowPunct/>
              <w:topLinePunct w:val="0"/>
              <w:bidi w:val="0"/>
              <w:snapToGrid w:val="0"/>
              <w:spacing w:line="500" w:lineRule="exact"/>
              <w:jc w:val="left"/>
              <w:rPr>
                <w:rFonts w:hint="eastAsia" w:ascii="宋体" w:hAnsi="宋体" w:cs="宋体"/>
                <w:color w:val="auto"/>
                <w:highlight w:val="none"/>
              </w:rPr>
            </w:pPr>
            <w:r>
              <w:rPr>
                <w:rFonts w:hint="eastAsia" w:ascii="宋体" w:hAnsi="宋体" w:cs="宋体"/>
                <w:color w:val="auto"/>
                <w:highlight w:val="none"/>
              </w:rPr>
              <w:t>营业执照</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72D6AAAB">
            <w:pPr>
              <w:pStyle w:val="36"/>
              <w:pageBreakBefore w:val="0"/>
              <w:kinsoku/>
              <w:wordWrap/>
              <w:overflowPunct/>
              <w:topLinePunct w:val="0"/>
              <w:bidi w:val="0"/>
              <w:snapToGrid w:val="0"/>
              <w:spacing w:line="500" w:lineRule="exact"/>
              <w:rPr>
                <w:rFonts w:hint="eastAsia" w:ascii="宋体" w:hAnsi="宋体" w:eastAsia="宋体" w:cs="宋体"/>
                <w:bCs/>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有效的营业执照</w:t>
            </w:r>
            <w:r>
              <w:rPr>
                <w:rFonts w:hint="eastAsia" w:ascii="宋体" w:hAnsi="宋体" w:cs="宋体"/>
                <w:color w:val="auto"/>
                <w:highlight w:val="none"/>
                <w:lang w:eastAsia="zh-CN"/>
              </w:rPr>
              <w:t>复印件</w:t>
            </w:r>
          </w:p>
        </w:tc>
      </w:tr>
      <w:tr w14:paraId="31512E21">
        <w:tblPrEx>
          <w:tblCellMar>
            <w:top w:w="0" w:type="dxa"/>
            <w:left w:w="108" w:type="dxa"/>
            <w:bottom w:w="0" w:type="dxa"/>
            <w:right w:w="108" w:type="dxa"/>
          </w:tblCellMar>
        </w:tblPrEx>
        <w:trPr>
          <w:trHeight w:val="62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3E241251">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35FBF53A">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1B5AD12">
            <w:pPr>
              <w:pStyle w:val="36"/>
              <w:pageBreakBefore w:val="0"/>
              <w:kinsoku/>
              <w:wordWrap/>
              <w:overflowPunct/>
              <w:topLinePunct w:val="0"/>
              <w:bidi w:val="0"/>
              <w:snapToGrid w:val="0"/>
              <w:spacing w:line="500" w:lineRule="exact"/>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资质证书</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000AE9C8">
            <w:pPr>
              <w:pStyle w:val="36"/>
              <w:pageBreakBefore w:val="0"/>
              <w:kinsoku/>
              <w:wordWrap/>
              <w:overflowPunct/>
              <w:topLinePunct w:val="0"/>
              <w:bidi w:val="0"/>
              <w:snapToGrid w:val="0"/>
              <w:spacing w:line="50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rPr>
              <w:t>符合</w:t>
            </w:r>
            <w:r>
              <w:rPr>
                <w:rFonts w:hint="eastAsia" w:ascii="宋体" w:hAnsi="宋体" w:cs="宋体"/>
                <w:color w:val="auto"/>
                <w:highlight w:val="none"/>
                <w:lang w:eastAsia="zh-CN"/>
              </w:rPr>
              <w:t>采购文件要求。</w:t>
            </w:r>
          </w:p>
        </w:tc>
      </w:tr>
      <w:tr w14:paraId="46F27853">
        <w:tblPrEx>
          <w:tblCellMar>
            <w:top w:w="0" w:type="dxa"/>
            <w:left w:w="108" w:type="dxa"/>
            <w:bottom w:w="0" w:type="dxa"/>
            <w:right w:w="108" w:type="dxa"/>
          </w:tblCellMar>
        </w:tblPrEx>
        <w:trPr>
          <w:trHeight w:val="62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AC33C0F">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45B0469C">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14AAE32">
            <w:pPr>
              <w:pStyle w:val="36"/>
              <w:pageBreakBefore w:val="0"/>
              <w:kinsoku/>
              <w:wordWrap/>
              <w:overflowPunct/>
              <w:topLinePunct w:val="0"/>
              <w:bidi w:val="0"/>
              <w:snapToGrid w:val="0"/>
              <w:spacing w:line="5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 w:val="21"/>
                <w:szCs w:val="21"/>
                <w:highlight w:val="none"/>
                <w:lang w:val="en-US" w:eastAsia="zh-CN"/>
              </w:rPr>
              <w:t>落实政府采购政策需满足的资格要求</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025D91C1">
            <w:pPr>
              <w:pStyle w:val="36"/>
              <w:pageBreakBefore w:val="0"/>
              <w:kinsoku/>
              <w:wordWrap/>
              <w:overflowPunct/>
              <w:topLinePunct w:val="0"/>
              <w:bidi w:val="0"/>
              <w:snapToGrid w:val="0"/>
              <w:spacing w:line="500" w:lineRule="exact"/>
              <w:rPr>
                <w:rFonts w:hint="eastAsia" w:ascii="宋体" w:hAnsi="宋体" w:cs="宋体"/>
                <w:color w:val="auto"/>
                <w:highlight w:val="none"/>
              </w:rPr>
            </w:pPr>
            <w:r>
              <w:rPr>
                <w:rFonts w:hint="eastAsia" w:ascii="宋体" w:hAnsi="宋体" w:cs="宋体"/>
                <w:color w:val="auto"/>
                <w:highlight w:val="none"/>
                <w:lang w:val="en-US" w:eastAsia="zh-CN"/>
              </w:rPr>
              <w:t>《中小企业声明函》或《残疾人福利性单位声明函》或省级以上监狱管理局、戒毒管理局（含新疆生产建设兵团）出具的属于监狱企业的证明文件复印件（必须提供其中一项）</w:t>
            </w:r>
          </w:p>
        </w:tc>
      </w:tr>
      <w:tr w14:paraId="6069C0A4">
        <w:tblPrEx>
          <w:tblCellMar>
            <w:top w:w="0" w:type="dxa"/>
            <w:left w:w="108" w:type="dxa"/>
            <w:bottom w:w="0" w:type="dxa"/>
            <w:right w:w="108" w:type="dxa"/>
          </w:tblCellMar>
        </w:tblPrEx>
        <w:trPr>
          <w:trHeight w:val="49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5C97E81">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583A9516">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77D22AF">
            <w:pPr>
              <w:pStyle w:val="36"/>
              <w:pageBreakBefore w:val="0"/>
              <w:kinsoku/>
              <w:wordWrap/>
              <w:overflowPunct/>
              <w:topLinePunct w:val="0"/>
              <w:bidi w:val="0"/>
              <w:snapToGrid w:val="0"/>
              <w:spacing w:line="500" w:lineRule="exact"/>
              <w:jc w:val="left"/>
              <w:rPr>
                <w:rFonts w:hint="eastAsia" w:ascii="宋体" w:hAnsi="宋体" w:cs="宋体"/>
                <w:color w:val="auto"/>
                <w:highlight w:val="none"/>
              </w:rPr>
            </w:pPr>
            <w:r>
              <w:rPr>
                <w:rFonts w:hint="eastAsia" w:ascii="宋体" w:hAnsi="宋体" w:cs="宋体"/>
                <w:color w:val="auto"/>
                <w:highlight w:val="none"/>
              </w:rPr>
              <w:t>安全生产许可证</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188053E6">
            <w:pPr>
              <w:pStyle w:val="36"/>
              <w:pageBreakBefore w:val="0"/>
              <w:kinsoku/>
              <w:wordWrap/>
              <w:overflowPunct/>
              <w:topLinePunct w:val="0"/>
              <w:bidi w:val="0"/>
              <w:snapToGrid w:val="0"/>
              <w:spacing w:line="50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有效的安全生产许可证</w:t>
            </w:r>
            <w:r>
              <w:rPr>
                <w:rFonts w:hint="eastAsia" w:ascii="宋体" w:hAnsi="宋体" w:cs="宋体"/>
                <w:color w:val="auto"/>
                <w:highlight w:val="none"/>
                <w:lang w:eastAsia="zh-CN"/>
              </w:rPr>
              <w:t>复印件取得“三证合一”的除外。</w:t>
            </w:r>
          </w:p>
        </w:tc>
      </w:tr>
      <w:tr w14:paraId="24DAE687">
        <w:tblPrEx>
          <w:tblCellMar>
            <w:top w:w="0" w:type="dxa"/>
            <w:left w:w="108" w:type="dxa"/>
            <w:bottom w:w="0" w:type="dxa"/>
            <w:right w:w="108" w:type="dxa"/>
          </w:tblCellMar>
        </w:tblPrEx>
        <w:trPr>
          <w:trHeight w:val="56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DFFE4A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6F0E7CBD">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35A7BB9">
            <w:pPr>
              <w:pStyle w:val="36"/>
              <w:pageBreakBefore w:val="0"/>
              <w:kinsoku/>
              <w:wordWrap/>
              <w:overflowPunct/>
              <w:topLinePunct w:val="0"/>
              <w:bidi w:val="0"/>
              <w:snapToGrid w:val="0"/>
              <w:spacing w:line="500" w:lineRule="exact"/>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财务状况报告</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63616AE3">
            <w:pPr>
              <w:pStyle w:val="36"/>
              <w:pageBreakBefore w:val="0"/>
              <w:kinsoku/>
              <w:wordWrap/>
              <w:overflowPunct/>
              <w:topLinePunct w:val="0"/>
              <w:bidi w:val="0"/>
              <w:snapToGrid w:val="0"/>
              <w:spacing w:line="500" w:lineRule="exact"/>
              <w:rPr>
                <w:rFonts w:hint="eastAsia" w:ascii="宋体" w:hAnsi="宋体" w:cs="宋体"/>
                <w:color w:val="auto"/>
                <w:highlight w:val="none"/>
              </w:rPr>
            </w:pPr>
            <w:r>
              <w:rPr>
                <w:rFonts w:hint="eastAsia" w:ascii="宋体" w:hAnsi="宋体" w:cs="宋体"/>
                <w:color w:val="auto"/>
                <w:highlight w:val="none"/>
                <w:lang w:eastAsia="zh-CN"/>
              </w:rPr>
              <w:t>按采购文件要求提供。</w:t>
            </w:r>
          </w:p>
        </w:tc>
      </w:tr>
      <w:tr w14:paraId="20B09A30">
        <w:tblPrEx>
          <w:tblCellMar>
            <w:top w:w="0" w:type="dxa"/>
            <w:left w:w="108" w:type="dxa"/>
            <w:bottom w:w="0" w:type="dxa"/>
            <w:right w:w="108" w:type="dxa"/>
          </w:tblCellMar>
        </w:tblPrEx>
        <w:trPr>
          <w:trHeight w:val="514"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4370B4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0A3A1CD6">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2EB22731">
            <w:pPr>
              <w:pStyle w:val="36"/>
              <w:pageBreakBefore w:val="0"/>
              <w:kinsoku/>
              <w:wordWrap/>
              <w:overflowPunct/>
              <w:topLinePunct w:val="0"/>
              <w:bidi w:val="0"/>
              <w:snapToGrid w:val="0"/>
              <w:spacing w:line="5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lang w:eastAsia="zh-CN"/>
              </w:rPr>
              <w:t>依法纳税证明材料</w:t>
            </w:r>
          </w:p>
        </w:tc>
        <w:tc>
          <w:tcPr>
            <w:tcW w:w="5200" w:type="dxa"/>
            <w:tcBorders>
              <w:top w:val="single" w:color="auto" w:sz="4" w:space="0"/>
              <w:left w:val="single" w:color="auto" w:sz="4" w:space="0"/>
              <w:right w:val="single" w:color="auto" w:sz="4" w:space="0"/>
            </w:tcBorders>
            <w:noWrap w:val="0"/>
            <w:vAlign w:val="center"/>
          </w:tcPr>
          <w:p w14:paraId="12AE1A11">
            <w:pPr>
              <w:pStyle w:val="36"/>
              <w:pageBreakBefore w:val="0"/>
              <w:kinsoku/>
              <w:wordWrap/>
              <w:overflowPunct/>
              <w:topLinePunct w:val="0"/>
              <w:bidi w:val="0"/>
              <w:snapToGrid w:val="0"/>
              <w:spacing w:line="50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lang w:eastAsia="zh-CN"/>
              </w:rPr>
              <w:t>按采购文件要求提供。</w:t>
            </w:r>
          </w:p>
        </w:tc>
      </w:tr>
      <w:tr w14:paraId="3E62A6A1">
        <w:tblPrEx>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301C9B2F">
            <w:pPr>
              <w:pageBreakBefore w:val="0"/>
              <w:kinsoku/>
              <w:wordWrap/>
              <w:overflowPunct/>
              <w:topLinePunct w:val="0"/>
              <w:bidi w:val="0"/>
              <w:spacing w:line="500" w:lineRule="exact"/>
              <w:jc w:val="center"/>
              <w:rPr>
                <w:rFonts w:hint="eastAsia" w:ascii="宋体" w:hAnsi="宋体" w:cs="宋体"/>
                <w:b/>
                <w:color w:val="auto"/>
                <w:highlight w:val="none"/>
              </w:rPr>
            </w:pPr>
            <w:r>
              <w:rPr>
                <w:rFonts w:hint="eastAsia" w:ascii="宋体" w:hAnsi="宋体" w:cs="宋体"/>
                <w:bCs/>
                <w:color w:val="auto"/>
                <w:highlight w:val="none"/>
              </w:rPr>
              <w:t>2.1.2</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14:paraId="47C93ADA">
            <w:pPr>
              <w:pageBreakBefore w:val="0"/>
              <w:kinsoku/>
              <w:wordWrap/>
              <w:overflowPunct/>
              <w:topLinePunct w:val="0"/>
              <w:bidi w:val="0"/>
              <w:spacing w:line="50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符合性评审</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418F9FD">
            <w:pPr>
              <w:pageBreakBefore w:val="0"/>
              <w:kinsoku/>
              <w:wordWrap/>
              <w:overflowPunct/>
              <w:topLinePunct w:val="0"/>
              <w:bidi w:val="0"/>
              <w:spacing w:line="500" w:lineRule="exact"/>
              <w:rPr>
                <w:rFonts w:hint="eastAsia" w:ascii="宋体" w:hAnsi="宋体" w:cs="宋体"/>
                <w:b/>
                <w:bCs/>
                <w:color w:val="auto"/>
                <w:highlight w:val="none"/>
              </w:rPr>
            </w:pPr>
            <w:r>
              <w:rPr>
                <w:rFonts w:hint="eastAsia" w:ascii="宋体" w:hAnsi="宋体" w:cs="宋体"/>
                <w:b/>
                <w:bCs/>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4AEECDEE">
            <w:pPr>
              <w:pageBreakBefore w:val="0"/>
              <w:kinsoku/>
              <w:wordWrap/>
              <w:overflowPunct/>
              <w:topLinePunct w:val="0"/>
              <w:bidi w:val="0"/>
              <w:spacing w:line="500" w:lineRule="exact"/>
              <w:rPr>
                <w:rFonts w:hint="eastAsia" w:ascii="宋体" w:hAnsi="宋体" w:cs="宋体"/>
                <w:b/>
                <w:bCs/>
                <w:color w:val="auto"/>
                <w:highlight w:val="none"/>
              </w:rPr>
            </w:pPr>
            <w:r>
              <w:rPr>
                <w:rFonts w:hint="eastAsia" w:ascii="宋体" w:hAnsi="宋体" w:cs="宋体"/>
                <w:b/>
                <w:bCs/>
                <w:color w:val="auto"/>
                <w:highlight w:val="none"/>
              </w:rPr>
              <w:t>评审标准（合格标准：缺少任何一项或有任何一项不合格者，其</w:t>
            </w:r>
            <w:r>
              <w:rPr>
                <w:rFonts w:hint="eastAsia" w:ascii="宋体" w:hAnsi="宋体" w:cs="宋体"/>
                <w:b/>
                <w:bCs/>
                <w:color w:val="auto"/>
                <w:highlight w:val="none"/>
                <w:lang w:eastAsia="zh-CN"/>
              </w:rPr>
              <w:t>符合性评审</w:t>
            </w:r>
            <w:r>
              <w:rPr>
                <w:rFonts w:hint="eastAsia" w:ascii="宋体" w:hAnsi="宋体" w:cs="宋体"/>
                <w:b/>
                <w:bCs/>
                <w:color w:val="auto"/>
                <w:highlight w:val="none"/>
              </w:rPr>
              <w:t>视为不合格）</w:t>
            </w:r>
          </w:p>
        </w:tc>
      </w:tr>
      <w:tr w14:paraId="3D67CC55">
        <w:tblPrEx>
          <w:tblCellMar>
            <w:top w:w="0" w:type="dxa"/>
            <w:left w:w="108" w:type="dxa"/>
            <w:bottom w:w="0" w:type="dxa"/>
            <w:right w:w="108" w:type="dxa"/>
          </w:tblCellMar>
        </w:tblPrEx>
        <w:trPr>
          <w:trHeight w:val="515"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54E851F2">
            <w:pPr>
              <w:pageBreakBefore w:val="0"/>
              <w:kinsoku/>
              <w:wordWrap/>
              <w:overflowPunct/>
              <w:topLinePunct w:val="0"/>
              <w:bidi w:val="0"/>
              <w:spacing w:line="500" w:lineRule="exac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4260F0D2">
            <w:pPr>
              <w:pageBreakBefore w:val="0"/>
              <w:kinsoku/>
              <w:wordWrap/>
              <w:overflowPunct/>
              <w:topLinePunct w:val="0"/>
              <w:bidi w:val="0"/>
              <w:spacing w:line="500" w:lineRule="exact"/>
              <w:rPr>
                <w:rFonts w:hint="eastAsia" w:ascii="宋体" w:hAnsi="宋体" w:cs="宋体"/>
                <w:color w:val="auto"/>
                <w:highlight w:val="none"/>
              </w:rPr>
            </w:pPr>
          </w:p>
        </w:tc>
        <w:tc>
          <w:tcPr>
            <w:tcW w:w="2344" w:type="dxa"/>
            <w:tcBorders>
              <w:top w:val="single" w:color="auto" w:sz="4" w:space="0"/>
              <w:left w:val="single" w:color="000000" w:sz="4" w:space="0"/>
              <w:bottom w:val="single" w:color="000000" w:sz="4" w:space="0"/>
              <w:right w:val="single" w:color="000000" w:sz="4" w:space="0"/>
            </w:tcBorders>
            <w:noWrap w:val="0"/>
            <w:vAlign w:val="center"/>
          </w:tcPr>
          <w:p w14:paraId="3D2B05B8">
            <w:pPr>
              <w:pageBreakBefore w:val="0"/>
              <w:kinsoku/>
              <w:wordWrap/>
              <w:overflowPunct/>
              <w:topLinePunct w:val="0"/>
              <w:bidi w:val="0"/>
              <w:spacing w:line="500" w:lineRule="exact"/>
              <w:rPr>
                <w:rFonts w:hint="eastAsia" w:ascii="宋体" w:hAnsi="宋体" w:cs="宋体"/>
                <w:color w:val="auto"/>
                <w:highlight w:val="none"/>
              </w:rPr>
            </w:pPr>
            <w:r>
              <w:rPr>
                <w:rFonts w:hint="eastAsia" w:ascii="宋体" w:hAnsi="宋体" w:cs="宋体"/>
                <w:color w:val="auto"/>
                <w:kern w:val="0"/>
                <w:highlight w:val="none"/>
                <w:lang w:eastAsia="zh-CN"/>
              </w:rPr>
              <w:t>响应函</w:t>
            </w:r>
          </w:p>
        </w:tc>
        <w:tc>
          <w:tcPr>
            <w:tcW w:w="5200" w:type="dxa"/>
            <w:tcBorders>
              <w:top w:val="single" w:color="auto" w:sz="4" w:space="0"/>
              <w:left w:val="single" w:color="000000" w:sz="4" w:space="0"/>
              <w:bottom w:val="single" w:color="000000" w:sz="4" w:space="0"/>
              <w:right w:val="single" w:color="000000" w:sz="4" w:space="0"/>
            </w:tcBorders>
            <w:noWrap w:val="0"/>
            <w:vAlign w:val="center"/>
          </w:tcPr>
          <w:p w14:paraId="152494C1">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47D52AC2">
        <w:tblPrEx>
          <w:tblCellMar>
            <w:top w:w="0" w:type="dxa"/>
            <w:left w:w="108" w:type="dxa"/>
            <w:bottom w:w="0" w:type="dxa"/>
            <w:right w:w="108" w:type="dxa"/>
          </w:tblCellMar>
        </w:tblPrEx>
        <w:trPr>
          <w:trHeight w:val="546"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371B561B">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365A1224">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70013928">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工程报价汇总表</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07C595AE">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35410BFA">
        <w:tblPrEx>
          <w:tblCellMar>
            <w:top w:w="0" w:type="dxa"/>
            <w:left w:w="108" w:type="dxa"/>
            <w:bottom w:w="0" w:type="dxa"/>
            <w:right w:w="108" w:type="dxa"/>
          </w:tblCellMar>
        </w:tblPrEx>
        <w:trPr>
          <w:trHeight w:val="525"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45FFDFDC">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2F0B173C">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noWrap w:val="0"/>
            <w:vAlign w:val="center"/>
          </w:tcPr>
          <w:p w14:paraId="3BC7469F">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已标价工程量清单</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14D25D6A">
            <w:pPr>
              <w:pageBreakBefore w:val="0"/>
              <w:kinsoku/>
              <w:wordWrap/>
              <w:overflowPunct/>
              <w:topLinePunct w:val="0"/>
              <w:bidi w:val="0"/>
              <w:spacing w:line="500" w:lineRule="exact"/>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14:paraId="4D84167E">
        <w:tblPrEx>
          <w:tblCellMar>
            <w:top w:w="0" w:type="dxa"/>
            <w:left w:w="108" w:type="dxa"/>
            <w:bottom w:w="0" w:type="dxa"/>
            <w:right w:w="108" w:type="dxa"/>
          </w:tblCellMar>
        </w:tblPrEx>
        <w:trPr>
          <w:trHeight w:val="491"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321EACDC">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7A14C36B">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auto" w:sz="4" w:space="0"/>
              <w:left w:val="single" w:color="000000" w:sz="4" w:space="0"/>
              <w:bottom w:val="single" w:color="auto" w:sz="4" w:space="0"/>
              <w:right w:val="single" w:color="000000" w:sz="4" w:space="0"/>
            </w:tcBorders>
            <w:noWrap w:val="0"/>
            <w:vAlign w:val="center"/>
          </w:tcPr>
          <w:p w14:paraId="7EE4F4AE">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拟投入主要施工管理人员</w:t>
            </w:r>
          </w:p>
        </w:tc>
        <w:tc>
          <w:tcPr>
            <w:tcW w:w="5200" w:type="dxa"/>
            <w:tcBorders>
              <w:top w:val="single" w:color="000000" w:sz="4" w:space="0"/>
              <w:left w:val="single" w:color="000000" w:sz="4" w:space="0"/>
              <w:bottom w:val="single" w:color="auto" w:sz="4" w:space="0"/>
              <w:right w:val="single" w:color="000000" w:sz="4" w:space="0"/>
            </w:tcBorders>
            <w:noWrap w:val="0"/>
            <w:vAlign w:val="center"/>
          </w:tcPr>
          <w:p w14:paraId="73454AA6">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符合采购文件要求</w:t>
            </w:r>
          </w:p>
        </w:tc>
      </w:tr>
      <w:tr w14:paraId="5222E93E">
        <w:tblPrEx>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1159CC1E">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41C6165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6C7838C2">
            <w:pPr>
              <w:pageBreakBefore w:val="0"/>
              <w:kinsoku/>
              <w:wordWrap/>
              <w:overflowPunct/>
              <w:topLinePunct w:val="0"/>
              <w:bidi w:val="0"/>
              <w:spacing w:line="500" w:lineRule="exact"/>
              <w:rPr>
                <w:rFonts w:hint="default" w:ascii="宋体" w:hAnsi="宋体" w:eastAsia="宋体" w:cs="宋体"/>
                <w:color w:val="auto"/>
                <w:highlight w:val="none"/>
                <w:lang w:val="en-US" w:eastAsia="zh-CN"/>
              </w:rPr>
            </w:pPr>
            <w:r>
              <w:rPr>
                <w:rFonts w:hint="eastAsia" w:ascii="宋体" w:hAnsi="宋体" w:cs="宋体"/>
                <w:color w:val="auto"/>
                <w:kern w:val="0"/>
                <w:highlight w:val="none"/>
                <w:lang w:eastAsia="zh-CN"/>
              </w:rPr>
              <w:t>项目经理</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5F9F6142">
            <w:pPr>
              <w:pageBreakBefore w:val="0"/>
              <w:kinsoku/>
              <w:wordWrap/>
              <w:overflowPunct/>
              <w:topLinePunct w:val="0"/>
              <w:bidi w:val="0"/>
              <w:spacing w:line="500" w:lineRule="exact"/>
              <w:rPr>
                <w:rFonts w:hint="eastAsia" w:ascii="宋体" w:hAnsi="宋体" w:cs="宋体"/>
                <w:color w:val="auto"/>
                <w:highlight w:val="none"/>
              </w:rPr>
            </w:pPr>
            <w:r>
              <w:rPr>
                <w:rFonts w:hint="eastAsia" w:ascii="宋体" w:hAnsi="宋体" w:cs="宋体"/>
                <w:color w:val="auto"/>
                <w:kern w:val="0"/>
                <w:highlight w:val="none"/>
                <w:lang w:eastAsia="zh-CN"/>
              </w:rPr>
              <w:t>符合采购文件要求</w:t>
            </w:r>
          </w:p>
        </w:tc>
      </w:tr>
      <w:tr w14:paraId="217DF0AF">
        <w:tblPrEx>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1485D549">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29214CA3">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330EE90D">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施工组织方案</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4B489A28">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6DB8F891">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4EC9558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31CB9E28">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387525DC">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工程完工服务承诺书</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3448A659">
            <w:pPr>
              <w:pageBreakBefore w:val="0"/>
              <w:kinsoku/>
              <w:wordWrap/>
              <w:overflowPunct/>
              <w:topLinePunct w:val="0"/>
              <w:bidi w:val="0"/>
              <w:spacing w:line="500" w:lineRule="exact"/>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14:paraId="185CB331">
        <w:tblPrEx>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675B8429">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16B7F2A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0E11D03A">
            <w:pPr>
              <w:pageBreakBefore w:val="0"/>
              <w:kinsoku/>
              <w:wordWrap/>
              <w:overflowPunct/>
              <w:topLinePunct w:val="0"/>
              <w:bidi w:val="0"/>
              <w:spacing w:line="500" w:lineRule="exact"/>
              <w:rPr>
                <w:rFonts w:hint="eastAsia" w:ascii="宋体" w:hAnsi="宋体" w:eastAsia="宋体" w:cs="宋体"/>
                <w:bCs/>
                <w:color w:val="auto"/>
                <w:highlight w:val="none"/>
                <w:lang w:eastAsia="zh-CN"/>
              </w:rPr>
            </w:pPr>
            <w:r>
              <w:rPr>
                <w:rFonts w:hint="eastAsia" w:ascii="宋体" w:hAnsi="宋体" w:cs="宋体"/>
                <w:color w:val="auto"/>
                <w:kern w:val="0"/>
                <w:highlight w:val="none"/>
                <w:lang w:eastAsia="zh-CN"/>
              </w:rPr>
              <w:t>农民工工资保障金缴纳与使用承诺书</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3EE152A7">
            <w:pPr>
              <w:pageBreakBefore w:val="0"/>
              <w:kinsoku/>
              <w:wordWrap/>
              <w:overflowPunct/>
              <w:topLinePunct w:val="0"/>
              <w:bidi w:val="0"/>
              <w:spacing w:line="500" w:lineRule="exact"/>
              <w:rPr>
                <w:rFonts w:hint="eastAsia" w:ascii="宋体" w:hAnsi="宋体" w:cs="宋体"/>
                <w:bCs/>
                <w:color w:val="auto"/>
                <w:highlight w:val="none"/>
              </w:rPr>
            </w:pPr>
            <w:r>
              <w:rPr>
                <w:rFonts w:hint="eastAsia" w:ascii="宋体" w:hAnsi="宋体" w:cs="宋体"/>
                <w:color w:val="auto"/>
                <w:kern w:val="0"/>
                <w:highlight w:val="none"/>
                <w:lang w:eastAsia="zh-CN"/>
              </w:rPr>
              <w:t>必须提供</w:t>
            </w:r>
          </w:p>
        </w:tc>
      </w:tr>
      <w:tr w14:paraId="70269BE7">
        <w:tblPrEx>
          <w:tblCellMar>
            <w:top w:w="0" w:type="dxa"/>
            <w:left w:w="108" w:type="dxa"/>
            <w:bottom w:w="0" w:type="dxa"/>
            <w:right w:w="108" w:type="dxa"/>
          </w:tblCellMar>
        </w:tblPrEx>
        <w:trPr>
          <w:trHeight w:val="1039" w:hRule="exac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6A46028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33BD991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noWrap w:val="0"/>
            <w:vAlign w:val="center"/>
          </w:tcPr>
          <w:p w14:paraId="6DEF59C6">
            <w:pPr>
              <w:pageBreakBefore w:val="0"/>
              <w:kinsoku/>
              <w:wordWrap/>
              <w:overflowPunct/>
              <w:topLinePunct w:val="0"/>
              <w:bidi w:val="0"/>
              <w:spacing w:line="500" w:lineRule="exac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城乡清洁工程渣土清运承诺书</w:t>
            </w:r>
          </w:p>
        </w:tc>
        <w:tc>
          <w:tcPr>
            <w:tcW w:w="5200" w:type="dxa"/>
            <w:tcBorders>
              <w:top w:val="single" w:color="000000" w:sz="4" w:space="0"/>
              <w:left w:val="single" w:color="000000" w:sz="4" w:space="0"/>
              <w:bottom w:val="single" w:color="auto" w:sz="4" w:space="0"/>
              <w:right w:val="single" w:color="auto" w:sz="4" w:space="0"/>
            </w:tcBorders>
            <w:noWrap w:val="0"/>
            <w:vAlign w:val="center"/>
          </w:tcPr>
          <w:p w14:paraId="5E0E27CF">
            <w:pPr>
              <w:pageBreakBefore w:val="0"/>
              <w:kinsoku/>
              <w:wordWrap/>
              <w:overflowPunct/>
              <w:topLinePunct w:val="0"/>
              <w:bidi w:val="0"/>
              <w:snapToGrid w:val="0"/>
              <w:spacing w:line="500" w:lineRule="exact"/>
              <w:rPr>
                <w:rFonts w:hint="eastAsia" w:ascii="宋体" w:hAnsi="宋体" w:cs="宋体"/>
                <w:color w:val="auto"/>
                <w:kern w:val="0"/>
                <w:highlight w:val="none"/>
              </w:rPr>
            </w:pPr>
            <w:r>
              <w:rPr>
                <w:rFonts w:hint="eastAsia" w:ascii="宋体" w:hAnsi="宋体" w:cs="宋体"/>
                <w:color w:val="auto"/>
                <w:kern w:val="0"/>
                <w:highlight w:val="none"/>
                <w:lang w:eastAsia="zh-CN"/>
              </w:rPr>
              <w:t>必须提供</w:t>
            </w:r>
          </w:p>
        </w:tc>
      </w:tr>
    </w:tbl>
    <w:p w14:paraId="4A6F11EE">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highlight w:val="none"/>
        </w:rPr>
      </w:pPr>
      <w:r>
        <w:rPr>
          <w:rFonts w:hint="eastAsia" w:hAnsi="宋体" w:eastAsia="宋体" w:cs="宋体"/>
          <w:b/>
          <w:bCs w:val="0"/>
          <w:color w:val="auto"/>
          <w:sz w:val="24"/>
          <w:szCs w:val="24"/>
          <w:highlight w:val="none"/>
          <w:lang w:eastAsia="zh-CN"/>
        </w:rPr>
        <w:t>详细评审：</w:t>
      </w:r>
    </w:p>
    <w:p w14:paraId="1944376E">
      <w:pPr>
        <w:pageBreakBefore w:val="0"/>
        <w:widowControl w:val="0"/>
        <w:kinsoku/>
        <w:wordWrap/>
        <w:overflowPunct/>
        <w:topLinePunct w:val="0"/>
        <w:bidi w:val="0"/>
        <w:snapToGrid/>
        <w:spacing w:line="44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1、价格分…………………………………………………………………………………</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满分30</w:t>
      </w:r>
      <w:r>
        <w:rPr>
          <w:rFonts w:hint="eastAsia" w:ascii="宋体" w:hAnsi="宋体" w:eastAsia="宋体" w:cs="宋体"/>
          <w:b/>
          <w:color w:val="auto"/>
          <w:highlight w:val="none"/>
        </w:rPr>
        <w:t>分</w:t>
      </w:r>
    </w:p>
    <w:p w14:paraId="158388BB">
      <w:pPr>
        <w:pageBreakBefore w:val="0"/>
        <w:widowControl w:val="0"/>
        <w:kinsoku/>
        <w:wordWrap/>
        <w:overflowPunct/>
        <w:topLinePunct w:val="0"/>
        <w:bidi w:val="0"/>
        <w:snapToGrid/>
        <w:spacing w:line="44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（1）本项目为专门面向中小微企业采购的项目（供应商应为中小微企业、监狱企业、残疾人福利性单位)，不再执行价格评审优惠的扶持政策。即评标价=最终报价。</w:t>
      </w:r>
    </w:p>
    <w:p w14:paraId="530265A0">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5AEC9FF1">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人为残疾人福利性单位的，随</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结果公告其《残疾人福利性单位声明函》，接受社会监督。</w:t>
      </w:r>
    </w:p>
    <w:p w14:paraId="361CE328">
      <w:pPr>
        <w:pageBreakBefore w:val="0"/>
        <w:widowControl w:val="0"/>
        <w:kinsoku/>
        <w:wordWrap/>
        <w:overflowPunct/>
        <w:topLinePunct w:val="0"/>
        <w:bidi w:val="0"/>
        <w:snapToGrid/>
        <w:spacing w:line="44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（2）以进入评审的最低的评标价为</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14:paraId="029CD696">
      <w:pPr>
        <w:pageBreakBefore w:val="0"/>
        <w:widowControl w:val="0"/>
        <w:kinsoku/>
        <w:wordWrap/>
        <w:overflowPunct/>
        <w:topLinePunct w:val="0"/>
        <w:bidi w:val="0"/>
        <w:snapToGrid/>
        <w:spacing w:line="44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（3）某供应商价格分 = 供应商最低评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报价（金额）/某供应商评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14:paraId="43FD50F4">
      <w:pPr>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2、</w:t>
      </w:r>
      <w:r>
        <w:rPr>
          <w:rFonts w:hint="eastAsia" w:ascii="新宋体" w:hAnsi="新宋体" w:eastAsia="新宋体" w:cs="新宋体"/>
          <w:b/>
          <w:color w:val="auto"/>
          <w:highlight w:val="none"/>
          <w:lang w:val="en-US" w:eastAsia="zh-CN"/>
        </w:rPr>
        <w:t>技术分</w:t>
      </w:r>
      <w:r>
        <w:rPr>
          <w:rFonts w:hint="eastAsia" w:ascii="新宋体" w:hAnsi="新宋体" w:eastAsia="新宋体" w:cs="新宋体"/>
          <w:b/>
          <w:color w:val="auto"/>
          <w:highlight w:val="none"/>
        </w:rPr>
        <w:t>……………………………</w:t>
      </w:r>
      <w:r>
        <w:rPr>
          <w:rFonts w:hint="eastAsia" w:ascii="新宋体" w:hAnsi="新宋体" w:eastAsia="新宋体" w:cs="新宋体"/>
          <w:b/>
          <w:bCs/>
          <w:color w:val="auto"/>
          <w:sz w:val="21"/>
          <w:szCs w:val="21"/>
          <w:highlight w:val="none"/>
        </w:rPr>
        <w:t>…………………………</w:t>
      </w:r>
      <w:r>
        <w:rPr>
          <w:rFonts w:hint="eastAsia" w:ascii="新宋体" w:hAnsi="新宋体" w:eastAsia="新宋体" w:cs="新宋体"/>
          <w:b/>
          <w:color w:val="auto"/>
          <w:highlight w:val="none"/>
        </w:rPr>
        <w:t>…………………………………</w:t>
      </w:r>
      <w:r>
        <w:rPr>
          <w:rFonts w:hint="eastAsia" w:ascii="新宋体" w:hAnsi="新宋体" w:eastAsia="新宋体" w:cs="新宋体"/>
          <w:b/>
          <w:color w:val="auto"/>
          <w:highlight w:val="none"/>
          <w:lang w:val="en-US" w:eastAsia="zh-CN"/>
        </w:rPr>
        <w:t>满分50</w:t>
      </w:r>
      <w:r>
        <w:rPr>
          <w:rFonts w:hint="eastAsia" w:ascii="新宋体" w:hAnsi="新宋体" w:eastAsia="新宋体" w:cs="新宋体"/>
          <w:b/>
          <w:color w:val="auto"/>
          <w:highlight w:val="none"/>
        </w:rPr>
        <w:t>分</w:t>
      </w:r>
    </w:p>
    <w:p w14:paraId="06238D8C">
      <w:pPr>
        <w:pStyle w:val="14"/>
        <w:pageBreakBefore w:val="0"/>
        <w:widowControl w:val="0"/>
        <w:tabs>
          <w:tab w:val="left" w:leader="middleDot" w:pos="8820"/>
        </w:tabs>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highlight w:val="none"/>
        </w:rPr>
        <w:t>（1）</w:t>
      </w:r>
      <w:r>
        <w:rPr>
          <w:rFonts w:hint="eastAsia" w:ascii="新宋体" w:hAnsi="新宋体" w:eastAsia="新宋体" w:cs="新宋体"/>
          <w:b/>
          <w:bCs w:val="0"/>
          <w:color w:val="auto"/>
          <w:szCs w:val="21"/>
          <w:highlight w:val="none"/>
        </w:rPr>
        <w:t>总体概述</w:t>
      </w:r>
      <w:r>
        <w:rPr>
          <w:rFonts w:hint="eastAsia" w:ascii="新宋体" w:hAnsi="新宋体" w:eastAsia="新宋体" w:cs="新宋体"/>
          <w:b/>
          <w:bCs w:val="0"/>
          <w:color w:val="auto"/>
          <w:highlight w:val="none"/>
        </w:rPr>
        <w:t>……………………………………………</w:t>
      </w:r>
      <w:r>
        <w:rPr>
          <w:rFonts w:hint="eastAsia" w:ascii="新宋体" w:hAnsi="新宋体" w:eastAsia="新宋体" w:cs="新宋体"/>
          <w:b/>
          <w:color w:val="auto"/>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highlight w:val="none"/>
          <w:lang w:val="en-US" w:eastAsia="zh-CN"/>
        </w:rPr>
        <w:t>5</w:t>
      </w:r>
      <w:r>
        <w:rPr>
          <w:rFonts w:hint="eastAsia" w:ascii="新宋体" w:hAnsi="新宋体" w:eastAsia="新宋体" w:cs="新宋体"/>
          <w:b/>
          <w:bCs w:val="0"/>
          <w:color w:val="auto"/>
          <w:szCs w:val="21"/>
          <w:highlight w:val="none"/>
        </w:rPr>
        <w:t>分</w:t>
      </w:r>
    </w:p>
    <w:p w14:paraId="479101AB">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kern w:val="0"/>
          <w:szCs w:val="21"/>
          <w:highlight w:val="none"/>
          <w:lang w:eastAsia="zh-CN"/>
        </w:rPr>
      </w:pPr>
      <w:r>
        <w:rPr>
          <w:rFonts w:hint="eastAsia" w:ascii="新宋体" w:hAnsi="新宋体" w:eastAsia="新宋体" w:cs="新宋体"/>
          <w:b w:val="0"/>
          <w:bCs/>
          <w:color w:val="auto"/>
          <w:kern w:val="0"/>
          <w:szCs w:val="21"/>
          <w:highlight w:val="none"/>
        </w:rPr>
        <w:t>优</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lang w:val="en-US" w:eastAsia="zh-CN"/>
        </w:rPr>
        <w:t>5.0分</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rPr>
        <w:t>：对项目总体有深刻认识，表达清晰、完整、严谨、合理，措施先进、具体、有效、成熟；施工段划分清晰、合理，符合规范要求</w:t>
      </w:r>
      <w:r>
        <w:rPr>
          <w:rFonts w:hint="eastAsia" w:ascii="新宋体" w:hAnsi="新宋体" w:eastAsia="新宋体" w:cs="新宋体"/>
          <w:b w:val="0"/>
          <w:bCs/>
          <w:color w:val="auto"/>
          <w:kern w:val="0"/>
          <w:szCs w:val="21"/>
          <w:highlight w:val="none"/>
          <w:lang w:eastAsia="zh-CN"/>
        </w:rPr>
        <w:t>；</w:t>
      </w:r>
    </w:p>
    <w:p w14:paraId="0353A89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kern w:val="0"/>
          <w:szCs w:val="21"/>
          <w:highlight w:val="none"/>
          <w:lang w:eastAsia="zh-CN"/>
        </w:rPr>
      </w:pPr>
      <w:r>
        <w:rPr>
          <w:rFonts w:hint="eastAsia" w:ascii="新宋体" w:hAnsi="新宋体" w:eastAsia="新宋体" w:cs="新宋体"/>
          <w:b w:val="0"/>
          <w:bCs/>
          <w:color w:val="auto"/>
          <w:kern w:val="0"/>
          <w:szCs w:val="21"/>
          <w:highlight w:val="none"/>
        </w:rPr>
        <w:t>良</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lang w:val="en-US" w:eastAsia="zh-CN"/>
        </w:rPr>
        <w:t>3.0分</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rPr>
        <w:t>：对项目总体有一定认识，表达清晰、完整，措施具体有效；施工段划分清晰，符合规范要求</w:t>
      </w:r>
      <w:r>
        <w:rPr>
          <w:rFonts w:hint="eastAsia" w:ascii="新宋体" w:hAnsi="新宋体" w:eastAsia="新宋体" w:cs="新宋体"/>
          <w:b w:val="0"/>
          <w:bCs/>
          <w:color w:val="auto"/>
          <w:kern w:val="0"/>
          <w:szCs w:val="21"/>
          <w:highlight w:val="none"/>
          <w:lang w:eastAsia="zh-CN"/>
        </w:rPr>
        <w:t>；</w:t>
      </w:r>
    </w:p>
    <w:p w14:paraId="340DA152">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kern w:val="0"/>
          <w:szCs w:val="21"/>
          <w:highlight w:val="none"/>
          <w:lang w:eastAsia="zh-CN"/>
        </w:rPr>
      </w:pPr>
      <w:r>
        <w:rPr>
          <w:rFonts w:hint="eastAsia" w:ascii="新宋体" w:hAnsi="新宋体" w:eastAsia="新宋体" w:cs="新宋体"/>
          <w:b w:val="0"/>
          <w:bCs/>
          <w:color w:val="auto"/>
          <w:kern w:val="0"/>
          <w:szCs w:val="21"/>
          <w:highlight w:val="none"/>
        </w:rPr>
        <w:t>中</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lang w:val="en-US" w:eastAsia="zh-CN"/>
        </w:rPr>
        <w:t>1.0分</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rPr>
        <w:t>：对项目总体有认识，有一定的措施但部分不具体；施工段划分较合理，符合规范要求</w:t>
      </w:r>
      <w:r>
        <w:rPr>
          <w:rFonts w:hint="eastAsia" w:ascii="新宋体" w:hAnsi="新宋体" w:eastAsia="新宋体" w:cs="新宋体"/>
          <w:b w:val="0"/>
          <w:bCs/>
          <w:color w:val="auto"/>
          <w:kern w:val="0"/>
          <w:szCs w:val="21"/>
          <w:highlight w:val="none"/>
          <w:lang w:eastAsia="zh-CN"/>
        </w:rPr>
        <w:t>；</w:t>
      </w:r>
    </w:p>
    <w:p w14:paraId="1FF2F3E4">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kern w:val="0"/>
          <w:szCs w:val="21"/>
          <w:highlight w:val="none"/>
        </w:rPr>
      </w:pPr>
      <w:r>
        <w:rPr>
          <w:rFonts w:hint="eastAsia" w:ascii="新宋体" w:hAnsi="新宋体" w:eastAsia="新宋体" w:cs="新宋体"/>
          <w:b w:val="0"/>
          <w:bCs/>
          <w:color w:val="auto"/>
          <w:kern w:val="0"/>
          <w:szCs w:val="21"/>
          <w:highlight w:val="none"/>
        </w:rPr>
        <w:t>差</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lang w:val="en-US" w:eastAsia="zh-CN"/>
        </w:rPr>
        <w:t>0分</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rPr>
        <w:t>：对项目认识不足，表达不清晰，措施不具体；施工段划分不合理。</w:t>
      </w:r>
    </w:p>
    <w:p w14:paraId="3E280684">
      <w:pPr>
        <w:pStyle w:val="14"/>
        <w:pageBreakBefore w:val="0"/>
        <w:widowControl w:val="0"/>
        <w:kinsoku/>
        <w:wordWrap/>
        <w:overflowPunct/>
        <w:topLinePunct w:val="0"/>
        <w:bidi w:val="0"/>
        <w:snapToGrid/>
        <w:spacing w:line="440" w:lineRule="exact"/>
        <w:ind w:firstLine="210" w:firstLineChars="100"/>
        <w:textAlignment w:val="auto"/>
        <w:rPr>
          <w:rFonts w:hint="eastAsia"/>
          <w:color w:val="auto"/>
        </w:rPr>
      </w:pPr>
      <w:r>
        <w:rPr>
          <w:rFonts w:hint="eastAsia" w:ascii="新宋体" w:hAnsi="新宋体" w:eastAsia="新宋体" w:cs="新宋体"/>
          <w:color w:val="auto"/>
          <w:sz w:val="21"/>
          <w:highlight w:val="none"/>
        </w:rPr>
        <w:t>注：</w:t>
      </w:r>
      <w:r>
        <w:rPr>
          <w:rFonts w:hint="eastAsia" w:ascii="新宋体" w:hAnsi="新宋体" w:eastAsia="新宋体" w:cs="新宋体"/>
          <w:color w:val="auto"/>
          <w:sz w:val="21"/>
          <w:highlight w:val="none"/>
          <w:lang w:eastAsia="zh-CN"/>
        </w:rPr>
        <w:t>磋商供应商响应文件</w:t>
      </w:r>
      <w:r>
        <w:rPr>
          <w:rFonts w:hint="eastAsia" w:ascii="新宋体" w:hAnsi="新宋体" w:eastAsia="新宋体" w:cs="新宋体"/>
          <w:color w:val="auto"/>
          <w:sz w:val="21"/>
          <w:highlight w:val="none"/>
        </w:rPr>
        <w:t>中提供的项目实施方案未达到相应评审档次全部标准的，相应降低一个档次</w:t>
      </w:r>
      <w:r>
        <w:rPr>
          <w:rFonts w:hint="eastAsia" w:ascii="新宋体" w:hAnsi="新宋体" w:eastAsia="新宋体" w:cs="新宋体"/>
          <w:color w:val="auto"/>
          <w:sz w:val="21"/>
          <w:highlight w:val="none"/>
          <w:lang w:eastAsia="zh-CN"/>
        </w:rPr>
        <w:t>。</w:t>
      </w:r>
    </w:p>
    <w:p w14:paraId="03EEC9A6">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highlight w:val="none"/>
        </w:rPr>
      </w:pPr>
      <w:r>
        <w:rPr>
          <w:rFonts w:hint="eastAsia" w:ascii="新宋体" w:hAnsi="新宋体" w:eastAsia="新宋体" w:cs="新宋体"/>
          <w:b/>
          <w:bCs w:val="0"/>
          <w:color w:val="auto"/>
          <w:highlight w:val="none"/>
        </w:rPr>
        <w:t>（2）主要施工方法…………</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color w:val="auto"/>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highlight w:val="none"/>
          <w:lang w:val="en-US" w:eastAsia="zh-CN"/>
        </w:rPr>
        <w:t>8</w:t>
      </w:r>
      <w:r>
        <w:rPr>
          <w:rFonts w:hint="eastAsia" w:ascii="新宋体" w:hAnsi="新宋体" w:eastAsia="新宋体" w:cs="新宋体"/>
          <w:b/>
          <w:bCs w:val="0"/>
          <w:color w:val="auto"/>
          <w:szCs w:val="21"/>
          <w:highlight w:val="none"/>
        </w:rPr>
        <w:t>分</w:t>
      </w:r>
    </w:p>
    <w:p w14:paraId="6B87545B">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lang w:eastAsia="zh-CN"/>
        </w:rPr>
        <w:t>磋商小组</w:t>
      </w:r>
      <w:r>
        <w:rPr>
          <w:rFonts w:hint="eastAsia" w:ascii="新宋体" w:hAnsi="新宋体" w:eastAsia="新宋体" w:cs="新宋体"/>
          <w:color w:val="auto"/>
          <w:sz w:val="21"/>
          <w:highlight w:val="none"/>
        </w:rPr>
        <w:t>会</w:t>
      </w:r>
      <w:r>
        <w:rPr>
          <w:rFonts w:hint="eastAsia" w:ascii="新宋体" w:hAnsi="新宋体" w:eastAsia="新宋体" w:cs="新宋体"/>
          <w:color w:val="auto"/>
          <w:sz w:val="21"/>
          <w:highlight w:val="none"/>
          <w:lang w:eastAsia="zh-CN"/>
        </w:rPr>
        <w:t>各成员</w:t>
      </w:r>
      <w:r>
        <w:rPr>
          <w:rFonts w:hint="eastAsia" w:ascii="新宋体" w:hAnsi="新宋体" w:eastAsia="新宋体" w:cs="新宋体"/>
          <w:color w:val="auto"/>
          <w:sz w:val="21"/>
          <w:highlight w:val="none"/>
        </w:rPr>
        <w:t>对比各</w:t>
      </w:r>
      <w:r>
        <w:rPr>
          <w:rFonts w:hint="eastAsia" w:ascii="新宋体" w:hAnsi="新宋体" w:eastAsia="新宋体" w:cs="新宋体"/>
          <w:color w:val="auto"/>
          <w:sz w:val="21"/>
          <w:highlight w:val="none"/>
          <w:lang w:eastAsia="zh-CN"/>
        </w:rPr>
        <w:t>磋商供应商</w:t>
      </w:r>
      <w:r>
        <w:rPr>
          <w:rFonts w:hint="eastAsia" w:ascii="新宋体" w:hAnsi="新宋体" w:eastAsia="新宋体" w:cs="新宋体"/>
          <w:color w:val="auto"/>
          <w:sz w:val="21"/>
          <w:highlight w:val="none"/>
        </w:rPr>
        <w:t>提供的</w:t>
      </w:r>
      <w:r>
        <w:rPr>
          <w:rFonts w:hint="eastAsia" w:ascii="新宋体" w:hAnsi="新宋体" w:eastAsia="新宋体" w:cs="新宋体"/>
          <w:color w:val="auto"/>
          <w:sz w:val="21"/>
          <w:highlight w:val="none"/>
        </w:rPr>
        <w:fldChar w:fldCharType="begin"/>
      </w:r>
      <w:r>
        <w:rPr>
          <w:rFonts w:hint="eastAsia" w:ascii="新宋体" w:hAnsi="新宋体" w:eastAsia="新宋体" w:cs="新宋体"/>
          <w:color w:val="auto"/>
          <w:sz w:val="21"/>
          <w:highlight w:val="none"/>
        </w:rPr>
        <w:instrText xml:space="preserve"> = 1 \* GB3 \* MERGEFORMAT </w:instrText>
      </w:r>
      <w:r>
        <w:rPr>
          <w:rFonts w:hint="eastAsia" w:ascii="新宋体" w:hAnsi="新宋体" w:eastAsia="新宋体" w:cs="新宋体"/>
          <w:color w:val="auto"/>
          <w:sz w:val="21"/>
          <w:highlight w:val="none"/>
        </w:rPr>
        <w:fldChar w:fldCharType="separate"/>
      </w:r>
      <w:r>
        <w:rPr>
          <w:rFonts w:hint="eastAsia" w:ascii="新宋体" w:hAnsi="新宋体" w:eastAsia="新宋体" w:cs="新宋体"/>
          <w:color w:val="auto"/>
          <w:highlight w:val="none"/>
        </w:rPr>
        <w:t>①</w:t>
      </w:r>
      <w:r>
        <w:rPr>
          <w:rFonts w:hint="eastAsia" w:ascii="新宋体" w:hAnsi="新宋体" w:eastAsia="新宋体" w:cs="新宋体"/>
          <w:color w:val="auto"/>
          <w:sz w:val="21"/>
          <w:highlight w:val="none"/>
        </w:rPr>
        <w:fldChar w:fldCharType="end"/>
      </w:r>
      <w:r>
        <w:rPr>
          <w:rFonts w:hint="eastAsia" w:ascii="新宋体" w:hAnsi="新宋体" w:eastAsia="新宋体" w:cs="新宋体"/>
          <w:b w:val="0"/>
          <w:bCs w:val="0"/>
          <w:color w:val="auto"/>
          <w:sz w:val="21"/>
          <w:highlight w:val="none"/>
          <w:lang w:val="en-US" w:eastAsia="zh-CN"/>
        </w:rPr>
        <w:t>对</w:t>
      </w:r>
      <w:r>
        <w:rPr>
          <w:rFonts w:hint="eastAsia" w:ascii="新宋体" w:hAnsi="新宋体" w:eastAsia="新宋体" w:cs="新宋体"/>
          <w:bCs/>
          <w:color w:val="auto"/>
          <w:sz w:val="21"/>
          <w:highlight w:val="none"/>
        </w:rPr>
        <w:t>项目关键技术、工艺的表述</w:t>
      </w:r>
      <w:r>
        <w:rPr>
          <w:rFonts w:hint="eastAsia" w:ascii="新宋体" w:hAnsi="新宋体" w:eastAsia="新宋体" w:cs="新宋体"/>
          <w:bCs/>
          <w:color w:val="auto"/>
          <w:sz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Cs/>
          <w:color w:val="auto"/>
          <w:sz w:val="21"/>
          <w:highlight w:val="none"/>
        </w:rPr>
        <w:t>对重点、难点的施工措施</w:t>
      </w:r>
      <w:r>
        <w:rPr>
          <w:rFonts w:hint="eastAsia" w:ascii="新宋体" w:hAnsi="新宋体" w:eastAsia="新宋体" w:cs="新宋体"/>
          <w:bCs/>
          <w:color w:val="auto"/>
          <w:sz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Cs/>
          <w:color w:val="auto"/>
          <w:sz w:val="21"/>
          <w:highlight w:val="none"/>
        </w:rPr>
        <w:t>安全措施</w:t>
      </w:r>
      <w:r>
        <w:rPr>
          <w:rFonts w:hint="eastAsia" w:ascii="新宋体" w:hAnsi="新宋体" w:eastAsia="新宋体" w:cs="新宋体"/>
          <w:bCs/>
          <w:color w:val="auto"/>
          <w:sz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4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④</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Cs/>
          <w:color w:val="auto"/>
          <w:sz w:val="21"/>
          <w:highlight w:val="none"/>
        </w:rPr>
        <w:t>解决方案</w:t>
      </w:r>
      <w:r>
        <w:rPr>
          <w:rFonts w:hint="eastAsia" w:ascii="新宋体" w:hAnsi="新宋体" w:eastAsia="新宋体" w:cs="新宋体"/>
          <w:color w:val="auto"/>
          <w:sz w:val="21"/>
          <w:highlight w:val="none"/>
        </w:rPr>
        <w:t>等</w:t>
      </w:r>
      <w:r>
        <w:rPr>
          <w:rFonts w:hint="eastAsia" w:ascii="新宋体" w:hAnsi="新宋体" w:eastAsia="新宋体" w:cs="新宋体"/>
          <w:color w:val="auto"/>
          <w:sz w:val="21"/>
          <w:highlight w:val="none"/>
          <w:lang w:val="en-US" w:eastAsia="zh-CN"/>
        </w:rPr>
        <w:t>4</w:t>
      </w:r>
      <w:r>
        <w:rPr>
          <w:rFonts w:hint="eastAsia" w:ascii="新宋体" w:hAnsi="新宋体" w:eastAsia="新宋体" w:cs="新宋体"/>
          <w:color w:val="auto"/>
          <w:sz w:val="21"/>
          <w:highlight w:val="none"/>
        </w:rPr>
        <w:t>项内容进行综合评定，并按以下标准独立评分：</w:t>
      </w:r>
    </w:p>
    <w:p w14:paraId="061DEC45">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8</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项全部评审内容经评审为完善、合理、可行的。</w:t>
      </w:r>
    </w:p>
    <w:p w14:paraId="174C141C">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5</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项内容经评审为完善、合理、可行的。</w:t>
      </w:r>
    </w:p>
    <w:p w14:paraId="2DCD0C28">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上述</w:t>
      </w:r>
      <w:r>
        <w:rPr>
          <w:rFonts w:hint="eastAsia" w:ascii="新宋体" w:hAnsi="新宋体" w:eastAsia="新宋体" w:cs="新宋体"/>
          <w:color w:val="auto"/>
          <w:sz w:val="21"/>
          <w:highlight w:val="none"/>
          <w:lang w:val="en-US" w:eastAsia="zh-CN"/>
        </w:rPr>
        <w:t>4</w:t>
      </w:r>
      <w:r>
        <w:rPr>
          <w:rFonts w:hint="eastAsia" w:ascii="新宋体" w:hAnsi="新宋体" w:eastAsia="新宋体" w:cs="新宋体"/>
          <w:color w:val="auto"/>
          <w:sz w:val="21"/>
          <w:highlight w:val="none"/>
        </w:rPr>
        <w:t>项评审内容有</w:t>
      </w:r>
      <w:r>
        <w:rPr>
          <w:rFonts w:hint="eastAsia" w:ascii="新宋体" w:hAnsi="新宋体" w:eastAsia="新宋体" w:cs="新宋体"/>
          <w:color w:val="auto"/>
          <w:sz w:val="21"/>
          <w:highlight w:val="none"/>
          <w:lang w:val="en-US" w:eastAsia="zh-CN"/>
        </w:rPr>
        <w:t>1</w:t>
      </w:r>
      <w:r>
        <w:rPr>
          <w:rFonts w:hint="eastAsia" w:ascii="新宋体" w:hAnsi="新宋体" w:eastAsia="新宋体" w:cs="新宋体"/>
          <w:color w:val="auto"/>
          <w:sz w:val="21"/>
          <w:highlight w:val="none"/>
        </w:rPr>
        <w:t>项内容经评审为完善、合理、可行的。</w:t>
      </w:r>
    </w:p>
    <w:p w14:paraId="05EC8543">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未达“</w:t>
      </w:r>
      <w:r>
        <w:rPr>
          <w:rFonts w:hint="eastAsia" w:ascii="新宋体" w:hAnsi="新宋体" w:eastAsia="新宋体" w:cs="新宋体"/>
          <w:color w:val="auto"/>
          <w:sz w:val="21"/>
          <w:highlight w:val="none"/>
          <w:lang w:eastAsia="zh-CN"/>
        </w:rPr>
        <w:t>中</w:t>
      </w:r>
      <w:r>
        <w:rPr>
          <w:rFonts w:hint="eastAsia" w:ascii="新宋体" w:hAnsi="新宋体" w:eastAsia="新宋体" w:cs="新宋体"/>
          <w:color w:val="auto"/>
          <w:sz w:val="21"/>
          <w:highlight w:val="none"/>
        </w:rPr>
        <w:t>”</w:t>
      </w:r>
      <w:r>
        <w:rPr>
          <w:rFonts w:hint="eastAsia" w:ascii="新宋体" w:hAnsi="新宋体" w:eastAsia="新宋体" w:cs="新宋体"/>
          <w:color w:val="auto"/>
          <w:sz w:val="21"/>
          <w:highlight w:val="none"/>
          <w:lang w:eastAsia="zh-CN"/>
        </w:rPr>
        <w:t>档</w:t>
      </w:r>
      <w:r>
        <w:rPr>
          <w:rFonts w:hint="eastAsia" w:ascii="新宋体" w:hAnsi="新宋体" w:eastAsia="新宋体" w:cs="新宋体"/>
          <w:color w:val="auto"/>
          <w:sz w:val="21"/>
          <w:highlight w:val="none"/>
        </w:rPr>
        <w:t>标准的，计0分。</w:t>
      </w:r>
    </w:p>
    <w:p w14:paraId="765EDF16">
      <w:pPr>
        <w:pStyle w:val="14"/>
        <w:pageBreakBefore w:val="0"/>
        <w:widowControl w:val="0"/>
        <w:kinsoku/>
        <w:wordWrap/>
        <w:overflowPunct/>
        <w:topLinePunct w:val="0"/>
        <w:bidi w:val="0"/>
        <w:snapToGrid/>
        <w:spacing w:line="440" w:lineRule="exact"/>
        <w:ind w:firstLine="210" w:firstLineChars="100"/>
        <w:textAlignment w:val="auto"/>
        <w:rPr>
          <w:rFonts w:hint="eastAsia" w:ascii="新宋体" w:hAnsi="新宋体" w:eastAsia="新宋体" w:cs="新宋体"/>
          <w:b/>
          <w:bCs w:val="0"/>
          <w:color w:val="auto"/>
          <w:szCs w:val="21"/>
          <w:highlight w:val="none"/>
          <w:lang w:eastAsia="zh-CN"/>
        </w:rPr>
      </w:pPr>
      <w:r>
        <w:rPr>
          <w:rFonts w:hint="eastAsia" w:ascii="新宋体" w:hAnsi="新宋体" w:eastAsia="新宋体" w:cs="新宋体"/>
          <w:color w:val="auto"/>
          <w:sz w:val="21"/>
          <w:highlight w:val="none"/>
        </w:rPr>
        <w:t>注：</w:t>
      </w:r>
      <w:r>
        <w:rPr>
          <w:rFonts w:hint="eastAsia" w:ascii="新宋体" w:hAnsi="新宋体" w:eastAsia="新宋体" w:cs="新宋体"/>
          <w:color w:val="auto"/>
          <w:sz w:val="21"/>
          <w:highlight w:val="none"/>
          <w:lang w:eastAsia="zh-CN"/>
        </w:rPr>
        <w:t>磋商供应商响应文件</w:t>
      </w:r>
      <w:r>
        <w:rPr>
          <w:rFonts w:hint="eastAsia" w:ascii="新宋体" w:hAnsi="新宋体" w:eastAsia="新宋体" w:cs="新宋体"/>
          <w:color w:val="auto"/>
          <w:sz w:val="21"/>
          <w:highlight w:val="none"/>
        </w:rPr>
        <w:t>中提供的项目实施方案未达到相应评审档次全部标准的，相应降低一个档次</w:t>
      </w:r>
      <w:r>
        <w:rPr>
          <w:rFonts w:hint="eastAsia" w:ascii="新宋体" w:hAnsi="新宋体" w:eastAsia="新宋体" w:cs="新宋体"/>
          <w:color w:val="auto"/>
          <w:sz w:val="21"/>
          <w:highlight w:val="none"/>
          <w:lang w:eastAsia="zh-CN"/>
        </w:rPr>
        <w:t>。</w:t>
      </w:r>
    </w:p>
    <w:p w14:paraId="7E3673D4">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highlight w:val="none"/>
        </w:rPr>
      </w:pPr>
      <w:r>
        <w:rPr>
          <w:rFonts w:hint="eastAsia" w:ascii="新宋体" w:hAnsi="新宋体" w:eastAsia="新宋体" w:cs="新宋体"/>
          <w:b/>
          <w:bCs w:val="0"/>
          <w:color w:val="auto"/>
          <w:szCs w:val="21"/>
          <w:highlight w:val="none"/>
        </w:rPr>
        <w:t>（3）施工进度、施工进度计划和各阶段进度的保证措施</w:t>
      </w:r>
      <w:r>
        <w:rPr>
          <w:rFonts w:hint="eastAsia" w:ascii="新宋体" w:hAnsi="新宋体" w:eastAsia="新宋体" w:cs="新宋体"/>
          <w:b/>
          <w:bCs w:val="0"/>
          <w:color w:val="auto"/>
          <w:highlight w:val="none"/>
        </w:rPr>
        <w:t>……</w:t>
      </w:r>
      <w:r>
        <w:rPr>
          <w:rFonts w:hint="eastAsia" w:ascii="新宋体" w:hAnsi="新宋体" w:eastAsia="新宋体" w:cs="新宋体"/>
          <w:b/>
          <w:color w:val="auto"/>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highlight w:val="none"/>
          <w:lang w:val="en-US" w:eastAsia="zh-CN"/>
        </w:rPr>
        <w:t>5</w:t>
      </w:r>
      <w:r>
        <w:rPr>
          <w:rFonts w:hint="eastAsia" w:ascii="新宋体" w:hAnsi="新宋体" w:eastAsia="新宋体" w:cs="新宋体"/>
          <w:b/>
          <w:bCs w:val="0"/>
          <w:color w:val="auto"/>
          <w:szCs w:val="21"/>
          <w:highlight w:val="none"/>
        </w:rPr>
        <w:t>分</w:t>
      </w:r>
    </w:p>
    <w:p w14:paraId="4215FEA4">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lang w:eastAsia="zh-CN"/>
        </w:rPr>
        <w:t>磋商小组</w:t>
      </w:r>
      <w:r>
        <w:rPr>
          <w:rFonts w:hint="eastAsia" w:ascii="新宋体" w:hAnsi="新宋体" w:eastAsia="新宋体" w:cs="新宋体"/>
          <w:color w:val="auto"/>
          <w:sz w:val="21"/>
          <w:highlight w:val="none"/>
        </w:rPr>
        <w:t>会</w:t>
      </w:r>
      <w:r>
        <w:rPr>
          <w:rFonts w:hint="eastAsia" w:ascii="新宋体" w:hAnsi="新宋体" w:eastAsia="新宋体" w:cs="新宋体"/>
          <w:color w:val="auto"/>
          <w:sz w:val="21"/>
          <w:highlight w:val="none"/>
          <w:lang w:eastAsia="zh-CN"/>
        </w:rPr>
        <w:t>各成员</w:t>
      </w:r>
      <w:r>
        <w:rPr>
          <w:rFonts w:hint="eastAsia" w:ascii="新宋体" w:hAnsi="新宋体" w:eastAsia="新宋体" w:cs="新宋体"/>
          <w:color w:val="auto"/>
          <w:sz w:val="21"/>
          <w:highlight w:val="none"/>
        </w:rPr>
        <w:t>对比各</w:t>
      </w:r>
      <w:r>
        <w:rPr>
          <w:rFonts w:hint="eastAsia" w:ascii="新宋体" w:hAnsi="新宋体" w:eastAsia="新宋体" w:cs="新宋体"/>
          <w:color w:val="auto"/>
          <w:sz w:val="21"/>
          <w:highlight w:val="none"/>
          <w:lang w:eastAsia="zh-CN"/>
        </w:rPr>
        <w:t>磋商供应商</w:t>
      </w:r>
      <w:r>
        <w:rPr>
          <w:rFonts w:hint="eastAsia" w:ascii="新宋体" w:hAnsi="新宋体" w:eastAsia="新宋体" w:cs="新宋体"/>
          <w:color w:val="auto"/>
          <w:sz w:val="21"/>
          <w:highlight w:val="none"/>
        </w:rPr>
        <w:t>提供的</w:t>
      </w:r>
      <w:r>
        <w:rPr>
          <w:rFonts w:hint="eastAsia" w:ascii="新宋体" w:hAnsi="新宋体" w:eastAsia="新宋体" w:cs="新宋体"/>
          <w:color w:val="auto"/>
          <w:sz w:val="21"/>
          <w:highlight w:val="none"/>
        </w:rPr>
        <w:fldChar w:fldCharType="begin"/>
      </w:r>
      <w:r>
        <w:rPr>
          <w:rFonts w:hint="eastAsia" w:ascii="新宋体" w:hAnsi="新宋体" w:eastAsia="新宋体" w:cs="新宋体"/>
          <w:color w:val="auto"/>
          <w:sz w:val="21"/>
          <w:highlight w:val="none"/>
        </w:rPr>
        <w:instrText xml:space="preserve"> = 1 \* GB3 \* MERGEFORMAT </w:instrText>
      </w:r>
      <w:r>
        <w:rPr>
          <w:rFonts w:hint="eastAsia" w:ascii="新宋体" w:hAnsi="新宋体" w:eastAsia="新宋体" w:cs="新宋体"/>
          <w:color w:val="auto"/>
          <w:sz w:val="21"/>
          <w:highlight w:val="none"/>
        </w:rPr>
        <w:fldChar w:fldCharType="separate"/>
      </w:r>
      <w:r>
        <w:rPr>
          <w:rFonts w:hint="eastAsia" w:ascii="新宋体" w:hAnsi="新宋体" w:eastAsia="新宋体" w:cs="新宋体"/>
          <w:color w:val="auto"/>
          <w:highlight w:val="none"/>
        </w:rPr>
        <w:t>①</w:t>
      </w:r>
      <w:r>
        <w:rPr>
          <w:rFonts w:hint="eastAsia" w:ascii="新宋体" w:hAnsi="新宋体" w:eastAsia="新宋体" w:cs="新宋体"/>
          <w:color w:val="auto"/>
          <w:sz w:val="21"/>
          <w:highlight w:val="none"/>
        </w:rPr>
        <w:fldChar w:fldCharType="end"/>
      </w:r>
      <w:r>
        <w:rPr>
          <w:rFonts w:hint="eastAsia" w:ascii="新宋体" w:hAnsi="新宋体" w:eastAsia="新宋体" w:cs="新宋体"/>
          <w:b w:val="0"/>
          <w:bCs w:val="0"/>
          <w:color w:val="auto"/>
          <w:sz w:val="21"/>
          <w:highlight w:val="none"/>
          <w:lang w:val="en-US" w:eastAsia="zh-CN"/>
        </w:rPr>
        <w:t>关键线路；</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计划编制；</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关键节点的控制措施；</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4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④</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进度违约责任承诺</w:t>
      </w:r>
      <w:r>
        <w:rPr>
          <w:rFonts w:hint="eastAsia" w:ascii="新宋体" w:hAnsi="新宋体" w:eastAsia="新宋体" w:cs="新宋体"/>
          <w:color w:val="auto"/>
          <w:sz w:val="21"/>
          <w:highlight w:val="none"/>
        </w:rPr>
        <w:t>等</w:t>
      </w:r>
      <w:r>
        <w:rPr>
          <w:rFonts w:hint="eastAsia" w:ascii="新宋体" w:hAnsi="新宋体" w:eastAsia="新宋体" w:cs="新宋体"/>
          <w:color w:val="auto"/>
          <w:sz w:val="21"/>
          <w:highlight w:val="none"/>
          <w:lang w:val="en-US" w:eastAsia="zh-CN"/>
        </w:rPr>
        <w:t>4</w:t>
      </w:r>
      <w:r>
        <w:rPr>
          <w:rFonts w:hint="eastAsia" w:ascii="新宋体" w:hAnsi="新宋体" w:eastAsia="新宋体" w:cs="新宋体"/>
          <w:color w:val="auto"/>
          <w:sz w:val="21"/>
          <w:highlight w:val="none"/>
        </w:rPr>
        <w:t>项内容进行综合评定，并按以下标准独立评分：</w:t>
      </w:r>
    </w:p>
    <w:p w14:paraId="5997CFD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5</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项全部评审内容经评审为完善、合理、可行的。</w:t>
      </w:r>
    </w:p>
    <w:p w14:paraId="7753E72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项内容经评审为完善、合理、可行的。</w:t>
      </w:r>
    </w:p>
    <w:p w14:paraId="33119CF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1</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上述</w:t>
      </w:r>
      <w:r>
        <w:rPr>
          <w:rFonts w:hint="eastAsia" w:ascii="新宋体" w:hAnsi="新宋体" w:eastAsia="新宋体" w:cs="新宋体"/>
          <w:color w:val="auto"/>
          <w:sz w:val="21"/>
          <w:highlight w:val="none"/>
          <w:lang w:val="en-US" w:eastAsia="zh-CN"/>
        </w:rPr>
        <w:t>4</w:t>
      </w:r>
      <w:r>
        <w:rPr>
          <w:rFonts w:hint="eastAsia" w:ascii="新宋体" w:hAnsi="新宋体" w:eastAsia="新宋体" w:cs="新宋体"/>
          <w:color w:val="auto"/>
          <w:sz w:val="21"/>
          <w:highlight w:val="none"/>
        </w:rPr>
        <w:t>项评审内容有</w:t>
      </w:r>
      <w:r>
        <w:rPr>
          <w:rFonts w:hint="eastAsia" w:ascii="新宋体" w:hAnsi="新宋体" w:eastAsia="新宋体" w:cs="新宋体"/>
          <w:color w:val="auto"/>
          <w:sz w:val="21"/>
          <w:highlight w:val="none"/>
          <w:lang w:val="en-US" w:eastAsia="zh-CN"/>
        </w:rPr>
        <w:t>1</w:t>
      </w:r>
      <w:r>
        <w:rPr>
          <w:rFonts w:hint="eastAsia" w:ascii="新宋体" w:hAnsi="新宋体" w:eastAsia="新宋体" w:cs="新宋体"/>
          <w:color w:val="auto"/>
          <w:sz w:val="21"/>
          <w:highlight w:val="none"/>
        </w:rPr>
        <w:t>项内容经评审为完善、合理、可行的。</w:t>
      </w:r>
    </w:p>
    <w:p w14:paraId="305AE5D9">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未达“</w:t>
      </w:r>
      <w:r>
        <w:rPr>
          <w:rFonts w:hint="eastAsia" w:ascii="新宋体" w:hAnsi="新宋体" w:eastAsia="新宋体" w:cs="新宋体"/>
          <w:color w:val="auto"/>
          <w:sz w:val="21"/>
          <w:highlight w:val="none"/>
          <w:lang w:eastAsia="zh-CN"/>
        </w:rPr>
        <w:t>中</w:t>
      </w:r>
      <w:r>
        <w:rPr>
          <w:rFonts w:hint="eastAsia" w:ascii="新宋体" w:hAnsi="新宋体" w:eastAsia="新宋体" w:cs="新宋体"/>
          <w:color w:val="auto"/>
          <w:sz w:val="21"/>
          <w:highlight w:val="none"/>
        </w:rPr>
        <w:t>”</w:t>
      </w:r>
      <w:r>
        <w:rPr>
          <w:rFonts w:hint="eastAsia" w:ascii="新宋体" w:hAnsi="新宋体" w:eastAsia="新宋体" w:cs="新宋体"/>
          <w:color w:val="auto"/>
          <w:sz w:val="21"/>
          <w:highlight w:val="none"/>
          <w:lang w:eastAsia="zh-CN"/>
        </w:rPr>
        <w:t>档</w:t>
      </w:r>
      <w:r>
        <w:rPr>
          <w:rFonts w:hint="eastAsia" w:ascii="新宋体" w:hAnsi="新宋体" w:eastAsia="新宋体" w:cs="新宋体"/>
          <w:color w:val="auto"/>
          <w:sz w:val="21"/>
          <w:highlight w:val="none"/>
        </w:rPr>
        <w:t>标准的，计0分。</w:t>
      </w:r>
    </w:p>
    <w:p w14:paraId="03CD4E92">
      <w:pPr>
        <w:pStyle w:val="14"/>
        <w:pageBreakBefore w:val="0"/>
        <w:widowControl w:val="0"/>
        <w:kinsoku/>
        <w:wordWrap/>
        <w:overflowPunct/>
        <w:topLinePunct w:val="0"/>
        <w:bidi w:val="0"/>
        <w:snapToGrid/>
        <w:spacing w:line="440" w:lineRule="exact"/>
        <w:ind w:firstLine="210" w:firstLineChars="100"/>
        <w:textAlignment w:val="auto"/>
        <w:rPr>
          <w:rFonts w:hint="eastAsia" w:ascii="新宋体" w:hAnsi="新宋体" w:eastAsia="新宋体" w:cs="新宋体"/>
          <w:b/>
          <w:bCs w:val="0"/>
          <w:color w:val="auto"/>
          <w:szCs w:val="21"/>
          <w:highlight w:val="none"/>
          <w:lang w:eastAsia="zh-CN"/>
        </w:rPr>
      </w:pPr>
      <w:r>
        <w:rPr>
          <w:rFonts w:hint="eastAsia" w:ascii="新宋体" w:hAnsi="新宋体" w:eastAsia="新宋体" w:cs="新宋体"/>
          <w:color w:val="auto"/>
          <w:sz w:val="21"/>
          <w:highlight w:val="none"/>
        </w:rPr>
        <w:t>注：</w:t>
      </w:r>
      <w:r>
        <w:rPr>
          <w:rFonts w:hint="eastAsia" w:ascii="新宋体" w:hAnsi="新宋体" w:eastAsia="新宋体" w:cs="新宋体"/>
          <w:color w:val="auto"/>
          <w:sz w:val="21"/>
          <w:highlight w:val="none"/>
          <w:lang w:eastAsia="zh-CN"/>
        </w:rPr>
        <w:t>磋商供应商响应文件</w:t>
      </w:r>
      <w:r>
        <w:rPr>
          <w:rFonts w:hint="eastAsia" w:ascii="新宋体" w:hAnsi="新宋体" w:eastAsia="新宋体" w:cs="新宋体"/>
          <w:color w:val="auto"/>
          <w:sz w:val="21"/>
          <w:highlight w:val="none"/>
        </w:rPr>
        <w:t>中提供的项目实施方案未达到相应评审档次全部标准的，相应降低一个档次</w:t>
      </w:r>
      <w:r>
        <w:rPr>
          <w:rFonts w:hint="eastAsia" w:ascii="新宋体" w:hAnsi="新宋体" w:eastAsia="新宋体" w:cs="新宋体"/>
          <w:color w:val="auto"/>
          <w:sz w:val="21"/>
          <w:highlight w:val="none"/>
          <w:lang w:eastAsia="zh-CN"/>
        </w:rPr>
        <w:t>。</w:t>
      </w:r>
    </w:p>
    <w:p w14:paraId="428A70A4">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highlight w:val="none"/>
        </w:rPr>
      </w:pPr>
      <w:r>
        <w:rPr>
          <w:rFonts w:hint="eastAsia" w:ascii="新宋体" w:hAnsi="新宋体" w:eastAsia="新宋体" w:cs="新宋体"/>
          <w:b/>
          <w:bCs w:val="0"/>
          <w:color w:val="auto"/>
          <w:szCs w:val="21"/>
          <w:highlight w:val="none"/>
        </w:rPr>
        <w:t>（4）劳动力和材料投入计划及其保证措施</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color w:val="auto"/>
          <w:highlight w:val="none"/>
        </w:rPr>
        <w:t>………</w:t>
      </w:r>
      <w:r>
        <w:rPr>
          <w:rFonts w:hint="eastAsia" w:ascii="新宋体" w:hAnsi="新宋体" w:eastAsia="新宋体" w:cs="新宋体"/>
          <w:b/>
          <w:color w:val="auto"/>
          <w:highlight w:val="none"/>
          <w:lang w:val="en-US" w:eastAsia="zh-CN"/>
        </w:rPr>
        <w:t>8</w:t>
      </w:r>
      <w:r>
        <w:rPr>
          <w:rFonts w:hint="eastAsia" w:ascii="新宋体" w:hAnsi="新宋体" w:eastAsia="新宋体" w:cs="新宋体"/>
          <w:b/>
          <w:bCs w:val="0"/>
          <w:color w:val="auto"/>
          <w:szCs w:val="21"/>
          <w:highlight w:val="none"/>
        </w:rPr>
        <w:t>分</w:t>
      </w:r>
    </w:p>
    <w:p w14:paraId="56B68A4E">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lang w:eastAsia="zh-CN"/>
        </w:rPr>
        <w:t>磋商小组</w:t>
      </w:r>
      <w:r>
        <w:rPr>
          <w:rFonts w:hint="eastAsia" w:ascii="新宋体" w:hAnsi="新宋体" w:eastAsia="新宋体" w:cs="新宋体"/>
          <w:color w:val="auto"/>
          <w:sz w:val="21"/>
          <w:highlight w:val="none"/>
        </w:rPr>
        <w:t>会</w:t>
      </w:r>
      <w:r>
        <w:rPr>
          <w:rFonts w:hint="eastAsia" w:ascii="新宋体" w:hAnsi="新宋体" w:eastAsia="新宋体" w:cs="新宋体"/>
          <w:color w:val="auto"/>
          <w:sz w:val="21"/>
          <w:highlight w:val="none"/>
          <w:lang w:eastAsia="zh-CN"/>
        </w:rPr>
        <w:t>各成员</w:t>
      </w:r>
      <w:r>
        <w:rPr>
          <w:rFonts w:hint="eastAsia" w:ascii="新宋体" w:hAnsi="新宋体" w:eastAsia="新宋体" w:cs="新宋体"/>
          <w:color w:val="auto"/>
          <w:sz w:val="21"/>
          <w:highlight w:val="none"/>
        </w:rPr>
        <w:t>对比各</w:t>
      </w:r>
      <w:r>
        <w:rPr>
          <w:rFonts w:hint="eastAsia" w:ascii="新宋体" w:hAnsi="新宋体" w:eastAsia="新宋体" w:cs="新宋体"/>
          <w:color w:val="auto"/>
          <w:sz w:val="21"/>
          <w:highlight w:val="none"/>
          <w:lang w:eastAsia="zh-CN"/>
        </w:rPr>
        <w:t>磋商供应商</w:t>
      </w:r>
      <w:r>
        <w:rPr>
          <w:rFonts w:hint="eastAsia" w:ascii="新宋体" w:hAnsi="新宋体" w:eastAsia="新宋体" w:cs="新宋体"/>
          <w:color w:val="auto"/>
          <w:sz w:val="21"/>
          <w:highlight w:val="none"/>
        </w:rPr>
        <w:t>提供的</w:t>
      </w:r>
      <w:r>
        <w:rPr>
          <w:rFonts w:hint="eastAsia" w:ascii="新宋体" w:hAnsi="新宋体" w:eastAsia="新宋体" w:cs="新宋体"/>
          <w:color w:val="auto"/>
          <w:sz w:val="21"/>
          <w:highlight w:val="none"/>
        </w:rPr>
        <w:fldChar w:fldCharType="begin"/>
      </w:r>
      <w:r>
        <w:rPr>
          <w:rFonts w:hint="eastAsia" w:ascii="新宋体" w:hAnsi="新宋体" w:eastAsia="新宋体" w:cs="新宋体"/>
          <w:color w:val="auto"/>
          <w:sz w:val="21"/>
          <w:highlight w:val="none"/>
        </w:rPr>
        <w:instrText xml:space="preserve"> = 1 \* GB3 \* MERGEFORMAT </w:instrText>
      </w:r>
      <w:r>
        <w:rPr>
          <w:rFonts w:hint="eastAsia" w:ascii="新宋体" w:hAnsi="新宋体" w:eastAsia="新宋体" w:cs="新宋体"/>
          <w:color w:val="auto"/>
          <w:sz w:val="21"/>
          <w:highlight w:val="none"/>
        </w:rPr>
        <w:fldChar w:fldCharType="separate"/>
      </w:r>
      <w:r>
        <w:rPr>
          <w:rFonts w:hint="eastAsia" w:ascii="新宋体" w:hAnsi="新宋体" w:eastAsia="新宋体" w:cs="新宋体"/>
          <w:color w:val="auto"/>
          <w:highlight w:val="none"/>
        </w:rPr>
        <w:t>①</w:t>
      </w:r>
      <w:r>
        <w:rPr>
          <w:rFonts w:hint="eastAsia" w:ascii="新宋体" w:hAnsi="新宋体" w:eastAsia="新宋体" w:cs="新宋体"/>
          <w:color w:val="auto"/>
          <w:sz w:val="21"/>
          <w:highlight w:val="none"/>
        </w:rPr>
        <w:fldChar w:fldCharType="end"/>
      </w:r>
      <w:r>
        <w:rPr>
          <w:rFonts w:hint="eastAsia" w:ascii="新宋体" w:hAnsi="新宋体" w:eastAsia="新宋体" w:cs="新宋体"/>
          <w:b w:val="0"/>
          <w:bCs w:val="0"/>
          <w:color w:val="auto"/>
          <w:sz w:val="21"/>
          <w:highlight w:val="none"/>
          <w:lang w:val="en-US" w:eastAsia="zh-CN"/>
        </w:rPr>
        <w:t>劳动力计划；</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材料投入计划；</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color w:val="auto"/>
          <w:szCs w:val="21"/>
          <w:highlight w:val="none"/>
        </w:rPr>
        <w:t>调配投入计划</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4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④</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color w:val="auto"/>
          <w:szCs w:val="21"/>
          <w:highlight w:val="none"/>
        </w:rPr>
        <w:t>进度计划</w:t>
      </w:r>
      <w:r>
        <w:rPr>
          <w:rFonts w:hint="eastAsia" w:ascii="新宋体" w:hAnsi="新宋体" w:eastAsia="新宋体" w:cs="新宋体"/>
          <w:color w:val="auto"/>
          <w:sz w:val="21"/>
          <w:highlight w:val="none"/>
        </w:rPr>
        <w:t>等</w:t>
      </w:r>
      <w:r>
        <w:rPr>
          <w:rFonts w:hint="eastAsia" w:ascii="新宋体" w:hAnsi="新宋体" w:eastAsia="新宋体" w:cs="新宋体"/>
          <w:color w:val="auto"/>
          <w:sz w:val="21"/>
          <w:highlight w:val="none"/>
          <w:lang w:val="en-US" w:eastAsia="zh-CN"/>
        </w:rPr>
        <w:t>4</w:t>
      </w:r>
      <w:r>
        <w:rPr>
          <w:rFonts w:hint="eastAsia" w:ascii="新宋体" w:hAnsi="新宋体" w:eastAsia="新宋体" w:cs="新宋体"/>
          <w:color w:val="auto"/>
          <w:sz w:val="21"/>
          <w:highlight w:val="none"/>
        </w:rPr>
        <w:t>项内容进行综合评定，并按以下标准独立评分：</w:t>
      </w:r>
    </w:p>
    <w:p w14:paraId="553CC7AF">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8</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b w:val="0"/>
          <w:bCs/>
          <w:color w:val="auto"/>
          <w:szCs w:val="21"/>
          <w:highlight w:val="none"/>
          <w:lang w:val="en-US" w:eastAsia="zh-CN"/>
        </w:rPr>
        <w:t>项目负责人和技术负责人都具有文博系列文物保护专业副高级及以上职称，以及</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项全部评审内容经评审为完善、合理、可行的。</w:t>
      </w:r>
    </w:p>
    <w:p w14:paraId="5F4B697B">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5</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b w:val="0"/>
          <w:bCs/>
          <w:color w:val="auto"/>
          <w:szCs w:val="21"/>
          <w:highlight w:val="none"/>
          <w:lang w:val="en-US" w:eastAsia="zh-CN"/>
        </w:rPr>
        <w:t>项目负责人或技术负责人具有文博系列文物保护专业副高级及以上职称，以及</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项内容经评审为完善、合理、可行的。</w:t>
      </w:r>
    </w:p>
    <w:p w14:paraId="3403D7AE">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上述</w:t>
      </w:r>
      <w:r>
        <w:rPr>
          <w:rFonts w:hint="eastAsia" w:ascii="新宋体" w:hAnsi="新宋体" w:eastAsia="新宋体" w:cs="新宋体"/>
          <w:color w:val="auto"/>
          <w:sz w:val="21"/>
          <w:highlight w:val="none"/>
          <w:lang w:val="en-US" w:eastAsia="zh-CN"/>
        </w:rPr>
        <w:t>4</w:t>
      </w:r>
      <w:r>
        <w:rPr>
          <w:rFonts w:hint="eastAsia" w:ascii="新宋体" w:hAnsi="新宋体" w:eastAsia="新宋体" w:cs="新宋体"/>
          <w:color w:val="auto"/>
          <w:sz w:val="21"/>
          <w:highlight w:val="none"/>
        </w:rPr>
        <w:t>项评审内容有</w:t>
      </w:r>
      <w:r>
        <w:rPr>
          <w:rFonts w:hint="eastAsia" w:ascii="新宋体" w:hAnsi="新宋体" w:eastAsia="新宋体" w:cs="新宋体"/>
          <w:color w:val="auto"/>
          <w:sz w:val="21"/>
          <w:highlight w:val="none"/>
          <w:lang w:val="en-US" w:eastAsia="zh-CN"/>
        </w:rPr>
        <w:t>1</w:t>
      </w:r>
      <w:r>
        <w:rPr>
          <w:rFonts w:hint="eastAsia" w:ascii="新宋体" w:hAnsi="新宋体" w:eastAsia="新宋体" w:cs="新宋体"/>
          <w:color w:val="auto"/>
          <w:sz w:val="21"/>
          <w:highlight w:val="none"/>
        </w:rPr>
        <w:t>项内容经评审为完善、合理、可行的。</w:t>
      </w:r>
    </w:p>
    <w:p w14:paraId="23039367">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未达“</w:t>
      </w:r>
      <w:r>
        <w:rPr>
          <w:rFonts w:hint="eastAsia" w:ascii="新宋体" w:hAnsi="新宋体" w:eastAsia="新宋体" w:cs="新宋体"/>
          <w:color w:val="auto"/>
          <w:sz w:val="21"/>
          <w:highlight w:val="none"/>
          <w:lang w:eastAsia="zh-CN"/>
        </w:rPr>
        <w:t>中</w:t>
      </w:r>
      <w:r>
        <w:rPr>
          <w:rFonts w:hint="eastAsia" w:ascii="新宋体" w:hAnsi="新宋体" w:eastAsia="新宋体" w:cs="新宋体"/>
          <w:color w:val="auto"/>
          <w:sz w:val="21"/>
          <w:highlight w:val="none"/>
        </w:rPr>
        <w:t>”</w:t>
      </w:r>
      <w:r>
        <w:rPr>
          <w:rFonts w:hint="eastAsia" w:ascii="新宋体" w:hAnsi="新宋体" w:eastAsia="新宋体" w:cs="新宋体"/>
          <w:color w:val="auto"/>
          <w:sz w:val="21"/>
          <w:highlight w:val="none"/>
          <w:lang w:eastAsia="zh-CN"/>
        </w:rPr>
        <w:t>档</w:t>
      </w:r>
      <w:r>
        <w:rPr>
          <w:rFonts w:hint="eastAsia" w:ascii="新宋体" w:hAnsi="新宋体" w:eastAsia="新宋体" w:cs="新宋体"/>
          <w:color w:val="auto"/>
          <w:sz w:val="21"/>
          <w:highlight w:val="none"/>
        </w:rPr>
        <w:t>标准的，计0分。</w:t>
      </w:r>
    </w:p>
    <w:p w14:paraId="325A4545">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rPr>
        <w:t>注：</w:t>
      </w:r>
      <w:r>
        <w:rPr>
          <w:rFonts w:hint="eastAsia" w:ascii="新宋体" w:hAnsi="新宋体" w:eastAsia="新宋体" w:cs="新宋体"/>
          <w:color w:val="auto"/>
          <w:sz w:val="21"/>
          <w:highlight w:val="none"/>
          <w:lang w:eastAsia="zh-CN"/>
        </w:rPr>
        <w:t>磋商供应商响应文件</w:t>
      </w:r>
      <w:r>
        <w:rPr>
          <w:rFonts w:hint="eastAsia" w:ascii="新宋体" w:hAnsi="新宋体" w:eastAsia="新宋体" w:cs="新宋体"/>
          <w:color w:val="auto"/>
          <w:sz w:val="21"/>
          <w:highlight w:val="none"/>
        </w:rPr>
        <w:t>中提供的项目实施方案未达到相应评审档次全部标准的，相应降低一个档次</w:t>
      </w:r>
      <w:r>
        <w:rPr>
          <w:rFonts w:hint="eastAsia" w:ascii="新宋体" w:hAnsi="新宋体" w:eastAsia="新宋体" w:cs="新宋体"/>
          <w:color w:val="auto"/>
          <w:sz w:val="21"/>
          <w:highlight w:val="none"/>
          <w:lang w:eastAsia="zh-CN"/>
        </w:rPr>
        <w:t>。</w:t>
      </w:r>
    </w:p>
    <w:p w14:paraId="73604435">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szCs w:val="21"/>
          <w:highlight w:val="none"/>
        </w:rPr>
        <w:t>（5）施工平面布置和临时设施布置</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highlight w:val="none"/>
          <w:lang w:val="en-US" w:eastAsia="zh-CN"/>
        </w:rPr>
        <w:t>5</w:t>
      </w:r>
      <w:r>
        <w:rPr>
          <w:rFonts w:hint="eastAsia" w:ascii="新宋体" w:hAnsi="新宋体" w:eastAsia="新宋体" w:cs="新宋体"/>
          <w:b/>
          <w:bCs w:val="0"/>
          <w:color w:val="auto"/>
          <w:szCs w:val="21"/>
          <w:highlight w:val="none"/>
        </w:rPr>
        <w:t>分</w:t>
      </w:r>
    </w:p>
    <w:p w14:paraId="76B505D1">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lang w:eastAsia="zh-CN"/>
        </w:rPr>
        <w:t>磋商小组</w:t>
      </w:r>
      <w:r>
        <w:rPr>
          <w:rFonts w:hint="eastAsia" w:ascii="新宋体" w:hAnsi="新宋体" w:eastAsia="新宋体" w:cs="新宋体"/>
          <w:color w:val="auto"/>
          <w:sz w:val="21"/>
          <w:highlight w:val="none"/>
        </w:rPr>
        <w:t>会</w:t>
      </w:r>
      <w:r>
        <w:rPr>
          <w:rFonts w:hint="eastAsia" w:ascii="新宋体" w:hAnsi="新宋体" w:eastAsia="新宋体" w:cs="新宋体"/>
          <w:color w:val="auto"/>
          <w:sz w:val="21"/>
          <w:highlight w:val="none"/>
          <w:lang w:eastAsia="zh-CN"/>
        </w:rPr>
        <w:t>各成员</w:t>
      </w:r>
      <w:r>
        <w:rPr>
          <w:rFonts w:hint="eastAsia" w:ascii="新宋体" w:hAnsi="新宋体" w:eastAsia="新宋体" w:cs="新宋体"/>
          <w:color w:val="auto"/>
          <w:sz w:val="21"/>
          <w:highlight w:val="none"/>
        </w:rPr>
        <w:t>对比各</w:t>
      </w:r>
      <w:r>
        <w:rPr>
          <w:rFonts w:hint="eastAsia" w:ascii="新宋体" w:hAnsi="新宋体" w:eastAsia="新宋体" w:cs="新宋体"/>
          <w:color w:val="auto"/>
          <w:sz w:val="21"/>
          <w:highlight w:val="none"/>
          <w:lang w:eastAsia="zh-CN"/>
        </w:rPr>
        <w:t>磋商供应商</w:t>
      </w:r>
      <w:r>
        <w:rPr>
          <w:rFonts w:hint="eastAsia" w:ascii="新宋体" w:hAnsi="新宋体" w:eastAsia="新宋体" w:cs="新宋体"/>
          <w:color w:val="auto"/>
          <w:sz w:val="21"/>
          <w:highlight w:val="none"/>
        </w:rPr>
        <w:t>提供的</w:t>
      </w:r>
      <w:r>
        <w:rPr>
          <w:rFonts w:hint="eastAsia" w:ascii="新宋体" w:hAnsi="新宋体" w:eastAsia="新宋体" w:cs="新宋体"/>
          <w:color w:val="auto"/>
          <w:sz w:val="21"/>
          <w:highlight w:val="none"/>
        </w:rPr>
        <w:fldChar w:fldCharType="begin"/>
      </w:r>
      <w:r>
        <w:rPr>
          <w:rFonts w:hint="eastAsia" w:ascii="新宋体" w:hAnsi="新宋体" w:eastAsia="新宋体" w:cs="新宋体"/>
          <w:color w:val="auto"/>
          <w:sz w:val="21"/>
          <w:highlight w:val="none"/>
        </w:rPr>
        <w:instrText xml:space="preserve"> = 1 \* GB3 \* MERGEFORMAT </w:instrText>
      </w:r>
      <w:r>
        <w:rPr>
          <w:rFonts w:hint="eastAsia" w:ascii="新宋体" w:hAnsi="新宋体" w:eastAsia="新宋体" w:cs="新宋体"/>
          <w:color w:val="auto"/>
          <w:sz w:val="21"/>
          <w:highlight w:val="none"/>
        </w:rPr>
        <w:fldChar w:fldCharType="separate"/>
      </w:r>
      <w:r>
        <w:rPr>
          <w:rFonts w:hint="eastAsia" w:ascii="新宋体" w:hAnsi="新宋体" w:eastAsia="新宋体" w:cs="新宋体"/>
          <w:color w:val="auto"/>
          <w:highlight w:val="none"/>
        </w:rPr>
        <w:t>①</w:t>
      </w:r>
      <w:r>
        <w:rPr>
          <w:rFonts w:hint="eastAsia" w:ascii="新宋体" w:hAnsi="新宋体" w:eastAsia="新宋体" w:cs="新宋体"/>
          <w:color w:val="auto"/>
          <w:sz w:val="21"/>
          <w:highlight w:val="none"/>
        </w:rPr>
        <w:fldChar w:fldCharType="end"/>
      </w:r>
      <w:r>
        <w:rPr>
          <w:rFonts w:hint="eastAsia" w:ascii="新宋体" w:hAnsi="新宋体" w:eastAsia="新宋体" w:cs="新宋体"/>
          <w:color w:val="auto"/>
          <w:sz w:val="21"/>
          <w:highlight w:val="none"/>
        </w:rPr>
        <w:t>施工平面布置</w:t>
      </w:r>
      <w:r>
        <w:rPr>
          <w:rFonts w:hint="eastAsia" w:ascii="新宋体" w:hAnsi="新宋体" w:eastAsia="新宋体" w:cs="新宋体"/>
          <w:b w:val="0"/>
          <w:bCs w:val="0"/>
          <w:color w:val="auto"/>
          <w:sz w:val="21"/>
          <w:highlight w:val="none"/>
          <w:lang w:val="en-US"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临时设施布置</w:t>
      </w:r>
      <w:r>
        <w:rPr>
          <w:rFonts w:hint="eastAsia" w:ascii="新宋体" w:hAnsi="新宋体" w:eastAsia="新宋体" w:cs="新宋体"/>
          <w:color w:val="auto"/>
          <w:sz w:val="21"/>
          <w:highlight w:val="none"/>
        </w:rPr>
        <w:t>等</w:t>
      </w:r>
      <w:r>
        <w:rPr>
          <w:rFonts w:hint="eastAsia" w:ascii="新宋体" w:hAnsi="新宋体" w:eastAsia="新宋体" w:cs="新宋体"/>
          <w:color w:val="auto"/>
          <w:sz w:val="21"/>
          <w:highlight w:val="none"/>
          <w:lang w:val="en-US" w:eastAsia="zh-CN"/>
        </w:rPr>
        <w:t>2</w:t>
      </w:r>
      <w:r>
        <w:rPr>
          <w:rFonts w:hint="eastAsia" w:ascii="新宋体" w:hAnsi="新宋体" w:eastAsia="新宋体" w:cs="新宋体"/>
          <w:color w:val="auto"/>
          <w:sz w:val="21"/>
          <w:highlight w:val="none"/>
        </w:rPr>
        <w:t>项内容进行综合评定，并按以下标准独立评分：</w:t>
      </w:r>
    </w:p>
    <w:p w14:paraId="5B32377D">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5</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color w:val="auto"/>
          <w:szCs w:val="21"/>
          <w:highlight w:val="none"/>
        </w:rPr>
        <w:t>项全部评审内容经评审为完善、合理、可行的。</w:t>
      </w:r>
    </w:p>
    <w:p w14:paraId="07088F67">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上述</w:t>
      </w:r>
      <w:r>
        <w:rPr>
          <w:rFonts w:hint="eastAsia" w:ascii="新宋体" w:hAnsi="新宋体" w:eastAsia="新宋体" w:cs="新宋体"/>
          <w:color w:val="auto"/>
          <w:sz w:val="21"/>
          <w:highlight w:val="none"/>
          <w:lang w:val="en-US" w:eastAsia="zh-CN"/>
        </w:rPr>
        <w:t>2</w:t>
      </w:r>
      <w:r>
        <w:rPr>
          <w:rFonts w:hint="eastAsia" w:ascii="新宋体" w:hAnsi="新宋体" w:eastAsia="新宋体" w:cs="新宋体"/>
          <w:color w:val="auto"/>
          <w:sz w:val="21"/>
          <w:highlight w:val="none"/>
        </w:rPr>
        <w:t>项评审内容有</w:t>
      </w:r>
      <w:r>
        <w:rPr>
          <w:rFonts w:hint="eastAsia" w:ascii="新宋体" w:hAnsi="新宋体" w:eastAsia="新宋体" w:cs="新宋体"/>
          <w:color w:val="auto"/>
          <w:sz w:val="21"/>
          <w:highlight w:val="none"/>
          <w:lang w:val="en-US" w:eastAsia="zh-CN"/>
        </w:rPr>
        <w:t>1</w:t>
      </w:r>
      <w:r>
        <w:rPr>
          <w:rFonts w:hint="eastAsia" w:ascii="新宋体" w:hAnsi="新宋体" w:eastAsia="新宋体" w:cs="新宋体"/>
          <w:color w:val="auto"/>
          <w:sz w:val="21"/>
          <w:highlight w:val="none"/>
        </w:rPr>
        <w:t>项内容经评审为完善、合理、可行的。</w:t>
      </w:r>
    </w:p>
    <w:p w14:paraId="0392B124">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未达“</w:t>
      </w:r>
      <w:r>
        <w:rPr>
          <w:rFonts w:hint="eastAsia" w:ascii="新宋体" w:hAnsi="新宋体" w:eastAsia="新宋体" w:cs="新宋体"/>
          <w:color w:val="auto"/>
          <w:sz w:val="21"/>
          <w:highlight w:val="none"/>
          <w:lang w:eastAsia="zh-CN"/>
        </w:rPr>
        <w:t>中</w:t>
      </w:r>
      <w:r>
        <w:rPr>
          <w:rFonts w:hint="eastAsia" w:ascii="新宋体" w:hAnsi="新宋体" w:eastAsia="新宋体" w:cs="新宋体"/>
          <w:color w:val="auto"/>
          <w:sz w:val="21"/>
          <w:highlight w:val="none"/>
        </w:rPr>
        <w:t>”</w:t>
      </w:r>
      <w:r>
        <w:rPr>
          <w:rFonts w:hint="eastAsia" w:ascii="新宋体" w:hAnsi="新宋体" w:eastAsia="新宋体" w:cs="新宋体"/>
          <w:color w:val="auto"/>
          <w:sz w:val="21"/>
          <w:highlight w:val="none"/>
          <w:lang w:eastAsia="zh-CN"/>
        </w:rPr>
        <w:t>档</w:t>
      </w:r>
      <w:r>
        <w:rPr>
          <w:rFonts w:hint="eastAsia" w:ascii="新宋体" w:hAnsi="新宋体" w:eastAsia="新宋体" w:cs="新宋体"/>
          <w:color w:val="auto"/>
          <w:sz w:val="21"/>
          <w:highlight w:val="none"/>
        </w:rPr>
        <w:t>标准的，计0分。</w:t>
      </w:r>
    </w:p>
    <w:p w14:paraId="13F461F2">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rPr>
        <w:t>注：</w:t>
      </w:r>
      <w:r>
        <w:rPr>
          <w:rFonts w:hint="eastAsia" w:ascii="新宋体" w:hAnsi="新宋体" w:eastAsia="新宋体" w:cs="新宋体"/>
          <w:color w:val="auto"/>
          <w:sz w:val="21"/>
          <w:highlight w:val="none"/>
          <w:lang w:eastAsia="zh-CN"/>
        </w:rPr>
        <w:t>磋商供应商响应文件</w:t>
      </w:r>
      <w:r>
        <w:rPr>
          <w:rFonts w:hint="eastAsia" w:ascii="新宋体" w:hAnsi="新宋体" w:eastAsia="新宋体" w:cs="新宋体"/>
          <w:color w:val="auto"/>
          <w:sz w:val="21"/>
          <w:highlight w:val="none"/>
        </w:rPr>
        <w:t>中提供的项目实施方案未达到相应评审档次全部标准的，相应降低一个档次</w:t>
      </w:r>
      <w:r>
        <w:rPr>
          <w:rFonts w:hint="eastAsia" w:ascii="新宋体" w:hAnsi="新宋体" w:eastAsia="新宋体" w:cs="新宋体"/>
          <w:color w:val="auto"/>
          <w:sz w:val="21"/>
          <w:highlight w:val="none"/>
          <w:lang w:eastAsia="zh-CN"/>
        </w:rPr>
        <w:t>。</w:t>
      </w:r>
    </w:p>
    <w:p w14:paraId="655C1632">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szCs w:val="21"/>
          <w:highlight w:val="none"/>
        </w:rPr>
        <w:t>（6）关键施工技术、工艺及工程实施的重点、难点和解决方案</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highlight w:val="none"/>
          <w:lang w:val="en-US" w:eastAsia="zh-CN"/>
        </w:rPr>
        <w:t>7</w:t>
      </w:r>
      <w:r>
        <w:rPr>
          <w:rFonts w:hint="eastAsia" w:ascii="新宋体" w:hAnsi="新宋体" w:eastAsia="新宋体" w:cs="新宋体"/>
          <w:b/>
          <w:bCs w:val="0"/>
          <w:color w:val="auto"/>
          <w:szCs w:val="21"/>
          <w:highlight w:val="none"/>
        </w:rPr>
        <w:t>分</w:t>
      </w:r>
    </w:p>
    <w:p w14:paraId="72A88427">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lang w:eastAsia="zh-CN"/>
        </w:rPr>
        <w:t>磋商小组</w:t>
      </w:r>
      <w:r>
        <w:rPr>
          <w:rFonts w:hint="eastAsia" w:ascii="新宋体" w:hAnsi="新宋体" w:eastAsia="新宋体" w:cs="新宋体"/>
          <w:color w:val="auto"/>
          <w:sz w:val="21"/>
          <w:highlight w:val="none"/>
        </w:rPr>
        <w:t>会</w:t>
      </w:r>
      <w:r>
        <w:rPr>
          <w:rFonts w:hint="eastAsia" w:ascii="新宋体" w:hAnsi="新宋体" w:eastAsia="新宋体" w:cs="新宋体"/>
          <w:color w:val="auto"/>
          <w:sz w:val="21"/>
          <w:highlight w:val="none"/>
          <w:lang w:eastAsia="zh-CN"/>
        </w:rPr>
        <w:t>各成员</w:t>
      </w:r>
      <w:r>
        <w:rPr>
          <w:rFonts w:hint="eastAsia" w:ascii="新宋体" w:hAnsi="新宋体" w:eastAsia="新宋体" w:cs="新宋体"/>
          <w:color w:val="auto"/>
          <w:sz w:val="21"/>
          <w:highlight w:val="none"/>
        </w:rPr>
        <w:t>对比各</w:t>
      </w:r>
      <w:r>
        <w:rPr>
          <w:rFonts w:hint="eastAsia" w:ascii="新宋体" w:hAnsi="新宋体" w:eastAsia="新宋体" w:cs="新宋体"/>
          <w:color w:val="auto"/>
          <w:sz w:val="21"/>
          <w:highlight w:val="none"/>
          <w:lang w:eastAsia="zh-CN"/>
        </w:rPr>
        <w:t>磋商供应商</w:t>
      </w:r>
      <w:r>
        <w:rPr>
          <w:rFonts w:hint="eastAsia" w:ascii="新宋体" w:hAnsi="新宋体" w:eastAsia="新宋体" w:cs="新宋体"/>
          <w:color w:val="auto"/>
          <w:sz w:val="21"/>
          <w:highlight w:val="none"/>
        </w:rPr>
        <w:t>提供的</w:t>
      </w:r>
      <w:r>
        <w:rPr>
          <w:rFonts w:hint="eastAsia" w:ascii="新宋体" w:hAnsi="新宋体" w:eastAsia="新宋体" w:cs="新宋体"/>
          <w:color w:val="auto"/>
          <w:sz w:val="21"/>
          <w:highlight w:val="none"/>
        </w:rPr>
        <w:fldChar w:fldCharType="begin"/>
      </w:r>
      <w:r>
        <w:rPr>
          <w:rFonts w:hint="eastAsia" w:ascii="新宋体" w:hAnsi="新宋体" w:eastAsia="新宋体" w:cs="新宋体"/>
          <w:color w:val="auto"/>
          <w:sz w:val="21"/>
          <w:highlight w:val="none"/>
        </w:rPr>
        <w:instrText xml:space="preserve"> = 1 \* GB3 \* MERGEFORMAT </w:instrText>
      </w:r>
      <w:r>
        <w:rPr>
          <w:rFonts w:hint="eastAsia" w:ascii="新宋体" w:hAnsi="新宋体" w:eastAsia="新宋体" w:cs="新宋体"/>
          <w:color w:val="auto"/>
          <w:sz w:val="21"/>
          <w:highlight w:val="none"/>
        </w:rPr>
        <w:fldChar w:fldCharType="separate"/>
      </w:r>
      <w:r>
        <w:rPr>
          <w:rFonts w:hint="eastAsia" w:ascii="新宋体" w:hAnsi="新宋体" w:eastAsia="新宋体" w:cs="新宋体"/>
          <w:color w:val="auto"/>
          <w:highlight w:val="none"/>
        </w:rPr>
        <w:t>①</w:t>
      </w:r>
      <w:r>
        <w:rPr>
          <w:rFonts w:hint="eastAsia" w:ascii="新宋体" w:hAnsi="新宋体" w:eastAsia="新宋体" w:cs="新宋体"/>
          <w:color w:val="auto"/>
          <w:sz w:val="21"/>
          <w:highlight w:val="none"/>
        </w:rPr>
        <w:fldChar w:fldCharType="end"/>
      </w:r>
      <w:r>
        <w:rPr>
          <w:rFonts w:hint="eastAsia" w:ascii="新宋体" w:hAnsi="新宋体" w:eastAsia="新宋体" w:cs="新宋体"/>
          <w:color w:val="auto"/>
          <w:sz w:val="21"/>
          <w:highlight w:val="none"/>
        </w:rPr>
        <w:t>关键施工技术</w:t>
      </w:r>
      <w:r>
        <w:rPr>
          <w:rFonts w:hint="eastAsia" w:ascii="新宋体" w:hAnsi="新宋体" w:eastAsia="新宋体" w:cs="新宋体"/>
          <w:b w:val="0"/>
          <w:bCs w:val="0"/>
          <w:color w:val="auto"/>
          <w:sz w:val="21"/>
          <w:highlight w:val="none"/>
          <w:lang w:val="en-US" w:eastAsia="zh-CN"/>
        </w:rPr>
        <w:t>、工艺；</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工程实施的重点、难点；</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解决方案</w:t>
      </w:r>
      <w:r>
        <w:rPr>
          <w:rFonts w:hint="eastAsia" w:ascii="新宋体" w:hAnsi="新宋体" w:eastAsia="新宋体" w:cs="新宋体"/>
          <w:color w:val="auto"/>
          <w:sz w:val="21"/>
          <w:highlight w:val="none"/>
        </w:rPr>
        <w:t>等</w:t>
      </w:r>
      <w:r>
        <w:rPr>
          <w:rFonts w:hint="eastAsia" w:ascii="新宋体" w:hAnsi="新宋体" w:eastAsia="新宋体" w:cs="新宋体"/>
          <w:color w:val="auto"/>
          <w:sz w:val="21"/>
          <w:highlight w:val="none"/>
          <w:lang w:val="en-US" w:eastAsia="zh-CN"/>
        </w:rPr>
        <w:t>3</w:t>
      </w:r>
      <w:r>
        <w:rPr>
          <w:rFonts w:hint="eastAsia" w:ascii="新宋体" w:hAnsi="新宋体" w:eastAsia="新宋体" w:cs="新宋体"/>
          <w:color w:val="auto"/>
          <w:sz w:val="21"/>
          <w:highlight w:val="none"/>
        </w:rPr>
        <w:t>项内容进行综合评定，并按以下标准独立评分：</w:t>
      </w:r>
    </w:p>
    <w:p w14:paraId="6C036CA2">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7</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项全部评审内容经评审为完善、合理、可行的。</w:t>
      </w:r>
    </w:p>
    <w:p w14:paraId="4069253E">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4.0分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color w:val="auto"/>
          <w:szCs w:val="21"/>
          <w:highlight w:val="none"/>
        </w:rPr>
        <w:t>项内容经评审为完善、合理、可行的。</w:t>
      </w:r>
    </w:p>
    <w:p w14:paraId="5C804A2C">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上述</w:t>
      </w:r>
      <w:r>
        <w:rPr>
          <w:rFonts w:hint="eastAsia" w:ascii="新宋体" w:hAnsi="新宋体" w:eastAsia="新宋体" w:cs="新宋体"/>
          <w:color w:val="auto"/>
          <w:sz w:val="21"/>
          <w:highlight w:val="none"/>
          <w:lang w:val="en-US" w:eastAsia="zh-CN"/>
        </w:rPr>
        <w:t>3</w:t>
      </w:r>
      <w:r>
        <w:rPr>
          <w:rFonts w:hint="eastAsia" w:ascii="新宋体" w:hAnsi="新宋体" w:eastAsia="新宋体" w:cs="新宋体"/>
          <w:color w:val="auto"/>
          <w:sz w:val="21"/>
          <w:highlight w:val="none"/>
        </w:rPr>
        <w:t>项评审内容有</w:t>
      </w:r>
      <w:r>
        <w:rPr>
          <w:rFonts w:hint="eastAsia" w:ascii="新宋体" w:hAnsi="新宋体" w:eastAsia="新宋体" w:cs="新宋体"/>
          <w:color w:val="auto"/>
          <w:sz w:val="21"/>
          <w:highlight w:val="none"/>
          <w:lang w:val="en-US" w:eastAsia="zh-CN"/>
        </w:rPr>
        <w:t>1</w:t>
      </w:r>
      <w:r>
        <w:rPr>
          <w:rFonts w:hint="eastAsia" w:ascii="新宋体" w:hAnsi="新宋体" w:eastAsia="新宋体" w:cs="新宋体"/>
          <w:color w:val="auto"/>
          <w:sz w:val="21"/>
          <w:highlight w:val="none"/>
        </w:rPr>
        <w:t>项内容经评审为完善、合理、可行的。</w:t>
      </w:r>
    </w:p>
    <w:p w14:paraId="24E70555">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未达“</w:t>
      </w:r>
      <w:r>
        <w:rPr>
          <w:rFonts w:hint="eastAsia" w:ascii="新宋体" w:hAnsi="新宋体" w:eastAsia="新宋体" w:cs="新宋体"/>
          <w:color w:val="auto"/>
          <w:sz w:val="21"/>
          <w:highlight w:val="none"/>
          <w:lang w:eastAsia="zh-CN"/>
        </w:rPr>
        <w:t>中</w:t>
      </w:r>
      <w:r>
        <w:rPr>
          <w:rFonts w:hint="eastAsia" w:ascii="新宋体" w:hAnsi="新宋体" w:eastAsia="新宋体" w:cs="新宋体"/>
          <w:color w:val="auto"/>
          <w:sz w:val="21"/>
          <w:highlight w:val="none"/>
        </w:rPr>
        <w:t>”</w:t>
      </w:r>
      <w:r>
        <w:rPr>
          <w:rFonts w:hint="eastAsia" w:ascii="新宋体" w:hAnsi="新宋体" w:eastAsia="新宋体" w:cs="新宋体"/>
          <w:color w:val="auto"/>
          <w:sz w:val="21"/>
          <w:highlight w:val="none"/>
          <w:lang w:eastAsia="zh-CN"/>
        </w:rPr>
        <w:t>档</w:t>
      </w:r>
      <w:r>
        <w:rPr>
          <w:rFonts w:hint="eastAsia" w:ascii="新宋体" w:hAnsi="新宋体" w:eastAsia="新宋体" w:cs="新宋体"/>
          <w:color w:val="auto"/>
          <w:sz w:val="21"/>
          <w:highlight w:val="none"/>
        </w:rPr>
        <w:t>标准的，计0分。</w:t>
      </w:r>
    </w:p>
    <w:p w14:paraId="4EAB6EA7">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rPr>
        <w:t>注：</w:t>
      </w:r>
      <w:r>
        <w:rPr>
          <w:rFonts w:hint="eastAsia" w:ascii="新宋体" w:hAnsi="新宋体" w:eastAsia="新宋体" w:cs="新宋体"/>
          <w:color w:val="auto"/>
          <w:sz w:val="21"/>
          <w:highlight w:val="none"/>
          <w:lang w:eastAsia="zh-CN"/>
        </w:rPr>
        <w:t>磋商供应商响应文件</w:t>
      </w:r>
      <w:r>
        <w:rPr>
          <w:rFonts w:hint="eastAsia" w:ascii="新宋体" w:hAnsi="新宋体" w:eastAsia="新宋体" w:cs="新宋体"/>
          <w:color w:val="auto"/>
          <w:sz w:val="21"/>
          <w:highlight w:val="none"/>
        </w:rPr>
        <w:t>中提供的项目实施方案未达到相应评审档次全部标准的，相应降低一个档次</w:t>
      </w:r>
      <w:r>
        <w:rPr>
          <w:rFonts w:hint="eastAsia" w:ascii="新宋体" w:hAnsi="新宋体" w:eastAsia="新宋体" w:cs="新宋体"/>
          <w:color w:val="auto"/>
          <w:sz w:val="21"/>
          <w:highlight w:val="none"/>
          <w:lang w:eastAsia="zh-CN"/>
        </w:rPr>
        <w:t>。</w:t>
      </w:r>
    </w:p>
    <w:p w14:paraId="692B0AC7">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kern w:val="0"/>
          <w:szCs w:val="21"/>
          <w:highlight w:val="none"/>
        </w:rPr>
        <w:t>（7）安全文明施工措施</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lang w:val="en-US" w:eastAsia="zh-CN"/>
        </w:rPr>
        <w:t>4</w:t>
      </w:r>
      <w:r>
        <w:rPr>
          <w:rFonts w:hint="eastAsia" w:ascii="新宋体" w:hAnsi="新宋体" w:eastAsia="新宋体" w:cs="新宋体"/>
          <w:b/>
          <w:bCs w:val="0"/>
          <w:color w:val="auto"/>
          <w:szCs w:val="21"/>
          <w:highlight w:val="none"/>
        </w:rPr>
        <w:t>分</w:t>
      </w:r>
    </w:p>
    <w:p w14:paraId="4C6A550C">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lang w:eastAsia="zh-CN"/>
        </w:rPr>
        <w:t>磋商小组</w:t>
      </w:r>
      <w:r>
        <w:rPr>
          <w:rFonts w:hint="eastAsia" w:ascii="新宋体" w:hAnsi="新宋体" w:eastAsia="新宋体" w:cs="新宋体"/>
          <w:color w:val="auto"/>
          <w:sz w:val="21"/>
          <w:highlight w:val="none"/>
        </w:rPr>
        <w:t>会</w:t>
      </w:r>
      <w:r>
        <w:rPr>
          <w:rFonts w:hint="eastAsia" w:ascii="新宋体" w:hAnsi="新宋体" w:eastAsia="新宋体" w:cs="新宋体"/>
          <w:color w:val="auto"/>
          <w:sz w:val="21"/>
          <w:highlight w:val="none"/>
          <w:lang w:eastAsia="zh-CN"/>
        </w:rPr>
        <w:t>各成员</w:t>
      </w:r>
      <w:r>
        <w:rPr>
          <w:rFonts w:hint="eastAsia" w:ascii="新宋体" w:hAnsi="新宋体" w:eastAsia="新宋体" w:cs="新宋体"/>
          <w:color w:val="auto"/>
          <w:sz w:val="21"/>
          <w:highlight w:val="none"/>
        </w:rPr>
        <w:t>对比各</w:t>
      </w:r>
      <w:r>
        <w:rPr>
          <w:rFonts w:hint="eastAsia" w:ascii="新宋体" w:hAnsi="新宋体" w:eastAsia="新宋体" w:cs="新宋体"/>
          <w:color w:val="auto"/>
          <w:sz w:val="21"/>
          <w:highlight w:val="none"/>
          <w:lang w:eastAsia="zh-CN"/>
        </w:rPr>
        <w:t>磋商供应商</w:t>
      </w:r>
      <w:r>
        <w:rPr>
          <w:rFonts w:hint="eastAsia" w:ascii="新宋体" w:hAnsi="新宋体" w:eastAsia="新宋体" w:cs="新宋体"/>
          <w:color w:val="auto"/>
          <w:sz w:val="21"/>
          <w:highlight w:val="none"/>
        </w:rPr>
        <w:t>提供的</w:t>
      </w:r>
      <w:r>
        <w:rPr>
          <w:rFonts w:hint="eastAsia" w:ascii="新宋体" w:hAnsi="新宋体" w:eastAsia="新宋体" w:cs="新宋体"/>
          <w:color w:val="auto"/>
          <w:sz w:val="21"/>
          <w:highlight w:val="none"/>
        </w:rPr>
        <w:fldChar w:fldCharType="begin"/>
      </w:r>
      <w:r>
        <w:rPr>
          <w:rFonts w:hint="eastAsia" w:ascii="新宋体" w:hAnsi="新宋体" w:eastAsia="新宋体" w:cs="新宋体"/>
          <w:color w:val="auto"/>
          <w:sz w:val="21"/>
          <w:highlight w:val="none"/>
        </w:rPr>
        <w:instrText xml:space="preserve"> = 1 \* GB3 \* MERGEFORMAT </w:instrText>
      </w:r>
      <w:r>
        <w:rPr>
          <w:rFonts w:hint="eastAsia" w:ascii="新宋体" w:hAnsi="新宋体" w:eastAsia="新宋体" w:cs="新宋体"/>
          <w:color w:val="auto"/>
          <w:sz w:val="21"/>
          <w:highlight w:val="none"/>
        </w:rPr>
        <w:fldChar w:fldCharType="separate"/>
      </w:r>
      <w:r>
        <w:rPr>
          <w:rFonts w:hint="eastAsia" w:ascii="新宋体" w:hAnsi="新宋体" w:eastAsia="新宋体" w:cs="新宋体"/>
          <w:color w:val="auto"/>
          <w:highlight w:val="none"/>
        </w:rPr>
        <w:t>①</w:t>
      </w:r>
      <w:r>
        <w:rPr>
          <w:rFonts w:hint="eastAsia" w:ascii="新宋体" w:hAnsi="新宋体" w:eastAsia="新宋体" w:cs="新宋体"/>
          <w:color w:val="auto"/>
          <w:sz w:val="21"/>
          <w:highlight w:val="none"/>
        </w:rPr>
        <w:fldChar w:fldCharType="end"/>
      </w:r>
      <w:r>
        <w:rPr>
          <w:rFonts w:hint="eastAsia" w:ascii="新宋体" w:hAnsi="新宋体" w:eastAsia="新宋体" w:cs="新宋体"/>
          <w:color w:val="auto"/>
          <w:sz w:val="21"/>
          <w:highlight w:val="none"/>
        </w:rPr>
        <w:t>项目实际情况</w:t>
      </w:r>
      <w:r>
        <w:rPr>
          <w:rFonts w:hint="eastAsia" w:ascii="新宋体" w:hAnsi="新宋体" w:eastAsia="新宋体" w:cs="新宋体"/>
          <w:color w:val="auto"/>
          <w:sz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color w:val="auto"/>
          <w:sz w:val="21"/>
          <w:highlight w:val="none"/>
        </w:rPr>
        <w:t>实施措施</w:t>
      </w:r>
      <w:r>
        <w:rPr>
          <w:rFonts w:hint="eastAsia" w:ascii="新宋体" w:hAnsi="新宋体" w:eastAsia="新宋体" w:cs="新宋体"/>
          <w:color w:val="auto"/>
          <w:sz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color w:val="auto"/>
          <w:sz w:val="21"/>
          <w:highlight w:val="none"/>
        </w:rPr>
        <w:t>安全文明措施等</w:t>
      </w:r>
      <w:r>
        <w:rPr>
          <w:rFonts w:hint="eastAsia" w:ascii="新宋体" w:hAnsi="新宋体" w:eastAsia="新宋体" w:cs="新宋体"/>
          <w:color w:val="auto"/>
          <w:sz w:val="21"/>
          <w:highlight w:val="none"/>
          <w:lang w:val="en-US" w:eastAsia="zh-CN"/>
        </w:rPr>
        <w:t>3</w:t>
      </w:r>
      <w:r>
        <w:rPr>
          <w:rFonts w:hint="eastAsia" w:ascii="新宋体" w:hAnsi="新宋体" w:eastAsia="新宋体" w:cs="新宋体"/>
          <w:color w:val="auto"/>
          <w:sz w:val="21"/>
          <w:highlight w:val="none"/>
        </w:rPr>
        <w:t>项内容进行综合评定，并按以下标准独立评分：</w:t>
      </w:r>
    </w:p>
    <w:p w14:paraId="3CE1AA2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4.0分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项全部评审内容经评审为完善、合理、可行的。</w:t>
      </w:r>
    </w:p>
    <w:p w14:paraId="2E88D34F">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2.0分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color w:val="auto"/>
          <w:szCs w:val="21"/>
          <w:highlight w:val="none"/>
        </w:rPr>
        <w:t>项内容经评审为完善、合理、可行的。</w:t>
      </w:r>
    </w:p>
    <w:p w14:paraId="722E81B9">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1.0分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上述</w:t>
      </w:r>
      <w:r>
        <w:rPr>
          <w:rFonts w:hint="eastAsia" w:ascii="新宋体" w:hAnsi="新宋体" w:eastAsia="新宋体" w:cs="新宋体"/>
          <w:color w:val="auto"/>
          <w:sz w:val="21"/>
          <w:highlight w:val="none"/>
          <w:lang w:val="en-US" w:eastAsia="zh-CN"/>
        </w:rPr>
        <w:t>3</w:t>
      </w:r>
      <w:r>
        <w:rPr>
          <w:rFonts w:hint="eastAsia" w:ascii="新宋体" w:hAnsi="新宋体" w:eastAsia="新宋体" w:cs="新宋体"/>
          <w:color w:val="auto"/>
          <w:sz w:val="21"/>
          <w:highlight w:val="none"/>
        </w:rPr>
        <w:t>项评审内容有</w:t>
      </w:r>
      <w:r>
        <w:rPr>
          <w:rFonts w:hint="eastAsia" w:ascii="新宋体" w:hAnsi="新宋体" w:eastAsia="新宋体" w:cs="新宋体"/>
          <w:color w:val="auto"/>
          <w:sz w:val="21"/>
          <w:highlight w:val="none"/>
          <w:lang w:val="en-US" w:eastAsia="zh-CN"/>
        </w:rPr>
        <w:t>1</w:t>
      </w:r>
      <w:r>
        <w:rPr>
          <w:rFonts w:hint="eastAsia" w:ascii="新宋体" w:hAnsi="新宋体" w:eastAsia="新宋体" w:cs="新宋体"/>
          <w:color w:val="auto"/>
          <w:sz w:val="21"/>
          <w:highlight w:val="none"/>
        </w:rPr>
        <w:t>项内容经评审为完善、合理、可行的。</w:t>
      </w:r>
    </w:p>
    <w:p w14:paraId="4EFE5F28">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未达“</w:t>
      </w:r>
      <w:r>
        <w:rPr>
          <w:rFonts w:hint="eastAsia" w:ascii="新宋体" w:hAnsi="新宋体" w:eastAsia="新宋体" w:cs="新宋体"/>
          <w:color w:val="auto"/>
          <w:sz w:val="21"/>
          <w:highlight w:val="none"/>
          <w:lang w:eastAsia="zh-CN"/>
        </w:rPr>
        <w:t>中</w:t>
      </w:r>
      <w:r>
        <w:rPr>
          <w:rFonts w:hint="eastAsia" w:ascii="新宋体" w:hAnsi="新宋体" w:eastAsia="新宋体" w:cs="新宋体"/>
          <w:color w:val="auto"/>
          <w:sz w:val="21"/>
          <w:highlight w:val="none"/>
        </w:rPr>
        <w:t>”</w:t>
      </w:r>
      <w:r>
        <w:rPr>
          <w:rFonts w:hint="eastAsia" w:ascii="新宋体" w:hAnsi="新宋体" w:eastAsia="新宋体" w:cs="新宋体"/>
          <w:color w:val="auto"/>
          <w:sz w:val="21"/>
          <w:highlight w:val="none"/>
          <w:lang w:eastAsia="zh-CN"/>
        </w:rPr>
        <w:t>档</w:t>
      </w:r>
      <w:r>
        <w:rPr>
          <w:rFonts w:hint="eastAsia" w:ascii="新宋体" w:hAnsi="新宋体" w:eastAsia="新宋体" w:cs="新宋体"/>
          <w:color w:val="auto"/>
          <w:sz w:val="21"/>
          <w:highlight w:val="none"/>
        </w:rPr>
        <w:t>标准的，计0分。</w:t>
      </w:r>
    </w:p>
    <w:p w14:paraId="1A44492B">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rPr>
        <w:t>注：</w:t>
      </w:r>
      <w:r>
        <w:rPr>
          <w:rFonts w:hint="eastAsia" w:ascii="新宋体" w:hAnsi="新宋体" w:eastAsia="新宋体" w:cs="新宋体"/>
          <w:color w:val="auto"/>
          <w:sz w:val="21"/>
          <w:highlight w:val="none"/>
          <w:lang w:eastAsia="zh-CN"/>
        </w:rPr>
        <w:t>磋商供应商响应文件</w:t>
      </w:r>
      <w:r>
        <w:rPr>
          <w:rFonts w:hint="eastAsia" w:ascii="新宋体" w:hAnsi="新宋体" w:eastAsia="新宋体" w:cs="新宋体"/>
          <w:color w:val="auto"/>
          <w:sz w:val="21"/>
          <w:highlight w:val="none"/>
        </w:rPr>
        <w:t>中提供的项目实施方案未达到相应评审档次全部标准的，相应降低一个档次</w:t>
      </w:r>
      <w:r>
        <w:rPr>
          <w:rFonts w:hint="eastAsia" w:ascii="新宋体" w:hAnsi="新宋体" w:eastAsia="新宋体" w:cs="新宋体"/>
          <w:color w:val="auto"/>
          <w:sz w:val="21"/>
          <w:highlight w:val="none"/>
          <w:lang w:eastAsia="zh-CN"/>
        </w:rPr>
        <w:t>。</w:t>
      </w:r>
    </w:p>
    <w:p w14:paraId="04AE8283">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szCs w:val="21"/>
          <w:highlight w:val="none"/>
        </w:rPr>
        <w:t>（8）质量保证与承诺</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lang w:val="en-US" w:eastAsia="zh-CN"/>
        </w:rPr>
        <w:t>5</w:t>
      </w:r>
      <w:r>
        <w:rPr>
          <w:rFonts w:hint="eastAsia" w:ascii="新宋体" w:hAnsi="新宋体" w:eastAsia="新宋体" w:cs="新宋体"/>
          <w:b/>
          <w:bCs w:val="0"/>
          <w:color w:val="auto"/>
          <w:szCs w:val="21"/>
          <w:highlight w:val="none"/>
        </w:rPr>
        <w:t>分</w:t>
      </w:r>
    </w:p>
    <w:p w14:paraId="703633E2">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color w:val="auto"/>
          <w:sz w:val="21"/>
          <w:highlight w:val="none"/>
          <w:lang w:eastAsia="zh-CN"/>
        </w:rPr>
        <w:t>磋商小组</w:t>
      </w:r>
      <w:r>
        <w:rPr>
          <w:rFonts w:hint="eastAsia" w:ascii="新宋体" w:hAnsi="新宋体" w:eastAsia="新宋体" w:cs="新宋体"/>
          <w:color w:val="auto"/>
          <w:sz w:val="21"/>
          <w:highlight w:val="none"/>
        </w:rPr>
        <w:t>会</w:t>
      </w:r>
      <w:r>
        <w:rPr>
          <w:rFonts w:hint="eastAsia" w:ascii="新宋体" w:hAnsi="新宋体" w:eastAsia="新宋体" w:cs="新宋体"/>
          <w:color w:val="auto"/>
          <w:sz w:val="21"/>
          <w:highlight w:val="none"/>
          <w:lang w:eastAsia="zh-CN"/>
        </w:rPr>
        <w:t>各成员</w:t>
      </w:r>
      <w:r>
        <w:rPr>
          <w:rFonts w:hint="eastAsia" w:ascii="新宋体" w:hAnsi="新宋体" w:eastAsia="新宋体" w:cs="新宋体"/>
          <w:color w:val="auto"/>
          <w:sz w:val="21"/>
          <w:highlight w:val="none"/>
        </w:rPr>
        <w:t>对比各</w:t>
      </w:r>
      <w:r>
        <w:rPr>
          <w:rFonts w:hint="eastAsia" w:ascii="新宋体" w:hAnsi="新宋体" w:eastAsia="新宋体" w:cs="新宋体"/>
          <w:color w:val="auto"/>
          <w:sz w:val="21"/>
          <w:highlight w:val="none"/>
          <w:lang w:eastAsia="zh-CN"/>
        </w:rPr>
        <w:t>磋商供应商</w:t>
      </w:r>
      <w:r>
        <w:rPr>
          <w:rFonts w:hint="eastAsia" w:ascii="新宋体" w:hAnsi="新宋体" w:eastAsia="新宋体" w:cs="新宋体"/>
          <w:color w:val="auto"/>
          <w:sz w:val="21"/>
          <w:highlight w:val="none"/>
        </w:rPr>
        <w:t>提供的</w:t>
      </w:r>
      <w:r>
        <w:rPr>
          <w:rFonts w:hint="eastAsia" w:ascii="新宋体" w:hAnsi="新宋体" w:eastAsia="新宋体" w:cs="新宋体"/>
          <w:color w:val="auto"/>
          <w:sz w:val="21"/>
          <w:highlight w:val="none"/>
        </w:rPr>
        <w:fldChar w:fldCharType="begin"/>
      </w:r>
      <w:r>
        <w:rPr>
          <w:rFonts w:hint="eastAsia" w:ascii="新宋体" w:hAnsi="新宋体" w:eastAsia="新宋体" w:cs="新宋体"/>
          <w:color w:val="auto"/>
          <w:sz w:val="21"/>
          <w:highlight w:val="none"/>
        </w:rPr>
        <w:instrText xml:space="preserve"> = 1 \* GB3 \* MERGEFORMAT </w:instrText>
      </w:r>
      <w:r>
        <w:rPr>
          <w:rFonts w:hint="eastAsia" w:ascii="新宋体" w:hAnsi="新宋体" w:eastAsia="新宋体" w:cs="新宋体"/>
          <w:color w:val="auto"/>
          <w:sz w:val="21"/>
          <w:highlight w:val="none"/>
        </w:rPr>
        <w:fldChar w:fldCharType="separate"/>
      </w:r>
      <w:r>
        <w:rPr>
          <w:rFonts w:hint="eastAsia" w:ascii="新宋体" w:hAnsi="新宋体" w:eastAsia="新宋体" w:cs="新宋体"/>
          <w:color w:val="auto"/>
          <w:highlight w:val="none"/>
        </w:rPr>
        <w:t>①</w:t>
      </w:r>
      <w:r>
        <w:rPr>
          <w:rFonts w:hint="eastAsia" w:ascii="新宋体" w:hAnsi="新宋体" w:eastAsia="新宋体" w:cs="新宋体"/>
          <w:color w:val="auto"/>
          <w:sz w:val="21"/>
          <w:highlight w:val="none"/>
        </w:rPr>
        <w:fldChar w:fldCharType="end"/>
      </w:r>
      <w:r>
        <w:rPr>
          <w:rFonts w:hint="eastAsia" w:ascii="新宋体" w:hAnsi="新宋体" w:eastAsia="新宋体" w:cs="新宋体"/>
          <w:b w:val="0"/>
          <w:bCs w:val="0"/>
          <w:color w:val="auto"/>
          <w:sz w:val="21"/>
          <w:highlight w:val="none"/>
          <w:lang w:val="en-US" w:eastAsia="zh-CN"/>
        </w:rPr>
        <w:t>主要施工方法；</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质量管理体系；</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保证措施；</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4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color w:val="auto"/>
          <w:highlight w:val="none"/>
        </w:rPr>
        <w:t>④</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质量保证承诺</w:t>
      </w:r>
      <w:r>
        <w:rPr>
          <w:rFonts w:hint="eastAsia" w:ascii="新宋体" w:hAnsi="新宋体" w:eastAsia="新宋体" w:cs="新宋体"/>
          <w:color w:val="auto"/>
          <w:sz w:val="21"/>
          <w:highlight w:val="none"/>
        </w:rPr>
        <w:t>等</w:t>
      </w:r>
      <w:r>
        <w:rPr>
          <w:rFonts w:hint="eastAsia" w:ascii="新宋体" w:hAnsi="新宋体" w:eastAsia="新宋体" w:cs="新宋体"/>
          <w:color w:val="auto"/>
          <w:sz w:val="21"/>
          <w:highlight w:val="none"/>
          <w:lang w:val="en-US" w:eastAsia="zh-CN"/>
        </w:rPr>
        <w:t>4</w:t>
      </w:r>
      <w:r>
        <w:rPr>
          <w:rFonts w:hint="eastAsia" w:ascii="新宋体" w:hAnsi="新宋体" w:eastAsia="新宋体" w:cs="新宋体"/>
          <w:color w:val="auto"/>
          <w:sz w:val="21"/>
          <w:highlight w:val="none"/>
        </w:rPr>
        <w:t>项内容进行综合评定，并按以下标准独立评分：</w:t>
      </w:r>
    </w:p>
    <w:p w14:paraId="5159AA7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5.0分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项全部评审内容经评审为完善、合理、可行的。</w:t>
      </w:r>
    </w:p>
    <w:p w14:paraId="152DE5F2">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3.0分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color w:val="auto"/>
          <w:szCs w:val="21"/>
          <w:highlight w:val="none"/>
        </w:rPr>
        <w:t>项内容经评审为完善、合理、可行的。</w:t>
      </w:r>
    </w:p>
    <w:p w14:paraId="4CD6EAA9">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1.0分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上述</w:t>
      </w:r>
      <w:r>
        <w:rPr>
          <w:rFonts w:hint="eastAsia" w:ascii="新宋体" w:hAnsi="新宋体" w:eastAsia="新宋体" w:cs="新宋体"/>
          <w:color w:val="auto"/>
          <w:sz w:val="21"/>
          <w:highlight w:val="none"/>
          <w:lang w:val="en-US" w:eastAsia="zh-CN"/>
        </w:rPr>
        <w:t>4</w:t>
      </w:r>
      <w:r>
        <w:rPr>
          <w:rFonts w:hint="eastAsia" w:ascii="新宋体" w:hAnsi="新宋体" w:eastAsia="新宋体" w:cs="新宋体"/>
          <w:color w:val="auto"/>
          <w:sz w:val="21"/>
          <w:highlight w:val="none"/>
        </w:rPr>
        <w:t>项评审内容有</w:t>
      </w:r>
      <w:r>
        <w:rPr>
          <w:rFonts w:hint="eastAsia" w:ascii="新宋体" w:hAnsi="新宋体" w:eastAsia="新宋体" w:cs="新宋体"/>
          <w:color w:val="auto"/>
          <w:sz w:val="21"/>
          <w:highlight w:val="none"/>
          <w:lang w:val="en-US" w:eastAsia="zh-CN"/>
        </w:rPr>
        <w:t>1</w:t>
      </w:r>
      <w:r>
        <w:rPr>
          <w:rFonts w:hint="eastAsia" w:ascii="新宋体" w:hAnsi="新宋体" w:eastAsia="新宋体" w:cs="新宋体"/>
          <w:color w:val="auto"/>
          <w:sz w:val="21"/>
          <w:highlight w:val="none"/>
        </w:rPr>
        <w:t>项内容经评审为完善、合理、可行的。</w:t>
      </w:r>
    </w:p>
    <w:p w14:paraId="1F523B8E">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color w:val="auto"/>
          <w:sz w:val="21"/>
          <w:highlight w:val="none"/>
        </w:rPr>
        <w:t>未达“</w:t>
      </w:r>
      <w:r>
        <w:rPr>
          <w:rFonts w:hint="eastAsia" w:ascii="新宋体" w:hAnsi="新宋体" w:eastAsia="新宋体" w:cs="新宋体"/>
          <w:color w:val="auto"/>
          <w:sz w:val="21"/>
          <w:highlight w:val="none"/>
          <w:lang w:eastAsia="zh-CN"/>
        </w:rPr>
        <w:t>中</w:t>
      </w:r>
      <w:r>
        <w:rPr>
          <w:rFonts w:hint="eastAsia" w:ascii="新宋体" w:hAnsi="新宋体" w:eastAsia="新宋体" w:cs="新宋体"/>
          <w:color w:val="auto"/>
          <w:sz w:val="21"/>
          <w:highlight w:val="none"/>
        </w:rPr>
        <w:t>”</w:t>
      </w:r>
      <w:r>
        <w:rPr>
          <w:rFonts w:hint="eastAsia" w:ascii="新宋体" w:hAnsi="新宋体" w:eastAsia="新宋体" w:cs="新宋体"/>
          <w:color w:val="auto"/>
          <w:sz w:val="21"/>
          <w:highlight w:val="none"/>
          <w:lang w:eastAsia="zh-CN"/>
        </w:rPr>
        <w:t>档</w:t>
      </w:r>
      <w:r>
        <w:rPr>
          <w:rFonts w:hint="eastAsia" w:ascii="新宋体" w:hAnsi="新宋体" w:eastAsia="新宋体" w:cs="新宋体"/>
          <w:color w:val="auto"/>
          <w:sz w:val="21"/>
          <w:highlight w:val="none"/>
        </w:rPr>
        <w:t>标准的，计0分。</w:t>
      </w:r>
    </w:p>
    <w:p w14:paraId="219F36EC">
      <w:pPr>
        <w:pStyle w:val="14"/>
        <w:pageBreakBefore w:val="0"/>
        <w:widowControl w:val="0"/>
        <w:kinsoku/>
        <w:wordWrap/>
        <w:overflowPunct/>
        <w:topLinePunct w:val="0"/>
        <w:bidi w:val="0"/>
        <w:snapToGrid/>
        <w:spacing w:line="440" w:lineRule="exact"/>
        <w:ind w:firstLine="210"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color w:val="auto"/>
          <w:sz w:val="21"/>
          <w:highlight w:val="none"/>
        </w:rPr>
        <w:t>注：</w:t>
      </w:r>
      <w:r>
        <w:rPr>
          <w:rFonts w:hint="eastAsia" w:ascii="新宋体" w:hAnsi="新宋体" w:eastAsia="新宋体" w:cs="新宋体"/>
          <w:color w:val="auto"/>
          <w:sz w:val="21"/>
          <w:highlight w:val="none"/>
          <w:lang w:eastAsia="zh-CN"/>
        </w:rPr>
        <w:t>磋商供应商响应文件</w:t>
      </w:r>
      <w:r>
        <w:rPr>
          <w:rFonts w:hint="eastAsia" w:ascii="新宋体" w:hAnsi="新宋体" w:eastAsia="新宋体" w:cs="新宋体"/>
          <w:color w:val="auto"/>
          <w:sz w:val="21"/>
          <w:highlight w:val="none"/>
        </w:rPr>
        <w:t>中提供的项目实施方案未达到相应评审档次全部标准的，相应降低一个档次</w:t>
      </w:r>
      <w:r>
        <w:rPr>
          <w:rFonts w:hint="eastAsia" w:ascii="新宋体" w:hAnsi="新宋体" w:eastAsia="新宋体" w:cs="新宋体"/>
          <w:color w:val="auto"/>
          <w:sz w:val="21"/>
          <w:highlight w:val="none"/>
          <w:lang w:eastAsia="zh-CN"/>
        </w:rPr>
        <w:t>。</w:t>
      </w:r>
      <w:r>
        <w:rPr>
          <w:rFonts w:hint="eastAsia" w:ascii="新宋体" w:hAnsi="新宋体" w:eastAsia="新宋体" w:cs="新宋体"/>
          <w:b/>
          <w:bCs w:val="0"/>
          <w:color w:val="auto"/>
          <w:szCs w:val="21"/>
          <w:highlight w:val="none"/>
        </w:rPr>
        <w:t>（9）新技术应用与承诺</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lang w:val="en-US" w:eastAsia="zh-CN"/>
        </w:rPr>
        <w:t>3</w:t>
      </w:r>
      <w:r>
        <w:rPr>
          <w:rFonts w:hint="eastAsia" w:ascii="新宋体" w:hAnsi="新宋体" w:eastAsia="新宋体" w:cs="新宋体"/>
          <w:b/>
          <w:bCs w:val="0"/>
          <w:color w:val="auto"/>
          <w:szCs w:val="21"/>
          <w:highlight w:val="none"/>
        </w:rPr>
        <w:t>分</w:t>
      </w:r>
    </w:p>
    <w:p w14:paraId="49BEBB3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highlight w:val="none"/>
        </w:rPr>
      </w:pPr>
      <w:r>
        <w:rPr>
          <w:rFonts w:hint="eastAsia" w:ascii="新宋体" w:hAnsi="新宋体" w:eastAsia="新宋体" w:cs="新宋体"/>
          <w:color w:val="auto"/>
          <w:highlight w:val="none"/>
        </w:rPr>
        <w:t>优</w:t>
      </w:r>
      <w:r>
        <w:rPr>
          <w:rFonts w:hint="eastAsia" w:ascii="新宋体" w:hAnsi="新宋体" w:eastAsia="新宋体" w:cs="新宋体"/>
          <w:color w:val="auto"/>
          <w:highlight w:val="none"/>
          <w:lang w:eastAsia="zh-CN"/>
        </w:rPr>
        <w:t>（</w:t>
      </w:r>
      <w:r>
        <w:rPr>
          <w:rFonts w:hint="eastAsia" w:ascii="新宋体" w:hAnsi="新宋体" w:eastAsia="新宋体" w:cs="新宋体"/>
          <w:b w:val="0"/>
          <w:bCs w:val="0"/>
          <w:color w:val="auto"/>
          <w:kern w:val="0"/>
          <w:sz w:val="21"/>
          <w:szCs w:val="21"/>
          <w:highlight w:val="none"/>
          <w:lang w:val="en-US" w:eastAsia="zh-CN"/>
        </w:rPr>
        <w:t>3.0分</w:t>
      </w:r>
      <w:r>
        <w:rPr>
          <w:rFonts w:hint="eastAsia" w:ascii="新宋体" w:hAnsi="新宋体" w:eastAsia="新宋体" w:cs="新宋体"/>
          <w:color w:val="auto"/>
          <w:highlight w:val="none"/>
          <w:lang w:eastAsia="zh-CN"/>
        </w:rPr>
        <w:t>）</w:t>
      </w:r>
      <w:r>
        <w:rPr>
          <w:rFonts w:hint="eastAsia" w:ascii="新宋体" w:hAnsi="新宋体" w:eastAsia="新宋体" w:cs="新宋体"/>
          <w:color w:val="auto"/>
          <w:highlight w:val="none"/>
        </w:rPr>
        <w:t>：针对项目实际，提出采用新技术的具体措施。新技术的验证材料可靠，对节约投资和工期的保证措施得力、具体、严谨。对采用新技术可能产生的风险预见充分，对新技术的实施有安全生产的可靠方案。</w:t>
      </w:r>
    </w:p>
    <w:p w14:paraId="365419CA">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highlight w:val="none"/>
        </w:rPr>
      </w:pPr>
      <w:r>
        <w:rPr>
          <w:rFonts w:hint="eastAsia" w:ascii="新宋体" w:hAnsi="新宋体" w:eastAsia="新宋体" w:cs="新宋体"/>
          <w:color w:val="auto"/>
          <w:highlight w:val="none"/>
        </w:rPr>
        <w:t>良</w:t>
      </w:r>
      <w:r>
        <w:rPr>
          <w:rFonts w:hint="eastAsia" w:ascii="新宋体" w:hAnsi="新宋体" w:eastAsia="新宋体" w:cs="新宋体"/>
          <w:color w:val="auto"/>
          <w:highlight w:val="none"/>
          <w:lang w:eastAsia="zh-CN"/>
        </w:rPr>
        <w:t>（</w:t>
      </w:r>
      <w:r>
        <w:rPr>
          <w:rFonts w:hint="eastAsia" w:ascii="新宋体" w:hAnsi="新宋体" w:eastAsia="新宋体" w:cs="新宋体"/>
          <w:b w:val="0"/>
          <w:bCs w:val="0"/>
          <w:color w:val="auto"/>
          <w:kern w:val="0"/>
          <w:sz w:val="21"/>
          <w:szCs w:val="21"/>
          <w:highlight w:val="none"/>
          <w:lang w:val="en-US" w:eastAsia="zh-CN"/>
        </w:rPr>
        <w:t>2.0分</w:t>
      </w:r>
      <w:r>
        <w:rPr>
          <w:rFonts w:hint="eastAsia" w:ascii="新宋体" w:hAnsi="新宋体" w:eastAsia="新宋体" w:cs="新宋体"/>
          <w:color w:val="auto"/>
          <w:highlight w:val="none"/>
          <w:lang w:eastAsia="zh-CN"/>
        </w:rPr>
        <w:t>）</w:t>
      </w:r>
      <w:r>
        <w:rPr>
          <w:rFonts w:hint="eastAsia" w:ascii="新宋体" w:hAnsi="新宋体" w:eastAsia="新宋体" w:cs="新宋体"/>
          <w:color w:val="auto"/>
          <w:highlight w:val="none"/>
        </w:rPr>
        <w:t>：针对项目实际，提出采用新技术的具体措施。新技术的验证材料可靠，对节约投资和工期有保证措施。对采用新技术可能产生的风险有一定的预见。</w:t>
      </w:r>
    </w:p>
    <w:p w14:paraId="40EA2038">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highlight w:val="none"/>
        </w:rPr>
        <w:t>中</w:t>
      </w:r>
      <w:r>
        <w:rPr>
          <w:rFonts w:hint="eastAsia" w:ascii="新宋体" w:hAnsi="新宋体" w:eastAsia="新宋体" w:cs="新宋体"/>
          <w:color w:val="auto"/>
          <w:highlight w:val="none"/>
          <w:lang w:eastAsia="zh-CN"/>
        </w:rPr>
        <w:t>（</w:t>
      </w:r>
      <w:r>
        <w:rPr>
          <w:rFonts w:hint="eastAsia" w:ascii="新宋体" w:hAnsi="新宋体" w:eastAsia="新宋体" w:cs="新宋体"/>
          <w:b w:val="0"/>
          <w:bCs w:val="0"/>
          <w:color w:val="auto"/>
          <w:kern w:val="0"/>
          <w:sz w:val="21"/>
          <w:szCs w:val="21"/>
          <w:highlight w:val="none"/>
          <w:lang w:val="en-US" w:eastAsia="zh-CN"/>
        </w:rPr>
        <w:t>1.0分</w:t>
      </w:r>
      <w:r>
        <w:rPr>
          <w:rFonts w:hint="eastAsia" w:ascii="新宋体" w:hAnsi="新宋体" w:eastAsia="新宋体" w:cs="新宋体"/>
          <w:color w:val="auto"/>
          <w:highlight w:val="none"/>
          <w:lang w:eastAsia="zh-CN"/>
        </w:rPr>
        <w:t>）</w:t>
      </w:r>
      <w:r>
        <w:rPr>
          <w:rFonts w:hint="eastAsia" w:ascii="新宋体" w:hAnsi="新宋体" w:eastAsia="新宋体" w:cs="新宋体"/>
          <w:color w:val="auto"/>
          <w:highlight w:val="none"/>
        </w:rPr>
        <w:t>：有新技术措施，但验证材料不充分，对节约投资和工期可能有一定收益，对</w:t>
      </w:r>
      <w:r>
        <w:rPr>
          <w:rFonts w:hint="eastAsia" w:ascii="新宋体" w:hAnsi="新宋体" w:eastAsia="新宋体" w:cs="新宋体"/>
          <w:color w:val="auto"/>
          <w:sz w:val="21"/>
          <w:szCs w:val="21"/>
          <w:highlight w:val="none"/>
        </w:rPr>
        <w:t>采用新技术可能产生的风险预见不足。</w:t>
      </w:r>
    </w:p>
    <w:p w14:paraId="30A291E8">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差</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rPr>
        <w:t>：采用的新技术针对性不强或验证材料不可靠，对节约投资和工期没有具体收益。</w:t>
      </w:r>
    </w:p>
    <w:p w14:paraId="6AF0AD7B">
      <w:pPr>
        <w:pStyle w:val="9"/>
        <w:ind w:left="0" w:leftChars="0" w:firstLine="0" w:firstLineChars="0"/>
        <w:rPr>
          <w:rFonts w:hint="eastAsia"/>
          <w:color w:val="auto"/>
        </w:rPr>
      </w:pPr>
      <w:r>
        <w:rPr>
          <w:rFonts w:hint="eastAsia" w:ascii="新宋体" w:hAnsi="新宋体" w:eastAsia="新宋体" w:cs="新宋体"/>
          <w:color w:val="auto"/>
          <w:sz w:val="21"/>
          <w:highlight w:val="none"/>
        </w:rPr>
        <w:t>注：</w:t>
      </w:r>
      <w:r>
        <w:rPr>
          <w:rFonts w:hint="eastAsia" w:ascii="新宋体" w:hAnsi="新宋体" w:eastAsia="新宋体" w:cs="新宋体"/>
          <w:color w:val="auto"/>
          <w:sz w:val="21"/>
          <w:highlight w:val="none"/>
          <w:lang w:eastAsia="zh-CN"/>
        </w:rPr>
        <w:t>磋商供应商响应文件</w:t>
      </w:r>
      <w:r>
        <w:rPr>
          <w:rFonts w:hint="eastAsia" w:ascii="新宋体" w:hAnsi="新宋体" w:eastAsia="新宋体" w:cs="新宋体"/>
          <w:color w:val="auto"/>
          <w:sz w:val="21"/>
          <w:highlight w:val="none"/>
        </w:rPr>
        <w:t>中提供的项目实施方案未达到相应评审档次全部标准的，相应降低一个档次</w:t>
      </w:r>
      <w:r>
        <w:rPr>
          <w:rFonts w:hint="eastAsia" w:ascii="新宋体" w:hAnsi="新宋体" w:eastAsia="新宋体" w:cs="新宋体"/>
          <w:color w:val="auto"/>
          <w:sz w:val="21"/>
          <w:highlight w:val="none"/>
          <w:lang w:eastAsia="zh-CN"/>
        </w:rPr>
        <w:t>。</w:t>
      </w:r>
    </w:p>
    <w:p w14:paraId="1EA3BE2C">
      <w:pPr>
        <w:pageBreakBefore w:val="0"/>
        <w:widowControl w:val="0"/>
        <w:kinsoku/>
        <w:wordWrap/>
        <w:overflowPunct/>
        <w:topLinePunct w:val="0"/>
        <w:bidi w:val="0"/>
        <w:snapToGrid/>
        <w:spacing w:line="440" w:lineRule="exact"/>
        <w:ind w:firstLine="316" w:firstLineChars="150"/>
        <w:textAlignment w:val="auto"/>
        <w:outlineLvl w:val="0"/>
        <w:rPr>
          <w:rFonts w:hint="eastAsia" w:ascii="新宋体" w:hAnsi="新宋体" w:eastAsia="新宋体" w:cs="新宋体"/>
          <w:b/>
          <w:bCs/>
          <w:color w:val="auto"/>
          <w:kern w:val="0"/>
          <w:sz w:val="21"/>
          <w:szCs w:val="21"/>
          <w:highlight w:val="none"/>
        </w:rPr>
      </w:pPr>
      <w:bookmarkStart w:id="136" w:name="_Toc27705"/>
      <w:bookmarkStart w:id="137" w:name="_Toc23170"/>
      <w:bookmarkStart w:id="138" w:name="_Toc4007"/>
      <w:r>
        <w:rPr>
          <w:rFonts w:hint="eastAsia" w:ascii="新宋体" w:hAnsi="新宋体" w:eastAsia="新宋体" w:cs="新宋体"/>
          <w:b/>
          <w:color w:val="auto"/>
          <w:kern w:val="0"/>
          <w:sz w:val="21"/>
          <w:szCs w:val="21"/>
          <w:highlight w:val="none"/>
        </w:rPr>
        <w:t>注：</w:t>
      </w:r>
      <w:r>
        <w:rPr>
          <w:rFonts w:hint="eastAsia" w:ascii="新宋体" w:hAnsi="新宋体" w:eastAsia="新宋体" w:cs="新宋体"/>
          <w:b/>
          <w:bCs/>
          <w:color w:val="auto"/>
          <w:kern w:val="0"/>
          <w:sz w:val="21"/>
          <w:szCs w:val="21"/>
          <w:highlight w:val="none"/>
        </w:rPr>
        <w:t>供应商未提供上述“施工组织技术方案”相应内容的，相应项不得分。</w:t>
      </w:r>
      <w:bookmarkEnd w:id="136"/>
      <w:bookmarkEnd w:id="137"/>
      <w:bookmarkEnd w:id="138"/>
    </w:p>
    <w:p w14:paraId="3FA7E69E">
      <w:pPr>
        <w:pageBreakBefore w:val="0"/>
        <w:widowControl w:val="0"/>
        <w:numPr>
          <w:ilvl w:val="0"/>
          <w:numId w:val="0"/>
        </w:numPr>
        <w:tabs>
          <w:tab w:val="left" w:pos="1305"/>
        </w:tabs>
        <w:kinsoku/>
        <w:wordWrap/>
        <w:overflowPunct/>
        <w:topLinePunct w:val="0"/>
        <w:bidi w:val="0"/>
        <w:snapToGrid/>
        <w:spacing w:line="440" w:lineRule="exact"/>
        <w:ind w:left="210" w:leftChars="0"/>
        <w:textAlignment w:val="auto"/>
        <w:rPr>
          <w:rFonts w:hint="eastAsia" w:ascii="宋体" w:hAnsi="宋体" w:eastAsia="宋体" w:cs="宋体"/>
          <w:b/>
          <w:bCs/>
          <w:color w:val="auto"/>
          <w:szCs w:val="21"/>
          <w:highlight w:val="none"/>
        </w:rPr>
      </w:pPr>
      <w:r>
        <w:rPr>
          <w:rFonts w:hint="eastAsia" w:ascii="宋体" w:hAnsi="宋体" w:cs="宋体"/>
          <w:b/>
          <w:bCs/>
          <w:color w:val="auto"/>
          <w:highlight w:val="none"/>
          <w:lang w:val="en-US" w:eastAsia="zh-CN"/>
        </w:rPr>
        <w:t>3、信誉业绩分</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cs="宋体"/>
          <w:b/>
          <w:bCs/>
          <w:color w:val="auto"/>
          <w:szCs w:val="21"/>
          <w:highlight w:val="none"/>
          <w:lang w:val="en-US" w:eastAsia="zh-CN"/>
        </w:rPr>
        <w:t>20</w:t>
      </w:r>
      <w:r>
        <w:rPr>
          <w:rFonts w:hint="eastAsia" w:ascii="宋体" w:hAnsi="宋体" w:eastAsia="宋体" w:cs="宋体"/>
          <w:b/>
          <w:bCs/>
          <w:color w:val="auto"/>
          <w:szCs w:val="21"/>
          <w:highlight w:val="none"/>
        </w:rPr>
        <w:t>分</w:t>
      </w:r>
    </w:p>
    <w:p w14:paraId="35B37FF5">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lang w:val="en-US" w:eastAsia="zh-CN" w:bidi="ar-SA"/>
        </w:rPr>
        <w:t>（1）</w:t>
      </w:r>
      <w:r>
        <w:rPr>
          <w:rFonts w:hint="eastAsia" w:ascii="宋体" w:hAnsi="宋体" w:cs="宋体"/>
          <w:color w:val="auto"/>
          <w:szCs w:val="21"/>
          <w:highlight w:val="none"/>
          <w:lang w:val="en-US" w:eastAsia="zh-CN"/>
        </w:rPr>
        <w:t>业绩：</w:t>
      </w:r>
      <w:r>
        <w:rPr>
          <w:rFonts w:hint="eastAsia" w:ascii="宋体" w:hAnsi="宋体" w:cs="宋体"/>
          <w:color w:val="auto"/>
          <w:szCs w:val="21"/>
          <w:highlight w:val="none"/>
          <w:lang w:eastAsia="zh-CN"/>
        </w:rPr>
        <w:t>供应商</w:t>
      </w:r>
      <w:r>
        <w:rPr>
          <w:rFonts w:hint="default" w:ascii="宋体" w:hAnsi="宋体" w:cs="宋体"/>
          <w:color w:val="auto"/>
          <w:szCs w:val="21"/>
          <w:highlight w:val="none"/>
          <w:lang w:val="en-US" w:eastAsia="zh-CN"/>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年1月1日以来</w:t>
      </w:r>
      <w:r>
        <w:rPr>
          <w:rFonts w:hint="eastAsia" w:ascii="宋体" w:hAnsi="宋体" w:eastAsia="宋体" w:cs="宋体"/>
          <w:color w:val="auto"/>
          <w:kern w:val="2"/>
          <w:sz w:val="21"/>
          <w:szCs w:val="24"/>
          <w:highlight w:val="none"/>
          <w:lang w:val="en-US" w:eastAsia="zh-CN" w:bidi="ar-SA"/>
        </w:rPr>
        <w:t>完成或在建的类似项目业绩</w:t>
      </w:r>
      <w:r>
        <w:rPr>
          <w:rFonts w:hint="eastAsia" w:ascii="宋体" w:hAnsi="宋体" w:eastAsia="宋体" w:cs="宋体"/>
          <w:color w:val="auto"/>
          <w:highlight w:val="none"/>
          <w:lang w:eastAsia="zh-CN"/>
        </w:rPr>
        <w:t>，每提供一个得</w:t>
      </w:r>
      <w:r>
        <w:rPr>
          <w:rFonts w:hint="eastAsia" w:ascii="宋体" w:hAnsi="宋体" w:cs="宋体"/>
          <w:color w:val="auto"/>
          <w:highlight w:val="none"/>
          <w:lang w:val="en-US" w:eastAsia="zh-CN"/>
        </w:rPr>
        <w:t>2.5</w:t>
      </w:r>
      <w:r>
        <w:rPr>
          <w:rFonts w:hint="eastAsia" w:ascii="宋体" w:hAnsi="宋体" w:eastAsia="宋体" w:cs="宋体"/>
          <w:color w:val="auto"/>
          <w:highlight w:val="none"/>
          <w:lang w:val="en-US" w:eastAsia="zh-CN"/>
        </w:rPr>
        <w:t>分，满分</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分。</w:t>
      </w:r>
      <w:r>
        <w:rPr>
          <w:rFonts w:hint="eastAsia" w:ascii="宋体" w:hAnsi="宋体" w:eastAsia="宋体" w:cs="宋体"/>
          <w:color w:val="auto"/>
          <w:kern w:val="2"/>
          <w:sz w:val="21"/>
          <w:szCs w:val="24"/>
          <w:highlight w:val="none"/>
          <w:lang w:val="en-US" w:eastAsia="zh-CN" w:bidi="ar-SA"/>
        </w:rPr>
        <w:t>以中标(成交)通知书或签订的合同为准</w:t>
      </w:r>
      <w:r>
        <w:rPr>
          <w:rFonts w:hint="eastAsia" w:ascii="宋体" w:hAnsi="宋体" w:eastAsia="宋体" w:cs="宋体"/>
          <w:color w:val="auto"/>
          <w:kern w:val="2"/>
          <w:sz w:val="21"/>
          <w:szCs w:val="24"/>
          <w:highlight w:val="none"/>
          <w:lang w:val="en-US" w:eastAsia="zh-CN" w:bidi="ar-SA"/>
        </w:rPr>
        <w:t>。</w:t>
      </w:r>
    </w:p>
    <w:p w14:paraId="1F18F759">
      <w:pPr>
        <w:pStyle w:val="37"/>
        <w:ind w:left="0" w:leftChars="0" w:firstLine="0" w:firstLineChars="0"/>
        <w:rPr>
          <w:rFonts w:hint="default" w:ascii="宋体" w:hAnsi="宋体" w:eastAsia="宋体" w:cs="宋体"/>
          <w:b/>
          <w:color w:val="auto"/>
          <w:szCs w:val="21"/>
          <w:highlight w:val="none"/>
          <w:lang w:val="en-US" w:eastAsia="zh-CN"/>
        </w:rPr>
      </w:pPr>
      <w:r>
        <w:rPr>
          <w:rFonts w:hint="eastAsia" w:eastAsia="宋体" w:cs="宋体"/>
          <w:b/>
          <w:color w:val="auto"/>
          <w:szCs w:val="21"/>
          <w:highlight w:val="none"/>
          <w:lang w:val="en-US" w:eastAsia="zh-CN"/>
        </w:rPr>
        <w:t xml:space="preserve">  </w:t>
      </w:r>
      <w:r>
        <w:rPr>
          <w:rFonts w:hint="eastAsia" w:cs="宋体"/>
          <w:b/>
          <w:color w:val="auto"/>
          <w:szCs w:val="21"/>
          <w:highlight w:val="none"/>
          <w:lang w:val="en-US" w:eastAsia="zh-CN"/>
        </w:rPr>
        <w:t>4</w:t>
      </w:r>
      <w:r>
        <w:rPr>
          <w:rFonts w:hint="eastAsia" w:eastAsia="宋体" w:cs="宋体"/>
          <w:b/>
          <w:color w:val="auto"/>
          <w:szCs w:val="21"/>
          <w:highlight w:val="none"/>
          <w:lang w:val="en-US" w:eastAsia="zh-CN"/>
        </w:rPr>
        <w:t>、</w:t>
      </w:r>
      <w:r>
        <w:rPr>
          <w:rFonts w:hint="eastAsia" w:ascii="宋体" w:hAnsi="宋体" w:eastAsia="宋体" w:cs="宋体"/>
          <w:b/>
          <w:color w:val="auto"/>
          <w:szCs w:val="21"/>
          <w:highlight w:val="none"/>
          <w:lang w:val="en-US" w:eastAsia="zh-CN"/>
        </w:rPr>
        <w:t>综合得分＝1+2</w:t>
      </w:r>
      <w:r>
        <w:rPr>
          <w:rFonts w:hint="eastAsia" w:eastAsia="宋体" w:cs="宋体"/>
          <w:b/>
          <w:color w:val="auto"/>
          <w:szCs w:val="21"/>
          <w:highlight w:val="none"/>
          <w:lang w:val="en-US" w:eastAsia="zh-CN"/>
        </w:rPr>
        <w:t>+3</w:t>
      </w:r>
    </w:p>
    <w:p w14:paraId="59D5EF9E">
      <w:pPr>
        <w:pageBreakBefore w:val="0"/>
        <w:widowControl w:val="0"/>
        <w:tabs>
          <w:tab w:val="left" w:pos="1305"/>
        </w:tabs>
        <w:kinsoku/>
        <w:wordWrap/>
        <w:overflowPunct/>
        <w:topLinePunct w:val="0"/>
        <w:bidi w:val="0"/>
        <w:snapToGrid/>
        <w:spacing w:line="440" w:lineRule="exact"/>
        <w:ind w:firstLine="211" w:firstLine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推荐成交候选人原则</w:t>
      </w:r>
    </w:p>
    <w:p w14:paraId="75100D7D">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（1）磋商小组应当根据综合评分情况，按照综合得分由高到低顺序推荐三名成交候选供应商，并编写评审报告。磋商小组根据综合得分由高到低排列次序，若得分相同时，以最后报价由低到高顺序排列；</w:t>
      </w:r>
      <w:r>
        <w:rPr>
          <w:rFonts w:hint="eastAsia" w:ascii="宋体" w:hAnsi="宋体" w:eastAsia="宋体" w:cs="宋体"/>
          <w:color w:val="auto"/>
          <w:szCs w:val="21"/>
          <w:highlight w:val="none"/>
        </w:rPr>
        <w:t>若仍相同的，依次按技术分、</w:t>
      </w:r>
      <w:r>
        <w:rPr>
          <w:rFonts w:hint="eastAsia" w:ascii="宋体" w:hAnsi="宋体" w:eastAsia="宋体" w:cs="宋体"/>
          <w:color w:val="auto"/>
          <w:szCs w:val="21"/>
          <w:highlight w:val="none"/>
          <w:lang w:val="en-US" w:eastAsia="zh-CN"/>
        </w:rPr>
        <w:t>企业信誉实力</w:t>
      </w:r>
      <w:r>
        <w:rPr>
          <w:rFonts w:hint="eastAsia" w:ascii="宋体" w:hAnsi="宋体" w:eastAsia="宋体" w:cs="宋体"/>
          <w:color w:val="auto"/>
          <w:szCs w:val="21"/>
          <w:highlight w:val="none"/>
        </w:rPr>
        <w:t>分由高到低顺序排列并推荐成交候选供应商</w:t>
      </w:r>
      <w:r>
        <w:rPr>
          <w:rFonts w:hint="eastAsia" w:ascii="宋体" w:hAnsi="宋体" w:eastAsia="宋体" w:cs="宋体"/>
          <w:color w:val="auto"/>
          <w:sz w:val="21"/>
          <w:szCs w:val="21"/>
          <w:highlight w:val="none"/>
        </w:rPr>
        <w:t>。</w:t>
      </w:r>
    </w:p>
    <w:p w14:paraId="71057197">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（2）采购人应当确定磋商小组推荐排名第一的成交候选供应商为成交供应商。</w:t>
      </w:r>
    </w:p>
    <w:p w14:paraId="55519C91">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4985834A">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81980D4">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b/>
          <w:bCs/>
          <w:color w:val="auto"/>
          <w:sz w:val="24"/>
          <w:highlight w:val="none"/>
        </w:rPr>
      </w:pPr>
    </w:p>
    <w:p w14:paraId="6274EF4C">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附表</w:t>
      </w:r>
    </w:p>
    <w:p w14:paraId="544F4F6B">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bookmarkStart w:id="139" w:name="_Toc28361_WPSOffice_Level2"/>
      <w:r>
        <w:rPr>
          <w:rFonts w:hint="eastAsia" w:ascii="宋体" w:hAnsi="宋体" w:eastAsia="宋体" w:cs="宋体"/>
          <w:b/>
          <w:bCs/>
          <w:color w:val="auto"/>
          <w:kern w:val="0"/>
          <w:sz w:val="30"/>
          <w:szCs w:val="30"/>
          <w:highlight w:val="none"/>
        </w:rPr>
        <w:t>统计上大中小微型企业划分标准</w:t>
      </w:r>
      <w:bookmarkEnd w:id="139"/>
    </w:p>
    <w:tbl>
      <w:tblPr>
        <w:tblStyle w:val="29"/>
        <w:tblpPr w:leftFromText="180" w:rightFromText="180" w:vertAnchor="text" w:horzAnchor="page" w:tblpX="1302" w:tblpY="438"/>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EDD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FFFFFF"/>
            <w:noWrap w:val="0"/>
            <w:vAlign w:val="center"/>
          </w:tcPr>
          <w:p w14:paraId="4BF7070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noWrap w:val="0"/>
            <w:vAlign w:val="center"/>
          </w:tcPr>
          <w:p w14:paraId="30EA2A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noWrap w:val="0"/>
            <w:vAlign w:val="center"/>
          </w:tcPr>
          <w:p w14:paraId="1983FD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14:paraId="5E00DB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FFFFFF"/>
            <w:noWrap w:val="0"/>
            <w:vAlign w:val="center"/>
          </w:tcPr>
          <w:p w14:paraId="57D684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noWrap w:val="0"/>
            <w:vAlign w:val="center"/>
          </w:tcPr>
          <w:p w14:paraId="1B9123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noWrap w:val="0"/>
            <w:vAlign w:val="center"/>
          </w:tcPr>
          <w:p w14:paraId="169FEE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noWrap w:val="0"/>
            <w:vAlign w:val="center"/>
          </w:tcPr>
          <w:p w14:paraId="364FF0F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22A8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noWrap w:val="0"/>
            <w:vAlign w:val="center"/>
          </w:tcPr>
          <w:p w14:paraId="7E13069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14:paraId="1A442F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6A290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82CC4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758F27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321C00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14:paraId="672E76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6C3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5044924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14:paraId="26B513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7F558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7DEE74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181EC1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6C002B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2E5A886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53E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5992EE2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BF5EC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63775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82DD8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0706F6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14:paraId="12E703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14:paraId="35F7A7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5F1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1A276D4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14:paraId="6AE539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F53F1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03FBD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14:paraId="24D38B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14:paraId="37FA4A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14:paraId="1EEDC3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F51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69E69D5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9001D4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177C73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C2F3D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14:paraId="511396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14:paraId="316E8E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14:paraId="7F8B95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64F3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0AEEB0C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14:paraId="36A7B5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9CDAD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732476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10B571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14:paraId="791F75C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14:paraId="1D1081C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6051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42DA536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7BAB2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E935DC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92EBD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5450C4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14:paraId="43F22F79">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14:paraId="600FBC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1E1D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52CE50F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14:paraId="4CC200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918BA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1B3AA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49B09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14:paraId="302FB3E1">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14:paraId="41C426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86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329FCCA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169EA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93233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60E88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738C1A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4729D439">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14:paraId="44E412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023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182E4FE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14:paraId="6FC59F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F200B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789C9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01532E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3CC879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0B4DCE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450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05C945E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0A3731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74E27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15D50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1EE058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14:paraId="302B844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14:paraId="375ED7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3FB8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77486FC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14:paraId="7EF8E6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58404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CA16E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04DBEB34">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14:paraId="47A263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14:paraId="39AA51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247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30AF74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397510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052E7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16FF1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7C04425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14:paraId="0457184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233F2E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F07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744D7D4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14:paraId="7E9D72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250AD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5D7E4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6E5B8D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58E45B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1A13EE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24A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2AA5F97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04101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ED6ED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61801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2670E0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14:paraId="6D0497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6F1EB71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AE6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4F8401F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14:paraId="5EA70D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C261E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31D6C1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343F50C1">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731C038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117E87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CC3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052E816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2C21D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835C5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D1126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6FF9EB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35069C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072400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381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710FB2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14:paraId="78D06D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C84D1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3C039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1FF5C639">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5DB6D3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2E304C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37B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61C40FC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94C64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CD378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4DDAA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25D1FBD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72D5FA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2F00CE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040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6187379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14:paraId="74E613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4030E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F319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14:paraId="7FD332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14:paraId="79936A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74AACA5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C71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366B6E9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49A3DE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A0A299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E4824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14:paraId="7817251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14:paraId="60BE6B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42A24FC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B36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14:paraId="43472AA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14:paraId="655DE7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1D304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99BC2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2022C49A">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4B3DF4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056E54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B09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14:paraId="10621A3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noWrap w:val="0"/>
            <w:vAlign w:val="center"/>
          </w:tcPr>
          <w:p w14:paraId="338B03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BF998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F8431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22DB55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14:paraId="1002914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14:paraId="7311E4B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832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14:paraId="3940D04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14:paraId="5ADBFE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E00AC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C11B0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14:paraId="38DE4C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14:paraId="750455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097A6E1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05B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14:paraId="256C40C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75ED787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233AB7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23CEB9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14:paraId="262540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14:paraId="290110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14:paraId="7FB7362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6413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14:paraId="72B27B5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14:paraId="309989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97A36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8E4B3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5C4102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67E0023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14:paraId="033C23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68D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14:paraId="701110C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8E133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863B8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CD9F2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14:paraId="47031D5A">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14:paraId="68C370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14:paraId="3A0CD3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75E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14:paraId="0DDA80F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14:paraId="3468C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46C7D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A3C9F1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38E06018">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100A155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4B99AB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0F9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14:paraId="0C4F76D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1EEA5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649A8D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EB3C1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14:paraId="7C1273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14:paraId="317CBE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14:paraId="01FD37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115F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noWrap w:val="0"/>
            <w:vAlign w:val="center"/>
          </w:tcPr>
          <w:p w14:paraId="44B0218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14:paraId="42332E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C8D7D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DB4D8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0548D67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3C4E54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8CCAD8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BF30912">
      <w:pPr>
        <w:keepNext w:val="0"/>
        <w:keepLines w:val="0"/>
        <w:pageBreakBefore w:val="0"/>
        <w:widowControl/>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color w:val="auto"/>
          <w:spacing w:val="8"/>
          <w:kern w:val="0"/>
          <w:sz w:val="24"/>
          <w:highlight w:val="none"/>
        </w:rPr>
      </w:pPr>
    </w:p>
    <w:p w14:paraId="2BE0F0EA">
      <w:pPr>
        <w:keepNext w:val="0"/>
        <w:keepLines w:val="0"/>
        <w:pageBreakBefore w:val="0"/>
        <w:widowControl/>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color w:val="auto"/>
          <w:spacing w:val="8"/>
          <w:kern w:val="0"/>
          <w:sz w:val="24"/>
          <w:highlight w:val="none"/>
        </w:rPr>
      </w:pPr>
    </w:p>
    <w:p w14:paraId="5249DF1A">
      <w:pPr>
        <w:keepNext w:val="0"/>
        <w:keepLines w:val="0"/>
        <w:pageBreakBefore w:val="0"/>
        <w:widowControl/>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color w:val="auto"/>
          <w:spacing w:val="8"/>
          <w:kern w:val="0"/>
          <w:sz w:val="24"/>
          <w:highlight w:val="none"/>
        </w:rPr>
      </w:pPr>
    </w:p>
    <w:p w14:paraId="06A78830">
      <w:pPr>
        <w:keepNext w:val="0"/>
        <w:keepLines w:val="0"/>
        <w:pageBreakBefore w:val="0"/>
        <w:widowControl/>
        <w:kinsoku/>
        <w:wordWrap/>
        <w:overflowPunct/>
        <w:topLinePunct w:val="0"/>
        <w:autoSpaceDE/>
        <w:autoSpaceDN/>
        <w:bidi w:val="0"/>
        <w:snapToGrid/>
        <w:spacing w:line="440" w:lineRule="exact"/>
        <w:ind w:right="0" w:rightChars="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说明：</w:t>
      </w:r>
    </w:p>
    <w:p w14:paraId="23969AB8">
      <w:pPr>
        <w:pStyle w:val="14"/>
        <w:keepNext w:val="0"/>
        <w:keepLines w:val="0"/>
        <w:pageBreakBefore w:val="0"/>
        <w:kinsoku/>
        <w:wordWrap/>
        <w:overflowPunct/>
        <w:topLinePunct w:val="0"/>
        <w:autoSpaceDE/>
        <w:autoSpaceDN/>
        <w:bidi w:val="0"/>
        <w:adjustRightInd w:val="0"/>
        <w:snapToGrid/>
        <w:spacing w:line="44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1.大型、中型和小型企业须同时满足所列指标的下限，否则下划一档；微型企业只须满足所列指标中的一项即可。</w:t>
      </w:r>
    </w:p>
    <w:p w14:paraId="6C99D613">
      <w:pPr>
        <w:pStyle w:val="14"/>
        <w:keepNext w:val="0"/>
        <w:keepLines w:val="0"/>
        <w:pageBreakBefore w:val="0"/>
        <w:kinsoku/>
        <w:wordWrap/>
        <w:overflowPunct/>
        <w:topLinePunct w:val="0"/>
        <w:autoSpaceDE/>
        <w:autoSpaceDN/>
        <w:bidi w:val="0"/>
        <w:adjustRightInd w:val="0"/>
        <w:snapToGrid/>
        <w:spacing w:line="44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808051">
      <w:pPr>
        <w:pStyle w:val="14"/>
        <w:keepNext w:val="0"/>
        <w:keepLines w:val="0"/>
        <w:pageBreakBefore w:val="0"/>
        <w:kinsoku/>
        <w:wordWrap/>
        <w:overflowPunct/>
        <w:topLinePunct w:val="0"/>
        <w:autoSpaceDE/>
        <w:autoSpaceDN/>
        <w:bidi w:val="0"/>
        <w:snapToGrid/>
        <w:spacing w:line="440" w:lineRule="exact"/>
        <w:ind w:right="0" w:rightChars="0" w:firstLine="452" w:firstLineChars="20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40" w:name="_Toc4774"/>
      <w:bookmarkStart w:id="141" w:name="_Toc8466"/>
    </w:p>
    <w:p w14:paraId="6E73617F">
      <w:pPr>
        <w:pStyle w:val="9"/>
        <w:rPr>
          <w:rFonts w:hint="eastAsia" w:ascii="宋体" w:hAnsi="宋体" w:eastAsia="宋体" w:cs="宋体"/>
          <w:color w:val="auto"/>
          <w:spacing w:val="8"/>
          <w:kern w:val="0"/>
          <w:sz w:val="24"/>
          <w:szCs w:val="24"/>
          <w:highlight w:val="none"/>
        </w:rPr>
      </w:pPr>
    </w:p>
    <w:p w14:paraId="6559F5C6">
      <w:pPr>
        <w:rPr>
          <w:rFonts w:hint="eastAsia" w:ascii="宋体" w:hAnsi="宋体" w:eastAsia="宋体" w:cs="宋体"/>
          <w:color w:val="auto"/>
          <w:spacing w:val="8"/>
          <w:kern w:val="0"/>
          <w:sz w:val="24"/>
          <w:szCs w:val="24"/>
          <w:highlight w:val="none"/>
        </w:rPr>
      </w:pPr>
    </w:p>
    <w:p w14:paraId="7A01DF01">
      <w:pPr>
        <w:pStyle w:val="32"/>
        <w:rPr>
          <w:rFonts w:hint="eastAsia" w:ascii="宋体" w:hAnsi="宋体" w:eastAsia="宋体" w:cs="宋体"/>
          <w:color w:val="auto"/>
          <w:highlight w:val="none"/>
        </w:rPr>
      </w:pPr>
    </w:p>
    <w:p w14:paraId="4C901BE6">
      <w:pPr>
        <w:pStyle w:val="32"/>
        <w:rPr>
          <w:rFonts w:hint="eastAsia" w:ascii="宋体" w:hAnsi="宋体" w:eastAsia="宋体" w:cs="宋体"/>
          <w:color w:val="auto"/>
          <w:highlight w:val="none"/>
        </w:rPr>
      </w:pPr>
    </w:p>
    <w:p w14:paraId="1A9227AD">
      <w:pPr>
        <w:pStyle w:val="32"/>
        <w:rPr>
          <w:rFonts w:hint="eastAsia" w:ascii="宋体" w:hAnsi="宋体" w:eastAsia="宋体" w:cs="宋体"/>
          <w:color w:val="auto"/>
          <w:highlight w:val="none"/>
        </w:rPr>
      </w:pPr>
    </w:p>
    <w:p w14:paraId="63BFCD7A">
      <w:pPr>
        <w:pStyle w:val="32"/>
        <w:rPr>
          <w:rFonts w:hint="eastAsia" w:ascii="宋体" w:hAnsi="宋体" w:eastAsia="宋体" w:cs="宋体"/>
          <w:color w:val="auto"/>
          <w:highlight w:val="none"/>
        </w:rPr>
      </w:pPr>
    </w:p>
    <w:p w14:paraId="10654DF0">
      <w:pPr>
        <w:pStyle w:val="32"/>
        <w:rPr>
          <w:rFonts w:hint="eastAsia" w:ascii="宋体" w:hAnsi="宋体" w:eastAsia="宋体" w:cs="宋体"/>
          <w:color w:val="auto"/>
          <w:highlight w:val="none"/>
        </w:rPr>
      </w:pPr>
    </w:p>
    <w:p w14:paraId="2E87B404">
      <w:pPr>
        <w:pStyle w:val="32"/>
        <w:rPr>
          <w:rFonts w:hint="eastAsia" w:ascii="宋体" w:hAnsi="宋体" w:eastAsia="宋体" w:cs="宋体"/>
          <w:color w:val="auto"/>
          <w:highlight w:val="none"/>
        </w:rPr>
      </w:pPr>
    </w:p>
    <w:p w14:paraId="68147456">
      <w:pPr>
        <w:pStyle w:val="32"/>
        <w:rPr>
          <w:rFonts w:hint="eastAsia" w:ascii="宋体" w:hAnsi="宋体" w:eastAsia="宋体" w:cs="宋体"/>
          <w:color w:val="auto"/>
          <w:highlight w:val="none"/>
        </w:rPr>
      </w:pPr>
    </w:p>
    <w:p w14:paraId="615016EA">
      <w:pPr>
        <w:pStyle w:val="32"/>
        <w:rPr>
          <w:rFonts w:hint="eastAsia" w:ascii="宋体" w:hAnsi="宋体" w:eastAsia="宋体" w:cs="宋体"/>
          <w:color w:val="auto"/>
          <w:highlight w:val="none"/>
        </w:rPr>
      </w:pPr>
    </w:p>
    <w:p w14:paraId="3A38E2BC">
      <w:pPr>
        <w:pStyle w:val="32"/>
        <w:rPr>
          <w:rFonts w:hint="eastAsia" w:ascii="宋体" w:hAnsi="宋体" w:eastAsia="宋体" w:cs="宋体"/>
          <w:color w:val="auto"/>
          <w:highlight w:val="none"/>
        </w:rPr>
      </w:pPr>
    </w:p>
    <w:p w14:paraId="618D6803">
      <w:pPr>
        <w:pStyle w:val="32"/>
        <w:rPr>
          <w:rFonts w:hint="eastAsia" w:ascii="宋体" w:hAnsi="宋体" w:eastAsia="宋体" w:cs="宋体"/>
          <w:color w:val="auto"/>
          <w:highlight w:val="none"/>
        </w:rPr>
      </w:pPr>
    </w:p>
    <w:p w14:paraId="621ED453">
      <w:pPr>
        <w:pStyle w:val="32"/>
        <w:rPr>
          <w:rFonts w:hint="eastAsia" w:ascii="宋体" w:hAnsi="宋体" w:eastAsia="宋体" w:cs="宋体"/>
          <w:color w:val="auto"/>
          <w:highlight w:val="none"/>
        </w:rPr>
      </w:pPr>
    </w:p>
    <w:p w14:paraId="017FC19B">
      <w:pPr>
        <w:pStyle w:val="32"/>
        <w:rPr>
          <w:rFonts w:hint="eastAsia" w:ascii="宋体" w:hAnsi="宋体" w:eastAsia="宋体" w:cs="宋体"/>
          <w:color w:val="auto"/>
          <w:highlight w:val="none"/>
        </w:rPr>
      </w:pPr>
    </w:p>
    <w:p w14:paraId="60B012DF">
      <w:pPr>
        <w:rPr>
          <w:rFonts w:hint="eastAsia" w:ascii="宋体" w:hAnsi="宋体" w:eastAsia="宋体" w:cs="宋体"/>
          <w:color w:val="auto"/>
          <w:highlight w:val="none"/>
        </w:rPr>
      </w:pPr>
    </w:p>
    <w:p w14:paraId="23EC76FC">
      <w:pPr>
        <w:pStyle w:val="4"/>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42" w:name="_Toc7776"/>
      <w:bookmarkStart w:id="143" w:name="_Toc25717"/>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140"/>
      <w:bookmarkEnd w:id="141"/>
      <w:bookmarkEnd w:id="142"/>
      <w:bookmarkEnd w:id="143"/>
    </w:p>
    <w:p w14:paraId="3D74F8FF">
      <w:pPr>
        <w:pStyle w:val="38"/>
        <w:numPr>
          <w:ilvl w:val="0"/>
          <w:numId w:val="6"/>
        </w:numPr>
        <w:spacing w:line="340" w:lineRule="exact"/>
        <w:jc w:val="center"/>
        <w:rPr>
          <w:rFonts w:ascii="宋体"/>
          <w:color w:val="auto"/>
          <w:sz w:val="32"/>
          <w:highlight w:val="none"/>
        </w:rPr>
      </w:pPr>
      <w:bookmarkStart w:id="144" w:name="_Toc256000031"/>
      <w:bookmarkStart w:id="145" w:name="_Toc13895"/>
      <w:bookmarkStart w:id="146" w:name="_Toc522201558"/>
      <w:bookmarkStart w:id="147" w:name="_Toc10014"/>
      <w:bookmarkStart w:id="148" w:name="_Toc24269"/>
      <w:r>
        <w:rPr>
          <w:rFonts w:ascii="宋体"/>
          <w:color w:val="auto"/>
          <w:sz w:val="32"/>
          <w:highlight w:val="none"/>
        </w:rPr>
        <w:t>合同协议书</w:t>
      </w:r>
      <w:bookmarkEnd w:id="144"/>
      <w:bookmarkEnd w:id="145"/>
      <w:bookmarkEnd w:id="146"/>
    </w:p>
    <w:p w14:paraId="40CFEB07">
      <w:pPr>
        <w:pStyle w:val="38"/>
        <w:numPr>
          <w:ilvl w:val="0"/>
          <w:numId w:val="0"/>
        </w:numPr>
        <w:spacing w:line="340" w:lineRule="exact"/>
        <w:jc w:val="both"/>
        <w:rPr>
          <w:rFonts w:ascii="宋体"/>
          <w:color w:val="auto"/>
          <w:sz w:val="32"/>
          <w:highlight w:val="none"/>
        </w:rPr>
      </w:pPr>
    </w:p>
    <w:p w14:paraId="6E7C5B3D">
      <w:pPr>
        <w:pStyle w:val="40"/>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lang w:val="en-US" w:eastAsia="zh-CN"/>
        </w:rPr>
        <w:t xml:space="preserve"> </w:t>
      </w:r>
    </w:p>
    <w:p w14:paraId="519CBA06">
      <w:pPr>
        <w:pStyle w:val="40"/>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6D98DE8F">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工程施工及有关事项协商一致，共同达成如下协议：</w:t>
      </w:r>
      <w:bookmarkStart w:id="149" w:name="_Toc351203481"/>
    </w:p>
    <w:p w14:paraId="6F905619">
      <w:pPr>
        <w:pStyle w:val="41"/>
        <w:adjustRightInd w:val="0"/>
        <w:snapToGrid w:val="0"/>
        <w:spacing w:line="400" w:lineRule="exact"/>
        <w:ind w:firstLine="422"/>
        <w:outlineLvl w:val="0"/>
        <w:rPr>
          <w:rFonts w:ascii="宋体" w:hAnsi="宋体" w:cs="宋体"/>
          <w:b/>
          <w:color w:val="auto"/>
          <w:highlight w:val="none"/>
        </w:rPr>
      </w:pPr>
      <w:bookmarkStart w:id="150" w:name="_Toc20764"/>
      <w:bookmarkStart w:id="151" w:name="_Toc406419153"/>
      <w:bookmarkStart w:id="152" w:name="_Toc15791"/>
      <w:bookmarkStart w:id="153" w:name="_Toc522201559"/>
      <w:bookmarkStart w:id="154" w:name="_Toc406522028"/>
      <w:r>
        <w:rPr>
          <w:rFonts w:hint="eastAsia" w:ascii="宋体" w:hAnsi="宋体" w:cs="宋体"/>
          <w:b/>
          <w:color w:val="auto"/>
          <w:highlight w:val="none"/>
        </w:rPr>
        <w:t>一、工程概况</w:t>
      </w:r>
      <w:bookmarkEnd w:id="149"/>
      <w:bookmarkEnd w:id="150"/>
      <w:bookmarkEnd w:id="151"/>
      <w:bookmarkEnd w:id="152"/>
      <w:bookmarkEnd w:id="153"/>
      <w:bookmarkEnd w:id="154"/>
    </w:p>
    <w:p w14:paraId="01089029">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1.工程名称：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E6CC892">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2.工程地点：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1449334">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3.资金来源：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E09ECB">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.工程内容：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470BCC4">
      <w:pPr>
        <w:pStyle w:val="40"/>
        <w:adjustRightInd w:val="0"/>
        <w:snapToGrid w:val="0"/>
        <w:spacing w:line="400" w:lineRule="exact"/>
        <w:ind w:firstLine="459"/>
        <w:rPr>
          <w:rFonts w:ascii="宋体" w:hAnsi="宋体" w:cs="宋体"/>
          <w:bCs/>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.工程承包范围：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43866F">
      <w:pPr>
        <w:pStyle w:val="41"/>
        <w:adjustRightInd w:val="0"/>
        <w:snapToGrid w:val="0"/>
        <w:spacing w:line="400" w:lineRule="exact"/>
        <w:ind w:firstLine="422"/>
        <w:outlineLvl w:val="0"/>
        <w:rPr>
          <w:rFonts w:ascii="宋体" w:hAnsi="宋体" w:cs="宋体"/>
          <w:b/>
          <w:color w:val="auto"/>
          <w:highlight w:val="none"/>
        </w:rPr>
      </w:pPr>
      <w:bookmarkStart w:id="155" w:name="_Toc3470"/>
      <w:bookmarkStart w:id="156" w:name="_Toc406419154"/>
      <w:bookmarkStart w:id="157" w:name="_Toc406522029"/>
      <w:bookmarkStart w:id="158" w:name="_Toc349"/>
      <w:bookmarkStart w:id="159" w:name="_Toc351203482"/>
      <w:bookmarkStart w:id="160" w:name="_Toc522201560"/>
      <w:r>
        <w:rPr>
          <w:rFonts w:hint="eastAsia" w:ascii="宋体" w:hAnsi="宋体" w:cs="宋体"/>
          <w:b/>
          <w:color w:val="auto"/>
          <w:highlight w:val="none"/>
        </w:rPr>
        <w:t>二、合同工期</w:t>
      </w:r>
      <w:bookmarkEnd w:id="155"/>
      <w:bookmarkEnd w:id="156"/>
      <w:bookmarkEnd w:id="157"/>
      <w:bookmarkEnd w:id="158"/>
      <w:bookmarkEnd w:id="159"/>
      <w:bookmarkEnd w:id="160"/>
    </w:p>
    <w:p w14:paraId="01A3F094">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日。（实际开工日期以开工令为准）</w:t>
      </w:r>
    </w:p>
    <w:p w14:paraId="1DCAE917">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6E4A52E">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天。工期总日历天数与根据前述计划开竣工日期计算的工期天数不一致的，以工期总日历天数为准。</w:t>
      </w:r>
    </w:p>
    <w:p w14:paraId="4D9C367F">
      <w:pPr>
        <w:pStyle w:val="41"/>
        <w:adjustRightInd w:val="0"/>
        <w:snapToGrid w:val="0"/>
        <w:spacing w:line="400" w:lineRule="exact"/>
        <w:ind w:firstLine="422"/>
        <w:outlineLvl w:val="0"/>
        <w:rPr>
          <w:rFonts w:ascii="宋体" w:hAnsi="宋体" w:cs="宋体"/>
          <w:b/>
          <w:color w:val="auto"/>
          <w:highlight w:val="none"/>
        </w:rPr>
      </w:pPr>
      <w:bookmarkStart w:id="161" w:name="_Toc406419155"/>
      <w:bookmarkStart w:id="162" w:name="_Toc12638"/>
      <w:bookmarkStart w:id="163" w:name="_Toc15140"/>
      <w:bookmarkStart w:id="164" w:name="_Toc406522030"/>
      <w:bookmarkStart w:id="165" w:name="_Toc522201561"/>
      <w:bookmarkStart w:id="166" w:name="_Toc351203483"/>
      <w:r>
        <w:rPr>
          <w:rFonts w:hint="eastAsia" w:ascii="宋体" w:hAnsi="宋体" w:cs="宋体"/>
          <w:b/>
          <w:color w:val="auto"/>
          <w:highlight w:val="none"/>
        </w:rPr>
        <w:t>三、质量标准</w:t>
      </w:r>
      <w:bookmarkEnd w:id="161"/>
      <w:bookmarkEnd w:id="162"/>
      <w:bookmarkEnd w:id="163"/>
      <w:bookmarkEnd w:id="164"/>
      <w:bookmarkEnd w:id="165"/>
      <w:bookmarkEnd w:id="166"/>
    </w:p>
    <w:p w14:paraId="50F75CA1">
      <w:pPr>
        <w:tabs>
          <w:tab w:val="left" w:pos="210"/>
        </w:tabs>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质量标准：合格</w:t>
      </w:r>
      <w:r>
        <w:rPr>
          <w:rFonts w:hint="eastAsia" w:ascii="宋体" w:hAnsi="宋体" w:cs="宋体"/>
          <w:color w:val="auto"/>
          <w:highlight w:val="none"/>
        </w:rPr>
        <w:t>。</w:t>
      </w:r>
    </w:p>
    <w:p w14:paraId="1A85EF30">
      <w:pPr>
        <w:pStyle w:val="41"/>
        <w:adjustRightInd w:val="0"/>
        <w:snapToGrid w:val="0"/>
        <w:spacing w:line="400" w:lineRule="exact"/>
        <w:ind w:firstLine="422"/>
        <w:outlineLvl w:val="0"/>
        <w:rPr>
          <w:rFonts w:ascii="宋体" w:hAnsi="宋体" w:cs="宋体"/>
          <w:b/>
          <w:color w:val="auto"/>
          <w:highlight w:val="none"/>
        </w:rPr>
      </w:pPr>
      <w:bookmarkStart w:id="167" w:name="_Toc351203484"/>
      <w:bookmarkStart w:id="168" w:name="_Toc8031"/>
      <w:bookmarkStart w:id="169" w:name="_Toc406419156"/>
      <w:bookmarkStart w:id="170" w:name="_Toc522201562"/>
      <w:bookmarkStart w:id="171" w:name="_Toc406522031"/>
      <w:bookmarkStart w:id="172" w:name="_Toc31378"/>
      <w:r>
        <w:rPr>
          <w:rFonts w:hint="eastAsia" w:ascii="宋体" w:hAnsi="宋体" w:cs="宋体"/>
          <w:b/>
          <w:color w:val="auto"/>
          <w:highlight w:val="none"/>
        </w:rPr>
        <w:t>四、签约合同价与合同价格形式</w:t>
      </w:r>
      <w:bookmarkEnd w:id="167"/>
      <w:bookmarkEnd w:id="168"/>
      <w:bookmarkEnd w:id="169"/>
      <w:bookmarkEnd w:id="170"/>
      <w:bookmarkEnd w:id="171"/>
      <w:bookmarkEnd w:id="172"/>
    </w:p>
    <w:p w14:paraId="2E43EF66">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1. 签约合同价为：</w:t>
      </w:r>
    </w:p>
    <w:p w14:paraId="36FF9DA6">
      <w:pPr>
        <w:pStyle w:val="40"/>
        <w:adjustRightInd w:val="0"/>
        <w:snapToGrid w:val="0"/>
        <w:spacing w:line="40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总价：人民币（大写）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18063AD7">
      <w:pPr>
        <w:pStyle w:val="40"/>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其中：</w:t>
      </w:r>
    </w:p>
    <w:p w14:paraId="5D4ADC93">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（1）投标报价：</w:t>
      </w:r>
    </w:p>
    <w:p w14:paraId="2A1BA64D">
      <w:pPr>
        <w:pStyle w:val="40"/>
        <w:adjustRightInd w:val="0"/>
        <w:snapToGrid w:val="0"/>
        <w:spacing w:line="400" w:lineRule="exact"/>
        <w:ind w:firstLine="978" w:firstLineChars="466"/>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38C464DC">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（2）安全文明施工费：</w:t>
      </w:r>
    </w:p>
    <w:p w14:paraId="699763E7">
      <w:pPr>
        <w:pStyle w:val="40"/>
        <w:adjustRightInd w:val="0"/>
        <w:snapToGrid w:val="0"/>
        <w:spacing w:line="400" w:lineRule="exact"/>
        <w:ind w:firstLine="978" w:firstLineChars="466"/>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4184C36F">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（3）规费：人民币（大写）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0253F5F8">
      <w:pPr>
        <w:pStyle w:val="40"/>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其中社会保险费：</w:t>
      </w:r>
    </w:p>
    <w:p w14:paraId="4D95EB87">
      <w:pPr>
        <w:pStyle w:val="40"/>
        <w:adjustRightInd w:val="0"/>
        <w:snapToGrid w:val="0"/>
        <w:spacing w:line="400" w:lineRule="exact"/>
        <w:ind w:left="420" w:leftChars="200" w:firstLine="638" w:firstLineChars="304"/>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6CB6ABD1">
      <w:pPr>
        <w:pStyle w:val="40"/>
        <w:adjustRightInd w:val="0"/>
        <w:snapToGrid w:val="0"/>
        <w:spacing w:line="400" w:lineRule="exact"/>
        <w:ind w:firstLine="945" w:firstLineChars="45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其他：</w:t>
      </w: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7488138C">
      <w:pPr>
        <w:pStyle w:val="40"/>
        <w:numPr>
          <w:ilvl w:val="0"/>
          <w:numId w:val="7"/>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增值税：</w:t>
      </w:r>
    </w:p>
    <w:p w14:paraId="42475674">
      <w:pPr>
        <w:pStyle w:val="40"/>
        <w:adjustRightInd w:val="0"/>
        <w:snapToGrid w:val="0"/>
        <w:spacing w:line="400" w:lineRule="exact"/>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48970A57">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（5）材料和工程设备暂估价金额：</w:t>
      </w:r>
    </w:p>
    <w:p w14:paraId="01729DD2">
      <w:pPr>
        <w:pStyle w:val="40"/>
        <w:adjustRightInd w:val="0"/>
        <w:snapToGrid w:val="0"/>
        <w:spacing w:line="40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4C13402E">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（6）专业工程暂估价金额：</w:t>
      </w:r>
    </w:p>
    <w:p w14:paraId="30C91415">
      <w:pPr>
        <w:pStyle w:val="40"/>
        <w:adjustRightInd w:val="0"/>
        <w:snapToGrid w:val="0"/>
        <w:spacing w:line="40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30F66D12">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（7）暂列金额：</w:t>
      </w:r>
    </w:p>
    <w:p w14:paraId="38C9A524">
      <w:pPr>
        <w:pStyle w:val="40"/>
        <w:adjustRightInd w:val="0"/>
        <w:snapToGrid w:val="0"/>
        <w:spacing w:line="40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25E08B03">
      <w:pPr>
        <w:pStyle w:val="4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lang w:val="en-US" w:eastAsia="zh-CN"/>
        </w:rPr>
        <w:t>根</w:t>
      </w:r>
      <w:r>
        <w:rPr>
          <w:rFonts w:hint="eastAsia" w:ascii="宋体" w:hAnsi="宋体" w:cs="宋体"/>
          <w:color w:val="auto"/>
          <w:szCs w:val="21"/>
          <w:highlight w:val="none"/>
        </w:rPr>
        <w:t>据市住建〔2016〕34号文《关于市建成区、临桂新区、灵川县范围内建筑工程新增扬尘防治费用的通知》</w:t>
      </w:r>
      <w:r>
        <w:rPr>
          <w:rFonts w:hint="eastAsia" w:ascii="宋体" w:hAnsi="宋体" w:cs="宋体"/>
          <w:color w:val="auto"/>
          <w:szCs w:val="21"/>
          <w:highlight w:val="none"/>
          <w:lang w:val="en-US" w:eastAsia="zh-CN"/>
        </w:rPr>
        <w:t>和市住建（2018）32号文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桂林十县范围内建筑工程新增扬尘防治费用的</w:t>
      </w:r>
      <w:r>
        <w:rPr>
          <w:rFonts w:hint="eastAsia" w:ascii="宋体" w:hAnsi="宋体" w:cs="宋体"/>
          <w:color w:val="auto"/>
          <w:szCs w:val="21"/>
          <w:highlight w:val="none"/>
        </w:rPr>
        <w:t>通知》，另计扬尘防治费，本项目扬尘防治费</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元。</w:t>
      </w:r>
    </w:p>
    <w:p w14:paraId="3B3CD90A">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合同价格形式：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02F08E20">
      <w:pPr>
        <w:pStyle w:val="41"/>
        <w:adjustRightInd w:val="0"/>
        <w:snapToGrid w:val="0"/>
        <w:spacing w:line="400" w:lineRule="exact"/>
        <w:ind w:firstLine="422"/>
        <w:outlineLvl w:val="0"/>
        <w:rPr>
          <w:rFonts w:ascii="宋体" w:hAnsi="宋体" w:cs="宋体"/>
          <w:b/>
          <w:color w:val="auto"/>
          <w:highlight w:val="none"/>
        </w:rPr>
      </w:pPr>
      <w:bookmarkStart w:id="173" w:name="_Toc351203485"/>
      <w:bookmarkStart w:id="174" w:name="_Toc406522032"/>
      <w:bookmarkStart w:id="175" w:name="_Toc406419157"/>
      <w:bookmarkStart w:id="176" w:name="_Toc522201563"/>
      <w:bookmarkStart w:id="177" w:name="_Toc10860"/>
      <w:bookmarkStart w:id="178" w:name="_Toc29758"/>
      <w:r>
        <w:rPr>
          <w:rFonts w:hint="eastAsia" w:ascii="宋体" w:hAnsi="宋体" w:cs="宋体"/>
          <w:b/>
          <w:color w:val="auto"/>
          <w:highlight w:val="none"/>
        </w:rPr>
        <w:t>五、</w:t>
      </w:r>
      <w:bookmarkEnd w:id="173"/>
      <w:r>
        <w:rPr>
          <w:rFonts w:hint="eastAsia" w:ascii="宋体" w:hAnsi="宋体" w:cs="宋体"/>
          <w:b/>
          <w:color w:val="auto"/>
          <w:highlight w:val="none"/>
        </w:rPr>
        <w:t>项目经理</w:t>
      </w:r>
      <w:bookmarkEnd w:id="174"/>
      <w:bookmarkEnd w:id="175"/>
      <w:bookmarkEnd w:id="176"/>
      <w:bookmarkEnd w:id="177"/>
      <w:bookmarkEnd w:id="178"/>
    </w:p>
    <w:p w14:paraId="193024FC">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24223019">
      <w:pPr>
        <w:pStyle w:val="41"/>
        <w:adjustRightInd w:val="0"/>
        <w:snapToGrid w:val="0"/>
        <w:spacing w:line="400" w:lineRule="exact"/>
        <w:ind w:firstLine="422"/>
        <w:outlineLvl w:val="0"/>
        <w:rPr>
          <w:rFonts w:ascii="宋体" w:hAnsi="宋体" w:cs="宋体"/>
          <w:b/>
          <w:color w:val="auto"/>
          <w:highlight w:val="none"/>
        </w:rPr>
      </w:pPr>
      <w:bookmarkStart w:id="179" w:name="_Toc351203486"/>
      <w:bookmarkStart w:id="180" w:name="_Toc406522033"/>
      <w:bookmarkStart w:id="181" w:name="_Toc522201564"/>
      <w:bookmarkStart w:id="182" w:name="_Toc23735"/>
      <w:bookmarkStart w:id="183" w:name="_Toc28117"/>
      <w:bookmarkStart w:id="184" w:name="_Toc406419158"/>
      <w:r>
        <w:rPr>
          <w:rFonts w:hint="eastAsia" w:ascii="宋体" w:hAnsi="宋体" w:cs="宋体"/>
          <w:b/>
          <w:color w:val="auto"/>
          <w:highlight w:val="none"/>
        </w:rPr>
        <w:t>六、合同文件构成</w:t>
      </w:r>
      <w:bookmarkEnd w:id="179"/>
      <w:bookmarkEnd w:id="180"/>
      <w:bookmarkEnd w:id="181"/>
      <w:bookmarkEnd w:id="182"/>
      <w:bookmarkEnd w:id="183"/>
      <w:bookmarkEnd w:id="184"/>
    </w:p>
    <w:p w14:paraId="77025C9E">
      <w:pPr>
        <w:pStyle w:val="40"/>
        <w:adjustRightInd w:val="0"/>
        <w:snapToGrid w:val="0"/>
        <w:spacing w:line="400" w:lineRule="exact"/>
        <w:ind w:firstLine="420" w:firstLineChars="200"/>
        <w:rPr>
          <w:rFonts w:ascii="宋体" w:hAnsi="宋体" w:cs="宋体"/>
          <w:color w:val="auto"/>
          <w:szCs w:val="21"/>
          <w:highlight w:val="none"/>
        </w:rPr>
      </w:pPr>
      <w:bookmarkStart w:id="185" w:name="_Toc406419159"/>
      <w:bookmarkStart w:id="186" w:name="_Toc7021"/>
      <w:bookmarkStart w:id="187" w:name="_Toc406522034"/>
      <w:bookmarkStart w:id="188" w:name="_Toc351203487"/>
      <w:r>
        <w:rPr>
          <w:rFonts w:hint="eastAsia" w:ascii="宋体" w:hAnsi="宋体" w:cs="宋体"/>
          <w:color w:val="auto"/>
          <w:szCs w:val="21"/>
          <w:highlight w:val="none"/>
        </w:rPr>
        <w:t>本协议书与下列文件一起构成合同文件：</w:t>
      </w:r>
    </w:p>
    <w:p w14:paraId="45A61353">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（1）中标通知书（如果有）；</w:t>
      </w:r>
    </w:p>
    <w:p w14:paraId="739E08DA">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0B521EDC">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（3）专用合同条款及其附件；</w:t>
      </w:r>
    </w:p>
    <w:p w14:paraId="540F74C2">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（4）通用合同条款；</w:t>
      </w:r>
    </w:p>
    <w:p w14:paraId="1A817B79">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（5）技术标准和要求；</w:t>
      </w:r>
    </w:p>
    <w:p w14:paraId="19EE5748">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（6）图纸；</w:t>
      </w:r>
    </w:p>
    <w:p w14:paraId="5689908C">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（7）已标价工程量清单或预算书；</w:t>
      </w:r>
    </w:p>
    <w:p w14:paraId="458015D7">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（8）其他合同文件。</w:t>
      </w:r>
    </w:p>
    <w:p w14:paraId="1BD585F7">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44B16A31">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3BD8A13">
      <w:pPr>
        <w:pStyle w:val="41"/>
        <w:adjustRightInd w:val="0"/>
        <w:snapToGrid w:val="0"/>
        <w:spacing w:line="400" w:lineRule="exact"/>
        <w:ind w:firstLine="422"/>
        <w:outlineLvl w:val="0"/>
        <w:rPr>
          <w:rFonts w:ascii="宋体" w:hAnsi="宋体" w:cs="宋体"/>
          <w:b/>
          <w:color w:val="auto"/>
          <w:highlight w:val="none"/>
        </w:rPr>
      </w:pPr>
      <w:bookmarkStart w:id="189" w:name="_Toc23022"/>
      <w:bookmarkStart w:id="190" w:name="_Toc522201565"/>
      <w:r>
        <w:rPr>
          <w:rFonts w:hint="eastAsia" w:ascii="宋体" w:hAnsi="宋体" w:cs="宋体"/>
          <w:b/>
          <w:color w:val="auto"/>
          <w:highlight w:val="none"/>
        </w:rPr>
        <w:t>七、承诺</w:t>
      </w:r>
      <w:bookmarkEnd w:id="185"/>
      <w:bookmarkEnd w:id="186"/>
      <w:bookmarkEnd w:id="187"/>
      <w:bookmarkEnd w:id="188"/>
      <w:bookmarkEnd w:id="189"/>
      <w:bookmarkEnd w:id="190"/>
    </w:p>
    <w:p w14:paraId="3800E430">
      <w:pPr>
        <w:pStyle w:val="40"/>
        <w:adjustRightInd w:val="0"/>
        <w:snapToGrid w:val="0"/>
        <w:spacing w:line="400" w:lineRule="exact"/>
        <w:ind w:firstLine="420" w:firstLineChars="200"/>
        <w:rPr>
          <w:rFonts w:ascii="宋体" w:hAnsi="宋体" w:cs="宋体"/>
          <w:color w:val="auto"/>
          <w:szCs w:val="21"/>
          <w:highlight w:val="none"/>
        </w:rPr>
      </w:pPr>
      <w:bookmarkStart w:id="191" w:name="_Toc351203488"/>
      <w:bookmarkStart w:id="192" w:name="_Toc406522035"/>
      <w:bookmarkStart w:id="193" w:name="_Toc406419160"/>
      <w:bookmarkStart w:id="194" w:name="_Toc11962"/>
      <w:r>
        <w:rPr>
          <w:rFonts w:hint="eastAsia" w:ascii="宋体" w:hAnsi="宋体" w:cs="宋体"/>
          <w:color w:val="auto"/>
          <w:szCs w:val="21"/>
          <w:highlight w:val="none"/>
        </w:rPr>
        <w:t>1.发包人承诺按照法律规定履行项目审批手续、筹集工程建设资金并按照合同约定的期限和方式支付合同价款。</w:t>
      </w:r>
    </w:p>
    <w:p w14:paraId="7ECA3A37">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55AB9CA7">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3.发包人和承包人通过招投标形式签订合同的，双方理解并承诺不再就同一工程另行签订与合同实质性内容相背离的协议。</w:t>
      </w:r>
    </w:p>
    <w:p w14:paraId="2DECC9AA">
      <w:pPr>
        <w:pStyle w:val="41"/>
        <w:adjustRightInd w:val="0"/>
        <w:snapToGrid w:val="0"/>
        <w:spacing w:line="400" w:lineRule="exact"/>
        <w:ind w:firstLine="422"/>
        <w:outlineLvl w:val="0"/>
        <w:rPr>
          <w:rFonts w:ascii="宋体" w:hAnsi="宋体" w:cs="宋体"/>
          <w:b/>
          <w:color w:val="auto"/>
          <w:highlight w:val="none"/>
        </w:rPr>
      </w:pPr>
      <w:bookmarkStart w:id="195" w:name="_Toc522201566"/>
      <w:bookmarkStart w:id="196" w:name="_Toc9465"/>
      <w:r>
        <w:rPr>
          <w:rFonts w:hint="eastAsia" w:ascii="宋体" w:hAnsi="宋体" w:cs="宋体"/>
          <w:b/>
          <w:color w:val="auto"/>
          <w:highlight w:val="none"/>
        </w:rPr>
        <w:t>八、词语含义</w:t>
      </w:r>
      <w:bookmarkEnd w:id="191"/>
      <w:bookmarkEnd w:id="192"/>
      <w:bookmarkEnd w:id="193"/>
      <w:bookmarkEnd w:id="194"/>
      <w:bookmarkEnd w:id="195"/>
      <w:bookmarkEnd w:id="196"/>
    </w:p>
    <w:p w14:paraId="19FD1F8F">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本协议书中词语含义与第二部分通用合同条款中赋予的含义相同。</w:t>
      </w:r>
    </w:p>
    <w:p w14:paraId="55325A86">
      <w:pPr>
        <w:pStyle w:val="41"/>
        <w:adjustRightInd w:val="0"/>
        <w:snapToGrid w:val="0"/>
        <w:spacing w:line="400" w:lineRule="exact"/>
        <w:ind w:firstLine="422"/>
        <w:outlineLvl w:val="0"/>
        <w:rPr>
          <w:rFonts w:ascii="宋体" w:hAnsi="宋体" w:cs="宋体"/>
          <w:b/>
          <w:color w:val="auto"/>
          <w:highlight w:val="none"/>
        </w:rPr>
      </w:pPr>
      <w:bookmarkStart w:id="197" w:name="_Toc522201567"/>
      <w:bookmarkStart w:id="198" w:name="_Toc406419161"/>
      <w:bookmarkStart w:id="199" w:name="_Toc2053"/>
      <w:bookmarkStart w:id="200" w:name="_Toc351203489"/>
      <w:bookmarkStart w:id="201" w:name="_Toc406522036"/>
      <w:bookmarkStart w:id="202" w:name="_Toc22011"/>
      <w:r>
        <w:rPr>
          <w:rFonts w:hint="eastAsia" w:ascii="宋体" w:hAnsi="宋体" w:cs="宋体"/>
          <w:b/>
          <w:color w:val="auto"/>
          <w:highlight w:val="none"/>
        </w:rPr>
        <w:t>九、签订时间</w:t>
      </w:r>
      <w:bookmarkEnd w:id="197"/>
      <w:bookmarkEnd w:id="198"/>
      <w:bookmarkEnd w:id="199"/>
      <w:bookmarkEnd w:id="200"/>
      <w:bookmarkEnd w:id="201"/>
      <w:bookmarkEnd w:id="202"/>
    </w:p>
    <w:p w14:paraId="48C6994B">
      <w:pPr>
        <w:pStyle w:val="40"/>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75DAC55B">
      <w:pPr>
        <w:pStyle w:val="41"/>
        <w:adjustRightInd w:val="0"/>
        <w:snapToGrid w:val="0"/>
        <w:spacing w:line="400" w:lineRule="exact"/>
        <w:ind w:firstLine="422"/>
        <w:outlineLvl w:val="0"/>
        <w:rPr>
          <w:rFonts w:ascii="宋体" w:hAnsi="宋体" w:cs="宋体"/>
          <w:b/>
          <w:color w:val="auto"/>
          <w:highlight w:val="none"/>
        </w:rPr>
      </w:pPr>
      <w:bookmarkStart w:id="203" w:name="_Toc522201568"/>
      <w:bookmarkStart w:id="204" w:name="_Toc31694"/>
      <w:bookmarkStart w:id="205" w:name="_Toc406522037"/>
      <w:bookmarkStart w:id="206" w:name="_Toc3692"/>
      <w:bookmarkStart w:id="207" w:name="_Toc351203490"/>
      <w:bookmarkStart w:id="208" w:name="_Toc406419162"/>
      <w:r>
        <w:rPr>
          <w:rFonts w:hint="eastAsia" w:ascii="宋体" w:hAnsi="宋体" w:cs="宋体"/>
          <w:b/>
          <w:color w:val="auto"/>
          <w:highlight w:val="none"/>
        </w:rPr>
        <w:t>十、签订地点</w:t>
      </w:r>
      <w:bookmarkEnd w:id="203"/>
      <w:bookmarkEnd w:id="204"/>
      <w:bookmarkEnd w:id="205"/>
      <w:bookmarkEnd w:id="206"/>
      <w:bookmarkEnd w:id="207"/>
      <w:bookmarkEnd w:id="208"/>
    </w:p>
    <w:p w14:paraId="1A26CC0F">
      <w:pPr>
        <w:pStyle w:val="40"/>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3FFC6327">
      <w:pPr>
        <w:pStyle w:val="41"/>
        <w:adjustRightInd w:val="0"/>
        <w:snapToGrid w:val="0"/>
        <w:spacing w:line="400" w:lineRule="exact"/>
        <w:ind w:firstLine="422"/>
        <w:outlineLvl w:val="0"/>
        <w:rPr>
          <w:rFonts w:ascii="宋体" w:hAnsi="宋体" w:cs="宋体"/>
          <w:b/>
          <w:color w:val="auto"/>
          <w:highlight w:val="none"/>
        </w:rPr>
      </w:pPr>
      <w:bookmarkStart w:id="209" w:name="_Toc522201569"/>
      <w:bookmarkStart w:id="210" w:name="_Toc351203491"/>
      <w:bookmarkStart w:id="211" w:name="_Toc19804"/>
      <w:bookmarkStart w:id="212" w:name="_Toc9576"/>
      <w:bookmarkStart w:id="213" w:name="_Toc406419163"/>
      <w:bookmarkStart w:id="214" w:name="_Toc406522038"/>
      <w:r>
        <w:rPr>
          <w:rFonts w:hint="eastAsia" w:ascii="宋体" w:hAnsi="宋体" w:cs="宋体"/>
          <w:b/>
          <w:color w:val="auto"/>
          <w:highlight w:val="none"/>
        </w:rPr>
        <w:t>十一、补充协议</w:t>
      </w:r>
      <w:bookmarkEnd w:id="209"/>
      <w:bookmarkEnd w:id="210"/>
      <w:bookmarkEnd w:id="211"/>
      <w:bookmarkEnd w:id="212"/>
      <w:bookmarkEnd w:id="213"/>
      <w:bookmarkEnd w:id="214"/>
    </w:p>
    <w:p w14:paraId="3A362678">
      <w:pPr>
        <w:pStyle w:val="40"/>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4C151DA8">
      <w:pPr>
        <w:pStyle w:val="41"/>
        <w:adjustRightInd w:val="0"/>
        <w:snapToGrid w:val="0"/>
        <w:spacing w:line="400" w:lineRule="exact"/>
        <w:ind w:firstLine="422"/>
        <w:outlineLvl w:val="0"/>
        <w:rPr>
          <w:rFonts w:ascii="宋体" w:hAnsi="宋体" w:cs="宋体"/>
          <w:b/>
          <w:color w:val="auto"/>
          <w:highlight w:val="none"/>
        </w:rPr>
      </w:pPr>
      <w:bookmarkStart w:id="215" w:name="_Toc1768"/>
      <w:bookmarkStart w:id="216" w:name="_Toc351203492"/>
      <w:bookmarkStart w:id="217" w:name="_Toc406522039"/>
      <w:bookmarkStart w:id="218" w:name="_Toc522201570"/>
      <w:bookmarkStart w:id="219" w:name="_Toc32443"/>
      <w:bookmarkStart w:id="220" w:name="_Toc406419164"/>
      <w:r>
        <w:rPr>
          <w:rFonts w:hint="eastAsia" w:ascii="宋体" w:hAnsi="宋体" w:cs="宋体"/>
          <w:b/>
          <w:color w:val="auto"/>
          <w:highlight w:val="none"/>
        </w:rPr>
        <w:t>十二、合同生效</w:t>
      </w:r>
      <w:bookmarkEnd w:id="215"/>
      <w:bookmarkEnd w:id="216"/>
      <w:bookmarkEnd w:id="217"/>
      <w:bookmarkEnd w:id="218"/>
      <w:bookmarkEnd w:id="219"/>
      <w:bookmarkEnd w:id="220"/>
    </w:p>
    <w:p w14:paraId="5F95AAEE">
      <w:pPr>
        <w:pStyle w:val="40"/>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双方法定代表人或其委托代理人签字或盖章并加盖单位</w:t>
      </w:r>
      <w:r>
        <w:rPr>
          <w:rFonts w:hint="eastAsia" w:ascii="宋体" w:hAnsi="宋体" w:cs="宋体"/>
          <w:color w:val="auto"/>
          <w:szCs w:val="21"/>
          <w:highlight w:val="none"/>
          <w:u w:val="single"/>
          <w:lang w:eastAsia="zh-CN"/>
        </w:rPr>
        <w:t>公</w:t>
      </w:r>
      <w:r>
        <w:rPr>
          <w:rFonts w:hint="eastAsia" w:ascii="宋体" w:hAnsi="宋体" w:cs="宋体"/>
          <w:color w:val="auto"/>
          <w:szCs w:val="21"/>
          <w:highlight w:val="none"/>
          <w:u w:val="single"/>
        </w:rPr>
        <w:t>章后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58F50B81">
      <w:pPr>
        <w:pStyle w:val="41"/>
        <w:adjustRightInd w:val="0"/>
        <w:snapToGrid w:val="0"/>
        <w:spacing w:line="400" w:lineRule="exact"/>
        <w:ind w:firstLine="422"/>
        <w:outlineLvl w:val="0"/>
        <w:rPr>
          <w:rFonts w:ascii="宋体" w:hAnsi="宋体" w:cs="宋体"/>
          <w:b/>
          <w:color w:val="auto"/>
          <w:highlight w:val="none"/>
        </w:rPr>
      </w:pPr>
      <w:bookmarkStart w:id="221" w:name="_Toc406522040"/>
      <w:bookmarkStart w:id="222" w:name="_Toc406419165"/>
      <w:bookmarkStart w:id="223" w:name="_Toc28880"/>
      <w:bookmarkStart w:id="224" w:name="_Toc522201571"/>
      <w:bookmarkStart w:id="225" w:name="_Toc351203493"/>
      <w:bookmarkStart w:id="226" w:name="_Toc14945"/>
      <w:r>
        <w:rPr>
          <w:rFonts w:hint="eastAsia" w:ascii="宋体" w:hAnsi="宋体" w:cs="宋体"/>
          <w:b/>
          <w:color w:val="auto"/>
          <w:highlight w:val="none"/>
        </w:rPr>
        <w:t>十三、合同份数</w:t>
      </w:r>
      <w:bookmarkEnd w:id="221"/>
      <w:bookmarkEnd w:id="222"/>
      <w:bookmarkEnd w:id="223"/>
      <w:bookmarkEnd w:id="224"/>
      <w:bookmarkEnd w:id="225"/>
      <w:bookmarkEnd w:id="226"/>
    </w:p>
    <w:p w14:paraId="59845114">
      <w:pPr>
        <w:pStyle w:val="40"/>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份，招标代理机构执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71477137">
      <w:pPr>
        <w:pStyle w:val="40"/>
        <w:adjustRightInd w:val="0"/>
        <w:snapToGrid w:val="0"/>
        <w:spacing w:line="400" w:lineRule="exact"/>
        <w:ind w:firstLine="420" w:firstLineChars="200"/>
        <w:rPr>
          <w:rFonts w:ascii="宋体" w:hAnsi="宋体" w:cs="宋体"/>
          <w:bCs/>
          <w:color w:val="auto"/>
          <w:szCs w:val="21"/>
          <w:highlight w:val="none"/>
        </w:rPr>
      </w:pPr>
    </w:p>
    <w:tbl>
      <w:tblPr>
        <w:tblStyle w:val="30"/>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14:paraId="0528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025DF965">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发包人：（公章）</w:t>
            </w:r>
          </w:p>
          <w:p w14:paraId="3C8EA290">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c>
          <w:tcPr>
            <w:tcW w:w="4597" w:type="dxa"/>
            <w:noWrap w:val="0"/>
            <w:vAlign w:val="top"/>
          </w:tcPr>
          <w:p w14:paraId="520D8B05">
            <w:pPr>
              <w:spacing w:line="360" w:lineRule="auto"/>
              <w:rPr>
                <w:rFonts w:hint="eastAsia"/>
                <w:color w:val="auto"/>
                <w:highlight w:val="none"/>
                <w:lang w:val="en-US" w:eastAsia="zh-CN"/>
              </w:rPr>
            </w:pPr>
            <w:r>
              <w:rPr>
                <w:rFonts w:hint="eastAsia"/>
                <w:color w:val="auto"/>
                <w:highlight w:val="none"/>
                <w:lang w:val="en-US" w:eastAsia="zh-CN"/>
              </w:rPr>
              <w:t>承包人：（公章）</w:t>
            </w:r>
          </w:p>
          <w:p w14:paraId="2C3DDFE5">
            <w:pPr>
              <w:pStyle w:val="11"/>
              <w:rPr>
                <w:rFonts w:hint="eastAsia"/>
                <w:color w:val="auto"/>
                <w:highlight w:val="none"/>
                <w:lang w:val="en-US" w:eastAsia="zh-CN"/>
              </w:rPr>
            </w:pPr>
          </w:p>
        </w:tc>
      </w:tr>
      <w:tr w14:paraId="7B48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21CBF2F5">
            <w:pPr>
              <w:spacing w:line="360" w:lineRule="auto"/>
              <w:rPr>
                <w:rFonts w:hint="eastAsia" w:ascii="宋体" w:hAnsi="宋体" w:eastAsia="宋体" w:cs="宋体"/>
                <w:color w:val="auto"/>
                <w:kern w:val="0"/>
                <w:sz w:val="21"/>
                <w:szCs w:val="21"/>
                <w:highlight w:val="none"/>
                <w:u w:val="none"/>
                <w:lang w:val="en-US" w:eastAsia="zh-CN"/>
              </w:rPr>
            </w:pPr>
          </w:p>
        </w:tc>
        <w:tc>
          <w:tcPr>
            <w:tcW w:w="4597" w:type="dxa"/>
            <w:noWrap w:val="0"/>
            <w:vAlign w:val="top"/>
          </w:tcPr>
          <w:p w14:paraId="5F375385">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r>
      <w:tr w14:paraId="7796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652BA0B">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hAnsi="宋体" w:cs="宋体"/>
                <w:color w:val="auto"/>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14:paraId="58828D47">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c>
          <w:tcPr>
            <w:tcW w:w="4597" w:type="dxa"/>
            <w:noWrap w:val="0"/>
            <w:vAlign w:val="top"/>
          </w:tcPr>
          <w:p w14:paraId="632CE8BD">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hAnsi="宋体" w:cs="宋体"/>
                <w:color w:val="auto"/>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14:paraId="6D47196A">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r>
      <w:tr w14:paraId="741E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noWrap w:val="0"/>
            <w:vAlign w:val="top"/>
          </w:tcPr>
          <w:p w14:paraId="4B5747D8">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统一社会信用代码：</w:t>
            </w:r>
          </w:p>
        </w:tc>
        <w:tc>
          <w:tcPr>
            <w:tcW w:w="4597" w:type="dxa"/>
            <w:noWrap w:val="0"/>
            <w:vAlign w:val="top"/>
          </w:tcPr>
          <w:p w14:paraId="0A17C9E6">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统一社会信用代码： </w:t>
            </w:r>
          </w:p>
        </w:tc>
      </w:tr>
      <w:tr w14:paraId="209B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13B9CB1">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p>
        </w:tc>
        <w:tc>
          <w:tcPr>
            <w:tcW w:w="4597" w:type="dxa"/>
            <w:noWrap w:val="0"/>
            <w:vAlign w:val="top"/>
          </w:tcPr>
          <w:p w14:paraId="1B5A7041">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r>
              <w:rPr>
                <w:rFonts w:hint="eastAsia" w:ascii="宋体" w:hAnsi="宋体" w:eastAsia="宋体" w:cs="宋体"/>
                <w:color w:val="auto"/>
                <w:sz w:val="21"/>
                <w:szCs w:val="21"/>
                <w:highlight w:val="none"/>
                <w:u w:val="none"/>
                <w:lang w:val="en-US" w:eastAsia="zh-CN"/>
              </w:rPr>
              <w:t xml:space="preserve"> </w:t>
            </w:r>
          </w:p>
        </w:tc>
      </w:tr>
      <w:tr w14:paraId="166B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8118454">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邮政编码：</w:t>
            </w:r>
          </w:p>
        </w:tc>
        <w:tc>
          <w:tcPr>
            <w:tcW w:w="4597" w:type="dxa"/>
            <w:noWrap w:val="0"/>
            <w:vAlign w:val="top"/>
          </w:tcPr>
          <w:p w14:paraId="609BCE5F">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邮政编码： </w:t>
            </w:r>
          </w:p>
        </w:tc>
      </w:tr>
      <w:tr w14:paraId="4AA5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DF8B0A7">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c>
          <w:tcPr>
            <w:tcW w:w="4597" w:type="dxa"/>
            <w:noWrap w:val="0"/>
            <w:vAlign w:val="top"/>
          </w:tcPr>
          <w:p w14:paraId="1C743B80">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r>
      <w:tr w14:paraId="32BC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1222268">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电话：</w:t>
            </w:r>
          </w:p>
        </w:tc>
        <w:tc>
          <w:tcPr>
            <w:tcW w:w="4597" w:type="dxa"/>
            <w:noWrap w:val="0"/>
            <w:vAlign w:val="top"/>
          </w:tcPr>
          <w:p w14:paraId="2B1D49AB">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电话： </w:t>
            </w:r>
          </w:p>
        </w:tc>
      </w:tr>
      <w:tr w14:paraId="54EC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9A44BB8">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传真：</w:t>
            </w:r>
          </w:p>
        </w:tc>
        <w:tc>
          <w:tcPr>
            <w:tcW w:w="4597" w:type="dxa"/>
            <w:noWrap w:val="0"/>
            <w:vAlign w:val="top"/>
          </w:tcPr>
          <w:p w14:paraId="2371402D">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传真： </w:t>
            </w:r>
          </w:p>
        </w:tc>
      </w:tr>
      <w:tr w14:paraId="052B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0AAB7DE4">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电子信箱：</w:t>
            </w:r>
          </w:p>
        </w:tc>
        <w:tc>
          <w:tcPr>
            <w:tcW w:w="4597" w:type="dxa"/>
            <w:noWrap w:val="0"/>
            <w:vAlign w:val="top"/>
          </w:tcPr>
          <w:p w14:paraId="77435788">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电子信箱： </w:t>
            </w:r>
          </w:p>
        </w:tc>
      </w:tr>
      <w:tr w14:paraId="4DA8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01E0A7B">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开户银行：</w:t>
            </w:r>
          </w:p>
        </w:tc>
        <w:tc>
          <w:tcPr>
            <w:tcW w:w="4597" w:type="dxa"/>
            <w:noWrap w:val="0"/>
            <w:vAlign w:val="top"/>
          </w:tcPr>
          <w:p w14:paraId="11E67561">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开户银行： </w:t>
            </w:r>
          </w:p>
        </w:tc>
      </w:tr>
      <w:tr w14:paraId="24A6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B321BC3">
            <w:pPr>
              <w:spacing w:line="360" w:lineRule="auto"/>
              <w:rPr>
                <w:rFonts w:hint="default"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c>
          <w:tcPr>
            <w:tcW w:w="4597" w:type="dxa"/>
            <w:noWrap w:val="0"/>
            <w:vAlign w:val="top"/>
          </w:tcPr>
          <w:p w14:paraId="6A9BB599">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r>
      <w:tr w14:paraId="6D98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74D5661">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账号：</w:t>
            </w:r>
          </w:p>
        </w:tc>
        <w:tc>
          <w:tcPr>
            <w:tcW w:w="4597" w:type="dxa"/>
            <w:noWrap w:val="0"/>
            <w:vAlign w:val="top"/>
          </w:tcPr>
          <w:p w14:paraId="3FA9E472">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 xml:space="preserve">账号： </w:t>
            </w:r>
          </w:p>
        </w:tc>
      </w:tr>
    </w:tbl>
    <w:p w14:paraId="2AC45336">
      <w:pPr>
        <w:pStyle w:val="40"/>
        <w:adjustRightInd w:val="0"/>
        <w:snapToGrid w:val="0"/>
        <w:spacing w:line="400" w:lineRule="exact"/>
        <w:jc w:val="center"/>
        <w:rPr>
          <w:rFonts w:ascii="宋体" w:hAnsi="宋体" w:cs="宋体"/>
          <w:b/>
          <w:bCs/>
          <w:color w:val="auto"/>
          <w:szCs w:val="21"/>
          <w:highlight w:val="none"/>
        </w:rPr>
      </w:pPr>
    </w:p>
    <w:p w14:paraId="19125DC9">
      <w:pPr>
        <w:pStyle w:val="38"/>
        <w:jc w:val="center"/>
        <w:rPr>
          <w:rFonts w:eastAsia="黑体"/>
          <w:b w:val="0"/>
          <w:bCs w:val="0"/>
          <w:color w:val="auto"/>
          <w:sz w:val="32"/>
          <w:szCs w:val="32"/>
          <w:highlight w:val="none"/>
        </w:rPr>
      </w:pPr>
      <w:r>
        <w:rPr>
          <w:b w:val="0"/>
          <w:bCs w:val="0"/>
          <w:color w:val="auto"/>
          <w:highlight w:val="none"/>
        </w:rPr>
        <w:br w:type="page"/>
      </w:r>
      <w:bookmarkStart w:id="227" w:name="_Toc522201572"/>
      <w:bookmarkStart w:id="228" w:name="_Toc19427"/>
      <w:bookmarkStart w:id="229" w:name="_Toc256000032"/>
      <w:bookmarkStart w:id="230" w:name="_Toc351203494"/>
      <w:bookmarkStart w:id="231" w:name="_Toc2370"/>
      <w:r>
        <w:rPr>
          <w:rFonts w:ascii="宋体"/>
          <w:color w:val="auto"/>
          <w:sz w:val="32"/>
          <w:highlight w:val="none"/>
        </w:rPr>
        <w:t>第二部分 通用合同条款</w:t>
      </w:r>
      <w:bookmarkEnd w:id="227"/>
      <w:bookmarkEnd w:id="228"/>
      <w:bookmarkEnd w:id="229"/>
      <w:bookmarkEnd w:id="230"/>
      <w:bookmarkEnd w:id="231"/>
      <w:bookmarkStart w:id="232" w:name="_Toc337558727"/>
    </w:p>
    <w:bookmarkEnd w:id="232"/>
    <w:p w14:paraId="1697044B">
      <w:pPr>
        <w:pStyle w:val="6"/>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b w:val="0"/>
          <w:bCs w:val="0"/>
          <w:color w:val="auto"/>
          <w:sz w:val="28"/>
          <w:szCs w:val="28"/>
          <w:highlight w:val="none"/>
        </w:rPr>
      </w:pPr>
      <w:bookmarkStart w:id="233" w:name="_Toc16978"/>
    </w:p>
    <w:p w14:paraId="281F7E81">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234" w:name="_Toc351203495"/>
      <w:r>
        <w:rPr>
          <w:rFonts w:hint="eastAsia" w:ascii="宋体" w:hAnsi="宋体" w:eastAsia="宋体" w:cs="宋体"/>
          <w:b w:val="0"/>
          <w:color w:val="auto"/>
          <w:sz w:val="21"/>
          <w:szCs w:val="21"/>
          <w:highlight w:val="none"/>
        </w:rPr>
        <w:t>1.</w:t>
      </w:r>
      <w:bookmarkStart w:id="235" w:name="_Toc303538974"/>
      <w:bookmarkEnd w:id="235"/>
      <w:bookmarkStart w:id="236" w:name="_Toc303538975"/>
      <w:bookmarkEnd w:id="236"/>
      <w:bookmarkStart w:id="237" w:name="_Toc303538973"/>
      <w:bookmarkEnd w:id="237"/>
      <w:bookmarkStart w:id="238" w:name="_Toc303538976"/>
      <w:bookmarkEnd w:id="238"/>
      <w:bookmarkStart w:id="239" w:name="_Toc303538972"/>
      <w:bookmarkEnd w:id="239"/>
      <w:bookmarkStart w:id="240" w:name="_Toc296346528"/>
      <w:bookmarkStart w:id="241" w:name="_Toc296503027"/>
      <w:r>
        <w:rPr>
          <w:rFonts w:hint="eastAsia" w:ascii="宋体" w:hAnsi="宋体" w:eastAsia="宋体" w:cs="宋体"/>
          <w:b w:val="0"/>
          <w:color w:val="auto"/>
          <w:sz w:val="21"/>
          <w:szCs w:val="21"/>
          <w:highlight w:val="none"/>
        </w:rPr>
        <w:t xml:space="preserve"> 一般约定</w:t>
      </w:r>
      <w:bookmarkEnd w:id="234"/>
      <w:bookmarkEnd w:id="240"/>
      <w:bookmarkEnd w:id="241"/>
    </w:p>
    <w:p w14:paraId="4B745309">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42" w:name="_Toc296346529"/>
      <w:bookmarkStart w:id="243" w:name="_Toc296503028"/>
      <w:bookmarkStart w:id="244" w:name="_Toc337558728"/>
      <w:bookmarkStart w:id="245" w:name="_Toc351203496"/>
      <w:r>
        <w:rPr>
          <w:rFonts w:hint="eastAsia" w:ascii="宋体" w:hAnsi="宋体" w:eastAsia="宋体" w:cs="宋体"/>
          <w:b w:val="0"/>
          <w:color w:val="auto"/>
          <w:sz w:val="21"/>
          <w:szCs w:val="21"/>
          <w:highlight w:val="none"/>
        </w:rPr>
        <w:t>1.1词语定义</w:t>
      </w:r>
      <w:bookmarkEnd w:id="242"/>
      <w:bookmarkEnd w:id="243"/>
      <w:bookmarkEnd w:id="244"/>
      <w:r>
        <w:rPr>
          <w:rFonts w:hint="eastAsia" w:ascii="宋体" w:hAnsi="宋体" w:eastAsia="宋体" w:cs="宋体"/>
          <w:b w:val="0"/>
          <w:color w:val="auto"/>
          <w:sz w:val="21"/>
          <w:szCs w:val="21"/>
          <w:highlight w:val="none"/>
        </w:rPr>
        <w:t>与解释</w:t>
      </w:r>
      <w:bookmarkEnd w:id="245"/>
    </w:p>
    <w:p w14:paraId="28B454F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合同协议书、通用合同条款、专用合同条款中的下列词语具有本款所赋予的含义：</w:t>
      </w:r>
    </w:p>
    <w:p w14:paraId="5F3A2950">
      <w:pPr>
        <w:pageBreakBefore w:val="0"/>
        <w:kinsoku/>
        <w:wordWrap/>
        <w:overflowPunct/>
        <w:topLinePunct w:val="0"/>
        <w:autoSpaceDE w:val="0"/>
        <w:autoSpaceDN w:val="0"/>
        <w:bidi w:val="0"/>
        <w:adjustRightInd w:val="0"/>
        <w:snapToGrid/>
        <w:spacing w:line="390" w:lineRule="exact"/>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1.1.1 合同</w:t>
      </w:r>
    </w:p>
    <w:p w14:paraId="04B544C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1"/>
          <w:szCs w:val="21"/>
          <w:highlight w:val="none"/>
        </w:rPr>
        <w:t>及其附件</w:t>
      </w:r>
      <w:r>
        <w:rPr>
          <w:rFonts w:hint="eastAsia" w:ascii="宋体" w:hAnsi="宋体" w:eastAsia="宋体" w:cs="宋体"/>
          <w:color w:val="auto"/>
          <w:kern w:val="0"/>
          <w:sz w:val="21"/>
          <w:szCs w:val="21"/>
          <w:highlight w:val="none"/>
        </w:rPr>
        <w:t>、通用合同条款、技术标准和要求、图纸、已标价工程量清单或预算书以及其他合同文件。</w:t>
      </w:r>
    </w:p>
    <w:p w14:paraId="010A8C1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合同协议书：是指构成合同的由发包人和承包人共同签署的称为“合同协议书”的书面文件。</w:t>
      </w:r>
    </w:p>
    <w:p w14:paraId="51392B2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1.1.1.3 中标通知书：是指构成合同的由发包人通知承包人中标的书面文件。</w:t>
      </w:r>
    </w:p>
    <w:p w14:paraId="23B5C9C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投标函：是指构成合同的由承包人填写并签署的用于投标的称为“投标函”的文件。</w:t>
      </w:r>
    </w:p>
    <w:p w14:paraId="3B671EC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1.1.1.5 投标函附录：是指构成合同的附在投标函后的称为“投标函附录”的文件。</w:t>
      </w:r>
    </w:p>
    <w:p w14:paraId="35A2EFA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1.1.1.6 技术标准和要求：是指构成合同的施工应当遵守的或指导施工的国家、行业或地方的技术标准和要求，以及合同约定的技术标准和要求。</w:t>
      </w:r>
    </w:p>
    <w:p w14:paraId="1359310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97313A4">
      <w:pPr>
        <w:pageBreakBefore w:val="0"/>
        <w:kinsoku/>
        <w:wordWrap/>
        <w:overflowPunct/>
        <w:topLinePunct w:val="0"/>
        <w:autoSpaceDE w:val="0"/>
        <w:autoSpaceDN w:val="0"/>
        <w:bidi w:val="0"/>
        <w:adjustRightInd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1.1.1.8 已标价工程量清单：是指构成合同的由承包人按照规定的格式和要求填写并标明价格的工程量清单，包括说明和表格。</w:t>
      </w:r>
    </w:p>
    <w:p w14:paraId="262079EB">
      <w:pPr>
        <w:pageBreakBefore w:val="0"/>
        <w:kinsoku/>
        <w:wordWrap/>
        <w:overflowPunct/>
        <w:topLinePunct w:val="0"/>
        <w:autoSpaceDE w:val="0"/>
        <w:autoSpaceDN w:val="0"/>
        <w:bidi w:val="0"/>
        <w:adjustRightInd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1.1.1.9 预算书：是指构成合同的由承包人按照发包人规定的格式和要求编制的工程预算文件。</w:t>
      </w:r>
    </w:p>
    <w:p w14:paraId="7AFB041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1.1.1.10 其他合同文件：是指经合同当事人约定的与工程施工有关的具有合同约束力的文件或书面协议。合同当事人可以在专用合同条款中进行约定。</w:t>
      </w:r>
    </w:p>
    <w:p w14:paraId="638BDB78">
      <w:pPr>
        <w:pageBreakBefore w:val="0"/>
        <w:kinsoku/>
        <w:wordWrap/>
        <w:overflowPunct/>
        <w:topLinePunct w:val="0"/>
        <w:autoSpaceDE w:val="0"/>
        <w:autoSpaceDN w:val="0"/>
        <w:bidi w:val="0"/>
        <w:adjustRightInd w:val="0"/>
        <w:snapToGrid/>
        <w:spacing w:line="390" w:lineRule="exact"/>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1.1.2 合同当事人及其他相关方</w:t>
      </w:r>
    </w:p>
    <w:p w14:paraId="1420254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1.1.2.1 合同当事人：是指发包人和（或）承包人。</w:t>
      </w:r>
    </w:p>
    <w:p w14:paraId="17C46D8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1.1.2.2 发包人：是指与承包人签订合同协议书的当事人及取得该当事人资格的合法继承人。</w:t>
      </w:r>
    </w:p>
    <w:p w14:paraId="796A9FD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1.1.2.3 承包人：是指与发包人签订合同协议书的，具有相应工程施工承包资质的当事人及取得该当事人资格的合法继承人。</w:t>
      </w:r>
    </w:p>
    <w:p w14:paraId="4BE2C63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1.1.2.4 监理人：是指在专用合同条款中指明的，受发包人委托按照法律规定进行工程监督管理的法人或其他组织。</w:t>
      </w:r>
    </w:p>
    <w:p w14:paraId="2944389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1.1.2.5 设计人：是指在专用合同条款中指明的，受发包人委托负责工程设计并具备相应工程设计资质的法人或其他组织。</w:t>
      </w:r>
    </w:p>
    <w:p w14:paraId="22FB652A">
      <w:pPr>
        <w:pageBreakBefore w:val="0"/>
        <w:kinsoku/>
        <w:wordWrap/>
        <w:overflowPunct/>
        <w:topLinePunct w:val="0"/>
        <w:bidi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1.1.2.6 分包人：</w:t>
      </w:r>
      <w:bookmarkStart w:id="246" w:name="#go5"/>
      <w:bookmarkEnd w:id="246"/>
      <w:r>
        <w:rPr>
          <w:rFonts w:hint="eastAsia" w:ascii="宋体" w:hAnsi="宋体" w:eastAsia="宋体" w:cs="宋体"/>
          <w:color w:val="auto"/>
          <w:kern w:val="0"/>
          <w:sz w:val="21"/>
          <w:szCs w:val="21"/>
          <w:highlight w:val="none"/>
        </w:rPr>
        <w:t>是指按照法律规定和合同约定，分包部分工程或工作，并与承包人签订分包合同的具有相应资质的法人。</w:t>
      </w:r>
    </w:p>
    <w:p w14:paraId="20AB067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1.1.2.7 发包人代表：是指由发包人任命并派驻施工现场在发包人授权范围内行使发包人权利的人。</w:t>
      </w:r>
    </w:p>
    <w:p w14:paraId="2B622E4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1.1.2.8 项目经理：是指由承包人任命并派驻施工现场，在承包人授权范围内负责合同履行，且按照法律规定具有相应资格的项目负责人。</w:t>
      </w:r>
    </w:p>
    <w:p w14:paraId="41988DE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1.1.2.9 总监理工程师：是指由监理人任命并派驻施工现场进行工程监理的总负责人。</w:t>
      </w:r>
    </w:p>
    <w:p w14:paraId="5D0BBD9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工程和设备</w:t>
      </w:r>
    </w:p>
    <w:p w14:paraId="7FD6966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 工程：是指与合同协议书中工程承包范围对应的永久工程和（或）临时工程。</w:t>
      </w:r>
    </w:p>
    <w:p w14:paraId="2E40A4B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1.1.3.2 永久工程：是指按合同约定建造并移交给发包人的工程，包括工程设备。</w:t>
      </w:r>
    </w:p>
    <w:p w14:paraId="4669908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1.1.3.3 临时工程：是指为完成合同约定的永久工程所修建的各类临时性工程，不包括施工设备。</w:t>
      </w:r>
    </w:p>
    <w:p w14:paraId="11F7F7A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1.1.3.4 单位工程：是指在合同协议书中指明的，具备独立施工条件并能形成独立使用功能的永久工程。</w:t>
      </w:r>
    </w:p>
    <w:p w14:paraId="0205CAA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1.1.3.5 工程设备：是指构成永久工程的机电设备、金属结构设备、仪器及其他类似的设备和装置。</w:t>
      </w:r>
    </w:p>
    <w:p w14:paraId="4F5BF27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1.1.3.6 施工设备：是指为完成合同约定的各项工作所需的设备、器具和其他物品，但不包括工程设备、临时工程和材料。</w:t>
      </w:r>
    </w:p>
    <w:p w14:paraId="6CD0674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1.1.3.7 施工现场：是指用于工程施工的场所，以及在专用合同条款中指明作为施工场所组成部分的其他场所，包括永久占地和临时占地。</w:t>
      </w:r>
    </w:p>
    <w:p w14:paraId="47938EA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1.1.3.8临时设施：是指为完成合同约定的各项工作所服务的临时性生产和生活设施。</w:t>
      </w:r>
    </w:p>
    <w:p w14:paraId="2DD35F3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永久占地：是指专用合同条款中指明为实施工程需永久占用的土地。</w:t>
      </w:r>
    </w:p>
    <w:p w14:paraId="60EB137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1.1.3.10 临时占地：是指专用合同条款中指明为实施工程需要临时占用的土地。</w:t>
      </w:r>
    </w:p>
    <w:p w14:paraId="130DCE4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日期和期限</w:t>
      </w:r>
    </w:p>
    <w:p w14:paraId="30C942D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2829FA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1.1.4.2 竣工日期：包括计划竣工日期和实际竣工日期。计划竣工日期是指合同协议书约定的竣工日期；实际竣工日期按照第13.2.3项〔竣工日期〕的约定确定。 </w:t>
      </w:r>
    </w:p>
    <w:p w14:paraId="5DD0701D">
      <w:pPr>
        <w:pageBreakBefore w:val="0"/>
        <w:kinsoku/>
        <w:wordWrap/>
        <w:overflowPunct/>
        <w:topLinePunct w:val="0"/>
        <w:bidi w:val="0"/>
        <w:snapToGrid/>
        <w:spacing w:line="390" w:lineRule="exact"/>
        <w:ind w:left="0"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1.1.4.3 工期：是指在合同协议书约定的承包人完成工程所需的期限，包括按照合同约定所作的期限变更。</w:t>
      </w:r>
    </w:p>
    <w:p w14:paraId="4DB7FC9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1.1.4.4 缺陷责任期：是指承包人按照合同约定承担缺陷修复义务，且发包人预留质量保证金（已缴纳履约保证金的除外）的期限，自工程实际竣工日期起计算。</w:t>
      </w:r>
    </w:p>
    <w:p w14:paraId="4F612D5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1.1.4.5 保修期：是指承包人按照合同约定对工程承担保修责任的期限，从工程竣工验收合格之日起计算。</w:t>
      </w:r>
    </w:p>
    <w:p w14:paraId="6005950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1.1.4.6 基准日期：招标发包的工程以投标截止日前28天的日期为基准日期，直接发包的工程以合同签订日前28天的日期为基准日期。</w:t>
      </w:r>
    </w:p>
    <w:p w14:paraId="22C5A68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1.1.4.7 天：除特别指明外，均指日历天。合同中按天计算时间的，开始当天不计入，从次日开始计算，期限最后一天的截止时间为当天24:00时。</w:t>
      </w:r>
    </w:p>
    <w:p w14:paraId="7D3D08C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 合同价格和费用</w:t>
      </w:r>
    </w:p>
    <w:p w14:paraId="5A0FF08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1.1.5.1 签约合同价：是指</w:t>
      </w:r>
      <w:r>
        <w:rPr>
          <w:rFonts w:hint="eastAsia" w:ascii="宋体" w:hAnsi="宋体" w:eastAsia="宋体" w:cs="宋体"/>
          <w:color w:val="auto"/>
          <w:sz w:val="21"/>
          <w:szCs w:val="21"/>
          <w:highlight w:val="none"/>
        </w:rPr>
        <w:t>发包人和承包人在合同协议书中确定的总金额，包括安全文明施工费、暂估价及暂列金额等。</w:t>
      </w:r>
    </w:p>
    <w:p w14:paraId="09401B1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1.1.5.2 合同价格：是指发包人用于支付承包人按照合同约定完成承包范围内全部工作的金额，包括合同履行过程中按合同约定发生的价格变化。</w:t>
      </w:r>
    </w:p>
    <w:p w14:paraId="1DEE184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1.1.5.3 费用：是指为履行合同所发生的或将要发生的所有必需的开支，包括管理费和应分摊的其他费用，但不包括利润。</w:t>
      </w:r>
    </w:p>
    <w:p w14:paraId="3EFB3B6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1.1.5.4 暂估价：是指发包人在工程量清单或预算书中提供的用于支付必然发生但暂时不能确定价格的材料、工程设备的单价、专业工程以及服务工作的金额。</w:t>
      </w:r>
    </w:p>
    <w:p w14:paraId="2AAE46F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99C0BF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1.1.5.6 计日工：是指合同履行过程中，承包人完成发包人提出的零星工作或需要采用计日工计价的变更工作时，按合同中约定的单价计价的一种方式。</w:t>
      </w:r>
    </w:p>
    <w:p w14:paraId="078043D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1.1.5.7 质量保证金</w:t>
      </w:r>
      <w:bookmarkStart w:id="247" w:name="#go2"/>
      <w:bookmarkEnd w:id="247"/>
      <w:r>
        <w:rPr>
          <w:rFonts w:hint="eastAsia" w:ascii="宋体" w:hAnsi="宋体" w:eastAsia="宋体" w:cs="宋体"/>
          <w:color w:val="auto"/>
          <w:kern w:val="0"/>
          <w:sz w:val="21"/>
          <w:szCs w:val="21"/>
          <w:highlight w:val="none"/>
        </w:rPr>
        <w:t>：是指按照第15.3款〔质量保证金〕约定承包人用于保证其在缺陷责任期内履行缺陷修补义务的担保</w:t>
      </w:r>
      <w:r>
        <w:rPr>
          <w:rFonts w:hint="eastAsia" w:ascii="宋体" w:hAnsi="宋体" w:eastAsia="宋体" w:cs="宋体"/>
          <w:color w:val="auto"/>
          <w:sz w:val="21"/>
          <w:szCs w:val="21"/>
          <w:highlight w:val="none"/>
        </w:rPr>
        <w:t>。</w:t>
      </w:r>
    </w:p>
    <w:p w14:paraId="46CA4BB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1.1.5.8 总价项目：是指在现行国家、行业以及地方的计量规则中无工程量计算规则，在已标价工程量清单或预算书中以总价或以费率形式计算的项目。</w:t>
      </w:r>
    </w:p>
    <w:p w14:paraId="4B4ABDD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其他</w:t>
      </w:r>
    </w:p>
    <w:p w14:paraId="048CE13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1.1.6.1 书面形式：是指合同文件、信函、电报、传真等可以有形地表现所载内容的形式。</w:t>
      </w:r>
    </w:p>
    <w:p w14:paraId="79C28D8B">
      <w:pPr>
        <w:pStyle w:val="8"/>
        <w:pageBreakBefore w:val="0"/>
        <w:kinsoku/>
        <w:wordWrap/>
        <w:overflowPunct/>
        <w:topLinePunct w:val="0"/>
        <w:bidi w:val="0"/>
        <w:snapToGrid/>
        <w:spacing w:before="0" w:after="0" w:line="390" w:lineRule="exact"/>
        <w:ind w:left="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248" w:name="_Toc337558729"/>
      <w:bookmarkStart w:id="249" w:name="_Toc351203497"/>
      <w:bookmarkStart w:id="250" w:name="_Toc296346530"/>
      <w:bookmarkStart w:id="251" w:name="_Toc296503029"/>
      <w:r>
        <w:rPr>
          <w:rFonts w:hint="eastAsia" w:ascii="宋体" w:hAnsi="宋体" w:eastAsia="宋体" w:cs="宋体"/>
          <w:b w:val="0"/>
          <w:color w:val="auto"/>
          <w:sz w:val="21"/>
          <w:szCs w:val="21"/>
          <w:highlight w:val="none"/>
        </w:rPr>
        <w:t>1.2语言文字</w:t>
      </w:r>
      <w:bookmarkEnd w:id="248"/>
      <w:bookmarkEnd w:id="249"/>
      <w:bookmarkEnd w:id="250"/>
      <w:bookmarkEnd w:id="251"/>
    </w:p>
    <w:p w14:paraId="6947C44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合同以中国的汉语简体文字编写、解释和说明。合同当事人在专用合同条款中约定使用两种以上语言时，汉语为优先解释和说明合同的语言。</w:t>
      </w:r>
    </w:p>
    <w:p w14:paraId="1516179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52" w:name="_Toc337558730"/>
      <w:bookmarkStart w:id="253" w:name="_Toc296503030"/>
      <w:bookmarkStart w:id="254" w:name="_Toc351203498"/>
      <w:bookmarkStart w:id="255" w:name="_Toc296346531"/>
      <w:r>
        <w:rPr>
          <w:rFonts w:hint="eastAsia" w:ascii="宋体" w:hAnsi="宋体" w:eastAsia="宋体" w:cs="宋体"/>
          <w:b w:val="0"/>
          <w:color w:val="auto"/>
          <w:sz w:val="21"/>
          <w:szCs w:val="21"/>
          <w:highlight w:val="none"/>
        </w:rPr>
        <w:t>1.3法律</w:t>
      </w:r>
      <w:bookmarkEnd w:id="252"/>
      <w:bookmarkEnd w:id="253"/>
      <w:bookmarkEnd w:id="254"/>
      <w:bookmarkEnd w:id="255"/>
    </w:p>
    <w:p w14:paraId="2867460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合同所称法律是指中华人民共和国法律、行政法规、部门规章，以及工程所在地的地方性法规、自治条例、单行条例和地方政府规章等。</w:t>
      </w:r>
    </w:p>
    <w:p w14:paraId="064B9FB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合同当事人可以在专用合同条款中约定合同适用的其他规范性文件。</w:t>
      </w:r>
    </w:p>
    <w:p w14:paraId="4445D82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56" w:name="_Toc351203499"/>
      <w:r>
        <w:rPr>
          <w:rFonts w:hint="eastAsia" w:ascii="宋体" w:hAnsi="宋体" w:eastAsia="宋体" w:cs="宋体"/>
          <w:b w:val="0"/>
          <w:color w:val="auto"/>
          <w:sz w:val="21"/>
          <w:szCs w:val="21"/>
          <w:highlight w:val="none"/>
        </w:rPr>
        <w:t>1.4 标准和规范</w:t>
      </w:r>
      <w:bookmarkEnd w:id="256"/>
    </w:p>
    <w:p w14:paraId="5229935F">
      <w:pPr>
        <w:pageBreakBefore w:val="0"/>
        <w:kinsoku/>
        <w:wordWrap/>
        <w:overflowPunct/>
        <w:topLinePunct w:val="0"/>
        <w:autoSpaceDE w:val="0"/>
        <w:autoSpaceDN w:val="0"/>
        <w:bidi w:val="0"/>
        <w:adjustRightInd w:val="0"/>
        <w:snapToGrid/>
        <w:spacing w:line="390" w:lineRule="exact"/>
        <w:ind w:left="0" w:firstLine="64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适用于工程的国家标准、行业标准、工程所在地的地方性标准，以及相应的规范、规程等，合同当事人有特别要求的，应在专用合同条款中约定。</w:t>
      </w:r>
    </w:p>
    <w:p w14:paraId="5C46DDFA">
      <w:pPr>
        <w:pageBreakBefore w:val="0"/>
        <w:kinsoku/>
        <w:wordWrap/>
        <w:overflowPunct/>
        <w:topLinePunct w:val="0"/>
        <w:autoSpaceDE w:val="0"/>
        <w:autoSpaceDN w:val="0"/>
        <w:bidi w:val="0"/>
        <w:adjustRightInd w:val="0"/>
        <w:snapToGrid/>
        <w:spacing w:line="390" w:lineRule="exact"/>
        <w:ind w:left="0" w:firstLine="64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发包人要求使用国外标准、规范的，发包人负责提供原文版本和中文译本，并在专用合同条款中约定提供标准规范的名称、份数和时间。</w:t>
      </w:r>
    </w:p>
    <w:p w14:paraId="4315D31B">
      <w:pPr>
        <w:pageBreakBefore w:val="0"/>
        <w:kinsoku/>
        <w:wordWrap/>
        <w:overflowPunct/>
        <w:topLinePunct w:val="0"/>
        <w:autoSpaceDE w:val="0"/>
        <w:autoSpaceDN w:val="0"/>
        <w:bidi w:val="0"/>
        <w:adjustRightInd w:val="0"/>
        <w:snapToGrid/>
        <w:spacing w:line="390" w:lineRule="exact"/>
        <w:ind w:left="0" w:firstLine="64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041EBE9">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57" w:name="_Toc351203500"/>
      <w:r>
        <w:rPr>
          <w:rFonts w:hint="eastAsia" w:ascii="宋体" w:hAnsi="宋体" w:eastAsia="宋体" w:cs="宋体"/>
          <w:b w:val="0"/>
          <w:color w:val="auto"/>
          <w:sz w:val="21"/>
          <w:szCs w:val="21"/>
          <w:highlight w:val="none"/>
        </w:rPr>
        <w:t>1</w:t>
      </w:r>
      <w:bookmarkStart w:id="258" w:name="_Toc296503031"/>
      <w:bookmarkStart w:id="259" w:name="_Toc337558731"/>
      <w:bookmarkStart w:id="260" w:name="_Toc296346532"/>
      <w:r>
        <w:rPr>
          <w:rFonts w:hint="eastAsia" w:ascii="宋体" w:hAnsi="宋体" w:eastAsia="宋体" w:cs="宋体"/>
          <w:b w:val="0"/>
          <w:color w:val="auto"/>
          <w:sz w:val="21"/>
          <w:szCs w:val="21"/>
          <w:highlight w:val="none"/>
        </w:rPr>
        <w:t>.5 合同文件的优先顺序</w:t>
      </w:r>
      <w:bookmarkEnd w:id="257"/>
    </w:p>
    <w:bookmarkEnd w:id="258"/>
    <w:bookmarkEnd w:id="259"/>
    <w:bookmarkEnd w:id="260"/>
    <w:p w14:paraId="248B1B8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组成合同的各项文件应互相解释，互为说明。除专用合同条款另有约定外，解释合同文件的优先顺序如下：</w:t>
      </w:r>
    </w:p>
    <w:p w14:paraId="4DA35C4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（1）合同协议书；</w:t>
      </w:r>
    </w:p>
    <w:p w14:paraId="62E790D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（2）中标通知书（如果有）；</w:t>
      </w:r>
    </w:p>
    <w:p w14:paraId="56CFB36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（3）投标函及其附录（如果有）；</w:t>
      </w:r>
    </w:p>
    <w:p w14:paraId="37878DB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（4）专用合同条款</w:t>
      </w:r>
      <w:r>
        <w:rPr>
          <w:rFonts w:hint="eastAsia" w:ascii="宋体" w:hAnsi="宋体" w:eastAsia="宋体" w:cs="宋体"/>
          <w:color w:val="auto"/>
          <w:sz w:val="21"/>
          <w:szCs w:val="21"/>
          <w:highlight w:val="none"/>
        </w:rPr>
        <w:t>及其附件</w:t>
      </w:r>
      <w:r>
        <w:rPr>
          <w:rFonts w:hint="eastAsia" w:ascii="宋体" w:hAnsi="宋体" w:eastAsia="宋体" w:cs="宋体"/>
          <w:color w:val="auto"/>
          <w:kern w:val="0"/>
          <w:sz w:val="21"/>
          <w:szCs w:val="21"/>
          <w:highlight w:val="none"/>
        </w:rPr>
        <w:t>；</w:t>
      </w:r>
    </w:p>
    <w:p w14:paraId="5919604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（5）通用合同条款；</w:t>
      </w:r>
    </w:p>
    <w:p w14:paraId="09B82C1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（6）技术标准和要求；</w:t>
      </w:r>
    </w:p>
    <w:p w14:paraId="08808DD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（7）图纸；</w:t>
      </w:r>
    </w:p>
    <w:p w14:paraId="7EB6A21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（8）已标价工程量清单或预算书；</w:t>
      </w:r>
    </w:p>
    <w:p w14:paraId="011EDA9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（9）其他合同文件。</w:t>
      </w:r>
    </w:p>
    <w:p w14:paraId="6943DE80">
      <w:pPr>
        <w:pageBreakBefore w:val="0"/>
        <w:kinsoku/>
        <w:wordWrap/>
        <w:overflowPunct/>
        <w:topLinePunct w:val="0"/>
        <w:bidi w:val="0"/>
        <w:snapToGrid/>
        <w:spacing w:line="390" w:lineRule="exact"/>
        <w:ind w:left="0" w:firstLine="447" w:firstLineChars="21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w:t>
      </w:r>
    </w:p>
    <w:p w14:paraId="2088E129">
      <w:pPr>
        <w:pageBreakBefore w:val="0"/>
        <w:kinsoku/>
        <w:wordWrap/>
        <w:overflowPunct/>
        <w:topLinePunct w:val="0"/>
        <w:bidi w:val="0"/>
        <w:snapToGrid/>
        <w:spacing w:line="390" w:lineRule="exact"/>
        <w:ind w:left="0" w:firstLine="447" w:firstLineChars="21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在合同订立及履行过程中形成的与合同有关的文件均构成合同文件组成部分，并根据其性质确定优先解释顺序。</w:t>
      </w:r>
    </w:p>
    <w:p w14:paraId="530AE30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61" w:name="_Toc351203501"/>
      <w:r>
        <w:rPr>
          <w:rFonts w:hint="eastAsia" w:ascii="宋体" w:hAnsi="宋体" w:eastAsia="宋体" w:cs="宋体"/>
          <w:b w:val="0"/>
          <w:color w:val="auto"/>
          <w:sz w:val="21"/>
          <w:szCs w:val="21"/>
          <w:highlight w:val="none"/>
        </w:rPr>
        <w:t>1</w:t>
      </w:r>
      <w:bookmarkStart w:id="262" w:name="_Toc337558732"/>
      <w:bookmarkStart w:id="263" w:name="_Toc296503032"/>
      <w:bookmarkStart w:id="264" w:name="_Toc296346533"/>
      <w:r>
        <w:rPr>
          <w:rFonts w:hint="eastAsia" w:ascii="宋体" w:hAnsi="宋体" w:eastAsia="宋体" w:cs="宋体"/>
          <w:b w:val="0"/>
          <w:color w:val="auto"/>
          <w:sz w:val="21"/>
          <w:szCs w:val="21"/>
          <w:highlight w:val="none"/>
        </w:rPr>
        <w:t>.6图纸和承包人文件</w:t>
      </w:r>
      <w:bookmarkEnd w:id="261"/>
    </w:p>
    <w:bookmarkEnd w:id="262"/>
    <w:bookmarkEnd w:id="263"/>
    <w:bookmarkEnd w:id="264"/>
    <w:p w14:paraId="567C589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 图纸的提供和交底</w:t>
      </w:r>
    </w:p>
    <w:p w14:paraId="4FEEDF2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CA4CB7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因发包人未按合同约定提供图纸导致承包人费用增加和（或）工期延误的，按照第7.5.1项〔因发包人原因导致工期延误〕约定办理。</w:t>
      </w:r>
    </w:p>
    <w:p w14:paraId="744ED86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 图纸的错误</w:t>
      </w:r>
    </w:p>
    <w:p w14:paraId="69CD430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53D189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1.6.3 图纸的修改和补充</w:t>
      </w:r>
    </w:p>
    <w:p w14:paraId="2425736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5DDF44F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 承包人文件</w:t>
      </w:r>
    </w:p>
    <w:p w14:paraId="435BC3C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承包人应按照专用合同条款的约定提供应当由其编制的与工程施工有关的文件，并按照专用合同条款约定的期限、数量和形式提交监理人，并由监理人报送发包人。</w:t>
      </w:r>
    </w:p>
    <w:p w14:paraId="525FA79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E3992E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 图纸和承包人文件的保管</w:t>
      </w:r>
    </w:p>
    <w:p w14:paraId="6D7C39F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除专用合同条款另有约定外，承包人应在施工现场另外保存一套完整的图纸和承包人文件，供发包人、监理人及有关人员进行工程检查时使用。</w:t>
      </w:r>
    </w:p>
    <w:p w14:paraId="3C43B98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65" w:name="_Toc351203502"/>
      <w:r>
        <w:rPr>
          <w:rFonts w:hint="eastAsia" w:ascii="宋体" w:hAnsi="宋体" w:eastAsia="宋体" w:cs="宋体"/>
          <w:b w:val="0"/>
          <w:color w:val="auto"/>
          <w:sz w:val="21"/>
          <w:szCs w:val="21"/>
          <w:highlight w:val="none"/>
        </w:rPr>
        <w:t>1</w:t>
      </w:r>
      <w:bookmarkStart w:id="266" w:name="_Toc337558733"/>
      <w:bookmarkStart w:id="267" w:name="_Toc296346534"/>
      <w:bookmarkStart w:id="268" w:name="_Toc296503033"/>
      <w:r>
        <w:rPr>
          <w:rFonts w:hint="eastAsia" w:ascii="宋体" w:hAnsi="宋体" w:eastAsia="宋体" w:cs="宋体"/>
          <w:b w:val="0"/>
          <w:color w:val="auto"/>
          <w:sz w:val="21"/>
          <w:szCs w:val="21"/>
          <w:highlight w:val="none"/>
        </w:rPr>
        <w:t>.7联络</w:t>
      </w:r>
      <w:bookmarkEnd w:id="265"/>
    </w:p>
    <w:bookmarkEnd w:id="266"/>
    <w:bookmarkEnd w:id="267"/>
    <w:bookmarkEnd w:id="268"/>
    <w:p w14:paraId="608A57B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与合同有关的通知、批准、证明、证书、指示、指令、要求、请求、同意、意见、确定和决定等，均应采用书面形式，并应在合同约定的期限内送达接收人和送达地点。</w:t>
      </w:r>
    </w:p>
    <w:p w14:paraId="2DCC1BA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发包人和承包人应在专用合同条款中约定各自的送达接收人和送达地点。任何一方合同当事人指定的接收人或送达地点发生变动的，应提前3天以书面形式通知对方。</w:t>
      </w:r>
    </w:p>
    <w:p w14:paraId="7A25B80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 发包人和承包人应当及时签收另一方送达至送达地点和指定接收人的来往信函。拒不签收的，由此增加的费用和（或）延误的工期由拒绝接收一方承担。</w:t>
      </w:r>
    </w:p>
    <w:p w14:paraId="2EBC483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69" w:name="_Toc351203503"/>
      <w:r>
        <w:rPr>
          <w:rFonts w:hint="eastAsia" w:ascii="宋体" w:hAnsi="宋体" w:eastAsia="宋体" w:cs="宋体"/>
          <w:b w:val="0"/>
          <w:color w:val="auto"/>
          <w:sz w:val="21"/>
          <w:szCs w:val="21"/>
          <w:highlight w:val="none"/>
        </w:rPr>
        <w:t>1</w:t>
      </w:r>
      <w:bookmarkStart w:id="270" w:name="_Toc296503035"/>
      <w:bookmarkStart w:id="271" w:name="_Toc337558734"/>
      <w:bookmarkStart w:id="272" w:name="_Toc296346536"/>
      <w:r>
        <w:rPr>
          <w:rFonts w:hint="eastAsia" w:ascii="宋体" w:hAnsi="宋体" w:eastAsia="宋体" w:cs="宋体"/>
          <w:b w:val="0"/>
          <w:color w:val="auto"/>
          <w:sz w:val="21"/>
          <w:szCs w:val="21"/>
          <w:highlight w:val="none"/>
        </w:rPr>
        <w:t>.8严禁贿赂</w:t>
      </w:r>
      <w:bookmarkEnd w:id="269"/>
    </w:p>
    <w:bookmarkEnd w:id="270"/>
    <w:bookmarkEnd w:id="271"/>
    <w:bookmarkEnd w:id="272"/>
    <w:p w14:paraId="4E4DD70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合同当事人不得以贿赂或变相贿赂的方式，谋取非法利益或损害对方权益。因一方合同当事人的贿赂造成对方损失的，应赔偿损失，并承担相应的法律责任。</w:t>
      </w:r>
    </w:p>
    <w:p w14:paraId="2FFFCA7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6770826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73" w:name="_Toc351203504"/>
      <w:r>
        <w:rPr>
          <w:rFonts w:hint="eastAsia" w:ascii="宋体" w:hAnsi="宋体" w:eastAsia="宋体" w:cs="宋体"/>
          <w:b w:val="0"/>
          <w:color w:val="auto"/>
          <w:sz w:val="21"/>
          <w:szCs w:val="21"/>
          <w:highlight w:val="none"/>
        </w:rPr>
        <w:t>1</w:t>
      </w:r>
      <w:bookmarkStart w:id="274" w:name="_Toc296346537"/>
      <w:bookmarkStart w:id="275" w:name="_Toc296503036"/>
      <w:bookmarkStart w:id="276" w:name="_Toc337558735"/>
      <w:r>
        <w:rPr>
          <w:rFonts w:hint="eastAsia" w:ascii="宋体" w:hAnsi="宋体" w:eastAsia="宋体" w:cs="宋体"/>
          <w:b w:val="0"/>
          <w:color w:val="auto"/>
          <w:sz w:val="21"/>
          <w:szCs w:val="21"/>
          <w:highlight w:val="none"/>
        </w:rPr>
        <w:t>.9化石、文物</w:t>
      </w:r>
      <w:bookmarkEnd w:id="273"/>
    </w:p>
    <w:bookmarkEnd w:id="274"/>
    <w:bookmarkEnd w:id="275"/>
    <w:bookmarkEnd w:id="276"/>
    <w:p w14:paraId="10BDAF7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83B179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发包人、监理人和承包人应按有关政府行政管理部门要求采取妥善的保护措施，由此增加的费用和（或）延误的工期由发包人承担。</w:t>
      </w:r>
    </w:p>
    <w:p w14:paraId="0B3C64D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承包人发现文物后不及时报告或隐瞒不报，致使文物丢失或损坏的，应赔偿损失，并承担相应的法律责任。</w:t>
      </w:r>
    </w:p>
    <w:p w14:paraId="680BCCF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77" w:name="_Toc351203505"/>
      <w:r>
        <w:rPr>
          <w:rFonts w:hint="eastAsia" w:ascii="宋体" w:hAnsi="宋体" w:eastAsia="宋体" w:cs="宋体"/>
          <w:b w:val="0"/>
          <w:color w:val="auto"/>
          <w:sz w:val="21"/>
          <w:szCs w:val="21"/>
          <w:highlight w:val="none"/>
        </w:rPr>
        <w:t>1</w:t>
      </w:r>
      <w:bookmarkStart w:id="278" w:name="_Toc337558736"/>
      <w:r>
        <w:rPr>
          <w:rFonts w:hint="eastAsia" w:ascii="宋体" w:hAnsi="宋体" w:eastAsia="宋体" w:cs="宋体"/>
          <w:b w:val="0"/>
          <w:color w:val="auto"/>
          <w:sz w:val="21"/>
          <w:szCs w:val="21"/>
          <w:highlight w:val="none"/>
        </w:rPr>
        <w:t>.10交通运输</w:t>
      </w:r>
      <w:bookmarkEnd w:id="277"/>
    </w:p>
    <w:bookmarkEnd w:id="278"/>
    <w:p w14:paraId="11332E2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1.10.1 出入现场的权利</w:t>
      </w:r>
    </w:p>
    <w:p w14:paraId="0EE56A8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AFB6D3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D6F8A0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1.10.2 场外交通</w:t>
      </w:r>
    </w:p>
    <w:p w14:paraId="6403ABC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514C19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1.10.3场内交通</w:t>
      </w:r>
    </w:p>
    <w:p w14:paraId="701399A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319F55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F5EEAE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场外交通和场内交通的边界由合同当事人在专用合同条款中约定。</w:t>
      </w:r>
    </w:p>
    <w:p w14:paraId="043DD8D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1.10.4 超大件和超重件的运输</w:t>
      </w:r>
    </w:p>
    <w:p w14:paraId="58A8760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E949AD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1.10.5 道路和桥梁的损坏责任</w:t>
      </w:r>
    </w:p>
    <w:p w14:paraId="249EBC6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因承包人运输造成施工场地内外公共道路和桥梁损坏的，由承包人承担修复损坏的全部费用和可能引起的赔偿。</w:t>
      </w:r>
    </w:p>
    <w:p w14:paraId="64B3D95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1.10.6 水路和航空运输</w:t>
      </w:r>
    </w:p>
    <w:p w14:paraId="201311B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3E3D715B">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79" w:name="_Toc351203506"/>
      <w:r>
        <w:rPr>
          <w:rFonts w:hint="eastAsia" w:ascii="宋体" w:hAnsi="宋体" w:eastAsia="宋体" w:cs="宋体"/>
          <w:b w:val="0"/>
          <w:color w:val="auto"/>
          <w:sz w:val="21"/>
          <w:szCs w:val="21"/>
          <w:highlight w:val="none"/>
        </w:rPr>
        <w:t>1</w:t>
      </w:r>
      <w:bookmarkStart w:id="280" w:name="_Toc337558737"/>
      <w:bookmarkStart w:id="281" w:name="_Toc296503037"/>
      <w:bookmarkStart w:id="282" w:name="_Toc296346538"/>
      <w:r>
        <w:rPr>
          <w:rFonts w:hint="eastAsia" w:ascii="宋体" w:hAnsi="宋体" w:eastAsia="宋体" w:cs="宋体"/>
          <w:b w:val="0"/>
          <w:color w:val="auto"/>
          <w:sz w:val="21"/>
          <w:szCs w:val="21"/>
          <w:highlight w:val="none"/>
        </w:rPr>
        <w:t>.11知识产权</w:t>
      </w:r>
      <w:bookmarkEnd w:id="279"/>
      <w:r>
        <w:rPr>
          <w:rFonts w:hint="eastAsia" w:ascii="宋体" w:hAnsi="宋体" w:eastAsia="宋体" w:cs="宋体"/>
          <w:b w:val="0"/>
          <w:color w:val="auto"/>
          <w:sz w:val="21"/>
          <w:szCs w:val="21"/>
          <w:highlight w:val="none"/>
        </w:rPr>
        <w:t xml:space="preserve"> </w:t>
      </w:r>
      <w:bookmarkEnd w:id="280"/>
    </w:p>
    <w:bookmarkEnd w:id="281"/>
    <w:bookmarkEnd w:id="282"/>
    <w:p w14:paraId="1397243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6603A6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CBCFC7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122D5BA">
      <w:pPr>
        <w:pageBreakBefore w:val="0"/>
        <w:kinsoku/>
        <w:wordWrap/>
        <w:overflowPunct/>
        <w:topLinePunct w:val="0"/>
        <w:bidi w:val="0"/>
        <w:snapToGrid/>
        <w:spacing w:line="39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1.11.4 除专用合同条款另有约定外，承包人在合同签订前和签订时已确定采用的专利、专有技术、技术秘密的使用费已包含在签约合同价中。</w:t>
      </w:r>
    </w:p>
    <w:p w14:paraId="61B19D8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83" w:name="_Toc351203507"/>
      <w:r>
        <w:rPr>
          <w:rFonts w:hint="eastAsia" w:ascii="宋体" w:hAnsi="宋体" w:eastAsia="宋体" w:cs="宋体"/>
          <w:b w:val="0"/>
          <w:color w:val="auto"/>
          <w:sz w:val="21"/>
          <w:szCs w:val="21"/>
          <w:highlight w:val="none"/>
        </w:rPr>
        <w:t>1</w:t>
      </w:r>
      <w:bookmarkStart w:id="284" w:name="_Toc337558738"/>
      <w:r>
        <w:rPr>
          <w:rFonts w:hint="eastAsia" w:ascii="宋体" w:hAnsi="宋体" w:eastAsia="宋体" w:cs="宋体"/>
          <w:b w:val="0"/>
          <w:color w:val="auto"/>
          <w:sz w:val="21"/>
          <w:szCs w:val="21"/>
          <w:highlight w:val="none"/>
        </w:rPr>
        <w:t>.12保密</w:t>
      </w:r>
      <w:bookmarkEnd w:id="283"/>
    </w:p>
    <w:bookmarkEnd w:id="284"/>
    <w:p w14:paraId="6AB7C4C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除法律规定或合同另有约定外，未经发包人同意，承包人不得将发包人提供的图纸、文件以及声明需要保密的资料信息等商业秘密泄露给第三方。</w:t>
      </w:r>
    </w:p>
    <w:p w14:paraId="564B737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除法律规定或合同另有约定外，未经承包人同意，发包人不得将承包人提供的技术秘密及声明需要保密的资料信息等商业秘密泄露给第三方。</w:t>
      </w:r>
    </w:p>
    <w:p w14:paraId="7F7A20DD">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85" w:name="_Toc351203508"/>
      <w:r>
        <w:rPr>
          <w:rFonts w:hint="eastAsia" w:ascii="宋体" w:hAnsi="宋体" w:eastAsia="宋体" w:cs="宋体"/>
          <w:b w:val="0"/>
          <w:color w:val="auto"/>
          <w:sz w:val="21"/>
          <w:szCs w:val="21"/>
          <w:highlight w:val="none"/>
        </w:rPr>
        <w:t>1.13工程量清单错误的修正</w:t>
      </w:r>
      <w:bookmarkEnd w:id="285"/>
    </w:p>
    <w:p w14:paraId="0986D5C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除专用合同条款另有约定外，发包人提供的工程量清单，应被认为是准确的和完整的。出现下列情形之一时，发包人应予以修正，并相应调整合同价格：</w:t>
      </w:r>
    </w:p>
    <w:p w14:paraId="4EA4CE0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（1）工程量清单存在缺项、漏项的；</w:t>
      </w:r>
    </w:p>
    <w:p w14:paraId="4C472F5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（2）工程量清单偏差超出专用合同条款约定的工程量偏差范围的；</w:t>
      </w:r>
    </w:p>
    <w:p w14:paraId="41994F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（3）未按照国家现行计量规范强制性规定计量的。</w:t>
      </w:r>
    </w:p>
    <w:p w14:paraId="433E14E8">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286" w:name="_Toc351203509"/>
      <w:r>
        <w:rPr>
          <w:rFonts w:hint="eastAsia" w:ascii="宋体" w:hAnsi="宋体" w:eastAsia="宋体" w:cs="宋体"/>
          <w:b w:val="0"/>
          <w:color w:val="auto"/>
          <w:sz w:val="21"/>
          <w:szCs w:val="21"/>
          <w:highlight w:val="none"/>
        </w:rPr>
        <w:t>2</w:t>
      </w:r>
      <w:bookmarkStart w:id="287" w:name="_Toc296503038"/>
      <w:bookmarkStart w:id="288" w:name="_Toc337558739"/>
      <w:bookmarkStart w:id="289" w:name="_Toc296346539"/>
      <w:bookmarkStart w:id="290" w:name="OLE_LINK2"/>
      <w:r>
        <w:rPr>
          <w:rFonts w:hint="eastAsia" w:ascii="宋体" w:hAnsi="宋体" w:eastAsia="宋体" w:cs="宋体"/>
          <w:b w:val="0"/>
          <w:color w:val="auto"/>
          <w:sz w:val="21"/>
          <w:szCs w:val="21"/>
          <w:highlight w:val="none"/>
        </w:rPr>
        <w:t>. 发包人</w:t>
      </w:r>
      <w:bookmarkEnd w:id="286"/>
    </w:p>
    <w:bookmarkEnd w:id="287"/>
    <w:bookmarkEnd w:id="288"/>
    <w:bookmarkEnd w:id="289"/>
    <w:p w14:paraId="7286688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91" w:name="_Toc351203510"/>
      <w:r>
        <w:rPr>
          <w:rFonts w:hint="eastAsia" w:ascii="宋体" w:hAnsi="宋体" w:eastAsia="宋体" w:cs="宋体"/>
          <w:b w:val="0"/>
          <w:color w:val="auto"/>
          <w:sz w:val="21"/>
          <w:szCs w:val="21"/>
          <w:highlight w:val="none"/>
        </w:rPr>
        <w:t>2</w:t>
      </w:r>
      <w:bookmarkStart w:id="292" w:name="_Toc296346540"/>
      <w:bookmarkStart w:id="293" w:name="_Toc337558740"/>
      <w:bookmarkStart w:id="294" w:name="_Toc296503039"/>
      <w:r>
        <w:rPr>
          <w:rFonts w:hint="eastAsia" w:ascii="宋体" w:hAnsi="宋体" w:eastAsia="宋体" w:cs="宋体"/>
          <w:b w:val="0"/>
          <w:color w:val="auto"/>
          <w:sz w:val="21"/>
          <w:szCs w:val="21"/>
          <w:highlight w:val="none"/>
        </w:rPr>
        <w:t>.1 许可或批准</w:t>
      </w:r>
      <w:bookmarkEnd w:id="291"/>
    </w:p>
    <w:p w14:paraId="635D546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32CB7B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因发包人原因未能及时办理完毕前述许可、批准或备案，由发包人承担由此增加的费用和（或）延误的工期，并支付承包人合理的利润。</w:t>
      </w:r>
    </w:p>
    <w:p w14:paraId="6640043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95" w:name="_Toc351203511"/>
      <w:r>
        <w:rPr>
          <w:rFonts w:hint="eastAsia" w:ascii="宋体" w:hAnsi="宋体" w:eastAsia="宋体" w:cs="宋体"/>
          <w:b w:val="0"/>
          <w:color w:val="auto"/>
          <w:sz w:val="21"/>
          <w:szCs w:val="21"/>
          <w:highlight w:val="none"/>
        </w:rPr>
        <w:t>2.2 发包人代表</w:t>
      </w:r>
      <w:bookmarkEnd w:id="295"/>
    </w:p>
    <w:p w14:paraId="7FBB072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EE6919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发包人代表不能按照合同约定履行其职责及义务，并导致合同无法继续正常履行的，承包人可以要求发包人撤换发包人代表。</w:t>
      </w:r>
    </w:p>
    <w:p w14:paraId="0942D954">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不属于法定必须监理的工程，监理人的职权可以由发包人代表或发包人指定的其他人员行使。</w:t>
      </w:r>
    </w:p>
    <w:p w14:paraId="34CDFC0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96" w:name="_Toc351203512"/>
      <w:r>
        <w:rPr>
          <w:rFonts w:hint="eastAsia" w:ascii="宋体" w:hAnsi="宋体" w:eastAsia="宋体" w:cs="宋体"/>
          <w:b w:val="0"/>
          <w:color w:val="auto"/>
          <w:sz w:val="21"/>
          <w:szCs w:val="21"/>
          <w:highlight w:val="none"/>
        </w:rPr>
        <w:t>2.3 发包人人员</w:t>
      </w:r>
      <w:bookmarkEnd w:id="296"/>
    </w:p>
    <w:p w14:paraId="1B30819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755CA979">
      <w:pPr>
        <w:pageBreakBefore w:val="0"/>
        <w:kinsoku/>
        <w:wordWrap/>
        <w:overflowPunct/>
        <w:topLinePunct w:val="0"/>
        <w:bidi w:val="0"/>
        <w:snapToGrid/>
        <w:spacing w:line="390" w:lineRule="exact"/>
        <w:ind w:left="0" w:firstLine="64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发包人人员包括发包人代表及其他由发包人派驻施工现场的人员。</w:t>
      </w:r>
      <w:bookmarkEnd w:id="292"/>
      <w:bookmarkEnd w:id="293"/>
      <w:bookmarkEnd w:id="294"/>
    </w:p>
    <w:p w14:paraId="6E3E69E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97" w:name="_Toc351203513"/>
      <w:r>
        <w:rPr>
          <w:rFonts w:hint="eastAsia" w:ascii="宋体" w:hAnsi="宋体" w:eastAsia="宋体" w:cs="宋体"/>
          <w:b w:val="0"/>
          <w:color w:val="auto"/>
          <w:sz w:val="21"/>
          <w:szCs w:val="21"/>
          <w:highlight w:val="none"/>
        </w:rPr>
        <w:t>2</w:t>
      </w:r>
      <w:bookmarkStart w:id="298" w:name="_Toc296503040"/>
      <w:bookmarkStart w:id="299" w:name="_Toc296346541"/>
      <w:bookmarkStart w:id="300" w:name="_Toc337558741"/>
      <w:r>
        <w:rPr>
          <w:rFonts w:hint="eastAsia" w:ascii="宋体" w:hAnsi="宋体" w:eastAsia="宋体" w:cs="宋体"/>
          <w:b w:val="0"/>
          <w:color w:val="auto"/>
          <w:sz w:val="21"/>
          <w:szCs w:val="21"/>
          <w:highlight w:val="none"/>
        </w:rPr>
        <w:t>.4 施工现场、施工条件和基础资料的提供</w:t>
      </w:r>
      <w:bookmarkEnd w:id="297"/>
      <w:r>
        <w:rPr>
          <w:rFonts w:hint="eastAsia" w:ascii="宋体" w:hAnsi="宋体" w:eastAsia="宋体" w:cs="宋体"/>
          <w:b w:val="0"/>
          <w:color w:val="auto"/>
          <w:sz w:val="21"/>
          <w:szCs w:val="21"/>
          <w:highlight w:val="none"/>
        </w:rPr>
        <w:t xml:space="preserve"> </w:t>
      </w:r>
      <w:bookmarkEnd w:id="298"/>
      <w:bookmarkEnd w:id="299"/>
      <w:bookmarkEnd w:id="300"/>
      <w:r>
        <w:rPr>
          <w:rFonts w:hint="eastAsia" w:ascii="宋体" w:hAnsi="宋体" w:eastAsia="宋体" w:cs="宋体"/>
          <w:b w:val="0"/>
          <w:color w:val="auto"/>
          <w:sz w:val="21"/>
          <w:szCs w:val="21"/>
          <w:highlight w:val="none"/>
        </w:rPr>
        <w:t xml:space="preserve"> </w:t>
      </w:r>
    </w:p>
    <w:p w14:paraId="1A2C89C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 提供施工现场</w:t>
      </w:r>
    </w:p>
    <w:p w14:paraId="4484A8E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w:t>
      </w:r>
      <w:bookmarkEnd w:id="290"/>
      <w:r>
        <w:rPr>
          <w:rFonts w:hint="eastAsia" w:ascii="宋体" w:hAnsi="宋体" w:eastAsia="宋体" w:cs="宋体"/>
          <w:color w:val="auto"/>
          <w:kern w:val="0"/>
          <w:sz w:val="21"/>
          <w:szCs w:val="21"/>
          <w:highlight w:val="none"/>
        </w:rPr>
        <w:t>专用合同条款另有约定外，发包人应最迟于开工日期7天前向承包人移交施工现场。</w:t>
      </w:r>
    </w:p>
    <w:p w14:paraId="7E3A80F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 提供施工条件</w:t>
      </w:r>
    </w:p>
    <w:p w14:paraId="5849DD0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除专用合同条款另有约定外，发包人应负责提供施工所需要的条件，包括：</w:t>
      </w:r>
    </w:p>
    <w:p w14:paraId="6E33289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（1）将施工用水、电力、通讯线路等施工所必需的条件接至施工现场内；</w:t>
      </w:r>
    </w:p>
    <w:p w14:paraId="1AB5595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（2）保证向承包人提供正常施工所需要的进入施工现场的交通条件；</w:t>
      </w:r>
    </w:p>
    <w:p w14:paraId="7140B84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（3）协调处理施工现场周围地下管线和邻近建筑物、构筑物、古树名木的保护工作，并承担相关费用；</w:t>
      </w:r>
    </w:p>
    <w:p w14:paraId="1D51937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（4）按照专用合同条款约定应提供的其他设施和条件。</w:t>
      </w:r>
    </w:p>
    <w:p w14:paraId="7A0ACBB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2.4.3 提供基础资料</w:t>
      </w:r>
    </w:p>
    <w:p w14:paraId="532B74F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E7271D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按照法律规定确需在开工后方能提供的基础资料，发包人应尽其努力及时地在相应工程施工前的合理期限内提供，合理期限应以不影响承包人的正常施工为限。</w:t>
      </w:r>
    </w:p>
    <w:p w14:paraId="5390D1D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 逾期提供的责任</w:t>
      </w:r>
    </w:p>
    <w:p w14:paraId="2277AA6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因发包人原因未能按合同约定及时向承包人提供施工现场、施工条件、基础资料的，由发包人承担由此增加的费用和（或）延误的工期。</w:t>
      </w:r>
    </w:p>
    <w:p w14:paraId="167C746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01" w:name="_Toc351203514"/>
      <w:r>
        <w:rPr>
          <w:rFonts w:hint="eastAsia" w:ascii="宋体" w:hAnsi="宋体" w:eastAsia="宋体" w:cs="宋体"/>
          <w:b w:val="0"/>
          <w:color w:val="auto"/>
          <w:sz w:val="21"/>
          <w:szCs w:val="21"/>
          <w:highlight w:val="none"/>
        </w:rPr>
        <w:t>2</w:t>
      </w:r>
      <w:bookmarkStart w:id="302" w:name="_Toc337558745"/>
      <w:bookmarkStart w:id="303" w:name="_Toc296346543"/>
      <w:bookmarkStart w:id="304" w:name="_Toc296503042"/>
      <w:r>
        <w:rPr>
          <w:rFonts w:hint="eastAsia" w:ascii="宋体" w:hAnsi="宋体" w:eastAsia="宋体" w:cs="宋体"/>
          <w:b w:val="0"/>
          <w:color w:val="auto"/>
          <w:sz w:val="21"/>
          <w:szCs w:val="21"/>
          <w:highlight w:val="none"/>
        </w:rPr>
        <w:t>.5 资</w:t>
      </w:r>
      <w:bookmarkEnd w:id="302"/>
      <w:bookmarkEnd w:id="303"/>
      <w:bookmarkEnd w:id="304"/>
      <w:r>
        <w:rPr>
          <w:rFonts w:hint="eastAsia" w:ascii="宋体" w:hAnsi="宋体" w:eastAsia="宋体" w:cs="宋体"/>
          <w:b w:val="0"/>
          <w:color w:val="auto"/>
          <w:sz w:val="21"/>
          <w:szCs w:val="21"/>
          <w:highlight w:val="none"/>
        </w:rPr>
        <w:t>金来源证明及支付担保</w:t>
      </w:r>
      <w:bookmarkEnd w:id="301"/>
    </w:p>
    <w:p w14:paraId="71A439E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除专用合同条款另有约定外，发包人应在收到承包人要求提供资金来源证明的书面通知后28天内，向承包人提供能够按照合同约定支付合同价款的相应资金来源证明。</w:t>
      </w:r>
    </w:p>
    <w:p w14:paraId="0A20237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1171D8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05" w:name="_Toc351203515"/>
      <w:r>
        <w:rPr>
          <w:rFonts w:hint="eastAsia" w:ascii="宋体" w:hAnsi="宋体" w:eastAsia="宋体" w:cs="宋体"/>
          <w:b w:val="0"/>
          <w:color w:val="auto"/>
          <w:sz w:val="21"/>
          <w:szCs w:val="21"/>
          <w:highlight w:val="none"/>
        </w:rPr>
        <w:t>2.6 支付合同价款</w:t>
      </w:r>
      <w:bookmarkEnd w:id="305"/>
    </w:p>
    <w:p w14:paraId="0BDB146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发包人应按合同约定向承包人及时支付合同价款。</w:t>
      </w:r>
    </w:p>
    <w:p w14:paraId="6D9ECF9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06" w:name="_Toc351203516"/>
      <w:r>
        <w:rPr>
          <w:rFonts w:hint="eastAsia" w:ascii="宋体" w:hAnsi="宋体" w:eastAsia="宋体" w:cs="宋体"/>
          <w:b w:val="0"/>
          <w:color w:val="auto"/>
          <w:sz w:val="21"/>
          <w:szCs w:val="21"/>
          <w:highlight w:val="none"/>
        </w:rPr>
        <w:t>2.7 组织竣工验收</w:t>
      </w:r>
      <w:bookmarkEnd w:id="306"/>
    </w:p>
    <w:p w14:paraId="205FE74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发包人应按合同约定及时组织竣工验收。</w:t>
      </w:r>
    </w:p>
    <w:p w14:paraId="0FEA787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07" w:name="_Toc351203517"/>
      <w:r>
        <w:rPr>
          <w:rFonts w:hint="eastAsia" w:ascii="宋体" w:hAnsi="宋体" w:eastAsia="宋体" w:cs="宋体"/>
          <w:b w:val="0"/>
          <w:color w:val="auto"/>
          <w:sz w:val="21"/>
          <w:szCs w:val="21"/>
          <w:highlight w:val="none"/>
        </w:rPr>
        <w:t>2.8 现场统一管理协议</w:t>
      </w:r>
      <w:bookmarkEnd w:id="307"/>
    </w:p>
    <w:p w14:paraId="21328B5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发包人应与承包人、由发包人直接发包的专业工程的承包人签订施工现场统一管理协议，明确各方的权利义务。施工现场统一管理协议作为专用合同条款的附件。</w:t>
      </w:r>
    </w:p>
    <w:p w14:paraId="7C04635F">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308" w:name="_Toc351203518"/>
      <w:r>
        <w:rPr>
          <w:rFonts w:hint="eastAsia" w:ascii="宋体" w:hAnsi="宋体" w:eastAsia="宋体" w:cs="宋体"/>
          <w:b w:val="0"/>
          <w:color w:val="auto"/>
          <w:sz w:val="21"/>
          <w:szCs w:val="21"/>
          <w:highlight w:val="none"/>
        </w:rPr>
        <w:t>3</w:t>
      </w:r>
      <w:bookmarkStart w:id="309" w:name="_Toc296346546"/>
      <w:bookmarkStart w:id="310" w:name="_Toc337558746"/>
      <w:bookmarkStart w:id="311" w:name="_Toc296503045"/>
      <w:r>
        <w:rPr>
          <w:rFonts w:hint="eastAsia" w:ascii="宋体" w:hAnsi="宋体" w:eastAsia="宋体" w:cs="宋体"/>
          <w:b w:val="0"/>
          <w:color w:val="auto"/>
          <w:sz w:val="21"/>
          <w:szCs w:val="21"/>
          <w:highlight w:val="none"/>
        </w:rPr>
        <w:t>. 承包人</w:t>
      </w:r>
      <w:bookmarkEnd w:id="308"/>
    </w:p>
    <w:bookmarkEnd w:id="309"/>
    <w:bookmarkEnd w:id="310"/>
    <w:bookmarkEnd w:id="311"/>
    <w:p w14:paraId="463FAC9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12" w:name="_Toc351203519"/>
      <w:r>
        <w:rPr>
          <w:rFonts w:hint="eastAsia" w:ascii="宋体" w:hAnsi="宋体" w:eastAsia="宋体" w:cs="宋体"/>
          <w:b w:val="0"/>
          <w:color w:val="auto"/>
          <w:sz w:val="21"/>
          <w:szCs w:val="21"/>
          <w:highlight w:val="none"/>
        </w:rPr>
        <w:t>3</w:t>
      </w:r>
      <w:bookmarkStart w:id="313" w:name="_Toc337558747"/>
      <w:bookmarkStart w:id="314" w:name="_Toc296346547"/>
      <w:bookmarkStart w:id="315" w:name="_Toc296503046"/>
      <w:r>
        <w:rPr>
          <w:rFonts w:hint="eastAsia" w:ascii="宋体" w:hAnsi="宋体" w:eastAsia="宋体" w:cs="宋体"/>
          <w:b w:val="0"/>
          <w:color w:val="auto"/>
          <w:sz w:val="21"/>
          <w:szCs w:val="21"/>
          <w:highlight w:val="none"/>
        </w:rPr>
        <w:t>.1 承包人的一般义务</w:t>
      </w:r>
      <w:bookmarkEnd w:id="312"/>
    </w:p>
    <w:bookmarkEnd w:id="313"/>
    <w:bookmarkEnd w:id="314"/>
    <w:bookmarkEnd w:id="315"/>
    <w:p w14:paraId="2361540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承包人在履行合同过程中应遵守法律和工程建设标准规范，并履行以下义务：</w:t>
      </w:r>
    </w:p>
    <w:p w14:paraId="35C77C52">
      <w:pPr>
        <w:pageBreakBefore w:val="0"/>
        <w:numPr>
          <w:ilvl w:val="0"/>
          <w:numId w:val="8"/>
        </w:numPr>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办理法律规定应由承包人办理的许可和批准，并将办理结果书面报送发包人留存；</w:t>
      </w:r>
    </w:p>
    <w:p w14:paraId="34BDD13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（2）按法律规定和合同约定完成工程，并在保修期内承担保修义务；</w:t>
      </w:r>
    </w:p>
    <w:p w14:paraId="40CB65B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（3）按法律规定和合同约定采取施工安全和环境保护措施，办理工伤保险，确保工程及人员、材料、设备和设施的安全；</w:t>
      </w:r>
    </w:p>
    <w:p w14:paraId="57C5B91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（4）按合同约定的工作内容和施工进度要求，编制施工组织设计和施工措施计划，并对所有施工作业和施工方法的完备性和安全可靠性负责；</w:t>
      </w:r>
    </w:p>
    <w:p w14:paraId="6BEF49D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97FA1A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（6）按照第6.3款〔环境保护〕约定负责施工场地及其周边环境与生态的保护工作；</w:t>
      </w:r>
    </w:p>
    <w:p w14:paraId="46BEFE3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（7）按第6.1款〔安全文明施工〕约定采取施工安全措施，确保工程及其人员、材料、设备和设施的安全，防止因工程施工造成的人身伤害和财产损失；</w:t>
      </w:r>
    </w:p>
    <w:p w14:paraId="729932C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（8）将发包人按合同约定支付的各项价款专用于合同工程，且应及时支付其雇用人员工资，并及时向分包人支付合同价款；</w:t>
      </w:r>
    </w:p>
    <w:p w14:paraId="615861F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（9）按照法律规定和合同约定编制竣工资料，完成竣工资料立卷及归档，并按专用合同条款约定的竣工资料的套数、内容、时间等要求移交发包人；</w:t>
      </w:r>
    </w:p>
    <w:p w14:paraId="3F80DE3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（10）应履行的其他义务。</w:t>
      </w:r>
    </w:p>
    <w:p w14:paraId="72119FC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16" w:name="_Toc351203520"/>
      <w:r>
        <w:rPr>
          <w:rFonts w:hint="eastAsia" w:ascii="宋体" w:hAnsi="宋体" w:eastAsia="宋体" w:cs="宋体"/>
          <w:b w:val="0"/>
          <w:color w:val="auto"/>
          <w:sz w:val="21"/>
          <w:szCs w:val="21"/>
          <w:highlight w:val="none"/>
        </w:rPr>
        <w:t>3</w:t>
      </w:r>
      <w:bookmarkStart w:id="317" w:name="_Toc296503047"/>
      <w:bookmarkStart w:id="318" w:name="_Toc296346548"/>
      <w:bookmarkStart w:id="319" w:name="_Toc337558748"/>
      <w:r>
        <w:rPr>
          <w:rFonts w:hint="eastAsia" w:ascii="宋体" w:hAnsi="宋体" w:eastAsia="宋体" w:cs="宋体"/>
          <w:b w:val="0"/>
          <w:color w:val="auto"/>
          <w:sz w:val="21"/>
          <w:szCs w:val="21"/>
          <w:highlight w:val="none"/>
        </w:rPr>
        <w:t xml:space="preserve">.2 </w:t>
      </w:r>
      <w:bookmarkEnd w:id="316"/>
      <w:r>
        <w:rPr>
          <w:rFonts w:hint="eastAsia" w:ascii="宋体" w:hAnsi="宋体" w:eastAsia="宋体" w:cs="宋体"/>
          <w:b w:val="0"/>
          <w:color w:val="auto"/>
          <w:sz w:val="21"/>
          <w:szCs w:val="21"/>
          <w:highlight w:val="none"/>
        </w:rPr>
        <w:t>项目经理</w:t>
      </w:r>
    </w:p>
    <w:bookmarkEnd w:id="317"/>
    <w:bookmarkEnd w:id="318"/>
    <w:bookmarkEnd w:id="319"/>
    <w:p w14:paraId="11DDC3D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799A62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A69DDB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承包人违反上述约定的，应按照专用合同条款的约定，承担违约责任。</w:t>
      </w:r>
    </w:p>
    <w:p w14:paraId="7D81FBC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333F84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1DE908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19D3E9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6667F05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20" w:name="_Toc351203521"/>
      <w:r>
        <w:rPr>
          <w:rFonts w:hint="eastAsia" w:ascii="宋体" w:hAnsi="宋体" w:eastAsia="宋体" w:cs="宋体"/>
          <w:b w:val="0"/>
          <w:color w:val="auto"/>
          <w:sz w:val="21"/>
          <w:szCs w:val="21"/>
          <w:highlight w:val="none"/>
        </w:rPr>
        <w:t>3</w:t>
      </w:r>
      <w:bookmarkStart w:id="321" w:name="_Toc296503048"/>
      <w:bookmarkStart w:id="322" w:name="_Toc296346549"/>
      <w:bookmarkStart w:id="323" w:name="_Toc337558749"/>
      <w:r>
        <w:rPr>
          <w:rFonts w:hint="eastAsia" w:ascii="宋体" w:hAnsi="宋体" w:eastAsia="宋体" w:cs="宋体"/>
          <w:b w:val="0"/>
          <w:color w:val="auto"/>
          <w:sz w:val="21"/>
          <w:szCs w:val="21"/>
          <w:highlight w:val="none"/>
        </w:rPr>
        <w:t xml:space="preserve">.3 </w:t>
      </w:r>
      <w:bookmarkEnd w:id="321"/>
      <w:bookmarkEnd w:id="322"/>
      <w:r>
        <w:rPr>
          <w:rFonts w:hint="eastAsia" w:ascii="宋体" w:hAnsi="宋体" w:eastAsia="宋体" w:cs="宋体"/>
          <w:b w:val="0"/>
          <w:color w:val="auto"/>
          <w:sz w:val="21"/>
          <w:szCs w:val="21"/>
          <w:highlight w:val="none"/>
        </w:rPr>
        <w:t>承包人人员</w:t>
      </w:r>
      <w:bookmarkEnd w:id="320"/>
    </w:p>
    <w:bookmarkEnd w:id="323"/>
    <w:p w14:paraId="2E24B3A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5403E9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463C91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特殊工种作业人员均应持有相应的资格证明，监理人可以随时检查。</w:t>
      </w:r>
    </w:p>
    <w:p w14:paraId="7B6DFB7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89C379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2B1835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 承包人擅自更换主要施工管理人员，或前述人员未经监理人或发包人同意擅自离开施工现场的，应按照专用合同条款约定承担违约责任。</w:t>
      </w:r>
    </w:p>
    <w:p w14:paraId="1EEF801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24" w:name="_Toc351203522"/>
      <w:r>
        <w:rPr>
          <w:rFonts w:hint="eastAsia" w:ascii="宋体" w:hAnsi="宋体" w:eastAsia="宋体" w:cs="宋体"/>
          <w:b w:val="0"/>
          <w:color w:val="auto"/>
          <w:sz w:val="21"/>
          <w:szCs w:val="21"/>
          <w:highlight w:val="none"/>
        </w:rPr>
        <w:t>3</w:t>
      </w:r>
      <w:bookmarkStart w:id="325" w:name="_Toc337558750"/>
      <w:bookmarkStart w:id="326" w:name="_Toc296503050"/>
      <w:bookmarkStart w:id="327" w:name="_Toc296346551"/>
      <w:r>
        <w:rPr>
          <w:rFonts w:hint="eastAsia" w:ascii="宋体" w:hAnsi="宋体" w:eastAsia="宋体" w:cs="宋体"/>
          <w:b w:val="0"/>
          <w:color w:val="auto"/>
          <w:sz w:val="21"/>
          <w:szCs w:val="21"/>
          <w:highlight w:val="none"/>
        </w:rPr>
        <w:t>.4 承包人现场查勘</w:t>
      </w:r>
      <w:bookmarkEnd w:id="324"/>
    </w:p>
    <w:bookmarkEnd w:id="325"/>
    <w:bookmarkEnd w:id="326"/>
    <w:bookmarkEnd w:id="327"/>
    <w:p w14:paraId="37C6C58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承包人应对基于发包人按照第2.4.3项〔提供基础资料〕提交的基础资料所做出的解释和推断负责，但因基础资料存在错误、遗漏导致承包人解释或推断失实的，由发包人承担责任。</w:t>
      </w:r>
    </w:p>
    <w:p w14:paraId="02470C9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BB1410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28" w:name="_Toc351203523"/>
      <w:r>
        <w:rPr>
          <w:rFonts w:hint="eastAsia" w:ascii="宋体" w:hAnsi="宋体" w:eastAsia="宋体" w:cs="宋体"/>
          <w:b w:val="0"/>
          <w:color w:val="auto"/>
          <w:sz w:val="21"/>
          <w:szCs w:val="21"/>
          <w:highlight w:val="none"/>
        </w:rPr>
        <w:t>3</w:t>
      </w:r>
      <w:bookmarkStart w:id="329" w:name="_Toc337558751"/>
      <w:bookmarkStart w:id="330" w:name="_Toc296503051"/>
      <w:bookmarkStart w:id="331" w:name="_Toc296346552"/>
      <w:r>
        <w:rPr>
          <w:rFonts w:hint="eastAsia" w:ascii="宋体" w:hAnsi="宋体" w:eastAsia="宋体" w:cs="宋体"/>
          <w:b w:val="0"/>
          <w:color w:val="auto"/>
          <w:sz w:val="21"/>
          <w:szCs w:val="21"/>
          <w:highlight w:val="none"/>
        </w:rPr>
        <w:t>.5 分包</w:t>
      </w:r>
      <w:bookmarkEnd w:id="328"/>
    </w:p>
    <w:bookmarkEnd w:id="329"/>
    <w:bookmarkEnd w:id="330"/>
    <w:bookmarkEnd w:id="331"/>
    <w:p w14:paraId="0070385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 分包的一般约定</w:t>
      </w:r>
    </w:p>
    <w:p w14:paraId="693050F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41905A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承包人不得以劳务分包的名义转包或违法分包工程。</w:t>
      </w:r>
    </w:p>
    <w:p w14:paraId="2DFD7EF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 分包的确定</w:t>
      </w:r>
    </w:p>
    <w:p w14:paraId="1519C66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74D62D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3.5.3 分包管理</w:t>
      </w:r>
    </w:p>
    <w:p w14:paraId="4605F43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承包人应向监理人提交分包人的主要施工管理人员表，并对分包人的施工人员进行实名制管理，包括但不限于进出场管理、登记造册以及各种证照的办理。</w:t>
      </w:r>
    </w:p>
    <w:p w14:paraId="6DC792C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 分包合同价款</w:t>
      </w:r>
    </w:p>
    <w:p w14:paraId="211B2DD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（1）除本项第（2）目约定的情况或专用合同条款另有约定外，分包合同价款由承包人与分包人结算，未经承包人同意，发包人不得向分包人支付分包工程价款；</w:t>
      </w:r>
    </w:p>
    <w:p w14:paraId="4D3A692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（2）生效法律文书要求发包人向分包人支付分包合同价款的，发包人有权从应付承包人工程款中扣除该部分款项。</w:t>
      </w:r>
    </w:p>
    <w:p w14:paraId="71162F0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3.5.5 分包合同权益的转让</w:t>
      </w:r>
    </w:p>
    <w:p w14:paraId="4E5D9D0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32" w:name="_Toc351203524"/>
    </w:p>
    <w:p w14:paraId="2D491E9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 工程照管与成品、半成品保护</w:t>
      </w:r>
      <w:bookmarkEnd w:id="332"/>
    </w:p>
    <w:p w14:paraId="42E1891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（1）除专用合同条款另有约定外，自发包人向承包人移交施工现场之日起，承包人应负责照管工程及工程相关的材料、工程设备，直到颁发工程接收证书之日止。</w:t>
      </w:r>
    </w:p>
    <w:p w14:paraId="000112D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（2）在承包人负责照管期间，因承包人原因造成工程、材料、工程设备损坏的，由承包人负责修复或更换，并承担由此增加的费用和（或）延误的工期。</w:t>
      </w:r>
    </w:p>
    <w:p w14:paraId="02F56A8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7A6DA1A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33" w:name="_Toc351203525"/>
      <w:r>
        <w:rPr>
          <w:rFonts w:hint="eastAsia" w:ascii="宋体" w:hAnsi="宋体" w:eastAsia="宋体" w:cs="宋体"/>
          <w:b w:val="0"/>
          <w:color w:val="auto"/>
          <w:sz w:val="21"/>
          <w:szCs w:val="21"/>
          <w:highlight w:val="none"/>
        </w:rPr>
        <w:t>3</w:t>
      </w:r>
      <w:bookmarkStart w:id="334" w:name="_Toc296503052"/>
      <w:bookmarkStart w:id="335" w:name="_Toc337558752"/>
      <w:bookmarkStart w:id="336" w:name="_Toc296346553"/>
      <w:r>
        <w:rPr>
          <w:rFonts w:hint="eastAsia" w:ascii="宋体" w:hAnsi="宋体" w:eastAsia="宋体" w:cs="宋体"/>
          <w:b w:val="0"/>
          <w:color w:val="auto"/>
          <w:sz w:val="21"/>
          <w:szCs w:val="21"/>
          <w:highlight w:val="none"/>
        </w:rPr>
        <w:t>.7 履约担保</w:t>
      </w:r>
      <w:bookmarkEnd w:id="333"/>
    </w:p>
    <w:bookmarkEnd w:id="334"/>
    <w:bookmarkEnd w:id="335"/>
    <w:bookmarkEnd w:id="336"/>
    <w:p w14:paraId="224AA9C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FBA23E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因承包人原因导致工期延长的，继续提供履约担保所增加的费用由承包人承担；非因承包人原因导致工期延长的，继续提供履约担保所增加的费用由发包人承担。</w:t>
      </w:r>
    </w:p>
    <w:p w14:paraId="5542F5D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37" w:name="_Toc351203526"/>
      <w:r>
        <w:rPr>
          <w:rFonts w:hint="eastAsia" w:ascii="宋体" w:hAnsi="宋体" w:eastAsia="宋体" w:cs="宋体"/>
          <w:b w:val="0"/>
          <w:color w:val="auto"/>
          <w:sz w:val="21"/>
          <w:szCs w:val="21"/>
          <w:highlight w:val="none"/>
        </w:rPr>
        <w:t>3.8 联合体</w:t>
      </w:r>
      <w:bookmarkEnd w:id="337"/>
    </w:p>
    <w:p w14:paraId="07C88EB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3.8.1 联合体各方应共同与发包人签订合同协议书。联合体各方应为履行合同向发包人承担连带责任。</w:t>
      </w:r>
    </w:p>
    <w:p w14:paraId="6BC7E34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3.8.2 联合体协议经发包人确认后作为合同附件。在履行合同过程中，未经发包人同意，不得修改联合体协议。</w:t>
      </w:r>
    </w:p>
    <w:p w14:paraId="1E7D36E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3.8.3 联合体牵头人负责与发包人和监理人联系，并接受指示，负责组织联合体各成员全面履行合同。</w:t>
      </w:r>
    </w:p>
    <w:p w14:paraId="69277A0B">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338" w:name="_Toc351203527"/>
      <w:r>
        <w:rPr>
          <w:rFonts w:hint="eastAsia" w:ascii="宋体" w:hAnsi="宋体" w:eastAsia="宋体" w:cs="宋体"/>
          <w:b w:val="0"/>
          <w:color w:val="auto"/>
          <w:sz w:val="21"/>
          <w:szCs w:val="21"/>
          <w:highlight w:val="none"/>
        </w:rPr>
        <w:t>4</w:t>
      </w:r>
      <w:bookmarkStart w:id="339" w:name="_Toc296503053"/>
      <w:bookmarkStart w:id="340" w:name="_Toc296346554"/>
      <w:bookmarkStart w:id="341" w:name="_Toc337558753"/>
      <w:r>
        <w:rPr>
          <w:rFonts w:hint="eastAsia" w:ascii="宋体" w:hAnsi="宋体" w:eastAsia="宋体" w:cs="宋体"/>
          <w:b w:val="0"/>
          <w:color w:val="auto"/>
          <w:sz w:val="21"/>
          <w:szCs w:val="21"/>
          <w:highlight w:val="none"/>
        </w:rPr>
        <w:t>. 监</w:t>
      </w:r>
      <w:bookmarkEnd w:id="339"/>
      <w:bookmarkEnd w:id="340"/>
      <w:r>
        <w:rPr>
          <w:rFonts w:hint="eastAsia" w:ascii="宋体" w:hAnsi="宋体" w:eastAsia="宋体" w:cs="宋体"/>
          <w:b w:val="0"/>
          <w:color w:val="auto"/>
          <w:sz w:val="21"/>
          <w:szCs w:val="21"/>
          <w:highlight w:val="none"/>
        </w:rPr>
        <w:t>理人</w:t>
      </w:r>
      <w:bookmarkEnd w:id="338"/>
    </w:p>
    <w:bookmarkEnd w:id="341"/>
    <w:p w14:paraId="389FC5E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42" w:name="_Toc351203528"/>
      <w:r>
        <w:rPr>
          <w:rFonts w:hint="eastAsia" w:ascii="宋体" w:hAnsi="宋体" w:eastAsia="宋体" w:cs="宋体"/>
          <w:b w:val="0"/>
          <w:color w:val="auto"/>
          <w:sz w:val="21"/>
          <w:szCs w:val="21"/>
          <w:highlight w:val="none"/>
        </w:rPr>
        <w:t>4</w:t>
      </w:r>
      <w:bookmarkStart w:id="343" w:name="_Toc296346555"/>
      <w:bookmarkStart w:id="344" w:name="_Toc296503054"/>
      <w:bookmarkStart w:id="345" w:name="_Toc337558754"/>
      <w:r>
        <w:rPr>
          <w:rFonts w:hint="eastAsia" w:ascii="宋体" w:hAnsi="宋体" w:eastAsia="宋体" w:cs="宋体"/>
          <w:b w:val="0"/>
          <w:color w:val="auto"/>
          <w:sz w:val="21"/>
          <w:szCs w:val="21"/>
          <w:highlight w:val="none"/>
        </w:rPr>
        <w:t>.1监理人的一般规定</w:t>
      </w:r>
      <w:bookmarkEnd w:id="342"/>
    </w:p>
    <w:bookmarkEnd w:id="343"/>
    <w:bookmarkEnd w:id="344"/>
    <w:bookmarkEnd w:id="345"/>
    <w:p w14:paraId="2B29C0D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2A77CE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除专用合同条款另有约定外，监理人在施工现场的办公场所、生活场所由承包人提供，所发生的费用由发包人承担。</w:t>
      </w:r>
    </w:p>
    <w:p w14:paraId="6F4FE03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46" w:name="_Toc351203529"/>
      <w:r>
        <w:rPr>
          <w:rFonts w:hint="eastAsia" w:ascii="宋体" w:hAnsi="宋体" w:eastAsia="宋体" w:cs="宋体"/>
          <w:b w:val="0"/>
          <w:color w:val="auto"/>
          <w:sz w:val="21"/>
          <w:szCs w:val="21"/>
          <w:highlight w:val="none"/>
        </w:rPr>
        <w:t>4</w:t>
      </w:r>
      <w:bookmarkStart w:id="347" w:name="_Toc337558755"/>
      <w:r>
        <w:rPr>
          <w:rFonts w:hint="eastAsia" w:ascii="宋体" w:hAnsi="宋体" w:eastAsia="宋体" w:cs="宋体"/>
          <w:b w:val="0"/>
          <w:color w:val="auto"/>
          <w:sz w:val="21"/>
          <w:szCs w:val="21"/>
          <w:highlight w:val="none"/>
        </w:rPr>
        <w:t>.2监理人员</w:t>
      </w:r>
      <w:bookmarkEnd w:id="346"/>
    </w:p>
    <w:bookmarkEnd w:id="347"/>
    <w:p w14:paraId="0F32100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B605B4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48" w:name="_Toc351203530"/>
      <w:r>
        <w:rPr>
          <w:rFonts w:hint="eastAsia" w:ascii="宋体" w:hAnsi="宋体" w:eastAsia="宋体" w:cs="宋体"/>
          <w:b w:val="0"/>
          <w:color w:val="auto"/>
          <w:sz w:val="21"/>
          <w:szCs w:val="21"/>
          <w:highlight w:val="none"/>
        </w:rPr>
        <w:t>4</w:t>
      </w:r>
      <w:bookmarkStart w:id="349" w:name="_Toc296503055"/>
      <w:bookmarkStart w:id="350" w:name="_Toc296346556"/>
      <w:bookmarkStart w:id="351" w:name="_Toc337558756"/>
      <w:r>
        <w:rPr>
          <w:rFonts w:hint="eastAsia" w:ascii="宋体" w:hAnsi="宋体" w:eastAsia="宋体" w:cs="宋体"/>
          <w:b w:val="0"/>
          <w:color w:val="auto"/>
          <w:sz w:val="21"/>
          <w:szCs w:val="21"/>
          <w:highlight w:val="none"/>
        </w:rPr>
        <w:t>.3</w:t>
      </w:r>
      <w:bookmarkEnd w:id="349"/>
      <w:bookmarkEnd w:id="350"/>
      <w:r>
        <w:rPr>
          <w:rFonts w:hint="eastAsia" w:ascii="宋体" w:hAnsi="宋体" w:eastAsia="宋体" w:cs="宋体"/>
          <w:b w:val="0"/>
          <w:color w:val="auto"/>
          <w:sz w:val="21"/>
          <w:szCs w:val="21"/>
          <w:highlight w:val="none"/>
        </w:rPr>
        <w:t>监理人的指</w:t>
      </w:r>
      <w:bookmarkEnd w:id="351"/>
      <w:r>
        <w:rPr>
          <w:rFonts w:hint="eastAsia" w:ascii="宋体" w:hAnsi="宋体" w:eastAsia="宋体" w:cs="宋体"/>
          <w:b w:val="0"/>
          <w:color w:val="auto"/>
          <w:sz w:val="21"/>
          <w:szCs w:val="21"/>
          <w:highlight w:val="none"/>
        </w:rPr>
        <w:t>示</w:t>
      </w:r>
      <w:bookmarkEnd w:id="348"/>
    </w:p>
    <w:p w14:paraId="024AC22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DD83FA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8B40D6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承包人对监理人发出的指示有疑问的，应向监理人提出书面异议，监理人应在48小时内对该指示予以确认、更改或撤销，监理人逾期未回复的，承包人有权拒绝执行上述指示。</w:t>
      </w:r>
    </w:p>
    <w:p w14:paraId="1E3EB8C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467D21F">
      <w:pPr>
        <w:pStyle w:val="7"/>
        <w:pageBreakBefore w:val="0"/>
        <w:kinsoku/>
        <w:wordWrap/>
        <w:overflowPunct/>
        <w:topLinePunct w:val="0"/>
        <w:bidi w:val="0"/>
        <w:snapToGrid/>
        <w:spacing w:before="0" w:line="390" w:lineRule="exact"/>
        <w:ind w:left="0" w:firstLine="420" w:firstLineChars="200"/>
        <w:textAlignment w:val="auto"/>
        <w:rPr>
          <w:rFonts w:hint="eastAsia" w:ascii="宋体" w:hAnsi="宋体" w:eastAsia="宋体" w:cs="宋体"/>
          <w:b w:val="0"/>
          <w:color w:val="auto"/>
          <w:sz w:val="21"/>
          <w:szCs w:val="21"/>
          <w:highlight w:val="none"/>
        </w:rPr>
      </w:pPr>
      <w:bookmarkStart w:id="352" w:name="_Toc351203531"/>
      <w:r>
        <w:rPr>
          <w:rFonts w:hint="eastAsia" w:ascii="宋体" w:hAnsi="宋体" w:eastAsia="宋体" w:cs="宋体"/>
          <w:b w:val="0"/>
          <w:color w:val="auto"/>
          <w:sz w:val="21"/>
          <w:szCs w:val="21"/>
          <w:highlight w:val="none"/>
        </w:rPr>
        <w:t>4</w:t>
      </w:r>
      <w:bookmarkStart w:id="353" w:name="_Toc296346558"/>
      <w:bookmarkStart w:id="354" w:name="_Toc337558757"/>
      <w:bookmarkStart w:id="355" w:name="_Toc296503057"/>
      <w:r>
        <w:rPr>
          <w:rFonts w:hint="eastAsia" w:ascii="宋体" w:hAnsi="宋体" w:eastAsia="宋体" w:cs="宋体"/>
          <w:b w:val="0"/>
          <w:color w:val="auto"/>
          <w:sz w:val="21"/>
          <w:szCs w:val="21"/>
          <w:highlight w:val="none"/>
        </w:rPr>
        <w:t>.4 商定或确定</w:t>
      </w:r>
      <w:bookmarkEnd w:id="352"/>
    </w:p>
    <w:bookmarkEnd w:id="353"/>
    <w:bookmarkEnd w:id="354"/>
    <w:bookmarkEnd w:id="355"/>
    <w:p w14:paraId="5A2D62A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合同当事人进行商定或确定时，总监理工程师应当会同合同当事人尽量通过协商达成一致，不能达成一致的，由总监理工程师按照合同约定审慎做出公正的确定。</w:t>
      </w:r>
    </w:p>
    <w:p w14:paraId="6AF3874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4F17579">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356" w:name="_Toc351203532"/>
      <w:r>
        <w:rPr>
          <w:rFonts w:hint="eastAsia" w:ascii="宋体" w:hAnsi="宋体" w:eastAsia="宋体" w:cs="宋体"/>
          <w:b w:val="0"/>
          <w:color w:val="auto"/>
          <w:sz w:val="21"/>
          <w:szCs w:val="21"/>
          <w:highlight w:val="none"/>
        </w:rPr>
        <w:t>5</w:t>
      </w:r>
      <w:bookmarkStart w:id="357" w:name="_Toc337558758"/>
      <w:r>
        <w:rPr>
          <w:rFonts w:hint="eastAsia" w:ascii="宋体" w:hAnsi="宋体" w:eastAsia="宋体" w:cs="宋体"/>
          <w:b w:val="0"/>
          <w:color w:val="auto"/>
          <w:sz w:val="21"/>
          <w:szCs w:val="21"/>
          <w:highlight w:val="none"/>
        </w:rPr>
        <w:t>. 工程质量</w:t>
      </w:r>
      <w:bookmarkEnd w:id="356"/>
    </w:p>
    <w:bookmarkEnd w:id="357"/>
    <w:p w14:paraId="1159B2A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58" w:name="_Toc351203533"/>
      <w:r>
        <w:rPr>
          <w:rFonts w:hint="eastAsia" w:ascii="宋体" w:hAnsi="宋体" w:eastAsia="宋体" w:cs="宋体"/>
          <w:b w:val="0"/>
          <w:color w:val="auto"/>
          <w:sz w:val="21"/>
          <w:szCs w:val="21"/>
          <w:highlight w:val="none"/>
        </w:rPr>
        <w:t>5</w:t>
      </w:r>
      <w:bookmarkStart w:id="359" w:name="_Toc337558759"/>
      <w:r>
        <w:rPr>
          <w:rFonts w:hint="eastAsia" w:ascii="宋体" w:hAnsi="宋体" w:eastAsia="宋体" w:cs="宋体"/>
          <w:b w:val="0"/>
          <w:color w:val="auto"/>
          <w:sz w:val="21"/>
          <w:szCs w:val="21"/>
          <w:highlight w:val="none"/>
        </w:rPr>
        <w:t>.1质量要求</w:t>
      </w:r>
      <w:bookmarkEnd w:id="358"/>
    </w:p>
    <w:bookmarkEnd w:id="359"/>
    <w:p w14:paraId="3AFB23B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5.1.1 工程质量标准必须符合现行国家有关工程施工质量验收规范和标准的要求。有关工程质量的特殊标准或要求由合同当事人在专用合同条款中约定。</w:t>
      </w:r>
    </w:p>
    <w:p w14:paraId="524EB8B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 因发包人原因造成工程质量未达到合同约定标准的，由发包人承担由此增加的费用和（或）延误的工期，并支付承包人合理的利润。</w:t>
      </w:r>
    </w:p>
    <w:p w14:paraId="5FE1E3C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7B88A60B">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60" w:name="_Toc351203534"/>
      <w:r>
        <w:rPr>
          <w:rFonts w:hint="eastAsia" w:ascii="宋体" w:hAnsi="宋体" w:eastAsia="宋体" w:cs="宋体"/>
          <w:b w:val="0"/>
          <w:color w:val="auto"/>
          <w:sz w:val="21"/>
          <w:szCs w:val="21"/>
          <w:highlight w:val="none"/>
        </w:rPr>
        <w:t>5</w:t>
      </w:r>
      <w:bookmarkStart w:id="361" w:name="_Toc337558760"/>
      <w:r>
        <w:rPr>
          <w:rFonts w:hint="eastAsia" w:ascii="宋体" w:hAnsi="宋体" w:eastAsia="宋体" w:cs="宋体"/>
          <w:b w:val="0"/>
          <w:color w:val="auto"/>
          <w:sz w:val="21"/>
          <w:szCs w:val="21"/>
          <w:highlight w:val="none"/>
        </w:rPr>
        <w:t>.2质量保证措施</w:t>
      </w:r>
      <w:bookmarkEnd w:id="360"/>
    </w:p>
    <w:bookmarkEnd w:id="361"/>
    <w:p w14:paraId="4CAC5DF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5.2.1 发包人的质量管理</w:t>
      </w:r>
    </w:p>
    <w:p w14:paraId="4731779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发包人应按照法律规定及合同约定完成与工程质量有关的各项工作。</w:t>
      </w:r>
    </w:p>
    <w:p w14:paraId="58AF38D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5.2.2 承包人的质量管理</w:t>
      </w:r>
    </w:p>
    <w:p w14:paraId="36DB575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C41B8E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承包人应对施工人员进行质量教育和技术培训，定期考核施工人员的劳动技能，严格执行施工规范和操作规程。</w:t>
      </w:r>
    </w:p>
    <w:p w14:paraId="6BAA0AE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42BD4D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5.2.3 监理人的质量检查和检验</w:t>
      </w:r>
    </w:p>
    <w:p w14:paraId="1346912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D49C9C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5655BE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62" w:name="_Toc351203535"/>
      <w:r>
        <w:rPr>
          <w:rFonts w:hint="eastAsia" w:ascii="宋体" w:hAnsi="宋体" w:eastAsia="宋体" w:cs="宋体"/>
          <w:b w:val="0"/>
          <w:color w:val="auto"/>
          <w:sz w:val="21"/>
          <w:szCs w:val="21"/>
          <w:highlight w:val="none"/>
        </w:rPr>
        <w:t>5</w:t>
      </w:r>
      <w:bookmarkStart w:id="363" w:name="_Toc337558761"/>
      <w:r>
        <w:rPr>
          <w:rFonts w:hint="eastAsia" w:ascii="宋体" w:hAnsi="宋体" w:eastAsia="宋体" w:cs="宋体"/>
          <w:b w:val="0"/>
          <w:color w:val="auto"/>
          <w:sz w:val="21"/>
          <w:szCs w:val="21"/>
          <w:highlight w:val="none"/>
        </w:rPr>
        <w:t>.3 隐蔽工程检查</w:t>
      </w:r>
      <w:bookmarkEnd w:id="362"/>
    </w:p>
    <w:bookmarkEnd w:id="363"/>
    <w:p w14:paraId="1557B5E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5.3.1承包人自检</w:t>
      </w:r>
    </w:p>
    <w:p w14:paraId="7CA809A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承包人应当对工程隐蔽部位进行自检，并经自检确认是否具备覆盖条件。</w:t>
      </w:r>
    </w:p>
    <w:p w14:paraId="5FE4918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5.3.2检查程序</w:t>
      </w:r>
    </w:p>
    <w:p w14:paraId="7D99F15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46835C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D4A19B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5CDCF2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5.3.3 重新检查</w:t>
      </w:r>
    </w:p>
    <w:p w14:paraId="4A324B2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F4ADB1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5.3.4 承包人私自覆盖</w:t>
      </w:r>
    </w:p>
    <w:p w14:paraId="254EDFA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D46354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64" w:name="_Toc351203536"/>
      <w:r>
        <w:rPr>
          <w:rFonts w:hint="eastAsia" w:ascii="宋体" w:hAnsi="宋体" w:eastAsia="宋体" w:cs="宋体"/>
          <w:b w:val="0"/>
          <w:color w:val="auto"/>
          <w:sz w:val="21"/>
          <w:szCs w:val="21"/>
          <w:highlight w:val="none"/>
        </w:rPr>
        <w:t>5</w:t>
      </w:r>
      <w:bookmarkStart w:id="365" w:name="_Toc337558762"/>
      <w:r>
        <w:rPr>
          <w:rFonts w:hint="eastAsia" w:ascii="宋体" w:hAnsi="宋体" w:eastAsia="宋体" w:cs="宋体"/>
          <w:b w:val="0"/>
          <w:color w:val="auto"/>
          <w:sz w:val="21"/>
          <w:szCs w:val="21"/>
          <w:highlight w:val="none"/>
        </w:rPr>
        <w:t>.4不合格工程的处理</w:t>
      </w:r>
      <w:bookmarkEnd w:id="364"/>
    </w:p>
    <w:bookmarkEnd w:id="365"/>
    <w:p w14:paraId="70CC91F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50593F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5.4.2 因发包人原因造成工程不合格的，由此增加的费用和（或）延误的工期由发包人承担，并支付承包人合理的利润。</w:t>
      </w:r>
    </w:p>
    <w:p w14:paraId="4B2B71B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66" w:name="_Toc351203537"/>
      <w:r>
        <w:rPr>
          <w:rFonts w:hint="eastAsia" w:ascii="宋体" w:hAnsi="宋体" w:eastAsia="宋体" w:cs="宋体"/>
          <w:b w:val="0"/>
          <w:color w:val="auto"/>
          <w:sz w:val="21"/>
          <w:szCs w:val="21"/>
          <w:highlight w:val="none"/>
        </w:rPr>
        <w:t>5.5 质量争议检测</w:t>
      </w:r>
      <w:bookmarkEnd w:id="366"/>
    </w:p>
    <w:p w14:paraId="5618519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合同当事人对工程质量有争议的，由双方协商确定的工程质量检测机构鉴定，由此产生的费用及因此造成的损失，由责任方承担。</w:t>
      </w:r>
    </w:p>
    <w:p w14:paraId="12D4FCCE">
      <w:pPr>
        <w:pageBreakBefore w:val="0"/>
        <w:kinsoku/>
        <w:wordWrap/>
        <w:overflowPunct/>
        <w:topLinePunct w:val="0"/>
        <w:autoSpaceDE w:val="0"/>
        <w:autoSpaceDN w:val="0"/>
        <w:bidi w:val="0"/>
        <w:adjustRightInd w:val="0"/>
        <w:snapToGrid/>
        <w:spacing w:line="390" w:lineRule="exact"/>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合同当事人均有责任的，由双方根据其责任分别承担。合同当事人无法达成一致的，按照第4.4款〔商定或确定〕执行。</w:t>
      </w:r>
    </w:p>
    <w:p w14:paraId="7C37CFCB">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367" w:name="_Toc351203538"/>
      <w:r>
        <w:rPr>
          <w:rFonts w:hint="eastAsia" w:ascii="宋体" w:hAnsi="宋体" w:eastAsia="宋体" w:cs="宋体"/>
          <w:b w:val="0"/>
          <w:color w:val="auto"/>
          <w:sz w:val="21"/>
          <w:szCs w:val="21"/>
          <w:highlight w:val="none"/>
        </w:rPr>
        <w:t>6</w:t>
      </w:r>
      <w:bookmarkStart w:id="368" w:name="_Toc337558763"/>
      <w:r>
        <w:rPr>
          <w:rFonts w:hint="eastAsia" w:ascii="宋体" w:hAnsi="宋体" w:eastAsia="宋体" w:cs="宋体"/>
          <w:b w:val="0"/>
          <w:color w:val="auto"/>
          <w:sz w:val="21"/>
          <w:szCs w:val="21"/>
          <w:highlight w:val="none"/>
        </w:rPr>
        <w:t>. 安全文明施工与环境保护</w:t>
      </w:r>
      <w:bookmarkEnd w:id="367"/>
    </w:p>
    <w:bookmarkEnd w:id="368"/>
    <w:p w14:paraId="6FA02A4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69" w:name="_Toc351203539"/>
      <w:r>
        <w:rPr>
          <w:rFonts w:hint="eastAsia" w:ascii="宋体" w:hAnsi="宋体" w:eastAsia="宋体" w:cs="宋体"/>
          <w:b w:val="0"/>
          <w:color w:val="auto"/>
          <w:sz w:val="21"/>
          <w:szCs w:val="21"/>
          <w:highlight w:val="none"/>
        </w:rPr>
        <w:t>6</w:t>
      </w:r>
      <w:bookmarkStart w:id="370" w:name="_Toc337558764"/>
      <w:r>
        <w:rPr>
          <w:rFonts w:hint="eastAsia" w:ascii="宋体" w:hAnsi="宋体" w:eastAsia="宋体" w:cs="宋体"/>
          <w:b w:val="0"/>
          <w:color w:val="auto"/>
          <w:sz w:val="21"/>
          <w:szCs w:val="21"/>
          <w:highlight w:val="none"/>
        </w:rPr>
        <w:t>.1安全文明施工</w:t>
      </w:r>
      <w:bookmarkEnd w:id="369"/>
    </w:p>
    <w:bookmarkEnd w:id="370"/>
    <w:p w14:paraId="38A716B3">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6.1.1安全生产要求</w:t>
      </w:r>
    </w:p>
    <w:p w14:paraId="21CA5C76">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E829C6F">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1"/>
          <w:szCs w:val="21"/>
          <w:highlight w:val="none"/>
        </w:rPr>
        <w:t>政府有关行政管理部门</w:t>
      </w:r>
      <w:r>
        <w:rPr>
          <w:rFonts w:hint="eastAsia" w:ascii="宋体" w:hAnsi="宋体" w:eastAsia="宋体" w:cs="宋体"/>
          <w:color w:val="auto"/>
          <w:sz w:val="21"/>
          <w:szCs w:val="21"/>
          <w:highlight w:val="none"/>
        </w:rPr>
        <w:t>采取应急措施。</w:t>
      </w:r>
    </w:p>
    <w:p w14:paraId="39709EFD">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因安全生产需要暂停施工的，按照第7.8款〔暂停施工〕的约定执行。</w:t>
      </w:r>
    </w:p>
    <w:p w14:paraId="1D52CA8B">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安全生产保证措施</w:t>
      </w:r>
    </w:p>
    <w:p w14:paraId="4ED9B10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承包人应当按照有关</w:t>
      </w:r>
      <w:r>
        <w:rPr>
          <w:rFonts w:hint="eastAsia" w:ascii="宋体" w:hAnsi="宋体" w:eastAsia="宋体" w:cs="宋体"/>
          <w:color w:val="auto"/>
          <w:kern w:val="0"/>
          <w:sz w:val="21"/>
          <w:szCs w:val="21"/>
          <w:highlight w:val="none"/>
        </w:rPr>
        <w:t>规定编制安全技术措施或者专项施工方案，</w:t>
      </w:r>
      <w:r>
        <w:rPr>
          <w:rFonts w:hint="eastAsia" w:ascii="宋体" w:hAnsi="宋体" w:eastAsia="宋体" w:cs="宋体"/>
          <w:color w:val="auto"/>
          <w:sz w:val="21"/>
          <w:szCs w:val="21"/>
          <w:highlight w:val="none"/>
        </w:rPr>
        <w:t>建立安全生产责任制度、治安保卫制度及安全生产教育培训制度，并</w:t>
      </w:r>
      <w:r>
        <w:rPr>
          <w:rFonts w:hint="eastAsia" w:ascii="宋体" w:hAnsi="宋体" w:eastAsia="宋体" w:cs="宋体"/>
          <w:color w:val="auto"/>
          <w:kern w:val="0"/>
          <w:sz w:val="21"/>
          <w:szCs w:val="21"/>
          <w:highlight w:val="none"/>
        </w:rPr>
        <w:t>按安全生产法律规定及合同约定履行安全职责，如实</w:t>
      </w:r>
      <w:r>
        <w:rPr>
          <w:rFonts w:hint="eastAsia" w:ascii="宋体" w:hAnsi="宋体" w:eastAsia="宋体" w:cs="宋体"/>
          <w:color w:val="auto"/>
          <w:sz w:val="21"/>
          <w:szCs w:val="21"/>
          <w:highlight w:val="none"/>
        </w:rPr>
        <w:t>编制工程安全生产的有关记录，</w:t>
      </w:r>
      <w:r>
        <w:rPr>
          <w:rFonts w:hint="eastAsia" w:ascii="宋体" w:hAnsi="宋体" w:eastAsia="宋体" w:cs="宋体"/>
          <w:color w:val="auto"/>
          <w:kern w:val="0"/>
          <w:sz w:val="21"/>
          <w:szCs w:val="21"/>
          <w:highlight w:val="none"/>
        </w:rPr>
        <w:t>接受发包人、监理人及政府安全监督部门的检查与监督。</w:t>
      </w:r>
    </w:p>
    <w:p w14:paraId="75796A44">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6.1.3特别安全生产事项</w:t>
      </w:r>
    </w:p>
    <w:p w14:paraId="0A6A1FE3">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BBDA0CA">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3A476CA">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A35DCC7">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需单独编制危险性较大分部分项专项工程施工方案的，及要求进行专家论证的超过一定规模的危险性较大的分部分项工程，承包人应及时编制和组织论证。</w:t>
      </w:r>
    </w:p>
    <w:p w14:paraId="49947E36">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治安保卫</w:t>
      </w:r>
    </w:p>
    <w:p w14:paraId="011E6E5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除专用合同条款另有约定外，发包人应与当地公安部门协商，在现场建立治安管理机构或联防组织，统一管理施工场地的治安保卫事项，履行合同工程的治安保卫职责。</w:t>
      </w:r>
    </w:p>
    <w:p w14:paraId="7F363B36">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发包人和承包人除应协助现场治安管理机构或联防组织维护施工场地的社会治安外，还应做好包括生活区在内的各自管辖区的治安保卫工作。</w:t>
      </w:r>
    </w:p>
    <w:p w14:paraId="315341E7">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79A72AE">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6.1.5 文明施工</w:t>
      </w:r>
    </w:p>
    <w:p w14:paraId="2AF4604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66ED17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45474C3">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安全文明施工费</w:t>
      </w:r>
    </w:p>
    <w:p w14:paraId="391CB95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安全文明施工费由发包人承担，发包人不得以任何形式扣减该部分费用。因基准日期后合同所适用的法律或政府有关规定发生变化，增加的安全文明施工费由发包人承担。</w:t>
      </w:r>
    </w:p>
    <w:p w14:paraId="5E04FED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6A806B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06A3F8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BC8BDA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6.1.7 紧急情况处理</w:t>
      </w:r>
    </w:p>
    <w:p w14:paraId="0C961F0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258BAE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6.1.8 事故处理</w:t>
      </w:r>
    </w:p>
    <w:p w14:paraId="73E659C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42CDE1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 安全生产责任</w:t>
      </w:r>
    </w:p>
    <w:p w14:paraId="43D0B1D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6.1.9.1 发包人的安全责任</w:t>
      </w:r>
    </w:p>
    <w:p w14:paraId="128D1635">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发包人应负责赔偿以下各种情况造成的损失：</w:t>
      </w:r>
    </w:p>
    <w:p w14:paraId="0AB327BA">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（1）工程或工程的任何部分对土地的占用所造成的第三者财产损失；</w:t>
      </w:r>
    </w:p>
    <w:p w14:paraId="3DD682CE">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（2）由于发包人原因在施工场地及其毗邻地带造成的第三者人身伤亡和财产损失；</w:t>
      </w:r>
    </w:p>
    <w:p w14:paraId="6822A974">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（3）由于发包人原因对承包人、监理人造成的人员人身伤亡和财产损失；</w:t>
      </w:r>
    </w:p>
    <w:p w14:paraId="3A169038">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（4）由于发包人原因造成的发包人自身人员的人身伤害以及财产损失。</w:t>
      </w:r>
    </w:p>
    <w:p w14:paraId="2D4610A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6.1.9.2 承包人的安全责任</w:t>
      </w:r>
    </w:p>
    <w:p w14:paraId="17594F2C">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由于承包人原因在施工场地内及其毗邻地带造成的发包人、监理人以及第三者人员伤亡和财产损失，由承包人负责赔偿。</w:t>
      </w:r>
    </w:p>
    <w:p w14:paraId="50D5F4C0">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71" w:name="_Toc351203540"/>
      <w:r>
        <w:rPr>
          <w:rFonts w:hint="eastAsia" w:ascii="宋体" w:hAnsi="宋体" w:eastAsia="宋体" w:cs="宋体"/>
          <w:b w:val="0"/>
          <w:color w:val="auto"/>
          <w:sz w:val="21"/>
          <w:szCs w:val="21"/>
          <w:highlight w:val="none"/>
        </w:rPr>
        <w:t>6</w:t>
      </w:r>
      <w:bookmarkStart w:id="372" w:name="_Toc337558765"/>
      <w:r>
        <w:rPr>
          <w:rFonts w:hint="eastAsia" w:ascii="宋体" w:hAnsi="宋体" w:eastAsia="宋体" w:cs="宋体"/>
          <w:b w:val="0"/>
          <w:color w:val="auto"/>
          <w:sz w:val="21"/>
          <w:szCs w:val="21"/>
          <w:highlight w:val="none"/>
        </w:rPr>
        <w:t>.2 职业健康</w:t>
      </w:r>
      <w:bookmarkEnd w:id="371"/>
    </w:p>
    <w:bookmarkEnd w:id="372"/>
    <w:p w14:paraId="45C6BC5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6.2.1 劳动保护</w:t>
      </w:r>
    </w:p>
    <w:p w14:paraId="6A59C55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E1DE68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6D4B7C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88C35C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6.2.2 生活条件</w:t>
      </w:r>
    </w:p>
    <w:p w14:paraId="001EAD5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C3C055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73" w:name="_Toc351203541"/>
      <w:r>
        <w:rPr>
          <w:rFonts w:hint="eastAsia" w:ascii="宋体" w:hAnsi="宋体" w:eastAsia="宋体" w:cs="宋体"/>
          <w:b w:val="0"/>
          <w:color w:val="auto"/>
          <w:sz w:val="21"/>
          <w:szCs w:val="21"/>
          <w:highlight w:val="none"/>
        </w:rPr>
        <w:t>6</w:t>
      </w:r>
      <w:bookmarkStart w:id="374" w:name="_Toc337558766"/>
      <w:r>
        <w:rPr>
          <w:rFonts w:hint="eastAsia" w:ascii="宋体" w:hAnsi="宋体" w:eastAsia="宋体" w:cs="宋体"/>
          <w:b w:val="0"/>
          <w:color w:val="auto"/>
          <w:sz w:val="21"/>
          <w:szCs w:val="21"/>
          <w:highlight w:val="none"/>
        </w:rPr>
        <w:t>.3 环境保护</w:t>
      </w:r>
      <w:bookmarkEnd w:id="373"/>
    </w:p>
    <w:bookmarkEnd w:id="374"/>
    <w:p w14:paraId="5AC11ED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D8B488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承包人应当承担因其原因引起的环境污染侵权损害赔偿责任，因上述环境污染引起纠纷而导致暂停施工的，由此增加的费用和（或）延误的工期由承包人承担。</w:t>
      </w:r>
    </w:p>
    <w:p w14:paraId="5CE463C6">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375" w:name="_Toc351203542"/>
      <w:r>
        <w:rPr>
          <w:rFonts w:hint="eastAsia" w:ascii="宋体" w:hAnsi="宋体" w:eastAsia="宋体" w:cs="宋体"/>
          <w:b w:val="0"/>
          <w:color w:val="auto"/>
          <w:sz w:val="21"/>
          <w:szCs w:val="21"/>
          <w:highlight w:val="none"/>
        </w:rPr>
        <w:t>7</w:t>
      </w:r>
      <w:bookmarkStart w:id="376" w:name="_Toc337558767"/>
      <w:r>
        <w:rPr>
          <w:rFonts w:hint="eastAsia" w:ascii="宋体" w:hAnsi="宋体" w:eastAsia="宋体" w:cs="宋体"/>
          <w:b w:val="0"/>
          <w:color w:val="auto"/>
          <w:sz w:val="21"/>
          <w:szCs w:val="21"/>
          <w:highlight w:val="none"/>
        </w:rPr>
        <w:t>. 工期和进度</w:t>
      </w:r>
      <w:bookmarkEnd w:id="375"/>
    </w:p>
    <w:bookmarkEnd w:id="376"/>
    <w:p w14:paraId="5AB9158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77" w:name="_Toc351203543"/>
      <w:r>
        <w:rPr>
          <w:rFonts w:hint="eastAsia" w:ascii="宋体" w:hAnsi="宋体" w:eastAsia="宋体" w:cs="宋体"/>
          <w:b w:val="0"/>
          <w:color w:val="auto"/>
          <w:sz w:val="21"/>
          <w:szCs w:val="21"/>
          <w:highlight w:val="none"/>
        </w:rPr>
        <w:t>7</w:t>
      </w:r>
      <w:bookmarkStart w:id="378" w:name="_Toc337558768"/>
      <w:bookmarkStart w:id="379" w:name="_Toc296346567"/>
      <w:bookmarkStart w:id="380" w:name="_Toc296503066"/>
      <w:r>
        <w:rPr>
          <w:rFonts w:hint="eastAsia" w:ascii="宋体" w:hAnsi="宋体" w:eastAsia="宋体" w:cs="宋体"/>
          <w:b w:val="0"/>
          <w:color w:val="auto"/>
          <w:sz w:val="21"/>
          <w:szCs w:val="21"/>
          <w:highlight w:val="none"/>
        </w:rPr>
        <w:t>.1施工组织设计</w:t>
      </w:r>
      <w:bookmarkEnd w:id="377"/>
    </w:p>
    <w:bookmarkEnd w:id="378"/>
    <w:p w14:paraId="7E21061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7.1.1 </w:t>
      </w:r>
      <w:r>
        <w:rPr>
          <w:rFonts w:hint="eastAsia" w:ascii="宋体" w:hAnsi="宋体" w:eastAsia="宋体" w:cs="宋体"/>
          <w:color w:val="auto"/>
          <w:kern w:val="0"/>
          <w:sz w:val="21"/>
          <w:szCs w:val="21"/>
          <w:highlight w:val="none"/>
        </w:rPr>
        <w:t>施工组织设计的内容</w:t>
      </w:r>
    </w:p>
    <w:p w14:paraId="5B218B3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施工组织设计应包含以下内容：</w:t>
      </w:r>
    </w:p>
    <w:p w14:paraId="78B1EF7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（1）施工方案； </w:t>
      </w:r>
    </w:p>
    <w:p w14:paraId="5A6F048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（2）施工现场平面布置图；</w:t>
      </w:r>
    </w:p>
    <w:p w14:paraId="0EF568D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（3）施工进度计划和保证措施； </w:t>
      </w:r>
    </w:p>
    <w:p w14:paraId="309784B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（4）劳动力及材料供应计划；</w:t>
      </w:r>
    </w:p>
    <w:p w14:paraId="0FE9D21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（5）施工机械设备的选用；</w:t>
      </w:r>
    </w:p>
    <w:p w14:paraId="62F336F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（6）质量保证体系及措施；</w:t>
      </w:r>
    </w:p>
    <w:p w14:paraId="4726EA2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（7）安全生产、文明施工措施；</w:t>
      </w:r>
    </w:p>
    <w:p w14:paraId="56395D4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（8）环境保护、成本控制措施；</w:t>
      </w:r>
    </w:p>
    <w:p w14:paraId="165087A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（9）合同当事人约定的其他内容。</w:t>
      </w:r>
    </w:p>
    <w:p w14:paraId="7613117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0DC2ED5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814E3B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施工进度计划的编制和修改按照第7.2款〔施工进度计划〕执行。</w:t>
      </w:r>
    </w:p>
    <w:p w14:paraId="5D9F46E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81" w:name="_Toc351203544"/>
      <w:r>
        <w:rPr>
          <w:rFonts w:hint="eastAsia" w:ascii="宋体" w:hAnsi="宋体" w:eastAsia="宋体" w:cs="宋体"/>
          <w:b w:val="0"/>
          <w:color w:val="auto"/>
          <w:sz w:val="21"/>
          <w:szCs w:val="21"/>
          <w:highlight w:val="none"/>
        </w:rPr>
        <w:t>7</w:t>
      </w:r>
      <w:bookmarkStart w:id="382" w:name="_Toc337558769"/>
      <w:r>
        <w:rPr>
          <w:rFonts w:hint="eastAsia" w:ascii="宋体" w:hAnsi="宋体" w:eastAsia="宋体" w:cs="宋体"/>
          <w:b w:val="0"/>
          <w:color w:val="auto"/>
          <w:sz w:val="21"/>
          <w:szCs w:val="21"/>
          <w:highlight w:val="none"/>
        </w:rPr>
        <w:t>.2 施工进度计划</w:t>
      </w:r>
      <w:bookmarkEnd w:id="381"/>
    </w:p>
    <w:bookmarkEnd w:id="382"/>
    <w:p w14:paraId="16A5901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7.2.1 施工进度计划的编制</w:t>
      </w:r>
    </w:p>
    <w:p w14:paraId="76E70F2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ED6E2C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7.2.2 施工进度计划的修订</w:t>
      </w:r>
    </w:p>
    <w:p w14:paraId="5B1F5A7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40F5BE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83" w:name="_Toc351203545"/>
      <w:r>
        <w:rPr>
          <w:rFonts w:hint="eastAsia" w:ascii="宋体" w:hAnsi="宋体" w:eastAsia="宋体" w:cs="宋体"/>
          <w:b w:val="0"/>
          <w:color w:val="auto"/>
          <w:sz w:val="21"/>
          <w:szCs w:val="21"/>
          <w:highlight w:val="none"/>
        </w:rPr>
        <w:t>7</w:t>
      </w:r>
      <w:bookmarkStart w:id="384" w:name="_Toc337558770"/>
      <w:r>
        <w:rPr>
          <w:rFonts w:hint="eastAsia" w:ascii="宋体" w:hAnsi="宋体" w:eastAsia="宋体" w:cs="宋体"/>
          <w:b w:val="0"/>
          <w:color w:val="auto"/>
          <w:sz w:val="21"/>
          <w:szCs w:val="21"/>
          <w:highlight w:val="none"/>
        </w:rPr>
        <w:t>.3 开工</w:t>
      </w:r>
      <w:bookmarkEnd w:id="383"/>
    </w:p>
    <w:p w14:paraId="24DAD806">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7.3.1 开工准备</w:t>
      </w:r>
    </w:p>
    <w:p w14:paraId="297FE83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F6D3A9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除专用合同条款另有约定外，合同当事人应按约定完成开工准备工作。</w:t>
      </w:r>
    </w:p>
    <w:p w14:paraId="2C734E6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7.3.2 开工通知</w:t>
      </w:r>
    </w:p>
    <w:bookmarkEnd w:id="384"/>
    <w:p w14:paraId="4912597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01D329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E25037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85" w:name="_Toc351203546"/>
      <w:r>
        <w:rPr>
          <w:rFonts w:hint="eastAsia" w:ascii="宋体" w:hAnsi="宋体" w:eastAsia="宋体" w:cs="宋体"/>
          <w:b w:val="0"/>
          <w:color w:val="auto"/>
          <w:sz w:val="21"/>
          <w:szCs w:val="21"/>
          <w:highlight w:val="none"/>
        </w:rPr>
        <w:t>7.4测量放线</w:t>
      </w:r>
      <w:bookmarkEnd w:id="385"/>
    </w:p>
    <w:p w14:paraId="47381AE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B72E79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3E4837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83779C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施工过程中对施工现场内水准点等测量标志物的保护工作由承包人负责。</w:t>
      </w:r>
      <w:bookmarkStart w:id="386" w:name="_Toc351203547"/>
    </w:p>
    <w:p w14:paraId="3F53E68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w:t>
      </w:r>
      <w:bookmarkEnd w:id="379"/>
      <w:bookmarkEnd w:id="380"/>
      <w:bookmarkStart w:id="387" w:name="_Toc296503073"/>
      <w:bookmarkStart w:id="388" w:name="_Toc337558772"/>
      <w:bookmarkStart w:id="389" w:name="_Toc296346574"/>
      <w:r>
        <w:rPr>
          <w:rFonts w:hint="eastAsia" w:ascii="宋体" w:hAnsi="宋体" w:eastAsia="宋体" w:cs="宋体"/>
          <w:b w:val="0"/>
          <w:color w:val="auto"/>
          <w:sz w:val="21"/>
          <w:szCs w:val="21"/>
          <w:highlight w:val="none"/>
        </w:rPr>
        <w:t>.5 工期延误</w:t>
      </w:r>
      <w:bookmarkEnd w:id="386"/>
    </w:p>
    <w:bookmarkEnd w:id="387"/>
    <w:bookmarkEnd w:id="388"/>
    <w:bookmarkEnd w:id="389"/>
    <w:p w14:paraId="3F9EC94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7.5.1 因发包人原因导致工期延误</w:t>
      </w:r>
    </w:p>
    <w:p w14:paraId="1A76200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在合同履行过程中，因下列情况导致工期延误和（或）费用增加的，由发包人承担由此延误的工期和（或）增加的费用，且发包人应支付承包人合理的利润： </w:t>
      </w:r>
    </w:p>
    <w:p w14:paraId="4583186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（1）发包人未能按合同约定提供图纸或所提供图纸不符合合同约定的；</w:t>
      </w:r>
    </w:p>
    <w:p w14:paraId="2C9C991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（2）发包人未能按合同约定提供施工现场、施工条件、基础资料、许可、批准等开工条件的；</w:t>
      </w:r>
    </w:p>
    <w:p w14:paraId="0BBE07D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（3）发包人提供的测量基准点、基准线和水准点及其书面资料存在错误或疏漏的；</w:t>
      </w:r>
    </w:p>
    <w:p w14:paraId="1BE5176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（4）发包人未能在计划开工日期之日起7天内同意下达开工通知的；</w:t>
      </w:r>
    </w:p>
    <w:p w14:paraId="6CB894A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（5）发包人未能按合同约定日期支付工程预付款、进度款或竣工结算款的；</w:t>
      </w:r>
    </w:p>
    <w:p w14:paraId="39D22DE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（6）监理人未按合同约定发出指示、批准等文件的；</w:t>
      </w:r>
    </w:p>
    <w:p w14:paraId="00E2C07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（7）专用合同条款中约定的其他情形。</w:t>
      </w:r>
    </w:p>
    <w:p w14:paraId="00A6365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DFE5F3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7.5.2 因承包人原因导致工期延误</w:t>
      </w:r>
    </w:p>
    <w:p w14:paraId="66EF9D2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bookmarkStart w:id="390" w:name="_Toc296503076"/>
      <w:bookmarkStart w:id="391" w:name="_Toc296346577"/>
      <w:r>
        <w:rPr>
          <w:rFonts w:hint="eastAsia" w:ascii="宋体" w:hAnsi="宋体" w:eastAsia="宋体" w:cs="宋体"/>
          <w:color w:val="auto"/>
          <w:kern w:val="0"/>
          <w:sz w:val="21"/>
          <w:szCs w:val="21"/>
          <w:highlight w:val="none"/>
        </w:rPr>
        <w:t>因</w:t>
      </w:r>
      <w:bookmarkEnd w:id="390"/>
      <w:bookmarkEnd w:id="391"/>
      <w:r>
        <w:rPr>
          <w:rFonts w:hint="eastAsia" w:ascii="宋体" w:hAnsi="宋体" w:eastAsia="宋体" w:cs="宋体"/>
          <w:color w:val="auto"/>
          <w:kern w:val="0"/>
          <w:sz w:val="21"/>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5B4CAEB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92" w:name="_Toc351203548"/>
      <w:r>
        <w:rPr>
          <w:rFonts w:hint="eastAsia" w:ascii="宋体" w:hAnsi="宋体" w:eastAsia="宋体" w:cs="宋体"/>
          <w:b w:val="0"/>
          <w:color w:val="auto"/>
          <w:sz w:val="21"/>
          <w:szCs w:val="21"/>
          <w:highlight w:val="none"/>
        </w:rPr>
        <w:t>7</w:t>
      </w:r>
      <w:bookmarkStart w:id="393" w:name="_Toc296503074"/>
      <w:bookmarkStart w:id="394" w:name="_Toc337558773"/>
      <w:bookmarkStart w:id="395" w:name="_Toc296346575"/>
      <w:bookmarkStart w:id="396" w:name="_Toc296346578"/>
      <w:bookmarkStart w:id="397" w:name="_Toc296503077"/>
      <w:r>
        <w:rPr>
          <w:rFonts w:hint="eastAsia" w:ascii="宋体" w:hAnsi="宋体" w:eastAsia="宋体" w:cs="宋体"/>
          <w:b w:val="0"/>
          <w:color w:val="auto"/>
          <w:sz w:val="21"/>
          <w:szCs w:val="21"/>
          <w:highlight w:val="none"/>
        </w:rPr>
        <w:t>.6 不利物质条件</w:t>
      </w:r>
      <w:bookmarkEnd w:id="392"/>
    </w:p>
    <w:bookmarkEnd w:id="393"/>
    <w:bookmarkEnd w:id="394"/>
    <w:bookmarkEnd w:id="395"/>
    <w:p w14:paraId="14DAC75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1C2A5A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3010536">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98" w:name="_Toc351203549"/>
      <w:r>
        <w:rPr>
          <w:rFonts w:hint="eastAsia" w:ascii="宋体" w:hAnsi="宋体" w:eastAsia="宋体" w:cs="宋体"/>
          <w:b w:val="0"/>
          <w:color w:val="auto"/>
          <w:sz w:val="21"/>
          <w:szCs w:val="21"/>
          <w:highlight w:val="none"/>
        </w:rPr>
        <w:t>7</w:t>
      </w:r>
      <w:bookmarkStart w:id="399" w:name="_Toc296346576"/>
      <w:bookmarkStart w:id="400" w:name="_Toc296503075"/>
      <w:bookmarkStart w:id="401" w:name="_Toc337558774"/>
      <w:r>
        <w:rPr>
          <w:rFonts w:hint="eastAsia" w:ascii="宋体" w:hAnsi="宋体" w:eastAsia="宋体" w:cs="宋体"/>
          <w:b w:val="0"/>
          <w:color w:val="auto"/>
          <w:sz w:val="21"/>
          <w:szCs w:val="21"/>
          <w:highlight w:val="none"/>
        </w:rPr>
        <w:t>.7 异常恶劣的气候条件</w:t>
      </w:r>
      <w:bookmarkEnd w:id="398"/>
    </w:p>
    <w:bookmarkEnd w:id="399"/>
    <w:bookmarkEnd w:id="400"/>
    <w:bookmarkEnd w:id="401"/>
    <w:p w14:paraId="2C03E8F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FDC760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402" w:name="_Toc351203550"/>
    </w:p>
    <w:p w14:paraId="4A23D4B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bookmarkStart w:id="403" w:name="_Toc337558775"/>
      <w:r>
        <w:rPr>
          <w:rFonts w:hint="eastAsia" w:ascii="宋体" w:hAnsi="宋体" w:eastAsia="宋体" w:cs="宋体"/>
          <w:bCs/>
          <w:color w:val="auto"/>
          <w:sz w:val="21"/>
          <w:szCs w:val="21"/>
          <w:highlight w:val="none"/>
        </w:rPr>
        <w:t>.8 暂停施工</w:t>
      </w:r>
      <w:bookmarkEnd w:id="402"/>
    </w:p>
    <w:bookmarkEnd w:id="396"/>
    <w:bookmarkEnd w:id="397"/>
    <w:bookmarkEnd w:id="403"/>
    <w:p w14:paraId="6176FB7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7.8.1发包人原因引起的暂停施工</w:t>
      </w:r>
    </w:p>
    <w:p w14:paraId="3C81ECB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因发包人原因引起暂停施工的，监理人经发包人同意后，应及时下达暂停施工指示。情况紧急且监理人未及时下达暂停施工指示的，按照第7.8.4项〔紧急情况下的暂停施工〕执行。</w:t>
      </w:r>
    </w:p>
    <w:p w14:paraId="4CDB617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因发包人原因引起的暂停施工，发包人应承担由此增加的费用和（或）延误的工期，并支付承包人合理的利润。</w:t>
      </w:r>
    </w:p>
    <w:p w14:paraId="120B004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7.8.2 承包人原因引起的暂停施工</w:t>
      </w:r>
    </w:p>
    <w:p w14:paraId="48B4CD9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A2A03B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7.8.3 指示暂停施工</w:t>
      </w:r>
    </w:p>
    <w:p w14:paraId="6DF8513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监理人认为有必要时，并经发包人批准后，可向承包人作出暂停施工的指示，承包人应按监理人指示暂停施工。</w:t>
      </w:r>
    </w:p>
    <w:p w14:paraId="3526E5D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7.8.4 紧急情况下的暂停施工</w:t>
      </w:r>
    </w:p>
    <w:p w14:paraId="5C705EF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547C08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7.8.5 暂停施工后的复工</w:t>
      </w:r>
    </w:p>
    <w:p w14:paraId="47B67CB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6D1E7B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承包人无故拖延和拒绝复工的，承包人承担由此增加的费用和（或）延误的工期；因发包人原因无法按时复工的，按照第7.5.1项〔因发包人原因导致工期延误〕约定办理。</w:t>
      </w:r>
    </w:p>
    <w:p w14:paraId="0328120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7.8.6 暂停施工持续56天以上</w:t>
      </w:r>
    </w:p>
    <w:p w14:paraId="335914F1">
      <w:pPr>
        <w:pageBreakBefore w:val="0"/>
        <w:kinsoku/>
        <w:wordWrap/>
        <w:overflowPunct/>
        <w:topLinePunct w:val="0"/>
        <w:bidi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AEB121C">
      <w:pPr>
        <w:pageBreakBefore w:val="0"/>
        <w:kinsoku/>
        <w:wordWrap/>
        <w:overflowPunct/>
        <w:topLinePunct w:val="0"/>
        <w:bidi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176B13B">
      <w:pPr>
        <w:pageBreakBefore w:val="0"/>
        <w:kinsoku/>
        <w:wordWrap/>
        <w:overflowPunct/>
        <w:topLinePunct w:val="0"/>
        <w:bidi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7.8.7 暂停施工期间的工程照管</w:t>
      </w:r>
    </w:p>
    <w:p w14:paraId="2B2874D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暂停施工期间，承包人应负责妥善照管工程并提供安全保障，由此增加的费用由责任方承担。</w:t>
      </w:r>
    </w:p>
    <w:p w14:paraId="34C386A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7.8.8 暂停施工的措施</w:t>
      </w:r>
    </w:p>
    <w:p w14:paraId="1E452C6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暂停施工期间，发包人和承包人均应采取必要的措施确保工程质量及安全，防止因暂停施工扩大损失。</w:t>
      </w:r>
    </w:p>
    <w:p w14:paraId="124F7A9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04" w:name="_Toc351203551"/>
      <w:r>
        <w:rPr>
          <w:rFonts w:hint="eastAsia" w:ascii="宋体" w:hAnsi="宋体" w:eastAsia="宋体" w:cs="宋体"/>
          <w:b w:val="0"/>
          <w:color w:val="auto"/>
          <w:sz w:val="21"/>
          <w:szCs w:val="21"/>
          <w:highlight w:val="none"/>
        </w:rPr>
        <w:t>7.9提前竣工</w:t>
      </w:r>
      <w:bookmarkEnd w:id="404"/>
    </w:p>
    <w:p w14:paraId="6FEB857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B55F45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7.9.2 发包人要求承包人提前竣工，或承包人提出提前竣工的建议能够给发包人带来效益的，合同当事人可以在专用合同条款中约定提前竣工的奖励。</w:t>
      </w:r>
    </w:p>
    <w:p w14:paraId="3855C64A">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405" w:name="_Toc351203552"/>
      <w:r>
        <w:rPr>
          <w:rFonts w:hint="eastAsia" w:ascii="宋体" w:hAnsi="宋体" w:eastAsia="宋体" w:cs="宋体"/>
          <w:b w:val="0"/>
          <w:color w:val="auto"/>
          <w:sz w:val="21"/>
          <w:szCs w:val="21"/>
          <w:highlight w:val="none"/>
        </w:rPr>
        <w:t>8</w:t>
      </w:r>
      <w:bookmarkStart w:id="406" w:name="_Toc296503058"/>
      <w:bookmarkStart w:id="407" w:name="_Toc337558776"/>
      <w:bookmarkStart w:id="408" w:name="_Toc296346559"/>
      <w:r>
        <w:rPr>
          <w:rFonts w:hint="eastAsia" w:ascii="宋体" w:hAnsi="宋体" w:eastAsia="宋体" w:cs="宋体"/>
          <w:b w:val="0"/>
          <w:color w:val="auto"/>
          <w:sz w:val="21"/>
          <w:szCs w:val="21"/>
          <w:highlight w:val="none"/>
        </w:rPr>
        <w:t>. 材料与设备</w:t>
      </w:r>
      <w:bookmarkEnd w:id="405"/>
    </w:p>
    <w:bookmarkEnd w:id="406"/>
    <w:bookmarkEnd w:id="407"/>
    <w:bookmarkEnd w:id="408"/>
    <w:p w14:paraId="02DB5C1D">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09" w:name="_Toc351203553"/>
      <w:r>
        <w:rPr>
          <w:rFonts w:hint="eastAsia" w:ascii="宋体" w:hAnsi="宋体" w:eastAsia="宋体" w:cs="宋体"/>
          <w:b w:val="0"/>
          <w:color w:val="auto"/>
          <w:sz w:val="21"/>
          <w:szCs w:val="21"/>
          <w:highlight w:val="none"/>
        </w:rPr>
        <w:t>8</w:t>
      </w:r>
      <w:bookmarkStart w:id="410" w:name="_Toc337558777"/>
      <w:bookmarkStart w:id="411" w:name="_Toc296503059"/>
      <w:bookmarkStart w:id="412" w:name="_Toc296346560"/>
      <w:bookmarkStart w:id="413" w:name="_Toc468936960"/>
      <w:r>
        <w:rPr>
          <w:rFonts w:hint="eastAsia" w:ascii="宋体" w:hAnsi="宋体" w:eastAsia="宋体" w:cs="宋体"/>
          <w:b w:val="0"/>
          <w:color w:val="auto"/>
          <w:sz w:val="21"/>
          <w:szCs w:val="21"/>
          <w:highlight w:val="none"/>
        </w:rPr>
        <w:t>.1发包人供应材料与工程设备</w:t>
      </w:r>
      <w:bookmarkEnd w:id="409"/>
    </w:p>
    <w:bookmarkEnd w:id="410"/>
    <w:bookmarkEnd w:id="411"/>
    <w:bookmarkEnd w:id="412"/>
    <w:p w14:paraId="3D6D3DD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发包人自行供应材料、工程设备的，应在签订合同时在专用合同条款的附件《发包人供应材料设备一览表》中明确材料、工程设备的品种、规格、型号、数量、单价、质量等级和送达地点。</w:t>
      </w:r>
    </w:p>
    <w:p w14:paraId="1351CED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6F8B77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color w:val="auto"/>
          <w:sz w:val="21"/>
          <w:szCs w:val="21"/>
          <w:highlight w:val="none"/>
        </w:rPr>
      </w:pPr>
      <w:bookmarkStart w:id="414" w:name="_Toc351203554"/>
      <w:r>
        <w:rPr>
          <w:rFonts w:hint="eastAsia" w:ascii="宋体" w:hAnsi="宋体" w:eastAsia="宋体" w:cs="宋体"/>
          <w:b w:val="0"/>
          <w:color w:val="auto"/>
          <w:sz w:val="21"/>
          <w:szCs w:val="21"/>
          <w:highlight w:val="none"/>
        </w:rPr>
        <w:t>8</w:t>
      </w:r>
      <w:bookmarkStart w:id="415" w:name="_Toc296346561"/>
      <w:bookmarkStart w:id="416" w:name="_Toc296503060"/>
      <w:bookmarkStart w:id="417" w:name="_Toc337558778"/>
      <w:r>
        <w:rPr>
          <w:rFonts w:hint="eastAsia" w:ascii="宋体" w:hAnsi="宋体" w:eastAsia="宋体" w:cs="宋体"/>
          <w:b w:val="0"/>
          <w:color w:val="auto"/>
          <w:sz w:val="21"/>
          <w:szCs w:val="21"/>
          <w:highlight w:val="none"/>
        </w:rPr>
        <w:t>.2承包人采购材料与工程设备</w:t>
      </w:r>
      <w:bookmarkEnd w:id="414"/>
    </w:p>
    <w:bookmarkEnd w:id="415"/>
    <w:bookmarkEnd w:id="416"/>
    <w:bookmarkEnd w:id="417"/>
    <w:p w14:paraId="7188C33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5F60E7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18" w:name="_Toc351203555"/>
      <w:r>
        <w:rPr>
          <w:rFonts w:hint="eastAsia" w:ascii="宋体" w:hAnsi="宋体" w:eastAsia="宋体" w:cs="宋体"/>
          <w:b w:val="0"/>
          <w:color w:val="auto"/>
          <w:sz w:val="21"/>
          <w:szCs w:val="21"/>
          <w:highlight w:val="none"/>
        </w:rPr>
        <w:t>8</w:t>
      </w:r>
      <w:bookmarkStart w:id="419" w:name="_Toc296346562"/>
      <w:bookmarkStart w:id="420" w:name="_Toc296503061"/>
      <w:bookmarkStart w:id="421" w:name="_Toc337558779"/>
      <w:r>
        <w:rPr>
          <w:rFonts w:hint="eastAsia" w:ascii="宋体" w:hAnsi="宋体" w:eastAsia="宋体" w:cs="宋体"/>
          <w:b w:val="0"/>
          <w:color w:val="auto"/>
          <w:sz w:val="21"/>
          <w:szCs w:val="21"/>
          <w:highlight w:val="none"/>
        </w:rPr>
        <w:t>.3材料与工程设备的接收与拒收</w:t>
      </w:r>
      <w:bookmarkEnd w:id="418"/>
    </w:p>
    <w:bookmarkEnd w:id="419"/>
    <w:bookmarkEnd w:id="420"/>
    <w:bookmarkEnd w:id="421"/>
    <w:p w14:paraId="2E4729F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67FB65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发包人提供的材料和工程设备的规格、数量或质量不符合合同约定的，或因发包人原因导致交货日期延误或交货地点变更等情况的，按照第16.1款〔发包人违约〕约定办理。</w:t>
      </w:r>
    </w:p>
    <w:p w14:paraId="4768DE8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8.3.2 承包人采购的材料和工程设备，应保证产品质量合格，承包人应在材料和工程设备到货前24小时通知监理人检验。承</w:t>
      </w:r>
      <w:bookmarkStart w:id="422" w:name="_Toc250655469"/>
      <w:r>
        <w:rPr>
          <w:rFonts w:hint="eastAsia" w:ascii="宋体" w:hAnsi="宋体" w:eastAsia="宋体" w:cs="宋体"/>
          <w:color w:val="auto"/>
          <w:kern w:val="0"/>
          <w:sz w:val="21"/>
          <w:szCs w:val="21"/>
          <w:highlight w:val="none"/>
        </w:rPr>
        <w:t>包人进行永久设备、材料的制造和生产的，应符合相关质量标准，并向监理人提交材料的样本以及有关资料，并应在使用该材料或工程设备之前获得监理人同意。</w:t>
      </w:r>
    </w:p>
    <w:bookmarkEnd w:id="422"/>
    <w:p w14:paraId="36310DA2">
      <w:pPr>
        <w:pageBreakBefore w:val="0"/>
        <w:kinsoku/>
        <w:wordWrap/>
        <w:overflowPunct/>
        <w:topLinePunct w:val="0"/>
        <w:autoSpaceDE w:val="0"/>
        <w:autoSpaceDN w:val="0"/>
        <w:bidi w:val="0"/>
        <w:adjustRightInd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245F58D">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23" w:name="_Toc351203556"/>
      <w:r>
        <w:rPr>
          <w:rFonts w:hint="eastAsia" w:ascii="宋体" w:hAnsi="宋体" w:eastAsia="宋体" w:cs="宋体"/>
          <w:b w:val="0"/>
          <w:color w:val="auto"/>
          <w:sz w:val="21"/>
          <w:szCs w:val="21"/>
          <w:highlight w:val="none"/>
        </w:rPr>
        <w:t>8</w:t>
      </w:r>
      <w:bookmarkStart w:id="424" w:name="_Toc337558780"/>
      <w:bookmarkStart w:id="425" w:name="_Toc296503062"/>
      <w:bookmarkStart w:id="426" w:name="_Toc296346563"/>
      <w:r>
        <w:rPr>
          <w:rFonts w:hint="eastAsia" w:ascii="宋体" w:hAnsi="宋体" w:eastAsia="宋体" w:cs="宋体"/>
          <w:b w:val="0"/>
          <w:color w:val="auto"/>
          <w:sz w:val="21"/>
          <w:szCs w:val="21"/>
          <w:highlight w:val="none"/>
        </w:rPr>
        <w:t>.4材料与工程设备的保管与使用</w:t>
      </w:r>
      <w:bookmarkEnd w:id="423"/>
    </w:p>
    <w:bookmarkEnd w:id="424"/>
    <w:bookmarkEnd w:id="425"/>
    <w:bookmarkEnd w:id="426"/>
    <w:p w14:paraId="638BBF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8.4.1 发包人供应</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p>
    <w:p w14:paraId="1D67D34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A5E66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发包人供应的材料和工程设备使用前，由承包人负责检验，检验费用由发包人承担，不合格的不得使用。</w:t>
      </w:r>
    </w:p>
    <w:p w14:paraId="209F128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8.4.2 承包人采购</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p>
    <w:p w14:paraId="2552A32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B2C6A4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2E6E07B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27" w:name="_Toc351203557"/>
      <w:r>
        <w:rPr>
          <w:rFonts w:hint="eastAsia" w:ascii="宋体" w:hAnsi="宋体" w:eastAsia="宋体" w:cs="宋体"/>
          <w:b w:val="0"/>
          <w:color w:val="auto"/>
          <w:sz w:val="21"/>
          <w:szCs w:val="21"/>
          <w:highlight w:val="none"/>
        </w:rPr>
        <w:t>8.5禁止使用不合格的材料和工程设备</w:t>
      </w:r>
      <w:bookmarkEnd w:id="427"/>
    </w:p>
    <w:p w14:paraId="7D4A95A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0EB8ABA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8.5.2 监理人发现承包人使用了不合格的材料和工程设备，承包人应按照监理人的指示立即改正，并禁止在工程中继续使用不合格的材料和工程设备。</w:t>
      </w:r>
    </w:p>
    <w:p w14:paraId="668AF76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8.5.3 发包人提供的材料或工程设备不符合合同要求的，承包人有权拒绝，并可要求发包人更换，由此增加的费用和（或）延误的工期由发包人承担，并支付承包人合理的利润。</w:t>
      </w:r>
    </w:p>
    <w:p w14:paraId="509CC51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28" w:name="_Toc351203558"/>
      <w:r>
        <w:rPr>
          <w:rFonts w:hint="eastAsia" w:ascii="宋体" w:hAnsi="宋体" w:eastAsia="宋体" w:cs="宋体"/>
          <w:b w:val="0"/>
          <w:color w:val="auto"/>
          <w:sz w:val="21"/>
          <w:szCs w:val="21"/>
          <w:highlight w:val="none"/>
        </w:rPr>
        <w:t>8.6 样品</w:t>
      </w:r>
      <w:bookmarkEnd w:id="428"/>
    </w:p>
    <w:p w14:paraId="3EB6F7A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14:paraId="292D427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需要承包人报送样品的材料或工程设备，样品的种类、名称、规格、数量等要求均应在专用合同条款中约定。样品的报送程序如下：</w:t>
      </w:r>
    </w:p>
    <w:p w14:paraId="04F5612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5DB513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A2CF6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（3）经发包人和监理人审批确认的样品应按约定的方法封样，封存的样品作为检验工程相关部分的标准之一。承包人在施工过程中不得使用与样品不符的材料或工程设备。</w:t>
      </w:r>
    </w:p>
    <w:p w14:paraId="3B75D30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DF4D10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8.6.2 样品的保管</w:t>
      </w:r>
    </w:p>
    <w:p w14:paraId="3D5D611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经批准的样品应由监理人负责封存于现场，承包人应在现场为保存样品提供适当和固定的场所并保持适当和良好的存储环境条件。</w:t>
      </w:r>
    </w:p>
    <w:p w14:paraId="2624544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29" w:name="_Toc351203559"/>
      <w:r>
        <w:rPr>
          <w:rFonts w:hint="eastAsia" w:ascii="宋体" w:hAnsi="宋体" w:eastAsia="宋体" w:cs="宋体"/>
          <w:b w:val="0"/>
          <w:color w:val="auto"/>
          <w:sz w:val="21"/>
          <w:szCs w:val="21"/>
          <w:highlight w:val="none"/>
        </w:rPr>
        <w:t>8.7材料与工程设备的替代</w:t>
      </w:r>
      <w:bookmarkEnd w:id="429"/>
    </w:p>
    <w:p w14:paraId="5A44A53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8.7.1 出现下列情况需要使用替代材料和工程设备的，承包人应按照第8.7.2项约定的程序执行：</w:t>
      </w:r>
    </w:p>
    <w:p w14:paraId="1FCF1CB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（1）基准日期后生效的法律规定禁止使用的；</w:t>
      </w:r>
    </w:p>
    <w:p w14:paraId="75B0DD7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（2）发包人要求使用替代品的；</w:t>
      </w:r>
    </w:p>
    <w:p w14:paraId="529AB02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（3）因其他原因必须使用替代品的。</w:t>
      </w:r>
    </w:p>
    <w:p w14:paraId="69FC54E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8.7.2 承包人应在使用替代材料和工程设备28天前书面通知监理人，并附下列文件：</w:t>
      </w:r>
    </w:p>
    <w:p w14:paraId="74611A4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（1）被替代的材料和工程设备的名称、数量、规格、型号、品牌、性能、价格及其他相关资料；</w:t>
      </w:r>
    </w:p>
    <w:p w14:paraId="21ACD37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（2）替代品的名称、数量、规格、型号、品牌、性能、价格及其他相关资料；</w:t>
      </w:r>
    </w:p>
    <w:p w14:paraId="5799EEE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（3）替代品与被替代产品之间的差异以及使用替代品可能对工程产生的影响；</w:t>
      </w:r>
    </w:p>
    <w:p w14:paraId="2F19AE1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（4）替代品与被替代产品的价格差异；</w:t>
      </w:r>
    </w:p>
    <w:p w14:paraId="43D4530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（5）使用替代品的理由和原因说明；</w:t>
      </w:r>
    </w:p>
    <w:p w14:paraId="0727086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（6）监理人要求的其他文件。</w:t>
      </w:r>
    </w:p>
    <w:p w14:paraId="2C8E371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监理人应在收到通知后14天内向承包人发出经发包人签认的书面指示；监理人逾期发出书面指示的，视为发包人和监理人同意使用替代品。</w:t>
      </w:r>
    </w:p>
    <w:p w14:paraId="47AC46D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A345D1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30" w:name="_Toc351203560"/>
      <w:r>
        <w:rPr>
          <w:rFonts w:hint="eastAsia" w:ascii="宋体" w:hAnsi="宋体" w:eastAsia="宋体" w:cs="宋体"/>
          <w:b w:val="0"/>
          <w:color w:val="auto"/>
          <w:sz w:val="21"/>
          <w:szCs w:val="21"/>
          <w:highlight w:val="none"/>
        </w:rPr>
        <w:t>8.8施工设备和临时设施</w:t>
      </w:r>
      <w:bookmarkEnd w:id="430"/>
    </w:p>
    <w:p w14:paraId="42FE572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8.8.1 承包人提供的施工设备和临时设施</w:t>
      </w:r>
    </w:p>
    <w:p w14:paraId="02BDEF8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DEEB65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除专用合同条款另有约定外，承包人应自行承担修建临时设施的费用，需要临时占地的，应由发包人办理申请手续并承担相应费用。</w:t>
      </w:r>
    </w:p>
    <w:p w14:paraId="732398A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8.8.2发包人提供的施工设备和临时设施</w:t>
      </w:r>
    </w:p>
    <w:p w14:paraId="2895A8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发包人提供的施工设备或临时设施在专用合同条款中约定。</w:t>
      </w:r>
    </w:p>
    <w:p w14:paraId="5E1F926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8.8.3要求承包人增加或更换施工设备</w:t>
      </w:r>
    </w:p>
    <w:p w14:paraId="77A4301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EF6966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31" w:name="_Toc351203561"/>
      <w:r>
        <w:rPr>
          <w:rFonts w:hint="eastAsia" w:ascii="宋体" w:hAnsi="宋体" w:eastAsia="宋体" w:cs="宋体"/>
          <w:b w:val="0"/>
          <w:color w:val="auto"/>
          <w:sz w:val="21"/>
          <w:szCs w:val="21"/>
          <w:highlight w:val="none"/>
        </w:rPr>
        <w:t>8</w:t>
      </w:r>
      <w:bookmarkStart w:id="432" w:name="_Toc296503063"/>
      <w:bookmarkStart w:id="433" w:name="_Toc337558781"/>
      <w:bookmarkStart w:id="434" w:name="_Toc296346564"/>
      <w:r>
        <w:rPr>
          <w:rFonts w:hint="eastAsia" w:ascii="宋体" w:hAnsi="宋体" w:eastAsia="宋体" w:cs="宋体"/>
          <w:b w:val="0"/>
          <w:color w:val="auto"/>
          <w:sz w:val="21"/>
          <w:szCs w:val="21"/>
          <w:highlight w:val="none"/>
        </w:rPr>
        <w:t>.9材料与设备专用</w:t>
      </w:r>
      <w:bookmarkEnd w:id="431"/>
      <w:r>
        <w:rPr>
          <w:rFonts w:hint="eastAsia" w:ascii="宋体" w:hAnsi="宋体" w:eastAsia="宋体" w:cs="宋体"/>
          <w:b w:val="0"/>
          <w:color w:val="auto"/>
          <w:sz w:val="21"/>
          <w:szCs w:val="21"/>
          <w:highlight w:val="none"/>
        </w:rPr>
        <w:t>要求</w:t>
      </w:r>
    </w:p>
    <w:bookmarkEnd w:id="432"/>
    <w:bookmarkEnd w:id="433"/>
    <w:bookmarkEnd w:id="434"/>
    <w:p w14:paraId="228EF83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413"/>
      <w:r>
        <w:rPr>
          <w:rFonts w:hint="eastAsia" w:ascii="宋体" w:hAnsi="宋体" w:eastAsia="宋体" w:cs="宋体"/>
          <w:color w:val="auto"/>
          <w:kern w:val="0"/>
          <w:sz w:val="21"/>
          <w:szCs w:val="21"/>
          <w:highlight w:val="none"/>
        </w:rPr>
        <w:t>经发包人批准，承包人可以根据施工进度计划撤走闲置的施工设备和其他物品。</w:t>
      </w:r>
    </w:p>
    <w:p w14:paraId="6F261B35">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435" w:name="_Toc351203562"/>
      <w:r>
        <w:rPr>
          <w:rFonts w:hint="eastAsia" w:ascii="宋体" w:hAnsi="宋体" w:eastAsia="宋体" w:cs="宋体"/>
          <w:b w:val="0"/>
          <w:color w:val="auto"/>
          <w:sz w:val="21"/>
          <w:szCs w:val="21"/>
          <w:highlight w:val="none"/>
        </w:rPr>
        <w:t>9</w:t>
      </w:r>
      <w:bookmarkStart w:id="436" w:name="_Toc337558782"/>
      <w:bookmarkStart w:id="437" w:name="_Toc296503083"/>
      <w:bookmarkStart w:id="438" w:name="_Toc296346584"/>
      <w:r>
        <w:rPr>
          <w:rFonts w:hint="eastAsia" w:ascii="宋体" w:hAnsi="宋体" w:eastAsia="宋体" w:cs="宋体"/>
          <w:b w:val="0"/>
          <w:color w:val="auto"/>
          <w:sz w:val="21"/>
          <w:szCs w:val="21"/>
          <w:highlight w:val="none"/>
        </w:rPr>
        <w:t>. 试验与检验</w:t>
      </w:r>
      <w:bookmarkEnd w:id="435"/>
    </w:p>
    <w:bookmarkEnd w:id="436"/>
    <w:p w14:paraId="468CEDE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39" w:name="_Toc351203563"/>
      <w:r>
        <w:rPr>
          <w:rFonts w:hint="eastAsia" w:ascii="宋体" w:hAnsi="宋体" w:eastAsia="宋体" w:cs="宋体"/>
          <w:b w:val="0"/>
          <w:color w:val="auto"/>
          <w:sz w:val="21"/>
          <w:szCs w:val="21"/>
          <w:highlight w:val="none"/>
        </w:rPr>
        <w:t>9</w:t>
      </w:r>
      <w:bookmarkStart w:id="440" w:name="_Toc337558783"/>
      <w:r>
        <w:rPr>
          <w:rFonts w:hint="eastAsia" w:ascii="宋体" w:hAnsi="宋体" w:eastAsia="宋体" w:cs="宋体"/>
          <w:b w:val="0"/>
          <w:color w:val="auto"/>
          <w:sz w:val="21"/>
          <w:szCs w:val="21"/>
          <w:highlight w:val="none"/>
        </w:rPr>
        <w:t>.1试验设备与试验人员</w:t>
      </w:r>
      <w:bookmarkEnd w:id="439"/>
    </w:p>
    <w:bookmarkEnd w:id="440"/>
    <w:p w14:paraId="5CBA1A4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A1D5D1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9.1.2 承包人应按专用合同条款的约定提供试验设备、取样装置、试验场所和试验条件，并向监理人提交相应进场计划表。</w:t>
      </w:r>
    </w:p>
    <w:p w14:paraId="7A20709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承包人配置的试验设备要符合相应试验规程的要求并经过具有资质的检测单位检测，且在正式使用该试验设备前，需要经过监理人与承包人共同校定。</w:t>
      </w:r>
    </w:p>
    <w:p w14:paraId="5D1029D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9.1.3 承包人应向监理人提交试验人员的名单及其岗位、资格等证明资料，试验人员必须能够熟练进行相应的检测试验，承包人对试验人员的试验程序和试验结果的正确性负责。</w:t>
      </w:r>
    </w:p>
    <w:p w14:paraId="5ADB6A0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41" w:name="_Toc351203564"/>
      <w:r>
        <w:rPr>
          <w:rFonts w:hint="eastAsia" w:ascii="宋体" w:hAnsi="宋体" w:eastAsia="宋体" w:cs="宋体"/>
          <w:b w:val="0"/>
          <w:color w:val="auto"/>
          <w:sz w:val="21"/>
          <w:szCs w:val="21"/>
          <w:highlight w:val="none"/>
        </w:rPr>
        <w:t>9</w:t>
      </w:r>
      <w:bookmarkStart w:id="442" w:name="_Toc337558784"/>
      <w:r>
        <w:rPr>
          <w:rFonts w:hint="eastAsia" w:ascii="宋体" w:hAnsi="宋体" w:eastAsia="宋体" w:cs="宋体"/>
          <w:b w:val="0"/>
          <w:color w:val="auto"/>
          <w:sz w:val="21"/>
          <w:szCs w:val="21"/>
          <w:highlight w:val="none"/>
        </w:rPr>
        <w:t>.2取样</w:t>
      </w:r>
      <w:bookmarkEnd w:id="441"/>
    </w:p>
    <w:bookmarkEnd w:id="442"/>
    <w:p w14:paraId="1C408BD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试验属于自检性质的，承包人可以单独取样。试验属于监理人抽检性质的，可由监理人取样，也可由承包人的试验人员在监理人的监督下取样。</w:t>
      </w:r>
    </w:p>
    <w:p w14:paraId="65D3635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43" w:name="_Toc351203565"/>
      <w:r>
        <w:rPr>
          <w:rFonts w:hint="eastAsia" w:ascii="宋体" w:hAnsi="宋体" w:eastAsia="宋体" w:cs="宋体"/>
          <w:b w:val="0"/>
          <w:color w:val="auto"/>
          <w:sz w:val="21"/>
          <w:szCs w:val="21"/>
          <w:highlight w:val="none"/>
        </w:rPr>
        <w:t>9</w:t>
      </w:r>
      <w:bookmarkStart w:id="444" w:name="_Toc337558785"/>
      <w:r>
        <w:rPr>
          <w:rFonts w:hint="eastAsia" w:ascii="宋体" w:hAnsi="宋体" w:eastAsia="宋体" w:cs="宋体"/>
          <w:b w:val="0"/>
          <w:color w:val="auto"/>
          <w:sz w:val="21"/>
          <w:szCs w:val="21"/>
          <w:highlight w:val="none"/>
        </w:rPr>
        <w:t>.3材料、工程设备和工程的试验和检验</w:t>
      </w:r>
      <w:bookmarkEnd w:id="443"/>
    </w:p>
    <w:bookmarkEnd w:id="444"/>
    <w:p w14:paraId="28729B8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41D489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10DBBB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C2355C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45" w:name="_Toc351203566"/>
      <w:r>
        <w:rPr>
          <w:rFonts w:hint="eastAsia" w:ascii="宋体" w:hAnsi="宋体" w:eastAsia="宋体" w:cs="宋体"/>
          <w:b w:val="0"/>
          <w:color w:val="auto"/>
          <w:sz w:val="21"/>
          <w:szCs w:val="21"/>
          <w:highlight w:val="none"/>
        </w:rPr>
        <w:t>9</w:t>
      </w:r>
      <w:bookmarkStart w:id="446" w:name="_Toc337558786"/>
      <w:r>
        <w:rPr>
          <w:rFonts w:hint="eastAsia" w:ascii="宋体" w:hAnsi="宋体" w:eastAsia="宋体" w:cs="宋体"/>
          <w:b w:val="0"/>
          <w:color w:val="auto"/>
          <w:sz w:val="21"/>
          <w:szCs w:val="21"/>
          <w:highlight w:val="none"/>
        </w:rPr>
        <w:t>.4现场工艺试验</w:t>
      </w:r>
      <w:bookmarkEnd w:id="445"/>
    </w:p>
    <w:bookmarkEnd w:id="446"/>
    <w:p w14:paraId="38BEA65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28669B7F">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447" w:name="_Toc351203567"/>
      <w:r>
        <w:rPr>
          <w:rFonts w:hint="eastAsia" w:ascii="宋体" w:hAnsi="宋体" w:eastAsia="宋体" w:cs="宋体"/>
          <w:b w:val="0"/>
          <w:color w:val="auto"/>
          <w:sz w:val="21"/>
          <w:szCs w:val="21"/>
          <w:highlight w:val="none"/>
        </w:rPr>
        <w:t>1</w:t>
      </w:r>
      <w:bookmarkStart w:id="448" w:name="_Toc337558787"/>
      <w:r>
        <w:rPr>
          <w:rFonts w:hint="eastAsia" w:ascii="宋体" w:hAnsi="宋体" w:eastAsia="宋体" w:cs="宋体"/>
          <w:b w:val="0"/>
          <w:color w:val="auto"/>
          <w:sz w:val="21"/>
          <w:szCs w:val="21"/>
          <w:highlight w:val="none"/>
        </w:rPr>
        <w:t>0. 变更</w:t>
      </w:r>
      <w:bookmarkEnd w:id="437"/>
      <w:bookmarkEnd w:id="438"/>
      <w:bookmarkEnd w:id="447"/>
    </w:p>
    <w:bookmarkEnd w:id="448"/>
    <w:p w14:paraId="496AF03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49" w:name="_Toc351203568"/>
      <w:r>
        <w:rPr>
          <w:rFonts w:hint="eastAsia" w:ascii="宋体" w:hAnsi="宋体" w:eastAsia="宋体" w:cs="宋体"/>
          <w:b w:val="0"/>
          <w:color w:val="auto"/>
          <w:sz w:val="21"/>
          <w:szCs w:val="21"/>
          <w:highlight w:val="none"/>
        </w:rPr>
        <w:t>1</w:t>
      </w:r>
      <w:bookmarkStart w:id="450" w:name="_Toc296346585"/>
      <w:bookmarkStart w:id="451" w:name="_Toc337558788"/>
      <w:bookmarkStart w:id="452" w:name="_Toc296503084"/>
      <w:r>
        <w:rPr>
          <w:rFonts w:hint="eastAsia" w:ascii="宋体" w:hAnsi="宋体" w:eastAsia="宋体" w:cs="宋体"/>
          <w:b w:val="0"/>
          <w:color w:val="auto"/>
          <w:sz w:val="21"/>
          <w:szCs w:val="21"/>
          <w:highlight w:val="none"/>
        </w:rPr>
        <w:t>0.1变更的范围</w:t>
      </w:r>
      <w:bookmarkEnd w:id="449"/>
    </w:p>
    <w:bookmarkEnd w:id="450"/>
    <w:bookmarkEnd w:id="451"/>
    <w:bookmarkEnd w:id="452"/>
    <w:p w14:paraId="3CC1815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除专用合同条款另有约定外，合同履行过程中发生以下情形的，应按照本条约定进行变更：</w:t>
      </w:r>
    </w:p>
    <w:p w14:paraId="0516607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（1）增加或减少合同中任何工作，或追加额外的工作；</w:t>
      </w:r>
    </w:p>
    <w:p w14:paraId="00F016D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（2）取消合同中任何工作，但转由他人实施的工作除外；</w:t>
      </w:r>
    </w:p>
    <w:p w14:paraId="41C42EC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（3）改变合同中任何工作的质量标准或其他特性；</w:t>
      </w:r>
    </w:p>
    <w:p w14:paraId="2E55715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（4）改变工程的基线、标高、位置和尺寸；</w:t>
      </w:r>
    </w:p>
    <w:p w14:paraId="24432C7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（5）改变工程的时间安排或实施顺序。</w:t>
      </w:r>
    </w:p>
    <w:p w14:paraId="1DD646FD">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53" w:name="_Toc351203569"/>
      <w:r>
        <w:rPr>
          <w:rFonts w:hint="eastAsia" w:ascii="宋体" w:hAnsi="宋体" w:eastAsia="宋体" w:cs="宋体"/>
          <w:b w:val="0"/>
          <w:color w:val="auto"/>
          <w:sz w:val="21"/>
          <w:szCs w:val="21"/>
          <w:highlight w:val="none"/>
        </w:rPr>
        <w:t>1</w:t>
      </w:r>
      <w:bookmarkStart w:id="454" w:name="_Toc296503085"/>
      <w:bookmarkStart w:id="455" w:name="_Toc337558789"/>
      <w:bookmarkStart w:id="456" w:name="_Toc296346586"/>
      <w:r>
        <w:rPr>
          <w:rFonts w:hint="eastAsia" w:ascii="宋体" w:hAnsi="宋体" w:eastAsia="宋体" w:cs="宋体"/>
          <w:b w:val="0"/>
          <w:color w:val="auto"/>
          <w:sz w:val="21"/>
          <w:szCs w:val="21"/>
          <w:highlight w:val="none"/>
        </w:rPr>
        <w:t>0.2变更权</w:t>
      </w:r>
      <w:bookmarkEnd w:id="453"/>
    </w:p>
    <w:bookmarkEnd w:id="454"/>
    <w:bookmarkEnd w:id="455"/>
    <w:bookmarkEnd w:id="456"/>
    <w:p w14:paraId="0DA458C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E2DA09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涉及设计变更的，应由设计人提供变更后的图纸和说明。如变更超过原设计标准或批准的建设规模时，发包人应及时办理规划、设计变更等审批手续。</w:t>
      </w:r>
    </w:p>
    <w:p w14:paraId="063C3CE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57" w:name="_Toc351203570"/>
      <w:r>
        <w:rPr>
          <w:rFonts w:hint="eastAsia" w:ascii="宋体" w:hAnsi="宋体" w:eastAsia="宋体" w:cs="宋体"/>
          <w:b w:val="0"/>
          <w:color w:val="auto"/>
          <w:sz w:val="21"/>
          <w:szCs w:val="21"/>
          <w:highlight w:val="none"/>
        </w:rPr>
        <w:t>1</w:t>
      </w:r>
      <w:bookmarkStart w:id="458" w:name="_Toc296503086"/>
      <w:bookmarkStart w:id="459" w:name="_Toc296346587"/>
      <w:bookmarkStart w:id="460" w:name="_Toc337558790"/>
      <w:r>
        <w:rPr>
          <w:rFonts w:hint="eastAsia" w:ascii="宋体" w:hAnsi="宋体" w:eastAsia="宋体" w:cs="宋体"/>
          <w:b w:val="0"/>
          <w:color w:val="auto"/>
          <w:sz w:val="21"/>
          <w:szCs w:val="21"/>
          <w:highlight w:val="none"/>
        </w:rPr>
        <w:t>0.3变更程序</w:t>
      </w:r>
      <w:bookmarkEnd w:id="457"/>
    </w:p>
    <w:bookmarkEnd w:id="458"/>
    <w:bookmarkEnd w:id="459"/>
    <w:bookmarkEnd w:id="460"/>
    <w:p w14:paraId="52AB21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kern w:val="0"/>
          <w:sz w:val="21"/>
          <w:szCs w:val="21"/>
          <w:highlight w:val="none"/>
        </w:rPr>
        <w:t>.3.1 发包人提出变更</w:t>
      </w:r>
    </w:p>
    <w:p w14:paraId="108C892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发包人提出变更的，应通过监理人向承包人发出变更指示，变更指示应说明计划变更的工程范围和变更的内容。</w:t>
      </w:r>
    </w:p>
    <w:p w14:paraId="52DF5A9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kern w:val="0"/>
          <w:sz w:val="21"/>
          <w:szCs w:val="21"/>
          <w:highlight w:val="none"/>
        </w:rPr>
        <w:t>.3.2 监理人提出变更建议</w:t>
      </w:r>
    </w:p>
    <w:p w14:paraId="2FA7E81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93478C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10.3.3 变更执行</w:t>
      </w:r>
    </w:p>
    <w:p w14:paraId="41CB9F2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7621E8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61" w:name="_Toc351203571"/>
      <w:r>
        <w:rPr>
          <w:rFonts w:hint="eastAsia" w:ascii="宋体" w:hAnsi="宋体" w:eastAsia="宋体" w:cs="宋体"/>
          <w:b w:val="0"/>
          <w:color w:val="auto"/>
          <w:sz w:val="21"/>
          <w:szCs w:val="21"/>
          <w:highlight w:val="none"/>
        </w:rPr>
        <w:t>1</w:t>
      </w:r>
      <w:bookmarkStart w:id="462" w:name="_Toc296346588"/>
      <w:bookmarkStart w:id="463" w:name="_Toc337558791"/>
      <w:bookmarkStart w:id="464" w:name="_Toc296503087"/>
      <w:r>
        <w:rPr>
          <w:rFonts w:hint="eastAsia" w:ascii="宋体" w:hAnsi="宋体" w:eastAsia="宋体" w:cs="宋体"/>
          <w:b w:val="0"/>
          <w:color w:val="auto"/>
          <w:sz w:val="21"/>
          <w:szCs w:val="21"/>
          <w:highlight w:val="none"/>
        </w:rPr>
        <w:t>0.4变更估价</w:t>
      </w:r>
      <w:bookmarkEnd w:id="461"/>
    </w:p>
    <w:bookmarkEnd w:id="462"/>
    <w:bookmarkEnd w:id="463"/>
    <w:bookmarkEnd w:id="464"/>
    <w:p w14:paraId="6330DDF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10.4.1 变更估价原则</w:t>
      </w:r>
    </w:p>
    <w:p w14:paraId="5C5C302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除专用合同条款另有约定外，变更估价按照本款约定处理：</w:t>
      </w:r>
    </w:p>
    <w:p w14:paraId="1F4B587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（1）已标价工程量清单或预算书有相同项目的，按照相同项目单价认定；</w:t>
      </w:r>
    </w:p>
    <w:p w14:paraId="1E42479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（2）已标价工程量清单或预算书中无相同项目，但有类似项目的，参照类似项目的单价认定；</w:t>
      </w:r>
    </w:p>
    <w:p w14:paraId="5FC6706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D21FC0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10.4.2 变更估价程序</w:t>
      </w:r>
    </w:p>
    <w:p w14:paraId="42ECF24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955700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因变更引起的价格调整应计入最近一期的进度款中支付。</w:t>
      </w:r>
    </w:p>
    <w:p w14:paraId="7C1D7D7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65" w:name="_Toc351203572"/>
      <w:r>
        <w:rPr>
          <w:rFonts w:hint="eastAsia" w:ascii="宋体" w:hAnsi="宋体" w:eastAsia="宋体" w:cs="宋体"/>
          <w:b w:val="0"/>
          <w:color w:val="auto"/>
          <w:sz w:val="21"/>
          <w:szCs w:val="21"/>
          <w:highlight w:val="none"/>
        </w:rPr>
        <w:t>1</w:t>
      </w:r>
      <w:bookmarkStart w:id="466" w:name="_Toc296503094"/>
      <w:bookmarkStart w:id="467" w:name="_Toc296346595"/>
      <w:bookmarkStart w:id="468" w:name="_Toc337558792"/>
      <w:r>
        <w:rPr>
          <w:rFonts w:hint="eastAsia" w:ascii="宋体" w:hAnsi="宋体" w:eastAsia="宋体" w:cs="宋体"/>
          <w:b w:val="0"/>
          <w:color w:val="auto"/>
          <w:sz w:val="21"/>
          <w:szCs w:val="21"/>
          <w:highlight w:val="none"/>
        </w:rPr>
        <w:t>0.5承包人的合理化建议</w:t>
      </w:r>
      <w:bookmarkEnd w:id="465"/>
    </w:p>
    <w:bookmarkEnd w:id="466"/>
    <w:bookmarkEnd w:id="467"/>
    <w:bookmarkEnd w:id="468"/>
    <w:p w14:paraId="3F86C48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承包人提出合理化建议的，应向监理人提交合理化建议说明，说明建议的内容和理由，以及实施该建议对合同价格和工期的影响。</w:t>
      </w:r>
    </w:p>
    <w:p w14:paraId="7E22313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9E7B6B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合理化建议降低了合同价格或者提高了工程经济效益的，发包人可对承包人给予奖励，奖励的方法和金额在专用合同条款中约定。</w:t>
      </w:r>
    </w:p>
    <w:p w14:paraId="281FAA8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color w:val="auto"/>
          <w:sz w:val="21"/>
          <w:szCs w:val="21"/>
          <w:highlight w:val="none"/>
        </w:rPr>
      </w:pPr>
      <w:bookmarkStart w:id="469" w:name="_Toc351203573"/>
      <w:r>
        <w:rPr>
          <w:rFonts w:hint="eastAsia" w:ascii="宋体" w:hAnsi="宋体" w:eastAsia="宋体" w:cs="宋体"/>
          <w:b w:val="0"/>
          <w:color w:val="auto"/>
          <w:sz w:val="21"/>
          <w:szCs w:val="21"/>
          <w:highlight w:val="none"/>
        </w:rPr>
        <w:t>1</w:t>
      </w:r>
      <w:bookmarkStart w:id="470" w:name="_Toc337558793"/>
      <w:r>
        <w:rPr>
          <w:rFonts w:hint="eastAsia" w:ascii="宋体" w:hAnsi="宋体" w:eastAsia="宋体" w:cs="宋体"/>
          <w:b w:val="0"/>
          <w:color w:val="auto"/>
          <w:sz w:val="21"/>
          <w:szCs w:val="21"/>
          <w:highlight w:val="none"/>
        </w:rPr>
        <w:t>0.6变更引起的工期调整</w:t>
      </w:r>
      <w:bookmarkEnd w:id="469"/>
      <w:r>
        <w:rPr>
          <w:rFonts w:hint="eastAsia" w:ascii="宋体" w:hAnsi="宋体" w:eastAsia="宋体" w:cs="宋体"/>
          <w:b w:val="0"/>
          <w:color w:val="auto"/>
          <w:sz w:val="21"/>
          <w:szCs w:val="21"/>
          <w:highlight w:val="none"/>
        </w:rPr>
        <w:t xml:space="preserve"> </w:t>
      </w:r>
      <w:bookmarkEnd w:id="470"/>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5A37FFF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因变更引起工期变化的，合同当事人均可要求调整合同工期，由合同当事人按照第4.4款〔商定或确定〕并参考工程所在地的工期定额标准确定增减工期天数。</w:t>
      </w:r>
    </w:p>
    <w:p w14:paraId="2B168B2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71" w:name="_Toc351203574"/>
      <w:r>
        <w:rPr>
          <w:rFonts w:hint="eastAsia" w:ascii="宋体" w:hAnsi="宋体" w:eastAsia="宋体" w:cs="宋体"/>
          <w:b w:val="0"/>
          <w:color w:val="auto"/>
          <w:sz w:val="21"/>
          <w:szCs w:val="21"/>
          <w:highlight w:val="none"/>
        </w:rPr>
        <w:t>10.7暂估价</w:t>
      </w:r>
      <w:bookmarkEnd w:id="471"/>
    </w:p>
    <w:p w14:paraId="14A5D18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暂估价专业分包工程、服务、材料和工程设备的明细由合同当事人在专用合同条款中约定。</w:t>
      </w:r>
    </w:p>
    <w:p w14:paraId="3DB9945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10.7.1</w:t>
      </w:r>
      <w:r>
        <w:rPr>
          <w:rFonts w:hint="eastAsia" w:ascii="宋体" w:hAnsi="宋体" w:eastAsia="宋体" w:cs="宋体"/>
          <w:color w:val="auto"/>
          <w:kern w:val="0"/>
          <w:sz w:val="21"/>
          <w:szCs w:val="21"/>
          <w:highlight w:val="none"/>
        </w:rPr>
        <w:t xml:space="preserve"> 依法必须招标的暂估价项目</w:t>
      </w:r>
    </w:p>
    <w:p w14:paraId="0979053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对于依法必须招标的暂估价项目，采取以下第1种方式确定。合同当事人也可以在专用合同条款中选择其他招标方式。</w:t>
      </w:r>
    </w:p>
    <w:p w14:paraId="1DEDF39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第1种方式：对于依法必须招标的暂估价项目，由承包人招标，对该暂估价项目的确认和批准按照以下约定执行：</w:t>
      </w:r>
    </w:p>
    <w:p w14:paraId="62EF864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6A5F86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4BF203C3">
      <w:pPr>
        <w:pageBreakBefore w:val="0"/>
        <w:kinsoku/>
        <w:wordWrap/>
        <w:overflowPunct/>
        <w:topLinePunct w:val="0"/>
        <w:bidi w:val="0"/>
        <w:snapToGrid/>
        <w:spacing w:line="390" w:lineRule="exact"/>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FFE3C5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E8720C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10.7.2</w:t>
      </w:r>
      <w:r>
        <w:rPr>
          <w:rFonts w:hint="eastAsia" w:ascii="宋体" w:hAnsi="宋体" w:eastAsia="宋体" w:cs="宋体"/>
          <w:color w:val="auto"/>
          <w:kern w:val="0"/>
          <w:sz w:val="21"/>
          <w:szCs w:val="21"/>
          <w:highlight w:val="none"/>
        </w:rPr>
        <w:t>不属于依法必须招标的暂估价项目</w:t>
      </w:r>
    </w:p>
    <w:p w14:paraId="4A838A8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除专用合同条款另有约定外，对于不属于依法必须招标的暂估价项目，采取以下第1种方式确定： </w:t>
      </w:r>
    </w:p>
    <w:p w14:paraId="25F87BF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第1种方式：对于不属于依法必须招标的暂估价项目，按本项约定确认和批准：</w:t>
      </w:r>
    </w:p>
    <w:p w14:paraId="7384DD8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C97095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（2）发包人认为承包人确定的供应商、分包人无法满足工程质量或合同要求的，发包人可以要求承包人重新确定暂估价项目的供应商、分包人;</w:t>
      </w:r>
    </w:p>
    <w:p w14:paraId="5B466ED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（3）承包人应当在签订暂估价合同后7天内，将暂估价合同副本报送发包人留存。</w:t>
      </w:r>
    </w:p>
    <w:p w14:paraId="6B77B92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第2种方式：承包人按照第10.7.1项〔依法必须招标的暂估价项目〕约定的第1种方式确定暂估价项目。</w:t>
      </w:r>
    </w:p>
    <w:p w14:paraId="07C6400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14:paraId="1EC8111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承包人具备实施暂估价项目的资格和条件的，经发包人和承包人协商一致后，可由承包人自行实施暂估价项目，合同当事人可以在专用合同条款约定具体事项。</w:t>
      </w:r>
    </w:p>
    <w:p w14:paraId="2DA1088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BF17CE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72" w:name="_Toc351203575"/>
      <w:r>
        <w:rPr>
          <w:rFonts w:hint="eastAsia" w:ascii="宋体" w:hAnsi="宋体" w:eastAsia="宋体" w:cs="宋体"/>
          <w:b w:val="0"/>
          <w:color w:val="auto"/>
          <w:sz w:val="21"/>
          <w:szCs w:val="21"/>
          <w:highlight w:val="none"/>
        </w:rPr>
        <w:t>1</w:t>
      </w:r>
      <w:bookmarkStart w:id="473" w:name="_Toc337558794"/>
      <w:bookmarkStart w:id="474" w:name="_Toc322522561"/>
      <w:bookmarkStart w:id="475" w:name="_Toc296346591"/>
      <w:bookmarkStart w:id="476" w:name="_Toc296503090"/>
      <w:r>
        <w:rPr>
          <w:rFonts w:hint="eastAsia" w:ascii="宋体" w:hAnsi="宋体" w:eastAsia="宋体" w:cs="宋体"/>
          <w:b w:val="0"/>
          <w:color w:val="auto"/>
          <w:sz w:val="21"/>
          <w:szCs w:val="21"/>
          <w:highlight w:val="none"/>
        </w:rPr>
        <w:t>0.8暂列金额</w:t>
      </w:r>
      <w:bookmarkEnd w:id="472"/>
    </w:p>
    <w:bookmarkEnd w:id="473"/>
    <w:p w14:paraId="49D7315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暂列金额应按照发包人的要求使用，发包人的要求应通过监理人发出。合同当事人可以在专用合同条款中协商确定有关事项。</w:t>
      </w:r>
    </w:p>
    <w:bookmarkEnd w:id="474"/>
    <w:bookmarkEnd w:id="475"/>
    <w:bookmarkEnd w:id="476"/>
    <w:p w14:paraId="59FAD43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77" w:name="_Toc351203576"/>
      <w:r>
        <w:rPr>
          <w:rFonts w:hint="eastAsia" w:ascii="宋体" w:hAnsi="宋体" w:eastAsia="宋体" w:cs="宋体"/>
          <w:b w:val="0"/>
          <w:color w:val="auto"/>
          <w:sz w:val="21"/>
          <w:szCs w:val="21"/>
          <w:highlight w:val="none"/>
        </w:rPr>
        <w:t>1</w:t>
      </w:r>
      <w:bookmarkStart w:id="478" w:name="_Toc296346592"/>
      <w:bookmarkStart w:id="479" w:name="_Toc296503091"/>
      <w:bookmarkStart w:id="480" w:name="_Toc337558796"/>
      <w:r>
        <w:rPr>
          <w:rFonts w:hint="eastAsia" w:ascii="宋体" w:hAnsi="宋体" w:eastAsia="宋体" w:cs="宋体"/>
          <w:b w:val="0"/>
          <w:color w:val="auto"/>
          <w:sz w:val="21"/>
          <w:szCs w:val="21"/>
          <w:highlight w:val="none"/>
        </w:rPr>
        <w:t>0.9计日工</w:t>
      </w:r>
      <w:bookmarkEnd w:id="477"/>
      <w:r>
        <w:rPr>
          <w:rFonts w:hint="eastAsia" w:ascii="宋体" w:hAnsi="宋体" w:eastAsia="宋体" w:cs="宋体"/>
          <w:b w:val="0"/>
          <w:color w:val="auto"/>
          <w:sz w:val="21"/>
          <w:szCs w:val="21"/>
          <w:highlight w:val="none"/>
        </w:rPr>
        <w:t xml:space="preserve"> </w:t>
      </w:r>
      <w:bookmarkEnd w:id="478"/>
      <w:bookmarkEnd w:id="479"/>
      <w:bookmarkEnd w:id="480"/>
    </w:p>
    <w:p w14:paraId="41F3EB1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85A6FD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采用计日工计价的任何一项工作，承包人应在该项工作实施过程中，每天提交以下报表和有关凭证报送监理人审查：</w:t>
      </w:r>
    </w:p>
    <w:p w14:paraId="75942A89">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（1）工作名称、内容和数量；</w:t>
      </w:r>
    </w:p>
    <w:p w14:paraId="4D1A6721">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（2）投入该工作的所有人员的姓名、专业、工种、级别和耗用工时；</w:t>
      </w:r>
    </w:p>
    <w:p w14:paraId="0C6A5ACC">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（3）投入该工作的材料类别和数量；</w:t>
      </w:r>
    </w:p>
    <w:p w14:paraId="44AFA2C6">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（4）投入该工作的施工设备型号、台数和耗用台时；</w:t>
      </w:r>
    </w:p>
    <w:p w14:paraId="73ECADE8">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（5）其他有关资料和凭证。</w:t>
      </w:r>
    </w:p>
    <w:p w14:paraId="76FF9BE0">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计日工由承包人汇总后，列入最近一期进度付款申请单，由监理人审查并经发包人批准后列入进度付款。</w:t>
      </w:r>
    </w:p>
    <w:p w14:paraId="1533BA5F">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481" w:name="_Toc351203577"/>
      <w:r>
        <w:rPr>
          <w:rFonts w:hint="eastAsia" w:ascii="宋体" w:hAnsi="宋体" w:eastAsia="宋体" w:cs="宋体"/>
          <w:b w:val="0"/>
          <w:color w:val="auto"/>
          <w:sz w:val="21"/>
          <w:szCs w:val="21"/>
          <w:highlight w:val="none"/>
        </w:rPr>
        <w:t>11. 价格调整</w:t>
      </w:r>
      <w:bookmarkEnd w:id="481"/>
    </w:p>
    <w:p w14:paraId="41F2AF9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82" w:name="_Toc351203578"/>
      <w:bookmarkStart w:id="483" w:name="_Toc296346593"/>
      <w:bookmarkStart w:id="484" w:name="_Toc296503092"/>
      <w:bookmarkStart w:id="485" w:name="_Toc337558797"/>
      <w:r>
        <w:rPr>
          <w:rFonts w:hint="eastAsia" w:ascii="宋体" w:hAnsi="宋体" w:eastAsia="宋体" w:cs="宋体"/>
          <w:b w:val="0"/>
          <w:color w:val="auto"/>
          <w:sz w:val="21"/>
          <w:szCs w:val="21"/>
          <w:highlight w:val="none"/>
        </w:rPr>
        <w:t>11.1市场价格波动引起的调整</w:t>
      </w:r>
      <w:bookmarkEnd w:id="482"/>
    </w:p>
    <w:bookmarkEnd w:id="483"/>
    <w:bookmarkEnd w:id="484"/>
    <w:bookmarkEnd w:id="485"/>
    <w:p w14:paraId="16CF2CA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除专用合同条款另有约定外，市场价格波动超过合同当事人约定的范围，合同价格应当调整。合同当事人可以在专用合同条款中约定选择以下一种方式对合同价格进行调整：</w:t>
      </w:r>
    </w:p>
    <w:p w14:paraId="7EC0A817">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1FF4768F">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（1）价格调整公式</w:t>
      </w:r>
    </w:p>
    <w:p w14:paraId="7AC898A4">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因人工、材料和设备等价格波动影响合同价格时，根据专用合同条款中约定的数据，按以下公式计算差额并调整合同价格：</w:t>
      </w:r>
    </w:p>
    <w:p w14:paraId="3E6AF955">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30"/>
          <w:sz w:val="21"/>
          <w:szCs w:val="21"/>
          <w:highlight w:val="none"/>
        </w:rPr>
        <w:object>
          <v:shape id="_x0000_i1025" o:spt="75" type="#_x0000_t75" style="height:43.9pt;width:359.85pt;" o:ole="t" filled="f" stroked="f" coordsize="21600,21600">
            <v:path/>
            <v:fill on="f" focussize="0,0"/>
            <v:stroke on="f"/>
            <v:imagedata r:id="rId12" o:title=""/>
            <o:lock v:ext="edit" grouping="f" rotation="f" text="f" aspectratio="t"/>
            <w10:wrap type="none"/>
            <w10:anchorlock/>
          </v:shape>
          <o:OLEObject Type="Embed" ProgID="Equation.KSEE3" ShapeID="_x0000_i1025" DrawAspect="Content" ObjectID="_1468075725" r:id="rId11">
            <o:LockedField>false</o:LockedField>
          </o:OLEObject>
        </w:object>
      </w:r>
    </w:p>
    <w:p w14:paraId="75DB3236">
      <w:pPr>
        <w:pageBreakBefore w:val="0"/>
        <w:tabs>
          <w:tab w:val="left" w:pos="0"/>
          <w:tab w:val="left" w:pos="360"/>
          <w:tab w:val="left" w:pos="540"/>
        </w:tabs>
        <w:kinsoku/>
        <w:wordWrap/>
        <w:overflowPunct/>
        <w:topLinePunct w:val="0"/>
        <w:bidi w:val="0"/>
        <w:snapToGrid/>
        <w:spacing w:line="390" w:lineRule="exact"/>
        <w:ind w:left="0"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公式中：ΔP——需调整的价格差额；</w:t>
      </w:r>
    </w:p>
    <w:p w14:paraId="6503DDA6">
      <w:pPr>
        <w:pageBreakBefore w:val="0"/>
        <w:tabs>
          <w:tab w:val="left" w:pos="0"/>
          <w:tab w:val="left" w:pos="360"/>
          <w:tab w:val="left" w:pos="540"/>
        </w:tabs>
        <w:kinsoku/>
        <w:wordWrap/>
        <w:overflowPunct/>
        <w:topLinePunct w:val="0"/>
        <w:bidi w:val="0"/>
        <w:snapToGrid/>
        <w:spacing w:line="390" w:lineRule="exact"/>
        <w:ind w:left="0" w:firstLine="1260" w:firstLineChars="60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6"/>
          <w:sz w:val="21"/>
          <w:szCs w:val="21"/>
          <w:highlight w:val="none"/>
        </w:rPr>
        <w:object>
          <v:shape id="_x0000_i1026" o:spt="75" type="#_x0000_t75" style="height:17.95pt;width:17.95pt;" o:ole="t" filled="f" stroked="f" coordsize="21600,21600">
            <v:path/>
            <v:fill on="f" focussize="0,0"/>
            <v:stroke on="f"/>
            <v:imagedata r:id="rId14" o:title=""/>
            <o:lock v:ext="edit" grouping="f" rotation="f" text="f" aspectratio="t"/>
            <w10:wrap type="none"/>
            <w10:anchorlock/>
          </v:shape>
          <o:OLEObject Type="Embed" ProgID="Equation.KSEE3" ShapeID="_x0000_i1026" DrawAspect="Content" ObjectID="_1468075726" r:id="rId13">
            <o:LockedField>false</o:LockedField>
          </o:OLEObject>
        </w:object>
      </w:r>
      <w:r>
        <w:rPr>
          <w:rFonts w:hint="eastAsia" w:ascii="宋体" w:hAnsi="宋体" w:eastAsia="宋体" w:cs="宋体"/>
          <w:color w:val="auto"/>
          <w:sz w:val="21"/>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5BA53881">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A——定值权重（即不调部分的权重）；</w:t>
      </w:r>
    </w:p>
    <w:p w14:paraId="7CE96F90">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object>
          <v:shape id="_x0000_i1027" o:spt="75" type="#_x0000_t75" style="height:21.05pt;width:101pt;" o:ole="t" filled="f" stroked="f" coordsize="21600,21600">
            <v:path/>
            <v:fill on="f" focussize="0,0"/>
            <v:stroke on="f"/>
            <v:imagedata r:id="rId16" o:title=""/>
            <o:lock v:ext="edit" grouping="f" rotation="f" text="f" aspectratio="t"/>
            <w10:wrap type="none"/>
            <w10:anchorlock/>
          </v:shape>
          <o:OLEObject Type="Embed" ProgID="Equation.KSEE3" ShapeID="_x0000_i1027" DrawAspect="Content" ObjectID="_1468075727" r:id="rId15">
            <o:LockedField>false</o:LockedField>
          </o:OLEObject>
        </w:object>
      </w:r>
      <w:r>
        <w:rPr>
          <w:rFonts w:hint="eastAsia" w:ascii="宋体" w:hAnsi="宋体" w:eastAsia="宋体" w:cs="宋体"/>
          <w:color w:val="auto"/>
          <w:sz w:val="21"/>
          <w:szCs w:val="21"/>
          <w:highlight w:val="none"/>
        </w:rPr>
        <w:t>——各可调因子的变值权重（即可调部分的权重），为各可调因子在签约合同价中所占的比例；</w:t>
      </w:r>
    </w:p>
    <w:p w14:paraId="353BF9DD">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object>
          <v:shape id="_x0000_i1028" o:spt="75" type="#_x0000_t75" style="height:20.6pt;width:102.05pt;" o:ole="t" filled="f" stroked="f" coordsize="21600,21600">
            <v:path/>
            <v:fill on="f" focussize="0,0"/>
            <v:stroke on="f"/>
            <v:imagedata r:id="rId18" o:title=""/>
            <o:lock v:ext="edit" grouping="f" rotation="f" text="f" aspectratio="t"/>
            <w10:wrap type="none"/>
            <w10:anchorlock/>
          </v:shape>
          <o:OLEObject Type="Embed" ProgID="Equation.KSEE3" ShapeID="_x0000_i1028" DrawAspect="Content" ObjectID="_1468075728" r:id="rId17">
            <o:LockedField>false</o:LockedField>
          </o:OLEObject>
        </w:object>
      </w:r>
      <w:r>
        <w:rPr>
          <w:rFonts w:hint="eastAsia" w:ascii="宋体" w:hAnsi="宋体" w:eastAsia="宋体" w:cs="宋体"/>
          <w:color w:val="auto"/>
          <w:sz w:val="21"/>
          <w:szCs w:val="21"/>
          <w:highlight w:val="none"/>
        </w:rPr>
        <w:t>——各可调因子的现行价格指数，指约定的付款证书相关周期最后一天的前42天的各可调因子的价格指数；</w:t>
      </w:r>
    </w:p>
    <w:p w14:paraId="41BE9E07">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object>
          <v:shape id="_x0000_i1029" o:spt="75" type="#_x0000_t75" style="height:20.2pt;width:107.95pt;" o:ole="t" filled="f" stroked="f" coordsize="21600,21600">
            <v:path/>
            <v:fill on="f" focussize="0,0"/>
            <v:stroke on="f"/>
            <v:imagedata r:id="rId20" o:title=""/>
            <o:lock v:ext="edit" grouping="f" rotation="f" text="f" aspectratio="t"/>
            <w10:wrap type="none"/>
            <w10:anchorlock/>
          </v:shape>
          <o:OLEObject Type="Embed" ProgID="Equation.KSEE3" ShapeID="_x0000_i1029" DrawAspect="Content" ObjectID="_1468075729" r:id="rId19">
            <o:LockedField>false</o:LockedField>
          </o:OLEObject>
        </w:object>
      </w:r>
      <w:r>
        <w:rPr>
          <w:rFonts w:hint="eastAsia" w:ascii="宋体" w:hAnsi="宋体" w:eastAsia="宋体" w:cs="宋体"/>
          <w:color w:val="auto"/>
          <w:sz w:val="21"/>
          <w:szCs w:val="21"/>
          <w:highlight w:val="none"/>
        </w:rPr>
        <w:t>——各可调因子的基本价格指数，指基准日期的各可调因子的价格指数。</w:t>
      </w:r>
    </w:p>
    <w:p w14:paraId="0C96E1EC">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B83672E">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（2）暂时确定调整差额</w:t>
      </w:r>
    </w:p>
    <w:p w14:paraId="001FF5DE">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在计算调整差额时无现行价格指数的，合同当事人同意暂用前次价格指数计算。实际价格指数有调整的，合同当事人进行相应调整。</w:t>
      </w:r>
    </w:p>
    <w:p w14:paraId="32147CBB">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（3）权重的调整</w:t>
      </w:r>
    </w:p>
    <w:p w14:paraId="5ADF3DF5">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因变更导致合同约定的权重不合理时，按照第4.4款〔商定或确定〕执行。</w:t>
      </w:r>
    </w:p>
    <w:p w14:paraId="1775AE86">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（4）因承包人原因工期延误后的价格调整</w:t>
      </w:r>
    </w:p>
    <w:p w14:paraId="1519F8B3">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B7AE6CE">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3A531953">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D90EAA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4F45D58">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（2）材料、工程设备价格变化的价款调整按照发包人提供的基准价格，按以下风险范围规定执行:</w:t>
      </w:r>
    </w:p>
    <w:p w14:paraId="58B963F1">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D4B34E9">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E596AB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2A93BEE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97C2260">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bookmarkStart w:id="486" w:name="OLE_LINK3"/>
      <w:r>
        <w:rPr>
          <w:rFonts w:hint="eastAsia" w:ascii="宋体" w:hAnsi="宋体" w:eastAsia="宋体" w:cs="宋体"/>
          <w:color w:val="auto"/>
          <w:sz w:val="21"/>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8B05A1F">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（3）施工机械台班单价或施工机械使用费发生变化超过省级或行业建设主管部门或其授权的工程造价管理机构规定的范围时，按规定调整合同价格。</w:t>
      </w:r>
    </w:p>
    <w:p w14:paraId="4C4CA11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第3种方式：专用合同条款约定的其他方式。</w:t>
      </w:r>
    </w:p>
    <w:p w14:paraId="6224C829">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87" w:name="_Toc351203579"/>
      <w:bookmarkStart w:id="488" w:name="_Toc296503093"/>
      <w:bookmarkStart w:id="489" w:name="_Toc296346594"/>
      <w:bookmarkStart w:id="490" w:name="_Toc337558798"/>
      <w:r>
        <w:rPr>
          <w:rFonts w:hint="eastAsia" w:ascii="宋体" w:hAnsi="宋体" w:eastAsia="宋体" w:cs="宋体"/>
          <w:b w:val="0"/>
          <w:color w:val="auto"/>
          <w:sz w:val="21"/>
          <w:szCs w:val="21"/>
          <w:highlight w:val="none"/>
        </w:rPr>
        <w:t>11.2法律变化引起的调整</w:t>
      </w:r>
      <w:bookmarkEnd w:id="487"/>
    </w:p>
    <w:bookmarkEnd w:id="488"/>
    <w:bookmarkEnd w:id="489"/>
    <w:bookmarkEnd w:id="490"/>
    <w:p w14:paraId="6741D727">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751A651">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因法律变化引起的合同价格和工期调整，合同当事人无法达成一致的，由总监理工程师按第4.4款〔商定或确定〕的约定处理。</w:t>
      </w:r>
    </w:p>
    <w:p w14:paraId="48DEE191">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因承包人原因造成工期延误，在工期延误期间出现法律变化的，由此增加的费用和（或）延误的工期由承包人承担。</w:t>
      </w:r>
    </w:p>
    <w:p w14:paraId="40997179">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491" w:name="_Toc351203580"/>
      <w:bookmarkStart w:id="492" w:name="_Toc337558799"/>
      <w:bookmarkStart w:id="493" w:name="_Toc296346597"/>
      <w:bookmarkStart w:id="494" w:name="_Toc296503096"/>
      <w:r>
        <w:rPr>
          <w:rFonts w:hint="eastAsia" w:ascii="宋体" w:hAnsi="宋体" w:eastAsia="宋体" w:cs="宋体"/>
          <w:b w:val="0"/>
          <w:color w:val="auto"/>
          <w:sz w:val="21"/>
          <w:szCs w:val="21"/>
          <w:highlight w:val="none"/>
        </w:rPr>
        <w:t>12. 合同价格、计量与支付</w:t>
      </w:r>
      <w:bookmarkEnd w:id="491"/>
    </w:p>
    <w:bookmarkEnd w:id="492"/>
    <w:p w14:paraId="5432D7D6">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95" w:name="_Toc351203581"/>
      <w:bookmarkStart w:id="496" w:name="_Toc337558800"/>
      <w:r>
        <w:rPr>
          <w:rFonts w:hint="eastAsia" w:ascii="宋体" w:hAnsi="宋体" w:eastAsia="宋体" w:cs="宋体"/>
          <w:b w:val="0"/>
          <w:color w:val="auto"/>
          <w:sz w:val="21"/>
          <w:szCs w:val="21"/>
          <w:highlight w:val="none"/>
        </w:rPr>
        <w:t>12.1 合同价</w:t>
      </w:r>
      <w:bookmarkEnd w:id="493"/>
      <w:bookmarkEnd w:id="494"/>
      <w:r>
        <w:rPr>
          <w:rFonts w:hint="eastAsia" w:ascii="宋体" w:hAnsi="宋体" w:eastAsia="宋体" w:cs="宋体"/>
          <w:b w:val="0"/>
          <w:color w:val="auto"/>
          <w:sz w:val="21"/>
          <w:szCs w:val="21"/>
          <w:highlight w:val="none"/>
        </w:rPr>
        <w:t>格形式</w:t>
      </w:r>
      <w:bookmarkEnd w:id="495"/>
    </w:p>
    <w:bookmarkEnd w:id="496"/>
    <w:p w14:paraId="7CEFA61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发包人和承包人应在合同协议书中选择下列一种合同价格形式： </w:t>
      </w:r>
    </w:p>
    <w:p w14:paraId="7E51E9D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w:t>
      </w:r>
    </w:p>
    <w:p w14:paraId="15CC870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1"/>
          <w:szCs w:val="21"/>
          <w:highlight w:val="none"/>
        </w:rPr>
        <w:t>在约定的范围内合同单价不作调整</w:t>
      </w:r>
      <w:r>
        <w:rPr>
          <w:rFonts w:hint="eastAsia" w:ascii="宋体" w:hAnsi="宋体" w:eastAsia="宋体" w:cs="宋体"/>
          <w:color w:val="auto"/>
          <w:kern w:val="0"/>
          <w:sz w:val="21"/>
          <w:szCs w:val="21"/>
          <w:highlight w:val="none"/>
        </w:rPr>
        <w:t>。合同当事人应在专用合同条款中约定综合单价包含的风险范围和风险费用的计算方法</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并约定风险范围以外的合同价格的调整方法，其中因市场价格波动引起的调整按第11.1款〔市场价格波动引起的调整〕约定执行。</w:t>
      </w:r>
    </w:p>
    <w:p w14:paraId="62ADE48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w:t>
      </w:r>
    </w:p>
    <w:p w14:paraId="76858ED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1"/>
          <w:szCs w:val="21"/>
          <w:highlight w:val="none"/>
        </w:rPr>
        <w:t>在约定的范围内合同总价不作调整</w:t>
      </w:r>
      <w:r>
        <w:rPr>
          <w:rFonts w:hint="eastAsia" w:ascii="宋体" w:hAnsi="宋体" w:eastAsia="宋体" w:cs="宋体"/>
          <w:color w:val="auto"/>
          <w:kern w:val="0"/>
          <w:sz w:val="21"/>
          <w:szCs w:val="21"/>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1AEB3E0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3.其它价格形式</w:t>
      </w:r>
    </w:p>
    <w:p w14:paraId="677C37D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合同当事人可在专用合同条款中约定其他合同价格形式。</w:t>
      </w:r>
    </w:p>
    <w:p w14:paraId="083BCEA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97" w:name="_Toc296503097"/>
      <w:bookmarkStart w:id="498" w:name="_Toc296346598"/>
      <w:bookmarkStart w:id="499" w:name="_Toc351203582"/>
      <w:bookmarkStart w:id="500" w:name="_Toc337558801"/>
      <w:r>
        <w:rPr>
          <w:rFonts w:hint="eastAsia" w:ascii="宋体" w:hAnsi="宋体" w:eastAsia="宋体" w:cs="宋体"/>
          <w:b w:val="0"/>
          <w:color w:val="auto"/>
          <w:sz w:val="21"/>
          <w:szCs w:val="21"/>
          <w:highlight w:val="none"/>
        </w:rPr>
        <w:t>12.2预</w:t>
      </w:r>
      <w:bookmarkEnd w:id="497"/>
      <w:bookmarkEnd w:id="498"/>
      <w:bookmarkStart w:id="501" w:name="_Toc296503100"/>
      <w:bookmarkStart w:id="502" w:name="_Toc296346601"/>
      <w:r>
        <w:rPr>
          <w:rFonts w:hint="eastAsia" w:ascii="宋体" w:hAnsi="宋体" w:eastAsia="宋体" w:cs="宋体"/>
          <w:b w:val="0"/>
          <w:color w:val="auto"/>
          <w:sz w:val="21"/>
          <w:szCs w:val="21"/>
          <w:highlight w:val="none"/>
        </w:rPr>
        <w:t>付款</w:t>
      </w:r>
      <w:bookmarkEnd w:id="499"/>
    </w:p>
    <w:bookmarkEnd w:id="500"/>
    <w:bookmarkEnd w:id="501"/>
    <w:bookmarkEnd w:id="502"/>
    <w:p w14:paraId="6C60495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12.2.</w:t>
      </w:r>
      <w:r>
        <w:rPr>
          <w:rFonts w:hint="eastAsia" w:ascii="宋体" w:hAnsi="宋体" w:eastAsia="宋体" w:cs="宋体"/>
          <w:color w:val="auto"/>
          <w:kern w:val="0"/>
          <w:sz w:val="21"/>
          <w:szCs w:val="21"/>
          <w:highlight w:val="none"/>
        </w:rPr>
        <w:t>1预付款的支付</w:t>
      </w:r>
    </w:p>
    <w:p w14:paraId="403BAC5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4306431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除专用合同条款另有约定外，预付款在进度付款中同比例扣回。</w:t>
      </w:r>
      <w:bookmarkEnd w:id="486"/>
      <w:r>
        <w:rPr>
          <w:rFonts w:hint="eastAsia" w:ascii="宋体" w:hAnsi="宋体" w:eastAsia="宋体" w:cs="宋体"/>
          <w:color w:val="auto"/>
          <w:kern w:val="0"/>
          <w:sz w:val="21"/>
          <w:szCs w:val="21"/>
          <w:highlight w:val="none"/>
        </w:rPr>
        <w:t>在颁发工程接收证书前，提前解除合同的，尚未扣完的预付款应与合同价款一并结算。</w:t>
      </w:r>
    </w:p>
    <w:p w14:paraId="53EE0CA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106C581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42ADD60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0DD383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发包人在工程款中逐期扣回预付款后，预付款担保额度应相应减少，但剩余的预付款担保金额不得低于未被扣回的预付款金额。</w:t>
      </w:r>
    </w:p>
    <w:p w14:paraId="4503474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03" w:name="_Toc351203583"/>
      <w:bookmarkStart w:id="504" w:name="_Toc337558802"/>
      <w:r>
        <w:rPr>
          <w:rFonts w:hint="eastAsia" w:ascii="宋体" w:hAnsi="宋体" w:eastAsia="宋体" w:cs="宋体"/>
          <w:b w:val="0"/>
          <w:color w:val="auto"/>
          <w:sz w:val="21"/>
          <w:szCs w:val="21"/>
          <w:highlight w:val="none"/>
        </w:rPr>
        <w:t>12.3计量</w:t>
      </w:r>
      <w:bookmarkEnd w:id="503"/>
    </w:p>
    <w:bookmarkEnd w:id="504"/>
    <w:p w14:paraId="31F6481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12.3.1 计量原则</w:t>
      </w:r>
    </w:p>
    <w:p w14:paraId="576A090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工程量计量按照合同约定的工程量计算规则、图纸及变更指示等进行计量。工程量计算规则应以相关的国家标准、行业标准等为依据，由合同当事人在专用合同条款中约定。</w:t>
      </w:r>
    </w:p>
    <w:p w14:paraId="160FED6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12.3.2 计量周期</w:t>
      </w:r>
    </w:p>
    <w:p w14:paraId="1B96FD8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除专用合同条款另有约定外，工程量的计量按月进行。</w:t>
      </w:r>
    </w:p>
    <w:p w14:paraId="0971F29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12.3.3 单价合同的计量</w:t>
      </w:r>
    </w:p>
    <w:p w14:paraId="24C3EA0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除专用合同条款另有约定外，单价合同的计量按照本项约定执行：</w:t>
      </w:r>
    </w:p>
    <w:p w14:paraId="086F832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（1）承包人应于每月25日向监理人报送上月20日至当月19日已完成的工程量报告，并附具进度付款申请单、已完成工程量报表和有关资料。</w:t>
      </w:r>
    </w:p>
    <w:p w14:paraId="1832D94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241C92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（3）监理人未在收到承包人提交的工程量报表后的7天内完成审核的，承包人报送的工程量报告中的工程量视为承包人实际完成的工程量，据此计算工程价款。</w:t>
      </w:r>
    </w:p>
    <w:p w14:paraId="37567B4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12.3.4 总价合同的计量</w:t>
      </w:r>
    </w:p>
    <w:p w14:paraId="71E54B0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除专用合同条款另有约定外，按月计量支付的总价合同，按照本项约定执行：</w:t>
      </w:r>
    </w:p>
    <w:p w14:paraId="0C4E97F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（1）承包人应于每月25日向监理人报送上月20日至当月19日已完成的工程量报告，并附具进度付款申请单、已完成工程量报表和有关资料。</w:t>
      </w:r>
    </w:p>
    <w:p w14:paraId="1CB91CA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48954C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（3）监理人未在收到承包人提交的工程量报表后的7天内完成复核的，承包人提交的工程量报告中的工程量视为承包人实际完成的工程量。</w:t>
      </w:r>
    </w:p>
    <w:p w14:paraId="719507D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 总价合同采用支付分解表计量支付的，可以按照第12.3.4项〔总价合同的计量〕约定进行计量，但合同价款按照支付分解表进行支付。</w:t>
      </w:r>
    </w:p>
    <w:p w14:paraId="4051E65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12.3.6 其他价格形式合同的计量</w:t>
      </w:r>
    </w:p>
    <w:p w14:paraId="62124B8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合同当事人可在专用合同条款中约定其他价格形式合同的计量方式和程序。</w:t>
      </w:r>
    </w:p>
    <w:p w14:paraId="1EED7D2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05" w:name="_Toc296503101"/>
      <w:bookmarkStart w:id="506" w:name="_Toc296346602"/>
      <w:bookmarkStart w:id="507" w:name="_Toc351203584"/>
      <w:bookmarkStart w:id="508" w:name="_Toc337558803"/>
      <w:r>
        <w:rPr>
          <w:rFonts w:hint="eastAsia" w:ascii="宋体" w:hAnsi="宋体" w:eastAsia="宋体" w:cs="宋体"/>
          <w:b w:val="0"/>
          <w:color w:val="auto"/>
          <w:sz w:val="21"/>
          <w:szCs w:val="21"/>
          <w:highlight w:val="none"/>
        </w:rPr>
        <w:t>12.4工程进度款支</w:t>
      </w:r>
      <w:bookmarkEnd w:id="505"/>
      <w:bookmarkEnd w:id="506"/>
      <w:r>
        <w:rPr>
          <w:rFonts w:hint="eastAsia" w:ascii="宋体" w:hAnsi="宋体" w:eastAsia="宋体" w:cs="宋体"/>
          <w:b w:val="0"/>
          <w:color w:val="auto"/>
          <w:sz w:val="21"/>
          <w:szCs w:val="21"/>
          <w:highlight w:val="none"/>
        </w:rPr>
        <w:t>付</w:t>
      </w:r>
      <w:bookmarkEnd w:id="507"/>
    </w:p>
    <w:bookmarkEnd w:id="508"/>
    <w:p w14:paraId="767BB4B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12.4</w:t>
      </w:r>
      <w:r>
        <w:rPr>
          <w:rFonts w:hint="eastAsia" w:ascii="宋体" w:hAnsi="宋体" w:eastAsia="宋体" w:cs="宋体"/>
          <w:color w:val="auto"/>
          <w:kern w:val="0"/>
          <w:sz w:val="21"/>
          <w:szCs w:val="21"/>
          <w:highlight w:val="none"/>
        </w:rPr>
        <w:t>.1 付款周期</w:t>
      </w:r>
    </w:p>
    <w:p w14:paraId="3F93222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除专用合同条款另有约定外，付款周期应按照第12.3.2项〔计量周期〕的约定与计量周期保持一致。</w:t>
      </w:r>
    </w:p>
    <w:p w14:paraId="01D6B6E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12.4</w:t>
      </w:r>
      <w:r>
        <w:rPr>
          <w:rFonts w:hint="eastAsia" w:ascii="宋体" w:hAnsi="宋体" w:eastAsia="宋体" w:cs="宋体"/>
          <w:color w:val="auto"/>
          <w:kern w:val="0"/>
          <w:sz w:val="21"/>
          <w:szCs w:val="21"/>
          <w:highlight w:val="none"/>
        </w:rPr>
        <w:t>.2 进度付款申请单的编制</w:t>
      </w:r>
    </w:p>
    <w:p w14:paraId="7E96CDB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除专用合同条款另有约定外，进度付款申请单应包括下列内容：</w:t>
      </w:r>
    </w:p>
    <w:p w14:paraId="3C4F1B7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（1）截至本次付款周期已完成工作对应的金额；</w:t>
      </w:r>
    </w:p>
    <w:p w14:paraId="74A4DF7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（2）根据第10条〔变更〕应增加和扣减的变更金额；</w:t>
      </w:r>
    </w:p>
    <w:p w14:paraId="47696E2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（3）根据第12.2款〔预付款〕约定应支付的预付款和扣减的返还预付款；</w:t>
      </w:r>
    </w:p>
    <w:p w14:paraId="14863B1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（4）根据第15.3款〔质量保证金〕约定应扣减的质量保证金；</w:t>
      </w:r>
    </w:p>
    <w:p w14:paraId="480C844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（5）根据第19条〔索赔〕应增加和扣减的索赔金额；</w:t>
      </w:r>
    </w:p>
    <w:p w14:paraId="539EA1A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（6）对已签发的进度款支付证书中出现错误的修正，应在本次进度付款中支付或扣除的金额；</w:t>
      </w:r>
    </w:p>
    <w:p w14:paraId="28B7C34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（7）根据合同约定应增加和扣减的其他金额。</w:t>
      </w:r>
    </w:p>
    <w:p w14:paraId="55F2656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12.4.3 进度付款申请单的提交</w:t>
      </w:r>
    </w:p>
    <w:p w14:paraId="61FE615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（1）单价合同进度付款申请单的提交</w:t>
      </w:r>
    </w:p>
    <w:p w14:paraId="5682739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12DCA9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（2）总价合同进度付款申请单的提交</w:t>
      </w:r>
    </w:p>
    <w:p w14:paraId="378CDDA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总价合同按月计量支付的，承包人按照第12.3.4项〔总价合同的计量〕约定的时间按月向监理人提交进度付款申请单，并附上已完成工程量报表和有关资料。</w:t>
      </w:r>
    </w:p>
    <w:p w14:paraId="44FF00E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总价合同按支付分解表支付的，承包人应按照第12.4.6项〔支付分解表〕及第12.4.2项〔进度付款申请单的编制〕的约定向监理人提交进度付款申请单。</w:t>
      </w:r>
    </w:p>
    <w:p w14:paraId="0D68A64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（3）其他价格形式合同的进度付款申请单的提交</w:t>
      </w:r>
    </w:p>
    <w:p w14:paraId="2502BCC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合同当事人可在专用合同条款中约定其他价格形式合同的进度付款申请单的编制和提交程序。</w:t>
      </w:r>
    </w:p>
    <w:p w14:paraId="3F53780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12.4</w:t>
      </w:r>
      <w:r>
        <w:rPr>
          <w:rFonts w:hint="eastAsia" w:ascii="宋体" w:hAnsi="宋体" w:eastAsia="宋体" w:cs="宋体"/>
          <w:color w:val="auto"/>
          <w:kern w:val="0"/>
          <w:sz w:val="21"/>
          <w:szCs w:val="21"/>
          <w:highlight w:val="none"/>
        </w:rPr>
        <w:t>.4 进度款审核和支付</w:t>
      </w:r>
    </w:p>
    <w:p w14:paraId="26625E4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EB350C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E9EDBF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66F0050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（3）发包人签发进度款支付证书或临时进度款支付证书，不表明发包人已同意、批准或接受了承包人完成的相应部分的工作。</w:t>
      </w:r>
    </w:p>
    <w:p w14:paraId="5BDC3CD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12.4.5 进度付款的修正</w:t>
      </w:r>
    </w:p>
    <w:p w14:paraId="292D725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1A0DF6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12.4.6 支付分解表</w:t>
      </w:r>
    </w:p>
    <w:p w14:paraId="4A359B1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1.支付分解表的编制要求</w:t>
      </w:r>
    </w:p>
    <w:p w14:paraId="2687995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（1）支付分解表中所列的每期付款金额，应为第12.4.2项〔进度付款申请单的编制〕第（1）目的估算金额；</w:t>
      </w:r>
    </w:p>
    <w:p w14:paraId="215AE96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（2）实际进度与施工进度计划不一致的，合同当事人可按照第4.4款〔商定或确定〕修改支付分解表；</w:t>
      </w:r>
    </w:p>
    <w:p w14:paraId="38A943C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（3）不采用支付分解表的，承包人应向发包人和监理人提交按季度编制的支付估算分解表，用于支付参考。</w:t>
      </w:r>
    </w:p>
    <w:p w14:paraId="4E9325B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2.总价合同支付分解表的编制与审批</w:t>
      </w:r>
    </w:p>
    <w:p w14:paraId="557A897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C5881E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1906C371">
      <w:pPr>
        <w:pageBreakBefore w:val="0"/>
        <w:kinsoku/>
        <w:wordWrap/>
        <w:overflowPunct/>
        <w:topLinePunct w:val="0"/>
        <w:bidi w:val="0"/>
        <w:snapToGrid/>
        <w:spacing w:line="390" w:lineRule="exact"/>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（3）发包人逾期未完成支付分解表审批的，也未及时要求承包人进行修正和提供补充资料的，则承包人提交的支付分解表视为已经获得发包人批准。</w:t>
      </w:r>
    </w:p>
    <w:p w14:paraId="041FA7B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3.单价合同的总价项目支付分解表的编制与审批</w:t>
      </w:r>
    </w:p>
    <w:p w14:paraId="23C599E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37F1D2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09" w:name="_Toc351203585"/>
      <w:r>
        <w:rPr>
          <w:rFonts w:hint="eastAsia" w:ascii="宋体" w:hAnsi="宋体" w:eastAsia="宋体" w:cs="宋体"/>
          <w:b w:val="0"/>
          <w:color w:val="auto"/>
          <w:sz w:val="21"/>
          <w:szCs w:val="21"/>
          <w:highlight w:val="none"/>
        </w:rPr>
        <w:t>12.5支付账户</w:t>
      </w:r>
      <w:bookmarkEnd w:id="509"/>
    </w:p>
    <w:p w14:paraId="504FA47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发包人应将合同价款支付至合同协议书中约定的承包人账户。</w:t>
      </w:r>
    </w:p>
    <w:p w14:paraId="6CDB4259">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10" w:name="_Toc351203586"/>
      <w:bookmarkStart w:id="511" w:name="_Toc296346607"/>
      <w:bookmarkStart w:id="512" w:name="_Toc337558804"/>
      <w:bookmarkStart w:id="513" w:name="_Toc322522574"/>
      <w:bookmarkStart w:id="514" w:name="_Toc296503106"/>
      <w:r>
        <w:rPr>
          <w:rFonts w:hint="eastAsia" w:ascii="宋体" w:hAnsi="宋体" w:eastAsia="宋体" w:cs="宋体"/>
          <w:b w:val="0"/>
          <w:color w:val="auto"/>
          <w:sz w:val="21"/>
          <w:szCs w:val="21"/>
          <w:highlight w:val="none"/>
        </w:rPr>
        <w:t>13. 验收和工程试车</w:t>
      </w:r>
      <w:bookmarkEnd w:id="510"/>
    </w:p>
    <w:bookmarkEnd w:id="511"/>
    <w:bookmarkEnd w:id="512"/>
    <w:bookmarkEnd w:id="513"/>
    <w:bookmarkEnd w:id="514"/>
    <w:p w14:paraId="1DE8ABC6">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15" w:name="_Toc351203587"/>
      <w:bookmarkStart w:id="516" w:name="_Toc337558805"/>
      <w:bookmarkStart w:id="517" w:name="_Toc296503110"/>
      <w:bookmarkStart w:id="518" w:name="_Toc296346611"/>
      <w:r>
        <w:rPr>
          <w:rFonts w:hint="eastAsia" w:ascii="宋体" w:hAnsi="宋体" w:eastAsia="宋体" w:cs="宋体"/>
          <w:b w:val="0"/>
          <w:color w:val="auto"/>
          <w:sz w:val="21"/>
          <w:szCs w:val="21"/>
          <w:highlight w:val="none"/>
        </w:rPr>
        <w:t>13.1分部分项工程验收</w:t>
      </w:r>
      <w:bookmarkEnd w:id="515"/>
    </w:p>
    <w:bookmarkEnd w:id="516"/>
    <w:p w14:paraId="180C07C3">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13.1.1 分部分项工程质量应符合国家有关工程施工验收规范、标准及合同约定，承包人应按照施工组织设计的要求完成分部分项工程施工。</w:t>
      </w:r>
    </w:p>
    <w:p w14:paraId="119AA9A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1"/>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1"/>
          <w:szCs w:val="21"/>
          <w:highlight w:val="none"/>
        </w:rPr>
        <w:t>分部分项工程未经验收的，不得进入下一道工序施工。</w:t>
      </w:r>
    </w:p>
    <w:p w14:paraId="10189360">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分部分项工程的验收资料应当作为竣工资料的组成部分。</w:t>
      </w:r>
    </w:p>
    <w:p w14:paraId="1BEAB60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19" w:name="_Toc351203588"/>
      <w:bookmarkStart w:id="520" w:name="_Toc337558806"/>
      <w:r>
        <w:rPr>
          <w:rFonts w:hint="eastAsia" w:ascii="宋体" w:hAnsi="宋体" w:eastAsia="宋体" w:cs="宋体"/>
          <w:b w:val="0"/>
          <w:color w:val="auto"/>
          <w:sz w:val="21"/>
          <w:szCs w:val="21"/>
          <w:highlight w:val="none"/>
        </w:rPr>
        <w:t>13.2竣工验收</w:t>
      </w:r>
      <w:bookmarkEnd w:id="519"/>
    </w:p>
    <w:bookmarkEnd w:id="517"/>
    <w:bookmarkEnd w:id="518"/>
    <w:bookmarkEnd w:id="520"/>
    <w:p w14:paraId="0916FAF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13.2.1竣工验收条件</w:t>
      </w:r>
    </w:p>
    <w:p w14:paraId="1894691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工程具备以下条件的，承包人可以申请竣工验收：</w:t>
      </w:r>
    </w:p>
    <w:p w14:paraId="2400B39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（1）除发包人同意的甩项工作和缺陷修补工作外，合同范围内的全部工程以及有关工作，包括合同要求的试验、试运行以及检验均已完成，并符合合同要求；</w:t>
      </w:r>
    </w:p>
    <w:p w14:paraId="6BED508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（2）已按合同约定编制了甩项工作和缺陷修补工作清单以及相应的施工计划；</w:t>
      </w:r>
    </w:p>
    <w:p w14:paraId="0FCEE3E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（3）已按合同约定的内容和份数备齐竣工资料。</w:t>
      </w:r>
    </w:p>
    <w:p w14:paraId="1BEBA2A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13.2.2竣工验收程序</w:t>
      </w:r>
    </w:p>
    <w:p w14:paraId="27ED343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除专用合同条款另有约定外，承包人申请竣工验收的，应当按照以下程序进行：</w:t>
      </w:r>
    </w:p>
    <w:p w14:paraId="4523E6C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E9AF62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AF0BCE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10D7067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E07329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AD4A91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8FD30E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13.2.3竣工日期</w:t>
      </w:r>
    </w:p>
    <w:p w14:paraId="0725176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21" w:name="#go14"/>
      <w:bookmarkEnd w:id="521"/>
      <w:r>
        <w:rPr>
          <w:rFonts w:hint="eastAsia" w:ascii="宋体" w:hAnsi="宋体" w:eastAsia="宋体" w:cs="宋体"/>
          <w:color w:val="auto"/>
          <w:kern w:val="0"/>
          <w:sz w:val="21"/>
          <w:szCs w:val="21"/>
          <w:highlight w:val="none"/>
        </w:rPr>
        <w:t>收申请报告的日期为实际竣工日期；工程未经竣工验收，发包人擅自使用的，以转移占有工程之日为实际竣工日期。</w:t>
      </w:r>
    </w:p>
    <w:p w14:paraId="0F56358B">
      <w:pPr>
        <w:pageBreakBefore w:val="0"/>
        <w:kinsoku/>
        <w:wordWrap/>
        <w:overflowPunct/>
        <w:topLinePunct w:val="0"/>
        <w:bidi w:val="0"/>
        <w:snapToGrid/>
        <w:spacing w:line="390" w:lineRule="exact"/>
        <w:ind w:left="0"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13.2.4 拒绝接收全部或部分工程</w:t>
      </w:r>
    </w:p>
    <w:p w14:paraId="7B20975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3FE41F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13.2.5 移交、接收全部与部分工程</w:t>
      </w:r>
    </w:p>
    <w:p w14:paraId="693CD86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除专用合同条款另有约定外，合同当事人应当在颁发工程接收证书后7天内完成工程的移交。</w:t>
      </w:r>
    </w:p>
    <w:p w14:paraId="3D73FDF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8EAE03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47649C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22" w:name="_Toc351203589"/>
      <w:bookmarkStart w:id="523" w:name="_Toc296503111"/>
      <w:bookmarkStart w:id="524" w:name="_Toc296346612"/>
      <w:bookmarkStart w:id="525" w:name="_Toc337558807"/>
      <w:r>
        <w:rPr>
          <w:rFonts w:hint="eastAsia" w:ascii="宋体" w:hAnsi="宋体" w:eastAsia="宋体" w:cs="宋体"/>
          <w:b w:val="0"/>
          <w:color w:val="auto"/>
          <w:sz w:val="21"/>
          <w:szCs w:val="21"/>
          <w:highlight w:val="none"/>
        </w:rPr>
        <w:t>13.3工程试车</w:t>
      </w:r>
      <w:bookmarkEnd w:id="522"/>
    </w:p>
    <w:bookmarkEnd w:id="523"/>
    <w:bookmarkEnd w:id="524"/>
    <w:bookmarkEnd w:id="525"/>
    <w:p w14:paraId="24E501C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13.3.1试车程序</w:t>
      </w:r>
    </w:p>
    <w:p w14:paraId="3FCEC0B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工程需要试车的，除专用合同条款另有约定外，试车内容应与承包人承包范围相一致，试车费用由承包人承担。工程试车应按如下程序进行：</w:t>
      </w:r>
    </w:p>
    <w:p w14:paraId="2088DDA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739225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96CF8E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9CF011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13.3.2 试车中的责任</w:t>
      </w:r>
    </w:p>
    <w:p w14:paraId="3E4726C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425A22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851DCA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57F5194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6492137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204A016">
      <w:pPr>
        <w:pStyle w:val="8"/>
        <w:pageBreakBefore w:val="0"/>
        <w:kinsoku/>
        <w:wordWrap/>
        <w:overflowPunct/>
        <w:topLinePunct w:val="0"/>
        <w:bidi w:val="0"/>
        <w:snapToGrid/>
        <w:spacing w:before="0" w:after="0" w:line="390" w:lineRule="exact"/>
        <w:ind w:left="0"/>
        <w:textAlignment w:val="auto"/>
        <w:rPr>
          <w:rFonts w:hint="eastAsia" w:ascii="宋体" w:hAnsi="宋体" w:eastAsia="宋体" w:cs="宋体"/>
          <w:b w:val="0"/>
          <w:color w:val="auto"/>
          <w:sz w:val="21"/>
          <w:szCs w:val="21"/>
          <w:highlight w:val="none"/>
        </w:rPr>
      </w:pPr>
      <w:bookmarkStart w:id="526" w:name="_Toc337558808"/>
      <w:r>
        <w:rPr>
          <w:rFonts w:hint="eastAsia" w:ascii="宋体" w:hAnsi="宋体" w:eastAsia="宋体" w:cs="宋体"/>
          <w:b w:val="0"/>
          <w:color w:val="auto"/>
          <w:sz w:val="21"/>
          <w:szCs w:val="21"/>
          <w:highlight w:val="none"/>
        </w:rPr>
        <w:t xml:space="preserve">    </w:t>
      </w:r>
      <w:bookmarkStart w:id="527" w:name="_Toc351203590"/>
      <w:r>
        <w:rPr>
          <w:rFonts w:hint="eastAsia" w:ascii="宋体" w:hAnsi="宋体" w:eastAsia="宋体" w:cs="宋体"/>
          <w:b w:val="0"/>
          <w:color w:val="auto"/>
          <w:sz w:val="21"/>
          <w:szCs w:val="21"/>
          <w:highlight w:val="none"/>
        </w:rPr>
        <w:t>13.4提前交付单位工程的验收</w:t>
      </w:r>
      <w:bookmarkEnd w:id="527"/>
    </w:p>
    <w:bookmarkEnd w:id="526"/>
    <w:p w14:paraId="77F062C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27F1B85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661441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13.4.2 发包人要求在工程竣工前交付单位工程，由此导致承包人费用增加和（或）工期延误的，由发包人承担由此增加的费用和（或）延误的工期，并支付承包人合理的利润。</w:t>
      </w:r>
    </w:p>
    <w:p w14:paraId="3A0DDD3D">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28" w:name="_Toc351203591"/>
      <w:r>
        <w:rPr>
          <w:rFonts w:hint="eastAsia" w:ascii="宋体" w:hAnsi="宋体" w:eastAsia="宋体" w:cs="宋体"/>
          <w:b w:val="0"/>
          <w:color w:val="auto"/>
          <w:sz w:val="21"/>
          <w:szCs w:val="21"/>
          <w:highlight w:val="none"/>
        </w:rPr>
        <w:t>13.5 施工期运行</w:t>
      </w:r>
      <w:bookmarkEnd w:id="528"/>
    </w:p>
    <w:p w14:paraId="429E611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B7D978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13.5.2 在施工期运行中发现工程或工程设备损坏或存在缺陷的，由承包人按第15.2款〔缺陷责任期〕约定进行修复。</w:t>
      </w:r>
    </w:p>
    <w:p w14:paraId="47787DF6">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29" w:name="_Toc296346613"/>
      <w:bookmarkStart w:id="530" w:name="_Toc296503112"/>
      <w:bookmarkStart w:id="531" w:name="_Toc351203592"/>
      <w:bookmarkStart w:id="532" w:name="_Toc337558809"/>
      <w:r>
        <w:rPr>
          <w:rFonts w:hint="eastAsia" w:ascii="宋体" w:hAnsi="宋体" w:eastAsia="宋体" w:cs="宋体"/>
          <w:b w:val="0"/>
          <w:color w:val="auto"/>
          <w:sz w:val="21"/>
          <w:szCs w:val="21"/>
          <w:highlight w:val="none"/>
        </w:rPr>
        <w:t>13.6 竣工退</w:t>
      </w:r>
      <w:bookmarkEnd w:id="529"/>
      <w:bookmarkEnd w:id="530"/>
      <w:r>
        <w:rPr>
          <w:rFonts w:hint="eastAsia" w:ascii="宋体" w:hAnsi="宋体" w:eastAsia="宋体" w:cs="宋体"/>
          <w:b w:val="0"/>
          <w:color w:val="auto"/>
          <w:sz w:val="21"/>
          <w:szCs w:val="21"/>
          <w:highlight w:val="none"/>
        </w:rPr>
        <w:t>场</w:t>
      </w:r>
      <w:bookmarkEnd w:id="531"/>
    </w:p>
    <w:bookmarkEnd w:id="532"/>
    <w:p w14:paraId="26C2C7F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02B7B0A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颁发工程接收证书后，承包人应按以下要求对施工现场进行清理：</w:t>
      </w:r>
    </w:p>
    <w:p w14:paraId="2101006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（1）施工现场内残留的垃圾已全部清除出场；</w:t>
      </w:r>
    </w:p>
    <w:p w14:paraId="4B9E797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（2）临时工程已拆除，场地已进行清理、平整或复原；</w:t>
      </w:r>
    </w:p>
    <w:p w14:paraId="45F305E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（3）按合同约定应撤离的人员、承包人施工设备和剩余的材料，包括废弃的施工设备和材料，已按计划撤离施工现场；</w:t>
      </w:r>
    </w:p>
    <w:p w14:paraId="34FDE10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（4）施工现场周边及其附近道路、河道的施工堆积物，已全部清理；</w:t>
      </w:r>
    </w:p>
    <w:p w14:paraId="61124FC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（5）施工现场其他场地清理工作已全部完成。</w:t>
      </w:r>
    </w:p>
    <w:p w14:paraId="2E62A7A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F2AA3D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13.6.2 地表还原</w:t>
      </w:r>
    </w:p>
    <w:p w14:paraId="69E4B4B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1218B96F">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33" w:name="_Toc351203593"/>
      <w:bookmarkStart w:id="534" w:name="_Toc337558810"/>
      <w:bookmarkStart w:id="535" w:name="_Toc296503113"/>
      <w:bookmarkStart w:id="536" w:name="_Toc296346614"/>
      <w:r>
        <w:rPr>
          <w:rFonts w:hint="eastAsia" w:ascii="宋体" w:hAnsi="宋体" w:eastAsia="宋体" w:cs="宋体"/>
          <w:b w:val="0"/>
          <w:color w:val="auto"/>
          <w:sz w:val="21"/>
          <w:szCs w:val="21"/>
          <w:highlight w:val="none"/>
        </w:rPr>
        <w:t>14. 竣工结算</w:t>
      </w:r>
      <w:bookmarkEnd w:id="533"/>
    </w:p>
    <w:bookmarkEnd w:id="534"/>
    <w:p w14:paraId="20F6E79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37" w:name="_Toc351203594"/>
      <w:bookmarkStart w:id="538" w:name="_Toc337558811"/>
      <w:r>
        <w:rPr>
          <w:rFonts w:hint="eastAsia" w:ascii="宋体" w:hAnsi="宋体" w:eastAsia="宋体" w:cs="宋体"/>
          <w:b w:val="0"/>
          <w:color w:val="auto"/>
          <w:sz w:val="21"/>
          <w:szCs w:val="21"/>
          <w:highlight w:val="none"/>
        </w:rPr>
        <w:t>14.1 竣工结算申请</w:t>
      </w:r>
      <w:bookmarkEnd w:id="537"/>
    </w:p>
    <w:bookmarkEnd w:id="538"/>
    <w:p w14:paraId="3F9E6F4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除专用合同条款另有约定外，</w:t>
      </w:r>
      <w:r>
        <w:rPr>
          <w:rFonts w:hint="eastAsia" w:ascii="宋体" w:hAnsi="宋体" w:eastAsia="宋体" w:cs="宋体"/>
          <w:color w:val="auto"/>
          <w:sz w:val="21"/>
          <w:szCs w:val="21"/>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2EB6E22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除专用合同条款另有约定外，竣工结算申请单应包括以下内容：</w:t>
      </w:r>
    </w:p>
    <w:p w14:paraId="554CC9E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（1）竣工结算合同价格；</w:t>
      </w:r>
    </w:p>
    <w:p w14:paraId="10B1699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（2）发包人已支付承包人的款项；</w:t>
      </w:r>
    </w:p>
    <w:p w14:paraId="6270216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（3）应扣留的质量保证金。已缴纳履约保证金的或提供其他工程质量担保方式的除外； </w:t>
      </w:r>
    </w:p>
    <w:p w14:paraId="1A95A41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（4）发包人应支付承包人的合同价款。</w:t>
      </w:r>
    </w:p>
    <w:p w14:paraId="3A70113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39" w:name="_Toc351203595"/>
      <w:bookmarkStart w:id="540" w:name="_Toc337558812"/>
      <w:r>
        <w:rPr>
          <w:rFonts w:hint="eastAsia" w:ascii="宋体" w:hAnsi="宋体" w:eastAsia="宋体" w:cs="宋体"/>
          <w:b w:val="0"/>
          <w:color w:val="auto"/>
          <w:sz w:val="21"/>
          <w:szCs w:val="21"/>
          <w:highlight w:val="none"/>
        </w:rPr>
        <w:t>14.2 竣工结算审核</w:t>
      </w:r>
      <w:bookmarkEnd w:id="539"/>
    </w:p>
    <w:bookmarkEnd w:id="540"/>
    <w:p w14:paraId="4415898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1"/>
          <w:szCs w:val="21"/>
          <w:highlight w:val="none"/>
        </w:rPr>
        <w:t>发包人对竣工</w:t>
      </w:r>
      <w:r>
        <w:rPr>
          <w:rFonts w:hint="eastAsia" w:ascii="宋体" w:hAnsi="宋体" w:eastAsia="宋体" w:cs="宋体"/>
          <w:color w:val="auto"/>
          <w:kern w:val="0"/>
          <w:sz w:val="21"/>
          <w:szCs w:val="21"/>
          <w:highlight w:val="none"/>
        </w:rPr>
        <w:t>结算</w:t>
      </w:r>
      <w:r>
        <w:rPr>
          <w:rFonts w:hint="eastAsia" w:ascii="宋体" w:hAnsi="宋体" w:eastAsia="宋体" w:cs="宋体"/>
          <w:color w:val="auto"/>
          <w:sz w:val="21"/>
          <w:szCs w:val="21"/>
          <w:highlight w:val="none"/>
        </w:rPr>
        <w:t>申请单有异议的，有权要求承包人进行修正和提供补充资料，承包人应提交修正后的竣工</w:t>
      </w:r>
      <w:r>
        <w:rPr>
          <w:rFonts w:hint="eastAsia" w:ascii="宋体" w:hAnsi="宋体" w:eastAsia="宋体" w:cs="宋体"/>
          <w:color w:val="auto"/>
          <w:kern w:val="0"/>
          <w:sz w:val="21"/>
          <w:szCs w:val="21"/>
          <w:highlight w:val="none"/>
        </w:rPr>
        <w:t>结算</w:t>
      </w:r>
      <w:r>
        <w:rPr>
          <w:rFonts w:hint="eastAsia" w:ascii="宋体" w:hAnsi="宋体" w:eastAsia="宋体" w:cs="宋体"/>
          <w:color w:val="auto"/>
          <w:sz w:val="21"/>
          <w:szCs w:val="21"/>
          <w:highlight w:val="none"/>
        </w:rPr>
        <w:t>申请单。</w:t>
      </w:r>
    </w:p>
    <w:p w14:paraId="218C146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7577EA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8E8344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3F3B2E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41" w:name="_Toc351203596"/>
      <w:bookmarkStart w:id="542" w:name="_Toc337558813"/>
      <w:r>
        <w:rPr>
          <w:rFonts w:hint="eastAsia" w:ascii="宋体" w:hAnsi="宋体" w:eastAsia="宋体" w:cs="宋体"/>
          <w:b w:val="0"/>
          <w:color w:val="auto"/>
          <w:sz w:val="21"/>
          <w:szCs w:val="21"/>
          <w:highlight w:val="none"/>
        </w:rPr>
        <w:t>14.3 甩项竣工协议</w:t>
      </w:r>
      <w:bookmarkEnd w:id="541"/>
    </w:p>
    <w:bookmarkEnd w:id="542"/>
    <w:p w14:paraId="448790F1">
      <w:pPr>
        <w:pageBreakBefore w:val="0"/>
        <w:kinsoku/>
        <w:wordWrap/>
        <w:overflowPunct/>
        <w:topLinePunct w:val="0"/>
        <w:autoSpaceDE w:val="0"/>
        <w:autoSpaceDN w:val="0"/>
        <w:bidi w:val="0"/>
        <w:adjustRightInd w:val="0"/>
        <w:snapToGrid/>
        <w:spacing w:line="390" w:lineRule="exact"/>
        <w:ind w:left="0" w:firstLine="411" w:firstLineChars="196"/>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4F00538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43" w:name="_Toc351203597"/>
      <w:bookmarkStart w:id="544" w:name="_Toc337558814"/>
      <w:r>
        <w:rPr>
          <w:rFonts w:hint="eastAsia" w:ascii="宋体" w:hAnsi="宋体" w:eastAsia="宋体" w:cs="宋体"/>
          <w:b w:val="0"/>
          <w:color w:val="auto"/>
          <w:sz w:val="21"/>
          <w:szCs w:val="21"/>
          <w:highlight w:val="none"/>
        </w:rPr>
        <w:t>14.4 最终结清</w:t>
      </w:r>
      <w:bookmarkEnd w:id="543"/>
    </w:p>
    <w:bookmarkEnd w:id="544"/>
    <w:p w14:paraId="2C1DD87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448F2B9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（1）除专用合同条款另有约定外，承包人应在缺陷责任期终止证书颁发后7天内，按专用合同条款约定的份数向发包人提交最终结清申请单，并提供相关证明材料。</w:t>
      </w:r>
    </w:p>
    <w:p w14:paraId="6935476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w:t>
      </w:r>
      <w:r>
        <w:rPr>
          <w:rFonts w:hint="eastAsia" w:ascii="宋体" w:hAnsi="宋体" w:eastAsia="宋体" w:cs="宋体"/>
          <w:color w:val="auto"/>
          <w:kern w:val="0"/>
          <w:sz w:val="21"/>
          <w:szCs w:val="21"/>
          <w:highlight w:val="none"/>
        </w:rPr>
        <w:t>最终结清申请单</w:t>
      </w:r>
      <w:r>
        <w:rPr>
          <w:rFonts w:hint="eastAsia" w:ascii="宋体" w:hAnsi="宋体" w:eastAsia="宋体" w:cs="宋体"/>
          <w:color w:val="auto"/>
          <w:sz w:val="21"/>
          <w:szCs w:val="21"/>
          <w:highlight w:val="none"/>
        </w:rPr>
        <w:t>应列明质量保证金、应扣除的质量保证金、缺陷责任期内发生的增减费用。</w:t>
      </w:r>
    </w:p>
    <w:p w14:paraId="5171A8D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（2）发包人对最终结清申请单内容有异议的，有权要求承包人进行修正和提供补充资料，承包人应向发包人提交修正后的最终结清申请单。</w:t>
      </w:r>
    </w:p>
    <w:p w14:paraId="299D1E1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14.4.2 最终结清证书和支付</w:t>
      </w:r>
    </w:p>
    <w:p w14:paraId="0AA9A02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F019F5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69850F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（3）承包人对发包人颁发的最终结清证书有异议的，按第20条〔争议解决〕的约定办理。</w:t>
      </w:r>
    </w:p>
    <w:p w14:paraId="45B64EC3">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45" w:name="_Toc351203598"/>
      <w:bookmarkStart w:id="546" w:name="_Toc337558815"/>
      <w:r>
        <w:rPr>
          <w:rFonts w:hint="eastAsia" w:ascii="宋体" w:hAnsi="宋体" w:eastAsia="宋体" w:cs="宋体"/>
          <w:b w:val="0"/>
          <w:color w:val="auto"/>
          <w:sz w:val="21"/>
          <w:szCs w:val="21"/>
          <w:highlight w:val="none"/>
        </w:rPr>
        <w:t>15. 缺陷责任与保修</w:t>
      </w:r>
      <w:bookmarkEnd w:id="545"/>
    </w:p>
    <w:bookmarkEnd w:id="535"/>
    <w:bookmarkEnd w:id="536"/>
    <w:bookmarkEnd w:id="546"/>
    <w:p w14:paraId="2BFD879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47" w:name="_Toc351203599"/>
      <w:bookmarkStart w:id="548" w:name="_Toc337558816"/>
      <w:bookmarkStart w:id="549" w:name="_Toc296346615"/>
      <w:bookmarkStart w:id="550" w:name="_Toc296503114"/>
      <w:r>
        <w:rPr>
          <w:rFonts w:hint="eastAsia" w:ascii="宋体" w:hAnsi="宋体" w:eastAsia="宋体" w:cs="宋体"/>
          <w:b w:val="0"/>
          <w:color w:val="auto"/>
          <w:sz w:val="21"/>
          <w:szCs w:val="21"/>
          <w:highlight w:val="none"/>
        </w:rPr>
        <w:t>15.1 工程保修的原则</w:t>
      </w:r>
      <w:bookmarkEnd w:id="547"/>
    </w:p>
    <w:bookmarkEnd w:id="548"/>
    <w:p w14:paraId="2F0FCC4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在工程移交发包人后，因承包人原因产生的质量缺陷，承包人应承担质量缺陷责任和保修义务。缺陷责任期届满，承包人仍应按合同约定的工程各部位保修年限承担保修义务。</w:t>
      </w:r>
    </w:p>
    <w:p w14:paraId="2B0D2DA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51" w:name="_Toc351203600"/>
      <w:bookmarkStart w:id="552" w:name="_Toc337558817"/>
      <w:r>
        <w:rPr>
          <w:rFonts w:hint="eastAsia" w:ascii="宋体" w:hAnsi="宋体" w:eastAsia="宋体" w:cs="宋体"/>
          <w:b w:val="0"/>
          <w:color w:val="auto"/>
          <w:sz w:val="21"/>
          <w:szCs w:val="21"/>
          <w:highlight w:val="none"/>
        </w:rPr>
        <w:t>15.2 缺陷责任期</w:t>
      </w:r>
      <w:bookmarkEnd w:id="549"/>
      <w:bookmarkEnd w:id="550"/>
      <w:bookmarkEnd w:id="551"/>
    </w:p>
    <w:bookmarkEnd w:id="552"/>
    <w:p w14:paraId="251A855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15.2.1 缺陷责任期从工程通过竣工验收之日起计算，合同当事人应在专用合同条款约定缺陷责任期的具体期限，但该期限最长不超过24个月。</w:t>
      </w:r>
    </w:p>
    <w:p w14:paraId="7CC949A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9C09E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auto"/>
          <w:sz w:val="21"/>
          <w:szCs w:val="21"/>
          <w:highlight w:val="none"/>
        </w:rPr>
        <w:t>包人延长缺陷责任期，</w:t>
      </w:r>
      <w:r>
        <w:rPr>
          <w:rFonts w:hint="eastAsia" w:ascii="宋体" w:hAnsi="宋体" w:eastAsia="宋体" w:cs="宋体"/>
          <w:color w:val="auto"/>
          <w:kern w:val="0"/>
          <w:sz w:val="21"/>
          <w:szCs w:val="21"/>
          <w:highlight w:val="none"/>
        </w:rPr>
        <w:t>并应在原缺陷责任期届满前发出延长通知。</w:t>
      </w:r>
      <w:r>
        <w:rPr>
          <w:rFonts w:hint="eastAsia" w:ascii="宋体" w:hAnsi="宋体" w:eastAsia="宋体" w:cs="宋体"/>
          <w:bCs/>
          <w:color w:val="auto"/>
          <w:sz w:val="21"/>
          <w:szCs w:val="21"/>
          <w:highlight w:val="none"/>
        </w:rPr>
        <w:t>但缺陷责任期（含延长部分）最长</w:t>
      </w:r>
      <w:r>
        <w:rPr>
          <w:rFonts w:hint="eastAsia" w:ascii="宋体" w:hAnsi="宋体" w:eastAsia="宋体" w:cs="宋体"/>
          <w:color w:val="auto"/>
          <w:kern w:val="0"/>
          <w:sz w:val="21"/>
          <w:szCs w:val="21"/>
          <w:highlight w:val="none"/>
        </w:rPr>
        <w:t>不能超过24个月。</w:t>
      </w:r>
    </w:p>
    <w:p w14:paraId="25BDC9A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由他人原因造成的缺陷，发包人负责组织维修，承包人不承担费用，且发包人不得从保证金中扣除费用。</w:t>
      </w:r>
    </w:p>
    <w:p w14:paraId="4AEA73E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15.2.3 任何一项缺陷或损坏修复后，经检查证明其影响了工程或工程设备的使用性能，承包人应重新进行合同约定的试验和试运行，试验和试运行的全部费用应由责任方承担。</w:t>
      </w:r>
    </w:p>
    <w:p w14:paraId="26D9D4F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652107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53" w:name="_Toc351203601"/>
      <w:bookmarkStart w:id="554" w:name="_Toc337558818"/>
      <w:bookmarkStart w:id="555" w:name="_Toc296346616"/>
      <w:bookmarkStart w:id="556" w:name="_Toc296503115"/>
      <w:r>
        <w:rPr>
          <w:rFonts w:hint="eastAsia" w:ascii="宋体" w:hAnsi="宋体" w:eastAsia="宋体" w:cs="宋体"/>
          <w:b w:val="0"/>
          <w:color w:val="auto"/>
          <w:sz w:val="21"/>
          <w:szCs w:val="21"/>
          <w:highlight w:val="none"/>
        </w:rPr>
        <w:t>15.3 质量保证金</w:t>
      </w:r>
      <w:bookmarkEnd w:id="553"/>
    </w:p>
    <w:bookmarkEnd w:id="554"/>
    <w:p w14:paraId="7F02C7A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经合同当事人协商一致扣留质量保证金的，应在专用合同条款中予以明确。</w:t>
      </w:r>
    </w:p>
    <w:p w14:paraId="2E6F289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在工程项目竣工前，承包人已经提供履约担保的，发包人不得同时预留工程质量保证金。</w:t>
      </w:r>
    </w:p>
    <w:p w14:paraId="76A5F5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p>
    <w:p w14:paraId="161709D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 承包人提供质量保证金的方式</w:t>
      </w:r>
    </w:p>
    <w:p w14:paraId="1C9989E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承包人提供质量保证金有以下三种方式：</w:t>
      </w:r>
    </w:p>
    <w:p w14:paraId="53CCA0F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（1）质量保证金保函； </w:t>
      </w:r>
    </w:p>
    <w:p w14:paraId="596ACBC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（2）相应比例的工程款；</w:t>
      </w:r>
    </w:p>
    <w:p w14:paraId="5C8FA22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（3）双方约定的其他方式。</w:t>
      </w:r>
    </w:p>
    <w:p w14:paraId="4114CB7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除专用合同条款另有约定外，质量保证金原则上采用上述第（1）种方式。</w:t>
      </w:r>
    </w:p>
    <w:p w14:paraId="686F770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15.3.2 质量保证金的扣留</w:t>
      </w:r>
    </w:p>
    <w:p w14:paraId="3CF7DA1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质量保证金的扣留有以下三种方式：</w:t>
      </w:r>
    </w:p>
    <w:p w14:paraId="48436F7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18CEA20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w:t>
      </w:r>
      <w:bookmarkStart w:id="557" w:name="#go6"/>
      <w:bookmarkEnd w:id="557"/>
      <w:r>
        <w:rPr>
          <w:rFonts w:hint="eastAsia" w:ascii="宋体" w:hAnsi="宋体" w:eastAsia="宋体" w:cs="宋体"/>
          <w:color w:val="auto"/>
          <w:kern w:val="0"/>
          <w:sz w:val="21"/>
          <w:szCs w:val="21"/>
          <w:highlight w:val="none"/>
        </w:rPr>
        <w:t>程竣工结算时一次性扣留质量保证金；</w:t>
      </w:r>
    </w:p>
    <w:p w14:paraId="6F06F55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（3）双方约定的其他扣留方式。</w:t>
      </w:r>
    </w:p>
    <w:p w14:paraId="66B8C39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除专用合同条款另有约定外，质量保证金的扣留原则上采用上述第（1）种方式。</w:t>
      </w:r>
    </w:p>
    <w:p w14:paraId="0DD58E9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w:t>
      </w:r>
      <w:bookmarkStart w:id="558" w:name="#go4"/>
      <w:bookmarkEnd w:id="558"/>
      <w:r>
        <w:rPr>
          <w:rFonts w:hint="eastAsia" w:ascii="宋体" w:hAnsi="宋体" w:eastAsia="宋体" w:cs="宋体"/>
          <w:color w:val="auto"/>
          <w:kern w:val="0"/>
          <w:sz w:val="21"/>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BBEE3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发包人在退还质量保证金的同时按照中国人民银行发布的同期同类贷款基准利率支付利息。</w:t>
      </w:r>
    </w:p>
    <w:p w14:paraId="40AB16E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15.3.3 </w:t>
      </w:r>
      <w:r>
        <w:rPr>
          <w:rFonts w:hint="eastAsia" w:ascii="宋体" w:hAnsi="宋体" w:eastAsia="宋体" w:cs="宋体"/>
          <w:color w:val="auto"/>
          <w:sz w:val="21"/>
          <w:szCs w:val="21"/>
          <w:highlight w:val="none"/>
        </w:rPr>
        <w:t>质量保证金</w:t>
      </w:r>
      <w:r>
        <w:rPr>
          <w:rFonts w:hint="eastAsia" w:ascii="宋体" w:hAnsi="宋体" w:eastAsia="宋体" w:cs="宋体"/>
          <w:color w:val="auto"/>
          <w:kern w:val="0"/>
          <w:sz w:val="21"/>
          <w:szCs w:val="21"/>
          <w:highlight w:val="none"/>
        </w:rPr>
        <w:t>的退还</w:t>
      </w:r>
    </w:p>
    <w:p w14:paraId="125F96F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缺陷责任期内，承包人认真履行合同约定的责任，到期后，承包人可向发包人申请返还保证金。</w:t>
      </w:r>
    </w:p>
    <w:p w14:paraId="3EA99F4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8E2F43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发包人和承包人对保证金预留、返还以及工程维修质量、费用有争议的，按本合同第20条约定的争议和纠纷解决程序处理。</w:t>
      </w:r>
    </w:p>
    <w:p w14:paraId="6AE9486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59" w:name="_Toc351203602"/>
      <w:bookmarkStart w:id="560" w:name="_Toc337558819"/>
      <w:r>
        <w:rPr>
          <w:rFonts w:hint="eastAsia" w:ascii="宋体" w:hAnsi="宋体" w:eastAsia="宋体" w:cs="宋体"/>
          <w:b w:val="0"/>
          <w:color w:val="auto"/>
          <w:sz w:val="21"/>
          <w:szCs w:val="21"/>
          <w:highlight w:val="none"/>
        </w:rPr>
        <w:t>15.4 保修</w:t>
      </w:r>
      <w:bookmarkEnd w:id="559"/>
    </w:p>
    <w:bookmarkEnd w:id="555"/>
    <w:bookmarkEnd w:id="556"/>
    <w:bookmarkEnd w:id="560"/>
    <w:p w14:paraId="1437C76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15.4.1保修责任</w:t>
      </w:r>
    </w:p>
    <w:p w14:paraId="202B99E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1537A5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发包人未经竣工验收擅自使用工程的，保修期自</w:t>
      </w:r>
      <w:r>
        <w:rPr>
          <w:rFonts w:hint="eastAsia" w:ascii="宋体" w:hAnsi="宋体" w:eastAsia="宋体" w:cs="宋体"/>
          <w:color w:val="auto"/>
          <w:kern w:val="0"/>
          <w:sz w:val="21"/>
          <w:szCs w:val="21"/>
          <w:highlight w:val="none"/>
        </w:rPr>
        <w:t>转移占有之日起算</w:t>
      </w:r>
      <w:r>
        <w:rPr>
          <w:rFonts w:hint="eastAsia" w:ascii="宋体" w:hAnsi="宋体" w:eastAsia="宋体" w:cs="宋体"/>
          <w:color w:val="auto"/>
          <w:sz w:val="21"/>
          <w:szCs w:val="21"/>
          <w:highlight w:val="none"/>
        </w:rPr>
        <w:t>。</w:t>
      </w:r>
    </w:p>
    <w:p w14:paraId="7B65D4F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15.4.2 修复费用</w:t>
      </w:r>
    </w:p>
    <w:p w14:paraId="2471E4E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保修期内，修复的费用按照以下约定处理：</w:t>
      </w:r>
    </w:p>
    <w:p w14:paraId="427B0B8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（1）保修期内，因承包人原因造成工程的缺陷、损坏，承包人应负责修复，并承担修复的费用以及因工程的缺陷、损坏造成的人身伤害和财产损失；</w:t>
      </w:r>
    </w:p>
    <w:p w14:paraId="40FBC42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（2）保修期内，因发包人使用不当造成工程的缺陷、损坏，可以委托承包人修复，但发包人应承担修复的费用，并支付承包人合理利润；</w:t>
      </w:r>
    </w:p>
    <w:p w14:paraId="0EF7734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（3）因其他原因造成工程的缺陷、损坏，可以委托承包人修复，发包人应承担修复的费用，并支付承包人合理的利润，因工程的缺陷、损坏造成的人身伤害和财产损失由责任方承担。</w:t>
      </w:r>
    </w:p>
    <w:p w14:paraId="690816A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15.4.3 修复通知</w:t>
      </w:r>
    </w:p>
    <w:p w14:paraId="54765EA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808971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15.4.4 未能修复</w:t>
      </w:r>
    </w:p>
    <w:p w14:paraId="7F07898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3D6938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15.4.5 承包人出入权</w:t>
      </w:r>
    </w:p>
    <w:p w14:paraId="37DD98F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E0BA74E">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61" w:name="_Toc351203603"/>
      <w:bookmarkStart w:id="562" w:name="_Toc337558820"/>
      <w:r>
        <w:rPr>
          <w:rFonts w:hint="eastAsia" w:ascii="宋体" w:hAnsi="宋体" w:eastAsia="宋体" w:cs="宋体"/>
          <w:b w:val="0"/>
          <w:color w:val="auto"/>
          <w:sz w:val="21"/>
          <w:szCs w:val="21"/>
          <w:highlight w:val="none"/>
        </w:rPr>
        <w:t>16. 违约</w:t>
      </w:r>
      <w:bookmarkEnd w:id="561"/>
    </w:p>
    <w:bookmarkEnd w:id="562"/>
    <w:p w14:paraId="426E4AF9">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63" w:name="_Toc296346630"/>
      <w:bookmarkStart w:id="564" w:name="_Toc296503129"/>
      <w:bookmarkStart w:id="565" w:name="_Toc351203604"/>
      <w:bookmarkStart w:id="566" w:name="_Toc337558821"/>
      <w:r>
        <w:rPr>
          <w:rFonts w:hint="eastAsia" w:ascii="宋体" w:hAnsi="宋体" w:eastAsia="宋体" w:cs="宋体"/>
          <w:b w:val="0"/>
          <w:color w:val="auto"/>
          <w:sz w:val="21"/>
          <w:szCs w:val="21"/>
          <w:highlight w:val="none"/>
        </w:rPr>
        <w:t>16.1 发</w:t>
      </w:r>
      <w:bookmarkEnd w:id="563"/>
      <w:bookmarkEnd w:id="564"/>
      <w:r>
        <w:rPr>
          <w:rFonts w:hint="eastAsia" w:ascii="宋体" w:hAnsi="宋体" w:eastAsia="宋体" w:cs="宋体"/>
          <w:b w:val="0"/>
          <w:color w:val="auto"/>
          <w:sz w:val="21"/>
          <w:szCs w:val="21"/>
          <w:highlight w:val="none"/>
        </w:rPr>
        <w:t>包人违约</w:t>
      </w:r>
      <w:bookmarkEnd w:id="565"/>
    </w:p>
    <w:bookmarkEnd w:id="566"/>
    <w:p w14:paraId="3828917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16.1.1 发包人违约的情形</w:t>
      </w:r>
    </w:p>
    <w:p w14:paraId="554EF04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在合同履行过程中发生的下列情形，属于发包人违约：</w:t>
      </w:r>
    </w:p>
    <w:p w14:paraId="251E175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（1）因发包人原因未能在计划开工日期前7天内下达开工通知的；</w:t>
      </w:r>
    </w:p>
    <w:p w14:paraId="0FE5B09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w:t>
      </w:r>
    </w:p>
    <w:p w14:paraId="2245F0F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w:t>
      </w:r>
    </w:p>
    <w:p w14:paraId="33A1124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w:t>
      </w:r>
    </w:p>
    <w:p w14:paraId="02AF9AF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w:t>
      </w:r>
    </w:p>
    <w:p w14:paraId="1973483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w:t>
      </w:r>
    </w:p>
    <w:p w14:paraId="31259A9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（7）发包人明确表示或者以其行为表明不履行合同主要义务的；</w:t>
      </w:r>
    </w:p>
    <w:p w14:paraId="3F0B41E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（8）发包人未能按照合同约定履行其他义务的。</w:t>
      </w:r>
    </w:p>
    <w:p w14:paraId="55B9315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28322B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14:paraId="32DBB95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4C98307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16.1.3 因发包人违约解除合同</w:t>
      </w:r>
    </w:p>
    <w:p w14:paraId="3D2A6BE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FF9E23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16.1.4 因发包人违约解除合同后的付款</w:t>
      </w:r>
    </w:p>
    <w:p w14:paraId="163CDD9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承包人按照本款约定解除合同的，发包人应在解除合同后28天内支付下列款项，并解除履约担保：</w:t>
      </w:r>
    </w:p>
    <w:p w14:paraId="653B250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（1）合同解除前所完成工作的价款；</w:t>
      </w:r>
    </w:p>
    <w:p w14:paraId="351AD6A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（2）承包人为工程施工订购并已付款的材料、工程设备和其他物品的价款；</w:t>
      </w:r>
    </w:p>
    <w:p w14:paraId="0B3903E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（3）承包人撤离施工现场以及遣散承包人人员的款项；</w:t>
      </w:r>
    </w:p>
    <w:p w14:paraId="3D55708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（4）按照合同约定在合同解除前应支付的违约金；</w:t>
      </w:r>
    </w:p>
    <w:p w14:paraId="62C2CAE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（5）按照合同约定应当支付给承包人的其他款项；</w:t>
      </w:r>
    </w:p>
    <w:p w14:paraId="2E18E6A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（6）按照合同约定应退还的质量保证金；</w:t>
      </w:r>
    </w:p>
    <w:p w14:paraId="0C59DC8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（7）因解除合同给承包人造成的损失。</w:t>
      </w:r>
    </w:p>
    <w:p w14:paraId="23601B0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合同当事人未能就解除合同后的结清达成一致的，按照第20条〔争议解决〕的约定处理。</w:t>
      </w:r>
    </w:p>
    <w:p w14:paraId="1C951BF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承包人应妥善做好已完工程和与工程有关的已购材料、工程设备的保护和移交工作，并将施工设备和人员撤出施工现场，发包人应为承包人撤出提供必要条件。</w:t>
      </w:r>
    </w:p>
    <w:p w14:paraId="2D3E6E9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67" w:name="_Toc351203605"/>
      <w:bookmarkStart w:id="568" w:name="_Toc296503131"/>
      <w:bookmarkStart w:id="569" w:name="_Toc337558822"/>
      <w:bookmarkStart w:id="570" w:name="_Toc296346632"/>
      <w:r>
        <w:rPr>
          <w:rFonts w:hint="eastAsia" w:ascii="宋体" w:hAnsi="宋体" w:eastAsia="宋体" w:cs="宋体"/>
          <w:b w:val="0"/>
          <w:color w:val="auto"/>
          <w:sz w:val="21"/>
          <w:szCs w:val="21"/>
          <w:highlight w:val="none"/>
        </w:rPr>
        <w:t>16.2 承包人违约</w:t>
      </w:r>
      <w:bookmarkEnd w:id="567"/>
    </w:p>
    <w:bookmarkEnd w:id="568"/>
    <w:bookmarkEnd w:id="569"/>
    <w:bookmarkEnd w:id="570"/>
    <w:p w14:paraId="38C6AC1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136101A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在合同履行过程中发生的下列情形，属于承包人违约：</w:t>
      </w:r>
    </w:p>
    <w:p w14:paraId="12797B4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（1）承包人违反合同约定进行转包或违法分包的；</w:t>
      </w:r>
    </w:p>
    <w:p w14:paraId="1996DFC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（2）承包人违反合同约定采购和使用不合格的材料和工程设备的；</w:t>
      </w:r>
    </w:p>
    <w:p w14:paraId="1D271DA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（3）因承包人原因导致工程质量不符合合同要求的； </w:t>
      </w:r>
    </w:p>
    <w:p w14:paraId="663F384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（4）承包人违反第8.9款〔材料与设备专用要求〕的约定，未经批准，私自将已按照合同约定进入施工现场的材料或设备撤离施工现场的；</w:t>
      </w:r>
    </w:p>
    <w:p w14:paraId="5C278B9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（5）承包人未能按施工进度计划及时完成合同约定的工作，造成工期延误的；</w:t>
      </w:r>
    </w:p>
    <w:p w14:paraId="0E5D400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（6）承包人在缺陷责任期及保修期内，未能在合理期限对工程缺陷进行修复，或拒绝按发包人要求进行修复的；</w:t>
      </w:r>
    </w:p>
    <w:p w14:paraId="48E071D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（7）承包人明确表示或者以其行为表明不履行合同主要义务的；</w:t>
      </w:r>
    </w:p>
    <w:p w14:paraId="67AFD77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（8）承包人未能按照合同约定履行其他义务的。</w:t>
      </w:r>
    </w:p>
    <w:p w14:paraId="0D401A9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承包人发生除本项第（7）目约定以外的其他违约情况时，监理人可向承包人发出整改通知，要求其在指定的期限内改正。</w:t>
      </w:r>
    </w:p>
    <w:p w14:paraId="644176E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 承包人违约的责任</w:t>
      </w:r>
    </w:p>
    <w:p w14:paraId="0B33DE0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承包人应承担因其违约行为而增加的费用和（或）延误的工期。此外，合同当事人可在专用合同条款中另行约定承包人违约责任的承担方式和计算方法。</w:t>
      </w:r>
    </w:p>
    <w:p w14:paraId="68E6A0B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16.2.3 因承包人违约解除合同</w:t>
      </w:r>
    </w:p>
    <w:p w14:paraId="0F3039F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BE4E2E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16.2.4因承包人违约解除合同后的处理</w:t>
      </w:r>
    </w:p>
    <w:p w14:paraId="5CE2C2C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因承包人原因导致合同解除的，则合同当事人应在合同解除后28天内完成估价、付款和清算，并按以下约定执行：</w:t>
      </w:r>
    </w:p>
    <w:p w14:paraId="1D62F47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（1）合同解除后，按第4.4款〔商定或确定〕商定或确定承包人实际完成工作对应的合同价款，以及承包人已提供的材料、工程设备、施工设备和临时工程等的价值；</w:t>
      </w:r>
    </w:p>
    <w:p w14:paraId="526866A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（2）合同解除后，承包人应支付的违约金；</w:t>
      </w:r>
    </w:p>
    <w:p w14:paraId="292EF29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（3）合同解除后，因解除合同给发包人造成的损失；</w:t>
      </w:r>
    </w:p>
    <w:p w14:paraId="3EAC85D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（4）合同解除后，承包人应按照发包人要求和监理人的指示完成现场的清理和撤离；</w:t>
      </w:r>
    </w:p>
    <w:p w14:paraId="6E34A20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（5）发包人和承包人应在合同解除后进行清算，出具最终结清付款证书，结清全部款项。</w:t>
      </w:r>
    </w:p>
    <w:p w14:paraId="3D38168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1934812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16.2.5采购合同权益转让</w:t>
      </w:r>
    </w:p>
    <w:p w14:paraId="0AD3CFB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048BB7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71" w:name="_Toc351203606"/>
      <w:r>
        <w:rPr>
          <w:rFonts w:hint="eastAsia" w:ascii="宋体" w:hAnsi="宋体" w:eastAsia="宋体" w:cs="宋体"/>
          <w:b w:val="0"/>
          <w:color w:val="auto"/>
          <w:sz w:val="21"/>
          <w:szCs w:val="21"/>
          <w:highlight w:val="none"/>
        </w:rPr>
        <w:t>16.3 第三人造成的违约</w:t>
      </w:r>
      <w:bookmarkEnd w:id="571"/>
    </w:p>
    <w:p w14:paraId="4A480FE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在履行合同过程中，一方当事人因第三人的原因造成违约的，应当向对方当事人承担违约责任。一方当事人和第三人之间的纠纷，依照法律规定或者按照约定解决。</w:t>
      </w:r>
    </w:p>
    <w:p w14:paraId="17CC0128">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72" w:name="_Toc351203607"/>
      <w:bookmarkStart w:id="573" w:name="_Toc337558823"/>
      <w:bookmarkStart w:id="574" w:name="_Toc296346617"/>
      <w:bookmarkStart w:id="575" w:name="_Toc296503116"/>
      <w:r>
        <w:rPr>
          <w:rFonts w:hint="eastAsia" w:ascii="宋体" w:hAnsi="宋体" w:eastAsia="宋体" w:cs="宋体"/>
          <w:b w:val="0"/>
          <w:color w:val="auto"/>
          <w:sz w:val="21"/>
          <w:szCs w:val="21"/>
          <w:highlight w:val="none"/>
        </w:rPr>
        <w:t>17. 不可抗力</w:t>
      </w:r>
      <w:bookmarkEnd w:id="572"/>
      <w:r>
        <w:rPr>
          <w:rFonts w:hint="eastAsia" w:ascii="宋体" w:hAnsi="宋体" w:eastAsia="宋体" w:cs="宋体"/>
          <w:b w:val="0"/>
          <w:color w:val="auto"/>
          <w:sz w:val="21"/>
          <w:szCs w:val="21"/>
          <w:highlight w:val="none"/>
        </w:rPr>
        <w:t xml:space="preserve"> </w:t>
      </w:r>
      <w:bookmarkEnd w:id="573"/>
      <w:bookmarkEnd w:id="574"/>
      <w:bookmarkEnd w:id="575"/>
    </w:p>
    <w:p w14:paraId="4334A9D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76" w:name="_Toc351203608"/>
      <w:bookmarkStart w:id="577" w:name="_Toc296346618"/>
      <w:bookmarkStart w:id="578" w:name="_Toc337558824"/>
      <w:bookmarkStart w:id="579" w:name="_Toc296503117"/>
      <w:r>
        <w:rPr>
          <w:rFonts w:hint="eastAsia" w:ascii="宋体" w:hAnsi="宋体" w:eastAsia="宋体" w:cs="宋体"/>
          <w:b w:val="0"/>
          <w:color w:val="auto"/>
          <w:sz w:val="21"/>
          <w:szCs w:val="21"/>
          <w:highlight w:val="none"/>
        </w:rPr>
        <w:t>17.1 不可抗力的确认</w:t>
      </w:r>
      <w:bookmarkEnd w:id="576"/>
    </w:p>
    <w:bookmarkEnd w:id="577"/>
    <w:bookmarkEnd w:id="578"/>
    <w:bookmarkEnd w:id="579"/>
    <w:p w14:paraId="2B49791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56C2DF1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1EBE68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80" w:name="_Toc351203609"/>
      <w:bookmarkStart w:id="581" w:name="_Toc296503118"/>
      <w:bookmarkStart w:id="582" w:name="_Toc296346619"/>
      <w:bookmarkStart w:id="583" w:name="_Toc337558825"/>
      <w:r>
        <w:rPr>
          <w:rFonts w:hint="eastAsia" w:ascii="宋体" w:hAnsi="宋体" w:eastAsia="宋体" w:cs="宋体"/>
          <w:b w:val="0"/>
          <w:color w:val="auto"/>
          <w:sz w:val="21"/>
          <w:szCs w:val="21"/>
          <w:highlight w:val="none"/>
        </w:rPr>
        <w:t>17.2 不可抗力的通知</w:t>
      </w:r>
      <w:bookmarkEnd w:id="580"/>
    </w:p>
    <w:bookmarkEnd w:id="581"/>
    <w:bookmarkEnd w:id="582"/>
    <w:bookmarkEnd w:id="583"/>
    <w:p w14:paraId="02C43E2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合同一方当事人遇到不可抗力事件，使其履行合同义务受到阻碍时，应立即通知合同另一方当事人和监理人，书面说明不可抗力和受阻碍的详细情况，并提供必要的证明。</w:t>
      </w:r>
    </w:p>
    <w:p w14:paraId="0877BCB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3D30BF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84" w:name="_Toc351203610"/>
      <w:bookmarkStart w:id="585" w:name="_Toc296503119"/>
      <w:bookmarkStart w:id="586" w:name="_Toc337558826"/>
      <w:bookmarkStart w:id="587" w:name="_Toc296346620"/>
      <w:r>
        <w:rPr>
          <w:rFonts w:hint="eastAsia" w:ascii="宋体" w:hAnsi="宋体" w:eastAsia="宋体" w:cs="宋体"/>
          <w:b w:val="0"/>
          <w:color w:val="auto"/>
          <w:sz w:val="21"/>
          <w:szCs w:val="21"/>
          <w:highlight w:val="none"/>
        </w:rPr>
        <w:t>17.3 不可抗力后果的承担</w:t>
      </w:r>
      <w:bookmarkEnd w:id="584"/>
    </w:p>
    <w:bookmarkEnd w:id="585"/>
    <w:bookmarkEnd w:id="586"/>
    <w:bookmarkEnd w:id="587"/>
    <w:p w14:paraId="6B714C2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17.3.1 不可抗力引起的后果及造成的损失由合同当事人按照法律规定及合同约定各自承担。不可抗力发生前已完成的工程应当按照合同约定进行计量支付。</w:t>
      </w:r>
    </w:p>
    <w:p w14:paraId="31786C2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 不可抗力导致的人员伤亡、财产损失、费用增加和（或）工期延误等后果，由合同当事人按以下原则承担：</w:t>
      </w:r>
    </w:p>
    <w:p w14:paraId="1BF003B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（1）永久工程、已运至施工现场的材料和工程设备的损坏，以及因工程损坏造成的第三人人员伤亡和财产损失由发包人承担；</w:t>
      </w:r>
    </w:p>
    <w:p w14:paraId="3D16965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（2）承包人施工设备的损坏由承包人承担；</w:t>
      </w:r>
    </w:p>
    <w:p w14:paraId="38F079E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（3）发包人和承包人承担各自人员伤亡和财产的损失；</w:t>
      </w:r>
    </w:p>
    <w:p w14:paraId="027C8D2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9802BD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（5）因不可抗力引起或将引起工期延误，发包人要求赶工的，由此增加的赶工费用由发包人承担；</w:t>
      </w:r>
    </w:p>
    <w:p w14:paraId="1ED0407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（6）承包人在停工期间按照发包人要求照管、清理和修复工程的费用由发包人承担。</w:t>
      </w:r>
    </w:p>
    <w:p w14:paraId="54F63A0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不可抗力发生后，合同当事人均应采取措施尽量避免和减少损失的扩大，任何一方当事人没有采取有效措施导致损失扩大的，应对扩大的损失承担责任。</w:t>
      </w:r>
    </w:p>
    <w:p w14:paraId="4C2B647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因合同一方迟延履行合同义务，在迟延履行期间遭遇不可抗力的，不免除其违约责任。</w:t>
      </w:r>
    </w:p>
    <w:p w14:paraId="5D9B79F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88" w:name="_Toc351203611"/>
      <w:bookmarkStart w:id="589" w:name="_Toc337558827"/>
      <w:r>
        <w:rPr>
          <w:rFonts w:hint="eastAsia" w:ascii="宋体" w:hAnsi="宋体" w:eastAsia="宋体" w:cs="宋体"/>
          <w:b w:val="0"/>
          <w:color w:val="auto"/>
          <w:sz w:val="21"/>
          <w:szCs w:val="21"/>
          <w:highlight w:val="none"/>
        </w:rPr>
        <w:t>17.4 因不可抗力解除合同</w:t>
      </w:r>
      <w:bookmarkEnd w:id="588"/>
    </w:p>
    <w:bookmarkEnd w:id="589"/>
    <w:p w14:paraId="079E014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69D377B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（1）合同解除前承包人已完成工作的价款；</w:t>
      </w:r>
    </w:p>
    <w:p w14:paraId="644990C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（2）承包人为工程订购的并已交付给承包人，或承包人有责任接受交付的材料、工程设备和其他物品的价款；</w:t>
      </w:r>
    </w:p>
    <w:p w14:paraId="694500A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（3）发包人要求承包人退货或解除订货合同而产生的费用，或因不能退货或解除合同而产生的损失；</w:t>
      </w:r>
    </w:p>
    <w:p w14:paraId="7106E09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（4）承包人撤离施工现场以及遣散承包人人员的费用；</w:t>
      </w:r>
    </w:p>
    <w:p w14:paraId="05CB888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（5）按照合同约定在合同解除前应支付给承包人的其他款项；</w:t>
      </w:r>
    </w:p>
    <w:p w14:paraId="708B62D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（6）扣减承包人按照合同约定应向发包人支付的款项；</w:t>
      </w:r>
    </w:p>
    <w:p w14:paraId="5C4036E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（7）双方商定或确定的其他款项。</w:t>
      </w:r>
    </w:p>
    <w:p w14:paraId="1EE28EC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除专用合同条款另有约定外，合同解除后，发包人应在商定或确定上述款项后28天内完成上述款项的支付。</w:t>
      </w:r>
    </w:p>
    <w:p w14:paraId="50E98027">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90" w:name="_Toc351203612"/>
      <w:bookmarkStart w:id="591" w:name="_Toc337558828"/>
      <w:bookmarkStart w:id="592" w:name="_Toc296346621"/>
      <w:bookmarkStart w:id="593" w:name="_Toc296503120"/>
      <w:r>
        <w:rPr>
          <w:rFonts w:hint="eastAsia" w:ascii="宋体" w:hAnsi="宋体" w:eastAsia="宋体" w:cs="宋体"/>
          <w:b w:val="0"/>
          <w:color w:val="auto"/>
          <w:sz w:val="21"/>
          <w:szCs w:val="21"/>
          <w:highlight w:val="none"/>
        </w:rPr>
        <w:t>18. 保险</w:t>
      </w:r>
      <w:bookmarkEnd w:id="590"/>
    </w:p>
    <w:bookmarkEnd w:id="591"/>
    <w:bookmarkEnd w:id="592"/>
    <w:bookmarkEnd w:id="593"/>
    <w:p w14:paraId="4F902F6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94" w:name="_Toc351203613"/>
      <w:bookmarkStart w:id="595" w:name="_Toc296346622"/>
      <w:bookmarkStart w:id="596" w:name="_Toc296503121"/>
      <w:bookmarkStart w:id="597" w:name="_Toc337558829"/>
      <w:r>
        <w:rPr>
          <w:rFonts w:hint="eastAsia" w:ascii="宋体" w:hAnsi="宋体" w:eastAsia="宋体" w:cs="宋体"/>
          <w:b w:val="0"/>
          <w:color w:val="auto"/>
          <w:sz w:val="21"/>
          <w:szCs w:val="21"/>
          <w:highlight w:val="none"/>
        </w:rPr>
        <w:t>18.1 工程保险</w:t>
      </w:r>
      <w:bookmarkEnd w:id="594"/>
    </w:p>
    <w:bookmarkEnd w:id="595"/>
    <w:bookmarkEnd w:id="596"/>
    <w:bookmarkEnd w:id="597"/>
    <w:p w14:paraId="5F06C2F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除专用合同条款另有约定外，发包人应投保建筑工程一切险或安装工程一切险；发包人委托承包人投保的，因投保产生的保险费和其他相关费用由发包人承担。</w:t>
      </w:r>
    </w:p>
    <w:p w14:paraId="0606982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98" w:name="_Toc351203614"/>
      <w:bookmarkStart w:id="599" w:name="_Toc296503122"/>
      <w:bookmarkStart w:id="600" w:name="_Toc337558830"/>
      <w:bookmarkStart w:id="601" w:name="_Toc296346623"/>
      <w:r>
        <w:rPr>
          <w:rFonts w:hint="eastAsia" w:ascii="宋体" w:hAnsi="宋体" w:eastAsia="宋体" w:cs="宋体"/>
          <w:b w:val="0"/>
          <w:color w:val="auto"/>
          <w:sz w:val="21"/>
          <w:szCs w:val="21"/>
          <w:highlight w:val="none"/>
        </w:rPr>
        <w:t>18.2 工伤保险</w:t>
      </w:r>
      <w:bookmarkEnd w:id="598"/>
    </w:p>
    <w:bookmarkEnd w:id="599"/>
    <w:bookmarkEnd w:id="600"/>
    <w:bookmarkEnd w:id="601"/>
    <w:p w14:paraId="45EF58C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414042F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102BDB7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02" w:name="_Toc351203615"/>
      <w:bookmarkStart w:id="603" w:name="_Toc296503125"/>
      <w:bookmarkStart w:id="604" w:name="_Toc296346626"/>
      <w:bookmarkStart w:id="605" w:name="_Toc337558831"/>
      <w:r>
        <w:rPr>
          <w:rFonts w:hint="eastAsia" w:ascii="宋体" w:hAnsi="宋体" w:eastAsia="宋体" w:cs="宋体"/>
          <w:b w:val="0"/>
          <w:color w:val="auto"/>
          <w:sz w:val="21"/>
          <w:szCs w:val="21"/>
          <w:highlight w:val="none"/>
        </w:rPr>
        <w:t>18.3其他保险</w:t>
      </w:r>
      <w:bookmarkEnd w:id="602"/>
    </w:p>
    <w:bookmarkEnd w:id="603"/>
    <w:bookmarkEnd w:id="604"/>
    <w:bookmarkEnd w:id="605"/>
    <w:p w14:paraId="4BD9303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161AEE3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除专用合同条款另有约定外，承包人应为其施工设备等办理财产保险。</w:t>
      </w:r>
    </w:p>
    <w:p w14:paraId="61501B89">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06" w:name="_Toc351203616"/>
      <w:r>
        <w:rPr>
          <w:rFonts w:hint="eastAsia" w:ascii="宋体" w:hAnsi="宋体" w:eastAsia="宋体" w:cs="宋体"/>
          <w:b w:val="0"/>
          <w:color w:val="auto"/>
          <w:sz w:val="21"/>
          <w:szCs w:val="21"/>
          <w:highlight w:val="none"/>
        </w:rPr>
        <w:t>18.4持续保险</w:t>
      </w:r>
      <w:bookmarkEnd w:id="606"/>
    </w:p>
    <w:p w14:paraId="41D14AF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合同当事人应与保险人保持联系，使保险人能够随时了解工程实施中的变动，并确保按保险合同条款要求持续保险。</w:t>
      </w:r>
    </w:p>
    <w:p w14:paraId="705400B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07" w:name="_Toc351203617"/>
      <w:bookmarkStart w:id="608" w:name="_Toc296346627"/>
      <w:bookmarkStart w:id="609" w:name="_Toc296503126"/>
      <w:bookmarkStart w:id="610" w:name="_Toc337558832"/>
      <w:r>
        <w:rPr>
          <w:rFonts w:hint="eastAsia" w:ascii="宋体" w:hAnsi="宋体" w:eastAsia="宋体" w:cs="宋体"/>
          <w:b w:val="0"/>
          <w:color w:val="auto"/>
          <w:sz w:val="21"/>
          <w:szCs w:val="21"/>
          <w:highlight w:val="none"/>
        </w:rPr>
        <w:t>18.5 保险凭证</w:t>
      </w:r>
      <w:bookmarkEnd w:id="607"/>
    </w:p>
    <w:bookmarkEnd w:id="608"/>
    <w:bookmarkEnd w:id="609"/>
    <w:bookmarkEnd w:id="610"/>
    <w:p w14:paraId="42978EE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合同当事人应及时向另一方当事人提交其已投保的各项保险的凭证和保险单复印件。</w:t>
      </w:r>
    </w:p>
    <w:p w14:paraId="004B507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11" w:name="_Toc351203618"/>
      <w:bookmarkStart w:id="612" w:name="_Toc337558833"/>
      <w:bookmarkStart w:id="613" w:name="_Toc296503127"/>
      <w:bookmarkStart w:id="614" w:name="_Toc296346628"/>
      <w:r>
        <w:rPr>
          <w:rFonts w:hint="eastAsia" w:ascii="宋体" w:hAnsi="宋体" w:eastAsia="宋体" w:cs="宋体"/>
          <w:b w:val="0"/>
          <w:color w:val="auto"/>
          <w:sz w:val="21"/>
          <w:szCs w:val="21"/>
          <w:highlight w:val="none"/>
        </w:rPr>
        <w:t>18.6 未按约定投保的补救</w:t>
      </w:r>
      <w:bookmarkEnd w:id="611"/>
    </w:p>
    <w:bookmarkEnd w:id="612"/>
    <w:bookmarkEnd w:id="613"/>
    <w:bookmarkEnd w:id="614"/>
    <w:p w14:paraId="359CA5C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55208CA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44399CF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15" w:name="_Toc351203619"/>
      <w:bookmarkStart w:id="616" w:name="_Toc337558834"/>
      <w:r>
        <w:rPr>
          <w:rFonts w:hint="eastAsia" w:ascii="宋体" w:hAnsi="宋体" w:eastAsia="宋体" w:cs="宋体"/>
          <w:b w:val="0"/>
          <w:color w:val="auto"/>
          <w:sz w:val="21"/>
          <w:szCs w:val="21"/>
          <w:highlight w:val="none"/>
        </w:rPr>
        <w:t>18.7 通知义务</w:t>
      </w:r>
      <w:bookmarkEnd w:id="615"/>
    </w:p>
    <w:bookmarkEnd w:id="616"/>
    <w:p w14:paraId="03F5564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DAA16F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保险事故发生时，投保人应按照保险合同规定的条件和期限及时向保险人报告。发包人和承包人应当在知道保险事故发生后及时通知对方。</w:t>
      </w:r>
    </w:p>
    <w:p w14:paraId="15293DBE">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617" w:name="_Toc351203620"/>
      <w:bookmarkStart w:id="618" w:name="_Toc296503140"/>
      <w:bookmarkStart w:id="619" w:name="_Toc337558835"/>
      <w:bookmarkStart w:id="620" w:name="_Toc296346641"/>
      <w:r>
        <w:rPr>
          <w:rFonts w:hint="eastAsia" w:ascii="宋体" w:hAnsi="宋体" w:eastAsia="宋体" w:cs="宋体"/>
          <w:b w:val="0"/>
          <w:color w:val="auto"/>
          <w:sz w:val="21"/>
          <w:szCs w:val="21"/>
          <w:highlight w:val="none"/>
        </w:rPr>
        <w:t>19. 索赔</w:t>
      </w:r>
      <w:bookmarkEnd w:id="617"/>
    </w:p>
    <w:bookmarkEnd w:id="618"/>
    <w:bookmarkEnd w:id="619"/>
    <w:bookmarkEnd w:id="620"/>
    <w:p w14:paraId="43AC168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21" w:name="_Toc351203621"/>
      <w:bookmarkStart w:id="622" w:name="_Toc296346642"/>
      <w:bookmarkStart w:id="623" w:name="_Toc296503141"/>
      <w:bookmarkStart w:id="624" w:name="_Toc337558836"/>
      <w:r>
        <w:rPr>
          <w:rFonts w:hint="eastAsia" w:ascii="宋体" w:hAnsi="宋体" w:eastAsia="宋体" w:cs="宋体"/>
          <w:b w:val="0"/>
          <w:color w:val="auto"/>
          <w:sz w:val="21"/>
          <w:szCs w:val="21"/>
          <w:highlight w:val="none"/>
        </w:rPr>
        <w:t>19.1承包人的索赔</w:t>
      </w:r>
      <w:bookmarkEnd w:id="621"/>
    </w:p>
    <w:bookmarkEnd w:id="622"/>
    <w:bookmarkEnd w:id="623"/>
    <w:bookmarkEnd w:id="624"/>
    <w:p w14:paraId="06C5333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根据合同约定，承包人认为有权得到追加付款和（或）延长工期的，应按以下程序向发包人提出索赔：</w:t>
      </w:r>
    </w:p>
    <w:p w14:paraId="5206407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832473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7E4B068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（3）索赔事件具有持续影响的，承包人应按合理时间间隔继续递交延续索赔通知，说明持续影响的实际情况和记录，列出累计的追加付款金额和（或）工期延长天数；</w:t>
      </w:r>
    </w:p>
    <w:p w14:paraId="1ACAF07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（4）在索赔事件影响结束后28天内，承包人应向监理人递交最终索赔报告，说明最终要求索赔的追加付款金额和（或）延长的工期，并附必要的记录和证明材料。</w:t>
      </w:r>
    </w:p>
    <w:p w14:paraId="0DD48E50">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25" w:name="_Toc351203622"/>
      <w:bookmarkStart w:id="626" w:name="_Toc296503142"/>
      <w:bookmarkStart w:id="627" w:name="_Toc296346643"/>
      <w:bookmarkStart w:id="628" w:name="_Toc337558837"/>
      <w:r>
        <w:rPr>
          <w:rFonts w:hint="eastAsia" w:ascii="宋体" w:hAnsi="宋体" w:eastAsia="宋体" w:cs="宋体"/>
          <w:b w:val="0"/>
          <w:color w:val="auto"/>
          <w:sz w:val="21"/>
          <w:szCs w:val="21"/>
          <w:highlight w:val="none"/>
        </w:rPr>
        <w:t>19.2 对承包人索赔的处理</w:t>
      </w:r>
      <w:bookmarkEnd w:id="625"/>
    </w:p>
    <w:bookmarkEnd w:id="626"/>
    <w:bookmarkEnd w:id="627"/>
    <w:bookmarkEnd w:id="628"/>
    <w:p w14:paraId="05E19F4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对承包人索赔的处理如下：</w:t>
      </w:r>
    </w:p>
    <w:p w14:paraId="2B0D60C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（1）监理人应在收到索赔报告后14天内完成审查并报送发包人。监理人对索赔报告存在异议的，有权要求承包人提交全部原始记录副本；</w:t>
      </w:r>
    </w:p>
    <w:p w14:paraId="26F6EE5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3548CA8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（3）承包人接受索赔处理结果的，索赔款项在当期进度款中进行支付；承包人不接受索赔处理结果的，按照第20条〔争议解决〕约定处理。</w:t>
      </w:r>
    </w:p>
    <w:p w14:paraId="19ECA31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29" w:name="_Toc351203623"/>
      <w:bookmarkStart w:id="630" w:name="_Toc296503143"/>
      <w:bookmarkStart w:id="631" w:name="_Toc296346644"/>
      <w:bookmarkStart w:id="632" w:name="_Toc337558838"/>
      <w:r>
        <w:rPr>
          <w:rFonts w:hint="eastAsia" w:ascii="宋体" w:hAnsi="宋体" w:eastAsia="宋体" w:cs="宋体"/>
          <w:b w:val="0"/>
          <w:color w:val="auto"/>
          <w:sz w:val="21"/>
          <w:szCs w:val="21"/>
          <w:highlight w:val="none"/>
        </w:rPr>
        <w:t>19.3发包人的索赔</w:t>
      </w:r>
      <w:bookmarkEnd w:id="629"/>
    </w:p>
    <w:bookmarkEnd w:id="630"/>
    <w:bookmarkEnd w:id="631"/>
    <w:bookmarkEnd w:id="632"/>
    <w:p w14:paraId="52131C2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根据合同约定，发包人认为有权得到赔付金额和（或）延长缺陷责任期的，监理人应向承包人发出通知并附有详细的证明。</w:t>
      </w:r>
    </w:p>
    <w:p w14:paraId="7ED5DB2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BF3FB9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33" w:name="_Toc351203624"/>
      <w:bookmarkStart w:id="634" w:name="_Toc296346645"/>
      <w:bookmarkStart w:id="635" w:name="_Toc296503144"/>
      <w:bookmarkStart w:id="636" w:name="_Toc337558839"/>
      <w:r>
        <w:rPr>
          <w:rFonts w:hint="eastAsia" w:ascii="宋体" w:hAnsi="宋体" w:eastAsia="宋体" w:cs="宋体"/>
          <w:b w:val="0"/>
          <w:color w:val="auto"/>
          <w:sz w:val="21"/>
          <w:szCs w:val="21"/>
          <w:highlight w:val="none"/>
        </w:rPr>
        <w:t>19.4 对发包人索赔的处理</w:t>
      </w:r>
      <w:bookmarkEnd w:id="633"/>
    </w:p>
    <w:bookmarkEnd w:id="634"/>
    <w:bookmarkEnd w:id="635"/>
    <w:bookmarkEnd w:id="636"/>
    <w:p w14:paraId="6436800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对发包人索赔的处理如下：</w:t>
      </w:r>
    </w:p>
    <w:p w14:paraId="2437957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（1）承包人收到发包人提交的索赔报告后，应及时审查索赔报告的内容、查验发包人证明材料；</w:t>
      </w:r>
    </w:p>
    <w:p w14:paraId="7F5B312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（2）承包人应在收到索赔报告或有关索赔的进一步证明材料后28天内，将索赔处理结果答复发包人。如果承包人未在上述期限内作出答复的，则视为对发包人索赔要求的认可；</w:t>
      </w:r>
    </w:p>
    <w:p w14:paraId="5D1973F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（3）承包人接受索赔处理结果的，发包人可从应支付给承包人的合同价款中扣除赔付的金额或延长缺陷责任期；发包人不接受索赔处理结果的，按第20条〔争议解决〕约定处理。</w:t>
      </w:r>
    </w:p>
    <w:p w14:paraId="461D1BE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37" w:name="_Toc351203625"/>
      <w:r>
        <w:rPr>
          <w:rFonts w:hint="eastAsia" w:ascii="宋体" w:hAnsi="宋体" w:eastAsia="宋体" w:cs="宋体"/>
          <w:b w:val="0"/>
          <w:color w:val="auto"/>
          <w:sz w:val="21"/>
          <w:szCs w:val="21"/>
          <w:highlight w:val="none"/>
        </w:rPr>
        <w:t>19.5 提出索赔的期限</w:t>
      </w:r>
      <w:bookmarkEnd w:id="637"/>
    </w:p>
    <w:p w14:paraId="0E32C09A">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（1）承包人按第14.2款〔竣工结算审核〕约定接收竣工付款证书后，应被视为已无权再提出在工程接收证书颁发前所发生的任何索赔。</w:t>
      </w:r>
    </w:p>
    <w:p w14:paraId="118BE8BE">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（2）承包人按第14.4款〔最终结清〕提交的最终结清申请单中，只限于提出工程接收证书颁发后发生的索赔。提出索赔的期限自接受最终结清证书时终止。</w:t>
      </w:r>
    </w:p>
    <w:p w14:paraId="1B2022F3">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638" w:name="_Toc351203626"/>
      <w:r>
        <w:rPr>
          <w:rFonts w:hint="eastAsia" w:ascii="宋体" w:hAnsi="宋体" w:eastAsia="宋体" w:cs="宋体"/>
          <w:b w:val="0"/>
          <w:color w:val="auto"/>
          <w:sz w:val="21"/>
          <w:szCs w:val="21"/>
          <w:highlight w:val="none"/>
        </w:rPr>
        <w:t>20</w:t>
      </w:r>
      <w:bookmarkStart w:id="639" w:name="_Toc296503146"/>
      <w:bookmarkStart w:id="640" w:name="_Toc296346647"/>
      <w:bookmarkStart w:id="641" w:name="_Toc337558840"/>
      <w:r>
        <w:rPr>
          <w:rFonts w:hint="eastAsia" w:ascii="宋体" w:hAnsi="宋体" w:eastAsia="宋体" w:cs="宋体"/>
          <w:b w:val="0"/>
          <w:color w:val="auto"/>
          <w:sz w:val="21"/>
          <w:szCs w:val="21"/>
          <w:highlight w:val="none"/>
        </w:rPr>
        <w:t>. 争议解决</w:t>
      </w:r>
      <w:bookmarkEnd w:id="638"/>
    </w:p>
    <w:bookmarkEnd w:id="639"/>
    <w:bookmarkEnd w:id="640"/>
    <w:bookmarkEnd w:id="641"/>
    <w:p w14:paraId="21A5ACD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42" w:name="_Toc351203627"/>
      <w:bookmarkStart w:id="643" w:name="_Toc296346648"/>
      <w:bookmarkStart w:id="644" w:name="_Toc296503147"/>
      <w:bookmarkStart w:id="645" w:name="_Toc337558841"/>
      <w:r>
        <w:rPr>
          <w:rFonts w:hint="eastAsia" w:ascii="宋体" w:hAnsi="宋体" w:eastAsia="宋体" w:cs="宋体"/>
          <w:b w:val="0"/>
          <w:color w:val="auto"/>
          <w:sz w:val="21"/>
          <w:szCs w:val="21"/>
          <w:highlight w:val="none"/>
        </w:rPr>
        <w:t>20.1和解</w:t>
      </w:r>
      <w:bookmarkEnd w:id="642"/>
    </w:p>
    <w:bookmarkEnd w:id="643"/>
    <w:bookmarkEnd w:id="644"/>
    <w:bookmarkEnd w:id="645"/>
    <w:p w14:paraId="29FCBE3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合同当事人可以就争议自行和解，自行和解达成协议的经双方签字并盖章后作为合同补充文件，双方均应遵照执行。</w:t>
      </w:r>
    </w:p>
    <w:p w14:paraId="1C0BA866">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46" w:name="_Toc351203628"/>
      <w:r>
        <w:rPr>
          <w:rFonts w:hint="eastAsia" w:ascii="宋体" w:hAnsi="宋体" w:eastAsia="宋体" w:cs="宋体"/>
          <w:b w:val="0"/>
          <w:color w:val="auto"/>
          <w:sz w:val="21"/>
          <w:szCs w:val="21"/>
          <w:highlight w:val="none"/>
        </w:rPr>
        <w:t>20</w:t>
      </w:r>
      <w:bookmarkStart w:id="647" w:name="_Toc296346649"/>
      <w:bookmarkStart w:id="648" w:name="_Toc296503148"/>
      <w:bookmarkStart w:id="649" w:name="_Toc337558842"/>
      <w:r>
        <w:rPr>
          <w:rFonts w:hint="eastAsia" w:ascii="宋体" w:hAnsi="宋体" w:eastAsia="宋体" w:cs="宋体"/>
          <w:b w:val="0"/>
          <w:color w:val="auto"/>
          <w:sz w:val="21"/>
          <w:szCs w:val="21"/>
          <w:highlight w:val="none"/>
        </w:rPr>
        <w:t>.2调解</w:t>
      </w:r>
      <w:bookmarkEnd w:id="646"/>
    </w:p>
    <w:bookmarkEnd w:id="647"/>
    <w:bookmarkEnd w:id="648"/>
    <w:bookmarkEnd w:id="649"/>
    <w:p w14:paraId="1653865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合同当事人可以就争议请求建设行政主管部门、行业协会或其他第三方进行调解，调解达成协议的，经双方签字并盖章后作为合同补充文件，双方均应遵照执行。</w:t>
      </w:r>
    </w:p>
    <w:p w14:paraId="6321BD7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50" w:name="_Toc351203629"/>
      <w:bookmarkStart w:id="651" w:name="_Toc337558843"/>
      <w:bookmarkStart w:id="652" w:name="_Toc296503149"/>
      <w:bookmarkStart w:id="653" w:name="_Toc296346650"/>
      <w:r>
        <w:rPr>
          <w:rFonts w:hint="eastAsia" w:ascii="宋体" w:hAnsi="宋体" w:eastAsia="宋体" w:cs="宋体"/>
          <w:b w:val="0"/>
          <w:color w:val="auto"/>
          <w:sz w:val="21"/>
          <w:szCs w:val="21"/>
          <w:highlight w:val="none"/>
        </w:rPr>
        <w:t>20.3争议评审</w:t>
      </w:r>
      <w:bookmarkEnd w:id="650"/>
    </w:p>
    <w:bookmarkEnd w:id="651"/>
    <w:bookmarkEnd w:id="652"/>
    <w:bookmarkEnd w:id="653"/>
    <w:p w14:paraId="56FF9EF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合同当事人在专用合同条款中约定采取争议评审方式解决争议以及评审规则，并按下列约定执行： </w:t>
      </w:r>
    </w:p>
    <w:p w14:paraId="3ABFDC4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20.3.1 争议评审小组的确定</w:t>
      </w:r>
    </w:p>
    <w:p w14:paraId="5F6F224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00113EB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570FD9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除专用合同条款另有约定外，评审员报酬由发包人和承包人各承担一半。</w:t>
      </w:r>
    </w:p>
    <w:p w14:paraId="7942926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03C15EF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E38AE1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20.3.3 争议评审小组决定的效力</w:t>
      </w:r>
    </w:p>
    <w:p w14:paraId="44F6C0D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争议评审小组作出的书面决定经合同当事人签字确认后，对双方具有约束力，双方应遵照执行。</w:t>
      </w:r>
    </w:p>
    <w:p w14:paraId="7C1916E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任何一方当事人不接受争议评审小组决定或不履行争议评审小组决定的，双方可选择采用其他争议解决方式。</w:t>
      </w:r>
    </w:p>
    <w:p w14:paraId="5577CC0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54" w:name="_Toc351203630"/>
      <w:bookmarkStart w:id="655" w:name="_Toc296503150"/>
      <w:bookmarkStart w:id="656" w:name="_Toc337558844"/>
      <w:bookmarkStart w:id="657" w:name="_Toc296346651"/>
      <w:r>
        <w:rPr>
          <w:rFonts w:hint="eastAsia" w:ascii="宋体" w:hAnsi="宋体" w:eastAsia="宋体" w:cs="宋体"/>
          <w:b w:val="0"/>
          <w:color w:val="auto"/>
          <w:sz w:val="21"/>
          <w:szCs w:val="21"/>
          <w:highlight w:val="none"/>
        </w:rPr>
        <w:t>20.4仲裁或诉讼</w:t>
      </w:r>
      <w:bookmarkEnd w:id="654"/>
    </w:p>
    <w:bookmarkEnd w:id="655"/>
    <w:bookmarkEnd w:id="656"/>
    <w:bookmarkEnd w:id="657"/>
    <w:p w14:paraId="10F45FC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因合同及合同有关事项产生的争议，合同当事人可以在专用合同条款中约定以下一种方式解决争议：</w:t>
      </w:r>
    </w:p>
    <w:p w14:paraId="2A2576D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（1）向约定的仲裁委员会申请仲裁；</w:t>
      </w:r>
    </w:p>
    <w:p w14:paraId="344FD37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（2）向有管辖权的人民法院起诉。</w:t>
      </w:r>
    </w:p>
    <w:p w14:paraId="26AAB0D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58" w:name="_Toc351203631"/>
      <w:bookmarkStart w:id="659" w:name="_Toc337558845"/>
      <w:bookmarkStart w:id="660" w:name="_Toc296503152"/>
      <w:bookmarkStart w:id="661" w:name="_Toc296346653"/>
      <w:r>
        <w:rPr>
          <w:rFonts w:hint="eastAsia" w:ascii="宋体" w:hAnsi="宋体" w:eastAsia="宋体" w:cs="宋体"/>
          <w:b w:val="0"/>
          <w:color w:val="auto"/>
          <w:sz w:val="21"/>
          <w:szCs w:val="21"/>
          <w:highlight w:val="none"/>
        </w:rPr>
        <w:t>20.5争议解决条款效力</w:t>
      </w:r>
      <w:bookmarkEnd w:id="658"/>
    </w:p>
    <w:bookmarkEnd w:id="659"/>
    <w:bookmarkEnd w:id="660"/>
    <w:bookmarkEnd w:id="661"/>
    <w:p w14:paraId="3ABF0E6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合同有关争议解决的条款独立存在，合同的变更、解除、终止、无效或者被撤销均不影响其效力。 </w:t>
      </w:r>
    </w:p>
    <w:p w14:paraId="5767422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p>
    <w:p w14:paraId="5EDA2B5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p>
    <w:bookmarkEnd w:id="233"/>
    <w:p w14:paraId="4404A248">
      <w:pPr>
        <w:pStyle w:val="22"/>
        <w:ind w:left="63" w:right="63"/>
        <w:rPr>
          <w:color w:val="auto"/>
          <w:highlight w:val="none"/>
        </w:rPr>
        <w:sectPr>
          <w:footerReference r:id="rId7" w:type="default"/>
          <w:pgSz w:w="11906" w:h="16838"/>
          <w:pgMar w:top="1134" w:right="1134" w:bottom="1134" w:left="1418" w:header="851" w:footer="992" w:gutter="0"/>
          <w:pgNumType w:fmt="decimal"/>
          <w:cols w:space="720" w:num="1"/>
          <w:docGrid w:type="lines" w:linePitch="312" w:charSpace="0"/>
        </w:sectPr>
      </w:pPr>
    </w:p>
    <w:p w14:paraId="552152B2">
      <w:pPr>
        <w:pStyle w:val="38"/>
        <w:spacing w:line="400" w:lineRule="atLeast"/>
        <w:jc w:val="center"/>
        <w:rPr>
          <w:color w:val="auto"/>
          <w:highlight w:val="none"/>
        </w:rPr>
      </w:pPr>
      <w:bookmarkStart w:id="662" w:name="_Toc256000171"/>
      <w:bookmarkStart w:id="663" w:name="_Toc6905"/>
      <w:r>
        <w:rPr>
          <w:rFonts w:ascii="宋体"/>
          <w:color w:val="auto"/>
          <w:sz w:val="32"/>
          <w:highlight w:val="none"/>
        </w:rPr>
        <w:t>第</w:t>
      </w:r>
      <w:r>
        <w:rPr>
          <w:rFonts w:hint="eastAsia" w:ascii="宋体"/>
          <w:color w:val="auto"/>
          <w:sz w:val="32"/>
          <w:highlight w:val="none"/>
        </w:rPr>
        <w:t>三</w:t>
      </w:r>
      <w:r>
        <w:rPr>
          <w:rFonts w:ascii="宋体"/>
          <w:color w:val="auto"/>
          <w:sz w:val="32"/>
          <w:highlight w:val="none"/>
        </w:rPr>
        <w:t>部分 专用合同条款</w:t>
      </w:r>
      <w:bookmarkEnd w:id="662"/>
      <w:bookmarkEnd w:id="663"/>
    </w:p>
    <w:p w14:paraId="23E7EFC2">
      <w:pPr>
        <w:pStyle w:val="38"/>
        <w:spacing w:line="380" w:lineRule="exact"/>
        <w:rPr>
          <w:rFonts w:ascii="宋体" w:cs="宋体"/>
          <w:color w:val="auto"/>
          <w:highlight w:val="none"/>
        </w:rPr>
      </w:pPr>
      <w:bookmarkStart w:id="664" w:name="_Toc19640"/>
      <w:bookmarkStart w:id="665" w:name="_Toc522201723"/>
      <w:bookmarkStart w:id="666" w:name="_Toc406522213"/>
      <w:bookmarkStart w:id="667" w:name="_Toc418752235"/>
      <w:bookmarkStart w:id="668" w:name="_Toc418751789"/>
      <w:bookmarkStart w:id="669" w:name="_Toc256000172"/>
      <w:bookmarkStart w:id="670" w:name="_Toc351203633"/>
      <w:bookmarkStart w:id="671" w:name="_Toc497747171"/>
      <w:bookmarkStart w:id="672" w:name="_Toc497746774"/>
      <w:bookmarkStart w:id="673" w:name="_Toc484024116"/>
      <w:r>
        <w:rPr>
          <w:rFonts w:hint="eastAsia" w:ascii="宋体" w:cs="宋体"/>
          <w:color w:val="auto"/>
          <w:highlight w:val="none"/>
        </w:rPr>
        <w:t>1</w:t>
      </w:r>
      <w:bookmarkStart w:id="674" w:name="_Toc297120456"/>
      <w:bookmarkStart w:id="675" w:name="_Toc296347155"/>
      <w:bookmarkStart w:id="676" w:name="_Toc297048342"/>
      <w:bookmarkStart w:id="677" w:name="_Toc296891196"/>
      <w:bookmarkStart w:id="678" w:name="_Toc296346657"/>
      <w:bookmarkStart w:id="679" w:name="_Toc296503156"/>
      <w:bookmarkStart w:id="680" w:name="_Toc296890984"/>
      <w:bookmarkStart w:id="681" w:name="_Toc292559866"/>
      <w:bookmarkStart w:id="682" w:name="_Toc296944495"/>
      <w:bookmarkStart w:id="683" w:name="_Toc292559361"/>
      <w:r>
        <w:rPr>
          <w:rFonts w:hint="eastAsia" w:ascii="宋体" w:cs="宋体"/>
          <w:color w:val="auto"/>
          <w:highlight w:val="none"/>
        </w:rPr>
        <w:t>. 一般约定</w:t>
      </w:r>
      <w:bookmarkEnd w:id="664"/>
      <w:bookmarkEnd w:id="665"/>
      <w:bookmarkEnd w:id="666"/>
      <w:bookmarkEnd w:id="667"/>
      <w:bookmarkEnd w:id="668"/>
      <w:bookmarkEnd w:id="669"/>
      <w:bookmarkEnd w:id="670"/>
      <w:bookmarkEnd w:id="671"/>
      <w:bookmarkEnd w:id="672"/>
    </w:p>
    <w:bookmarkEnd w:id="674"/>
    <w:bookmarkEnd w:id="675"/>
    <w:bookmarkEnd w:id="676"/>
    <w:bookmarkEnd w:id="677"/>
    <w:bookmarkEnd w:id="678"/>
    <w:bookmarkEnd w:id="679"/>
    <w:bookmarkEnd w:id="680"/>
    <w:bookmarkEnd w:id="681"/>
    <w:bookmarkEnd w:id="682"/>
    <w:bookmarkEnd w:id="683"/>
    <w:p w14:paraId="48763F95">
      <w:pPr>
        <w:pStyle w:val="38"/>
        <w:spacing w:line="380" w:lineRule="exact"/>
        <w:ind w:firstLine="422" w:firstLineChars="200"/>
        <w:rPr>
          <w:rFonts w:ascii="宋体" w:cs="宋体"/>
          <w:color w:val="auto"/>
          <w:highlight w:val="none"/>
        </w:rPr>
      </w:pPr>
      <w:bookmarkStart w:id="684" w:name="_Toc497747172"/>
      <w:bookmarkStart w:id="685" w:name="_Toc418752236"/>
      <w:bookmarkStart w:id="686" w:name="_Toc497746775"/>
      <w:bookmarkStart w:id="687" w:name="_Toc256000173"/>
      <w:bookmarkStart w:id="688" w:name="_Toc23204"/>
      <w:bookmarkStart w:id="689" w:name="_Toc418751790"/>
      <w:bookmarkStart w:id="690" w:name="_Toc406522214"/>
      <w:bookmarkStart w:id="691" w:name="_Toc522201724"/>
      <w:r>
        <w:rPr>
          <w:rFonts w:hint="eastAsia" w:ascii="宋体" w:cs="宋体"/>
          <w:color w:val="auto"/>
          <w:highlight w:val="none"/>
        </w:rPr>
        <w:t>1.1 词语定义</w:t>
      </w:r>
      <w:bookmarkEnd w:id="684"/>
      <w:bookmarkEnd w:id="685"/>
      <w:bookmarkEnd w:id="686"/>
      <w:bookmarkEnd w:id="687"/>
      <w:bookmarkEnd w:id="688"/>
      <w:bookmarkEnd w:id="689"/>
      <w:bookmarkEnd w:id="690"/>
      <w:bookmarkEnd w:id="691"/>
    </w:p>
    <w:p w14:paraId="04640862">
      <w:pPr>
        <w:pStyle w:val="43"/>
        <w:spacing w:line="380" w:lineRule="exact"/>
        <w:rPr>
          <w:rFonts w:ascii="宋体" w:hAnsi="宋体" w:cs="宋体"/>
          <w:color w:val="auto"/>
          <w:highlight w:val="none"/>
        </w:rPr>
      </w:pPr>
      <w:r>
        <w:rPr>
          <w:rFonts w:hint="eastAsia" w:ascii="宋体" w:hAnsi="宋体" w:cs="宋体"/>
          <w:color w:val="auto"/>
          <w:highlight w:val="none"/>
        </w:rPr>
        <w:t>1.1.1合同</w:t>
      </w:r>
    </w:p>
    <w:p w14:paraId="25B23996">
      <w:pPr>
        <w:pStyle w:val="43"/>
        <w:spacing w:line="380" w:lineRule="exact"/>
        <w:rPr>
          <w:rFonts w:ascii="宋体" w:hAnsi="宋体" w:cs="宋体"/>
          <w:color w:val="auto"/>
          <w:highlight w:val="none"/>
          <w:u w:val="single"/>
        </w:rPr>
      </w:pPr>
      <w:r>
        <w:rPr>
          <w:rFonts w:hint="eastAsia" w:ascii="宋体" w:hAnsi="宋体" w:cs="宋体"/>
          <w:color w:val="auto"/>
          <w:highlight w:val="none"/>
        </w:rPr>
        <w:t>1.1.1.10其他合同文件包括：</w:t>
      </w:r>
      <w:r>
        <w:rPr>
          <w:rFonts w:hint="eastAsia" w:ascii="宋体" w:hAnsi="宋体" w:cs="宋体"/>
          <w:color w:val="auto"/>
          <w:highlight w:val="none"/>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cs="宋体"/>
          <w:color w:val="auto"/>
          <w:highlight w:val="none"/>
        </w:rPr>
        <w:t>。</w:t>
      </w:r>
    </w:p>
    <w:p w14:paraId="525052E5">
      <w:pPr>
        <w:pStyle w:val="43"/>
        <w:spacing w:line="380" w:lineRule="exact"/>
        <w:rPr>
          <w:rFonts w:ascii="宋体" w:hAnsi="宋体" w:cs="宋体"/>
          <w:color w:val="auto"/>
          <w:highlight w:val="none"/>
        </w:rPr>
      </w:pPr>
      <w:r>
        <w:rPr>
          <w:rFonts w:hint="eastAsia" w:ascii="宋体" w:hAnsi="宋体" w:cs="宋体"/>
          <w:color w:val="auto"/>
          <w:highlight w:val="none"/>
        </w:rPr>
        <w:t>1.1.2 合同当事人及其他相关方</w:t>
      </w:r>
    </w:p>
    <w:p w14:paraId="6CA5BD61">
      <w:pPr>
        <w:pStyle w:val="43"/>
        <w:spacing w:line="380" w:lineRule="exact"/>
        <w:rPr>
          <w:rFonts w:ascii="宋体" w:hAnsi="宋体" w:cs="宋体"/>
          <w:color w:val="auto"/>
          <w:highlight w:val="none"/>
        </w:rPr>
      </w:pPr>
      <w:r>
        <w:rPr>
          <w:rFonts w:hint="eastAsia" w:ascii="宋体" w:hAnsi="宋体" w:cs="宋体"/>
          <w:color w:val="auto"/>
          <w:highlight w:val="none"/>
        </w:rPr>
        <w:t>1.1.2.4监理人：</w:t>
      </w:r>
    </w:p>
    <w:p w14:paraId="733FE897">
      <w:pPr>
        <w:pStyle w:val="43"/>
        <w:spacing w:line="380" w:lineRule="exac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1A0BD53">
      <w:pPr>
        <w:pStyle w:val="43"/>
        <w:spacing w:line="380" w:lineRule="exact"/>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7CA83AE">
      <w:pPr>
        <w:pStyle w:val="43"/>
        <w:spacing w:line="380" w:lineRule="exact"/>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F73BC92">
      <w:pPr>
        <w:pStyle w:val="43"/>
        <w:spacing w:line="380" w:lineRule="exact"/>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1C5A556F">
      <w:pPr>
        <w:pStyle w:val="43"/>
        <w:spacing w:line="380" w:lineRule="exact"/>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54A4BB67">
      <w:pPr>
        <w:pStyle w:val="43"/>
        <w:spacing w:line="380" w:lineRule="exact"/>
        <w:rPr>
          <w:rFonts w:ascii="宋体" w:hAnsi="宋体" w:cs="宋体"/>
          <w:color w:val="auto"/>
          <w:highlight w:val="none"/>
        </w:rPr>
      </w:pPr>
      <w:r>
        <w:rPr>
          <w:rFonts w:hint="eastAsia" w:ascii="宋体" w:hAnsi="宋体" w:cs="宋体"/>
          <w:color w:val="auto"/>
          <w:highlight w:val="none"/>
        </w:rPr>
        <w:t>1.1.2.5 设计人：</w:t>
      </w:r>
    </w:p>
    <w:p w14:paraId="78BE96E9">
      <w:pPr>
        <w:pStyle w:val="43"/>
        <w:spacing w:line="380" w:lineRule="exac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F7E1B4">
      <w:pPr>
        <w:pStyle w:val="43"/>
        <w:spacing w:line="380" w:lineRule="exact"/>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B5D0AD5">
      <w:pPr>
        <w:pStyle w:val="43"/>
        <w:spacing w:line="380" w:lineRule="exac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B9D6B25">
      <w:pPr>
        <w:pStyle w:val="43"/>
        <w:spacing w:line="380" w:lineRule="exac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02D0BAD">
      <w:pPr>
        <w:pStyle w:val="43"/>
        <w:spacing w:line="380" w:lineRule="exac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4017639">
      <w:pPr>
        <w:pStyle w:val="43"/>
        <w:spacing w:line="380" w:lineRule="exact"/>
        <w:rPr>
          <w:rFonts w:ascii="宋体" w:hAnsi="宋体" w:cs="宋体"/>
          <w:color w:val="auto"/>
          <w:highlight w:val="none"/>
        </w:rPr>
      </w:pPr>
      <w:r>
        <w:rPr>
          <w:rFonts w:hint="eastAsia" w:ascii="宋体" w:hAnsi="宋体" w:cs="宋体"/>
          <w:color w:val="auto"/>
          <w:highlight w:val="none"/>
        </w:rPr>
        <w:t>1.1.3 工程和设备</w:t>
      </w:r>
    </w:p>
    <w:p w14:paraId="6EF7981A">
      <w:pPr>
        <w:pStyle w:val="43"/>
        <w:spacing w:line="380" w:lineRule="exact"/>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按通用条款执行</w:t>
      </w:r>
      <w:r>
        <w:rPr>
          <w:rFonts w:hint="eastAsia" w:ascii="宋体" w:hAnsi="宋体" w:cs="宋体"/>
          <w:color w:val="auto"/>
          <w:highlight w:val="none"/>
        </w:rPr>
        <w:t>。</w:t>
      </w:r>
    </w:p>
    <w:p w14:paraId="78E32626">
      <w:pPr>
        <w:pStyle w:val="43"/>
        <w:spacing w:line="380" w:lineRule="exact"/>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highlight w:val="none"/>
          <w:u w:val="single"/>
        </w:rPr>
        <w:t xml:space="preserve">  为实施工程需永久占用的土地</w:t>
      </w:r>
      <w:r>
        <w:rPr>
          <w:rFonts w:ascii="宋体" w:hAnsi="宋体" w:cs="宋体"/>
          <w:color w:val="auto"/>
          <w:highlight w:val="none"/>
          <w:u w:val="single"/>
        </w:rPr>
        <w:t></w:t>
      </w:r>
      <w:r>
        <w:rPr>
          <w:rFonts w:hint="eastAsia" w:ascii="宋体" w:hAnsi="宋体" w:cs="宋体"/>
          <w:color w:val="auto"/>
          <w:highlight w:val="none"/>
        </w:rPr>
        <w:t>。</w:t>
      </w:r>
    </w:p>
    <w:p w14:paraId="37F43C83">
      <w:pPr>
        <w:pStyle w:val="43"/>
        <w:spacing w:line="380" w:lineRule="exact"/>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 xml:space="preserve"> 为实施工程需临时占用的土地 </w:t>
      </w:r>
      <w:r>
        <w:rPr>
          <w:rFonts w:hint="eastAsia" w:ascii="宋体" w:hAnsi="宋体" w:cs="宋体"/>
          <w:color w:val="auto"/>
          <w:highlight w:val="none"/>
        </w:rPr>
        <w:t>。</w:t>
      </w:r>
    </w:p>
    <w:p w14:paraId="55E23BCD">
      <w:pPr>
        <w:pStyle w:val="38"/>
        <w:spacing w:line="380" w:lineRule="exact"/>
        <w:ind w:firstLine="422" w:firstLineChars="200"/>
        <w:rPr>
          <w:rFonts w:ascii="宋体" w:cs="宋体"/>
          <w:color w:val="auto"/>
          <w:highlight w:val="none"/>
        </w:rPr>
      </w:pPr>
      <w:bookmarkStart w:id="692" w:name="_Toc418751791"/>
      <w:bookmarkStart w:id="693" w:name="_Toc406522215"/>
      <w:bookmarkStart w:id="694" w:name="_Toc497747173"/>
      <w:bookmarkStart w:id="695" w:name="_Toc256000174"/>
      <w:bookmarkStart w:id="696" w:name="_Toc522201725"/>
      <w:bookmarkStart w:id="697" w:name="_Toc418752237"/>
      <w:bookmarkStart w:id="698" w:name="_Toc497746776"/>
      <w:bookmarkStart w:id="699" w:name="_Toc1749"/>
      <w:r>
        <w:rPr>
          <w:rFonts w:hint="eastAsia" w:ascii="宋体" w:cs="宋体"/>
          <w:color w:val="auto"/>
          <w:highlight w:val="none"/>
        </w:rPr>
        <w:t>1.3法律</w:t>
      </w:r>
      <w:bookmarkEnd w:id="692"/>
      <w:bookmarkEnd w:id="693"/>
      <w:bookmarkEnd w:id="694"/>
      <w:bookmarkEnd w:id="695"/>
      <w:bookmarkEnd w:id="696"/>
      <w:bookmarkEnd w:id="697"/>
      <w:bookmarkEnd w:id="698"/>
      <w:bookmarkEnd w:id="699"/>
      <w:r>
        <w:rPr>
          <w:rFonts w:hint="eastAsia" w:ascii="宋体" w:cs="宋体"/>
          <w:color w:val="auto"/>
          <w:highlight w:val="none"/>
        </w:rPr>
        <w:t xml:space="preserve"> </w:t>
      </w:r>
    </w:p>
    <w:p w14:paraId="1269B6AE">
      <w:pPr>
        <w:pStyle w:val="43"/>
        <w:spacing w:line="380" w:lineRule="exact"/>
        <w:rPr>
          <w:rFonts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同通用条款</w:t>
      </w:r>
      <w:r>
        <w:rPr>
          <w:rFonts w:hint="eastAsia" w:ascii="宋体" w:hAnsi="宋体" w:cs="宋体"/>
          <w:color w:val="auto"/>
          <w:highlight w:val="none"/>
        </w:rPr>
        <w:t>。</w:t>
      </w:r>
    </w:p>
    <w:p w14:paraId="5A183175">
      <w:pPr>
        <w:pStyle w:val="38"/>
        <w:spacing w:line="380" w:lineRule="exact"/>
        <w:ind w:firstLine="422" w:firstLineChars="200"/>
        <w:rPr>
          <w:rFonts w:ascii="宋体" w:cs="宋体"/>
          <w:color w:val="auto"/>
          <w:highlight w:val="none"/>
        </w:rPr>
      </w:pPr>
      <w:bookmarkStart w:id="700" w:name="_Toc497746777"/>
      <w:bookmarkStart w:id="701" w:name="_Toc256000175"/>
      <w:bookmarkStart w:id="702" w:name="_Toc418751792"/>
      <w:bookmarkStart w:id="703" w:name="_Toc531"/>
      <w:bookmarkStart w:id="704" w:name="_Toc522201726"/>
      <w:bookmarkStart w:id="705" w:name="_Toc406522216"/>
      <w:bookmarkStart w:id="706" w:name="_Toc497747174"/>
      <w:bookmarkStart w:id="707" w:name="_Toc418752238"/>
      <w:r>
        <w:rPr>
          <w:rFonts w:hint="eastAsia" w:ascii="宋体" w:cs="宋体"/>
          <w:color w:val="auto"/>
          <w:highlight w:val="none"/>
        </w:rPr>
        <w:t>1.4 标准和规范</w:t>
      </w:r>
      <w:bookmarkEnd w:id="700"/>
      <w:bookmarkEnd w:id="701"/>
      <w:bookmarkEnd w:id="702"/>
      <w:bookmarkEnd w:id="703"/>
      <w:bookmarkEnd w:id="704"/>
      <w:bookmarkEnd w:id="705"/>
      <w:bookmarkEnd w:id="706"/>
      <w:bookmarkEnd w:id="707"/>
    </w:p>
    <w:p w14:paraId="015CB733">
      <w:pPr>
        <w:pStyle w:val="43"/>
        <w:spacing w:line="380" w:lineRule="exact"/>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现行国家、地方、部门有关标准规范</w:t>
      </w:r>
      <w:r>
        <w:rPr>
          <w:rFonts w:hint="eastAsia" w:ascii="宋体" w:hAnsi="宋体" w:cs="宋体"/>
          <w:color w:val="auto"/>
          <w:highlight w:val="none"/>
        </w:rPr>
        <w:t>。</w:t>
      </w:r>
    </w:p>
    <w:p w14:paraId="54E9E3AB">
      <w:pPr>
        <w:pStyle w:val="43"/>
        <w:spacing w:line="380" w:lineRule="exact"/>
        <w:rPr>
          <w:rFonts w:ascii="宋体" w:hAnsi="宋体" w:cs="宋体"/>
          <w:color w:val="auto"/>
          <w:highlight w:val="non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5DCF54E">
      <w:pPr>
        <w:pStyle w:val="43"/>
        <w:spacing w:line="380" w:lineRule="exact"/>
        <w:rPr>
          <w:rFonts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09619FC">
      <w:pPr>
        <w:pStyle w:val="43"/>
        <w:spacing w:line="380" w:lineRule="exact"/>
        <w:rPr>
          <w:rFonts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4CD9236">
      <w:pPr>
        <w:pStyle w:val="43"/>
        <w:spacing w:line="380" w:lineRule="exact"/>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2DA81401">
      <w:pPr>
        <w:pStyle w:val="38"/>
        <w:spacing w:line="380" w:lineRule="exact"/>
        <w:ind w:firstLine="422" w:firstLineChars="200"/>
        <w:rPr>
          <w:rFonts w:ascii="宋体" w:cs="宋体"/>
          <w:color w:val="auto"/>
          <w:highlight w:val="none"/>
        </w:rPr>
      </w:pPr>
      <w:bookmarkStart w:id="708" w:name="_Toc256000176"/>
      <w:bookmarkStart w:id="709" w:name="_Toc497747175"/>
      <w:bookmarkStart w:id="710" w:name="_Toc418751793"/>
      <w:bookmarkStart w:id="711" w:name="_Toc497746778"/>
      <w:bookmarkStart w:id="712" w:name="_Toc406522217"/>
      <w:bookmarkStart w:id="713" w:name="_Toc19412"/>
      <w:bookmarkStart w:id="714" w:name="_Toc418752239"/>
      <w:bookmarkStart w:id="715" w:name="_Toc522201727"/>
      <w:r>
        <w:rPr>
          <w:rFonts w:hint="eastAsia" w:ascii="宋体" w:cs="宋体"/>
          <w:color w:val="auto"/>
          <w:highlight w:val="none"/>
        </w:rPr>
        <w:t>1.5 合同文件的优先顺序</w:t>
      </w:r>
      <w:bookmarkEnd w:id="708"/>
      <w:bookmarkEnd w:id="709"/>
      <w:bookmarkEnd w:id="710"/>
      <w:bookmarkEnd w:id="711"/>
      <w:bookmarkEnd w:id="712"/>
      <w:bookmarkEnd w:id="713"/>
      <w:bookmarkEnd w:id="714"/>
      <w:bookmarkEnd w:id="715"/>
    </w:p>
    <w:p w14:paraId="1D281A29">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合同文件组成及优先顺序为：</w:t>
      </w:r>
    </w:p>
    <w:p w14:paraId="5BDA816A">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（1）合同协议书；</w:t>
      </w:r>
    </w:p>
    <w:p w14:paraId="72DA883E">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（2）中标通知书（如果有）；</w:t>
      </w:r>
    </w:p>
    <w:p w14:paraId="1E86C127">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（3）投标函及其附录（如果有）；</w:t>
      </w:r>
    </w:p>
    <w:p w14:paraId="03A6305B">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（4）专用合同条款及其附件；</w:t>
      </w:r>
    </w:p>
    <w:p w14:paraId="76C68079">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27F1B664">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（6）技术标准和要求 ；</w:t>
      </w:r>
    </w:p>
    <w:p w14:paraId="55954914">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（7）图纸（含图纸修改通知单及图纸设计变更文件） ；</w:t>
      </w:r>
    </w:p>
    <w:p w14:paraId="401D671C">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（8）已标价工程量清单 ；</w:t>
      </w:r>
    </w:p>
    <w:p w14:paraId="77956BED">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（9）其他合同文件（包括本工程预算控制价造价成果文件、招标文件等文件）；</w:t>
      </w:r>
    </w:p>
    <w:p w14:paraId="2EF36D1E">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w:t>
      </w:r>
      <w:r>
        <w:rPr>
          <w:rFonts w:hint="eastAsia" w:ascii="宋体" w:hAnsi="宋体" w:cs="宋体"/>
          <w:color w:val="auto"/>
          <w:kern w:val="0"/>
          <w:szCs w:val="21"/>
          <w:highlight w:val="none"/>
          <w:lang w:eastAsia="zh-CN"/>
        </w:rPr>
        <w:t>GB50854</w:t>
      </w:r>
      <w:r>
        <w:rPr>
          <w:rFonts w:hint="eastAsia" w:ascii="宋体" w:hAnsi="宋体" w:cs="宋体"/>
          <w:color w:val="auto"/>
          <w:kern w:val="0"/>
          <w:szCs w:val="21"/>
          <w:highlight w:val="none"/>
        </w:rPr>
        <w:t>～50862-2013）》及其广西实施细则（修订本）。</w:t>
      </w:r>
    </w:p>
    <w:p w14:paraId="4CC57F6E">
      <w:pPr>
        <w:pStyle w:val="38"/>
        <w:spacing w:line="380" w:lineRule="exact"/>
        <w:ind w:firstLine="422" w:firstLineChars="200"/>
        <w:rPr>
          <w:rFonts w:ascii="宋体" w:cs="宋体"/>
          <w:color w:val="auto"/>
          <w:kern w:val="0"/>
          <w:highlight w:val="none"/>
        </w:rPr>
      </w:pPr>
      <w:bookmarkStart w:id="716" w:name="_Toc256000177"/>
      <w:bookmarkStart w:id="717" w:name="_Toc19283"/>
      <w:bookmarkStart w:id="718" w:name="_Toc418752240"/>
      <w:bookmarkStart w:id="719" w:name="_Toc522201728"/>
      <w:bookmarkStart w:id="720" w:name="_Toc497747176"/>
      <w:bookmarkStart w:id="721" w:name="_Toc497746779"/>
      <w:bookmarkStart w:id="722" w:name="_Toc418751794"/>
      <w:bookmarkStart w:id="723" w:name="_Toc406522218"/>
      <w:r>
        <w:rPr>
          <w:rFonts w:hint="eastAsia" w:ascii="宋体" w:cs="宋体"/>
          <w:color w:val="auto"/>
          <w:kern w:val="0"/>
          <w:highlight w:val="none"/>
        </w:rPr>
        <w:t>说明：（6）、（7）、（8）、（9）填空内容分别限于技术标准和要求、图纸、已标价工程量清单或预算书、其他合同文件四者之一，其优先顺序可根据采取的不同合同方式由双方约定。</w:t>
      </w:r>
      <w:bookmarkEnd w:id="716"/>
      <w:bookmarkEnd w:id="717"/>
    </w:p>
    <w:p w14:paraId="6EE425B5">
      <w:pPr>
        <w:pStyle w:val="38"/>
        <w:spacing w:line="380" w:lineRule="exact"/>
        <w:ind w:firstLine="422" w:firstLineChars="200"/>
        <w:rPr>
          <w:rFonts w:ascii="宋体" w:cs="宋体"/>
          <w:color w:val="auto"/>
          <w:highlight w:val="none"/>
        </w:rPr>
      </w:pPr>
      <w:bookmarkStart w:id="724" w:name="_Toc256000178"/>
      <w:bookmarkStart w:id="725" w:name="_Toc18690"/>
      <w:r>
        <w:rPr>
          <w:rFonts w:hint="eastAsia" w:ascii="宋体" w:cs="宋体"/>
          <w:color w:val="auto"/>
          <w:highlight w:val="none"/>
        </w:rPr>
        <w:t>1.6 图纸和承包人文件</w:t>
      </w:r>
      <w:bookmarkEnd w:id="718"/>
      <w:bookmarkEnd w:id="719"/>
      <w:bookmarkEnd w:id="720"/>
      <w:bookmarkEnd w:id="721"/>
      <w:bookmarkEnd w:id="722"/>
      <w:bookmarkEnd w:id="723"/>
      <w:bookmarkEnd w:id="724"/>
      <w:bookmarkEnd w:id="725"/>
      <w:r>
        <w:rPr>
          <w:rFonts w:hint="eastAsia" w:ascii="宋体" w:cs="宋体"/>
          <w:color w:val="auto"/>
          <w:highlight w:val="none"/>
        </w:rPr>
        <w:tab/>
      </w:r>
    </w:p>
    <w:p w14:paraId="1E2D48C2">
      <w:pPr>
        <w:pStyle w:val="43"/>
        <w:spacing w:line="380" w:lineRule="exact"/>
        <w:rPr>
          <w:rFonts w:ascii="宋体" w:hAnsi="宋体" w:cs="宋体"/>
          <w:color w:val="auto"/>
          <w:highlight w:val="none"/>
        </w:rPr>
      </w:pPr>
      <w:r>
        <w:rPr>
          <w:rFonts w:hint="eastAsia" w:ascii="宋体" w:hAnsi="宋体" w:cs="宋体"/>
          <w:color w:val="auto"/>
          <w:highlight w:val="none"/>
        </w:rPr>
        <w:t>1.6.1 图纸的提供</w:t>
      </w:r>
    </w:p>
    <w:p w14:paraId="0F4ADBAF">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合同签订生效后7天内</w:t>
      </w:r>
      <w:r>
        <w:rPr>
          <w:rFonts w:hint="eastAsia" w:ascii="宋体" w:hAnsi="宋体" w:cs="宋体"/>
          <w:color w:val="auto"/>
          <w:szCs w:val="21"/>
          <w:highlight w:val="none"/>
        </w:rPr>
        <w:t>；</w:t>
      </w:r>
    </w:p>
    <w:p w14:paraId="2671DA11">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贰份，上述图纸及技术资料，未经监理工程师和发包人同意，承包人不得提供给与本工程无关的第三方。承包人需要增加图纸套数的，承包人自行复制，复制费用由承包人承担。</w:t>
      </w:r>
    </w:p>
    <w:p w14:paraId="5260F34C">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kern w:val="0"/>
          <w:szCs w:val="21"/>
          <w:highlight w:val="none"/>
          <w:u w:val="single"/>
        </w:rPr>
        <w:t>经备案的全套施工图纸和其他技术资料</w:t>
      </w:r>
      <w:r>
        <w:rPr>
          <w:rFonts w:hint="eastAsia" w:ascii="宋体" w:hAnsi="宋体" w:cs="宋体"/>
          <w:color w:val="auto"/>
          <w:szCs w:val="21"/>
          <w:highlight w:val="none"/>
        </w:rPr>
        <w:t>。</w:t>
      </w:r>
    </w:p>
    <w:p w14:paraId="38766844">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5474111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cs="宋体"/>
          <w:color w:val="auto"/>
          <w:szCs w:val="21"/>
          <w:highlight w:val="none"/>
          <w:u w:val="single"/>
          <w:lang w:val="zh-CN"/>
        </w:rPr>
        <w:t>、</w:t>
      </w:r>
      <w:r>
        <w:rPr>
          <w:rFonts w:hint="eastAsia" w:ascii="宋体" w:hAnsi="宋体" w:cs="宋体"/>
          <w:color w:val="auto"/>
          <w:szCs w:val="21"/>
          <w:highlight w:val="none"/>
          <w:u w:val="single"/>
        </w:rPr>
        <w:t>施工图以外的大样图、加工图、标准图、以及建筑装饰深化设计图纸设计优化建议等。但设计成果文件需经原设计单位审核及认可。最终设计成果归发包人所有。</w:t>
      </w:r>
    </w:p>
    <w:p w14:paraId="3AD622B4">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开始施工前7天内  </w:t>
      </w:r>
      <w:r>
        <w:rPr>
          <w:rFonts w:hint="eastAsia" w:ascii="宋体" w:hAnsi="宋体" w:cs="宋体"/>
          <w:color w:val="auto"/>
          <w:szCs w:val="21"/>
          <w:highlight w:val="none"/>
        </w:rPr>
        <w:t>；</w:t>
      </w:r>
    </w:p>
    <w:p w14:paraId="068594AC">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6</w:t>
      </w:r>
      <w:r>
        <w:rPr>
          <w:rFonts w:hint="eastAsia" w:ascii="宋体" w:hAnsi="宋体" w:cs="宋体"/>
          <w:color w:val="auto"/>
          <w:kern w:val="0"/>
          <w:szCs w:val="21"/>
          <w:highlight w:val="none"/>
          <w:u w:val="single"/>
        </w:rPr>
        <w:t>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94A1F1">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纸质版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BBB1072">
      <w:pPr>
        <w:pStyle w:val="43"/>
        <w:spacing w:line="380" w:lineRule="exact"/>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 xml:space="preserve"> 收到承包人提供的文件后七天内 </w:t>
      </w:r>
      <w:r>
        <w:rPr>
          <w:rFonts w:hint="eastAsia" w:ascii="宋体" w:hAnsi="宋体" w:cs="宋体"/>
          <w:color w:val="auto"/>
          <w:highlight w:val="none"/>
        </w:rPr>
        <w:t>。</w:t>
      </w:r>
    </w:p>
    <w:p w14:paraId="44596D66">
      <w:pPr>
        <w:pStyle w:val="43"/>
        <w:spacing w:line="380" w:lineRule="exact"/>
        <w:rPr>
          <w:rFonts w:ascii="宋体" w:hAnsi="宋体" w:cs="宋体"/>
          <w:color w:val="auto"/>
          <w:highlight w:val="none"/>
        </w:rPr>
      </w:pPr>
      <w:r>
        <w:rPr>
          <w:rFonts w:hint="eastAsia" w:ascii="宋体" w:hAnsi="宋体" w:cs="宋体"/>
          <w:color w:val="auto"/>
          <w:highlight w:val="none"/>
        </w:rPr>
        <w:t>1.6.5 现场图纸准备</w:t>
      </w:r>
    </w:p>
    <w:p w14:paraId="1C9E8C99">
      <w:pPr>
        <w:pStyle w:val="43"/>
        <w:spacing w:line="380" w:lineRule="exact"/>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 xml:space="preserve">  按通用条款执行</w:t>
      </w:r>
      <w:r>
        <w:rPr>
          <w:rFonts w:hint="eastAsia" w:ascii="宋体" w:hAnsi="宋体" w:cs="宋体"/>
          <w:color w:val="auto"/>
          <w:highlight w:val="none"/>
        </w:rPr>
        <w:t>。</w:t>
      </w:r>
    </w:p>
    <w:p w14:paraId="31F2B211">
      <w:pPr>
        <w:pStyle w:val="38"/>
        <w:spacing w:line="380" w:lineRule="exact"/>
        <w:ind w:firstLine="422" w:firstLineChars="200"/>
        <w:rPr>
          <w:rFonts w:ascii="宋体" w:cs="宋体"/>
          <w:color w:val="auto"/>
          <w:highlight w:val="none"/>
        </w:rPr>
      </w:pPr>
      <w:bookmarkStart w:id="726" w:name="_Toc256000179"/>
      <w:bookmarkStart w:id="727" w:name="_Toc522201729"/>
      <w:bookmarkStart w:id="728" w:name="_Toc406522219"/>
      <w:bookmarkStart w:id="729" w:name="_Toc497747177"/>
      <w:bookmarkStart w:id="730" w:name="_Toc418751795"/>
      <w:bookmarkStart w:id="731" w:name="_Toc418752241"/>
      <w:bookmarkStart w:id="732" w:name="_Toc497746780"/>
      <w:bookmarkStart w:id="733" w:name="_Toc25636"/>
      <w:r>
        <w:rPr>
          <w:rFonts w:hint="eastAsia" w:ascii="宋体" w:cs="宋体"/>
          <w:color w:val="auto"/>
          <w:highlight w:val="none"/>
        </w:rPr>
        <w:t>1.7 联络</w:t>
      </w:r>
      <w:bookmarkEnd w:id="726"/>
      <w:bookmarkEnd w:id="727"/>
      <w:bookmarkEnd w:id="728"/>
      <w:bookmarkEnd w:id="729"/>
      <w:bookmarkEnd w:id="730"/>
      <w:bookmarkEnd w:id="731"/>
      <w:bookmarkEnd w:id="732"/>
      <w:bookmarkEnd w:id="733"/>
    </w:p>
    <w:p w14:paraId="621F71AE">
      <w:pPr>
        <w:pStyle w:val="43"/>
        <w:spacing w:line="380" w:lineRule="exact"/>
        <w:rPr>
          <w:rFonts w:ascii="宋体" w:hAnsi="宋体" w:cs="宋体"/>
          <w:color w:val="auto"/>
          <w:highlight w:val="none"/>
        </w:rPr>
      </w:pPr>
      <w:r>
        <w:rPr>
          <w:rFonts w:hint="eastAsia" w:ascii="宋体" w:hAnsi="宋体" w:cs="宋体"/>
          <w:color w:val="auto"/>
          <w:highlight w:val="none"/>
        </w:rPr>
        <w:t>1.7.1发包人和承包人应当在</w:t>
      </w:r>
      <w:r>
        <w:rPr>
          <w:rFonts w:hint="eastAsia" w:ascii="宋体" w:hAnsi="宋体" w:cs="宋体"/>
          <w:color w:val="auto"/>
          <w:highlight w:val="none"/>
          <w:u w:val="single"/>
        </w:rPr>
        <w:t xml:space="preserve">  7 </w:t>
      </w:r>
      <w:r>
        <w:rPr>
          <w:rFonts w:hint="eastAsia" w:ascii="宋体" w:hAnsi="宋体" w:cs="宋体"/>
          <w:color w:val="auto"/>
          <w:highlight w:val="none"/>
        </w:rPr>
        <w:t>天内将与合同有关的通知、批准、证明、证书、指示、指令、要求、请求、同意、意见、确定和决定等书面函件送达对方当事人。</w:t>
      </w:r>
    </w:p>
    <w:p w14:paraId="6AC5E1AE">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1.7.2发包人接收文件的地点：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1F110BEF">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E79972E">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施工现场项目部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2D8AF89F">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949597C">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D280F2F">
      <w:pPr>
        <w:pStyle w:val="43"/>
        <w:spacing w:line="380" w:lineRule="exact"/>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1478CA2">
      <w:pPr>
        <w:pStyle w:val="38"/>
        <w:spacing w:line="380" w:lineRule="exact"/>
        <w:ind w:firstLine="422" w:firstLineChars="200"/>
        <w:rPr>
          <w:rFonts w:ascii="宋体" w:cs="宋体"/>
          <w:color w:val="auto"/>
          <w:highlight w:val="none"/>
        </w:rPr>
      </w:pPr>
      <w:bookmarkStart w:id="734" w:name="_Toc497746781"/>
      <w:bookmarkStart w:id="735" w:name="_Toc418751796"/>
      <w:bookmarkStart w:id="736" w:name="_Toc31771"/>
      <w:bookmarkStart w:id="737" w:name="_Toc406522220"/>
      <w:bookmarkStart w:id="738" w:name="_Toc522201730"/>
      <w:bookmarkStart w:id="739" w:name="_Toc418752242"/>
      <w:bookmarkStart w:id="740" w:name="_Toc497747178"/>
      <w:bookmarkStart w:id="741" w:name="_Toc256000180"/>
      <w:r>
        <w:rPr>
          <w:rFonts w:hint="eastAsia" w:ascii="宋体" w:cs="宋体"/>
          <w:color w:val="auto"/>
          <w:highlight w:val="none"/>
        </w:rPr>
        <w:t>1.10 交通运输</w:t>
      </w:r>
      <w:bookmarkEnd w:id="734"/>
      <w:bookmarkEnd w:id="735"/>
      <w:bookmarkEnd w:id="736"/>
      <w:bookmarkEnd w:id="737"/>
      <w:bookmarkEnd w:id="738"/>
      <w:bookmarkEnd w:id="739"/>
      <w:bookmarkEnd w:id="740"/>
      <w:bookmarkEnd w:id="741"/>
    </w:p>
    <w:p w14:paraId="395B0D6D">
      <w:pPr>
        <w:pStyle w:val="43"/>
        <w:spacing w:line="380" w:lineRule="exact"/>
        <w:rPr>
          <w:rFonts w:ascii="宋体" w:hAnsi="宋体" w:cs="宋体"/>
          <w:color w:val="auto"/>
          <w:highlight w:val="none"/>
        </w:rPr>
      </w:pPr>
      <w:r>
        <w:rPr>
          <w:rFonts w:hint="eastAsia" w:ascii="宋体" w:hAnsi="宋体" w:cs="宋体"/>
          <w:color w:val="auto"/>
          <w:highlight w:val="none"/>
        </w:rPr>
        <w:t>1</w:t>
      </w:r>
      <w:bookmarkStart w:id="742" w:name="_Toc303539100"/>
      <w:bookmarkStart w:id="743" w:name="_Toc312677986"/>
      <w:bookmarkStart w:id="744" w:name="_Toc300934943"/>
      <w:bookmarkStart w:id="745" w:name="_Toc304295521"/>
      <w:bookmarkStart w:id="746" w:name="_Toc318581155"/>
      <w:r>
        <w:rPr>
          <w:rFonts w:hint="eastAsia" w:ascii="宋体" w:hAnsi="宋体" w:cs="宋体"/>
          <w:color w:val="auto"/>
          <w:highlight w:val="none"/>
        </w:rPr>
        <w:t>.10.1 出入现场的权利</w:t>
      </w:r>
    </w:p>
    <w:p w14:paraId="06AED35A">
      <w:pPr>
        <w:pStyle w:val="43"/>
        <w:spacing w:line="380" w:lineRule="exact"/>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 xml:space="preserve"> 除正常施工涉及的人员及车辆外，其他人员及车辆进出场内须经过发包人同意，且由承包人进行管理登记 </w:t>
      </w:r>
      <w:r>
        <w:rPr>
          <w:rFonts w:hint="eastAsia" w:ascii="宋体" w:hAnsi="宋体" w:cs="宋体"/>
          <w:color w:val="auto"/>
          <w:highlight w:val="none"/>
        </w:rPr>
        <w:t>。</w:t>
      </w:r>
    </w:p>
    <w:bookmarkEnd w:id="742"/>
    <w:bookmarkEnd w:id="743"/>
    <w:bookmarkEnd w:id="744"/>
    <w:bookmarkEnd w:id="745"/>
    <w:bookmarkEnd w:id="746"/>
    <w:p w14:paraId="6E3084DA">
      <w:pPr>
        <w:pStyle w:val="43"/>
        <w:spacing w:line="380" w:lineRule="exact"/>
        <w:rPr>
          <w:rFonts w:ascii="宋体" w:hAnsi="宋体" w:cs="宋体"/>
          <w:color w:val="auto"/>
          <w:highlight w:val="none"/>
        </w:rPr>
      </w:pPr>
      <w:r>
        <w:rPr>
          <w:rFonts w:hint="eastAsia" w:ascii="宋体" w:hAnsi="宋体" w:cs="宋体"/>
          <w:color w:val="auto"/>
          <w:highlight w:val="none"/>
        </w:rPr>
        <w:t>1</w:t>
      </w:r>
      <w:bookmarkStart w:id="747" w:name="_Toc318581156"/>
      <w:bookmarkStart w:id="748" w:name="_Toc300934944"/>
      <w:bookmarkStart w:id="749" w:name="_Toc303539101"/>
      <w:bookmarkStart w:id="750" w:name="_Toc312677987"/>
      <w:bookmarkStart w:id="751" w:name="_Toc304295522"/>
      <w:r>
        <w:rPr>
          <w:rFonts w:hint="eastAsia" w:ascii="宋体" w:hAnsi="宋体" w:cs="宋体"/>
          <w:color w:val="auto"/>
          <w:highlight w:val="none"/>
        </w:rPr>
        <w:t>.10.3 场内交通</w:t>
      </w:r>
    </w:p>
    <w:p w14:paraId="76038152">
      <w:pPr>
        <w:pStyle w:val="43"/>
        <w:spacing w:line="380" w:lineRule="exact"/>
        <w:rPr>
          <w:rFonts w:ascii="宋体" w:hAnsi="宋体" w:cs="宋体"/>
          <w:color w:val="auto"/>
          <w:highlight w:val="none"/>
        </w:rPr>
      </w:pPr>
      <w:r>
        <w:rPr>
          <w:rFonts w:hint="eastAsia" w:ascii="宋体" w:hAnsi="宋体" w:cs="宋体"/>
          <w:color w:val="auto"/>
          <w:highlight w:val="none"/>
        </w:rPr>
        <w:t>关于场外交通和场内交通的边界的约定：</w:t>
      </w:r>
      <w:r>
        <w:rPr>
          <w:rFonts w:hint="eastAsia" w:ascii="宋体" w:hAnsi="宋体" w:cs="宋体"/>
          <w:color w:val="auto"/>
          <w:highlight w:val="none"/>
          <w:u w:val="single"/>
        </w:rPr>
        <w:t xml:space="preserve">  规划批复总平用地红线  </w:t>
      </w:r>
      <w:r>
        <w:rPr>
          <w:rFonts w:hint="eastAsia" w:ascii="宋体" w:hAnsi="宋体" w:cs="宋体"/>
          <w:color w:val="auto"/>
          <w:highlight w:val="none"/>
        </w:rPr>
        <w:t>。</w:t>
      </w:r>
    </w:p>
    <w:p w14:paraId="0E3807C8">
      <w:pPr>
        <w:pStyle w:val="43"/>
        <w:spacing w:line="380" w:lineRule="exact"/>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highlight w:val="none"/>
          <w:u w:val="single"/>
        </w:rPr>
        <w:t>承包人负责场内道路和交通设施的修建并承担相应费用</w:t>
      </w:r>
      <w:r>
        <w:rPr>
          <w:rFonts w:hint="eastAsia" w:ascii="宋体" w:hAnsi="宋体" w:cs="宋体"/>
          <w:color w:val="auto"/>
          <w:highlight w:val="none"/>
        </w:rPr>
        <w:t>。</w:t>
      </w:r>
      <w:bookmarkEnd w:id="747"/>
      <w:bookmarkEnd w:id="748"/>
      <w:bookmarkEnd w:id="749"/>
      <w:bookmarkEnd w:id="750"/>
      <w:bookmarkEnd w:id="751"/>
      <w:r>
        <w:rPr>
          <w:rFonts w:hint="eastAsia" w:ascii="宋体" w:hAnsi="宋体" w:cs="宋体"/>
          <w:color w:val="auto"/>
          <w:highlight w:val="none"/>
        </w:rPr>
        <w:t xml:space="preserve">  </w:t>
      </w:r>
      <w:bookmarkStart w:id="752" w:name="_Toc318581157"/>
    </w:p>
    <w:p w14:paraId="2EC5076B">
      <w:pPr>
        <w:pStyle w:val="43"/>
        <w:spacing w:line="380" w:lineRule="exact"/>
        <w:rPr>
          <w:rFonts w:ascii="宋体" w:hAnsi="宋体" w:cs="宋体"/>
          <w:color w:val="auto"/>
          <w:highlight w:val="none"/>
        </w:rPr>
      </w:pPr>
      <w:r>
        <w:rPr>
          <w:rFonts w:hint="eastAsia" w:ascii="宋体" w:hAnsi="宋体" w:cs="宋体"/>
          <w:color w:val="auto"/>
          <w:highlight w:val="none"/>
        </w:rPr>
        <w:t>1.10.4超大件和超重件的运输</w:t>
      </w:r>
    </w:p>
    <w:p w14:paraId="33D47E39">
      <w:pPr>
        <w:pStyle w:val="43"/>
        <w:spacing w:line="380" w:lineRule="exact"/>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w:t>
      </w:r>
      <w:r>
        <w:rPr>
          <w:rFonts w:hint="eastAsia" w:ascii="宋体" w:hAnsi="宋体" w:cs="宋体"/>
          <w:color w:val="auto"/>
          <w:highlight w:val="none"/>
        </w:rPr>
        <w:t>承担。</w:t>
      </w:r>
    </w:p>
    <w:bookmarkEnd w:id="752"/>
    <w:p w14:paraId="237A5BEC">
      <w:pPr>
        <w:pStyle w:val="38"/>
        <w:spacing w:line="380" w:lineRule="exact"/>
        <w:ind w:firstLine="422" w:firstLineChars="200"/>
        <w:rPr>
          <w:rFonts w:ascii="宋体" w:cs="宋体"/>
          <w:color w:val="auto"/>
          <w:highlight w:val="none"/>
        </w:rPr>
      </w:pPr>
      <w:bookmarkStart w:id="753" w:name="_Toc497746782"/>
      <w:bookmarkStart w:id="754" w:name="_Toc497747179"/>
      <w:bookmarkStart w:id="755" w:name="_Toc17997"/>
      <w:bookmarkStart w:id="756" w:name="_Toc406522221"/>
      <w:bookmarkStart w:id="757" w:name="_Toc418752243"/>
      <w:bookmarkStart w:id="758" w:name="_Toc256000181"/>
      <w:bookmarkStart w:id="759" w:name="_Toc418751797"/>
      <w:bookmarkStart w:id="760" w:name="_Toc522201731"/>
      <w:r>
        <w:rPr>
          <w:rFonts w:hint="eastAsia" w:ascii="宋体" w:cs="宋体"/>
          <w:color w:val="auto"/>
          <w:highlight w:val="none"/>
        </w:rPr>
        <w:t>1.11 知识产权</w:t>
      </w:r>
      <w:bookmarkEnd w:id="753"/>
      <w:bookmarkEnd w:id="754"/>
      <w:bookmarkEnd w:id="755"/>
      <w:bookmarkEnd w:id="756"/>
      <w:bookmarkEnd w:id="757"/>
      <w:bookmarkEnd w:id="758"/>
      <w:bookmarkEnd w:id="759"/>
      <w:bookmarkEnd w:id="760"/>
    </w:p>
    <w:p w14:paraId="25EE90C5">
      <w:pPr>
        <w:pStyle w:val="43"/>
        <w:spacing w:line="380" w:lineRule="exact"/>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著作权属于发包人</w:t>
      </w:r>
      <w:r>
        <w:rPr>
          <w:rFonts w:hint="eastAsia" w:ascii="宋体" w:hAnsi="宋体" w:cs="宋体"/>
          <w:color w:val="auto"/>
          <w:highlight w:val="none"/>
        </w:rPr>
        <w:t>。</w:t>
      </w:r>
    </w:p>
    <w:p w14:paraId="184F8D81">
      <w:pPr>
        <w:pStyle w:val="43"/>
        <w:spacing w:line="380" w:lineRule="exact"/>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未经发包人同意，承包人不得为了合同以外的目的而复制、使用上述文件或将之提供给任何第三方</w:t>
      </w:r>
      <w:r>
        <w:rPr>
          <w:rFonts w:hint="eastAsia" w:ascii="宋体" w:hAnsi="宋体" w:cs="宋体"/>
          <w:color w:val="auto"/>
          <w:highlight w:val="none"/>
        </w:rPr>
        <w:t>。</w:t>
      </w:r>
    </w:p>
    <w:p w14:paraId="636A7A7E">
      <w:pPr>
        <w:pStyle w:val="43"/>
        <w:spacing w:line="380" w:lineRule="exact"/>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除署名以外著作权属于发包人</w:t>
      </w:r>
      <w:r>
        <w:rPr>
          <w:rFonts w:hint="eastAsia" w:ascii="宋体" w:hAnsi="宋体" w:cs="宋体"/>
          <w:color w:val="auto"/>
          <w:highlight w:val="none"/>
        </w:rPr>
        <w:t>。</w:t>
      </w:r>
    </w:p>
    <w:p w14:paraId="3CE553B3">
      <w:pPr>
        <w:pStyle w:val="43"/>
        <w:spacing w:line="380" w:lineRule="exact"/>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未经发包人同意，承包人不得为了合同以外的目的而复制、使用上述文件或将之提供给任何第三方</w:t>
      </w:r>
      <w:r>
        <w:rPr>
          <w:rFonts w:hint="eastAsia" w:ascii="宋体" w:hAnsi="宋体" w:cs="宋体"/>
          <w:color w:val="auto"/>
          <w:highlight w:val="none"/>
        </w:rPr>
        <w:t>。</w:t>
      </w:r>
    </w:p>
    <w:p w14:paraId="5809FAA9">
      <w:pPr>
        <w:pStyle w:val="43"/>
        <w:spacing w:line="380" w:lineRule="exact"/>
        <w:rPr>
          <w:rFonts w:ascii="宋体" w:hAnsi="宋体" w:cs="宋体"/>
          <w:color w:val="auto"/>
          <w:highlight w:val="none"/>
          <w:u w:val="singl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由承包人承担</w:t>
      </w:r>
      <w:r>
        <w:rPr>
          <w:rFonts w:hint="eastAsia" w:ascii="宋体" w:hAnsi="宋体" w:cs="宋体"/>
          <w:color w:val="auto"/>
          <w:highlight w:val="none"/>
        </w:rPr>
        <w:t>。</w:t>
      </w:r>
    </w:p>
    <w:p w14:paraId="6D3785AD">
      <w:pPr>
        <w:pStyle w:val="43"/>
        <w:spacing w:line="380" w:lineRule="exact"/>
        <w:rPr>
          <w:rFonts w:ascii="宋体" w:hAnsi="宋体" w:cs="宋体"/>
          <w:color w:val="auto"/>
          <w:highlight w:val="none"/>
        </w:rPr>
      </w:pPr>
      <w:r>
        <w:rPr>
          <w:rFonts w:hint="eastAsia" w:ascii="宋体" w:hAnsi="宋体" w:cs="宋体"/>
          <w:color w:val="auto"/>
          <w:highlight w:val="none"/>
        </w:rPr>
        <w:t>1.13工程量清单错误的修正</w:t>
      </w:r>
    </w:p>
    <w:p w14:paraId="0D58E033">
      <w:pPr>
        <w:pStyle w:val="43"/>
        <w:spacing w:line="380" w:lineRule="exact"/>
        <w:rPr>
          <w:rFonts w:ascii="宋体" w:hAnsi="宋体" w:cs="宋体"/>
          <w:color w:val="auto"/>
          <w:highlight w:val="none"/>
          <w:u w:val="singl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按《建设工程工程量清单计价规范（GB5050-2013）》及其广西实施细则、《建设工程工程量清单计算规范（</w:t>
      </w:r>
      <w:r>
        <w:rPr>
          <w:rFonts w:hint="eastAsia" w:ascii="宋体" w:hAnsi="宋体" w:cs="宋体"/>
          <w:color w:val="auto"/>
          <w:highlight w:val="none"/>
          <w:u w:val="single"/>
          <w:lang w:eastAsia="zh-CN"/>
        </w:rPr>
        <w:t>GB50854</w:t>
      </w:r>
      <w:r>
        <w:rPr>
          <w:rFonts w:hint="eastAsia" w:ascii="宋体" w:hAnsi="宋体" w:cs="宋体"/>
          <w:color w:val="auto"/>
          <w:highlight w:val="none"/>
          <w:u w:val="single"/>
        </w:rPr>
        <w:t>～50862-2013）》及其广西实施细则（修订本）等规定。</w:t>
      </w:r>
    </w:p>
    <w:p w14:paraId="2C3E6A2A">
      <w:pPr>
        <w:pStyle w:val="43"/>
        <w:spacing w:line="380" w:lineRule="exact"/>
        <w:rPr>
          <w:rFonts w:ascii="宋体" w:hAnsi="宋体" w:cs="宋体"/>
          <w:color w:val="auto"/>
          <w:highlight w:val="none"/>
        </w:rPr>
      </w:pPr>
      <w:r>
        <w:rPr>
          <w:rFonts w:hint="eastAsia" w:ascii="宋体" w:hAnsi="宋体" w:cs="宋体"/>
          <w:color w:val="auto"/>
          <w:highlight w:val="none"/>
        </w:rPr>
        <w:t xml:space="preserve">允许调整合同价格的工程量偏差范围： </w:t>
      </w:r>
      <w:r>
        <w:rPr>
          <w:rFonts w:hint="eastAsia" w:ascii="宋体" w:hAnsi="宋体" w:cs="宋体"/>
          <w:color w:val="auto"/>
          <w:highlight w:val="none"/>
          <w:u w:val="single"/>
        </w:rPr>
        <w:t>按《建设工程工程量清单计价规范（GB5050-2013）》及其广西实施细则、《建设工程工程量清单计算规范（</w:t>
      </w:r>
      <w:r>
        <w:rPr>
          <w:rFonts w:hint="eastAsia" w:ascii="宋体" w:hAnsi="宋体" w:cs="宋体"/>
          <w:color w:val="auto"/>
          <w:highlight w:val="none"/>
          <w:u w:val="single"/>
          <w:lang w:eastAsia="zh-CN"/>
        </w:rPr>
        <w:t>GB50854</w:t>
      </w:r>
      <w:r>
        <w:rPr>
          <w:rFonts w:hint="eastAsia" w:ascii="宋体" w:hAnsi="宋体" w:cs="宋体"/>
          <w:color w:val="auto"/>
          <w:highlight w:val="none"/>
          <w:u w:val="single"/>
        </w:rPr>
        <w:t>～50862-2013）》及其广西实施细则（修订本）等规定</w:t>
      </w:r>
      <w:r>
        <w:rPr>
          <w:rFonts w:hint="eastAsia" w:ascii="宋体" w:hAnsi="宋体" w:cs="宋体"/>
          <w:color w:val="auto"/>
          <w:highlight w:val="none"/>
        </w:rPr>
        <w:t>。</w:t>
      </w:r>
    </w:p>
    <w:p w14:paraId="48A39158">
      <w:pPr>
        <w:pStyle w:val="38"/>
        <w:spacing w:line="380" w:lineRule="exact"/>
        <w:rPr>
          <w:rFonts w:ascii="宋体" w:cs="宋体"/>
          <w:color w:val="auto"/>
          <w:highlight w:val="none"/>
        </w:rPr>
      </w:pPr>
      <w:bookmarkStart w:id="761" w:name="_Toc418751798"/>
      <w:bookmarkStart w:id="762" w:name="_Toc406522222"/>
      <w:bookmarkStart w:id="763" w:name="_Toc497747180"/>
      <w:bookmarkStart w:id="764" w:name="_Toc497746783"/>
      <w:bookmarkStart w:id="765" w:name="_Toc351203634"/>
      <w:bookmarkStart w:id="766" w:name="_Toc1764"/>
      <w:bookmarkStart w:id="767" w:name="_Toc522201732"/>
      <w:bookmarkStart w:id="768" w:name="_Toc256000182"/>
      <w:bookmarkStart w:id="769" w:name="_Toc418752244"/>
      <w:r>
        <w:rPr>
          <w:rFonts w:hint="eastAsia" w:ascii="宋体" w:cs="宋体"/>
          <w:color w:val="auto"/>
          <w:highlight w:val="none"/>
        </w:rPr>
        <w:t>2</w:t>
      </w:r>
      <w:bookmarkStart w:id="770" w:name="_Toc297120457"/>
      <w:bookmarkStart w:id="771" w:name="_Toc292559867"/>
      <w:bookmarkStart w:id="772" w:name="_Toc296944496"/>
      <w:bookmarkStart w:id="773" w:name="_Toc296347156"/>
      <w:bookmarkStart w:id="774" w:name="_Toc296503157"/>
      <w:bookmarkStart w:id="775" w:name="_Toc296891197"/>
      <w:bookmarkStart w:id="776" w:name="_Toc296890985"/>
      <w:bookmarkStart w:id="777" w:name="_Toc296346658"/>
      <w:bookmarkStart w:id="778" w:name="_Toc297048343"/>
      <w:bookmarkStart w:id="779" w:name="_Toc292559362"/>
      <w:r>
        <w:rPr>
          <w:rFonts w:hint="eastAsia" w:ascii="宋体" w:cs="宋体"/>
          <w:color w:val="auto"/>
          <w:highlight w:val="none"/>
        </w:rPr>
        <w:t>. 发包人</w:t>
      </w:r>
      <w:bookmarkEnd w:id="761"/>
      <w:bookmarkEnd w:id="762"/>
      <w:bookmarkEnd w:id="763"/>
      <w:bookmarkEnd w:id="764"/>
      <w:bookmarkEnd w:id="765"/>
      <w:bookmarkEnd w:id="766"/>
      <w:bookmarkEnd w:id="767"/>
      <w:bookmarkEnd w:id="768"/>
      <w:bookmarkEnd w:id="769"/>
    </w:p>
    <w:bookmarkEnd w:id="770"/>
    <w:bookmarkEnd w:id="771"/>
    <w:bookmarkEnd w:id="772"/>
    <w:bookmarkEnd w:id="773"/>
    <w:bookmarkEnd w:id="774"/>
    <w:bookmarkEnd w:id="775"/>
    <w:bookmarkEnd w:id="776"/>
    <w:bookmarkEnd w:id="777"/>
    <w:bookmarkEnd w:id="778"/>
    <w:bookmarkEnd w:id="779"/>
    <w:p w14:paraId="5CF41461">
      <w:pPr>
        <w:pStyle w:val="38"/>
        <w:spacing w:line="380" w:lineRule="exact"/>
        <w:ind w:firstLine="422" w:firstLineChars="200"/>
        <w:rPr>
          <w:rFonts w:ascii="宋体" w:cs="宋体"/>
          <w:color w:val="auto"/>
          <w:highlight w:val="none"/>
        </w:rPr>
      </w:pPr>
      <w:bookmarkStart w:id="780" w:name="_Toc497747181"/>
      <w:bookmarkStart w:id="781" w:name="_Toc418752245"/>
      <w:bookmarkStart w:id="782" w:name="_Toc406522223"/>
      <w:bookmarkStart w:id="783" w:name="_Toc10058"/>
      <w:bookmarkStart w:id="784" w:name="_Toc418751799"/>
      <w:bookmarkStart w:id="785" w:name="_Toc497746784"/>
      <w:bookmarkStart w:id="786" w:name="_Toc522201733"/>
      <w:bookmarkStart w:id="787" w:name="_Toc256000183"/>
      <w:r>
        <w:rPr>
          <w:rFonts w:hint="eastAsia" w:ascii="宋体" w:cs="宋体"/>
          <w:color w:val="auto"/>
          <w:highlight w:val="none"/>
        </w:rPr>
        <w:t>2.2 发包人代表</w:t>
      </w:r>
      <w:bookmarkEnd w:id="780"/>
      <w:bookmarkEnd w:id="781"/>
      <w:bookmarkEnd w:id="782"/>
      <w:bookmarkEnd w:id="783"/>
      <w:bookmarkEnd w:id="784"/>
      <w:bookmarkEnd w:id="785"/>
      <w:bookmarkEnd w:id="786"/>
      <w:bookmarkEnd w:id="787"/>
    </w:p>
    <w:p w14:paraId="7D20E928">
      <w:pPr>
        <w:pStyle w:val="43"/>
        <w:spacing w:line="380" w:lineRule="exact"/>
        <w:rPr>
          <w:rFonts w:ascii="宋体" w:hAnsi="宋体" w:cs="宋体"/>
          <w:color w:val="auto"/>
          <w:highlight w:val="none"/>
        </w:rPr>
      </w:pPr>
      <w:r>
        <w:rPr>
          <w:rFonts w:hint="eastAsia" w:ascii="宋体" w:hAnsi="宋体" w:cs="宋体"/>
          <w:color w:val="auto"/>
          <w:highlight w:val="none"/>
        </w:rPr>
        <w:t>发包人代表：</w:t>
      </w:r>
    </w:p>
    <w:p w14:paraId="0202F4BC">
      <w:pPr>
        <w:pStyle w:val="43"/>
        <w:spacing w:line="380" w:lineRule="exact"/>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AB4B713">
      <w:pPr>
        <w:pStyle w:val="43"/>
        <w:spacing w:line="380" w:lineRule="exact"/>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D204F5C">
      <w:pPr>
        <w:pStyle w:val="43"/>
        <w:spacing w:line="380" w:lineRule="exac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EF6A18C">
      <w:pPr>
        <w:pStyle w:val="43"/>
        <w:spacing w:line="380" w:lineRule="exac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B34722B">
      <w:pPr>
        <w:pStyle w:val="43"/>
        <w:spacing w:line="380" w:lineRule="exac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0DBEE72B">
      <w:pPr>
        <w:pStyle w:val="43"/>
        <w:spacing w:line="380" w:lineRule="exact"/>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对工程进度、质量进行监督、办理中间交工工程验收手续，负责现场签证，解决由发包人授权处理的事宜</w:t>
      </w:r>
      <w:r>
        <w:rPr>
          <w:rFonts w:hint="eastAsia" w:ascii="宋体" w:hAnsi="宋体" w:cs="宋体"/>
          <w:color w:val="auto"/>
          <w:highlight w:val="none"/>
        </w:rPr>
        <w:t>。</w:t>
      </w:r>
    </w:p>
    <w:p w14:paraId="58184B25">
      <w:pPr>
        <w:pStyle w:val="38"/>
        <w:spacing w:line="380" w:lineRule="exact"/>
        <w:ind w:firstLine="422" w:firstLineChars="200"/>
        <w:rPr>
          <w:rFonts w:ascii="宋体" w:cs="宋体"/>
          <w:color w:val="auto"/>
          <w:highlight w:val="none"/>
        </w:rPr>
      </w:pPr>
      <w:bookmarkStart w:id="788" w:name="_Toc406522224"/>
      <w:bookmarkStart w:id="789" w:name="_Toc8326"/>
      <w:bookmarkStart w:id="790" w:name="_Toc522201734"/>
      <w:bookmarkStart w:id="791" w:name="_Toc418751800"/>
      <w:bookmarkStart w:id="792" w:name="_Toc497746785"/>
      <w:bookmarkStart w:id="793" w:name="_Toc256000184"/>
      <w:bookmarkStart w:id="794" w:name="_Toc418752246"/>
      <w:bookmarkStart w:id="795" w:name="_Toc497747182"/>
      <w:r>
        <w:rPr>
          <w:rFonts w:hint="eastAsia" w:ascii="宋体" w:cs="宋体"/>
          <w:color w:val="auto"/>
          <w:highlight w:val="none"/>
        </w:rPr>
        <w:t>2.4 施工现场、施工条件和基础资料的提供</w:t>
      </w:r>
      <w:bookmarkEnd w:id="788"/>
      <w:bookmarkEnd w:id="789"/>
      <w:bookmarkEnd w:id="790"/>
      <w:bookmarkEnd w:id="791"/>
      <w:bookmarkEnd w:id="792"/>
      <w:bookmarkEnd w:id="793"/>
      <w:bookmarkEnd w:id="794"/>
      <w:bookmarkEnd w:id="795"/>
    </w:p>
    <w:p w14:paraId="3BD6C42F">
      <w:pPr>
        <w:pStyle w:val="43"/>
        <w:spacing w:line="380" w:lineRule="exact"/>
        <w:rPr>
          <w:rFonts w:ascii="宋体" w:hAnsi="宋体" w:cs="宋体"/>
          <w:color w:val="auto"/>
          <w:highlight w:val="none"/>
        </w:rPr>
      </w:pPr>
      <w:r>
        <w:rPr>
          <w:rFonts w:hint="eastAsia" w:ascii="宋体" w:hAnsi="宋体" w:cs="宋体"/>
          <w:color w:val="auto"/>
          <w:highlight w:val="none"/>
        </w:rPr>
        <w:t>2.4.1 提供施工现场</w:t>
      </w:r>
    </w:p>
    <w:p w14:paraId="0B976DB9">
      <w:pPr>
        <w:pStyle w:val="43"/>
        <w:spacing w:line="380" w:lineRule="exact"/>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cs="宋体"/>
          <w:color w:val="auto"/>
          <w:highlight w:val="none"/>
        </w:rPr>
        <w:t>。</w:t>
      </w:r>
    </w:p>
    <w:p w14:paraId="78C98EA4">
      <w:pPr>
        <w:pStyle w:val="43"/>
        <w:spacing w:line="380" w:lineRule="exact"/>
        <w:rPr>
          <w:rFonts w:ascii="宋体" w:hAnsi="宋体" w:cs="宋体"/>
          <w:color w:val="auto"/>
          <w:highlight w:val="none"/>
        </w:rPr>
      </w:pPr>
      <w:r>
        <w:rPr>
          <w:rFonts w:hint="eastAsia" w:ascii="宋体" w:hAnsi="宋体" w:cs="宋体"/>
          <w:color w:val="auto"/>
          <w:highlight w:val="none"/>
        </w:rPr>
        <w:t>2.4.2 提供施工条件</w:t>
      </w:r>
    </w:p>
    <w:p w14:paraId="1A120385">
      <w:pPr>
        <w:pStyle w:val="43"/>
        <w:spacing w:line="380" w:lineRule="exact"/>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发包人可配合承包人办理开工所需手续及相关申请，费用由承包人自行解决，施工场地与公共道路的通道，由承包人负责实施，费用已包含在合同价中</w:t>
      </w:r>
      <w:r>
        <w:rPr>
          <w:rFonts w:hint="eastAsia" w:ascii="宋体" w:hAnsi="宋体" w:cs="宋体"/>
          <w:color w:val="auto"/>
          <w:highlight w:val="none"/>
        </w:rPr>
        <w:t>。</w:t>
      </w:r>
    </w:p>
    <w:p w14:paraId="1E55F96E">
      <w:pPr>
        <w:pStyle w:val="38"/>
        <w:spacing w:line="380" w:lineRule="exact"/>
        <w:ind w:firstLine="422" w:firstLineChars="200"/>
        <w:rPr>
          <w:rFonts w:ascii="宋体" w:cs="宋体"/>
          <w:color w:val="auto"/>
          <w:highlight w:val="none"/>
        </w:rPr>
      </w:pPr>
      <w:bookmarkStart w:id="796" w:name="_Toc406522225"/>
      <w:bookmarkStart w:id="797" w:name="_Toc418751801"/>
      <w:bookmarkStart w:id="798" w:name="_Toc418752247"/>
      <w:bookmarkStart w:id="799" w:name="_Toc497747183"/>
      <w:bookmarkStart w:id="800" w:name="_Toc256000185"/>
      <w:bookmarkStart w:id="801" w:name="_Toc522201735"/>
      <w:bookmarkStart w:id="802" w:name="_Toc25273"/>
      <w:bookmarkStart w:id="803" w:name="_Toc497746786"/>
      <w:r>
        <w:rPr>
          <w:rFonts w:hint="eastAsia" w:ascii="宋体" w:cs="宋体"/>
          <w:color w:val="auto"/>
          <w:highlight w:val="none"/>
        </w:rPr>
        <w:t>2.5 资金来源证明及支付担保</w:t>
      </w:r>
      <w:bookmarkEnd w:id="796"/>
      <w:bookmarkEnd w:id="797"/>
      <w:bookmarkEnd w:id="798"/>
      <w:bookmarkEnd w:id="799"/>
      <w:bookmarkEnd w:id="800"/>
      <w:bookmarkEnd w:id="801"/>
      <w:bookmarkEnd w:id="802"/>
      <w:bookmarkEnd w:id="803"/>
    </w:p>
    <w:p w14:paraId="4C9921CC">
      <w:pPr>
        <w:pStyle w:val="43"/>
        <w:spacing w:line="380" w:lineRule="exact"/>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EFBA119">
      <w:pPr>
        <w:pStyle w:val="43"/>
        <w:spacing w:line="380" w:lineRule="exact"/>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否　　　   </w:t>
      </w:r>
      <w:r>
        <w:rPr>
          <w:rFonts w:hint="eastAsia" w:ascii="宋体" w:hAnsi="宋体" w:cs="宋体"/>
          <w:color w:val="auto"/>
          <w:highlight w:val="none"/>
        </w:rPr>
        <w:t>。</w:t>
      </w:r>
    </w:p>
    <w:p w14:paraId="5F968051">
      <w:pPr>
        <w:pStyle w:val="43"/>
        <w:spacing w:line="380" w:lineRule="exact"/>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0E29C43">
      <w:pPr>
        <w:pStyle w:val="38"/>
        <w:spacing w:line="380" w:lineRule="exact"/>
        <w:rPr>
          <w:rFonts w:ascii="宋体" w:cs="宋体"/>
          <w:color w:val="auto"/>
          <w:highlight w:val="none"/>
        </w:rPr>
      </w:pPr>
      <w:bookmarkStart w:id="804" w:name="_Toc497746787"/>
      <w:bookmarkStart w:id="805" w:name="_Toc406522226"/>
      <w:bookmarkStart w:id="806" w:name="_Toc522201736"/>
      <w:bookmarkStart w:id="807" w:name="_Toc497747184"/>
      <w:bookmarkStart w:id="808" w:name="_Toc418751802"/>
      <w:bookmarkStart w:id="809" w:name="_Toc418752248"/>
      <w:bookmarkStart w:id="810" w:name="_Toc256000186"/>
      <w:bookmarkStart w:id="811" w:name="_Toc351203635"/>
      <w:bookmarkStart w:id="812" w:name="_Toc6875"/>
      <w:r>
        <w:rPr>
          <w:rFonts w:hint="eastAsia" w:ascii="宋体" w:cs="宋体"/>
          <w:color w:val="auto"/>
          <w:highlight w:val="none"/>
        </w:rPr>
        <w:t>3</w:t>
      </w:r>
      <w:bookmarkStart w:id="813" w:name="_Toc296891198"/>
      <w:bookmarkStart w:id="814" w:name="_Toc297120458"/>
      <w:bookmarkStart w:id="815" w:name="_Toc296346659"/>
      <w:bookmarkStart w:id="816" w:name="_Toc292559868"/>
      <w:bookmarkStart w:id="817" w:name="_Toc297048344"/>
      <w:bookmarkStart w:id="818" w:name="_Toc292559363"/>
      <w:bookmarkStart w:id="819" w:name="_Toc296347157"/>
      <w:bookmarkStart w:id="820" w:name="_Toc296944497"/>
      <w:bookmarkStart w:id="821" w:name="_Toc296890986"/>
      <w:bookmarkStart w:id="822" w:name="_Toc296503158"/>
      <w:r>
        <w:rPr>
          <w:rFonts w:hint="eastAsia" w:ascii="宋体" w:cs="宋体"/>
          <w:color w:val="auto"/>
          <w:highlight w:val="none"/>
        </w:rPr>
        <w:t>. 承包人</w:t>
      </w:r>
      <w:bookmarkEnd w:id="804"/>
      <w:bookmarkEnd w:id="805"/>
      <w:bookmarkEnd w:id="806"/>
      <w:bookmarkEnd w:id="807"/>
      <w:bookmarkEnd w:id="808"/>
      <w:bookmarkEnd w:id="809"/>
      <w:bookmarkEnd w:id="810"/>
      <w:bookmarkEnd w:id="811"/>
      <w:bookmarkEnd w:id="812"/>
    </w:p>
    <w:bookmarkEnd w:id="813"/>
    <w:bookmarkEnd w:id="814"/>
    <w:bookmarkEnd w:id="815"/>
    <w:bookmarkEnd w:id="816"/>
    <w:bookmarkEnd w:id="817"/>
    <w:bookmarkEnd w:id="818"/>
    <w:bookmarkEnd w:id="819"/>
    <w:bookmarkEnd w:id="820"/>
    <w:bookmarkEnd w:id="821"/>
    <w:bookmarkEnd w:id="822"/>
    <w:p w14:paraId="29ED592B">
      <w:pPr>
        <w:pStyle w:val="38"/>
        <w:spacing w:line="380" w:lineRule="exact"/>
        <w:ind w:firstLine="422" w:firstLineChars="200"/>
        <w:rPr>
          <w:rFonts w:ascii="宋体" w:cs="宋体"/>
          <w:color w:val="auto"/>
          <w:highlight w:val="none"/>
        </w:rPr>
      </w:pPr>
      <w:bookmarkStart w:id="823" w:name="_Toc418752249"/>
      <w:bookmarkStart w:id="824" w:name="_Toc497747185"/>
      <w:bookmarkStart w:id="825" w:name="_Toc7415"/>
      <w:bookmarkStart w:id="826" w:name="_Toc418751803"/>
      <w:bookmarkStart w:id="827" w:name="_Toc497746788"/>
      <w:bookmarkStart w:id="828" w:name="_Toc256000187"/>
      <w:bookmarkStart w:id="829" w:name="_Toc522201737"/>
      <w:bookmarkStart w:id="830" w:name="_Toc406522227"/>
      <w:r>
        <w:rPr>
          <w:rFonts w:hint="eastAsia" w:ascii="宋体" w:cs="宋体"/>
          <w:color w:val="auto"/>
          <w:highlight w:val="none"/>
        </w:rPr>
        <w:t>3.1 承包人的一般义务</w:t>
      </w:r>
      <w:bookmarkEnd w:id="823"/>
      <w:bookmarkEnd w:id="824"/>
      <w:bookmarkEnd w:id="825"/>
      <w:bookmarkEnd w:id="826"/>
      <w:bookmarkEnd w:id="827"/>
      <w:bookmarkEnd w:id="828"/>
      <w:bookmarkEnd w:id="829"/>
      <w:bookmarkEnd w:id="830"/>
    </w:p>
    <w:p w14:paraId="38C7DED1">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工程具备竣工验收条件，承包人按工程竣工验收有关规定，向发包人提交符合《建设工程文件归档整理规范》内容装订成册的完整竣工资料及竣工验收报告、工程竣工图</w:t>
      </w:r>
      <w:r>
        <w:rPr>
          <w:rFonts w:hint="eastAsia" w:ascii="宋体" w:hAnsi="宋体" w:cs="宋体"/>
          <w:color w:val="auto"/>
          <w:szCs w:val="21"/>
          <w:highlight w:val="none"/>
        </w:rPr>
        <w:t>。</w:t>
      </w:r>
    </w:p>
    <w:p w14:paraId="0868F951">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承包人向发包人提交竣工档案份数为一式四份；备案资料一式两份；建设工程质量监督档案一式两份  </w:t>
      </w:r>
      <w:r>
        <w:rPr>
          <w:rFonts w:hint="eastAsia" w:ascii="宋体" w:hAnsi="宋体" w:cs="宋体"/>
          <w:color w:val="auto"/>
          <w:szCs w:val="21"/>
          <w:highlight w:val="none"/>
        </w:rPr>
        <w:t>。</w:t>
      </w:r>
    </w:p>
    <w:p w14:paraId="495F8CBD">
      <w:pPr>
        <w:pStyle w:val="23"/>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承包人提交的竣工资料的费用承担：</w:t>
      </w:r>
      <w:r>
        <w:rPr>
          <w:rFonts w:hint="eastAsia" w:ascii="宋体" w:hAnsi="宋体" w:cs="宋体"/>
          <w:color w:val="auto"/>
          <w:szCs w:val="21"/>
          <w:highlight w:val="none"/>
          <w:u w:val="single"/>
        </w:rPr>
        <w:t xml:space="preserve">  由承包人承担相关费用 </w:t>
      </w:r>
      <w:r>
        <w:rPr>
          <w:rFonts w:hint="eastAsia" w:ascii="宋体" w:hAnsi="宋体" w:cs="宋体"/>
          <w:color w:val="auto"/>
          <w:szCs w:val="21"/>
          <w:highlight w:val="none"/>
        </w:rPr>
        <w:t>。</w:t>
      </w:r>
    </w:p>
    <w:p w14:paraId="135CE660">
      <w:pPr>
        <w:pStyle w:val="23"/>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承包人提交的竣工资料移交时间：</w:t>
      </w:r>
      <w:r>
        <w:rPr>
          <w:rFonts w:hint="eastAsia" w:ascii="宋体" w:hAnsi="宋体" w:cs="宋体"/>
          <w:color w:val="auto"/>
          <w:szCs w:val="21"/>
          <w:highlight w:val="none"/>
          <w:u w:val="single"/>
        </w:rPr>
        <w:t xml:space="preserve">  工程竣工验收合格后30天内  </w:t>
      </w:r>
      <w:r>
        <w:rPr>
          <w:rFonts w:hint="eastAsia" w:ascii="宋体" w:hAnsi="宋体" w:cs="宋体"/>
          <w:color w:val="auto"/>
          <w:szCs w:val="21"/>
          <w:highlight w:val="none"/>
        </w:rPr>
        <w:t>。</w:t>
      </w:r>
    </w:p>
    <w:p w14:paraId="163AC573">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竣工档案（竣工档案的内容：施工单位竣工验收文件、施工文件、竣工图（按城市建设档案馆要求整理，相关费用由承包人承担）、备案资料（应由承包人提供的部分按住建局要求整理）、建设工程质量监督档案（应由承包人提供的部分按建设工程质量监督管理站要求整理）</w:t>
      </w:r>
      <w:r>
        <w:rPr>
          <w:rFonts w:hint="eastAsia" w:ascii="宋体" w:hAnsi="宋体" w:cs="宋体"/>
          <w:color w:val="auto"/>
          <w:szCs w:val="21"/>
          <w:highlight w:val="none"/>
        </w:rPr>
        <w:t>。</w:t>
      </w:r>
    </w:p>
    <w:p w14:paraId="40B47E28">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（10）承包人应履行的其他义务：</w:t>
      </w:r>
      <w:r>
        <w:rPr>
          <w:rFonts w:hint="eastAsia" w:ascii="宋体" w:hAnsi="宋体" w:cs="宋体"/>
          <w:color w:val="auto"/>
          <w:szCs w:val="21"/>
          <w:highlight w:val="none"/>
          <w:u w:val="single"/>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音等审批手续，并承担费用，如因承包人未交纳相关费用，发包人有权从工程款中扣除用于支付相关费用并计入结算。承包人负责对施工场地内的化石、文物具有保护责任，并承担相应费用。承包人负责满足施工期间政府职能部门对工地消防设施有关要求，并承担相关费用。④承包人应负责协调解决本项目当地居民对工程施工的人为干扰，施工机械进出、材料运输如需通过村道及村民土地；承包人应当协调与施工现场周边农村及村民的关系，并承担相关费用，确保项目施工顺利进行。⑤承包人应始终采取各种合理的预防措施，防止承包人员或其内部发生任何非法的、骚动的或无序的行为，以保持安定，保护现场及第三人的财产和人身安全。⑥为发包人依法发包的专业工程承包商提供总承包管理与协调服务，并为专业工程承包商提供一切施工方便。为发包人和监理人在施工现场提供必要的办公室和办公桌椅等设备。⑦按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w:t>
      </w:r>
      <w:r>
        <w:rPr>
          <w:rFonts w:ascii="Cambria Math" w:hAnsi="Cambria Math" w:cs="Cambria Math"/>
          <w:color w:val="auto"/>
          <w:szCs w:val="21"/>
          <w:highlight w:val="none"/>
          <w:u w:val="single"/>
        </w:rPr>
        <w:t>⑪</w:t>
      </w:r>
      <w:r>
        <w:rPr>
          <w:rFonts w:hint="eastAsia" w:ascii="宋体" w:hAnsi="宋体" w:cs="宋体"/>
          <w:color w:val="auto"/>
          <w:szCs w:val="21"/>
          <w:highlight w:val="none"/>
          <w:u w:val="single"/>
        </w:rPr>
        <w:t>承包人在工程施工期间由于承包人原因引起的责任事故，全部由承包人承担经济责任和法律责任。</w:t>
      </w:r>
      <w:r>
        <w:rPr>
          <w:rFonts w:ascii="Cambria Math" w:hAnsi="Cambria Math" w:cs="Cambria Math"/>
          <w:color w:val="auto"/>
          <w:szCs w:val="21"/>
          <w:highlight w:val="none"/>
          <w:u w:val="single"/>
        </w:rPr>
        <w:t>⑫</w:t>
      </w:r>
      <w:r>
        <w:rPr>
          <w:rFonts w:hint="eastAsia" w:ascii="宋体" w:hAnsi="宋体" w:cs="宋体"/>
          <w:color w:val="auto"/>
          <w:szCs w:val="21"/>
          <w:highlight w:val="none"/>
          <w:u w:val="single"/>
        </w:rPr>
        <w:t>满足国家、行业、控制标准和验收规范，在质量管理过程中达到或超过质量标准，杜绝重大设备一般及以上质量事故，确保工程无永久性缺陷。</w:t>
      </w:r>
    </w:p>
    <w:p w14:paraId="08F53259">
      <w:pPr>
        <w:pStyle w:val="38"/>
        <w:spacing w:line="380" w:lineRule="exact"/>
        <w:ind w:firstLine="422" w:firstLineChars="200"/>
        <w:rPr>
          <w:rFonts w:ascii="宋体" w:cs="宋体"/>
          <w:color w:val="auto"/>
          <w:highlight w:val="none"/>
        </w:rPr>
      </w:pPr>
      <w:bookmarkStart w:id="831" w:name="_Toc373227708"/>
      <w:bookmarkStart w:id="832" w:name="_Toc389065274"/>
      <w:bookmarkStart w:id="833" w:name="_Toc403578942"/>
      <w:bookmarkStart w:id="834" w:name="_Toc497746789"/>
      <w:bookmarkStart w:id="835" w:name="_Toc418518354"/>
      <w:bookmarkStart w:id="836" w:name="_Toc25355"/>
      <w:bookmarkStart w:id="837" w:name="_Toc256000188"/>
      <w:bookmarkStart w:id="838" w:name="_Toc373478355"/>
      <w:bookmarkStart w:id="839" w:name="_Toc418061319"/>
      <w:bookmarkStart w:id="840" w:name="_Toc418518118"/>
      <w:bookmarkStart w:id="841" w:name="_Toc522201738"/>
      <w:bookmarkStart w:id="842" w:name="_Toc418752250"/>
      <w:bookmarkStart w:id="843" w:name="_Toc418751804"/>
      <w:bookmarkStart w:id="844" w:name="_Toc497747186"/>
      <w:r>
        <w:rPr>
          <w:rFonts w:hint="eastAsia" w:ascii="宋体" w:cs="宋体"/>
          <w:color w:val="auto"/>
          <w:highlight w:val="none"/>
        </w:rPr>
        <w:t>3.2 项目经理</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07CFFE4A">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31B6CFD1">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1FAA00A">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070555">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资格</w:t>
      </w:r>
      <w:r>
        <w:rPr>
          <w:rFonts w:hint="eastAsia" w:ascii="宋体" w:hAnsi="宋体" w:cs="宋体"/>
          <w:color w:val="auto"/>
          <w:szCs w:val="21"/>
          <w:highlight w:val="none"/>
          <w:lang w:val="en-US" w:eastAsia="zh-CN"/>
        </w:rPr>
        <w:t>证书名称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F22981">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证书</w:t>
      </w:r>
      <w:r>
        <w:rPr>
          <w:rFonts w:hint="eastAsia" w:ascii="宋体" w:hAnsi="宋体" w:cs="宋体"/>
          <w:color w:val="auto"/>
          <w:szCs w:val="21"/>
          <w:highlight w:val="none"/>
          <w:lang w:val="en-US" w:eastAsia="zh-CN"/>
        </w:rPr>
        <w:t>编</w:t>
      </w:r>
      <w:r>
        <w:rPr>
          <w:rFonts w:hint="eastAsia" w:ascii="宋体" w:hAnsi="宋体" w:cs="宋体"/>
          <w:color w:val="auto"/>
          <w:szCs w:val="21"/>
          <w:highlight w:val="none"/>
        </w:rPr>
        <w:t>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5D4E0B">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5E03F66">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DBE816">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1D72CE">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cs="宋体"/>
          <w:color w:val="auto"/>
          <w:szCs w:val="21"/>
          <w:highlight w:val="none"/>
        </w:rPr>
        <w:t>。</w:t>
      </w:r>
    </w:p>
    <w:p w14:paraId="0368C67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不少于22个工作日,若项目经理每月在岗时间少于22个工作日，发包人有权更换项目经理，由此造成的一切损失由承包人承担</w:t>
      </w:r>
      <w:r>
        <w:rPr>
          <w:rFonts w:hint="eastAsia" w:ascii="宋体" w:hAnsi="宋体" w:cs="宋体"/>
          <w:color w:val="auto"/>
          <w:szCs w:val="21"/>
          <w:highlight w:val="none"/>
        </w:rPr>
        <w:t>。</w:t>
      </w:r>
    </w:p>
    <w:p w14:paraId="54EAB754">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承包人不提交上述文件的，项目经理无权履行职责，发包人有权要求更换项目经理，由此增加的费用和延误的工期由承包人承担</w:t>
      </w:r>
      <w:r>
        <w:rPr>
          <w:rFonts w:hint="eastAsia" w:ascii="宋体" w:hAnsi="宋体" w:cs="宋体"/>
          <w:color w:val="auto"/>
          <w:szCs w:val="21"/>
          <w:highlight w:val="none"/>
        </w:rPr>
        <w:t>。</w:t>
      </w:r>
    </w:p>
    <w:p w14:paraId="19049636">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项目经理每月在岗带班时间不得少于22天。未经发包人同意或正当理由，项目经理每月在岗带班时间少于22天的，少在岗带班一天，发包人有权处违约金 500元/日（人民币）</w:t>
      </w:r>
      <w:r>
        <w:rPr>
          <w:rFonts w:hint="eastAsia" w:ascii="宋体" w:hAnsi="宋体" w:cs="宋体"/>
          <w:color w:val="auto"/>
          <w:szCs w:val="21"/>
          <w:highlight w:val="none"/>
        </w:rPr>
        <w:t>。</w:t>
      </w:r>
    </w:p>
    <w:p w14:paraId="1A37294E">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cs="宋体"/>
          <w:color w:val="auto"/>
          <w:szCs w:val="21"/>
          <w:highlight w:val="none"/>
        </w:rPr>
        <w:t>。</w:t>
      </w:r>
    </w:p>
    <w:p w14:paraId="7144A582">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因承包人项目经理不称职，发包人要求调换而未及时调换的，视为承包人违约，必须向发包人交纳处罚金5000元/人•次（人民币）</w:t>
      </w:r>
      <w:r>
        <w:rPr>
          <w:rFonts w:hint="eastAsia" w:ascii="宋体" w:hAnsi="宋体" w:cs="宋体"/>
          <w:color w:val="auto"/>
          <w:szCs w:val="21"/>
          <w:highlight w:val="none"/>
        </w:rPr>
        <w:t>。</w:t>
      </w:r>
    </w:p>
    <w:p w14:paraId="1D90203A">
      <w:pPr>
        <w:pStyle w:val="38"/>
        <w:spacing w:line="380" w:lineRule="exact"/>
        <w:ind w:firstLine="422" w:firstLineChars="200"/>
        <w:rPr>
          <w:rFonts w:ascii="宋体" w:cs="宋体"/>
          <w:color w:val="auto"/>
          <w:highlight w:val="none"/>
        </w:rPr>
      </w:pPr>
      <w:bookmarkStart w:id="845" w:name="_Toc497746790"/>
      <w:bookmarkStart w:id="846" w:name="_Toc522201739"/>
      <w:bookmarkStart w:id="847" w:name="_Toc418518355"/>
      <w:bookmarkStart w:id="848" w:name="_Toc389065275"/>
      <w:bookmarkStart w:id="849" w:name="_Toc403578943"/>
      <w:bookmarkStart w:id="850" w:name="_Toc373227709"/>
      <w:bookmarkStart w:id="851" w:name="_Toc373478356"/>
      <w:bookmarkStart w:id="852" w:name="_Toc418752251"/>
      <w:bookmarkStart w:id="853" w:name="_Toc418518119"/>
      <w:bookmarkStart w:id="854" w:name="_Toc256000189"/>
      <w:bookmarkStart w:id="855" w:name="_Toc1988"/>
      <w:bookmarkStart w:id="856" w:name="_Toc418061320"/>
      <w:bookmarkStart w:id="857" w:name="_Toc497747187"/>
      <w:bookmarkStart w:id="858" w:name="_Toc418751805"/>
      <w:r>
        <w:rPr>
          <w:rFonts w:hint="eastAsia" w:ascii="宋体" w:cs="宋体"/>
          <w:color w:val="auto"/>
          <w:highlight w:val="none"/>
        </w:rPr>
        <w:t>3.3 承包人人员</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3451423E">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承包人提交项目管理机构及施工现场管理人员安排报告（格式见合同附件6）的期限：</w:t>
      </w:r>
      <w:r>
        <w:rPr>
          <w:rFonts w:hint="eastAsia" w:ascii="宋体" w:hAnsi="宋体" w:cs="宋体"/>
          <w:color w:val="auto"/>
          <w:szCs w:val="21"/>
          <w:highlight w:val="none"/>
          <w:u w:val="single"/>
        </w:rPr>
        <w:t>开工前7日内</w:t>
      </w:r>
      <w:r>
        <w:rPr>
          <w:rFonts w:hint="eastAsia" w:ascii="宋体" w:hAnsi="宋体" w:cs="宋体"/>
          <w:color w:val="auto"/>
          <w:szCs w:val="21"/>
          <w:highlight w:val="none"/>
        </w:rPr>
        <w:t>。</w:t>
      </w:r>
    </w:p>
    <w:p w14:paraId="632B5CE9">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eastAsia" w:ascii="宋体" w:hAnsi="宋体" w:cs="宋体"/>
          <w:color w:val="auto"/>
          <w:szCs w:val="21"/>
          <w:highlight w:val="none"/>
        </w:rPr>
        <w:t>。</w:t>
      </w:r>
    </w:p>
    <w:p w14:paraId="4C4800DE">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经建设单位及监理单位批准同意后</w:t>
      </w:r>
      <w:r>
        <w:rPr>
          <w:rFonts w:hint="eastAsia" w:ascii="宋体" w:hAnsi="宋体" w:cs="宋体"/>
          <w:color w:val="auto"/>
          <w:szCs w:val="21"/>
          <w:highlight w:val="none"/>
        </w:rPr>
        <w:t>。</w:t>
      </w:r>
    </w:p>
    <w:p w14:paraId="60B9F363">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szCs w:val="21"/>
          <w:highlight w:val="none"/>
          <w:u w:val="single"/>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cs="宋体"/>
          <w:color w:val="auto"/>
          <w:szCs w:val="21"/>
          <w:highlight w:val="none"/>
        </w:rPr>
        <w:t>。</w:t>
      </w:r>
    </w:p>
    <w:p w14:paraId="31658315">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cs="宋体"/>
          <w:color w:val="auto"/>
          <w:szCs w:val="21"/>
          <w:highlight w:val="none"/>
        </w:rPr>
        <w:t>。</w:t>
      </w:r>
    </w:p>
    <w:p w14:paraId="0C9DB927">
      <w:pPr>
        <w:pStyle w:val="38"/>
        <w:spacing w:line="380" w:lineRule="exact"/>
        <w:ind w:firstLine="422" w:firstLineChars="200"/>
        <w:rPr>
          <w:rFonts w:ascii="宋体" w:cs="宋体"/>
          <w:color w:val="auto"/>
          <w:highlight w:val="none"/>
        </w:rPr>
      </w:pPr>
      <w:bookmarkStart w:id="859" w:name="_Toc418518120"/>
      <w:bookmarkStart w:id="860" w:name="_Toc418752252"/>
      <w:bookmarkStart w:id="861" w:name="_Toc497747188"/>
      <w:bookmarkStart w:id="862" w:name="_Toc418518356"/>
      <w:bookmarkStart w:id="863" w:name="_Toc418751806"/>
      <w:bookmarkStart w:id="864" w:name="_Toc24620"/>
      <w:bookmarkStart w:id="865" w:name="_Toc373227710"/>
      <w:bookmarkStart w:id="866" w:name="_Toc373478357"/>
      <w:bookmarkStart w:id="867" w:name="_Toc497746791"/>
      <w:bookmarkStart w:id="868" w:name="_Toc403578944"/>
      <w:bookmarkStart w:id="869" w:name="_Toc256000190"/>
      <w:bookmarkStart w:id="870" w:name="_Toc418061321"/>
      <w:bookmarkStart w:id="871" w:name="_Toc389065276"/>
      <w:bookmarkStart w:id="872" w:name="_Toc522201740"/>
      <w:r>
        <w:rPr>
          <w:rFonts w:hint="eastAsia" w:ascii="宋体" w:cs="宋体"/>
          <w:color w:val="auto"/>
          <w:highlight w:val="none"/>
        </w:rPr>
        <w:t>3</w:t>
      </w:r>
      <w:bookmarkStart w:id="873" w:name="_Toc296890987"/>
      <w:bookmarkStart w:id="874" w:name="_Toc296944498"/>
      <w:bookmarkStart w:id="875" w:name="_Toc297048345"/>
      <w:bookmarkStart w:id="876" w:name="_Toc296503159"/>
      <w:bookmarkStart w:id="877" w:name="_Toc312677988"/>
      <w:bookmarkStart w:id="878" w:name="_Toc292559869"/>
      <w:bookmarkStart w:id="879" w:name="_Toc297120459"/>
      <w:bookmarkStart w:id="880" w:name="_Toc296891199"/>
      <w:bookmarkStart w:id="881" w:name="_Toc297216151"/>
      <w:bookmarkStart w:id="882" w:name="_Toc292559364"/>
      <w:bookmarkStart w:id="883" w:name="_Toc303539102"/>
      <w:bookmarkStart w:id="884" w:name="_Toc304295523"/>
      <w:bookmarkStart w:id="885" w:name="_Toc296347158"/>
      <w:bookmarkStart w:id="886" w:name="_Toc300934945"/>
      <w:bookmarkStart w:id="887" w:name="_Toc297123492"/>
      <w:bookmarkStart w:id="888" w:name="_Toc296346660"/>
      <w:r>
        <w:rPr>
          <w:rFonts w:hint="eastAsia" w:ascii="宋体" w:cs="宋体"/>
          <w:color w:val="auto"/>
          <w:highlight w:val="none"/>
        </w:rPr>
        <w:t>.5 分包</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14:paraId="54F2505A">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889" w:name="_Toc296347159"/>
      <w:bookmarkStart w:id="890" w:name="_Toc297123493"/>
      <w:bookmarkStart w:id="891" w:name="_Toc312677989"/>
      <w:bookmarkStart w:id="892" w:name="_Toc304295524"/>
      <w:bookmarkStart w:id="893" w:name="_Toc318581158"/>
      <w:bookmarkStart w:id="894" w:name="_Toc297216152"/>
      <w:bookmarkStart w:id="895" w:name="_Toc303539103"/>
      <w:bookmarkStart w:id="896" w:name="_Toc296503160"/>
      <w:bookmarkStart w:id="897" w:name="_Toc292559365"/>
      <w:bookmarkStart w:id="898" w:name="_Toc300934946"/>
      <w:bookmarkStart w:id="899" w:name="_Toc296891200"/>
      <w:bookmarkStart w:id="900" w:name="_Toc297048346"/>
      <w:bookmarkStart w:id="901" w:name="_Toc297120460"/>
      <w:bookmarkStart w:id="902" w:name="_Toc296944499"/>
      <w:bookmarkStart w:id="903" w:name="_Toc296346661"/>
      <w:bookmarkStart w:id="904" w:name="_Toc292559870"/>
      <w:bookmarkStart w:id="905" w:name="_Toc296890988"/>
      <w:r>
        <w:rPr>
          <w:rFonts w:hint="eastAsia" w:ascii="宋体" w:hAnsi="宋体" w:cs="宋体"/>
          <w:color w:val="auto"/>
          <w:szCs w:val="21"/>
          <w:highlight w:val="none"/>
        </w:rPr>
        <w:t>.5.1 分包的一般约定</w:t>
      </w:r>
    </w:p>
    <w:p w14:paraId="6CD7573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除劳务工程外 </w:t>
      </w:r>
      <w:r>
        <w:rPr>
          <w:rFonts w:hint="eastAsia" w:ascii="宋体" w:hAnsi="宋体" w:cs="宋体"/>
          <w:color w:val="auto"/>
          <w:szCs w:val="21"/>
          <w:highlight w:val="none"/>
        </w:rPr>
        <w:t>。</w:t>
      </w:r>
    </w:p>
    <w:p w14:paraId="1D31F01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主体结构、关键性工作的范围：</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禁止分包  </w:t>
      </w:r>
      <w:r>
        <w:rPr>
          <w:rFonts w:hint="eastAsia" w:ascii="宋体" w:hAnsi="宋体" w:cs="宋体"/>
          <w:color w:val="auto"/>
          <w:szCs w:val="21"/>
          <w:highlight w:val="none"/>
        </w:rPr>
        <w:t>。</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5A8C6409">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bookmarkStart w:id="906" w:name="_Toc312677990"/>
      <w:bookmarkStart w:id="907" w:name="_Toc318581159"/>
      <w:r>
        <w:rPr>
          <w:rFonts w:hint="eastAsia" w:ascii="宋体" w:hAnsi="宋体" w:cs="宋体"/>
          <w:color w:val="auto"/>
          <w:szCs w:val="21"/>
          <w:highlight w:val="none"/>
        </w:rPr>
        <w:t>.5.2 分包的确定</w:t>
      </w:r>
    </w:p>
    <w:p w14:paraId="5122D879">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劳务工程  </w:t>
      </w:r>
      <w:r>
        <w:rPr>
          <w:rFonts w:hint="eastAsia" w:ascii="宋体" w:hAnsi="宋体" w:cs="宋体"/>
          <w:color w:val="auto"/>
          <w:szCs w:val="21"/>
          <w:highlight w:val="none"/>
        </w:rPr>
        <w:t>。</w:t>
      </w:r>
    </w:p>
    <w:p w14:paraId="12C9B269">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p>
    <w:p w14:paraId="31D33FAD">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3A44E882">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（2）在相关分包合同签订并报送有关建设行政主管部门备案后7天内，承包人应当将一份副本提交给监理人，承包人应保障分包工作不得再次分包。</w:t>
      </w:r>
    </w:p>
    <w:p w14:paraId="468FD2D4">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（3）未经承包人和监理人审批同意的分包工程和分包人，承包人有权拒绝验收分包工程和支付相应款项，由此引起的发包人费用增加和(或)延误的工期由发包人承担。</w:t>
      </w:r>
    </w:p>
    <w:p w14:paraId="49F6ECEC">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3.5.4 分包合同价款 </w:t>
      </w:r>
    </w:p>
    <w:p w14:paraId="101E18E6">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906"/>
    <w:bookmarkEnd w:id="907"/>
    <w:p w14:paraId="6825D3E7">
      <w:pPr>
        <w:pStyle w:val="38"/>
        <w:spacing w:line="380" w:lineRule="exact"/>
        <w:ind w:firstLine="422" w:firstLineChars="200"/>
        <w:rPr>
          <w:rFonts w:ascii="宋体" w:cs="宋体"/>
          <w:color w:val="auto"/>
          <w:highlight w:val="none"/>
        </w:rPr>
      </w:pPr>
      <w:bookmarkStart w:id="908" w:name="_Toc418518121"/>
      <w:bookmarkStart w:id="909" w:name="_Toc16618"/>
      <w:bookmarkStart w:id="910" w:name="_Toc373227711"/>
      <w:bookmarkStart w:id="911" w:name="_Toc418518357"/>
      <w:bookmarkStart w:id="912" w:name="_Toc497747189"/>
      <w:bookmarkStart w:id="913" w:name="_Toc256000191"/>
      <w:bookmarkStart w:id="914" w:name="_Toc418061322"/>
      <w:bookmarkStart w:id="915" w:name="_Toc418752253"/>
      <w:bookmarkStart w:id="916" w:name="_Toc389065277"/>
      <w:bookmarkStart w:id="917" w:name="_Toc522201741"/>
      <w:bookmarkStart w:id="918" w:name="_Toc373478358"/>
      <w:bookmarkStart w:id="919" w:name="_Toc403578945"/>
      <w:bookmarkStart w:id="920" w:name="_Toc497746792"/>
      <w:bookmarkStart w:id="921" w:name="_Toc418751807"/>
      <w:r>
        <w:rPr>
          <w:rFonts w:hint="eastAsia" w:ascii="宋体" w:cs="宋体"/>
          <w:color w:val="auto"/>
          <w:highlight w:val="none"/>
        </w:rPr>
        <w:t>3.6 工程照管与成品、半成品保护</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267DC6E8">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rPr>
        <w:t>自发包人向承包人移交施工现场之日起，到颁发工程接收证书之日止</w:t>
      </w:r>
      <w:r>
        <w:rPr>
          <w:rFonts w:hint="eastAsia" w:ascii="宋体" w:hAnsi="宋体" w:cs="宋体"/>
          <w:color w:val="auto"/>
          <w:kern w:val="0"/>
          <w:szCs w:val="21"/>
          <w:highlight w:val="none"/>
        </w:rPr>
        <w:t>。</w:t>
      </w:r>
    </w:p>
    <w:p w14:paraId="58F8785A">
      <w:pPr>
        <w:pStyle w:val="43"/>
        <w:spacing w:line="380" w:lineRule="exact"/>
        <w:rPr>
          <w:rFonts w:ascii="宋体" w:hAnsi="宋体" w:cs="宋体"/>
          <w:color w:val="auto"/>
          <w:highlight w:val="none"/>
        </w:rPr>
      </w:pPr>
      <w:r>
        <w:rPr>
          <w:rFonts w:hint="eastAsia" w:ascii="宋体" w:hAnsi="宋体" w:cs="宋体"/>
          <w:color w:val="auto"/>
          <w:highlight w:val="none"/>
        </w:rPr>
        <w:t>承包人负责照管工程及工程相关的材料、工程设备的范围：</w:t>
      </w:r>
      <w:r>
        <w:rPr>
          <w:rFonts w:hint="eastAsia" w:ascii="宋体" w:hAnsi="宋体" w:cs="宋体"/>
          <w:color w:val="auto"/>
          <w:highlight w:val="none"/>
          <w:u w:val="single"/>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cs="宋体"/>
          <w:color w:val="auto"/>
          <w:highlight w:val="none"/>
        </w:rPr>
        <w:t>。</w:t>
      </w:r>
    </w:p>
    <w:p w14:paraId="5544B5DB">
      <w:pPr>
        <w:pStyle w:val="38"/>
        <w:spacing w:line="380" w:lineRule="exact"/>
        <w:ind w:firstLine="422" w:firstLineChars="200"/>
        <w:rPr>
          <w:rFonts w:ascii="宋体" w:cs="宋体"/>
          <w:color w:val="auto"/>
          <w:highlight w:val="none"/>
        </w:rPr>
      </w:pPr>
      <w:bookmarkStart w:id="922" w:name="_Toc373478359"/>
      <w:bookmarkStart w:id="923" w:name="_Toc403578946"/>
      <w:bookmarkStart w:id="924" w:name="_Toc418752254"/>
      <w:bookmarkStart w:id="925" w:name="_Toc418061323"/>
      <w:bookmarkStart w:id="926" w:name="_Toc418518358"/>
      <w:bookmarkStart w:id="927" w:name="_Toc389065278"/>
      <w:bookmarkStart w:id="928" w:name="_Toc418751808"/>
      <w:bookmarkStart w:id="929" w:name="_Toc522201742"/>
      <w:bookmarkStart w:id="930" w:name="_Toc373227712"/>
      <w:bookmarkStart w:id="931" w:name="_Toc497747190"/>
      <w:bookmarkStart w:id="932" w:name="_Toc418518122"/>
      <w:bookmarkStart w:id="933" w:name="_Toc497746793"/>
      <w:bookmarkStart w:id="934" w:name="_Toc26561"/>
      <w:bookmarkStart w:id="935" w:name="_Toc256000192"/>
      <w:r>
        <w:rPr>
          <w:rFonts w:hint="eastAsia" w:ascii="宋体" w:cs="宋体"/>
          <w:color w:val="auto"/>
          <w:highlight w:val="none"/>
        </w:rPr>
        <w:t>3.7 履约</w:t>
      </w:r>
      <w:bookmarkEnd w:id="922"/>
      <w:bookmarkEnd w:id="923"/>
      <w:bookmarkEnd w:id="924"/>
      <w:bookmarkEnd w:id="925"/>
      <w:bookmarkEnd w:id="926"/>
      <w:bookmarkEnd w:id="927"/>
      <w:bookmarkEnd w:id="928"/>
      <w:bookmarkEnd w:id="929"/>
      <w:bookmarkEnd w:id="930"/>
      <w:bookmarkEnd w:id="931"/>
      <w:bookmarkEnd w:id="932"/>
      <w:bookmarkEnd w:id="933"/>
      <w:r>
        <w:rPr>
          <w:rFonts w:hint="eastAsia" w:ascii="宋体" w:cs="宋体"/>
          <w:color w:val="auto"/>
          <w:highlight w:val="none"/>
        </w:rPr>
        <w:t>担保</w:t>
      </w:r>
      <w:bookmarkEnd w:id="934"/>
      <w:bookmarkEnd w:id="935"/>
    </w:p>
    <w:p w14:paraId="7144C63E">
      <w:pPr>
        <w:pStyle w:val="43"/>
        <w:spacing w:line="380" w:lineRule="exact"/>
        <w:rPr>
          <w:rFonts w:ascii="宋体" w:hAnsi="宋体" w:cs="宋体"/>
          <w:color w:val="auto"/>
          <w:highlight w:val="none"/>
        </w:rPr>
      </w:pPr>
      <w:bookmarkStart w:id="936" w:name="_Toc418518359"/>
      <w:bookmarkStart w:id="937" w:name="_Toc418061324"/>
      <w:bookmarkStart w:id="938" w:name="_Toc351203636"/>
      <w:bookmarkStart w:id="939" w:name="_Toc403578947"/>
      <w:bookmarkStart w:id="940" w:name="_Toc418752255"/>
      <w:bookmarkStart w:id="941" w:name="_Toc418751809"/>
      <w:bookmarkStart w:id="942" w:name="_Toc418518123"/>
      <w:bookmarkStart w:id="943" w:name="_Toc373227713"/>
      <w:bookmarkStart w:id="944" w:name="_Toc389065279"/>
      <w:bookmarkStart w:id="945" w:name="_Toc373478360"/>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否</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9111140">
      <w:pPr>
        <w:pStyle w:val="23"/>
        <w:spacing w:line="38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承包人提供履约担保的形式、金额及期限的：</w:t>
      </w:r>
      <w:r>
        <w:rPr>
          <w:rFonts w:hint="eastAsia" w:ascii="宋体" w:hAnsi="宋体" w:cs="宋体"/>
          <w:color w:val="auto"/>
          <w:kern w:val="0"/>
          <w:szCs w:val="21"/>
          <w:highlight w:val="non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w:t>
      </w:r>
    </w:p>
    <w:p w14:paraId="0C2F8617">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工程竣工验收合格并对验收发现的问题完成整改后的7个日历天内，</w:t>
      </w:r>
      <w:r>
        <w:rPr>
          <w:rFonts w:hint="eastAsia" w:ascii="宋体" w:hAnsi="宋体" w:cs="宋体"/>
          <w:color w:val="auto"/>
          <w:szCs w:val="21"/>
          <w:highlight w:val="none"/>
        </w:rPr>
        <w:t>承包人可向发包人申请退还履约保证金。发包人应在收到申请之日起28个日历天内</w:t>
      </w:r>
      <w:r>
        <w:rPr>
          <w:rFonts w:hint="eastAsia" w:ascii="宋体" w:hAnsi="宋体" w:cs="宋体"/>
          <w:color w:val="auto"/>
          <w:kern w:val="0"/>
          <w:szCs w:val="21"/>
          <w:highlight w:val="none"/>
        </w:rPr>
        <w:t>扣减承包人赔偿金和其他应从承包人扣回的款项后，</w:t>
      </w:r>
      <w:r>
        <w:rPr>
          <w:rFonts w:hint="eastAsia" w:ascii="宋体" w:hAnsi="宋体" w:cs="宋体"/>
          <w:color w:val="auto"/>
          <w:szCs w:val="21"/>
          <w:highlight w:val="none"/>
        </w:rPr>
        <w:t>将履约保证金退还给承包人（无息）。</w:t>
      </w:r>
    </w:p>
    <w:p w14:paraId="0E02133B">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签订合同前承包人必须按市财建（2018）73号文规定将农民工工资保障金存入帐户。工程竣工验收结算经审定后，按照规定程序，将农民工工资保障金没有使用或剩余的金额退还给承包人。</w:t>
      </w:r>
    </w:p>
    <w:p w14:paraId="1C497BD4">
      <w:pPr>
        <w:pStyle w:val="38"/>
        <w:spacing w:line="380" w:lineRule="exact"/>
        <w:rPr>
          <w:rFonts w:ascii="宋体" w:cs="宋体"/>
          <w:color w:val="auto"/>
          <w:highlight w:val="none"/>
        </w:rPr>
      </w:pPr>
      <w:bookmarkStart w:id="946" w:name="_Toc256000193"/>
      <w:bookmarkStart w:id="947" w:name="_Toc497746794"/>
      <w:bookmarkStart w:id="948" w:name="_Toc522201743"/>
      <w:bookmarkStart w:id="949" w:name="_Toc497747191"/>
      <w:bookmarkStart w:id="950" w:name="_Toc17209"/>
      <w:r>
        <w:rPr>
          <w:rFonts w:hint="eastAsia" w:ascii="宋体" w:cs="宋体"/>
          <w:color w:val="auto"/>
          <w:highlight w:val="none"/>
        </w:rPr>
        <w:t>4</w:t>
      </w:r>
      <w:bookmarkStart w:id="951" w:name="_Toc296890990"/>
      <w:bookmarkStart w:id="952" w:name="_Toc296503162"/>
      <w:bookmarkStart w:id="953" w:name="_Toc292559871"/>
      <w:bookmarkStart w:id="954" w:name="_Toc296347161"/>
      <w:bookmarkStart w:id="955" w:name="_Toc292559366"/>
      <w:bookmarkStart w:id="956" w:name="_Toc297048348"/>
      <w:bookmarkStart w:id="957" w:name="_Toc296346663"/>
      <w:bookmarkStart w:id="958" w:name="_Toc296891202"/>
      <w:bookmarkStart w:id="959" w:name="_Toc296944501"/>
      <w:bookmarkStart w:id="960" w:name="_Toc267251413"/>
      <w:bookmarkStart w:id="961" w:name="_Toc297120462"/>
      <w:r>
        <w:rPr>
          <w:rFonts w:hint="eastAsia" w:ascii="宋体" w:cs="宋体"/>
          <w:color w:val="auto"/>
          <w:highlight w:val="none"/>
        </w:rPr>
        <w:t>. 监</w:t>
      </w:r>
      <w:bookmarkEnd w:id="951"/>
      <w:bookmarkEnd w:id="952"/>
      <w:bookmarkEnd w:id="953"/>
      <w:bookmarkEnd w:id="954"/>
      <w:bookmarkEnd w:id="955"/>
      <w:bookmarkEnd w:id="956"/>
      <w:bookmarkEnd w:id="957"/>
      <w:bookmarkEnd w:id="958"/>
      <w:bookmarkEnd w:id="959"/>
      <w:bookmarkEnd w:id="960"/>
      <w:bookmarkEnd w:id="961"/>
      <w:r>
        <w:rPr>
          <w:rFonts w:hint="eastAsia" w:ascii="宋体" w:cs="宋体"/>
          <w:color w:val="auto"/>
          <w:highlight w:val="none"/>
        </w:rPr>
        <w:t>理人</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4D28620D">
      <w:pPr>
        <w:pStyle w:val="38"/>
        <w:spacing w:line="380" w:lineRule="exact"/>
        <w:ind w:firstLine="422" w:firstLineChars="200"/>
        <w:rPr>
          <w:rFonts w:ascii="宋体" w:cs="宋体"/>
          <w:color w:val="auto"/>
          <w:highlight w:val="none"/>
        </w:rPr>
      </w:pPr>
      <w:bookmarkStart w:id="962" w:name="_Toc373478361"/>
      <w:bookmarkStart w:id="963" w:name="_Toc403578948"/>
      <w:bookmarkStart w:id="964" w:name="_Toc418518360"/>
      <w:bookmarkStart w:id="965" w:name="_Toc418518124"/>
      <w:bookmarkStart w:id="966" w:name="_Toc418752256"/>
      <w:bookmarkStart w:id="967" w:name="_Toc373227714"/>
      <w:bookmarkStart w:id="968" w:name="_Toc418061325"/>
      <w:bookmarkStart w:id="969" w:name="_Toc256000194"/>
      <w:bookmarkStart w:id="970" w:name="_Toc389065280"/>
      <w:bookmarkStart w:id="971" w:name="_Toc522201744"/>
      <w:bookmarkStart w:id="972" w:name="_Toc418751810"/>
      <w:bookmarkStart w:id="973" w:name="_Toc32585"/>
      <w:bookmarkStart w:id="974" w:name="_Toc497746795"/>
      <w:bookmarkStart w:id="975" w:name="_Toc497747192"/>
      <w:r>
        <w:rPr>
          <w:rFonts w:hint="eastAsia" w:ascii="宋体" w:cs="宋体"/>
          <w:color w:val="auto"/>
          <w:highlight w:val="none"/>
        </w:rPr>
        <w:t>4.1 监理人的一般规定</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6A8B276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检查施工承包人工程质量，安全生产管理制度及组织机构人员资格；审查施工承包人员提交的施工进度计划及工程施工范围内所有内容。</w:t>
      </w:r>
    </w:p>
    <w:p w14:paraId="17772AE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cs="宋体"/>
          <w:color w:val="auto"/>
          <w:szCs w:val="21"/>
          <w:highlight w:val="none"/>
        </w:rPr>
        <w:t xml:space="preserve">  </w:t>
      </w:r>
    </w:p>
    <w:p w14:paraId="2A84B6DD">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由承包人为发包人、监理单位免费提供三间办公室</w:t>
      </w:r>
      <w:r>
        <w:rPr>
          <w:rFonts w:hint="eastAsia" w:ascii="宋体" w:hAnsi="宋体"/>
          <w:color w:val="auto"/>
          <w:szCs w:val="21"/>
          <w:highlight w:val="none"/>
          <w:u w:val="single"/>
        </w:rPr>
        <w:t>并承担相关费用</w:t>
      </w:r>
      <w:r>
        <w:rPr>
          <w:rFonts w:hint="eastAsia" w:ascii="宋体" w:hAnsi="宋体" w:cs="宋体"/>
          <w:color w:val="auto"/>
          <w:szCs w:val="21"/>
          <w:highlight w:val="none"/>
        </w:rPr>
        <w:t>。</w:t>
      </w:r>
    </w:p>
    <w:p w14:paraId="03EF29E6">
      <w:pPr>
        <w:pStyle w:val="38"/>
        <w:spacing w:line="380" w:lineRule="exact"/>
        <w:ind w:firstLine="422" w:firstLineChars="200"/>
        <w:rPr>
          <w:rFonts w:ascii="宋体" w:cs="宋体"/>
          <w:color w:val="auto"/>
          <w:highlight w:val="none"/>
        </w:rPr>
      </w:pPr>
      <w:bookmarkStart w:id="976" w:name="_Toc418751811"/>
      <w:bookmarkStart w:id="977" w:name="_Toc373227715"/>
      <w:bookmarkStart w:id="978" w:name="_Toc497746796"/>
      <w:bookmarkStart w:id="979" w:name="_Toc418752257"/>
      <w:bookmarkStart w:id="980" w:name="_Toc25694"/>
      <w:bookmarkStart w:id="981" w:name="_Toc373478362"/>
      <w:bookmarkStart w:id="982" w:name="_Toc389065281"/>
      <w:bookmarkStart w:id="983" w:name="_Toc403578949"/>
      <w:bookmarkStart w:id="984" w:name="_Toc497747193"/>
      <w:bookmarkStart w:id="985" w:name="_Toc256000195"/>
      <w:bookmarkStart w:id="986" w:name="_Toc418061326"/>
      <w:bookmarkStart w:id="987" w:name="_Toc418518125"/>
      <w:bookmarkStart w:id="988" w:name="_Toc418518361"/>
      <w:bookmarkStart w:id="989" w:name="_Toc522201745"/>
      <w:r>
        <w:rPr>
          <w:rFonts w:hint="eastAsia" w:ascii="宋体" w:cs="宋体"/>
          <w:color w:val="auto"/>
          <w:highlight w:val="none"/>
        </w:rPr>
        <w:t>4.2 监理人员</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776007FF">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22626330">
      <w:pPr>
        <w:pStyle w:val="2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0B06EE60">
      <w:pPr>
        <w:pStyle w:val="2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19E858">
      <w:pPr>
        <w:pStyle w:val="2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D6BF383">
      <w:pPr>
        <w:pStyle w:val="23"/>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4CCE069D">
      <w:pPr>
        <w:pStyle w:val="2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2320134F">
      <w:pPr>
        <w:pStyle w:val="23"/>
        <w:spacing w:line="380" w:lineRule="exact"/>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11D68AA9">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xml:space="preserve"> 见监理合同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364A520F">
      <w:pPr>
        <w:pStyle w:val="38"/>
        <w:spacing w:line="380" w:lineRule="exact"/>
        <w:ind w:firstLine="422" w:firstLineChars="200"/>
        <w:rPr>
          <w:rFonts w:ascii="宋体" w:cs="宋体"/>
          <w:color w:val="auto"/>
          <w:highlight w:val="none"/>
        </w:rPr>
      </w:pPr>
      <w:bookmarkStart w:id="990" w:name="_Toc373478363"/>
      <w:bookmarkStart w:id="991" w:name="_Toc403578950"/>
      <w:bookmarkStart w:id="992" w:name="_Toc497746797"/>
      <w:bookmarkStart w:id="993" w:name="_Toc522201746"/>
      <w:bookmarkStart w:id="994" w:name="_Toc418061327"/>
      <w:bookmarkStart w:id="995" w:name="_Toc497747194"/>
      <w:bookmarkStart w:id="996" w:name="_Toc418518126"/>
      <w:bookmarkStart w:id="997" w:name="_Toc6980"/>
      <w:bookmarkStart w:id="998" w:name="_Toc373227716"/>
      <w:bookmarkStart w:id="999" w:name="_Toc389065282"/>
      <w:bookmarkStart w:id="1000" w:name="_Toc418751812"/>
      <w:bookmarkStart w:id="1001" w:name="_Toc418752258"/>
      <w:bookmarkStart w:id="1002" w:name="_Toc418518362"/>
      <w:bookmarkStart w:id="1003" w:name="_Toc256000196"/>
      <w:r>
        <w:rPr>
          <w:rFonts w:hint="eastAsia" w:ascii="宋体" w:cs="宋体"/>
          <w:color w:val="auto"/>
          <w:highlight w:val="none"/>
        </w:rPr>
        <w:t>4.4 商定或确定</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287BE594">
      <w:pPr>
        <w:pStyle w:val="23"/>
        <w:spacing w:line="380" w:lineRule="exact"/>
        <w:ind w:firstLine="420" w:firstLineChars="200"/>
        <w:rPr>
          <w:rFonts w:ascii="宋体" w:hAnsi="宋体" w:cs="宋体"/>
          <w:color w:val="auto"/>
          <w:szCs w:val="21"/>
          <w:highlight w:val="none"/>
        </w:rPr>
      </w:pPr>
      <w:bookmarkStart w:id="1004" w:name="_Toc267251418"/>
      <w:r>
        <w:rPr>
          <w:rFonts w:hint="eastAsia" w:ascii="宋体" w:hAnsi="宋体" w:cs="宋体"/>
          <w:color w:val="auto"/>
          <w:szCs w:val="21"/>
          <w:highlight w:val="none"/>
        </w:rPr>
        <w:t>在发包人和承包人不能通过协商达成一致意见时，发包人授权监理人对以下事项进行确定：</w:t>
      </w:r>
      <w:r>
        <w:rPr>
          <w:rFonts w:hint="eastAsia" w:ascii="宋体" w:hAnsi="宋体" w:cs="宋体"/>
          <w:color w:val="auto"/>
          <w:kern w:val="0"/>
          <w:szCs w:val="21"/>
          <w:highlight w:val="none"/>
          <w:u w:val="single"/>
        </w:rPr>
        <w:t>无</w:t>
      </w:r>
      <w:r>
        <w:rPr>
          <w:rFonts w:hint="eastAsia" w:ascii="宋体" w:hAnsi="宋体" w:cs="宋体"/>
          <w:color w:val="auto"/>
          <w:szCs w:val="21"/>
          <w:highlight w:val="none"/>
        </w:rPr>
        <w:t>；</w:t>
      </w:r>
    </w:p>
    <w:p w14:paraId="1B0ABB39">
      <w:pPr>
        <w:pStyle w:val="38"/>
        <w:spacing w:line="380" w:lineRule="exact"/>
        <w:rPr>
          <w:rFonts w:ascii="宋体" w:cs="宋体"/>
          <w:color w:val="auto"/>
          <w:highlight w:val="none"/>
        </w:rPr>
      </w:pPr>
      <w:bookmarkStart w:id="1005" w:name="_Toc418751813"/>
      <w:bookmarkStart w:id="1006" w:name="_Toc351203637"/>
      <w:bookmarkStart w:id="1007" w:name="_Toc497747195"/>
      <w:bookmarkStart w:id="1008" w:name="_Toc373478364"/>
      <w:bookmarkStart w:id="1009" w:name="_Toc256000197"/>
      <w:bookmarkStart w:id="1010" w:name="_Toc373227717"/>
      <w:bookmarkStart w:id="1011" w:name="_Toc389065283"/>
      <w:bookmarkStart w:id="1012" w:name="_Toc28243"/>
      <w:bookmarkStart w:id="1013" w:name="_Toc522201747"/>
      <w:bookmarkStart w:id="1014" w:name="_Toc403578951"/>
      <w:bookmarkStart w:id="1015" w:name="_Toc418061328"/>
      <w:bookmarkStart w:id="1016" w:name="_Toc418752259"/>
      <w:bookmarkStart w:id="1017" w:name="_Toc418518127"/>
      <w:bookmarkStart w:id="1018" w:name="_Toc418518363"/>
      <w:bookmarkStart w:id="1019" w:name="_Toc497746798"/>
      <w:r>
        <w:rPr>
          <w:rFonts w:hint="eastAsia" w:ascii="宋体" w:cs="宋体"/>
          <w:color w:val="auto"/>
          <w:highlight w:val="none"/>
        </w:rPr>
        <w:t>5</w:t>
      </w:r>
      <w:bookmarkEnd w:id="1004"/>
      <w:bookmarkStart w:id="1020" w:name="_Toc296944502"/>
      <w:bookmarkStart w:id="1021" w:name="_Toc296347162"/>
      <w:bookmarkStart w:id="1022" w:name="_Toc296891203"/>
      <w:bookmarkStart w:id="1023" w:name="_Toc296503163"/>
      <w:bookmarkStart w:id="1024" w:name="_Toc296890991"/>
      <w:bookmarkStart w:id="1025" w:name="_Toc297120463"/>
      <w:bookmarkStart w:id="1026" w:name="_Toc296346664"/>
      <w:bookmarkStart w:id="1027" w:name="_Toc297048349"/>
      <w:bookmarkStart w:id="1028" w:name="_Toc292559872"/>
      <w:bookmarkStart w:id="1029" w:name="_Toc292559367"/>
      <w:r>
        <w:rPr>
          <w:rFonts w:hint="eastAsia" w:ascii="宋体" w:cs="宋体"/>
          <w:color w:val="auto"/>
          <w:highlight w:val="none"/>
        </w:rPr>
        <w:t>. 工程质量</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63035AEF">
      <w:pPr>
        <w:pStyle w:val="38"/>
        <w:spacing w:line="380" w:lineRule="exact"/>
        <w:ind w:firstLine="422" w:firstLineChars="200"/>
        <w:rPr>
          <w:rFonts w:ascii="宋体" w:cs="宋体"/>
          <w:color w:val="auto"/>
          <w:highlight w:val="none"/>
        </w:rPr>
      </w:pPr>
      <w:bookmarkStart w:id="1030" w:name="_Toc497747196"/>
      <w:bookmarkStart w:id="1031" w:name="_Toc418752260"/>
      <w:bookmarkStart w:id="1032" w:name="_Toc522201748"/>
      <w:bookmarkStart w:id="1033" w:name="_Toc20307"/>
      <w:bookmarkStart w:id="1034" w:name="_Toc373227718"/>
      <w:bookmarkStart w:id="1035" w:name="_Toc373478365"/>
      <w:bookmarkStart w:id="1036" w:name="_Toc256000198"/>
      <w:bookmarkStart w:id="1037" w:name="_Toc418061329"/>
      <w:bookmarkStart w:id="1038" w:name="_Toc418518128"/>
      <w:bookmarkStart w:id="1039" w:name="_Toc418751814"/>
      <w:bookmarkStart w:id="1040" w:name="_Toc403578952"/>
      <w:bookmarkStart w:id="1041" w:name="_Toc389065284"/>
      <w:bookmarkStart w:id="1042" w:name="_Toc497746799"/>
      <w:bookmarkStart w:id="1043" w:name="_Toc418518364"/>
      <w:r>
        <w:rPr>
          <w:rFonts w:hint="eastAsia" w:ascii="宋体" w:cs="宋体"/>
          <w:color w:val="auto"/>
          <w:highlight w:val="none"/>
        </w:rPr>
        <w:t>5.1 质量要求</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04EF447A">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w:t>
      </w:r>
      <w:bookmarkStart w:id="1044" w:name="_Toc312677997"/>
      <w:bookmarkStart w:id="1045" w:name="_Toc297123496"/>
      <w:bookmarkStart w:id="1046" w:name="_Toc297216155"/>
      <w:bookmarkStart w:id="1047" w:name="_Toc300934949"/>
      <w:bookmarkStart w:id="1048" w:name="_Toc303539106"/>
      <w:bookmarkStart w:id="1049" w:name="_Toc318581164"/>
      <w:bookmarkStart w:id="1050" w:name="_Toc304295527"/>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工程质量达到国家验收合格标准 </w:t>
      </w:r>
      <w:r>
        <w:rPr>
          <w:rFonts w:hint="eastAsia" w:ascii="宋体" w:hAnsi="宋体" w:cs="宋体"/>
          <w:color w:val="auto"/>
          <w:szCs w:val="21"/>
          <w:highlight w:val="none"/>
        </w:rPr>
        <w:t>。</w:t>
      </w:r>
    </w:p>
    <w:p w14:paraId="0CCB408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18CAB9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隐蔽工程检查</w:t>
      </w:r>
    </w:p>
    <w:p w14:paraId="0BD73B5D">
      <w:pPr>
        <w:pStyle w:val="23"/>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kern w:val="0"/>
          <w:szCs w:val="21"/>
          <w:highlight w:val="none"/>
          <w:u w:val="single"/>
        </w:rPr>
        <w:t>任何部位的隐蔽工程需要覆盖或隐蔽前，承包人均应提前 48 小时通知发包人、监理工程师和质量监督站进行中间验收并拍照，没有发包人、监理工程师和质量监督站的批准，均不得隐蔽或验收。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cs="宋体"/>
          <w:bCs/>
          <w:color w:val="auto"/>
          <w:szCs w:val="21"/>
          <w:highlight w:val="none"/>
          <w:u w:val="single"/>
        </w:rPr>
        <w:t>。</w:t>
      </w:r>
    </w:p>
    <w:p w14:paraId="1338391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7835875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3D05ECA8">
      <w:pPr>
        <w:pStyle w:val="38"/>
        <w:spacing w:line="380" w:lineRule="exact"/>
        <w:rPr>
          <w:rFonts w:ascii="宋体" w:cs="宋体"/>
          <w:color w:val="auto"/>
          <w:highlight w:val="none"/>
        </w:rPr>
      </w:pPr>
      <w:bookmarkStart w:id="1051" w:name="_Toc522201749"/>
      <w:bookmarkStart w:id="1052" w:name="_Toc403578953"/>
      <w:bookmarkStart w:id="1053" w:name="_Toc418061330"/>
      <w:bookmarkStart w:id="1054" w:name="_Toc389065285"/>
      <w:bookmarkStart w:id="1055" w:name="_Toc497747197"/>
      <w:bookmarkStart w:id="1056" w:name="_Toc6529"/>
      <w:bookmarkStart w:id="1057" w:name="_Toc351203638"/>
      <w:bookmarkStart w:id="1058" w:name="_Toc373478366"/>
      <w:bookmarkStart w:id="1059" w:name="_Toc418752261"/>
      <w:bookmarkStart w:id="1060" w:name="_Toc497746800"/>
      <w:bookmarkStart w:id="1061" w:name="_Toc418751815"/>
      <w:bookmarkStart w:id="1062" w:name="_Toc418518365"/>
      <w:bookmarkStart w:id="1063" w:name="_Toc373227719"/>
      <w:bookmarkStart w:id="1064" w:name="_Toc256000199"/>
      <w:bookmarkStart w:id="1065" w:name="_Toc418518129"/>
      <w:r>
        <w:rPr>
          <w:rFonts w:hint="eastAsia" w:ascii="宋体" w:cs="宋体"/>
          <w:color w:val="auto"/>
          <w:highlight w:val="none"/>
        </w:rPr>
        <w:t>6. 安全文明施工与环境保护</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06F69DA2">
      <w:pPr>
        <w:pStyle w:val="38"/>
        <w:spacing w:line="380" w:lineRule="exact"/>
        <w:ind w:firstLine="422" w:firstLineChars="200"/>
        <w:rPr>
          <w:rFonts w:ascii="宋体" w:cs="宋体"/>
          <w:color w:val="auto"/>
          <w:highlight w:val="none"/>
        </w:rPr>
      </w:pPr>
      <w:bookmarkStart w:id="1066" w:name="_Toc418518130"/>
      <w:bookmarkStart w:id="1067" w:name="_Toc373227720"/>
      <w:bookmarkStart w:id="1068" w:name="_Toc389065286"/>
      <w:bookmarkStart w:id="1069" w:name="_Toc522201750"/>
      <w:bookmarkStart w:id="1070" w:name="_Toc418751816"/>
      <w:bookmarkStart w:id="1071" w:name="_Toc403578954"/>
      <w:bookmarkStart w:id="1072" w:name="_Toc16475"/>
      <w:bookmarkStart w:id="1073" w:name="_Toc418061331"/>
      <w:bookmarkStart w:id="1074" w:name="_Toc256000200"/>
      <w:bookmarkStart w:id="1075" w:name="_Toc418752262"/>
      <w:bookmarkStart w:id="1076" w:name="_Toc497747198"/>
      <w:bookmarkStart w:id="1077" w:name="_Toc497746801"/>
      <w:bookmarkStart w:id="1078" w:name="_Toc373478367"/>
      <w:bookmarkStart w:id="1079" w:name="_Toc418518366"/>
      <w:r>
        <w:rPr>
          <w:rFonts w:hint="eastAsia" w:ascii="宋体" w:cs="宋体"/>
          <w:color w:val="auto"/>
          <w:highlight w:val="none"/>
        </w:rPr>
        <w:t>6.1 安全文明施工</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2F00AD0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按照国家及地方安全文明施工的有关规定执行 </w:t>
      </w:r>
      <w:r>
        <w:rPr>
          <w:rFonts w:hint="eastAsia" w:ascii="宋体" w:hAnsi="宋体" w:cs="宋体"/>
          <w:color w:val="auto"/>
          <w:szCs w:val="21"/>
          <w:highlight w:val="none"/>
        </w:rPr>
        <w:t>。</w:t>
      </w:r>
    </w:p>
    <w:p w14:paraId="01EB4C7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承包人应当负责统一管理施工场地的治安保卫事项，履行合同工程的治安保卫职责  </w:t>
      </w:r>
      <w:r>
        <w:rPr>
          <w:rFonts w:hint="eastAsia" w:ascii="宋体" w:hAnsi="宋体" w:cs="宋体"/>
          <w:color w:val="auto"/>
          <w:szCs w:val="21"/>
          <w:highlight w:val="none"/>
        </w:rPr>
        <w:t>。</w:t>
      </w:r>
    </w:p>
    <w:p w14:paraId="74A1E3AA">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szCs w:val="21"/>
          <w:highlight w:val="none"/>
        </w:rPr>
        <w:t>。</w:t>
      </w:r>
    </w:p>
    <w:p w14:paraId="353BEB0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开工前7天内承包人编制施工场地治安管理计划和突发治安事件紧急预案</w:t>
      </w:r>
      <w:r>
        <w:rPr>
          <w:rFonts w:hint="eastAsia" w:ascii="宋体" w:hAnsi="宋体" w:cs="宋体"/>
          <w:color w:val="auto"/>
          <w:szCs w:val="21"/>
          <w:highlight w:val="none"/>
        </w:rPr>
        <w:t>。</w:t>
      </w:r>
    </w:p>
    <w:p w14:paraId="55E43C5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6A9DA63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按照国家及地方安全文明施工的有关规定执行</w:t>
      </w:r>
      <w:r>
        <w:rPr>
          <w:rFonts w:hint="eastAsia" w:ascii="宋体" w:hAnsi="宋体" w:cs="宋体"/>
          <w:color w:val="auto"/>
          <w:szCs w:val="21"/>
          <w:highlight w:val="none"/>
        </w:rPr>
        <w:t>。</w:t>
      </w:r>
    </w:p>
    <w:p w14:paraId="3C1D931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kern w:val="0"/>
          <w:highlight w:val="none"/>
          <w:u w:val="single"/>
        </w:rPr>
        <w:t>专款专用</w:t>
      </w:r>
      <w:r>
        <w:rPr>
          <w:rFonts w:hint="eastAsia" w:ascii="宋体" w:hAnsi="宋体" w:cs="宋体"/>
          <w:color w:val="auto"/>
          <w:kern w:val="0"/>
          <w:highlight w:val="none"/>
        </w:rPr>
        <w:t>。具体按《广西壮族自治区建筑工程安全防护、文明施工措施费及管理细则》（桂建质〔2006〕22号）和</w:t>
      </w:r>
      <w:r>
        <w:rPr>
          <w:rFonts w:hint="eastAsia" w:ascii="宋体" w:hAnsi="宋体" w:cs="宋体"/>
          <w:color w:val="auto"/>
          <w:szCs w:val="24"/>
          <w:highlight w:val="none"/>
          <w:u w:val="single"/>
        </w:rPr>
        <w:t>桂林市建规[2007]131号文及市建规[2008]224号文</w:t>
      </w:r>
      <w:r>
        <w:rPr>
          <w:rFonts w:hint="eastAsia" w:ascii="宋体" w:hAnsi="宋体" w:cs="宋体"/>
          <w:color w:val="auto"/>
          <w:kern w:val="0"/>
          <w:highlight w:val="none"/>
        </w:rPr>
        <w:t>相关规定执行。</w:t>
      </w:r>
    </w:p>
    <w:p w14:paraId="1CF76B0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（3）支付约定：</w:t>
      </w:r>
      <w:r>
        <w:rPr>
          <w:rFonts w:hint="eastAsia" w:ascii="宋体" w:hAnsi="宋体" w:cs="宋体"/>
          <w:color w:val="auto"/>
          <w:highlight w:val="none"/>
          <w:u w:val="single"/>
        </w:rPr>
        <w:t>具体按《广西壮族自治区建筑工程安全防护、文明施工措施费及管理细则》（桂建质〔2006〕22号）和桂林市建规[2007]131号文及市建规[2008]224号文相关规定执行。</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2FFB3119">
      <w:pPr>
        <w:pStyle w:val="43"/>
        <w:spacing w:line="380" w:lineRule="exact"/>
        <w:rPr>
          <w:rFonts w:ascii="宋体" w:hAnsi="宋体" w:cs="宋体"/>
          <w:color w:val="auto"/>
          <w:highlight w:val="none"/>
          <w:u w:val="single"/>
        </w:rPr>
      </w:pPr>
      <w:bookmarkStart w:id="1080" w:name="_Toc389065287"/>
      <w:bookmarkStart w:id="1081" w:name="_Toc418518131"/>
      <w:bookmarkStart w:id="1082" w:name="_Toc418518367"/>
      <w:bookmarkStart w:id="1083" w:name="_Toc418752263"/>
      <w:bookmarkStart w:id="1084" w:name="_Toc497747199"/>
      <w:bookmarkStart w:id="1085" w:name="_Toc418061332"/>
      <w:bookmarkStart w:id="1086" w:name="_Toc373478368"/>
      <w:bookmarkStart w:id="1087" w:name="_Toc497746802"/>
      <w:bookmarkStart w:id="1088" w:name="_Toc403578955"/>
      <w:bookmarkStart w:id="1089" w:name="_Toc373227721"/>
      <w:bookmarkStart w:id="1090" w:name="_Toc418751817"/>
      <w:r>
        <w:rPr>
          <w:rFonts w:hint="eastAsia" w:ascii="宋体" w:hAnsi="宋体" w:cs="宋体"/>
          <w:color w:val="auto"/>
          <w:highlight w:val="none"/>
        </w:rPr>
        <w:t>6.2职业健康</w:t>
      </w:r>
    </w:p>
    <w:p w14:paraId="2E5BEF4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6.2.3 扬尘防治：严格执行市住建【2016】71号《关于进一步加强全市建筑工地扬尘治理工作的通知》的相关规定。关于扬尘防治费支付比例和支付期限的约定为：</w:t>
      </w:r>
      <w:r>
        <w:rPr>
          <w:rFonts w:hint="eastAsia" w:ascii="宋体" w:hAnsi="宋体" w:cs="宋体"/>
          <w:color w:val="auto"/>
          <w:szCs w:val="21"/>
          <w:highlight w:val="none"/>
          <w:u w:val="single"/>
        </w:rPr>
        <w:t>市住建〔2016〕34号文规定 。</w:t>
      </w:r>
    </w:p>
    <w:p w14:paraId="0EA0B8D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6.3 环境保护</w:t>
      </w:r>
      <w:bookmarkEnd w:id="1080"/>
      <w:bookmarkEnd w:id="1081"/>
      <w:bookmarkEnd w:id="1082"/>
      <w:bookmarkEnd w:id="1083"/>
      <w:bookmarkEnd w:id="1084"/>
      <w:bookmarkEnd w:id="1085"/>
      <w:bookmarkEnd w:id="1086"/>
      <w:bookmarkEnd w:id="1087"/>
      <w:bookmarkEnd w:id="1088"/>
      <w:bookmarkEnd w:id="1089"/>
      <w:bookmarkEnd w:id="1090"/>
      <w:r>
        <w:rPr>
          <w:rFonts w:hint="eastAsia" w:ascii="宋体" w:hAnsi="宋体" w:cs="宋体"/>
          <w:color w:val="auto"/>
          <w:szCs w:val="21"/>
          <w:highlight w:val="none"/>
        </w:rPr>
        <w:t>因施工需要，经发包人批准，由承包人办理有关施工场地交通、环卫和施工噪音管理等手续，费用由承包人负责。</w:t>
      </w:r>
    </w:p>
    <w:p w14:paraId="6BDA040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经过城市道路的施工车辆，必须按交警、城管、运输等部门相关规定执行。由于施工车辆造成的道路、环境等污染，其责任和费用均由承包人承担。</w:t>
      </w:r>
    </w:p>
    <w:p w14:paraId="032D29CE">
      <w:pPr>
        <w:pStyle w:val="43"/>
        <w:spacing w:line="380" w:lineRule="exact"/>
        <w:rPr>
          <w:rFonts w:ascii="宋体" w:hAnsi="宋体" w:cs="宋体"/>
          <w:color w:val="auto"/>
          <w:highlight w:val="none"/>
        </w:rPr>
      </w:pPr>
      <w:r>
        <w:rPr>
          <w:rFonts w:hint="eastAsia" w:ascii="宋体" w:hAnsi="宋体" w:cs="宋体"/>
          <w:color w:val="auto"/>
          <w:highlight w:val="none"/>
        </w:rPr>
        <w:t>环保工作的约定：</w:t>
      </w:r>
      <w:r>
        <w:rPr>
          <w:rFonts w:hint="eastAsia" w:ascii="宋体" w:hAnsi="宋体" w:cs="宋体"/>
          <w:color w:val="auto"/>
          <w:highlight w:val="none"/>
          <w:u w:val="single"/>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bookmarkEnd w:id="1044"/>
    <w:bookmarkEnd w:id="1045"/>
    <w:bookmarkEnd w:id="1046"/>
    <w:bookmarkEnd w:id="1047"/>
    <w:bookmarkEnd w:id="1048"/>
    <w:bookmarkEnd w:id="1049"/>
    <w:bookmarkEnd w:id="1050"/>
    <w:p w14:paraId="1886312C">
      <w:pPr>
        <w:pStyle w:val="38"/>
        <w:spacing w:line="380" w:lineRule="exact"/>
        <w:rPr>
          <w:rFonts w:ascii="宋体" w:cs="宋体"/>
          <w:color w:val="auto"/>
          <w:highlight w:val="none"/>
        </w:rPr>
      </w:pPr>
      <w:bookmarkStart w:id="1091" w:name="_Toc373478369"/>
      <w:bookmarkStart w:id="1092" w:name="_Toc418752264"/>
      <w:bookmarkStart w:id="1093" w:name="_Toc373227722"/>
      <w:bookmarkStart w:id="1094" w:name="_Toc418061333"/>
      <w:bookmarkStart w:id="1095" w:name="_Toc351203639"/>
      <w:bookmarkStart w:id="1096" w:name="_Toc389065288"/>
      <w:bookmarkStart w:id="1097" w:name="_Toc256000201"/>
      <w:bookmarkStart w:id="1098" w:name="_Toc497746803"/>
      <w:bookmarkStart w:id="1099" w:name="_Toc418518132"/>
      <w:bookmarkStart w:id="1100" w:name="_Toc418751818"/>
      <w:bookmarkStart w:id="1101" w:name="_Toc497747200"/>
      <w:bookmarkStart w:id="1102" w:name="_Toc403578956"/>
      <w:bookmarkStart w:id="1103" w:name="_Toc522201751"/>
      <w:bookmarkStart w:id="1104" w:name="_Toc418518368"/>
      <w:bookmarkStart w:id="1105" w:name="_Toc5327"/>
      <w:r>
        <w:rPr>
          <w:rFonts w:hint="eastAsia" w:ascii="宋体" w:cs="宋体"/>
          <w:color w:val="auto"/>
          <w:highlight w:val="none"/>
        </w:rPr>
        <w:t>7. 工期和进度</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2B1DEA97">
      <w:pPr>
        <w:pStyle w:val="38"/>
        <w:spacing w:line="380" w:lineRule="exact"/>
        <w:ind w:firstLine="422" w:firstLineChars="200"/>
        <w:rPr>
          <w:rFonts w:ascii="宋体" w:cs="宋体"/>
          <w:color w:val="auto"/>
          <w:highlight w:val="none"/>
        </w:rPr>
      </w:pPr>
      <w:bookmarkStart w:id="1106" w:name="_Toc418061334"/>
      <w:bookmarkStart w:id="1107" w:name="_Toc256000202"/>
      <w:bookmarkStart w:id="1108" w:name="_Toc403578957"/>
      <w:bookmarkStart w:id="1109" w:name="_Toc497746804"/>
      <w:bookmarkStart w:id="1110" w:name="_Toc418518133"/>
      <w:bookmarkStart w:id="1111" w:name="_Toc389065289"/>
      <w:bookmarkStart w:id="1112" w:name="_Toc418751819"/>
      <w:bookmarkStart w:id="1113" w:name="_Toc418518369"/>
      <w:bookmarkStart w:id="1114" w:name="_Toc497747201"/>
      <w:bookmarkStart w:id="1115" w:name="_Toc373227723"/>
      <w:bookmarkStart w:id="1116" w:name="_Toc418752265"/>
      <w:bookmarkStart w:id="1117" w:name="_Toc373478370"/>
      <w:bookmarkStart w:id="1118" w:name="_Toc522201752"/>
      <w:bookmarkStart w:id="1119" w:name="_Toc28893"/>
      <w:r>
        <w:rPr>
          <w:rFonts w:hint="eastAsia" w:ascii="宋体" w:cs="宋体"/>
          <w:color w:val="auto"/>
          <w:highlight w:val="none"/>
        </w:rPr>
        <w:t>7.1 施工组织设计</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14:paraId="3C26DA98">
      <w:pPr>
        <w:pStyle w:val="43"/>
        <w:spacing w:line="380" w:lineRule="exact"/>
        <w:rPr>
          <w:rFonts w:ascii="宋体" w:hAnsi="宋体" w:cs="宋体"/>
          <w:color w:val="auto"/>
          <w:highlight w:val="none"/>
          <w:u w:val="single"/>
        </w:rPr>
      </w:pPr>
      <w:r>
        <w:rPr>
          <w:rFonts w:hint="eastAsia" w:ascii="宋体" w:hAnsi="宋体" w:cs="宋体"/>
          <w:color w:val="auto"/>
          <w:highlight w:val="none"/>
        </w:rPr>
        <w:t>7.1.1 合同当事人约定的施工组织设计应包括的其他内容：</w:t>
      </w:r>
      <w:r>
        <w:rPr>
          <w:rFonts w:hint="eastAsia" w:ascii="宋体" w:hAnsi="宋体" w:cs="宋体"/>
          <w:color w:val="auto"/>
          <w:highlight w:val="none"/>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14A278B5">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2643514E">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合同签订后14天内，最迟不得晚于开工通知载明的开工日期前7天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571220">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收到施工组织设计后7天内确认或提出修改意见。</w:t>
      </w:r>
    </w:p>
    <w:p w14:paraId="20681A27">
      <w:pPr>
        <w:pStyle w:val="38"/>
        <w:spacing w:line="380" w:lineRule="exact"/>
        <w:ind w:firstLine="422" w:firstLineChars="200"/>
        <w:rPr>
          <w:rFonts w:ascii="宋体" w:cs="宋体"/>
          <w:color w:val="auto"/>
          <w:highlight w:val="none"/>
        </w:rPr>
      </w:pPr>
      <w:bookmarkStart w:id="1120" w:name="_Toc497747202"/>
      <w:bookmarkStart w:id="1121" w:name="_Toc418061335"/>
      <w:bookmarkStart w:id="1122" w:name="_Toc389065290"/>
      <w:bookmarkStart w:id="1123" w:name="_Toc497746805"/>
      <w:bookmarkStart w:id="1124" w:name="_Toc418752266"/>
      <w:bookmarkStart w:id="1125" w:name="_Toc418518370"/>
      <w:bookmarkStart w:id="1126" w:name="_Toc418518134"/>
      <w:bookmarkStart w:id="1127" w:name="_Toc522201753"/>
      <w:bookmarkStart w:id="1128" w:name="_Toc373478371"/>
      <w:bookmarkStart w:id="1129" w:name="_Toc29479"/>
      <w:bookmarkStart w:id="1130" w:name="_Toc403578958"/>
      <w:bookmarkStart w:id="1131" w:name="_Toc256000203"/>
      <w:bookmarkStart w:id="1132" w:name="_Toc373227724"/>
      <w:bookmarkStart w:id="1133" w:name="_Toc418751820"/>
      <w:r>
        <w:rPr>
          <w:rFonts w:hint="eastAsia" w:ascii="宋体" w:cs="宋体"/>
          <w:color w:val="auto"/>
          <w:highlight w:val="none"/>
        </w:rPr>
        <w:t>7</w:t>
      </w:r>
      <w:bookmarkStart w:id="1134" w:name="_Toc297216173"/>
      <w:bookmarkStart w:id="1135" w:name="_Toc303539123"/>
      <w:bookmarkStart w:id="1136" w:name="_Toc300934966"/>
      <w:bookmarkStart w:id="1137" w:name="_Toc312677479"/>
      <w:bookmarkStart w:id="1138" w:name="_Toc312678005"/>
      <w:bookmarkStart w:id="1139" w:name="_Toc297123514"/>
      <w:bookmarkStart w:id="1140" w:name="_Toc304295541"/>
      <w:r>
        <w:rPr>
          <w:rFonts w:hint="eastAsia" w:ascii="宋体" w:cs="宋体"/>
          <w:color w:val="auto"/>
          <w:highlight w:val="none"/>
        </w:rPr>
        <w:t>.2 施工进度计划</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60B1B02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70D7C21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（1）发包人和监理人在收到修订的施工进度计划后确认或提出修改意见的期限：</w:t>
      </w:r>
      <w:r>
        <w:rPr>
          <w:rFonts w:hint="eastAsia" w:ascii="宋体" w:hAnsi="宋体" w:cs="宋体"/>
          <w:color w:val="auto"/>
          <w:szCs w:val="21"/>
          <w:highlight w:val="none"/>
          <w:u w:val="single"/>
        </w:rPr>
        <w:t>自监理人收到承包人报送的相关进度计划后 7天内。</w:t>
      </w:r>
      <w:r>
        <w:rPr>
          <w:rFonts w:hint="eastAsia" w:ascii="宋体" w:hAnsi="宋体" w:cs="宋体"/>
          <w:color w:val="auto"/>
          <w:szCs w:val="21"/>
          <w:highlight w:val="none"/>
        </w:rPr>
        <w:t xml:space="preserve"> </w:t>
      </w:r>
    </w:p>
    <w:p w14:paraId="392DDCB9">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（2）承包人编制分阶段或分项施工进度计划和施工方案说明的内容：</w:t>
      </w:r>
      <w:r>
        <w:rPr>
          <w:rFonts w:hint="eastAsia" w:ascii="宋体" w:hAnsi="宋体" w:cs="宋体"/>
          <w:color w:val="auto"/>
          <w:szCs w:val="21"/>
          <w:highlight w:val="none"/>
          <w:u w:val="single"/>
        </w:rPr>
        <w:t>包含但不限于月进度计划、原地面测量方案、不良地基处理方案等。</w:t>
      </w:r>
      <w:r>
        <w:rPr>
          <w:rFonts w:hint="eastAsia" w:ascii="宋体" w:hAnsi="宋体" w:cs="宋体"/>
          <w:color w:val="auto"/>
          <w:szCs w:val="21"/>
          <w:highlight w:val="none"/>
        </w:rPr>
        <w:t xml:space="preserve"> </w:t>
      </w:r>
    </w:p>
    <w:p w14:paraId="2836464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 承包人报送分阶段或分项施工进度计划和施工方案说明的期限： </w:t>
      </w:r>
      <w:r>
        <w:rPr>
          <w:rFonts w:hint="eastAsia" w:ascii="宋体" w:hAnsi="宋体" w:cs="宋体"/>
          <w:color w:val="auto"/>
          <w:szCs w:val="21"/>
          <w:highlight w:val="none"/>
          <w:u w:val="single"/>
        </w:rPr>
        <w:t>月进度计划于上月 30 日前提交，分项施工进度计划和施工方案说明应不迟于该分项工程施工前14 天提交。</w:t>
      </w:r>
    </w:p>
    <w:p w14:paraId="0BF696E1">
      <w:pPr>
        <w:pStyle w:val="38"/>
        <w:spacing w:line="380" w:lineRule="exact"/>
        <w:ind w:firstLine="422" w:firstLineChars="200"/>
        <w:rPr>
          <w:rFonts w:ascii="宋体" w:cs="宋体"/>
          <w:color w:val="auto"/>
          <w:highlight w:val="none"/>
        </w:rPr>
      </w:pPr>
      <w:bookmarkStart w:id="1141" w:name="_Toc418518135"/>
      <w:bookmarkStart w:id="1142" w:name="_Toc418751821"/>
      <w:bookmarkStart w:id="1143" w:name="_Toc389065291"/>
      <w:bookmarkStart w:id="1144" w:name="_Toc256000204"/>
      <w:bookmarkStart w:id="1145" w:name="_Toc418061336"/>
      <w:bookmarkStart w:id="1146" w:name="_Toc373478372"/>
      <w:bookmarkStart w:id="1147" w:name="_Toc403578959"/>
      <w:bookmarkStart w:id="1148" w:name="_Toc522201754"/>
      <w:bookmarkStart w:id="1149" w:name="_Toc373227725"/>
      <w:bookmarkStart w:id="1150" w:name="_Toc497747203"/>
      <w:bookmarkStart w:id="1151" w:name="_Toc418518371"/>
      <w:bookmarkStart w:id="1152" w:name="_Toc216"/>
      <w:bookmarkStart w:id="1153" w:name="_Toc497746806"/>
      <w:bookmarkStart w:id="1154" w:name="_Toc418752267"/>
      <w:r>
        <w:rPr>
          <w:rFonts w:hint="eastAsia" w:ascii="宋体" w:cs="宋体"/>
          <w:color w:val="auto"/>
          <w:highlight w:val="none"/>
        </w:rPr>
        <w:t>7.3 开工</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302C2516">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67F42EFF">
      <w:pPr>
        <w:pStyle w:val="23"/>
        <w:spacing w:line="380" w:lineRule="exact"/>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461DDA69">
      <w:pPr>
        <w:pStyle w:val="23"/>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关于发包人应完成的其他开工准备工作及期限：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6BBE4AF5">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 关于承包人应完成的其他开工准备工作及期限：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3142A4C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 开工通知</w:t>
      </w:r>
    </w:p>
    <w:p w14:paraId="211DB38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天内发出开工通知的，承包人有权提出价格调整要求，或者解除合同。</w:t>
      </w:r>
    </w:p>
    <w:bookmarkEnd w:id="1134"/>
    <w:bookmarkEnd w:id="1135"/>
    <w:bookmarkEnd w:id="1136"/>
    <w:bookmarkEnd w:id="1137"/>
    <w:bookmarkEnd w:id="1138"/>
    <w:bookmarkEnd w:id="1139"/>
    <w:bookmarkEnd w:id="1140"/>
    <w:p w14:paraId="61E36B76">
      <w:pPr>
        <w:pStyle w:val="38"/>
        <w:spacing w:line="380" w:lineRule="exact"/>
        <w:ind w:firstLine="422" w:firstLineChars="200"/>
        <w:rPr>
          <w:rFonts w:ascii="宋体" w:cs="宋体"/>
          <w:color w:val="auto"/>
          <w:highlight w:val="none"/>
        </w:rPr>
      </w:pPr>
      <w:bookmarkStart w:id="1155" w:name="_Toc403578960"/>
      <w:bookmarkStart w:id="1156" w:name="_Toc389065292"/>
      <w:bookmarkStart w:id="1157" w:name="_Toc373227726"/>
      <w:bookmarkStart w:id="1158" w:name="_Toc21060"/>
      <w:bookmarkStart w:id="1159" w:name="_Toc418518136"/>
      <w:bookmarkStart w:id="1160" w:name="_Toc497746807"/>
      <w:bookmarkStart w:id="1161" w:name="_Toc497747204"/>
      <w:bookmarkStart w:id="1162" w:name="_Toc418751822"/>
      <w:bookmarkStart w:id="1163" w:name="_Toc256000205"/>
      <w:bookmarkStart w:id="1164" w:name="_Toc522201755"/>
      <w:bookmarkStart w:id="1165" w:name="_Toc373478373"/>
      <w:bookmarkStart w:id="1166" w:name="_Toc418518372"/>
      <w:bookmarkStart w:id="1167" w:name="_Toc418061337"/>
      <w:bookmarkStart w:id="1168" w:name="_Toc418752268"/>
      <w:r>
        <w:rPr>
          <w:rFonts w:hint="eastAsia" w:ascii="宋体" w:cs="宋体"/>
          <w:color w:val="auto"/>
          <w:highlight w:val="none"/>
        </w:rPr>
        <w:t>7.4 测量放线</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6585DFD">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开工通知载明的开工日前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14:paraId="027CFCAD">
      <w:pPr>
        <w:pStyle w:val="38"/>
        <w:spacing w:line="380" w:lineRule="exact"/>
        <w:ind w:firstLine="422" w:firstLineChars="200"/>
        <w:rPr>
          <w:rFonts w:ascii="宋体" w:cs="宋体"/>
          <w:color w:val="auto"/>
          <w:highlight w:val="none"/>
        </w:rPr>
      </w:pPr>
      <w:bookmarkStart w:id="1169" w:name="_Toc1523"/>
      <w:bookmarkStart w:id="1170" w:name="_Toc418518373"/>
      <w:bookmarkStart w:id="1171" w:name="_Toc389065293"/>
      <w:bookmarkStart w:id="1172" w:name="_Toc418751823"/>
      <w:bookmarkStart w:id="1173" w:name="_Toc256000206"/>
      <w:bookmarkStart w:id="1174" w:name="_Toc403578961"/>
      <w:bookmarkStart w:id="1175" w:name="_Toc522201756"/>
      <w:bookmarkStart w:id="1176" w:name="_Toc373227727"/>
      <w:bookmarkStart w:id="1177" w:name="_Toc418061338"/>
      <w:bookmarkStart w:id="1178" w:name="_Toc373478374"/>
      <w:bookmarkStart w:id="1179" w:name="_Toc497746808"/>
      <w:bookmarkStart w:id="1180" w:name="_Toc418752269"/>
      <w:bookmarkStart w:id="1181" w:name="_Toc418518137"/>
      <w:bookmarkStart w:id="1182" w:name="_Toc497747205"/>
      <w:r>
        <w:rPr>
          <w:rFonts w:hint="eastAsia" w:ascii="宋体" w:cs="宋体"/>
          <w:color w:val="auto"/>
          <w:highlight w:val="none"/>
        </w:rPr>
        <w:t>7</w:t>
      </w:r>
      <w:bookmarkStart w:id="1183" w:name="_Toc312678010"/>
      <w:bookmarkStart w:id="1184" w:name="_Toc297123516"/>
      <w:bookmarkStart w:id="1185" w:name="_Toc312677484"/>
      <w:bookmarkStart w:id="1186" w:name="_Toc304295546"/>
      <w:bookmarkStart w:id="1187" w:name="_Toc297216175"/>
      <w:bookmarkStart w:id="1188" w:name="_Toc303539125"/>
      <w:bookmarkStart w:id="1189" w:name="_Toc300934968"/>
      <w:r>
        <w:rPr>
          <w:rFonts w:hint="eastAsia" w:ascii="宋体" w:cs="宋体"/>
          <w:color w:val="auto"/>
          <w:highlight w:val="none"/>
        </w:rPr>
        <w:t>.5 工期延误</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bookmarkEnd w:id="1183"/>
    <w:bookmarkEnd w:id="1184"/>
    <w:bookmarkEnd w:id="1185"/>
    <w:bookmarkEnd w:id="1186"/>
    <w:bookmarkEnd w:id="1187"/>
    <w:bookmarkEnd w:id="1188"/>
    <w:bookmarkEnd w:id="1189"/>
    <w:p w14:paraId="7BA0F2D9">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7E82DAB2">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6A74145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1190" w:name="_Toc312677486"/>
      <w:bookmarkStart w:id="1191" w:name="_Toc312678012"/>
      <w:bookmarkStart w:id="1192" w:name="_Toc318581169"/>
      <w:bookmarkStart w:id="1193" w:name="_Toc297216177"/>
      <w:bookmarkStart w:id="1194" w:name="_Toc304295548"/>
      <w:bookmarkStart w:id="1195" w:name="_Toc300934970"/>
      <w:bookmarkStart w:id="1196" w:name="_Toc297123518"/>
      <w:bookmarkStart w:id="1197" w:name="_Toc303539127"/>
      <w:r>
        <w:rPr>
          <w:rFonts w:hint="eastAsia" w:ascii="宋体" w:hAnsi="宋体" w:cs="宋体"/>
          <w:color w:val="auto"/>
          <w:szCs w:val="21"/>
          <w:highlight w:val="none"/>
        </w:rPr>
        <w:t>.5.2 因承包人原因导致工期延误</w:t>
      </w:r>
    </w:p>
    <w:bookmarkEnd w:id="1190"/>
    <w:bookmarkEnd w:id="1191"/>
    <w:bookmarkEnd w:id="1192"/>
    <w:p w14:paraId="771175F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双方约定经监理工程师确认，工期相应顺延的情况：</w:t>
      </w:r>
      <w:r>
        <w:rPr>
          <w:rFonts w:hint="eastAsia" w:ascii="宋体" w:hAnsi="宋体" w:cs="宋体"/>
          <w:color w:val="auto"/>
          <w:szCs w:val="21"/>
          <w:highlight w:val="none"/>
          <w:u w:val="single"/>
        </w:rPr>
        <w:t xml:space="preserve">  非承包人原因导致的工期延误，合同工期相应顺延</w:t>
      </w:r>
      <w:r>
        <w:rPr>
          <w:rFonts w:hint="eastAsia" w:ascii="宋体" w:hAnsi="宋体" w:cs="宋体"/>
          <w:color w:val="auto"/>
          <w:szCs w:val="21"/>
          <w:highlight w:val="none"/>
        </w:rPr>
        <w:t>。</w:t>
      </w:r>
    </w:p>
    <w:p w14:paraId="091DD21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1198" w:name="_Toc312677487"/>
      <w:bookmarkStart w:id="1199" w:name="_Toc312678013"/>
      <w:bookmarkStart w:id="1200"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color w:val="auto"/>
          <w:szCs w:val="21"/>
          <w:highlight w:val="none"/>
          <w:u w:val="single"/>
        </w:rPr>
        <w:t xml:space="preserve">非上述原因，承包人不能按合同约定的时间竣工，承包人应承担违约责任，并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 </w:t>
      </w:r>
    </w:p>
    <w:bookmarkEnd w:id="1193"/>
    <w:bookmarkEnd w:id="1194"/>
    <w:bookmarkEnd w:id="1195"/>
    <w:bookmarkEnd w:id="1196"/>
    <w:bookmarkEnd w:id="1197"/>
    <w:bookmarkEnd w:id="1198"/>
    <w:bookmarkEnd w:id="1199"/>
    <w:bookmarkEnd w:id="1200"/>
    <w:p w14:paraId="386CF8F1">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因承包人原因造成工期延误，逾</w:t>
      </w:r>
      <w:bookmarkStart w:id="1201" w:name="_Toc318581171"/>
      <w:bookmarkStart w:id="1202"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lang w:eastAsia="zh-CN"/>
        </w:rPr>
        <w:t>结算</w:t>
      </w:r>
      <w:r>
        <w:rPr>
          <w:rFonts w:hint="eastAsia" w:ascii="宋体" w:hAnsi="宋体" w:cs="宋体"/>
          <w:color w:val="auto"/>
          <w:szCs w:val="21"/>
          <w:highlight w:val="none"/>
          <w:u w:val="single"/>
        </w:rPr>
        <w:t>价扣除社会保险费、发包人材料价款、暂估专业工程、暂列金额后的</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bookmarkEnd w:id="1201"/>
    <w:bookmarkEnd w:id="1202"/>
    <w:p w14:paraId="7848CA11">
      <w:pPr>
        <w:pStyle w:val="38"/>
        <w:spacing w:line="380" w:lineRule="exact"/>
        <w:ind w:firstLine="422" w:firstLineChars="200"/>
        <w:rPr>
          <w:rFonts w:ascii="宋体" w:cs="宋体"/>
          <w:color w:val="auto"/>
          <w:highlight w:val="none"/>
        </w:rPr>
      </w:pPr>
      <w:bookmarkStart w:id="1203" w:name="_Toc256000207"/>
      <w:bookmarkStart w:id="1204" w:name="_Toc418752270"/>
      <w:bookmarkStart w:id="1205" w:name="_Toc418061339"/>
      <w:bookmarkStart w:id="1206" w:name="_Toc418751824"/>
      <w:bookmarkStart w:id="1207" w:name="_Toc27840"/>
      <w:bookmarkStart w:id="1208" w:name="_Toc418518374"/>
      <w:bookmarkStart w:id="1209" w:name="_Toc497746809"/>
      <w:bookmarkStart w:id="1210" w:name="_Toc497747206"/>
      <w:bookmarkStart w:id="1211" w:name="_Toc403578962"/>
      <w:bookmarkStart w:id="1212" w:name="_Toc522201757"/>
      <w:bookmarkStart w:id="1213" w:name="_Toc389065294"/>
      <w:bookmarkStart w:id="1214" w:name="_Toc373227728"/>
      <w:bookmarkStart w:id="1215" w:name="_Toc418518138"/>
      <w:bookmarkStart w:id="1216" w:name="_Toc373478375"/>
      <w:r>
        <w:rPr>
          <w:rFonts w:hint="eastAsia" w:ascii="宋体" w:cs="宋体"/>
          <w:color w:val="auto"/>
          <w:highlight w:val="none"/>
        </w:rPr>
        <w:t>7</w:t>
      </w:r>
      <w:bookmarkStart w:id="1217" w:name="_Toc297123519"/>
      <w:bookmarkStart w:id="1218" w:name="_Toc297216178"/>
      <w:bookmarkStart w:id="1219" w:name="_Toc312678015"/>
      <w:bookmarkStart w:id="1220" w:name="_Toc303539128"/>
      <w:bookmarkStart w:id="1221" w:name="_Toc300934971"/>
      <w:bookmarkStart w:id="1222" w:name="_Toc304295549"/>
      <w:r>
        <w:rPr>
          <w:rFonts w:hint="eastAsia" w:ascii="宋体" w:cs="宋体"/>
          <w:color w:val="auto"/>
          <w:highlight w:val="none"/>
        </w:rPr>
        <w:t>.6 不</w:t>
      </w:r>
      <w:bookmarkEnd w:id="1217"/>
      <w:bookmarkEnd w:id="1218"/>
      <w:bookmarkEnd w:id="1219"/>
      <w:bookmarkEnd w:id="1220"/>
      <w:bookmarkEnd w:id="1221"/>
      <w:bookmarkEnd w:id="1222"/>
      <w:r>
        <w:rPr>
          <w:rFonts w:hint="eastAsia" w:ascii="宋体" w:cs="宋体"/>
          <w:color w:val="auto"/>
          <w:highlight w:val="none"/>
        </w:rPr>
        <w:t>利物质条件</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6766E361">
      <w:pPr>
        <w:pStyle w:val="23"/>
        <w:spacing w:line="380" w:lineRule="exact"/>
        <w:ind w:firstLine="420" w:firstLineChars="200"/>
        <w:jc w:val="left"/>
        <w:rPr>
          <w:rFonts w:ascii="宋体" w:hAnsi="宋体" w:cs="宋体"/>
          <w:color w:val="auto"/>
          <w:szCs w:val="21"/>
          <w:highlight w:val="none"/>
          <w:u w:val="single"/>
        </w:rPr>
      </w:pPr>
      <w:bookmarkStart w:id="1223" w:name="_Toc304295550"/>
      <w:bookmarkStart w:id="1224" w:name="_Toc300934972"/>
      <w:bookmarkStart w:id="1225" w:name="_Toc312678016"/>
      <w:bookmarkStart w:id="1226" w:name="_Toc318581172"/>
      <w:bookmarkStart w:id="1227" w:name="_Toc297123520"/>
      <w:bookmarkStart w:id="1228" w:name="_Toc297216179"/>
      <w:bookmarkStart w:id="1229" w:name="_Toc303539129"/>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cs="宋体"/>
          <w:color w:val="auto"/>
          <w:szCs w:val="21"/>
          <w:highlight w:val="none"/>
        </w:rPr>
        <w:t>。</w:t>
      </w:r>
    </w:p>
    <w:bookmarkEnd w:id="1223"/>
    <w:bookmarkEnd w:id="1224"/>
    <w:bookmarkEnd w:id="1225"/>
    <w:bookmarkEnd w:id="1226"/>
    <w:bookmarkEnd w:id="1227"/>
    <w:bookmarkEnd w:id="1228"/>
    <w:bookmarkEnd w:id="1229"/>
    <w:p w14:paraId="4B95D749">
      <w:pPr>
        <w:pStyle w:val="38"/>
        <w:spacing w:line="380" w:lineRule="exact"/>
        <w:ind w:firstLine="422" w:firstLineChars="200"/>
        <w:rPr>
          <w:rFonts w:ascii="宋体" w:cs="宋体"/>
          <w:color w:val="auto"/>
          <w:highlight w:val="none"/>
        </w:rPr>
      </w:pPr>
      <w:bookmarkStart w:id="1230" w:name="_Toc418751825"/>
      <w:bookmarkStart w:id="1231" w:name="_Toc373478376"/>
      <w:bookmarkStart w:id="1232" w:name="_Toc403578963"/>
      <w:bookmarkStart w:id="1233" w:name="_Toc1472"/>
      <w:bookmarkStart w:id="1234" w:name="_Toc373227729"/>
      <w:bookmarkStart w:id="1235" w:name="_Toc389065295"/>
      <w:bookmarkStart w:id="1236" w:name="_Toc418752271"/>
      <w:bookmarkStart w:id="1237" w:name="_Toc418518375"/>
      <w:bookmarkStart w:id="1238" w:name="_Toc256000208"/>
      <w:bookmarkStart w:id="1239" w:name="_Toc497746810"/>
      <w:bookmarkStart w:id="1240" w:name="_Toc418061340"/>
      <w:bookmarkStart w:id="1241" w:name="_Toc418518139"/>
      <w:bookmarkStart w:id="1242" w:name="_Toc497747207"/>
      <w:bookmarkStart w:id="1243" w:name="_Toc522201758"/>
      <w:r>
        <w:rPr>
          <w:rFonts w:hint="eastAsia" w:ascii="宋体" w:cs="宋体"/>
          <w:color w:val="auto"/>
          <w:highlight w:val="none"/>
        </w:rPr>
        <w:t>7</w:t>
      </w:r>
      <w:bookmarkStart w:id="1244" w:name="_Toc300934973"/>
      <w:bookmarkStart w:id="1245" w:name="_Toc297216180"/>
      <w:bookmarkStart w:id="1246" w:name="_Toc312678017"/>
      <w:bookmarkStart w:id="1247" w:name="_Toc304295551"/>
      <w:bookmarkStart w:id="1248" w:name="_Toc303539130"/>
      <w:bookmarkStart w:id="1249" w:name="_Toc297123521"/>
      <w:r>
        <w:rPr>
          <w:rFonts w:hint="eastAsia" w:ascii="宋体" w:cs="宋体"/>
          <w:color w:val="auto"/>
          <w:highlight w:val="none"/>
        </w:rPr>
        <w:t>.7 异常恶劣的气候条件</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bookmarkEnd w:id="1244"/>
    <w:bookmarkEnd w:id="1245"/>
    <w:bookmarkEnd w:id="1246"/>
    <w:bookmarkEnd w:id="1247"/>
    <w:bookmarkEnd w:id="1248"/>
    <w:bookmarkEnd w:id="1249"/>
    <w:p w14:paraId="549C46B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342EC079">
      <w:pPr>
        <w:pStyle w:val="23"/>
        <w:spacing w:line="380" w:lineRule="exact"/>
        <w:ind w:firstLine="420" w:firstLineChars="200"/>
        <w:rPr>
          <w:rFonts w:ascii="宋体" w:hAnsi="宋体" w:cs="宋体"/>
          <w:color w:val="auto"/>
          <w:szCs w:val="21"/>
          <w:highlight w:val="none"/>
          <w:u w:val="single"/>
        </w:rPr>
      </w:pPr>
      <w:bookmarkStart w:id="1250" w:name="_Toc373227730"/>
      <w:bookmarkStart w:id="1251" w:name="_Toc418518140"/>
      <w:bookmarkStart w:id="1252" w:name="_Toc373478377"/>
      <w:bookmarkStart w:id="1253" w:name="_Toc497746811"/>
      <w:bookmarkStart w:id="1254" w:name="_Toc418518376"/>
      <w:bookmarkStart w:id="1255" w:name="_Toc403578964"/>
      <w:bookmarkStart w:id="1256" w:name="_Toc418751826"/>
      <w:bookmarkStart w:id="1257" w:name="_Toc418752272"/>
      <w:bookmarkStart w:id="1258" w:name="_Toc389065296"/>
      <w:bookmarkStart w:id="1259" w:name="_Toc418061341"/>
      <w:bookmarkStart w:id="1260" w:name="_Toc497747208"/>
      <w:r>
        <w:rPr>
          <w:rFonts w:hint="eastAsia" w:ascii="宋体" w:hAnsi="宋体" w:cs="宋体"/>
          <w:color w:val="auto"/>
          <w:szCs w:val="21"/>
          <w:highlight w:val="none"/>
        </w:rPr>
        <w:t>（1）</w:t>
      </w:r>
      <w:r>
        <w:rPr>
          <w:rFonts w:hint="eastAsia" w:ascii="宋体" w:hAnsi="宋体" w:cs="宋体"/>
          <w:color w:val="auto"/>
          <w:szCs w:val="21"/>
          <w:highlight w:val="none"/>
          <w:u w:val="single"/>
        </w:rPr>
        <w:t>10级以上持续1天的大风；</w:t>
      </w:r>
    </w:p>
    <w:p w14:paraId="3D1C3F73">
      <w:pPr>
        <w:pStyle w:val="23"/>
        <w:numPr>
          <w:ilvl w:val="0"/>
          <w:numId w:val="9"/>
        </w:num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暴雨级以上持续2天的大雨；</w:t>
      </w:r>
    </w:p>
    <w:p w14:paraId="2315139F">
      <w:pPr>
        <w:pStyle w:val="23"/>
        <w:numPr>
          <w:ilvl w:val="0"/>
          <w:numId w:val="9"/>
        </w:numPr>
        <w:spacing w:line="380" w:lineRule="exact"/>
        <w:ind w:firstLine="420" w:firstLineChars="200"/>
        <w:rPr>
          <w:rFonts w:ascii="宋体" w:hAnsi="宋体" w:cs="宋体"/>
          <w:color w:val="auto"/>
          <w:szCs w:val="21"/>
          <w:highlight w:val="none"/>
          <w:u w:val="single"/>
        </w:rPr>
      </w:pPr>
      <w:r>
        <w:rPr>
          <w:rFonts w:hint="eastAsia" w:ascii="宋体" w:hAnsi="宋体"/>
          <w:color w:val="auto"/>
          <w:szCs w:val="21"/>
          <w:highlight w:val="none"/>
          <w:u w:val="single"/>
        </w:rPr>
        <w:t>当地6级以上的破坏性地震；</w:t>
      </w:r>
    </w:p>
    <w:p w14:paraId="2DA784B8">
      <w:pPr>
        <w:pStyle w:val="23"/>
        <w:numPr>
          <w:ilvl w:val="0"/>
          <w:numId w:val="9"/>
        </w:num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50年以上未发生过的持续2天的高温天气；</w:t>
      </w:r>
    </w:p>
    <w:p w14:paraId="5429384E">
      <w:pPr>
        <w:pStyle w:val="23"/>
        <w:numPr>
          <w:ilvl w:val="0"/>
          <w:numId w:val="9"/>
        </w:num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50年以上未发生的持续2天的低温天气。</w:t>
      </w:r>
    </w:p>
    <w:p w14:paraId="6E42C75F">
      <w:pPr>
        <w:pStyle w:val="23"/>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u w:val="single"/>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14:paraId="32A896BB">
      <w:pPr>
        <w:pStyle w:val="23"/>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7.8暂停施工</w:t>
      </w:r>
    </w:p>
    <w:p w14:paraId="22F0E54C">
      <w:pPr>
        <w:pStyle w:val="43"/>
        <w:spacing w:line="380" w:lineRule="exact"/>
        <w:ind w:firstLine="0" w:firstLineChars="0"/>
        <w:rPr>
          <w:rFonts w:ascii="宋体" w:hAnsi="宋体" w:cs="宋体"/>
          <w:b/>
          <w:color w:val="auto"/>
          <w:highlight w:val="none"/>
        </w:rPr>
      </w:pPr>
      <w:r>
        <w:rPr>
          <w:rFonts w:hint="eastAsia" w:ascii="宋体" w:hAnsi="宋体" w:cs="宋体"/>
          <w:b/>
          <w:color w:val="auto"/>
          <w:highlight w:val="none"/>
        </w:rPr>
        <w:t>7.8.2承包人原因引起的暂停施工</w:t>
      </w:r>
    </w:p>
    <w:p w14:paraId="4A482CBC">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承包人承担暂停施工责任的其他情形：</w:t>
      </w:r>
      <w:r>
        <w:rPr>
          <w:rFonts w:hint="eastAsia" w:ascii="宋体" w:hAnsi="宋体" w:cs="宋体"/>
          <w:color w:val="auto"/>
          <w:szCs w:val="21"/>
          <w:highlight w:val="none"/>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7CF86956">
      <w:pPr>
        <w:pStyle w:val="43"/>
        <w:spacing w:line="380" w:lineRule="exact"/>
        <w:rPr>
          <w:rFonts w:ascii="宋体" w:hAnsi="宋体" w:cs="宋体"/>
          <w:color w:val="auto"/>
          <w:highlight w:val="none"/>
          <w:u w:val="single"/>
        </w:rPr>
      </w:pPr>
      <w:r>
        <w:rPr>
          <w:rFonts w:hint="eastAsia" w:ascii="宋体" w:hAnsi="宋体" w:cs="宋体"/>
          <w:color w:val="auto"/>
          <w:highlight w:val="none"/>
          <w:u w:val="single"/>
        </w:rPr>
        <w:t>因承包人责任暂停施工延误施工时机而导致遭遇不利条件物质条件和异常恶劣的气候条件、不可抗力造成的工期延误和费用增加由承包人承担。</w:t>
      </w:r>
    </w:p>
    <w:p w14:paraId="44757F87">
      <w:pPr>
        <w:pStyle w:val="43"/>
        <w:spacing w:line="380" w:lineRule="exact"/>
        <w:ind w:firstLine="0" w:firstLineChars="0"/>
        <w:rPr>
          <w:rFonts w:ascii="宋体" w:hAnsi="宋体" w:cs="宋体"/>
          <w:b/>
          <w:color w:val="auto"/>
          <w:highlight w:val="none"/>
        </w:rPr>
      </w:pPr>
      <w:r>
        <w:rPr>
          <w:rFonts w:hint="eastAsia" w:ascii="宋体" w:hAnsi="宋体" w:cs="宋体"/>
          <w:b/>
          <w:color w:val="auto"/>
          <w:highlight w:val="none"/>
        </w:rPr>
        <w:t>7.8.5暂停施工后的复工</w:t>
      </w:r>
    </w:p>
    <w:p w14:paraId="78FBCBB8">
      <w:pPr>
        <w:pStyle w:val="43"/>
        <w:spacing w:line="380" w:lineRule="exact"/>
        <w:rPr>
          <w:rFonts w:ascii="宋体" w:hAnsi="宋体" w:cs="宋体"/>
          <w:color w:val="auto"/>
          <w:highlight w:val="none"/>
        </w:rPr>
      </w:pPr>
      <w:r>
        <w:rPr>
          <w:rFonts w:hint="eastAsia" w:ascii="宋体" w:hAnsi="宋体" w:cs="宋体"/>
          <w:color w:val="auto"/>
          <w:highlight w:val="none"/>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D6C63A1">
      <w:pPr>
        <w:pStyle w:val="38"/>
        <w:spacing w:line="380" w:lineRule="exact"/>
        <w:ind w:firstLine="422" w:firstLineChars="200"/>
        <w:rPr>
          <w:rFonts w:ascii="宋体" w:cs="宋体"/>
          <w:color w:val="auto"/>
          <w:highlight w:val="none"/>
        </w:rPr>
      </w:pPr>
      <w:bookmarkStart w:id="1261" w:name="_Toc6583"/>
      <w:bookmarkStart w:id="1262" w:name="_Toc522201759"/>
      <w:bookmarkStart w:id="1263" w:name="_Toc256000209"/>
      <w:r>
        <w:rPr>
          <w:rFonts w:hint="eastAsia" w:ascii="宋体" w:cs="宋体"/>
          <w:color w:val="auto"/>
          <w:highlight w:val="none"/>
        </w:rPr>
        <w:t>7.9 提前竣工</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14:paraId="36BAC542">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EA85C72">
      <w:pPr>
        <w:pStyle w:val="38"/>
        <w:numPr>
          <w:ilvl w:val="0"/>
          <w:numId w:val="10"/>
        </w:numPr>
        <w:spacing w:line="380" w:lineRule="exact"/>
        <w:rPr>
          <w:rFonts w:ascii="宋体" w:cs="宋体"/>
          <w:color w:val="auto"/>
          <w:highlight w:val="none"/>
        </w:rPr>
      </w:pPr>
      <w:bookmarkStart w:id="1264" w:name="_Toc418752273"/>
      <w:bookmarkStart w:id="1265" w:name="_Toc351203640"/>
      <w:bookmarkStart w:id="1266" w:name="_Toc373227731"/>
      <w:bookmarkStart w:id="1267" w:name="_Toc497747209"/>
      <w:bookmarkStart w:id="1268" w:name="_Toc497746812"/>
      <w:bookmarkStart w:id="1269" w:name="_Toc256000210"/>
      <w:bookmarkStart w:id="1270" w:name="_Toc403578965"/>
      <w:bookmarkStart w:id="1271" w:name="_Toc522201760"/>
      <w:bookmarkStart w:id="1272" w:name="_Toc373478378"/>
      <w:bookmarkStart w:id="1273" w:name="_Toc11098"/>
      <w:bookmarkStart w:id="1274" w:name="_Toc418518377"/>
      <w:bookmarkStart w:id="1275" w:name="_Toc418061342"/>
      <w:bookmarkStart w:id="1276" w:name="_Toc418751827"/>
      <w:bookmarkStart w:id="1277" w:name="_Toc389065297"/>
      <w:bookmarkStart w:id="1278" w:name="_Toc418518141"/>
      <w:r>
        <w:rPr>
          <w:rFonts w:hint="eastAsia" w:ascii="宋体" w:cs="宋体"/>
          <w:color w:val="auto"/>
          <w:highlight w:val="none"/>
        </w:rPr>
        <w:t>材料与设备</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7320647C">
      <w:pPr>
        <w:pStyle w:val="43"/>
        <w:spacing w:line="380" w:lineRule="exact"/>
        <w:rPr>
          <w:rFonts w:ascii="宋体" w:hAnsi="宋体" w:cs="宋体"/>
          <w:color w:val="auto"/>
          <w:highlight w:val="none"/>
        </w:rPr>
      </w:pPr>
      <w:r>
        <w:rPr>
          <w:rFonts w:ascii="宋体" w:hAnsi="宋体" w:cs="宋体"/>
          <w:color w:val="auto"/>
          <w:highlight w:val="none"/>
        </w:rPr>
        <w:t>承包人采购材料和设备的约定：</w:t>
      </w:r>
    </w:p>
    <w:bookmarkEnd w:id="1020"/>
    <w:bookmarkEnd w:id="1021"/>
    <w:bookmarkEnd w:id="1022"/>
    <w:bookmarkEnd w:id="1023"/>
    <w:bookmarkEnd w:id="1024"/>
    <w:bookmarkEnd w:id="1025"/>
    <w:bookmarkEnd w:id="1026"/>
    <w:bookmarkEnd w:id="1027"/>
    <w:bookmarkEnd w:id="1028"/>
    <w:bookmarkEnd w:id="1029"/>
    <w:p w14:paraId="6B3FB4AF">
      <w:pPr>
        <w:pStyle w:val="38"/>
        <w:spacing w:line="380" w:lineRule="exact"/>
        <w:ind w:firstLine="422" w:firstLineChars="200"/>
        <w:rPr>
          <w:rFonts w:ascii="宋体" w:cs="宋体"/>
          <w:color w:val="auto"/>
          <w:highlight w:val="none"/>
        </w:rPr>
      </w:pPr>
      <w:bookmarkStart w:id="1279" w:name="_Toc497746813"/>
      <w:bookmarkStart w:id="1280" w:name="_Toc373478379"/>
      <w:bookmarkStart w:id="1281" w:name="_Toc522201761"/>
      <w:bookmarkStart w:id="1282" w:name="_Toc403578966"/>
      <w:bookmarkStart w:id="1283" w:name="_Toc418751828"/>
      <w:bookmarkStart w:id="1284" w:name="_Toc418061343"/>
      <w:bookmarkStart w:id="1285" w:name="_Toc389065298"/>
      <w:bookmarkStart w:id="1286" w:name="_Toc418518142"/>
      <w:bookmarkStart w:id="1287" w:name="_Toc373227732"/>
      <w:bookmarkStart w:id="1288" w:name="_Toc418752274"/>
      <w:bookmarkStart w:id="1289" w:name="_Toc497747210"/>
      <w:bookmarkStart w:id="1290" w:name="_Toc418518378"/>
      <w:bookmarkStart w:id="1291" w:name="_Toc256000211"/>
      <w:bookmarkStart w:id="1292" w:name="_Toc3719"/>
      <w:r>
        <w:rPr>
          <w:rFonts w:hint="eastAsia" w:ascii="宋体" w:cs="宋体"/>
          <w:color w:val="auto"/>
          <w:highlight w:val="none"/>
        </w:rPr>
        <w:t>8.2 承包人采购材料与工程设备</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2C2D4DEE">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Cs w:val="21"/>
          <w:highlight w:val="none"/>
        </w:rPr>
        <w:t>承包人提供主要材料和工程设备一览表》</w:t>
      </w:r>
      <w:r>
        <w:rPr>
          <w:rFonts w:hint="eastAsia" w:ascii="宋体" w:hAnsi="宋体" w:cs="宋体"/>
          <w:color w:val="auto"/>
          <w:kern w:val="0"/>
          <w:szCs w:val="21"/>
          <w:highlight w:val="none"/>
        </w:rPr>
        <w:t>（表-22）见已标价工程量清单。</w:t>
      </w:r>
    </w:p>
    <w:p w14:paraId="275557F0">
      <w:pPr>
        <w:pStyle w:val="38"/>
        <w:spacing w:line="380" w:lineRule="exact"/>
        <w:ind w:firstLine="422" w:firstLineChars="200"/>
        <w:rPr>
          <w:rFonts w:ascii="宋体" w:cs="宋体"/>
          <w:color w:val="auto"/>
          <w:highlight w:val="none"/>
        </w:rPr>
      </w:pPr>
      <w:bookmarkStart w:id="1293" w:name="_Toc522201762"/>
      <w:bookmarkStart w:id="1294" w:name="_Toc497747211"/>
      <w:bookmarkStart w:id="1295" w:name="_Toc418061344"/>
      <w:bookmarkStart w:id="1296" w:name="_Toc23212"/>
      <w:bookmarkStart w:id="1297" w:name="_Toc418751829"/>
      <w:bookmarkStart w:id="1298" w:name="_Toc497746814"/>
      <w:bookmarkStart w:id="1299" w:name="_Toc389065299"/>
      <w:bookmarkStart w:id="1300" w:name="_Toc256000212"/>
      <w:bookmarkStart w:id="1301" w:name="_Toc373478380"/>
      <w:bookmarkStart w:id="1302" w:name="_Toc418518143"/>
      <w:bookmarkStart w:id="1303" w:name="_Toc418752275"/>
      <w:bookmarkStart w:id="1304" w:name="_Toc373227733"/>
      <w:bookmarkStart w:id="1305" w:name="_Toc418518379"/>
      <w:bookmarkStart w:id="1306" w:name="_Toc403578967"/>
      <w:r>
        <w:rPr>
          <w:rFonts w:hint="eastAsia" w:ascii="宋体" w:cs="宋体"/>
          <w:color w:val="auto"/>
          <w:highlight w:val="none"/>
        </w:rPr>
        <w:t>8</w:t>
      </w:r>
      <w:bookmarkStart w:id="1307" w:name="_Toc296346668"/>
      <w:bookmarkStart w:id="1308" w:name="_Toc292559372"/>
      <w:bookmarkStart w:id="1309" w:name="_Toc297123527"/>
      <w:bookmarkStart w:id="1310" w:name="_Toc312677493"/>
      <w:bookmarkStart w:id="1311" w:name="_Toc296891207"/>
      <w:bookmarkStart w:id="1312" w:name="_Toc292559877"/>
      <w:bookmarkStart w:id="1313" w:name="_Toc297120467"/>
      <w:bookmarkStart w:id="1314" w:name="_Toc303539136"/>
      <w:bookmarkStart w:id="1315" w:name="_Toc300934979"/>
      <w:bookmarkStart w:id="1316" w:name="_Toc296347166"/>
      <w:bookmarkStart w:id="1317" w:name="_Toc312678019"/>
      <w:bookmarkStart w:id="1318" w:name="_Toc296890995"/>
      <w:bookmarkStart w:id="1319" w:name="_Toc297048353"/>
      <w:bookmarkStart w:id="1320" w:name="_Toc296503167"/>
      <w:bookmarkStart w:id="1321" w:name="_Toc280868654"/>
      <w:bookmarkStart w:id="1322" w:name="_Toc304295556"/>
      <w:bookmarkStart w:id="1323" w:name="_Toc296944506"/>
      <w:bookmarkStart w:id="1324" w:name="_Toc297216186"/>
      <w:bookmarkStart w:id="1325" w:name="_Toc280868655"/>
      <w:bookmarkStart w:id="1326" w:name="_Toc267251424"/>
      <w:bookmarkStart w:id="1327" w:name="_Toc280868656"/>
      <w:r>
        <w:rPr>
          <w:rFonts w:hint="eastAsia" w:ascii="宋体" w:cs="宋体"/>
          <w:color w:val="auto"/>
          <w:highlight w:val="none"/>
        </w:rPr>
        <w:t>.4 材料与工程设备的保管与使用</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14:paraId="62FD02FD">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8</w:t>
      </w:r>
      <w:bookmarkStart w:id="1328" w:name="_Toc292559878"/>
      <w:bookmarkStart w:id="1329" w:name="_Toc292559373"/>
      <w:bookmarkStart w:id="1330" w:name="_Toc296890996"/>
      <w:bookmarkStart w:id="1331" w:name="_Toc297120468"/>
      <w:bookmarkStart w:id="1332" w:name="_Toc296347167"/>
      <w:bookmarkStart w:id="1333" w:name="_Toc296346669"/>
      <w:bookmarkStart w:id="1334" w:name="_Toc300934980"/>
      <w:bookmarkStart w:id="1335" w:name="_Toc297048354"/>
      <w:bookmarkStart w:id="1336" w:name="_Toc318581173"/>
      <w:bookmarkStart w:id="1337" w:name="_Toc296944507"/>
      <w:bookmarkStart w:id="1338" w:name="_Toc297216187"/>
      <w:bookmarkStart w:id="1339" w:name="_Toc296891208"/>
      <w:bookmarkStart w:id="1340" w:name="_Toc296503168"/>
      <w:bookmarkStart w:id="1341" w:name="_Toc304295557"/>
      <w:bookmarkStart w:id="1342" w:name="_Toc297123528"/>
      <w:bookmarkStart w:id="1343" w:name="_Toc303539137"/>
      <w:bookmarkStart w:id="1344" w:name="_Toc312677494"/>
      <w:bookmarkStart w:id="1345" w:name="_Toc312678020"/>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发包人供应的材料和设备经三方验收合格后，保管费用由承包人承担</w:t>
      </w:r>
      <w:r>
        <w:rPr>
          <w:rFonts w:hint="eastAsia" w:ascii="宋体" w:hAnsi="宋体" w:cs="宋体"/>
          <w:color w:val="auto"/>
          <w:szCs w:val="21"/>
          <w:highlight w:val="none"/>
        </w:rPr>
        <w:t>。</w:t>
      </w:r>
    </w:p>
    <w:bookmarkEnd w:id="1328"/>
    <w:bookmarkEnd w:id="1329"/>
    <w:p w14:paraId="5C43E3D7">
      <w:pPr>
        <w:pStyle w:val="38"/>
        <w:spacing w:line="380" w:lineRule="exact"/>
        <w:ind w:firstLine="422" w:firstLineChars="200"/>
        <w:rPr>
          <w:rFonts w:ascii="宋体" w:cs="宋体"/>
          <w:color w:val="auto"/>
          <w:highlight w:val="none"/>
        </w:rPr>
      </w:pPr>
      <w:bookmarkStart w:id="1346" w:name="_Toc7018"/>
      <w:bookmarkStart w:id="1347" w:name="_Toc373227734"/>
      <w:bookmarkStart w:id="1348" w:name="_Toc418751830"/>
      <w:bookmarkStart w:id="1349" w:name="_Toc256000213"/>
      <w:bookmarkStart w:id="1350" w:name="_Toc389065300"/>
      <w:bookmarkStart w:id="1351" w:name="_Toc497746815"/>
      <w:bookmarkStart w:id="1352" w:name="_Toc522201763"/>
      <w:bookmarkStart w:id="1353" w:name="_Toc373478381"/>
      <w:bookmarkStart w:id="1354" w:name="_Toc418518144"/>
      <w:bookmarkStart w:id="1355" w:name="_Toc497747212"/>
      <w:bookmarkStart w:id="1356" w:name="_Toc418061345"/>
      <w:bookmarkStart w:id="1357" w:name="_Toc403578968"/>
      <w:bookmarkStart w:id="1358" w:name="_Toc418752276"/>
      <w:bookmarkStart w:id="1359" w:name="_Toc418518380"/>
      <w:r>
        <w:rPr>
          <w:rFonts w:hint="eastAsia" w:ascii="宋体" w:cs="宋体"/>
          <w:color w:val="auto"/>
          <w:highlight w:val="none"/>
        </w:rPr>
        <w:t>8.6 样品</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68308F61">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43C61340">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14:paraId="62A932CC">
      <w:pPr>
        <w:pStyle w:val="38"/>
        <w:spacing w:line="380" w:lineRule="exact"/>
        <w:ind w:firstLine="422" w:firstLineChars="200"/>
        <w:rPr>
          <w:rFonts w:ascii="宋体" w:cs="宋体"/>
          <w:color w:val="auto"/>
          <w:highlight w:val="none"/>
        </w:rPr>
      </w:pPr>
      <w:bookmarkStart w:id="1360" w:name="_Toc522201764"/>
      <w:bookmarkStart w:id="1361" w:name="_Toc403578969"/>
      <w:bookmarkStart w:id="1362" w:name="_Toc418061346"/>
      <w:bookmarkStart w:id="1363" w:name="_Toc497746816"/>
      <w:bookmarkStart w:id="1364" w:name="_Toc256000214"/>
      <w:bookmarkStart w:id="1365" w:name="_Toc418752277"/>
      <w:bookmarkStart w:id="1366" w:name="_Toc5914"/>
      <w:bookmarkStart w:id="1367" w:name="_Toc418751831"/>
      <w:bookmarkStart w:id="1368" w:name="_Toc497747213"/>
      <w:bookmarkStart w:id="1369" w:name="_Toc418518381"/>
      <w:bookmarkStart w:id="1370" w:name="_Toc389065301"/>
      <w:bookmarkStart w:id="1371" w:name="_Toc373478382"/>
      <w:bookmarkStart w:id="1372" w:name="_Toc418518145"/>
      <w:bookmarkStart w:id="1373" w:name="_Toc373227735"/>
      <w:r>
        <w:rPr>
          <w:rFonts w:hint="eastAsia" w:ascii="宋体" w:cs="宋体"/>
          <w:color w:val="auto"/>
          <w:highlight w:val="none"/>
        </w:rPr>
        <w:t>8.8 施工设备和临时设施</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71579412">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003D2880">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15C37C85">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p>
    <w:p w14:paraId="519179CF">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①承包人的临时用地（含项目部驻地等）租用费（含拆迁补偿）、临时用地的环保、恢复、临时用地的青苗补偿及地面附着物拆除等费用均由承包人负责，以上费用在投标报价中综合考虑。 </w:t>
      </w:r>
    </w:p>
    <w:p w14:paraId="30CA07DF">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②承包人负责合同实施期间其合同段内临时交通道路和交通设施的修建、维修、养护和交通管理工作，并承担一切费用。 </w:t>
      </w:r>
    </w:p>
    <w:p w14:paraId="1BA86DA5">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2A259AD1">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303C19D3">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35F0702C">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77C73D6">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14:paraId="60772E62">
      <w:pPr>
        <w:pStyle w:val="38"/>
        <w:spacing w:line="380" w:lineRule="exact"/>
        <w:rPr>
          <w:rFonts w:ascii="宋体" w:cs="宋体"/>
          <w:color w:val="auto"/>
          <w:highlight w:val="none"/>
        </w:rPr>
      </w:pPr>
      <w:bookmarkStart w:id="1374" w:name="_Toc351203641"/>
      <w:bookmarkStart w:id="1375" w:name="_Toc522201765"/>
      <w:bookmarkStart w:id="1376" w:name="_Toc418061347"/>
      <w:bookmarkStart w:id="1377" w:name="_Toc256000215"/>
      <w:bookmarkStart w:id="1378" w:name="_Toc497747214"/>
      <w:bookmarkStart w:id="1379" w:name="_Toc418518382"/>
      <w:bookmarkStart w:id="1380" w:name="_Toc418752278"/>
      <w:bookmarkStart w:id="1381" w:name="_Toc389065302"/>
      <w:bookmarkStart w:id="1382" w:name="_Toc403578970"/>
      <w:bookmarkStart w:id="1383" w:name="_Toc373478383"/>
      <w:bookmarkStart w:id="1384" w:name="_Toc418751832"/>
      <w:bookmarkStart w:id="1385" w:name="_Toc497746817"/>
      <w:bookmarkStart w:id="1386" w:name="_Toc8701"/>
      <w:bookmarkStart w:id="1387" w:name="_Toc418518146"/>
      <w:bookmarkStart w:id="1388" w:name="_Toc373227736"/>
      <w:r>
        <w:rPr>
          <w:rFonts w:hint="eastAsia" w:ascii="宋体" w:cs="宋体"/>
          <w:color w:val="auto"/>
          <w:highlight w:val="none"/>
        </w:rPr>
        <w:t>9</w:t>
      </w:r>
      <w:bookmarkEnd w:id="1325"/>
      <w:bookmarkEnd w:id="1326"/>
      <w:bookmarkEnd w:id="1327"/>
      <w:bookmarkStart w:id="1389" w:name="_Toc312678021"/>
      <w:bookmarkStart w:id="1390" w:name="_Toc304295559"/>
      <w:bookmarkStart w:id="1391" w:name="_Toc300934982"/>
      <w:bookmarkStart w:id="1392" w:name="_Toc312677495"/>
      <w:bookmarkStart w:id="1393" w:name="_Toc303539139"/>
      <w:bookmarkStart w:id="1394" w:name="_Toc297123533"/>
      <w:bookmarkStart w:id="1395" w:name="_Toc297216192"/>
      <w:bookmarkStart w:id="1396" w:name="_Toc292559883"/>
      <w:bookmarkStart w:id="1397" w:name="_Toc296503173"/>
      <w:bookmarkStart w:id="1398" w:name="_Toc296891213"/>
      <w:bookmarkStart w:id="1399" w:name="_Toc297120473"/>
      <w:bookmarkStart w:id="1400" w:name="_Toc267251428"/>
      <w:bookmarkStart w:id="1401" w:name="_Toc296347172"/>
      <w:bookmarkStart w:id="1402" w:name="_Toc296346674"/>
      <w:bookmarkStart w:id="1403" w:name="_Toc292559378"/>
      <w:bookmarkStart w:id="1404" w:name="_Toc296891001"/>
      <w:bookmarkStart w:id="1405" w:name="_Toc296944512"/>
      <w:bookmarkStart w:id="1406" w:name="_Toc267251427"/>
      <w:bookmarkStart w:id="1407" w:name="_Toc297048359"/>
      <w:r>
        <w:rPr>
          <w:rFonts w:hint="eastAsia" w:ascii="宋体" w:cs="宋体"/>
          <w:color w:val="auto"/>
          <w:highlight w:val="none"/>
        </w:rPr>
        <w:t>. 试验与检验</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bookmarkEnd w:id="1389"/>
    <w:bookmarkEnd w:id="1390"/>
    <w:bookmarkEnd w:id="1391"/>
    <w:bookmarkEnd w:id="1392"/>
    <w:bookmarkEnd w:id="1393"/>
    <w:bookmarkEnd w:id="1394"/>
    <w:bookmarkEnd w:id="1395"/>
    <w:p w14:paraId="2D26FB33">
      <w:pPr>
        <w:pStyle w:val="38"/>
        <w:spacing w:line="380" w:lineRule="exact"/>
        <w:ind w:firstLine="422" w:firstLineChars="200"/>
        <w:rPr>
          <w:rFonts w:ascii="宋体" w:cs="宋体"/>
          <w:color w:val="auto"/>
          <w:highlight w:val="none"/>
        </w:rPr>
      </w:pPr>
      <w:bookmarkStart w:id="1408" w:name="_Toc418751833"/>
      <w:bookmarkStart w:id="1409" w:name="_Toc418518383"/>
      <w:bookmarkStart w:id="1410" w:name="_Toc497747215"/>
      <w:bookmarkStart w:id="1411" w:name="_Toc497746818"/>
      <w:bookmarkStart w:id="1412" w:name="_Toc522201766"/>
      <w:bookmarkStart w:id="1413" w:name="_Toc256000216"/>
      <w:bookmarkStart w:id="1414" w:name="_Toc389065303"/>
      <w:bookmarkStart w:id="1415" w:name="_Toc418518147"/>
      <w:bookmarkStart w:id="1416" w:name="_Toc8303"/>
      <w:bookmarkStart w:id="1417" w:name="_Toc373478384"/>
      <w:bookmarkStart w:id="1418" w:name="_Toc418752279"/>
      <w:bookmarkStart w:id="1419" w:name="_Toc418061348"/>
      <w:bookmarkStart w:id="1420" w:name="_Toc403578971"/>
      <w:bookmarkStart w:id="1421" w:name="_Toc373227737"/>
      <w:r>
        <w:rPr>
          <w:rFonts w:hint="eastAsia" w:ascii="宋体" w:cs="宋体"/>
          <w:color w:val="auto"/>
          <w:highlight w:val="none"/>
        </w:rPr>
        <w:t>9</w:t>
      </w:r>
      <w:bookmarkStart w:id="1422" w:name="_Toc304295560"/>
      <w:bookmarkStart w:id="1423" w:name="_Toc297123534"/>
      <w:bookmarkStart w:id="1424" w:name="_Toc297216193"/>
      <w:bookmarkStart w:id="1425" w:name="_Toc312677496"/>
      <w:bookmarkStart w:id="1426" w:name="_Toc300934983"/>
      <w:bookmarkStart w:id="1427" w:name="_Toc312678022"/>
      <w:bookmarkStart w:id="1428" w:name="_Toc303539140"/>
      <w:r>
        <w:rPr>
          <w:rFonts w:hint="eastAsia" w:ascii="宋体" w:cs="宋体"/>
          <w:color w:val="auto"/>
          <w:highlight w:val="none"/>
        </w:rPr>
        <w:t>.1 试验设备与试验人员</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bookmarkEnd w:id="1422"/>
    <w:bookmarkEnd w:id="1423"/>
    <w:bookmarkEnd w:id="1424"/>
    <w:bookmarkEnd w:id="1425"/>
    <w:bookmarkEnd w:id="1426"/>
    <w:bookmarkEnd w:id="1427"/>
    <w:bookmarkEnd w:id="1428"/>
    <w:p w14:paraId="4E16C6A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1429" w:name="_Toc300934984"/>
      <w:bookmarkStart w:id="1430" w:name="_Toc304295561"/>
      <w:bookmarkStart w:id="1431" w:name="_Toc297216194"/>
      <w:bookmarkStart w:id="1432" w:name="_Toc303539141"/>
      <w:bookmarkStart w:id="1433" w:name="_Toc297123535"/>
      <w:bookmarkStart w:id="1434" w:name="_Toc312677497"/>
      <w:bookmarkStart w:id="1435" w:name="_Toc312678023"/>
      <w:bookmarkStart w:id="1436" w:name="_Toc318581174"/>
      <w:r>
        <w:rPr>
          <w:rFonts w:hint="eastAsia" w:ascii="宋体" w:hAnsi="宋体" w:cs="宋体"/>
          <w:color w:val="auto"/>
          <w:szCs w:val="21"/>
          <w:highlight w:val="none"/>
        </w:rPr>
        <w:t>.1.2 试验设备</w:t>
      </w:r>
    </w:p>
    <w:bookmarkEnd w:id="1429"/>
    <w:bookmarkEnd w:id="1430"/>
    <w:bookmarkEnd w:id="1431"/>
    <w:bookmarkEnd w:id="1432"/>
    <w:bookmarkEnd w:id="1433"/>
    <w:bookmarkEnd w:id="1434"/>
    <w:bookmarkEnd w:id="1435"/>
    <w:p w14:paraId="53C76A69">
      <w:pPr>
        <w:pStyle w:val="23"/>
        <w:spacing w:line="380" w:lineRule="exact"/>
        <w:ind w:firstLine="420" w:firstLineChars="200"/>
        <w:jc w:val="left"/>
        <w:rPr>
          <w:rFonts w:ascii="宋体" w:hAnsi="宋体" w:cs="宋体"/>
          <w:color w:val="auto"/>
          <w:szCs w:val="21"/>
          <w:highlight w:val="none"/>
        </w:rPr>
      </w:pPr>
      <w:bookmarkStart w:id="1437" w:name="_Toc304295562"/>
      <w:bookmarkStart w:id="1438" w:name="_Toc312678024"/>
      <w:bookmarkStart w:id="1439" w:name="_Toc300934985"/>
      <w:bookmarkStart w:id="1440" w:name="_Toc297216195"/>
      <w:bookmarkStart w:id="1441" w:name="_Toc297123536"/>
      <w:bookmarkStart w:id="1442" w:name="_Toc303539142"/>
      <w:bookmarkStart w:id="1443" w:name="_Toc312677498"/>
      <w:r>
        <w:rPr>
          <w:rFonts w:hint="eastAsia" w:ascii="宋体" w:hAnsi="宋体" w:cs="宋体"/>
          <w:color w:val="auto"/>
          <w:szCs w:val="21"/>
          <w:highlight w:val="none"/>
        </w:rPr>
        <w:t>施工现场需要配置的试验场所：</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 xml:space="preserve">。 </w:t>
      </w:r>
    </w:p>
    <w:p w14:paraId="65DE733D">
      <w:pPr>
        <w:pStyle w:val="23"/>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施工现场需要配备的试验设备：</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w:t>
      </w:r>
    </w:p>
    <w:p w14:paraId="736067D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w:t>
      </w:r>
    </w:p>
    <w:p w14:paraId="7C1CB2C1">
      <w:pPr>
        <w:pStyle w:val="38"/>
        <w:spacing w:line="380" w:lineRule="exact"/>
        <w:ind w:firstLine="422" w:firstLineChars="200"/>
        <w:rPr>
          <w:rFonts w:ascii="宋体" w:cs="宋体"/>
          <w:color w:val="auto"/>
          <w:highlight w:val="none"/>
        </w:rPr>
      </w:pPr>
      <w:bookmarkStart w:id="1444" w:name="_Toc389065304"/>
      <w:bookmarkStart w:id="1445" w:name="_Toc497747216"/>
      <w:bookmarkStart w:id="1446" w:name="_Toc373478385"/>
      <w:bookmarkStart w:id="1447" w:name="_Toc15606"/>
      <w:bookmarkStart w:id="1448" w:name="_Toc418752280"/>
      <w:bookmarkStart w:id="1449" w:name="_Toc418518148"/>
      <w:bookmarkStart w:id="1450" w:name="_Toc403578972"/>
      <w:bookmarkStart w:id="1451" w:name="_Toc418061349"/>
      <w:bookmarkStart w:id="1452" w:name="_Toc497746819"/>
      <w:bookmarkStart w:id="1453" w:name="_Toc373227738"/>
      <w:bookmarkStart w:id="1454" w:name="_Toc522201767"/>
      <w:bookmarkStart w:id="1455" w:name="_Toc418751834"/>
      <w:bookmarkStart w:id="1456" w:name="_Toc418518384"/>
      <w:bookmarkStart w:id="1457" w:name="_Toc256000217"/>
      <w:r>
        <w:rPr>
          <w:rFonts w:hint="eastAsia" w:ascii="宋体" w:cs="宋体"/>
          <w:color w:val="auto"/>
          <w:highlight w:val="none"/>
        </w:rPr>
        <w:t>9.4 现场工艺试验</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r>
        <w:rPr>
          <w:rFonts w:hint="eastAsia" w:ascii="宋体" w:cs="宋体"/>
          <w:color w:val="auto"/>
          <w:highlight w:val="none"/>
        </w:rPr>
        <w:t xml:space="preserve"> </w:t>
      </w:r>
    </w:p>
    <w:p w14:paraId="519E058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按通用条款执行</w:t>
      </w:r>
      <w:r>
        <w:rPr>
          <w:rFonts w:hint="eastAsia" w:ascii="宋体" w:hAnsi="宋体" w:cs="宋体"/>
          <w:color w:val="auto"/>
          <w:szCs w:val="21"/>
          <w:highlight w:val="none"/>
        </w:rPr>
        <w:t>。</w:t>
      </w:r>
      <w:bookmarkStart w:id="1458" w:name="_Toc406522259"/>
      <w:bookmarkStart w:id="1459" w:name="_Toc406420990"/>
      <w:bookmarkStart w:id="1460" w:name="_Toc395382541"/>
      <w:bookmarkStart w:id="1461" w:name="OLE_LINK1"/>
    </w:p>
    <w:p w14:paraId="66464897">
      <w:pPr>
        <w:pStyle w:val="23"/>
        <w:spacing w:line="3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9.5 检验费用</w:t>
      </w:r>
      <w:bookmarkEnd w:id="1458"/>
      <w:bookmarkEnd w:id="1459"/>
      <w:bookmarkEnd w:id="1460"/>
    </w:p>
    <w:p w14:paraId="55DF990D">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规定，工程质量检测业务由发包人委托有相应资质的检测机构检测。费用从发包人的项目建设经费中支出并直接支付给检测机构，不计入合同价款内。</w:t>
      </w:r>
      <w:bookmarkEnd w:id="1461"/>
    </w:p>
    <w:bookmarkEnd w:id="1436"/>
    <w:bookmarkEnd w:id="1437"/>
    <w:bookmarkEnd w:id="1438"/>
    <w:bookmarkEnd w:id="1439"/>
    <w:bookmarkEnd w:id="1440"/>
    <w:bookmarkEnd w:id="1441"/>
    <w:bookmarkEnd w:id="1442"/>
    <w:bookmarkEnd w:id="1443"/>
    <w:p w14:paraId="07BEAE5B">
      <w:pPr>
        <w:pStyle w:val="38"/>
        <w:spacing w:line="380" w:lineRule="exact"/>
        <w:rPr>
          <w:rFonts w:ascii="宋体" w:cs="宋体"/>
          <w:color w:val="auto"/>
          <w:highlight w:val="none"/>
        </w:rPr>
      </w:pPr>
      <w:bookmarkStart w:id="1462" w:name="_Toc373478386"/>
      <w:bookmarkStart w:id="1463" w:name="_Toc497746821"/>
      <w:bookmarkStart w:id="1464" w:name="_Toc497747218"/>
      <w:bookmarkStart w:id="1465" w:name="_Toc403578974"/>
      <w:bookmarkStart w:id="1466" w:name="_Toc58"/>
      <w:bookmarkStart w:id="1467" w:name="_Toc418751836"/>
      <w:bookmarkStart w:id="1468" w:name="_Toc418518150"/>
      <w:bookmarkStart w:id="1469" w:name="_Toc418061351"/>
      <w:bookmarkStart w:id="1470" w:name="_Toc389065305"/>
      <w:bookmarkStart w:id="1471" w:name="_Toc351203642"/>
      <w:bookmarkStart w:id="1472" w:name="_Toc418752282"/>
      <w:bookmarkStart w:id="1473" w:name="_Toc256000218"/>
      <w:bookmarkStart w:id="1474" w:name="_Toc418518386"/>
      <w:bookmarkStart w:id="1475" w:name="_Toc522201768"/>
      <w:bookmarkStart w:id="1476" w:name="_Toc373227739"/>
      <w:r>
        <w:rPr>
          <w:rFonts w:hint="eastAsia" w:ascii="宋体" w:cs="宋体"/>
          <w:color w:val="auto"/>
          <w:highlight w:val="none"/>
        </w:rPr>
        <w:t>1</w:t>
      </w:r>
      <w:bookmarkEnd w:id="1396"/>
      <w:bookmarkEnd w:id="1397"/>
      <w:bookmarkEnd w:id="1398"/>
      <w:bookmarkEnd w:id="1399"/>
      <w:bookmarkEnd w:id="1400"/>
      <w:bookmarkEnd w:id="1401"/>
      <w:bookmarkEnd w:id="1402"/>
      <w:bookmarkEnd w:id="1403"/>
      <w:bookmarkEnd w:id="1404"/>
      <w:bookmarkEnd w:id="1405"/>
      <w:bookmarkEnd w:id="1406"/>
      <w:bookmarkEnd w:id="1407"/>
      <w:bookmarkStart w:id="1477" w:name="_Toc300934989"/>
      <w:bookmarkStart w:id="1478" w:name="_Toc296891021"/>
      <w:bookmarkStart w:id="1479" w:name="_Toc296347192"/>
      <w:bookmarkStart w:id="1480" w:name="_Toc296944532"/>
      <w:bookmarkStart w:id="1481" w:name="_Toc296503193"/>
      <w:bookmarkStart w:id="1482" w:name="_Toc292559398"/>
      <w:bookmarkStart w:id="1483" w:name="_Toc297123540"/>
      <w:bookmarkStart w:id="1484" w:name="_Toc297120493"/>
      <w:bookmarkStart w:id="1485" w:name="_Toc297216199"/>
      <w:bookmarkStart w:id="1486" w:name="_Toc292559903"/>
      <w:bookmarkStart w:id="1487" w:name="_Toc296891233"/>
      <w:bookmarkStart w:id="1488" w:name="_Toc304295566"/>
      <w:bookmarkStart w:id="1489" w:name="_Toc297048379"/>
      <w:bookmarkStart w:id="1490" w:name="_Toc296346694"/>
      <w:bookmarkStart w:id="1491" w:name="_Toc303539146"/>
      <w:bookmarkStart w:id="1492" w:name="_Toc312677499"/>
      <w:bookmarkStart w:id="1493" w:name="_Toc312678025"/>
      <w:bookmarkStart w:id="1494" w:name="_Toc267251433"/>
      <w:bookmarkStart w:id="1495" w:name="_Toc267251437"/>
      <w:bookmarkStart w:id="1496" w:name="_Toc267251435"/>
      <w:bookmarkStart w:id="1497" w:name="_Toc267251441"/>
      <w:bookmarkStart w:id="1498" w:name="_Toc267251439"/>
      <w:bookmarkStart w:id="1499" w:name="_Toc267251440"/>
      <w:bookmarkStart w:id="1500" w:name="_Toc267251442"/>
      <w:r>
        <w:rPr>
          <w:rFonts w:hint="eastAsia" w:ascii="宋体" w:cs="宋体"/>
          <w:color w:val="auto"/>
          <w:highlight w:val="none"/>
        </w:rPr>
        <w:t>0. 变更</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bookmarkEnd w:id="1492"/>
    <w:bookmarkEnd w:id="1493"/>
    <w:p w14:paraId="404C89A4">
      <w:pPr>
        <w:pStyle w:val="38"/>
        <w:spacing w:line="380" w:lineRule="exact"/>
        <w:ind w:firstLine="422" w:firstLineChars="200"/>
        <w:rPr>
          <w:rFonts w:ascii="宋体" w:cs="宋体"/>
          <w:color w:val="auto"/>
          <w:highlight w:val="none"/>
        </w:rPr>
      </w:pPr>
      <w:bookmarkStart w:id="1501" w:name="_Toc522201769"/>
      <w:bookmarkStart w:id="1502" w:name="_Toc373227740"/>
      <w:bookmarkStart w:id="1503" w:name="_Toc418518387"/>
      <w:bookmarkStart w:id="1504" w:name="_Toc418751837"/>
      <w:bookmarkStart w:id="1505" w:name="_Toc403578975"/>
      <w:bookmarkStart w:id="1506" w:name="_Toc418518151"/>
      <w:bookmarkStart w:id="1507" w:name="_Toc497747219"/>
      <w:bookmarkStart w:id="1508" w:name="_Toc418061352"/>
      <w:bookmarkStart w:id="1509" w:name="_Toc256000219"/>
      <w:bookmarkStart w:id="1510" w:name="_Toc389065306"/>
      <w:bookmarkStart w:id="1511" w:name="_Toc373478387"/>
      <w:bookmarkStart w:id="1512" w:name="_Toc2710"/>
      <w:bookmarkStart w:id="1513" w:name="_Toc497746822"/>
      <w:bookmarkStart w:id="1514" w:name="_Toc418752283"/>
      <w:r>
        <w:rPr>
          <w:rFonts w:hint="eastAsia" w:ascii="宋体" w:cs="宋体"/>
          <w:color w:val="auto"/>
          <w:highlight w:val="none"/>
        </w:rPr>
        <w:t>1</w:t>
      </w:r>
      <w:bookmarkStart w:id="1515" w:name="_Toc296891234"/>
      <w:bookmarkStart w:id="1516" w:name="_Toc296503194"/>
      <w:bookmarkStart w:id="1517" w:name="_Toc297048380"/>
      <w:bookmarkStart w:id="1518" w:name="_Toc296944533"/>
      <w:bookmarkStart w:id="1519" w:name="_Toc297216200"/>
      <w:bookmarkStart w:id="1520" w:name="_Toc312678026"/>
      <w:bookmarkStart w:id="1521" w:name="_Toc296347193"/>
      <w:bookmarkStart w:id="1522" w:name="_Toc303539147"/>
      <w:bookmarkStart w:id="1523" w:name="_Toc296346695"/>
      <w:bookmarkStart w:id="1524" w:name="_Toc300934990"/>
      <w:bookmarkStart w:id="1525" w:name="_Toc292559904"/>
      <w:bookmarkStart w:id="1526" w:name="_Toc296891022"/>
      <w:bookmarkStart w:id="1527" w:name="_Toc297120494"/>
      <w:bookmarkStart w:id="1528" w:name="_Toc304295567"/>
      <w:bookmarkStart w:id="1529" w:name="_Toc292559399"/>
      <w:bookmarkStart w:id="1530" w:name="_Toc312677500"/>
      <w:bookmarkStart w:id="1531" w:name="_Toc297123541"/>
      <w:r>
        <w:rPr>
          <w:rFonts w:hint="eastAsia" w:ascii="宋体" w:cs="宋体"/>
          <w:color w:val="auto"/>
          <w:highlight w:val="none"/>
        </w:rPr>
        <w:t>0.1 变更的范围</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14:paraId="4D7BFFFE">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cs="宋体"/>
          <w:color w:val="auto"/>
          <w:szCs w:val="21"/>
          <w:highlight w:val="none"/>
        </w:rPr>
        <w:t>。</w:t>
      </w:r>
      <w:bookmarkStart w:id="1532" w:name="_Toc389065307"/>
      <w:bookmarkStart w:id="1533" w:name="_Toc395382544"/>
      <w:bookmarkStart w:id="1534" w:name="_Toc373478388"/>
      <w:bookmarkStart w:id="1535" w:name="_Toc406522262"/>
      <w:bookmarkStart w:id="1536" w:name="_Toc373227741"/>
    </w:p>
    <w:p w14:paraId="1D6D835D">
      <w:pPr>
        <w:pStyle w:val="38"/>
        <w:spacing w:line="380" w:lineRule="exact"/>
        <w:ind w:firstLine="422" w:firstLineChars="200"/>
        <w:rPr>
          <w:rFonts w:ascii="宋体" w:cs="宋体"/>
          <w:color w:val="auto"/>
          <w:highlight w:val="none"/>
        </w:rPr>
      </w:pPr>
      <w:bookmarkStart w:id="1537" w:name="_Toc256000220"/>
      <w:bookmarkStart w:id="1538" w:name="_Toc21241"/>
      <w:r>
        <w:rPr>
          <w:rFonts w:hint="eastAsia" w:ascii="宋体" w:cs="宋体"/>
          <w:color w:val="auto"/>
          <w:highlight w:val="none"/>
        </w:rPr>
        <w:t>10.3 变更程序</w:t>
      </w:r>
      <w:bookmarkEnd w:id="1532"/>
      <w:bookmarkEnd w:id="1533"/>
      <w:bookmarkEnd w:id="1534"/>
      <w:bookmarkEnd w:id="1535"/>
      <w:bookmarkEnd w:id="1536"/>
      <w:bookmarkEnd w:id="1537"/>
      <w:bookmarkEnd w:id="1538"/>
    </w:p>
    <w:p w14:paraId="138B51C0">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10.3.1 国有投资项目：</w:t>
      </w:r>
    </w:p>
    <w:p w14:paraId="72A8D858">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⑴设计变更和工程签证，按各市政府或相关部门的规定办理。属不可抗力（自然灾害、突发事件等）造成变更的，按特事特办原则予以办理。</w:t>
      </w:r>
    </w:p>
    <w:p w14:paraId="2FCA4318">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⑵发包人在实施项目过程中，若发生单价变动，由发包人、监理单位、承包人及其他相关单位共同商定并签字确认。</w:t>
      </w:r>
    </w:p>
    <w:p w14:paraId="52998F77">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7809F79B">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10.3.2 非国有投资项目： 同通用条款。</w:t>
      </w:r>
    </w:p>
    <w:p w14:paraId="5A3F8ABA">
      <w:pPr>
        <w:pStyle w:val="38"/>
        <w:spacing w:line="380" w:lineRule="exact"/>
        <w:ind w:firstLine="422" w:firstLineChars="200"/>
        <w:rPr>
          <w:rFonts w:ascii="宋体" w:cs="宋体"/>
          <w:color w:val="auto"/>
          <w:highlight w:val="none"/>
        </w:rPr>
      </w:pPr>
      <w:bookmarkStart w:id="1539" w:name="_Toc497746824"/>
      <w:bookmarkStart w:id="1540" w:name="_Toc403578977"/>
      <w:bookmarkStart w:id="1541" w:name="_Toc22425"/>
      <w:bookmarkStart w:id="1542" w:name="_Toc418751839"/>
      <w:bookmarkStart w:id="1543" w:name="_Toc373478389"/>
      <w:bookmarkStart w:id="1544" w:name="_Toc522201770"/>
      <w:bookmarkStart w:id="1545" w:name="_Toc418518153"/>
      <w:bookmarkStart w:id="1546" w:name="_Toc497747221"/>
      <w:bookmarkStart w:id="1547" w:name="_Toc418518389"/>
      <w:bookmarkStart w:id="1548" w:name="_Toc389065308"/>
      <w:bookmarkStart w:id="1549" w:name="_Toc256000221"/>
      <w:bookmarkStart w:id="1550" w:name="_Toc373227742"/>
      <w:bookmarkStart w:id="1551" w:name="_Toc418061354"/>
      <w:bookmarkStart w:id="1552" w:name="_Toc418752285"/>
      <w:r>
        <w:rPr>
          <w:rFonts w:hint="eastAsia" w:ascii="宋体" w:cs="宋体"/>
          <w:color w:val="auto"/>
          <w:highlight w:val="none"/>
        </w:rPr>
        <w:t>10.4 变更估价</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14:paraId="4E6E6FAC">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257FA1C0">
      <w:pPr>
        <w:pStyle w:val="23"/>
        <w:spacing w:line="380" w:lineRule="exact"/>
        <w:ind w:firstLine="426"/>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val="single"/>
        </w:rPr>
        <w:t>（1）、投标报价中已有适用于变更工程的综合单价，按已有的综合单价；（2）、投标报价中有类似变更工程的综合单价，可参照投标报价中类似的综合单价确定；（3）、</w:t>
      </w:r>
      <w:r>
        <w:rPr>
          <w:rFonts w:ascii="宋体" w:hAnsi="宋体" w:cs="宋体"/>
          <w:color w:val="auto"/>
          <w:szCs w:val="21"/>
          <w:highlight w:val="none"/>
          <w:u w:val="single"/>
        </w:rPr>
        <w:t>投标报价中没有适用或类似于变更工程的综合单价，则有定额的套用定额计算，执行本工程编制招标控制价的参考依据，其中材料价格有信息价的按合同该新增子项实施期间《桂林市建设工程造价信息》的平均价计取（信息价无相关信息的参照信息价中桂林市的平均价），无信息价时按市场价格共同协商初步确定；此类工程结算综合单价=按现行定额计算（管理费、利润取中值）的综合单价×中标下浮系数（中标人的投标报价÷经财政部门审核后的预算价），新增项目无定额可套用时，由发包人、承包人及监理三方共同协商初步确定，最终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财政局</w:t>
      </w:r>
      <w:r>
        <w:rPr>
          <w:rFonts w:ascii="宋体" w:hAnsi="宋体" w:cs="宋体"/>
          <w:color w:val="auto"/>
          <w:szCs w:val="21"/>
          <w:highlight w:val="none"/>
          <w:u w:val="single"/>
        </w:rPr>
        <w:t>审定或审计单位审定</w:t>
      </w:r>
      <w:r>
        <w:rPr>
          <w:rFonts w:hint="eastAsia" w:ascii="宋体" w:hAnsi="宋体" w:cs="宋体"/>
          <w:color w:val="auto"/>
          <w:szCs w:val="21"/>
          <w:highlight w:val="none"/>
          <w:u w:val="single"/>
        </w:rPr>
        <w:t>并经发包人及承包人双方确认的金额</w:t>
      </w:r>
      <w:r>
        <w:rPr>
          <w:rFonts w:ascii="宋体" w:hAnsi="宋体" w:cs="宋体"/>
          <w:color w:val="auto"/>
          <w:szCs w:val="21"/>
          <w:highlight w:val="none"/>
          <w:u w:val="single"/>
        </w:rPr>
        <w:t>为准</w:t>
      </w:r>
      <w:r>
        <w:rPr>
          <w:rFonts w:hint="eastAsia" w:ascii="宋体" w:hAnsi="宋体" w:cs="宋体"/>
          <w:color w:val="auto"/>
          <w:szCs w:val="21"/>
          <w:highlight w:val="none"/>
          <w:u w:val="single"/>
        </w:rPr>
        <w:t>。（4）</w:t>
      </w:r>
      <w:r>
        <w:rPr>
          <w:rFonts w:ascii="宋体" w:hAnsi="宋体" w:cs="宋体"/>
          <w:color w:val="auto"/>
          <w:szCs w:val="21"/>
          <w:highlight w:val="none"/>
          <w:u w:val="single"/>
        </w:rPr>
        <w:t>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Pr>
          <w:rFonts w:hint="eastAsia" w:ascii="宋体" w:hAnsi="宋体" w:cs="宋体"/>
          <w:color w:val="auto"/>
          <w:szCs w:val="21"/>
          <w:highlight w:val="none"/>
          <w:u w:val="single"/>
        </w:rPr>
        <w:t>。（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w:t>
      </w:r>
      <w:r>
        <w:rPr>
          <w:rFonts w:hint="eastAsia" w:ascii="宋体" w:hAnsi="宋体" w:cs="宋体"/>
          <w:color w:val="auto"/>
          <w:szCs w:val="21"/>
          <w:highlight w:val="none"/>
          <w:u w:val="single"/>
          <w:lang w:eastAsia="zh-CN"/>
        </w:rPr>
        <w:t>财政局</w:t>
      </w:r>
      <w:r>
        <w:rPr>
          <w:rFonts w:hint="eastAsia" w:ascii="宋体" w:hAnsi="宋体" w:cs="宋体"/>
          <w:color w:val="auto"/>
          <w:szCs w:val="21"/>
          <w:highlight w:val="none"/>
          <w:u w:val="single"/>
        </w:rPr>
        <w:t>或发包人委托的造价咨询机构审定并经发包人及承包人双方确认的金额为准。</w:t>
      </w:r>
    </w:p>
    <w:p w14:paraId="0AFF5182">
      <w:pPr>
        <w:pStyle w:val="38"/>
        <w:spacing w:line="380" w:lineRule="exact"/>
        <w:ind w:firstLine="422" w:firstLineChars="200"/>
        <w:rPr>
          <w:rFonts w:ascii="宋体" w:cs="宋体"/>
          <w:color w:val="auto"/>
          <w:highlight w:val="none"/>
        </w:rPr>
      </w:pPr>
      <w:bookmarkStart w:id="1553" w:name="_Toc418518390"/>
      <w:bookmarkStart w:id="1554" w:name="_Toc497746825"/>
      <w:bookmarkStart w:id="1555" w:name="_Toc389065309"/>
      <w:bookmarkStart w:id="1556" w:name="_Toc522201771"/>
      <w:bookmarkStart w:id="1557" w:name="_Toc403578978"/>
      <w:bookmarkStart w:id="1558" w:name="_Toc418061355"/>
      <w:bookmarkStart w:id="1559" w:name="_Toc13259"/>
      <w:bookmarkStart w:id="1560" w:name="_Toc256000222"/>
      <w:bookmarkStart w:id="1561" w:name="_Toc418518154"/>
      <w:bookmarkStart w:id="1562" w:name="_Toc373478390"/>
      <w:bookmarkStart w:id="1563" w:name="_Toc418751840"/>
      <w:bookmarkStart w:id="1564" w:name="_Toc418752286"/>
      <w:bookmarkStart w:id="1565" w:name="_Toc373227743"/>
      <w:bookmarkStart w:id="1566" w:name="_Toc497747222"/>
      <w:r>
        <w:rPr>
          <w:rFonts w:hint="eastAsia" w:ascii="宋体" w:cs="宋体"/>
          <w:color w:val="auto"/>
          <w:highlight w:val="none"/>
        </w:rPr>
        <w:t>1</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Start w:id="1567" w:name="_Toc297216203"/>
      <w:bookmarkStart w:id="1568" w:name="_Toc296944536"/>
      <w:bookmarkStart w:id="1569" w:name="_Toc296891025"/>
      <w:bookmarkStart w:id="1570" w:name="_Toc296503197"/>
      <w:bookmarkStart w:id="1571" w:name="_Toc296347196"/>
      <w:bookmarkStart w:id="1572" w:name="_Toc297123544"/>
      <w:bookmarkStart w:id="1573" w:name="_Toc296346698"/>
      <w:bookmarkStart w:id="1574" w:name="_Toc292559402"/>
      <w:bookmarkStart w:id="1575" w:name="_Toc292559907"/>
      <w:bookmarkStart w:id="1576" w:name="_Toc296891237"/>
      <w:bookmarkStart w:id="1577" w:name="_Toc303539150"/>
      <w:bookmarkStart w:id="1578" w:name="_Toc297048383"/>
      <w:bookmarkStart w:id="1579" w:name="_Toc300934993"/>
      <w:bookmarkStart w:id="1580" w:name="_Toc297120497"/>
      <w:bookmarkStart w:id="1581" w:name="_Toc304295570"/>
      <w:bookmarkStart w:id="1582" w:name="_Toc312678029"/>
      <w:bookmarkStart w:id="1583" w:name="_Toc312677503"/>
      <w:r>
        <w:rPr>
          <w:rFonts w:hint="eastAsia" w:ascii="宋体" w:cs="宋体"/>
          <w:color w:val="auto"/>
          <w:highlight w:val="none"/>
        </w:rPr>
        <w:t>0.5 承</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Start w:id="1584" w:name="_Toc296891031"/>
      <w:bookmarkStart w:id="1585" w:name="_Toc297123545"/>
      <w:bookmarkStart w:id="1586" w:name="_Toc297048389"/>
      <w:bookmarkStart w:id="1587" w:name="_Toc297120503"/>
      <w:bookmarkStart w:id="1588" w:name="_Toc297216204"/>
      <w:bookmarkStart w:id="1589" w:name="_Toc296503203"/>
      <w:bookmarkStart w:id="1590" w:name="_Toc292559913"/>
      <w:bookmarkStart w:id="1591" w:name="_Toc292559408"/>
      <w:bookmarkStart w:id="1592" w:name="_Toc296347202"/>
      <w:bookmarkStart w:id="1593" w:name="_Toc296944542"/>
      <w:bookmarkStart w:id="1594" w:name="_Toc296346704"/>
      <w:bookmarkStart w:id="1595" w:name="_Toc296891243"/>
      <w:bookmarkStart w:id="1596" w:name="_Toc303539151"/>
      <w:bookmarkStart w:id="1597" w:name="_Toc300934994"/>
      <w:r>
        <w:rPr>
          <w:rFonts w:hint="eastAsia" w:ascii="宋体" w:cs="宋体"/>
          <w:color w:val="auto"/>
          <w:highlight w:val="none"/>
        </w:rPr>
        <w:t>包人的合理化建议</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14:paraId="447F104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监理人应在收到承包人提交的合理化建议后7天内审查完毕并报送发包人，发现其中存在技术上的缺陷，应通知承包人修改</w:t>
      </w:r>
      <w:r>
        <w:rPr>
          <w:rFonts w:hint="eastAsia" w:ascii="宋体" w:hAnsi="宋体" w:cs="宋体"/>
          <w:color w:val="auto"/>
          <w:szCs w:val="21"/>
          <w:highlight w:val="none"/>
        </w:rPr>
        <w:t>。</w:t>
      </w:r>
    </w:p>
    <w:p w14:paraId="6E6222B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发包人应在收到监理人报送的合理化建议后7天内审批完毕</w:t>
      </w:r>
      <w:r>
        <w:rPr>
          <w:rFonts w:hint="eastAsia" w:ascii="宋体" w:hAnsi="宋体" w:cs="宋体"/>
          <w:color w:val="auto"/>
          <w:szCs w:val="21"/>
          <w:highlight w:val="none"/>
        </w:rPr>
        <w:t>。</w:t>
      </w:r>
    </w:p>
    <w:p w14:paraId="4A2F0569">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1598" w:name="_Toc296503204"/>
      <w:bookmarkStart w:id="1599" w:name="_Toc296891244"/>
      <w:bookmarkStart w:id="1600" w:name="_Toc297123546"/>
      <w:bookmarkStart w:id="1601" w:name="_Toc292559914"/>
      <w:bookmarkStart w:id="1602" w:name="_Toc296891032"/>
      <w:bookmarkStart w:id="1603" w:name="_Toc292559409"/>
      <w:bookmarkStart w:id="1604" w:name="_Toc303539152"/>
      <w:bookmarkStart w:id="1605" w:name="_Toc312677504"/>
      <w:bookmarkStart w:id="1606" w:name="_Toc297048390"/>
      <w:bookmarkStart w:id="1607" w:name="_Toc297216205"/>
      <w:bookmarkStart w:id="1608" w:name="_Toc296347203"/>
      <w:bookmarkStart w:id="1609" w:name="_Toc318581175"/>
      <w:bookmarkStart w:id="1610" w:name="_Toc297120504"/>
      <w:bookmarkStart w:id="1611" w:name="_Toc300934995"/>
      <w:bookmarkStart w:id="1612" w:name="_Toc312678030"/>
      <w:bookmarkStart w:id="1613" w:name="_Toc304295571"/>
      <w:bookmarkStart w:id="1614" w:name="_Toc296944543"/>
      <w:bookmarkStart w:id="1615" w:name="_Toc296346705"/>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14:paraId="4A5FFEEC">
      <w:pPr>
        <w:pStyle w:val="38"/>
        <w:spacing w:line="380" w:lineRule="exact"/>
        <w:ind w:firstLine="422" w:firstLineChars="200"/>
        <w:rPr>
          <w:rFonts w:ascii="宋体" w:cs="宋体"/>
          <w:color w:val="auto"/>
          <w:highlight w:val="none"/>
        </w:rPr>
      </w:pPr>
      <w:bookmarkStart w:id="1616" w:name="_Toc373227744"/>
      <w:bookmarkStart w:id="1617" w:name="_Toc5810"/>
      <w:bookmarkStart w:id="1618" w:name="_Toc403578979"/>
      <w:bookmarkStart w:id="1619" w:name="_Toc497747223"/>
      <w:bookmarkStart w:id="1620" w:name="_Toc418751841"/>
      <w:bookmarkStart w:id="1621" w:name="_Toc418752287"/>
      <w:bookmarkStart w:id="1622" w:name="_Toc418518155"/>
      <w:bookmarkStart w:id="1623" w:name="_Toc418518391"/>
      <w:bookmarkStart w:id="1624" w:name="_Toc497746826"/>
      <w:bookmarkStart w:id="1625" w:name="_Toc373478391"/>
      <w:bookmarkStart w:id="1626" w:name="_Toc389065310"/>
      <w:bookmarkStart w:id="1627" w:name="_Toc418061356"/>
      <w:bookmarkStart w:id="1628" w:name="_Toc522201772"/>
      <w:bookmarkStart w:id="1629" w:name="_Toc256000223"/>
      <w:r>
        <w:rPr>
          <w:rFonts w:hint="eastAsia" w:ascii="宋体" w:cs="宋体"/>
          <w:color w:val="auto"/>
          <w:highlight w:val="none"/>
        </w:rPr>
        <w:t>1</w:t>
      </w:r>
      <w:bookmarkStart w:id="1630" w:name="_Toc296944538"/>
      <w:bookmarkStart w:id="1631" w:name="_Toc296891239"/>
      <w:bookmarkStart w:id="1632" w:name="_Toc292559404"/>
      <w:bookmarkStart w:id="1633" w:name="_Toc296503199"/>
      <w:bookmarkStart w:id="1634" w:name="_Toc296346700"/>
      <w:bookmarkStart w:id="1635" w:name="_Toc292559909"/>
      <w:bookmarkStart w:id="1636" w:name="_Toc312678033"/>
      <w:bookmarkStart w:id="1637" w:name="_Toc296347198"/>
      <w:bookmarkStart w:id="1638" w:name="_Toc312677507"/>
      <w:bookmarkStart w:id="1639" w:name="_Toc303539154"/>
      <w:bookmarkStart w:id="1640" w:name="_Toc297048385"/>
      <w:bookmarkStart w:id="1641" w:name="_Toc297120499"/>
      <w:bookmarkStart w:id="1642" w:name="_Toc296891027"/>
      <w:bookmarkStart w:id="1643" w:name="_Toc304295574"/>
      <w:bookmarkStart w:id="1644" w:name="_Toc297123548"/>
      <w:bookmarkStart w:id="1645" w:name="_Toc300934997"/>
      <w:bookmarkStart w:id="1646" w:name="_Toc297216207"/>
      <w:r>
        <w:rPr>
          <w:rFonts w:hint="eastAsia" w:ascii="宋体" w:cs="宋体"/>
          <w:color w:val="auto"/>
          <w:highlight w:val="none"/>
        </w:rPr>
        <w:t>0.7 暂估价</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14:paraId="32A9FBD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1647" w:name="_Toc312677508"/>
      <w:bookmarkStart w:id="1648" w:name="_Toc318581176"/>
      <w:bookmarkStart w:id="1649" w:name="_Toc312678034"/>
      <w:r>
        <w:rPr>
          <w:rFonts w:hint="eastAsia" w:ascii="宋体" w:hAnsi="宋体" w:cs="宋体"/>
          <w:color w:val="auto"/>
          <w:kern w:val="0"/>
          <w:szCs w:val="21"/>
          <w:highlight w:val="none"/>
        </w:rPr>
        <w:t>估价材料和工程设备的明细详见已标价工程量清单《</w:t>
      </w:r>
      <w:r>
        <w:rPr>
          <w:rFonts w:hint="eastAsia" w:ascii="宋体" w:hAnsi="宋体" w:cs="宋体"/>
          <w:color w:val="auto"/>
          <w:szCs w:val="21"/>
          <w:highlight w:val="none"/>
        </w:rPr>
        <w:t>材料（工程设备）暂估价格及调整表》</w:t>
      </w:r>
      <w:r>
        <w:rPr>
          <w:rFonts w:hint="eastAsia" w:ascii="宋体" w:hAnsi="宋体" w:cs="宋体"/>
          <w:color w:val="auto"/>
          <w:kern w:val="0"/>
          <w:szCs w:val="21"/>
          <w:highlight w:val="none"/>
        </w:rPr>
        <w:t>（表12-2）和《</w:t>
      </w:r>
      <w:r>
        <w:rPr>
          <w:rFonts w:hint="eastAsia" w:ascii="宋体" w:hAnsi="宋体" w:cs="宋体"/>
          <w:color w:val="auto"/>
          <w:szCs w:val="21"/>
          <w:highlight w:val="none"/>
        </w:rPr>
        <w:t>专业工程暂估价表》（</w:t>
      </w:r>
      <w:r>
        <w:rPr>
          <w:rFonts w:hint="eastAsia" w:ascii="宋体" w:hAnsi="宋体" w:cs="宋体"/>
          <w:color w:val="auto"/>
          <w:kern w:val="0"/>
          <w:szCs w:val="21"/>
          <w:highlight w:val="none"/>
        </w:rPr>
        <w:t>表12-3）。</w:t>
      </w:r>
    </w:p>
    <w:bookmarkEnd w:id="1647"/>
    <w:bookmarkEnd w:id="1648"/>
    <w:bookmarkEnd w:id="1649"/>
    <w:p w14:paraId="693515A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1650" w:name="_Toc312678035"/>
      <w:bookmarkStart w:id="1651" w:name="_Toc318581177"/>
      <w:bookmarkStart w:id="1652" w:name="_Toc312677509"/>
      <w:r>
        <w:rPr>
          <w:rFonts w:hint="eastAsia" w:ascii="宋体" w:hAnsi="宋体" w:cs="宋体"/>
          <w:color w:val="auto"/>
          <w:szCs w:val="21"/>
          <w:highlight w:val="none"/>
        </w:rPr>
        <w:t>0.7.1 依法必须招标的暂估价项目</w:t>
      </w:r>
    </w:p>
    <w:bookmarkEnd w:id="1650"/>
    <w:bookmarkEnd w:id="1651"/>
    <w:bookmarkEnd w:id="1652"/>
    <w:p w14:paraId="7042C6D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575C3221">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0777982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41CCA16D">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79CEA49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395440A">
      <w:pPr>
        <w:pStyle w:val="38"/>
        <w:spacing w:line="380" w:lineRule="exact"/>
        <w:ind w:firstLine="422" w:firstLineChars="200"/>
        <w:rPr>
          <w:rFonts w:ascii="宋体" w:cs="宋体"/>
          <w:color w:val="auto"/>
          <w:highlight w:val="none"/>
        </w:rPr>
      </w:pPr>
      <w:bookmarkStart w:id="1653" w:name="_Toc418061357"/>
      <w:bookmarkStart w:id="1654" w:name="_Toc403578980"/>
      <w:bookmarkStart w:id="1655" w:name="_Toc389065311"/>
      <w:bookmarkStart w:id="1656" w:name="_Toc256000224"/>
      <w:bookmarkStart w:id="1657" w:name="_Toc418752288"/>
      <w:bookmarkStart w:id="1658" w:name="_Toc9852"/>
      <w:bookmarkStart w:id="1659" w:name="_Toc522201773"/>
      <w:bookmarkStart w:id="1660" w:name="_Toc418751842"/>
      <w:bookmarkStart w:id="1661" w:name="_Toc373478392"/>
      <w:bookmarkStart w:id="1662" w:name="_Toc418518156"/>
      <w:bookmarkStart w:id="1663" w:name="_Toc497746827"/>
      <w:bookmarkStart w:id="1664" w:name="_Toc418518392"/>
      <w:bookmarkStart w:id="1665" w:name="_Toc497747224"/>
      <w:bookmarkStart w:id="1666" w:name="_Toc373227745"/>
      <w:r>
        <w:rPr>
          <w:rFonts w:hint="eastAsia" w:ascii="宋体" w:cs="宋体"/>
          <w:color w:val="auto"/>
          <w:highlight w:val="none"/>
        </w:rPr>
        <w:t>10.8 暂列金额</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14:paraId="31851BD3">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（1）已签约合同价中的暂列金额由发包人掌握使用。（2）发包人按照规定所作支付后，暂列金额如有余额归发包人 </w:t>
      </w:r>
      <w:r>
        <w:rPr>
          <w:rFonts w:hint="eastAsia" w:ascii="宋体" w:hAnsi="宋体" w:cs="宋体"/>
          <w:color w:val="auto"/>
          <w:kern w:val="0"/>
          <w:szCs w:val="21"/>
          <w:highlight w:val="none"/>
        </w:rPr>
        <w:t>。</w:t>
      </w:r>
    </w:p>
    <w:p w14:paraId="0FCED77B">
      <w:pPr>
        <w:pStyle w:val="38"/>
        <w:spacing w:line="380" w:lineRule="exact"/>
        <w:rPr>
          <w:rFonts w:ascii="宋体" w:cs="宋体"/>
          <w:color w:val="auto"/>
          <w:highlight w:val="none"/>
        </w:rPr>
      </w:pPr>
      <w:bookmarkStart w:id="1667" w:name="_Toc403578981"/>
      <w:bookmarkStart w:id="1668" w:name="_Toc522201774"/>
      <w:bookmarkStart w:id="1669" w:name="_Toc389065312"/>
      <w:bookmarkStart w:id="1670" w:name="_Toc418752289"/>
      <w:bookmarkStart w:id="1671" w:name="_Toc256000225"/>
      <w:bookmarkStart w:id="1672" w:name="_Toc373478393"/>
      <w:bookmarkStart w:id="1673" w:name="_Toc418751843"/>
      <w:bookmarkStart w:id="1674" w:name="_Toc12497"/>
      <w:bookmarkStart w:id="1675" w:name="_Toc373227746"/>
      <w:bookmarkStart w:id="1676" w:name="_Toc497747225"/>
      <w:bookmarkStart w:id="1677" w:name="_Toc497746828"/>
      <w:bookmarkStart w:id="1678" w:name="_Toc418518157"/>
      <w:bookmarkStart w:id="1679" w:name="_Toc418061358"/>
      <w:bookmarkStart w:id="1680" w:name="_Toc418518393"/>
      <w:bookmarkStart w:id="1681" w:name="_Toc351203643"/>
      <w:r>
        <w:rPr>
          <w:rFonts w:hint="eastAsia" w:ascii="宋体" w:cs="宋体"/>
          <w:color w:val="auto"/>
          <w:highlight w:val="none"/>
        </w:rPr>
        <w:t>11. 价格调整</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14:paraId="0293927D">
      <w:pPr>
        <w:pStyle w:val="38"/>
        <w:spacing w:line="380" w:lineRule="exact"/>
        <w:ind w:firstLine="422" w:firstLineChars="200"/>
        <w:rPr>
          <w:rFonts w:ascii="宋体" w:cs="宋体"/>
          <w:color w:val="auto"/>
          <w:highlight w:val="none"/>
        </w:rPr>
      </w:pPr>
      <w:bookmarkStart w:id="1682" w:name="_Toc418752290"/>
      <w:bookmarkStart w:id="1683" w:name="_Toc256000226"/>
      <w:bookmarkStart w:id="1684" w:name="_Toc403578982"/>
      <w:bookmarkStart w:id="1685" w:name="_Toc373478394"/>
      <w:bookmarkStart w:id="1686" w:name="_Toc373227747"/>
      <w:bookmarkStart w:id="1687" w:name="_Toc497746829"/>
      <w:bookmarkStart w:id="1688" w:name="_Toc389065313"/>
      <w:bookmarkStart w:id="1689" w:name="_Toc418061359"/>
      <w:bookmarkStart w:id="1690" w:name="_Toc31528"/>
      <w:bookmarkStart w:id="1691" w:name="_Toc418751844"/>
      <w:bookmarkStart w:id="1692" w:name="_Toc418518158"/>
      <w:bookmarkStart w:id="1693" w:name="_Toc497747226"/>
      <w:bookmarkStart w:id="1694" w:name="_Toc522201775"/>
      <w:bookmarkStart w:id="1695" w:name="_Toc418518394"/>
      <w:bookmarkStart w:id="1696" w:name="_Toc297120501"/>
      <w:bookmarkStart w:id="1697" w:name="_Toc312678039"/>
      <w:bookmarkStart w:id="1698" w:name="_Toc296346702"/>
      <w:bookmarkStart w:id="1699" w:name="_Toc292559406"/>
      <w:bookmarkStart w:id="1700" w:name="_Toc296891241"/>
      <w:bookmarkStart w:id="1701" w:name="_Toc297048387"/>
      <w:bookmarkStart w:id="1702" w:name="_Toc303539157"/>
      <w:bookmarkStart w:id="1703" w:name="_Toc296347200"/>
      <w:bookmarkStart w:id="1704" w:name="_Toc297216209"/>
      <w:bookmarkStart w:id="1705" w:name="_Toc292559911"/>
      <w:bookmarkStart w:id="1706" w:name="_Toc296944540"/>
      <w:bookmarkStart w:id="1707" w:name="_Toc296503201"/>
      <w:bookmarkStart w:id="1708" w:name="_Toc304295577"/>
      <w:bookmarkStart w:id="1709" w:name="_Toc300935000"/>
      <w:bookmarkStart w:id="1710" w:name="_Toc297123550"/>
      <w:bookmarkStart w:id="1711" w:name="_Toc296891029"/>
      <w:r>
        <w:rPr>
          <w:rFonts w:hint="eastAsia" w:ascii="宋体" w:cs="宋体"/>
          <w:color w:val="auto"/>
          <w:highlight w:val="none"/>
        </w:rPr>
        <w:t>11.1 市场价格波动引起的调整</w:t>
      </w:r>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14:paraId="029B69F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8BD25A3">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种方式对合同价格进行调整：</w:t>
      </w:r>
    </w:p>
    <w:p w14:paraId="1E20181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593E51A5">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20A430A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66107E72">
      <w:pPr>
        <w:pStyle w:val="23"/>
        <w:spacing w:line="38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（1）关于基准价格的约定：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p>
    <w:p w14:paraId="6B15840B">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投</w:t>
      </w:r>
      <w:r>
        <w:rPr>
          <w:rFonts w:hint="eastAsia" w:ascii="宋体" w:hAnsi="宋体" w:cs="宋体"/>
          <w:color w:val="auto"/>
          <w:kern w:val="0"/>
          <w:szCs w:val="21"/>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14:paraId="769607A7">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①承包人在已标价工程量清单或预算书中载明的材料单价低于基准价格的，合同履行期间材料单价涨幅以基准价格为基础超过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%时，或材料单价跌幅以已标价工程量清单或预算书中载明材料单价为基础超过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%时，其超过部分据实调整。</w:t>
      </w:r>
    </w:p>
    <w:p w14:paraId="06DF512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%时，材料单价涨幅以已标价工程量清单或预算书中载明材料单价为基础超过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%时，其超过部分据实调整。</w:t>
      </w:r>
    </w:p>
    <w:p w14:paraId="3F230EB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lang w:eastAsia="zh-CN"/>
        </w:rPr>
        <w:t>5</w:t>
      </w:r>
      <w:r>
        <w:rPr>
          <w:rFonts w:hint="eastAsia" w:ascii="宋体" w:hAnsi="宋体" w:cs="宋体"/>
          <w:color w:val="auto"/>
          <w:szCs w:val="21"/>
          <w:highlight w:val="none"/>
        </w:rPr>
        <w:t>%时，其超过部分据实调整。</w:t>
      </w:r>
    </w:p>
    <w:p w14:paraId="6EA7A98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④除专用合同约定的钢筋、水泥、商品混凝土、沥青混凝土、碎石、砂、片石、沥青、管材、石材、土方</w:t>
      </w:r>
      <w:r>
        <w:rPr>
          <w:rFonts w:hint="eastAsia" w:ascii="宋体" w:hAnsi="宋体" w:cs="宋体"/>
          <w:color w:val="auto"/>
          <w:kern w:val="0"/>
          <w:szCs w:val="21"/>
          <w:highlight w:val="none"/>
        </w:rPr>
        <w:t>（含购土与弃土）</w:t>
      </w:r>
      <w:r>
        <w:rPr>
          <w:rFonts w:hint="eastAsia" w:ascii="宋体" w:hAnsi="宋体" w:cs="宋体"/>
          <w:color w:val="auto"/>
          <w:szCs w:val="21"/>
          <w:highlight w:val="none"/>
        </w:rPr>
        <w:t>等项材料外，其余材料价格不做调整。调整方法：钢筋、水泥、商品混凝土、沥青混凝土、碎石、砂、片石、沥青、管材、石材、土方</w:t>
      </w:r>
      <w:r>
        <w:rPr>
          <w:rFonts w:hint="eastAsia" w:ascii="宋体" w:hAnsi="宋体" w:cs="宋体"/>
          <w:color w:val="auto"/>
          <w:kern w:val="0"/>
          <w:szCs w:val="21"/>
          <w:highlight w:val="none"/>
        </w:rPr>
        <w:t>（含购土与弃土）</w:t>
      </w:r>
      <w:r>
        <w:rPr>
          <w:rFonts w:hint="eastAsia" w:ascii="宋体" w:hAnsi="宋体" w:cs="宋体"/>
          <w:color w:val="auto"/>
          <w:szCs w:val="21"/>
          <w:highlight w:val="none"/>
        </w:rPr>
        <w:t>价格超过部分×中标下浮系数（中标人的投标报价÷预算价），该部分费用列入税前独立费。</w:t>
      </w:r>
    </w:p>
    <w:p w14:paraId="47FD4FB2">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在工程施工期间，国家及地区如有新的人工费调整政策文件出台，可按国家及地区相关文件进行人工费调差。</w:t>
      </w:r>
    </w:p>
    <w:p w14:paraId="2ED8E257">
      <w:pPr>
        <w:pStyle w:val="23"/>
        <w:spacing w:line="380" w:lineRule="exact"/>
        <w:ind w:firstLine="420" w:firstLineChars="200"/>
        <w:jc w:val="left"/>
        <w:rPr>
          <w:rFonts w:ascii="宋体" w:hAnsi="宋体" w:cs="宋体"/>
          <w:color w:val="auto"/>
          <w:kern w:val="0"/>
          <w:szCs w:val="21"/>
          <w:highlight w:val="none"/>
          <w:u w:val="non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 xml:space="preserve">由业主单位、监理单位施工单位面向市场询价，并经三方对暂估价材料价格的确认，确定材料价格。 </w:t>
      </w:r>
    </w:p>
    <w:bookmarkEnd w:id="1494"/>
    <w:bookmarkEnd w:id="1495"/>
    <w:bookmarkEnd w:id="1496"/>
    <w:bookmarkEnd w:id="1497"/>
    <w:bookmarkEnd w:id="1498"/>
    <w:bookmarkEnd w:id="1499"/>
    <w:p w14:paraId="79070C85">
      <w:pPr>
        <w:pStyle w:val="38"/>
        <w:spacing w:line="380" w:lineRule="exact"/>
        <w:rPr>
          <w:rFonts w:ascii="宋体" w:cs="宋体"/>
          <w:color w:val="auto"/>
          <w:highlight w:val="none"/>
        </w:rPr>
      </w:pPr>
      <w:bookmarkStart w:id="1712" w:name="_Toc296346706"/>
      <w:bookmarkStart w:id="1713" w:name="_Toc296891245"/>
      <w:bookmarkStart w:id="1714" w:name="_Toc296944544"/>
      <w:bookmarkStart w:id="1715" w:name="_Toc292559410"/>
      <w:bookmarkStart w:id="1716" w:name="_Toc296347204"/>
      <w:bookmarkStart w:id="1717" w:name="_Toc296503205"/>
      <w:bookmarkStart w:id="1718" w:name="_Toc297048391"/>
      <w:bookmarkStart w:id="1719" w:name="_Toc292559915"/>
      <w:bookmarkStart w:id="1720" w:name="_Toc297120505"/>
      <w:bookmarkStart w:id="1721" w:name="_Toc296891033"/>
      <w:bookmarkStart w:id="1722" w:name="_Toc351203644"/>
      <w:bookmarkStart w:id="1723" w:name="_Toc403578983"/>
      <w:bookmarkStart w:id="1724" w:name="_Toc418518395"/>
      <w:bookmarkStart w:id="1725" w:name="_Toc418752291"/>
      <w:bookmarkStart w:id="1726" w:name="_Toc23758"/>
      <w:bookmarkStart w:id="1727" w:name="_Toc418751845"/>
      <w:bookmarkStart w:id="1728" w:name="_Toc522201776"/>
      <w:bookmarkStart w:id="1729" w:name="_Toc256000227"/>
      <w:bookmarkStart w:id="1730" w:name="_Toc418061360"/>
      <w:bookmarkStart w:id="1731" w:name="_Toc497747227"/>
      <w:bookmarkStart w:id="1732" w:name="_Toc418518159"/>
      <w:bookmarkStart w:id="1733" w:name="_Toc373227748"/>
      <w:bookmarkStart w:id="1734" w:name="_Toc497746830"/>
      <w:bookmarkStart w:id="1735" w:name="_Toc373478395"/>
      <w:bookmarkStart w:id="1736" w:name="_Toc297216211"/>
      <w:bookmarkStart w:id="1737" w:name="_Toc300935002"/>
      <w:bookmarkStart w:id="1738" w:name="_Toc304295579"/>
      <w:bookmarkStart w:id="1739" w:name="_Toc312678040"/>
      <w:bookmarkStart w:id="1740" w:name="_Toc297123552"/>
      <w:bookmarkStart w:id="1741" w:name="_Toc303539159"/>
      <w:r>
        <w:rPr>
          <w:rFonts w:hint="eastAsia" w:ascii="宋体" w:cs="宋体"/>
          <w:color w:val="auto"/>
          <w:highlight w:val="none"/>
        </w:rPr>
        <w:t xml:space="preserve">12. </w:t>
      </w:r>
      <w:bookmarkEnd w:id="1712"/>
      <w:bookmarkEnd w:id="1713"/>
      <w:bookmarkEnd w:id="1714"/>
      <w:bookmarkEnd w:id="1715"/>
      <w:bookmarkEnd w:id="1716"/>
      <w:bookmarkEnd w:id="1717"/>
      <w:bookmarkEnd w:id="1718"/>
      <w:bookmarkEnd w:id="1719"/>
      <w:bookmarkEnd w:id="1720"/>
      <w:bookmarkEnd w:id="1721"/>
      <w:r>
        <w:rPr>
          <w:rFonts w:hint="eastAsia" w:ascii="宋体" w:cs="宋体"/>
          <w:color w:val="auto"/>
          <w:highlight w:val="none"/>
        </w:rPr>
        <w:t>合同价格、计量与支付</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bookmarkEnd w:id="1736"/>
    <w:bookmarkEnd w:id="1737"/>
    <w:bookmarkEnd w:id="1738"/>
    <w:bookmarkEnd w:id="1739"/>
    <w:bookmarkEnd w:id="1740"/>
    <w:bookmarkEnd w:id="1741"/>
    <w:p w14:paraId="5625A523">
      <w:pPr>
        <w:pStyle w:val="38"/>
        <w:spacing w:line="380" w:lineRule="exact"/>
        <w:ind w:firstLine="422" w:firstLineChars="200"/>
        <w:rPr>
          <w:rFonts w:ascii="宋体" w:cs="宋体"/>
          <w:color w:val="auto"/>
          <w:highlight w:val="none"/>
        </w:rPr>
      </w:pPr>
      <w:bookmarkStart w:id="1742" w:name="_Toc292559411"/>
      <w:bookmarkStart w:id="1743" w:name="_Toc267251461"/>
      <w:bookmarkStart w:id="1744" w:name="_Toc292559916"/>
      <w:bookmarkStart w:id="1745" w:name="_Toc296891034"/>
      <w:bookmarkStart w:id="1746" w:name="_Toc297048392"/>
      <w:bookmarkStart w:id="1747" w:name="_Toc296346707"/>
      <w:bookmarkStart w:id="1748" w:name="_Toc296944545"/>
      <w:bookmarkStart w:id="1749" w:name="_Toc296503206"/>
      <w:bookmarkStart w:id="1750" w:name="_Toc296347205"/>
      <w:bookmarkStart w:id="1751" w:name="_Toc297120506"/>
      <w:bookmarkStart w:id="1752" w:name="_Toc296891246"/>
      <w:bookmarkStart w:id="1753" w:name="_Toc389065314"/>
      <w:bookmarkStart w:id="1754" w:name="_Toc497747228"/>
      <w:bookmarkStart w:id="1755" w:name="_Toc418061361"/>
      <w:bookmarkStart w:id="1756" w:name="_Toc403578984"/>
      <w:bookmarkStart w:id="1757" w:name="_Toc373227749"/>
      <w:bookmarkStart w:id="1758" w:name="_Toc418752292"/>
      <w:bookmarkStart w:id="1759" w:name="_Toc418518160"/>
      <w:bookmarkStart w:id="1760" w:name="_Toc497746831"/>
      <w:bookmarkStart w:id="1761" w:name="_Toc16333"/>
      <w:bookmarkStart w:id="1762" w:name="_Toc418518396"/>
      <w:bookmarkStart w:id="1763" w:name="_Toc373478396"/>
      <w:bookmarkStart w:id="1764" w:name="_Toc418751846"/>
      <w:bookmarkStart w:id="1765" w:name="_Toc256000228"/>
      <w:bookmarkStart w:id="1766" w:name="_Toc522201777"/>
      <w:bookmarkStart w:id="1767" w:name="_Toc304295580"/>
      <w:bookmarkStart w:id="1768" w:name="_Toc297123553"/>
      <w:bookmarkStart w:id="1769" w:name="_Toc300935003"/>
      <w:bookmarkStart w:id="1770" w:name="_Toc312678041"/>
      <w:bookmarkStart w:id="1771" w:name="_Toc297216212"/>
      <w:bookmarkStart w:id="1772" w:name="_Toc303539160"/>
      <w:r>
        <w:rPr>
          <w:rFonts w:hint="eastAsia" w:ascii="宋体" w:cs="宋体"/>
          <w:color w:val="auto"/>
          <w:highlight w:val="none"/>
        </w:rPr>
        <w:t>12.1 合</w:t>
      </w:r>
      <w:bookmarkEnd w:id="1742"/>
      <w:bookmarkEnd w:id="1743"/>
      <w:bookmarkEnd w:id="1744"/>
      <w:r>
        <w:rPr>
          <w:rFonts w:hint="eastAsia" w:ascii="宋体" w:cs="宋体"/>
          <w:color w:val="auto"/>
          <w:highlight w:val="none"/>
        </w:rPr>
        <w:t>同价</w:t>
      </w:r>
      <w:bookmarkEnd w:id="1745"/>
      <w:bookmarkEnd w:id="1746"/>
      <w:bookmarkEnd w:id="1747"/>
      <w:bookmarkEnd w:id="1748"/>
      <w:bookmarkEnd w:id="1749"/>
      <w:bookmarkEnd w:id="1750"/>
      <w:bookmarkEnd w:id="1751"/>
      <w:bookmarkEnd w:id="1752"/>
      <w:r>
        <w:rPr>
          <w:rFonts w:hint="eastAsia" w:ascii="宋体" w:cs="宋体"/>
          <w:color w:val="auto"/>
          <w:highlight w:val="none"/>
        </w:rPr>
        <w:t>格形式</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bookmarkEnd w:id="1767"/>
    <w:bookmarkEnd w:id="1768"/>
    <w:bookmarkEnd w:id="1769"/>
    <w:bookmarkEnd w:id="1770"/>
    <w:bookmarkEnd w:id="1771"/>
    <w:bookmarkEnd w:id="1772"/>
    <w:p w14:paraId="4F8181DA">
      <w:pPr>
        <w:pStyle w:val="23"/>
        <w:spacing w:line="380" w:lineRule="exact"/>
        <w:ind w:firstLine="420" w:firstLineChars="200"/>
        <w:jc w:val="left"/>
        <w:rPr>
          <w:rFonts w:ascii="宋体" w:hAnsi="宋体" w:cs="宋体"/>
          <w:color w:val="auto"/>
          <w:szCs w:val="21"/>
          <w:highlight w:val="none"/>
        </w:rPr>
      </w:pPr>
      <w:bookmarkStart w:id="1773" w:name="_Toc373227750"/>
      <w:bookmarkStart w:id="1774" w:name="_Toc389065315"/>
      <w:bookmarkStart w:id="1775" w:name="_Toc373478397"/>
      <w:bookmarkStart w:id="1776" w:name="_Toc303539161"/>
      <w:bookmarkStart w:id="1777" w:name="_Toc304295581"/>
      <w:bookmarkStart w:id="1778" w:name="_Toc297216213"/>
      <w:bookmarkStart w:id="1779" w:name="_Toc300935004"/>
      <w:bookmarkStart w:id="1780" w:name="_Toc297123554"/>
      <w:bookmarkStart w:id="1781" w:name="_Toc312678042"/>
      <w:bookmarkStart w:id="1782" w:name="_Toc292559917"/>
      <w:bookmarkStart w:id="1783" w:name="_Toc297048393"/>
      <w:bookmarkStart w:id="1784" w:name="_Toc296347206"/>
      <w:bookmarkStart w:id="1785" w:name="_Toc296891247"/>
      <w:bookmarkStart w:id="1786" w:name="_Toc296503207"/>
      <w:bookmarkStart w:id="1787" w:name="_Toc292559412"/>
      <w:bookmarkStart w:id="1788" w:name="_Toc296346708"/>
      <w:bookmarkStart w:id="1789" w:name="_Toc297120507"/>
      <w:bookmarkStart w:id="1790" w:name="_Toc296944546"/>
      <w:bookmarkStart w:id="1791" w:name="_Toc296891035"/>
      <w:r>
        <w:rPr>
          <w:rFonts w:hint="eastAsia" w:ascii="宋体" w:hAnsi="宋体" w:cs="宋体"/>
          <w:color w:val="auto"/>
          <w:szCs w:val="21"/>
          <w:highlight w:val="none"/>
        </w:rPr>
        <w:t>（1）单价合同。</w:t>
      </w:r>
    </w:p>
    <w:p w14:paraId="66286A7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本合同价款采用</w:t>
      </w:r>
      <w:r>
        <w:rPr>
          <w:rFonts w:hint="eastAsia" w:ascii="宋体" w:hAnsi="宋体" w:cs="宋体"/>
          <w:color w:val="auto"/>
          <w:szCs w:val="21"/>
          <w:highlight w:val="none"/>
          <w:u w:val="single"/>
        </w:rPr>
        <w:t>固定综合单价</w:t>
      </w:r>
      <w:r>
        <w:rPr>
          <w:rFonts w:hint="eastAsia" w:ascii="宋体" w:hAnsi="宋体" w:cs="宋体"/>
          <w:color w:val="auto"/>
          <w:szCs w:val="21"/>
          <w:highlight w:val="none"/>
          <w:u w:val="single"/>
          <w:lang w:eastAsia="zh-CN"/>
        </w:rPr>
        <w:t>，工程量按实计算的方式</w:t>
      </w:r>
      <w:r>
        <w:rPr>
          <w:rFonts w:hint="eastAsia" w:ascii="宋体" w:hAnsi="宋体" w:cs="宋体"/>
          <w:color w:val="auto"/>
          <w:szCs w:val="21"/>
          <w:highlight w:val="none"/>
        </w:rPr>
        <w:t>确定。</w:t>
      </w:r>
    </w:p>
    <w:p w14:paraId="2F137CB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除工程变更、政策性调整、本合同约定的材料、设备价格变动风险以外因素。</w:t>
      </w:r>
    </w:p>
    <w:p w14:paraId="5F87CBD6">
      <w:pPr>
        <w:pStyle w:val="45"/>
        <w:spacing w:line="380" w:lineRule="exact"/>
        <w:ind w:firstLine="441" w:firstLineChars="210"/>
        <w:rPr>
          <w:rFonts w:hAnsi="宋体" w:cs="宋体"/>
          <w:color w:val="auto"/>
          <w:szCs w:val="21"/>
          <w:highlight w:val="none"/>
        </w:rPr>
      </w:pPr>
      <w:r>
        <w:rPr>
          <w:rFonts w:hint="eastAsia" w:hAnsi="宋体" w:cs="宋体"/>
          <w:color w:val="auto"/>
          <w:szCs w:val="21"/>
          <w:highlight w:val="none"/>
        </w:rPr>
        <w:t>风险范围以外合同价格的调整方法：</w:t>
      </w:r>
    </w:p>
    <w:p w14:paraId="19FF080D">
      <w:pPr>
        <w:pStyle w:val="45"/>
        <w:spacing w:line="380" w:lineRule="exact"/>
        <w:ind w:firstLine="441" w:firstLineChars="210"/>
        <w:rPr>
          <w:rFonts w:hAnsi="宋体" w:cs="宋体"/>
          <w:color w:val="auto"/>
          <w:szCs w:val="21"/>
          <w:highlight w:val="none"/>
        </w:rPr>
      </w:pPr>
      <w:r>
        <w:rPr>
          <w:rFonts w:hint="eastAsia" w:hAnsi="宋体" w:cs="宋体"/>
          <w:color w:val="auto"/>
          <w:szCs w:val="21"/>
          <w:highlight w:val="none"/>
        </w:rPr>
        <w:t>①工程变更：按10.4.1变更估价原则的约定调整。</w:t>
      </w:r>
    </w:p>
    <w:p w14:paraId="3BD02C45">
      <w:pPr>
        <w:pStyle w:val="45"/>
        <w:spacing w:line="380" w:lineRule="exact"/>
        <w:ind w:firstLine="441" w:firstLineChars="210"/>
        <w:rPr>
          <w:rFonts w:hAnsi="宋体" w:cs="宋体"/>
          <w:color w:val="auto"/>
          <w:szCs w:val="21"/>
          <w:highlight w:val="none"/>
        </w:rPr>
      </w:pPr>
      <w:r>
        <w:rPr>
          <w:rFonts w:hint="eastAsia" w:hAnsi="宋体" w:cs="宋体"/>
          <w:color w:val="auto"/>
          <w:szCs w:val="21"/>
          <w:highlight w:val="none"/>
        </w:rPr>
        <w:t>②政策性调整：按自治区建设行政主管部门颁布的文件执行。</w:t>
      </w:r>
    </w:p>
    <w:p w14:paraId="15AA52CA">
      <w:pPr>
        <w:pStyle w:val="45"/>
        <w:spacing w:line="380" w:lineRule="exact"/>
        <w:ind w:firstLine="441" w:firstLineChars="210"/>
        <w:rPr>
          <w:rFonts w:hAnsi="宋体" w:cs="宋体"/>
          <w:color w:val="auto"/>
          <w:szCs w:val="21"/>
          <w:highlight w:val="none"/>
        </w:rPr>
      </w:pPr>
      <w:r>
        <w:rPr>
          <w:rFonts w:hint="eastAsia" w:hAnsi="宋体" w:cs="宋体"/>
          <w:color w:val="auto"/>
          <w:szCs w:val="21"/>
          <w:highlight w:val="none"/>
        </w:rPr>
        <w:t>③材料、设备价格变动风险：按11.1的约定调整。</w:t>
      </w:r>
    </w:p>
    <w:p w14:paraId="0AD9F2B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12B556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5324C3A5">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86BFEB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AA2B9F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3094D57">
      <w:pPr>
        <w:pStyle w:val="38"/>
        <w:spacing w:line="380" w:lineRule="exact"/>
        <w:ind w:firstLine="422" w:firstLineChars="200"/>
        <w:rPr>
          <w:rFonts w:ascii="宋体" w:cs="宋体"/>
          <w:color w:val="auto"/>
          <w:highlight w:val="none"/>
        </w:rPr>
      </w:pPr>
      <w:bookmarkStart w:id="1792" w:name="_Toc418751847"/>
      <w:bookmarkStart w:id="1793" w:name="_Toc418752293"/>
      <w:bookmarkStart w:id="1794" w:name="_Toc403578985"/>
      <w:bookmarkStart w:id="1795" w:name="_Toc24874"/>
      <w:bookmarkStart w:id="1796" w:name="_Toc256000229"/>
      <w:bookmarkStart w:id="1797" w:name="_Toc522201778"/>
      <w:bookmarkStart w:id="1798" w:name="_Toc418518161"/>
      <w:bookmarkStart w:id="1799" w:name="_Toc418518397"/>
      <w:bookmarkStart w:id="1800" w:name="_Toc497746832"/>
      <w:bookmarkStart w:id="1801" w:name="_Toc497747229"/>
      <w:bookmarkStart w:id="1802" w:name="_Toc418061362"/>
      <w:r>
        <w:rPr>
          <w:rFonts w:hint="eastAsia" w:ascii="宋体" w:cs="宋体"/>
          <w:color w:val="auto"/>
          <w:highlight w:val="none"/>
        </w:rPr>
        <w:t>12.2 预付款</w:t>
      </w:r>
      <w:bookmarkEnd w:id="1773"/>
      <w:bookmarkEnd w:id="1774"/>
      <w:bookmarkEnd w:id="1775"/>
      <w:bookmarkEnd w:id="1792"/>
      <w:bookmarkEnd w:id="1793"/>
      <w:bookmarkEnd w:id="1794"/>
      <w:bookmarkEnd w:id="1795"/>
      <w:bookmarkEnd w:id="1796"/>
      <w:bookmarkEnd w:id="1797"/>
      <w:bookmarkEnd w:id="1798"/>
      <w:bookmarkEnd w:id="1799"/>
      <w:bookmarkEnd w:id="1800"/>
      <w:bookmarkEnd w:id="1801"/>
      <w:bookmarkEnd w:id="1802"/>
    </w:p>
    <w:bookmarkEnd w:id="1776"/>
    <w:bookmarkEnd w:id="1777"/>
    <w:bookmarkEnd w:id="1778"/>
    <w:bookmarkEnd w:id="1779"/>
    <w:bookmarkEnd w:id="1780"/>
    <w:bookmarkEnd w:id="1781"/>
    <w:p w14:paraId="6085011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1854245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30%【备注：政府投资项目应严格执行工程预付款制度，工程预付款应不低于合同总价（扣除暂列金额）的 10%（最高不超过 30%，并与工程进度款分期按约定比例抵扣）】</w:t>
      </w:r>
      <w:r>
        <w:rPr>
          <w:rFonts w:hint="eastAsia" w:ascii="宋体" w:hAnsi="宋体" w:cs="宋体"/>
          <w:color w:val="auto"/>
          <w:szCs w:val="21"/>
          <w:highlight w:val="none"/>
        </w:rPr>
        <w:t>。</w:t>
      </w:r>
    </w:p>
    <w:p w14:paraId="62DA21AB">
      <w:pPr>
        <w:pStyle w:val="23"/>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4CC49B6C">
      <w:pPr>
        <w:pStyle w:val="23"/>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p>
    <w:p w14:paraId="020F637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2A8D6E11">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3059F0B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9F18F2C">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预付款担保格式见合同附件9。</w:t>
      </w:r>
    </w:p>
    <w:bookmarkEnd w:id="1782"/>
    <w:bookmarkEnd w:id="1783"/>
    <w:bookmarkEnd w:id="1784"/>
    <w:bookmarkEnd w:id="1785"/>
    <w:bookmarkEnd w:id="1786"/>
    <w:bookmarkEnd w:id="1787"/>
    <w:bookmarkEnd w:id="1788"/>
    <w:bookmarkEnd w:id="1789"/>
    <w:bookmarkEnd w:id="1790"/>
    <w:bookmarkEnd w:id="1791"/>
    <w:p w14:paraId="74C2398F">
      <w:pPr>
        <w:pStyle w:val="38"/>
        <w:spacing w:line="380" w:lineRule="exact"/>
        <w:ind w:firstLine="422" w:firstLineChars="200"/>
        <w:rPr>
          <w:rFonts w:ascii="宋体" w:cs="宋体"/>
          <w:color w:val="auto"/>
          <w:highlight w:val="none"/>
        </w:rPr>
      </w:pPr>
      <w:bookmarkStart w:id="1803" w:name="_Toc418518398"/>
      <w:bookmarkStart w:id="1804" w:name="_Toc418518162"/>
      <w:bookmarkStart w:id="1805" w:name="_Toc373227751"/>
      <w:bookmarkStart w:id="1806" w:name="_Toc497746833"/>
      <w:bookmarkStart w:id="1807" w:name="_Toc418752294"/>
      <w:bookmarkStart w:id="1808" w:name="_Toc256000230"/>
      <w:bookmarkStart w:id="1809" w:name="_Toc497747230"/>
      <w:bookmarkStart w:id="1810" w:name="_Toc373478398"/>
      <w:bookmarkStart w:id="1811" w:name="_Toc418061363"/>
      <w:bookmarkStart w:id="1812" w:name="_Toc403578986"/>
      <w:bookmarkStart w:id="1813" w:name="_Toc522201779"/>
      <w:bookmarkStart w:id="1814" w:name="_Toc14203"/>
      <w:bookmarkStart w:id="1815" w:name="_Toc418751848"/>
      <w:bookmarkStart w:id="1816" w:name="_Toc389065316"/>
      <w:r>
        <w:rPr>
          <w:rFonts w:hint="eastAsia" w:ascii="宋体" w:cs="宋体"/>
          <w:color w:val="auto"/>
          <w:highlight w:val="none"/>
        </w:rPr>
        <w:t>12.3 计量</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143CC306">
      <w:pPr>
        <w:pStyle w:val="23"/>
        <w:spacing w:line="380" w:lineRule="exact"/>
        <w:ind w:firstLine="420" w:firstLineChars="200"/>
        <w:jc w:val="left"/>
        <w:rPr>
          <w:rFonts w:ascii="宋体" w:hAnsi="宋体" w:cs="宋体"/>
          <w:color w:val="auto"/>
          <w:szCs w:val="21"/>
          <w:highlight w:val="none"/>
        </w:rPr>
      </w:pPr>
      <w:bookmarkStart w:id="1817" w:name="_Toc497746834"/>
      <w:bookmarkStart w:id="1818" w:name="_Toc418751849"/>
      <w:bookmarkStart w:id="1819" w:name="_Toc418518399"/>
      <w:bookmarkStart w:id="1820" w:name="_Toc403578987"/>
      <w:bookmarkStart w:id="1821" w:name="_Toc418518163"/>
      <w:bookmarkStart w:id="1822" w:name="_Toc418752295"/>
      <w:bookmarkStart w:id="1823" w:name="_Toc418061364"/>
      <w:bookmarkStart w:id="1824" w:name="_Toc373227752"/>
      <w:bookmarkStart w:id="1825" w:name="_Toc497747231"/>
      <w:bookmarkStart w:id="1826" w:name="_Toc373478399"/>
      <w:bookmarkStart w:id="1827" w:name="_Toc389065317"/>
      <w:r>
        <w:rPr>
          <w:rFonts w:hint="eastAsia" w:ascii="宋体" w:hAnsi="宋体" w:cs="宋体"/>
          <w:color w:val="auto"/>
          <w:szCs w:val="21"/>
          <w:highlight w:val="none"/>
        </w:rPr>
        <w:t xml:space="preserve">12.3.1 计量原则 </w:t>
      </w:r>
    </w:p>
    <w:p w14:paraId="19B77953">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cs="宋体"/>
          <w:color w:val="auto"/>
          <w:szCs w:val="21"/>
          <w:highlight w:val="none"/>
        </w:rPr>
        <w:t xml:space="preserve"> </w:t>
      </w:r>
    </w:p>
    <w:p w14:paraId="75654B67">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12.3.2 计量周期 </w:t>
      </w:r>
    </w:p>
    <w:p w14:paraId="27ACC946">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承包人每月25日前向监理人报送上月20日至本月19日完成的工程量报告，并附具进度款申请单、已完成工程量报表和有关资料</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10AA9C99">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12.3.3 单价合同的计量 </w:t>
      </w:r>
    </w:p>
    <w:p w14:paraId="52CB06E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 (1) </w:t>
      </w:r>
      <w:r>
        <w:rPr>
          <w:rFonts w:ascii="宋体" w:hAnsi="宋体" w:cs="宋体"/>
          <w:color w:val="auto"/>
          <w:szCs w:val="21"/>
          <w:highlight w:val="none"/>
          <w:u w:val="single"/>
        </w:rPr>
        <w:t>工程量清单所列的工程量，不能作为承包人按合同履行其责任依据，实际施工中发生的工程量增加或减少并不影响承包人履行合同的责任，工程结算以完成的实际工程量为准</w:t>
      </w:r>
      <w:r>
        <w:rPr>
          <w:rFonts w:hint="eastAsia" w:ascii="宋体" w:hAnsi="宋体" w:cs="宋体"/>
          <w:color w:val="auto"/>
          <w:szCs w:val="21"/>
          <w:highlight w:val="none"/>
          <w:u w:val="single"/>
        </w:rPr>
        <w:t xml:space="preserve">。(2) </w:t>
      </w:r>
      <w:r>
        <w:rPr>
          <w:rFonts w:ascii="宋体" w:hAnsi="宋体" w:cs="宋体"/>
          <w:color w:val="auto"/>
          <w:szCs w:val="21"/>
          <w:highlight w:val="none"/>
          <w:u w:val="single"/>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cs="宋体"/>
          <w:color w:val="auto"/>
          <w:szCs w:val="21"/>
          <w:highlight w:val="none"/>
        </w:rPr>
        <w:t xml:space="preserve">。 </w:t>
      </w:r>
    </w:p>
    <w:p w14:paraId="78380929">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12.3.4 总价合同的计量 </w:t>
      </w:r>
    </w:p>
    <w:p w14:paraId="5918D58E">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E4238F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 总价合同采用支付分解表计量支付的，是否适用第 12.3.4 项〔总价合同的计量〕约定进行计量：</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 xml:space="preserve">。 </w:t>
      </w:r>
    </w:p>
    <w:p w14:paraId="3D88DAF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12.3.6 其他价格形式合同的计量 </w:t>
      </w:r>
    </w:p>
    <w:p w14:paraId="0E232D3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 xml:space="preserve">。 </w:t>
      </w:r>
    </w:p>
    <w:p w14:paraId="1C73C891">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 工程进度款支付</w:t>
      </w:r>
      <w:bookmarkEnd w:id="1817"/>
      <w:bookmarkEnd w:id="1818"/>
      <w:bookmarkEnd w:id="1819"/>
      <w:bookmarkEnd w:id="1820"/>
      <w:bookmarkEnd w:id="1821"/>
      <w:bookmarkEnd w:id="1822"/>
      <w:bookmarkEnd w:id="1823"/>
      <w:bookmarkEnd w:id="1824"/>
      <w:bookmarkEnd w:id="1825"/>
      <w:bookmarkEnd w:id="1826"/>
      <w:bookmarkEnd w:id="1827"/>
    </w:p>
    <w:p w14:paraId="62FF1F5C">
      <w:pPr>
        <w:pStyle w:val="23"/>
        <w:spacing w:line="380" w:lineRule="exact"/>
        <w:ind w:firstLine="420" w:firstLineChars="200"/>
        <w:jc w:val="left"/>
        <w:rPr>
          <w:rFonts w:ascii="宋体" w:hAnsi="宋体" w:cs="宋体"/>
          <w:color w:val="auto"/>
          <w:szCs w:val="21"/>
          <w:highlight w:val="none"/>
        </w:rPr>
      </w:pPr>
      <w:bookmarkStart w:id="1828" w:name="_Toc292559921"/>
      <w:bookmarkStart w:id="1829" w:name="_Toc296944550"/>
      <w:bookmarkStart w:id="1830" w:name="_Toc296346712"/>
      <w:bookmarkStart w:id="1831" w:name="_Toc297120511"/>
      <w:bookmarkStart w:id="1832" w:name="_Toc296891039"/>
      <w:bookmarkStart w:id="1833" w:name="_Toc300935006"/>
      <w:bookmarkStart w:id="1834" w:name="_Toc296347210"/>
      <w:bookmarkStart w:id="1835" w:name="_Toc303539163"/>
      <w:bookmarkStart w:id="1836" w:name="_Toc297048397"/>
      <w:bookmarkStart w:id="1837" w:name="_Toc297216215"/>
      <w:bookmarkStart w:id="1838" w:name="_Toc297123556"/>
      <w:bookmarkStart w:id="1839" w:name="_Toc296891251"/>
      <w:bookmarkStart w:id="1840" w:name="_Toc292559416"/>
      <w:bookmarkStart w:id="1841" w:name="_Toc296503211"/>
      <w:r>
        <w:rPr>
          <w:rFonts w:hint="eastAsia" w:ascii="宋体" w:hAnsi="宋体" w:cs="宋体"/>
          <w:color w:val="auto"/>
          <w:szCs w:val="21"/>
          <w:highlight w:val="none"/>
        </w:rPr>
        <w:t>12.4.1 付款周期</w:t>
      </w:r>
    </w:p>
    <w:p w14:paraId="06A036D8">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jc w:val="left"/>
        <w:textAlignment w:val="auto"/>
        <w:rPr>
          <w:rFonts w:hint="eastAsia"/>
          <w:color w:val="auto"/>
          <w:highlight w:val="none"/>
          <w:u w:val="single"/>
          <w:lang w:eastAsia="zh-CN"/>
        </w:rPr>
      </w:pPr>
      <w:r>
        <w:rPr>
          <w:rFonts w:hint="eastAsia" w:ascii="宋体" w:hAnsi="宋体" w:cs="宋体"/>
          <w:color w:val="auto"/>
          <w:szCs w:val="21"/>
          <w:highlight w:val="none"/>
        </w:rPr>
        <w:t>关于付款周期的约定：</w:t>
      </w:r>
      <w:r>
        <w:rPr>
          <w:rFonts w:hint="eastAsia"/>
          <w:color w:val="auto"/>
          <w:highlight w:val="none"/>
          <w:u w:val="single"/>
          <w:lang w:eastAsia="zh-CN"/>
        </w:rPr>
        <w:t>签订合同7个工作日内，甲方预付合同总价30%工程款，待工程量完成80%时拨付合同总价60%进度款，工程量完成100%时拨付合同总价</w:t>
      </w:r>
      <w:r>
        <w:rPr>
          <w:rFonts w:hint="eastAsia"/>
          <w:color w:val="auto"/>
          <w:highlight w:val="none"/>
          <w:u w:val="single"/>
          <w:lang w:val="en-US" w:eastAsia="zh-CN"/>
        </w:rPr>
        <w:t>9</w:t>
      </w:r>
      <w:r>
        <w:rPr>
          <w:rFonts w:hint="eastAsia"/>
          <w:color w:val="auto"/>
          <w:highlight w:val="none"/>
          <w:u w:val="single"/>
          <w:lang w:eastAsia="zh-CN"/>
        </w:rPr>
        <w:t>0%工程款；工程完工验收达到质量要求，工程完工结算经第三方评审机构审定后，工程款支付至最终结算总造价的</w:t>
      </w:r>
      <w:r>
        <w:rPr>
          <w:rFonts w:hint="eastAsia"/>
          <w:color w:val="auto"/>
          <w:highlight w:val="none"/>
          <w:u w:val="single"/>
          <w:lang w:val="en-US" w:eastAsia="zh-CN"/>
        </w:rPr>
        <w:t>97</w:t>
      </w:r>
      <w:r>
        <w:rPr>
          <w:rFonts w:hint="eastAsia"/>
          <w:color w:val="auto"/>
          <w:highlight w:val="none"/>
          <w:u w:val="single"/>
          <w:lang w:eastAsia="zh-CN"/>
        </w:rPr>
        <w:t>%；发包人按工程最终结算总造价的3%预留工程质量保修金，待工程质量保修期满后返还。</w:t>
      </w:r>
    </w:p>
    <w:p w14:paraId="678B787F">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每次付款前，承包人应按发包人的要求提供符合相关法律法规的增值税发票，如发票不符合要求，发包人有权拒收，承包人应承担因不合格发票产生的所有责任。</w:t>
      </w:r>
    </w:p>
    <w:p w14:paraId="315C386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51C5D399">
      <w:pPr>
        <w:pStyle w:val="23"/>
        <w:spacing w:line="380" w:lineRule="exact"/>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bCs/>
          <w:color w:val="auto"/>
          <w:szCs w:val="21"/>
          <w:highlight w:val="none"/>
          <w:u w:val="single"/>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0D4FEE5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r>
        <w:rPr>
          <w:rFonts w:hint="eastAsia" w:ascii="宋体" w:hAnsi="宋体" w:cs="宋体"/>
          <w:color w:val="auto"/>
          <w:szCs w:val="21"/>
          <w:highlight w:val="none"/>
        </w:rPr>
        <w:t>2.4.3 进度付款申请单的提交</w:t>
      </w:r>
    </w:p>
    <w:p w14:paraId="44D961D4">
      <w:pPr>
        <w:pStyle w:val="23"/>
        <w:spacing w:line="380" w:lineRule="exact"/>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（1）单价合同进度付款申请单提交的约定：</w:t>
      </w:r>
      <w:r>
        <w:rPr>
          <w:rFonts w:hint="eastAsia" w:ascii="宋体" w:hAnsi="宋体" w:cs="宋体"/>
          <w:bCs/>
          <w:color w:val="auto"/>
          <w:szCs w:val="21"/>
          <w:highlight w:val="none"/>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2BF693F3">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A7BA5A2">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0EB8446">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08D16E64">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监理人收到承包人进度付款申请单以及相关资料后 7 天内完成审查并报送发包人</w:t>
      </w:r>
      <w:r>
        <w:rPr>
          <w:rFonts w:hint="eastAsia" w:ascii="宋体" w:hAnsi="宋体" w:cs="宋体"/>
          <w:color w:val="auto"/>
          <w:szCs w:val="21"/>
          <w:highlight w:val="none"/>
        </w:rPr>
        <w:t>。</w:t>
      </w:r>
    </w:p>
    <w:p w14:paraId="42806116">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收到后 7 天内完成审批并签发</w:t>
      </w:r>
      <w:r>
        <w:rPr>
          <w:rFonts w:hint="eastAsia" w:ascii="宋体" w:hAnsi="宋体" w:cs="宋体"/>
          <w:color w:val="auto"/>
          <w:szCs w:val="21"/>
          <w:highlight w:val="none"/>
        </w:rPr>
        <w:t>。</w:t>
      </w:r>
    </w:p>
    <w:p w14:paraId="24A3C14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办理相关付款手续后的7天内 </w:t>
      </w:r>
      <w:r>
        <w:rPr>
          <w:rFonts w:hint="eastAsia" w:ascii="宋体" w:hAnsi="宋体" w:cs="宋体"/>
          <w:color w:val="auto"/>
          <w:szCs w:val="21"/>
          <w:highlight w:val="none"/>
        </w:rPr>
        <w:t>。</w:t>
      </w:r>
    </w:p>
    <w:p w14:paraId="628CFA4D">
      <w:pPr>
        <w:pStyle w:val="23"/>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B336813">
      <w:pPr>
        <w:pStyle w:val="23"/>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w:t>
      </w:r>
    </w:p>
    <w:p w14:paraId="6D5BF1A0">
      <w:pPr>
        <w:pStyle w:val="23"/>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39AEE6E5">
      <w:pPr>
        <w:pStyle w:val="23"/>
        <w:spacing w:line="380" w:lineRule="exact"/>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2. 总价合同支付分解表的编制与审批：</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B1DF19C">
      <w:pPr>
        <w:pStyle w:val="23"/>
        <w:spacing w:line="380" w:lineRule="exact"/>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3. 单价合同的总价项目支付分解表的编制与审批：</w:t>
      </w:r>
      <w:r>
        <w:rPr>
          <w:rFonts w:hint="eastAsia" w:ascii="宋体" w:hAnsi="宋体" w:cs="宋体"/>
          <w:color w:val="auto"/>
          <w:szCs w:val="21"/>
          <w:highlight w:val="none"/>
          <w:u w:val="single"/>
        </w:rPr>
        <w:t>单价项目不采用支付分解表的方式计算，而按《建设工程工程量清单计价规范（GB50500-2013）广西壮族自治区实施细则（修订本）》的规定执行。</w:t>
      </w:r>
    </w:p>
    <w:bookmarkEnd w:id="1500"/>
    <w:p w14:paraId="188E533A">
      <w:pPr>
        <w:pStyle w:val="38"/>
        <w:spacing w:line="380" w:lineRule="exact"/>
        <w:rPr>
          <w:rFonts w:ascii="宋体" w:cs="宋体"/>
          <w:color w:val="auto"/>
          <w:highlight w:val="none"/>
        </w:rPr>
      </w:pPr>
      <w:bookmarkStart w:id="1842" w:name="_Toc418751850"/>
      <w:bookmarkStart w:id="1843" w:name="_Toc418061365"/>
      <w:bookmarkStart w:id="1844" w:name="_Toc418518164"/>
      <w:bookmarkStart w:id="1845" w:name="_Toc418752296"/>
      <w:bookmarkStart w:id="1846" w:name="_Toc418518400"/>
      <w:bookmarkStart w:id="1847" w:name="_Toc30972"/>
      <w:bookmarkStart w:id="1848" w:name="_Toc373227753"/>
      <w:bookmarkStart w:id="1849" w:name="_Toc373478400"/>
      <w:bookmarkStart w:id="1850" w:name="_Toc256000231"/>
      <w:bookmarkStart w:id="1851" w:name="_Toc497746835"/>
      <w:bookmarkStart w:id="1852" w:name="_Toc497747232"/>
      <w:bookmarkStart w:id="1853" w:name="_Toc389065318"/>
      <w:bookmarkStart w:id="1854" w:name="_Toc403578988"/>
      <w:bookmarkStart w:id="1855" w:name="_Toc522201780"/>
      <w:bookmarkStart w:id="1856" w:name="_Toc351203645"/>
      <w:bookmarkStart w:id="1857" w:name="_Toc296346720"/>
      <w:bookmarkStart w:id="1858" w:name="_Toc312678053"/>
      <w:bookmarkStart w:id="1859" w:name="_Toc296891259"/>
      <w:bookmarkStart w:id="1860" w:name="_Toc300935015"/>
      <w:bookmarkStart w:id="1861" w:name="_Toc297120519"/>
      <w:bookmarkStart w:id="1862" w:name="_Toc296503219"/>
      <w:bookmarkStart w:id="1863" w:name="_Toc297216223"/>
      <w:bookmarkStart w:id="1864" w:name="_Toc292559929"/>
      <w:bookmarkStart w:id="1865" w:name="_Toc296944558"/>
      <w:bookmarkStart w:id="1866" w:name="_Toc292559424"/>
      <w:bookmarkStart w:id="1867" w:name="_Toc296891047"/>
      <w:bookmarkStart w:id="1868" w:name="_Toc303539172"/>
      <w:bookmarkStart w:id="1869" w:name="_Toc304295593"/>
      <w:bookmarkStart w:id="1870" w:name="_Toc297123564"/>
      <w:bookmarkStart w:id="1871" w:name="_Toc296347218"/>
      <w:bookmarkStart w:id="1872" w:name="_Toc297048405"/>
      <w:r>
        <w:rPr>
          <w:rFonts w:hint="eastAsia" w:ascii="宋体" w:cs="宋体"/>
          <w:color w:val="auto"/>
          <w:highlight w:val="none"/>
        </w:rPr>
        <w:t>13. 验收和工程试车</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14:paraId="3B14A3CB">
      <w:pPr>
        <w:pStyle w:val="38"/>
        <w:spacing w:line="380" w:lineRule="exact"/>
        <w:ind w:firstLine="422" w:firstLineChars="200"/>
        <w:rPr>
          <w:rFonts w:ascii="宋体" w:cs="宋体"/>
          <w:color w:val="auto"/>
          <w:highlight w:val="none"/>
        </w:rPr>
      </w:pPr>
      <w:bookmarkStart w:id="1873" w:name="_Toc497747233"/>
      <w:bookmarkStart w:id="1874" w:name="_Toc418518165"/>
      <w:bookmarkStart w:id="1875" w:name="_Toc418061366"/>
      <w:bookmarkStart w:id="1876" w:name="_Toc418751851"/>
      <w:bookmarkStart w:id="1877" w:name="_Toc418752297"/>
      <w:bookmarkStart w:id="1878" w:name="_Toc389065319"/>
      <w:bookmarkStart w:id="1879" w:name="_Toc19468"/>
      <w:bookmarkStart w:id="1880" w:name="_Toc256000232"/>
      <w:bookmarkStart w:id="1881" w:name="_Toc373478401"/>
      <w:bookmarkStart w:id="1882" w:name="_Toc418518401"/>
      <w:bookmarkStart w:id="1883" w:name="_Toc373227754"/>
      <w:bookmarkStart w:id="1884" w:name="_Toc403578989"/>
      <w:bookmarkStart w:id="1885" w:name="_Toc497746836"/>
      <w:bookmarkStart w:id="1886" w:name="_Toc522201781"/>
      <w:r>
        <w:rPr>
          <w:rFonts w:hint="eastAsia" w:ascii="宋体" w:cs="宋体"/>
          <w:color w:val="auto"/>
          <w:highlight w:val="none"/>
        </w:rPr>
        <w:t>13.1 分部分项工程验收</w:t>
      </w:r>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p>
    <w:p w14:paraId="42D4304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4AD06B9F">
      <w:pPr>
        <w:pStyle w:val="23"/>
        <w:spacing w:line="38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50A92482">
      <w:pPr>
        <w:pStyle w:val="38"/>
        <w:spacing w:line="380" w:lineRule="exact"/>
        <w:ind w:firstLine="422" w:firstLineChars="200"/>
        <w:rPr>
          <w:rFonts w:ascii="宋体" w:cs="宋体"/>
          <w:color w:val="auto"/>
          <w:highlight w:val="none"/>
        </w:rPr>
      </w:pPr>
      <w:bookmarkStart w:id="1887" w:name="_Toc403578990"/>
      <w:bookmarkStart w:id="1888" w:name="_Toc373227755"/>
      <w:bookmarkStart w:id="1889" w:name="_Toc418061367"/>
      <w:bookmarkStart w:id="1890" w:name="_Toc418752298"/>
      <w:bookmarkStart w:id="1891" w:name="_Toc418751852"/>
      <w:bookmarkStart w:id="1892" w:name="_Toc497747234"/>
      <w:bookmarkStart w:id="1893" w:name="_Toc373478402"/>
      <w:bookmarkStart w:id="1894" w:name="_Toc256000233"/>
      <w:bookmarkStart w:id="1895" w:name="_Toc389065320"/>
      <w:bookmarkStart w:id="1896" w:name="_Toc418518402"/>
      <w:bookmarkStart w:id="1897" w:name="_Toc497746837"/>
      <w:bookmarkStart w:id="1898" w:name="_Toc418518166"/>
      <w:bookmarkStart w:id="1899" w:name="_Toc522201782"/>
      <w:bookmarkStart w:id="1900" w:name="_Toc7508"/>
      <w:bookmarkStart w:id="1901" w:name="_Toc304295596"/>
      <w:bookmarkStart w:id="1902" w:name="_Toc297216224"/>
      <w:bookmarkStart w:id="1903" w:name="_Toc297120523"/>
      <w:bookmarkStart w:id="1904" w:name="_Toc296503223"/>
      <w:bookmarkStart w:id="1905" w:name="_Toc300935016"/>
      <w:bookmarkStart w:id="1906" w:name="_Toc297123565"/>
      <w:bookmarkStart w:id="1907" w:name="_Toc292559428"/>
      <w:bookmarkStart w:id="1908" w:name="_Toc292559933"/>
      <w:bookmarkStart w:id="1909" w:name="_Toc296346724"/>
      <w:bookmarkStart w:id="1910" w:name="_Toc296891051"/>
      <w:bookmarkStart w:id="1911" w:name="_Toc296891263"/>
      <w:bookmarkStart w:id="1912" w:name="_Toc312678056"/>
      <w:bookmarkStart w:id="1913" w:name="_Toc296347222"/>
      <w:bookmarkStart w:id="1914" w:name="_Toc296944562"/>
      <w:bookmarkStart w:id="1915" w:name="_Toc297048409"/>
      <w:bookmarkStart w:id="1916" w:name="_Toc303539173"/>
      <w:bookmarkStart w:id="1917" w:name="_Toc267251474"/>
      <w:bookmarkStart w:id="1918" w:name="_Toc267251472"/>
      <w:bookmarkStart w:id="1919" w:name="_Toc267251476"/>
      <w:bookmarkStart w:id="1920" w:name="_Toc267251473"/>
      <w:bookmarkStart w:id="1921" w:name="_Toc267251470"/>
      <w:bookmarkStart w:id="1922" w:name="_Toc267251475"/>
      <w:bookmarkStart w:id="1923" w:name="_Toc267251471"/>
      <w:r>
        <w:rPr>
          <w:rFonts w:hint="eastAsia" w:ascii="宋体" w:cs="宋体"/>
          <w:color w:val="auto"/>
          <w:highlight w:val="none"/>
        </w:rPr>
        <w:t>13.2 竣工验收</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14:paraId="06954C72">
      <w:pPr>
        <w:pStyle w:val="23"/>
        <w:spacing w:line="380" w:lineRule="exact"/>
        <w:ind w:firstLine="420" w:firstLineChars="200"/>
        <w:jc w:val="left"/>
        <w:rPr>
          <w:rFonts w:ascii="宋体" w:hAnsi="宋体" w:cs="宋体"/>
          <w:color w:val="auto"/>
          <w:szCs w:val="21"/>
          <w:highlight w:val="none"/>
        </w:rPr>
      </w:pPr>
      <w:bookmarkStart w:id="1924" w:name="_Toc280868704"/>
      <w:bookmarkStart w:id="1925" w:name="_Toc280868705"/>
      <w:bookmarkStart w:id="1926" w:name="_Toc280868706"/>
      <w:bookmarkStart w:id="1927" w:name="_Toc280868707"/>
      <w:bookmarkStart w:id="1928" w:name="_Toc280868708"/>
      <w:bookmarkStart w:id="1929" w:name="_Toc280868709"/>
      <w:r>
        <w:rPr>
          <w:rFonts w:hint="eastAsia" w:ascii="宋体" w:hAnsi="宋体" w:cs="宋体"/>
          <w:color w:val="auto"/>
          <w:szCs w:val="21"/>
          <w:highlight w:val="none"/>
        </w:rPr>
        <w:t>13.2.1竣工验收条件</w:t>
      </w:r>
    </w:p>
    <w:p w14:paraId="699AAB8B">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1、工程具备竣工验收条件，承包人按工期竣工验收有关规定，向发包人提交符合桂林市城建档案馆归档要求内容装订成册的完整竣工资料及竣工验收报告、工程竣工图。2、承包人所提交的竣工资料必须符合《建设工程归档整理规范》要求，并在结算审批时出具《工程档案验收合格证明》及建设单位接收档案资料清单证明   </w:t>
      </w:r>
      <w:r>
        <w:rPr>
          <w:rFonts w:hint="eastAsia" w:ascii="宋体" w:hAnsi="宋体" w:cs="宋体"/>
          <w:color w:val="auto"/>
          <w:szCs w:val="21"/>
          <w:highlight w:val="none"/>
        </w:rPr>
        <w:t>。</w:t>
      </w:r>
    </w:p>
    <w:p w14:paraId="6C0201AC">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肆份，承包人承担竣工验收资料编制、立卷及至档案馆归档等一切费用</w:t>
      </w:r>
      <w:r>
        <w:rPr>
          <w:rFonts w:hint="eastAsia" w:ascii="宋体" w:hAnsi="宋体" w:cs="宋体"/>
          <w:color w:val="auto"/>
          <w:szCs w:val="21"/>
          <w:highlight w:val="none"/>
        </w:rPr>
        <w:t>。</w:t>
      </w:r>
    </w:p>
    <w:p w14:paraId="711138C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承包人提供竣工图的约定：</w:t>
      </w:r>
      <w:r>
        <w:rPr>
          <w:rFonts w:hint="eastAsia" w:ascii="宋体" w:hAnsi="宋体" w:cs="宋体"/>
          <w:bCs/>
          <w:color w:val="auto"/>
          <w:szCs w:val="21"/>
          <w:highlight w:val="none"/>
          <w:u w:val="single"/>
        </w:rPr>
        <w:t>竣工验收正式通过后15天，提供4套竣工图。</w:t>
      </w:r>
    </w:p>
    <w:p w14:paraId="47210C5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13.2.2竣工验收程序</w:t>
      </w:r>
    </w:p>
    <w:bookmarkEnd w:id="1924"/>
    <w:p w14:paraId="5147CA6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u w:val="single"/>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14:paraId="72215C5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1925"/>
    <w:p w14:paraId="1A3555D2">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1926"/>
    <w:p w14:paraId="5FAB989D">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竣工验收整改完毕三日内 </w:t>
      </w:r>
      <w:r>
        <w:rPr>
          <w:rFonts w:hint="eastAsia" w:ascii="宋体" w:hAnsi="宋体" w:cs="宋体"/>
          <w:color w:val="auto"/>
          <w:szCs w:val="21"/>
          <w:highlight w:val="none"/>
        </w:rPr>
        <w:t>。</w:t>
      </w:r>
    </w:p>
    <w:p w14:paraId="2BC966E9">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每逾期一天，按</w:t>
      </w:r>
      <w:r>
        <w:rPr>
          <w:rFonts w:hint="eastAsia" w:ascii="宋体" w:hAnsi="宋体" w:cs="宋体"/>
          <w:color w:val="auto"/>
          <w:szCs w:val="21"/>
          <w:highlight w:val="none"/>
          <w:u w:val="single"/>
          <w:lang w:val="zh-CN"/>
        </w:rPr>
        <w:t>签约合同价</w:t>
      </w:r>
      <w:r>
        <w:rPr>
          <w:rFonts w:hint="eastAsia" w:ascii="宋体" w:hAnsi="宋体" w:cs="宋体"/>
          <w:color w:val="auto"/>
          <w:szCs w:val="21"/>
          <w:highlight w:val="none"/>
          <w:u w:val="single"/>
        </w:rPr>
        <w:t>款扣除社会保险费、发包人材料价款、暂估专业工程、暂列金额后的万分之四/天</w:t>
      </w:r>
      <w:r>
        <w:rPr>
          <w:rFonts w:hint="eastAsia" w:ascii="宋体" w:hAnsi="宋体" w:cs="宋体"/>
          <w:bCs/>
          <w:color w:val="auto"/>
          <w:szCs w:val="21"/>
          <w:highlight w:val="none"/>
          <w:u w:val="single"/>
        </w:rPr>
        <w:t>支付违约金，最高限额为结算价的</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w:t>
      </w:r>
    </w:p>
    <w:bookmarkEnd w:id="1927"/>
    <w:p w14:paraId="7E0C09F0">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每逾期一天</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val="zh-CN"/>
        </w:rPr>
        <w:t>签约合同价</w:t>
      </w:r>
      <w:r>
        <w:rPr>
          <w:rFonts w:hint="eastAsia" w:ascii="宋体" w:hAnsi="宋体" w:cs="宋体"/>
          <w:color w:val="auto"/>
          <w:szCs w:val="21"/>
          <w:highlight w:val="none"/>
          <w:u w:val="single"/>
        </w:rPr>
        <w:t xml:space="preserve">款扣除社会保险费、发包人材料价款、暂估专业工程、暂列金额后的万分之四/天支付违约金，最高限额为结算价的3%  </w:t>
      </w:r>
      <w:r>
        <w:rPr>
          <w:rFonts w:hint="eastAsia" w:ascii="宋体" w:hAnsi="宋体" w:cs="宋体"/>
          <w:color w:val="auto"/>
          <w:szCs w:val="21"/>
          <w:highlight w:val="none"/>
        </w:rPr>
        <w:t>。</w:t>
      </w:r>
    </w:p>
    <w:p w14:paraId="2294C062">
      <w:pPr>
        <w:pStyle w:val="38"/>
        <w:spacing w:line="380" w:lineRule="exact"/>
        <w:ind w:firstLine="422" w:firstLineChars="200"/>
        <w:rPr>
          <w:rFonts w:ascii="宋体" w:cs="宋体"/>
          <w:color w:val="auto"/>
          <w:highlight w:val="none"/>
        </w:rPr>
      </w:pPr>
      <w:bookmarkStart w:id="1930" w:name="_Toc522201783"/>
      <w:bookmarkStart w:id="1931" w:name="_Toc22147"/>
      <w:bookmarkStart w:id="1932" w:name="_Toc403578991"/>
      <w:bookmarkStart w:id="1933" w:name="_Toc497747235"/>
      <w:bookmarkStart w:id="1934" w:name="_Toc373478403"/>
      <w:bookmarkStart w:id="1935" w:name="_Toc418518403"/>
      <w:bookmarkStart w:id="1936" w:name="_Toc373227756"/>
      <w:bookmarkStart w:id="1937" w:name="_Toc389065321"/>
      <w:bookmarkStart w:id="1938" w:name="_Toc418518167"/>
      <w:bookmarkStart w:id="1939" w:name="_Toc418752299"/>
      <w:bookmarkStart w:id="1940" w:name="_Toc256000234"/>
      <w:bookmarkStart w:id="1941" w:name="_Toc418751853"/>
      <w:bookmarkStart w:id="1942" w:name="_Toc418061368"/>
      <w:bookmarkStart w:id="1943" w:name="_Toc497746838"/>
      <w:r>
        <w:rPr>
          <w:rFonts w:hint="eastAsia" w:ascii="宋体" w:cs="宋体"/>
          <w:color w:val="auto"/>
          <w:highlight w:val="none"/>
        </w:rPr>
        <w:t>13.3 工程试车</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bookmarkEnd w:id="1928"/>
    <w:p w14:paraId="14FBD72B">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4A87DEDB">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为达到本工程的验收标准，工程范围内的设施和承包人安装的设备应进行试运行调试，费用由承包人自行负责并已包括在投标报价中 </w:t>
      </w:r>
      <w:r>
        <w:rPr>
          <w:rFonts w:hint="eastAsia" w:ascii="宋体" w:hAnsi="宋体" w:cs="宋体"/>
          <w:color w:val="auto"/>
          <w:szCs w:val="21"/>
          <w:highlight w:val="none"/>
        </w:rPr>
        <w:t>。</w:t>
      </w:r>
    </w:p>
    <w:p w14:paraId="66E56FE1">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承包人组织试运行，费用由承包人</w:t>
      </w:r>
      <w:r>
        <w:rPr>
          <w:rFonts w:hint="eastAsia" w:ascii="宋体" w:hAnsi="宋体" w:cs="宋体"/>
          <w:color w:val="auto"/>
          <w:kern w:val="0"/>
          <w:szCs w:val="21"/>
          <w:highlight w:val="none"/>
        </w:rPr>
        <w:t>承担；</w:t>
      </w:r>
    </w:p>
    <w:p w14:paraId="2547FF8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承包人组织试运行，费用由承包人</w:t>
      </w:r>
      <w:r>
        <w:rPr>
          <w:rFonts w:hint="eastAsia" w:ascii="宋体" w:hAnsi="宋体" w:cs="宋体"/>
          <w:color w:val="auto"/>
          <w:kern w:val="0"/>
          <w:szCs w:val="21"/>
          <w:highlight w:val="none"/>
        </w:rPr>
        <w:t>承担。</w:t>
      </w:r>
    </w:p>
    <w:p w14:paraId="64BC3BEA">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23E5ED0D">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由承包人组织试运行，费用由承包人承担 </w:t>
      </w:r>
      <w:r>
        <w:rPr>
          <w:rFonts w:hint="eastAsia" w:ascii="宋体" w:hAnsi="宋体" w:cs="宋体"/>
          <w:color w:val="auto"/>
          <w:szCs w:val="21"/>
          <w:highlight w:val="none"/>
        </w:rPr>
        <w:t>。</w:t>
      </w:r>
    </w:p>
    <w:p w14:paraId="23D56F7B">
      <w:pPr>
        <w:pStyle w:val="38"/>
        <w:spacing w:line="380" w:lineRule="exact"/>
        <w:ind w:firstLine="422" w:firstLineChars="200"/>
        <w:rPr>
          <w:rFonts w:ascii="宋体" w:cs="宋体"/>
          <w:color w:val="auto"/>
          <w:highlight w:val="none"/>
        </w:rPr>
      </w:pPr>
      <w:bookmarkStart w:id="1944" w:name="_Toc418518404"/>
      <w:bookmarkStart w:id="1945" w:name="_Toc418061369"/>
      <w:bookmarkStart w:id="1946" w:name="_Toc418752300"/>
      <w:bookmarkStart w:id="1947" w:name="_Toc418751854"/>
      <w:bookmarkStart w:id="1948" w:name="_Toc497747236"/>
      <w:bookmarkStart w:id="1949" w:name="_Toc522201784"/>
      <w:bookmarkStart w:id="1950" w:name="_Toc373478404"/>
      <w:bookmarkStart w:id="1951" w:name="_Toc497746839"/>
      <w:bookmarkStart w:id="1952" w:name="_Toc373227757"/>
      <w:bookmarkStart w:id="1953" w:name="_Toc16016"/>
      <w:bookmarkStart w:id="1954" w:name="_Toc389065322"/>
      <w:bookmarkStart w:id="1955" w:name="_Toc256000235"/>
      <w:bookmarkStart w:id="1956" w:name="_Toc403578992"/>
      <w:bookmarkStart w:id="1957" w:name="_Toc418518168"/>
      <w:r>
        <w:rPr>
          <w:rFonts w:hint="eastAsia" w:ascii="宋体" w:cs="宋体"/>
          <w:color w:val="auto"/>
          <w:highlight w:val="none"/>
        </w:rPr>
        <w:t>13.6 竣工退场</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14:paraId="6058CC47">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05267810">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63C3DD8A">
      <w:pPr>
        <w:pStyle w:val="38"/>
        <w:spacing w:line="380" w:lineRule="exact"/>
        <w:rPr>
          <w:rFonts w:ascii="宋体" w:cs="宋体"/>
          <w:color w:val="auto"/>
          <w:highlight w:val="none"/>
        </w:rPr>
      </w:pPr>
      <w:bookmarkStart w:id="1958" w:name="_Toc15239"/>
      <w:bookmarkStart w:id="1959" w:name="_Toc373227758"/>
      <w:bookmarkStart w:id="1960" w:name="_Toc418751855"/>
      <w:bookmarkStart w:id="1961" w:name="_Toc403578993"/>
      <w:bookmarkStart w:id="1962" w:name="_Toc418518169"/>
      <w:bookmarkStart w:id="1963" w:name="_Toc389065323"/>
      <w:bookmarkStart w:id="1964" w:name="_Toc418061370"/>
      <w:bookmarkStart w:id="1965" w:name="_Toc418518405"/>
      <w:bookmarkStart w:id="1966" w:name="_Toc256000236"/>
      <w:bookmarkStart w:id="1967" w:name="_Toc418752301"/>
      <w:bookmarkStart w:id="1968" w:name="_Toc373478405"/>
      <w:bookmarkStart w:id="1969" w:name="_Toc522201785"/>
      <w:bookmarkStart w:id="1970" w:name="_Toc351203646"/>
      <w:bookmarkStart w:id="1971" w:name="_Toc497747237"/>
      <w:bookmarkStart w:id="1972" w:name="_Toc497746840"/>
      <w:r>
        <w:rPr>
          <w:rFonts w:hint="eastAsia" w:ascii="宋体" w:cs="宋体"/>
          <w:color w:val="auto"/>
          <w:highlight w:val="none"/>
        </w:rPr>
        <w:t>14. 竣工结算</w:t>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58330986">
      <w:pPr>
        <w:pStyle w:val="38"/>
        <w:spacing w:line="380" w:lineRule="exact"/>
        <w:ind w:firstLine="422" w:firstLineChars="200"/>
        <w:rPr>
          <w:rFonts w:ascii="宋体" w:cs="宋体"/>
          <w:color w:val="auto"/>
          <w:highlight w:val="none"/>
        </w:rPr>
      </w:pPr>
      <w:bookmarkStart w:id="1973" w:name="_Toc403578994"/>
      <w:bookmarkStart w:id="1974" w:name="_Toc497747238"/>
      <w:bookmarkStart w:id="1975" w:name="_Toc418518170"/>
      <w:bookmarkStart w:id="1976" w:name="_Toc418518406"/>
      <w:bookmarkStart w:id="1977" w:name="_Toc497746841"/>
      <w:bookmarkStart w:id="1978" w:name="_Toc522201786"/>
      <w:bookmarkStart w:id="1979" w:name="_Toc418751856"/>
      <w:bookmarkStart w:id="1980" w:name="_Toc373478406"/>
      <w:bookmarkStart w:id="1981" w:name="_Toc373227759"/>
      <w:bookmarkStart w:id="1982" w:name="_Toc418752302"/>
      <w:bookmarkStart w:id="1983" w:name="_Toc389065324"/>
      <w:bookmarkStart w:id="1984" w:name="_Toc418061371"/>
      <w:bookmarkStart w:id="1985" w:name="_Toc5496"/>
      <w:bookmarkStart w:id="1986" w:name="_Toc256000237"/>
      <w:r>
        <w:rPr>
          <w:rFonts w:hint="eastAsia" w:ascii="宋体" w:cs="宋体"/>
          <w:color w:val="auto"/>
          <w:highlight w:val="none"/>
        </w:rPr>
        <w:t>14.1 竣工结算申请</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14:paraId="071B7EF5">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具备竣工收条件后28天内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EA0DA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竣工结算申请单应包括的内容：</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竣工结算由承包人提交相关结算资料（主要包括合同、工程量计算书、结算书、变更设计通知单、签证单、竣工图）齐全后经监理初审、发包人审核后，</w:t>
      </w:r>
      <w:r>
        <w:rPr>
          <w:rFonts w:hint="eastAsia" w:ascii="宋体" w:hAnsi="宋体" w:cs="宋体"/>
          <w:color w:val="auto"/>
          <w:szCs w:val="21"/>
          <w:highlight w:val="none"/>
          <w:u w:val="single"/>
        </w:rPr>
        <w:t>最终结算以</w:t>
      </w:r>
      <w:r>
        <w:rPr>
          <w:rFonts w:hint="eastAsia" w:ascii="宋体" w:hAnsi="宋体" w:cs="宋体"/>
          <w:color w:val="auto"/>
          <w:szCs w:val="21"/>
          <w:highlight w:val="none"/>
          <w:u w:val="single"/>
          <w:lang w:eastAsia="zh-CN"/>
        </w:rPr>
        <w:t>财政局</w:t>
      </w:r>
      <w:r>
        <w:rPr>
          <w:rFonts w:hint="eastAsia" w:ascii="宋体" w:hAnsi="宋体" w:cs="宋体"/>
          <w:color w:val="auto"/>
          <w:szCs w:val="21"/>
          <w:highlight w:val="none"/>
          <w:u w:val="single"/>
        </w:rPr>
        <w:t xml:space="preserve">或发包人委托的造价咨询机构审定并经发包人及承包人双方确认的金额为准 </w:t>
      </w:r>
      <w:r>
        <w:rPr>
          <w:rFonts w:hint="eastAsia" w:ascii="宋体" w:hAnsi="宋体" w:cs="宋体"/>
          <w:color w:val="auto"/>
          <w:szCs w:val="21"/>
          <w:highlight w:val="none"/>
        </w:rPr>
        <w:t>。</w:t>
      </w:r>
    </w:p>
    <w:p w14:paraId="32ABC7F4">
      <w:pPr>
        <w:pStyle w:val="38"/>
        <w:spacing w:line="380" w:lineRule="exact"/>
        <w:ind w:firstLine="422" w:firstLineChars="200"/>
        <w:rPr>
          <w:rFonts w:ascii="宋体" w:cs="宋体"/>
          <w:color w:val="auto"/>
          <w:highlight w:val="none"/>
        </w:rPr>
      </w:pPr>
      <w:bookmarkStart w:id="1987" w:name="_Toc522201787"/>
      <w:bookmarkStart w:id="1988" w:name="_Toc389065325"/>
      <w:bookmarkStart w:id="1989" w:name="_Toc373227760"/>
      <w:bookmarkStart w:id="1990" w:name="_Toc418518171"/>
      <w:bookmarkStart w:id="1991" w:name="_Toc497747239"/>
      <w:bookmarkStart w:id="1992" w:name="_Toc418518407"/>
      <w:bookmarkStart w:id="1993" w:name="_Toc373478407"/>
      <w:bookmarkStart w:id="1994" w:name="_Toc418061372"/>
      <w:bookmarkStart w:id="1995" w:name="_Toc1173"/>
      <w:bookmarkStart w:id="1996" w:name="_Toc403578995"/>
      <w:bookmarkStart w:id="1997" w:name="_Toc256000238"/>
      <w:bookmarkStart w:id="1998" w:name="_Toc418751857"/>
      <w:bookmarkStart w:id="1999" w:name="_Toc418752303"/>
      <w:bookmarkStart w:id="2000" w:name="_Toc497746842"/>
      <w:r>
        <w:rPr>
          <w:rFonts w:hint="eastAsia" w:ascii="宋体" w:cs="宋体"/>
          <w:color w:val="auto"/>
          <w:highlight w:val="none"/>
        </w:rPr>
        <w:t>14.2 竣工结算审核</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p>
    <w:p w14:paraId="382C054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2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14:paraId="09D5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A086A41">
            <w:pPr>
              <w:pStyle w:val="23"/>
              <w:spacing w:line="380" w:lineRule="exact"/>
              <w:jc w:val="center"/>
              <w:rPr>
                <w:rFonts w:ascii="宋体" w:hAnsi="宋体" w:cs="宋体"/>
                <w:bCs/>
                <w:color w:val="auto"/>
                <w:szCs w:val="21"/>
                <w:highlight w:val="none"/>
              </w:rPr>
            </w:pPr>
          </w:p>
        </w:tc>
        <w:tc>
          <w:tcPr>
            <w:tcW w:w="2616" w:type="dxa"/>
            <w:noWrap w:val="0"/>
            <w:vAlign w:val="center"/>
          </w:tcPr>
          <w:p w14:paraId="4932DAFC">
            <w:pPr>
              <w:pStyle w:val="23"/>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817" w:type="dxa"/>
            <w:noWrap w:val="0"/>
            <w:vAlign w:val="center"/>
          </w:tcPr>
          <w:p w14:paraId="12E66DC9">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发包人审查时间</w:t>
            </w:r>
          </w:p>
        </w:tc>
      </w:tr>
      <w:tr w14:paraId="71F4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7BB19DC">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616" w:type="dxa"/>
            <w:noWrap w:val="0"/>
            <w:vAlign w:val="center"/>
          </w:tcPr>
          <w:p w14:paraId="05500662">
            <w:pPr>
              <w:pStyle w:val="23"/>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500万元以下</w:t>
            </w:r>
          </w:p>
        </w:tc>
        <w:tc>
          <w:tcPr>
            <w:tcW w:w="5817" w:type="dxa"/>
            <w:noWrap w:val="0"/>
            <w:vAlign w:val="center"/>
          </w:tcPr>
          <w:p w14:paraId="32307A41">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584B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3EFA0FE">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616" w:type="dxa"/>
            <w:noWrap w:val="0"/>
            <w:vAlign w:val="center"/>
          </w:tcPr>
          <w:p w14:paraId="35253A67">
            <w:pPr>
              <w:pStyle w:val="23"/>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500万元-2000万元</w:t>
            </w:r>
          </w:p>
        </w:tc>
        <w:tc>
          <w:tcPr>
            <w:tcW w:w="5817" w:type="dxa"/>
            <w:noWrap w:val="0"/>
            <w:vAlign w:val="center"/>
          </w:tcPr>
          <w:p w14:paraId="62CA5CF6">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29E3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DE6961A">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616" w:type="dxa"/>
            <w:noWrap w:val="0"/>
            <w:vAlign w:val="center"/>
          </w:tcPr>
          <w:p w14:paraId="26A949A4">
            <w:pPr>
              <w:pStyle w:val="23"/>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2000万元-5000万元</w:t>
            </w:r>
          </w:p>
        </w:tc>
        <w:tc>
          <w:tcPr>
            <w:tcW w:w="5817" w:type="dxa"/>
            <w:noWrap w:val="0"/>
            <w:vAlign w:val="center"/>
          </w:tcPr>
          <w:p w14:paraId="65335E55">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6EF8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17A4525">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616" w:type="dxa"/>
            <w:noWrap w:val="0"/>
            <w:vAlign w:val="center"/>
          </w:tcPr>
          <w:p w14:paraId="0D1E85E8">
            <w:pPr>
              <w:pStyle w:val="23"/>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5000万元以上</w:t>
            </w:r>
          </w:p>
        </w:tc>
        <w:tc>
          <w:tcPr>
            <w:tcW w:w="5817" w:type="dxa"/>
            <w:noWrap w:val="0"/>
            <w:vAlign w:val="center"/>
          </w:tcPr>
          <w:p w14:paraId="76D7F809">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bl>
    <w:p w14:paraId="4D4FC5CC">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因承包人提供的结算资料不完整而需要补充或承包人不按时对账耽误时间时，审查时间应相应顺延</w:t>
      </w:r>
      <w:r>
        <w:rPr>
          <w:rFonts w:hint="eastAsia" w:ascii="宋体" w:hAnsi="宋体" w:cs="宋体"/>
          <w:color w:val="auto"/>
          <w:szCs w:val="21"/>
          <w:highlight w:val="none"/>
        </w:rPr>
        <w:t>。</w:t>
      </w:r>
    </w:p>
    <w:p w14:paraId="16519C0C">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ascii="宋体" w:hAnsi="宋体" w:cs="宋体"/>
          <w:color w:val="auto"/>
          <w:szCs w:val="21"/>
          <w:highlight w:val="none"/>
          <w:u w:val="single"/>
        </w:rPr>
        <w:t>结算审核报告出具</w:t>
      </w:r>
      <w:r>
        <w:rPr>
          <w:rFonts w:hint="eastAsia" w:ascii="宋体" w:hAnsi="宋体" w:cs="宋体"/>
          <w:color w:val="auto"/>
          <w:szCs w:val="21"/>
          <w:highlight w:val="none"/>
          <w:u w:val="single"/>
        </w:rPr>
        <w:t>后且</w:t>
      </w:r>
      <w:r>
        <w:rPr>
          <w:rFonts w:hint="eastAsia" w:ascii="宋体" w:hAnsi="宋体"/>
          <w:color w:val="auto"/>
          <w:szCs w:val="21"/>
          <w:highlight w:val="none"/>
          <w:u w:val="single"/>
        </w:rPr>
        <w:t>审核完承包人的竣工付款申请单30天内</w:t>
      </w:r>
      <w:r>
        <w:rPr>
          <w:rFonts w:hint="eastAsia" w:ascii="宋体" w:hAnsi="宋体" w:cs="宋体"/>
          <w:color w:val="auto"/>
          <w:szCs w:val="21"/>
          <w:highlight w:val="none"/>
        </w:rPr>
        <w:t>。</w:t>
      </w:r>
    </w:p>
    <w:p w14:paraId="15A976B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存在异议的部分，由承包人核对后对异议部分进行书面描叙，并交由发包人再次审定。</w:t>
      </w:r>
    </w:p>
    <w:p w14:paraId="0C9F95BC">
      <w:pPr>
        <w:pStyle w:val="38"/>
        <w:spacing w:line="380" w:lineRule="exact"/>
        <w:ind w:firstLine="422" w:firstLineChars="200"/>
        <w:rPr>
          <w:rFonts w:ascii="宋体" w:cs="宋体"/>
          <w:color w:val="auto"/>
          <w:highlight w:val="none"/>
        </w:rPr>
      </w:pPr>
      <w:bookmarkStart w:id="2001" w:name="_Toc373227761"/>
      <w:bookmarkStart w:id="2002" w:name="_Toc403578996"/>
      <w:bookmarkStart w:id="2003" w:name="_Toc12829"/>
      <w:bookmarkStart w:id="2004" w:name="_Toc418061373"/>
      <w:bookmarkStart w:id="2005" w:name="_Toc418751858"/>
      <w:bookmarkStart w:id="2006" w:name="_Toc389065326"/>
      <w:bookmarkStart w:id="2007" w:name="_Toc418518172"/>
      <w:bookmarkStart w:id="2008" w:name="_Toc418518408"/>
      <w:bookmarkStart w:id="2009" w:name="_Toc373478408"/>
      <w:bookmarkStart w:id="2010" w:name="_Toc497746843"/>
      <w:bookmarkStart w:id="2011" w:name="_Toc418752304"/>
      <w:bookmarkStart w:id="2012" w:name="_Toc522201788"/>
      <w:bookmarkStart w:id="2013" w:name="_Toc256000239"/>
      <w:bookmarkStart w:id="2014" w:name="_Toc497747240"/>
      <w:r>
        <w:rPr>
          <w:rFonts w:hint="eastAsia" w:ascii="宋体" w:cs="宋体"/>
          <w:color w:val="auto"/>
          <w:highlight w:val="none"/>
        </w:rPr>
        <w:t>14.4 最终结清</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14:paraId="51A128A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1FF7B9F8">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一式四份 </w:t>
      </w:r>
      <w:r>
        <w:rPr>
          <w:rFonts w:hint="eastAsia" w:ascii="宋体" w:hAnsi="宋体" w:cs="宋体"/>
          <w:color w:val="auto"/>
          <w:szCs w:val="21"/>
          <w:highlight w:val="none"/>
        </w:rPr>
        <w:t>。</w:t>
      </w:r>
    </w:p>
    <w:p w14:paraId="127C851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kern w:val="0"/>
          <w:szCs w:val="21"/>
          <w:highlight w:val="none"/>
          <w:u w:val="single"/>
        </w:rPr>
        <w:t>缺陷责任期终止证书签发后14天内向监理人提交4份竣工付款申请单及相关证明材料</w:t>
      </w:r>
      <w:r>
        <w:rPr>
          <w:rFonts w:hint="eastAsia" w:ascii="宋体" w:hAnsi="宋体" w:cs="宋体"/>
          <w:color w:val="auto"/>
          <w:szCs w:val="21"/>
          <w:highlight w:val="none"/>
        </w:rPr>
        <w:t xml:space="preserve">。 </w:t>
      </w:r>
    </w:p>
    <w:p w14:paraId="1495852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16E2C7D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kern w:val="0"/>
          <w:szCs w:val="21"/>
          <w:highlight w:val="none"/>
          <w:u w:val="single"/>
        </w:rPr>
        <w:t xml:space="preserve">按通用条款执行 </w:t>
      </w:r>
      <w:r>
        <w:rPr>
          <w:rFonts w:hint="eastAsia" w:ascii="宋体" w:hAnsi="宋体" w:cs="宋体"/>
          <w:color w:val="auto"/>
          <w:szCs w:val="21"/>
          <w:highlight w:val="none"/>
        </w:rPr>
        <w:t>。</w:t>
      </w:r>
    </w:p>
    <w:p w14:paraId="6B3C1A4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在颁发最终结清证书后的30天内 </w:t>
      </w:r>
      <w:r>
        <w:rPr>
          <w:rFonts w:hint="eastAsia" w:ascii="宋体" w:hAnsi="宋体" w:cs="宋体"/>
          <w:color w:val="auto"/>
          <w:szCs w:val="21"/>
          <w:highlight w:val="none"/>
        </w:rPr>
        <w:t>。</w:t>
      </w:r>
    </w:p>
    <w:bookmarkEnd w:id="1917"/>
    <w:bookmarkEnd w:id="1918"/>
    <w:bookmarkEnd w:id="1919"/>
    <w:bookmarkEnd w:id="1920"/>
    <w:bookmarkEnd w:id="1921"/>
    <w:bookmarkEnd w:id="1922"/>
    <w:bookmarkEnd w:id="1923"/>
    <w:bookmarkEnd w:id="1929"/>
    <w:p w14:paraId="3E3F8764">
      <w:pPr>
        <w:pStyle w:val="38"/>
        <w:spacing w:line="380" w:lineRule="exact"/>
        <w:rPr>
          <w:rFonts w:ascii="宋体" w:cs="宋体"/>
          <w:color w:val="auto"/>
          <w:highlight w:val="none"/>
        </w:rPr>
      </w:pPr>
      <w:bookmarkStart w:id="2015" w:name="_Toc351203647"/>
      <w:bookmarkStart w:id="2016" w:name="_Toc418751859"/>
      <w:bookmarkStart w:id="2017" w:name="_Toc389065327"/>
      <w:bookmarkStart w:id="2018" w:name="_Toc497746844"/>
      <w:bookmarkStart w:id="2019" w:name="_Toc373478409"/>
      <w:bookmarkStart w:id="2020" w:name="_Toc522201789"/>
      <w:bookmarkStart w:id="2021" w:name="_Toc497747241"/>
      <w:bookmarkStart w:id="2022" w:name="_Toc418752305"/>
      <w:bookmarkStart w:id="2023" w:name="_Toc418518409"/>
      <w:bookmarkStart w:id="2024" w:name="_Toc418061374"/>
      <w:bookmarkStart w:id="2025" w:name="_Toc418518173"/>
      <w:bookmarkStart w:id="2026" w:name="_Toc9180"/>
      <w:bookmarkStart w:id="2027" w:name="_Toc256000240"/>
      <w:bookmarkStart w:id="2028" w:name="_Toc373227762"/>
      <w:bookmarkStart w:id="2029" w:name="_Toc403578997"/>
      <w:bookmarkStart w:id="2030" w:name="_Toc267251483"/>
      <w:bookmarkStart w:id="2031" w:name="_Toc267251482"/>
      <w:bookmarkStart w:id="2032" w:name="_Toc267251484"/>
      <w:bookmarkStart w:id="2033" w:name="_Toc267251485"/>
      <w:bookmarkStart w:id="2034" w:name="_Toc267251489"/>
      <w:bookmarkStart w:id="2035" w:name="_Toc267251486"/>
      <w:bookmarkStart w:id="2036" w:name="_Toc267251490"/>
      <w:bookmarkStart w:id="2037" w:name="_Toc267251488"/>
      <w:bookmarkStart w:id="2038" w:name="_Toc267251497"/>
      <w:bookmarkStart w:id="2039" w:name="_Toc267251496"/>
      <w:bookmarkStart w:id="2040" w:name="_Toc267251501"/>
      <w:bookmarkStart w:id="2041" w:name="_Toc267251492"/>
      <w:bookmarkStart w:id="2042" w:name="_Toc267251491"/>
      <w:bookmarkStart w:id="2043" w:name="_Toc267251495"/>
      <w:bookmarkStart w:id="2044" w:name="_Toc267251493"/>
      <w:bookmarkStart w:id="2045" w:name="_Toc267251499"/>
      <w:bookmarkStart w:id="2046" w:name="_Toc267251498"/>
      <w:bookmarkStart w:id="2047" w:name="_Toc267251494"/>
      <w:bookmarkStart w:id="2048" w:name="_Toc267251502"/>
      <w:bookmarkStart w:id="2049" w:name="_Toc267251503"/>
      <w:bookmarkStart w:id="2050" w:name="_Toc267251506"/>
      <w:bookmarkStart w:id="2051" w:name="_Toc267251504"/>
      <w:bookmarkStart w:id="2052" w:name="_Toc267251507"/>
      <w:bookmarkStart w:id="2053" w:name="_Toc267251508"/>
      <w:bookmarkStart w:id="2054" w:name="_Toc267251510"/>
      <w:bookmarkStart w:id="2055" w:name="_Toc267251515"/>
      <w:bookmarkStart w:id="2056" w:name="_Toc267251514"/>
      <w:bookmarkStart w:id="2057" w:name="_Toc267251509"/>
      <w:bookmarkStart w:id="2058" w:name="_Toc267251511"/>
      <w:bookmarkStart w:id="2059" w:name="_Toc267251513"/>
      <w:r>
        <w:rPr>
          <w:rFonts w:hint="eastAsia" w:ascii="宋体" w:cs="宋体"/>
          <w:color w:val="auto"/>
          <w:highlight w:val="none"/>
        </w:rPr>
        <w:t>15. 缺陷责任期与保修</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p>
    <w:p w14:paraId="1AA564E6">
      <w:pPr>
        <w:pStyle w:val="38"/>
        <w:spacing w:line="380" w:lineRule="exact"/>
        <w:ind w:firstLine="422" w:firstLineChars="200"/>
        <w:rPr>
          <w:rFonts w:ascii="宋体" w:cs="宋体"/>
          <w:color w:val="auto"/>
          <w:highlight w:val="none"/>
        </w:rPr>
      </w:pPr>
      <w:bookmarkStart w:id="2060" w:name="_Toc497747242"/>
      <w:bookmarkStart w:id="2061" w:name="_Toc256000241"/>
      <w:bookmarkStart w:id="2062" w:name="_Toc418518410"/>
      <w:bookmarkStart w:id="2063" w:name="_Toc418752306"/>
      <w:bookmarkStart w:id="2064" w:name="_Toc497746845"/>
      <w:bookmarkStart w:id="2065" w:name="_Toc522201790"/>
      <w:bookmarkStart w:id="2066" w:name="_Toc418061375"/>
      <w:bookmarkStart w:id="2067" w:name="_Toc403578998"/>
      <w:bookmarkStart w:id="2068" w:name="_Toc373478410"/>
      <w:bookmarkStart w:id="2069" w:name="_Toc373227763"/>
      <w:bookmarkStart w:id="2070" w:name="_Toc24268"/>
      <w:bookmarkStart w:id="2071" w:name="_Toc418518174"/>
      <w:bookmarkStart w:id="2072" w:name="_Toc418751860"/>
      <w:bookmarkStart w:id="2073" w:name="_Toc389065328"/>
      <w:r>
        <w:rPr>
          <w:rFonts w:hint="eastAsia" w:ascii="宋体" w:cs="宋体"/>
          <w:color w:val="auto"/>
          <w:highlight w:val="none"/>
        </w:rPr>
        <w:t>15.2 缺陷责任期</w:t>
      </w:r>
      <w:bookmarkEnd w:id="2030"/>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p>
    <w:p w14:paraId="6BD9DEB9">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24个月，</w:t>
      </w:r>
      <w:r>
        <w:rPr>
          <w:rFonts w:hint="eastAsia" w:ascii="宋体" w:hAnsi="宋体" w:cs="宋体"/>
          <w:color w:val="auto"/>
          <w:kern w:val="0"/>
          <w:szCs w:val="21"/>
          <w:highlight w:val="none"/>
          <w:u w:val="single"/>
        </w:rPr>
        <w:t>工程竣工验收合格，自交付使用之日起计算</w:t>
      </w:r>
      <w:r>
        <w:rPr>
          <w:rFonts w:hint="eastAsia" w:ascii="宋体" w:hAnsi="宋体" w:cs="宋体"/>
          <w:color w:val="auto"/>
          <w:szCs w:val="21"/>
          <w:highlight w:val="none"/>
          <w:u w:val="single"/>
        </w:rPr>
        <w:t xml:space="preserve"> ，按照《建设工程质量管理条例》执行，</w:t>
      </w:r>
      <w:r>
        <w:rPr>
          <w:rFonts w:hint="eastAsia" w:ascii="宋体" w:hAnsi="宋体" w:cs="宋体"/>
          <w:bCs/>
          <w:color w:val="auto"/>
          <w:szCs w:val="21"/>
          <w:highlight w:val="none"/>
          <w:u w:val="single"/>
        </w:rPr>
        <w:t xml:space="preserve">详见本合同附件3：《工程质量保修书》 </w:t>
      </w:r>
      <w:r>
        <w:rPr>
          <w:rFonts w:hint="eastAsia" w:ascii="宋体" w:hAnsi="宋体" w:cs="宋体"/>
          <w:color w:val="auto"/>
          <w:szCs w:val="21"/>
          <w:highlight w:val="none"/>
        </w:rPr>
        <w:t>。</w:t>
      </w:r>
    </w:p>
    <w:p w14:paraId="60CD0941">
      <w:pPr>
        <w:pStyle w:val="38"/>
        <w:spacing w:line="380" w:lineRule="exact"/>
        <w:ind w:firstLine="422" w:firstLineChars="200"/>
        <w:rPr>
          <w:rFonts w:ascii="宋体" w:cs="宋体"/>
          <w:color w:val="auto"/>
          <w:highlight w:val="none"/>
        </w:rPr>
      </w:pPr>
      <w:bookmarkStart w:id="2074" w:name="_Toc389065329"/>
      <w:bookmarkStart w:id="2075" w:name="_Toc373227764"/>
      <w:bookmarkStart w:id="2076" w:name="_Toc418061376"/>
      <w:bookmarkStart w:id="2077" w:name="_Toc522201791"/>
      <w:bookmarkStart w:id="2078" w:name="_Toc418751861"/>
      <w:bookmarkStart w:id="2079" w:name="_Toc256000242"/>
      <w:bookmarkStart w:id="2080" w:name="_Toc497746846"/>
      <w:bookmarkStart w:id="2081" w:name="_Toc16353"/>
      <w:bookmarkStart w:id="2082" w:name="_Toc373478411"/>
      <w:bookmarkStart w:id="2083" w:name="_Toc403578999"/>
      <w:bookmarkStart w:id="2084" w:name="_Toc418752307"/>
      <w:bookmarkStart w:id="2085" w:name="_Toc418518411"/>
      <w:bookmarkStart w:id="2086" w:name="_Toc497747243"/>
      <w:bookmarkStart w:id="2087" w:name="_Toc418518175"/>
      <w:r>
        <w:rPr>
          <w:rFonts w:hint="eastAsia" w:ascii="宋体" w:cs="宋体"/>
          <w:color w:val="auto"/>
          <w:highlight w:val="none"/>
        </w:rPr>
        <w:t>15.3 质量保证金</w:t>
      </w:r>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p>
    <w:p w14:paraId="1EFCB286">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kern w:val="0"/>
          <w:szCs w:val="21"/>
          <w:highlight w:val="none"/>
          <w:u w:val="single"/>
        </w:rPr>
        <w:t>按工程价款结算总额的</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%作为质保金 </w:t>
      </w:r>
      <w:r>
        <w:rPr>
          <w:rFonts w:hint="eastAsia" w:ascii="宋体" w:hAnsi="宋体" w:cs="宋体"/>
          <w:color w:val="auto"/>
          <w:szCs w:val="21"/>
          <w:highlight w:val="none"/>
        </w:rPr>
        <w:t>。</w:t>
      </w:r>
    </w:p>
    <w:p w14:paraId="6AB2600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215D268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4DC46C7E">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005223C6">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3 </w:t>
      </w:r>
      <w:r>
        <w:rPr>
          <w:rFonts w:hint="eastAsia" w:ascii="宋体" w:hAnsi="宋体" w:cs="宋体"/>
          <w:bCs/>
          <w:color w:val="auto"/>
          <w:szCs w:val="21"/>
          <w:highlight w:val="none"/>
        </w:rPr>
        <w:t>%预留工程</w:t>
      </w:r>
      <w:r>
        <w:rPr>
          <w:rFonts w:hint="eastAsia" w:ascii="宋体" w:hAnsi="宋体" w:cs="宋体"/>
          <w:bCs/>
          <w:color w:val="auto"/>
          <w:szCs w:val="21"/>
          <w:highlight w:val="none"/>
          <w:lang w:eastAsia="zh-CN"/>
        </w:rPr>
        <w:t>质量保证金</w:t>
      </w:r>
      <w:r>
        <w:rPr>
          <w:rFonts w:hint="eastAsia" w:ascii="宋体" w:hAnsi="宋体" w:cs="宋体"/>
          <w:bCs/>
          <w:color w:val="auto"/>
          <w:szCs w:val="21"/>
          <w:highlight w:val="none"/>
        </w:rPr>
        <w:t>，待缺陷责任期满后返还</w:t>
      </w:r>
      <w:r>
        <w:rPr>
          <w:rFonts w:hint="eastAsia" w:ascii="宋体" w:hAnsi="宋体" w:cs="宋体"/>
          <w:color w:val="auto"/>
          <w:kern w:val="0"/>
          <w:szCs w:val="21"/>
          <w:highlight w:val="none"/>
        </w:rPr>
        <w:t>；</w:t>
      </w:r>
    </w:p>
    <w:p w14:paraId="4887112C">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bCs/>
          <w:color w:val="auto"/>
          <w:szCs w:val="21"/>
          <w:highlight w:val="none"/>
          <w:u w:val="single"/>
        </w:rPr>
        <w:t xml:space="preserve">   /        </w:t>
      </w:r>
      <w:r>
        <w:rPr>
          <w:rFonts w:hint="eastAsia" w:ascii="宋体" w:hAnsi="宋体" w:cs="宋体"/>
          <w:bCs/>
          <w:color w:val="auto"/>
          <w:szCs w:val="21"/>
          <w:highlight w:val="none"/>
        </w:rPr>
        <w:t>。</w:t>
      </w:r>
    </w:p>
    <w:p w14:paraId="1590FCD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15.3.2 质量保证金的扣留</w:t>
      </w:r>
    </w:p>
    <w:p w14:paraId="6A47039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5AA6086F">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14E5E811">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67516946">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2B7A9CAC">
      <w:pPr>
        <w:pStyle w:val="23"/>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承包人未按照法律法规有关规定和合同约定履行质量保修义务的，发包人有权从质量保证金中扣留用于质量保修的各项支出。</w:t>
      </w:r>
      <w:r>
        <w:rPr>
          <w:rFonts w:hint="eastAsia" w:ascii="宋体" w:hAnsi="宋体" w:cs="宋体"/>
          <w:color w:val="auto"/>
          <w:kern w:val="0"/>
          <w:szCs w:val="21"/>
          <w:highlight w:val="none"/>
          <w:u w:val="single"/>
        </w:rPr>
        <w:t>发包人在工程缺陷责任期满后 14 天内将保修金一次性返回给承包人（无息）。质量保证金的返还，并不能免除承包人按照合同约定应承担的质量保修责任和应履行的质量保修义务。</w:t>
      </w:r>
    </w:p>
    <w:bookmarkEnd w:id="2031"/>
    <w:bookmarkEnd w:id="2032"/>
    <w:p w14:paraId="44C9DB25">
      <w:pPr>
        <w:pStyle w:val="38"/>
        <w:spacing w:line="380" w:lineRule="exact"/>
        <w:ind w:firstLine="422" w:firstLineChars="200"/>
        <w:rPr>
          <w:rFonts w:ascii="宋体" w:cs="宋体"/>
          <w:color w:val="auto"/>
          <w:highlight w:val="none"/>
        </w:rPr>
      </w:pPr>
      <w:bookmarkStart w:id="2088" w:name="_Toc497746847"/>
      <w:bookmarkStart w:id="2089" w:name="_Toc373227765"/>
      <w:bookmarkStart w:id="2090" w:name="_Toc389065330"/>
      <w:bookmarkStart w:id="2091" w:name="_Toc522201792"/>
      <w:bookmarkStart w:id="2092" w:name="_Toc418751862"/>
      <w:bookmarkStart w:id="2093" w:name="_Toc403579000"/>
      <w:bookmarkStart w:id="2094" w:name="_Toc497747244"/>
      <w:bookmarkStart w:id="2095" w:name="_Toc418752308"/>
      <w:bookmarkStart w:id="2096" w:name="_Toc418518412"/>
      <w:bookmarkStart w:id="2097" w:name="_Toc418518176"/>
      <w:bookmarkStart w:id="2098" w:name="_Toc373478412"/>
      <w:bookmarkStart w:id="2099" w:name="_Toc256000243"/>
      <w:bookmarkStart w:id="2100" w:name="_Toc418061377"/>
      <w:bookmarkStart w:id="2101" w:name="_Toc24480"/>
      <w:r>
        <w:rPr>
          <w:rFonts w:hint="eastAsia" w:ascii="宋体" w:cs="宋体"/>
          <w:color w:val="auto"/>
          <w:highlight w:val="none"/>
        </w:rPr>
        <w:t>15.4 保修</w:t>
      </w:r>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bookmarkEnd w:id="2033"/>
    <w:p w14:paraId="02A779CD">
      <w:pPr>
        <w:pStyle w:val="23"/>
        <w:spacing w:line="380" w:lineRule="exact"/>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2751AB6D">
      <w:pPr>
        <w:pStyle w:val="23"/>
        <w:spacing w:line="380" w:lineRule="exact"/>
        <w:ind w:firstLine="409" w:firstLineChars="195"/>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根据《建设工程质量管理条例》及有关规定，约定本工程的保修期详见《工程质量保修书》。</w:t>
      </w:r>
    </w:p>
    <w:p w14:paraId="7A460314">
      <w:pPr>
        <w:pStyle w:val="23"/>
        <w:spacing w:line="380" w:lineRule="exact"/>
        <w:ind w:firstLine="409" w:firstLineChars="195"/>
        <w:jc w:val="left"/>
        <w:rPr>
          <w:rFonts w:ascii="宋体" w:hAnsi="宋体" w:cs="宋体"/>
          <w:color w:val="auto"/>
          <w:kern w:val="0"/>
          <w:szCs w:val="21"/>
          <w:highlight w:val="none"/>
          <w:u w:val="single"/>
        </w:rPr>
      </w:pPr>
      <w:r>
        <w:rPr>
          <w:rFonts w:hint="eastAsia" w:ascii="宋体" w:hAnsi="宋体" w:cs="宋体"/>
          <w:color w:val="auto"/>
          <w:szCs w:val="21"/>
          <w:highlight w:val="none"/>
        </w:rPr>
        <w:t>工程保修书具体内容见合同附件3。</w:t>
      </w:r>
    </w:p>
    <w:p w14:paraId="4EC33163">
      <w:pPr>
        <w:pStyle w:val="23"/>
        <w:spacing w:line="380" w:lineRule="exact"/>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38E35EA0">
      <w:pPr>
        <w:pStyle w:val="23"/>
        <w:spacing w:line="380" w:lineRule="exact"/>
        <w:ind w:firstLine="409" w:firstLineChars="195"/>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bookmarkEnd w:id="2034"/>
    <w:bookmarkEnd w:id="2035"/>
    <w:bookmarkEnd w:id="2036"/>
    <w:bookmarkEnd w:id="2037"/>
    <w:p w14:paraId="28144D28">
      <w:pPr>
        <w:pStyle w:val="38"/>
        <w:spacing w:line="380" w:lineRule="exact"/>
        <w:rPr>
          <w:rFonts w:ascii="宋体" w:cs="宋体"/>
          <w:color w:val="auto"/>
          <w:highlight w:val="none"/>
        </w:rPr>
      </w:pPr>
      <w:bookmarkStart w:id="2102" w:name="_Toc497746848"/>
      <w:bookmarkStart w:id="2103" w:name="_Toc373227766"/>
      <w:bookmarkStart w:id="2104" w:name="_Toc403579001"/>
      <w:bookmarkStart w:id="2105" w:name="_Toc351203648"/>
      <w:bookmarkStart w:id="2106" w:name="_Toc418751863"/>
      <w:bookmarkStart w:id="2107" w:name="_Toc418061378"/>
      <w:bookmarkStart w:id="2108" w:name="_Toc256000244"/>
      <w:bookmarkStart w:id="2109" w:name="_Toc418752309"/>
      <w:bookmarkStart w:id="2110" w:name="_Toc497747245"/>
      <w:bookmarkStart w:id="2111" w:name="_Toc3422"/>
      <w:bookmarkStart w:id="2112" w:name="_Toc418518413"/>
      <w:bookmarkStart w:id="2113" w:name="_Toc418518177"/>
      <w:bookmarkStart w:id="2114" w:name="_Toc522201793"/>
      <w:bookmarkStart w:id="2115" w:name="_Toc373478413"/>
      <w:bookmarkStart w:id="2116" w:name="_Toc389065331"/>
      <w:bookmarkStart w:id="2117" w:name="_Toc280868717"/>
      <w:bookmarkStart w:id="2118" w:name="_Toc280868718"/>
      <w:r>
        <w:rPr>
          <w:rFonts w:hint="eastAsia" w:ascii="宋体" w:cs="宋体"/>
          <w:color w:val="auto"/>
          <w:highlight w:val="none"/>
        </w:rPr>
        <w:t>16. 违约</w:t>
      </w:r>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p>
    <w:p w14:paraId="349995EB">
      <w:pPr>
        <w:pStyle w:val="38"/>
        <w:spacing w:line="380" w:lineRule="exact"/>
        <w:ind w:firstLine="422" w:firstLineChars="200"/>
        <w:rPr>
          <w:rFonts w:ascii="宋体" w:cs="宋体"/>
          <w:color w:val="auto"/>
          <w:highlight w:val="none"/>
        </w:rPr>
      </w:pPr>
      <w:bookmarkStart w:id="2119" w:name="_Toc403579002"/>
      <w:bookmarkStart w:id="2120" w:name="_Toc418751864"/>
      <w:bookmarkStart w:id="2121" w:name="_Toc7014"/>
      <w:bookmarkStart w:id="2122" w:name="_Toc522201794"/>
      <w:bookmarkStart w:id="2123" w:name="_Toc497747246"/>
      <w:bookmarkStart w:id="2124" w:name="_Toc256000245"/>
      <w:bookmarkStart w:id="2125" w:name="_Toc373478414"/>
      <w:bookmarkStart w:id="2126" w:name="_Toc373227767"/>
      <w:bookmarkStart w:id="2127" w:name="_Toc389065332"/>
      <w:bookmarkStart w:id="2128" w:name="_Toc418518414"/>
      <w:bookmarkStart w:id="2129" w:name="_Toc418061379"/>
      <w:bookmarkStart w:id="2130" w:name="_Toc418752310"/>
      <w:bookmarkStart w:id="2131" w:name="_Toc418518178"/>
      <w:bookmarkStart w:id="2132" w:name="_Toc497746849"/>
      <w:r>
        <w:rPr>
          <w:rFonts w:hint="eastAsia" w:ascii="宋体" w:cs="宋体"/>
          <w:color w:val="auto"/>
          <w:highlight w:val="none"/>
        </w:rPr>
        <w:t>16.1 发包人违约</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14:paraId="48E531A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215528F8">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79435205">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16.1.2 发包人违约的责任</w:t>
      </w:r>
    </w:p>
    <w:p w14:paraId="03E8086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46CCC2ED">
      <w:pPr>
        <w:pStyle w:val="23"/>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工期相应顺延</w:t>
      </w:r>
      <w:r>
        <w:rPr>
          <w:rFonts w:hint="eastAsia" w:ascii="宋体" w:hAnsi="宋体" w:cs="宋体"/>
          <w:color w:val="auto"/>
          <w:kern w:val="0"/>
          <w:szCs w:val="21"/>
          <w:highlight w:val="none"/>
        </w:rPr>
        <w:t>。</w:t>
      </w:r>
    </w:p>
    <w:p w14:paraId="07A197E2">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6FB9B986">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按通用条款执行  </w:t>
      </w:r>
      <w:r>
        <w:rPr>
          <w:rFonts w:hint="eastAsia" w:ascii="宋体" w:hAnsi="宋体" w:cs="宋体"/>
          <w:color w:val="auto"/>
          <w:kern w:val="0"/>
          <w:szCs w:val="21"/>
          <w:highlight w:val="none"/>
        </w:rPr>
        <w:t>。</w:t>
      </w:r>
    </w:p>
    <w:p w14:paraId="3D9EE49C">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工期相应顺延</w:t>
      </w:r>
      <w:r>
        <w:rPr>
          <w:rFonts w:hint="eastAsia" w:ascii="宋体" w:hAnsi="宋体" w:cs="宋体"/>
          <w:color w:val="auto"/>
          <w:kern w:val="0"/>
          <w:szCs w:val="21"/>
          <w:highlight w:val="none"/>
        </w:rPr>
        <w:t>。</w:t>
      </w:r>
    </w:p>
    <w:p w14:paraId="2357C3B5">
      <w:pPr>
        <w:pStyle w:val="23"/>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按通用条款执行</w:t>
      </w:r>
      <w:r>
        <w:rPr>
          <w:rFonts w:hint="eastAsia" w:ascii="宋体" w:hAnsi="宋体" w:cs="宋体"/>
          <w:color w:val="auto"/>
          <w:kern w:val="0"/>
          <w:szCs w:val="21"/>
          <w:highlight w:val="none"/>
        </w:rPr>
        <w:t>。</w:t>
      </w:r>
    </w:p>
    <w:p w14:paraId="3ADED16B">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按通用条款执行</w:t>
      </w:r>
      <w:r>
        <w:rPr>
          <w:rFonts w:hint="eastAsia" w:ascii="宋体" w:hAnsi="宋体" w:cs="宋体"/>
          <w:color w:val="auto"/>
          <w:kern w:val="0"/>
          <w:szCs w:val="21"/>
          <w:highlight w:val="none"/>
        </w:rPr>
        <w:t>。</w:t>
      </w:r>
    </w:p>
    <w:p w14:paraId="65D31ED8">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2B32D97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5D63409E">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天后发包人仍不纠正其违约行为并致使合同目的不能实现的，承包人有权解除合同。</w:t>
      </w:r>
    </w:p>
    <w:p w14:paraId="0085E83B">
      <w:pPr>
        <w:pStyle w:val="38"/>
        <w:spacing w:line="380" w:lineRule="exact"/>
        <w:ind w:firstLine="422" w:firstLineChars="200"/>
        <w:rPr>
          <w:rFonts w:ascii="宋体" w:cs="宋体"/>
          <w:color w:val="auto"/>
          <w:highlight w:val="none"/>
        </w:rPr>
      </w:pPr>
      <w:bookmarkStart w:id="2133" w:name="_Toc418518179"/>
      <w:bookmarkStart w:id="2134" w:name="_Toc373478415"/>
      <w:bookmarkStart w:id="2135" w:name="_Toc497747247"/>
      <w:bookmarkStart w:id="2136" w:name="_Toc256000246"/>
      <w:bookmarkStart w:id="2137" w:name="_Toc418061380"/>
      <w:bookmarkStart w:id="2138" w:name="_Toc497746850"/>
      <w:bookmarkStart w:id="2139" w:name="_Toc12535"/>
      <w:bookmarkStart w:id="2140" w:name="_Toc403579003"/>
      <w:bookmarkStart w:id="2141" w:name="_Toc418752311"/>
      <w:bookmarkStart w:id="2142" w:name="_Toc373227768"/>
      <w:bookmarkStart w:id="2143" w:name="_Toc389065333"/>
      <w:bookmarkStart w:id="2144" w:name="_Toc418751865"/>
      <w:bookmarkStart w:id="2145" w:name="_Toc522201795"/>
      <w:bookmarkStart w:id="2146" w:name="_Toc418518415"/>
      <w:r>
        <w:rPr>
          <w:rFonts w:hint="eastAsia" w:ascii="宋体" w:cs="宋体"/>
          <w:color w:val="auto"/>
          <w:highlight w:val="none"/>
        </w:rPr>
        <w:t>16.2 承包人违约</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14:paraId="3CB7C88D">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65AA764D">
      <w:pPr>
        <w:pStyle w:val="23"/>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按通用条款执行 </w:t>
      </w:r>
      <w:r>
        <w:rPr>
          <w:rFonts w:hint="eastAsia" w:ascii="宋体" w:hAnsi="宋体" w:cs="宋体"/>
          <w:color w:val="auto"/>
          <w:kern w:val="0"/>
          <w:szCs w:val="21"/>
          <w:highlight w:val="none"/>
        </w:rPr>
        <w:t>。</w:t>
      </w:r>
    </w:p>
    <w:p w14:paraId="4E6A706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683FA625">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1E07C1B1">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2F6FE541">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（2）承包人有本合同通用条款第16.2.1（6）条情形的，或经监理人检验认为修复质量不合格而承包人拒绝再进行修补的，发包人将扣除承包人全部</w:t>
      </w:r>
      <w:r>
        <w:rPr>
          <w:rFonts w:hint="eastAsia" w:ascii="宋体" w:hAnsi="宋体" w:cs="宋体"/>
          <w:color w:val="auto"/>
          <w:kern w:val="0"/>
          <w:szCs w:val="21"/>
          <w:highlight w:val="none"/>
          <w:lang w:eastAsia="zh-CN"/>
        </w:rPr>
        <w:t>质量保证金</w:t>
      </w:r>
      <w:r>
        <w:rPr>
          <w:rFonts w:hint="eastAsia" w:ascii="宋体" w:hAnsi="宋体" w:cs="宋体"/>
          <w:color w:val="auto"/>
          <w:kern w:val="0"/>
          <w:szCs w:val="21"/>
          <w:highlight w:val="none"/>
        </w:rPr>
        <w:t>。</w:t>
      </w:r>
    </w:p>
    <w:p w14:paraId="5F9D3CFF">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cs="宋体"/>
          <w:color w:val="auto"/>
          <w:szCs w:val="21"/>
          <w:highlight w:val="none"/>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cs="宋体"/>
          <w:color w:val="auto"/>
          <w:kern w:val="0"/>
          <w:szCs w:val="21"/>
          <w:highlight w:val="none"/>
        </w:rPr>
        <w:t>承包人履约保证金被罚款后由发包人从最后一次计量支付时扣除相应金额补足履约保证金。</w:t>
      </w:r>
    </w:p>
    <w:p w14:paraId="5DEC0916">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67E2DD50">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承包人有违反以下情况之一的，发包人有权解除合同，并没收其全部履约保证金</w:t>
      </w:r>
      <w:r>
        <w:rPr>
          <w:rFonts w:hint="eastAsia" w:ascii="宋体" w:hAnsi="宋体" w:cs="宋体"/>
          <w:color w:val="auto"/>
          <w:kern w:val="0"/>
          <w:szCs w:val="21"/>
          <w:highlight w:val="none"/>
        </w:rPr>
        <w:t>。</w:t>
      </w:r>
    </w:p>
    <w:p w14:paraId="3346D257">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(1)承包人无正当理由不按开工通知的要求及时进场组织施工和不按签订协议书时商定的进度计划有效地开展施工准备，造成工期延误的；</w:t>
      </w:r>
    </w:p>
    <w:p w14:paraId="47E57A75">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06DED367">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(3)未经监理人批准，承包人私自将已按投标文件承诺进入工地的工程设备、施工设备、临时工程或材料撤离工地的；</w:t>
      </w:r>
    </w:p>
    <w:p w14:paraId="08E8C76F">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(4)由于承包人原因拒绝按合同进度计划及时完成合同规定的工程，而又未采取有效措施赶上进度，造成工期延误的；</w:t>
      </w:r>
    </w:p>
    <w:p w14:paraId="3FB73A4B">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(5)承包人否认合同有效或拒绝履行合同规定的承包人义务，或由于法律、财务等原因导致承包人无法继续履行或实质上已停止履行合同的义务的；</w:t>
      </w:r>
    </w:p>
    <w:p w14:paraId="55DFD2E8">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(6)合同签订之日起十五日内，承包人无法按合同规定及投标文件的承诺进场经监理工程师认可的全部人员和机械的。</w:t>
      </w:r>
    </w:p>
    <w:p w14:paraId="62BAAE0D">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协商决定   </w:t>
      </w:r>
      <w:r>
        <w:rPr>
          <w:rFonts w:hint="eastAsia" w:ascii="宋体" w:hAnsi="宋体" w:cs="宋体"/>
          <w:color w:val="auto"/>
          <w:kern w:val="0"/>
          <w:szCs w:val="21"/>
          <w:highlight w:val="none"/>
        </w:rPr>
        <w:t>。</w:t>
      </w:r>
    </w:p>
    <w:p w14:paraId="164B0053">
      <w:pPr>
        <w:pStyle w:val="38"/>
        <w:spacing w:line="380" w:lineRule="exact"/>
        <w:rPr>
          <w:rFonts w:ascii="宋体" w:cs="宋体"/>
          <w:color w:val="auto"/>
          <w:highlight w:val="none"/>
        </w:rPr>
      </w:pPr>
      <w:bookmarkStart w:id="2147" w:name="_Toc373478416"/>
      <w:bookmarkStart w:id="2148" w:name="_Toc389065334"/>
      <w:bookmarkStart w:id="2149" w:name="_Toc373227769"/>
      <w:bookmarkStart w:id="2150" w:name="_Toc24826"/>
      <w:bookmarkStart w:id="2151" w:name="_Toc497747248"/>
      <w:bookmarkStart w:id="2152" w:name="_Toc497746851"/>
      <w:bookmarkStart w:id="2153" w:name="_Toc418751866"/>
      <w:bookmarkStart w:id="2154" w:name="_Toc418061381"/>
      <w:bookmarkStart w:id="2155" w:name="_Toc418518180"/>
      <w:bookmarkStart w:id="2156" w:name="_Toc403579004"/>
      <w:bookmarkStart w:id="2157" w:name="_Toc351203649"/>
      <w:bookmarkStart w:id="2158" w:name="_Toc418752312"/>
      <w:bookmarkStart w:id="2159" w:name="_Toc418518416"/>
      <w:bookmarkStart w:id="2160" w:name="_Toc522201796"/>
      <w:bookmarkStart w:id="2161" w:name="_Toc256000247"/>
      <w:r>
        <w:rPr>
          <w:rFonts w:hint="eastAsia" w:ascii="宋体" w:cs="宋体"/>
          <w:color w:val="auto"/>
          <w:highlight w:val="none"/>
        </w:rPr>
        <w:t>17. 不可抗力</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Pr>
          <w:rFonts w:hint="eastAsia" w:ascii="宋体" w:cs="宋体"/>
          <w:color w:val="auto"/>
          <w:highlight w:val="none"/>
        </w:rPr>
        <w:t xml:space="preserve"> </w:t>
      </w:r>
      <w:bookmarkEnd w:id="2117"/>
    </w:p>
    <w:p w14:paraId="71F9D8C3">
      <w:pPr>
        <w:pStyle w:val="38"/>
        <w:spacing w:line="380" w:lineRule="exact"/>
        <w:ind w:firstLine="422" w:firstLineChars="200"/>
        <w:rPr>
          <w:rFonts w:ascii="宋体" w:cs="宋体"/>
          <w:color w:val="auto"/>
          <w:highlight w:val="none"/>
        </w:rPr>
      </w:pPr>
      <w:bookmarkStart w:id="2162" w:name="_Toc418518181"/>
      <w:bookmarkStart w:id="2163" w:name="_Toc12218"/>
      <w:bookmarkStart w:id="2164" w:name="_Toc418752313"/>
      <w:bookmarkStart w:id="2165" w:name="_Toc418751867"/>
      <w:bookmarkStart w:id="2166" w:name="_Toc256000248"/>
      <w:bookmarkStart w:id="2167" w:name="_Toc418518417"/>
      <w:bookmarkStart w:id="2168" w:name="_Toc522201797"/>
      <w:bookmarkStart w:id="2169" w:name="_Toc403579005"/>
      <w:bookmarkStart w:id="2170" w:name="_Toc497746852"/>
      <w:bookmarkStart w:id="2171" w:name="_Toc418061382"/>
      <w:bookmarkStart w:id="2172" w:name="_Toc389065335"/>
      <w:bookmarkStart w:id="2173" w:name="_Toc373227770"/>
      <w:bookmarkStart w:id="2174" w:name="_Toc373478417"/>
      <w:bookmarkStart w:id="2175" w:name="_Toc497747249"/>
      <w:r>
        <w:rPr>
          <w:rFonts w:hint="eastAsia" w:ascii="宋体" w:cs="宋体"/>
          <w:color w:val="auto"/>
          <w:highlight w:val="none"/>
        </w:rPr>
        <w:t>17.1 不可抗力的确认</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14:paraId="1AAF808F">
      <w:pPr>
        <w:pStyle w:val="23"/>
        <w:spacing w:line="38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kern w:val="0"/>
          <w:szCs w:val="21"/>
          <w:highlight w:val="none"/>
          <w:u w:val="single"/>
        </w:rPr>
        <w:t>（1）、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cs="宋体"/>
          <w:color w:val="auto"/>
          <w:kern w:val="0"/>
          <w:szCs w:val="21"/>
          <w:highlight w:val="none"/>
        </w:rPr>
        <w:t>。</w:t>
      </w:r>
    </w:p>
    <w:p w14:paraId="1147A770">
      <w:pPr>
        <w:pStyle w:val="38"/>
        <w:spacing w:line="380" w:lineRule="exact"/>
        <w:ind w:firstLine="422" w:firstLineChars="200"/>
        <w:rPr>
          <w:rFonts w:ascii="宋体" w:cs="宋体"/>
          <w:color w:val="auto"/>
          <w:highlight w:val="none"/>
        </w:rPr>
      </w:pPr>
      <w:bookmarkStart w:id="2176" w:name="_Toc497746853"/>
      <w:bookmarkStart w:id="2177" w:name="_Toc418751868"/>
      <w:bookmarkStart w:id="2178" w:name="_Toc418752314"/>
      <w:bookmarkStart w:id="2179" w:name="_Toc389065336"/>
      <w:bookmarkStart w:id="2180" w:name="_Toc418061383"/>
      <w:bookmarkStart w:id="2181" w:name="_Toc497747250"/>
      <w:bookmarkStart w:id="2182" w:name="_Toc373227771"/>
      <w:bookmarkStart w:id="2183" w:name="_Toc373478418"/>
      <w:bookmarkStart w:id="2184" w:name="_Toc418518418"/>
      <w:bookmarkStart w:id="2185" w:name="_Toc418518182"/>
      <w:bookmarkStart w:id="2186" w:name="_Toc522201798"/>
      <w:bookmarkStart w:id="2187" w:name="_Toc21582"/>
      <w:bookmarkStart w:id="2188" w:name="_Toc403579006"/>
      <w:bookmarkStart w:id="2189" w:name="_Toc256000249"/>
      <w:r>
        <w:rPr>
          <w:rFonts w:hint="eastAsia" w:ascii="宋体" w:cs="宋体"/>
          <w:color w:val="auto"/>
          <w:highlight w:val="none"/>
        </w:rPr>
        <w:t>17.4 因不可抗力解除合同</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p>
    <w:p w14:paraId="207D0BD5">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天内完成款项的支付。</w:t>
      </w:r>
    </w:p>
    <w:p w14:paraId="65B279FE">
      <w:pPr>
        <w:pStyle w:val="38"/>
        <w:spacing w:line="380" w:lineRule="exact"/>
        <w:rPr>
          <w:rFonts w:ascii="宋体" w:cs="宋体"/>
          <w:color w:val="auto"/>
          <w:highlight w:val="none"/>
        </w:rPr>
      </w:pPr>
      <w:bookmarkStart w:id="2190" w:name="_Toc351203650"/>
      <w:bookmarkStart w:id="2191" w:name="_Toc418752315"/>
      <w:bookmarkStart w:id="2192" w:name="_Toc403579007"/>
      <w:bookmarkStart w:id="2193" w:name="_Toc10404"/>
      <w:bookmarkStart w:id="2194" w:name="_Toc389065337"/>
      <w:bookmarkStart w:id="2195" w:name="_Toc497747251"/>
      <w:bookmarkStart w:id="2196" w:name="_Toc418061384"/>
      <w:bookmarkStart w:id="2197" w:name="_Toc418518419"/>
      <w:bookmarkStart w:id="2198" w:name="_Toc373227772"/>
      <w:bookmarkStart w:id="2199" w:name="_Toc522201799"/>
      <w:bookmarkStart w:id="2200" w:name="_Toc373478419"/>
      <w:bookmarkStart w:id="2201" w:name="_Toc497746854"/>
      <w:bookmarkStart w:id="2202" w:name="_Toc256000250"/>
      <w:bookmarkStart w:id="2203" w:name="_Toc418751869"/>
      <w:bookmarkStart w:id="2204" w:name="_Toc418518183"/>
      <w:r>
        <w:rPr>
          <w:rFonts w:hint="eastAsia" w:ascii="宋体" w:cs="宋体"/>
          <w:color w:val="auto"/>
          <w:highlight w:val="none"/>
        </w:rPr>
        <w:t>18. 保险</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bookmarkEnd w:id="2118"/>
    <w:p w14:paraId="3D97916E">
      <w:pPr>
        <w:pStyle w:val="38"/>
        <w:spacing w:line="380" w:lineRule="exact"/>
        <w:ind w:firstLine="422" w:firstLineChars="200"/>
        <w:rPr>
          <w:rFonts w:ascii="宋体" w:cs="宋体"/>
          <w:color w:val="auto"/>
          <w:highlight w:val="none"/>
        </w:rPr>
      </w:pPr>
      <w:bookmarkStart w:id="2205" w:name="_Toc256000251"/>
      <w:bookmarkStart w:id="2206" w:name="_Toc497746855"/>
      <w:bookmarkStart w:id="2207" w:name="_Toc373227773"/>
      <w:bookmarkStart w:id="2208" w:name="_Toc418752316"/>
      <w:bookmarkStart w:id="2209" w:name="_Toc389065338"/>
      <w:bookmarkStart w:id="2210" w:name="_Toc25051"/>
      <w:bookmarkStart w:id="2211" w:name="_Toc418751870"/>
      <w:bookmarkStart w:id="2212" w:name="_Toc418061385"/>
      <w:bookmarkStart w:id="2213" w:name="_Toc418518184"/>
      <w:bookmarkStart w:id="2214" w:name="_Toc497747252"/>
      <w:bookmarkStart w:id="2215" w:name="_Toc373478420"/>
      <w:bookmarkStart w:id="2216" w:name="_Toc403579008"/>
      <w:bookmarkStart w:id="2217" w:name="_Toc418518420"/>
      <w:bookmarkStart w:id="2218" w:name="_Toc522201800"/>
      <w:r>
        <w:rPr>
          <w:rFonts w:hint="eastAsia" w:ascii="宋体" w:cs="宋体"/>
          <w:color w:val="auto"/>
          <w:highlight w:val="none"/>
        </w:rPr>
        <w:t>18.1 工程保险</w:t>
      </w:r>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p>
    <w:p w14:paraId="3DAE13A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承包人应投保建筑工程一切险并承担与之相关的所有费用</w:t>
      </w:r>
      <w:r>
        <w:rPr>
          <w:rFonts w:hint="eastAsia" w:ascii="宋体" w:hAnsi="宋体" w:cs="宋体"/>
          <w:color w:val="auto"/>
          <w:kern w:val="0"/>
          <w:szCs w:val="21"/>
          <w:highlight w:val="none"/>
        </w:rPr>
        <w:t>。</w:t>
      </w:r>
    </w:p>
    <w:p w14:paraId="73C0D2B1">
      <w:pPr>
        <w:pStyle w:val="38"/>
        <w:spacing w:line="380" w:lineRule="exact"/>
        <w:ind w:firstLine="422" w:firstLineChars="200"/>
        <w:rPr>
          <w:rFonts w:ascii="宋体" w:cs="宋体"/>
          <w:color w:val="auto"/>
          <w:highlight w:val="none"/>
        </w:rPr>
      </w:pPr>
      <w:bookmarkStart w:id="2219" w:name="_Toc389065339"/>
      <w:bookmarkStart w:id="2220" w:name="_Toc497746856"/>
      <w:bookmarkStart w:id="2221" w:name="_Toc418751871"/>
      <w:bookmarkStart w:id="2222" w:name="_Toc14806"/>
      <w:bookmarkStart w:id="2223" w:name="_Toc418061386"/>
      <w:bookmarkStart w:id="2224" w:name="_Toc522201801"/>
      <w:bookmarkStart w:id="2225" w:name="_Toc256000252"/>
      <w:bookmarkStart w:id="2226" w:name="_Toc373227774"/>
      <w:bookmarkStart w:id="2227" w:name="_Toc418518185"/>
      <w:bookmarkStart w:id="2228" w:name="_Toc418518421"/>
      <w:bookmarkStart w:id="2229" w:name="_Toc497747253"/>
      <w:bookmarkStart w:id="2230" w:name="_Toc403579009"/>
      <w:bookmarkStart w:id="2231" w:name="_Toc418752317"/>
      <w:bookmarkStart w:id="2232" w:name="_Toc373478421"/>
      <w:r>
        <w:rPr>
          <w:rFonts w:hint="eastAsia" w:ascii="宋体" w:cs="宋体"/>
          <w:color w:val="auto"/>
          <w:highlight w:val="none"/>
        </w:rPr>
        <w:t>18.3 其他保险</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p>
    <w:p w14:paraId="5E15AE3A">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kern w:val="0"/>
          <w:szCs w:val="21"/>
          <w:highlight w:val="none"/>
          <w:u w:val="single"/>
        </w:rPr>
        <w:t>承包人根据市建协字【2009】3号文必须</w:t>
      </w:r>
      <w:r>
        <w:rPr>
          <w:rFonts w:hint="eastAsia" w:ascii="宋体" w:hAnsi="宋体" w:cs="宋体"/>
          <w:color w:val="auto"/>
          <w:szCs w:val="21"/>
          <w:highlight w:val="none"/>
          <w:u w:val="single"/>
        </w:rPr>
        <w:t>为施工现场从事施工的所有作业人员和管理人员办理意外伤害保险，并支付保险费</w:t>
      </w:r>
      <w:r>
        <w:rPr>
          <w:rFonts w:hint="eastAsia" w:ascii="宋体" w:hAnsi="宋体" w:cs="宋体"/>
          <w:bCs/>
          <w:color w:val="auto"/>
          <w:szCs w:val="21"/>
          <w:highlight w:val="none"/>
        </w:rPr>
        <w:t>。</w:t>
      </w:r>
    </w:p>
    <w:p w14:paraId="28321752">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按通用条款执行，无特殊约定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076788">
      <w:pPr>
        <w:pStyle w:val="38"/>
        <w:spacing w:line="380" w:lineRule="exact"/>
        <w:ind w:firstLine="422" w:firstLineChars="200"/>
        <w:rPr>
          <w:rFonts w:ascii="宋体" w:cs="宋体"/>
          <w:color w:val="auto"/>
          <w:highlight w:val="none"/>
        </w:rPr>
      </w:pPr>
      <w:bookmarkStart w:id="2233" w:name="_Toc403579010"/>
      <w:bookmarkStart w:id="2234" w:name="_Toc418518422"/>
      <w:bookmarkStart w:id="2235" w:name="_Toc418518186"/>
      <w:bookmarkStart w:id="2236" w:name="_Toc256000253"/>
      <w:bookmarkStart w:id="2237" w:name="_Toc418061387"/>
      <w:bookmarkStart w:id="2238" w:name="_Toc373478422"/>
      <w:bookmarkStart w:id="2239" w:name="_Toc418751872"/>
      <w:bookmarkStart w:id="2240" w:name="_Toc627"/>
      <w:bookmarkStart w:id="2241" w:name="_Toc522201802"/>
      <w:bookmarkStart w:id="2242" w:name="_Toc418752318"/>
      <w:bookmarkStart w:id="2243" w:name="_Toc497747254"/>
      <w:bookmarkStart w:id="2244" w:name="_Toc497746857"/>
      <w:bookmarkStart w:id="2245" w:name="_Toc389065340"/>
      <w:bookmarkStart w:id="2246" w:name="_Toc373227775"/>
      <w:r>
        <w:rPr>
          <w:rFonts w:hint="eastAsia" w:ascii="宋体" w:cs="宋体"/>
          <w:color w:val="auto"/>
          <w:highlight w:val="none"/>
        </w:rPr>
        <w:t>18.7 通知义务</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p>
    <w:p w14:paraId="1D75A715">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变更应通知当事人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w:t>
      </w:r>
    </w:p>
    <w:bookmarkEnd w:id="2038"/>
    <w:bookmarkEnd w:id="2039"/>
    <w:bookmarkEnd w:id="2040"/>
    <w:bookmarkEnd w:id="2041"/>
    <w:bookmarkEnd w:id="2042"/>
    <w:bookmarkEnd w:id="2043"/>
    <w:bookmarkEnd w:id="2044"/>
    <w:bookmarkEnd w:id="2045"/>
    <w:bookmarkEnd w:id="2046"/>
    <w:bookmarkEnd w:id="2047"/>
    <w:bookmarkEnd w:id="2048"/>
    <w:bookmarkEnd w:id="2049"/>
    <w:p w14:paraId="6D814D76">
      <w:pPr>
        <w:pStyle w:val="38"/>
        <w:spacing w:line="380" w:lineRule="exact"/>
        <w:rPr>
          <w:rFonts w:ascii="宋体" w:cs="宋体"/>
          <w:color w:val="auto"/>
          <w:highlight w:val="none"/>
        </w:rPr>
      </w:pPr>
      <w:bookmarkStart w:id="2247" w:name="_Toc497747255"/>
      <w:bookmarkStart w:id="2248" w:name="_Toc418752319"/>
      <w:bookmarkStart w:id="2249" w:name="_Toc403579011"/>
      <w:bookmarkStart w:id="2250" w:name="_Toc418518187"/>
      <w:bookmarkStart w:id="2251" w:name="_Toc389065341"/>
      <w:bookmarkStart w:id="2252" w:name="_Toc25758"/>
      <w:bookmarkStart w:id="2253" w:name="_Toc373478423"/>
      <w:bookmarkStart w:id="2254" w:name="_Toc418061388"/>
      <w:bookmarkStart w:id="2255" w:name="_Toc418518423"/>
      <w:bookmarkStart w:id="2256" w:name="_Toc522201803"/>
      <w:bookmarkStart w:id="2257" w:name="_Toc256000254"/>
      <w:bookmarkStart w:id="2258" w:name="_Toc373227776"/>
      <w:bookmarkStart w:id="2259" w:name="_Toc497746858"/>
      <w:bookmarkStart w:id="2260" w:name="_Toc351203651"/>
      <w:bookmarkStart w:id="2261" w:name="_Toc418751873"/>
      <w:r>
        <w:rPr>
          <w:rFonts w:hint="eastAsia" w:ascii="宋体" w:cs="宋体"/>
          <w:color w:val="auto"/>
          <w:highlight w:val="none"/>
        </w:rPr>
        <w:t>20. 争议解决</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p>
    <w:bookmarkEnd w:id="2050"/>
    <w:bookmarkEnd w:id="2051"/>
    <w:p w14:paraId="337C5A4B">
      <w:pPr>
        <w:pStyle w:val="38"/>
        <w:spacing w:line="380" w:lineRule="exact"/>
        <w:ind w:firstLine="422" w:firstLineChars="200"/>
        <w:rPr>
          <w:rFonts w:ascii="宋体" w:cs="宋体"/>
          <w:color w:val="auto"/>
          <w:highlight w:val="none"/>
        </w:rPr>
      </w:pPr>
      <w:bookmarkStart w:id="2262" w:name="_Toc522201804"/>
      <w:bookmarkStart w:id="2263" w:name="_Toc256000255"/>
      <w:bookmarkStart w:id="2264" w:name="_Toc389065342"/>
      <w:bookmarkStart w:id="2265" w:name="_Toc497746859"/>
      <w:bookmarkStart w:id="2266" w:name="_Toc418518424"/>
      <w:bookmarkStart w:id="2267" w:name="_Toc373478424"/>
      <w:bookmarkStart w:id="2268" w:name="_Toc16650"/>
      <w:bookmarkStart w:id="2269" w:name="_Toc373227777"/>
      <w:bookmarkStart w:id="2270" w:name="_Toc418752320"/>
      <w:bookmarkStart w:id="2271" w:name="_Toc418518188"/>
      <w:bookmarkStart w:id="2272" w:name="_Toc418751874"/>
      <w:bookmarkStart w:id="2273" w:name="_Toc497747256"/>
      <w:bookmarkStart w:id="2274" w:name="_Toc403579012"/>
      <w:bookmarkStart w:id="2275" w:name="_Toc418061389"/>
      <w:r>
        <w:rPr>
          <w:rFonts w:hint="eastAsia" w:ascii="宋体" w:cs="宋体"/>
          <w:color w:val="auto"/>
          <w:highlight w:val="none"/>
        </w:rPr>
        <w:t>20.3 争</w:t>
      </w:r>
      <w:bookmarkEnd w:id="2052"/>
      <w:r>
        <w:rPr>
          <w:rFonts w:hint="eastAsia" w:ascii="宋体" w:cs="宋体"/>
          <w:color w:val="auto"/>
          <w:highlight w:val="none"/>
        </w:rPr>
        <w:t>议评审</w:t>
      </w:r>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p>
    <w:p w14:paraId="4308A7CE">
      <w:pPr>
        <w:pStyle w:val="23"/>
        <w:spacing w:line="380" w:lineRule="exact"/>
        <w:ind w:left="149" w:leftChars="71" w:firstLine="315" w:firstLineChars="150"/>
        <w:jc w:val="left"/>
        <w:rPr>
          <w:rFonts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不同意  </w:t>
      </w:r>
      <w:r>
        <w:rPr>
          <w:rFonts w:hint="eastAsia" w:ascii="宋体" w:hAnsi="宋体" w:cs="宋体"/>
          <w:color w:val="auto"/>
          <w:szCs w:val="21"/>
          <w:highlight w:val="none"/>
        </w:rPr>
        <w:t>。</w:t>
      </w:r>
    </w:p>
    <w:p w14:paraId="37E17365">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48F08E40">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ECC518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3FC0BDC">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F5030C2">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CA58C86">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058F5A7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2242BFB">
      <w:pPr>
        <w:pStyle w:val="38"/>
        <w:spacing w:line="380" w:lineRule="exact"/>
        <w:ind w:firstLine="422" w:firstLineChars="200"/>
        <w:rPr>
          <w:rFonts w:ascii="宋体" w:cs="宋体"/>
          <w:color w:val="auto"/>
          <w:highlight w:val="none"/>
        </w:rPr>
      </w:pPr>
      <w:bookmarkStart w:id="2276" w:name="_Toc403579013"/>
      <w:bookmarkStart w:id="2277" w:name="_Toc389065343"/>
      <w:bookmarkStart w:id="2278" w:name="_Toc497747257"/>
      <w:bookmarkStart w:id="2279" w:name="_Toc522201805"/>
      <w:bookmarkStart w:id="2280" w:name="_Toc15918"/>
      <w:bookmarkStart w:id="2281" w:name="_Toc373227778"/>
      <w:bookmarkStart w:id="2282" w:name="_Toc373478425"/>
      <w:bookmarkStart w:id="2283" w:name="_Toc418752321"/>
      <w:bookmarkStart w:id="2284" w:name="_Toc418518189"/>
      <w:bookmarkStart w:id="2285" w:name="_Toc418518425"/>
      <w:bookmarkStart w:id="2286" w:name="_Toc418061390"/>
      <w:bookmarkStart w:id="2287" w:name="_Toc418751875"/>
      <w:bookmarkStart w:id="2288" w:name="_Toc256000256"/>
      <w:bookmarkStart w:id="2289" w:name="_Toc497746860"/>
      <w:r>
        <w:rPr>
          <w:rFonts w:hint="eastAsia" w:ascii="宋体" w:cs="宋体"/>
          <w:color w:val="auto"/>
          <w:highlight w:val="none"/>
        </w:rPr>
        <w:t>20.4 仲裁或诉讼</w:t>
      </w:r>
      <w:bookmarkEnd w:id="2053"/>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14:paraId="4164BA83">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4BB32CB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仲裁委员会按照该会仲裁规则进行仲裁，仲裁裁决是终局的，对合同双方均有约束力。</w:t>
      </w:r>
    </w:p>
    <w:p w14:paraId="4065478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桂林市本工程辖区内     </w:t>
      </w:r>
      <w:r>
        <w:rPr>
          <w:rFonts w:hint="eastAsia" w:ascii="宋体" w:hAnsi="宋体" w:cs="宋体"/>
          <w:color w:val="auto"/>
          <w:szCs w:val="21"/>
          <w:highlight w:val="none"/>
        </w:rPr>
        <w:t>人民法院起诉。</w:t>
      </w:r>
      <w:bookmarkEnd w:id="2054"/>
      <w:bookmarkEnd w:id="2055"/>
      <w:bookmarkEnd w:id="2056"/>
      <w:bookmarkEnd w:id="2057"/>
      <w:bookmarkEnd w:id="2058"/>
      <w:bookmarkEnd w:id="2059"/>
    </w:p>
    <w:p w14:paraId="462AC018">
      <w:pPr>
        <w:pStyle w:val="38"/>
        <w:spacing w:line="380" w:lineRule="exact"/>
        <w:rPr>
          <w:rFonts w:ascii="宋体" w:cs="宋体"/>
          <w:color w:val="auto"/>
          <w:highlight w:val="none"/>
        </w:rPr>
      </w:pPr>
      <w:bookmarkStart w:id="2290" w:name="_Toc373478426"/>
      <w:bookmarkStart w:id="2291" w:name="_Toc522201806"/>
      <w:bookmarkStart w:id="2292" w:name="_Toc389065344"/>
      <w:bookmarkStart w:id="2293" w:name="_Toc256000257"/>
      <w:bookmarkStart w:id="2294" w:name="_Toc497747258"/>
      <w:bookmarkStart w:id="2295" w:name="_Toc395382582"/>
      <w:bookmarkStart w:id="2296" w:name="_Toc373227779"/>
      <w:bookmarkStart w:id="2297" w:name="_Toc497746861"/>
      <w:bookmarkStart w:id="2298" w:name="_Toc32248"/>
      <w:r>
        <w:rPr>
          <w:rFonts w:hint="eastAsia" w:ascii="宋体" w:cs="宋体"/>
          <w:color w:val="auto"/>
          <w:highlight w:val="none"/>
        </w:rPr>
        <w:t>21. 补充条款</w:t>
      </w:r>
      <w:bookmarkEnd w:id="2290"/>
      <w:bookmarkEnd w:id="2291"/>
      <w:bookmarkEnd w:id="2292"/>
      <w:bookmarkEnd w:id="2293"/>
      <w:bookmarkEnd w:id="2294"/>
      <w:bookmarkEnd w:id="2295"/>
      <w:bookmarkEnd w:id="2296"/>
      <w:bookmarkEnd w:id="2297"/>
      <w:bookmarkEnd w:id="2298"/>
    </w:p>
    <w:p w14:paraId="19D52276">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21.1 根据桂劳社[2003]150 号文，承包人在投标时必须在投标文件中承诺，在发包人发出交款通知之日起 7 个工作日内足额将民工工资保障金转入建设行政主管部门设立的农民工工资保障金专用帐号。发包人按节点足额支付工程款后，一旦其承包的建设工程项目中出现拖欠农民工工资情况的，由主管部门从其农民工工资保障金中先予支付。 </w:t>
      </w:r>
    </w:p>
    <w:p w14:paraId="076761D6">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21.2 承包方采用新工艺新材料，必须在使用前 2 个月，向发包方提交相关的技术资料、发明专利、产品证书、样品及应用的实例、单价组成等有关资料；经发包方、设计单位认可后方可使用，凡未经批准擅自使用者除费用自行承担外还应赔偿发包方由此引起的经济损失。 </w:t>
      </w:r>
    </w:p>
    <w:p w14:paraId="5A27A4FA">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21.3 赶工费、夜间施工费由投标人结合自身企业的实际情况及对施工现场的考察、提供的图纸等各方面的资料自行报价，并包干使用，今后不作任何调整和签证。</w:t>
      </w:r>
    </w:p>
    <w:p w14:paraId="14B18DF0">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21.4 根据《建设工程质量检测管理办法》（建设部令第 141 号）以及《广西壮族自治区建设工程质量检测管理规定》（桂建管〔2013〕11 号）规定，工程质量检测业务由招标人委托有相应资质的检测机构检测。费用从招标人的项目建设经费中支出并直接支付给检测机构，不计入合同价款内。  </w:t>
      </w:r>
    </w:p>
    <w:p w14:paraId="6AF1604D">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由于承包人不能按时提供属承包人应提供的文件导致发包人不能及时办理施工许可证，所有造成的后果由承包人承担责任。造成发包人损失的，承包人应赔偿发包人损失。 </w:t>
      </w:r>
    </w:p>
    <w:p w14:paraId="5FD6BD0A">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 xml:space="preserve">已完工程成品保护的特殊要求及费用承担： 已竣工工程未交付发包人之前，承包人负责已完工程的成品保护工作，保护期间发生损坏，承包人自费予以修复。 </w:t>
      </w:r>
    </w:p>
    <w:p w14:paraId="62B07EF8">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21.9材料严格保证质量，相同类型材料质量应一致，若发现有材料以次品冒充，则该部分所有材料均按次品处理且须重新更换合格材料才能使用。 </w:t>
      </w:r>
    </w:p>
    <w:p w14:paraId="13C94ADB">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14:paraId="712E81C9">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 xml:space="preserve"> 承包人有以下情形之一者，视为违约，发包人有权依法解除合同，没收其全部履约保证金，承包人还应承担相应的法律责任。  </w:t>
      </w:r>
    </w:p>
    <w:p w14:paraId="61BFCEAC">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① 经有关建设主管部门鉴定确认，承包人有挂靠行为。 </w:t>
      </w:r>
    </w:p>
    <w:p w14:paraId="36A3AF7D">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② 转包工程，以牟取转让费、管理费。  </w:t>
      </w:r>
    </w:p>
    <w:p w14:paraId="27D969CB">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③ 自签订合同之日起 15 日内，因承包人责任无法组织合同规定的人员、机械进场或进场人员机械与合同严重不符。 </w:t>
      </w:r>
    </w:p>
    <w:p w14:paraId="05984CF3">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工程竣工验收通过后 14 天之内，承包人必须将临时工棚、建筑垃圾等全部清理出现场，否则从第15天起，每天处以1000元罚款且不办理结算。</w:t>
      </w:r>
    </w:p>
    <w:bookmarkEnd w:id="673"/>
    <w:p w14:paraId="372DC637">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如因政策性原因或者项目暂时（或永久）取消导致开工延误或无法开工，发包人不支付承包人任何赔偿或补偿，并可根据政策要求或项目情况延时开工或取消部分合同内容。</w:t>
      </w:r>
    </w:p>
    <w:p w14:paraId="774561BD">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 承包人应自行协调与施工现场周边及村民的关系，确保项目施工顺利进行。发包人不再支付承包人因协调施工现场周边及村民关系而发生的任何费用。如因征地拆迁造成的问题由由发包人负责牵头解决。</w:t>
      </w:r>
    </w:p>
    <w:p w14:paraId="7B12D80D">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45BE2BC9">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0D90A4B4">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0C8C26BA">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6815E484">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7B1E934B">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4F3D8E09">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7CE24A01">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5247334B">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38D8AB3A">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1694A0FE">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0DC094CC">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1B985030">
      <w:pPr>
        <w:pStyle w:val="35"/>
        <w:rPr>
          <w:rFonts w:hint="eastAsia" w:ascii="宋体" w:hAnsi="宋体" w:eastAsia="宋体" w:cs="宋体"/>
          <w:b/>
          <w:color w:val="auto"/>
          <w:sz w:val="21"/>
          <w:szCs w:val="21"/>
          <w:highlight w:val="none"/>
        </w:rPr>
      </w:pPr>
    </w:p>
    <w:p w14:paraId="21EDC89F">
      <w:pPr>
        <w:pStyle w:val="35"/>
        <w:rPr>
          <w:rFonts w:hint="eastAsia" w:ascii="宋体" w:hAnsi="宋体" w:eastAsia="宋体" w:cs="宋体"/>
          <w:b/>
          <w:color w:val="auto"/>
          <w:sz w:val="21"/>
          <w:szCs w:val="21"/>
          <w:highlight w:val="none"/>
        </w:rPr>
      </w:pPr>
    </w:p>
    <w:p w14:paraId="0D77604A">
      <w:pPr>
        <w:pStyle w:val="35"/>
        <w:rPr>
          <w:rFonts w:hint="eastAsia" w:ascii="宋体" w:hAnsi="宋体" w:eastAsia="宋体" w:cs="宋体"/>
          <w:b/>
          <w:color w:val="auto"/>
          <w:sz w:val="21"/>
          <w:szCs w:val="21"/>
          <w:highlight w:val="none"/>
        </w:rPr>
      </w:pPr>
    </w:p>
    <w:p w14:paraId="00069D9E">
      <w:pPr>
        <w:pStyle w:val="35"/>
        <w:rPr>
          <w:rFonts w:hint="eastAsia" w:ascii="宋体" w:hAnsi="宋体" w:eastAsia="宋体" w:cs="宋体"/>
          <w:b/>
          <w:color w:val="auto"/>
          <w:sz w:val="21"/>
          <w:szCs w:val="21"/>
          <w:highlight w:val="none"/>
        </w:rPr>
      </w:pPr>
    </w:p>
    <w:p w14:paraId="7F2158D9">
      <w:pPr>
        <w:pStyle w:val="35"/>
        <w:rPr>
          <w:rFonts w:hint="eastAsia" w:ascii="宋体" w:hAnsi="宋体" w:eastAsia="宋体" w:cs="宋体"/>
          <w:b/>
          <w:color w:val="auto"/>
          <w:sz w:val="21"/>
          <w:szCs w:val="21"/>
          <w:highlight w:val="none"/>
        </w:rPr>
      </w:pPr>
    </w:p>
    <w:p w14:paraId="55614102">
      <w:pPr>
        <w:pStyle w:val="35"/>
        <w:rPr>
          <w:rFonts w:hint="eastAsia" w:ascii="宋体" w:hAnsi="宋体" w:eastAsia="宋体" w:cs="宋体"/>
          <w:b/>
          <w:color w:val="auto"/>
          <w:sz w:val="21"/>
          <w:szCs w:val="21"/>
          <w:highlight w:val="none"/>
        </w:rPr>
      </w:pPr>
    </w:p>
    <w:p w14:paraId="0833EFFF">
      <w:pPr>
        <w:pStyle w:val="35"/>
        <w:rPr>
          <w:rFonts w:hint="eastAsia" w:ascii="宋体" w:hAnsi="宋体" w:eastAsia="宋体" w:cs="宋体"/>
          <w:b/>
          <w:color w:val="auto"/>
          <w:sz w:val="21"/>
          <w:szCs w:val="21"/>
          <w:highlight w:val="none"/>
        </w:rPr>
      </w:pPr>
    </w:p>
    <w:p w14:paraId="057C3278">
      <w:pPr>
        <w:pStyle w:val="35"/>
        <w:rPr>
          <w:rFonts w:hint="eastAsia" w:ascii="宋体" w:hAnsi="宋体" w:eastAsia="宋体" w:cs="宋体"/>
          <w:b/>
          <w:color w:val="auto"/>
          <w:sz w:val="21"/>
          <w:szCs w:val="21"/>
          <w:highlight w:val="none"/>
        </w:rPr>
      </w:pPr>
    </w:p>
    <w:p w14:paraId="4C0F8F55">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5C0C5B54">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0D7FA58E">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14:paraId="2A8166AF">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14:paraId="40EAA668">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12E8CE55">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14:paraId="6768E040">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14:paraId="5558E94C">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14:paraId="045B0B51">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14:paraId="5244F647">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14:paraId="4C06B6AF">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14:paraId="2721ED6D">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14:paraId="485FF4BF">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14:paraId="20A2838F">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14:paraId="6BF22E42">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14:paraId="63A02058">
      <w:pPr>
        <w:pStyle w:val="11"/>
        <w:rPr>
          <w:rFonts w:hint="eastAsia" w:ascii="宋体" w:hAnsi="宋体" w:eastAsia="宋体" w:cs="宋体"/>
          <w:color w:val="auto"/>
          <w:sz w:val="21"/>
          <w:szCs w:val="21"/>
          <w:highlight w:val="none"/>
          <w:lang w:val="en-US" w:eastAsia="zh-CN"/>
        </w:rPr>
      </w:pPr>
    </w:p>
    <w:p w14:paraId="6245466B">
      <w:pPr>
        <w:pStyle w:val="11"/>
        <w:rPr>
          <w:rFonts w:hint="default" w:ascii="宋体" w:hAnsi="宋体" w:eastAsia="宋体" w:cs="宋体"/>
          <w:color w:val="auto"/>
          <w:sz w:val="21"/>
          <w:szCs w:val="21"/>
          <w:highlight w:val="none"/>
          <w:lang w:val="en-US" w:eastAsia="zh-CN"/>
        </w:rPr>
        <w:sectPr>
          <w:pgSz w:w="11906" w:h="16838"/>
          <w:pgMar w:top="1418" w:right="1115" w:bottom="1418" w:left="1131" w:header="851" w:footer="992" w:gutter="0"/>
          <w:pgNumType w:fmt="decimal"/>
          <w:cols w:space="720" w:num="1"/>
          <w:titlePg/>
          <w:docGrid w:type="lines" w:linePitch="312" w:charSpace="0"/>
        </w:sectPr>
      </w:pPr>
    </w:p>
    <w:p w14:paraId="7909971A">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w:t>
      </w:r>
    </w:p>
    <w:p w14:paraId="16EDC63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承包人承揽工程项目一览表</w:t>
      </w:r>
    </w:p>
    <w:tbl>
      <w:tblPr>
        <w:tblStyle w:val="29"/>
        <w:tblW w:w="1431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14:paraId="54FFE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7829ECC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14:paraId="6F78A11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14:paraId="7AB411F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建筑面积(平方米)</w:t>
            </w:r>
          </w:p>
        </w:tc>
        <w:tc>
          <w:tcPr>
            <w:tcW w:w="2126" w:type="dxa"/>
            <w:tcBorders>
              <w:top w:val="single" w:color="auto" w:sz="12" w:space="0"/>
              <w:bottom w:val="double" w:color="auto" w:sz="6" w:space="0"/>
            </w:tcBorders>
            <w:noWrap w:val="0"/>
            <w:vAlign w:val="center"/>
          </w:tcPr>
          <w:p w14:paraId="487BDE6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14:paraId="12A1FF9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14:paraId="55BE8F3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14:paraId="7BFC768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14:paraId="1621137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14:paraId="4865FBA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14:paraId="15DAE46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竣工日期</w:t>
            </w:r>
          </w:p>
        </w:tc>
      </w:tr>
      <w:tr w14:paraId="2462F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78FBB57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double" w:color="auto" w:sz="6" w:space="0"/>
              <w:bottom w:val="single" w:color="auto" w:sz="6" w:space="0"/>
            </w:tcBorders>
            <w:noWrap w:val="0"/>
            <w:vAlign w:val="center"/>
          </w:tcPr>
          <w:p w14:paraId="73E9A55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1919B1B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5A07122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4EF7EEE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double" w:color="auto" w:sz="6" w:space="0"/>
              <w:bottom w:val="single" w:color="auto" w:sz="6" w:space="0"/>
            </w:tcBorders>
            <w:noWrap w:val="0"/>
            <w:vAlign w:val="center"/>
          </w:tcPr>
          <w:p w14:paraId="652E25E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43D194B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715FB3E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16F86CD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68C91BD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599A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C1516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29F75E6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198477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5872EE8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58A8C18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7AEEF6F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4B89194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1668FC6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397F207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51BA809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1CE3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EFD990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171CE9A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45D1EA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1D0B5FB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4FF6AB2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29B904E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1DCA789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47844AA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721E497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4AF55AB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5FA9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9ED8CA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1D9705E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3275A84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208C9D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503FB2F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74A2AA9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7F35B9A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60E152D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0D815D5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1912157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D974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2A345B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7747972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E7D25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423FAAA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5EDB837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7A4E06E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05FAB71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6F1C01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1A4AB9F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24718AD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F7E2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CE0482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6C145A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59B2CC7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7811D3E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33B7B18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7563320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15AA1E1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3B6E7ED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2077B2D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6B7937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E841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A92F1A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3DFBD51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060796D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1C360AD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2FB0FED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1228E8C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3EFC7DD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664C9FA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79A99A2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131755B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2DF9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74B19D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3F8CFA0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59055E9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6C0DB26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2849A87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4C2E74C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60F747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6B19A74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6A11F13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10149C4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4D6B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339EE4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6D1325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1F88235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3CCE1D5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070DC34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5F840CA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610FB45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54F63C5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19D244B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5459B31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D656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9AC816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335F749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692B3F2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047133F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10DEAD8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5330771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5ED65BF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518BC7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0ECE1E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02E01D4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56D5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19CB7F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0007485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76AADC8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6916556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3CD6E80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13E41B3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2E86980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4ED1379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26FDE60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4B79880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1358CB1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b/>
          <w:color w:val="auto"/>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3238529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p>
    <w:p w14:paraId="73362BE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发包人供应材料设备一览表</w:t>
      </w:r>
    </w:p>
    <w:tbl>
      <w:tblPr>
        <w:tblStyle w:val="29"/>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14:paraId="70242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noWrap w:val="0"/>
            <w:vAlign w:val="center"/>
          </w:tcPr>
          <w:p w14:paraId="064745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099" w:type="dxa"/>
            <w:tcBorders>
              <w:top w:val="single" w:color="auto" w:sz="12" w:space="0"/>
              <w:bottom w:val="double" w:color="auto" w:sz="6" w:space="0"/>
            </w:tcBorders>
            <w:noWrap w:val="0"/>
            <w:vAlign w:val="center"/>
          </w:tcPr>
          <w:p w14:paraId="39630ED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材料、</w:t>
            </w:r>
          </w:p>
          <w:p w14:paraId="5500D39E">
            <w:pPr>
              <w:pStyle w:val="11"/>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设备品种</w:t>
            </w:r>
          </w:p>
        </w:tc>
        <w:tc>
          <w:tcPr>
            <w:tcW w:w="1134" w:type="dxa"/>
            <w:tcBorders>
              <w:top w:val="single" w:color="auto" w:sz="12" w:space="0"/>
              <w:bottom w:val="double" w:color="auto" w:sz="6" w:space="0"/>
            </w:tcBorders>
            <w:noWrap w:val="0"/>
            <w:vAlign w:val="center"/>
          </w:tcPr>
          <w:p w14:paraId="673A2EA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620" w:type="dxa"/>
            <w:tcBorders>
              <w:top w:val="single" w:color="auto" w:sz="12" w:space="0"/>
              <w:bottom w:val="double" w:color="auto" w:sz="6" w:space="0"/>
            </w:tcBorders>
            <w:noWrap w:val="0"/>
            <w:vAlign w:val="center"/>
          </w:tcPr>
          <w:p w14:paraId="2DAE882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690" w:type="dxa"/>
            <w:tcBorders>
              <w:top w:val="single" w:color="auto" w:sz="12" w:space="0"/>
              <w:bottom w:val="double" w:color="auto" w:sz="6" w:space="0"/>
            </w:tcBorders>
            <w:noWrap w:val="0"/>
            <w:vAlign w:val="center"/>
          </w:tcPr>
          <w:p w14:paraId="63EA57F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044" w:type="dxa"/>
            <w:tcBorders>
              <w:top w:val="single" w:color="auto" w:sz="12" w:space="0"/>
              <w:bottom w:val="double" w:color="auto" w:sz="6" w:space="0"/>
            </w:tcBorders>
            <w:noWrap w:val="0"/>
            <w:vAlign w:val="center"/>
          </w:tcPr>
          <w:p w14:paraId="71ECC0D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719" w:type="dxa"/>
            <w:tcBorders>
              <w:top w:val="single" w:color="auto" w:sz="12" w:space="0"/>
              <w:bottom w:val="double" w:color="auto" w:sz="6" w:space="0"/>
            </w:tcBorders>
            <w:noWrap w:val="0"/>
            <w:vAlign w:val="center"/>
          </w:tcPr>
          <w:p w14:paraId="574575A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质量等级</w:t>
            </w:r>
          </w:p>
        </w:tc>
        <w:tc>
          <w:tcPr>
            <w:tcW w:w="716" w:type="dxa"/>
            <w:tcBorders>
              <w:top w:val="single" w:color="auto" w:sz="12" w:space="0"/>
              <w:bottom w:val="double" w:color="auto" w:sz="6" w:space="0"/>
            </w:tcBorders>
            <w:noWrap w:val="0"/>
            <w:vAlign w:val="center"/>
          </w:tcPr>
          <w:p w14:paraId="43E3567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供应时间</w:t>
            </w:r>
          </w:p>
        </w:tc>
        <w:tc>
          <w:tcPr>
            <w:tcW w:w="1487" w:type="dxa"/>
            <w:tcBorders>
              <w:top w:val="single" w:color="auto" w:sz="12" w:space="0"/>
              <w:bottom w:val="double" w:color="auto" w:sz="6" w:space="0"/>
            </w:tcBorders>
            <w:noWrap w:val="0"/>
            <w:vAlign w:val="center"/>
          </w:tcPr>
          <w:p w14:paraId="38DD375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送达地点</w:t>
            </w:r>
          </w:p>
        </w:tc>
        <w:tc>
          <w:tcPr>
            <w:tcW w:w="783" w:type="dxa"/>
            <w:tcBorders>
              <w:top w:val="single" w:color="auto" w:sz="12" w:space="0"/>
              <w:bottom w:val="double" w:color="auto" w:sz="6" w:space="0"/>
            </w:tcBorders>
            <w:noWrap w:val="0"/>
            <w:vAlign w:val="center"/>
          </w:tcPr>
          <w:p w14:paraId="3E04ED1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14:paraId="4A8A5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noWrap w:val="0"/>
            <w:vAlign w:val="center"/>
          </w:tcPr>
          <w:p w14:paraId="616FFEB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tcBorders>
              <w:top w:val="double" w:color="auto" w:sz="6" w:space="0"/>
              <w:bottom w:val="single" w:color="auto" w:sz="6" w:space="0"/>
            </w:tcBorders>
            <w:noWrap w:val="0"/>
            <w:vAlign w:val="center"/>
          </w:tcPr>
          <w:p w14:paraId="2670AFC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double" w:color="auto" w:sz="6" w:space="0"/>
              <w:bottom w:val="single" w:color="auto" w:sz="6" w:space="0"/>
            </w:tcBorders>
            <w:noWrap w:val="0"/>
            <w:vAlign w:val="center"/>
          </w:tcPr>
          <w:p w14:paraId="17EA2DD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tcBorders>
              <w:top w:val="double" w:color="auto" w:sz="6" w:space="0"/>
              <w:bottom w:val="single" w:color="auto" w:sz="6" w:space="0"/>
            </w:tcBorders>
            <w:noWrap w:val="0"/>
            <w:vAlign w:val="center"/>
          </w:tcPr>
          <w:p w14:paraId="34EE52B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tcBorders>
              <w:top w:val="double" w:color="auto" w:sz="6" w:space="0"/>
              <w:bottom w:val="single" w:color="auto" w:sz="6" w:space="0"/>
            </w:tcBorders>
            <w:noWrap w:val="0"/>
            <w:vAlign w:val="center"/>
          </w:tcPr>
          <w:p w14:paraId="45DE00F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tcBorders>
              <w:top w:val="double" w:color="auto" w:sz="6" w:space="0"/>
              <w:bottom w:val="single" w:color="auto" w:sz="6" w:space="0"/>
            </w:tcBorders>
            <w:noWrap w:val="0"/>
            <w:vAlign w:val="center"/>
          </w:tcPr>
          <w:p w14:paraId="483B973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tcBorders>
              <w:top w:val="double" w:color="auto" w:sz="6" w:space="0"/>
              <w:bottom w:val="single" w:color="auto" w:sz="6" w:space="0"/>
            </w:tcBorders>
            <w:noWrap w:val="0"/>
            <w:vAlign w:val="center"/>
          </w:tcPr>
          <w:p w14:paraId="69F44E9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tcBorders>
              <w:top w:val="double" w:color="auto" w:sz="6" w:space="0"/>
              <w:bottom w:val="single" w:color="auto" w:sz="6" w:space="0"/>
            </w:tcBorders>
            <w:noWrap w:val="0"/>
            <w:vAlign w:val="center"/>
          </w:tcPr>
          <w:p w14:paraId="11B27CA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tcBorders>
              <w:top w:val="double" w:color="auto" w:sz="6" w:space="0"/>
              <w:bottom w:val="single" w:color="auto" w:sz="6" w:space="0"/>
            </w:tcBorders>
            <w:noWrap w:val="0"/>
            <w:vAlign w:val="center"/>
          </w:tcPr>
          <w:p w14:paraId="5BDD630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tcBorders>
              <w:top w:val="double" w:color="auto" w:sz="6" w:space="0"/>
              <w:bottom w:val="single" w:color="auto" w:sz="6" w:space="0"/>
            </w:tcBorders>
            <w:noWrap w:val="0"/>
            <w:vAlign w:val="center"/>
          </w:tcPr>
          <w:p w14:paraId="7130AA6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923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noWrap w:val="0"/>
            <w:vAlign w:val="center"/>
          </w:tcPr>
          <w:p w14:paraId="3901A8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tcBorders>
              <w:top w:val="nil"/>
            </w:tcBorders>
            <w:noWrap w:val="0"/>
            <w:vAlign w:val="center"/>
          </w:tcPr>
          <w:p w14:paraId="7510BC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14:paraId="2CBCD7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tcBorders>
              <w:top w:val="nil"/>
            </w:tcBorders>
            <w:noWrap w:val="0"/>
            <w:vAlign w:val="center"/>
          </w:tcPr>
          <w:p w14:paraId="532568D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tcBorders>
              <w:top w:val="nil"/>
            </w:tcBorders>
            <w:noWrap w:val="0"/>
            <w:vAlign w:val="center"/>
          </w:tcPr>
          <w:p w14:paraId="23FC722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tcBorders>
              <w:top w:val="nil"/>
            </w:tcBorders>
            <w:noWrap w:val="0"/>
            <w:vAlign w:val="center"/>
          </w:tcPr>
          <w:p w14:paraId="756F737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tcBorders>
              <w:top w:val="nil"/>
            </w:tcBorders>
            <w:noWrap w:val="0"/>
            <w:vAlign w:val="center"/>
          </w:tcPr>
          <w:p w14:paraId="7C0D06A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tcBorders>
              <w:top w:val="nil"/>
            </w:tcBorders>
            <w:noWrap w:val="0"/>
            <w:vAlign w:val="center"/>
          </w:tcPr>
          <w:p w14:paraId="4DB1B8C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tcBorders>
              <w:top w:val="nil"/>
            </w:tcBorders>
            <w:noWrap w:val="0"/>
            <w:vAlign w:val="center"/>
          </w:tcPr>
          <w:p w14:paraId="76DA81D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tcBorders>
              <w:top w:val="nil"/>
            </w:tcBorders>
            <w:noWrap w:val="0"/>
            <w:vAlign w:val="center"/>
          </w:tcPr>
          <w:p w14:paraId="01CA199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F4A4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07C07E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5B4BCC2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17E0E08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1BA1C17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1E77116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6AF6E3F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1DB5E12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4A4B1DB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053672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438A5C3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6BD6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F916F5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09108B8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5AAE43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73E5294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318BBD2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3290CD3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1848DF5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29A49A1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79C0ACA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121063C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7BED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4CB97C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3AC00D4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3C34EB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7FDEA43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6EC18F6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3C6F2CC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429548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111CB49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7051CFB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642061A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2640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34475E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7BD2CF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D89DB4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0BD925F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343FBE5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020F2A2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3D9956B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25AC581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7DB53A6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291E999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54FD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40315C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0DF05B4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1E7781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0DB5BB5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5F8E05E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42DF81B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2687331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1E4A08C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77EB70C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38D93B0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2D18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564A17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4C6EDE1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3051E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2CB4D9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3C1112C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4FC1FEA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4D450A2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2159F5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455ACFC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653ABE9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A71A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B428CA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47F05E1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67464A8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666AAB6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4B623AE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48C8F7B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7B0C0BF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217A7EE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2D34C43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20496A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6F95A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FC0C9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46BB9A2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425377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0904AE9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1B90066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2AA5D0F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58CB8F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5E42C3F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56B8368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598CDF3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45A3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6F6623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55047FA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121EE68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4B93E4C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4667438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4222759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12213DD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46B8A25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15E06F4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1DA0176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1C883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DC83A2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2278C66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69F32DB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293B8F3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03DEDA7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1333B34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37B1901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35F0CF7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673B5C4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C56862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6903C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A7F050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3497CF5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6C1ECE8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2812F3C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7B3CFE6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1F3F4AB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731A0E0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7D5EF47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49B2588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6FE624D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53AA4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65B7B3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163835A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1F7CAA0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598667A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0A9B7C2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072AB5B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4E8E361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16854BB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0E3B154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77005E3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29844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C548D3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4EB3FED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2AAEA0E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63618A0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74CA211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00E6C18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7FD9FFE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314D115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2D659BE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71E141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61319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4001C9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6F6EB6C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3DD79C5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0E9FE56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3772CD9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1C4158B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5514F87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5B66A79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79C6D58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5FB197C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686A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E812BD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5BE7EB4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7F58287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493EB47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2BC32CE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7338E47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3E52F84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0DDF534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12E8C9C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091201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0B252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8D8754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4D25D4B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25EAF5A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7483534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40FD33B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468C10A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171260E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5F9BBBD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1AB39C1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36D3F80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bl>
    <w:p w14:paraId="4B5B726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2C5011C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4E897C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5A03BF4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A38F25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56804D2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附件3：    </w:t>
      </w:r>
    </w:p>
    <w:p w14:paraId="4B11CE03">
      <w:pPr>
        <w:pStyle w:val="43"/>
        <w:tabs>
          <w:tab w:val="left" w:pos="0"/>
        </w:tabs>
        <w:spacing w:line="276" w:lineRule="auto"/>
        <w:ind w:firstLine="0" w:firstLineChars="0"/>
        <w:rPr>
          <w:color w:val="auto"/>
          <w:sz w:val="30"/>
          <w:szCs w:val="30"/>
          <w:highlight w:val="none"/>
        </w:rPr>
      </w:pPr>
      <w:r>
        <w:rPr>
          <w:color w:val="auto"/>
          <w:sz w:val="30"/>
          <w:szCs w:val="30"/>
          <w:highlight w:val="none"/>
        </w:rPr>
        <w:t xml:space="preserve">  </w:t>
      </w:r>
    </w:p>
    <w:p w14:paraId="7B638834">
      <w:pPr>
        <w:pStyle w:val="23"/>
        <w:jc w:val="center"/>
        <w:rPr>
          <w:rFonts w:ascii="宋体" w:hAnsi="宋体"/>
          <w:color w:val="auto"/>
          <w:sz w:val="28"/>
          <w:szCs w:val="28"/>
          <w:highlight w:val="none"/>
        </w:rPr>
      </w:pPr>
      <w:r>
        <w:rPr>
          <w:rFonts w:ascii="宋体" w:hAnsi="宋体"/>
          <w:color w:val="auto"/>
          <w:sz w:val="28"/>
          <w:szCs w:val="28"/>
          <w:highlight w:val="none"/>
        </w:rPr>
        <w:t>工程质量保修书</w:t>
      </w:r>
    </w:p>
    <w:p w14:paraId="7AF04BDA">
      <w:pPr>
        <w:pStyle w:val="22"/>
        <w:rPr>
          <w:color w:val="auto"/>
          <w:highlight w:val="none"/>
        </w:rPr>
      </w:pPr>
    </w:p>
    <w:p w14:paraId="1ADB6CB5">
      <w:pPr>
        <w:pStyle w:val="43"/>
        <w:spacing w:line="320" w:lineRule="exact"/>
        <w:ind w:firstLine="0" w:firstLineChars="0"/>
        <w:rPr>
          <w:rFonts w:ascii="宋体" w:hAnsi="宋体" w:cs="宋体"/>
          <w:color w:val="auto"/>
          <w:highlight w:val="none"/>
        </w:rPr>
      </w:pPr>
      <w:r>
        <w:rPr>
          <w:rFonts w:hint="eastAsia" w:ascii="宋体" w:hAnsi="宋体" w:cs="宋体"/>
          <w:color w:val="auto"/>
          <w:highlight w:val="none"/>
        </w:rPr>
        <w:t>发包人（全称）：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p>
    <w:p w14:paraId="23F7C33A">
      <w:pPr>
        <w:pStyle w:val="43"/>
        <w:spacing w:line="320" w:lineRule="exact"/>
        <w:ind w:firstLine="0" w:firstLineChars="0"/>
        <w:rPr>
          <w:rFonts w:ascii="宋体" w:hAnsi="宋体" w:cs="宋体"/>
          <w:color w:val="auto"/>
          <w:highlight w:val="none"/>
        </w:rPr>
      </w:pPr>
      <w:r>
        <w:rPr>
          <w:rFonts w:hint="eastAsia" w:ascii="宋体" w:hAnsi="宋体" w:cs="宋体"/>
          <w:color w:val="auto"/>
          <w:highlight w:val="none"/>
        </w:rPr>
        <w:t>承包人（全称）：</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p>
    <w:p w14:paraId="4511AE6B">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为保证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工程</w:t>
      </w:r>
      <w:r>
        <w:rPr>
          <w:rFonts w:hint="eastAsia" w:ascii="宋体" w:hAnsi="宋体" w:cs="宋体"/>
          <w:color w:val="auto"/>
          <w:szCs w:val="21"/>
          <w:highlight w:val="none"/>
        </w:rPr>
        <w:t>在合理使用期限内正常使用，经发包人、承包人协商一致签订本工程质量保修书。承包人在质量保修期内按照有关管理规定及双方约定承担工程质量保修责任。</w:t>
      </w:r>
    </w:p>
    <w:p w14:paraId="01A73BF9">
      <w:pPr>
        <w:pStyle w:val="46"/>
        <w:spacing w:line="400" w:lineRule="exact"/>
        <w:ind w:firstLine="420" w:firstLineChars="200"/>
        <w:outlineLvl w:val="0"/>
        <w:rPr>
          <w:rFonts w:ascii="宋体" w:hAnsi="宋体" w:cs="宋体"/>
          <w:color w:val="auto"/>
          <w:szCs w:val="21"/>
          <w:highlight w:val="none"/>
        </w:rPr>
      </w:pPr>
      <w:bookmarkStart w:id="2299" w:name="_Toc3496"/>
      <w:bookmarkStart w:id="2300" w:name="_Toc522201808"/>
      <w:r>
        <w:rPr>
          <w:rFonts w:hint="eastAsia" w:ascii="宋体" w:hAnsi="宋体" w:cs="宋体"/>
          <w:color w:val="auto"/>
          <w:szCs w:val="21"/>
          <w:highlight w:val="none"/>
        </w:rPr>
        <w:t>一、工程保修范围和内容</w:t>
      </w:r>
      <w:bookmarkEnd w:id="2299"/>
      <w:bookmarkEnd w:id="2300"/>
    </w:p>
    <w:p w14:paraId="0BD98899">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质量保修范围为施工图纸所包括的工程内容</w:t>
      </w:r>
      <w:r>
        <w:rPr>
          <w:rFonts w:hint="eastAsia" w:ascii="宋体" w:hAnsi="宋体" w:cs="宋体"/>
          <w:color w:val="auto"/>
          <w:highlight w:val="none"/>
          <w:lang w:eastAsia="zh-CN"/>
        </w:rPr>
        <w:t>，</w:t>
      </w:r>
      <w:r>
        <w:rPr>
          <w:rFonts w:hint="eastAsia" w:ascii="宋体" w:hAnsi="宋体" w:cs="宋体"/>
          <w:color w:val="auto"/>
          <w:szCs w:val="21"/>
          <w:highlight w:val="none"/>
        </w:rPr>
        <w:t>具体质量保修内容双方约定如下：</w:t>
      </w:r>
      <w:r>
        <w:rPr>
          <w:rFonts w:hint="eastAsia" w:ascii="宋体" w:hAnsi="宋体" w:cs="宋体"/>
          <w:color w:val="auto"/>
          <w:szCs w:val="21"/>
          <w:highlight w:val="none"/>
          <w:u w:val="single"/>
        </w:rPr>
        <w:t xml:space="preserve"> 承包方所承包施工的全部工程内容 </w:t>
      </w:r>
      <w:r>
        <w:rPr>
          <w:rFonts w:hint="eastAsia" w:ascii="宋体" w:hAnsi="宋体" w:cs="宋体"/>
          <w:color w:val="auto"/>
          <w:szCs w:val="21"/>
          <w:highlight w:val="none"/>
        </w:rPr>
        <w:t>。</w:t>
      </w:r>
    </w:p>
    <w:p w14:paraId="28403818">
      <w:pPr>
        <w:pStyle w:val="46"/>
        <w:spacing w:line="400" w:lineRule="exact"/>
        <w:ind w:firstLine="420" w:firstLineChars="200"/>
        <w:outlineLvl w:val="0"/>
        <w:rPr>
          <w:rFonts w:ascii="宋体" w:hAnsi="宋体" w:cs="宋体"/>
          <w:color w:val="auto"/>
          <w:szCs w:val="21"/>
          <w:highlight w:val="none"/>
        </w:rPr>
      </w:pPr>
      <w:bookmarkStart w:id="2301" w:name="_Toc21338"/>
      <w:bookmarkStart w:id="2302" w:name="_Toc522201809"/>
      <w:r>
        <w:rPr>
          <w:rFonts w:hint="eastAsia" w:ascii="宋体" w:hAnsi="宋体" w:cs="宋体"/>
          <w:color w:val="auto"/>
          <w:szCs w:val="21"/>
          <w:highlight w:val="none"/>
        </w:rPr>
        <w:t>二、</w:t>
      </w:r>
      <w:r>
        <w:rPr>
          <w:rFonts w:hint="eastAsia" w:ascii="宋体" w:hAnsi="宋体" w:cs="宋体"/>
          <w:color w:val="auto"/>
          <w:szCs w:val="21"/>
          <w:highlight w:val="none"/>
          <w:lang w:eastAsia="zh-CN"/>
        </w:rPr>
        <w:t>质量</w:t>
      </w:r>
      <w:r>
        <w:rPr>
          <w:rFonts w:hint="eastAsia" w:ascii="宋体" w:hAnsi="宋体" w:cs="宋体"/>
          <w:color w:val="auto"/>
          <w:szCs w:val="21"/>
          <w:highlight w:val="none"/>
        </w:rPr>
        <w:t>保修期</w:t>
      </w:r>
      <w:bookmarkEnd w:id="2301"/>
      <w:bookmarkEnd w:id="2302"/>
    </w:p>
    <w:p w14:paraId="4E953A67">
      <w:pPr>
        <w:pStyle w:val="47"/>
        <w:spacing w:line="360" w:lineRule="auto"/>
        <w:ind w:firstLine="540"/>
        <w:rPr>
          <w:rFonts w:hint="eastAsia" w:ascii="宋体" w:hAnsi="宋体" w:cs="宋体"/>
          <w:color w:val="auto"/>
          <w:highlight w:val="none"/>
        </w:rPr>
      </w:pPr>
      <w:r>
        <w:rPr>
          <w:rFonts w:hint="eastAsia" w:ascii="宋体" w:hAnsi="宋体" w:cs="宋体"/>
          <w:color w:val="auto"/>
          <w:highlight w:val="none"/>
        </w:rPr>
        <w:t>质量保修期从工程实际竣工验收通过之日算起。分单项竣工验收的工程，按单项工程分别计算质量保修期。</w:t>
      </w:r>
    </w:p>
    <w:p w14:paraId="5C186069">
      <w:pPr>
        <w:pStyle w:val="24"/>
        <w:spacing w:line="360" w:lineRule="auto"/>
        <w:ind w:firstLine="420"/>
        <w:rPr>
          <w:rStyle w:val="31"/>
          <w:rFonts w:ascii="Times New Roman" w:hAnsi="宋体" w:eastAsia="宋体" w:cs="Times New Roman"/>
          <w:color w:val="auto"/>
          <w:szCs w:val="21"/>
          <w:highlight w:val="none"/>
        </w:rPr>
      </w:pPr>
      <w:r>
        <w:rPr>
          <w:rStyle w:val="31"/>
          <w:rFonts w:hint="eastAsia" w:ascii="Times New Roman" w:hAnsi="宋体" w:eastAsia="宋体" w:cs="宋体"/>
          <w:color w:val="auto"/>
          <w:szCs w:val="21"/>
          <w:highlight w:val="none"/>
        </w:rPr>
        <w:t>根据《建设工程质量管理条例》及有关规定，工程的质量保修期如下：</w:t>
      </w:r>
    </w:p>
    <w:p w14:paraId="7BF1A477">
      <w:pPr>
        <w:pStyle w:val="48"/>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1</w:t>
      </w:r>
      <w:r>
        <w:rPr>
          <w:rStyle w:val="31"/>
          <w:rFonts w:hint="eastAsia" w:ascii="Calibri" w:hAnsi="宋体" w:eastAsia="宋体" w:cs="宋体"/>
          <w:color w:val="auto"/>
          <w:highlight w:val="none"/>
        </w:rPr>
        <w:t>．地基基础工程和主体结构工程为设计文件规定的工程合理使用年限；</w:t>
      </w:r>
    </w:p>
    <w:p w14:paraId="3398222E">
      <w:pPr>
        <w:pStyle w:val="48"/>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2</w:t>
      </w:r>
      <w:r>
        <w:rPr>
          <w:rStyle w:val="31"/>
          <w:rFonts w:hint="eastAsia" w:ascii="Calibri" w:hAnsi="宋体" w:eastAsia="宋体" w:cs="宋体"/>
          <w:color w:val="auto"/>
          <w:highlight w:val="none"/>
        </w:rPr>
        <w:t>．屋面防水工程、有防水要求的卫生间、房间和外墙面的防渗为</w:t>
      </w:r>
      <w:r>
        <w:rPr>
          <w:rStyle w:val="31"/>
          <w:rFonts w:ascii="Calibri" w:hAnsi="Calibri" w:eastAsia="宋体" w:cs="Times New Roman"/>
          <w:color w:val="auto"/>
          <w:highlight w:val="none"/>
          <w:u w:val="single"/>
        </w:rPr>
        <w:t xml:space="preserve"> </w:t>
      </w:r>
      <w:r>
        <w:rPr>
          <w:rStyle w:val="31"/>
          <w:rFonts w:hint="eastAsia" w:ascii="Calibri" w:hAnsi="Calibri" w:eastAsia="宋体" w:cs="Times New Roman"/>
          <w:color w:val="auto"/>
          <w:highlight w:val="none"/>
          <w:u w:val="single"/>
        </w:rPr>
        <w:t>5</w:t>
      </w:r>
      <w:r>
        <w:rPr>
          <w:rStyle w:val="31"/>
          <w:rFonts w:ascii="Calibri" w:hAnsi="Calibri" w:eastAsia="宋体" w:cs="Times New Roman"/>
          <w:color w:val="auto"/>
          <w:highlight w:val="none"/>
          <w:u w:val="single"/>
        </w:rPr>
        <w:t xml:space="preserve">  </w:t>
      </w:r>
      <w:r>
        <w:rPr>
          <w:rStyle w:val="31"/>
          <w:rFonts w:hint="eastAsia" w:ascii="Calibri" w:hAnsi="宋体" w:eastAsia="宋体" w:cs="宋体"/>
          <w:color w:val="auto"/>
          <w:highlight w:val="none"/>
        </w:rPr>
        <w:t>年；</w:t>
      </w:r>
    </w:p>
    <w:p w14:paraId="5AD40451">
      <w:pPr>
        <w:pStyle w:val="48"/>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3</w:t>
      </w:r>
      <w:r>
        <w:rPr>
          <w:rStyle w:val="31"/>
          <w:rFonts w:hint="eastAsia" w:ascii="Calibri" w:hAnsi="宋体" w:eastAsia="宋体" w:cs="宋体"/>
          <w:color w:val="auto"/>
          <w:highlight w:val="none"/>
        </w:rPr>
        <w:t>．装修工程为</w:t>
      </w:r>
      <w:r>
        <w:rPr>
          <w:rStyle w:val="31"/>
          <w:rFonts w:ascii="Calibri" w:hAnsi="Calibri" w:eastAsia="宋体" w:cs="Times New Roman"/>
          <w:color w:val="auto"/>
          <w:highlight w:val="none"/>
          <w:u w:val="single"/>
        </w:rPr>
        <w:t xml:space="preserve"> </w:t>
      </w:r>
      <w:r>
        <w:rPr>
          <w:rStyle w:val="31"/>
          <w:rFonts w:hint="eastAsia" w:ascii="Calibri" w:hAnsi="Calibri" w:eastAsia="宋体" w:cs="Times New Roman"/>
          <w:color w:val="auto"/>
          <w:highlight w:val="none"/>
          <w:u w:val="single"/>
        </w:rPr>
        <w:t>2</w:t>
      </w:r>
      <w:r>
        <w:rPr>
          <w:rStyle w:val="31"/>
          <w:rFonts w:ascii="Calibri" w:hAnsi="Calibri" w:eastAsia="宋体" w:cs="Times New Roman"/>
          <w:color w:val="auto"/>
          <w:highlight w:val="none"/>
          <w:u w:val="single"/>
        </w:rPr>
        <w:t xml:space="preserve"> </w:t>
      </w:r>
      <w:r>
        <w:rPr>
          <w:rStyle w:val="31"/>
          <w:rFonts w:hint="eastAsia" w:ascii="Calibri" w:hAnsi="宋体" w:eastAsia="宋体" w:cs="宋体"/>
          <w:color w:val="auto"/>
          <w:highlight w:val="none"/>
        </w:rPr>
        <w:t>年；</w:t>
      </w:r>
    </w:p>
    <w:p w14:paraId="4B4D7EF2">
      <w:pPr>
        <w:pStyle w:val="48"/>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4</w:t>
      </w:r>
      <w:r>
        <w:rPr>
          <w:rStyle w:val="31"/>
          <w:rFonts w:hint="eastAsia" w:ascii="Calibri" w:hAnsi="宋体" w:eastAsia="宋体" w:cs="宋体"/>
          <w:color w:val="auto"/>
          <w:highlight w:val="none"/>
        </w:rPr>
        <w:t>．电气管线、给排水管道、设备安装工程为</w:t>
      </w:r>
      <w:r>
        <w:rPr>
          <w:rStyle w:val="31"/>
          <w:rFonts w:ascii="Calibri" w:hAnsi="Calibri" w:eastAsia="宋体" w:cs="Times New Roman"/>
          <w:color w:val="auto"/>
          <w:highlight w:val="none"/>
          <w:u w:val="single"/>
        </w:rPr>
        <w:t xml:space="preserve"> </w:t>
      </w:r>
      <w:r>
        <w:rPr>
          <w:rStyle w:val="31"/>
          <w:rFonts w:hint="eastAsia" w:ascii="Calibri" w:hAnsi="Calibri" w:eastAsia="宋体" w:cs="Times New Roman"/>
          <w:color w:val="auto"/>
          <w:highlight w:val="none"/>
          <w:u w:val="single"/>
        </w:rPr>
        <w:t>2</w:t>
      </w:r>
      <w:r>
        <w:rPr>
          <w:rStyle w:val="31"/>
          <w:rFonts w:ascii="Calibri" w:hAnsi="Calibri" w:eastAsia="宋体" w:cs="Times New Roman"/>
          <w:color w:val="auto"/>
          <w:highlight w:val="none"/>
          <w:u w:val="single"/>
        </w:rPr>
        <w:t xml:space="preserve"> </w:t>
      </w:r>
      <w:r>
        <w:rPr>
          <w:rStyle w:val="31"/>
          <w:rFonts w:hint="eastAsia" w:ascii="Calibri" w:hAnsi="宋体" w:eastAsia="宋体" w:cs="宋体"/>
          <w:color w:val="auto"/>
          <w:highlight w:val="none"/>
        </w:rPr>
        <w:t>年；</w:t>
      </w:r>
    </w:p>
    <w:p w14:paraId="125C8D56">
      <w:pPr>
        <w:pStyle w:val="48"/>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5</w:t>
      </w:r>
      <w:r>
        <w:rPr>
          <w:rStyle w:val="31"/>
          <w:rFonts w:hint="eastAsia" w:ascii="Calibri" w:hAnsi="宋体" w:eastAsia="宋体" w:cs="宋体"/>
          <w:color w:val="auto"/>
          <w:highlight w:val="none"/>
        </w:rPr>
        <w:t>．供热与供冷系统为</w:t>
      </w:r>
      <w:r>
        <w:rPr>
          <w:rStyle w:val="31"/>
          <w:rFonts w:ascii="Calibri" w:hAnsi="Calibri" w:eastAsia="宋体" w:cs="Times New Roman"/>
          <w:color w:val="auto"/>
          <w:highlight w:val="none"/>
          <w:u w:val="single"/>
        </w:rPr>
        <w:t xml:space="preserve"> </w:t>
      </w:r>
      <w:r>
        <w:rPr>
          <w:rStyle w:val="31"/>
          <w:rFonts w:hint="eastAsia" w:ascii="Calibri" w:hAnsi="Calibri" w:eastAsia="宋体" w:cs="Times New Roman"/>
          <w:color w:val="auto"/>
          <w:highlight w:val="none"/>
          <w:u w:val="single"/>
        </w:rPr>
        <w:t>2</w:t>
      </w:r>
      <w:r>
        <w:rPr>
          <w:rStyle w:val="31"/>
          <w:rFonts w:ascii="Calibri" w:hAnsi="Calibri" w:eastAsia="宋体" w:cs="Times New Roman"/>
          <w:color w:val="auto"/>
          <w:highlight w:val="none"/>
          <w:u w:val="single"/>
        </w:rPr>
        <w:t xml:space="preserve"> </w:t>
      </w:r>
      <w:r>
        <w:rPr>
          <w:rStyle w:val="31"/>
          <w:rFonts w:hint="eastAsia" w:ascii="Calibri" w:hAnsi="宋体" w:eastAsia="宋体" w:cs="宋体"/>
          <w:color w:val="auto"/>
          <w:highlight w:val="none"/>
        </w:rPr>
        <w:t>个采暖期、供冷期；</w:t>
      </w:r>
    </w:p>
    <w:p w14:paraId="0CF0FB74">
      <w:pPr>
        <w:pStyle w:val="24"/>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6</w:t>
      </w:r>
      <w:r>
        <w:rPr>
          <w:rStyle w:val="31"/>
          <w:rFonts w:hint="eastAsia" w:ascii="Calibri" w:hAnsi="宋体" w:eastAsia="宋体" w:cs="宋体"/>
          <w:color w:val="auto"/>
          <w:highlight w:val="none"/>
        </w:rPr>
        <w:t>．住宅小区内的给排水设施、道路等配套工程为</w:t>
      </w:r>
      <w:r>
        <w:rPr>
          <w:rStyle w:val="31"/>
          <w:rFonts w:ascii="Calibri" w:hAnsi="Calibri" w:eastAsia="宋体" w:cs="Times New Roman"/>
          <w:color w:val="auto"/>
          <w:highlight w:val="none"/>
          <w:u w:val="single"/>
        </w:rPr>
        <w:t xml:space="preserve"> </w:t>
      </w:r>
      <w:r>
        <w:rPr>
          <w:rStyle w:val="31"/>
          <w:rFonts w:hint="eastAsia" w:ascii="Calibri" w:hAnsi="Calibri" w:eastAsia="宋体" w:cs="Times New Roman"/>
          <w:color w:val="auto"/>
          <w:highlight w:val="none"/>
          <w:u w:val="single"/>
        </w:rPr>
        <w:t>2</w:t>
      </w:r>
      <w:r>
        <w:rPr>
          <w:rStyle w:val="31"/>
          <w:rFonts w:ascii="Calibri" w:hAnsi="Calibri" w:eastAsia="宋体" w:cs="Times New Roman"/>
          <w:color w:val="auto"/>
          <w:highlight w:val="none"/>
          <w:u w:val="single"/>
        </w:rPr>
        <w:t xml:space="preserve"> </w:t>
      </w:r>
      <w:r>
        <w:rPr>
          <w:rStyle w:val="31"/>
          <w:rFonts w:hint="eastAsia" w:ascii="Calibri" w:hAnsi="宋体" w:eastAsia="宋体" w:cs="宋体"/>
          <w:color w:val="auto"/>
          <w:highlight w:val="none"/>
        </w:rPr>
        <w:t>年；</w:t>
      </w:r>
    </w:p>
    <w:p w14:paraId="41A3F2C8">
      <w:pPr>
        <w:pStyle w:val="48"/>
        <w:spacing w:line="360" w:lineRule="auto"/>
        <w:ind w:firstLine="420"/>
        <w:rPr>
          <w:rStyle w:val="31"/>
          <w:rFonts w:hint="eastAsia" w:ascii="Times New Roman" w:hAnsi="宋体" w:eastAsia="宋体" w:cs="宋体"/>
          <w:color w:val="auto"/>
          <w:szCs w:val="21"/>
          <w:highlight w:val="none"/>
        </w:rPr>
      </w:pPr>
      <w:r>
        <w:rPr>
          <w:rStyle w:val="31"/>
          <w:rFonts w:hint="eastAsia" w:ascii="Times New Roman" w:hAnsi="宋体" w:eastAsia="宋体" w:cs="宋体"/>
          <w:color w:val="auto"/>
          <w:szCs w:val="21"/>
          <w:highlight w:val="none"/>
        </w:rPr>
        <w:t>7．桥梁工程为  /  年（桥梁隧道主体结构工程为设计文件规定的合理使用年限）；</w:t>
      </w:r>
    </w:p>
    <w:p w14:paraId="1502AA5C">
      <w:pPr>
        <w:pStyle w:val="48"/>
        <w:spacing w:line="360" w:lineRule="auto"/>
        <w:ind w:firstLine="420"/>
        <w:rPr>
          <w:rStyle w:val="31"/>
          <w:rFonts w:hint="eastAsia" w:ascii="Times New Roman" w:hAnsi="宋体" w:eastAsia="宋体" w:cs="宋体"/>
          <w:color w:val="auto"/>
          <w:szCs w:val="21"/>
          <w:highlight w:val="none"/>
        </w:rPr>
      </w:pPr>
      <w:r>
        <w:rPr>
          <w:rStyle w:val="31"/>
          <w:rFonts w:hint="eastAsia" w:ascii="Times New Roman" w:hAnsi="宋体" w:eastAsia="宋体" w:cs="宋体"/>
          <w:color w:val="auto"/>
          <w:szCs w:val="21"/>
          <w:highlight w:val="none"/>
        </w:rPr>
        <w:t xml:space="preserve">8．道路工程为 </w:t>
      </w:r>
      <w:r>
        <w:rPr>
          <w:rStyle w:val="31"/>
          <w:rFonts w:hint="eastAsia" w:ascii="Times New Roman" w:hAnsi="宋体" w:eastAsia="宋体" w:cs="宋体"/>
          <w:color w:val="auto"/>
          <w:szCs w:val="21"/>
          <w:highlight w:val="none"/>
          <w:u w:val="single"/>
        </w:rPr>
        <w:t xml:space="preserve">  2  </w:t>
      </w:r>
      <w:r>
        <w:rPr>
          <w:rStyle w:val="31"/>
          <w:rFonts w:hint="eastAsia" w:ascii="Times New Roman" w:hAnsi="宋体" w:eastAsia="宋体" w:cs="宋体"/>
          <w:color w:val="auto"/>
          <w:szCs w:val="21"/>
          <w:highlight w:val="none"/>
        </w:rPr>
        <w:t>年（建议路基、路面、桥面为2年）；</w:t>
      </w:r>
    </w:p>
    <w:p w14:paraId="62F250E7">
      <w:pPr>
        <w:pStyle w:val="48"/>
        <w:spacing w:line="360" w:lineRule="auto"/>
        <w:ind w:firstLine="420"/>
        <w:rPr>
          <w:rStyle w:val="31"/>
          <w:rFonts w:hint="eastAsia" w:ascii="Times New Roman" w:hAnsi="宋体" w:eastAsia="宋体" w:cs="宋体"/>
          <w:color w:val="auto"/>
          <w:szCs w:val="21"/>
          <w:highlight w:val="none"/>
        </w:rPr>
      </w:pPr>
      <w:r>
        <w:rPr>
          <w:rStyle w:val="31"/>
          <w:rFonts w:hint="eastAsia" w:ascii="Times New Roman" w:hAnsi="宋体" w:eastAsia="宋体" w:cs="宋体"/>
          <w:color w:val="auto"/>
          <w:szCs w:val="21"/>
          <w:highlight w:val="none"/>
        </w:rPr>
        <w:t xml:space="preserve">9．排水（雨水）工程为 </w:t>
      </w:r>
      <w:r>
        <w:rPr>
          <w:rStyle w:val="31"/>
          <w:rFonts w:hint="eastAsia" w:ascii="Times New Roman" w:hAnsi="宋体" w:eastAsia="宋体" w:cs="宋体"/>
          <w:color w:val="auto"/>
          <w:szCs w:val="21"/>
          <w:highlight w:val="none"/>
          <w:u w:val="single"/>
        </w:rPr>
        <w:t xml:space="preserve"> 3 </w:t>
      </w:r>
      <w:r>
        <w:rPr>
          <w:rStyle w:val="31"/>
          <w:rFonts w:hint="eastAsia" w:ascii="Times New Roman" w:hAnsi="宋体" w:eastAsia="宋体" w:cs="宋体"/>
          <w:color w:val="auto"/>
          <w:szCs w:val="21"/>
          <w:highlight w:val="none"/>
        </w:rPr>
        <w:t xml:space="preserve">  年（建议道路工程中的排水工程为3年）；</w:t>
      </w:r>
    </w:p>
    <w:p w14:paraId="3653109F">
      <w:pPr>
        <w:pStyle w:val="48"/>
        <w:spacing w:line="360" w:lineRule="auto"/>
        <w:ind w:firstLine="420"/>
        <w:rPr>
          <w:rStyle w:val="31"/>
          <w:rFonts w:hint="eastAsia" w:ascii="Times New Roman" w:hAnsi="宋体" w:eastAsia="宋体" w:cs="宋体"/>
          <w:color w:val="auto"/>
          <w:szCs w:val="21"/>
          <w:highlight w:val="none"/>
        </w:rPr>
      </w:pPr>
      <w:r>
        <w:rPr>
          <w:rStyle w:val="31"/>
          <w:rFonts w:hint="eastAsia" w:ascii="Times New Roman" w:hAnsi="宋体" w:eastAsia="宋体" w:cs="宋体"/>
          <w:color w:val="auto"/>
          <w:szCs w:val="21"/>
          <w:highlight w:val="none"/>
        </w:rPr>
        <w:t>10．绿化工程为单位工程竣工验收合格后  1 年；</w:t>
      </w:r>
    </w:p>
    <w:p w14:paraId="76AB95AD">
      <w:pPr>
        <w:pStyle w:val="48"/>
        <w:spacing w:line="360" w:lineRule="auto"/>
        <w:ind w:firstLine="420"/>
        <w:rPr>
          <w:rStyle w:val="31"/>
          <w:rFonts w:hint="eastAsia" w:ascii="Times New Roman" w:hAnsi="宋体" w:eastAsia="宋体" w:cs="宋体"/>
          <w:color w:val="auto"/>
          <w:szCs w:val="21"/>
          <w:highlight w:val="none"/>
        </w:rPr>
      </w:pPr>
      <w:r>
        <w:rPr>
          <w:rStyle w:val="31"/>
          <w:rFonts w:hint="eastAsia" w:ascii="Times New Roman" w:hAnsi="宋体" w:eastAsia="宋体" w:cs="宋体"/>
          <w:color w:val="auto"/>
          <w:szCs w:val="21"/>
          <w:highlight w:val="none"/>
        </w:rPr>
        <w:t xml:space="preserve">11. 地下防水工程为 </w:t>
      </w:r>
      <w:r>
        <w:rPr>
          <w:rStyle w:val="31"/>
          <w:rFonts w:hint="eastAsia" w:ascii="Times New Roman" w:hAnsi="宋体" w:eastAsia="宋体" w:cs="宋体"/>
          <w:color w:val="auto"/>
          <w:szCs w:val="21"/>
          <w:highlight w:val="none"/>
          <w:u w:val="single"/>
        </w:rPr>
        <w:t xml:space="preserve">  5 </w:t>
      </w:r>
      <w:r>
        <w:rPr>
          <w:rStyle w:val="31"/>
          <w:rFonts w:hint="eastAsia" w:ascii="Times New Roman" w:hAnsi="宋体" w:eastAsia="宋体" w:cs="宋体"/>
          <w:color w:val="auto"/>
          <w:szCs w:val="21"/>
          <w:highlight w:val="none"/>
        </w:rPr>
        <w:t xml:space="preserve"> 年（建议为5年）；</w:t>
      </w:r>
    </w:p>
    <w:p w14:paraId="4DE5514F">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其他项目保修期限约定如下：</w:t>
      </w:r>
      <w:r>
        <w:rPr>
          <w:rFonts w:hint="eastAsia" w:ascii="宋体" w:hAnsi="宋体" w:cs="宋体"/>
          <w:color w:val="auto"/>
          <w:szCs w:val="21"/>
          <w:highlight w:val="none"/>
          <w:u w:val="single"/>
        </w:rPr>
        <w:t xml:space="preserve"> 本工程其余项目质保期均为两年，质量保修规范如国家有新规定，则按新规定执行 </w:t>
      </w:r>
      <w:r>
        <w:rPr>
          <w:rFonts w:hint="eastAsia" w:ascii="宋体" w:hAnsi="宋体" w:cs="宋体"/>
          <w:color w:val="auto"/>
          <w:szCs w:val="21"/>
          <w:highlight w:val="none"/>
        </w:rPr>
        <w:t>。</w:t>
      </w:r>
    </w:p>
    <w:p w14:paraId="2915546B">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质量保修期自工程竣工验收合格之日起计算。 </w:t>
      </w:r>
    </w:p>
    <w:p w14:paraId="13BF7C24">
      <w:pPr>
        <w:pStyle w:val="46"/>
        <w:spacing w:line="400" w:lineRule="exact"/>
        <w:ind w:firstLine="420" w:firstLineChars="200"/>
        <w:outlineLvl w:val="0"/>
        <w:rPr>
          <w:rFonts w:ascii="宋体" w:hAnsi="宋体" w:cs="宋体"/>
          <w:color w:val="auto"/>
          <w:szCs w:val="21"/>
          <w:highlight w:val="none"/>
        </w:rPr>
      </w:pPr>
      <w:bookmarkStart w:id="2303" w:name="_Toc15923"/>
      <w:r>
        <w:rPr>
          <w:rFonts w:hint="eastAsia" w:ascii="宋体" w:hAnsi="宋体" w:cs="宋体"/>
          <w:color w:val="auto"/>
          <w:szCs w:val="21"/>
          <w:highlight w:val="none"/>
        </w:rPr>
        <w:t>三、缺陷责任期</w:t>
      </w:r>
      <w:bookmarkEnd w:id="2303"/>
    </w:p>
    <w:p w14:paraId="42D83A2C">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5872AA94">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27B4C714">
      <w:pPr>
        <w:pStyle w:val="46"/>
        <w:spacing w:line="400" w:lineRule="exact"/>
        <w:ind w:firstLine="420" w:firstLineChars="200"/>
        <w:outlineLvl w:val="0"/>
        <w:rPr>
          <w:rFonts w:ascii="宋体" w:hAnsi="宋体" w:cs="宋体"/>
          <w:color w:val="auto"/>
          <w:szCs w:val="21"/>
          <w:highlight w:val="none"/>
        </w:rPr>
      </w:pPr>
      <w:bookmarkStart w:id="2304" w:name="_Toc15183"/>
      <w:r>
        <w:rPr>
          <w:rFonts w:hint="eastAsia" w:ascii="宋体" w:hAnsi="宋体" w:cs="宋体"/>
          <w:color w:val="auto"/>
          <w:szCs w:val="21"/>
          <w:highlight w:val="none"/>
        </w:rPr>
        <w:t>四、质量保修责任</w:t>
      </w:r>
      <w:bookmarkEnd w:id="2304"/>
    </w:p>
    <w:p w14:paraId="6A1DA0A6">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天内派人保修。承包人不在约定期限内派人保修的，发包人可以委托他人修理，修理费用从</w:t>
      </w:r>
      <w:r>
        <w:rPr>
          <w:rFonts w:hint="eastAsia" w:ascii="宋体" w:hAnsi="宋体" w:cs="宋体"/>
          <w:color w:val="auto"/>
          <w:szCs w:val="21"/>
          <w:highlight w:val="none"/>
          <w:lang w:eastAsia="zh-CN"/>
        </w:rPr>
        <w:t>质量保证金</w:t>
      </w:r>
      <w:r>
        <w:rPr>
          <w:rFonts w:hint="eastAsia" w:ascii="宋体" w:hAnsi="宋体" w:cs="宋体"/>
          <w:color w:val="auto"/>
          <w:szCs w:val="21"/>
          <w:highlight w:val="none"/>
        </w:rPr>
        <w:t>内扣除。</w:t>
      </w:r>
    </w:p>
    <w:p w14:paraId="2B99FD40">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22F2CC12">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A62D500">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4D75E6A5">
      <w:pPr>
        <w:pStyle w:val="46"/>
        <w:spacing w:line="400" w:lineRule="exact"/>
        <w:ind w:firstLine="420" w:firstLineChars="200"/>
        <w:outlineLvl w:val="0"/>
        <w:rPr>
          <w:rFonts w:ascii="宋体" w:hAnsi="宋体" w:cs="宋体"/>
          <w:color w:val="auto"/>
          <w:szCs w:val="21"/>
          <w:highlight w:val="none"/>
        </w:rPr>
      </w:pPr>
      <w:bookmarkStart w:id="2305" w:name="_Toc30389"/>
      <w:r>
        <w:rPr>
          <w:rFonts w:hint="eastAsia" w:ascii="宋体" w:hAnsi="宋体" w:cs="宋体"/>
          <w:color w:val="auto"/>
          <w:szCs w:val="21"/>
          <w:highlight w:val="none"/>
        </w:rPr>
        <w:t>五、保修费用</w:t>
      </w:r>
      <w:bookmarkEnd w:id="2305"/>
    </w:p>
    <w:p w14:paraId="5409D360">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608FABCE">
      <w:pPr>
        <w:pStyle w:val="43"/>
        <w:numPr>
          <w:ilvl w:val="0"/>
          <w:numId w:val="11"/>
        </w:numPr>
        <w:spacing w:line="400" w:lineRule="exact"/>
        <w:rPr>
          <w:rFonts w:ascii="宋体" w:hAnsi="宋体" w:cs="宋体"/>
          <w:color w:val="auto"/>
          <w:highlight w:val="none"/>
          <w:u w:val="single"/>
        </w:rPr>
      </w:pPr>
      <w:r>
        <w:rPr>
          <w:rFonts w:hint="eastAsia" w:ascii="宋体" w:hAnsi="宋体" w:cs="宋体"/>
          <w:color w:val="auto"/>
          <w:highlight w:val="none"/>
        </w:rPr>
        <w:t xml:space="preserve">双方约定的其他工程质量保修事项：  1. </w:t>
      </w:r>
      <w:r>
        <w:rPr>
          <w:rFonts w:hint="eastAsia" w:ascii="宋体" w:hAnsi="宋体" w:cs="宋体"/>
          <w:color w:val="auto"/>
          <w:highlight w:val="none"/>
          <w:u w:val="single"/>
        </w:rPr>
        <w:t>承包人未按照法律法规有关规定和合同约定履行质量保修义务的，发包人有权从质量保证金中扣留用于质量保修的各项支出。</w:t>
      </w:r>
    </w:p>
    <w:p w14:paraId="28323B10">
      <w:pPr>
        <w:pStyle w:val="43"/>
        <w:numPr>
          <w:ilvl w:val="0"/>
          <w:numId w:val="12"/>
        </w:numPr>
        <w:spacing w:line="400" w:lineRule="exact"/>
        <w:rPr>
          <w:rFonts w:ascii="宋体" w:hAnsi="宋体" w:cs="宋体"/>
          <w:color w:val="auto"/>
          <w:highlight w:val="none"/>
          <w:u w:val="single"/>
        </w:rPr>
      </w:pPr>
      <w:r>
        <w:rPr>
          <w:rFonts w:hint="eastAsia" w:ascii="宋体" w:hAnsi="宋体" w:cs="宋体"/>
          <w:color w:val="auto"/>
          <w:highlight w:val="none"/>
          <w:u w:val="single"/>
          <w:lang w:eastAsia="zh-CN"/>
        </w:rPr>
        <w:t>质量保证金</w:t>
      </w:r>
      <w:r>
        <w:rPr>
          <w:rFonts w:hint="eastAsia" w:ascii="宋体" w:hAnsi="宋体" w:cs="宋体"/>
          <w:color w:val="auto"/>
          <w:highlight w:val="none"/>
          <w:u w:val="single"/>
        </w:rPr>
        <w:t>比例：工程结算价的</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w:t>
      </w:r>
    </w:p>
    <w:p w14:paraId="36F2D718">
      <w:pPr>
        <w:pStyle w:val="43"/>
        <w:numPr>
          <w:ilvl w:val="0"/>
          <w:numId w:val="12"/>
        </w:numPr>
        <w:spacing w:line="400" w:lineRule="exact"/>
        <w:rPr>
          <w:rFonts w:ascii="宋体" w:hAnsi="宋体" w:cs="宋体"/>
          <w:color w:val="auto"/>
          <w:highlight w:val="none"/>
        </w:rPr>
      </w:pPr>
      <w:r>
        <w:rPr>
          <w:rFonts w:hint="eastAsia" w:ascii="宋体" w:hAnsi="宋体" w:cs="宋体"/>
          <w:color w:val="auto"/>
          <w:highlight w:val="none"/>
          <w:u w:val="single"/>
          <w:lang w:eastAsia="zh-CN"/>
        </w:rPr>
        <w:t>质量保证金</w:t>
      </w:r>
      <w:r>
        <w:rPr>
          <w:rFonts w:hint="eastAsia" w:ascii="宋体" w:hAnsi="宋体" w:cs="宋体"/>
          <w:color w:val="auto"/>
          <w:highlight w:val="none"/>
          <w:u w:val="single"/>
        </w:rPr>
        <w:t>返还：发包人在工程竣工验收合格之日起满两年后14天内将保修金（无息）的返回给承包人，</w:t>
      </w:r>
      <w:r>
        <w:rPr>
          <w:rFonts w:hint="eastAsia" w:ascii="宋体" w:hAnsi="宋体" w:cs="宋体"/>
          <w:color w:val="auto"/>
          <w:highlight w:val="none"/>
          <w:u w:val="single"/>
          <w:lang w:eastAsia="zh-CN"/>
        </w:rPr>
        <w:t>质量保证金</w:t>
      </w:r>
      <w:r>
        <w:rPr>
          <w:rFonts w:hint="eastAsia" w:ascii="宋体" w:hAnsi="宋体" w:cs="宋体"/>
          <w:color w:val="auto"/>
          <w:highlight w:val="none"/>
          <w:u w:val="single"/>
        </w:rPr>
        <w:t xml:space="preserve">的返还，并不能免除承包人按照合同约定应承担的质量保修责任和应履行的质量保修义务  </w:t>
      </w:r>
      <w:r>
        <w:rPr>
          <w:rFonts w:hint="eastAsia" w:ascii="宋体" w:hAnsi="宋体" w:cs="宋体"/>
          <w:color w:val="auto"/>
          <w:highlight w:val="none"/>
        </w:rPr>
        <w:t>。</w:t>
      </w:r>
    </w:p>
    <w:p w14:paraId="62401958">
      <w:pPr>
        <w:pStyle w:val="23"/>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149AD314">
      <w:pPr>
        <w:pStyle w:val="23"/>
        <w:spacing w:line="320" w:lineRule="exact"/>
        <w:ind w:firstLine="420" w:firstLineChars="200"/>
        <w:rPr>
          <w:rFonts w:ascii="宋体" w:hAnsi="宋体" w:cs="宋体"/>
          <w:color w:val="auto"/>
          <w:szCs w:val="21"/>
          <w:highlight w:val="none"/>
        </w:rPr>
      </w:pPr>
    </w:p>
    <w:p w14:paraId="32E5A684">
      <w:pPr>
        <w:pStyle w:val="22"/>
        <w:ind w:left="63" w:right="63"/>
        <w:rPr>
          <w:rFonts w:hint="eastAsia"/>
          <w:color w:val="auto"/>
          <w:highlight w:val="none"/>
          <w:lang w:val="en-US" w:eastAsia="zh-CN"/>
        </w:rPr>
      </w:pPr>
    </w:p>
    <w:p w14:paraId="17EB1E50">
      <w:pPr>
        <w:pStyle w:val="43"/>
        <w:spacing w:line="320" w:lineRule="exact"/>
        <w:ind w:left="0" w:leftChars="0" w:firstLine="0" w:firstLineChars="0"/>
        <w:rPr>
          <w:rFonts w:hint="default" w:ascii="宋体" w:hAnsi="宋体" w:eastAsia="宋体" w:cs="宋体"/>
          <w:color w:val="auto"/>
          <w:highlight w:val="none"/>
          <w:u w:val="single"/>
          <w:lang w:val="en-US" w:eastAsia="zh-CN"/>
        </w:rPr>
      </w:pPr>
      <w:r>
        <w:rPr>
          <w:rFonts w:hint="eastAsia" w:ascii="宋体" w:hAnsi="宋体" w:cs="宋体"/>
          <w:color w:val="auto"/>
          <w:highlight w:val="none"/>
        </w:rPr>
        <w:t>发包人(公章)：</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 xml:space="preserve">                </w:t>
      </w:r>
      <w:r>
        <w:rPr>
          <w:rFonts w:hint="eastAsia" w:ascii="宋体" w:hAnsi="宋体" w:cs="宋体"/>
          <w:color w:val="auto"/>
          <w:highlight w:val="none"/>
        </w:rPr>
        <w:t>承包人(公章)：</w:t>
      </w:r>
      <w:r>
        <w:rPr>
          <w:rFonts w:hint="eastAsia" w:ascii="宋体" w:hAnsi="宋体" w:cs="宋体"/>
          <w:color w:val="auto"/>
          <w:highlight w:val="none"/>
          <w:u w:val="single"/>
          <w:lang w:val="en-US" w:eastAsia="zh-CN"/>
        </w:rPr>
        <w:t xml:space="preserve">  </w:t>
      </w:r>
    </w:p>
    <w:p w14:paraId="55024F25">
      <w:pPr>
        <w:pStyle w:val="43"/>
        <w:spacing w:line="320" w:lineRule="exact"/>
        <w:ind w:left="0" w:leftChars="0" w:firstLine="0" w:firstLineChars="0"/>
        <w:rPr>
          <w:rFonts w:ascii="宋体" w:hAnsi="宋体" w:cs="宋体"/>
          <w:color w:val="auto"/>
          <w:highlight w:val="none"/>
        </w:rPr>
      </w:pPr>
      <w:r>
        <w:rPr>
          <w:rFonts w:hint="eastAsia" w:ascii="宋体" w:hAnsi="宋体" w:cs="宋体"/>
          <w:color w:val="auto"/>
          <w:highlight w:val="none"/>
        </w:rPr>
        <w:t xml:space="preserve"> </w:t>
      </w:r>
    </w:p>
    <w:p w14:paraId="4C3AECE2">
      <w:pPr>
        <w:pStyle w:val="43"/>
        <w:spacing w:line="320" w:lineRule="exact"/>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地  址：</w:t>
      </w:r>
      <w:r>
        <w:rPr>
          <w:rFonts w:hint="eastAsia" w:ascii="宋体" w:hAnsi="宋体"/>
          <w:color w:val="auto"/>
          <w:highlight w:val="none"/>
          <w:u w:val="single"/>
          <w:lang w:val="en-US" w:eastAsia="zh-CN"/>
        </w:rPr>
        <w:t xml:space="preserve"> </w:t>
      </w:r>
    </w:p>
    <w:p w14:paraId="250E90A6">
      <w:pPr>
        <w:pStyle w:val="43"/>
        <w:spacing w:line="320" w:lineRule="exact"/>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法定代表人</w:t>
      </w:r>
      <w:r>
        <w:rPr>
          <w:rFonts w:hint="eastAsia" w:ascii="宋体" w:hAnsi="宋体" w:cs="宋体"/>
          <w:color w:val="auto"/>
          <w:highlight w:val="none"/>
          <w:lang w:eastAsia="zh-CN"/>
        </w:rPr>
        <w:t>或</w:t>
      </w:r>
      <w:r>
        <w:rPr>
          <w:rFonts w:hint="eastAsia" w:ascii="宋体" w:hAnsi="宋体" w:cs="宋体"/>
          <w:color w:val="auto"/>
          <w:highlight w:val="none"/>
        </w:rPr>
        <w:t xml:space="preserve">委托代理人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法定代表人</w:t>
      </w:r>
      <w:r>
        <w:rPr>
          <w:rFonts w:hint="eastAsia" w:ascii="宋体" w:hAnsi="宋体" w:cs="宋体"/>
          <w:color w:val="auto"/>
          <w:highlight w:val="none"/>
          <w:lang w:eastAsia="zh-CN"/>
        </w:rPr>
        <w:t>或</w:t>
      </w:r>
      <w:r>
        <w:rPr>
          <w:rFonts w:hint="eastAsia" w:ascii="宋体" w:hAnsi="宋体" w:cs="宋体"/>
          <w:color w:val="auto"/>
          <w:highlight w:val="none"/>
        </w:rPr>
        <w:t>委托代理人</w:t>
      </w:r>
    </w:p>
    <w:p w14:paraId="3E6EE6E8">
      <w:pPr>
        <w:pStyle w:val="43"/>
        <w:spacing w:line="320" w:lineRule="exact"/>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rPr>
        <w:t>(签字</w:t>
      </w:r>
      <w:r>
        <w:rPr>
          <w:rFonts w:hint="eastAsia" w:ascii="宋体" w:hAnsi="宋体" w:cs="宋体"/>
          <w:color w:val="auto"/>
          <w:highlight w:val="none"/>
          <w:lang w:eastAsia="zh-CN"/>
        </w:rPr>
        <w:t>或盖章</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(签字</w:t>
      </w:r>
      <w:r>
        <w:rPr>
          <w:rFonts w:hint="eastAsia" w:ascii="宋体" w:hAnsi="宋体" w:cs="宋体"/>
          <w:color w:val="auto"/>
          <w:highlight w:val="none"/>
          <w:lang w:eastAsia="zh-CN"/>
        </w:rPr>
        <w:t>或盖章</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w:t>
      </w:r>
    </w:p>
    <w:p w14:paraId="20EF3AD9">
      <w:pPr>
        <w:pStyle w:val="43"/>
        <w:spacing w:line="320" w:lineRule="exact"/>
        <w:ind w:left="0" w:leftChars="0" w:firstLine="0" w:firstLineChars="0"/>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  话：</w:t>
      </w:r>
      <w:r>
        <w:rPr>
          <w:rFonts w:hint="eastAsia" w:ascii="宋体" w:hAnsi="宋体" w:cs="宋体"/>
          <w:color w:val="auto"/>
          <w:highlight w:val="none"/>
          <w:u w:val="single"/>
        </w:rPr>
        <w:t></w:t>
      </w:r>
    </w:p>
    <w:p w14:paraId="397E2F7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2A6295A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color w:val="auto"/>
          <w:sz w:val="21"/>
          <w:szCs w:val="21"/>
          <w:highlight w:val="none"/>
        </w:rPr>
        <w:t>附件4：</w:t>
      </w:r>
    </w:p>
    <w:p w14:paraId="768A62A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主要建设工程文件目录</w:t>
      </w:r>
    </w:p>
    <w:p w14:paraId="0CB88A8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bl>
      <w:tblPr>
        <w:tblStyle w:val="29"/>
        <w:tblpPr w:leftFromText="180" w:rightFromText="180" w:vertAnchor="text" w:horzAnchor="page" w:tblpX="1430" w:tblpY="14"/>
        <w:tblOverlap w:val="never"/>
        <w:tblW w:w="8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14:paraId="47A41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227D5A5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文件名称</w:t>
            </w:r>
          </w:p>
        </w:tc>
        <w:tc>
          <w:tcPr>
            <w:tcW w:w="1067" w:type="dxa"/>
            <w:tcBorders>
              <w:top w:val="single" w:color="auto" w:sz="12" w:space="0"/>
              <w:bottom w:val="double" w:color="auto" w:sz="6" w:space="0"/>
            </w:tcBorders>
            <w:noWrap w:val="0"/>
            <w:vAlign w:val="center"/>
          </w:tcPr>
          <w:p w14:paraId="41114F4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14:paraId="22C63B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14:paraId="7951B37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w:t>
            </w:r>
          </w:p>
        </w:tc>
        <w:tc>
          <w:tcPr>
            <w:tcW w:w="1450" w:type="dxa"/>
            <w:tcBorders>
              <w:top w:val="single" w:color="auto" w:sz="12" w:space="0"/>
              <w:bottom w:val="double" w:color="auto" w:sz="6" w:space="0"/>
            </w:tcBorders>
            <w:noWrap w:val="0"/>
            <w:vAlign w:val="top"/>
          </w:tcPr>
          <w:p w14:paraId="6A83F19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移交时间</w:t>
            </w:r>
          </w:p>
        </w:tc>
        <w:tc>
          <w:tcPr>
            <w:tcW w:w="1564" w:type="dxa"/>
            <w:tcBorders>
              <w:top w:val="single" w:color="auto" w:sz="12" w:space="0"/>
              <w:bottom w:val="double" w:color="auto" w:sz="6" w:space="0"/>
            </w:tcBorders>
            <w:noWrap w:val="0"/>
            <w:vAlign w:val="top"/>
          </w:tcPr>
          <w:p w14:paraId="3B7239E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责任人</w:t>
            </w:r>
          </w:p>
        </w:tc>
      </w:tr>
      <w:tr w14:paraId="628E6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noWrap w:val="0"/>
            <w:vAlign w:val="center"/>
          </w:tcPr>
          <w:p w14:paraId="7D7E4D4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tcBorders>
              <w:top w:val="double" w:color="auto" w:sz="6" w:space="0"/>
              <w:bottom w:val="single" w:color="auto" w:sz="6" w:space="0"/>
            </w:tcBorders>
            <w:noWrap w:val="0"/>
            <w:vAlign w:val="center"/>
          </w:tcPr>
          <w:p w14:paraId="133AAE8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32D1915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tcBorders>
              <w:top w:val="double" w:color="auto" w:sz="6" w:space="0"/>
              <w:bottom w:val="single" w:color="auto" w:sz="6" w:space="0"/>
            </w:tcBorders>
            <w:noWrap w:val="0"/>
            <w:vAlign w:val="center"/>
          </w:tcPr>
          <w:p w14:paraId="6113D31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27EF94C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tcBorders>
              <w:top w:val="double" w:color="auto" w:sz="6" w:space="0"/>
              <w:bottom w:val="single" w:color="auto" w:sz="6" w:space="0"/>
            </w:tcBorders>
            <w:noWrap w:val="0"/>
            <w:vAlign w:val="center"/>
          </w:tcPr>
          <w:p w14:paraId="08671D8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36F6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0AC62CA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tcBorders>
              <w:top w:val="nil"/>
            </w:tcBorders>
            <w:noWrap w:val="0"/>
            <w:vAlign w:val="center"/>
          </w:tcPr>
          <w:p w14:paraId="33B6C9C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nil"/>
            </w:tcBorders>
            <w:noWrap w:val="0"/>
            <w:vAlign w:val="center"/>
          </w:tcPr>
          <w:p w14:paraId="2B2A3C5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tcBorders>
              <w:top w:val="nil"/>
            </w:tcBorders>
            <w:noWrap w:val="0"/>
            <w:vAlign w:val="center"/>
          </w:tcPr>
          <w:p w14:paraId="4BB3F95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nil"/>
            </w:tcBorders>
            <w:noWrap w:val="0"/>
            <w:vAlign w:val="center"/>
          </w:tcPr>
          <w:p w14:paraId="22A1F9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tcBorders>
              <w:top w:val="nil"/>
            </w:tcBorders>
            <w:noWrap w:val="0"/>
            <w:vAlign w:val="center"/>
          </w:tcPr>
          <w:p w14:paraId="6D0A9F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25C0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319BEE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7EF914C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4B6A0C4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608A95F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0434AF7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59F9167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38E1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0C37EF5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7B3A14B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12F5C8D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5F78EC9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CF8989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7634554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369C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851AD0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43A1421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FD2EF9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64D3D58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4EBD895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37AC37B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2966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CF1C3A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7A656D8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0E1C746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705314F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793C856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1D2777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E243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B04B2D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6494029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69D793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5C3EFA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4E2CC26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3D56576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8D37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423902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1A94A79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6D4D7CA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43E9905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C3FA6E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5345CB4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454A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A0299A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691C9C1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A2BF35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5C666E4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670FFE7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207029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74835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5F432C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0FB3BC0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04D0B75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27AB226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8A9D9F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2BCFC5C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3FF1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3D032F8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2E2A494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0BFA68C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22225FF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79E0DD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01C6812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3B25E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786443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74EFE51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6F38BBD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4505A39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0995A23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78D435A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54BC5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F26DE3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2041392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8C5FAF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10BE4D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288409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2D3439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3FB4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144553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7E25D3B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A6736C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1EFF150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E8C5B2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30EFC03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24EB4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714E0E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2D23423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12D6C29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43CF119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80ABF1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1CA74A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5E8E0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82CD6C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11BEFB6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54C06C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4EED1A9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002294A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741F1EC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23BDC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44A3C3D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5D2AD0D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33E73B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0484D6C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2B1280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05A752F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18453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48009E0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0EF2105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B001FB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54892F9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220D38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38E030F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A887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0B360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45D2E69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A04387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5D85805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084351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594CE28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bl>
    <w:p w14:paraId="0A6355B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2306" w:name="_Toc296891267"/>
      <w:bookmarkStart w:id="2307" w:name="_Toc296347226"/>
      <w:bookmarkStart w:id="2308" w:name="_Toc267261698"/>
      <w:bookmarkStart w:id="2309" w:name="_Toc296503227"/>
      <w:bookmarkStart w:id="2310" w:name="_Toc296944566"/>
      <w:bookmarkStart w:id="2311" w:name="_Toc296891055"/>
      <w:bookmarkStart w:id="2312" w:name="_Toc296346728"/>
      <w:r>
        <w:rPr>
          <w:rFonts w:hint="eastAsia" w:ascii="宋体" w:hAnsi="宋体" w:eastAsia="宋体" w:cs="宋体"/>
          <w:color w:val="auto"/>
          <w:sz w:val="21"/>
          <w:szCs w:val="21"/>
          <w:highlight w:val="none"/>
        </w:rPr>
        <w:t>件5：</w:t>
      </w:r>
    </w:p>
    <w:bookmarkEnd w:id="2306"/>
    <w:bookmarkEnd w:id="2307"/>
    <w:bookmarkEnd w:id="2308"/>
    <w:bookmarkEnd w:id="2309"/>
    <w:bookmarkEnd w:id="2310"/>
    <w:bookmarkEnd w:id="2311"/>
    <w:bookmarkEnd w:id="2312"/>
    <w:p w14:paraId="15B84BF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承包人用于本工程施工的机械设备表</w:t>
      </w:r>
    </w:p>
    <w:tbl>
      <w:tblPr>
        <w:tblStyle w:val="29"/>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14:paraId="36163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noWrap w:val="0"/>
            <w:vAlign w:val="center"/>
          </w:tcPr>
          <w:p w14:paraId="1FBC529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14:paraId="5B12C86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14:paraId="257A1C3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14:paraId="4D8407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880" w:type="dxa"/>
            <w:tcBorders>
              <w:top w:val="single" w:color="auto" w:sz="12" w:space="0"/>
              <w:bottom w:val="double" w:color="auto" w:sz="6" w:space="0"/>
            </w:tcBorders>
            <w:noWrap w:val="0"/>
            <w:vAlign w:val="center"/>
          </w:tcPr>
          <w:p w14:paraId="40E199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产地</w:t>
            </w:r>
          </w:p>
        </w:tc>
        <w:tc>
          <w:tcPr>
            <w:tcW w:w="806" w:type="dxa"/>
            <w:tcBorders>
              <w:top w:val="single" w:color="auto" w:sz="12" w:space="0"/>
              <w:bottom w:val="double" w:color="auto" w:sz="6" w:space="0"/>
            </w:tcBorders>
            <w:noWrap w:val="0"/>
            <w:vAlign w:val="center"/>
          </w:tcPr>
          <w:p w14:paraId="04156D7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制造年份</w:t>
            </w:r>
          </w:p>
        </w:tc>
        <w:tc>
          <w:tcPr>
            <w:tcW w:w="1310" w:type="dxa"/>
            <w:tcBorders>
              <w:top w:val="single" w:color="auto" w:sz="12" w:space="0"/>
              <w:bottom w:val="double" w:color="auto" w:sz="6" w:space="0"/>
            </w:tcBorders>
            <w:noWrap w:val="0"/>
            <w:vAlign w:val="center"/>
          </w:tcPr>
          <w:p w14:paraId="7ED2509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额定功率(kW)</w:t>
            </w:r>
          </w:p>
        </w:tc>
        <w:tc>
          <w:tcPr>
            <w:tcW w:w="906" w:type="dxa"/>
            <w:tcBorders>
              <w:top w:val="single" w:color="auto" w:sz="12" w:space="0"/>
              <w:bottom w:val="double" w:color="auto" w:sz="6" w:space="0"/>
            </w:tcBorders>
            <w:noWrap w:val="0"/>
            <w:vAlign w:val="center"/>
          </w:tcPr>
          <w:p w14:paraId="76A408E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652" w:type="dxa"/>
            <w:tcBorders>
              <w:top w:val="single" w:color="auto" w:sz="12" w:space="0"/>
              <w:bottom w:val="double" w:color="auto" w:sz="6" w:space="0"/>
            </w:tcBorders>
            <w:noWrap w:val="0"/>
            <w:vAlign w:val="center"/>
          </w:tcPr>
          <w:p w14:paraId="1E4927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14:paraId="268BB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noWrap w:val="0"/>
            <w:vAlign w:val="center"/>
          </w:tcPr>
          <w:p w14:paraId="4179CB6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4AA1B1C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38D15FD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tcBorders>
              <w:top w:val="double" w:color="auto" w:sz="6" w:space="0"/>
              <w:bottom w:val="single" w:color="auto" w:sz="6" w:space="0"/>
            </w:tcBorders>
            <w:noWrap w:val="0"/>
            <w:vAlign w:val="center"/>
          </w:tcPr>
          <w:p w14:paraId="2E6318C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tcBorders>
              <w:top w:val="double" w:color="auto" w:sz="6" w:space="0"/>
              <w:bottom w:val="single" w:color="auto" w:sz="6" w:space="0"/>
            </w:tcBorders>
            <w:noWrap w:val="0"/>
            <w:vAlign w:val="center"/>
          </w:tcPr>
          <w:p w14:paraId="405842F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tcBorders>
              <w:top w:val="double" w:color="auto" w:sz="6" w:space="0"/>
              <w:bottom w:val="single" w:color="auto" w:sz="6" w:space="0"/>
            </w:tcBorders>
            <w:noWrap w:val="0"/>
            <w:vAlign w:val="center"/>
          </w:tcPr>
          <w:p w14:paraId="24DAAA9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tcBorders>
              <w:top w:val="double" w:color="auto" w:sz="6" w:space="0"/>
              <w:bottom w:val="single" w:color="auto" w:sz="6" w:space="0"/>
            </w:tcBorders>
            <w:noWrap w:val="0"/>
            <w:vAlign w:val="center"/>
          </w:tcPr>
          <w:p w14:paraId="26E27EC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tcBorders>
              <w:top w:val="double" w:color="auto" w:sz="6" w:space="0"/>
              <w:bottom w:val="single" w:color="auto" w:sz="6" w:space="0"/>
            </w:tcBorders>
            <w:noWrap w:val="0"/>
            <w:vAlign w:val="center"/>
          </w:tcPr>
          <w:p w14:paraId="592D164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tcBorders>
              <w:top w:val="double" w:color="auto" w:sz="6" w:space="0"/>
              <w:bottom w:val="single" w:color="auto" w:sz="6" w:space="0"/>
            </w:tcBorders>
            <w:noWrap w:val="0"/>
            <w:vAlign w:val="center"/>
          </w:tcPr>
          <w:p w14:paraId="1AA3C0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342F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noWrap w:val="0"/>
            <w:vAlign w:val="center"/>
          </w:tcPr>
          <w:p w14:paraId="150514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top w:val="nil"/>
            </w:tcBorders>
            <w:noWrap w:val="0"/>
            <w:vAlign w:val="center"/>
          </w:tcPr>
          <w:p w14:paraId="30FDD13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7E60E52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tcBorders>
              <w:top w:val="nil"/>
            </w:tcBorders>
            <w:noWrap w:val="0"/>
            <w:vAlign w:val="center"/>
          </w:tcPr>
          <w:p w14:paraId="5C16FB0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tcBorders>
              <w:top w:val="nil"/>
            </w:tcBorders>
            <w:noWrap w:val="0"/>
            <w:vAlign w:val="center"/>
          </w:tcPr>
          <w:p w14:paraId="106284E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tcBorders>
              <w:top w:val="nil"/>
            </w:tcBorders>
            <w:noWrap w:val="0"/>
            <w:vAlign w:val="center"/>
          </w:tcPr>
          <w:p w14:paraId="1F29966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tcBorders>
              <w:top w:val="nil"/>
            </w:tcBorders>
            <w:noWrap w:val="0"/>
            <w:vAlign w:val="center"/>
          </w:tcPr>
          <w:p w14:paraId="43EFBD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tcBorders>
              <w:top w:val="nil"/>
            </w:tcBorders>
            <w:noWrap w:val="0"/>
            <w:vAlign w:val="center"/>
          </w:tcPr>
          <w:p w14:paraId="7CC1361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tcBorders>
              <w:top w:val="nil"/>
            </w:tcBorders>
            <w:noWrap w:val="0"/>
            <w:vAlign w:val="center"/>
          </w:tcPr>
          <w:p w14:paraId="2C19052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78C4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54F2900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1B829AD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581B3DD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7ACDE03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035F3E4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47A809B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682F9E6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5BAFD2E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6D7914A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1320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6886A5E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0FAD4A4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EEDC85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77AF147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359A681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0F4405A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3153A31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72C300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525F531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424A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255AD8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33F075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205C0A4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4E700A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6E02F9E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0295313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600A8B9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148BE55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665572A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9359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611A809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96791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1DEDEE9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364BD6E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2CA00B3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11369D4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7910D53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46A5ED3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537FBB5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105A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12A1D4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51B0402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B2292D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2F6A059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54C37B5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11076F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07F9BA9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45313E9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2A39084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FBFE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201902D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5F970CD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BADB5B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0D524D5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65A854F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3F91843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0E7AAF2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179516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74408F4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41C8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11A7EC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366A5FC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3C44CD2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58F8FC0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3AB15C2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62DA837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4AA7387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2A6C898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01C014F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1BBBF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508C11B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6A5120C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F76971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13037F7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50BFABA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26D5E87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3DBAF5C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623189A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5AF1C01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3BC5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29DFC8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129305F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654657A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26F8FA8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36D7959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F21E0B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32B6737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178166A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5718E9E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66F05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3ADE240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7D3D151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516505A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905EBB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7635491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22B9973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36E243D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7FF89E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6FA4627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21610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A31C45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534660F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3E1BA9C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37CBAC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6DE52ED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4C6BAF4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74FD179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532E99C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6D0AA24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620E3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333910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197C36B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697EB83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3952145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3886C99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43EAA75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5A88185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6343C40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6E57EB4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0ECDF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BE6C10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764C6DA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3D0C0DE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0991DEC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6B9624E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169F90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32D2413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6210B8B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7618017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54C25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4A96F3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1471EAF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4EB4B4F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F1D168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7C59242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72C833C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6F24AD1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A3C8E0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2B687B1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01F0D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77B9C2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3A3DE7E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7E01CF7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2E4923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7B0199C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605A0C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5CA129D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C9E98A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3CC4A5B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4A44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0F53E0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0D3F784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762886C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5537965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0E80CCC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4B9DA57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2F10EA8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7323603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53AE86F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71A13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F32F22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72F53A8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3841F2D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6C8DEDF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5130719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2561870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4EACF0D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ABFB02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2F1FC95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bl>
    <w:p w14:paraId="59D4D2B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0D7DA6E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4BC4ECD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6B40D094">
      <w:pPr>
        <w:pStyle w:val="11"/>
        <w:rPr>
          <w:rFonts w:hint="eastAsia" w:ascii="宋体" w:hAnsi="宋体" w:eastAsia="宋体" w:cs="宋体"/>
          <w:color w:val="auto"/>
          <w:sz w:val="21"/>
          <w:szCs w:val="21"/>
          <w:highlight w:val="none"/>
        </w:rPr>
      </w:pPr>
    </w:p>
    <w:p w14:paraId="50B5BE1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w:t>
      </w:r>
    </w:p>
    <w:p w14:paraId="739EEBA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承包人主要施工管理人员表</w:t>
      </w:r>
    </w:p>
    <w:tbl>
      <w:tblPr>
        <w:tblStyle w:val="29"/>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14:paraId="057F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12" w:space="0"/>
              <w:bottom w:val="double" w:color="auto" w:sz="6" w:space="0"/>
            </w:tcBorders>
            <w:noWrap w:val="0"/>
            <w:vAlign w:val="center"/>
          </w:tcPr>
          <w:p w14:paraId="3890B7C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148" w:type="dxa"/>
            <w:tcBorders>
              <w:top w:val="single" w:color="auto" w:sz="12" w:space="0"/>
              <w:bottom w:val="double" w:color="auto" w:sz="6" w:space="0"/>
            </w:tcBorders>
            <w:noWrap w:val="0"/>
            <w:vAlign w:val="center"/>
          </w:tcPr>
          <w:p w14:paraId="3711225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941" w:type="dxa"/>
            <w:tcBorders>
              <w:top w:val="single" w:color="auto" w:sz="12" w:space="0"/>
              <w:bottom w:val="double" w:color="auto" w:sz="6" w:space="0"/>
            </w:tcBorders>
            <w:noWrap w:val="0"/>
            <w:vAlign w:val="center"/>
          </w:tcPr>
          <w:p w14:paraId="1BB1F91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6712C38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3660" w:type="dxa"/>
            <w:tcBorders>
              <w:top w:val="single" w:color="auto" w:sz="12" w:space="0"/>
              <w:bottom w:val="double" w:color="auto" w:sz="6" w:space="0"/>
            </w:tcBorders>
            <w:noWrap w:val="0"/>
            <w:vAlign w:val="center"/>
          </w:tcPr>
          <w:p w14:paraId="60F3FA6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14:paraId="3951E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noWrap w:val="0"/>
            <w:vAlign w:val="center"/>
          </w:tcPr>
          <w:p w14:paraId="0BB1EE1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14:paraId="42280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F10A67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148" w:type="dxa"/>
            <w:tcBorders>
              <w:top w:val="nil"/>
            </w:tcBorders>
            <w:noWrap w:val="0"/>
            <w:vAlign w:val="center"/>
          </w:tcPr>
          <w:p w14:paraId="72E74BE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top w:val="nil"/>
            </w:tcBorders>
            <w:noWrap w:val="0"/>
            <w:vAlign w:val="center"/>
          </w:tcPr>
          <w:p w14:paraId="2355FC8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14:paraId="736D1B0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top w:val="nil"/>
            </w:tcBorders>
            <w:noWrap w:val="0"/>
            <w:vAlign w:val="center"/>
          </w:tcPr>
          <w:p w14:paraId="686FE74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F725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B8D20F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6339CF8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3C1D11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7E5DF3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7962255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2F1E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76AFF2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148" w:type="dxa"/>
            <w:noWrap w:val="0"/>
            <w:vAlign w:val="center"/>
          </w:tcPr>
          <w:p w14:paraId="1402A0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0A99AB8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2E14A62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0780A3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7619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2A67F2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17C8C0F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3A52FB8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114638A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257B15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FCA6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noWrap w:val="0"/>
            <w:vAlign w:val="center"/>
          </w:tcPr>
          <w:p w14:paraId="0E4020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14:paraId="782B2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9A92C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148" w:type="dxa"/>
            <w:noWrap w:val="0"/>
            <w:vAlign w:val="center"/>
          </w:tcPr>
          <w:p w14:paraId="30D188A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5B4F912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A4010E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541C731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E8C4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C96BC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148" w:type="dxa"/>
            <w:noWrap w:val="0"/>
            <w:vAlign w:val="center"/>
          </w:tcPr>
          <w:p w14:paraId="481F15A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6AD0F5B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6609A1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7572C5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69A1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9E897C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148" w:type="dxa"/>
            <w:noWrap w:val="0"/>
            <w:vAlign w:val="center"/>
          </w:tcPr>
          <w:p w14:paraId="7786985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3F285A6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52CAC0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33CE7C5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D56E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7471D6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148" w:type="dxa"/>
            <w:noWrap w:val="0"/>
            <w:vAlign w:val="center"/>
          </w:tcPr>
          <w:p w14:paraId="6F199EB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BB96D9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A45C6C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5A317C0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94E3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43F0C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148" w:type="dxa"/>
            <w:noWrap w:val="0"/>
            <w:vAlign w:val="center"/>
          </w:tcPr>
          <w:p w14:paraId="7646B59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7CDC396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27530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2F5AA5B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73D8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B2074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148" w:type="dxa"/>
            <w:noWrap w:val="0"/>
            <w:vAlign w:val="center"/>
          </w:tcPr>
          <w:p w14:paraId="2E5A087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2BAC5D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17F3857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3368C2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5777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3516B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148" w:type="dxa"/>
            <w:noWrap w:val="0"/>
            <w:vAlign w:val="center"/>
          </w:tcPr>
          <w:p w14:paraId="531277F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2A04DDD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F63DE8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3312A38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3FD7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7DB79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148" w:type="dxa"/>
            <w:noWrap w:val="0"/>
            <w:vAlign w:val="center"/>
          </w:tcPr>
          <w:p w14:paraId="413B041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0BE222C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158B200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4A6722C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D77D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345B76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148" w:type="dxa"/>
            <w:noWrap w:val="0"/>
            <w:vAlign w:val="center"/>
          </w:tcPr>
          <w:p w14:paraId="0CB0094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642D285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468A220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53BB488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FF80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01BC63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tcBorders>
              <w:bottom w:val="nil"/>
            </w:tcBorders>
            <w:noWrap w:val="0"/>
            <w:vAlign w:val="center"/>
          </w:tcPr>
          <w:p w14:paraId="04A675B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bottom w:val="nil"/>
            </w:tcBorders>
            <w:noWrap w:val="0"/>
            <w:vAlign w:val="center"/>
          </w:tcPr>
          <w:p w14:paraId="7EC7FE1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bottom w:val="nil"/>
            </w:tcBorders>
            <w:noWrap w:val="0"/>
            <w:vAlign w:val="center"/>
          </w:tcPr>
          <w:p w14:paraId="5EBFE4F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bottom w:val="nil"/>
            </w:tcBorders>
            <w:noWrap w:val="0"/>
            <w:vAlign w:val="center"/>
          </w:tcPr>
          <w:p w14:paraId="05B1C12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2721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A88B5F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6823220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683D62D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BFB794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754E1CB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DFF9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0CBAC9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26253BD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5111A2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78A148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59B5170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39A9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00193B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244016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50B3244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2989A8B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1C6A59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EB3B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4DFE5A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tcBorders>
              <w:bottom w:val="single" w:color="auto" w:sz="12" w:space="0"/>
            </w:tcBorders>
            <w:noWrap w:val="0"/>
            <w:vAlign w:val="center"/>
          </w:tcPr>
          <w:p w14:paraId="0E3A156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bottom w:val="single" w:color="auto" w:sz="12" w:space="0"/>
            </w:tcBorders>
            <w:noWrap w:val="0"/>
            <w:vAlign w:val="center"/>
          </w:tcPr>
          <w:p w14:paraId="3C89B45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noWrap w:val="0"/>
            <w:vAlign w:val="center"/>
          </w:tcPr>
          <w:p w14:paraId="49214EA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bottom w:val="single" w:color="auto" w:sz="12" w:space="0"/>
            </w:tcBorders>
            <w:noWrap w:val="0"/>
            <w:vAlign w:val="center"/>
          </w:tcPr>
          <w:p w14:paraId="58240DE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1A336D3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附件7：</w:t>
      </w:r>
    </w:p>
    <w:p w14:paraId="67F6013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分包人主要施工管理人员表</w:t>
      </w:r>
    </w:p>
    <w:tbl>
      <w:tblPr>
        <w:tblStyle w:val="29"/>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14:paraId="6919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63" w:type="dxa"/>
            <w:tcBorders>
              <w:top w:val="single" w:color="auto" w:sz="12" w:space="0"/>
              <w:bottom w:val="double" w:color="auto" w:sz="6" w:space="0"/>
            </w:tcBorders>
            <w:noWrap w:val="0"/>
            <w:vAlign w:val="center"/>
          </w:tcPr>
          <w:p w14:paraId="47B2EF8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643A256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928" w:type="dxa"/>
            <w:tcBorders>
              <w:top w:val="single" w:color="auto" w:sz="12" w:space="0"/>
              <w:bottom w:val="double" w:color="auto" w:sz="6" w:space="0"/>
            </w:tcBorders>
            <w:noWrap w:val="0"/>
            <w:vAlign w:val="center"/>
          </w:tcPr>
          <w:p w14:paraId="590C2E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902" w:type="dxa"/>
            <w:tcBorders>
              <w:top w:val="single" w:color="auto" w:sz="12" w:space="0"/>
              <w:bottom w:val="double" w:color="auto" w:sz="6" w:space="0"/>
            </w:tcBorders>
            <w:noWrap w:val="0"/>
            <w:vAlign w:val="center"/>
          </w:tcPr>
          <w:p w14:paraId="0217C44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3814" w:type="dxa"/>
            <w:tcBorders>
              <w:top w:val="single" w:color="auto" w:sz="12" w:space="0"/>
              <w:bottom w:val="double" w:color="auto" w:sz="6" w:space="0"/>
            </w:tcBorders>
            <w:noWrap w:val="0"/>
            <w:vAlign w:val="center"/>
          </w:tcPr>
          <w:p w14:paraId="3BE3A90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14:paraId="30689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noWrap w:val="0"/>
            <w:vAlign w:val="center"/>
          </w:tcPr>
          <w:p w14:paraId="55336A3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14:paraId="65CCF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68BC774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418" w:type="dxa"/>
            <w:tcBorders>
              <w:top w:val="nil"/>
            </w:tcBorders>
            <w:noWrap w:val="0"/>
            <w:vAlign w:val="center"/>
          </w:tcPr>
          <w:p w14:paraId="11CA511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top w:val="nil"/>
            </w:tcBorders>
            <w:noWrap w:val="0"/>
            <w:vAlign w:val="center"/>
          </w:tcPr>
          <w:p w14:paraId="25258FB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top w:val="nil"/>
            </w:tcBorders>
            <w:noWrap w:val="0"/>
            <w:vAlign w:val="center"/>
          </w:tcPr>
          <w:p w14:paraId="0C3D2A0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top w:val="nil"/>
            </w:tcBorders>
            <w:noWrap w:val="0"/>
            <w:vAlign w:val="center"/>
          </w:tcPr>
          <w:p w14:paraId="2898420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82A3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noWrap w:val="0"/>
            <w:vAlign w:val="center"/>
          </w:tcPr>
          <w:p w14:paraId="5F52ED6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1EAC0D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6BA2BA9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458D678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B6829B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3DC1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6ADECF1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14:paraId="7CED061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2C7C32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4AF90DC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68F2EDC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7CCB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05964AD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3BA9ABD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10190E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3841184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A8593E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7901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noWrap w:val="0"/>
            <w:vAlign w:val="center"/>
          </w:tcPr>
          <w:p w14:paraId="33751C0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14:paraId="334BF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580E5C9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418" w:type="dxa"/>
            <w:noWrap w:val="0"/>
            <w:vAlign w:val="center"/>
          </w:tcPr>
          <w:p w14:paraId="3C6F887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0686C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544EB7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5A0C0BF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7B8E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F6ED25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418" w:type="dxa"/>
            <w:noWrap w:val="0"/>
            <w:vAlign w:val="center"/>
          </w:tcPr>
          <w:p w14:paraId="232F8CC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50B8B55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88C24B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9E2BE0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0E4D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755ADFE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418" w:type="dxa"/>
            <w:noWrap w:val="0"/>
            <w:vAlign w:val="center"/>
          </w:tcPr>
          <w:p w14:paraId="2002F0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0DB6B51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3E4508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C757C1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6C9C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6EFBD63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418" w:type="dxa"/>
            <w:noWrap w:val="0"/>
            <w:vAlign w:val="center"/>
          </w:tcPr>
          <w:p w14:paraId="48FD8C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429DFA7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46F1A24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A4663D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AFC2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651795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418" w:type="dxa"/>
            <w:noWrap w:val="0"/>
            <w:vAlign w:val="center"/>
          </w:tcPr>
          <w:p w14:paraId="0D42499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7A8F3AD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76C6C6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5319FD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0107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6E5449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418" w:type="dxa"/>
            <w:noWrap w:val="0"/>
            <w:vAlign w:val="center"/>
          </w:tcPr>
          <w:p w14:paraId="58F234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0559008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CA4857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863EA5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A043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A30858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418" w:type="dxa"/>
            <w:noWrap w:val="0"/>
            <w:vAlign w:val="center"/>
          </w:tcPr>
          <w:p w14:paraId="5CEBE45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623519D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17D8ED6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13F8300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D8D7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8C63B7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418" w:type="dxa"/>
            <w:noWrap w:val="0"/>
            <w:vAlign w:val="center"/>
          </w:tcPr>
          <w:p w14:paraId="1D9A3B5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5FD740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4E71A5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130C88B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A715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noWrap w:val="0"/>
            <w:vAlign w:val="center"/>
          </w:tcPr>
          <w:p w14:paraId="680808B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14:paraId="1F9A5E0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07E7850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5E09B6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1E8DA54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5C67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606681B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bottom w:val="nil"/>
            </w:tcBorders>
            <w:noWrap w:val="0"/>
            <w:vAlign w:val="center"/>
          </w:tcPr>
          <w:p w14:paraId="11B8BF0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bottom w:val="nil"/>
            </w:tcBorders>
            <w:noWrap w:val="0"/>
            <w:vAlign w:val="center"/>
          </w:tcPr>
          <w:p w14:paraId="3B1AEE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bottom w:val="nil"/>
            </w:tcBorders>
            <w:noWrap w:val="0"/>
            <w:vAlign w:val="center"/>
          </w:tcPr>
          <w:p w14:paraId="19CC84A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bottom w:val="nil"/>
            </w:tcBorders>
            <w:noWrap w:val="0"/>
            <w:vAlign w:val="center"/>
          </w:tcPr>
          <w:p w14:paraId="1112C18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A14F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74C91F6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43237D6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43A13C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6D0D1C1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2CD0CE2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1175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547FCC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C68AEE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41DF712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77653B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4D86D07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C779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8D2636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80738E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674338A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6C337A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6785E90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2231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noWrap w:val="0"/>
            <w:vAlign w:val="center"/>
          </w:tcPr>
          <w:p w14:paraId="15F7652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bottom w:val="single" w:color="auto" w:sz="12" w:space="0"/>
            </w:tcBorders>
            <w:noWrap w:val="0"/>
            <w:vAlign w:val="center"/>
          </w:tcPr>
          <w:p w14:paraId="439BAE9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bottom w:val="single" w:color="auto" w:sz="12" w:space="0"/>
            </w:tcBorders>
            <w:noWrap w:val="0"/>
            <w:vAlign w:val="center"/>
          </w:tcPr>
          <w:p w14:paraId="69F8A45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bottom w:val="single" w:color="auto" w:sz="12" w:space="0"/>
            </w:tcBorders>
            <w:noWrap w:val="0"/>
            <w:vAlign w:val="center"/>
          </w:tcPr>
          <w:p w14:paraId="5FC6DB6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bottom w:val="single" w:color="auto" w:sz="12" w:space="0"/>
            </w:tcBorders>
            <w:noWrap w:val="0"/>
            <w:vAlign w:val="center"/>
          </w:tcPr>
          <w:p w14:paraId="6C4FC40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3346FD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附件8：</w:t>
      </w:r>
    </w:p>
    <w:p w14:paraId="77A243F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p w14:paraId="298FBFB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（发包人名称）：</w:t>
      </w:r>
    </w:p>
    <w:p w14:paraId="4A7CB4C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437C9673">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（发包人名称，以下简称“发包人”）与</w:t>
      </w:r>
    </w:p>
    <w:p w14:paraId="1D025FE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2A2F26EC">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0400B5E">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担保有效期自你方与承包人签订的合同生效之日起至你方签发或应签发工程接收证书之日止。</w:t>
      </w:r>
    </w:p>
    <w:p w14:paraId="20BBC88A">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14:paraId="5048C34C">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你方和承包人按合同约定变更合同时，我方承担本担保规定的义务不变。</w:t>
      </w:r>
    </w:p>
    <w:p w14:paraId="5ADB18A0">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14:paraId="3691E831">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190822E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36E1FF1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42E5D2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122511B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4937BC9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3374E22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1923C46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064E3CAD">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u w:val="single"/>
        </w:rPr>
      </w:pPr>
    </w:p>
    <w:p w14:paraId="4F8385E3">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91E0EFB">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53C8BCE0">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39DF82DD">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0B5E0D30">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430DB4D8">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28B2D9A6">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73B214E5">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08231DE0">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47D73AC5">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1BDB4E2B">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13D56CC4">
      <w:pPr>
        <w:pStyle w:val="11"/>
        <w:rPr>
          <w:rFonts w:hint="eastAsia" w:ascii="宋体" w:hAnsi="宋体" w:eastAsia="宋体" w:cs="宋体"/>
          <w:color w:val="auto"/>
          <w:sz w:val="21"/>
          <w:szCs w:val="21"/>
          <w:highlight w:val="none"/>
        </w:rPr>
      </w:pPr>
    </w:p>
    <w:p w14:paraId="50EC924A">
      <w:pPr>
        <w:pStyle w:val="11"/>
        <w:rPr>
          <w:rFonts w:hint="eastAsia" w:ascii="宋体" w:hAnsi="宋体" w:eastAsia="宋体" w:cs="宋体"/>
          <w:color w:val="auto"/>
          <w:sz w:val="21"/>
          <w:szCs w:val="21"/>
          <w:highlight w:val="none"/>
        </w:rPr>
      </w:pPr>
    </w:p>
    <w:p w14:paraId="05947E8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2313" w:name="_Toc296891272"/>
      <w:bookmarkStart w:id="2314" w:name="_Toc296891060"/>
      <w:bookmarkStart w:id="2315" w:name="_Toc267261702"/>
      <w:bookmarkStart w:id="2316" w:name="_Toc296346733"/>
      <w:bookmarkStart w:id="2317" w:name="_Toc296503232"/>
      <w:bookmarkStart w:id="2318" w:name="_Toc296944571"/>
      <w:bookmarkStart w:id="2319" w:name="_Toc296347231"/>
      <w:r>
        <w:rPr>
          <w:rFonts w:hint="eastAsia" w:ascii="宋体" w:hAnsi="宋体" w:eastAsia="宋体" w:cs="宋体"/>
          <w:color w:val="auto"/>
          <w:sz w:val="21"/>
          <w:szCs w:val="21"/>
          <w:highlight w:val="none"/>
        </w:rPr>
        <w:t>件9 ：</w:t>
      </w:r>
    </w:p>
    <w:bookmarkEnd w:id="2313"/>
    <w:bookmarkEnd w:id="2314"/>
    <w:bookmarkEnd w:id="2315"/>
    <w:bookmarkEnd w:id="2316"/>
    <w:bookmarkEnd w:id="2317"/>
    <w:bookmarkEnd w:id="2318"/>
    <w:bookmarkEnd w:id="2319"/>
    <w:p w14:paraId="0A81EDD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w:t>
      </w:r>
    </w:p>
    <w:p w14:paraId="73B035B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（发包人名称）：</w:t>
      </w:r>
    </w:p>
    <w:p w14:paraId="47BE8D2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1FC87340">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p>
    <w:p w14:paraId="456A9B9A">
      <w:pPr>
        <w:pageBreakBefore w:val="0"/>
        <w:widowControl w:val="0"/>
        <w:kinsoku/>
        <w:wordWrap/>
        <w:overflowPunct/>
        <w:topLinePunct w:val="0"/>
        <w:bidi w:val="0"/>
        <w:snapToGrid/>
        <w:spacing w:line="360" w:lineRule="exact"/>
        <w:ind w:left="0" w:leftChars="0" w:right="0" w:rightChars="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bookmarkStart w:id="2320" w:name="_Toc10563"/>
      <w:bookmarkStart w:id="2321" w:name="_Toc29110"/>
      <w:bookmarkStart w:id="2322" w:name="_Toc23079"/>
      <w:bookmarkStart w:id="2323" w:name="_Toc19561"/>
      <w:r>
        <w:rPr>
          <w:rFonts w:hint="eastAsia" w:ascii="宋体" w:hAnsi="宋体" w:eastAsia="宋体" w:cs="宋体"/>
          <w:color w:val="auto"/>
          <w:sz w:val="21"/>
          <w:szCs w:val="21"/>
          <w:highlight w:val="none"/>
        </w:rPr>
        <w:t>（发包人名称）（以下简称“发包人”）</w:t>
      </w:r>
      <w:bookmarkEnd w:id="2320"/>
      <w:bookmarkEnd w:id="2321"/>
      <w:bookmarkEnd w:id="2322"/>
      <w:bookmarkEnd w:id="2323"/>
    </w:p>
    <w:p w14:paraId="732069D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B3BD331">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0C6CA3">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14:paraId="6989DAFF">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EF9E0CD">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14:paraId="11EDF767">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14:paraId="34B58E6C">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0340E64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2EA1443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101FC3C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317F3AE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2E048A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CC744C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72C0370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7784684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0387C9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D94DEC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14:paraId="597C4A1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ED2EB1A">
      <w:pPr>
        <w:spacing w:line="440" w:lineRule="exact"/>
        <w:rPr>
          <w:rFonts w:hint="eastAsia" w:ascii="宋体" w:hAnsi="宋体" w:eastAsia="宋体" w:cs="宋体"/>
          <w:color w:val="auto"/>
          <w:sz w:val="21"/>
          <w:szCs w:val="21"/>
          <w:highlight w:val="none"/>
        </w:rPr>
      </w:pPr>
      <w:r>
        <w:rPr>
          <w:rFonts w:eastAsia="仿宋_GB2312"/>
          <w:b/>
          <w:color w:val="auto"/>
          <w:sz w:val="30"/>
          <w:szCs w:val="30"/>
          <w:highlight w:val="none"/>
        </w:rPr>
        <w:br w:type="page"/>
      </w:r>
      <w:r>
        <w:rPr>
          <w:rFonts w:hint="eastAsia" w:ascii="宋体" w:hAnsi="宋体" w:eastAsia="宋体" w:cs="宋体"/>
          <w:color w:val="auto"/>
          <w:sz w:val="21"/>
          <w:szCs w:val="21"/>
          <w:highlight w:val="none"/>
        </w:rPr>
        <w:t xml:space="preserve">附件10:  </w:t>
      </w:r>
    </w:p>
    <w:p w14:paraId="711A99FF">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w:t>
      </w:r>
    </w:p>
    <w:p w14:paraId="4C7B2E18">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14:paraId="32D4765B">
      <w:pPr>
        <w:spacing w:line="440" w:lineRule="exact"/>
        <w:jc w:val="left"/>
        <w:rPr>
          <w:rFonts w:hint="eastAsia" w:ascii="宋体" w:hAnsi="宋体" w:eastAsia="宋体" w:cs="宋体"/>
          <w:color w:val="auto"/>
          <w:sz w:val="21"/>
          <w:szCs w:val="21"/>
          <w:highlight w:val="none"/>
        </w:rPr>
      </w:pPr>
    </w:p>
    <w:p w14:paraId="60B8875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14:paraId="1BF7C55B">
      <w:pPr>
        <w:spacing w:line="360" w:lineRule="auto"/>
        <w:ind w:firstLine="420" w:firstLineChars="200"/>
        <w:jc w:val="left"/>
        <w:outlineLvl w:val="0"/>
        <w:rPr>
          <w:rFonts w:hint="eastAsia" w:ascii="宋体" w:hAnsi="宋体" w:eastAsia="宋体" w:cs="宋体"/>
          <w:color w:val="auto"/>
          <w:sz w:val="21"/>
          <w:szCs w:val="21"/>
          <w:highlight w:val="none"/>
        </w:rPr>
      </w:pPr>
      <w:bookmarkStart w:id="2324" w:name="_Toc31131"/>
      <w:bookmarkStart w:id="2325" w:name="_Toc11400"/>
      <w:bookmarkStart w:id="2326" w:name="_Toc20380"/>
      <w:bookmarkStart w:id="2327" w:name="_Toc25964"/>
      <w:r>
        <w:rPr>
          <w:rFonts w:hint="eastAsia" w:ascii="宋体" w:hAnsi="宋体" w:eastAsia="宋体" w:cs="宋体"/>
          <w:color w:val="auto"/>
          <w:sz w:val="21"/>
          <w:szCs w:val="21"/>
          <w:highlight w:val="none"/>
        </w:rPr>
        <w:t>一、保证的范围及保证金额</w:t>
      </w:r>
      <w:bookmarkEnd w:id="2324"/>
      <w:bookmarkEnd w:id="2325"/>
      <w:bookmarkEnd w:id="2326"/>
      <w:bookmarkEnd w:id="2327"/>
    </w:p>
    <w:p w14:paraId="39EA49F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14:paraId="3D18F56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14:paraId="48B4247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36D8E4">
      <w:pPr>
        <w:spacing w:line="360" w:lineRule="auto"/>
        <w:ind w:firstLine="420" w:firstLineChars="200"/>
        <w:jc w:val="left"/>
        <w:outlineLvl w:val="0"/>
        <w:rPr>
          <w:rFonts w:hint="eastAsia" w:ascii="宋体" w:hAnsi="宋体" w:eastAsia="宋体" w:cs="宋体"/>
          <w:color w:val="auto"/>
          <w:sz w:val="21"/>
          <w:szCs w:val="21"/>
          <w:highlight w:val="none"/>
        </w:rPr>
      </w:pPr>
      <w:bookmarkStart w:id="2328" w:name="_Toc13918"/>
      <w:bookmarkStart w:id="2329" w:name="_Toc31793"/>
      <w:bookmarkStart w:id="2330" w:name="_Toc16286"/>
      <w:bookmarkStart w:id="2331" w:name="_Toc10162"/>
      <w:r>
        <w:rPr>
          <w:rFonts w:hint="eastAsia" w:ascii="宋体" w:hAnsi="宋体" w:eastAsia="宋体" w:cs="宋体"/>
          <w:color w:val="auto"/>
          <w:sz w:val="21"/>
          <w:szCs w:val="21"/>
          <w:highlight w:val="none"/>
        </w:rPr>
        <w:t>二、保证的方式及保证期间</w:t>
      </w:r>
      <w:bookmarkEnd w:id="2328"/>
      <w:bookmarkEnd w:id="2329"/>
      <w:bookmarkEnd w:id="2330"/>
      <w:bookmarkEnd w:id="2331"/>
    </w:p>
    <w:p w14:paraId="754DB37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14:paraId="3E7476A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383CD82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14:paraId="24B1B17E">
      <w:pPr>
        <w:spacing w:line="360" w:lineRule="auto"/>
        <w:ind w:firstLine="420" w:firstLineChars="200"/>
        <w:jc w:val="left"/>
        <w:outlineLvl w:val="0"/>
        <w:rPr>
          <w:rFonts w:hint="eastAsia" w:ascii="宋体" w:hAnsi="宋体" w:eastAsia="宋体" w:cs="宋体"/>
          <w:color w:val="auto"/>
          <w:sz w:val="21"/>
          <w:szCs w:val="21"/>
          <w:highlight w:val="none"/>
        </w:rPr>
      </w:pPr>
      <w:bookmarkStart w:id="2332" w:name="_Toc30478"/>
      <w:bookmarkStart w:id="2333" w:name="_Toc28829"/>
      <w:bookmarkStart w:id="2334" w:name="_Toc30010"/>
      <w:bookmarkStart w:id="2335" w:name="_Toc3217"/>
      <w:r>
        <w:rPr>
          <w:rFonts w:hint="eastAsia" w:ascii="宋体" w:hAnsi="宋体" w:eastAsia="宋体" w:cs="宋体"/>
          <w:color w:val="auto"/>
          <w:sz w:val="21"/>
          <w:szCs w:val="21"/>
          <w:highlight w:val="none"/>
        </w:rPr>
        <w:t>三、承担保证责任的形式</w:t>
      </w:r>
      <w:bookmarkEnd w:id="2332"/>
      <w:bookmarkEnd w:id="2333"/>
      <w:bookmarkEnd w:id="2334"/>
      <w:bookmarkEnd w:id="2335"/>
    </w:p>
    <w:p w14:paraId="15EC22F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14:paraId="3120654B">
      <w:pPr>
        <w:spacing w:line="360" w:lineRule="auto"/>
        <w:ind w:firstLine="420" w:firstLineChars="200"/>
        <w:jc w:val="left"/>
        <w:outlineLvl w:val="0"/>
        <w:rPr>
          <w:rFonts w:hint="eastAsia" w:ascii="宋体" w:hAnsi="宋体" w:eastAsia="宋体" w:cs="宋体"/>
          <w:color w:val="auto"/>
          <w:sz w:val="21"/>
          <w:szCs w:val="21"/>
          <w:highlight w:val="none"/>
        </w:rPr>
      </w:pPr>
      <w:bookmarkStart w:id="2336" w:name="_Toc17037"/>
      <w:bookmarkStart w:id="2337" w:name="_Toc19016"/>
      <w:bookmarkStart w:id="2338" w:name="_Toc4883"/>
      <w:bookmarkStart w:id="2339" w:name="_Toc11312"/>
      <w:r>
        <w:rPr>
          <w:rFonts w:hint="eastAsia" w:ascii="宋体" w:hAnsi="宋体" w:eastAsia="宋体" w:cs="宋体"/>
          <w:color w:val="auto"/>
          <w:sz w:val="21"/>
          <w:szCs w:val="21"/>
          <w:highlight w:val="none"/>
        </w:rPr>
        <w:t>四、代偿的安排</w:t>
      </w:r>
      <w:bookmarkEnd w:id="2336"/>
      <w:bookmarkEnd w:id="2337"/>
      <w:bookmarkEnd w:id="2338"/>
      <w:bookmarkEnd w:id="2339"/>
    </w:p>
    <w:p w14:paraId="6E05899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066E5D4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08C4D66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14:paraId="671942DF">
      <w:pPr>
        <w:spacing w:line="360" w:lineRule="auto"/>
        <w:ind w:firstLine="420" w:firstLineChars="200"/>
        <w:jc w:val="left"/>
        <w:outlineLvl w:val="0"/>
        <w:rPr>
          <w:rFonts w:hint="eastAsia" w:ascii="宋体" w:hAnsi="宋体" w:eastAsia="宋体" w:cs="宋体"/>
          <w:color w:val="auto"/>
          <w:sz w:val="21"/>
          <w:szCs w:val="21"/>
          <w:highlight w:val="none"/>
        </w:rPr>
      </w:pPr>
      <w:bookmarkStart w:id="2340" w:name="_Toc25107"/>
      <w:bookmarkStart w:id="2341" w:name="_Toc30624"/>
      <w:bookmarkStart w:id="2342" w:name="_Toc29416"/>
      <w:bookmarkStart w:id="2343" w:name="_Toc1507"/>
      <w:r>
        <w:rPr>
          <w:rFonts w:hint="eastAsia" w:ascii="宋体" w:hAnsi="宋体" w:eastAsia="宋体" w:cs="宋体"/>
          <w:color w:val="auto"/>
          <w:sz w:val="21"/>
          <w:szCs w:val="21"/>
          <w:highlight w:val="none"/>
        </w:rPr>
        <w:t>五、保证责任的解除</w:t>
      </w:r>
      <w:bookmarkEnd w:id="2340"/>
      <w:bookmarkEnd w:id="2341"/>
      <w:bookmarkEnd w:id="2342"/>
      <w:bookmarkEnd w:id="2343"/>
    </w:p>
    <w:p w14:paraId="3C0812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14:paraId="5BEA299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14:paraId="2675279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14:paraId="55137F1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14:paraId="29D1778D">
      <w:pPr>
        <w:spacing w:line="360" w:lineRule="auto"/>
        <w:jc w:val="left"/>
        <w:rPr>
          <w:rFonts w:hint="eastAsia" w:ascii="宋体" w:hAnsi="宋体" w:eastAsia="宋体" w:cs="宋体"/>
          <w:color w:val="auto"/>
          <w:sz w:val="21"/>
          <w:szCs w:val="21"/>
          <w:highlight w:val="none"/>
        </w:rPr>
      </w:pPr>
    </w:p>
    <w:p w14:paraId="53041A5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14:paraId="50489DA2">
      <w:pPr>
        <w:spacing w:line="360" w:lineRule="auto"/>
        <w:ind w:firstLine="420" w:firstLineChars="200"/>
        <w:jc w:val="left"/>
        <w:outlineLvl w:val="0"/>
        <w:rPr>
          <w:rFonts w:hint="eastAsia" w:ascii="宋体" w:hAnsi="宋体" w:eastAsia="宋体" w:cs="宋体"/>
          <w:color w:val="auto"/>
          <w:sz w:val="21"/>
          <w:szCs w:val="21"/>
          <w:highlight w:val="none"/>
        </w:rPr>
      </w:pPr>
      <w:bookmarkStart w:id="2344" w:name="_Toc14021"/>
      <w:bookmarkStart w:id="2345" w:name="_Toc23407"/>
      <w:bookmarkStart w:id="2346" w:name="_Toc3962"/>
      <w:bookmarkStart w:id="2347" w:name="_Toc11064"/>
      <w:r>
        <w:rPr>
          <w:rFonts w:hint="eastAsia" w:ascii="宋体" w:hAnsi="宋体" w:eastAsia="宋体" w:cs="宋体"/>
          <w:color w:val="auto"/>
          <w:sz w:val="21"/>
          <w:szCs w:val="21"/>
          <w:highlight w:val="none"/>
        </w:rPr>
        <w:t>六、免责条款</w:t>
      </w:r>
      <w:bookmarkEnd w:id="2344"/>
      <w:bookmarkEnd w:id="2345"/>
      <w:bookmarkEnd w:id="2346"/>
      <w:bookmarkEnd w:id="2347"/>
    </w:p>
    <w:p w14:paraId="71D7EE1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14:paraId="010C977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14:paraId="4799A67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0FC1592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14:paraId="78395A37">
      <w:pPr>
        <w:spacing w:line="360" w:lineRule="auto"/>
        <w:ind w:firstLine="420" w:firstLineChars="200"/>
        <w:jc w:val="left"/>
        <w:outlineLvl w:val="0"/>
        <w:rPr>
          <w:rFonts w:hint="eastAsia" w:ascii="宋体" w:hAnsi="宋体" w:eastAsia="宋体" w:cs="宋体"/>
          <w:color w:val="auto"/>
          <w:sz w:val="21"/>
          <w:szCs w:val="21"/>
          <w:highlight w:val="none"/>
        </w:rPr>
      </w:pPr>
      <w:bookmarkStart w:id="2348" w:name="_Toc20106"/>
      <w:bookmarkStart w:id="2349" w:name="_Toc22034"/>
      <w:bookmarkStart w:id="2350" w:name="_Toc28001"/>
      <w:bookmarkStart w:id="2351" w:name="_Toc5169"/>
      <w:r>
        <w:rPr>
          <w:rFonts w:hint="eastAsia" w:ascii="宋体" w:hAnsi="宋体" w:eastAsia="宋体" w:cs="宋体"/>
          <w:color w:val="auto"/>
          <w:sz w:val="21"/>
          <w:szCs w:val="21"/>
          <w:highlight w:val="none"/>
        </w:rPr>
        <w:t>七、争议解决</w:t>
      </w:r>
      <w:bookmarkEnd w:id="2348"/>
      <w:bookmarkEnd w:id="2349"/>
      <w:bookmarkEnd w:id="2350"/>
      <w:bookmarkEnd w:id="2351"/>
    </w:p>
    <w:p w14:paraId="4C7E50F3">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6FC7D3B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3445478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1620C1EE">
      <w:pPr>
        <w:spacing w:line="360" w:lineRule="auto"/>
        <w:ind w:firstLine="420" w:firstLineChars="200"/>
        <w:jc w:val="left"/>
        <w:outlineLvl w:val="0"/>
        <w:rPr>
          <w:rFonts w:hint="eastAsia" w:ascii="宋体" w:hAnsi="宋体" w:eastAsia="宋体" w:cs="宋体"/>
          <w:color w:val="auto"/>
          <w:sz w:val="21"/>
          <w:szCs w:val="21"/>
          <w:highlight w:val="none"/>
        </w:rPr>
      </w:pPr>
      <w:bookmarkStart w:id="2352" w:name="_Toc14959"/>
      <w:bookmarkStart w:id="2353" w:name="_Toc24785"/>
      <w:bookmarkStart w:id="2354" w:name="_Toc5124"/>
      <w:bookmarkStart w:id="2355" w:name="_Toc29914"/>
      <w:r>
        <w:rPr>
          <w:rFonts w:hint="eastAsia" w:ascii="宋体" w:hAnsi="宋体" w:eastAsia="宋体" w:cs="宋体"/>
          <w:color w:val="auto"/>
          <w:sz w:val="21"/>
          <w:szCs w:val="21"/>
          <w:highlight w:val="none"/>
        </w:rPr>
        <w:t>八、保函的生效</w:t>
      </w:r>
      <w:bookmarkEnd w:id="2352"/>
      <w:bookmarkEnd w:id="2353"/>
      <w:bookmarkEnd w:id="2354"/>
      <w:bookmarkEnd w:id="2355"/>
    </w:p>
    <w:p w14:paraId="136D294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14:paraId="0B50A80A">
      <w:pPr>
        <w:spacing w:line="360" w:lineRule="auto"/>
        <w:ind w:firstLine="420" w:firstLineChars="200"/>
        <w:jc w:val="left"/>
        <w:rPr>
          <w:rFonts w:hint="eastAsia" w:ascii="宋体" w:hAnsi="宋体" w:eastAsia="宋体" w:cs="宋体"/>
          <w:color w:val="auto"/>
          <w:sz w:val="21"/>
          <w:szCs w:val="21"/>
          <w:highlight w:val="none"/>
        </w:rPr>
      </w:pPr>
    </w:p>
    <w:p w14:paraId="367EB039">
      <w:pPr>
        <w:spacing w:line="360" w:lineRule="auto"/>
        <w:ind w:right="600"/>
        <w:jc w:val="left"/>
        <w:rPr>
          <w:rFonts w:hint="eastAsia" w:ascii="宋体" w:hAnsi="宋体" w:eastAsia="宋体" w:cs="宋体"/>
          <w:color w:val="auto"/>
          <w:sz w:val="21"/>
          <w:szCs w:val="21"/>
          <w:highlight w:val="none"/>
        </w:rPr>
      </w:pPr>
    </w:p>
    <w:p w14:paraId="7B27904F">
      <w:pPr>
        <w:spacing w:line="360" w:lineRule="auto"/>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1A0AF17F">
      <w:pPr>
        <w:spacing w:line="360" w:lineRule="auto"/>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36B96A0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781E589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60E6977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4D7F66C8">
      <w:pPr>
        <w:spacing w:line="360" w:lineRule="auto"/>
        <w:ind w:right="150" w:firstLine="420" w:firstLineChars="200"/>
        <w:jc w:val="left"/>
        <w:rPr>
          <w:rFonts w:hint="eastAsia" w:ascii="宋体" w:hAnsi="宋体" w:eastAsia="宋体" w:cs="宋体"/>
          <w:color w:val="auto"/>
          <w:sz w:val="21"/>
          <w:szCs w:val="21"/>
          <w:highlight w:val="none"/>
          <w:u w:val="single"/>
        </w:rPr>
      </w:pPr>
    </w:p>
    <w:p w14:paraId="7A943648">
      <w:pPr>
        <w:spacing w:line="360" w:lineRule="auto"/>
        <w:ind w:right="1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84454A0">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ascii="宋体" w:hAnsi="宋体" w:eastAsia="宋体" w:cs="宋体"/>
          <w:color w:val="auto"/>
          <w:sz w:val="21"/>
          <w:szCs w:val="21"/>
          <w:highlight w:val="none"/>
        </w:rPr>
        <w:t>附件11：</w:t>
      </w:r>
    </w:p>
    <w:p w14:paraId="39D6DB1F">
      <w:pPr>
        <w:spacing w:before="120" w:beforeLines="50" w:after="120" w:afterLines="50" w:line="440" w:lineRule="exact"/>
        <w:jc w:val="center"/>
        <w:outlineLvl w:val="0"/>
        <w:rPr>
          <w:rFonts w:hint="eastAsia" w:ascii="宋体" w:hAnsi="宋体" w:eastAsia="宋体" w:cs="宋体"/>
          <w:color w:val="auto"/>
          <w:sz w:val="21"/>
          <w:szCs w:val="21"/>
          <w:highlight w:val="none"/>
        </w:rPr>
      </w:pPr>
      <w:bookmarkStart w:id="2356" w:name="_Toc20900"/>
      <w:bookmarkStart w:id="2357" w:name="_Toc18176"/>
      <w:bookmarkStart w:id="2358" w:name="_Toc15518"/>
      <w:bookmarkStart w:id="2359" w:name="_Toc32186"/>
      <w:r>
        <w:rPr>
          <w:rFonts w:hint="eastAsia" w:ascii="宋体" w:hAnsi="宋体" w:eastAsia="宋体" w:cs="宋体"/>
          <w:color w:val="auto"/>
          <w:sz w:val="21"/>
          <w:szCs w:val="21"/>
          <w:highlight w:val="none"/>
        </w:rPr>
        <w:t>11-1：材料暂估价表</w:t>
      </w:r>
      <w:bookmarkEnd w:id="2356"/>
      <w:bookmarkEnd w:id="2357"/>
      <w:bookmarkEnd w:id="2358"/>
      <w:bookmarkEnd w:id="2359"/>
    </w:p>
    <w:tbl>
      <w:tblPr>
        <w:tblStyle w:val="2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4F87E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C2409C7">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75A6FF18">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6DB39A90">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7318B004">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59E52181">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noWrap w:val="0"/>
            <w:vAlign w:val="top"/>
          </w:tcPr>
          <w:p w14:paraId="16D108F9">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noWrap w:val="0"/>
            <w:vAlign w:val="top"/>
          </w:tcPr>
          <w:p w14:paraId="7135D09D">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14:paraId="1F393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976611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75B619F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0D66D96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6DA667F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0E54F07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1453997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noWrap w:val="0"/>
            <w:vAlign w:val="top"/>
          </w:tcPr>
          <w:p w14:paraId="06AE6329">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F93B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2E4125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noWrap w:val="0"/>
            <w:vAlign w:val="top"/>
          </w:tcPr>
          <w:p w14:paraId="025AA5C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noWrap w:val="0"/>
            <w:vAlign w:val="top"/>
          </w:tcPr>
          <w:p w14:paraId="734890D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noWrap w:val="0"/>
            <w:vAlign w:val="top"/>
          </w:tcPr>
          <w:p w14:paraId="2BB14C4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noWrap w:val="0"/>
            <w:vAlign w:val="top"/>
          </w:tcPr>
          <w:p w14:paraId="12EA9A3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noWrap w:val="0"/>
            <w:vAlign w:val="top"/>
          </w:tcPr>
          <w:p w14:paraId="2A6382F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noWrap w:val="0"/>
            <w:vAlign w:val="top"/>
          </w:tcPr>
          <w:p w14:paraId="54050566">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6EBFC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1F9BD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D5FB63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4403E1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F168AA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687FF2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F74682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DEAFF9E">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59FC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1F5B5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E92D7D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1F1C46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2D085F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1DBDBD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B534DC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E7F0B0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39B6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4EC8B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CCBBDF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EE56F3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C449F1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259B21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E823BD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5B98E6F">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011DC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D289B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17C232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6D2565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AB40D2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436AEB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F22E0E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79ADAE0">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8BA1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F9A78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0B8265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977C7D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133994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1918CE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5EF5DC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D4E6065">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48C5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03F50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D4377F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E9369D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25DC3A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0C515E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7A1085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24BCE03">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5A48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B3FD6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32780C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C96249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13DEC1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6B262B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DE956C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5997B5F">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F52B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23F65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95F7C9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30D30F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E85DBA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391667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147657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78011B9">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E4FA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362CD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F06E62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1426C8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27A6B5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B22D73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907FB0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56EE5E9">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6CB6B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AAC21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482CB8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A6095A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793EF2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3090A8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49BC5C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17C602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E9B5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F7082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936CEF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F00E0D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5CB903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37B623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5445F7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7808997">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49ED6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2AB90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AB6200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4A1981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0EAB6B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BD5A83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816297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1CFF66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0441D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49D82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78AAF2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7055DC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0110C0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7CD082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4DD716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1F011F8">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8EE5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05485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906525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0A2B04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B848F7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0DD571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72D0E3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52A5F3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9B57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99CED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6DD4AE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10CD32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831EBF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EB161A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39B324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95760E4">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B912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1F857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B50B1A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614870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AD7D04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B7CC83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3051C7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FD8A85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7D3E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1A9F4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B5AD5C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A17D97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524575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C1D514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E92A78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4D55A73">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2ECC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99A3C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D86912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A55142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E90D53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404DA8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7F0EDD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61FD3C6">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1218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28555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E6FFA4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508398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932987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A6AC68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86680B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507F4CD">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6750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D0B14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542C92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169F65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A18B03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0AF478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3A721D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3E7C31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62B2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755DF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CA4D18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E34BE6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71739A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44165C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5466B6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40D3BA2">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9C5A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DE9C5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5C2027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0CB615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187369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751F13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81F5C5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8C40E65">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B0F3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4248F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18D70F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702904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9735B1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DF506A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83DE9A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C3419A6">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bl>
    <w:p w14:paraId="3340D98B">
      <w:pPr>
        <w:spacing w:before="120" w:beforeLines="50" w:after="120" w:afterLines="50" w:line="440" w:lineRule="exact"/>
        <w:rPr>
          <w:rFonts w:hint="eastAsia" w:eastAsia="黑体"/>
          <w:color w:val="auto"/>
          <w:sz w:val="30"/>
          <w:szCs w:val="30"/>
          <w:highlight w:val="none"/>
        </w:rPr>
      </w:pPr>
    </w:p>
    <w:p w14:paraId="4CB3FDD9">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11-2：工程设备暂估价表</w:t>
      </w:r>
    </w:p>
    <w:tbl>
      <w:tblPr>
        <w:tblStyle w:val="2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1215E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15CF3C9">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23BBCDCF">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7954840E">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08DE9810">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3380DC75">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noWrap w:val="0"/>
            <w:vAlign w:val="top"/>
          </w:tcPr>
          <w:p w14:paraId="469B7C20">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noWrap w:val="0"/>
            <w:vAlign w:val="top"/>
          </w:tcPr>
          <w:p w14:paraId="28089905">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14:paraId="4D874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30150B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3C49905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5BB4FA4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1E33649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5D6E708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59A7E33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noWrap w:val="0"/>
            <w:vAlign w:val="top"/>
          </w:tcPr>
          <w:p w14:paraId="48FE8D44">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9E73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FE1C69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noWrap w:val="0"/>
            <w:vAlign w:val="top"/>
          </w:tcPr>
          <w:p w14:paraId="2E12EA5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noWrap w:val="0"/>
            <w:vAlign w:val="top"/>
          </w:tcPr>
          <w:p w14:paraId="747F742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noWrap w:val="0"/>
            <w:vAlign w:val="top"/>
          </w:tcPr>
          <w:p w14:paraId="0CB2AE3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noWrap w:val="0"/>
            <w:vAlign w:val="top"/>
          </w:tcPr>
          <w:p w14:paraId="582ACE2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noWrap w:val="0"/>
            <w:vAlign w:val="top"/>
          </w:tcPr>
          <w:p w14:paraId="4B8D24A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noWrap w:val="0"/>
            <w:vAlign w:val="top"/>
          </w:tcPr>
          <w:p w14:paraId="5E0D55A8">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A75C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A5256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022A79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BCF30B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FD50C5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2EBF3A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8C9B0A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4544A4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4EE1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4C88A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E57758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B18CD3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29F211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B183E1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686BED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EC1FB38">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51C5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0C054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1D6F6F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53E4CE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8BF08B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EE41AE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A35AB5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AB8EA85">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1FA4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84A7E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B3C195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17E7BB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25D6F8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BE6215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17157F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B57C46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08DF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CF692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0B191B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5A8CB1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4DC1C9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9DE6A8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1FC7E1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65710C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0050B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DA4D6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A7C052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F0846C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B3647F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F99AF4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6DD521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E563224">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42C3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4A185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5957CC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8D2AA4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5CB98A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C0D2B4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207344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876D452">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DA8B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8DC95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26A370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D9AAF0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627C55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078BA8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518EBF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5F3806A">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3DA9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A81E0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7E3D88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09178C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EE3716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396E10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B1B263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A6432D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833A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5E417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72D1F0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DC3C15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FA5C20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DEED45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2DBE7A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2569DB4">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69913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16088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3E2585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36605C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B87059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9A885A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08C6A4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2CDD69A">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A62F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0572E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DB5AB6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58C13A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E27B73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8BDBC5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C957BC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5733632">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4BFF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E087C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F18BBE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AC5E69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496C70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58D30F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4BA3B4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802DAD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D251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F7978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09D19B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F67A36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6231E0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1CC6FF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B7DF32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E3D5F67">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001D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F9060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AF9B00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6598CB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C0AC4A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4733F2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F77597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8376AB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4FEAB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EAAC7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5B04F6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1E0665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41B24A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7CB045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2CD1A4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BBE8D3F">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B1C9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59FA3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453F7B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50A70B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B2560C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7411B6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348CC7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FE399F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7E6A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D00BF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201782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4FEA0C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E965E8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D129F9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4DE552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0ACEA2D">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C301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DE029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985260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90230C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6AF505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7027A6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85B0B6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3BD5D7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5D1D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8A460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56EE5D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81DC09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E66B39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9D5284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2EB6BF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3B2AEF2">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07B07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83735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E51742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A022AA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E243BD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0809C1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99040F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76B4716">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537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A21C5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40A115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CCEF6C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D46D64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9B0648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57FC00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A1E8083">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05A8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2DD04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9347AC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9B9D46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C06914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646A45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27374E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721AF12">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bl>
    <w:p w14:paraId="785B4E9E">
      <w:pPr>
        <w:spacing w:line="440" w:lineRule="exact"/>
        <w:rPr>
          <w:rFonts w:eastAsia="仿宋_GB2312"/>
          <w:color w:val="auto"/>
          <w:sz w:val="30"/>
          <w:szCs w:val="30"/>
          <w:highlight w:val="none"/>
        </w:rPr>
      </w:pPr>
    </w:p>
    <w:p w14:paraId="0189A88E">
      <w:pPr>
        <w:spacing w:before="120" w:beforeLines="50" w:after="120" w:afterLines="50" w:line="440" w:lineRule="exact"/>
        <w:jc w:val="center"/>
        <w:rPr>
          <w:rFonts w:eastAsia="黑体"/>
          <w:color w:val="auto"/>
          <w:sz w:val="30"/>
          <w:szCs w:val="30"/>
          <w:highlight w:val="none"/>
        </w:rPr>
      </w:pPr>
      <w:r>
        <w:rPr>
          <w:rFonts w:eastAsia="仿宋_GB2312"/>
          <w:color w:val="auto"/>
          <w:sz w:val="30"/>
          <w:szCs w:val="30"/>
          <w:highlight w:val="none"/>
        </w:rPr>
        <w:br w:type="page"/>
      </w:r>
      <w:r>
        <w:rPr>
          <w:rFonts w:hint="eastAsia" w:ascii="宋体" w:hAnsi="宋体" w:eastAsia="宋体" w:cs="宋体"/>
          <w:color w:val="auto"/>
          <w:sz w:val="21"/>
          <w:szCs w:val="21"/>
          <w:highlight w:val="none"/>
        </w:rPr>
        <w:t>11-3：专业工程暂估价表</w:t>
      </w:r>
    </w:p>
    <w:tbl>
      <w:tblPr>
        <w:tblStyle w:val="2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14:paraId="7B78D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0A7218BA">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35F8DC86">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专业工程名称</w:t>
            </w:r>
          </w:p>
        </w:tc>
        <w:tc>
          <w:tcPr>
            <w:tcW w:w="4395" w:type="dxa"/>
            <w:tcBorders>
              <w:top w:val="single" w:color="auto" w:sz="12" w:space="0"/>
              <w:bottom w:val="double" w:color="auto" w:sz="6" w:space="0"/>
            </w:tcBorders>
            <w:noWrap w:val="0"/>
            <w:vAlign w:val="top"/>
          </w:tcPr>
          <w:p w14:paraId="183E7BE5">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工程内容</w:t>
            </w:r>
          </w:p>
        </w:tc>
        <w:tc>
          <w:tcPr>
            <w:tcW w:w="1417" w:type="dxa"/>
            <w:tcBorders>
              <w:top w:val="single" w:color="auto" w:sz="12" w:space="0"/>
              <w:bottom w:val="double" w:color="auto" w:sz="6" w:space="0"/>
            </w:tcBorders>
            <w:noWrap w:val="0"/>
            <w:vAlign w:val="top"/>
          </w:tcPr>
          <w:p w14:paraId="5088982C">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金额</w:t>
            </w:r>
          </w:p>
        </w:tc>
      </w:tr>
      <w:tr w14:paraId="446B8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674CFC70">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369923AA">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double" w:color="auto" w:sz="6" w:space="0"/>
              <w:bottom w:val="single" w:color="auto" w:sz="6" w:space="0"/>
            </w:tcBorders>
            <w:noWrap w:val="0"/>
            <w:vAlign w:val="top"/>
          </w:tcPr>
          <w:p w14:paraId="67F4F603">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double" w:color="auto" w:sz="6" w:space="0"/>
              <w:bottom w:val="single" w:color="auto" w:sz="6" w:space="0"/>
            </w:tcBorders>
            <w:noWrap w:val="0"/>
            <w:vAlign w:val="top"/>
          </w:tcPr>
          <w:p w14:paraId="6E5F39B5">
            <w:pPr>
              <w:pStyle w:val="11"/>
              <w:keepNext/>
              <w:spacing w:after="0" w:line="440" w:lineRule="exact"/>
              <w:ind w:left="63" w:right="63"/>
              <w:rPr>
                <w:rFonts w:ascii="等线" w:hAnsi="等线"/>
                <w:color w:val="auto"/>
                <w:kern w:val="2"/>
                <w:sz w:val="24"/>
                <w:szCs w:val="24"/>
                <w:highlight w:val="none"/>
                <w:lang w:val="en-US" w:eastAsia="zh-CN"/>
              </w:rPr>
            </w:pPr>
          </w:p>
        </w:tc>
      </w:tr>
      <w:tr w14:paraId="20C32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0E348447">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noWrap w:val="0"/>
            <w:vAlign w:val="top"/>
          </w:tcPr>
          <w:p w14:paraId="4724665D">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noWrap w:val="0"/>
            <w:vAlign w:val="top"/>
          </w:tcPr>
          <w:p w14:paraId="2B060AAA">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noWrap w:val="0"/>
            <w:vAlign w:val="top"/>
          </w:tcPr>
          <w:p w14:paraId="7E4A208E">
            <w:pPr>
              <w:pStyle w:val="11"/>
              <w:keepNext/>
              <w:spacing w:after="0" w:line="440" w:lineRule="exact"/>
              <w:ind w:left="63" w:right="63"/>
              <w:rPr>
                <w:rFonts w:ascii="等线" w:hAnsi="等线"/>
                <w:color w:val="auto"/>
                <w:kern w:val="2"/>
                <w:sz w:val="24"/>
                <w:szCs w:val="24"/>
                <w:highlight w:val="none"/>
                <w:lang w:val="en-US" w:eastAsia="zh-CN"/>
              </w:rPr>
            </w:pPr>
          </w:p>
        </w:tc>
      </w:tr>
      <w:tr w14:paraId="4443C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61215F07">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noWrap w:val="0"/>
            <w:vAlign w:val="top"/>
          </w:tcPr>
          <w:p w14:paraId="21265823">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noWrap w:val="0"/>
            <w:vAlign w:val="top"/>
          </w:tcPr>
          <w:p w14:paraId="30AF359A">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noWrap w:val="0"/>
            <w:vAlign w:val="top"/>
          </w:tcPr>
          <w:p w14:paraId="244D5FCD">
            <w:pPr>
              <w:pStyle w:val="11"/>
              <w:keepNext/>
              <w:spacing w:after="0" w:line="440" w:lineRule="exact"/>
              <w:ind w:left="63" w:right="63"/>
              <w:rPr>
                <w:rFonts w:ascii="等线" w:hAnsi="等线"/>
                <w:color w:val="auto"/>
                <w:kern w:val="2"/>
                <w:sz w:val="24"/>
                <w:szCs w:val="24"/>
                <w:highlight w:val="none"/>
                <w:lang w:val="en-US" w:eastAsia="zh-CN"/>
              </w:rPr>
            </w:pPr>
          </w:p>
        </w:tc>
      </w:tr>
      <w:tr w14:paraId="3EDC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BACA854">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E0191E7">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DDD7B70">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60BE13E">
            <w:pPr>
              <w:pStyle w:val="11"/>
              <w:keepNext/>
              <w:spacing w:after="0" w:line="440" w:lineRule="exact"/>
              <w:ind w:left="63" w:right="63"/>
              <w:rPr>
                <w:rFonts w:ascii="等线" w:hAnsi="等线"/>
                <w:color w:val="auto"/>
                <w:kern w:val="2"/>
                <w:sz w:val="24"/>
                <w:szCs w:val="24"/>
                <w:highlight w:val="none"/>
                <w:lang w:val="en-US" w:eastAsia="zh-CN"/>
              </w:rPr>
            </w:pPr>
          </w:p>
        </w:tc>
      </w:tr>
      <w:tr w14:paraId="46312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4E1F4E3">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069431F">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83C8900">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9A76F35">
            <w:pPr>
              <w:pStyle w:val="11"/>
              <w:keepNext/>
              <w:spacing w:after="0" w:line="440" w:lineRule="exact"/>
              <w:ind w:left="63" w:right="63"/>
              <w:rPr>
                <w:rFonts w:ascii="等线" w:hAnsi="等线"/>
                <w:color w:val="auto"/>
                <w:kern w:val="2"/>
                <w:sz w:val="24"/>
                <w:szCs w:val="24"/>
                <w:highlight w:val="none"/>
                <w:lang w:val="en-US" w:eastAsia="zh-CN"/>
              </w:rPr>
            </w:pPr>
          </w:p>
        </w:tc>
      </w:tr>
      <w:tr w14:paraId="131D1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C11E598">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012A6FE">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AA01B5C">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5C24FFA">
            <w:pPr>
              <w:pStyle w:val="11"/>
              <w:keepNext/>
              <w:spacing w:after="0" w:line="440" w:lineRule="exact"/>
              <w:ind w:left="63" w:right="63"/>
              <w:rPr>
                <w:rFonts w:ascii="等线" w:hAnsi="等线"/>
                <w:color w:val="auto"/>
                <w:kern w:val="2"/>
                <w:sz w:val="24"/>
                <w:szCs w:val="24"/>
                <w:highlight w:val="none"/>
                <w:lang w:val="en-US" w:eastAsia="zh-CN"/>
              </w:rPr>
            </w:pPr>
          </w:p>
        </w:tc>
      </w:tr>
      <w:tr w14:paraId="3240A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2FA9485">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66F7186">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63E0447">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A8E8C65">
            <w:pPr>
              <w:pStyle w:val="11"/>
              <w:keepNext/>
              <w:spacing w:after="0" w:line="440" w:lineRule="exact"/>
              <w:ind w:left="63" w:right="63"/>
              <w:rPr>
                <w:rFonts w:ascii="等线" w:hAnsi="等线"/>
                <w:color w:val="auto"/>
                <w:kern w:val="2"/>
                <w:sz w:val="24"/>
                <w:szCs w:val="24"/>
                <w:highlight w:val="none"/>
                <w:lang w:val="en-US" w:eastAsia="zh-CN"/>
              </w:rPr>
            </w:pPr>
          </w:p>
        </w:tc>
      </w:tr>
      <w:tr w14:paraId="069D7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088E7F9">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296D62B4">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7C1B375">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B714DE3">
            <w:pPr>
              <w:pStyle w:val="11"/>
              <w:keepNext/>
              <w:spacing w:after="0" w:line="440" w:lineRule="exact"/>
              <w:ind w:left="63" w:right="63"/>
              <w:rPr>
                <w:rFonts w:ascii="等线" w:hAnsi="等线"/>
                <w:color w:val="auto"/>
                <w:kern w:val="2"/>
                <w:sz w:val="24"/>
                <w:szCs w:val="24"/>
                <w:highlight w:val="none"/>
                <w:lang w:val="en-US" w:eastAsia="zh-CN"/>
              </w:rPr>
            </w:pPr>
          </w:p>
        </w:tc>
      </w:tr>
      <w:tr w14:paraId="63CE9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AE3A7DB">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6EFB8F2">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FAD2ACD">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44C6C9A">
            <w:pPr>
              <w:pStyle w:val="11"/>
              <w:keepNext/>
              <w:spacing w:after="0" w:line="440" w:lineRule="exact"/>
              <w:ind w:left="63" w:right="63"/>
              <w:rPr>
                <w:rFonts w:ascii="等线" w:hAnsi="等线"/>
                <w:color w:val="auto"/>
                <w:kern w:val="2"/>
                <w:sz w:val="24"/>
                <w:szCs w:val="24"/>
                <w:highlight w:val="none"/>
                <w:lang w:val="en-US" w:eastAsia="zh-CN"/>
              </w:rPr>
            </w:pPr>
          </w:p>
        </w:tc>
      </w:tr>
      <w:tr w14:paraId="60C40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78DA8A">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DDD5836">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16803C4">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65BED03">
            <w:pPr>
              <w:pStyle w:val="11"/>
              <w:keepNext/>
              <w:spacing w:after="0" w:line="440" w:lineRule="exact"/>
              <w:ind w:left="63" w:right="63"/>
              <w:rPr>
                <w:rFonts w:ascii="等线" w:hAnsi="等线"/>
                <w:color w:val="auto"/>
                <w:kern w:val="2"/>
                <w:sz w:val="24"/>
                <w:szCs w:val="24"/>
                <w:highlight w:val="none"/>
                <w:lang w:val="en-US" w:eastAsia="zh-CN"/>
              </w:rPr>
            </w:pPr>
          </w:p>
        </w:tc>
      </w:tr>
      <w:tr w14:paraId="1FE89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5BC0E55">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B486CB3">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003599A">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34EA5A7">
            <w:pPr>
              <w:pStyle w:val="11"/>
              <w:keepNext/>
              <w:spacing w:after="0" w:line="440" w:lineRule="exact"/>
              <w:ind w:left="63" w:right="63"/>
              <w:rPr>
                <w:rFonts w:ascii="等线" w:hAnsi="等线"/>
                <w:color w:val="auto"/>
                <w:kern w:val="2"/>
                <w:sz w:val="24"/>
                <w:szCs w:val="24"/>
                <w:highlight w:val="none"/>
                <w:lang w:val="en-US" w:eastAsia="zh-CN"/>
              </w:rPr>
            </w:pPr>
          </w:p>
        </w:tc>
      </w:tr>
      <w:tr w14:paraId="7847F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CD73562">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5472C21">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1CFBFC2">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EF198BC">
            <w:pPr>
              <w:pStyle w:val="11"/>
              <w:keepNext/>
              <w:spacing w:after="0" w:line="440" w:lineRule="exact"/>
              <w:ind w:left="63" w:right="63"/>
              <w:rPr>
                <w:rFonts w:ascii="等线" w:hAnsi="等线"/>
                <w:color w:val="auto"/>
                <w:kern w:val="2"/>
                <w:sz w:val="24"/>
                <w:szCs w:val="24"/>
                <w:highlight w:val="none"/>
                <w:lang w:val="en-US" w:eastAsia="zh-CN"/>
              </w:rPr>
            </w:pPr>
          </w:p>
        </w:tc>
      </w:tr>
      <w:tr w14:paraId="3CE6C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080CF65">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7012738">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1CC0D76">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6B0DD16">
            <w:pPr>
              <w:pStyle w:val="11"/>
              <w:keepNext/>
              <w:spacing w:after="0" w:line="440" w:lineRule="exact"/>
              <w:ind w:left="63" w:right="63"/>
              <w:rPr>
                <w:rFonts w:ascii="等线" w:hAnsi="等线"/>
                <w:color w:val="auto"/>
                <w:kern w:val="2"/>
                <w:sz w:val="24"/>
                <w:szCs w:val="24"/>
                <w:highlight w:val="none"/>
                <w:lang w:val="en-US" w:eastAsia="zh-CN"/>
              </w:rPr>
            </w:pPr>
          </w:p>
        </w:tc>
      </w:tr>
      <w:tr w14:paraId="065D7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BD2B237">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2512FA8D">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5FBC83D">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C783091">
            <w:pPr>
              <w:pStyle w:val="11"/>
              <w:keepNext/>
              <w:spacing w:after="0" w:line="440" w:lineRule="exact"/>
              <w:ind w:left="63" w:right="63"/>
              <w:rPr>
                <w:rFonts w:ascii="等线" w:hAnsi="等线"/>
                <w:color w:val="auto"/>
                <w:kern w:val="2"/>
                <w:sz w:val="24"/>
                <w:szCs w:val="24"/>
                <w:highlight w:val="none"/>
                <w:lang w:val="en-US" w:eastAsia="zh-CN"/>
              </w:rPr>
            </w:pPr>
          </w:p>
        </w:tc>
      </w:tr>
      <w:tr w14:paraId="135CA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DE10FCA">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8E4CCFD">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F986D4E">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78E511A">
            <w:pPr>
              <w:pStyle w:val="11"/>
              <w:keepNext/>
              <w:spacing w:after="0" w:line="440" w:lineRule="exact"/>
              <w:ind w:left="63" w:right="63"/>
              <w:rPr>
                <w:rFonts w:ascii="等线" w:hAnsi="等线"/>
                <w:color w:val="auto"/>
                <w:kern w:val="2"/>
                <w:sz w:val="24"/>
                <w:szCs w:val="24"/>
                <w:highlight w:val="none"/>
                <w:lang w:val="en-US" w:eastAsia="zh-CN"/>
              </w:rPr>
            </w:pPr>
          </w:p>
        </w:tc>
      </w:tr>
      <w:tr w14:paraId="5FDC9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42ACB5D">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540B0F3">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C99C54F">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B5F3F92">
            <w:pPr>
              <w:pStyle w:val="11"/>
              <w:keepNext/>
              <w:spacing w:after="0" w:line="440" w:lineRule="exact"/>
              <w:ind w:left="63" w:right="63"/>
              <w:rPr>
                <w:rFonts w:ascii="等线" w:hAnsi="等线"/>
                <w:color w:val="auto"/>
                <w:kern w:val="2"/>
                <w:sz w:val="24"/>
                <w:szCs w:val="24"/>
                <w:highlight w:val="none"/>
                <w:lang w:val="en-US" w:eastAsia="zh-CN"/>
              </w:rPr>
            </w:pPr>
          </w:p>
        </w:tc>
      </w:tr>
      <w:tr w14:paraId="0DC02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EFE227">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E5416E2">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61249AE">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17E0E0E">
            <w:pPr>
              <w:pStyle w:val="11"/>
              <w:keepNext/>
              <w:spacing w:after="0" w:line="440" w:lineRule="exact"/>
              <w:ind w:left="63" w:right="63"/>
              <w:rPr>
                <w:rFonts w:ascii="等线" w:hAnsi="等线"/>
                <w:color w:val="auto"/>
                <w:kern w:val="2"/>
                <w:sz w:val="24"/>
                <w:szCs w:val="24"/>
                <w:highlight w:val="none"/>
                <w:lang w:val="en-US" w:eastAsia="zh-CN"/>
              </w:rPr>
            </w:pPr>
          </w:p>
        </w:tc>
      </w:tr>
      <w:tr w14:paraId="3AD77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B69D1A8">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7641C90">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C9859DF">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6933FDC">
            <w:pPr>
              <w:pStyle w:val="11"/>
              <w:keepNext/>
              <w:spacing w:after="0" w:line="440" w:lineRule="exact"/>
              <w:ind w:left="63" w:right="63"/>
              <w:rPr>
                <w:rFonts w:ascii="等线" w:hAnsi="等线"/>
                <w:color w:val="auto"/>
                <w:kern w:val="2"/>
                <w:sz w:val="24"/>
                <w:szCs w:val="24"/>
                <w:highlight w:val="none"/>
                <w:lang w:val="en-US" w:eastAsia="zh-CN"/>
              </w:rPr>
            </w:pPr>
          </w:p>
        </w:tc>
      </w:tr>
      <w:tr w14:paraId="2135C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0C163BE">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1D15FE0">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F9B773F">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06ACF27">
            <w:pPr>
              <w:pStyle w:val="11"/>
              <w:keepNext/>
              <w:spacing w:after="0" w:line="440" w:lineRule="exact"/>
              <w:ind w:left="63" w:right="63"/>
              <w:rPr>
                <w:rFonts w:ascii="等线" w:hAnsi="等线"/>
                <w:color w:val="auto"/>
                <w:kern w:val="2"/>
                <w:sz w:val="24"/>
                <w:szCs w:val="24"/>
                <w:highlight w:val="none"/>
                <w:lang w:val="en-US" w:eastAsia="zh-CN"/>
              </w:rPr>
            </w:pPr>
          </w:p>
        </w:tc>
      </w:tr>
      <w:tr w14:paraId="0461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F84C1A3">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1782B82">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133CE18">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4B7F657">
            <w:pPr>
              <w:pStyle w:val="11"/>
              <w:keepNext/>
              <w:spacing w:after="0" w:line="440" w:lineRule="exact"/>
              <w:ind w:left="63" w:right="63"/>
              <w:rPr>
                <w:rFonts w:ascii="等线" w:hAnsi="等线"/>
                <w:color w:val="auto"/>
                <w:kern w:val="2"/>
                <w:sz w:val="24"/>
                <w:szCs w:val="24"/>
                <w:highlight w:val="none"/>
                <w:lang w:val="en-US" w:eastAsia="zh-CN"/>
              </w:rPr>
            </w:pPr>
          </w:p>
        </w:tc>
      </w:tr>
      <w:tr w14:paraId="07AC9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D3851AA">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AB67BE3">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CB2D42F">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994566E">
            <w:pPr>
              <w:pStyle w:val="11"/>
              <w:keepNext/>
              <w:spacing w:after="0" w:line="440" w:lineRule="exact"/>
              <w:ind w:left="63" w:right="63"/>
              <w:rPr>
                <w:rFonts w:ascii="等线" w:hAnsi="等线"/>
                <w:color w:val="auto"/>
                <w:kern w:val="2"/>
                <w:sz w:val="24"/>
                <w:szCs w:val="24"/>
                <w:highlight w:val="none"/>
                <w:lang w:val="en-US" w:eastAsia="zh-CN"/>
              </w:rPr>
            </w:pPr>
          </w:p>
        </w:tc>
      </w:tr>
      <w:tr w14:paraId="61849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C25B01F">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B4A08FF">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843F134">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2DB5F27">
            <w:pPr>
              <w:pStyle w:val="11"/>
              <w:keepNext/>
              <w:spacing w:after="0" w:line="440" w:lineRule="exact"/>
              <w:ind w:left="63" w:right="63"/>
              <w:rPr>
                <w:rFonts w:ascii="等线" w:hAnsi="等线"/>
                <w:color w:val="auto"/>
                <w:kern w:val="2"/>
                <w:sz w:val="24"/>
                <w:szCs w:val="24"/>
                <w:highlight w:val="none"/>
                <w:lang w:val="en-US" w:eastAsia="zh-CN"/>
              </w:rPr>
            </w:pPr>
          </w:p>
        </w:tc>
      </w:tr>
      <w:tr w14:paraId="6DDA8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B8322C">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3B4A5FA">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5F9FB94">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34780B7">
            <w:pPr>
              <w:pStyle w:val="11"/>
              <w:keepNext/>
              <w:spacing w:after="0" w:line="440" w:lineRule="exact"/>
              <w:ind w:left="63" w:right="63"/>
              <w:rPr>
                <w:rFonts w:ascii="等线" w:hAnsi="等线"/>
                <w:color w:val="auto"/>
                <w:kern w:val="2"/>
                <w:sz w:val="24"/>
                <w:szCs w:val="24"/>
                <w:highlight w:val="none"/>
                <w:lang w:val="en-US" w:eastAsia="zh-CN"/>
              </w:rPr>
            </w:pPr>
          </w:p>
        </w:tc>
      </w:tr>
      <w:tr w14:paraId="3D498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B72E2F8">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D5204FF">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3D7952A5">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3276EC1E">
            <w:pPr>
              <w:pStyle w:val="11"/>
              <w:keepNext/>
              <w:spacing w:after="0" w:line="440" w:lineRule="exact"/>
              <w:ind w:left="63" w:right="63"/>
              <w:rPr>
                <w:rFonts w:ascii="等线" w:hAnsi="等线"/>
                <w:color w:val="auto"/>
                <w:kern w:val="2"/>
                <w:sz w:val="24"/>
                <w:szCs w:val="24"/>
                <w:highlight w:val="none"/>
                <w:lang w:val="en-US" w:eastAsia="zh-CN"/>
              </w:rPr>
            </w:pPr>
          </w:p>
        </w:tc>
      </w:tr>
      <w:tr w14:paraId="25CC0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C81D93">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6A6E23F">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64F152D">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54756CD">
            <w:pPr>
              <w:pStyle w:val="11"/>
              <w:keepNext/>
              <w:spacing w:after="0" w:line="440" w:lineRule="exact"/>
              <w:ind w:left="63" w:right="63"/>
              <w:rPr>
                <w:rFonts w:ascii="等线" w:hAnsi="等线"/>
                <w:color w:val="auto"/>
                <w:kern w:val="2"/>
                <w:sz w:val="24"/>
                <w:szCs w:val="24"/>
                <w:highlight w:val="none"/>
                <w:lang w:val="en-US" w:eastAsia="zh-CN"/>
              </w:rPr>
            </w:pPr>
          </w:p>
        </w:tc>
      </w:tr>
      <w:tr w14:paraId="3D9AD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59E8AC">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901FEB5">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C95ADAB">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3909E89">
            <w:pPr>
              <w:pStyle w:val="11"/>
              <w:keepNext/>
              <w:spacing w:after="0" w:line="440" w:lineRule="exact"/>
              <w:ind w:left="63" w:right="63"/>
              <w:rPr>
                <w:rFonts w:ascii="等线" w:hAnsi="等线"/>
                <w:color w:val="auto"/>
                <w:kern w:val="2"/>
                <w:sz w:val="24"/>
                <w:szCs w:val="24"/>
                <w:highlight w:val="none"/>
                <w:lang w:val="en-US" w:eastAsia="zh-CN"/>
              </w:rPr>
            </w:pPr>
          </w:p>
        </w:tc>
      </w:tr>
      <w:tr w14:paraId="48B51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675" w:type="dxa"/>
            <w:gridSpan w:val="4"/>
            <w:noWrap w:val="0"/>
            <w:vAlign w:val="top"/>
          </w:tcPr>
          <w:p w14:paraId="76D658C4">
            <w:pPr>
              <w:pStyle w:val="11"/>
              <w:keepNext/>
              <w:spacing w:after="0" w:line="440" w:lineRule="exact"/>
              <w:ind w:left="63" w:right="63"/>
              <w:rPr>
                <w:rFonts w:ascii="等线" w:hAnsi="等线"/>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小计：</w:t>
            </w:r>
          </w:p>
        </w:tc>
      </w:tr>
    </w:tbl>
    <w:p w14:paraId="5B0B076F">
      <w:pPr>
        <w:spacing w:line="480" w:lineRule="auto"/>
        <w:rPr>
          <w:rFonts w:hAnsi="宋体"/>
          <w:color w:val="auto"/>
          <w:highlight w:val="none"/>
        </w:rPr>
      </w:pPr>
    </w:p>
    <w:p w14:paraId="3A0DB6F8">
      <w:pPr>
        <w:pStyle w:val="5"/>
        <w:tabs>
          <w:tab w:val="left" w:pos="567"/>
        </w:tabs>
        <w:ind w:left="0" w:leftChars="0" w:firstLine="0" w:firstLineChars="0"/>
        <w:jc w:val="center"/>
        <w:rPr>
          <w:rFonts w:hint="eastAsia" w:ascii="宋体" w:hAnsi="宋体" w:eastAsia="宋体" w:cs="宋体"/>
          <w:b/>
          <w:bCs/>
          <w:color w:val="auto"/>
          <w:highlight w:val="none"/>
        </w:rPr>
      </w:pPr>
      <w:bookmarkStart w:id="2360" w:name="_Toc32030"/>
      <w:bookmarkStart w:id="2361" w:name="_Toc2274"/>
      <w:r>
        <w:rPr>
          <w:rFonts w:hint="eastAsia" w:ascii="宋体" w:hAnsi="宋体" w:eastAsia="宋体" w:cs="宋体"/>
          <w:b/>
          <w:bCs/>
          <w:color w:val="auto"/>
          <w:kern w:val="44"/>
          <w:sz w:val="32"/>
          <w:szCs w:val="32"/>
          <w:highlight w:val="none"/>
        </w:rPr>
        <w:t xml:space="preserve">第六章  </w:t>
      </w:r>
      <w:bookmarkEnd w:id="147"/>
      <w:bookmarkEnd w:id="148"/>
      <w:bookmarkStart w:id="2362" w:name="_Toc13185"/>
      <w:r>
        <w:rPr>
          <w:rFonts w:hint="eastAsia" w:ascii="宋体" w:hAnsi="宋体" w:eastAsia="宋体" w:cs="宋体"/>
          <w:b/>
          <w:bCs/>
          <w:color w:val="auto"/>
          <w:sz w:val="32"/>
          <w:szCs w:val="32"/>
          <w:highlight w:val="none"/>
        </w:rPr>
        <w:t>响应文件（格式）</w:t>
      </w:r>
      <w:bookmarkEnd w:id="2360"/>
      <w:bookmarkEnd w:id="2361"/>
      <w:bookmarkEnd w:id="2362"/>
    </w:p>
    <w:p w14:paraId="78545847">
      <w:pPr>
        <w:rPr>
          <w:rFonts w:hint="eastAsia" w:ascii="宋体" w:hAnsi="宋体" w:eastAsia="宋体" w:cs="宋体"/>
          <w:color w:val="auto"/>
          <w:highlight w:val="none"/>
        </w:rPr>
      </w:pPr>
    </w:p>
    <w:p w14:paraId="07F5241F">
      <w:pPr>
        <w:pStyle w:val="14"/>
        <w:jc w:val="both"/>
        <w:rPr>
          <w:rFonts w:hint="eastAsia" w:ascii="宋体" w:hAnsi="宋体" w:eastAsia="宋体" w:cs="宋体"/>
          <w:b/>
          <w:color w:val="auto"/>
          <w:sz w:val="32"/>
          <w:highlight w:val="none"/>
          <w:lang w:eastAsia="zh-CN"/>
        </w:rPr>
      </w:pPr>
      <w:bookmarkStart w:id="2363" w:name="_Toc21496"/>
      <w:bookmarkStart w:id="2364" w:name="_Toc18351"/>
      <w:bookmarkStart w:id="2365" w:name="_Toc497927069"/>
      <w:r>
        <w:rPr>
          <w:rFonts w:hint="eastAsia" w:ascii="宋体" w:hAnsi="宋体" w:eastAsia="宋体" w:cs="宋体"/>
          <w:b/>
          <w:color w:val="auto"/>
          <w:sz w:val="32"/>
          <w:highlight w:val="none"/>
          <w:lang w:eastAsia="zh-CN"/>
        </w:rPr>
        <w:t>一、响应文件标记</w:t>
      </w:r>
      <w:bookmarkEnd w:id="2363"/>
      <w:bookmarkEnd w:id="2364"/>
      <w:bookmarkEnd w:id="2365"/>
    </w:p>
    <w:p w14:paraId="68706B62">
      <w:pPr>
        <w:adjustRightInd w:val="0"/>
        <w:snapToGrid w:val="0"/>
        <w:rPr>
          <w:rFonts w:hint="eastAsia" w:ascii="宋体" w:hAnsi="宋体" w:eastAsia="宋体" w:cs="宋体"/>
          <w:b/>
          <w:color w:val="auto"/>
          <w:sz w:val="44"/>
          <w:szCs w:val="44"/>
          <w:highlight w:val="none"/>
        </w:rPr>
      </w:pPr>
    </w:p>
    <w:p w14:paraId="17FE6CEC">
      <w:pPr>
        <w:pStyle w:val="32"/>
        <w:rPr>
          <w:rFonts w:hint="eastAsia" w:ascii="宋体" w:hAnsi="宋体" w:eastAsia="宋体" w:cs="宋体"/>
          <w:color w:val="auto"/>
          <w:highlight w:val="none"/>
        </w:rPr>
      </w:pPr>
    </w:p>
    <w:p w14:paraId="78CC67B6">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253BE24C">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14:paraId="37B06442">
      <w:pPr>
        <w:snapToGrid w:val="0"/>
        <w:spacing w:before="156" w:beforeLines="50" w:after="50"/>
        <w:ind w:firstLine="422" w:firstLineChars="150"/>
        <w:rPr>
          <w:rFonts w:hint="eastAsia" w:ascii="宋体" w:hAnsi="宋体" w:eastAsia="宋体" w:cs="宋体"/>
          <w:b/>
          <w:color w:val="auto"/>
          <w:sz w:val="28"/>
          <w:szCs w:val="28"/>
          <w:highlight w:val="none"/>
        </w:rPr>
      </w:pPr>
    </w:p>
    <w:p w14:paraId="2CA0AD95">
      <w:pPr>
        <w:snapToGrid w:val="0"/>
        <w:spacing w:before="156" w:beforeLines="50" w:after="50"/>
        <w:ind w:firstLine="422" w:firstLineChars="150"/>
        <w:rPr>
          <w:rFonts w:hint="eastAsia" w:ascii="宋体" w:hAnsi="宋体" w:eastAsia="宋体" w:cs="宋体"/>
          <w:b/>
          <w:color w:val="auto"/>
          <w:sz w:val="28"/>
          <w:szCs w:val="28"/>
          <w:highlight w:val="none"/>
        </w:rPr>
      </w:pPr>
    </w:p>
    <w:p w14:paraId="7137E2AC">
      <w:pPr>
        <w:snapToGrid w:val="0"/>
        <w:spacing w:before="156" w:beforeLines="50" w:after="50"/>
        <w:ind w:left="4317" w:leftChars="1330" w:hanging="1524" w:hangingChars="542"/>
        <w:rPr>
          <w:rFonts w:hint="eastAsia" w:ascii="宋体" w:hAnsi="宋体" w:eastAsia="宋体" w:cs="宋体"/>
          <w:b/>
          <w:bCs w:val="0"/>
          <w:color w:val="auto"/>
          <w:sz w:val="28"/>
          <w:szCs w:val="28"/>
          <w:highlight w:val="none"/>
          <w:u w:val="single"/>
          <w:lang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18"/>
          <w:szCs w:val="18"/>
          <w:highlight w:val="none"/>
        </w:rPr>
        <w:t xml:space="preserve">  </w:t>
      </w:r>
    </w:p>
    <w:p w14:paraId="5071E9FB">
      <w:pPr>
        <w:snapToGrid w:val="0"/>
        <w:spacing w:before="156" w:beforeLines="50" w:after="50"/>
        <w:ind w:firstLine="2704" w:firstLineChars="962"/>
        <w:rPr>
          <w:rFonts w:hint="eastAsia" w:ascii="宋体" w:hAnsi="宋体" w:eastAsia="宋体" w:cs="宋体"/>
          <w:b/>
          <w:bCs w:val="0"/>
          <w:color w:val="auto"/>
          <w:sz w:val="28"/>
          <w:szCs w:val="28"/>
          <w:highlight w:val="none"/>
        </w:rPr>
      </w:pPr>
    </w:p>
    <w:p w14:paraId="5AF1676D">
      <w:pPr>
        <w:snapToGrid w:val="0"/>
        <w:spacing w:before="156" w:beforeLines="50" w:after="50"/>
        <w:ind w:firstLine="2704" w:firstLineChars="962"/>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u w:val="single"/>
          <w:lang w:val="en-US" w:eastAsia="zh-CN"/>
        </w:rPr>
        <w:t xml:space="preserve">                       </w:t>
      </w:r>
    </w:p>
    <w:p w14:paraId="2E476E0F">
      <w:pPr>
        <w:rPr>
          <w:rFonts w:hint="eastAsia" w:ascii="宋体" w:hAnsi="宋体" w:eastAsia="宋体" w:cs="宋体"/>
          <w:b/>
          <w:color w:val="auto"/>
          <w:highlight w:val="none"/>
        </w:rPr>
      </w:pPr>
    </w:p>
    <w:p w14:paraId="736447D5">
      <w:pPr>
        <w:spacing w:line="400" w:lineRule="exact"/>
        <w:ind w:firstLine="2704" w:firstLineChars="962"/>
        <w:rPr>
          <w:rFonts w:hint="eastAsia" w:ascii="宋体" w:hAnsi="宋体" w:eastAsia="宋体" w:cs="宋体"/>
          <w:b/>
          <w:color w:val="auto"/>
          <w:sz w:val="28"/>
          <w:szCs w:val="28"/>
          <w:highlight w:val="none"/>
        </w:rPr>
      </w:pPr>
    </w:p>
    <w:p w14:paraId="2AC22697">
      <w:pPr>
        <w:pStyle w:val="32"/>
        <w:rPr>
          <w:rFonts w:hint="eastAsia" w:ascii="宋体" w:hAnsi="宋体" w:eastAsia="宋体" w:cs="宋体"/>
          <w:b/>
          <w:color w:val="auto"/>
          <w:sz w:val="28"/>
          <w:szCs w:val="28"/>
          <w:highlight w:val="none"/>
        </w:rPr>
      </w:pPr>
    </w:p>
    <w:p w14:paraId="4358BBF5">
      <w:pPr>
        <w:pStyle w:val="32"/>
        <w:rPr>
          <w:rFonts w:hint="eastAsia" w:ascii="宋体" w:hAnsi="宋体" w:eastAsia="宋体" w:cs="宋体"/>
          <w:b/>
          <w:color w:val="auto"/>
          <w:sz w:val="28"/>
          <w:szCs w:val="28"/>
          <w:highlight w:val="none"/>
        </w:rPr>
      </w:pPr>
    </w:p>
    <w:p w14:paraId="196B55BC">
      <w:pPr>
        <w:pStyle w:val="32"/>
        <w:rPr>
          <w:rFonts w:hint="eastAsia" w:ascii="宋体" w:hAnsi="宋体" w:eastAsia="宋体" w:cs="宋体"/>
          <w:b/>
          <w:color w:val="auto"/>
          <w:sz w:val="28"/>
          <w:szCs w:val="28"/>
          <w:highlight w:val="none"/>
        </w:rPr>
      </w:pPr>
    </w:p>
    <w:p w14:paraId="7BD91753">
      <w:pPr>
        <w:snapToGrid w:val="0"/>
        <w:spacing w:before="156" w:beforeLines="50" w:after="50"/>
        <w:ind w:firstLine="562" w:firstLineChars="2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 xml:space="preserve">广西凯胜建设项目管理咨询有限公司 </w:t>
      </w:r>
      <w:r>
        <w:rPr>
          <w:rFonts w:hint="eastAsia" w:ascii="宋体" w:hAnsi="宋体" w:eastAsia="宋体" w:cs="宋体"/>
          <w:b/>
          <w:color w:val="auto"/>
          <w:sz w:val="28"/>
          <w:szCs w:val="28"/>
          <w:highlight w:val="none"/>
          <w:u w:val="single"/>
        </w:rPr>
        <w:t xml:space="preserve">  </w:t>
      </w:r>
    </w:p>
    <w:p w14:paraId="546715D8">
      <w:pPr>
        <w:pStyle w:val="7"/>
        <w:rPr>
          <w:rFonts w:hint="eastAsia"/>
          <w:color w:val="auto"/>
          <w:highlight w:val="none"/>
        </w:rPr>
      </w:pPr>
    </w:p>
    <w:p w14:paraId="44C7ED07">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bookmarkStart w:id="2366" w:name="_Toc20319_WPSOffice_Level2"/>
      <w:bookmarkStart w:id="2367" w:name="_Toc4932_WPSOffice_Level2"/>
      <w:r>
        <w:rPr>
          <w:rFonts w:hint="eastAsia" w:ascii="宋体" w:hAnsi="宋体" w:eastAsia="宋体" w:cs="宋体"/>
          <w:bCs/>
          <w:color w:val="auto"/>
          <w:sz w:val="24"/>
          <w:szCs w:val="24"/>
          <w:highlight w:val="none"/>
          <w:lang w:eastAsia="zh-CN"/>
        </w:rPr>
        <w:t>磋商供应商</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公章</w:t>
      </w:r>
      <w:r>
        <w:rPr>
          <w:rFonts w:hint="eastAsia" w:ascii="宋体" w:hAnsi="宋体" w:eastAsia="宋体" w:cs="宋体"/>
          <w:bCs/>
          <w:color w:val="auto"/>
          <w:sz w:val="24"/>
          <w:szCs w:val="24"/>
          <w:highlight w:val="none"/>
          <w:lang w:val="en-US" w:eastAsia="zh-CN"/>
        </w:rPr>
        <w:t>(CA签章)</w:t>
      </w:r>
      <w:r>
        <w:rPr>
          <w:rFonts w:hint="eastAsia" w:ascii="宋体" w:hAnsi="宋体" w:eastAsia="宋体" w:cs="宋体"/>
          <w:bCs/>
          <w:color w:val="auto"/>
          <w:sz w:val="24"/>
          <w:szCs w:val="24"/>
          <w:highlight w:val="none"/>
        </w:rPr>
        <w:t>、自然人除外</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bookmarkEnd w:id="2366"/>
      <w:bookmarkEnd w:id="2367"/>
      <w:r>
        <w:rPr>
          <w:rFonts w:hint="eastAsia" w:ascii="宋体" w:hAnsi="宋体" w:eastAsia="宋体" w:cs="宋体"/>
          <w:bCs/>
          <w:color w:val="auto"/>
          <w:sz w:val="24"/>
          <w:szCs w:val="24"/>
          <w:highlight w:val="none"/>
          <w:u w:val="single"/>
        </w:rPr>
        <w:t xml:space="preserve">       </w:t>
      </w:r>
    </w:p>
    <w:p w14:paraId="77556007">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 w:val="24"/>
          <w:szCs w:val="24"/>
          <w:highlight w:val="none"/>
          <w:lang w:val="en-US" w:eastAsia="zh-CN"/>
        </w:rPr>
      </w:pPr>
      <w:bookmarkStart w:id="2368" w:name="_Toc9622_WPSOffice_Level2"/>
      <w:bookmarkStart w:id="2369" w:name="_Toc32056_WPSOffice_Level2"/>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en-US" w:eastAsia="zh-CN"/>
        </w:rPr>
        <w:t>(CA签章)]</w:t>
      </w:r>
    </w:p>
    <w:p w14:paraId="2151E297">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（属自然人的应在签名处加盖大拇指指印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个人CA签章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FB9170A">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bookmarkEnd w:id="2368"/>
      <w:bookmarkEnd w:id="2369"/>
      <w:r>
        <w:rPr>
          <w:rFonts w:hint="eastAsia" w:ascii="宋体" w:hAnsi="宋体" w:eastAsia="宋体" w:cs="宋体"/>
          <w:bCs/>
          <w:color w:val="auto"/>
          <w:sz w:val="24"/>
          <w:szCs w:val="24"/>
          <w:highlight w:val="none"/>
          <w:u w:val="single"/>
        </w:rPr>
        <w:t xml:space="preserve">                                                </w:t>
      </w:r>
    </w:p>
    <w:p w14:paraId="60EF3AB0">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bookmarkStart w:id="2370" w:name="_Toc15933_WPSOffice_Level2"/>
      <w:bookmarkStart w:id="2371" w:name="_Toc26465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2370"/>
      <w:bookmarkEnd w:id="2371"/>
    </w:p>
    <w:p w14:paraId="679E677D">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49F8A85B">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223C81B5">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78696560">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7BE1DD93">
      <w:pPr>
        <w:numPr>
          <w:ilvl w:val="0"/>
          <w:numId w:val="13"/>
        </w:numPr>
        <w:rPr>
          <w:rFonts w:hint="eastAsia" w:ascii="宋体" w:hAnsi="宋体" w:eastAsia="宋体" w:cs="宋体"/>
          <w:b/>
          <w:bCs/>
          <w:color w:val="auto"/>
          <w:sz w:val="32"/>
          <w:szCs w:val="32"/>
          <w:highlight w:val="none"/>
        </w:rPr>
      </w:pPr>
      <w:bookmarkStart w:id="2372" w:name="_Toc21615"/>
      <w:bookmarkStart w:id="2373" w:name="_Toc19430"/>
      <w:bookmarkStart w:id="2374" w:name="_Toc497927070"/>
      <w:r>
        <w:rPr>
          <w:rFonts w:hint="eastAsia" w:ascii="宋体" w:hAnsi="宋体" w:eastAsia="宋体" w:cs="宋体"/>
          <w:b/>
          <w:bCs/>
          <w:color w:val="auto"/>
          <w:sz w:val="32"/>
          <w:szCs w:val="32"/>
          <w:highlight w:val="none"/>
        </w:rPr>
        <w:t>响应文件组成</w:t>
      </w:r>
      <w:bookmarkEnd w:id="2372"/>
      <w:bookmarkEnd w:id="2373"/>
      <w:bookmarkEnd w:id="2374"/>
    </w:p>
    <w:p w14:paraId="3F0E0949">
      <w:pPr>
        <w:pStyle w:val="11"/>
        <w:numPr>
          <w:ilvl w:val="0"/>
          <w:numId w:val="0"/>
        </w:numPr>
        <w:rPr>
          <w:rFonts w:hint="eastAsia" w:ascii="宋体" w:hAnsi="宋体" w:eastAsia="宋体" w:cs="宋体"/>
          <w:color w:val="auto"/>
          <w:highlight w:val="none"/>
        </w:rPr>
      </w:pPr>
    </w:p>
    <w:p w14:paraId="52D88783">
      <w:pPr>
        <w:pStyle w:val="11"/>
        <w:numPr>
          <w:ilvl w:val="0"/>
          <w:numId w:val="0"/>
        </w:numPr>
        <w:rPr>
          <w:rFonts w:hint="eastAsia" w:ascii="宋体" w:hAnsi="宋体" w:eastAsia="宋体" w:cs="宋体"/>
          <w:color w:val="auto"/>
          <w:highlight w:val="none"/>
        </w:rPr>
      </w:pPr>
    </w:p>
    <w:p w14:paraId="3C8B6894">
      <w:pPr>
        <w:numPr>
          <w:ilvl w:val="0"/>
          <w:numId w:val="0"/>
        </w:numPr>
        <w:spacing w:line="400" w:lineRule="exact"/>
        <w:rPr>
          <w:rFonts w:hint="eastAsia" w:ascii="宋体" w:hAnsi="宋体" w:eastAsia="宋体" w:cs="宋体"/>
          <w:b/>
          <w:bCs/>
          <w:color w:val="auto"/>
          <w:sz w:val="28"/>
          <w:szCs w:val="28"/>
          <w:highlight w:val="none"/>
        </w:rPr>
      </w:pPr>
    </w:p>
    <w:p w14:paraId="31EF0079">
      <w:pPr>
        <w:pStyle w:val="11"/>
        <w:rPr>
          <w:rFonts w:hint="eastAsia" w:ascii="宋体" w:hAnsi="宋体" w:eastAsia="宋体" w:cs="宋体"/>
          <w:b/>
          <w:bCs/>
          <w:color w:val="auto"/>
          <w:sz w:val="28"/>
          <w:szCs w:val="28"/>
          <w:highlight w:val="none"/>
          <w:lang w:eastAsia="zh-CN"/>
        </w:rPr>
      </w:pPr>
    </w:p>
    <w:p w14:paraId="1A25C67D">
      <w:pPr>
        <w:numPr>
          <w:ilvl w:val="0"/>
          <w:numId w:val="8"/>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5D913A65">
      <w:pPr>
        <w:pStyle w:val="11"/>
        <w:rPr>
          <w:rFonts w:hint="eastAsia" w:ascii="宋体" w:hAnsi="宋体" w:eastAsia="宋体" w:cs="宋体"/>
          <w:b/>
          <w:bCs/>
          <w:color w:val="auto"/>
          <w:sz w:val="28"/>
          <w:szCs w:val="28"/>
          <w:highlight w:val="none"/>
        </w:rPr>
      </w:pPr>
    </w:p>
    <w:p w14:paraId="720219D3">
      <w:pPr>
        <w:pStyle w:val="11"/>
        <w:rPr>
          <w:rFonts w:hint="eastAsia" w:ascii="宋体" w:hAnsi="宋体" w:eastAsia="宋体" w:cs="宋体"/>
          <w:b/>
          <w:bCs/>
          <w:color w:val="auto"/>
          <w:sz w:val="28"/>
          <w:szCs w:val="28"/>
          <w:highlight w:val="none"/>
        </w:rPr>
      </w:pPr>
    </w:p>
    <w:p w14:paraId="7EDE7060">
      <w:pPr>
        <w:numPr>
          <w:ilvl w:val="0"/>
          <w:numId w:val="8"/>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4EFF7E98">
      <w:pPr>
        <w:pStyle w:val="11"/>
        <w:rPr>
          <w:rFonts w:hint="eastAsia" w:ascii="宋体" w:hAnsi="宋体" w:eastAsia="宋体" w:cs="宋体"/>
          <w:b/>
          <w:bCs/>
          <w:color w:val="auto"/>
          <w:sz w:val="28"/>
          <w:szCs w:val="28"/>
          <w:highlight w:val="none"/>
        </w:rPr>
      </w:pPr>
    </w:p>
    <w:p w14:paraId="4831B246">
      <w:pPr>
        <w:pStyle w:val="11"/>
        <w:rPr>
          <w:rFonts w:hint="eastAsia" w:ascii="宋体" w:hAnsi="宋体" w:eastAsia="宋体" w:cs="宋体"/>
          <w:b/>
          <w:bCs/>
          <w:color w:val="auto"/>
          <w:sz w:val="28"/>
          <w:szCs w:val="28"/>
          <w:highlight w:val="none"/>
        </w:rPr>
      </w:pPr>
    </w:p>
    <w:p w14:paraId="592A0EEE">
      <w:pPr>
        <w:numPr>
          <w:ilvl w:val="0"/>
          <w:numId w:val="8"/>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49DBCEAE">
      <w:pPr>
        <w:pStyle w:val="32"/>
        <w:rPr>
          <w:rFonts w:hint="eastAsia" w:ascii="宋体" w:hAnsi="宋体" w:eastAsia="宋体" w:cs="宋体"/>
          <w:color w:val="auto"/>
          <w:highlight w:val="none"/>
        </w:rPr>
      </w:pPr>
    </w:p>
    <w:p w14:paraId="3D5710D6">
      <w:pPr>
        <w:tabs>
          <w:tab w:val="left" w:pos="5040"/>
        </w:tabs>
        <w:spacing w:line="400" w:lineRule="exact"/>
        <w:rPr>
          <w:rFonts w:hint="eastAsia" w:ascii="宋体" w:hAnsi="宋体" w:eastAsia="宋体" w:cs="宋体"/>
          <w:color w:val="auto"/>
          <w:szCs w:val="21"/>
          <w:highlight w:val="none"/>
        </w:rPr>
      </w:pPr>
    </w:p>
    <w:p w14:paraId="782E0FC3">
      <w:pPr>
        <w:pStyle w:val="11"/>
        <w:rPr>
          <w:rFonts w:hint="eastAsia" w:ascii="宋体" w:hAnsi="宋体" w:eastAsia="宋体" w:cs="宋体"/>
          <w:color w:val="auto"/>
          <w:szCs w:val="21"/>
          <w:highlight w:val="none"/>
        </w:rPr>
      </w:pPr>
    </w:p>
    <w:p w14:paraId="41A38ACC">
      <w:pPr>
        <w:pStyle w:val="11"/>
        <w:rPr>
          <w:rFonts w:hint="eastAsia" w:ascii="宋体" w:hAnsi="宋体" w:eastAsia="宋体" w:cs="宋体"/>
          <w:color w:val="auto"/>
          <w:szCs w:val="21"/>
          <w:highlight w:val="none"/>
        </w:rPr>
      </w:pPr>
    </w:p>
    <w:p w14:paraId="277D6333">
      <w:pPr>
        <w:pStyle w:val="11"/>
        <w:rPr>
          <w:rFonts w:hint="eastAsia" w:ascii="宋体" w:hAnsi="宋体" w:eastAsia="宋体" w:cs="宋体"/>
          <w:color w:val="auto"/>
          <w:szCs w:val="21"/>
          <w:highlight w:val="none"/>
        </w:rPr>
      </w:pPr>
    </w:p>
    <w:p w14:paraId="2848E792">
      <w:pPr>
        <w:pStyle w:val="11"/>
        <w:rPr>
          <w:rFonts w:hint="eastAsia" w:ascii="宋体" w:hAnsi="宋体" w:eastAsia="宋体" w:cs="宋体"/>
          <w:color w:val="auto"/>
          <w:szCs w:val="21"/>
          <w:highlight w:val="none"/>
        </w:rPr>
      </w:pPr>
    </w:p>
    <w:p w14:paraId="2A5D8DC1">
      <w:pPr>
        <w:rPr>
          <w:rFonts w:hint="eastAsia" w:ascii="宋体" w:hAnsi="宋体" w:eastAsia="宋体" w:cs="宋体"/>
          <w:color w:val="auto"/>
          <w:szCs w:val="21"/>
          <w:highlight w:val="none"/>
        </w:rPr>
      </w:pPr>
    </w:p>
    <w:p w14:paraId="09D346BF">
      <w:pPr>
        <w:pStyle w:val="32"/>
        <w:rPr>
          <w:rFonts w:hint="eastAsia" w:ascii="宋体" w:hAnsi="宋体" w:eastAsia="宋体" w:cs="宋体"/>
          <w:color w:val="auto"/>
          <w:szCs w:val="21"/>
          <w:highlight w:val="none"/>
        </w:rPr>
      </w:pPr>
    </w:p>
    <w:p w14:paraId="290ECA66">
      <w:pPr>
        <w:pStyle w:val="32"/>
        <w:rPr>
          <w:rFonts w:hint="eastAsia" w:ascii="宋体" w:hAnsi="宋体" w:eastAsia="宋体" w:cs="宋体"/>
          <w:color w:val="auto"/>
          <w:szCs w:val="21"/>
          <w:highlight w:val="none"/>
        </w:rPr>
      </w:pPr>
    </w:p>
    <w:p w14:paraId="35214495">
      <w:pPr>
        <w:pStyle w:val="32"/>
        <w:rPr>
          <w:rFonts w:hint="eastAsia" w:ascii="宋体" w:hAnsi="宋体" w:eastAsia="宋体" w:cs="宋体"/>
          <w:color w:val="auto"/>
          <w:szCs w:val="21"/>
          <w:highlight w:val="none"/>
        </w:rPr>
      </w:pPr>
    </w:p>
    <w:p w14:paraId="755502A5">
      <w:pPr>
        <w:pStyle w:val="32"/>
        <w:rPr>
          <w:rFonts w:hint="eastAsia" w:ascii="宋体" w:hAnsi="宋体" w:eastAsia="宋体" w:cs="宋体"/>
          <w:color w:val="auto"/>
          <w:szCs w:val="21"/>
          <w:highlight w:val="none"/>
        </w:rPr>
      </w:pPr>
    </w:p>
    <w:p w14:paraId="128318D6">
      <w:pPr>
        <w:pStyle w:val="32"/>
        <w:rPr>
          <w:rFonts w:hint="eastAsia" w:ascii="宋体" w:hAnsi="宋体" w:eastAsia="宋体" w:cs="宋体"/>
          <w:color w:val="auto"/>
          <w:szCs w:val="21"/>
          <w:highlight w:val="none"/>
        </w:rPr>
      </w:pPr>
    </w:p>
    <w:p w14:paraId="4CECF4ED">
      <w:pPr>
        <w:pStyle w:val="32"/>
        <w:rPr>
          <w:rFonts w:hint="eastAsia" w:ascii="宋体" w:hAnsi="宋体" w:eastAsia="宋体" w:cs="宋体"/>
          <w:color w:val="auto"/>
          <w:szCs w:val="21"/>
          <w:highlight w:val="none"/>
        </w:rPr>
      </w:pPr>
    </w:p>
    <w:p w14:paraId="4641547D">
      <w:pPr>
        <w:pStyle w:val="32"/>
        <w:rPr>
          <w:rFonts w:hint="eastAsia" w:ascii="宋体" w:hAnsi="宋体" w:eastAsia="宋体" w:cs="宋体"/>
          <w:color w:val="auto"/>
          <w:szCs w:val="21"/>
          <w:highlight w:val="none"/>
        </w:rPr>
      </w:pPr>
    </w:p>
    <w:p w14:paraId="2B33CA79">
      <w:pPr>
        <w:pStyle w:val="32"/>
        <w:rPr>
          <w:rFonts w:hint="eastAsia" w:ascii="宋体" w:hAnsi="宋体" w:eastAsia="宋体" w:cs="宋体"/>
          <w:color w:val="auto"/>
          <w:szCs w:val="21"/>
          <w:highlight w:val="none"/>
        </w:rPr>
      </w:pPr>
    </w:p>
    <w:p w14:paraId="2EFBC771">
      <w:pPr>
        <w:pStyle w:val="32"/>
        <w:rPr>
          <w:rFonts w:hint="eastAsia" w:ascii="宋体" w:hAnsi="宋体" w:eastAsia="宋体" w:cs="宋体"/>
          <w:color w:val="auto"/>
          <w:szCs w:val="21"/>
          <w:highlight w:val="none"/>
        </w:rPr>
      </w:pPr>
    </w:p>
    <w:p w14:paraId="04CB94DB">
      <w:pPr>
        <w:pStyle w:val="32"/>
        <w:rPr>
          <w:rFonts w:hint="eastAsia" w:ascii="宋体" w:hAnsi="宋体" w:eastAsia="宋体" w:cs="宋体"/>
          <w:color w:val="auto"/>
          <w:szCs w:val="21"/>
          <w:highlight w:val="none"/>
        </w:rPr>
      </w:pPr>
    </w:p>
    <w:p w14:paraId="236AD093">
      <w:pPr>
        <w:pStyle w:val="32"/>
        <w:rPr>
          <w:rFonts w:hint="eastAsia" w:ascii="宋体" w:hAnsi="宋体" w:eastAsia="宋体" w:cs="宋体"/>
          <w:color w:val="auto"/>
          <w:szCs w:val="21"/>
          <w:highlight w:val="none"/>
        </w:rPr>
      </w:pPr>
    </w:p>
    <w:p w14:paraId="686408CB">
      <w:pPr>
        <w:pStyle w:val="32"/>
        <w:rPr>
          <w:rFonts w:hint="eastAsia" w:ascii="宋体" w:hAnsi="宋体" w:eastAsia="宋体" w:cs="宋体"/>
          <w:color w:val="auto"/>
          <w:szCs w:val="21"/>
          <w:highlight w:val="none"/>
        </w:rPr>
      </w:pPr>
    </w:p>
    <w:p w14:paraId="1F65245D">
      <w:pPr>
        <w:pStyle w:val="32"/>
        <w:rPr>
          <w:rFonts w:hint="eastAsia" w:ascii="宋体" w:hAnsi="宋体" w:eastAsia="宋体" w:cs="宋体"/>
          <w:color w:val="auto"/>
          <w:szCs w:val="21"/>
          <w:highlight w:val="none"/>
        </w:rPr>
      </w:pPr>
    </w:p>
    <w:p w14:paraId="07B34096">
      <w:pPr>
        <w:pStyle w:val="32"/>
        <w:rPr>
          <w:rFonts w:hint="eastAsia" w:ascii="宋体" w:hAnsi="宋体" w:eastAsia="宋体" w:cs="宋体"/>
          <w:color w:val="auto"/>
          <w:szCs w:val="21"/>
          <w:highlight w:val="none"/>
        </w:rPr>
      </w:pPr>
    </w:p>
    <w:p w14:paraId="495C6361">
      <w:pPr>
        <w:pStyle w:val="32"/>
        <w:rPr>
          <w:rFonts w:hint="eastAsia" w:ascii="宋体" w:hAnsi="宋体" w:eastAsia="宋体" w:cs="宋体"/>
          <w:color w:val="auto"/>
          <w:szCs w:val="21"/>
          <w:highlight w:val="none"/>
        </w:rPr>
      </w:pPr>
    </w:p>
    <w:p w14:paraId="583B4944">
      <w:pPr>
        <w:pStyle w:val="32"/>
        <w:rPr>
          <w:rFonts w:hint="eastAsia" w:ascii="宋体" w:hAnsi="宋体" w:eastAsia="宋体" w:cs="宋体"/>
          <w:color w:val="auto"/>
          <w:szCs w:val="21"/>
          <w:highlight w:val="none"/>
        </w:rPr>
      </w:pPr>
    </w:p>
    <w:p w14:paraId="38CBFB7B">
      <w:pPr>
        <w:pStyle w:val="32"/>
        <w:rPr>
          <w:rFonts w:hint="eastAsia" w:ascii="宋体" w:hAnsi="宋体" w:eastAsia="宋体" w:cs="宋体"/>
          <w:color w:val="auto"/>
          <w:szCs w:val="21"/>
          <w:highlight w:val="none"/>
        </w:rPr>
      </w:pPr>
    </w:p>
    <w:p w14:paraId="30365872">
      <w:pPr>
        <w:pStyle w:val="32"/>
        <w:rPr>
          <w:rFonts w:hint="eastAsia" w:ascii="宋体" w:hAnsi="宋体" w:eastAsia="宋体" w:cs="宋体"/>
          <w:color w:val="auto"/>
          <w:szCs w:val="21"/>
          <w:highlight w:val="none"/>
        </w:rPr>
      </w:pPr>
    </w:p>
    <w:p w14:paraId="1B7C8B4F">
      <w:pPr>
        <w:pStyle w:val="7"/>
        <w:numPr>
          <w:ilvl w:val="0"/>
          <w:numId w:val="0"/>
        </w:numPr>
        <w:jc w:val="center"/>
        <w:rPr>
          <w:rFonts w:hint="eastAsia" w:ascii="宋体" w:hAnsi="宋体" w:eastAsia="宋体" w:cs="宋体"/>
          <w:color w:val="auto"/>
          <w:sz w:val="32"/>
          <w:szCs w:val="32"/>
          <w:highlight w:val="none"/>
          <w:lang w:eastAsia="zh-CN"/>
        </w:rPr>
      </w:pPr>
      <w:bookmarkStart w:id="2375" w:name="_Toc7185"/>
      <w:bookmarkStart w:id="2376" w:name="_Toc11067"/>
      <w:bookmarkStart w:id="2377" w:name="_Toc497927071"/>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2375"/>
      <w:bookmarkEnd w:id="2376"/>
      <w:bookmarkEnd w:id="2377"/>
      <w:r>
        <w:rPr>
          <w:rFonts w:hint="eastAsia" w:ascii="宋体" w:hAnsi="宋体" w:eastAsia="宋体" w:cs="宋体"/>
          <w:color w:val="auto"/>
          <w:sz w:val="32"/>
          <w:szCs w:val="32"/>
          <w:highlight w:val="none"/>
          <w:lang w:eastAsia="zh-CN"/>
        </w:rPr>
        <w:t>（根据所提供内容自行编写）</w:t>
      </w:r>
    </w:p>
    <w:p w14:paraId="1EE59C57">
      <w:pPr>
        <w:rPr>
          <w:rFonts w:hint="eastAsia" w:ascii="宋体" w:hAnsi="宋体" w:eastAsia="宋体" w:cs="宋体"/>
          <w:color w:val="auto"/>
          <w:highlight w:val="none"/>
        </w:rPr>
      </w:pPr>
    </w:p>
    <w:p w14:paraId="28ACEFA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1948D49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.供应商的授权委托书</w:t>
      </w:r>
      <w:r>
        <w:rPr>
          <w:rFonts w:hint="eastAsia" w:ascii="宋体" w:hAnsi="宋体" w:eastAsia="宋体" w:cs="宋体"/>
          <w:color w:val="auto"/>
          <w:sz w:val="21"/>
          <w:szCs w:val="21"/>
          <w:highlight w:val="none"/>
          <w:lang w:eastAsia="zh-CN"/>
        </w:rPr>
        <w:t>原件</w:t>
      </w:r>
      <w:r>
        <w:rPr>
          <w:rFonts w:hint="eastAsia" w:ascii="宋体" w:hAnsi="宋体" w:eastAsia="宋体" w:cs="宋体"/>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（委托代理时必须提供）。</w:t>
      </w:r>
      <w:r>
        <w:rPr>
          <w:rFonts w:hint="eastAsia" w:ascii="宋体" w:hAnsi="宋体" w:eastAsia="宋体" w:cs="宋体"/>
          <w:color w:val="auto"/>
          <w:sz w:val="21"/>
          <w:szCs w:val="21"/>
          <w:highlight w:val="none"/>
        </w:rPr>
        <w:t>除供应商为以下三种情形的：</w:t>
      </w:r>
    </w:p>
    <w:p w14:paraId="67E9CC5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如供应商为截标时间前60日以内成立的公司，可以提供供应商与委托代理人签订的劳动合同复印件代替社保证明复印件；</w:t>
      </w:r>
    </w:p>
    <w:p w14:paraId="4D1E82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76BE9C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1EA49770">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属</w:t>
      </w:r>
      <w:r>
        <w:rPr>
          <w:rFonts w:hint="eastAsia" w:ascii="宋体" w:hAnsi="宋体"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color w:val="auto"/>
          <w:sz w:val="21"/>
          <w:szCs w:val="21"/>
          <w:highlight w:val="none"/>
          <w:lang w:eastAsia="zh-CN"/>
        </w:rPr>
        <w:t>；</w:t>
      </w:r>
    </w:p>
    <w:p w14:paraId="6B4B3E88">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570B76AD">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供应商的法人或者其他组织营业执照等证明文件复印件</w:t>
      </w:r>
      <w:r>
        <w:rPr>
          <w:rFonts w:hint="eastAsia" w:ascii="宋体" w:hAnsi="宋体" w:eastAsia="宋体" w:cs="宋体"/>
          <w:b/>
          <w:bCs w:val="0"/>
          <w:color w:val="auto"/>
          <w:kern w:val="0"/>
          <w:szCs w:val="21"/>
          <w:highlight w:val="none"/>
        </w:rPr>
        <w:t>（必须提供，自然人除外）</w:t>
      </w:r>
      <w:r>
        <w:rPr>
          <w:rFonts w:hint="eastAsia" w:ascii="宋体" w:hAnsi="宋体" w:eastAsia="宋体" w:cs="宋体"/>
          <w:bCs/>
          <w:color w:val="auto"/>
          <w:kern w:val="0"/>
          <w:szCs w:val="21"/>
          <w:highlight w:val="none"/>
        </w:rPr>
        <w:t>；</w:t>
      </w:r>
    </w:p>
    <w:p w14:paraId="1B558B02">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14:paraId="03711CAB">
      <w:pPr>
        <w:numPr>
          <w:ilvl w:val="0"/>
          <w:numId w:val="0"/>
        </w:numPr>
        <w:spacing w:line="360" w:lineRule="auto"/>
        <w:ind w:leftChars="200"/>
        <w:rPr>
          <w:rFonts w:hint="eastAsia" w:ascii="宋体" w:hAnsi="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 w:val="21"/>
          <w:szCs w:val="21"/>
          <w:highlight w:val="none"/>
          <w:lang w:val="en-US" w:eastAsia="zh-CN"/>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rPr>
        <w:t>（必须提供其中一项）</w:t>
      </w:r>
      <w:r>
        <w:rPr>
          <w:rFonts w:hint="eastAsia" w:ascii="宋体" w:hAnsi="宋体" w:eastAsia="宋体" w:cs="宋体"/>
          <w:bCs/>
          <w:color w:val="auto"/>
          <w:kern w:val="0"/>
          <w:szCs w:val="21"/>
          <w:highlight w:val="none"/>
        </w:rPr>
        <w:t>；</w:t>
      </w:r>
    </w:p>
    <w:p w14:paraId="22468BD6">
      <w:pPr>
        <w:numPr>
          <w:ilvl w:val="0"/>
          <w:numId w:val="0"/>
        </w:numPr>
        <w:spacing w:line="360" w:lineRule="auto"/>
        <w:ind w:leftChars="200"/>
        <w:rPr>
          <w:rFonts w:hint="eastAsia" w:ascii="宋体" w:hAnsi="宋体" w:cs="宋体"/>
          <w:color w:val="auto"/>
          <w:sz w:val="21"/>
          <w:szCs w:val="21"/>
          <w:highlight w:val="none"/>
          <w:lang w:val="en-US" w:eastAsia="zh-CN"/>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供应商有效的安全生产许可证书复印件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14:paraId="69965AC4">
      <w:pPr>
        <w:numPr>
          <w:ilvl w:val="0"/>
          <w:numId w:val="0"/>
        </w:numPr>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cs="宋体"/>
          <w:bCs/>
          <w:color w:val="auto"/>
          <w:kern w:val="0"/>
          <w:szCs w:val="21"/>
          <w:highlight w:val="none"/>
          <w:lang w:eastAsia="zh-CN"/>
        </w:rPr>
        <w:t>供应商202</w:t>
      </w:r>
      <w:r>
        <w:rPr>
          <w:rFonts w:hint="eastAsia" w:ascii="宋体" w:hAnsi="宋体" w:cs="宋体"/>
          <w:bCs/>
          <w:color w:val="auto"/>
          <w:kern w:val="0"/>
          <w:szCs w:val="21"/>
          <w:highlight w:val="none"/>
          <w:lang w:val="en-US" w:eastAsia="zh-CN"/>
        </w:rPr>
        <w:t>3或2024年</w:t>
      </w:r>
      <w:r>
        <w:rPr>
          <w:rFonts w:hint="eastAsia" w:ascii="宋体" w:hAnsi="宋体" w:cs="宋体"/>
          <w:bCs/>
          <w:color w:val="auto"/>
          <w:kern w:val="0"/>
          <w:szCs w:val="21"/>
          <w:highlight w:val="none"/>
          <w:lang w:eastAsia="zh-CN"/>
        </w:rPr>
        <w:t>度财务状况报告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cs="宋体"/>
          <w:b/>
          <w:bCs/>
          <w:color w:val="auto"/>
          <w:szCs w:val="21"/>
          <w:highlight w:val="none"/>
          <w:lang w:eastAsia="zh-CN"/>
        </w:rPr>
        <w:t>，</w:t>
      </w:r>
      <w:r>
        <w:rPr>
          <w:rFonts w:ascii="宋体" w:hAnsi="宋体" w:cs="宋体"/>
          <w:b/>
          <w:bCs/>
          <w:color w:val="auto"/>
          <w:szCs w:val="21"/>
          <w:highlight w:val="none"/>
        </w:rPr>
        <w:t>可</w:t>
      </w:r>
      <w:r>
        <w:rPr>
          <w:rFonts w:hint="eastAsia" w:ascii="宋体" w:hAnsi="宋体" w:cs="宋体"/>
          <w:b/>
          <w:bCs/>
          <w:color w:val="auto"/>
          <w:szCs w:val="21"/>
          <w:highlight w:val="none"/>
          <w:lang w:eastAsia="zh-CN"/>
        </w:rPr>
        <w:t>以是磋商供应商</w:t>
      </w:r>
      <w:r>
        <w:rPr>
          <w:rFonts w:ascii="宋体" w:hAnsi="宋体" w:cs="宋体"/>
          <w:b/>
          <w:bCs/>
          <w:color w:val="auto"/>
          <w:szCs w:val="21"/>
          <w:highlight w:val="none"/>
        </w:rPr>
        <w:t>自行编制也可</w:t>
      </w:r>
      <w:r>
        <w:rPr>
          <w:rFonts w:hint="eastAsia" w:ascii="宋体" w:hAnsi="宋体" w:cs="宋体"/>
          <w:b/>
          <w:bCs/>
          <w:color w:val="auto"/>
          <w:szCs w:val="21"/>
          <w:highlight w:val="none"/>
          <w:lang w:eastAsia="zh-CN"/>
        </w:rPr>
        <w:t>是</w:t>
      </w:r>
      <w:r>
        <w:rPr>
          <w:rFonts w:ascii="宋体" w:hAnsi="宋体" w:cs="宋体"/>
          <w:b/>
          <w:bCs/>
          <w:color w:val="auto"/>
          <w:szCs w:val="21"/>
          <w:highlight w:val="none"/>
        </w:rPr>
        <w:t>通过</w:t>
      </w:r>
      <w:r>
        <w:rPr>
          <w:rFonts w:hint="eastAsia" w:ascii="宋体" w:hAnsi="宋体" w:cs="宋体"/>
          <w:b/>
          <w:bCs/>
          <w:color w:val="auto"/>
          <w:szCs w:val="21"/>
          <w:highlight w:val="none"/>
          <w:lang w:eastAsia="zh-CN"/>
        </w:rPr>
        <w:t>第三方</w:t>
      </w:r>
      <w:r>
        <w:rPr>
          <w:rFonts w:ascii="宋体" w:hAnsi="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p>
    <w:p w14:paraId="05F3ECD4">
      <w:pPr>
        <w:numPr>
          <w:ilvl w:val="0"/>
          <w:numId w:val="0"/>
        </w:num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9.供应商近半年内任意一个月或任一季度依法缴纳税收的证明材料[增值税缴纳发票(税收完税证明)或企业所得税完税证明或税务部门出具的免税证明]复印件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14:paraId="1DC69EA8">
      <w:pPr>
        <w:spacing w:line="440" w:lineRule="atLeast"/>
        <w:rPr>
          <w:rFonts w:hint="eastAsia" w:ascii="宋体" w:hAnsi="宋体" w:eastAsia="宋体" w:cs="宋体"/>
          <w:b/>
          <w:color w:val="auto"/>
          <w:sz w:val="28"/>
          <w:szCs w:val="28"/>
          <w:highlight w:val="none"/>
          <w:lang w:val="en-US" w:eastAsia="zh-CN"/>
        </w:rPr>
      </w:pPr>
    </w:p>
    <w:p w14:paraId="3ED7229A">
      <w:pPr>
        <w:spacing w:line="440" w:lineRule="atLeast"/>
        <w:rPr>
          <w:rFonts w:hint="eastAsia" w:ascii="宋体" w:hAnsi="宋体" w:eastAsia="宋体" w:cs="宋体"/>
          <w:b/>
          <w:color w:val="auto"/>
          <w:sz w:val="28"/>
          <w:szCs w:val="28"/>
          <w:highlight w:val="none"/>
          <w:lang w:val="en-US" w:eastAsia="zh-CN"/>
        </w:rPr>
      </w:pPr>
    </w:p>
    <w:p w14:paraId="6F9C5381">
      <w:pPr>
        <w:spacing w:line="440" w:lineRule="atLeast"/>
        <w:rPr>
          <w:rFonts w:hint="eastAsia" w:ascii="宋体" w:hAnsi="宋体" w:eastAsia="宋体" w:cs="宋体"/>
          <w:b/>
          <w:color w:val="auto"/>
          <w:sz w:val="28"/>
          <w:szCs w:val="28"/>
          <w:highlight w:val="none"/>
          <w:lang w:val="en-US" w:eastAsia="zh-CN"/>
        </w:rPr>
      </w:pPr>
    </w:p>
    <w:p w14:paraId="2143FD57">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A73E0AE">
      <w:pPr>
        <w:numPr>
          <w:ilvl w:val="0"/>
          <w:numId w:val="14"/>
        </w:num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供应商相应的法定代表人、负责人、自然人身份证正反两面复印件（必须提供）；</w:t>
      </w:r>
    </w:p>
    <w:p w14:paraId="45936465">
      <w:pPr>
        <w:pStyle w:val="5"/>
        <w:numPr>
          <w:ilvl w:val="0"/>
          <w:numId w:val="0"/>
        </w:numPr>
        <w:rPr>
          <w:rFonts w:hint="eastAsia"/>
          <w:color w:val="auto"/>
          <w:highlight w:val="none"/>
        </w:rPr>
      </w:pPr>
    </w:p>
    <w:p w14:paraId="44DA7E30">
      <w:pPr>
        <w:rPr>
          <w:rFonts w:hint="eastAsia"/>
          <w:color w:val="auto"/>
          <w:highlight w:val="none"/>
        </w:rPr>
      </w:pPr>
    </w:p>
    <w:p w14:paraId="7361647A">
      <w:pPr>
        <w:spacing w:line="440" w:lineRule="atLeast"/>
        <w:rPr>
          <w:rFonts w:hint="eastAsia" w:ascii="宋体" w:hAnsi="宋体" w:eastAsia="宋体" w:cs="宋体"/>
          <w:b/>
          <w:color w:val="auto"/>
          <w:sz w:val="28"/>
          <w:szCs w:val="28"/>
          <w:highlight w:val="none"/>
        </w:rPr>
      </w:pPr>
    </w:p>
    <w:p w14:paraId="725E05EF">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w:t>
      </w:r>
      <w:r>
        <w:rPr>
          <w:rFonts w:hint="eastAsia" w:ascii="宋体" w:hAnsi="宋体" w:eastAsia="宋体" w:cs="宋体"/>
          <w:b/>
          <w:color w:val="auto"/>
          <w:sz w:val="28"/>
          <w:szCs w:val="28"/>
          <w:highlight w:val="none"/>
          <w:lang w:eastAsia="zh-CN"/>
        </w:rPr>
        <w:t>原件</w:t>
      </w:r>
      <w:r>
        <w:rPr>
          <w:rFonts w:hint="eastAsia" w:ascii="宋体" w:hAnsi="宋体" w:eastAsia="宋体" w:cs="宋体"/>
          <w:b/>
          <w:color w:val="auto"/>
          <w:sz w:val="28"/>
          <w:szCs w:val="28"/>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8"/>
          <w:szCs w:val="28"/>
          <w:highlight w:val="none"/>
          <w:lang w:eastAsia="zh-CN"/>
        </w:rPr>
        <w:t>（委托代理时必须提供）。</w:t>
      </w:r>
      <w:r>
        <w:rPr>
          <w:rFonts w:hint="eastAsia" w:ascii="宋体" w:hAnsi="宋体" w:eastAsia="宋体" w:cs="宋体"/>
          <w:b/>
          <w:color w:val="auto"/>
          <w:sz w:val="28"/>
          <w:szCs w:val="28"/>
          <w:highlight w:val="none"/>
        </w:rPr>
        <w:t>除供应商为以下三种情形的：</w:t>
      </w:r>
    </w:p>
    <w:p w14:paraId="738AE885">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如供应商为截标时间前60日以内成立的公司，可以提供供应商与委托代理人签订的劳动合同复印件代替社保证明复印件；</w:t>
      </w:r>
    </w:p>
    <w:p w14:paraId="2BAC3E77">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（2）如供应商为事业单位，可以提供事业单位机构编制管理证复印件或事业单位机构为其发放工资的工资条复印件代替社保证明复印件；</w:t>
      </w:r>
    </w:p>
    <w:p w14:paraId="1DD414EB">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（3）如委托代理人为免缴纳社保人员，提供免缴纳社保的证明材料复印件及供应商与委托代理人签订的劳动合同复印件代替社保证明复印件。</w:t>
      </w:r>
    </w:p>
    <w:p w14:paraId="3A51C28F">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属</w:t>
      </w:r>
      <w:r>
        <w:rPr>
          <w:rFonts w:hint="eastAsia" w:ascii="宋体" w:hAnsi="宋体" w:eastAsia="宋体" w:cs="宋体"/>
          <w:b/>
          <w:color w:val="auto"/>
          <w:sz w:val="28"/>
          <w:szCs w:val="28"/>
          <w:highlight w:val="none"/>
        </w:rPr>
        <w:t>自然人的应提供由县级以上（含县级）社会养老保险经办机构出具的自然人本人及委托代理人所交纳的响应文件递交截止时间前半年内任意连续三个月社保证明复印件】（委托代理时必须提供）</w:t>
      </w:r>
    </w:p>
    <w:p w14:paraId="0C5AC9AD">
      <w:pPr>
        <w:spacing w:line="440" w:lineRule="atLeast"/>
        <w:rPr>
          <w:rFonts w:hint="eastAsia" w:ascii="宋体" w:hAnsi="宋体" w:eastAsia="宋体" w:cs="宋体"/>
          <w:b/>
          <w:color w:val="auto"/>
          <w:sz w:val="28"/>
          <w:szCs w:val="28"/>
          <w:highlight w:val="none"/>
        </w:rPr>
      </w:pPr>
    </w:p>
    <w:p w14:paraId="1AA7DF2A">
      <w:pPr>
        <w:pStyle w:val="14"/>
        <w:rPr>
          <w:rFonts w:hint="eastAsia" w:ascii="宋体" w:hAnsi="宋体" w:eastAsia="宋体" w:cs="宋体"/>
          <w:b/>
          <w:color w:val="auto"/>
          <w:sz w:val="32"/>
          <w:highlight w:val="none"/>
        </w:rPr>
      </w:pPr>
    </w:p>
    <w:p w14:paraId="0263518B">
      <w:pPr>
        <w:rPr>
          <w:rFonts w:hint="eastAsia" w:ascii="宋体" w:hAnsi="宋体" w:eastAsia="宋体" w:cs="宋体"/>
          <w:b/>
          <w:color w:val="auto"/>
          <w:sz w:val="32"/>
          <w:highlight w:val="none"/>
        </w:rPr>
      </w:pPr>
    </w:p>
    <w:p w14:paraId="28D6084F">
      <w:pPr>
        <w:pStyle w:val="5"/>
        <w:tabs>
          <w:tab w:val="left" w:pos="567"/>
        </w:tabs>
        <w:rPr>
          <w:rFonts w:hint="eastAsia"/>
          <w:color w:val="auto"/>
          <w:highlight w:val="none"/>
        </w:rPr>
      </w:pPr>
    </w:p>
    <w:p w14:paraId="2F2EB7B3">
      <w:pPr>
        <w:rPr>
          <w:rFonts w:hint="eastAsia"/>
          <w:color w:val="auto"/>
          <w:highlight w:val="none"/>
        </w:rPr>
      </w:pPr>
    </w:p>
    <w:p w14:paraId="7640893C">
      <w:pPr>
        <w:pStyle w:val="5"/>
        <w:rPr>
          <w:rFonts w:hint="eastAsia"/>
          <w:color w:val="auto"/>
          <w:highlight w:val="none"/>
        </w:rPr>
      </w:pPr>
    </w:p>
    <w:p w14:paraId="1C413971">
      <w:pPr>
        <w:rPr>
          <w:rFonts w:hint="eastAsia"/>
          <w:color w:val="auto"/>
          <w:highlight w:val="none"/>
        </w:rPr>
      </w:pPr>
    </w:p>
    <w:p w14:paraId="15950347">
      <w:pPr>
        <w:pStyle w:val="14"/>
        <w:rPr>
          <w:rFonts w:hint="eastAsia" w:ascii="宋体" w:hAnsi="宋体" w:eastAsia="宋体" w:cs="宋体"/>
          <w:b/>
          <w:color w:val="auto"/>
          <w:sz w:val="32"/>
          <w:highlight w:val="none"/>
        </w:rPr>
      </w:pPr>
    </w:p>
    <w:p w14:paraId="25B6F915">
      <w:pPr>
        <w:pStyle w:val="14"/>
        <w:rPr>
          <w:rFonts w:hint="eastAsia" w:ascii="宋体" w:hAnsi="宋体" w:eastAsia="宋体" w:cs="宋体"/>
          <w:b/>
          <w:color w:val="auto"/>
          <w:sz w:val="32"/>
          <w:highlight w:val="none"/>
        </w:rPr>
      </w:pPr>
    </w:p>
    <w:p w14:paraId="18F61A92">
      <w:pPr>
        <w:pStyle w:val="14"/>
        <w:rPr>
          <w:rFonts w:hint="eastAsia" w:ascii="宋体" w:hAnsi="宋体" w:eastAsia="宋体" w:cs="宋体"/>
          <w:b/>
          <w:color w:val="auto"/>
          <w:sz w:val="32"/>
          <w:highlight w:val="none"/>
        </w:rPr>
      </w:pPr>
    </w:p>
    <w:p w14:paraId="5EC68C9E">
      <w:pPr>
        <w:pStyle w:val="14"/>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7AD0D28A">
      <w:pPr>
        <w:pStyle w:val="14"/>
        <w:ind w:firstLine="630" w:firstLineChars="196"/>
        <w:jc w:val="center"/>
        <w:rPr>
          <w:rFonts w:hint="eastAsia" w:ascii="宋体" w:hAnsi="宋体" w:eastAsia="宋体" w:cs="宋体"/>
          <w:b/>
          <w:color w:val="auto"/>
          <w:sz w:val="32"/>
          <w:highlight w:val="none"/>
        </w:rPr>
      </w:pPr>
      <w:bookmarkStart w:id="2378" w:name="_Toc5420_WPSOffice_Level1"/>
      <w:bookmarkStart w:id="2379" w:name="_Toc964_WPSOffice_Level1"/>
      <w:r>
        <w:rPr>
          <w:rFonts w:hint="eastAsia" w:ascii="宋体" w:hAnsi="宋体" w:eastAsia="宋体" w:cs="宋体"/>
          <w:b/>
          <w:color w:val="auto"/>
          <w:sz w:val="32"/>
          <w:highlight w:val="none"/>
        </w:rPr>
        <w:t>授权委托书（格式一）</w:t>
      </w:r>
      <w:bookmarkEnd w:id="2378"/>
      <w:bookmarkEnd w:id="2379"/>
    </w:p>
    <w:p w14:paraId="2D8E0DA0">
      <w:pPr>
        <w:pStyle w:val="14"/>
        <w:rPr>
          <w:rFonts w:hint="eastAsia" w:ascii="宋体" w:hAnsi="宋体" w:eastAsia="宋体" w:cs="宋体"/>
          <w:color w:val="auto"/>
          <w:highlight w:val="none"/>
        </w:rPr>
      </w:pPr>
    </w:p>
    <w:p w14:paraId="68EA54F2">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 xml:space="preserve">广西凯胜建设项目管理咨询有限公司 </w:t>
      </w:r>
    </w:p>
    <w:p w14:paraId="08F4EEBC">
      <w:pPr>
        <w:spacing w:line="400" w:lineRule="exact"/>
        <w:rPr>
          <w:rFonts w:hint="eastAsia" w:ascii="宋体" w:hAnsi="宋体" w:eastAsia="宋体" w:cs="宋体"/>
          <w:color w:val="auto"/>
          <w:szCs w:val="21"/>
          <w:highlight w:val="none"/>
        </w:rPr>
      </w:pPr>
    </w:p>
    <w:p w14:paraId="210790B4">
      <w:pPr>
        <w:pStyle w:val="14"/>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41E3715F">
      <w:pPr>
        <w:pStyle w:val="14"/>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71DABD04">
      <w:pPr>
        <w:pStyle w:val="14"/>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02A7A177">
      <w:pPr>
        <w:pStyle w:val="14"/>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33F2340">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7230757D">
      <w:pPr>
        <w:spacing w:line="400" w:lineRule="exact"/>
        <w:ind w:firstLine="420" w:firstLineChars="200"/>
        <w:rPr>
          <w:rFonts w:hint="eastAsia" w:ascii="宋体" w:hAnsi="宋体" w:eastAsia="宋体" w:cs="宋体"/>
          <w:color w:val="auto"/>
          <w:kern w:val="0"/>
          <w:highlight w:val="none"/>
        </w:rPr>
      </w:pPr>
    </w:p>
    <w:p w14:paraId="7C6385B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77E1367A">
      <w:pPr>
        <w:spacing w:line="400" w:lineRule="exact"/>
        <w:ind w:firstLine="420" w:firstLineChars="200"/>
        <w:rPr>
          <w:rFonts w:hint="eastAsia" w:ascii="宋体" w:hAnsi="宋体" w:eastAsia="宋体" w:cs="宋体"/>
          <w:color w:val="auto"/>
          <w:szCs w:val="21"/>
          <w:highlight w:val="none"/>
        </w:rPr>
      </w:pPr>
    </w:p>
    <w:p w14:paraId="1083F84E">
      <w:pPr>
        <w:spacing w:line="400" w:lineRule="exact"/>
        <w:ind w:firstLine="420" w:firstLineChars="200"/>
        <w:rPr>
          <w:rFonts w:hint="eastAsia" w:ascii="宋体" w:hAnsi="宋体" w:eastAsia="宋体" w:cs="宋体"/>
          <w:color w:val="auto"/>
          <w:szCs w:val="21"/>
          <w:highlight w:val="none"/>
        </w:rPr>
      </w:pPr>
    </w:p>
    <w:p w14:paraId="667AA0BE">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2BF8269">
      <w:pPr>
        <w:snapToGrid w:val="0"/>
        <w:spacing w:line="400" w:lineRule="exact"/>
        <w:ind w:firstLine="420"/>
        <w:rPr>
          <w:rFonts w:hint="eastAsia" w:ascii="宋体" w:hAnsi="宋体" w:eastAsia="宋体" w:cs="宋体"/>
          <w:color w:val="auto"/>
          <w:szCs w:val="21"/>
          <w:highlight w:val="none"/>
        </w:rPr>
      </w:pPr>
    </w:p>
    <w:p w14:paraId="78D92B5A">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13D989">
      <w:pPr>
        <w:snapToGrid w:val="0"/>
        <w:spacing w:line="400" w:lineRule="exact"/>
        <w:ind w:firstLine="420"/>
        <w:rPr>
          <w:rFonts w:hint="eastAsia" w:ascii="宋体" w:hAnsi="宋体" w:eastAsia="宋体" w:cs="宋体"/>
          <w:color w:val="auto"/>
          <w:szCs w:val="21"/>
          <w:highlight w:val="none"/>
        </w:rPr>
      </w:pPr>
    </w:p>
    <w:p w14:paraId="7BC461AB">
      <w:pPr>
        <w:pStyle w:val="11"/>
        <w:rPr>
          <w:rFonts w:hint="eastAsia" w:ascii="宋体" w:hAnsi="宋体" w:eastAsia="宋体" w:cs="宋体"/>
          <w:color w:val="auto"/>
          <w:highlight w:val="none"/>
        </w:rPr>
      </w:pPr>
    </w:p>
    <w:p w14:paraId="5FA9023B">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附：供应商的授权委托书</w:t>
      </w:r>
      <w:r>
        <w:rPr>
          <w:rFonts w:hint="eastAsia" w:ascii="宋体" w:hAnsi="宋体" w:eastAsia="宋体" w:cs="宋体"/>
          <w:b/>
          <w:color w:val="auto"/>
          <w:szCs w:val="21"/>
          <w:highlight w:val="none"/>
          <w:lang w:eastAsia="zh-CN"/>
        </w:rPr>
        <w:t>原件</w:t>
      </w:r>
      <w:r>
        <w:rPr>
          <w:rFonts w:hint="eastAsia" w:ascii="宋体" w:hAnsi="宋体" w:eastAsia="宋体" w:cs="宋体"/>
          <w:b/>
          <w:color w:val="auto"/>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除供应商为以下三种情形的：</w:t>
      </w:r>
    </w:p>
    <w:p w14:paraId="42CA92AF">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如供应商为截标时间前60日以内成立的公司，可以提供供应商与委托代理人签订的劳动合同复印件代替社保证明复印件；</w:t>
      </w:r>
    </w:p>
    <w:p w14:paraId="31588902">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（2）如供应商为事业单位，可以提供事业单位机构编制管理证复印件或事业单位机构为其发放工资的工资条复印件代替社保证明复印件；</w:t>
      </w:r>
    </w:p>
    <w:p w14:paraId="45E18693">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2F59DEFD">
      <w:pPr>
        <w:pStyle w:val="14"/>
        <w:spacing w:line="340" w:lineRule="exact"/>
        <w:ind w:firstLine="420" w:firstLineChars="200"/>
        <w:rPr>
          <w:rFonts w:hint="eastAsia" w:ascii="宋体" w:hAnsi="宋体" w:eastAsia="宋体" w:cs="宋体"/>
          <w:color w:val="auto"/>
          <w:highlight w:val="none"/>
        </w:rPr>
      </w:pPr>
    </w:p>
    <w:p w14:paraId="2D371223">
      <w:pPr>
        <w:pStyle w:val="9"/>
        <w:rPr>
          <w:rFonts w:hint="eastAsia"/>
          <w:color w:val="auto"/>
          <w:highlight w:val="none"/>
        </w:rPr>
      </w:pPr>
    </w:p>
    <w:p w14:paraId="435164CD">
      <w:pPr>
        <w:pStyle w:val="14"/>
        <w:jc w:val="center"/>
        <w:rPr>
          <w:rFonts w:hint="eastAsia" w:ascii="宋体" w:hAnsi="宋体" w:eastAsia="宋体" w:cs="宋体"/>
          <w:b/>
          <w:color w:val="auto"/>
          <w:sz w:val="32"/>
          <w:highlight w:val="none"/>
        </w:rPr>
      </w:pPr>
      <w:bookmarkStart w:id="2380" w:name="_Toc6975_WPSOffice_Level1"/>
      <w:bookmarkStart w:id="2381" w:name="_Toc21370_WPSOffice_Level1"/>
      <w:r>
        <w:rPr>
          <w:rFonts w:hint="eastAsia" w:ascii="宋体" w:hAnsi="宋体" w:eastAsia="宋体" w:cs="宋体"/>
          <w:b/>
          <w:color w:val="auto"/>
          <w:sz w:val="32"/>
          <w:highlight w:val="none"/>
        </w:rPr>
        <w:t>授权委托书（格式二）</w:t>
      </w:r>
      <w:bookmarkEnd w:id="2380"/>
      <w:bookmarkEnd w:id="2381"/>
    </w:p>
    <w:p w14:paraId="602A875C">
      <w:pPr>
        <w:pStyle w:val="14"/>
        <w:jc w:val="both"/>
        <w:rPr>
          <w:rFonts w:hint="eastAsia" w:ascii="宋体" w:hAnsi="宋体" w:eastAsia="宋体" w:cs="宋体"/>
          <w:b/>
          <w:color w:val="auto"/>
          <w:sz w:val="32"/>
          <w:highlight w:val="none"/>
        </w:rPr>
      </w:pPr>
    </w:p>
    <w:p w14:paraId="3A76416A">
      <w:pPr>
        <w:pStyle w:val="14"/>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 xml:space="preserve">广西凯胜建设项目管理咨询有限公司 </w:t>
      </w:r>
    </w:p>
    <w:p w14:paraId="0BD08FCE">
      <w:pPr>
        <w:rPr>
          <w:rFonts w:hint="eastAsia" w:ascii="宋体" w:hAnsi="宋体" w:eastAsia="宋体" w:cs="宋体"/>
          <w:color w:val="auto"/>
          <w:highlight w:val="none"/>
        </w:rPr>
      </w:pPr>
    </w:p>
    <w:p w14:paraId="31387E31">
      <w:pPr>
        <w:pStyle w:val="14"/>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699CABA3">
      <w:pPr>
        <w:pStyle w:val="14"/>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6071657B">
      <w:pPr>
        <w:pStyle w:val="14"/>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724435D3">
      <w:pPr>
        <w:pStyle w:val="14"/>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0AF566A0">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79A1C587">
      <w:pPr>
        <w:spacing w:line="340" w:lineRule="exact"/>
        <w:ind w:firstLine="420" w:firstLineChars="200"/>
        <w:rPr>
          <w:rFonts w:hint="eastAsia" w:ascii="宋体" w:hAnsi="宋体" w:eastAsia="宋体" w:cs="宋体"/>
          <w:color w:val="auto"/>
          <w:kern w:val="0"/>
          <w:highlight w:val="none"/>
        </w:rPr>
      </w:pPr>
    </w:p>
    <w:p w14:paraId="638405FD">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3B623110">
      <w:pPr>
        <w:spacing w:line="340" w:lineRule="exact"/>
        <w:ind w:firstLine="420" w:firstLineChars="200"/>
        <w:rPr>
          <w:rFonts w:hint="eastAsia" w:ascii="宋体" w:hAnsi="宋体" w:eastAsia="宋体" w:cs="宋体"/>
          <w:color w:val="auto"/>
          <w:szCs w:val="21"/>
          <w:highlight w:val="none"/>
        </w:rPr>
      </w:pPr>
    </w:p>
    <w:p w14:paraId="0697B667">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512AE29">
      <w:pPr>
        <w:pStyle w:val="14"/>
        <w:spacing w:line="400" w:lineRule="exact"/>
        <w:ind w:left="420" w:leftChars="200"/>
        <w:rPr>
          <w:rFonts w:hint="eastAsia" w:ascii="宋体" w:hAnsi="宋体" w:eastAsia="宋体" w:cs="宋体"/>
          <w:color w:val="auto"/>
          <w:szCs w:val="21"/>
          <w:highlight w:val="none"/>
        </w:rPr>
      </w:pPr>
    </w:p>
    <w:p w14:paraId="5341B4D2">
      <w:pPr>
        <w:pStyle w:val="14"/>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附：委托代理人身份证正反面复印件</w:t>
      </w:r>
    </w:p>
    <w:p w14:paraId="449E6D84">
      <w:pPr>
        <w:rPr>
          <w:rFonts w:hint="eastAsia" w:ascii="宋体" w:hAnsi="宋体" w:eastAsia="宋体" w:cs="宋体"/>
          <w:b/>
          <w:color w:val="auto"/>
          <w:szCs w:val="21"/>
          <w:highlight w:val="none"/>
        </w:rPr>
      </w:pPr>
    </w:p>
    <w:p w14:paraId="4BC32C31">
      <w:pPr>
        <w:pStyle w:val="11"/>
        <w:rPr>
          <w:rFonts w:hint="eastAsia" w:ascii="宋体" w:hAnsi="宋体" w:eastAsia="宋体" w:cs="宋体"/>
          <w:b/>
          <w:color w:val="auto"/>
          <w:szCs w:val="21"/>
          <w:highlight w:val="none"/>
        </w:rPr>
      </w:pPr>
    </w:p>
    <w:p w14:paraId="38893006">
      <w:pPr>
        <w:pStyle w:val="11"/>
        <w:rPr>
          <w:rFonts w:hint="eastAsia" w:ascii="宋体" w:hAnsi="宋体" w:eastAsia="宋体" w:cs="宋体"/>
          <w:b/>
          <w:color w:val="auto"/>
          <w:szCs w:val="21"/>
          <w:highlight w:val="none"/>
        </w:rPr>
      </w:pPr>
    </w:p>
    <w:p w14:paraId="5459813B">
      <w:pPr>
        <w:pStyle w:val="11"/>
        <w:rPr>
          <w:rFonts w:hint="eastAsia" w:ascii="宋体" w:hAnsi="宋体" w:eastAsia="宋体" w:cs="宋体"/>
          <w:b/>
          <w:color w:val="auto"/>
          <w:szCs w:val="21"/>
          <w:highlight w:val="none"/>
        </w:rPr>
      </w:pPr>
    </w:p>
    <w:p w14:paraId="368775DA">
      <w:pPr>
        <w:pStyle w:val="11"/>
        <w:rPr>
          <w:rFonts w:hint="eastAsia" w:ascii="宋体" w:hAnsi="宋体" w:eastAsia="宋体" w:cs="宋体"/>
          <w:b/>
          <w:color w:val="auto"/>
          <w:szCs w:val="21"/>
          <w:highlight w:val="none"/>
        </w:rPr>
      </w:pPr>
    </w:p>
    <w:p w14:paraId="59EABC84">
      <w:pPr>
        <w:pStyle w:val="11"/>
        <w:rPr>
          <w:rFonts w:hint="eastAsia" w:ascii="宋体" w:hAnsi="宋体" w:eastAsia="宋体" w:cs="宋体"/>
          <w:b/>
          <w:color w:val="auto"/>
          <w:szCs w:val="21"/>
          <w:highlight w:val="none"/>
        </w:rPr>
      </w:pPr>
    </w:p>
    <w:p w14:paraId="623E485A">
      <w:pPr>
        <w:pStyle w:val="11"/>
        <w:rPr>
          <w:rFonts w:hint="eastAsia" w:ascii="宋体" w:hAnsi="宋体" w:eastAsia="宋体" w:cs="宋体"/>
          <w:b/>
          <w:color w:val="auto"/>
          <w:szCs w:val="21"/>
          <w:highlight w:val="none"/>
        </w:rPr>
      </w:pPr>
    </w:p>
    <w:p w14:paraId="0E439544">
      <w:pPr>
        <w:pStyle w:val="11"/>
        <w:rPr>
          <w:rFonts w:hint="eastAsia" w:ascii="宋体" w:hAnsi="宋体" w:eastAsia="宋体" w:cs="宋体"/>
          <w:b/>
          <w:color w:val="auto"/>
          <w:szCs w:val="21"/>
          <w:highlight w:val="none"/>
        </w:rPr>
      </w:pPr>
    </w:p>
    <w:p w14:paraId="570E9629">
      <w:pPr>
        <w:pStyle w:val="11"/>
        <w:rPr>
          <w:rFonts w:hint="eastAsia" w:ascii="宋体" w:hAnsi="宋体" w:eastAsia="宋体" w:cs="宋体"/>
          <w:b/>
          <w:color w:val="auto"/>
          <w:szCs w:val="21"/>
          <w:highlight w:val="none"/>
        </w:rPr>
      </w:pPr>
    </w:p>
    <w:p w14:paraId="0FAA5882">
      <w:pPr>
        <w:pStyle w:val="11"/>
        <w:rPr>
          <w:rFonts w:hint="eastAsia" w:ascii="宋体" w:hAnsi="宋体" w:eastAsia="宋体" w:cs="宋体"/>
          <w:b/>
          <w:color w:val="auto"/>
          <w:szCs w:val="21"/>
          <w:highlight w:val="none"/>
        </w:rPr>
      </w:pPr>
    </w:p>
    <w:p w14:paraId="56780FF2">
      <w:pPr>
        <w:pStyle w:val="11"/>
        <w:rPr>
          <w:rFonts w:hint="eastAsia" w:ascii="宋体" w:hAnsi="宋体" w:eastAsia="宋体" w:cs="宋体"/>
          <w:b/>
          <w:color w:val="auto"/>
          <w:szCs w:val="21"/>
          <w:highlight w:val="none"/>
        </w:rPr>
      </w:pPr>
    </w:p>
    <w:p w14:paraId="5E88FA70">
      <w:pPr>
        <w:pStyle w:val="11"/>
        <w:rPr>
          <w:rFonts w:hint="eastAsia" w:ascii="宋体" w:hAnsi="宋体" w:eastAsia="宋体" w:cs="宋体"/>
          <w:b/>
          <w:color w:val="auto"/>
          <w:szCs w:val="21"/>
          <w:highlight w:val="none"/>
        </w:rPr>
      </w:pPr>
    </w:p>
    <w:p w14:paraId="37FF4A01">
      <w:pPr>
        <w:pStyle w:val="11"/>
        <w:rPr>
          <w:rFonts w:hint="eastAsia" w:ascii="宋体" w:hAnsi="宋体" w:eastAsia="宋体" w:cs="宋体"/>
          <w:b/>
          <w:color w:val="auto"/>
          <w:szCs w:val="21"/>
          <w:highlight w:val="none"/>
        </w:rPr>
      </w:pPr>
    </w:p>
    <w:p w14:paraId="364B781C">
      <w:pPr>
        <w:pStyle w:val="11"/>
        <w:rPr>
          <w:rFonts w:hint="eastAsia" w:ascii="宋体" w:hAnsi="宋体" w:eastAsia="宋体" w:cs="宋体"/>
          <w:b/>
          <w:color w:val="auto"/>
          <w:szCs w:val="21"/>
          <w:highlight w:val="none"/>
        </w:rPr>
      </w:pPr>
    </w:p>
    <w:p w14:paraId="0DDD2C5A">
      <w:pPr>
        <w:pStyle w:val="11"/>
        <w:rPr>
          <w:rFonts w:hint="eastAsia" w:ascii="宋体" w:hAnsi="宋体" w:eastAsia="宋体" w:cs="宋体"/>
          <w:b/>
          <w:color w:val="auto"/>
          <w:szCs w:val="21"/>
          <w:highlight w:val="none"/>
        </w:rPr>
      </w:pPr>
    </w:p>
    <w:p w14:paraId="7EB16F31">
      <w:pPr>
        <w:rPr>
          <w:rFonts w:hint="eastAsia" w:ascii="宋体" w:hAnsi="宋体" w:eastAsia="宋体" w:cs="宋体"/>
          <w:b/>
          <w:color w:val="auto"/>
          <w:szCs w:val="21"/>
          <w:highlight w:val="none"/>
        </w:rPr>
      </w:pPr>
    </w:p>
    <w:p w14:paraId="092D991B">
      <w:pPr>
        <w:pStyle w:val="5"/>
        <w:rPr>
          <w:rFonts w:hint="eastAsia"/>
          <w:color w:val="auto"/>
          <w:highlight w:val="none"/>
        </w:rPr>
      </w:pPr>
    </w:p>
    <w:p w14:paraId="5567D0DD">
      <w:pPr>
        <w:pStyle w:val="11"/>
        <w:rPr>
          <w:rFonts w:hint="eastAsia" w:ascii="宋体" w:hAnsi="宋体" w:eastAsia="宋体" w:cs="宋体"/>
          <w:b/>
          <w:color w:val="auto"/>
          <w:szCs w:val="21"/>
          <w:highlight w:val="none"/>
        </w:rPr>
      </w:pPr>
    </w:p>
    <w:p w14:paraId="5778D015">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14:paraId="59A4B2D8">
      <w:pPr>
        <w:pStyle w:val="14"/>
        <w:spacing w:line="400" w:lineRule="exact"/>
        <w:ind w:left="42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62FC42B7">
      <w:pPr>
        <w:pStyle w:val="14"/>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0DE53E1C">
      <w:pPr>
        <w:pStyle w:val="14"/>
        <w:spacing w:line="400" w:lineRule="exact"/>
        <w:jc w:val="center"/>
        <w:rPr>
          <w:rFonts w:hint="eastAsia" w:ascii="宋体" w:hAnsi="宋体" w:eastAsia="宋体" w:cs="宋体"/>
          <w:b/>
          <w:color w:val="auto"/>
          <w:sz w:val="32"/>
          <w:szCs w:val="32"/>
          <w:highlight w:val="none"/>
        </w:rPr>
      </w:pPr>
      <w:bookmarkStart w:id="2382" w:name="_Toc30890_WPSOffice_Level1"/>
      <w:bookmarkStart w:id="2383" w:name="_Toc30304_WPSOffice_Level1"/>
      <w:r>
        <w:rPr>
          <w:rFonts w:hint="eastAsia" w:ascii="宋体" w:hAnsi="宋体" w:eastAsia="宋体" w:cs="宋体"/>
          <w:b/>
          <w:color w:val="auto"/>
          <w:sz w:val="32"/>
          <w:szCs w:val="32"/>
          <w:highlight w:val="none"/>
        </w:rPr>
        <w:t>声   明</w:t>
      </w:r>
      <w:bookmarkEnd w:id="2382"/>
      <w:bookmarkEnd w:id="2383"/>
    </w:p>
    <w:p w14:paraId="67598BA7">
      <w:pPr>
        <w:pStyle w:val="14"/>
        <w:spacing w:line="400" w:lineRule="exact"/>
        <w:jc w:val="both"/>
        <w:rPr>
          <w:rFonts w:hint="eastAsia" w:ascii="宋体" w:hAnsi="宋体" w:eastAsia="宋体" w:cs="宋体"/>
          <w:b/>
          <w:color w:val="auto"/>
          <w:sz w:val="32"/>
          <w:szCs w:val="32"/>
          <w:highlight w:val="none"/>
        </w:rPr>
      </w:pPr>
    </w:p>
    <w:p w14:paraId="5A0FFF26">
      <w:pPr>
        <w:pStyle w:val="14"/>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 xml:space="preserve">广西凯胜建设项目管理咨询有限公司 </w:t>
      </w:r>
    </w:p>
    <w:p w14:paraId="08AE8774">
      <w:pPr>
        <w:rPr>
          <w:rFonts w:hint="eastAsia" w:ascii="宋体" w:hAnsi="宋体" w:eastAsia="宋体" w:cs="宋体"/>
          <w:color w:val="auto"/>
          <w:szCs w:val="21"/>
          <w:highlight w:val="none"/>
          <w:u w:val="single"/>
        </w:rPr>
      </w:pPr>
    </w:p>
    <w:p w14:paraId="14517971">
      <w:pPr>
        <w:pStyle w:val="11"/>
        <w:rPr>
          <w:rFonts w:hint="eastAsia" w:ascii="宋体" w:hAnsi="宋体" w:eastAsia="宋体" w:cs="宋体"/>
          <w:color w:val="auto"/>
          <w:highlight w:val="none"/>
        </w:rPr>
      </w:pPr>
    </w:p>
    <w:p w14:paraId="1AD96EA0">
      <w:pPr>
        <w:pStyle w:val="14"/>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C9D24A3">
      <w:pPr>
        <w:rPr>
          <w:rFonts w:hint="eastAsia" w:ascii="宋体" w:hAnsi="宋体" w:eastAsia="宋体" w:cs="宋体"/>
          <w:color w:val="auto"/>
          <w:highlight w:val="none"/>
        </w:rPr>
      </w:pPr>
    </w:p>
    <w:p w14:paraId="1432FC8C">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82FCD67">
      <w:pPr>
        <w:pStyle w:val="14"/>
        <w:ind w:firstLine="3990" w:firstLineChars="1900"/>
        <w:rPr>
          <w:rFonts w:hint="eastAsia" w:ascii="宋体" w:hAnsi="宋体" w:eastAsia="宋体" w:cs="宋体"/>
          <w:color w:val="auto"/>
          <w:highlight w:val="none"/>
        </w:rPr>
      </w:pPr>
    </w:p>
    <w:p w14:paraId="713A8853">
      <w:pPr>
        <w:pStyle w:val="14"/>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0E457CD">
      <w:pPr>
        <w:pStyle w:val="14"/>
        <w:spacing w:line="340" w:lineRule="exact"/>
        <w:rPr>
          <w:rFonts w:hint="eastAsia" w:ascii="宋体" w:hAnsi="宋体" w:eastAsia="宋体" w:cs="宋体"/>
          <w:b/>
          <w:color w:val="auto"/>
          <w:sz w:val="28"/>
          <w:szCs w:val="28"/>
          <w:highlight w:val="none"/>
        </w:rPr>
      </w:pPr>
    </w:p>
    <w:p w14:paraId="45AF9CBE">
      <w:pPr>
        <w:pStyle w:val="14"/>
        <w:spacing w:line="340" w:lineRule="exact"/>
        <w:rPr>
          <w:rFonts w:hint="eastAsia" w:ascii="宋体" w:hAnsi="宋体" w:eastAsia="宋体" w:cs="宋体"/>
          <w:b/>
          <w:color w:val="auto"/>
          <w:sz w:val="28"/>
          <w:szCs w:val="28"/>
          <w:highlight w:val="none"/>
          <w:lang w:val="en-US" w:eastAsia="zh-CN"/>
        </w:rPr>
      </w:pPr>
    </w:p>
    <w:p w14:paraId="692184B7">
      <w:pPr>
        <w:pStyle w:val="14"/>
        <w:spacing w:line="340" w:lineRule="exact"/>
        <w:rPr>
          <w:rFonts w:hint="eastAsia" w:ascii="宋体" w:hAnsi="宋体" w:eastAsia="宋体" w:cs="宋体"/>
          <w:b/>
          <w:color w:val="auto"/>
          <w:sz w:val="28"/>
          <w:szCs w:val="28"/>
          <w:highlight w:val="none"/>
          <w:lang w:val="en-US" w:eastAsia="zh-CN"/>
        </w:rPr>
      </w:pPr>
    </w:p>
    <w:p w14:paraId="3BBB0645">
      <w:pPr>
        <w:pStyle w:val="14"/>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.供应商的法人或者其他组织营业执照等证明文件复印件（必须提供，自然人除外）；</w:t>
      </w:r>
    </w:p>
    <w:p w14:paraId="3A7BDEBE">
      <w:pPr>
        <w:tabs>
          <w:tab w:val="left" w:pos="1305"/>
        </w:tabs>
        <w:spacing w:line="340" w:lineRule="exact"/>
        <w:rPr>
          <w:rFonts w:hint="eastAsia" w:ascii="宋体" w:hAnsi="宋体" w:eastAsia="宋体" w:cs="宋体"/>
          <w:b/>
          <w:color w:val="auto"/>
          <w:szCs w:val="21"/>
          <w:highlight w:val="none"/>
        </w:rPr>
      </w:pPr>
    </w:p>
    <w:p w14:paraId="5BBF4C8E">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3B1E4311">
      <w:pPr>
        <w:rPr>
          <w:rFonts w:hint="eastAsia" w:ascii="宋体" w:hAnsi="宋体" w:eastAsia="宋体" w:cs="宋体"/>
          <w:b/>
          <w:bCs/>
          <w:color w:val="auto"/>
          <w:sz w:val="28"/>
          <w:szCs w:val="28"/>
          <w:highlight w:val="none"/>
        </w:rPr>
      </w:pPr>
    </w:p>
    <w:p w14:paraId="62A0CCE4">
      <w:pPr>
        <w:pStyle w:val="14"/>
        <w:numPr>
          <w:ilvl w:val="0"/>
          <w:numId w:val="0"/>
        </w:numPr>
        <w:spacing w:line="340" w:lineRule="exact"/>
        <w:rPr>
          <w:rFonts w:hint="eastAsia" w:ascii="宋体" w:hAnsi="宋体" w:eastAsia="宋体" w:cs="宋体"/>
          <w:b/>
          <w:color w:val="auto"/>
          <w:sz w:val="28"/>
          <w:szCs w:val="28"/>
          <w:highlight w:val="none"/>
          <w:lang w:val="en-US" w:eastAsia="zh-CN"/>
        </w:rPr>
      </w:pPr>
    </w:p>
    <w:p w14:paraId="0F774EBB">
      <w:pPr>
        <w:pStyle w:val="14"/>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5.供应商有效的资质证书复印件（必须提供）；</w:t>
      </w:r>
    </w:p>
    <w:p w14:paraId="3CB24827">
      <w:pPr>
        <w:pStyle w:val="9"/>
        <w:numPr>
          <w:ilvl w:val="0"/>
          <w:numId w:val="0"/>
        </w:numPr>
        <w:ind w:leftChars="200"/>
        <w:rPr>
          <w:rFonts w:hint="eastAsia"/>
          <w:color w:val="auto"/>
          <w:highlight w:val="none"/>
          <w:lang w:val="en-US" w:eastAsia="zh-CN"/>
        </w:rPr>
      </w:pPr>
    </w:p>
    <w:p w14:paraId="12640ABF">
      <w:pPr>
        <w:pStyle w:val="14"/>
        <w:spacing w:line="340" w:lineRule="exact"/>
        <w:rPr>
          <w:rFonts w:hint="eastAsia" w:ascii="宋体" w:hAnsi="宋体" w:eastAsia="宋体" w:cs="宋体"/>
          <w:b/>
          <w:color w:val="auto"/>
          <w:sz w:val="28"/>
          <w:szCs w:val="28"/>
          <w:highlight w:val="none"/>
          <w:lang w:val="en-US" w:eastAsia="zh-CN"/>
        </w:rPr>
      </w:pPr>
    </w:p>
    <w:p w14:paraId="2E3F52E2">
      <w:pPr>
        <w:pStyle w:val="14"/>
        <w:spacing w:line="340" w:lineRule="exact"/>
        <w:rPr>
          <w:rFonts w:hint="eastAsia" w:ascii="宋体" w:hAnsi="宋体" w:eastAsia="宋体" w:cs="宋体"/>
          <w:b/>
          <w:color w:val="auto"/>
          <w:sz w:val="28"/>
          <w:szCs w:val="28"/>
          <w:highlight w:val="none"/>
          <w:lang w:val="en-US" w:eastAsia="zh-CN"/>
        </w:rPr>
      </w:pPr>
    </w:p>
    <w:p w14:paraId="16146162">
      <w:pPr>
        <w:pStyle w:val="14"/>
        <w:spacing w:line="340" w:lineRule="exact"/>
        <w:rPr>
          <w:rFonts w:hint="eastAsia" w:ascii="宋体" w:hAnsi="宋体" w:eastAsia="宋体" w:cs="宋体"/>
          <w:b/>
          <w:color w:val="auto"/>
          <w:sz w:val="28"/>
          <w:szCs w:val="28"/>
          <w:highlight w:val="none"/>
          <w:lang w:val="en-US" w:eastAsia="zh-CN"/>
        </w:rPr>
      </w:pPr>
    </w:p>
    <w:p w14:paraId="3C26DADC">
      <w:pPr>
        <w:pStyle w:val="14"/>
        <w:spacing w:line="340" w:lineRule="exact"/>
        <w:rPr>
          <w:rFonts w:hint="eastAsia" w:ascii="宋体" w:hAnsi="宋体" w:eastAsia="宋体" w:cs="宋体"/>
          <w:b/>
          <w:color w:val="auto"/>
          <w:sz w:val="28"/>
          <w:szCs w:val="28"/>
          <w:highlight w:val="none"/>
          <w:lang w:val="en-US" w:eastAsia="zh-CN"/>
        </w:rPr>
      </w:pPr>
    </w:p>
    <w:p w14:paraId="49766706">
      <w:pPr>
        <w:pStyle w:val="14"/>
        <w:spacing w:line="340" w:lineRule="exact"/>
        <w:rPr>
          <w:rFonts w:hint="eastAsia" w:ascii="宋体" w:hAnsi="宋体" w:eastAsia="宋体" w:cs="宋体"/>
          <w:b/>
          <w:color w:val="auto"/>
          <w:sz w:val="28"/>
          <w:szCs w:val="28"/>
          <w:highlight w:val="none"/>
          <w:lang w:val="en-US" w:eastAsia="zh-CN"/>
        </w:rPr>
      </w:pPr>
    </w:p>
    <w:p w14:paraId="3878B9D1">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6.《中小企业声明函》或《残疾人福利性单位声明函》或省级以上监狱管理局、戒毒管理局（含新疆生产建设兵团）出具的属于监狱企业的证明文件复印件（必须提供其中一项）；</w:t>
      </w:r>
    </w:p>
    <w:p w14:paraId="66676F97">
      <w:pPr>
        <w:jc w:val="center"/>
        <w:outlineLvl w:val="9"/>
        <w:rPr>
          <w:rStyle w:val="49"/>
          <w:rFonts w:ascii="宋体" w:hAnsi="宋体" w:cs="宋体"/>
          <w:b/>
          <w:bCs/>
          <w:color w:val="auto"/>
          <w:kern w:val="0"/>
          <w:sz w:val="21"/>
          <w:szCs w:val="21"/>
          <w:highlight w:val="none"/>
        </w:rPr>
      </w:pPr>
    </w:p>
    <w:p w14:paraId="39C2B098">
      <w:pPr>
        <w:jc w:val="center"/>
        <w:outlineLvl w:val="9"/>
        <w:rPr>
          <w:rStyle w:val="49"/>
          <w:rFonts w:ascii="宋体" w:hAnsi="宋体" w:cs="宋体"/>
          <w:b/>
          <w:bCs/>
          <w:color w:val="auto"/>
          <w:kern w:val="0"/>
          <w:sz w:val="24"/>
          <w:szCs w:val="24"/>
          <w:highlight w:val="none"/>
        </w:rPr>
      </w:pPr>
      <w:r>
        <w:rPr>
          <w:rStyle w:val="49"/>
          <w:rFonts w:hint="eastAsia" w:ascii="宋体" w:hAnsi="宋体" w:cs="宋体"/>
          <w:b/>
          <w:bCs/>
          <w:color w:val="auto"/>
          <w:kern w:val="0"/>
          <w:sz w:val="24"/>
          <w:szCs w:val="24"/>
          <w:highlight w:val="none"/>
          <w:lang w:eastAsia="zh-CN"/>
        </w:rPr>
        <w:t>（</w:t>
      </w:r>
      <w:r>
        <w:rPr>
          <w:rStyle w:val="49"/>
          <w:rFonts w:hint="eastAsia" w:ascii="宋体" w:hAnsi="宋体" w:cs="宋体"/>
          <w:b/>
          <w:bCs/>
          <w:color w:val="auto"/>
          <w:kern w:val="0"/>
          <w:sz w:val="24"/>
          <w:szCs w:val="24"/>
          <w:highlight w:val="none"/>
          <w:lang w:val="en-US" w:eastAsia="zh-CN"/>
        </w:rPr>
        <w:t>1</w:t>
      </w:r>
      <w:r>
        <w:rPr>
          <w:rStyle w:val="49"/>
          <w:rFonts w:hint="eastAsia" w:ascii="宋体" w:hAnsi="宋体" w:cs="宋体"/>
          <w:b/>
          <w:bCs/>
          <w:color w:val="auto"/>
          <w:kern w:val="0"/>
          <w:sz w:val="24"/>
          <w:szCs w:val="24"/>
          <w:highlight w:val="none"/>
          <w:lang w:eastAsia="zh-CN"/>
        </w:rPr>
        <w:t>）</w:t>
      </w:r>
      <w:r>
        <w:rPr>
          <w:rStyle w:val="49"/>
          <w:rFonts w:ascii="宋体" w:hAnsi="宋体" w:cs="宋体"/>
          <w:b/>
          <w:bCs/>
          <w:color w:val="auto"/>
          <w:kern w:val="0"/>
          <w:sz w:val="24"/>
          <w:szCs w:val="24"/>
          <w:highlight w:val="none"/>
        </w:rPr>
        <w:t>中小企业声明函（</w:t>
      </w:r>
      <w:r>
        <w:rPr>
          <w:rStyle w:val="49"/>
          <w:rFonts w:hint="eastAsia" w:ascii="宋体" w:hAnsi="宋体" w:cs="宋体"/>
          <w:b/>
          <w:bCs/>
          <w:color w:val="auto"/>
          <w:kern w:val="0"/>
          <w:sz w:val="24"/>
          <w:szCs w:val="24"/>
          <w:highlight w:val="none"/>
        </w:rPr>
        <w:t>工程</w:t>
      </w:r>
      <w:r>
        <w:rPr>
          <w:rStyle w:val="49"/>
          <w:rFonts w:ascii="宋体" w:hAnsi="宋体" w:cs="宋体"/>
          <w:b/>
          <w:bCs/>
          <w:color w:val="auto"/>
          <w:kern w:val="0"/>
          <w:sz w:val="24"/>
          <w:szCs w:val="24"/>
          <w:highlight w:val="none"/>
        </w:rPr>
        <w:t>）</w:t>
      </w:r>
    </w:p>
    <w:p w14:paraId="60531EDA">
      <w:pPr>
        <w:pStyle w:val="2"/>
        <w:ind w:left="63" w:right="63"/>
        <w:rPr>
          <w:color w:val="auto"/>
          <w:sz w:val="21"/>
          <w:szCs w:val="21"/>
          <w:highlight w:val="none"/>
        </w:rPr>
      </w:pPr>
    </w:p>
    <w:p w14:paraId="41EF8555">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本公司郑重声明，根据《政府采购促进中小企业发展管理办法》（财库﹝2020﹞46 号）的规定，本公司参加</w:t>
      </w:r>
      <w:r>
        <w:rPr>
          <w:rStyle w:val="49"/>
          <w:rFonts w:ascii="宋体" w:hAnsi="宋体"/>
          <w:color w:val="auto"/>
          <w:kern w:val="0"/>
          <w:sz w:val="21"/>
          <w:szCs w:val="21"/>
          <w:highlight w:val="none"/>
          <w:u w:val="single" w:color="000000"/>
        </w:rPr>
        <w:t>（单位名称）</w:t>
      </w:r>
      <w:r>
        <w:rPr>
          <w:rStyle w:val="49"/>
          <w:rFonts w:ascii="宋体" w:hAnsi="宋体"/>
          <w:color w:val="auto"/>
          <w:kern w:val="0"/>
          <w:sz w:val="21"/>
          <w:szCs w:val="21"/>
          <w:highlight w:val="none"/>
        </w:rPr>
        <w:t>的</w:t>
      </w:r>
      <w:r>
        <w:rPr>
          <w:rStyle w:val="49"/>
          <w:rFonts w:ascii="宋体" w:hAnsi="宋体"/>
          <w:color w:val="auto"/>
          <w:kern w:val="0"/>
          <w:sz w:val="21"/>
          <w:szCs w:val="21"/>
          <w:highlight w:val="none"/>
          <w:u w:val="single" w:color="000000"/>
        </w:rPr>
        <w:t>（项目名称）</w:t>
      </w:r>
      <w:r>
        <w:rPr>
          <w:rStyle w:val="49"/>
          <w:rFonts w:ascii="宋体" w:hAnsi="宋体"/>
          <w:color w:val="auto"/>
          <w:kern w:val="0"/>
          <w:sz w:val="21"/>
          <w:szCs w:val="21"/>
          <w:highlight w:val="none"/>
        </w:rPr>
        <w:t>采购活动，</w:t>
      </w:r>
      <w:r>
        <w:rPr>
          <w:rStyle w:val="49"/>
          <w:rFonts w:hint="eastAsia" w:ascii="宋体" w:hAnsi="宋体" w:eastAsia="宋体"/>
          <w:color w:val="auto"/>
          <w:kern w:val="0"/>
          <w:sz w:val="21"/>
          <w:szCs w:val="21"/>
          <w:highlight w:val="none"/>
          <w:lang w:val="en-US" w:eastAsia="zh-CN"/>
        </w:rPr>
        <w:t>工程的施工单位</w:t>
      </w:r>
      <w:r>
        <w:rPr>
          <w:rStyle w:val="49"/>
          <w:rFonts w:ascii="宋体" w:hAnsi="宋体"/>
          <w:color w:val="auto"/>
          <w:kern w:val="0"/>
          <w:sz w:val="21"/>
          <w:szCs w:val="21"/>
          <w:highlight w:val="none"/>
        </w:rPr>
        <w:t>全部</w:t>
      </w:r>
      <w:r>
        <w:rPr>
          <w:rStyle w:val="49"/>
          <w:rFonts w:hint="eastAsia" w:ascii="宋体" w:hAnsi="宋体" w:eastAsia="宋体"/>
          <w:color w:val="auto"/>
          <w:kern w:val="0"/>
          <w:sz w:val="21"/>
          <w:szCs w:val="21"/>
          <w:highlight w:val="none"/>
          <w:lang w:val="en-US" w:eastAsia="zh-CN"/>
        </w:rPr>
        <w:t>为</w:t>
      </w:r>
      <w:r>
        <w:rPr>
          <w:rStyle w:val="49"/>
          <w:rFonts w:ascii="宋体" w:hAnsi="宋体"/>
          <w:color w:val="auto"/>
          <w:kern w:val="0"/>
          <w:sz w:val="21"/>
          <w:szCs w:val="21"/>
          <w:highlight w:val="none"/>
        </w:rPr>
        <w:t>符合政策要求的中小企业。相关企业（含联合体中的中小企业、签订分包意向协议的中小企业）的具体情况如下：</w:t>
      </w:r>
    </w:p>
    <w:p w14:paraId="31C23630">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 xml:space="preserve">1. </w:t>
      </w:r>
      <w:r>
        <w:rPr>
          <w:rStyle w:val="49"/>
          <w:rFonts w:ascii="宋体" w:hAnsi="宋体"/>
          <w:color w:val="auto"/>
          <w:kern w:val="0"/>
          <w:sz w:val="21"/>
          <w:szCs w:val="21"/>
          <w:highlight w:val="none"/>
          <w:u w:val="single" w:color="000000"/>
        </w:rPr>
        <w:t xml:space="preserve">（标的名称） </w:t>
      </w:r>
      <w:r>
        <w:rPr>
          <w:rStyle w:val="49"/>
          <w:rFonts w:ascii="宋体" w:hAnsi="宋体"/>
          <w:color w:val="auto"/>
          <w:kern w:val="0"/>
          <w:sz w:val="21"/>
          <w:szCs w:val="21"/>
          <w:highlight w:val="none"/>
        </w:rPr>
        <w:t xml:space="preserve">，属于 </w:t>
      </w:r>
      <w:r>
        <w:rPr>
          <w:rStyle w:val="49"/>
          <w:rFonts w:ascii="宋体" w:hAnsi="宋体"/>
          <w:color w:val="auto"/>
          <w:kern w:val="0"/>
          <w:sz w:val="21"/>
          <w:szCs w:val="21"/>
          <w:highlight w:val="none"/>
          <w:u w:val="single" w:color="000000"/>
        </w:rPr>
        <w:t>（</w:t>
      </w:r>
      <w:r>
        <w:rPr>
          <w:rStyle w:val="49"/>
          <w:rFonts w:hint="eastAsia" w:ascii="宋体" w:hAnsi="宋体"/>
          <w:color w:val="auto"/>
          <w:kern w:val="0"/>
          <w:sz w:val="21"/>
          <w:szCs w:val="21"/>
          <w:highlight w:val="none"/>
          <w:u w:val="single" w:color="000000"/>
        </w:rPr>
        <w:t>招标</w:t>
      </w:r>
      <w:r>
        <w:rPr>
          <w:rStyle w:val="49"/>
          <w:rFonts w:ascii="宋体" w:hAnsi="宋体"/>
          <w:color w:val="auto"/>
          <w:kern w:val="0"/>
          <w:sz w:val="21"/>
          <w:szCs w:val="21"/>
          <w:highlight w:val="none"/>
          <w:u w:val="single" w:color="000000"/>
        </w:rPr>
        <w:t xml:space="preserve">文件中明确的所属行业） </w:t>
      </w:r>
      <w:r>
        <w:rPr>
          <w:rStyle w:val="49"/>
          <w:rFonts w:ascii="宋体" w:hAnsi="宋体"/>
          <w:color w:val="auto"/>
          <w:kern w:val="0"/>
          <w:sz w:val="21"/>
          <w:szCs w:val="21"/>
          <w:highlight w:val="none"/>
        </w:rPr>
        <w:t>； 承接企业为</w:t>
      </w:r>
      <w:r>
        <w:rPr>
          <w:rStyle w:val="49"/>
          <w:rFonts w:ascii="宋体" w:hAnsi="宋体"/>
          <w:color w:val="auto"/>
          <w:kern w:val="0"/>
          <w:sz w:val="21"/>
          <w:szCs w:val="21"/>
          <w:highlight w:val="none"/>
          <w:u w:val="single" w:color="000000"/>
        </w:rPr>
        <w:t>（企业名称）</w:t>
      </w:r>
      <w:r>
        <w:rPr>
          <w:rStyle w:val="49"/>
          <w:rFonts w:ascii="宋体" w:hAnsi="宋体"/>
          <w:color w:val="auto"/>
          <w:kern w:val="0"/>
          <w:sz w:val="21"/>
          <w:szCs w:val="21"/>
          <w:highlight w:val="none"/>
        </w:rPr>
        <w:t>，从业人员</w:t>
      </w:r>
      <w:r>
        <w:rPr>
          <w:rStyle w:val="49"/>
          <w:rFonts w:ascii="宋体" w:hAnsi="宋体"/>
          <w:color w:val="auto"/>
          <w:kern w:val="0"/>
          <w:sz w:val="21"/>
          <w:szCs w:val="21"/>
          <w:highlight w:val="none"/>
          <w:u w:val="single" w:color="000000"/>
        </w:rPr>
        <w:t xml:space="preserve">    </w:t>
      </w:r>
      <w:r>
        <w:rPr>
          <w:rStyle w:val="49"/>
          <w:rFonts w:ascii="宋体" w:hAnsi="宋体"/>
          <w:color w:val="auto"/>
          <w:kern w:val="0"/>
          <w:sz w:val="21"/>
          <w:szCs w:val="21"/>
          <w:highlight w:val="none"/>
        </w:rPr>
        <w:t>人，营业收入为</w:t>
      </w:r>
      <w:r>
        <w:rPr>
          <w:rStyle w:val="49"/>
          <w:rFonts w:ascii="宋体" w:hAnsi="宋体"/>
          <w:color w:val="auto"/>
          <w:kern w:val="0"/>
          <w:sz w:val="21"/>
          <w:szCs w:val="21"/>
          <w:highlight w:val="none"/>
          <w:u w:val="single" w:color="000000"/>
        </w:rPr>
        <w:t xml:space="preserve">    </w:t>
      </w:r>
      <w:r>
        <w:rPr>
          <w:rStyle w:val="49"/>
          <w:rFonts w:ascii="宋体" w:hAnsi="宋体"/>
          <w:color w:val="auto"/>
          <w:kern w:val="0"/>
          <w:sz w:val="21"/>
          <w:szCs w:val="21"/>
          <w:highlight w:val="none"/>
        </w:rPr>
        <w:t>万元，资产总额为</w:t>
      </w:r>
      <w:r>
        <w:rPr>
          <w:rStyle w:val="49"/>
          <w:rFonts w:ascii="宋体" w:hAnsi="宋体"/>
          <w:color w:val="auto"/>
          <w:kern w:val="0"/>
          <w:sz w:val="21"/>
          <w:szCs w:val="21"/>
          <w:highlight w:val="none"/>
          <w:u w:val="single" w:color="000000"/>
        </w:rPr>
        <w:t xml:space="preserve">    </w:t>
      </w:r>
      <w:r>
        <w:rPr>
          <w:rStyle w:val="49"/>
          <w:rFonts w:ascii="宋体" w:hAnsi="宋体"/>
          <w:color w:val="auto"/>
          <w:kern w:val="0"/>
          <w:sz w:val="21"/>
          <w:szCs w:val="21"/>
          <w:highlight w:val="none"/>
        </w:rPr>
        <w:t>万元，属于</w:t>
      </w:r>
      <w:r>
        <w:rPr>
          <w:rStyle w:val="49"/>
          <w:rFonts w:ascii="宋体" w:hAnsi="宋体"/>
          <w:color w:val="auto"/>
          <w:kern w:val="0"/>
          <w:sz w:val="21"/>
          <w:szCs w:val="21"/>
          <w:highlight w:val="none"/>
          <w:u w:val="single" w:color="000000"/>
        </w:rPr>
        <w:t>（中型企业、 小型企业、微型企业）</w:t>
      </w:r>
      <w:r>
        <w:rPr>
          <w:rStyle w:val="49"/>
          <w:rFonts w:ascii="宋体" w:hAnsi="宋体"/>
          <w:color w:val="auto"/>
          <w:kern w:val="0"/>
          <w:sz w:val="21"/>
          <w:szCs w:val="21"/>
          <w:highlight w:val="none"/>
        </w:rPr>
        <w:t xml:space="preserve">； </w:t>
      </w:r>
    </w:p>
    <w:p w14:paraId="30E02665">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以上企业，不属于大企业的分支机构，不存在控股股东 为大企业的情形，也不存在与大企业的负责人为同一人的情形。</w:t>
      </w:r>
    </w:p>
    <w:p w14:paraId="3A9810F4">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 xml:space="preserve">本企业对上述声明内容的真实性负责。如有虚假，将依法承担相应责任。 </w:t>
      </w:r>
    </w:p>
    <w:p w14:paraId="39D6C2F7">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p>
    <w:p w14:paraId="31C30182">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8557B83">
      <w:pPr>
        <w:pStyle w:val="14"/>
        <w:spacing w:line="300" w:lineRule="exact"/>
        <w:ind w:left="2940" w:leftChars="1400" w:firstLine="630" w:firstLineChars="300"/>
        <w:rPr>
          <w:rFonts w:hint="eastAsia" w:ascii="宋体" w:hAnsi="宋体" w:eastAsia="宋体" w:cs="宋体"/>
          <w:color w:val="auto"/>
          <w:highlight w:val="none"/>
        </w:rPr>
      </w:pPr>
    </w:p>
    <w:p w14:paraId="425F396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82EFC2A">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p>
    <w:p w14:paraId="5729D9BB">
      <w:pPr>
        <w:pStyle w:val="19"/>
        <w:rPr>
          <w:rFonts w:hint="eastAsia" w:ascii="宋体" w:hAnsi="宋体" w:eastAsia="宋体" w:cs="宋体"/>
          <w:b/>
          <w:color w:val="auto"/>
          <w:sz w:val="21"/>
          <w:szCs w:val="21"/>
          <w:highlight w:val="none"/>
        </w:rPr>
      </w:pPr>
    </w:p>
    <w:p w14:paraId="111FFD3F">
      <w:pPr>
        <w:pStyle w:val="19"/>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1D04B7AE">
      <w:pPr>
        <w:spacing w:line="360" w:lineRule="auto"/>
        <w:rPr>
          <w:rFonts w:hint="eastAsia" w:ascii="宋体" w:hAnsi="宋体" w:eastAsia="宋体" w:cs="宋体"/>
          <w:b/>
          <w:color w:val="auto"/>
          <w:kern w:val="0"/>
          <w:sz w:val="28"/>
          <w:szCs w:val="28"/>
          <w:highlight w:val="none"/>
        </w:rPr>
      </w:pPr>
    </w:p>
    <w:p w14:paraId="7DF02632">
      <w:pPr>
        <w:spacing w:line="460" w:lineRule="exact"/>
        <w:rPr>
          <w:rFonts w:hint="eastAsia" w:ascii="宋体" w:hAnsi="宋体" w:eastAsia="宋体" w:cs="宋体"/>
          <w:b/>
          <w:color w:val="auto"/>
          <w:kern w:val="0"/>
          <w:sz w:val="28"/>
          <w:szCs w:val="28"/>
          <w:highlight w:val="none"/>
        </w:rPr>
      </w:pPr>
    </w:p>
    <w:p w14:paraId="7E37EE7B">
      <w:pPr>
        <w:pStyle w:val="11"/>
        <w:rPr>
          <w:rFonts w:hint="eastAsia" w:ascii="宋体" w:hAnsi="宋体" w:eastAsia="宋体" w:cs="宋体"/>
          <w:b/>
          <w:color w:val="auto"/>
          <w:kern w:val="0"/>
          <w:sz w:val="28"/>
          <w:szCs w:val="28"/>
          <w:highlight w:val="none"/>
        </w:rPr>
      </w:pPr>
    </w:p>
    <w:p w14:paraId="042E9C3C">
      <w:pPr>
        <w:rPr>
          <w:rFonts w:hint="eastAsia"/>
          <w:color w:val="auto"/>
          <w:highlight w:val="none"/>
        </w:rPr>
      </w:pPr>
    </w:p>
    <w:p w14:paraId="134FEC86">
      <w:pPr>
        <w:rPr>
          <w:rStyle w:val="49"/>
          <w:rFonts w:ascii="宋体" w:hAnsi="宋体" w:cs="宋体"/>
          <w:b/>
          <w:bCs/>
          <w:color w:val="auto"/>
          <w:sz w:val="30"/>
          <w:szCs w:val="30"/>
          <w:highlight w:val="none"/>
        </w:rPr>
      </w:pPr>
    </w:p>
    <w:p w14:paraId="425C93BA">
      <w:pPr>
        <w:rPr>
          <w:rStyle w:val="49"/>
          <w:rFonts w:ascii="宋体" w:hAnsi="宋体" w:cs="宋体"/>
          <w:b/>
          <w:bCs/>
          <w:color w:val="auto"/>
          <w:sz w:val="30"/>
          <w:szCs w:val="30"/>
          <w:highlight w:val="none"/>
        </w:rPr>
      </w:pPr>
    </w:p>
    <w:p w14:paraId="2BE92D44">
      <w:pPr>
        <w:rPr>
          <w:rStyle w:val="49"/>
          <w:rFonts w:ascii="宋体" w:hAnsi="宋体" w:cs="宋体"/>
          <w:b/>
          <w:bCs/>
          <w:color w:val="auto"/>
          <w:sz w:val="30"/>
          <w:szCs w:val="30"/>
          <w:highlight w:val="none"/>
        </w:rPr>
      </w:pPr>
    </w:p>
    <w:p w14:paraId="0A6FA9B2">
      <w:pPr>
        <w:rPr>
          <w:rStyle w:val="49"/>
          <w:rFonts w:ascii="宋体" w:hAnsi="宋体" w:cs="宋体"/>
          <w:b/>
          <w:bCs/>
          <w:color w:val="auto"/>
          <w:sz w:val="30"/>
          <w:szCs w:val="30"/>
          <w:highlight w:val="none"/>
        </w:rPr>
      </w:pPr>
    </w:p>
    <w:p w14:paraId="1AAEDF64">
      <w:pPr>
        <w:rPr>
          <w:rStyle w:val="49"/>
          <w:rFonts w:ascii="宋体" w:hAnsi="宋体" w:cs="宋体"/>
          <w:b/>
          <w:bCs/>
          <w:color w:val="auto"/>
          <w:sz w:val="30"/>
          <w:szCs w:val="30"/>
          <w:highlight w:val="none"/>
        </w:rPr>
      </w:pPr>
    </w:p>
    <w:p w14:paraId="22C9129D">
      <w:pPr>
        <w:rPr>
          <w:rStyle w:val="49"/>
          <w:rFonts w:ascii="宋体" w:hAnsi="宋体" w:cs="宋体"/>
          <w:b/>
          <w:bCs/>
          <w:color w:val="auto"/>
          <w:sz w:val="30"/>
          <w:szCs w:val="30"/>
          <w:highlight w:val="none"/>
        </w:rPr>
      </w:pPr>
    </w:p>
    <w:p w14:paraId="28625AD6">
      <w:pPr>
        <w:rPr>
          <w:rStyle w:val="49"/>
          <w:rFonts w:ascii="宋体" w:hAnsi="宋体" w:cs="宋体"/>
          <w:b/>
          <w:bCs/>
          <w:color w:val="auto"/>
          <w:sz w:val="30"/>
          <w:szCs w:val="30"/>
          <w:highlight w:val="none"/>
        </w:rPr>
      </w:pPr>
    </w:p>
    <w:p w14:paraId="2F863A6D">
      <w:pPr>
        <w:rPr>
          <w:rStyle w:val="49"/>
          <w:rFonts w:ascii="宋体" w:hAnsi="宋体" w:cs="宋体"/>
          <w:b/>
          <w:bCs/>
          <w:color w:val="auto"/>
          <w:sz w:val="30"/>
          <w:szCs w:val="30"/>
          <w:highlight w:val="none"/>
        </w:rPr>
      </w:pPr>
      <w:r>
        <w:rPr>
          <w:rStyle w:val="49"/>
          <w:rFonts w:ascii="宋体" w:hAnsi="宋体" w:cs="宋体"/>
          <w:b/>
          <w:bCs/>
          <w:color w:val="auto"/>
          <w:sz w:val="30"/>
          <w:szCs w:val="30"/>
          <w:highlight w:val="none"/>
        </w:rPr>
        <w:br w:type="page"/>
      </w:r>
    </w:p>
    <w:p w14:paraId="5677F754">
      <w:pPr>
        <w:rPr>
          <w:rStyle w:val="49"/>
          <w:rFonts w:ascii="宋体" w:hAnsi="宋体" w:cs="宋体"/>
          <w:b/>
          <w:bCs/>
          <w:color w:val="auto"/>
          <w:highlight w:val="none"/>
        </w:rPr>
      </w:pPr>
      <w:r>
        <w:rPr>
          <w:rStyle w:val="49"/>
          <w:rFonts w:ascii="宋体" w:hAnsi="宋体" w:cs="宋体"/>
          <w:b/>
          <w:bCs/>
          <w:color w:val="auto"/>
          <w:sz w:val="30"/>
          <w:szCs w:val="30"/>
          <w:highlight w:val="none"/>
        </w:rPr>
        <w:t>附表</w:t>
      </w:r>
    </w:p>
    <w:p w14:paraId="4E6CDC12">
      <w:pPr>
        <w:spacing w:before="120" w:after="120" w:line="400" w:lineRule="exact"/>
        <w:jc w:val="center"/>
        <w:rPr>
          <w:rStyle w:val="49"/>
          <w:rFonts w:ascii="宋体" w:hAnsi="宋体" w:cs="宋体"/>
          <w:b/>
          <w:bCs/>
          <w:color w:val="auto"/>
          <w:kern w:val="0"/>
          <w:sz w:val="30"/>
          <w:szCs w:val="30"/>
          <w:highlight w:val="none"/>
        </w:rPr>
      </w:pPr>
      <w:r>
        <w:rPr>
          <w:rStyle w:val="49"/>
          <w:rFonts w:ascii="宋体" w:hAnsi="宋体" w:cs="宋体"/>
          <w:b/>
          <w:bCs/>
          <w:color w:val="auto"/>
          <w:kern w:val="0"/>
          <w:sz w:val="30"/>
          <w:szCs w:val="30"/>
          <w:highlight w:val="none"/>
        </w:rPr>
        <w:t>统计上大中小微型企业划分标准</w:t>
      </w:r>
    </w:p>
    <w:tbl>
      <w:tblPr>
        <w:tblStyle w:val="29"/>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7CD1C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FE5BF30">
            <w:pPr>
              <w:spacing w:line="240" w:lineRule="exact"/>
              <w:jc w:val="center"/>
              <w:rPr>
                <w:rStyle w:val="49"/>
                <w:rFonts w:ascii="宋体" w:hAnsi="宋体" w:cs="宋体"/>
                <w:b/>
                <w:bCs/>
                <w:color w:val="auto"/>
                <w:kern w:val="0"/>
                <w:sz w:val="18"/>
                <w:szCs w:val="21"/>
                <w:highlight w:val="none"/>
              </w:rPr>
            </w:pPr>
            <w:r>
              <w:rPr>
                <w:rStyle w:val="49"/>
                <w:rFonts w:ascii="宋体" w:hAnsi="宋体" w:cs="宋体"/>
                <w:b/>
                <w:bCs/>
                <w:color w:val="auto"/>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2D55CC59">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6E85A36D">
            <w:pPr>
              <w:jc w:val="center"/>
              <w:rPr>
                <w:rStyle w:val="49"/>
                <w:rFonts w:hint="eastAsia" w:ascii="宋体" w:hAnsi="宋体" w:eastAsia="宋体" w:cs="宋体"/>
                <w:b/>
                <w:bCs/>
                <w:color w:val="auto"/>
                <w:kern w:val="0"/>
                <w:sz w:val="18"/>
                <w:szCs w:val="18"/>
                <w:highlight w:val="none"/>
                <w:lang w:eastAsia="zh-CN"/>
              </w:rPr>
            </w:pPr>
            <w:r>
              <w:rPr>
                <w:rStyle w:val="49"/>
                <w:rFonts w:ascii="宋体" w:hAnsi="宋体" w:cs="宋体"/>
                <w:b/>
                <w:bCs/>
                <w:color w:val="auto"/>
                <w:kern w:val="0"/>
                <w:sz w:val="18"/>
                <w:szCs w:val="18"/>
                <w:highlight w:val="none"/>
              </w:rPr>
              <w:t>计量</w:t>
            </w:r>
          </w:p>
          <w:p w14:paraId="02C37948">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4A5F4F0C">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BA3C8D8">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68FB4C40">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F246613">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微型</w:t>
            </w:r>
          </w:p>
        </w:tc>
      </w:tr>
      <w:tr w14:paraId="16411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44513319">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DA3B9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BB31C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1D3E4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CDF1D4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95447E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553C05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w:t>
            </w:r>
          </w:p>
        </w:tc>
      </w:tr>
      <w:tr w14:paraId="5DB75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522FDD">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2F738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A0B23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6A094B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DD715E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68CA6A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571F9F6">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7B28D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C949F">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40BE8DB">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031CD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4F2565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A2B966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500137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0DDAE8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w:t>
            </w:r>
          </w:p>
        </w:tc>
      </w:tr>
      <w:tr w14:paraId="78E29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672EC0">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48A19E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F8533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96FEE7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5FC40A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05B33F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8605BC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w:t>
            </w:r>
          </w:p>
        </w:tc>
      </w:tr>
      <w:tr w14:paraId="4DBA9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2544E">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8C65579">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E11BF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AFFFB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C247D0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B0964C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75D72F5">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Z＜300</w:t>
            </w:r>
          </w:p>
        </w:tc>
      </w:tr>
      <w:tr w14:paraId="5B19C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7AF1D3">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0B7A0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155ED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6BC696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DD5144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9F76AC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71CB76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X＜5</w:t>
            </w:r>
          </w:p>
        </w:tc>
      </w:tr>
      <w:tr w14:paraId="6D6EB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C4ABD">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3EE0F8B">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98BA0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C10EF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AFBFDD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88E7C7B">
            <w:pPr>
              <w:ind w:left="-1" w:leftChars="-1" w:hanging="1"/>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209A2F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w:t>
            </w:r>
          </w:p>
        </w:tc>
      </w:tr>
      <w:tr w14:paraId="4874A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3D6FF9">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38800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767AA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E8BBBD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49B6D9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1570B54">
            <w:pPr>
              <w:ind w:left="-1" w:leftChars="-1" w:hanging="1"/>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98CCEA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65251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3B64B">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8F55D7">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9DB25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549810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7BC07F6">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9D6F1C0">
            <w:pPr>
              <w:ind w:left="-1" w:leftChars="-1" w:hanging="1"/>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E66D96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14362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40569F">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204BD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A6977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457543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131709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673F43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42F16D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1CF3B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2640A">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D735C4">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08235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7053A7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B283D4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64E3A6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3E557C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w:t>
            </w:r>
          </w:p>
        </w:tc>
      </w:tr>
      <w:tr w14:paraId="4B111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C15C25">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C6755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700E85">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1B4723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19A151C">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E19F06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8F073C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5A789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37D0A">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EF6BFC">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9F3A0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D9F98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833A9D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24C1785">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ADFDA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154FC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804B9E">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21D71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02D71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67122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A845AD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0D1C8D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B130C6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1322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E0AB2">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4B5D13">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0C664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CACCA1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86D1AA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0EB77C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78E206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313D2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7B56A">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D957C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52539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213F5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15D276E">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62F48A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471B2B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085B1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7F93F">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385E74C">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2A43D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9E3FDC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82DC84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431797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9F0DF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3CD81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BC6E6C">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94A6F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FB5E6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6BFDB3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A0E820B">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5BCA51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018420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47ACA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62644A">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0009FD">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1BCE5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4FB9B6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85059B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118956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80519B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2A272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5C73A4">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529C15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B973E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F1B71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08452A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A15483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9F0523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5A97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4A79F">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D6689A0">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B854F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2E2395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9A0E19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A1BB49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8D244A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4F8D5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611E5">
            <w:pPr>
              <w:spacing w:line="240" w:lineRule="exact"/>
              <w:jc w:val="left"/>
              <w:rPr>
                <w:rStyle w:val="49"/>
                <w:rFonts w:ascii="宋体" w:hAnsi="宋体"/>
                <w:color w:val="auto"/>
                <w:spacing w:val="-12"/>
                <w:kern w:val="0"/>
                <w:sz w:val="18"/>
                <w:szCs w:val="18"/>
                <w:highlight w:val="none"/>
              </w:rPr>
            </w:pPr>
            <w:r>
              <w:rPr>
                <w:rStyle w:val="49"/>
                <w:rFonts w:ascii="宋体" w:hAnsi="宋体"/>
                <w:color w:val="auto"/>
                <w:spacing w:val="-12"/>
                <w:kern w:val="0"/>
                <w:sz w:val="18"/>
                <w:szCs w:val="18"/>
                <w:highlight w:val="none"/>
              </w:rPr>
              <w:t>软件和信息技术服</w:t>
            </w:r>
            <w:r>
              <w:rPr>
                <w:rStyle w:val="49"/>
                <w:rFonts w:ascii="宋体" w:hAnsi="宋体"/>
                <w:color w:val="auto"/>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C048FF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DD941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687BB7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AD355C6">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0879A5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5A56D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3B88D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DC679">
            <w:pPr>
              <w:jc w:val="left"/>
              <w:rPr>
                <w:rStyle w:val="49"/>
                <w:rFonts w:ascii="宋体" w:hAnsi="宋体"/>
                <w:color w:val="auto"/>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21398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AF529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2251D0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A0EEA3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83014C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6FFAA5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w:t>
            </w:r>
          </w:p>
        </w:tc>
      </w:tr>
      <w:tr w14:paraId="2700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15E2E">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AE3B6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A6BB5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3BA20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3C0551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3901EC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5555F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184A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4A657">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E79A42">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2B7F6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B18780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8A375A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CC0F1B5">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03037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Z＜2000</w:t>
            </w:r>
          </w:p>
        </w:tc>
      </w:tr>
      <w:tr w14:paraId="286E8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A1620">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6F15B4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2DA29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2B75FC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4902D0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4724DF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0D4DB7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w:t>
            </w:r>
          </w:p>
        </w:tc>
      </w:tr>
      <w:tr w14:paraId="679A7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DCD27">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68A8E1">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A23DD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41F2CF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464B08D">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F36122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2A47DE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Y＜500</w:t>
            </w:r>
          </w:p>
        </w:tc>
      </w:tr>
      <w:tr w14:paraId="677C8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1509B">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64C8CC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EB99E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1A86AA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A260C05">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021524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9BA961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5320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8127F">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7F8E0C2">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C1D456">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FADB55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10E561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718748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31B9F36">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Z＜100</w:t>
            </w:r>
          </w:p>
        </w:tc>
      </w:tr>
      <w:tr w14:paraId="5253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76433455">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3A807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635A75">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931EB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3682AA7">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859F9E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4F1AB6">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bl>
    <w:p w14:paraId="46308210">
      <w:pPr>
        <w:spacing w:line="540" w:lineRule="exact"/>
        <w:rPr>
          <w:rStyle w:val="49"/>
          <w:rFonts w:ascii="宋体" w:hAnsi="宋体"/>
          <w:color w:val="auto"/>
          <w:spacing w:val="8"/>
          <w:kern w:val="0"/>
          <w:szCs w:val="21"/>
          <w:highlight w:val="none"/>
        </w:rPr>
      </w:pPr>
    </w:p>
    <w:p w14:paraId="1609D56A">
      <w:pPr>
        <w:spacing w:line="540" w:lineRule="exact"/>
        <w:rPr>
          <w:rStyle w:val="49"/>
          <w:rFonts w:ascii="宋体" w:hAnsi="宋体"/>
          <w:color w:val="auto"/>
          <w:spacing w:val="8"/>
          <w:kern w:val="0"/>
          <w:szCs w:val="21"/>
          <w:highlight w:val="none"/>
        </w:rPr>
      </w:pPr>
      <w:r>
        <w:rPr>
          <w:rStyle w:val="49"/>
          <w:rFonts w:ascii="宋体" w:hAnsi="宋体"/>
          <w:color w:val="auto"/>
          <w:spacing w:val="8"/>
          <w:kern w:val="0"/>
          <w:szCs w:val="21"/>
          <w:highlight w:val="none"/>
        </w:rPr>
        <w:t>说明：</w:t>
      </w:r>
    </w:p>
    <w:p w14:paraId="2668F2F9">
      <w:pPr>
        <w:pStyle w:val="50"/>
        <w:spacing w:line="380" w:lineRule="exact"/>
        <w:ind w:firstLine="452" w:firstLineChars="200"/>
        <w:rPr>
          <w:rStyle w:val="49"/>
          <w:rFonts w:hAnsi="宋体"/>
          <w:color w:val="auto"/>
          <w:spacing w:val="8"/>
          <w:szCs w:val="21"/>
          <w:highlight w:val="none"/>
        </w:rPr>
      </w:pPr>
      <w:r>
        <w:rPr>
          <w:rStyle w:val="49"/>
          <w:rFonts w:hAnsi="宋体"/>
          <w:color w:val="auto"/>
          <w:spacing w:val="8"/>
          <w:szCs w:val="21"/>
          <w:highlight w:val="none"/>
        </w:rPr>
        <w:t>1.大型、中型和小型企业须同时满足所列指标的下限，否则下划一档；微型企业只须满足所列指标中的一项即可。</w:t>
      </w:r>
    </w:p>
    <w:p w14:paraId="15C3549B">
      <w:pPr>
        <w:pStyle w:val="50"/>
        <w:spacing w:line="380" w:lineRule="exact"/>
        <w:ind w:firstLine="452" w:firstLineChars="200"/>
        <w:rPr>
          <w:rStyle w:val="49"/>
          <w:rFonts w:hAnsi="宋体"/>
          <w:color w:val="auto"/>
          <w:spacing w:val="8"/>
          <w:szCs w:val="21"/>
          <w:highlight w:val="none"/>
        </w:rPr>
      </w:pPr>
      <w:r>
        <w:rPr>
          <w:rStyle w:val="49"/>
          <w:rFonts w:hAnsi="宋体"/>
          <w:color w:val="auto"/>
          <w:spacing w:val="8"/>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7537E1B">
      <w:pPr>
        <w:pStyle w:val="14"/>
        <w:spacing w:line="340" w:lineRule="exact"/>
        <w:rPr>
          <w:rFonts w:hint="eastAsia" w:ascii="宋体" w:hAnsi="宋体" w:eastAsia="宋体" w:cs="宋体"/>
          <w:b/>
          <w:color w:val="auto"/>
          <w:sz w:val="28"/>
          <w:szCs w:val="28"/>
          <w:highlight w:val="none"/>
          <w:lang w:val="en-US" w:eastAsia="zh-CN"/>
        </w:rPr>
      </w:pPr>
      <w:r>
        <w:rPr>
          <w:rStyle w:val="49"/>
          <w:rFonts w:hAnsi="宋体"/>
          <w:color w:val="auto"/>
          <w:spacing w:val="8"/>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ED9950F">
      <w:pPr>
        <w:pStyle w:val="14"/>
        <w:spacing w:line="340" w:lineRule="exact"/>
        <w:rPr>
          <w:rFonts w:hint="eastAsia" w:ascii="宋体" w:hAnsi="宋体" w:eastAsia="宋体" w:cs="宋体"/>
          <w:b/>
          <w:color w:val="auto"/>
          <w:sz w:val="28"/>
          <w:szCs w:val="28"/>
          <w:highlight w:val="none"/>
          <w:lang w:val="en-US" w:eastAsia="zh-CN"/>
        </w:rPr>
      </w:pPr>
    </w:p>
    <w:p w14:paraId="3B7CDBDC">
      <w:pPr>
        <w:pStyle w:val="7"/>
        <w:rPr>
          <w:rFonts w:hint="eastAsia" w:hAnsi="宋体" w:eastAsia="宋体" w:cs="宋体"/>
          <w:b/>
          <w:color w:val="auto"/>
          <w:sz w:val="28"/>
          <w:szCs w:val="28"/>
          <w:highlight w:val="none"/>
          <w:lang w:val="en-US" w:eastAsia="zh-CN"/>
        </w:rPr>
      </w:pPr>
    </w:p>
    <w:p w14:paraId="4EE8F675">
      <w:pPr>
        <w:rPr>
          <w:rFonts w:hint="eastAsia"/>
          <w:color w:val="auto"/>
          <w:highlight w:val="none"/>
          <w:lang w:val="en-US" w:eastAsia="zh-CN"/>
        </w:rPr>
      </w:pPr>
    </w:p>
    <w:p w14:paraId="47451E38">
      <w:pPr>
        <w:rPr>
          <w:rFonts w:hint="eastAsia"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br w:type="page"/>
      </w:r>
    </w:p>
    <w:p w14:paraId="64DCA17F">
      <w:pPr>
        <w:spacing w:line="588"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残疾人福利性单位声明函（格式）</w:t>
      </w:r>
    </w:p>
    <w:p w14:paraId="538A5537">
      <w:pPr>
        <w:spacing w:line="588" w:lineRule="exact"/>
        <w:rPr>
          <w:rFonts w:hint="eastAsia" w:ascii="宋体" w:hAnsi="宋体" w:eastAsia="宋体" w:cs="宋体"/>
          <w:b/>
          <w:color w:val="auto"/>
          <w:kern w:val="0"/>
          <w:sz w:val="21"/>
          <w:szCs w:val="21"/>
          <w:highlight w:val="none"/>
        </w:rPr>
      </w:pPr>
    </w:p>
    <w:p w14:paraId="61E48A27">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7BB158">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69D31172">
      <w:pPr>
        <w:spacing w:line="588" w:lineRule="exact"/>
        <w:ind w:firstLine="420" w:firstLineChars="200"/>
        <w:rPr>
          <w:rFonts w:hint="eastAsia" w:ascii="宋体" w:hAnsi="宋体" w:eastAsia="宋体" w:cs="宋体"/>
          <w:color w:val="auto"/>
          <w:kern w:val="0"/>
          <w:sz w:val="21"/>
          <w:szCs w:val="21"/>
          <w:highlight w:val="none"/>
        </w:rPr>
      </w:pPr>
    </w:p>
    <w:p w14:paraId="70808E1E">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6BBA03E">
      <w:pPr>
        <w:pStyle w:val="14"/>
        <w:spacing w:line="300" w:lineRule="exact"/>
        <w:ind w:left="2940" w:leftChars="1400" w:firstLine="630" w:firstLineChars="300"/>
        <w:rPr>
          <w:rFonts w:hint="eastAsia" w:ascii="宋体" w:hAnsi="宋体" w:eastAsia="宋体" w:cs="宋体"/>
          <w:color w:val="auto"/>
          <w:sz w:val="21"/>
          <w:szCs w:val="21"/>
          <w:highlight w:val="none"/>
        </w:rPr>
      </w:pPr>
    </w:p>
    <w:p w14:paraId="704B65CB">
      <w:pPr>
        <w:ind w:firstLine="4200" w:firstLineChars="20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E832B89">
      <w:pPr>
        <w:pStyle w:val="5"/>
        <w:rPr>
          <w:rFonts w:hint="eastAsia" w:ascii="宋体" w:hAnsi="宋体" w:eastAsia="宋体" w:cs="宋体"/>
          <w:color w:val="auto"/>
          <w:sz w:val="21"/>
          <w:szCs w:val="21"/>
          <w:highlight w:val="none"/>
          <w:u w:val="single"/>
        </w:rPr>
      </w:pPr>
    </w:p>
    <w:p w14:paraId="47A2D4EE">
      <w:pPr>
        <w:rPr>
          <w:rFonts w:hint="eastAsia" w:ascii="宋体" w:hAnsi="宋体" w:eastAsia="宋体" w:cs="宋体"/>
          <w:color w:val="auto"/>
          <w:sz w:val="21"/>
          <w:szCs w:val="21"/>
          <w:highlight w:val="none"/>
          <w:u w:val="single"/>
        </w:rPr>
      </w:pPr>
    </w:p>
    <w:p w14:paraId="02AEE87B">
      <w:pPr>
        <w:pStyle w:val="5"/>
        <w:rPr>
          <w:rFonts w:hint="eastAsia" w:ascii="宋体" w:hAnsi="宋体" w:eastAsia="宋体" w:cs="宋体"/>
          <w:color w:val="auto"/>
          <w:sz w:val="21"/>
          <w:szCs w:val="21"/>
          <w:highlight w:val="none"/>
          <w:u w:val="single"/>
        </w:rPr>
      </w:pPr>
    </w:p>
    <w:p w14:paraId="2B10AAA2">
      <w:pPr>
        <w:rPr>
          <w:rFonts w:hint="eastAsia" w:ascii="宋体" w:hAnsi="宋体" w:eastAsia="宋体" w:cs="宋体"/>
          <w:color w:val="auto"/>
          <w:sz w:val="21"/>
          <w:szCs w:val="21"/>
          <w:highlight w:val="none"/>
          <w:u w:val="single"/>
        </w:rPr>
      </w:pPr>
    </w:p>
    <w:p w14:paraId="003115FF">
      <w:pPr>
        <w:pStyle w:val="5"/>
        <w:rPr>
          <w:rFonts w:hint="eastAsia" w:ascii="宋体" w:hAnsi="宋体" w:eastAsia="宋体" w:cs="宋体"/>
          <w:b/>
          <w:bCs w:val="0"/>
          <w:color w:val="auto"/>
          <w:kern w:val="0"/>
          <w:sz w:val="21"/>
          <w:szCs w:val="21"/>
          <w:highlight w:val="none"/>
          <w:lang w:val="en-US" w:eastAsia="zh-CN" w:bidi="ar-SA"/>
        </w:rPr>
      </w:pPr>
      <w:bookmarkStart w:id="2384" w:name="_Toc5077"/>
      <w:r>
        <w:rPr>
          <w:rFonts w:hint="eastAsia" w:ascii="宋体" w:hAnsi="宋体" w:eastAsia="宋体" w:cs="宋体"/>
          <w:b/>
          <w:bCs w:val="0"/>
          <w:color w:val="auto"/>
          <w:kern w:val="0"/>
          <w:sz w:val="21"/>
          <w:szCs w:val="21"/>
          <w:highlight w:val="none"/>
          <w:lang w:val="en-US" w:eastAsia="zh-CN" w:bidi="ar-SA"/>
        </w:rPr>
        <w:t>（3）监狱企业的证明文件复印件[供应商如为监狱企业的，应当提供由省级以上监狱管理局、戒毒管理局（含新疆生产建设兵团）出具的属于监狱企业的证明文件, 否则不予享受优惠政策]</w:t>
      </w:r>
      <w:bookmarkEnd w:id="2384"/>
    </w:p>
    <w:p w14:paraId="4A0D9081">
      <w:pPr>
        <w:pStyle w:val="5"/>
        <w:rPr>
          <w:rFonts w:hint="eastAsia" w:ascii="宋体" w:hAnsi="宋体" w:eastAsia="宋体" w:cs="宋体"/>
          <w:color w:val="auto"/>
          <w:sz w:val="21"/>
          <w:szCs w:val="21"/>
          <w:highlight w:val="none"/>
          <w:u w:val="single"/>
        </w:rPr>
      </w:pPr>
    </w:p>
    <w:p w14:paraId="5BAE039E">
      <w:pPr>
        <w:rPr>
          <w:rFonts w:hint="eastAsia" w:ascii="宋体" w:hAnsi="宋体" w:eastAsia="宋体" w:cs="宋体"/>
          <w:color w:val="auto"/>
          <w:sz w:val="21"/>
          <w:szCs w:val="21"/>
          <w:highlight w:val="none"/>
          <w:u w:val="single"/>
        </w:rPr>
      </w:pPr>
    </w:p>
    <w:p w14:paraId="468EE64C">
      <w:pPr>
        <w:pStyle w:val="5"/>
        <w:rPr>
          <w:rFonts w:hint="eastAsia" w:ascii="宋体" w:hAnsi="宋体" w:eastAsia="宋体" w:cs="宋体"/>
          <w:color w:val="auto"/>
          <w:sz w:val="21"/>
          <w:szCs w:val="21"/>
          <w:highlight w:val="none"/>
          <w:u w:val="single"/>
        </w:rPr>
      </w:pPr>
    </w:p>
    <w:p w14:paraId="6C0F8E51">
      <w:pPr>
        <w:rPr>
          <w:rFonts w:hint="eastAsia" w:ascii="宋体" w:hAnsi="宋体" w:eastAsia="宋体" w:cs="宋体"/>
          <w:color w:val="auto"/>
          <w:sz w:val="21"/>
          <w:szCs w:val="21"/>
          <w:highlight w:val="none"/>
          <w:u w:val="single"/>
        </w:rPr>
      </w:pPr>
    </w:p>
    <w:p w14:paraId="7A22DA28">
      <w:pPr>
        <w:pStyle w:val="5"/>
        <w:rPr>
          <w:rFonts w:hint="eastAsia" w:ascii="宋体" w:hAnsi="宋体" w:eastAsia="宋体" w:cs="宋体"/>
          <w:color w:val="auto"/>
          <w:sz w:val="21"/>
          <w:szCs w:val="21"/>
          <w:highlight w:val="none"/>
          <w:u w:val="single"/>
        </w:rPr>
      </w:pPr>
    </w:p>
    <w:p w14:paraId="641DAB76">
      <w:pPr>
        <w:rPr>
          <w:rFonts w:hint="eastAsia" w:ascii="宋体" w:hAnsi="宋体" w:eastAsia="宋体" w:cs="宋体"/>
          <w:color w:val="auto"/>
          <w:sz w:val="21"/>
          <w:szCs w:val="21"/>
          <w:highlight w:val="none"/>
          <w:u w:val="single"/>
        </w:rPr>
      </w:pPr>
    </w:p>
    <w:p w14:paraId="7258607B">
      <w:pPr>
        <w:rPr>
          <w:rFonts w:hint="eastAsia"/>
          <w:color w:val="auto"/>
          <w:highlight w:val="none"/>
          <w:lang w:val="en-US" w:eastAsia="zh-CN"/>
        </w:rPr>
      </w:pPr>
      <w:r>
        <w:rPr>
          <w:rFonts w:hint="eastAsia"/>
          <w:color w:val="auto"/>
          <w:highlight w:val="none"/>
          <w:lang w:val="en-US" w:eastAsia="zh-CN"/>
        </w:rPr>
        <w:br w:type="page"/>
      </w:r>
    </w:p>
    <w:p w14:paraId="5E866397">
      <w:pPr>
        <w:pStyle w:val="14"/>
        <w:spacing w:line="340" w:lineRule="exact"/>
        <w:rPr>
          <w:rFonts w:hint="default"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.供应商有效的安全生产许可证书复印件（必须提供）；</w:t>
      </w:r>
    </w:p>
    <w:p w14:paraId="71D802C9">
      <w:pPr>
        <w:pStyle w:val="14"/>
        <w:spacing w:line="340" w:lineRule="exact"/>
        <w:rPr>
          <w:rFonts w:hint="eastAsia" w:ascii="宋体" w:hAnsi="宋体" w:eastAsia="宋体" w:cs="宋体"/>
          <w:b/>
          <w:color w:val="auto"/>
          <w:sz w:val="28"/>
          <w:szCs w:val="28"/>
          <w:highlight w:val="none"/>
          <w:lang w:val="en-US" w:eastAsia="zh-CN"/>
        </w:rPr>
      </w:pPr>
    </w:p>
    <w:p w14:paraId="58D30EEC">
      <w:pPr>
        <w:rPr>
          <w:rFonts w:hint="eastAsia"/>
          <w:color w:val="auto"/>
          <w:highlight w:val="none"/>
          <w:lang w:val="en-US" w:eastAsia="zh-CN"/>
        </w:rPr>
      </w:pPr>
    </w:p>
    <w:p w14:paraId="32FCB274">
      <w:pPr>
        <w:pStyle w:val="14"/>
        <w:spacing w:line="340" w:lineRule="exact"/>
        <w:rPr>
          <w:rFonts w:hint="eastAsia" w:hAnsi="宋体" w:eastAsia="宋体" w:cs="宋体"/>
          <w:b/>
          <w:color w:val="auto"/>
          <w:sz w:val="28"/>
          <w:szCs w:val="28"/>
          <w:highlight w:val="none"/>
          <w:lang w:val="en-US" w:eastAsia="zh-CN"/>
        </w:rPr>
      </w:pPr>
    </w:p>
    <w:p w14:paraId="18A5674E">
      <w:pPr>
        <w:pStyle w:val="14"/>
        <w:spacing w:line="340" w:lineRule="exact"/>
        <w:rPr>
          <w:rFonts w:hint="eastAsia"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hAnsi="宋体" w:cs="宋体"/>
          <w:b/>
          <w:color w:val="auto"/>
          <w:sz w:val="28"/>
          <w:szCs w:val="28"/>
          <w:highlight w:val="none"/>
          <w:lang w:val="en-US" w:eastAsia="zh-CN"/>
        </w:rPr>
        <w:t>供应商2023或2024年度财务状况报告</w:t>
      </w:r>
      <w:r>
        <w:rPr>
          <w:rFonts w:hint="eastAsia" w:ascii="宋体" w:hAnsi="宋体" w:eastAsia="宋体" w:cs="宋体"/>
          <w:b/>
          <w:color w:val="auto"/>
          <w:sz w:val="28"/>
          <w:szCs w:val="28"/>
          <w:highlight w:val="none"/>
          <w:lang w:val="en-US" w:eastAsia="zh-CN"/>
        </w:rPr>
        <w:t>（必须提供，可以是磋商供应商自行编制也可是通过第三方审计公司编制，如为自行编制至少须提供现金流量表、负债表及利润表）；</w:t>
      </w:r>
    </w:p>
    <w:p w14:paraId="4CCDC1F8">
      <w:pPr>
        <w:pStyle w:val="9"/>
        <w:numPr>
          <w:ilvl w:val="0"/>
          <w:numId w:val="0"/>
        </w:numPr>
        <w:rPr>
          <w:rFonts w:hint="eastAsia" w:ascii="宋体" w:hAnsi="宋体" w:eastAsia="宋体" w:cs="宋体"/>
          <w:b/>
          <w:color w:val="auto"/>
          <w:sz w:val="28"/>
          <w:szCs w:val="28"/>
          <w:highlight w:val="none"/>
          <w:lang w:val="en-US" w:eastAsia="zh-CN"/>
        </w:rPr>
      </w:pPr>
    </w:p>
    <w:p w14:paraId="58D893E1">
      <w:pPr>
        <w:pStyle w:val="11"/>
        <w:rPr>
          <w:rFonts w:hint="eastAsia"/>
          <w:color w:val="auto"/>
          <w:highlight w:val="none"/>
          <w:lang w:val="en-US" w:eastAsia="zh-CN"/>
        </w:rPr>
      </w:pPr>
    </w:p>
    <w:p w14:paraId="09C5474E">
      <w:pPr>
        <w:pStyle w:val="9"/>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9.供应商在磋商当天前近半年内任意一个月或任一季度依法缴纳税收的证明材料（增值税发票(税收完税证明)或企业所得税完税证明或税务部门出具的免税证明）复印件（必须提供）。</w:t>
      </w:r>
    </w:p>
    <w:p w14:paraId="29370534">
      <w:pPr>
        <w:numPr>
          <w:ilvl w:val="0"/>
          <w:numId w:val="0"/>
        </w:numPr>
        <w:ind w:left="420" w:leftChars="0"/>
        <w:jc w:val="center"/>
        <w:rPr>
          <w:rFonts w:hint="eastAsia" w:ascii="宋体" w:hAnsi="宋体" w:cs="宋体"/>
          <w:b/>
          <w:bCs/>
          <w:color w:val="auto"/>
          <w:sz w:val="32"/>
          <w:szCs w:val="32"/>
          <w:highlight w:val="none"/>
          <w:lang w:eastAsia="zh-CN"/>
        </w:rPr>
      </w:pPr>
    </w:p>
    <w:p w14:paraId="475CF419">
      <w:pPr>
        <w:numPr>
          <w:ilvl w:val="0"/>
          <w:numId w:val="0"/>
        </w:numPr>
        <w:ind w:left="420" w:leftChars="0"/>
        <w:jc w:val="center"/>
        <w:rPr>
          <w:rFonts w:hint="eastAsia" w:ascii="宋体" w:hAnsi="宋体" w:cs="宋体"/>
          <w:b/>
          <w:bCs/>
          <w:color w:val="auto"/>
          <w:sz w:val="32"/>
          <w:szCs w:val="32"/>
          <w:highlight w:val="none"/>
          <w:lang w:eastAsia="zh-CN"/>
        </w:rPr>
      </w:pPr>
    </w:p>
    <w:p w14:paraId="577D6033">
      <w:pPr>
        <w:numPr>
          <w:ilvl w:val="0"/>
          <w:numId w:val="0"/>
        </w:numPr>
        <w:jc w:val="center"/>
        <w:rPr>
          <w:rFonts w:hint="eastAsia" w:ascii="宋体" w:hAnsi="宋体" w:cs="宋体"/>
          <w:b/>
          <w:bCs/>
          <w:color w:val="auto"/>
          <w:sz w:val="32"/>
          <w:szCs w:val="32"/>
          <w:highlight w:val="none"/>
          <w:lang w:eastAsia="zh-CN"/>
        </w:rPr>
      </w:pPr>
    </w:p>
    <w:p w14:paraId="42D96264">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14:paraId="5130B121">
      <w:pPr>
        <w:numPr>
          <w:ilvl w:val="0"/>
          <w:numId w:val="0"/>
        </w:numPr>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14:paraId="37E0E372">
      <w:pPr>
        <w:numPr>
          <w:ilvl w:val="0"/>
          <w:numId w:val="0"/>
        </w:numPr>
        <w:spacing w:line="360" w:lineRule="auto"/>
        <w:ind w:left="420" w:leftChars="0"/>
        <w:rPr>
          <w:rFonts w:hint="eastAsia" w:ascii="宋体" w:hAnsi="宋体" w:eastAsia="宋体" w:cs="宋体"/>
          <w:color w:val="auto"/>
          <w:sz w:val="24"/>
          <w:highlight w:val="none"/>
          <w:lang w:val="en-US" w:eastAsia="zh-CN"/>
        </w:rPr>
      </w:pPr>
    </w:p>
    <w:p w14:paraId="7AF969D4">
      <w:pPr>
        <w:numPr>
          <w:ilvl w:val="0"/>
          <w:numId w:val="0"/>
        </w:numPr>
        <w:spacing w:line="360" w:lineRule="auto"/>
        <w:ind w:left="420" w:leftChars="200" w:firstLine="0" w:firstLineChars="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14:paraId="5B39752E">
      <w:pPr>
        <w:numPr>
          <w:ilvl w:val="0"/>
          <w:numId w:val="0"/>
        </w:numPr>
        <w:spacing w:line="360" w:lineRule="auto"/>
        <w:ind w:left="420" w:leftChars="200" w:firstLine="0" w:firstLineChars="0"/>
        <w:rPr>
          <w:rFonts w:hint="eastAsia" w:ascii="宋体" w:hAnsi="宋体" w:eastAsia="宋体" w:cs="宋体"/>
          <w:color w:val="auto"/>
          <w:sz w:val="24"/>
          <w:highlight w:val="none"/>
          <w:lang w:val="en-US" w:eastAsia="zh-CN"/>
        </w:rPr>
      </w:pPr>
    </w:p>
    <w:p w14:paraId="774D976E">
      <w:pPr>
        <w:numPr>
          <w:ilvl w:val="0"/>
          <w:numId w:val="0"/>
        </w:numPr>
        <w:spacing w:line="360" w:lineRule="auto"/>
        <w:ind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磋商报价汇总表</w:t>
      </w:r>
      <w:r>
        <w:rPr>
          <w:rFonts w:hint="eastAsia" w:ascii="宋体" w:hAnsi="宋体" w:eastAsia="宋体" w:cs="宋体"/>
          <w:b/>
          <w:bCs/>
          <w:color w:val="auto"/>
          <w:sz w:val="24"/>
          <w:highlight w:val="none"/>
        </w:rPr>
        <w:t>（格式见附件）（必须提供）；</w:t>
      </w:r>
    </w:p>
    <w:p w14:paraId="3FAC0A72">
      <w:pPr>
        <w:numPr>
          <w:ilvl w:val="0"/>
          <w:numId w:val="0"/>
        </w:numPr>
        <w:spacing w:line="360" w:lineRule="auto"/>
        <w:ind w:leftChars="0" w:firstLine="480" w:firstLineChars="200"/>
        <w:rPr>
          <w:rFonts w:hint="eastAsia" w:ascii="宋体" w:hAnsi="宋体" w:eastAsia="宋体" w:cs="宋体"/>
          <w:color w:val="auto"/>
          <w:sz w:val="24"/>
          <w:highlight w:val="none"/>
          <w:lang w:val="en-US" w:eastAsia="zh-CN"/>
        </w:rPr>
      </w:pPr>
    </w:p>
    <w:p w14:paraId="64730C52">
      <w:pPr>
        <w:numPr>
          <w:ilvl w:val="0"/>
          <w:numId w:val="0"/>
        </w:numPr>
        <w:spacing w:line="360" w:lineRule="auto"/>
        <w:ind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3.标价工程量清单</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14:paraId="37B2A89F">
      <w:pPr>
        <w:pStyle w:val="11"/>
        <w:rPr>
          <w:rFonts w:hint="eastAsia" w:ascii="宋体" w:hAnsi="宋体" w:eastAsia="宋体" w:cs="宋体"/>
          <w:color w:val="auto"/>
          <w:highlight w:val="none"/>
        </w:rPr>
      </w:pPr>
    </w:p>
    <w:p w14:paraId="17C7720C">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拟投入本工程主要施工管理人员表</w:t>
      </w:r>
      <w:r>
        <w:rPr>
          <w:rFonts w:hint="eastAsia" w:ascii="宋体" w:hAnsi="宋体" w:eastAsia="宋体" w:cs="宋体"/>
          <w:b/>
          <w:bCs/>
          <w:color w:val="auto"/>
          <w:sz w:val="24"/>
          <w:highlight w:val="none"/>
        </w:rPr>
        <w:t>（必须提供）；</w:t>
      </w:r>
    </w:p>
    <w:p w14:paraId="7B45793C">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val="0"/>
          <w:bCs w:val="0"/>
          <w:color w:val="auto"/>
          <w:szCs w:val="21"/>
          <w:highlight w:val="none"/>
        </w:rPr>
        <w:t>；</w:t>
      </w:r>
    </w:p>
    <w:p w14:paraId="2DE29151">
      <w:pPr>
        <w:pStyle w:val="11"/>
        <w:rPr>
          <w:rFonts w:hint="eastAsia" w:ascii="宋体" w:hAnsi="宋体" w:eastAsia="宋体" w:cs="宋体"/>
          <w:color w:val="auto"/>
          <w:highlight w:val="none"/>
        </w:rPr>
      </w:pPr>
    </w:p>
    <w:p w14:paraId="4D84B0AC">
      <w:pPr>
        <w:numPr>
          <w:ilvl w:val="0"/>
          <w:numId w:val="0"/>
        </w:numPr>
        <w:spacing w:line="360" w:lineRule="auto"/>
        <w:ind w:left="420" w:leftChars="0"/>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eastAsia="zh-CN"/>
        </w:rPr>
        <w:t>担任本工程的项目经理简历表（应附相关证书、身份证复印件）</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14:paraId="699D6077">
      <w:pPr>
        <w:numPr>
          <w:ilvl w:val="0"/>
          <w:numId w:val="0"/>
        </w:numPr>
        <w:spacing w:line="360" w:lineRule="auto"/>
        <w:ind w:left="420" w:leftChars="0"/>
        <w:rPr>
          <w:rFonts w:hint="eastAsia" w:ascii="宋体" w:hAnsi="宋体" w:eastAsia="宋体" w:cs="宋体"/>
          <w:color w:val="auto"/>
          <w:sz w:val="24"/>
          <w:highlight w:val="none"/>
          <w:lang w:eastAsia="zh-CN"/>
        </w:rPr>
      </w:pPr>
    </w:p>
    <w:p w14:paraId="1E1BF7B8">
      <w:pPr>
        <w:numPr>
          <w:ilvl w:val="0"/>
          <w:numId w:val="0"/>
        </w:numPr>
        <w:spacing w:line="360" w:lineRule="auto"/>
        <w:ind w:left="420" w:leftChars="0"/>
        <w:rPr>
          <w:rFonts w:hint="default"/>
          <w:b w:val="0"/>
          <w:bCs w:val="0"/>
          <w:color w:val="auto"/>
          <w:highlight w:val="none"/>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eastAsia="zh-CN"/>
        </w:rPr>
        <w:t>施工组织设计方案</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14:paraId="4E867BF9">
      <w:pPr>
        <w:numPr>
          <w:ilvl w:val="0"/>
          <w:numId w:val="0"/>
        </w:numPr>
        <w:spacing w:line="360" w:lineRule="auto"/>
        <w:ind w:left="420" w:leftChars="0"/>
        <w:rPr>
          <w:rFonts w:hint="eastAsia" w:ascii="宋体" w:hAnsi="宋体" w:eastAsia="宋体" w:cs="宋体"/>
          <w:color w:val="auto"/>
          <w:sz w:val="24"/>
          <w:highlight w:val="none"/>
          <w:lang w:eastAsia="zh-CN"/>
        </w:rPr>
      </w:pPr>
    </w:p>
    <w:p w14:paraId="446246AA">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7.工程完工服务承诺书</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14:paraId="4E15D1B7">
      <w:pPr>
        <w:pStyle w:val="5"/>
        <w:numPr>
          <w:ilvl w:val="0"/>
          <w:numId w:val="0"/>
        </w:numPr>
        <w:ind w:left="420" w:leftChars="0"/>
        <w:rPr>
          <w:rFonts w:hint="eastAsia" w:ascii="宋体" w:hAnsi="宋体" w:eastAsia="宋体" w:cs="宋体"/>
          <w:b/>
          <w:bCs/>
          <w:color w:val="auto"/>
          <w:kern w:val="2"/>
          <w:sz w:val="24"/>
          <w:szCs w:val="24"/>
          <w:highlight w:val="none"/>
          <w:lang w:val="en-US" w:eastAsia="zh-CN" w:bidi="ar-SA"/>
        </w:rPr>
      </w:pPr>
      <w:bookmarkStart w:id="2385" w:name="_Toc32505"/>
      <w:bookmarkStart w:id="2386" w:name="_Toc6633"/>
      <w:bookmarkStart w:id="2387" w:name="_Toc1014"/>
      <w:r>
        <w:rPr>
          <w:rFonts w:hint="eastAsia" w:ascii="宋体" w:hAnsi="宋体" w:eastAsia="宋体" w:cs="宋体"/>
          <w:b w:val="0"/>
          <w:bCs w:val="0"/>
          <w:color w:val="auto"/>
          <w:kern w:val="2"/>
          <w:sz w:val="24"/>
          <w:szCs w:val="24"/>
          <w:highlight w:val="none"/>
          <w:lang w:val="en-US" w:eastAsia="zh-CN" w:bidi="ar-SA"/>
        </w:rPr>
        <w:t>8.农民工工资保障金交纳与使用承诺书</w:t>
      </w:r>
      <w:r>
        <w:rPr>
          <w:rFonts w:hint="eastAsia" w:ascii="宋体" w:hAnsi="宋体" w:eastAsia="宋体" w:cs="宋体"/>
          <w:b/>
          <w:bCs/>
          <w:color w:val="auto"/>
          <w:kern w:val="2"/>
          <w:sz w:val="24"/>
          <w:szCs w:val="24"/>
          <w:highlight w:val="none"/>
          <w:lang w:val="en-US" w:eastAsia="zh-CN" w:bidi="ar-SA"/>
        </w:rPr>
        <w:t>（必须提供）</w:t>
      </w:r>
      <w:r>
        <w:rPr>
          <w:rFonts w:hint="eastAsia" w:ascii="宋体" w:hAnsi="宋体" w:eastAsia="宋体" w:cs="宋体"/>
          <w:b w:val="0"/>
          <w:bCs w:val="0"/>
          <w:color w:val="auto"/>
          <w:kern w:val="2"/>
          <w:sz w:val="24"/>
          <w:szCs w:val="24"/>
          <w:highlight w:val="none"/>
          <w:lang w:val="en-US" w:eastAsia="zh-CN" w:bidi="ar-SA"/>
        </w:rPr>
        <w:t>；</w:t>
      </w:r>
      <w:bookmarkEnd w:id="2385"/>
      <w:bookmarkEnd w:id="2386"/>
      <w:bookmarkEnd w:id="2387"/>
    </w:p>
    <w:p w14:paraId="4B139E12">
      <w:pPr>
        <w:pStyle w:val="5"/>
        <w:numPr>
          <w:ilvl w:val="0"/>
          <w:numId w:val="0"/>
        </w:numPr>
        <w:ind w:left="420" w:leftChars="0"/>
        <w:rPr>
          <w:rFonts w:hint="default"/>
          <w:color w:val="auto"/>
          <w:highlight w:val="none"/>
          <w:lang w:val="en-US" w:eastAsia="zh-CN"/>
        </w:rPr>
      </w:pPr>
      <w:bookmarkStart w:id="2388" w:name="_Toc13958"/>
      <w:bookmarkStart w:id="2389" w:name="_Toc6752"/>
      <w:bookmarkStart w:id="2390" w:name="_Toc9702"/>
      <w:r>
        <w:rPr>
          <w:rFonts w:hint="eastAsia" w:ascii="宋体" w:hAnsi="宋体" w:eastAsia="宋体" w:cs="宋体"/>
          <w:b w:val="0"/>
          <w:bCs w:val="0"/>
          <w:color w:val="auto"/>
          <w:kern w:val="2"/>
          <w:sz w:val="24"/>
          <w:szCs w:val="24"/>
          <w:highlight w:val="none"/>
          <w:lang w:val="en-US" w:eastAsia="zh-CN" w:bidi="ar-SA"/>
        </w:rPr>
        <w:t>9.城乡清洁工程渣土清运承诺书</w:t>
      </w:r>
      <w:r>
        <w:rPr>
          <w:rFonts w:hint="eastAsia" w:ascii="宋体" w:hAnsi="宋体" w:eastAsia="宋体" w:cs="宋体"/>
          <w:b/>
          <w:bCs/>
          <w:color w:val="auto"/>
          <w:kern w:val="2"/>
          <w:sz w:val="24"/>
          <w:szCs w:val="24"/>
          <w:highlight w:val="none"/>
          <w:lang w:val="en-US" w:eastAsia="zh-CN" w:bidi="ar-SA"/>
        </w:rPr>
        <w:t>（必须提供）</w:t>
      </w:r>
      <w:bookmarkEnd w:id="2388"/>
      <w:bookmarkEnd w:id="2389"/>
      <w:bookmarkEnd w:id="2390"/>
      <w:r>
        <w:rPr>
          <w:rFonts w:hint="eastAsia" w:ascii="宋体" w:hAnsi="宋体" w:cs="宋体"/>
          <w:b w:val="0"/>
          <w:bCs w:val="0"/>
          <w:color w:val="auto"/>
          <w:kern w:val="2"/>
          <w:sz w:val="24"/>
          <w:szCs w:val="24"/>
          <w:highlight w:val="none"/>
          <w:lang w:val="en-US" w:eastAsia="zh-CN" w:bidi="ar-SA"/>
        </w:rPr>
        <w:t>；</w:t>
      </w:r>
    </w:p>
    <w:p w14:paraId="056BFF7B">
      <w:pPr>
        <w:pStyle w:val="32"/>
        <w:rPr>
          <w:rFonts w:hint="eastAsia" w:ascii="宋体" w:hAnsi="宋体" w:eastAsia="宋体" w:cs="宋体"/>
          <w:color w:val="auto"/>
          <w:highlight w:val="none"/>
        </w:rPr>
      </w:pPr>
    </w:p>
    <w:p w14:paraId="6D029114">
      <w:pPr>
        <w:pStyle w:val="32"/>
        <w:rPr>
          <w:rFonts w:hint="eastAsia" w:ascii="宋体" w:hAnsi="宋体" w:eastAsia="宋体" w:cs="宋体"/>
          <w:color w:val="auto"/>
          <w:highlight w:val="none"/>
        </w:rPr>
      </w:pPr>
    </w:p>
    <w:p w14:paraId="2C3CABB1">
      <w:pPr>
        <w:pStyle w:val="32"/>
        <w:rPr>
          <w:rFonts w:hint="eastAsia" w:ascii="宋体" w:hAnsi="宋体" w:eastAsia="宋体" w:cs="宋体"/>
          <w:color w:val="auto"/>
          <w:highlight w:val="none"/>
        </w:rPr>
      </w:pPr>
    </w:p>
    <w:p w14:paraId="3697E132">
      <w:pPr>
        <w:pStyle w:val="32"/>
        <w:rPr>
          <w:rFonts w:hint="eastAsia" w:ascii="宋体" w:hAnsi="宋体" w:eastAsia="宋体" w:cs="宋体"/>
          <w:color w:val="auto"/>
          <w:highlight w:val="none"/>
        </w:rPr>
      </w:pPr>
    </w:p>
    <w:p w14:paraId="77CF7F6C">
      <w:pPr>
        <w:pStyle w:val="11"/>
        <w:rPr>
          <w:rFonts w:hint="eastAsia" w:ascii="宋体" w:hAnsi="宋体" w:eastAsia="宋体" w:cs="宋体"/>
          <w:color w:val="auto"/>
          <w:highlight w:val="none"/>
        </w:rPr>
      </w:pPr>
    </w:p>
    <w:p w14:paraId="1EE548A0">
      <w:pPr>
        <w:rPr>
          <w:rFonts w:hint="eastAsia" w:ascii="宋体" w:hAnsi="宋体" w:cs="宋体"/>
          <w:b/>
          <w:bCs/>
          <w:color w:val="auto"/>
          <w:sz w:val="28"/>
          <w:szCs w:val="28"/>
          <w:highlight w:val="none"/>
          <w:lang w:val="en-US" w:eastAsia="zh-CN"/>
        </w:rPr>
      </w:pPr>
      <w:bookmarkStart w:id="2391" w:name="_Toc12920"/>
      <w:bookmarkStart w:id="2392" w:name="_Toc17617"/>
      <w:bookmarkStart w:id="2393" w:name="_Toc497927072"/>
      <w:r>
        <w:rPr>
          <w:rFonts w:hint="eastAsia" w:ascii="宋体" w:hAnsi="宋体" w:cs="宋体"/>
          <w:b/>
          <w:bCs/>
          <w:color w:val="auto"/>
          <w:sz w:val="28"/>
          <w:szCs w:val="28"/>
          <w:highlight w:val="none"/>
          <w:lang w:val="en-US" w:eastAsia="zh-CN"/>
        </w:rPr>
        <w:br w:type="page"/>
      </w:r>
    </w:p>
    <w:p w14:paraId="693C34B5">
      <w:pPr>
        <w:numPr>
          <w:ilvl w:val="0"/>
          <w:numId w:val="0"/>
        </w:numPr>
        <w:spacing w:line="40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2391"/>
      <w:bookmarkEnd w:id="2392"/>
      <w:bookmarkEnd w:id="2393"/>
    </w:p>
    <w:p w14:paraId="1D3487F4">
      <w:pPr>
        <w:pStyle w:val="32"/>
        <w:rPr>
          <w:rFonts w:hint="eastAsia" w:ascii="宋体" w:hAnsi="宋体" w:eastAsia="宋体" w:cs="宋体"/>
          <w:color w:val="auto"/>
          <w:highlight w:val="none"/>
        </w:rPr>
      </w:pPr>
    </w:p>
    <w:p w14:paraId="3E435E44">
      <w:pPr>
        <w:pStyle w:val="14"/>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79A595DE">
      <w:pPr>
        <w:pStyle w:val="14"/>
        <w:ind w:firstLine="803" w:firstLineChars="250"/>
        <w:jc w:val="center"/>
        <w:rPr>
          <w:rFonts w:hint="eastAsia" w:ascii="宋体" w:hAnsi="宋体" w:eastAsia="宋体" w:cs="宋体"/>
          <w:b/>
          <w:color w:val="auto"/>
          <w:sz w:val="32"/>
          <w:highlight w:val="none"/>
        </w:rPr>
      </w:pPr>
      <w:bookmarkStart w:id="2394" w:name="_Toc17832_WPSOffice_Level1"/>
      <w:bookmarkStart w:id="2395" w:name="_Toc7273_WPSOffice_Level1"/>
      <w:r>
        <w:rPr>
          <w:rFonts w:hint="eastAsia" w:ascii="宋体" w:hAnsi="宋体" w:eastAsia="宋体" w:cs="宋体"/>
          <w:b/>
          <w:color w:val="auto"/>
          <w:sz w:val="32"/>
          <w:highlight w:val="none"/>
        </w:rPr>
        <w:t>响 应 函 （格 式）</w:t>
      </w:r>
      <w:bookmarkEnd w:id="2394"/>
      <w:bookmarkEnd w:id="2395"/>
    </w:p>
    <w:p w14:paraId="23213848">
      <w:pPr>
        <w:spacing w:line="240" w:lineRule="exact"/>
        <w:jc w:val="center"/>
        <w:rPr>
          <w:rFonts w:hint="eastAsia" w:ascii="宋体" w:hAnsi="宋体" w:eastAsia="宋体" w:cs="宋体"/>
          <w:color w:val="auto"/>
          <w:sz w:val="32"/>
          <w:highlight w:val="none"/>
        </w:rPr>
      </w:pPr>
    </w:p>
    <w:p w14:paraId="6D3B7E5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广西凯胜建设项目管理咨询有限公司</w:t>
      </w:r>
    </w:p>
    <w:p w14:paraId="58A1CCE3">
      <w:pPr>
        <w:pStyle w:val="14"/>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5160A907">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4ABD850D">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14:paraId="4355430C">
      <w:pPr>
        <w:pStyle w:val="14"/>
        <w:spacing w:line="360" w:lineRule="exact"/>
        <w:ind w:firstLine="420"/>
        <w:rPr>
          <w:rFonts w:hint="eastAsia" w:ascii="宋体" w:hAnsi="宋体" w:eastAsia="宋体" w:cs="宋体"/>
          <w:color w:val="auto"/>
          <w:highlight w:val="none"/>
        </w:rPr>
      </w:pPr>
      <w:r>
        <w:rPr>
          <w:rFonts w:hint="eastAsia" w:ascii="宋体" w:hAnsi="宋体" w:cs="宋体"/>
          <w:color w:val="auto"/>
          <w:sz w:val="21"/>
          <w:szCs w:val="21"/>
          <w:highlight w:val="none"/>
        </w:rPr>
        <w:t>按采购项目内容和报价表，</w:t>
      </w:r>
      <w:r>
        <w:rPr>
          <w:rFonts w:hint="eastAsia" w:hAnsi="宋体" w:cs="宋体"/>
          <w:color w:val="auto"/>
          <w:sz w:val="21"/>
          <w:szCs w:val="21"/>
          <w:highlight w:val="none"/>
          <w:lang w:eastAsia="zh-CN"/>
        </w:rPr>
        <w:t>磋商</w:t>
      </w:r>
      <w:r>
        <w:rPr>
          <w:rFonts w:hint="eastAsia" w:ascii="宋体" w:hAnsi="宋体" w:cs="宋体"/>
          <w:color w:val="auto"/>
          <w:sz w:val="21"/>
          <w:szCs w:val="21"/>
          <w:highlight w:val="none"/>
        </w:rPr>
        <w:t>报价为(大写)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)；工程完工期：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15759D3F">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04199B0A">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0156637D">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14:paraId="05EB327D">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14:paraId="686815C7">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327D2ED2">
      <w:pPr>
        <w:pStyle w:val="14"/>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220DAF6D">
      <w:pPr>
        <w:pStyle w:val="14"/>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7D4B12E7">
      <w:pPr>
        <w:pStyle w:val="14"/>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7C489CD6">
      <w:pPr>
        <w:rPr>
          <w:rFonts w:hint="eastAsia" w:ascii="宋体" w:hAnsi="宋体" w:eastAsia="宋体" w:cs="宋体"/>
          <w:color w:val="auto"/>
          <w:sz w:val="21"/>
          <w:szCs w:val="21"/>
          <w:highlight w:val="none"/>
        </w:rPr>
      </w:pPr>
    </w:p>
    <w:p w14:paraId="088F569F">
      <w:pPr>
        <w:pStyle w:val="14"/>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691DB07B">
      <w:pPr>
        <w:pStyle w:val="14"/>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79DD0BB0">
      <w:pPr>
        <w:pStyle w:val="14"/>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243034A1">
      <w:pPr>
        <w:pStyle w:val="14"/>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084A7878">
      <w:pPr>
        <w:pStyle w:val="14"/>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4F192490">
      <w:pPr>
        <w:pStyle w:val="14"/>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99E3C1A">
      <w:pPr>
        <w:pStyle w:val="14"/>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20B31FF8">
      <w:pPr>
        <w:pStyle w:val="9"/>
        <w:rPr>
          <w:rFonts w:hint="eastAsia" w:ascii="宋体" w:hAnsi="宋体" w:eastAsia="宋体" w:cs="宋体"/>
          <w:color w:val="auto"/>
          <w:sz w:val="21"/>
          <w:szCs w:val="21"/>
          <w:highlight w:val="none"/>
          <w:u w:val="single"/>
        </w:rPr>
      </w:pPr>
    </w:p>
    <w:p w14:paraId="6793419A">
      <w:pPr>
        <w:rPr>
          <w:rFonts w:hint="eastAsia" w:ascii="宋体" w:hAnsi="宋体" w:eastAsia="宋体" w:cs="宋体"/>
          <w:color w:val="auto"/>
          <w:sz w:val="21"/>
          <w:szCs w:val="21"/>
          <w:highlight w:val="none"/>
          <w:u w:val="single"/>
        </w:rPr>
      </w:pPr>
    </w:p>
    <w:p w14:paraId="46EE3829">
      <w:pPr>
        <w:pStyle w:val="9"/>
        <w:rPr>
          <w:rFonts w:hint="eastAsia"/>
          <w:color w:val="auto"/>
          <w:highlight w:val="none"/>
          <w:lang w:val="en-US" w:eastAsia="zh-CN"/>
        </w:rPr>
      </w:pPr>
    </w:p>
    <w:p w14:paraId="34849614">
      <w:pPr>
        <w:rPr>
          <w:rFonts w:hint="eastAsia"/>
          <w:color w:val="auto"/>
          <w:highlight w:val="none"/>
          <w:lang w:val="en-US" w:eastAsia="zh-CN"/>
        </w:rPr>
      </w:pPr>
    </w:p>
    <w:p w14:paraId="1BC71B60">
      <w:pPr>
        <w:rPr>
          <w:rFonts w:hint="eastAsia"/>
          <w:color w:val="auto"/>
          <w:highlight w:val="none"/>
          <w:lang w:val="en-US" w:eastAsia="zh-CN"/>
        </w:rPr>
      </w:pPr>
    </w:p>
    <w:p w14:paraId="06E386F1">
      <w:pPr>
        <w:pStyle w:val="14"/>
        <w:numPr>
          <w:ilvl w:val="0"/>
          <w:numId w:val="0"/>
        </w:numPr>
        <w:spacing w:line="340" w:lineRule="exact"/>
        <w:rPr>
          <w:rFonts w:hint="eastAsia" w:hAnsi="宋体" w:cs="宋体"/>
          <w:b/>
          <w:color w:val="auto"/>
          <w:sz w:val="28"/>
          <w:szCs w:val="28"/>
          <w:highlight w:val="none"/>
          <w:lang w:val="en-US" w:eastAsia="zh-CN"/>
        </w:rPr>
      </w:pPr>
    </w:p>
    <w:p w14:paraId="3F59EFE1">
      <w:pPr>
        <w:pStyle w:val="14"/>
        <w:numPr>
          <w:ilvl w:val="0"/>
          <w:numId w:val="0"/>
        </w:numPr>
        <w:spacing w:line="340" w:lineRule="exact"/>
        <w:rPr>
          <w:rFonts w:hint="eastAsia" w:hAnsi="宋体" w:cs="宋体"/>
          <w:b/>
          <w:color w:val="auto"/>
          <w:sz w:val="28"/>
          <w:szCs w:val="28"/>
          <w:highlight w:val="none"/>
          <w:lang w:val="en-US" w:eastAsia="zh-CN"/>
        </w:rPr>
      </w:pPr>
    </w:p>
    <w:p w14:paraId="4FE43DF5">
      <w:pPr>
        <w:pStyle w:val="9"/>
        <w:rPr>
          <w:rFonts w:hint="eastAsia"/>
          <w:color w:val="auto"/>
          <w:lang w:val="en-US" w:eastAsia="zh-CN"/>
        </w:rPr>
      </w:pPr>
    </w:p>
    <w:p w14:paraId="4A480C14">
      <w:pPr>
        <w:pStyle w:val="7"/>
        <w:rPr>
          <w:rFonts w:hint="eastAsia"/>
          <w:color w:val="auto"/>
          <w:highlight w:val="none"/>
          <w:lang w:val="en-US" w:eastAsia="zh-CN"/>
        </w:rPr>
      </w:pPr>
    </w:p>
    <w:p w14:paraId="7D25CB23">
      <w:pPr>
        <w:pStyle w:val="14"/>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磋商报价汇总表</w:t>
      </w:r>
      <w:r>
        <w:rPr>
          <w:rFonts w:hint="eastAsia" w:ascii="宋体" w:hAnsi="宋体" w:eastAsia="宋体" w:cs="宋体"/>
          <w:b/>
          <w:color w:val="auto"/>
          <w:sz w:val="28"/>
          <w:szCs w:val="28"/>
          <w:highlight w:val="none"/>
        </w:rPr>
        <w:t>（必须提供）；</w:t>
      </w:r>
    </w:p>
    <w:p w14:paraId="5FA6EE3D">
      <w:pPr>
        <w:pStyle w:val="14"/>
        <w:spacing w:line="320" w:lineRule="exact"/>
        <w:jc w:val="left"/>
        <w:rPr>
          <w:rFonts w:hint="eastAsia" w:ascii="宋体" w:hAnsi="宋体" w:eastAsia="宋体" w:cs="宋体"/>
          <w:b/>
          <w:color w:val="auto"/>
          <w:sz w:val="28"/>
          <w:szCs w:val="28"/>
          <w:highlight w:val="none"/>
        </w:rPr>
      </w:pPr>
    </w:p>
    <w:p w14:paraId="7032C0D6">
      <w:pPr>
        <w:spacing w:line="500" w:lineRule="exact"/>
        <w:ind w:right="420"/>
        <w:jc w:val="center"/>
        <w:rPr>
          <w:rFonts w:ascii="宋体" w:hAnsi="宋体" w:cs="宋体"/>
          <w:b/>
          <w:color w:val="auto"/>
          <w:sz w:val="30"/>
          <w:szCs w:val="30"/>
        </w:rPr>
      </w:pPr>
      <w:r>
        <w:rPr>
          <w:rFonts w:hint="eastAsia" w:ascii="宋体" w:hAnsi="宋体" w:cs="宋体"/>
          <w:b/>
          <w:color w:val="auto"/>
          <w:sz w:val="30"/>
          <w:szCs w:val="30"/>
        </w:rPr>
        <w:t>磋商报价汇总表</w:t>
      </w:r>
    </w:p>
    <w:p w14:paraId="4EC63E5C">
      <w:pPr>
        <w:spacing w:line="500" w:lineRule="exact"/>
        <w:rPr>
          <w:rFonts w:ascii="宋体" w:hAnsi="宋体" w:cs="宋体"/>
          <w:b/>
          <w:bCs/>
          <w:color w:val="auto"/>
          <w:w w:val="99"/>
          <w:kern w:val="0"/>
          <w:sz w:val="30"/>
          <w:szCs w:val="32"/>
        </w:rPr>
      </w:pPr>
    </w:p>
    <w:tbl>
      <w:tblPr>
        <w:tblStyle w:val="29"/>
        <w:tblW w:w="0" w:type="auto"/>
        <w:tblInd w:w="108" w:type="dxa"/>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737"/>
        <w:gridCol w:w="6202"/>
        <w:gridCol w:w="2636"/>
      </w:tblGrid>
      <w:tr w14:paraId="1A2B9A6E">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9575" w:type="dxa"/>
            <w:gridSpan w:val="3"/>
            <w:tcBorders>
              <w:top w:val="nil"/>
              <w:left w:val="nil"/>
              <w:bottom w:val="nil"/>
              <w:right w:val="single" w:color="000000" w:sz="2" w:space="0"/>
            </w:tcBorders>
            <w:noWrap w:val="0"/>
            <w:vAlign w:val="center"/>
          </w:tcPr>
          <w:p w14:paraId="6FDF4B57">
            <w:pPr>
              <w:autoSpaceDE w:val="0"/>
              <w:autoSpaceDN w:val="0"/>
              <w:rPr>
                <w:rFonts w:ascii="宋体" w:cs="宋体"/>
                <w:color w:val="auto"/>
                <w:kern w:val="0"/>
                <w:szCs w:val="21"/>
              </w:rPr>
            </w:pPr>
            <w:r>
              <w:rPr>
                <w:rFonts w:hint="eastAsia" w:ascii="宋体" w:cs="宋体"/>
                <w:color w:val="auto"/>
                <w:kern w:val="0"/>
                <w:szCs w:val="21"/>
              </w:rPr>
              <w:t>项目名称：</w:t>
            </w:r>
          </w:p>
        </w:tc>
      </w:tr>
      <w:tr w14:paraId="7CCEC293">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9575" w:type="dxa"/>
            <w:gridSpan w:val="3"/>
            <w:tcBorders>
              <w:top w:val="nil"/>
              <w:left w:val="nil"/>
              <w:bottom w:val="single" w:color="000000" w:sz="6" w:space="0"/>
              <w:right w:val="single" w:color="000000" w:sz="2" w:space="0"/>
            </w:tcBorders>
            <w:noWrap w:val="0"/>
            <w:vAlign w:val="center"/>
          </w:tcPr>
          <w:p w14:paraId="1A05EB09">
            <w:pPr>
              <w:autoSpaceDE w:val="0"/>
              <w:autoSpaceDN w:val="0"/>
              <w:rPr>
                <w:rFonts w:ascii="宋体" w:cs="宋体"/>
                <w:color w:val="auto"/>
                <w:kern w:val="0"/>
                <w:szCs w:val="21"/>
              </w:rPr>
            </w:pPr>
            <w:r>
              <w:rPr>
                <w:rFonts w:hint="eastAsia" w:ascii="宋体" w:cs="宋体"/>
                <w:color w:val="auto"/>
                <w:kern w:val="0"/>
                <w:szCs w:val="21"/>
              </w:rPr>
              <w:t>建设规模：                                                  币种：人民币</w:t>
            </w:r>
          </w:p>
        </w:tc>
      </w:tr>
      <w:tr w14:paraId="0680C5F8">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737" w:type="dxa"/>
            <w:tcBorders>
              <w:top w:val="nil"/>
              <w:left w:val="single" w:color="auto" w:sz="4" w:space="0"/>
              <w:bottom w:val="single" w:color="000000" w:sz="2" w:space="0"/>
              <w:right w:val="single" w:color="000000" w:sz="2" w:space="0"/>
            </w:tcBorders>
            <w:noWrap w:val="0"/>
            <w:vAlign w:val="center"/>
          </w:tcPr>
          <w:p w14:paraId="06FEC913">
            <w:pPr>
              <w:autoSpaceDE w:val="0"/>
              <w:autoSpaceDN w:val="0"/>
              <w:jc w:val="center"/>
              <w:rPr>
                <w:rFonts w:ascii="宋体" w:cs="宋体"/>
                <w:color w:val="auto"/>
                <w:kern w:val="0"/>
                <w:szCs w:val="21"/>
              </w:rPr>
            </w:pPr>
            <w:r>
              <w:rPr>
                <w:rFonts w:hint="eastAsia" w:ascii="宋体" w:cs="宋体"/>
                <w:color w:val="auto"/>
                <w:kern w:val="0"/>
                <w:szCs w:val="21"/>
              </w:rPr>
              <w:t>一</w:t>
            </w:r>
          </w:p>
        </w:tc>
        <w:tc>
          <w:tcPr>
            <w:tcW w:w="6202" w:type="dxa"/>
            <w:tcBorders>
              <w:top w:val="nil"/>
              <w:left w:val="nil"/>
              <w:bottom w:val="single" w:color="000000" w:sz="2" w:space="0"/>
              <w:right w:val="single" w:color="000000" w:sz="2" w:space="0"/>
            </w:tcBorders>
            <w:noWrap w:val="0"/>
            <w:vAlign w:val="center"/>
          </w:tcPr>
          <w:p w14:paraId="74C2E8C4">
            <w:pPr>
              <w:autoSpaceDE w:val="0"/>
              <w:autoSpaceDN w:val="0"/>
              <w:rPr>
                <w:rFonts w:ascii="宋体" w:cs="宋体"/>
                <w:color w:val="auto"/>
                <w:kern w:val="0"/>
                <w:szCs w:val="21"/>
              </w:rPr>
            </w:pPr>
            <w:r>
              <w:rPr>
                <w:rFonts w:hint="eastAsia" w:ascii="宋体" w:cs="宋体"/>
                <w:color w:val="auto"/>
                <w:kern w:val="0"/>
                <w:szCs w:val="21"/>
              </w:rPr>
              <w:t>磋商报价</w:t>
            </w:r>
          </w:p>
        </w:tc>
        <w:tc>
          <w:tcPr>
            <w:tcW w:w="2636" w:type="dxa"/>
            <w:tcBorders>
              <w:top w:val="nil"/>
              <w:left w:val="nil"/>
              <w:bottom w:val="single" w:color="000000" w:sz="2" w:space="0"/>
              <w:right w:val="single" w:color="000000" w:sz="6" w:space="0"/>
            </w:tcBorders>
            <w:noWrap w:val="0"/>
            <w:vAlign w:val="top"/>
          </w:tcPr>
          <w:p w14:paraId="4837F508">
            <w:pPr>
              <w:autoSpaceDE w:val="0"/>
              <w:autoSpaceDN w:val="0"/>
              <w:jc w:val="center"/>
              <w:rPr>
                <w:rFonts w:ascii="宋体" w:cs="宋体"/>
                <w:color w:val="auto"/>
                <w:kern w:val="0"/>
                <w:szCs w:val="21"/>
              </w:rPr>
            </w:pPr>
            <w:r>
              <w:rPr>
                <w:rFonts w:hint="eastAsia" w:ascii="宋体" w:cs="宋体"/>
                <w:color w:val="auto"/>
                <w:kern w:val="0"/>
                <w:szCs w:val="21"/>
              </w:rPr>
              <w:t>（元）</w:t>
            </w:r>
          </w:p>
        </w:tc>
      </w:tr>
      <w:tr w14:paraId="2B2A87B1">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737" w:type="dxa"/>
            <w:tcBorders>
              <w:top w:val="nil"/>
              <w:left w:val="single" w:color="auto" w:sz="4" w:space="0"/>
              <w:bottom w:val="single" w:color="000000" w:sz="2" w:space="0"/>
              <w:right w:val="single" w:color="000000" w:sz="2" w:space="0"/>
            </w:tcBorders>
            <w:noWrap w:val="0"/>
            <w:vAlign w:val="center"/>
          </w:tcPr>
          <w:p w14:paraId="49971221">
            <w:pPr>
              <w:autoSpaceDE w:val="0"/>
              <w:autoSpaceDN w:val="0"/>
              <w:jc w:val="center"/>
              <w:rPr>
                <w:rFonts w:hint="eastAsia" w:ascii="宋体" w:cs="宋体"/>
                <w:color w:val="auto"/>
                <w:kern w:val="0"/>
                <w:szCs w:val="21"/>
              </w:rPr>
            </w:pPr>
            <w:r>
              <w:rPr>
                <w:rFonts w:hint="eastAsia" w:ascii="宋体" w:cs="宋体"/>
                <w:color w:val="auto"/>
                <w:kern w:val="0"/>
                <w:szCs w:val="21"/>
              </w:rPr>
              <w:t>二</w:t>
            </w:r>
          </w:p>
        </w:tc>
        <w:tc>
          <w:tcPr>
            <w:tcW w:w="6202" w:type="dxa"/>
            <w:tcBorders>
              <w:top w:val="nil"/>
              <w:left w:val="nil"/>
              <w:bottom w:val="single" w:color="000000" w:sz="2" w:space="0"/>
              <w:right w:val="single" w:color="000000" w:sz="2" w:space="0"/>
            </w:tcBorders>
            <w:noWrap w:val="0"/>
            <w:vAlign w:val="center"/>
          </w:tcPr>
          <w:p w14:paraId="472D401E">
            <w:pPr>
              <w:autoSpaceDE w:val="0"/>
              <w:autoSpaceDN w:val="0"/>
              <w:rPr>
                <w:rFonts w:hint="eastAsia" w:ascii="宋体" w:cs="宋体"/>
                <w:color w:val="auto"/>
                <w:kern w:val="0"/>
                <w:szCs w:val="21"/>
              </w:rPr>
            </w:pPr>
            <w:r>
              <w:rPr>
                <w:rFonts w:hint="eastAsia" w:ascii="宋体" w:cs="宋体"/>
                <w:color w:val="auto"/>
                <w:kern w:val="0"/>
                <w:szCs w:val="21"/>
              </w:rPr>
              <w:t>承诺工期</w:t>
            </w:r>
          </w:p>
        </w:tc>
        <w:tc>
          <w:tcPr>
            <w:tcW w:w="2636" w:type="dxa"/>
            <w:tcBorders>
              <w:top w:val="nil"/>
              <w:left w:val="nil"/>
              <w:bottom w:val="single" w:color="000000" w:sz="2" w:space="0"/>
              <w:right w:val="single" w:color="000000" w:sz="6" w:space="0"/>
            </w:tcBorders>
            <w:noWrap w:val="0"/>
            <w:vAlign w:val="top"/>
          </w:tcPr>
          <w:p w14:paraId="7234E40D">
            <w:pPr>
              <w:autoSpaceDE w:val="0"/>
              <w:autoSpaceDN w:val="0"/>
              <w:jc w:val="center"/>
              <w:rPr>
                <w:rFonts w:hint="eastAsia" w:ascii="宋体" w:cs="宋体"/>
                <w:color w:val="auto"/>
                <w:kern w:val="0"/>
                <w:szCs w:val="21"/>
              </w:rPr>
            </w:pPr>
            <w:r>
              <w:rPr>
                <w:rFonts w:hint="eastAsia" w:ascii="宋体" w:cs="宋体"/>
                <w:color w:val="auto"/>
                <w:kern w:val="0"/>
                <w:szCs w:val="21"/>
              </w:rPr>
              <w:t>天（日历日）</w:t>
            </w:r>
          </w:p>
        </w:tc>
      </w:tr>
      <w:tr w14:paraId="45CBDB6D">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737" w:type="dxa"/>
            <w:tcBorders>
              <w:top w:val="nil"/>
              <w:left w:val="single" w:color="auto" w:sz="4" w:space="0"/>
              <w:bottom w:val="single" w:color="000000" w:sz="2" w:space="0"/>
              <w:right w:val="single" w:color="000000" w:sz="2" w:space="0"/>
            </w:tcBorders>
            <w:noWrap w:val="0"/>
            <w:vAlign w:val="center"/>
          </w:tcPr>
          <w:p w14:paraId="601BCFB8">
            <w:pPr>
              <w:autoSpaceDE w:val="0"/>
              <w:autoSpaceDN w:val="0"/>
              <w:jc w:val="center"/>
              <w:rPr>
                <w:rFonts w:hint="eastAsia" w:ascii="宋体" w:cs="宋体"/>
                <w:color w:val="auto"/>
                <w:kern w:val="0"/>
                <w:szCs w:val="21"/>
              </w:rPr>
            </w:pPr>
            <w:r>
              <w:rPr>
                <w:rFonts w:hint="eastAsia" w:ascii="宋体" w:cs="宋体"/>
                <w:color w:val="auto"/>
                <w:kern w:val="0"/>
                <w:szCs w:val="21"/>
              </w:rPr>
              <w:t>三</w:t>
            </w:r>
          </w:p>
        </w:tc>
        <w:tc>
          <w:tcPr>
            <w:tcW w:w="6202" w:type="dxa"/>
            <w:tcBorders>
              <w:top w:val="nil"/>
              <w:left w:val="nil"/>
              <w:bottom w:val="single" w:color="000000" w:sz="2" w:space="0"/>
              <w:right w:val="single" w:color="000000" w:sz="2" w:space="0"/>
            </w:tcBorders>
            <w:noWrap w:val="0"/>
            <w:vAlign w:val="center"/>
          </w:tcPr>
          <w:p w14:paraId="5B2F032B">
            <w:pPr>
              <w:autoSpaceDE w:val="0"/>
              <w:autoSpaceDN w:val="0"/>
              <w:rPr>
                <w:rFonts w:hint="eastAsia" w:ascii="宋体" w:cs="宋体"/>
                <w:color w:val="auto"/>
                <w:kern w:val="0"/>
                <w:szCs w:val="21"/>
              </w:rPr>
            </w:pPr>
            <w:r>
              <w:rPr>
                <w:rFonts w:hint="eastAsia" w:ascii="宋体" w:cs="宋体"/>
                <w:color w:val="auto"/>
                <w:kern w:val="0"/>
                <w:szCs w:val="21"/>
              </w:rPr>
              <w:t>承诺质量等级</w:t>
            </w:r>
          </w:p>
        </w:tc>
        <w:tc>
          <w:tcPr>
            <w:tcW w:w="2636" w:type="dxa"/>
            <w:tcBorders>
              <w:top w:val="nil"/>
              <w:left w:val="nil"/>
              <w:bottom w:val="single" w:color="000000" w:sz="2" w:space="0"/>
              <w:right w:val="single" w:color="000000" w:sz="6" w:space="0"/>
            </w:tcBorders>
            <w:noWrap w:val="0"/>
            <w:vAlign w:val="top"/>
          </w:tcPr>
          <w:p w14:paraId="7FAB3865">
            <w:pPr>
              <w:autoSpaceDE w:val="0"/>
              <w:autoSpaceDN w:val="0"/>
              <w:jc w:val="center"/>
              <w:rPr>
                <w:rFonts w:hint="eastAsia" w:ascii="宋体" w:cs="宋体"/>
                <w:color w:val="auto"/>
                <w:kern w:val="0"/>
                <w:szCs w:val="21"/>
              </w:rPr>
            </w:pPr>
          </w:p>
        </w:tc>
      </w:tr>
      <w:tr w14:paraId="160EA3CE">
        <w:tblPrEx>
          <w:tblBorders>
            <w:top w:val="none" w:color="auto" w:sz="0"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1298" w:hRule="atLeast"/>
        </w:trPr>
        <w:tc>
          <w:tcPr>
            <w:tcW w:w="9575" w:type="dxa"/>
            <w:gridSpan w:val="3"/>
            <w:tcBorders>
              <w:top w:val="nil"/>
              <w:left w:val="nil"/>
              <w:bottom w:val="nil"/>
              <w:right w:val="nil"/>
            </w:tcBorders>
            <w:noWrap w:val="0"/>
            <w:vAlign w:val="top"/>
          </w:tcPr>
          <w:p w14:paraId="748BC607">
            <w:pPr>
              <w:autoSpaceDE w:val="0"/>
              <w:autoSpaceDN w:val="0"/>
              <w:jc w:val="left"/>
              <w:rPr>
                <w:rFonts w:ascii="宋体" w:cs="宋体"/>
                <w:color w:val="auto"/>
                <w:kern w:val="0"/>
                <w:sz w:val="24"/>
              </w:rPr>
            </w:pPr>
          </w:p>
          <w:p w14:paraId="6D5003E8">
            <w:pPr>
              <w:autoSpaceDE w:val="0"/>
              <w:autoSpaceDN w:val="0"/>
              <w:jc w:val="left"/>
              <w:rPr>
                <w:rFonts w:ascii="宋体" w:cs="宋体"/>
                <w:color w:val="auto"/>
                <w:kern w:val="0"/>
                <w:sz w:val="24"/>
              </w:rPr>
            </w:pPr>
          </w:p>
          <w:p w14:paraId="20F9D292">
            <w:pPr>
              <w:autoSpaceDE w:val="0"/>
              <w:autoSpaceDN w:val="0"/>
              <w:jc w:val="left"/>
              <w:rPr>
                <w:rFonts w:ascii="宋体" w:cs="宋体"/>
                <w:color w:val="auto"/>
                <w:kern w:val="0"/>
                <w:sz w:val="24"/>
              </w:rPr>
            </w:pPr>
          </w:p>
          <w:p w14:paraId="31B1FAE0">
            <w:pPr>
              <w:spacing w:line="340" w:lineRule="exact"/>
              <w:jc w:val="left"/>
              <w:rPr>
                <w:rFonts w:hint="eastAsia" w:ascii="宋体" w:hAnsi="宋体" w:cs="宋体"/>
                <w:color w:val="auto"/>
                <w:szCs w:val="21"/>
                <w:u w:val="single"/>
              </w:rPr>
            </w:pPr>
            <w:r>
              <w:rPr>
                <w:rFonts w:hint="eastAsia" w:ascii="宋体" w:hAnsi="宋体" w:cs="宋体"/>
                <w:color w:val="auto"/>
                <w:szCs w:val="21"/>
              </w:rPr>
              <w:t>磋商供应商（CA签章，自然人除外）：</w:t>
            </w:r>
            <w:r>
              <w:rPr>
                <w:rFonts w:hint="eastAsia" w:ascii="宋体" w:hAnsi="宋体" w:cs="宋体"/>
                <w:color w:val="auto"/>
                <w:szCs w:val="21"/>
                <w:u w:val="single"/>
              </w:rPr>
              <w:t xml:space="preserve">                                        </w:t>
            </w:r>
          </w:p>
          <w:p w14:paraId="50079912">
            <w:pPr>
              <w:autoSpaceDE w:val="0"/>
              <w:autoSpaceDN w:val="0"/>
              <w:spacing w:line="400" w:lineRule="exact"/>
              <w:jc w:val="left"/>
              <w:rPr>
                <w:rFonts w:ascii="宋体" w:cs="宋体"/>
                <w:color w:val="auto"/>
                <w:kern w:val="0"/>
                <w:sz w:val="24"/>
              </w:rPr>
            </w:pPr>
            <w:r>
              <w:rPr>
                <w:rFonts w:hint="eastAsia" w:ascii="宋体" w:hAnsi="宋体" w:cs="宋体"/>
                <w:color w:val="auto"/>
              </w:rPr>
              <w:t>法定代表人、负责人、自然人或相应的委托代理人签字或个人CA签章（属自然人的应在签名处加盖食指指印或个人CA签章）：</w:t>
            </w:r>
          </w:p>
        </w:tc>
      </w:tr>
    </w:tbl>
    <w:p w14:paraId="2136B8A2">
      <w:pPr>
        <w:spacing w:line="340" w:lineRule="exact"/>
        <w:rPr>
          <w:rFonts w:hint="eastAsia" w:ascii="宋体" w:hAnsi="宋体" w:eastAsia="宋体" w:cs="宋体"/>
          <w:color w:val="auto"/>
          <w:szCs w:val="21"/>
          <w:highlight w:val="none"/>
        </w:rPr>
      </w:pPr>
    </w:p>
    <w:p w14:paraId="38228B69">
      <w:pPr>
        <w:tabs>
          <w:tab w:val="left" w:pos="1305"/>
        </w:tabs>
        <w:spacing w:line="340" w:lineRule="exact"/>
        <w:rPr>
          <w:rFonts w:hint="eastAsia" w:ascii="宋体" w:hAnsi="宋体" w:eastAsia="宋体" w:cs="宋体"/>
          <w:bCs/>
          <w:color w:val="auto"/>
          <w:sz w:val="21"/>
          <w:szCs w:val="21"/>
          <w:highlight w:val="none"/>
        </w:rPr>
      </w:pPr>
    </w:p>
    <w:p w14:paraId="6C506939">
      <w:pPr>
        <w:pStyle w:val="14"/>
        <w:numPr>
          <w:ilvl w:val="0"/>
          <w:numId w:val="0"/>
        </w:numPr>
        <w:spacing w:line="340" w:lineRule="exact"/>
        <w:rPr>
          <w:rFonts w:hint="eastAsia" w:hAnsi="宋体" w:cs="宋体"/>
          <w:b/>
          <w:color w:val="auto"/>
          <w:sz w:val="28"/>
          <w:szCs w:val="28"/>
          <w:highlight w:val="none"/>
          <w:lang w:val="en-US" w:eastAsia="zh-CN"/>
        </w:rPr>
      </w:pPr>
    </w:p>
    <w:p w14:paraId="6A6C1888">
      <w:pPr>
        <w:pStyle w:val="14"/>
        <w:numPr>
          <w:ilvl w:val="0"/>
          <w:numId w:val="0"/>
        </w:numPr>
        <w:spacing w:line="340" w:lineRule="exact"/>
        <w:rPr>
          <w:rFonts w:hint="eastAsia" w:hAnsi="宋体" w:cs="宋体"/>
          <w:b/>
          <w:color w:val="auto"/>
          <w:sz w:val="28"/>
          <w:szCs w:val="28"/>
          <w:highlight w:val="none"/>
          <w:lang w:val="en-US" w:eastAsia="zh-CN"/>
        </w:rPr>
      </w:pPr>
    </w:p>
    <w:p w14:paraId="715DFE49">
      <w:pPr>
        <w:pStyle w:val="14"/>
        <w:numPr>
          <w:ilvl w:val="0"/>
          <w:numId w:val="0"/>
        </w:numPr>
        <w:spacing w:line="340" w:lineRule="exact"/>
        <w:rPr>
          <w:rFonts w:hint="eastAsia" w:hAnsi="宋体" w:cs="宋体"/>
          <w:b/>
          <w:color w:val="auto"/>
          <w:sz w:val="28"/>
          <w:szCs w:val="28"/>
          <w:highlight w:val="none"/>
          <w:lang w:val="en-US" w:eastAsia="zh-CN"/>
        </w:rPr>
      </w:pPr>
    </w:p>
    <w:p w14:paraId="0070DE61">
      <w:pPr>
        <w:pStyle w:val="14"/>
        <w:numPr>
          <w:ilvl w:val="0"/>
          <w:numId w:val="0"/>
        </w:numPr>
        <w:spacing w:line="340" w:lineRule="exact"/>
        <w:rPr>
          <w:rFonts w:hint="eastAsia" w:hAnsi="宋体" w:cs="宋体"/>
          <w:b/>
          <w:color w:val="auto"/>
          <w:sz w:val="28"/>
          <w:szCs w:val="28"/>
          <w:highlight w:val="none"/>
          <w:lang w:val="en-US" w:eastAsia="zh-CN"/>
        </w:rPr>
      </w:pPr>
    </w:p>
    <w:p w14:paraId="78E6A72E">
      <w:pPr>
        <w:pStyle w:val="14"/>
        <w:numPr>
          <w:ilvl w:val="0"/>
          <w:numId w:val="0"/>
        </w:numPr>
        <w:spacing w:line="340" w:lineRule="exact"/>
        <w:rPr>
          <w:rFonts w:hint="eastAsia" w:hAnsi="宋体" w:cs="宋体"/>
          <w:b/>
          <w:color w:val="auto"/>
          <w:sz w:val="28"/>
          <w:szCs w:val="28"/>
          <w:highlight w:val="none"/>
          <w:lang w:val="en-US" w:eastAsia="zh-CN"/>
        </w:rPr>
      </w:pPr>
    </w:p>
    <w:p w14:paraId="6D830E3A">
      <w:pPr>
        <w:pStyle w:val="14"/>
        <w:numPr>
          <w:ilvl w:val="0"/>
          <w:numId w:val="0"/>
        </w:numPr>
        <w:spacing w:line="340" w:lineRule="exact"/>
        <w:rPr>
          <w:rFonts w:hint="eastAsia" w:hAnsi="宋体" w:cs="宋体"/>
          <w:b/>
          <w:color w:val="auto"/>
          <w:sz w:val="28"/>
          <w:szCs w:val="28"/>
          <w:highlight w:val="none"/>
          <w:lang w:val="en-US" w:eastAsia="zh-CN"/>
        </w:rPr>
      </w:pPr>
    </w:p>
    <w:p w14:paraId="2F4B8892">
      <w:pPr>
        <w:pStyle w:val="14"/>
        <w:numPr>
          <w:ilvl w:val="0"/>
          <w:numId w:val="0"/>
        </w:numPr>
        <w:spacing w:line="340" w:lineRule="exact"/>
        <w:rPr>
          <w:rFonts w:hint="eastAsia" w:hAnsi="宋体" w:cs="宋体"/>
          <w:b/>
          <w:color w:val="auto"/>
          <w:sz w:val="28"/>
          <w:szCs w:val="28"/>
          <w:highlight w:val="none"/>
          <w:lang w:val="en-US" w:eastAsia="zh-CN"/>
        </w:rPr>
      </w:pPr>
    </w:p>
    <w:p w14:paraId="42C06AD5">
      <w:pPr>
        <w:pStyle w:val="14"/>
        <w:numPr>
          <w:ilvl w:val="0"/>
          <w:numId w:val="0"/>
        </w:numPr>
        <w:spacing w:line="340" w:lineRule="exact"/>
        <w:rPr>
          <w:rFonts w:hint="eastAsia" w:hAnsi="宋体" w:cs="宋体"/>
          <w:b/>
          <w:color w:val="auto"/>
          <w:sz w:val="28"/>
          <w:szCs w:val="28"/>
          <w:highlight w:val="none"/>
          <w:lang w:val="en-US" w:eastAsia="zh-CN"/>
        </w:rPr>
      </w:pPr>
    </w:p>
    <w:p w14:paraId="1A677336">
      <w:pPr>
        <w:pStyle w:val="14"/>
        <w:numPr>
          <w:ilvl w:val="0"/>
          <w:numId w:val="0"/>
        </w:numPr>
        <w:spacing w:line="340" w:lineRule="exact"/>
        <w:rPr>
          <w:rFonts w:hint="eastAsia" w:hAnsi="宋体" w:cs="宋体"/>
          <w:b/>
          <w:color w:val="auto"/>
          <w:sz w:val="28"/>
          <w:szCs w:val="28"/>
          <w:highlight w:val="none"/>
          <w:lang w:val="en-US" w:eastAsia="zh-CN"/>
        </w:rPr>
      </w:pPr>
    </w:p>
    <w:p w14:paraId="71F6A609">
      <w:pPr>
        <w:pStyle w:val="14"/>
        <w:numPr>
          <w:ilvl w:val="0"/>
          <w:numId w:val="0"/>
        </w:numPr>
        <w:spacing w:line="340" w:lineRule="exact"/>
        <w:rPr>
          <w:rFonts w:hint="eastAsia" w:hAnsi="宋体" w:cs="宋体"/>
          <w:b/>
          <w:color w:val="auto"/>
          <w:sz w:val="28"/>
          <w:szCs w:val="28"/>
          <w:highlight w:val="none"/>
          <w:lang w:val="en-US" w:eastAsia="zh-CN"/>
        </w:rPr>
      </w:pPr>
    </w:p>
    <w:p w14:paraId="1D96FC6D">
      <w:pPr>
        <w:pStyle w:val="14"/>
        <w:numPr>
          <w:ilvl w:val="0"/>
          <w:numId w:val="0"/>
        </w:numPr>
        <w:spacing w:line="340" w:lineRule="exact"/>
        <w:rPr>
          <w:rFonts w:hint="eastAsia" w:hAnsi="宋体" w:cs="宋体"/>
          <w:b/>
          <w:color w:val="auto"/>
          <w:sz w:val="28"/>
          <w:szCs w:val="28"/>
          <w:highlight w:val="none"/>
          <w:lang w:val="en-US" w:eastAsia="zh-CN"/>
        </w:rPr>
      </w:pPr>
    </w:p>
    <w:p w14:paraId="623A91BA">
      <w:pPr>
        <w:pStyle w:val="7"/>
        <w:rPr>
          <w:rFonts w:hint="eastAsia"/>
          <w:color w:val="auto"/>
          <w:highlight w:val="none"/>
          <w:lang w:val="en-US" w:eastAsia="zh-CN"/>
        </w:rPr>
      </w:pPr>
    </w:p>
    <w:p w14:paraId="7A908DCC">
      <w:pPr>
        <w:rPr>
          <w:rFonts w:hint="eastAsia"/>
          <w:color w:val="auto"/>
          <w:highlight w:val="none"/>
          <w:lang w:val="en-US" w:eastAsia="zh-CN"/>
        </w:rPr>
      </w:pPr>
    </w:p>
    <w:p w14:paraId="5B2A5053">
      <w:pPr>
        <w:pStyle w:val="2"/>
        <w:rPr>
          <w:rFonts w:hint="eastAsia"/>
          <w:color w:val="auto"/>
          <w:highlight w:val="none"/>
          <w:lang w:val="en-US" w:eastAsia="zh-CN"/>
        </w:rPr>
      </w:pPr>
    </w:p>
    <w:p w14:paraId="5563E310">
      <w:pPr>
        <w:pStyle w:val="3"/>
        <w:rPr>
          <w:rFonts w:hint="eastAsia"/>
          <w:color w:val="auto"/>
          <w:lang w:val="en-US" w:eastAsia="zh-CN"/>
        </w:rPr>
      </w:pPr>
    </w:p>
    <w:p w14:paraId="5EAB90C1">
      <w:pPr>
        <w:pStyle w:val="14"/>
        <w:numPr>
          <w:ilvl w:val="0"/>
          <w:numId w:val="0"/>
        </w:numPr>
        <w:spacing w:line="340" w:lineRule="exact"/>
        <w:rPr>
          <w:rFonts w:hint="eastAsia" w:hAnsi="宋体" w:cs="宋体"/>
          <w:b/>
          <w:color w:val="auto"/>
          <w:sz w:val="28"/>
          <w:szCs w:val="28"/>
          <w:highlight w:val="none"/>
          <w:lang w:val="en-US" w:eastAsia="zh-CN"/>
        </w:rPr>
      </w:pPr>
    </w:p>
    <w:p w14:paraId="74A6E6D6">
      <w:pPr>
        <w:pStyle w:val="14"/>
        <w:numPr>
          <w:ilvl w:val="0"/>
          <w:numId w:val="0"/>
        </w:numPr>
        <w:spacing w:line="340" w:lineRule="exact"/>
        <w:rPr>
          <w:rFonts w:hint="eastAsia" w:hAnsi="宋体" w:cs="宋体"/>
          <w:b/>
          <w:color w:val="auto"/>
          <w:sz w:val="28"/>
          <w:szCs w:val="28"/>
          <w:highlight w:val="none"/>
          <w:lang w:val="en-US" w:eastAsia="zh-CN"/>
        </w:rPr>
      </w:pPr>
    </w:p>
    <w:p w14:paraId="724D70DE">
      <w:pPr>
        <w:pStyle w:val="14"/>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w:t>
      </w:r>
      <w:r>
        <w:rPr>
          <w:rFonts w:hint="eastAsia" w:hAnsi="宋体" w:eastAsia="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标价工程量清单（必须提供）</w:t>
      </w:r>
    </w:p>
    <w:p w14:paraId="4F6ADA08">
      <w:pPr>
        <w:snapToGrid w:val="0"/>
        <w:spacing w:line="240" w:lineRule="auto"/>
        <w:ind w:firstLine="420"/>
        <w:jc w:val="right"/>
        <w:rPr>
          <w:rFonts w:hint="eastAsia" w:ascii="宋体" w:hAnsi="宋体" w:eastAsia="宋体" w:cs="宋体"/>
          <w:color w:val="auto"/>
          <w:highlight w:val="none"/>
        </w:rPr>
      </w:pPr>
    </w:p>
    <w:p w14:paraId="34E80C9E">
      <w:pPr>
        <w:pStyle w:val="7"/>
        <w:spacing w:line="240" w:lineRule="auto"/>
        <w:jc w:val="center"/>
        <w:rPr>
          <w:rFonts w:hint="eastAsia" w:ascii="宋体" w:hAnsi="宋体" w:eastAsia="宋体" w:cs="宋体"/>
          <w:color w:val="auto"/>
          <w:sz w:val="24"/>
          <w:szCs w:val="24"/>
          <w:highlight w:val="none"/>
        </w:rPr>
      </w:pPr>
      <w:bookmarkStart w:id="2396" w:name="_Toc271557289"/>
      <w:bookmarkStart w:id="2397" w:name="_Toc394929435"/>
      <w:bookmarkStart w:id="2398" w:name="_Toc234659851"/>
      <w:bookmarkStart w:id="2399" w:name="_Toc446943082"/>
      <w:r>
        <w:rPr>
          <w:rFonts w:hint="eastAsia" w:ascii="宋体" w:hAnsi="宋体" w:eastAsia="宋体" w:cs="宋体"/>
          <w:color w:val="auto"/>
          <w:sz w:val="24"/>
          <w:szCs w:val="24"/>
          <w:highlight w:val="none"/>
        </w:rPr>
        <w:t>已标价工程量清单</w:t>
      </w:r>
      <w:bookmarkEnd w:id="2396"/>
      <w:bookmarkEnd w:id="2397"/>
      <w:bookmarkEnd w:id="2398"/>
      <w:bookmarkEnd w:id="2399"/>
    </w:p>
    <w:p w14:paraId="728D9CC1">
      <w:pPr>
        <w:spacing w:line="240" w:lineRule="auto"/>
        <w:ind w:firstLine="420"/>
        <w:jc w:val="center"/>
        <w:rPr>
          <w:rFonts w:hint="eastAsia" w:ascii="宋体" w:hAnsi="宋体" w:eastAsia="宋体" w:cs="宋体"/>
          <w:color w:val="auto"/>
          <w:highlight w:val="none"/>
        </w:rPr>
      </w:pPr>
    </w:p>
    <w:p w14:paraId="2F601279">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说明及工程量清单各项表格</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采购人</w:t>
      </w:r>
      <w:r>
        <w:rPr>
          <w:rFonts w:hint="eastAsia" w:ascii="宋体" w:hAnsi="宋体" w:eastAsia="宋体" w:cs="宋体"/>
          <w:b/>
          <w:bCs/>
          <w:color w:val="auto"/>
          <w:highlight w:val="none"/>
        </w:rPr>
        <w:t>提供的工程量清单</w:t>
      </w:r>
      <w:r>
        <w:rPr>
          <w:rFonts w:hint="eastAsia" w:ascii="宋体" w:hAnsi="宋体" w:eastAsia="宋体" w:cs="宋体"/>
          <w:b/>
          <w:bCs/>
          <w:color w:val="auto"/>
          <w:szCs w:val="21"/>
          <w:highlight w:val="none"/>
        </w:rPr>
        <w:t>）。</w:t>
      </w:r>
    </w:p>
    <w:p w14:paraId="652F5CEA">
      <w:pPr>
        <w:spacing w:line="340" w:lineRule="exact"/>
        <w:rPr>
          <w:rFonts w:hint="eastAsia" w:ascii="宋体" w:hAnsi="宋体" w:eastAsia="宋体" w:cs="宋体"/>
          <w:color w:val="auto"/>
          <w:szCs w:val="21"/>
          <w:highlight w:val="none"/>
        </w:rPr>
      </w:pPr>
    </w:p>
    <w:p w14:paraId="24CDA908">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14:paraId="2E2638E9">
      <w:pPr>
        <w:pStyle w:val="11"/>
        <w:rPr>
          <w:rFonts w:hint="eastAsia" w:ascii="宋体" w:hAnsi="宋体" w:eastAsia="宋体" w:cs="宋体"/>
          <w:color w:val="auto"/>
          <w:highlight w:val="none"/>
        </w:rPr>
      </w:pPr>
    </w:p>
    <w:p w14:paraId="652F55AD">
      <w:pPr>
        <w:pStyle w:val="11"/>
        <w:rPr>
          <w:rFonts w:hint="eastAsia" w:ascii="宋体" w:hAnsi="宋体" w:eastAsia="宋体" w:cs="宋体"/>
          <w:color w:val="auto"/>
          <w:highlight w:val="none"/>
        </w:rPr>
      </w:pPr>
    </w:p>
    <w:p w14:paraId="36974D96">
      <w:pPr>
        <w:pStyle w:val="11"/>
        <w:rPr>
          <w:rFonts w:hint="eastAsia" w:ascii="宋体" w:hAnsi="宋体" w:eastAsia="宋体" w:cs="宋体"/>
          <w:color w:val="auto"/>
          <w:highlight w:val="none"/>
        </w:rPr>
      </w:pPr>
    </w:p>
    <w:p w14:paraId="2722AA5A">
      <w:pPr>
        <w:pStyle w:val="11"/>
        <w:rPr>
          <w:rFonts w:hint="eastAsia" w:ascii="宋体" w:hAnsi="宋体" w:eastAsia="宋体" w:cs="宋体"/>
          <w:color w:val="auto"/>
          <w:highlight w:val="none"/>
        </w:rPr>
      </w:pPr>
    </w:p>
    <w:p w14:paraId="728D9486">
      <w:pPr>
        <w:pStyle w:val="11"/>
        <w:rPr>
          <w:rFonts w:hint="eastAsia" w:ascii="宋体" w:hAnsi="宋体" w:eastAsia="宋体" w:cs="宋体"/>
          <w:color w:val="auto"/>
          <w:highlight w:val="none"/>
        </w:rPr>
      </w:pPr>
    </w:p>
    <w:p w14:paraId="7F39F43C">
      <w:pPr>
        <w:pStyle w:val="11"/>
        <w:rPr>
          <w:rFonts w:hint="eastAsia" w:ascii="宋体" w:hAnsi="宋体" w:eastAsia="宋体" w:cs="宋体"/>
          <w:color w:val="auto"/>
          <w:highlight w:val="none"/>
        </w:rPr>
      </w:pPr>
    </w:p>
    <w:p w14:paraId="66682E68">
      <w:pPr>
        <w:pStyle w:val="11"/>
        <w:rPr>
          <w:rFonts w:hint="eastAsia" w:ascii="宋体" w:hAnsi="宋体" w:eastAsia="宋体" w:cs="宋体"/>
          <w:color w:val="auto"/>
          <w:highlight w:val="none"/>
        </w:rPr>
      </w:pPr>
    </w:p>
    <w:p w14:paraId="14EAEC8E">
      <w:pPr>
        <w:rPr>
          <w:rFonts w:hint="eastAsia" w:ascii="宋体" w:hAnsi="宋体" w:eastAsia="宋体" w:cs="宋体"/>
          <w:color w:val="auto"/>
          <w:highlight w:val="none"/>
        </w:rPr>
      </w:pPr>
    </w:p>
    <w:p w14:paraId="60C5ACFA">
      <w:pPr>
        <w:pStyle w:val="32"/>
        <w:rPr>
          <w:rFonts w:hint="eastAsia" w:ascii="宋体" w:hAnsi="宋体" w:eastAsia="宋体" w:cs="宋体"/>
          <w:color w:val="auto"/>
          <w:highlight w:val="none"/>
        </w:rPr>
      </w:pPr>
    </w:p>
    <w:p w14:paraId="3C56BBDC">
      <w:pPr>
        <w:pStyle w:val="32"/>
        <w:rPr>
          <w:rFonts w:hint="eastAsia" w:ascii="宋体" w:hAnsi="宋体" w:eastAsia="宋体" w:cs="宋体"/>
          <w:color w:val="auto"/>
          <w:highlight w:val="none"/>
        </w:rPr>
      </w:pPr>
    </w:p>
    <w:p w14:paraId="41738D20">
      <w:pPr>
        <w:pStyle w:val="32"/>
        <w:rPr>
          <w:rFonts w:hint="eastAsia" w:ascii="宋体" w:hAnsi="宋体" w:eastAsia="宋体" w:cs="宋体"/>
          <w:color w:val="auto"/>
          <w:highlight w:val="none"/>
        </w:rPr>
      </w:pPr>
    </w:p>
    <w:p w14:paraId="5D29EC1F">
      <w:pPr>
        <w:pStyle w:val="32"/>
        <w:rPr>
          <w:rFonts w:hint="eastAsia" w:ascii="宋体" w:hAnsi="宋体" w:eastAsia="宋体" w:cs="宋体"/>
          <w:color w:val="auto"/>
          <w:highlight w:val="none"/>
        </w:rPr>
      </w:pPr>
    </w:p>
    <w:p w14:paraId="3042467D">
      <w:pPr>
        <w:pStyle w:val="32"/>
        <w:rPr>
          <w:rFonts w:hint="eastAsia" w:ascii="宋体" w:hAnsi="宋体" w:eastAsia="宋体" w:cs="宋体"/>
          <w:color w:val="auto"/>
          <w:highlight w:val="none"/>
        </w:rPr>
      </w:pPr>
    </w:p>
    <w:p w14:paraId="3B30DC9D">
      <w:pPr>
        <w:pStyle w:val="32"/>
        <w:rPr>
          <w:rFonts w:hint="eastAsia" w:ascii="宋体" w:hAnsi="宋体" w:eastAsia="宋体" w:cs="宋体"/>
          <w:color w:val="auto"/>
          <w:highlight w:val="none"/>
        </w:rPr>
      </w:pPr>
    </w:p>
    <w:p w14:paraId="55F7CB4A">
      <w:pPr>
        <w:pStyle w:val="32"/>
        <w:rPr>
          <w:rFonts w:hint="eastAsia" w:ascii="宋体" w:hAnsi="宋体" w:eastAsia="宋体" w:cs="宋体"/>
          <w:color w:val="auto"/>
          <w:highlight w:val="none"/>
        </w:rPr>
      </w:pPr>
    </w:p>
    <w:p w14:paraId="4E8C9AB2">
      <w:pPr>
        <w:pStyle w:val="11"/>
        <w:rPr>
          <w:rFonts w:hint="eastAsia" w:ascii="宋体" w:hAnsi="宋体" w:eastAsia="宋体" w:cs="宋体"/>
          <w:color w:val="auto"/>
          <w:highlight w:val="none"/>
        </w:rPr>
      </w:pPr>
    </w:p>
    <w:p w14:paraId="18532404">
      <w:pPr>
        <w:rPr>
          <w:rFonts w:hint="eastAsia" w:ascii="宋体" w:hAnsi="宋体" w:eastAsia="宋体" w:cs="宋体"/>
          <w:color w:val="auto"/>
          <w:highlight w:val="none"/>
        </w:rPr>
      </w:pPr>
    </w:p>
    <w:p w14:paraId="1B0DB8CF">
      <w:pPr>
        <w:rPr>
          <w:rFonts w:hint="eastAsia" w:ascii="宋体" w:hAnsi="宋体" w:eastAsia="宋体" w:cs="宋体"/>
          <w:color w:val="auto"/>
          <w:highlight w:val="none"/>
        </w:rPr>
      </w:pPr>
    </w:p>
    <w:p w14:paraId="51C273CF">
      <w:pPr>
        <w:pStyle w:val="15"/>
        <w:rPr>
          <w:rFonts w:hint="eastAsia" w:ascii="宋体" w:hAnsi="宋体" w:eastAsia="宋体" w:cs="宋体"/>
          <w:color w:val="auto"/>
          <w:highlight w:val="none"/>
        </w:rPr>
      </w:pPr>
    </w:p>
    <w:p w14:paraId="369B5195">
      <w:pPr>
        <w:pStyle w:val="15"/>
        <w:rPr>
          <w:rFonts w:hint="eastAsia" w:ascii="宋体" w:hAnsi="宋体" w:eastAsia="宋体" w:cs="宋体"/>
          <w:color w:val="auto"/>
          <w:highlight w:val="none"/>
        </w:rPr>
      </w:pPr>
    </w:p>
    <w:p w14:paraId="726C3837">
      <w:pPr>
        <w:pStyle w:val="15"/>
        <w:rPr>
          <w:rFonts w:hint="eastAsia" w:ascii="宋体" w:hAnsi="宋体" w:eastAsia="宋体" w:cs="宋体"/>
          <w:color w:val="auto"/>
          <w:highlight w:val="none"/>
        </w:rPr>
      </w:pPr>
    </w:p>
    <w:p w14:paraId="4E75F714">
      <w:pPr>
        <w:pStyle w:val="15"/>
        <w:rPr>
          <w:rFonts w:hint="eastAsia" w:ascii="宋体" w:hAnsi="宋体" w:eastAsia="宋体" w:cs="宋体"/>
          <w:color w:val="auto"/>
          <w:highlight w:val="none"/>
        </w:rPr>
      </w:pPr>
    </w:p>
    <w:p w14:paraId="534C506E">
      <w:pPr>
        <w:pStyle w:val="15"/>
        <w:rPr>
          <w:rFonts w:hint="eastAsia" w:ascii="宋体" w:hAnsi="宋体" w:eastAsia="宋体" w:cs="宋体"/>
          <w:color w:val="auto"/>
          <w:highlight w:val="none"/>
        </w:rPr>
      </w:pPr>
    </w:p>
    <w:p w14:paraId="35F54C6F">
      <w:pPr>
        <w:pStyle w:val="15"/>
        <w:rPr>
          <w:rFonts w:hint="eastAsia" w:ascii="宋体" w:hAnsi="宋体" w:eastAsia="宋体" w:cs="宋体"/>
          <w:color w:val="auto"/>
          <w:highlight w:val="none"/>
        </w:rPr>
      </w:pPr>
    </w:p>
    <w:p w14:paraId="7EF68145">
      <w:pPr>
        <w:pStyle w:val="15"/>
        <w:rPr>
          <w:rFonts w:hint="eastAsia" w:ascii="宋体" w:hAnsi="宋体" w:eastAsia="宋体" w:cs="宋体"/>
          <w:color w:val="auto"/>
          <w:highlight w:val="none"/>
        </w:rPr>
      </w:pPr>
    </w:p>
    <w:p w14:paraId="5E0F90B3">
      <w:pPr>
        <w:pStyle w:val="15"/>
        <w:rPr>
          <w:rFonts w:hint="eastAsia" w:ascii="宋体" w:hAnsi="宋体" w:eastAsia="宋体" w:cs="宋体"/>
          <w:color w:val="auto"/>
          <w:highlight w:val="none"/>
        </w:rPr>
      </w:pPr>
    </w:p>
    <w:p w14:paraId="418FBE4F">
      <w:pPr>
        <w:pStyle w:val="15"/>
        <w:rPr>
          <w:rFonts w:hint="eastAsia" w:ascii="宋体" w:hAnsi="宋体" w:eastAsia="宋体" w:cs="宋体"/>
          <w:color w:val="auto"/>
          <w:highlight w:val="none"/>
        </w:rPr>
      </w:pPr>
    </w:p>
    <w:p w14:paraId="316F6308">
      <w:pPr>
        <w:pStyle w:val="15"/>
        <w:rPr>
          <w:rFonts w:hint="eastAsia" w:ascii="宋体" w:hAnsi="宋体" w:eastAsia="宋体" w:cs="宋体"/>
          <w:color w:val="auto"/>
          <w:highlight w:val="none"/>
        </w:rPr>
      </w:pPr>
    </w:p>
    <w:p w14:paraId="13E7DC2D">
      <w:pPr>
        <w:pStyle w:val="15"/>
        <w:rPr>
          <w:rFonts w:hint="eastAsia" w:ascii="宋体" w:hAnsi="宋体" w:eastAsia="宋体" w:cs="宋体"/>
          <w:color w:val="auto"/>
          <w:highlight w:val="none"/>
        </w:rPr>
      </w:pPr>
    </w:p>
    <w:p w14:paraId="6F5CFD3A">
      <w:pPr>
        <w:pStyle w:val="15"/>
        <w:rPr>
          <w:rFonts w:hint="eastAsia" w:ascii="宋体" w:hAnsi="宋体" w:eastAsia="宋体" w:cs="宋体"/>
          <w:color w:val="auto"/>
          <w:highlight w:val="none"/>
        </w:rPr>
      </w:pPr>
    </w:p>
    <w:p w14:paraId="7C95076B">
      <w:pPr>
        <w:pStyle w:val="15"/>
        <w:rPr>
          <w:rFonts w:hint="eastAsia" w:ascii="宋体" w:hAnsi="宋体" w:eastAsia="宋体" w:cs="宋体"/>
          <w:color w:val="auto"/>
          <w:highlight w:val="none"/>
        </w:rPr>
      </w:pPr>
    </w:p>
    <w:p w14:paraId="0DA9AD19">
      <w:pPr>
        <w:pStyle w:val="15"/>
        <w:rPr>
          <w:rFonts w:hint="eastAsia" w:ascii="宋体" w:hAnsi="宋体" w:eastAsia="宋体" w:cs="宋体"/>
          <w:color w:val="auto"/>
          <w:highlight w:val="none"/>
        </w:rPr>
      </w:pPr>
    </w:p>
    <w:p w14:paraId="6CECFF7D">
      <w:pPr>
        <w:pStyle w:val="11"/>
        <w:rPr>
          <w:rFonts w:hint="eastAsia" w:ascii="宋体" w:hAnsi="宋体" w:eastAsia="宋体" w:cs="宋体"/>
          <w:color w:val="auto"/>
          <w:highlight w:val="none"/>
        </w:rPr>
      </w:pPr>
    </w:p>
    <w:p w14:paraId="2E3DB86F">
      <w:pPr>
        <w:rPr>
          <w:rFonts w:hint="eastAsia" w:ascii="宋体" w:hAnsi="宋体" w:eastAsia="宋体" w:cs="宋体"/>
          <w:color w:val="auto"/>
          <w:highlight w:val="none"/>
        </w:rPr>
      </w:pPr>
    </w:p>
    <w:p w14:paraId="63C157A7">
      <w:pPr>
        <w:pStyle w:val="13"/>
        <w:rPr>
          <w:rFonts w:hint="eastAsia"/>
          <w:color w:val="auto"/>
          <w:highlight w:val="none"/>
        </w:rPr>
      </w:pPr>
    </w:p>
    <w:p w14:paraId="3DEC53E2">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iCs/>
          <w:color w:val="auto"/>
          <w:kern w:val="2"/>
          <w:sz w:val="28"/>
          <w:szCs w:val="28"/>
          <w:highlight w:val="none"/>
          <w:lang w:val="en-US" w:eastAsia="zh-CN" w:bidi="ar-SA"/>
        </w:rPr>
        <w:t>拟投入本工程主要施工管理人员表（必须提供）；</w:t>
      </w:r>
    </w:p>
    <w:p w14:paraId="75F99849">
      <w:pPr>
        <w:spacing w:line="500" w:lineRule="exact"/>
        <w:jc w:val="center"/>
        <w:rPr>
          <w:rFonts w:hint="eastAsia" w:ascii="宋体" w:hAnsi="宋体" w:eastAsia="宋体" w:cs="宋体"/>
          <w:b/>
          <w:color w:val="auto"/>
          <w:sz w:val="24"/>
          <w:szCs w:val="24"/>
          <w:highlight w:val="none"/>
          <w:lang w:val="en-US" w:eastAsia="zh-CN"/>
        </w:rPr>
      </w:pPr>
    </w:p>
    <w:p w14:paraId="45A7E2B7">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主要施工管理人员表</w:t>
      </w:r>
    </w:p>
    <w:p w14:paraId="030E70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425E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6B5734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9F7A2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703930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56584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55355D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执业资格证号/上岗证号</w:t>
            </w:r>
          </w:p>
        </w:tc>
      </w:tr>
      <w:tr w14:paraId="522C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0BE2F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D3334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A0265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54AFA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D366C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D55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084B7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88D84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C0D86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B20B4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15AEA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7714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625D9D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6BE58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7B4CB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CECD7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FE197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A7E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25939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5EE0FA9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ADC3C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48A5B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474B1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72C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2D0E71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5ADAE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CFBE3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2F913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B0674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826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2FA60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项目经理</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8D5B7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2B214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C334A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B9FC3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3407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24192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16FC6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30DC8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34ED8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85E4F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511B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1B934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23C69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9835A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A2360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FAAB0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289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17A38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D43FA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3EE885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476BF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5B0243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2B1A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5F827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3BF25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0FC01F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4ECE3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25741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2B18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335E0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91373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72CCA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C1B98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CF95E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63FE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FF5E2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F1FE6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E4E83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F8FD7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22B29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298F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7882C7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9C441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8906B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B4A42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5965F3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14:paraId="4B5FC8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pacing w:val="-2"/>
          <w:sz w:val="21"/>
          <w:szCs w:val="21"/>
          <w:highlight w:val="none"/>
        </w:rPr>
        <w:t>注：项目经理应附身份证、注册建造师执业资格证书、安全生产考核合格证书(B类)复印件;项目技术负责人应附身份证复印件、职称证书复印件;专职安全生产管理人员应附身份证、专职安全员安全生产考核合格证书(C类)复印件，其他主要人员（施工员、质检（量）员、材料员）应附执业证或上岗证书复印件;提供以上人员由社保部门出具的供应商为其交纳的响应文件递交截止时间前半年内任意连续三个月社保证明复印件;若为新进员工，请提供劳动合同复印件。上述复印件均需加盖供应商公章</w:t>
      </w:r>
      <w:r>
        <w:rPr>
          <w:rFonts w:hint="eastAsia" w:ascii="宋体" w:hAnsi="宋体" w:eastAsia="宋体" w:cs="宋体"/>
          <w:color w:val="auto"/>
          <w:spacing w:val="-2"/>
          <w:kern w:val="0"/>
          <w:sz w:val="21"/>
          <w:szCs w:val="21"/>
          <w:highlight w:val="none"/>
        </w:rPr>
        <w:t>。</w:t>
      </w:r>
    </w:p>
    <w:p w14:paraId="04AD9C4C">
      <w:pPr>
        <w:pStyle w:val="14"/>
        <w:spacing w:line="340" w:lineRule="exact"/>
        <w:jc w:val="center"/>
        <w:rPr>
          <w:rFonts w:hint="eastAsia" w:ascii="宋体" w:hAnsi="宋体" w:eastAsia="宋体" w:cs="宋体"/>
          <w:b/>
          <w:color w:val="auto"/>
          <w:sz w:val="32"/>
          <w:szCs w:val="32"/>
          <w:highlight w:val="none"/>
        </w:rPr>
      </w:pPr>
    </w:p>
    <w:p w14:paraId="0088D70E">
      <w:pPr>
        <w:pStyle w:val="9"/>
        <w:rPr>
          <w:rFonts w:hint="eastAsia"/>
          <w:color w:val="auto"/>
          <w:highlight w:val="none"/>
        </w:rPr>
      </w:pPr>
    </w:p>
    <w:p w14:paraId="71D2E9F3">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 xml:space="preserve">               </w:t>
      </w:r>
    </w:p>
    <w:p w14:paraId="3EAE39F9">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p>
    <w:p w14:paraId="3C552F99">
      <w:pPr>
        <w:pStyle w:val="11"/>
        <w:rPr>
          <w:rFonts w:hint="eastAsia" w:ascii="宋体" w:hAnsi="宋体" w:eastAsia="宋体" w:cs="宋体"/>
          <w:b/>
          <w:bCs/>
          <w:color w:val="auto"/>
          <w:szCs w:val="21"/>
          <w:highlight w:val="none"/>
        </w:rPr>
      </w:pPr>
    </w:p>
    <w:p w14:paraId="6C71A33E">
      <w:pPr>
        <w:pStyle w:val="11"/>
        <w:rPr>
          <w:rFonts w:hint="eastAsia" w:ascii="宋体" w:hAnsi="宋体" w:eastAsia="宋体" w:cs="宋体"/>
          <w:b/>
          <w:bCs/>
          <w:color w:val="auto"/>
          <w:szCs w:val="21"/>
          <w:highlight w:val="none"/>
        </w:rPr>
      </w:pPr>
    </w:p>
    <w:p w14:paraId="1A24E051">
      <w:pPr>
        <w:pStyle w:val="11"/>
        <w:rPr>
          <w:rFonts w:hint="eastAsia" w:ascii="宋体" w:hAnsi="宋体" w:eastAsia="宋体" w:cs="宋体"/>
          <w:b/>
          <w:bCs/>
          <w:color w:val="auto"/>
          <w:szCs w:val="21"/>
          <w:highlight w:val="none"/>
        </w:rPr>
      </w:pPr>
    </w:p>
    <w:p w14:paraId="33944E09">
      <w:pPr>
        <w:pStyle w:val="52"/>
        <w:rPr>
          <w:rFonts w:hint="eastAsia"/>
          <w:color w:val="auto"/>
          <w:highlight w:val="none"/>
        </w:rPr>
      </w:pPr>
    </w:p>
    <w:p w14:paraId="0D305D1B">
      <w:pPr>
        <w:pStyle w:val="11"/>
        <w:rPr>
          <w:rFonts w:hint="eastAsia" w:ascii="宋体" w:hAnsi="宋体" w:eastAsia="宋体" w:cs="宋体"/>
          <w:b/>
          <w:bCs/>
          <w:color w:val="auto"/>
          <w:szCs w:val="21"/>
          <w:highlight w:val="none"/>
        </w:rPr>
      </w:pPr>
    </w:p>
    <w:p w14:paraId="0A81181E">
      <w:pPr>
        <w:pStyle w:val="14"/>
        <w:numPr>
          <w:ilvl w:val="0"/>
          <w:numId w:val="0"/>
        </w:numPr>
        <w:spacing w:line="340" w:lineRule="exact"/>
        <w:ind w:left="0" w:firstLine="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.担任本工程的</w:t>
      </w:r>
      <w:r>
        <w:rPr>
          <w:rFonts w:hint="eastAsia" w:hAnsi="宋体" w:eastAsia="宋体" w:cs="宋体"/>
          <w:b/>
          <w:color w:val="auto"/>
          <w:sz w:val="28"/>
          <w:szCs w:val="28"/>
          <w:highlight w:val="none"/>
          <w:lang w:val="en-US" w:eastAsia="zh-CN"/>
        </w:rPr>
        <w:t>项目经理</w:t>
      </w:r>
      <w:r>
        <w:rPr>
          <w:rFonts w:hint="eastAsia" w:ascii="宋体" w:hAnsi="宋体" w:eastAsia="宋体" w:cs="宋体"/>
          <w:b/>
          <w:color w:val="auto"/>
          <w:sz w:val="28"/>
          <w:szCs w:val="28"/>
          <w:highlight w:val="none"/>
          <w:lang w:val="en-US" w:eastAsia="zh-CN"/>
        </w:rPr>
        <w:t>简历表（应附相关证书、身份证复印件）（必须提供）</w:t>
      </w:r>
      <w:r>
        <w:rPr>
          <w:rFonts w:hint="eastAsia" w:ascii="宋体" w:hAnsi="宋体" w:eastAsia="宋体" w:cs="宋体"/>
          <w:b/>
          <w:color w:val="auto"/>
          <w:sz w:val="28"/>
          <w:szCs w:val="28"/>
          <w:highlight w:val="none"/>
        </w:rPr>
        <w:t>；</w:t>
      </w:r>
    </w:p>
    <w:p w14:paraId="2CAC1F84">
      <w:pPr>
        <w:rPr>
          <w:rFonts w:hint="eastAsia" w:ascii="宋体" w:hAnsi="宋体" w:eastAsia="宋体" w:cs="宋体"/>
          <w:color w:val="auto"/>
          <w:highlight w:val="none"/>
        </w:rPr>
      </w:pPr>
    </w:p>
    <w:p w14:paraId="377C70CF">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担任本工程的项目经理简历表</w:t>
      </w:r>
    </w:p>
    <w:p w14:paraId="41F40548">
      <w:pPr>
        <w:jc w:val="center"/>
        <w:rPr>
          <w:rFonts w:hint="eastAsia" w:ascii="宋体" w:hAnsi="宋体" w:cs="宋体"/>
          <w:b/>
          <w:color w:val="auto"/>
          <w:sz w:val="32"/>
          <w:highlight w:val="none"/>
        </w:rPr>
      </w:pPr>
    </w:p>
    <w:tbl>
      <w:tblPr>
        <w:tblStyle w:val="29"/>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05F9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3F9EC9BD">
            <w:pPr>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608" w:type="dxa"/>
            <w:tcBorders>
              <w:top w:val="single" w:color="auto" w:sz="8" w:space="0"/>
            </w:tcBorders>
            <w:noWrap w:val="0"/>
            <w:vAlign w:val="top"/>
          </w:tcPr>
          <w:p w14:paraId="7A90E699">
            <w:pPr>
              <w:spacing w:line="440" w:lineRule="exact"/>
              <w:jc w:val="center"/>
              <w:rPr>
                <w:rFonts w:hint="eastAsia" w:ascii="宋体" w:hAnsi="宋体" w:cs="宋体"/>
                <w:color w:val="auto"/>
                <w:highlight w:val="none"/>
              </w:rPr>
            </w:pPr>
          </w:p>
        </w:tc>
        <w:tc>
          <w:tcPr>
            <w:tcW w:w="1072" w:type="dxa"/>
            <w:tcBorders>
              <w:top w:val="single" w:color="auto" w:sz="8" w:space="0"/>
            </w:tcBorders>
            <w:noWrap w:val="0"/>
            <w:vAlign w:val="top"/>
          </w:tcPr>
          <w:p w14:paraId="445AC4C5">
            <w:pPr>
              <w:spacing w:line="440" w:lineRule="exact"/>
              <w:jc w:val="center"/>
              <w:rPr>
                <w:rFonts w:hint="eastAsia" w:ascii="宋体" w:hAnsi="宋体" w:cs="宋体"/>
                <w:color w:val="auto"/>
                <w:highlight w:val="none"/>
              </w:rPr>
            </w:pPr>
            <w:r>
              <w:rPr>
                <w:rFonts w:hint="eastAsia" w:ascii="宋体" w:hAnsi="宋体" w:cs="宋体"/>
                <w:color w:val="auto"/>
                <w:highlight w:val="none"/>
              </w:rPr>
              <w:t>性  别</w:t>
            </w:r>
          </w:p>
        </w:tc>
        <w:tc>
          <w:tcPr>
            <w:tcW w:w="1072" w:type="dxa"/>
            <w:gridSpan w:val="3"/>
            <w:tcBorders>
              <w:top w:val="single" w:color="auto" w:sz="8" w:space="0"/>
            </w:tcBorders>
            <w:noWrap w:val="0"/>
            <w:vAlign w:val="top"/>
          </w:tcPr>
          <w:p w14:paraId="3B9C2874">
            <w:pPr>
              <w:spacing w:line="440" w:lineRule="exact"/>
              <w:jc w:val="center"/>
              <w:rPr>
                <w:rFonts w:hint="eastAsia" w:ascii="宋体" w:hAnsi="宋体" w:cs="宋体"/>
                <w:color w:val="auto"/>
                <w:highlight w:val="none"/>
              </w:rPr>
            </w:pPr>
          </w:p>
        </w:tc>
        <w:tc>
          <w:tcPr>
            <w:tcW w:w="1340" w:type="dxa"/>
            <w:gridSpan w:val="2"/>
            <w:tcBorders>
              <w:top w:val="single" w:color="auto" w:sz="8" w:space="0"/>
            </w:tcBorders>
            <w:noWrap w:val="0"/>
            <w:vAlign w:val="top"/>
          </w:tcPr>
          <w:p w14:paraId="6B7FEDB4">
            <w:pPr>
              <w:spacing w:line="440" w:lineRule="exact"/>
              <w:jc w:val="center"/>
              <w:rPr>
                <w:rFonts w:hint="eastAsia" w:ascii="宋体" w:hAnsi="宋体" w:cs="宋体"/>
                <w:color w:val="auto"/>
                <w:highlight w:val="none"/>
              </w:rPr>
            </w:pPr>
            <w:r>
              <w:rPr>
                <w:rFonts w:hint="eastAsia" w:ascii="宋体" w:hAnsi="宋体" w:cs="宋体"/>
                <w:color w:val="auto"/>
                <w:highlight w:val="none"/>
              </w:rPr>
              <w:t>年  龄</w:t>
            </w:r>
          </w:p>
        </w:tc>
        <w:tc>
          <w:tcPr>
            <w:tcW w:w="2144" w:type="dxa"/>
            <w:gridSpan w:val="3"/>
            <w:tcBorders>
              <w:top w:val="single" w:color="auto" w:sz="8" w:space="0"/>
              <w:right w:val="single" w:color="auto" w:sz="8" w:space="0"/>
            </w:tcBorders>
            <w:noWrap w:val="0"/>
            <w:vAlign w:val="top"/>
          </w:tcPr>
          <w:p w14:paraId="29D43C58">
            <w:pPr>
              <w:spacing w:line="440" w:lineRule="exact"/>
              <w:jc w:val="center"/>
              <w:rPr>
                <w:rFonts w:hint="eastAsia" w:ascii="宋体" w:hAnsi="宋体" w:cs="宋体"/>
                <w:color w:val="auto"/>
                <w:highlight w:val="none"/>
              </w:rPr>
            </w:pPr>
          </w:p>
        </w:tc>
      </w:tr>
      <w:tr w14:paraId="229F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A799E15">
            <w:pPr>
              <w:spacing w:line="440" w:lineRule="exact"/>
              <w:jc w:val="center"/>
              <w:rPr>
                <w:rFonts w:hint="eastAsia" w:ascii="宋体" w:hAnsi="宋体" w:cs="宋体"/>
                <w:color w:val="auto"/>
                <w:highlight w:val="none"/>
              </w:rPr>
            </w:pPr>
            <w:r>
              <w:rPr>
                <w:rFonts w:hint="eastAsia" w:ascii="宋体" w:hAnsi="宋体" w:cs="宋体"/>
                <w:color w:val="auto"/>
                <w:highlight w:val="none"/>
              </w:rPr>
              <w:t>职  务</w:t>
            </w:r>
          </w:p>
        </w:tc>
        <w:tc>
          <w:tcPr>
            <w:tcW w:w="1608" w:type="dxa"/>
            <w:noWrap w:val="0"/>
            <w:vAlign w:val="top"/>
          </w:tcPr>
          <w:p w14:paraId="48C58E00">
            <w:pPr>
              <w:spacing w:line="440" w:lineRule="exact"/>
              <w:jc w:val="center"/>
              <w:rPr>
                <w:rFonts w:hint="eastAsia" w:ascii="宋体" w:hAnsi="宋体" w:cs="宋体"/>
                <w:color w:val="auto"/>
                <w:highlight w:val="none"/>
              </w:rPr>
            </w:pPr>
          </w:p>
        </w:tc>
        <w:tc>
          <w:tcPr>
            <w:tcW w:w="1072" w:type="dxa"/>
            <w:noWrap w:val="0"/>
            <w:vAlign w:val="top"/>
          </w:tcPr>
          <w:p w14:paraId="06BA5F72">
            <w:pPr>
              <w:spacing w:line="440" w:lineRule="exact"/>
              <w:jc w:val="center"/>
              <w:rPr>
                <w:rFonts w:hint="eastAsia" w:ascii="宋体" w:hAnsi="宋体" w:cs="宋体"/>
                <w:color w:val="auto"/>
                <w:highlight w:val="none"/>
              </w:rPr>
            </w:pPr>
            <w:r>
              <w:rPr>
                <w:rFonts w:hint="eastAsia" w:ascii="宋体" w:hAnsi="宋体" w:cs="宋体"/>
                <w:color w:val="auto"/>
                <w:highlight w:val="none"/>
              </w:rPr>
              <w:t>职  称</w:t>
            </w:r>
          </w:p>
        </w:tc>
        <w:tc>
          <w:tcPr>
            <w:tcW w:w="1072" w:type="dxa"/>
            <w:gridSpan w:val="3"/>
            <w:noWrap w:val="0"/>
            <w:vAlign w:val="top"/>
          </w:tcPr>
          <w:p w14:paraId="4D54404C">
            <w:pPr>
              <w:spacing w:line="440" w:lineRule="exact"/>
              <w:jc w:val="center"/>
              <w:rPr>
                <w:rFonts w:hint="eastAsia" w:ascii="宋体" w:hAnsi="宋体" w:cs="宋体"/>
                <w:color w:val="auto"/>
                <w:highlight w:val="none"/>
              </w:rPr>
            </w:pPr>
          </w:p>
        </w:tc>
        <w:tc>
          <w:tcPr>
            <w:tcW w:w="1340" w:type="dxa"/>
            <w:gridSpan w:val="2"/>
            <w:noWrap w:val="0"/>
            <w:vAlign w:val="top"/>
          </w:tcPr>
          <w:p w14:paraId="76519A27">
            <w:pPr>
              <w:spacing w:line="440" w:lineRule="exact"/>
              <w:jc w:val="center"/>
              <w:rPr>
                <w:rFonts w:hint="eastAsia" w:ascii="宋体" w:hAnsi="宋体" w:cs="宋体"/>
                <w:color w:val="auto"/>
                <w:highlight w:val="none"/>
              </w:rPr>
            </w:pPr>
            <w:r>
              <w:rPr>
                <w:rFonts w:hint="eastAsia" w:ascii="宋体" w:hAnsi="宋体" w:cs="宋体"/>
                <w:color w:val="auto"/>
                <w:highlight w:val="none"/>
              </w:rPr>
              <w:t>学  历</w:t>
            </w:r>
          </w:p>
        </w:tc>
        <w:tc>
          <w:tcPr>
            <w:tcW w:w="2144" w:type="dxa"/>
            <w:gridSpan w:val="3"/>
            <w:tcBorders>
              <w:right w:val="single" w:color="auto" w:sz="8" w:space="0"/>
            </w:tcBorders>
            <w:noWrap w:val="0"/>
            <w:vAlign w:val="top"/>
          </w:tcPr>
          <w:p w14:paraId="385D058A">
            <w:pPr>
              <w:spacing w:line="440" w:lineRule="exact"/>
              <w:jc w:val="center"/>
              <w:rPr>
                <w:rFonts w:hint="eastAsia" w:ascii="宋体" w:hAnsi="宋体" w:cs="宋体"/>
                <w:color w:val="auto"/>
                <w:highlight w:val="none"/>
              </w:rPr>
            </w:pPr>
          </w:p>
        </w:tc>
      </w:tr>
      <w:tr w14:paraId="1C82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53F4B46D">
            <w:pPr>
              <w:spacing w:line="440" w:lineRule="exact"/>
              <w:jc w:val="center"/>
              <w:rPr>
                <w:rFonts w:hint="eastAsia" w:ascii="宋体" w:hAnsi="宋体" w:cs="宋体"/>
                <w:color w:val="auto"/>
                <w:highlight w:val="none"/>
              </w:rPr>
            </w:pPr>
            <w:r>
              <w:rPr>
                <w:rFonts w:hint="eastAsia" w:ascii="宋体" w:hAnsi="宋体" w:cs="宋体"/>
                <w:color w:val="auto"/>
                <w:highlight w:val="none"/>
              </w:rPr>
              <w:t>专  业</w:t>
            </w:r>
          </w:p>
        </w:tc>
        <w:tc>
          <w:tcPr>
            <w:tcW w:w="2708" w:type="dxa"/>
            <w:gridSpan w:val="3"/>
            <w:noWrap w:val="0"/>
            <w:vAlign w:val="top"/>
          </w:tcPr>
          <w:p w14:paraId="244A9FE3">
            <w:pPr>
              <w:spacing w:line="440" w:lineRule="exact"/>
              <w:rPr>
                <w:rFonts w:hint="eastAsia" w:ascii="宋体" w:hAnsi="宋体" w:cs="宋体"/>
                <w:color w:val="auto"/>
                <w:highlight w:val="none"/>
              </w:rPr>
            </w:pPr>
          </w:p>
        </w:tc>
        <w:tc>
          <w:tcPr>
            <w:tcW w:w="2880" w:type="dxa"/>
            <w:gridSpan w:val="5"/>
            <w:noWrap w:val="0"/>
            <w:vAlign w:val="top"/>
          </w:tcPr>
          <w:p w14:paraId="736E5D7C">
            <w:pPr>
              <w:spacing w:line="440" w:lineRule="exact"/>
              <w:rPr>
                <w:rFonts w:hint="eastAsia" w:ascii="宋体" w:hAnsi="宋体" w:cs="宋体"/>
                <w:color w:val="auto"/>
                <w:highlight w:val="none"/>
              </w:rPr>
            </w:pPr>
            <w:r>
              <w:rPr>
                <w:rFonts w:hint="eastAsia" w:ascii="宋体" w:hAnsi="宋体" w:cs="宋体"/>
                <w:color w:val="auto"/>
                <w:highlight w:val="none"/>
              </w:rPr>
              <w:t>从事项目经理或建造师年限</w:t>
            </w:r>
          </w:p>
        </w:tc>
        <w:tc>
          <w:tcPr>
            <w:tcW w:w="1648" w:type="dxa"/>
            <w:gridSpan w:val="2"/>
            <w:tcBorders>
              <w:right w:val="single" w:color="auto" w:sz="8" w:space="0"/>
            </w:tcBorders>
            <w:noWrap w:val="0"/>
            <w:vAlign w:val="top"/>
          </w:tcPr>
          <w:p w14:paraId="148713C5">
            <w:pPr>
              <w:spacing w:line="440" w:lineRule="exact"/>
              <w:jc w:val="center"/>
              <w:rPr>
                <w:rFonts w:hint="eastAsia" w:ascii="宋体" w:hAnsi="宋体" w:cs="宋体"/>
                <w:color w:val="auto"/>
                <w:highlight w:val="none"/>
              </w:rPr>
            </w:pPr>
            <w:r>
              <w:rPr>
                <w:rFonts w:hint="eastAsia" w:ascii="宋体" w:hAnsi="宋体" w:cs="宋体"/>
                <w:color w:val="auto"/>
                <w:highlight w:val="none"/>
              </w:rPr>
              <w:t xml:space="preserve">         (年)</w:t>
            </w:r>
          </w:p>
        </w:tc>
      </w:tr>
      <w:tr w14:paraId="593B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274B45E7">
            <w:pPr>
              <w:spacing w:line="440" w:lineRule="exact"/>
              <w:jc w:val="center"/>
              <w:rPr>
                <w:rFonts w:hint="eastAsia" w:ascii="宋体" w:hAnsi="宋体" w:cs="宋体"/>
                <w:color w:val="auto"/>
                <w:highlight w:val="none"/>
              </w:rPr>
            </w:pPr>
            <w:r>
              <w:rPr>
                <w:rFonts w:hint="eastAsia" w:ascii="宋体" w:hAnsi="宋体" w:cs="宋体"/>
                <w:color w:val="auto"/>
                <w:highlight w:val="none"/>
              </w:rPr>
              <w:t>已完工程项目情况</w:t>
            </w:r>
          </w:p>
        </w:tc>
      </w:tr>
      <w:tr w14:paraId="45A2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7902E3E">
            <w:pPr>
              <w:spacing w:line="440" w:lineRule="exact"/>
              <w:jc w:val="center"/>
              <w:rPr>
                <w:rFonts w:hint="eastAsia" w:ascii="宋体" w:hAnsi="宋体" w:cs="宋体"/>
                <w:color w:val="auto"/>
                <w:highlight w:val="none"/>
              </w:rPr>
            </w:pPr>
            <w:r>
              <w:rPr>
                <w:rFonts w:hint="eastAsia" w:ascii="宋体" w:hAnsi="宋体" w:cs="宋体"/>
                <w:color w:val="auto"/>
                <w:highlight w:val="none"/>
              </w:rPr>
              <w:t>建设单位</w:t>
            </w:r>
          </w:p>
        </w:tc>
        <w:tc>
          <w:tcPr>
            <w:tcW w:w="1608" w:type="dxa"/>
            <w:noWrap w:val="0"/>
            <w:vAlign w:val="top"/>
          </w:tcPr>
          <w:p w14:paraId="19CC7A94">
            <w:pPr>
              <w:spacing w:line="440" w:lineRule="exact"/>
              <w:jc w:val="center"/>
              <w:rPr>
                <w:rFonts w:hint="eastAsia" w:ascii="宋体" w:hAnsi="宋体" w:cs="宋体"/>
                <w:color w:val="auto"/>
                <w:highlight w:val="none"/>
              </w:rPr>
            </w:pPr>
            <w:r>
              <w:rPr>
                <w:rFonts w:hint="eastAsia" w:ascii="宋体" w:hAnsi="宋体" w:cs="宋体"/>
                <w:color w:val="auto"/>
                <w:highlight w:val="none"/>
              </w:rPr>
              <w:t>项目名称</w:t>
            </w:r>
          </w:p>
        </w:tc>
        <w:tc>
          <w:tcPr>
            <w:tcW w:w="1608" w:type="dxa"/>
            <w:gridSpan w:val="3"/>
            <w:noWrap w:val="0"/>
            <w:vAlign w:val="top"/>
          </w:tcPr>
          <w:p w14:paraId="3B9B9D1F">
            <w:pPr>
              <w:spacing w:line="440" w:lineRule="exact"/>
              <w:jc w:val="center"/>
              <w:rPr>
                <w:rFonts w:hint="eastAsia" w:ascii="宋体" w:hAnsi="宋体" w:cs="宋体"/>
                <w:color w:val="auto"/>
                <w:highlight w:val="none"/>
              </w:rPr>
            </w:pPr>
            <w:r>
              <w:rPr>
                <w:rFonts w:hint="eastAsia" w:ascii="宋体" w:hAnsi="宋体" w:cs="宋体"/>
                <w:color w:val="auto"/>
                <w:highlight w:val="none"/>
              </w:rPr>
              <w:t>建设规模</w:t>
            </w:r>
          </w:p>
        </w:tc>
        <w:tc>
          <w:tcPr>
            <w:tcW w:w="1608" w:type="dxa"/>
            <w:gridSpan w:val="2"/>
            <w:noWrap w:val="0"/>
            <w:vAlign w:val="top"/>
          </w:tcPr>
          <w:p w14:paraId="0D3C9A8F">
            <w:pPr>
              <w:spacing w:line="440" w:lineRule="exact"/>
              <w:jc w:val="center"/>
              <w:rPr>
                <w:rFonts w:hint="eastAsia" w:ascii="宋体" w:hAnsi="宋体" w:cs="宋体"/>
                <w:color w:val="auto"/>
                <w:highlight w:val="none"/>
              </w:rPr>
            </w:pPr>
            <w:r>
              <w:rPr>
                <w:rFonts w:hint="eastAsia" w:ascii="宋体" w:hAnsi="宋体" w:cs="宋体"/>
                <w:color w:val="auto"/>
                <w:highlight w:val="none"/>
              </w:rPr>
              <w:t>开、竣工日期</w:t>
            </w:r>
          </w:p>
        </w:tc>
        <w:tc>
          <w:tcPr>
            <w:tcW w:w="1206" w:type="dxa"/>
            <w:gridSpan w:val="3"/>
            <w:noWrap w:val="0"/>
            <w:vAlign w:val="top"/>
          </w:tcPr>
          <w:p w14:paraId="13151F7A">
            <w:pPr>
              <w:spacing w:line="440" w:lineRule="exact"/>
              <w:jc w:val="center"/>
              <w:rPr>
                <w:rFonts w:hint="eastAsia" w:ascii="宋体" w:hAnsi="宋体" w:cs="宋体"/>
                <w:color w:val="auto"/>
                <w:highlight w:val="none"/>
              </w:rPr>
            </w:pPr>
            <w:r>
              <w:rPr>
                <w:rFonts w:hint="eastAsia" w:ascii="宋体" w:hAnsi="宋体" w:cs="宋体"/>
                <w:color w:val="auto"/>
                <w:highlight w:val="none"/>
              </w:rPr>
              <w:t>工程质量</w:t>
            </w:r>
          </w:p>
        </w:tc>
        <w:tc>
          <w:tcPr>
            <w:tcW w:w="1206" w:type="dxa"/>
            <w:tcBorders>
              <w:right w:val="single" w:color="auto" w:sz="8" w:space="0"/>
            </w:tcBorders>
            <w:noWrap w:val="0"/>
            <w:vAlign w:val="top"/>
          </w:tcPr>
          <w:p w14:paraId="7A5AB2F7">
            <w:pPr>
              <w:spacing w:line="440" w:lineRule="exact"/>
              <w:jc w:val="center"/>
              <w:rPr>
                <w:rFonts w:hint="eastAsia" w:ascii="宋体" w:hAnsi="宋体" w:cs="宋体"/>
                <w:color w:val="auto"/>
                <w:highlight w:val="none"/>
              </w:rPr>
            </w:pPr>
            <w:r>
              <w:rPr>
                <w:rFonts w:hint="eastAsia" w:ascii="宋体" w:hAnsi="宋体" w:cs="宋体"/>
                <w:color w:val="auto"/>
                <w:highlight w:val="none"/>
              </w:rPr>
              <w:t>受奖情况</w:t>
            </w:r>
          </w:p>
        </w:tc>
      </w:tr>
      <w:tr w14:paraId="7649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5CB788">
            <w:pPr>
              <w:spacing w:line="440" w:lineRule="exact"/>
              <w:jc w:val="center"/>
              <w:rPr>
                <w:rFonts w:hint="eastAsia" w:ascii="宋体" w:hAnsi="宋体" w:cs="宋体"/>
                <w:color w:val="auto"/>
                <w:highlight w:val="none"/>
              </w:rPr>
            </w:pPr>
          </w:p>
        </w:tc>
        <w:tc>
          <w:tcPr>
            <w:tcW w:w="1608" w:type="dxa"/>
            <w:noWrap w:val="0"/>
            <w:vAlign w:val="top"/>
          </w:tcPr>
          <w:p w14:paraId="62D1225B">
            <w:pPr>
              <w:spacing w:line="440" w:lineRule="exact"/>
              <w:jc w:val="center"/>
              <w:rPr>
                <w:rFonts w:hint="eastAsia" w:ascii="宋体" w:hAnsi="宋体" w:cs="宋体"/>
                <w:color w:val="auto"/>
                <w:highlight w:val="none"/>
              </w:rPr>
            </w:pPr>
          </w:p>
        </w:tc>
        <w:tc>
          <w:tcPr>
            <w:tcW w:w="1608" w:type="dxa"/>
            <w:gridSpan w:val="3"/>
            <w:noWrap w:val="0"/>
            <w:vAlign w:val="top"/>
          </w:tcPr>
          <w:p w14:paraId="0356086D">
            <w:pPr>
              <w:spacing w:line="440" w:lineRule="exact"/>
              <w:jc w:val="center"/>
              <w:rPr>
                <w:rFonts w:hint="eastAsia" w:ascii="宋体" w:hAnsi="宋体" w:cs="宋体"/>
                <w:color w:val="auto"/>
                <w:highlight w:val="none"/>
              </w:rPr>
            </w:pPr>
          </w:p>
        </w:tc>
        <w:tc>
          <w:tcPr>
            <w:tcW w:w="1608" w:type="dxa"/>
            <w:gridSpan w:val="2"/>
            <w:noWrap w:val="0"/>
            <w:vAlign w:val="top"/>
          </w:tcPr>
          <w:p w14:paraId="70C6F095">
            <w:pPr>
              <w:spacing w:line="440" w:lineRule="exact"/>
              <w:jc w:val="center"/>
              <w:rPr>
                <w:rFonts w:hint="eastAsia" w:ascii="宋体" w:hAnsi="宋体" w:cs="宋体"/>
                <w:color w:val="auto"/>
                <w:highlight w:val="none"/>
              </w:rPr>
            </w:pPr>
          </w:p>
        </w:tc>
        <w:tc>
          <w:tcPr>
            <w:tcW w:w="1206" w:type="dxa"/>
            <w:gridSpan w:val="3"/>
            <w:noWrap w:val="0"/>
            <w:vAlign w:val="top"/>
          </w:tcPr>
          <w:p w14:paraId="50A955C3">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77285365">
            <w:pPr>
              <w:spacing w:line="440" w:lineRule="exact"/>
              <w:jc w:val="center"/>
              <w:rPr>
                <w:rFonts w:hint="eastAsia" w:ascii="宋体" w:hAnsi="宋体" w:cs="宋体"/>
                <w:color w:val="auto"/>
                <w:highlight w:val="none"/>
              </w:rPr>
            </w:pPr>
          </w:p>
        </w:tc>
      </w:tr>
      <w:tr w14:paraId="4298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9F259B6">
            <w:pPr>
              <w:spacing w:line="440" w:lineRule="exact"/>
              <w:jc w:val="center"/>
              <w:rPr>
                <w:rFonts w:hint="eastAsia" w:ascii="宋体" w:hAnsi="宋体" w:cs="宋体"/>
                <w:color w:val="auto"/>
                <w:highlight w:val="none"/>
              </w:rPr>
            </w:pPr>
          </w:p>
        </w:tc>
        <w:tc>
          <w:tcPr>
            <w:tcW w:w="1608" w:type="dxa"/>
            <w:noWrap w:val="0"/>
            <w:vAlign w:val="top"/>
          </w:tcPr>
          <w:p w14:paraId="1E7703B5">
            <w:pPr>
              <w:spacing w:line="440" w:lineRule="exact"/>
              <w:jc w:val="center"/>
              <w:rPr>
                <w:rFonts w:hint="eastAsia" w:ascii="宋体" w:hAnsi="宋体" w:cs="宋体"/>
                <w:color w:val="auto"/>
                <w:highlight w:val="none"/>
              </w:rPr>
            </w:pPr>
          </w:p>
        </w:tc>
        <w:tc>
          <w:tcPr>
            <w:tcW w:w="1608" w:type="dxa"/>
            <w:gridSpan w:val="3"/>
            <w:noWrap w:val="0"/>
            <w:vAlign w:val="top"/>
          </w:tcPr>
          <w:p w14:paraId="15832395">
            <w:pPr>
              <w:spacing w:line="440" w:lineRule="exact"/>
              <w:jc w:val="center"/>
              <w:rPr>
                <w:rFonts w:hint="eastAsia" w:ascii="宋体" w:hAnsi="宋体" w:cs="宋体"/>
                <w:color w:val="auto"/>
                <w:highlight w:val="none"/>
              </w:rPr>
            </w:pPr>
          </w:p>
        </w:tc>
        <w:tc>
          <w:tcPr>
            <w:tcW w:w="1608" w:type="dxa"/>
            <w:gridSpan w:val="2"/>
            <w:noWrap w:val="0"/>
            <w:vAlign w:val="top"/>
          </w:tcPr>
          <w:p w14:paraId="0868FEDC">
            <w:pPr>
              <w:spacing w:line="440" w:lineRule="exact"/>
              <w:jc w:val="center"/>
              <w:rPr>
                <w:rFonts w:hint="eastAsia" w:ascii="宋体" w:hAnsi="宋体" w:cs="宋体"/>
                <w:color w:val="auto"/>
                <w:highlight w:val="none"/>
              </w:rPr>
            </w:pPr>
          </w:p>
        </w:tc>
        <w:tc>
          <w:tcPr>
            <w:tcW w:w="1206" w:type="dxa"/>
            <w:gridSpan w:val="3"/>
            <w:noWrap w:val="0"/>
            <w:vAlign w:val="top"/>
          </w:tcPr>
          <w:p w14:paraId="5F1B1ACB">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2C1B39C0">
            <w:pPr>
              <w:spacing w:line="440" w:lineRule="exact"/>
              <w:jc w:val="center"/>
              <w:rPr>
                <w:rFonts w:hint="eastAsia" w:ascii="宋体" w:hAnsi="宋体" w:cs="宋体"/>
                <w:color w:val="auto"/>
                <w:highlight w:val="none"/>
              </w:rPr>
            </w:pPr>
          </w:p>
        </w:tc>
      </w:tr>
      <w:tr w14:paraId="232F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CB728CE">
            <w:pPr>
              <w:spacing w:line="440" w:lineRule="exact"/>
              <w:jc w:val="center"/>
              <w:rPr>
                <w:rFonts w:hint="eastAsia" w:ascii="宋体" w:hAnsi="宋体" w:cs="宋体"/>
                <w:color w:val="auto"/>
                <w:highlight w:val="none"/>
              </w:rPr>
            </w:pPr>
          </w:p>
        </w:tc>
        <w:tc>
          <w:tcPr>
            <w:tcW w:w="1608" w:type="dxa"/>
            <w:noWrap w:val="0"/>
            <w:vAlign w:val="top"/>
          </w:tcPr>
          <w:p w14:paraId="696252BE">
            <w:pPr>
              <w:spacing w:line="440" w:lineRule="exact"/>
              <w:jc w:val="center"/>
              <w:rPr>
                <w:rFonts w:hint="eastAsia" w:ascii="宋体" w:hAnsi="宋体" w:cs="宋体"/>
                <w:color w:val="auto"/>
                <w:highlight w:val="none"/>
              </w:rPr>
            </w:pPr>
          </w:p>
        </w:tc>
        <w:tc>
          <w:tcPr>
            <w:tcW w:w="1608" w:type="dxa"/>
            <w:gridSpan w:val="3"/>
            <w:noWrap w:val="0"/>
            <w:vAlign w:val="top"/>
          </w:tcPr>
          <w:p w14:paraId="4126DB89">
            <w:pPr>
              <w:spacing w:line="440" w:lineRule="exact"/>
              <w:jc w:val="center"/>
              <w:rPr>
                <w:rFonts w:hint="eastAsia" w:ascii="宋体" w:hAnsi="宋体" w:cs="宋体"/>
                <w:color w:val="auto"/>
                <w:highlight w:val="none"/>
              </w:rPr>
            </w:pPr>
          </w:p>
        </w:tc>
        <w:tc>
          <w:tcPr>
            <w:tcW w:w="1608" w:type="dxa"/>
            <w:gridSpan w:val="2"/>
            <w:noWrap w:val="0"/>
            <w:vAlign w:val="top"/>
          </w:tcPr>
          <w:p w14:paraId="41E0736B">
            <w:pPr>
              <w:spacing w:line="440" w:lineRule="exact"/>
              <w:jc w:val="center"/>
              <w:rPr>
                <w:rFonts w:hint="eastAsia" w:ascii="宋体" w:hAnsi="宋体" w:cs="宋体"/>
                <w:color w:val="auto"/>
                <w:highlight w:val="none"/>
              </w:rPr>
            </w:pPr>
          </w:p>
        </w:tc>
        <w:tc>
          <w:tcPr>
            <w:tcW w:w="1206" w:type="dxa"/>
            <w:gridSpan w:val="3"/>
            <w:noWrap w:val="0"/>
            <w:vAlign w:val="top"/>
          </w:tcPr>
          <w:p w14:paraId="056DAF75">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4E25AC8A">
            <w:pPr>
              <w:spacing w:line="440" w:lineRule="exact"/>
              <w:jc w:val="center"/>
              <w:rPr>
                <w:rFonts w:hint="eastAsia" w:ascii="宋体" w:hAnsi="宋体" w:cs="宋体"/>
                <w:color w:val="auto"/>
                <w:highlight w:val="none"/>
              </w:rPr>
            </w:pPr>
          </w:p>
        </w:tc>
      </w:tr>
      <w:tr w14:paraId="3E5C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AEC68F4">
            <w:pPr>
              <w:spacing w:line="440" w:lineRule="exact"/>
              <w:jc w:val="center"/>
              <w:rPr>
                <w:rFonts w:hint="eastAsia" w:ascii="宋体" w:hAnsi="宋体" w:cs="宋体"/>
                <w:color w:val="auto"/>
                <w:highlight w:val="none"/>
              </w:rPr>
            </w:pPr>
          </w:p>
        </w:tc>
        <w:tc>
          <w:tcPr>
            <w:tcW w:w="1608" w:type="dxa"/>
            <w:noWrap w:val="0"/>
            <w:vAlign w:val="top"/>
          </w:tcPr>
          <w:p w14:paraId="5B8D8FBE">
            <w:pPr>
              <w:spacing w:line="440" w:lineRule="exact"/>
              <w:jc w:val="center"/>
              <w:rPr>
                <w:rFonts w:hint="eastAsia" w:ascii="宋体" w:hAnsi="宋体" w:cs="宋体"/>
                <w:color w:val="auto"/>
                <w:highlight w:val="none"/>
              </w:rPr>
            </w:pPr>
          </w:p>
        </w:tc>
        <w:tc>
          <w:tcPr>
            <w:tcW w:w="1608" w:type="dxa"/>
            <w:gridSpan w:val="3"/>
            <w:noWrap w:val="0"/>
            <w:vAlign w:val="top"/>
          </w:tcPr>
          <w:p w14:paraId="585D20E3">
            <w:pPr>
              <w:spacing w:line="440" w:lineRule="exact"/>
              <w:jc w:val="center"/>
              <w:rPr>
                <w:rFonts w:hint="eastAsia" w:ascii="宋体" w:hAnsi="宋体" w:cs="宋体"/>
                <w:color w:val="auto"/>
                <w:highlight w:val="none"/>
              </w:rPr>
            </w:pPr>
          </w:p>
        </w:tc>
        <w:tc>
          <w:tcPr>
            <w:tcW w:w="1608" w:type="dxa"/>
            <w:gridSpan w:val="2"/>
            <w:noWrap w:val="0"/>
            <w:vAlign w:val="top"/>
          </w:tcPr>
          <w:p w14:paraId="7B2C214D">
            <w:pPr>
              <w:spacing w:line="440" w:lineRule="exact"/>
              <w:jc w:val="center"/>
              <w:rPr>
                <w:rFonts w:hint="eastAsia" w:ascii="宋体" w:hAnsi="宋体" w:cs="宋体"/>
                <w:color w:val="auto"/>
                <w:highlight w:val="none"/>
              </w:rPr>
            </w:pPr>
          </w:p>
        </w:tc>
        <w:tc>
          <w:tcPr>
            <w:tcW w:w="1206" w:type="dxa"/>
            <w:gridSpan w:val="3"/>
            <w:noWrap w:val="0"/>
            <w:vAlign w:val="top"/>
          </w:tcPr>
          <w:p w14:paraId="6318ACC4">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1F5BEEB2">
            <w:pPr>
              <w:spacing w:line="440" w:lineRule="exact"/>
              <w:jc w:val="center"/>
              <w:rPr>
                <w:rFonts w:hint="eastAsia" w:ascii="宋体" w:hAnsi="宋体" w:cs="宋体"/>
                <w:color w:val="auto"/>
                <w:highlight w:val="none"/>
              </w:rPr>
            </w:pPr>
          </w:p>
        </w:tc>
      </w:tr>
      <w:tr w14:paraId="4DC0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F380E7F">
            <w:pPr>
              <w:spacing w:line="440" w:lineRule="exact"/>
              <w:jc w:val="center"/>
              <w:rPr>
                <w:rFonts w:hint="eastAsia" w:ascii="宋体" w:hAnsi="宋体" w:cs="宋体"/>
                <w:color w:val="auto"/>
                <w:highlight w:val="none"/>
              </w:rPr>
            </w:pPr>
          </w:p>
        </w:tc>
        <w:tc>
          <w:tcPr>
            <w:tcW w:w="1608" w:type="dxa"/>
            <w:noWrap w:val="0"/>
            <w:vAlign w:val="top"/>
          </w:tcPr>
          <w:p w14:paraId="0C9B39D9">
            <w:pPr>
              <w:spacing w:line="440" w:lineRule="exact"/>
              <w:jc w:val="center"/>
              <w:rPr>
                <w:rFonts w:hint="eastAsia" w:ascii="宋体" w:hAnsi="宋体" w:cs="宋体"/>
                <w:color w:val="auto"/>
                <w:highlight w:val="none"/>
              </w:rPr>
            </w:pPr>
          </w:p>
        </w:tc>
        <w:tc>
          <w:tcPr>
            <w:tcW w:w="1608" w:type="dxa"/>
            <w:gridSpan w:val="3"/>
            <w:noWrap w:val="0"/>
            <w:vAlign w:val="top"/>
          </w:tcPr>
          <w:p w14:paraId="0D20EC80">
            <w:pPr>
              <w:spacing w:line="440" w:lineRule="exact"/>
              <w:jc w:val="center"/>
              <w:rPr>
                <w:rFonts w:hint="eastAsia" w:ascii="宋体" w:hAnsi="宋体" w:cs="宋体"/>
                <w:color w:val="auto"/>
                <w:highlight w:val="none"/>
              </w:rPr>
            </w:pPr>
          </w:p>
        </w:tc>
        <w:tc>
          <w:tcPr>
            <w:tcW w:w="1608" w:type="dxa"/>
            <w:gridSpan w:val="2"/>
            <w:noWrap w:val="0"/>
            <w:vAlign w:val="top"/>
          </w:tcPr>
          <w:p w14:paraId="37CA5DEA">
            <w:pPr>
              <w:spacing w:line="440" w:lineRule="exact"/>
              <w:jc w:val="center"/>
              <w:rPr>
                <w:rFonts w:hint="eastAsia" w:ascii="宋体" w:hAnsi="宋体" w:cs="宋体"/>
                <w:color w:val="auto"/>
                <w:highlight w:val="none"/>
              </w:rPr>
            </w:pPr>
          </w:p>
        </w:tc>
        <w:tc>
          <w:tcPr>
            <w:tcW w:w="1206" w:type="dxa"/>
            <w:gridSpan w:val="3"/>
            <w:noWrap w:val="0"/>
            <w:vAlign w:val="top"/>
          </w:tcPr>
          <w:p w14:paraId="77F37908">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505D9844">
            <w:pPr>
              <w:spacing w:line="440" w:lineRule="exact"/>
              <w:jc w:val="center"/>
              <w:rPr>
                <w:rFonts w:hint="eastAsia" w:ascii="宋体" w:hAnsi="宋体" w:cs="宋体"/>
                <w:color w:val="auto"/>
                <w:highlight w:val="none"/>
              </w:rPr>
            </w:pPr>
          </w:p>
        </w:tc>
      </w:tr>
      <w:tr w14:paraId="61D0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5B6EF28">
            <w:pPr>
              <w:spacing w:line="440" w:lineRule="exact"/>
              <w:jc w:val="center"/>
              <w:rPr>
                <w:rFonts w:hint="eastAsia" w:ascii="宋体" w:hAnsi="宋体" w:cs="宋体"/>
                <w:color w:val="auto"/>
                <w:highlight w:val="none"/>
              </w:rPr>
            </w:pPr>
          </w:p>
        </w:tc>
        <w:tc>
          <w:tcPr>
            <w:tcW w:w="1608" w:type="dxa"/>
            <w:noWrap w:val="0"/>
            <w:vAlign w:val="top"/>
          </w:tcPr>
          <w:p w14:paraId="5E2D7504">
            <w:pPr>
              <w:spacing w:line="440" w:lineRule="exact"/>
              <w:jc w:val="center"/>
              <w:rPr>
                <w:rFonts w:hint="eastAsia" w:ascii="宋体" w:hAnsi="宋体" w:cs="宋体"/>
                <w:color w:val="auto"/>
                <w:highlight w:val="none"/>
              </w:rPr>
            </w:pPr>
          </w:p>
        </w:tc>
        <w:tc>
          <w:tcPr>
            <w:tcW w:w="1608" w:type="dxa"/>
            <w:gridSpan w:val="3"/>
            <w:noWrap w:val="0"/>
            <w:vAlign w:val="top"/>
          </w:tcPr>
          <w:p w14:paraId="27F0EF3B">
            <w:pPr>
              <w:spacing w:line="440" w:lineRule="exact"/>
              <w:jc w:val="center"/>
              <w:rPr>
                <w:rFonts w:hint="eastAsia" w:ascii="宋体" w:hAnsi="宋体" w:cs="宋体"/>
                <w:color w:val="auto"/>
                <w:highlight w:val="none"/>
              </w:rPr>
            </w:pPr>
          </w:p>
        </w:tc>
        <w:tc>
          <w:tcPr>
            <w:tcW w:w="1608" w:type="dxa"/>
            <w:gridSpan w:val="2"/>
            <w:noWrap w:val="0"/>
            <w:vAlign w:val="top"/>
          </w:tcPr>
          <w:p w14:paraId="5B32D40B">
            <w:pPr>
              <w:spacing w:line="440" w:lineRule="exact"/>
              <w:jc w:val="center"/>
              <w:rPr>
                <w:rFonts w:hint="eastAsia" w:ascii="宋体" w:hAnsi="宋体" w:cs="宋体"/>
                <w:color w:val="auto"/>
                <w:highlight w:val="none"/>
              </w:rPr>
            </w:pPr>
          </w:p>
        </w:tc>
        <w:tc>
          <w:tcPr>
            <w:tcW w:w="1206" w:type="dxa"/>
            <w:gridSpan w:val="3"/>
            <w:noWrap w:val="0"/>
            <w:vAlign w:val="top"/>
          </w:tcPr>
          <w:p w14:paraId="392A0E6D">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0F90BDB4">
            <w:pPr>
              <w:spacing w:line="440" w:lineRule="exact"/>
              <w:jc w:val="center"/>
              <w:rPr>
                <w:rFonts w:hint="eastAsia" w:ascii="宋体" w:hAnsi="宋体" w:cs="宋体"/>
                <w:color w:val="auto"/>
                <w:highlight w:val="none"/>
              </w:rPr>
            </w:pPr>
          </w:p>
        </w:tc>
      </w:tr>
      <w:tr w14:paraId="0778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E378CA3">
            <w:pPr>
              <w:spacing w:line="440" w:lineRule="exact"/>
              <w:jc w:val="center"/>
              <w:rPr>
                <w:rFonts w:hint="eastAsia" w:ascii="宋体" w:hAnsi="宋体" w:cs="宋体"/>
                <w:color w:val="auto"/>
                <w:highlight w:val="none"/>
              </w:rPr>
            </w:pPr>
          </w:p>
        </w:tc>
        <w:tc>
          <w:tcPr>
            <w:tcW w:w="1608" w:type="dxa"/>
            <w:noWrap w:val="0"/>
            <w:vAlign w:val="top"/>
          </w:tcPr>
          <w:p w14:paraId="59F058F9">
            <w:pPr>
              <w:spacing w:line="440" w:lineRule="exact"/>
              <w:jc w:val="center"/>
              <w:rPr>
                <w:rFonts w:hint="eastAsia" w:ascii="宋体" w:hAnsi="宋体" w:cs="宋体"/>
                <w:color w:val="auto"/>
                <w:highlight w:val="none"/>
              </w:rPr>
            </w:pPr>
          </w:p>
        </w:tc>
        <w:tc>
          <w:tcPr>
            <w:tcW w:w="1608" w:type="dxa"/>
            <w:gridSpan w:val="3"/>
            <w:noWrap w:val="0"/>
            <w:vAlign w:val="top"/>
          </w:tcPr>
          <w:p w14:paraId="53C25835">
            <w:pPr>
              <w:spacing w:line="440" w:lineRule="exact"/>
              <w:jc w:val="center"/>
              <w:rPr>
                <w:rFonts w:hint="eastAsia" w:ascii="宋体" w:hAnsi="宋体" w:cs="宋体"/>
                <w:color w:val="auto"/>
                <w:highlight w:val="none"/>
              </w:rPr>
            </w:pPr>
          </w:p>
        </w:tc>
        <w:tc>
          <w:tcPr>
            <w:tcW w:w="1608" w:type="dxa"/>
            <w:gridSpan w:val="2"/>
            <w:noWrap w:val="0"/>
            <w:vAlign w:val="top"/>
          </w:tcPr>
          <w:p w14:paraId="79891716">
            <w:pPr>
              <w:spacing w:line="440" w:lineRule="exact"/>
              <w:jc w:val="center"/>
              <w:rPr>
                <w:rFonts w:hint="eastAsia" w:ascii="宋体" w:hAnsi="宋体" w:cs="宋体"/>
                <w:color w:val="auto"/>
                <w:highlight w:val="none"/>
              </w:rPr>
            </w:pPr>
          </w:p>
        </w:tc>
        <w:tc>
          <w:tcPr>
            <w:tcW w:w="1206" w:type="dxa"/>
            <w:gridSpan w:val="3"/>
            <w:noWrap w:val="0"/>
            <w:vAlign w:val="top"/>
          </w:tcPr>
          <w:p w14:paraId="64DF6879">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5445302C">
            <w:pPr>
              <w:spacing w:line="440" w:lineRule="exact"/>
              <w:jc w:val="center"/>
              <w:rPr>
                <w:rFonts w:hint="eastAsia" w:ascii="宋体" w:hAnsi="宋体" w:cs="宋体"/>
                <w:color w:val="auto"/>
                <w:highlight w:val="none"/>
              </w:rPr>
            </w:pPr>
          </w:p>
        </w:tc>
      </w:tr>
      <w:tr w14:paraId="6132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70434652">
            <w:pPr>
              <w:spacing w:line="440" w:lineRule="exact"/>
              <w:jc w:val="center"/>
              <w:rPr>
                <w:rFonts w:hint="eastAsia" w:ascii="宋体" w:hAnsi="宋体" w:cs="宋体"/>
                <w:color w:val="auto"/>
                <w:highlight w:val="none"/>
              </w:rPr>
            </w:pPr>
          </w:p>
        </w:tc>
        <w:tc>
          <w:tcPr>
            <w:tcW w:w="1608" w:type="dxa"/>
            <w:tcBorders>
              <w:bottom w:val="single" w:color="auto" w:sz="8" w:space="0"/>
            </w:tcBorders>
            <w:noWrap w:val="0"/>
            <w:vAlign w:val="top"/>
          </w:tcPr>
          <w:p w14:paraId="3E015D39">
            <w:pPr>
              <w:spacing w:line="440" w:lineRule="exact"/>
              <w:jc w:val="center"/>
              <w:rPr>
                <w:rFonts w:hint="eastAsia" w:ascii="宋体" w:hAnsi="宋体" w:cs="宋体"/>
                <w:color w:val="auto"/>
                <w:highlight w:val="none"/>
              </w:rPr>
            </w:pPr>
          </w:p>
        </w:tc>
        <w:tc>
          <w:tcPr>
            <w:tcW w:w="1608" w:type="dxa"/>
            <w:gridSpan w:val="3"/>
            <w:tcBorders>
              <w:bottom w:val="single" w:color="auto" w:sz="8" w:space="0"/>
            </w:tcBorders>
            <w:noWrap w:val="0"/>
            <w:vAlign w:val="top"/>
          </w:tcPr>
          <w:p w14:paraId="03721B30">
            <w:pPr>
              <w:spacing w:line="440" w:lineRule="exact"/>
              <w:jc w:val="center"/>
              <w:rPr>
                <w:rFonts w:hint="eastAsia" w:ascii="宋体" w:hAnsi="宋体" w:cs="宋体"/>
                <w:color w:val="auto"/>
                <w:highlight w:val="none"/>
              </w:rPr>
            </w:pPr>
          </w:p>
        </w:tc>
        <w:tc>
          <w:tcPr>
            <w:tcW w:w="1608" w:type="dxa"/>
            <w:gridSpan w:val="2"/>
            <w:tcBorders>
              <w:bottom w:val="single" w:color="auto" w:sz="8" w:space="0"/>
            </w:tcBorders>
            <w:noWrap w:val="0"/>
            <w:vAlign w:val="top"/>
          </w:tcPr>
          <w:p w14:paraId="6043A3E1">
            <w:pPr>
              <w:spacing w:line="440" w:lineRule="exact"/>
              <w:jc w:val="center"/>
              <w:rPr>
                <w:rFonts w:hint="eastAsia" w:ascii="宋体" w:hAnsi="宋体" w:cs="宋体"/>
                <w:color w:val="auto"/>
                <w:highlight w:val="none"/>
              </w:rPr>
            </w:pPr>
          </w:p>
        </w:tc>
        <w:tc>
          <w:tcPr>
            <w:tcW w:w="1206" w:type="dxa"/>
            <w:gridSpan w:val="3"/>
            <w:tcBorders>
              <w:bottom w:val="single" w:color="auto" w:sz="8" w:space="0"/>
            </w:tcBorders>
            <w:noWrap w:val="0"/>
            <w:vAlign w:val="top"/>
          </w:tcPr>
          <w:p w14:paraId="21319BD2">
            <w:pPr>
              <w:spacing w:line="440" w:lineRule="exact"/>
              <w:jc w:val="center"/>
              <w:rPr>
                <w:rFonts w:hint="eastAsia" w:ascii="宋体" w:hAnsi="宋体" w:cs="宋体"/>
                <w:color w:val="auto"/>
                <w:highlight w:val="none"/>
              </w:rPr>
            </w:pPr>
          </w:p>
        </w:tc>
        <w:tc>
          <w:tcPr>
            <w:tcW w:w="1206" w:type="dxa"/>
            <w:tcBorders>
              <w:bottom w:val="single" w:color="auto" w:sz="8" w:space="0"/>
              <w:right w:val="single" w:color="auto" w:sz="8" w:space="0"/>
            </w:tcBorders>
            <w:noWrap w:val="0"/>
            <w:vAlign w:val="top"/>
          </w:tcPr>
          <w:p w14:paraId="1B4A3A43">
            <w:pPr>
              <w:spacing w:line="440" w:lineRule="exact"/>
              <w:jc w:val="center"/>
              <w:rPr>
                <w:rFonts w:hint="eastAsia" w:ascii="宋体" w:hAnsi="宋体" w:cs="宋体"/>
                <w:color w:val="auto"/>
                <w:highlight w:val="none"/>
              </w:rPr>
            </w:pPr>
          </w:p>
        </w:tc>
      </w:tr>
    </w:tbl>
    <w:p w14:paraId="540C9FFE">
      <w:pPr>
        <w:snapToGrid w:val="0"/>
        <w:spacing w:line="400" w:lineRule="exact"/>
        <w:outlineLvl w:val="4"/>
        <w:rPr>
          <w:rFonts w:hint="eastAsia" w:ascii="宋体" w:hAnsi="宋体" w:cs="宋体"/>
          <w:b/>
          <w:color w:val="auto"/>
          <w:sz w:val="24"/>
          <w:highlight w:val="none"/>
        </w:rPr>
      </w:pPr>
    </w:p>
    <w:p w14:paraId="16EE8BCC">
      <w:pPr>
        <w:widowControl/>
        <w:ind w:firstLine="3092" w:firstLineChars="1100"/>
        <w:jc w:val="left"/>
        <w:rPr>
          <w:rFonts w:hint="eastAsia" w:ascii="宋体" w:hAnsi="宋体" w:eastAsia="宋体" w:cs="宋体"/>
          <w:b/>
          <w:color w:val="auto"/>
          <w:kern w:val="0"/>
          <w:sz w:val="28"/>
          <w:szCs w:val="28"/>
          <w:highlight w:val="none"/>
        </w:rPr>
      </w:pPr>
    </w:p>
    <w:p w14:paraId="0D48DD7F">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22120DEE">
      <w:pPr>
        <w:pStyle w:val="14"/>
        <w:spacing w:line="300" w:lineRule="exact"/>
        <w:ind w:left="2940" w:leftChars="1400" w:firstLine="630" w:firstLineChars="300"/>
        <w:rPr>
          <w:rFonts w:hint="eastAsia" w:ascii="宋体" w:hAnsi="宋体" w:eastAsia="宋体" w:cs="宋体"/>
          <w:color w:val="auto"/>
          <w:highlight w:val="none"/>
        </w:rPr>
      </w:pPr>
    </w:p>
    <w:p w14:paraId="33F33AC6">
      <w:pPr>
        <w:pStyle w:val="14"/>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066E16E9">
      <w:pPr>
        <w:pStyle w:val="14"/>
        <w:spacing w:line="300" w:lineRule="exact"/>
        <w:rPr>
          <w:rFonts w:hint="eastAsia" w:ascii="宋体" w:hAnsi="宋体" w:eastAsia="宋体" w:cs="宋体"/>
          <w:b/>
          <w:color w:val="auto"/>
          <w:sz w:val="28"/>
          <w:szCs w:val="28"/>
          <w:highlight w:val="none"/>
        </w:rPr>
      </w:pPr>
    </w:p>
    <w:p w14:paraId="0574510D">
      <w:pPr>
        <w:snapToGrid w:val="0"/>
        <w:spacing w:line="300" w:lineRule="exact"/>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6C30742">
      <w:pPr>
        <w:snapToGrid w:val="0"/>
        <w:spacing w:line="300" w:lineRule="exact"/>
        <w:ind w:firstLine="3570" w:firstLineChars="1700"/>
        <w:rPr>
          <w:rFonts w:hint="eastAsia" w:ascii="宋体" w:hAnsi="宋体" w:eastAsia="宋体" w:cs="宋体"/>
          <w:color w:val="auto"/>
          <w:highlight w:val="none"/>
          <w:u w:val="single"/>
        </w:rPr>
      </w:pPr>
    </w:p>
    <w:p w14:paraId="461F2A90">
      <w:pPr>
        <w:pStyle w:val="11"/>
        <w:rPr>
          <w:rFonts w:hint="eastAsia" w:ascii="宋体" w:hAnsi="宋体" w:eastAsia="宋体" w:cs="宋体"/>
          <w:color w:val="auto"/>
          <w:highlight w:val="none"/>
          <w:u w:val="single"/>
        </w:rPr>
      </w:pPr>
    </w:p>
    <w:p w14:paraId="388D35C0">
      <w:pPr>
        <w:pStyle w:val="11"/>
        <w:rPr>
          <w:rFonts w:hint="eastAsia" w:ascii="宋体" w:hAnsi="宋体" w:eastAsia="宋体" w:cs="宋体"/>
          <w:color w:val="auto"/>
          <w:highlight w:val="none"/>
          <w:u w:val="single"/>
        </w:rPr>
      </w:pPr>
    </w:p>
    <w:p w14:paraId="3A703131">
      <w:pPr>
        <w:pStyle w:val="11"/>
        <w:rPr>
          <w:rFonts w:hint="eastAsia" w:ascii="宋体" w:hAnsi="宋体" w:eastAsia="宋体" w:cs="宋体"/>
          <w:b/>
          <w:bCs/>
          <w:color w:val="auto"/>
          <w:szCs w:val="21"/>
          <w:highlight w:val="none"/>
        </w:rPr>
      </w:pPr>
    </w:p>
    <w:p w14:paraId="749332FD">
      <w:pPr>
        <w:pStyle w:val="11"/>
        <w:rPr>
          <w:rFonts w:hint="eastAsia" w:ascii="宋体" w:hAnsi="宋体" w:eastAsia="宋体" w:cs="宋体"/>
          <w:b/>
          <w:bCs/>
          <w:color w:val="auto"/>
          <w:szCs w:val="21"/>
          <w:highlight w:val="none"/>
        </w:rPr>
      </w:pPr>
    </w:p>
    <w:p w14:paraId="6D35A05D">
      <w:pPr>
        <w:pStyle w:val="11"/>
        <w:rPr>
          <w:rFonts w:hint="eastAsia" w:ascii="宋体" w:hAnsi="宋体" w:eastAsia="宋体" w:cs="宋体"/>
          <w:b/>
          <w:bCs/>
          <w:color w:val="auto"/>
          <w:szCs w:val="21"/>
          <w:highlight w:val="none"/>
        </w:rPr>
      </w:pPr>
    </w:p>
    <w:p w14:paraId="4DC572B5">
      <w:pPr>
        <w:pStyle w:val="11"/>
        <w:rPr>
          <w:rFonts w:hint="eastAsia" w:ascii="宋体" w:hAnsi="宋体" w:eastAsia="宋体" w:cs="宋体"/>
          <w:b/>
          <w:bCs/>
          <w:color w:val="auto"/>
          <w:szCs w:val="21"/>
          <w:highlight w:val="none"/>
        </w:rPr>
      </w:pPr>
    </w:p>
    <w:p w14:paraId="3D7B4A2D">
      <w:pPr>
        <w:pStyle w:val="11"/>
        <w:rPr>
          <w:rFonts w:hint="eastAsia" w:ascii="宋体" w:hAnsi="宋体" w:eastAsia="宋体" w:cs="宋体"/>
          <w:b/>
          <w:bCs/>
          <w:color w:val="auto"/>
          <w:szCs w:val="21"/>
          <w:highlight w:val="none"/>
        </w:rPr>
      </w:pPr>
    </w:p>
    <w:p w14:paraId="2C3C5833">
      <w:pPr>
        <w:pStyle w:val="11"/>
        <w:rPr>
          <w:rFonts w:hint="eastAsia" w:ascii="宋体" w:hAnsi="宋体" w:eastAsia="宋体" w:cs="宋体"/>
          <w:b/>
          <w:bCs/>
          <w:color w:val="auto"/>
          <w:szCs w:val="21"/>
          <w:highlight w:val="none"/>
        </w:rPr>
      </w:pPr>
    </w:p>
    <w:p w14:paraId="6FCAEDD0">
      <w:pPr>
        <w:pStyle w:val="11"/>
        <w:rPr>
          <w:rFonts w:hint="eastAsia" w:ascii="宋体" w:hAnsi="宋体" w:eastAsia="宋体" w:cs="宋体"/>
          <w:b/>
          <w:bCs/>
          <w:color w:val="auto"/>
          <w:szCs w:val="21"/>
          <w:highlight w:val="none"/>
        </w:rPr>
      </w:pPr>
    </w:p>
    <w:p w14:paraId="43C92AB4">
      <w:pPr>
        <w:pStyle w:val="11"/>
        <w:rPr>
          <w:rFonts w:hint="eastAsia" w:ascii="宋体" w:hAnsi="宋体" w:eastAsia="宋体" w:cs="宋体"/>
          <w:b/>
          <w:bCs/>
          <w:color w:val="auto"/>
          <w:szCs w:val="21"/>
          <w:highlight w:val="none"/>
        </w:rPr>
      </w:pPr>
    </w:p>
    <w:p w14:paraId="56A573E5">
      <w:pPr>
        <w:pStyle w:val="14"/>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6.施工组织设计方案（必须提供）</w:t>
      </w:r>
      <w:r>
        <w:rPr>
          <w:rFonts w:hint="eastAsia" w:ascii="宋体" w:hAnsi="宋体" w:eastAsia="宋体" w:cs="宋体"/>
          <w:b/>
          <w:color w:val="auto"/>
          <w:sz w:val="28"/>
          <w:szCs w:val="28"/>
          <w:highlight w:val="none"/>
        </w:rPr>
        <w:t>；</w:t>
      </w:r>
    </w:p>
    <w:p w14:paraId="3E9EDF6D">
      <w:pPr>
        <w:snapToGrid w:val="0"/>
        <w:spacing w:line="400" w:lineRule="exact"/>
        <w:jc w:val="center"/>
        <w:outlineLvl w:val="4"/>
        <w:rPr>
          <w:rFonts w:hint="eastAsia" w:ascii="宋体" w:hAnsi="宋体" w:cs="宋体"/>
          <w:b/>
          <w:color w:val="auto"/>
          <w:sz w:val="24"/>
          <w:szCs w:val="24"/>
          <w:highlight w:val="none"/>
          <w:lang w:val="en-US" w:eastAsia="zh-CN"/>
        </w:rPr>
      </w:pPr>
    </w:p>
    <w:p w14:paraId="7C495889">
      <w:pPr>
        <w:snapToGrid w:val="0"/>
        <w:spacing w:line="400" w:lineRule="exact"/>
        <w:jc w:val="center"/>
        <w:outlineLvl w:val="4"/>
        <w:rPr>
          <w:rFonts w:hint="eastAsia" w:ascii="宋体" w:hAnsi="宋体" w:eastAsia="宋体" w:cs="宋体"/>
          <w:b/>
          <w:color w:val="auto"/>
          <w:sz w:val="28"/>
          <w:szCs w:val="28"/>
          <w:highlight w:val="none"/>
          <w:lang w:eastAsia="zh-CN"/>
        </w:rPr>
      </w:pPr>
      <w:r>
        <w:rPr>
          <w:rFonts w:hint="eastAsia" w:ascii="宋体" w:hAnsi="宋体" w:cs="宋体"/>
          <w:b/>
          <w:color w:val="auto"/>
          <w:sz w:val="24"/>
          <w:szCs w:val="24"/>
          <w:highlight w:val="none"/>
          <w:lang w:val="en-US" w:eastAsia="zh-CN"/>
        </w:rPr>
        <w:t>施工组织设计方案</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格式</w:t>
      </w:r>
      <w:r>
        <w:rPr>
          <w:rFonts w:hint="eastAsia" w:ascii="宋体" w:hAnsi="宋体" w:cs="宋体"/>
          <w:b/>
          <w:color w:val="auto"/>
          <w:sz w:val="24"/>
          <w:szCs w:val="24"/>
          <w:highlight w:val="none"/>
          <w:lang w:eastAsia="zh-CN"/>
        </w:rPr>
        <w:t>）</w:t>
      </w:r>
    </w:p>
    <w:p w14:paraId="3885E12A">
      <w:pPr>
        <w:snapToGrid w:val="0"/>
        <w:spacing w:line="400" w:lineRule="exact"/>
        <w:jc w:val="center"/>
        <w:outlineLvl w:val="4"/>
        <w:rPr>
          <w:rFonts w:hint="eastAsia" w:ascii="宋体" w:hAnsi="宋体" w:cs="宋体"/>
          <w:b/>
          <w:color w:val="auto"/>
          <w:sz w:val="28"/>
          <w:szCs w:val="28"/>
          <w:highlight w:val="none"/>
        </w:rPr>
      </w:pPr>
    </w:p>
    <w:p w14:paraId="3A79E2B0">
      <w:pPr>
        <w:pStyle w:val="36"/>
        <w:spacing w:line="300" w:lineRule="exact"/>
        <w:ind w:firstLine="425"/>
        <w:rPr>
          <w:rFonts w:hint="eastAsia" w:ascii="宋体" w:hAnsi="宋体" w:eastAsia="宋体" w:cs="宋体"/>
          <w:color w:val="auto"/>
          <w:highlight w:val="none"/>
        </w:rPr>
      </w:pPr>
    </w:p>
    <w:p w14:paraId="0860B188">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编制施工组织设计的要求：</w:t>
      </w:r>
    </w:p>
    <w:p w14:paraId="095EA128">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编制时应按以下章顺序采用文字并结合图表形式进行说明：</w:t>
      </w:r>
    </w:p>
    <w:p w14:paraId="134E2F51">
      <w:pPr>
        <w:pStyle w:val="36"/>
        <w:numPr>
          <w:ilvl w:val="0"/>
          <w:numId w:val="15"/>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3FAFDB34">
      <w:pPr>
        <w:pStyle w:val="36"/>
        <w:numPr>
          <w:ilvl w:val="0"/>
          <w:numId w:val="15"/>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主要施工方法；</w:t>
      </w:r>
    </w:p>
    <w:p w14:paraId="5261DEA4">
      <w:pPr>
        <w:pStyle w:val="36"/>
        <w:numPr>
          <w:ilvl w:val="0"/>
          <w:numId w:val="15"/>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施工进度、施工进度计划和各阶段进度的保证措施；</w:t>
      </w:r>
    </w:p>
    <w:p w14:paraId="57D781EA">
      <w:pPr>
        <w:pStyle w:val="36"/>
        <w:numPr>
          <w:ilvl w:val="0"/>
          <w:numId w:val="15"/>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劳动力和材料投入计划及其保证措施；</w:t>
      </w:r>
    </w:p>
    <w:p w14:paraId="5F8C31BA">
      <w:pPr>
        <w:pStyle w:val="36"/>
        <w:numPr>
          <w:ilvl w:val="0"/>
          <w:numId w:val="15"/>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施工平面布置和临时设施布置；</w:t>
      </w:r>
    </w:p>
    <w:p w14:paraId="17040E49">
      <w:pPr>
        <w:pStyle w:val="36"/>
        <w:numPr>
          <w:ilvl w:val="0"/>
          <w:numId w:val="15"/>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关键施工技术、工艺及工程实施的重点、难点和解决方案；</w:t>
      </w:r>
    </w:p>
    <w:p w14:paraId="0BAF7DD1">
      <w:pPr>
        <w:pStyle w:val="36"/>
        <w:numPr>
          <w:ilvl w:val="0"/>
          <w:numId w:val="15"/>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安全文明施工措施；</w:t>
      </w:r>
    </w:p>
    <w:p w14:paraId="08769267">
      <w:pPr>
        <w:pStyle w:val="36"/>
        <w:numPr>
          <w:ilvl w:val="0"/>
          <w:numId w:val="15"/>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质量保证与承诺；</w:t>
      </w:r>
    </w:p>
    <w:p w14:paraId="1F02775E">
      <w:pPr>
        <w:pStyle w:val="36"/>
        <w:numPr>
          <w:ilvl w:val="0"/>
          <w:numId w:val="15"/>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新技术应用与承诺</w:t>
      </w:r>
    </w:p>
    <w:p w14:paraId="28298BF9">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spacing w:val="-15"/>
          <w:highlight w:val="none"/>
        </w:rPr>
        <w:t xml:space="preserve"> </w:t>
      </w:r>
      <w:r>
        <w:rPr>
          <w:rFonts w:hint="eastAsia" w:ascii="宋体" w:hAnsi="宋体" w:eastAsia="宋体" w:cs="宋体"/>
          <w:color w:val="auto"/>
          <w:highlight w:val="none"/>
        </w:rPr>
        <w:t>施工组织设计除采用文字表述外可附下列图表，图表及格式要求附后。</w:t>
      </w:r>
    </w:p>
    <w:p w14:paraId="2420F348">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附表一</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投入本项目的主要施工设备表</w:t>
      </w:r>
    </w:p>
    <w:p w14:paraId="0CA3D6C4">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附表二</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配备本项目的试验和检测仪器设备表</w:t>
      </w:r>
    </w:p>
    <w:p w14:paraId="59CA2DE1">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附表三</w:t>
      </w:r>
      <w:r>
        <w:rPr>
          <w:rFonts w:hint="eastAsia" w:ascii="宋体" w:hAnsi="宋体" w:eastAsia="宋体" w:cs="宋体"/>
          <w:color w:val="auto"/>
          <w:highlight w:val="none"/>
        </w:rPr>
        <w:tab/>
      </w:r>
      <w:r>
        <w:rPr>
          <w:rFonts w:hint="eastAsia" w:ascii="宋体" w:hAnsi="宋体" w:eastAsia="宋体" w:cs="宋体"/>
          <w:color w:val="auto"/>
          <w:spacing w:val="-1"/>
          <w:highlight w:val="none"/>
        </w:rPr>
        <w:t>劳</w:t>
      </w:r>
      <w:r>
        <w:rPr>
          <w:rFonts w:hint="eastAsia" w:ascii="宋体" w:hAnsi="宋体" w:eastAsia="宋体" w:cs="宋体"/>
          <w:color w:val="auto"/>
          <w:highlight w:val="none"/>
        </w:rPr>
        <w:t>动力计划表</w:t>
      </w:r>
    </w:p>
    <w:p w14:paraId="2F619C3D">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附表四</w:t>
      </w:r>
      <w:r>
        <w:rPr>
          <w:rFonts w:hint="eastAsia" w:ascii="宋体" w:hAnsi="宋体" w:eastAsia="宋体" w:cs="宋体"/>
          <w:color w:val="auto"/>
          <w:highlight w:val="none"/>
        </w:rPr>
        <w:tab/>
      </w:r>
      <w:r>
        <w:rPr>
          <w:rFonts w:hint="eastAsia" w:ascii="宋体" w:hAnsi="宋体" w:eastAsia="宋体" w:cs="宋体"/>
          <w:color w:val="auto"/>
          <w:highlight w:val="none"/>
        </w:rPr>
        <w:t>计划开、竣工日期和施工进度网络图</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横道图</w:t>
      </w:r>
    </w:p>
    <w:p w14:paraId="4CA47BBC">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附表五</w:t>
      </w:r>
      <w:r>
        <w:rPr>
          <w:rFonts w:hint="eastAsia" w:ascii="宋体" w:hAnsi="宋体" w:eastAsia="宋体" w:cs="宋体"/>
          <w:color w:val="auto"/>
          <w:highlight w:val="none"/>
        </w:rPr>
        <w:tab/>
      </w:r>
      <w:r>
        <w:rPr>
          <w:rFonts w:hint="eastAsia" w:ascii="宋体" w:hAnsi="宋体" w:eastAsia="宋体" w:cs="宋体"/>
          <w:color w:val="auto"/>
          <w:spacing w:val="-1"/>
          <w:highlight w:val="none"/>
        </w:rPr>
        <w:t>施</w:t>
      </w:r>
      <w:r>
        <w:rPr>
          <w:rFonts w:hint="eastAsia" w:ascii="宋体" w:hAnsi="宋体" w:eastAsia="宋体" w:cs="宋体"/>
          <w:color w:val="auto"/>
          <w:highlight w:val="none"/>
        </w:rPr>
        <w:t>工总平面图</w:t>
      </w:r>
    </w:p>
    <w:p w14:paraId="2CA78469">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position w:val="-2"/>
          <w:highlight w:val="none"/>
        </w:rPr>
        <w:t>附表六</w:t>
      </w:r>
      <w:r>
        <w:rPr>
          <w:rFonts w:hint="eastAsia" w:ascii="宋体" w:hAnsi="宋体" w:eastAsia="宋体" w:cs="宋体"/>
          <w:color w:val="auto"/>
          <w:position w:val="-2"/>
          <w:highlight w:val="none"/>
        </w:rPr>
        <w:tab/>
      </w:r>
      <w:r>
        <w:rPr>
          <w:rFonts w:hint="eastAsia" w:ascii="宋体" w:hAnsi="宋体" w:eastAsia="宋体" w:cs="宋体"/>
          <w:color w:val="auto"/>
          <w:spacing w:val="-1"/>
          <w:position w:val="-2"/>
          <w:highlight w:val="none"/>
        </w:rPr>
        <w:t>临</w:t>
      </w:r>
      <w:r>
        <w:rPr>
          <w:rFonts w:hint="eastAsia" w:ascii="宋体" w:hAnsi="宋体" w:eastAsia="宋体" w:cs="宋体"/>
          <w:color w:val="auto"/>
          <w:position w:val="-2"/>
          <w:highlight w:val="none"/>
        </w:rPr>
        <w:t>时用地表</w:t>
      </w:r>
    </w:p>
    <w:p w14:paraId="4E893647">
      <w:pPr>
        <w:rPr>
          <w:rFonts w:hint="eastAsia" w:ascii="宋体" w:hAnsi="宋体" w:eastAsia="宋体" w:cs="宋体"/>
          <w:color w:val="auto"/>
          <w:highlight w:val="none"/>
        </w:rPr>
      </w:pPr>
      <w:bookmarkStart w:id="2400" w:name="_Toc418752351"/>
      <w:bookmarkStart w:id="2401" w:name="_Toc483317224"/>
      <w:bookmarkStart w:id="2402" w:name="_Toc418751905"/>
    </w:p>
    <w:p w14:paraId="0ED911CB">
      <w:pPr>
        <w:rPr>
          <w:rFonts w:hint="eastAsia" w:ascii="宋体" w:hAnsi="宋体" w:eastAsia="宋体" w:cs="宋体"/>
          <w:b/>
          <w:color w:val="auto"/>
          <w:highlight w:val="none"/>
        </w:rPr>
      </w:pPr>
      <w:r>
        <w:rPr>
          <w:rFonts w:hint="eastAsia" w:ascii="宋体" w:hAnsi="宋体" w:eastAsia="宋体" w:cs="宋体"/>
          <w:b/>
          <w:color w:val="auto"/>
          <w:highlight w:val="none"/>
        </w:rPr>
        <w:t>附表一：拟投入本项目的主要施工设备表</w:t>
      </w:r>
      <w:bookmarkEnd w:id="2400"/>
      <w:bookmarkEnd w:id="2401"/>
      <w:bookmarkEnd w:id="2402"/>
    </w:p>
    <w:tbl>
      <w:tblPr>
        <w:tblStyle w:val="29"/>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14:paraId="480B1B1F">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4FEDBEC3">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98" w:type="dxa"/>
            <w:tcBorders>
              <w:top w:val="single" w:color="000000" w:sz="4" w:space="0"/>
              <w:left w:val="nil"/>
              <w:bottom w:val="single" w:color="000000" w:sz="4" w:space="0"/>
              <w:right w:val="single" w:color="000000" w:sz="4" w:space="0"/>
            </w:tcBorders>
            <w:noWrap w:val="0"/>
            <w:vAlign w:val="center"/>
          </w:tcPr>
          <w:p w14:paraId="5D6C9957">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39" w:type="dxa"/>
            <w:tcBorders>
              <w:top w:val="single" w:color="000000" w:sz="4" w:space="0"/>
              <w:left w:val="nil"/>
              <w:bottom w:val="single" w:color="000000" w:sz="4" w:space="0"/>
              <w:right w:val="single" w:color="000000" w:sz="4" w:space="0"/>
            </w:tcBorders>
            <w:noWrap w:val="0"/>
            <w:vAlign w:val="center"/>
          </w:tcPr>
          <w:p w14:paraId="01E1A826">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7AAAD8F3">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1092" w:type="dxa"/>
            <w:tcBorders>
              <w:top w:val="single" w:color="000000" w:sz="4" w:space="0"/>
              <w:left w:val="nil"/>
              <w:bottom w:val="single" w:color="000000" w:sz="4" w:space="0"/>
              <w:right w:val="single" w:color="000000" w:sz="4" w:space="0"/>
            </w:tcBorders>
            <w:noWrap w:val="0"/>
            <w:vAlign w:val="center"/>
          </w:tcPr>
          <w:p w14:paraId="0F18D077">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41" w:type="dxa"/>
            <w:tcBorders>
              <w:top w:val="single" w:color="000000" w:sz="4" w:space="0"/>
              <w:left w:val="nil"/>
              <w:bottom w:val="single" w:color="000000" w:sz="4" w:space="0"/>
              <w:right w:val="single" w:color="000000" w:sz="4" w:space="0"/>
            </w:tcBorders>
            <w:noWrap w:val="0"/>
            <w:vAlign w:val="center"/>
          </w:tcPr>
          <w:p w14:paraId="04F4B807">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5138900A">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14" w:type="dxa"/>
            <w:tcBorders>
              <w:top w:val="single" w:color="000000" w:sz="4" w:space="0"/>
              <w:left w:val="nil"/>
              <w:bottom w:val="single" w:color="000000" w:sz="4" w:space="0"/>
              <w:right w:val="single" w:color="000000" w:sz="4" w:space="0"/>
            </w:tcBorders>
            <w:noWrap w:val="0"/>
            <w:vAlign w:val="center"/>
          </w:tcPr>
          <w:p w14:paraId="4C0400B2">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0CB7C6D2">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337" w:type="dxa"/>
            <w:tcBorders>
              <w:top w:val="single" w:color="000000" w:sz="4" w:space="0"/>
              <w:left w:val="nil"/>
              <w:bottom w:val="single" w:color="000000" w:sz="4" w:space="0"/>
              <w:right w:val="single" w:color="000000" w:sz="4" w:space="0"/>
            </w:tcBorders>
            <w:noWrap w:val="0"/>
            <w:vAlign w:val="center"/>
          </w:tcPr>
          <w:p w14:paraId="3818E239">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3F06A142">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65" w:type="dxa"/>
            <w:tcBorders>
              <w:top w:val="single" w:color="000000" w:sz="4" w:space="0"/>
              <w:left w:val="nil"/>
              <w:bottom w:val="single" w:color="000000" w:sz="4" w:space="0"/>
              <w:right w:val="single" w:color="000000" w:sz="4" w:space="0"/>
            </w:tcBorders>
            <w:noWrap w:val="0"/>
            <w:vAlign w:val="center"/>
          </w:tcPr>
          <w:p w14:paraId="12BD6109">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B4CC69D">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64" w:type="dxa"/>
            <w:tcBorders>
              <w:top w:val="single" w:color="000000" w:sz="4" w:space="0"/>
              <w:left w:val="nil"/>
              <w:bottom w:val="single" w:color="000000" w:sz="4" w:space="0"/>
              <w:right w:val="single" w:color="000000" w:sz="4" w:space="0"/>
            </w:tcBorders>
            <w:noWrap w:val="0"/>
            <w:vAlign w:val="center"/>
          </w:tcPr>
          <w:p w14:paraId="24A37E35">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2BDEA6BE">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764" w:type="dxa"/>
            <w:tcBorders>
              <w:top w:val="single" w:color="000000" w:sz="4" w:space="0"/>
              <w:left w:val="nil"/>
              <w:bottom w:val="single" w:color="000000" w:sz="4" w:space="0"/>
              <w:right w:val="single" w:color="000000" w:sz="4" w:space="0"/>
            </w:tcBorders>
            <w:noWrap w:val="0"/>
            <w:vAlign w:val="center"/>
          </w:tcPr>
          <w:p w14:paraId="1A8FCEC1">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B668679">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48C7C447">
            <w:pPr>
              <w:pStyle w:val="36"/>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475152FB">
            <w:pPr>
              <w:pStyle w:val="36"/>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7D4D9C90">
            <w:pPr>
              <w:pStyle w:val="36"/>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16ED4638">
            <w:pPr>
              <w:pStyle w:val="36"/>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1E63CC4F">
            <w:pPr>
              <w:pStyle w:val="36"/>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3DC193E4">
            <w:pPr>
              <w:pStyle w:val="36"/>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30C00843">
            <w:pPr>
              <w:pStyle w:val="36"/>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70E7CD62">
            <w:pPr>
              <w:pStyle w:val="36"/>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172FE672">
            <w:pPr>
              <w:pStyle w:val="36"/>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7FDC189C">
            <w:pPr>
              <w:pStyle w:val="36"/>
              <w:rPr>
                <w:rFonts w:hint="eastAsia" w:ascii="宋体" w:hAnsi="宋体" w:eastAsia="宋体" w:cs="宋体"/>
                <w:color w:val="auto"/>
                <w:highlight w:val="none"/>
              </w:rPr>
            </w:pPr>
          </w:p>
        </w:tc>
      </w:tr>
      <w:tr w14:paraId="7854B239">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401E38D4">
            <w:pPr>
              <w:pStyle w:val="36"/>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37A38E39">
            <w:pPr>
              <w:pStyle w:val="36"/>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65AA8500">
            <w:pPr>
              <w:pStyle w:val="36"/>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46728438">
            <w:pPr>
              <w:pStyle w:val="36"/>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641761B3">
            <w:pPr>
              <w:pStyle w:val="36"/>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2DD0B87A">
            <w:pPr>
              <w:pStyle w:val="36"/>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14444A38">
            <w:pPr>
              <w:pStyle w:val="36"/>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612803C1">
            <w:pPr>
              <w:pStyle w:val="36"/>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1F5F9AD0">
            <w:pPr>
              <w:pStyle w:val="36"/>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31687AA3">
            <w:pPr>
              <w:pStyle w:val="36"/>
              <w:rPr>
                <w:rFonts w:hint="eastAsia" w:ascii="宋体" w:hAnsi="宋体" w:eastAsia="宋体" w:cs="宋体"/>
                <w:color w:val="auto"/>
                <w:highlight w:val="none"/>
              </w:rPr>
            </w:pPr>
          </w:p>
        </w:tc>
      </w:tr>
      <w:tr w14:paraId="3E834446">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6918B699">
            <w:pPr>
              <w:pStyle w:val="36"/>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271DC2FE">
            <w:pPr>
              <w:pStyle w:val="36"/>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70BAA48B">
            <w:pPr>
              <w:pStyle w:val="36"/>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4FD6775C">
            <w:pPr>
              <w:pStyle w:val="36"/>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3A6D84CD">
            <w:pPr>
              <w:pStyle w:val="36"/>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60C9DB3B">
            <w:pPr>
              <w:pStyle w:val="36"/>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370D236D">
            <w:pPr>
              <w:pStyle w:val="36"/>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20AB8898">
            <w:pPr>
              <w:pStyle w:val="36"/>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9999EDD">
            <w:pPr>
              <w:pStyle w:val="36"/>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6F808437">
            <w:pPr>
              <w:pStyle w:val="36"/>
              <w:rPr>
                <w:rFonts w:hint="eastAsia" w:ascii="宋体" w:hAnsi="宋体" w:eastAsia="宋体" w:cs="宋体"/>
                <w:color w:val="auto"/>
                <w:highlight w:val="none"/>
              </w:rPr>
            </w:pPr>
          </w:p>
        </w:tc>
      </w:tr>
      <w:tr w14:paraId="13373361">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2379DB31">
            <w:pPr>
              <w:pStyle w:val="36"/>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5BE3AA1E">
            <w:pPr>
              <w:pStyle w:val="36"/>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44FCD454">
            <w:pPr>
              <w:pStyle w:val="36"/>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1004C18A">
            <w:pPr>
              <w:pStyle w:val="36"/>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6DEB3C8F">
            <w:pPr>
              <w:pStyle w:val="36"/>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2EC4009F">
            <w:pPr>
              <w:pStyle w:val="36"/>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4BB802F4">
            <w:pPr>
              <w:pStyle w:val="36"/>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7ACD0F98">
            <w:pPr>
              <w:pStyle w:val="36"/>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8A46058">
            <w:pPr>
              <w:pStyle w:val="36"/>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02BDFDD7">
            <w:pPr>
              <w:pStyle w:val="36"/>
              <w:rPr>
                <w:rFonts w:hint="eastAsia" w:ascii="宋体" w:hAnsi="宋体" w:eastAsia="宋体" w:cs="宋体"/>
                <w:color w:val="auto"/>
                <w:highlight w:val="none"/>
              </w:rPr>
            </w:pPr>
          </w:p>
        </w:tc>
      </w:tr>
    </w:tbl>
    <w:p w14:paraId="0F70465A">
      <w:pPr>
        <w:pStyle w:val="36"/>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C671247">
      <w:pPr>
        <w:rPr>
          <w:rFonts w:hint="eastAsia" w:ascii="宋体" w:hAnsi="宋体" w:eastAsia="宋体" w:cs="宋体"/>
          <w:b/>
          <w:color w:val="auto"/>
          <w:highlight w:val="none"/>
        </w:rPr>
      </w:pPr>
      <w:bookmarkStart w:id="2403" w:name="_Toc418752352"/>
      <w:bookmarkStart w:id="2404" w:name="_Toc483317225"/>
      <w:bookmarkStart w:id="2405" w:name="_Toc418751906"/>
      <w:r>
        <w:rPr>
          <w:rFonts w:hint="eastAsia" w:ascii="宋体" w:hAnsi="宋体" w:eastAsia="宋体" w:cs="宋体"/>
          <w:b/>
          <w:color w:val="auto"/>
          <w:highlight w:val="none"/>
        </w:rPr>
        <w:t>附表二：拟配备本项目的试验和检测仪器设备表</w:t>
      </w:r>
      <w:bookmarkEnd w:id="2403"/>
      <w:bookmarkEnd w:id="2404"/>
      <w:bookmarkEnd w:id="2405"/>
    </w:p>
    <w:tbl>
      <w:tblPr>
        <w:tblStyle w:val="29"/>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14:paraId="0AD151FE">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2EA4E05">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序号</w:t>
            </w:r>
          </w:p>
        </w:tc>
        <w:tc>
          <w:tcPr>
            <w:tcW w:w="1239" w:type="dxa"/>
            <w:tcBorders>
              <w:top w:val="single" w:color="000000" w:sz="4" w:space="0"/>
              <w:left w:val="nil"/>
              <w:bottom w:val="single" w:color="000000" w:sz="4" w:space="0"/>
              <w:right w:val="single" w:color="000000" w:sz="4" w:space="0"/>
            </w:tcBorders>
            <w:noWrap w:val="0"/>
            <w:vAlign w:val="center"/>
          </w:tcPr>
          <w:p w14:paraId="0CDCF0F6">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仪器设备</w:t>
            </w:r>
          </w:p>
          <w:p w14:paraId="2A43BDCE">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名称</w:t>
            </w:r>
          </w:p>
        </w:tc>
        <w:tc>
          <w:tcPr>
            <w:tcW w:w="866" w:type="dxa"/>
            <w:tcBorders>
              <w:top w:val="single" w:color="000000" w:sz="4" w:space="0"/>
              <w:left w:val="nil"/>
              <w:bottom w:val="single" w:color="000000" w:sz="4" w:space="0"/>
              <w:right w:val="single" w:color="000000" w:sz="4" w:space="0"/>
            </w:tcBorders>
            <w:noWrap w:val="0"/>
            <w:vAlign w:val="center"/>
          </w:tcPr>
          <w:p w14:paraId="20A5EECC">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6D0123EB">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规格</w:t>
            </w:r>
          </w:p>
        </w:tc>
        <w:tc>
          <w:tcPr>
            <w:tcW w:w="1129" w:type="dxa"/>
            <w:tcBorders>
              <w:top w:val="single" w:color="000000" w:sz="4" w:space="0"/>
              <w:left w:val="nil"/>
              <w:bottom w:val="single" w:color="000000" w:sz="4" w:space="0"/>
              <w:right w:val="single" w:color="000000" w:sz="4" w:space="0"/>
            </w:tcBorders>
            <w:noWrap w:val="0"/>
            <w:vAlign w:val="center"/>
          </w:tcPr>
          <w:p w14:paraId="49F28568">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数量</w:t>
            </w:r>
          </w:p>
        </w:tc>
        <w:tc>
          <w:tcPr>
            <w:tcW w:w="766" w:type="dxa"/>
            <w:tcBorders>
              <w:top w:val="single" w:color="000000" w:sz="4" w:space="0"/>
              <w:left w:val="nil"/>
              <w:bottom w:val="single" w:color="000000" w:sz="4" w:space="0"/>
              <w:right w:val="single" w:color="000000" w:sz="4" w:space="0"/>
            </w:tcBorders>
            <w:noWrap w:val="0"/>
            <w:vAlign w:val="center"/>
          </w:tcPr>
          <w:p w14:paraId="0A4D7A39">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076744D0">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产地</w:t>
            </w:r>
          </w:p>
        </w:tc>
        <w:tc>
          <w:tcPr>
            <w:tcW w:w="841" w:type="dxa"/>
            <w:tcBorders>
              <w:top w:val="single" w:color="000000" w:sz="4" w:space="0"/>
              <w:left w:val="nil"/>
              <w:bottom w:val="single" w:color="000000" w:sz="4" w:space="0"/>
              <w:right w:val="single" w:color="000000" w:sz="4" w:space="0"/>
            </w:tcBorders>
            <w:noWrap w:val="0"/>
            <w:vAlign w:val="center"/>
          </w:tcPr>
          <w:p w14:paraId="081BD117">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7B5AB004">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年份</w:t>
            </w:r>
          </w:p>
        </w:tc>
        <w:tc>
          <w:tcPr>
            <w:tcW w:w="1382" w:type="dxa"/>
            <w:tcBorders>
              <w:top w:val="single" w:color="000000" w:sz="4" w:space="0"/>
              <w:left w:val="nil"/>
              <w:bottom w:val="single" w:color="000000" w:sz="4" w:space="0"/>
              <w:right w:val="single" w:color="000000" w:sz="4" w:space="0"/>
            </w:tcBorders>
            <w:noWrap w:val="0"/>
            <w:vAlign w:val="center"/>
          </w:tcPr>
          <w:p w14:paraId="47FC9DFF">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3FEC315B">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台时数</w:t>
            </w:r>
          </w:p>
        </w:tc>
        <w:tc>
          <w:tcPr>
            <w:tcW w:w="1885" w:type="dxa"/>
            <w:tcBorders>
              <w:top w:val="single" w:color="000000" w:sz="4" w:space="0"/>
              <w:left w:val="nil"/>
              <w:bottom w:val="single" w:color="000000" w:sz="4" w:space="0"/>
              <w:right w:val="single" w:color="000000" w:sz="4" w:space="0"/>
            </w:tcBorders>
            <w:noWrap w:val="0"/>
            <w:vAlign w:val="center"/>
          </w:tcPr>
          <w:p w14:paraId="2EB0E5B1">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用途</w:t>
            </w:r>
          </w:p>
        </w:tc>
        <w:tc>
          <w:tcPr>
            <w:tcW w:w="781" w:type="dxa"/>
            <w:tcBorders>
              <w:top w:val="single" w:color="000000" w:sz="4" w:space="0"/>
              <w:left w:val="nil"/>
              <w:bottom w:val="single" w:color="000000" w:sz="4" w:space="0"/>
              <w:right w:val="single" w:color="000000" w:sz="4" w:space="0"/>
            </w:tcBorders>
            <w:noWrap w:val="0"/>
            <w:vAlign w:val="center"/>
          </w:tcPr>
          <w:p w14:paraId="2EF3DB5D">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备注</w:t>
            </w:r>
          </w:p>
        </w:tc>
      </w:tr>
      <w:tr w14:paraId="1D28831E">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1E55768A">
            <w:pPr>
              <w:pStyle w:val="36"/>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7DFBF1AD">
            <w:pPr>
              <w:pStyle w:val="36"/>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5D1AB31C">
            <w:pPr>
              <w:pStyle w:val="36"/>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14320546">
            <w:pPr>
              <w:pStyle w:val="36"/>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64B90DC0">
            <w:pPr>
              <w:pStyle w:val="36"/>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0EA58A27">
            <w:pPr>
              <w:pStyle w:val="36"/>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0BD7412C">
            <w:pPr>
              <w:pStyle w:val="36"/>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5C031480">
            <w:pPr>
              <w:pStyle w:val="36"/>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3C91FD5F">
            <w:pPr>
              <w:pStyle w:val="36"/>
              <w:rPr>
                <w:rFonts w:hint="eastAsia" w:ascii="宋体" w:hAnsi="宋体" w:eastAsia="宋体" w:cs="宋体"/>
                <w:color w:val="auto"/>
                <w:sz w:val="24"/>
                <w:szCs w:val="24"/>
                <w:highlight w:val="none"/>
              </w:rPr>
            </w:pPr>
          </w:p>
        </w:tc>
      </w:tr>
      <w:tr w14:paraId="115850EB">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2F855395">
            <w:pPr>
              <w:pStyle w:val="36"/>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0AFBD786">
            <w:pPr>
              <w:pStyle w:val="36"/>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3629DDFF">
            <w:pPr>
              <w:pStyle w:val="36"/>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2FDA0B2E">
            <w:pPr>
              <w:pStyle w:val="36"/>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7A3306F5">
            <w:pPr>
              <w:pStyle w:val="36"/>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10120B40">
            <w:pPr>
              <w:pStyle w:val="36"/>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1E7755CC">
            <w:pPr>
              <w:pStyle w:val="36"/>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2E88D54C">
            <w:pPr>
              <w:pStyle w:val="36"/>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1E0FC9E8">
            <w:pPr>
              <w:pStyle w:val="36"/>
              <w:rPr>
                <w:rFonts w:hint="eastAsia" w:ascii="宋体" w:hAnsi="宋体" w:eastAsia="宋体" w:cs="宋体"/>
                <w:color w:val="auto"/>
                <w:sz w:val="24"/>
                <w:szCs w:val="24"/>
                <w:highlight w:val="none"/>
              </w:rPr>
            </w:pPr>
          </w:p>
        </w:tc>
      </w:tr>
      <w:tr w14:paraId="720F7AD6">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7AC0C9D0">
            <w:pPr>
              <w:pStyle w:val="36"/>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108E4A90">
            <w:pPr>
              <w:pStyle w:val="36"/>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3ABEB793">
            <w:pPr>
              <w:pStyle w:val="36"/>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6166D276">
            <w:pPr>
              <w:pStyle w:val="36"/>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2D81CACE">
            <w:pPr>
              <w:pStyle w:val="36"/>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52201FB7">
            <w:pPr>
              <w:pStyle w:val="36"/>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504F9988">
            <w:pPr>
              <w:pStyle w:val="36"/>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2A3EFD11">
            <w:pPr>
              <w:pStyle w:val="36"/>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301A5911">
            <w:pPr>
              <w:pStyle w:val="36"/>
              <w:rPr>
                <w:rFonts w:hint="eastAsia" w:ascii="宋体" w:hAnsi="宋体" w:eastAsia="宋体" w:cs="宋体"/>
                <w:color w:val="auto"/>
                <w:sz w:val="24"/>
                <w:szCs w:val="24"/>
                <w:highlight w:val="none"/>
              </w:rPr>
            </w:pPr>
          </w:p>
        </w:tc>
      </w:tr>
      <w:tr w14:paraId="2C61C53A">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6E921869">
            <w:pPr>
              <w:pStyle w:val="36"/>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219D6E34">
            <w:pPr>
              <w:pStyle w:val="36"/>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096CCEA3">
            <w:pPr>
              <w:pStyle w:val="36"/>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507D9ED2">
            <w:pPr>
              <w:pStyle w:val="36"/>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7FEE4B21">
            <w:pPr>
              <w:pStyle w:val="36"/>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72D80A2E">
            <w:pPr>
              <w:pStyle w:val="36"/>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51B51F89">
            <w:pPr>
              <w:pStyle w:val="36"/>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51F93073">
            <w:pPr>
              <w:pStyle w:val="36"/>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0080A862">
            <w:pPr>
              <w:pStyle w:val="36"/>
              <w:rPr>
                <w:rFonts w:hint="eastAsia" w:ascii="宋体" w:hAnsi="宋体" w:eastAsia="宋体" w:cs="宋体"/>
                <w:color w:val="auto"/>
                <w:sz w:val="24"/>
                <w:szCs w:val="24"/>
                <w:highlight w:val="none"/>
              </w:rPr>
            </w:pPr>
          </w:p>
        </w:tc>
      </w:tr>
    </w:tbl>
    <w:p w14:paraId="6C1A94D9">
      <w:pPr>
        <w:pStyle w:val="36"/>
        <w:rPr>
          <w:rFonts w:hint="eastAsia" w:ascii="宋体" w:hAnsi="宋体" w:eastAsia="宋体" w:cs="宋体"/>
          <w:b/>
          <w:color w:val="auto"/>
          <w:highlight w:val="none"/>
        </w:rPr>
      </w:pPr>
      <w:r>
        <w:rPr>
          <w:rFonts w:hint="eastAsia" w:ascii="宋体" w:hAnsi="宋体" w:eastAsia="宋体" w:cs="宋体"/>
          <w:color w:val="auto"/>
          <w:sz w:val="20"/>
          <w:szCs w:val="20"/>
          <w:highlight w:val="none"/>
        </w:rPr>
        <w:t xml:space="preserve"> </w:t>
      </w:r>
      <w:bookmarkStart w:id="2406" w:name="_Toc483317226"/>
      <w:bookmarkStart w:id="2407" w:name="_Toc418751907"/>
      <w:bookmarkStart w:id="2408" w:name="_Toc418752353"/>
      <w:r>
        <w:rPr>
          <w:rFonts w:hint="eastAsia" w:ascii="宋体" w:hAnsi="宋体" w:eastAsia="宋体" w:cs="宋体"/>
          <w:b/>
          <w:color w:val="auto"/>
          <w:highlight w:val="none"/>
        </w:rPr>
        <w:t>附表三：劳动力计划表</w:t>
      </w:r>
      <w:bookmarkEnd w:id="2406"/>
      <w:bookmarkEnd w:id="2407"/>
      <w:bookmarkEnd w:id="2408"/>
    </w:p>
    <w:p w14:paraId="16CB7D94">
      <w:pPr>
        <w:pStyle w:val="36"/>
        <w:jc w:val="right"/>
        <w:rPr>
          <w:rFonts w:hint="eastAsia" w:ascii="宋体" w:hAnsi="宋体" w:eastAsia="宋体" w:cs="宋体"/>
          <w:color w:val="auto"/>
          <w:highlight w:val="none"/>
        </w:rPr>
      </w:pPr>
      <w:r>
        <w:rPr>
          <w:rFonts w:hint="eastAsia" w:ascii="宋体" w:hAnsi="宋体" w:eastAsia="宋体" w:cs="宋体"/>
          <w:color w:val="auto"/>
          <w:highlight w:val="none"/>
        </w:rPr>
        <w:t>单位：人</w:t>
      </w:r>
    </w:p>
    <w:tbl>
      <w:tblPr>
        <w:tblStyle w:val="29"/>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14:paraId="6CCE0D73">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5EAD1764">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工种</w:t>
            </w:r>
          </w:p>
        </w:tc>
        <w:tc>
          <w:tcPr>
            <w:tcW w:w="8710" w:type="dxa"/>
            <w:gridSpan w:val="7"/>
            <w:tcBorders>
              <w:top w:val="single" w:color="000000" w:sz="4" w:space="0"/>
              <w:left w:val="nil"/>
              <w:bottom w:val="single" w:color="000000" w:sz="4" w:space="0"/>
              <w:right w:val="single" w:color="000000" w:sz="4" w:space="0"/>
            </w:tcBorders>
            <w:noWrap w:val="0"/>
            <w:vAlign w:val="center"/>
          </w:tcPr>
          <w:p w14:paraId="09747A68">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按工程施工阶段投入劳动力情况</w:t>
            </w:r>
          </w:p>
        </w:tc>
      </w:tr>
      <w:tr w14:paraId="2E24DB4E">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7E64B9F9">
            <w:pPr>
              <w:pStyle w:val="36"/>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4C1E2FAC">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EE9C57D">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0ADF0C7E">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34134B5">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60E404D7">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A5B8B5E">
            <w:pPr>
              <w:pStyle w:val="36"/>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312645F4">
            <w:pPr>
              <w:pStyle w:val="36"/>
              <w:rPr>
                <w:rFonts w:hint="eastAsia" w:ascii="宋体" w:hAnsi="宋体" w:eastAsia="宋体" w:cs="宋体"/>
                <w:color w:val="auto"/>
                <w:sz w:val="24"/>
                <w:szCs w:val="24"/>
                <w:highlight w:val="none"/>
              </w:rPr>
            </w:pPr>
          </w:p>
        </w:tc>
      </w:tr>
      <w:tr w14:paraId="4F44533F">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39E07FE6">
            <w:pPr>
              <w:pStyle w:val="36"/>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41832E4B">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7411D2E">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8CA28D4">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4600C4D4">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761FB52D">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41BE482">
            <w:pPr>
              <w:pStyle w:val="36"/>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4C08CB70">
            <w:pPr>
              <w:pStyle w:val="36"/>
              <w:rPr>
                <w:rFonts w:hint="eastAsia" w:ascii="宋体" w:hAnsi="宋体" w:eastAsia="宋体" w:cs="宋体"/>
                <w:color w:val="auto"/>
                <w:sz w:val="24"/>
                <w:szCs w:val="24"/>
                <w:highlight w:val="none"/>
              </w:rPr>
            </w:pPr>
          </w:p>
        </w:tc>
      </w:tr>
      <w:tr w14:paraId="47A79550">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42307E05">
            <w:pPr>
              <w:pStyle w:val="36"/>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3008EC8A">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2F1F307">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1368A275">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62A68BD">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07888AF">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F5E9FC4">
            <w:pPr>
              <w:pStyle w:val="36"/>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08BAE7B7">
            <w:pPr>
              <w:pStyle w:val="36"/>
              <w:rPr>
                <w:rFonts w:hint="eastAsia" w:ascii="宋体" w:hAnsi="宋体" w:eastAsia="宋体" w:cs="宋体"/>
                <w:color w:val="auto"/>
                <w:sz w:val="24"/>
                <w:szCs w:val="24"/>
                <w:highlight w:val="none"/>
              </w:rPr>
            </w:pPr>
          </w:p>
        </w:tc>
      </w:tr>
      <w:tr w14:paraId="6BB578E9">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3761F3E0">
            <w:pPr>
              <w:pStyle w:val="36"/>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088D3E3C">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D245879">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21B09351">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C36DE13">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D8BCA3E">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6575428">
            <w:pPr>
              <w:pStyle w:val="36"/>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193A66DA">
            <w:pPr>
              <w:pStyle w:val="36"/>
              <w:rPr>
                <w:rFonts w:hint="eastAsia" w:ascii="宋体" w:hAnsi="宋体" w:eastAsia="宋体" w:cs="宋体"/>
                <w:color w:val="auto"/>
                <w:sz w:val="24"/>
                <w:szCs w:val="24"/>
                <w:highlight w:val="none"/>
              </w:rPr>
            </w:pPr>
          </w:p>
        </w:tc>
      </w:tr>
    </w:tbl>
    <w:p w14:paraId="3CCE7C43">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1ABB20B9">
      <w:pPr>
        <w:rPr>
          <w:rFonts w:hint="eastAsia" w:ascii="宋体" w:hAnsi="宋体" w:eastAsia="宋体" w:cs="宋体"/>
          <w:b/>
          <w:color w:val="auto"/>
          <w:highlight w:val="none"/>
        </w:rPr>
      </w:pPr>
      <w:bookmarkStart w:id="2409" w:name="_Toc418752354"/>
      <w:bookmarkStart w:id="2410" w:name="_Toc483317227"/>
      <w:bookmarkStart w:id="2411" w:name="_Toc418751908"/>
      <w:r>
        <w:rPr>
          <w:rFonts w:hint="eastAsia" w:ascii="宋体" w:hAnsi="宋体" w:eastAsia="宋体" w:cs="宋体"/>
          <w:b/>
          <w:color w:val="auto"/>
          <w:highlight w:val="none"/>
        </w:rPr>
        <w:t>附表四：计划开、竣工日期和施工进度网络图</w:t>
      </w:r>
      <w:r>
        <w:rPr>
          <w:rFonts w:hint="eastAsia" w:ascii="宋体" w:hAnsi="宋体" w:eastAsia="宋体" w:cs="宋体"/>
          <w:b/>
          <w:color w:val="auto"/>
          <w:highlight w:val="none"/>
          <w:lang w:val="en-US" w:eastAsia="zh-CN"/>
        </w:rPr>
        <w:t>或</w:t>
      </w:r>
      <w:r>
        <w:rPr>
          <w:rFonts w:hint="eastAsia" w:ascii="宋体" w:hAnsi="宋体" w:eastAsia="宋体" w:cs="宋体"/>
          <w:b/>
          <w:color w:val="auto"/>
          <w:highlight w:val="none"/>
        </w:rPr>
        <w:t>横道图</w:t>
      </w:r>
      <w:bookmarkEnd w:id="2409"/>
      <w:bookmarkEnd w:id="2410"/>
      <w:bookmarkEnd w:id="2411"/>
    </w:p>
    <w:p w14:paraId="41967F45">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4522586F">
      <w:pPr>
        <w:pStyle w:val="36"/>
        <w:ind w:firstLine="424"/>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应递交施工进度网络图</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横道图</w:t>
      </w:r>
      <w:r>
        <w:rPr>
          <w:rFonts w:hint="eastAsia" w:ascii="宋体" w:hAnsi="宋体" w:eastAsia="宋体" w:cs="宋体"/>
          <w:color w:val="auto"/>
          <w:spacing w:val="1"/>
          <w:highlight w:val="none"/>
        </w:rPr>
        <w:t>，说</w:t>
      </w:r>
      <w:r>
        <w:rPr>
          <w:rFonts w:hint="eastAsia" w:ascii="宋体" w:hAnsi="宋体" w:eastAsia="宋体" w:cs="宋体"/>
          <w:color w:val="auto"/>
          <w:spacing w:val="2"/>
          <w:highlight w:val="none"/>
        </w:rPr>
        <w:t>明</w:t>
      </w:r>
      <w:r>
        <w:rPr>
          <w:rFonts w:hint="eastAsia" w:ascii="宋体" w:hAnsi="宋体" w:eastAsia="宋体" w:cs="宋体"/>
          <w:color w:val="auto"/>
          <w:spacing w:val="1"/>
          <w:highlight w:val="none"/>
        </w:rPr>
        <w:t>按</w:t>
      </w:r>
      <w:r>
        <w:rPr>
          <w:rFonts w:hint="eastAsia" w:ascii="宋体" w:hAnsi="宋体" w:eastAsia="宋体" w:cs="宋体"/>
          <w:color w:val="auto"/>
          <w:spacing w:val="2"/>
          <w:highlight w:val="none"/>
          <w:lang w:val="en-US" w:eastAsia="zh-CN"/>
        </w:rPr>
        <w:t>竞争性磋商</w:t>
      </w:r>
      <w:r>
        <w:rPr>
          <w:rFonts w:hint="eastAsia" w:ascii="宋体" w:hAnsi="宋体" w:eastAsia="宋体" w:cs="宋体"/>
          <w:color w:val="auto"/>
          <w:spacing w:val="1"/>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spacing w:val="1"/>
          <w:highlight w:val="none"/>
        </w:rPr>
        <w:t>要</w:t>
      </w:r>
      <w:r>
        <w:rPr>
          <w:rFonts w:hint="eastAsia" w:ascii="宋体" w:hAnsi="宋体" w:eastAsia="宋体" w:cs="宋体"/>
          <w:color w:val="auto"/>
          <w:spacing w:val="2"/>
          <w:highlight w:val="none"/>
        </w:rPr>
        <w:t>求</w:t>
      </w:r>
      <w:r>
        <w:rPr>
          <w:rFonts w:hint="eastAsia" w:ascii="宋体" w:hAnsi="宋体" w:eastAsia="宋体" w:cs="宋体"/>
          <w:color w:val="auto"/>
          <w:spacing w:val="1"/>
          <w:highlight w:val="none"/>
        </w:rPr>
        <w:t>的计</w:t>
      </w:r>
      <w:r>
        <w:rPr>
          <w:rFonts w:hint="eastAsia" w:ascii="宋体" w:hAnsi="宋体" w:eastAsia="宋体" w:cs="宋体"/>
          <w:color w:val="auto"/>
          <w:spacing w:val="2"/>
          <w:highlight w:val="none"/>
        </w:rPr>
        <w:t>划</w:t>
      </w:r>
      <w:r>
        <w:rPr>
          <w:rFonts w:hint="eastAsia" w:ascii="宋体" w:hAnsi="宋体" w:eastAsia="宋体" w:cs="宋体"/>
          <w:color w:val="auto"/>
          <w:spacing w:val="1"/>
          <w:highlight w:val="none"/>
        </w:rPr>
        <w:t>工</w:t>
      </w:r>
      <w:r>
        <w:rPr>
          <w:rFonts w:hint="eastAsia" w:ascii="宋体" w:hAnsi="宋体" w:eastAsia="宋体" w:cs="宋体"/>
          <w:color w:val="auto"/>
          <w:spacing w:val="4"/>
          <w:highlight w:val="none"/>
        </w:rPr>
        <w:t>期</w:t>
      </w:r>
      <w:r>
        <w:rPr>
          <w:rFonts w:hint="eastAsia" w:ascii="宋体" w:hAnsi="宋体" w:eastAsia="宋体" w:cs="宋体"/>
          <w:color w:val="auto"/>
          <w:spacing w:val="2"/>
          <w:highlight w:val="none"/>
        </w:rPr>
        <w:t>进</w:t>
      </w:r>
      <w:r>
        <w:rPr>
          <w:rFonts w:hint="eastAsia" w:ascii="宋体" w:hAnsi="宋体" w:eastAsia="宋体" w:cs="宋体"/>
          <w:color w:val="auto"/>
          <w:spacing w:val="1"/>
          <w:highlight w:val="none"/>
        </w:rPr>
        <w:t>行</w:t>
      </w:r>
      <w:r>
        <w:rPr>
          <w:rFonts w:hint="eastAsia" w:ascii="宋体" w:hAnsi="宋体" w:eastAsia="宋体" w:cs="宋体"/>
          <w:color w:val="auto"/>
          <w:highlight w:val="none"/>
        </w:rPr>
        <w:t>施工的各个关键日期。</w:t>
      </w:r>
    </w:p>
    <w:p w14:paraId="104402E8">
      <w:pPr>
        <w:pStyle w:val="36"/>
        <w:ind w:firstLine="424"/>
        <w:rPr>
          <w:rFonts w:hint="eastAsia" w:ascii="宋体" w:hAnsi="宋体" w:eastAsia="宋体" w:cs="宋体"/>
          <w:color w:val="auto"/>
          <w:highlight w:val="none"/>
        </w:rPr>
      </w:pPr>
      <w:r>
        <w:rPr>
          <w:rFonts w:hint="eastAsia" w:ascii="宋体" w:hAnsi="宋体" w:eastAsia="宋体" w:cs="宋体"/>
          <w:color w:val="auto"/>
          <w:highlight w:val="none"/>
        </w:rPr>
        <w:t>2.计划开工日期：</w:t>
      </w:r>
      <w:r>
        <w:rPr>
          <w:rFonts w:hint="eastAsia" w:ascii="宋体" w:hAnsi="宋体"/>
          <w:color w:val="auto"/>
          <w:szCs w:val="21"/>
          <w:highlight w:val="none"/>
          <w:lang w:val="en-US" w:eastAsia="zh-CN"/>
        </w:rPr>
        <w:t>自合同签订之日起至 年 月 日</w:t>
      </w:r>
      <w:r>
        <w:rPr>
          <w:rFonts w:hint="eastAsia" w:ascii="宋体" w:hAnsi="宋体" w:eastAsia="宋体" w:cs="宋体"/>
          <w:i w:val="0"/>
          <w:iCs w:val="0"/>
          <w:color w:val="auto"/>
          <w:sz w:val="21"/>
          <w:szCs w:val="21"/>
          <w:highlight w:val="none"/>
          <w:lang w:val="en-US" w:eastAsia="zh-CN"/>
        </w:rPr>
        <w:t>。</w:t>
      </w:r>
    </w:p>
    <w:p w14:paraId="50EB2C88">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0C647BCB">
      <w:pPr>
        <w:rPr>
          <w:rFonts w:hint="eastAsia" w:ascii="宋体" w:hAnsi="宋体" w:eastAsia="宋体" w:cs="宋体"/>
          <w:b/>
          <w:color w:val="auto"/>
          <w:highlight w:val="none"/>
        </w:rPr>
      </w:pPr>
      <w:bookmarkStart w:id="2412" w:name="_Toc418752355"/>
      <w:bookmarkStart w:id="2413" w:name="_Toc483317228"/>
      <w:bookmarkStart w:id="2414" w:name="_Toc418751909"/>
      <w:r>
        <w:rPr>
          <w:rFonts w:hint="eastAsia" w:ascii="宋体" w:hAnsi="宋体" w:eastAsia="宋体" w:cs="宋体"/>
          <w:b/>
          <w:color w:val="auto"/>
          <w:highlight w:val="none"/>
        </w:rPr>
        <w:t>附表五：施工总平面图</w:t>
      </w:r>
      <w:bookmarkEnd w:id="2412"/>
      <w:bookmarkEnd w:id="2413"/>
      <w:bookmarkEnd w:id="2414"/>
    </w:p>
    <w:p w14:paraId="74A7127F">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6D1FFD48">
      <w:pPr>
        <w:pStyle w:val="36"/>
        <w:ind w:firstLine="42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应递交一份施工总平面图</w:t>
      </w:r>
      <w:r>
        <w:rPr>
          <w:rFonts w:hint="eastAsia" w:ascii="宋体" w:hAnsi="宋体" w:eastAsia="宋体" w:cs="宋体"/>
          <w:color w:val="auto"/>
          <w:spacing w:val="-47"/>
          <w:highlight w:val="none"/>
        </w:rPr>
        <w:t>，</w:t>
      </w:r>
      <w:r>
        <w:rPr>
          <w:rFonts w:hint="eastAsia" w:ascii="宋体" w:hAnsi="宋体" w:eastAsia="宋体" w:cs="宋体"/>
          <w:color w:val="auto"/>
          <w:highlight w:val="none"/>
        </w:rPr>
        <w:t>绘出现场临时设施布置图表并附文字说明</w:t>
      </w:r>
      <w:r>
        <w:rPr>
          <w:rFonts w:hint="eastAsia" w:ascii="宋体" w:hAnsi="宋体" w:eastAsia="宋体" w:cs="宋体"/>
          <w:color w:val="auto"/>
          <w:spacing w:val="-47"/>
          <w:highlight w:val="none"/>
        </w:rPr>
        <w:t>，</w:t>
      </w:r>
      <w:r>
        <w:rPr>
          <w:rFonts w:hint="eastAsia" w:ascii="宋体" w:hAnsi="宋体" w:eastAsia="宋体" w:cs="宋体"/>
          <w:color w:val="auto"/>
          <w:highlight w:val="none"/>
        </w:rPr>
        <w:t>说明临时设施</w:t>
      </w:r>
      <w:r>
        <w:rPr>
          <w:rFonts w:hint="eastAsia" w:ascii="宋体" w:hAnsi="宋体" w:eastAsia="宋体" w:cs="宋体"/>
          <w:color w:val="auto"/>
          <w:spacing w:val="-11"/>
          <w:highlight w:val="none"/>
        </w:rPr>
        <w:t>、</w:t>
      </w:r>
      <w:r>
        <w:rPr>
          <w:rFonts w:hint="eastAsia" w:ascii="宋体" w:hAnsi="宋体" w:eastAsia="宋体" w:cs="宋体"/>
          <w:color w:val="auto"/>
          <w:highlight w:val="none"/>
        </w:rPr>
        <w:t>加工车间</w:t>
      </w:r>
      <w:r>
        <w:rPr>
          <w:rFonts w:hint="eastAsia" w:ascii="宋体" w:hAnsi="宋体" w:eastAsia="宋体" w:cs="宋体"/>
          <w:color w:val="auto"/>
          <w:spacing w:val="-11"/>
          <w:highlight w:val="none"/>
        </w:rPr>
        <w:t>、</w:t>
      </w:r>
      <w:r>
        <w:rPr>
          <w:rFonts w:hint="eastAsia" w:ascii="宋体" w:hAnsi="宋体" w:eastAsia="宋体" w:cs="宋体"/>
          <w:color w:val="auto"/>
          <w:highlight w:val="none"/>
        </w:rPr>
        <w:t>现场办公</w:t>
      </w:r>
      <w:r>
        <w:rPr>
          <w:rFonts w:hint="eastAsia" w:ascii="宋体" w:hAnsi="宋体" w:eastAsia="宋体" w:cs="宋体"/>
          <w:color w:val="auto"/>
          <w:spacing w:val="-11"/>
          <w:highlight w:val="none"/>
        </w:rPr>
        <w:t>、</w:t>
      </w:r>
      <w:r>
        <w:rPr>
          <w:rFonts w:hint="eastAsia" w:ascii="宋体" w:hAnsi="宋体" w:eastAsia="宋体" w:cs="宋体"/>
          <w:color w:val="auto"/>
          <w:highlight w:val="none"/>
        </w:rPr>
        <w:t>设备及仓储</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供电</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供水</w:t>
      </w:r>
      <w:r>
        <w:rPr>
          <w:rFonts w:hint="eastAsia" w:ascii="宋体" w:hAnsi="宋体" w:eastAsia="宋体" w:cs="宋体"/>
          <w:color w:val="auto"/>
          <w:spacing w:val="-10"/>
          <w:highlight w:val="none"/>
        </w:rPr>
        <w:t>、</w:t>
      </w:r>
      <w:r>
        <w:rPr>
          <w:rFonts w:hint="eastAsia" w:ascii="宋体" w:hAnsi="宋体" w:eastAsia="宋体" w:cs="宋体"/>
          <w:color w:val="auto"/>
          <w:highlight w:val="none"/>
        </w:rPr>
        <w:t>卫生</w:t>
      </w:r>
      <w:r>
        <w:rPr>
          <w:rFonts w:hint="eastAsia" w:ascii="宋体" w:hAnsi="宋体" w:eastAsia="宋体" w:cs="宋体"/>
          <w:color w:val="auto"/>
          <w:spacing w:val="-11"/>
          <w:highlight w:val="none"/>
        </w:rPr>
        <w:t>、</w:t>
      </w:r>
      <w:r>
        <w:rPr>
          <w:rFonts w:hint="eastAsia" w:ascii="宋体" w:hAnsi="宋体" w:eastAsia="宋体" w:cs="宋体"/>
          <w:color w:val="auto"/>
          <w:highlight w:val="none"/>
        </w:rPr>
        <w:t>生活</w:t>
      </w:r>
      <w:r>
        <w:rPr>
          <w:rFonts w:hint="eastAsia" w:ascii="宋体" w:hAnsi="宋体" w:eastAsia="宋体" w:cs="宋体"/>
          <w:color w:val="auto"/>
          <w:spacing w:val="-11"/>
          <w:highlight w:val="none"/>
        </w:rPr>
        <w:t>、</w:t>
      </w:r>
      <w:r>
        <w:rPr>
          <w:rFonts w:hint="eastAsia" w:ascii="宋体" w:hAnsi="宋体" w:eastAsia="宋体" w:cs="宋体"/>
          <w:color w:val="auto"/>
          <w:highlight w:val="none"/>
        </w:rPr>
        <w:t>道路</w:t>
      </w: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消</w:t>
      </w:r>
      <w:r>
        <w:rPr>
          <w:rFonts w:hint="eastAsia" w:ascii="宋体" w:hAnsi="宋体" w:eastAsia="宋体" w:cs="宋体"/>
          <w:color w:val="auto"/>
          <w:highlight w:val="none"/>
        </w:rPr>
        <w:t>防等设施的情况和布置。</w:t>
      </w:r>
    </w:p>
    <w:p w14:paraId="48FE5677">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60F8185F">
      <w:pPr>
        <w:rPr>
          <w:rFonts w:hint="eastAsia" w:ascii="宋体" w:hAnsi="宋体" w:eastAsia="宋体" w:cs="宋体"/>
          <w:b/>
          <w:color w:val="auto"/>
          <w:highlight w:val="none"/>
        </w:rPr>
      </w:pPr>
      <w:bookmarkStart w:id="2415" w:name="_Toc418752356"/>
      <w:bookmarkStart w:id="2416" w:name="_Toc418751910"/>
      <w:bookmarkStart w:id="2417" w:name="_Toc483317229"/>
      <w:r>
        <w:rPr>
          <w:rFonts w:hint="eastAsia" w:ascii="宋体" w:hAnsi="宋体" w:eastAsia="宋体" w:cs="宋体"/>
          <w:b/>
          <w:color w:val="auto"/>
          <w:highlight w:val="none"/>
        </w:rPr>
        <w:t>附表六：临时用地表</w:t>
      </w:r>
      <w:bookmarkEnd w:id="2415"/>
      <w:bookmarkEnd w:id="2416"/>
      <w:bookmarkEnd w:id="2417"/>
    </w:p>
    <w:tbl>
      <w:tblPr>
        <w:tblStyle w:val="29"/>
        <w:tblW w:w="9648" w:type="dxa"/>
        <w:tblInd w:w="-5" w:type="dxa"/>
        <w:tblLayout w:type="fixed"/>
        <w:tblCellMar>
          <w:top w:w="0" w:type="dxa"/>
          <w:left w:w="0" w:type="dxa"/>
          <w:bottom w:w="0" w:type="dxa"/>
          <w:right w:w="0" w:type="dxa"/>
        </w:tblCellMar>
      </w:tblPr>
      <w:tblGrid>
        <w:gridCol w:w="2412"/>
        <w:gridCol w:w="2412"/>
        <w:gridCol w:w="2412"/>
        <w:gridCol w:w="2412"/>
      </w:tblGrid>
      <w:tr w14:paraId="196663BF">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501F3E1C">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 </w:t>
            </w:r>
            <w:r>
              <w:rPr>
                <w:rFonts w:hint="eastAsia" w:ascii="宋体" w:hAnsi="宋体" w:eastAsia="宋体" w:cs="宋体"/>
                <w:color w:val="auto"/>
                <w:spacing w:val="1"/>
                <w:highlight w:val="none"/>
              </w:rPr>
              <w:t> </w:t>
            </w:r>
            <w:r>
              <w:rPr>
                <w:rFonts w:hint="eastAsia" w:ascii="宋体" w:hAnsi="宋体" w:eastAsia="宋体" w:cs="宋体"/>
                <w:color w:val="auto"/>
                <w:highlight w:val="none"/>
              </w:rPr>
              <w:t>途</w:t>
            </w:r>
          </w:p>
        </w:tc>
        <w:tc>
          <w:tcPr>
            <w:tcW w:w="2412" w:type="dxa"/>
            <w:tcBorders>
              <w:top w:val="single" w:color="000000" w:sz="4" w:space="0"/>
              <w:left w:val="nil"/>
              <w:bottom w:val="single" w:color="000000" w:sz="4" w:space="0"/>
              <w:right w:val="single" w:color="000000" w:sz="4" w:space="0"/>
            </w:tcBorders>
            <w:noWrap w:val="0"/>
            <w:vAlign w:val="center"/>
          </w:tcPr>
          <w:p w14:paraId="48559C59">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面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积（平</w:t>
            </w:r>
            <w:r>
              <w:rPr>
                <w:rFonts w:hint="eastAsia" w:ascii="宋体" w:hAnsi="宋体" w:eastAsia="宋体" w:cs="宋体"/>
                <w:color w:val="auto"/>
                <w:spacing w:val="-1"/>
                <w:highlight w:val="none"/>
              </w:rPr>
              <w:t>方</w:t>
            </w:r>
            <w:r>
              <w:rPr>
                <w:rFonts w:hint="eastAsia" w:ascii="宋体" w:hAnsi="宋体" w:eastAsia="宋体" w:cs="宋体"/>
                <w:color w:val="auto"/>
                <w:highlight w:val="none"/>
              </w:rPr>
              <w:t>米）</w:t>
            </w:r>
          </w:p>
        </w:tc>
        <w:tc>
          <w:tcPr>
            <w:tcW w:w="2412" w:type="dxa"/>
            <w:tcBorders>
              <w:top w:val="single" w:color="000000" w:sz="4" w:space="0"/>
              <w:left w:val="nil"/>
              <w:bottom w:val="single" w:color="000000" w:sz="4" w:space="0"/>
              <w:right w:val="single" w:color="000000" w:sz="4" w:space="0"/>
            </w:tcBorders>
            <w:noWrap w:val="0"/>
            <w:vAlign w:val="center"/>
          </w:tcPr>
          <w:p w14:paraId="66349501">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位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置</w:t>
            </w:r>
          </w:p>
        </w:tc>
        <w:tc>
          <w:tcPr>
            <w:tcW w:w="2412" w:type="dxa"/>
            <w:tcBorders>
              <w:top w:val="single" w:color="000000" w:sz="4" w:space="0"/>
              <w:left w:val="nil"/>
              <w:bottom w:val="single" w:color="000000" w:sz="4" w:space="0"/>
              <w:right w:val="single" w:color="000000" w:sz="4" w:space="0"/>
            </w:tcBorders>
            <w:noWrap w:val="0"/>
            <w:vAlign w:val="center"/>
          </w:tcPr>
          <w:p w14:paraId="0AC7C7D9">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需用时间</w:t>
            </w:r>
          </w:p>
        </w:tc>
      </w:tr>
      <w:tr w14:paraId="0BC7535C">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5B081C4F">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61C48C89">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AFF02DE">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51FDEC95">
            <w:pPr>
              <w:pStyle w:val="36"/>
              <w:rPr>
                <w:rFonts w:hint="eastAsia" w:ascii="宋体" w:hAnsi="宋体" w:eastAsia="宋体" w:cs="宋体"/>
                <w:color w:val="auto"/>
                <w:sz w:val="24"/>
                <w:szCs w:val="24"/>
                <w:highlight w:val="none"/>
              </w:rPr>
            </w:pPr>
          </w:p>
        </w:tc>
      </w:tr>
      <w:tr w14:paraId="7A072824">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20CB09FB">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EE50A16">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33A91228">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4ADA6628">
            <w:pPr>
              <w:pStyle w:val="36"/>
              <w:rPr>
                <w:rFonts w:hint="eastAsia" w:ascii="宋体" w:hAnsi="宋体" w:eastAsia="宋体" w:cs="宋体"/>
                <w:color w:val="auto"/>
                <w:sz w:val="24"/>
                <w:szCs w:val="24"/>
                <w:highlight w:val="none"/>
              </w:rPr>
            </w:pPr>
          </w:p>
        </w:tc>
      </w:tr>
      <w:tr w14:paraId="1FA3E124">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0237E754">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2A5243A3">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47A974E9">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1361B655">
            <w:pPr>
              <w:pStyle w:val="36"/>
              <w:rPr>
                <w:rFonts w:hint="eastAsia" w:ascii="宋体" w:hAnsi="宋体" w:eastAsia="宋体" w:cs="宋体"/>
                <w:color w:val="auto"/>
                <w:sz w:val="24"/>
                <w:szCs w:val="24"/>
                <w:highlight w:val="none"/>
              </w:rPr>
            </w:pPr>
          </w:p>
        </w:tc>
      </w:tr>
    </w:tbl>
    <w:p w14:paraId="372062C7">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19B7D14C">
      <w:pPr>
        <w:pStyle w:val="36"/>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806387E">
      <w:pPr>
        <w:pStyle w:val="36"/>
        <w:rPr>
          <w:rFonts w:hint="eastAsia" w:ascii="宋体" w:hAnsi="宋体" w:eastAsia="宋体" w:cs="宋体"/>
          <w:color w:val="auto"/>
          <w:highlight w:val="none"/>
        </w:rPr>
      </w:pPr>
    </w:p>
    <w:p w14:paraId="744D3D89">
      <w:pPr>
        <w:pStyle w:val="9"/>
        <w:widowControl w:val="0"/>
        <w:numPr>
          <w:ilvl w:val="0"/>
          <w:numId w:val="0"/>
        </w:numPr>
        <w:jc w:val="both"/>
        <w:rPr>
          <w:rFonts w:hint="eastAsia"/>
          <w:color w:val="auto"/>
          <w:highlight w:val="none"/>
        </w:rPr>
      </w:pPr>
    </w:p>
    <w:p w14:paraId="3C96BEE4">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1FFB6DB">
      <w:pPr>
        <w:pStyle w:val="14"/>
        <w:spacing w:line="300" w:lineRule="exact"/>
        <w:ind w:left="2940" w:leftChars="1400" w:firstLine="630" w:firstLineChars="300"/>
        <w:rPr>
          <w:rFonts w:hint="eastAsia" w:ascii="宋体" w:hAnsi="宋体" w:eastAsia="宋体" w:cs="宋体"/>
          <w:color w:val="auto"/>
          <w:highlight w:val="none"/>
        </w:rPr>
      </w:pPr>
    </w:p>
    <w:p w14:paraId="1874834B">
      <w:pPr>
        <w:pStyle w:val="14"/>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3C7D51AF">
      <w:pPr>
        <w:pStyle w:val="14"/>
        <w:spacing w:line="300" w:lineRule="exact"/>
        <w:rPr>
          <w:rFonts w:hint="eastAsia" w:ascii="宋体" w:hAnsi="宋体" w:eastAsia="宋体" w:cs="宋体"/>
          <w:b/>
          <w:color w:val="auto"/>
          <w:sz w:val="28"/>
          <w:szCs w:val="28"/>
          <w:highlight w:val="none"/>
        </w:rPr>
      </w:pPr>
    </w:p>
    <w:p w14:paraId="5A36171E">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0C59D089">
      <w:pPr>
        <w:pStyle w:val="5"/>
        <w:rPr>
          <w:rFonts w:hint="eastAsia"/>
          <w:color w:val="auto"/>
          <w:highlight w:val="none"/>
        </w:rPr>
      </w:pPr>
    </w:p>
    <w:p w14:paraId="1684C76A">
      <w:pPr>
        <w:rPr>
          <w:rFonts w:hint="eastAsia"/>
          <w:color w:val="auto"/>
          <w:highlight w:val="none"/>
        </w:rPr>
      </w:pPr>
    </w:p>
    <w:p w14:paraId="3741D9E5">
      <w:pPr>
        <w:pStyle w:val="5"/>
        <w:rPr>
          <w:rFonts w:hint="eastAsia"/>
          <w:color w:val="auto"/>
          <w:highlight w:val="none"/>
        </w:rPr>
      </w:pPr>
    </w:p>
    <w:p w14:paraId="00FEA0BC">
      <w:pPr>
        <w:rPr>
          <w:rFonts w:hint="eastAsia"/>
          <w:color w:val="auto"/>
          <w:highlight w:val="none"/>
        </w:rPr>
      </w:pPr>
    </w:p>
    <w:p w14:paraId="360A4171">
      <w:pPr>
        <w:pStyle w:val="14"/>
        <w:numPr>
          <w:ilvl w:val="0"/>
          <w:numId w:val="0"/>
        </w:numPr>
        <w:spacing w:line="340" w:lineRule="exact"/>
        <w:rPr>
          <w:rFonts w:hint="eastAsia" w:ascii="宋体" w:hAnsi="宋体" w:eastAsia="宋体" w:cs="宋体"/>
          <w:b/>
          <w:color w:val="auto"/>
          <w:sz w:val="28"/>
          <w:szCs w:val="28"/>
          <w:highlight w:val="none"/>
          <w:lang w:val="en-US" w:eastAsia="zh-CN"/>
        </w:rPr>
      </w:pPr>
    </w:p>
    <w:p w14:paraId="03995D84">
      <w:pPr>
        <w:pStyle w:val="14"/>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7.工程完工服务承诺书（必须提供）</w:t>
      </w:r>
      <w:r>
        <w:rPr>
          <w:rFonts w:hint="eastAsia" w:ascii="宋体" w:hAnsi="宋体" w:eastAsia="宋体" w:cs="宋体"/>
          <w:b/>
          <w:color w:val="auto"/>
          <w:sz w:val="28"/>
          <w:szCs w:val="28"/>
          <w:highlight w:val="none"/>
        </w:rPr>
        <w:t>；</w:t>
      </w:r>
    </w:p>
    <w:p w14:paraId="0C88C083">
      <w:pPr>
        <w:spacing w:line="360" w:lineRule="auto"/>
        <w:jc w:val="center"/>
        <w:rPr>
          <w:rFonts w:hint="eastAsia" w:ascii="宋体" w:hAnsi="宋体" w:cs="宋体"/>
          <w:b/>
          <w:color w:val="auto"/>
          <w:sz w:val="24"/>
          <w:szCs w:val="24"/>
          <w:highlight w:val="none"/>
        </w:rPr>
      </w:pPr>
    </w:p>
    <w:p w14:paraId="6BA4C1F1">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工程完工服务承诺书（格式）</w:t>
      </w:r>
    </w:p>
    <w:p w14:paraId="2667465A">
      <w:pPr>
        <w:pStyle w:val="14"/>
        <w:jc w:val="center"/>
        <w:rPr>
          <w:rFonts w:hint="eastAsia" w:hAnsi="宋体" w:cs="宋体"/>
          <w:color w:val="auto"/>
          <w:highlight w:val="none"/>
        </w:rPr>
      </w:pPr>
      <w:r>
        <w:rPr>
          <w:rFonts w:hint="eastAsia" w:hAnsi="宋体" w:cs="宋体"/>
          <w:color w:val="auto"/>
          <w:highlight w:val="none"/>
        </w:rPr>
        <w:t>（由</w:t>
      </w:r>
      <w:r>
        <w:rPr>
          <w:rFonts w:hint="eastAsia" w:hAnsi="宋体" w:cs="宋体"/>
          <w:color w:val="auto"/>
          <w:szCs w:val="21"/>
          <w:highlight w:val="none"/>
        </w:rPr>
        <w:t>供应商</w:t>
      </w:r>
      <w:r>
        <w:rPr>
          <w:rFonts w:hint="eastAsia" w:hAnsi="宋体" w:cs="宋体"/>
          <w:color w:val="auto"/>
          <w:highlight w:val="none"/>
        </w:rPr>
        <w:t>按《工程量清单》中工程完工服务及要求自行分别填写）</w:t>
      </w:r>
    </w:p>
    <w:p w14:paraId="16675CBA">
      <w:pPr>
        <w:pStyle w:val="14"/>
        <w:rPr>
          <w:rFonts w:hint="eastAsia" w:hAnsi="宋体" w:cs="宋体"/>
          <w:color w:val="auto"/>
          <w:highlight w:val="none"/>
        </w:rPr>
      </w:pPr>
    </w:p>
    <w:p w14:paraId="5F340EB3">
      <w:pPr>
        <w:widowControl/>
        <w:ind w:firstLine="1470" w:firstLineChars="700"/>
        <w:jc w:val="left"/>
        <w:rPr>
          <w:rFonts w:hint="eastAsia" w:ascii="宋体" w:hAnsi="宋体" w:eastAsia="宋体" w:cs="宋体"/>
          <w:color w:val="auto"/>
          <w:szCs w:val="21"/>
          <w:highlight w:val="none"/>
          <w:lang w:eastAsia="zh-CN"/>
        </w:rPr>
      </w:pPr>
    </w:p>
    <w:p w14:paraId="24D65CB0">
      <w:pPr>
        <w:widowControl/>
        <w:ind w:firstLine="1470" w:firstLineChars="700"/>
        <w:jc w:val="left"/>
        <w:rPr>
          <w:rFonts w:hint="eastAsia" w:ascii="宋体" w:hAnsi="宋体" w:eastAsia="宋体" w:cs="宋体"/>
          <w:color w:val="auto"/>
          <w:szCs w:val="21"/>
          <w:highlight w:val="none"/>
          <w:lang w:eastAsia="zh-CN"/>
        </w:rPr>
      </w:pPr>
    </w:p>
    <w:p w14:paraId="45AC72C4">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35DF6A3">
      <w:pPr>
        <w:pStyle w:val="14"/>
        <w:spacing w:line="300" w:lineRule="exact"/>
        <w:ind w:left="2940" w:leftChars="1400" w:firstLine="630" w:firstLineChars="300"/>
        <w:rPr>
          <w:rFonts w:hint="eastAsia" w:ascii="宋体" w:hAnsi="宋体" w:eastAsia="宋体" w:cs="宋体"/>
          <w:color w:val="auto"/>
          <w:highlight w:val="none"/>
        </w:rPr>
      </w:pPr>
    </w:p>
    <w:p w14:paraId="4CC85A62">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8D3F63F">
      <w:pPr>
        <w:pStyle w:val="5"/>
        <w:rPr>
          <w:rFonts w:hint="eastAsia" w:ascii="宋体" w:hAnsi="宋体" w:eastAsia="宋体" w:cs="宋体"/>
          <w:b/>
          <w:color w:val="auto"/>
          <w:sz w:val="28"/>
          <w:szCs w:val="28"/>
          <w:highlight w:val="none"/>
          <w:lang w:val="en-US" w:eastAsia="zh-CN"/>
        </w:rPr>
      </w:pPr>
    </w:p>
    <w:p w14:paraId="7E186B5F">
      <w:pPr>
        <w:pStyle w:val="5"/>
        <w:numPr>
          <w:ilvl w:val="0"/>
          <w:numId w:val="0"/>
        </w:numPr>
        <w:rPr>
          <w:rFonts w:hint="eastAsia" w:ascii="宋体" w:hAnsi="宋体" w:eastAsia="宋体" w:cs="宋体"/>
          <w:b/>
          <w:color w:val="auto"/>
          <w:sz w:val="28"/>
          <w:szCs w:val="28"/>
          <w:highlight w:val="none"/>
          <w:lang w:val="en-US" w:eastAsia="zh-CN"/>
        </w:rPr>
      </w:pPr>
      <w:bookmarkStart w:id="2418" w:name="_Toc24798"/>
      <w:bookmarkStart w:id="2419" w:name="_Toc32582"/>
      <w:bookmarkStart w:id="2420" w:name="_Toc21891"/>
      <w:r>
        <w:rPr>
          <w:rFonts w:hint="eastAsia" w:ascii="宋体" w:hAnsi="宋体" w:eastAsia="宋体" w:cs="宋体"/>
          <w:b/>
          <w:color w:val="auto"/>
          <w:sz w:val="28"/>
          <w:szCs w:val="28"/>
          <w:highlight w:val="none"/>
          <w:lang w:val="en-US" w:eastAsia="zh-CN"/>
        </w:rPr>
        <w:t>8.农民工工资保障金交纳与使用承诺书（必须提供）</w:t>
      </w:r>
      <w:bookmarkEnd w:id="2418"/>
      <w:bookmarkEnd w:id="2419"/>
      <w:r>
        <w:rPr>
          <w:rFonts w:hint="eastAsia" w:ascii="宋体" w:hAnsi="宋体" w:eastAsia="宋体" w:cs="宋体"/>
          <w:b/>
          <w:color w:val="auto"/>
          <w:sz w:val="28"/>
          <w:szCs w:val="28"/>
          <w:highlight w:val="none"/>
          <w:lang w:val="en-US" w:eastAsia="zh-CN"/>
        </w:rPr>
        <w:t>；</w:t>
      </w:r>
      <w:bookmarkEnd w:id="2420"/>
    </w:p>
    <w:p w14:paraId="0A172412">
      <w:pPr>
        <w:spacing w:line="420" w:lineRule="exact"/>
        <w:ind w:firstLine="482" w:firstLineChars="200"/>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农民工工资保证金交纳与使用承诺书</w:t>
      </w:r>
      <w:r>
        <w:rPr>
          <w:rFonts w:hint="eastAsia" w:ascii="宋体" w:hAnsi="宋体" w:cs="宋体"/>
          <w:b/>
          <w:color w:val="auto"/>
          <w:kern w:val="0"/>
          <w:sz w:val="24"/>
          <w:szCs w:val="24"/>
          <w:highlight w:val="none"/>
          <w:lang w:val="en-US" w:eastAsia="zh-CN"/>
        </w:rPr>
        <w:t>（格式）</w:t>
      </w:r>
    </w:p>
    <w:p w14:paraId="32C05BD7">
      <w:pPr>
        <w:spacing w:line="420" w:lineRule="exact"/>
        <w:rPr>
          <w:rFonts w:hint="eastAsia" w:ascii="宋体" w:hAnsi="宋体" w:cs="宋体"/>
          <w:color w:val="auto"/>
          <w:kern w:val="0"/>
          <w:szCs w:val="21"/>
          <w:highlight w:val="none"/>
        </w:rPr>
      </w:pPr>
    </w:p>
    <w:p w14:paraId="58FBAFB0">
      <w:pPr>
        <w:spacing w:line="420" w:lineRule="exact"/>
        <w:rPr>
          <w:rFonts w:hint="eastAsia"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highlight w:val="none"/>
          <w:u w:val="single"/>
          <w:lang w:eastAsia="zh-CN"/>
        </w:rPr>
        <w:t xml:space="preserve">广西凯胜建设项目管理咨询有限公司 </w:t>
      </w:r>
    </w:p>
    <w:p w14:paraId="7FE4AD42">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621B9C0F">
      <w:pPr>
        <w:spacing w:line="420" w:lineRule="exact"/>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1.我方在本项目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6A270F7E">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2. 我方参与</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302E8B6E">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3. 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14:paraId="7220BAB4">
      <w:pPr>
        <w:numPr>
          <w:ilvl w:val="0"/>
          <w:numId w:val="0"/>
        </w:numPr>
        <w:ind w:leftChars="200"/>
        <w:rPr>
          <w:rFonts w:hint="eastAsia"/>
          <w:color w:val="auto"/>
          <w:highlight w:val="none"/>
        </w:rPr>
      </w:pPr>
      <w:r>
        <w:rPr>
          <w:rFonts w:hint="eastAsia" w:ascii="宋体" w:hAnsi="宋体" w:cs="宋体"/>
          <w:color w:val="auto"/>
          <w:kern w:val="0"/>
          <w:szCs w:val="21"/>
          <w:highlight w:val="none"/>
        </w:rPr>
        <w:t>4. 如我方不按时、足额存入农民工工资保证金，采购人有权取消我方承包资格。</w:t>
      </w:r>
    </w:p>
    <w:p w14:paraId="0E1F9AC8">
      <w:pPr>
        <w:pStyle w:val="14"/>
        <w:spacing w:line="340" w:lineRule="exact"/>
        <w:rPr>
          <w:rFonts w:hint="eastAsia" w:ascii="宋体" w:hAnsi="宋体" w:eastAsia="宋体" w:cs="宋体"/>
          <w:b/>
          <w:color w:val="auto"/>
          <w:sz w:val="28"/>
          <w:szCs w:val="28"/>
          <w:highlight w:val="none"/>
        </w:rPr>
      </w:pPr>
    </w:p>
    <w:p w14:paraId="230D69A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bookmarkStart w:id="2421" w:name="_Toc9339"/>
      <w:bookmarkStart w:id="2422" w:name="_Toc497927084"/>
      <w:bookmarkStart w:id="2423" w:name="_Toc28672"/>
    </w:p>
    <w:p w14:paraId="273D803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p>
    <w:p w14:paraId="34C7720E">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F353C9">
      <w:pPr>
        <w:pStyle w:val="14"/>
        <w:spacing w:line="300" w:lineRule="exact"/>
        <w:ind w:left="2940" w:leftChars="1400" w:firstLine="630" w:firstLineChars="300"/>
        <w:rPr>
          <w:rFonts w:hint="eastAsia" w:ascii="宋体" w:hAnsi="宋体" w:eastAsia="宋体" w:cs="宋体"/>
          <w:color w:val="auto"/>
          <w:highlight w:val="none"/>
        </w:rPr>
      </w:pPr>
    </w:p>
    <w:p w14:paraId="53646D5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75ED35C">
      <w:pPr>
        <w:pStyle w:val="5"/>
        <w:numPr>
          <w:ilvl w:val="0"/>
          <w:numId w:val="0"/>
        </w:numPr>
        <w:rPr>
          <w:rFonts w:hint="eastAsia" w:ascii="宋体" w:hAnsi="宋体" w:eastAsia="宋体" w:cs="宋体"/>
          <w:b/>
          <w:color w:val="auto"/>
          <w:sz w:val="28"/>
          <w:szCs w:val="28"/>
          <w:highlight w:val="none"/>
          <w:lang w:val="en-US" w:eastAsia="zh-CN"/>
        </w:rPr>
      </w:pPr>
    </w:p>
    <w:p w14:paraId="654B1B37">
      <w:pPr>
        <w:pStyle w:val="5"/>
        <w:numPr>
          <w:ilvl w:val="0"/>
          <w:numId w:val="0"/>
        </w:numPr>
        <w:rPr>
          <w:rFonts w:hint="eastAsia" w:ascii="宋体" w:hAnsi="宋体" w:eastAsia="宋体" w:cs="宋体"/>
          <w:b/>
          <w:color w:val="auto"/>
          <w:sz w:val="28"/>
          <w:szCs w:val="28"/>
          <w:highlight w:val="none"/>
          <w:lang w:val="en-US" w:eastAsia="zh-CN"/>
        </w:rPr>
      </w:pPr>
      <w:bookmarkStart w:id="2424" w:name="_Toc21352"/>
      <w:bookmarkStart w:id="2425" w:name="_Toc297"/>
      <w:bookmarkStart w:id="2426" w:name="_Toc10529"/>
      <w:r>
        <w:rPr>
          <w:rFonts w:hint="eastAsia" w:ascii="宋体" w:hAnsi="宋体" w:eastAsia="宋体" w:cs="宋体"/>
          <w:b/>
          <w:color w:val="auto"/>
          <w:sz w:val="28"/>
          <w:szCs w:val="28"/>
          <w:highlight w:val="none"/>
          <w:lang w:val="en-US" w:eastAsia="zh-CN"/>
        </w:rPr>
        <w:t>9.城乡清洁工程渣土清运承诺书（必须提供）。</w:t>
      </w:r>
      <w:bookmarkEnd w:id="2424"/>
      <w:bookmarkEnd w:id="2425"/>
      <w:bookmarkEnd w:id="2426"/>
    </w:p>
    <w:p w14:paraId="594CE9D7">
      <w:pPr>
        <w:widowControl w:val="0"/>
        <w:numPr>
          <w:ilvl w:val="0"/>
          <w:numId w:val="0"/>
        </w:numPr>
        <w:jc w:val="both"/>
        <w:rPr>
          <w:rFonts w:hint="eastAsia"/>
          <w:color w:val="auto"/>
          <w:highlight w:val="none"/>
        </w:rPr>
      </w:pPr>
    </w:p>
    <w:p w14:paraId="526FB96A">
      <w:pPr>
        <w:rPr>
          <w:rFonts w:hint="eastAsia"/>
          <w:color w:val="auto"/>
          <w:highlight w:val="none"/>
        </w:rPr>
      </w:pPr>
    </w:p>
    <w:p w14:paraId="2E887F7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2421"/>
      <w:bookmarkEnd w:id="2422"/>
      <w:bookmarkEnd w:id="2423"/>
    </w:p>
    <w:p w14:paraId="5B179265">
      <w:pPr>
        <w:spacing w:line="360" w:lineRule="auto"/>
        <w:ind w:firstLine="420" w:firstLineChars="200"/>
        <w:rPr>
          <w:rFonts w:hint="eastAsia" w:ascii="宋体" w:hAnsi="宋体" w:cs="宋体"/>
          <w:color w:val="auto"/>
          <w:sz w:val="21"/>
          <w:szCs w:val="21"/>
          <w:highlight w:val="none"/>
          <w:lang w:val="en-US" w:eastAsia="zh-CN"/>
        </w:rPr>
      </w:pPr>
    </w:p>
    <w:p w14:paraId="10BDC437">
      <w:pPr>
        <w:spacing w:line="360" w:lineRule="auto"/>
        <w:rPr>
          <w:rFonts w:hint="eastAsia" w:ascii="宋体" w:hAnsi="宋体" w:cs="宋体"/>
          <w:color w:val="auto"/>
          <w:sz w:val="21"/>
          <w:szCs w:val="21"/>
          <w:highlight w:val="none"/>
          <w:lang w:val="en-US" w:eastAsia="zh-CN"/>
        </w:rPr>
      </w:pPr>
    </w:p>
    <w:p w14:paraId="436B9C26">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1.1.供应商2020年1月1日以来完成或在建的类似项目业绩，以中标(成交)通知书或签订的合同为准，并能清晰反映项目的名称、采购内容、采购金额、采购时间）（如有）</w:t>
      </w:r>
      <w:r>
        <w:rPr>
          <w:rFonts w:hint="eastAsia" w:ascii="宋体" w:hAnsi="宋体" w:eastAsia="宋体" w:cs="宋体"/>
          <w:b/>
          <w:bCs/>
          <w:iCs/>
          <w:color w:val="auto"/>
          <w:kern w:val="2"/>
          <w:sz w:val="28"/>
          <w:szCs w:val="28"/>
          <w:highlight w:val="none"/>
          <w:lang w:val="en-US" w:eastAsia="zh-CN" w:bidi="ar-SA"/>
        </w:rPr>
        <w:t>；</w:t>
      </w:r>
    </w:p>
    <w:p w14:paraId="17F739BD">
      <w:pPr>
        <w:spacing w:line="360" w:lineRule="auto"/>
        <w:ind w:firstLine="420" w:firstLineChars="200"/>
        <w:rPr>
          <w:rFonts w:hint="eastAsia" w:ascii="宋体" w:hAnsi="宋体" w:eastAsia="宋体" w:cs="宋体"/>
          <w:color w:val="auto"/>
          <w:sz w:val="21"/>
          <w:szCs w:val="21"/>
          <w:highlight w:val="none"/>
          <w:lang w:val="en-US" w:eastAsia="zh-CN"/>
        </w:rPr>
      </w:pPr>
    </w:p>
    <w:p w14:paraId="217F400E">
      <w:pPr>
        <w:pStyle w:val="11"/>
        <w:rPr>
          <w:rFonts w:hint="eastAsia" w:ascii="宋体" w:hAnsi="宋体" w:eastAsia="宋体" w:cs="宋体"/>
          <w:color w:val="auto"/>
          <w:sz w:val="21"/>
          <w:szCs w:val="21"/>
          <w:highlight w:val="none"/>
          <w:lang w:val="en-US" w:eastAsia="zh-CN"/>
        </w:rPr>
      </w:pPr>
    </w:p>
    <w:p w14:paraId="54360E5B">
      <w:pPr>
        <w:rPr>
          <w:rFonts w:hint="eastAsia" w:ascii="宋体" w:hAnsi="宋体" w:cs="宋体"/>
          <w:b/>
          <w:bCs/>
          <w:iCs/>
          <w:color w:val="auto"/>
          <w:sz w:val="28"/>
          <w:szCs w:val="28"/>
          <w:highlight w:val="none"/>
          <w:lang w:val="en-US" w:eastAsia="zh-CN"/>
        </w:rPr>
      </w:pPr>
      <w:r>
        <w:rPr>
          <w:rFonts w:hint="eastAsia" w:ascii="宋体" w:hAnsi="宋体" w:cs="宋体"/>
          <w:b/>
          <w:bCs/>
          <w:iCs/>
          <w:color w:val="auto"/>
          <w:sz w:val="28"/>
          <w:szCs w:val="28"/>
          <w:highlight w:val="none"/>
          <w:lang w:val="en-US" w:eastAsia="zh-CN"/>
        </w:rPr>
        <w:t>2.供应商</w:t>
      </w:r>
      <w:r>
        <w:rPr>
          <w:rFonts w:hint="eastAsia" w:ascii="宋体" w:hAnsi="宋体" w:cs="宋体"/>
          <w:b/>
          <w:bCs/>
          <w:iCs/>
          <w:color w:val="auto"/>
          <w:sz w:val="28"/>
          <w:szCs w:val="28"/>
          <w:highlight w:val="none"/>
        </w:rPr>
        <w:t>2020</w:t>
      </w:r>
      <w:r>
        <w:rPr>
          <w:rFonts w:hint="eastAsia" w:ascii="宋体" w:hAnsi="宋体" w:cs="宋体"/>
          <w:b/>
          <w:bCs/>
          <w:iCs/>
          <w:color w:val="auto"/>
          <w:sz w:val="28"/>
          <w:szCs w:val="28"/>
          <w:highlight w:val="none"/>
          <w:lang w:val="en-US" w:eastAsia="zh-CN"/>
        </w:rPr>
        <w:t>年1月1日</w:t>
      </w:r>
      <w:r>
        <w:rPr>
          <w:rFonts w:hint="eastAsia" w:ascii="宋体" w:hAnsi="宋体" w:cs="宋体"/>
          <w:b/>
          <w:bCs/>
          <w:iCs/>
          <w:color w:val="auto"/>
          <w:sz w:val="28"/>
          <w:szCs w:val="28"/>
          <w:highlight w:val="none"/>
          <w:lang w:val="en-US" w:eastAsia="zh-CN"/>
        </w:rPr>
        <w:t>以来</w:t>
      </w:r>
      <w:r>
        <w:rPr>
          <w:rFonts w:hint="eastAsia" w:ascii="宋体" w:hAnsi="宋体" w:cs="宋体"/>
          <w:b/>
          <w:bCs/>
          <w:iCs/>
          <w:color w:val="auto"/>
          <w:sz w:val="28"/>
          <w:szCs w:val="28"/>
          <w:highlight w:val="none"/>
        </w:rPr>
        <w:t>获奖情况</w:t>
      </w:r>
      <w:r>
        <w:rPr>
          <w:rFonts w:hint="eastAsia" w:ascii="宋体" w:hAnsi="宋体" w:cs="宋体"/>
          <w:b/>
          <w:bCs/>
          <w:iCs/>
          <w:color w:val="auto"/>
          <w:sz w:val="28"/>
          <w:szCs w:val="28"/>
          <w:highlight w:val="none"/>
          <w:lang w:eastAsia="zh-CN"/>
        </w:rPr>
        <w:t>（</w:t>
      </w:r>
      <w:r>
        <w:rPr>
          <w:rFonts w:hint="eastAsia" w:ascii="宋体" w:hAnsi="宋体" w:cs="宋体"/>
          <w:b/>
          <w:bCs/>
          <w:iCs/>
          <w:color w:val="auto"/>
          <w:sz w:val="28"/>
          <w:szCs w:val="28"/>
          <w:highlight w:val="none"/>
          <w:lang w:val="en-US" w:eastAsia="zh-CN"/>
        </w:rPr>
        <w:t>如有</w:t>
      </w:r>
      <w:r>
        <w:rPr>
          <w:rFonts w:hint="eastAsia" w:ascii="宋体" w:hAnsi="宋体" w:cs="宋体"/>
          <w:b/>
          <w:bCs/>
          <w:iCs/>
          <w:color w:val="auto"/>
          <w:sz w:val="28"/>
          <w:szCs w:val="28"/>
          <w:highlight w:val="none"/>
          <w:lang w:eastAsia="zh-CN"/>
        </w:rPr>
        <w:t>）</w:t>
      </w:r>
    </w:p>
    <w:p w14:paraId="05F69EF9">
      <w:pPr>
        <w:pStyle w:val="11"/>
        <w:rPr>
          <w:rFonts w:hint="eastAsia"/>
          <w:color w:val="auto"/>
          <w:highlight w:val="none"/>
          <w:lang w:val="en-US" w:eastAsia="zh-CN"/>
        </w:rPr>
      </w:pPr>
    </w:p>
    <w:p w14:paraId="6EC20AA5">
      <w:pPr>
        <w:spacing w:line="240" w:lineRule="auto"/>
        <w:rPr>
          <w:rFonts w:hint="default" w:ascii="宋体" w:hAnsi="宋体" w:cs="宋体"/>
          <w:b/>
          <w:bCs/>
          <w:iCs/>
          <w:color w:val="auto"/>
          <w:kern w:val="2"/>
          <w:sz w:val="28"/>
          <w:szCs w:val="28"/>
          <w:highlight w:val="none"/>
          <w:lang w:val="en-US" w:eastAsia="zh-CN" w:bidi="ar-SA"/>
        </w:rPr>
      </w:pPr>
    </w:p>
    <w:p w14:paraId="326E0753">
      <w:pPr>
        <w:spacing w:line="240" w:lineRule="auto"/>
        <w:rPr>
          <w:rFonts w:hint="default" w:ascii="宋体" w:hAnsi="宋体" w:cs="宋体"/>
          <w:b/>
          <w:bCs/>
          <w:iCs/>
          <w:color w:val="auto"/>
          <w:kern w:val="2"/>
          <w:sz w:val="28"/>
          <w:szCs w:val="28"/>
          <w:highlight w:val="none"/>
          <w:lang w:val="en-US" w:eastAsia="zh-CN" w:bidi="ar-SA"/>
        </w:rPr>
      </w:pPr>
    </w:p>
    <w:p w14:paraId="6086EC83">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3</w:t>
      </w:r>
      <w:r>
        <w:rPr>
          <w:rFonts w:hint="eastAsia" w:ascii="宋体" w:hAnsi="宋体" w:eastAsia="宋体" w:cs="宋体"/>
          <w:b/>
          <w:bCs/>
          <w:iCs/>
          <w:color w:val="auto"/>
          <w:kern w:val="2"/>
          <w:sz w:val="28"/>
          <w:szCs w:val="28"/>
          <w:highlight w:val="none"/>
          <w:lang w:val="en-US" w:eastAsia="zh-CN" w:bidi="ar-SA"/>
        </w:rPr>
        <w:t>.供应商可结合本项目的评审办法视自身情况自行提交其它相关证明材料。</w:t>
      </w:r>
      <w:r>
        <w:rPr>
          <w:rFonts w:hint="eastAsia" w:ascii="宋体" w:hAnsi="宋体" w:cs="宋体"/>
          <w:b/>
          <w:bCs/>
          <w:iCs/>
          <w:color w:val="auto"/>
          <w:kern w:val="2"/>
          <w:sz w:val="28"/>
          <w:szCs w:val="28"/>
          <w:highlight w:val="none"/>
          <w:lang w:val="en-US" w:eastAsia="zh-CN" w:bidi="ar-SA"/>
        </w:rPr>
        <w:t>（如有）</w:t>
      </w:r>
    </w:p>
    <w:p w14:paraId="50E2546B">
      <w:pPr>
        <w:spacing w:line="360" w:lineRule="auto"/>
        <w:ind w:firstLine="480" w:firstLineChars="200"/>
        <w:rPr>
          <w:rFonts w:hint="eastAsia" w:ascii="宋体" w:hAnsi="宋体" w:eastAsia="宋体" w:cs="宋体"/>
          <w:color w:val="auto"/>
          <w:sz w:val="24"/>
          <w:highlight w:val="none"/>
        </w:rPr>
      </w:pPr>
    </w:p>
    <w:p w14:paraId="2801FAA9">
      <w:pPr>
        <w:pStyle w:val="32"/>
        <w:rPr>
          <w:rFonts w:hint="eastAsia" w:ascii="宋体" w:hAnsi="宋体" w:eastAsia="宋体" w:cs="宋体"/>
          <w:b/>
          <w:bCs/>
          <w:color w:val="auto"/>
          <w:sz w:val="24"/>
          <w:highlight w:val="none"/>
        </w:rPr>
      </w:pPr>
    </w:p>
    <w:p w14:paraId="59E75DD5">
      <w:pPr>
        <w:rPr>
          <w:rFonts w:hint="eastAsia" w:ascii="宋体" w:hAnsi="宋体" w:cs="宋体"/>
          <w:b/>
          <w:bCs/>
          <w:iCs/>
          <w:color w:val="auto"/>
          <w:kern w:val="2"/>
          <w:sz w:val="28"/>
          <w:szCs w:val="28"/>
          <w:highlight w:val="none"/>
          <w:lang w:val="en-US" w:eastAsia="zh-CN" w:bidi="ar-SA"/>
        </w:rPr>
      </w:pPr>
    </w:p>
    <w:p w14:paraId="1A8C05D5">
      <w:pPr>
        <w:bidi w:val="0"/>
        <w:rPr>
          <w:rFonts w:hint="default"/>
          <w:color w:val="auto"/>
          <w:highlight w:val="none"/>
          <w:lang w:val="en-US" w:eastAsia="zh-CN"/>
        </w:rPr>
      </w:pPr>
    </w:p>
    <w:p w14:paraId="623B96D0">
      <w:pPr>
        <w:rPr>
          <w:rFonts w:hint="default"/>
          <w:color w:val="auto"/>
          <w:highlight w:val="none"/>
          <w:lang w:val="en-US" w:eastAsia="zh-CN"/>
        </w:rPr>
      </w:pPr>
    </w:p>
    <w:p w14:paraId="77F060D9">
      <w:pPr>
        <w:pStyle w:val="4"/>
        <w:spacing w:line="240" w:lineRule="auto"/>
        <w:jc w:val="center"/>
        <w:rPr>
          <w:rFonts w:hint="eastAsia"/>
          <w:color w:val="auto"/>
          <w:highlight w:val="none"/>
        </w:rPr>
      </w:pPr>
      <w:bookmarkStart w:id="2427" w:name="_Toc12385"/>
      <w:bookmarkStart w:id="2428" w:name="_Toc2237"/>
      <w:bookmarkStart w:id="2429" w:name="_Toc16390"/>
      <w:bookmarkStart w:id="2430" w:name="_Toc22545"/>
      <w:bookmarkStart w:id="2431" w:name="_Toc1637952"/>
      <w:bookmarkStart w:id="2432" w:name="_Toc18780"/>
      <w:bookmarkStart w:id="2433" w:name="_Toc6973"/>
    </w:p>
    <w:bookmarkEnd w:id="2427"/>
    <w:bookmarkEnd w:id="2428"/>
    <w:bookmarkEnd w:id="2429"/>
    <w:bookmarkEnd w:id="2430"/>
    <w:bookmarkEnd w:id="2431"/>
    <w:bookmarkEnd w:id="2432"/>
    <w:bookmarkEnd w:id="2433"/>
    <w:p w14:paraId="5DAC4491">
      <w:pPr>
        <w:jc w:val="center"/>
        <w:rPr>
          <w:rFonts w:hint="eastAsia"/>
          <w:color w:val="auto"/>
          <w:highlight w:val="none"/>
        </w:rPr>
      </w:pPr>
    </w:p>
    <w:p w14:paraId="5A24F0D1">
      <w:pPr>
        <w:jc w:val="center"/>
        <w:rPr>
          <w:rFonts w:hint="eastAsia"/>
          <w:color w:val="auto"/>
          <w:highlight w:val="none"/>
        </w:rPr>
      </w:pPr>
    </w:p>
    <w:p w14:paraId="6D292015">
      <w:pPr>
        <w:jc w:val="center"/>
        <w:rPr>
          <w:rFonts w:hint="eastAsia"/>
          <w:color w:val="auto"/>
          <w:highlight w:val="none"/>
        </w:rPr>
      </w:pPr>
    </w:p>
    <w:p w14:paraId="183D0CF6">
      <w:pPr>
        <w:jc w:val="center"/>
        <w:rPr>
          <w:rFonts w:hint="eastAsia"/>
          <w:color w:val="auto"/>
          <w:highlight w:val="none"/>
        </w:rPr>
      </w:pPr>
    </w:p>
    <w:p w14:paraId="7ACE69A3">
      <w:pPr>
        <w:rPr>
          <w:rFonts w:hint="eastAsia"/>
          <w:color w:val="auto"/>
          <w:highlight w:val="none"/>
        </w:rPr>
      </w:pPr>
      <w:r>
        <w:rPr>
          <w:rFonts w:hint="eastAsia"/>
          <w:color w:val="auto"/>
          <w:highlight w:val="none"/>
        </w:rPr>
        <w:br w:type="page"/>
      </w:r>
    </w:p>
    <w:p w14:paraId="2EF13E2E">
      <w:pPr>
        <w:pStyle w:val="4"/>
        <w:spacing w:line="240" w:lineRule="auto"/>
        <w:jc w:val="center"/>
        <w:rPr>
          <w:rFonts w:hint="eastAsia"/>
          <w:color w:val="auto"/>
          <w:highlight w:val="none"/>
        </w:rPr>
      </w:pPr>
      <w:bookmarkStart w:id="2434" w:name="_Toc6063"/>
      <w:r>
        <w:rPr>
          <w:rFonts w:hint="eastAsia"/>
          <w:color w:val="auto"/>
          <w:highlight w:val="none"/>
        </w:rPr>
        <w:t>第七章、图纸</w:t>
      </w:r>
      <w:bookmarkEnd w:id="2434"/>
    </w:p>
    <w:p w14:paraId="1426B4A5">
      <w:pPr>
        <w:jc w:val="center"/>
        <w:rPr>
          <w:rFonts w:hint="eastAsia"/>
          <w:color w:val="auto"/>
          <w:highlight w:val="none"/>
        </w:rPr>
      </w:pPr>
    </w:p>
    <w:p w14:paraId="733A76F9">
      <w:pPr>
        <w:jc w:val="center"/>
        <w:rPr>
          <w:rFonts w:hint="eastAsia" w:eastAsia="宋体"/>
          <w:color w:val="auto"/>
          <w:highlight w:val="none"/>
          <w:lang w:val="en-US" w:eastAsia="zh-CN"/>
        </w:rPr>
      </w:pPr>
      <w:r>
        <w:rPr>
          <w:rFonts w:hint="eastAsia"/>
          <w:color w:val="auto"/>
          <w:sz w:val="24"/>
          <w:highlight w:val="none"/>
          <w:lang w:val="en-US" w:eastAsia="zh-CN"/>
        </w:rPr>
        <w:t>/</w:t>
      </w:r>
    </w:p>
    <w:p w14:paraId="2523880A">
      <w:pPr>
        <w:jc w:val="center"/>
        <w:rPr>
          <w:color w:val="auto"/>
          <w:highlight w:val="none"/>
        </w:rPr>
      </w:pPr>
    </w:p>
    <w:p w14:paraId="5A23CEE7">
      <w:pPr>
        <w:rPr>
          <w:color w:val="auto"/>
          <w:highlight w:val="none"/>
        </w:rPr>
      </w:pPr>
    </w:p>
    <w:p w14:paraId="65F20120">
      <w:pPr>
        <w:rPr>
          <w:color w:val="auto"/>
        </w:rPr>
      </w:pPr>
    </w:p>
    <w:sectPr>
      <w:headerReference r:id="rId8" w:type="default"/>
      <w:footerReference r:id="rId9"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706D">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68A979E">
                          <w:pPr>
                            <w:pStyle w:val="1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OwMsfEAQAAmgMAAA4AAAAAAAAAAQAgAAAAHwEAAGRycy9lMm9Eb2MueG1s&#10;UEsFBgAAAAAGAAYAWQEAAFUFAAAAAA==&#10;">
              <v:fill on="f" focussize="0,0"/>
              <v:stroke on="f"/>
              <v:imagedata o:title=""/>
              <o:lock v:ext="edit" aspectratio="f"/>
              <v:textbox inset="0mm,0mm,0mm,0mm" style="mso-fit-shape-to-text:t;">
                <w:txbxContent>
                  <w:p w14:paraId="768A979E">
                    <w:pPr>
                      <w:pStyle w:val="15"/>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3237">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A49BB74">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v:fill on="f" focussize="0,0"/>
              <v:stroke on="f"/>
              <v:imagedata o:title=""/>
              <o:lock v:ext="edit" aspectratio="f"/>
              <v:textbox inset="0mm,0mm,0mm,0mm" style="mso-fit-shape-to-text:t;">
                <w:txbxContent>
                  <w:p w14:paraId="3A49BB74">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F3D8">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72BFCFC">
                          <w:pPr>
                            <w:pStyle w:val="1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sme5pyAEAAKADAAAOAAAAAAAAAAEAIAAAAB8BAABkcnMvZTJvRG9j&#10;LnhtbFBLBQYAAAAABgAGAFkBAABZBQAAAAA=&#10;">
              <v:fill on="f" focussize="0,0"/>
              <v:stroke on="f"/>
              <v:imagedata o:title=""/>
              <o:lock v:ext="edit" aspectratio="f"/>
              <v:textbox inset="0mm,0mm,0mm,0mm" style="mso-fit-shape-to-text:t;">
                <w:txbxContent>
                  <w:p w14:paraId="472BFCFC">
                    <w:pPr>
                      <w:pStyle w:val="15"/>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E994">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C07919E">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XcEWcYBAACgAwAADgAAAAAAAAABACAAAAAfAQAAZHJzL2Uyb0RvYy54&#10;bWxQSwUGAAAAAAYABgBZAQAAVwUAAAAA&#10;">
              <v:fill on="f" focussize="0,0"/>
              <v:stroke on="f"/>
              <v:imagedata o:title=""/>
              <o:lock v:ext="edit" aspectratio="f"/>
              <v:textbox inset="0mm,0mm,0mm,0mm" style="mso-fit-shape-to-text:t;">
                <w:txbxContent>
                  <w:p w14:paraId="5C07919E">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9D1B5">
    <w:pPr>
      <w:pStyle w:val="15"/>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2FB00">
                          <w:pPr>
                            <w:pStyle w:val="15"/>
                            <w:jc w:val="center"/>
                          </w:pPr>
                          <w:r>
                            <w:fldChar w:fldCharType="begin"/>
                          </w:r>
                          <w:r>
                            <w:instrText xml:space="preserve">PAGE   \* MERGEFORMAT</w:instrText>
                          </w:r>
                          <w:r>
                            <w:fldChar w:fldCharType="separate"/>
                          </w:r>
                          <w:r>
                            <w:rPr>
                              <w:lang w:val="zh-CN"/>
                            </w:rP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52FB00">
                    <w:pPr>
                      <w:pStyle w:val="15"/>
                      <w:jc w:val="center"/>
                    </w:pPr>
                    <w:r>
                      <w:fldChar w:fldCharType="begin"/>
                    </w:r>
                    <w:r>
                      <w:instrText xml:space="preserve">PAGE   \* MERGEFORMAT</w:instrText>
                    </w:r>
                    <w:r>
                      <w:fldChar w:fldCharType="separate"/>
                    </w:r>
                    <w:r>
                      <w:rPr>
                        <w:lang w:val="zh-CN"/>
                      </w:rPr>
                      <w:t>65</w:t>
                    </w:r>
                    <w:r>
                      <w:fldChar w:fldCharType="end"/>
                    </w:r>
                  </w:p>
                </w:txbxContent>
              </v:textbox>
            </v:shape>
          </w:pict>
        </mc:Fallback>
      </mc:AlternateContent>
    </w:r>
  </w:p>
  <w:p w14:paraId="49A7B62F">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93D7">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4CCB5FC">
                          <w:pPr>
                            <w:pStyle w:val="15"/>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PhLAYDHAQAAoAMAAA4AAAAAAAAAAQAgAAAAHwEAAGRycy9lMm9Eb2Mu&#10;eG1sUEsFBgAAAAAGAAYAWQEAAFgFAAAAAA==&#10;">
              <v:fill on="f" focussize="0,0"/>
              <v:stroke on="f"/>
              <v:imagedata o:title=""/>
              <o:lock v:ext="edit" aspectratio="f"/>
              <v:textbox inset="0mm,0mm,0mm,0mm" style="mso-fit-shape-to-text:t;">
                <w:txbxContent>
                  <w:p w14:paraId="64CCB5FC">
                    <w:pPr>
                      <w:pStyle w:val="15"/>
                    </w:pPr>
                    <w:r>
                      <w:fldChar w:fldCharType="begin"/>
                    </w:r>
                    <w:r>
                      <w:instrText xml:space="preserve"> PAGE  \* MERGEFORMAT </w:instrText>
                    </w:r>
                    <w:r>
                      <w:fldChar w:fldCharType="separate"/>
                    </w:r>
                    <w:r>
                      <w:t>64</w:t>
                    </w:r>
                    <w:r>
                      <w:fldChar w:fldCharType="end"/>
                    </w:r>
                  </w:p>
                </w:txbxContent>
              </v:textbox>
            </v:rect>
          </w:pict>
        </mc:Fallback>
      </mc:AlternateContent>
    </w:r>
  </w:p>
  <w:p w14:paraId="1527B6F7">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BA85">
    <w:pPr>
      <w:pStyle w:val="16"/>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singleLevel"/>
    <w:tmpl w:val="00000003"/>
    <w:lvl w:ilvl="0" w:tentative="0">
      <w:start w:val="1"/>
      <w:numFmt w:val="chineseCounting"/>
      <w:suff w:val="space"/>
      <w:lvlText w:val="第%1部分"/>
      <w:lvlJc w:val="left"/>
      <w:rPr>
        <w:rFonts w:hint="eastAsia"/>
      </w:rPr>
    </w:lvl>
  </w:abstractNum>
  <w:abstractNum w:abstractNumId="3">
    <w:nsid w:val="00000004"/>
    <w:multiLevelType w:val="singleLevel"/>
    <w:tmpl w:val="00000004"/>
    <w:lvl w:ilvl="0" w:tentative="0">
      <w:start w:val="4"/>
      <w:numFmt w:val="decimal"/>
      <w:suff w:val="nothing"/>
      <w:lvlText w:val="（%1）"/>
      <w:lvlJc w:val="left"/>
      <w:pPr>
        <w:ind w:left="0"/>
      </w:pPr>
    </w:lvl>
  </w:abstractNum>
  <w:abstractNum w:abstractNumId="4">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00000006"/>
    <w:multiLevelType w:val="singleLevel"/>
    <w:tmpl w:val="00000006"/>
    <w:lvl w:ilvl="0" w:tentative="0">
      <w:start w:val="1"/>
      <w:numFmt w:val="chineseCounting"/>
      <w:suff w:val="nothing"/>
      <w:lvlText w:val="（%1）"/>
      <w:lvlJc w:val="left"/>
      <w:rPr>
        <w:rFonts w:hint="eastAsia"/>
      </w:rPr>
    </w:lvl>
  </w:abstractNum>
  <w:abstractNum w:abstractNumId="6">
    <w:nsid w:val="00000007"/>
    <w:multiLevelType w:val="singleLevel"/>
    <w:tmpl w:val="00000007"/>
    <w:lvl w:ilvl="0" w:tentative="0">
      <w:start w:val="1"/>
      <w:numFmt w:val="decimal"/>
      <w:lvlText w:val="%1."/>
      <w:lvlJc w:val="left"/>
      <w:pPr>
        <w:tabs>
          <w:tab w:val="left" w:pos="312"/>
        </w:tabs>
      </w:pPr>
    </w:lvl>
  </w:abstractNum>
  <w:abstractNum w:abstractNumId="7">
    <w:nsid w:val="00000008"/>
    <w:multiLevelType w:val="singleLevel"/>
    <w:tmpl w:val="00000008"/>
    <w:lvl w:ilvl="0" w:tentative="0">
      <w:start w:val="26"/>
      <w:numFmt w:val="decimal"/>
      <w:suff w:val="space"/>
      <w:lvlText w:val="%1."/>
      <w:lvlJc w:val="left"/>
    </w:lvl>
  </w:abstractNum>
  <w:abstractNum w:abstractNumId="8">
    <w:nsid w:val="00000009"/>
    <w:multiLevelType w:val="singleLevel"/>
    <w:tmpl w:val="00000009"/>
    <w:lvl w:ilvl="0" w:tentative="0">
      <w:start w:val="4"/>
      <w:numFmt w:val="decimal"/>
      <w:suff w:val="nothing"/>
      <w:lvlText w:val="（%1）"/>
      <w:lvlJc w:val="left"/>
    </w:lvl>
  </w:abstractNum>
  <w:abstractNum w:abstractNumId="9">
    <w:nsid w:val="0000000A"/>
    <w:multiLevelType w:val="singleLevel"/>
    <w:tmpl w:val="0000000A"/>
    <w:lvl w:ilvl="0" w:tentative="0">
      <w:start w:val="2"/>
      <w:numFmt w:val="decimal"/>
      <w:suff w:val="nothing"/>
      <w:lvlText w:val="（%1）"/>
      <w:lvlJc w:val="left"/>
    </w:lvl>
  </w:abstractNum>
  <w:abstractNum w:abstractNumId="10">
    <w:nsid w:val="0000000B"/>
    <w:multiLevelType w:val="singleLevel"/>
    <w:tmpl w:val="0000000B"/>
    <w:lvl w:ilvl="0" w:tentative="0">
      <w:start w:val="8"/>
      <w:numFmt w:val="decimal"/>
      <w:suff w:val="space"/>
      <w:lvlText w:val="%1."/>
      <w:lvlJc w:val="left"/>
    </w:lvl>
  </w:abstractNum>
  <w:abstractNum w:abstractNumId="11">
    <w:nsid w:val="0000000C"/>
    <w:multiLevelType w:val="singleLevel"/>
    <w:tmpl w:val="0000000C"/>
    <w:lvl w:ilvl="0" w:tentative="0">
      <w:start w:val="6"/>
      <w:numFmt w:val="chineseCounting"/>
      <w:suff w:val="nothing"/>
      <w:lvlText w:val="%1、"/>
      <w:lvlJc w:val="left"/>
      <w:rPr>
        <w:rFonts w:hint="eastAsia"/>
      </w:rPr>
    </w:lvl>
  </w:abstractNum>
  <w:abstractNum w:abstractNumId="12">
    <w:nsid w:val="0000000D"/>
    <w:multiLevelType w:val="singleLevel"/>
    <w:tmpl w:val="0000000D"/>
    <w:lvl w:ilvl="0" w:tentative="0">
      <w:start w:val="2"/>
      <w:numFmt w:val="decimal"/>
      <w:lvlText w:val="%1."/>
      <w:lvlJc w:val="left"/>
      <w:pPr>
        <w:tabs>
          <w:tab w:val="left" w:pos="312"/>
        </w:tabs>
      </w:pPr>
    </w:lvl>
  </w:abstractNum>
  <w:abstractNum w:abstractNumId="13">
    <w:nsid w:val="0000000F"/>
    <w:multiLevelType w:val="multilevel"/>
    <w:tmpl w:val="0000000F"/>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0"/>
    <w:multiLevelType w:val="singleLevel"/>
    <w:tmpl w:val="00000010"/>
    <w:lvl w:ilvl="0" w:tentative="0">
      <w:start w:val="5"/>
      <w:numFmt w:val="decimal"/>
      <w:suff w:val="space"/>
      <w:lvlText w:val="%1."/>
      <w:lvlJc w:val="left"/>
    </w:lvl>
  </w:abstractNum>
  <w:num w:numId="1">
    <w:abstractNumId w:val="4"/>
  </w:num>
  <w:num w:numId="2">
    <w:abstractNumId w:val="14"/>
  </w:num>
  <w:num w:numId="3">
    <w:abstractNumId w:val="3"/>
  </w:num>
  <w:num w:numId="4">
    <w:abstractNumId w:val="1"/>
  </w:num>
  <w:num w:numId="5">
    <w:abstractNumId w:val="7"/>
  </w:num>
  <w:num w:numId="6">
    <w:abstractNumId w:val="2"/>
  </w:num>
  <w:num w:numId="7">
    <w:abstractNumId w:val="8"/>
  </w:num>
  <w:num w:numId="8">
    <w:abstractNumId w:val="5"/>
  </w:num>
  <w:num w:numId="9">
    <w:abstractNumId w:val="9"/>
  </w:num>
  <w:num w:numId="10">
    <w:abstractNumId w:val="10"/>
  </w:num>
  <w:num w:numId="11">
    <w:abstractNumId w:val="11"/>
  </w:num>
  <w:num w:numId="12">
    <w:abstractNumId w:val="12"/>
  </w:num>
  <w:num w:numId="13">
    <w:abstractNumId w:val="0"/>
  </w:num>
  <w:num w:numId="14">
    <w:abstractNumId w:val="6"/>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MjQyYTJmYmM5NTgzZTk4ZWJkZDI2ZGM0YzQzYzIifQ=="/>
    <w:docVar w:name="KSO_WPS_MARK_KEY" w:val="a3adb148-270f-42ae-9ec3-2fe99b1ace6b"/>
  </w:docVars>
  <w:rsids>
    <w:rsidRoot w:val="23B209CE"/>
    <w:rsid w:val="022A4193"/>
    <w:rsid w:val="0348660A"/>
    <w:rsid w:val="06EF58B1"/>
    <w:rsid w:val="0C460860"/>
    <w:rsid w:val="0E7554F9"/>
    <w:rsid w:val="11EB3571"/>
    <w:rsid w:val="12A04F4F"/>
    <w:rsid w:val="13A6118C"/>
    <w:rsid w:val="14CA2983"/>
    <w:rsid w:val="191D7987"/>
    <w:rsid w:val="1B6203DF"/>
    <w:rsid w:val="1E67458F"/>
    <w:rsid w:val="1EEC67B8"/>
    <w:rsid w:val="1F705FBB"/>
    <w:rsid w:val="21B4613A"/>
    <w:rsid w:val="21C76137"/>
    <w:rsid w:val="220A7CA8"/>
    <w:rsid w:val="23B209CE"/>
    <w:rsid w:val="26011993"/>
    <w:rsid w:val="272F4FFC"/>
    <w:rsid w:val="2DBC6C93"/>
    <w:rsid w:val="37295215"/>
    <w:rsid w:val="40E45575"/>
    <w:rsid w:val="41C7615C"/>
    <w:rsid w:val="4387343D"/>
    <w:rsid w:val="4A25586A"/>
    <w:rsid w:val="4CD75B2E"/>
    <w:rsid w:val="4D3A65B5"/>
    <w:rsid w:val="4FC74FB4"/>
    <w:rsid w:val="51652BCA"/>
    <w:rsid w:val="52D8386F"/>
    <w:rsid w:val="650C41C4"/>
    <w:rsid w:val="67850A01"/>
    <w:rsid w:val="68403931"/>
    <w:rsid w:val="6D3F20D2"/>
    <w:rsid w:val="6DFF0DBE"/>
    <w:rsid w:val="6F0F3D67"/>
    <w:rsid w:val="6FDB4A65"/>
    <w:rsid w:val="701B17A4"/>
    <w:rsid w:val="707442CA"/>
    <w:rsid w:val="75BE5F9B"/>
    <w:rsid w:val="76393874"/>
    <w:rsid w:val="778C5D1F"/>
    <w:rsid w:val="7A180B1F"/>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36"/>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34"/>
    <w:qFormat/>
    <w:uiPriority w:val="0"/>
    <w:pPr>
      <w:keepNext/>
      <w:keepLines/>
      <w:widowControl/>
      <w:spacing w:before="260" w:after="260" w:line="416" w:lineRule="auto"/>
      <w:outlineLvl w:val="2"/>
    </w:pPr>
    <w:rPr>
      <w:b/>
      <w:bCs/>
      <w:sz w:val="24"/>
      <w:szCs w:val="32"/>
    </w:rPr>
  </w:style>
  <w:style w:type="paragraph" w:styleId="7">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after="60" w:line="360" w:lineRule="atLeast"/>
      <w:ind w:left="72" w:leftChars="30" w:right="30" w:rightChars="30"/>
      <w:jc w:val="center"/>
    </w:pPr>
    <w:rPr>
      <w:kern w:val="0"/>
      <w:sz w:val="20"/>
      <w:szCs w:val="20"/>
    </w:rPr>
  </w:style>
  <w:style w:type="paragraph" w:customStyle="1" w:styleId="3">
    <w:name w:val="181"/>
    <w:next w:val="1"/>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styleId="9">
    <w:name w:val="index 8"/>
    <w:basedOn w:val="1"/>
    <w:next w:val="1"/>
    <w:qFormat/>
    <w:uiPriority w:val="0"/>
    <w:pPr>
      <w:ind w:left="1400" w:leftChars="1400" w:firstLine="0"/>
    </w:pPr>
  </w:style>
  <w:style w:type="paragraph" w:styleId="10">
    <w:name w:val="annotation text"/>
    <w:basedOn w:val="1"/>
    <w:qFormat/>
    <w:uiPriority w:val="0"/>
    <w:pPr>
      <w:widowControl/>
      <w:jc w:val="left"/>
    </w:pPr>
    <w:rPr>
      <w:rFonts w:ascii="Calibri" w:hAnsi="Calibri" w:eastAsia="宋体" w:cs="Times New Roman"/>
    </w:rPr>
  </w:style>
  <w:style w:type="paragraph" w:styleId="11">
    <w:name w:val="Body Text"/>
    <w:basedOn w:val="1"/>
    <w:next w:val="1"/>
    <w:qFormat/>
    <w:uiPriority w:val="0"/>
    <w:pPr>
      <w:spacing w:after="120"/>
    </w:pPr>
  </w:style>
  <w:style w:type="paragraph" w:styleId="12">
    <w:name w:val="Body Text Indent"/>
    <w:basedOn w:val="1"/>
    <w:qFormat/>
    <w:uiPriority w:val="0"/>
    <w:pPr>
      <w:spacing w:after="120" w:line="360" w:lineRule="exact"/>
      <w:ind w:left="420" w:leftChars="200" w:firstLine="200" w:firstLineChars="200"/>
    </w:pPr>
  </w:style>
  <w:style w:type="paragraph" w:styleId="13">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4">
    <w:name w:val="Plain Text"/>
    <w:basedOn w:val="1"/>
    <w:next w:val="9"/>
    <w:qFormat/>
    <w:uiPriority w:val="0"/>
    <w:rPr>
      <w:rFonts w:ascii="宋体" w:hAnsi="Courier New" w:cs="Times New Roman"/>
      <w:szCs w:val="22"/>
    </w:rPr>
  </w:style>
  <w:style w:type="paragraph" w:styleId="15">
    <w:name w:val="footer"/>
    <w:basedOn w:val="1"/>
    <w:next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99"/>
    <w:pPr>
      <w:jc w:val="center"/>
    </w:pPr>
    <w:rPr>
      <w:rFonts w:ascii="Arial" w:hAnsi="Arial" w:eastAsia="宋体" w:cs="Arial"/>
      <w:b/>
      <w:sz w:val="32"/>
      <w:u w:val="single"/>
    </w:rPr>
  </w:style>
  <w:style w:type="paragraph" w:styleId="21">
    <w:name w:val="Body Text First Indent"/>
    <w:basedOn w:val="22"/>
    <w:next w:val="25"/>
    <w:qFormat/>
    <w:uiPriority w:val="0"/>
    <w:pPr>
      <w:spacing w:after="120"/>
      <w:ind w:firstLine="420" w:firstLineChars="100"/>
    </w:pPr>
    <w:rPr>
      <w:rFonts w:ascii="Times New Roman" w:hAnsi="Times New Roman"/>
      <w:szCs w:val="24"/>
    </w:rPr>
  </w:style>
  <w:style w:type="paragraph" w:customStyle="1" w:styleId="22">
    <w:name w:val="正文文本_0"/>
    <w:basedOn w:val="23"/>
    <w:next w:val="24"/>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3">
    <w:name w:val="正文_0"/>
    <w:next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2_0"/>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缩进_0"/>
    <w:basedOn w:val="24"/>
    <w:next w:val="26"/>
    <w:qFormat/>
    <w:uiPriority w:val="99"/>
    <w:pPr>
      <w:ind w:firstLine="420"/>
    </w:pPr>
    <w:rPr>
      <w:rFonts w:ascii="Times New Roman" w:hAnsi="Times New Roman"/>
      <w:szCs w:val="20"/>
    </w:rPr>
  </w:style>
  <w:style w:type="paragraph" w:customStyle="1" w:styleId="26">
    <w:name w:val="_Style 50"/>
    <w:basedOn w:val="24"/>
    <w:next w:val="27"/>
    <w:qFormat/>
    <w:uiPriority w:val="0"/>
    <w:pPr>
      <w:widowControl/>
      <w:spacing w:before="100" w:beforeAutospacing="1" w:after="100" w:afterAutospacing="1"/>
    </w:pPr>
    <w:rPr>
      <w:rFonts w:ascii="宋体" w:hAnsi="宋体"/>
    </w:rPr>
  </w:style>
  <w:style w:type="paragraph" w:customStyle="1" w:styleId="27">
    <w:name w:val="普通(网站)_0"/>
    <w:basedOn w:val="24"/>
    <w:next w:val="24"/>
    <w:qFormat/>
    <w:uiPriority w:val="0"/>
    <w:pPr>
      <w:widowControl/>
      <w:spacing w:before="100" w:beforeAutospacing="1" w:after="100" w:afterAutospacing="1"/>
      <w:jc w:val="left"/>
    </w:pPr>
    <w:rPr>
      <w:rFonts w:ascii="宋体" w:hAnsi="宋体" w:cs="宋体"/>
      <w:kern w:val="0"/>
      <w:sz w:val="24"/>
      <w:szCs w:val="24"/>
    </w:rPr>
  </w:style>
  <w:style w:type="paragraph" w:styleId="28">
    <w:name w:val="Body Text First Indent 2"/>
    <w:basedOn w:val="12"/>
    <w:qFormat/>
    <w:uiPriority w:val="99"/>
    <w:pPr>
      <w:ind w:firstLine="420" w:firstLineChars="20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Default"/>
    <w:basedOn w:val="20"/>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3">
    <w:name w:val="List Paragraph"/>
    <w:basedOn w:val="1"/>
    <w:qFormat/>
    <w:uiPriority w:val="0"/>
    <w:pPr>
      <w:ind w:firstLine="420" w:firstLineChars="200"/>
    </w:pPr>
  </w:style>
  <w:style w:type="character" w:customStyle="1" w:styleId="34">
    <w:name w:val="标题 3 字符"/>
    <w:link w:val="6"/>
    <w:qFormat/>
    <w:uiPriority w:val="0"/>
    <w:rPr>
      <w:b/>
      <w:bCs/>
      <w:sz w:val="24"/>
      <w:szCs w:val="32"/>
    </w:rPr>
  </w:style>
  <w:style w:type="paragraph" w:customStyle="1" w:styleId="35">
    <w:name w:val="表格文字"/>
    <w:basedOn w:val="1"/>
    <w:qFormat/>
    <w:uiPriority w:val="0"/>
    <w:pPr>
      <w:spacing w:before="25" w:after="25" w:line="240" w:lineRule="auto"/>
      <w:ind w:firstLine="0"/>
      <w:jc w:val="left"/>
    </w:pPr>
    <w:rPr>
      <w:bCs/>
      <w:spacing w:val="10"/>
      <w:kern w:val="0"/>
      <w:sz w:val="24"/>
    </w:rPr>
  </w:style>
  <w:style w:type="paragraph" w:customStyle="1" w:styleId="36">
    <w:name w:val="p0"/>
    <w:basedOn w:val="1"/>
    <w:qFormat/>
    <w:uiPriority w:val="0"/>
    <w:pPr>
      <w:widowControl/>
    </w:pPr>
    <w:rPr>
      <w:rFonts w:ascii="Calibri" w:hAnsi="Calibri" w:cs="宋体"/>
      <w:kern w:val="0"/>
      <w:szCs w:val="21"/>
    </w:rPr>
  </w:style>
  <w:style w:type="paragraph" w:customStyle="1" w:styleId="37">
    <w:name w:val="首行缩进"/>
    <w:basedOn w:val="1"/>
    <w:qFormat/>
    <w:uiPriority w:val="0"/>
    <w:pPr>
      <w:spacing w:line="360" w:lineRule="auto"/>
      <w:ind w:firstLine="480" w:firstLineChars="200"/>
    </w:pPr>
    <w:rPr>
      <w:rFonts w:ascii="宋体" w:hAnsi="宋体"/>
      <w:kern w:val="0"/>
      <w:sz w:val="24"/>
    </w:rPr>
  </w:style>
  <w:style w:type="paragraph" w:customStyle="1" w:styleId="38">
    <w:name w:val="正文小标题_0"/>
    <w:basedOn w:val="39"/>
    <w:qFormat/>
    <w:uiPriority w:val="0"/>
    <w:pPr>
      <w:spacing w:line="420" w:lineRule="exact"/>
    </w:pPr>
    <w:rPr>
      <w:rFonts w:hAnsi="宋体" w:eastAsia="宋体"/>
      <w:sz w:val="21"/>
      <w:szCs w:val="21"/>
    </w:rPr>
  </w:style>
  <w:style w:type="paragraph" w:customStyle="1" w:styleId="39">
    <w:name w:val="标题 1_0"/>
    <w:basedOn w:val="23"/>
    <w:next w:val="23"/>
    <w:qFormat/>
    <w:uiPriority w:val="99"/>
    <w:pPr>
      <w:keepNext/>
      <w:keepLines/>
      <w:spacing w:line="360" w:lineRule="auto"/>
      <w:outlineLvl w:val="0"/>
    </w:pPr>
    <w:rPr>
      <w:rFonts w:eastAsia="黑体"/>
      <w:b/>
      <w:bCs/>
      <w:kern w:val="44"/>
      <w:sz w:val="32"/>
      <w:szCs w:val="44"/>
    </w:rPr>
  </w:style>
  <w:style w:type="paragraph" w:customStyle="1" w:styleId="40">
    <w:name w:val="正文_1_0"/>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41">
    <w:name w:val="正文呀2_0"/>
    <w:basedOn w:val="42"/>
    <w:qFormat/>
    <w:uiPriority w:val="0"/>
    <w:rPr>
      <w:rFonts w:ascii="Times New Roman" w:hAnsi="Times New Roman"/>
    </w:rPr>
  </w:style>
  <w:style w:type="paragraph" w:customStyle="1" w:styleId="42">
    <w:name w:val="正文呀_0"/>
    <w:basedOn w:val="40"/>
    <w:qFormat/>
    <w:uiPriority w:val="0"/>
    <w:pPr>
      <w:spacing w:line="420" w:lineRule="exact"/>
      <w:ind w:firstLine="420" w:firstLineChars="200"/>
    </w:pPr>
    <w:rPr>
      <w:rFonts w:ascii="宋体" w:hAnsi="宋体"/>
      <w:szCs w:val="21"/>
    </w:rPr>
  </w:style>
  <w:style w:type="paragraph" w:customStyle="1" w:styleId="43">
    <w:name w:val="正文呀2_1"/>
    <w:basedOn w:val="44"/>
    <w:qFormat/>
    <w:uiPriority w:val="0"/>
    <w:rPr>
      <w:rFonts w:ascii="Times New Roman" w:hAnsi="Times New Roman" w:eastAsia="宋体" w:cs="Times New Roman"/>
      <w:kern w:val="2"/>
      <w:sz w:val="21"/>
      <w:lang w:val="en-US" w:eastAsia="zh-CN"/>
    </w:rPr>
  </w:style>
  <w:style w:type="paragraph" w:customStyle="1" w:styleId="44">
    <w:name w:val="正文呀_1"/>
    <w:basedOn w:val="23"/>
    <w:qFormat/>
    <w:uiPriority w:val="0"/>
    <w:pPr>
      <w:spacing w:line="420" w:lineRule="exact"/>
      <w:ind w:firstLine="420" w:firstLineChars="200"/>
    </w:pPr>
    <w:rPr>
      <w:rFonts w:ascii="宋体" w:hAnsi="宋体"/>
      <w:kern w:val="0"/>
      <w:sz w:val="20"/>
      <w:szCs w:val="21"/>
      <w:lang w:val="zh-CN" w:eastAsia="zh-CN"/>
    </w:rPr>
  </w:style>
  <w:style w:type="paragraph" w:customStyle="1" w:styleId="45">
    <w:name w:val="纯文本_0"/>
    <w:basedOn w:val="23"/>
    <w:qFormat/>
    <w:uiPriority w:val="0"/>
    <w:rPr>
      <w:rFonts w:ascii="宋体" w:hAnsi="Courier New"/>
      <w:szCs w:val="24"/>
    </w:rPr>
  </w:style>
  <w:style w:type="paragraph" w:customStyle="1" w:styleId="46">
    <w:name w:val="无间隔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NormalCharacter"/>
    <w:qFormat/>
    <w:uiPriority w:val="0"/>
  </w:style>
  <w:style w:type="paragraph" w:customStyle="1" w:styleId="50">
    <w:name w:val="PlainText"/>
    <w:basedOn w:val="1"/>
    <w:next w:val="51"/>
    <w:qFormat/>
    <w:uiPriority w:val="0"/>
    <w:rPr>
      <w:rFonts w:ascii="宋体" w:hAnsi="Courier New"/>
      <w:szCs w:val="20"/>
    </w:rPr>
  </w:style>
  <w:style w:type="paragraph" w:customStyle="1" w:styleId="51">
    <w:name w:val="Index8"/>
    <w:basedOn w:val="1"/>
    <w:next w:val="1"/>
    <w:qFormat/>
    <w:uiPriority w:val="0"/>
    <w:pPr>
      <w:ind w:left="2940"/>
    </w:p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basedOn w:val="6"/>
    <w:next w:val="1"/>
    <w:qFormat/>
    <w:uiPriority w:val="0"/>
    <w:pPr>
      <w:widowControl w:val="0"/>
      <w:spacing w:before="120" w:beforeLines="50" w:after="120" w:afterLines="50" w:line="240" w:lineRule="auto"/>
      <w:jc w:val="center"/>
    </w:pPr>
    <w:rPr>
      <w:rFonts w:ascii="黑体" w:eastAsia="黑体"/>
      <w:sz w:val="4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144</Pages>
  <Words>41868</Words>
  <Characters>44778</Characters>
  <Lines>0</Lines>
  <Paragraphs>0</Paragraphs>
  <TotalTime>193</TotalTime>
  <ScaleCrop>false</ScaleCrop>
  <LinksUpToDate>false</LinksUpToDate>
  <CharactersWithSpaces>45708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2024-06-03T12:38:00Z</dcterms:created>
  <dc:creator>歪歪</dc:creator>
  <cp:lastModifiedBy>天怒人怨</cp:lastModifiedBy>
  <dcterms:modified xsi:type="dcterms:W3CDTF">2025-06-25T06:43:18Z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8B6E48E405524E209942AE1B52FC1160_13</vt:lpwstr>
  </property>
  <property fmtid="{D5CDD505-2E9C-101B-9397-08002B2CF9AE}" pid="4" name="KSOTemplateDocerSaveRecord">
    <vt:lpwstr>eyJoZGlkIjoiMTMyYzViMWU1MTU5MTczZGIyMDE1MzQ3ZDg4ODk1NDgiLCJ1c2VySWQiOiIyNTU1MDE3MTMifQ==</vt:lpwstr>
  </property>
</Properties>
</file>