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67EC">
      <w:pPr>
        <w:jc w:val="center"/>
        <w:rPr>
          <w:rFonts w:ascii="宋体" w:hAnsi="宋体" w:cs="宋体"/>
          <w:b/>
          <w:bCs/>
          <w:color w:val="auto"/>
          <w:sz w:val="52"/>
          <w:szCs w:val="52"/>
          <w:highlight w:val="none"/>
        </w:rPr>
      </w:pPr>
      <w:bookmarkStart w:id="0" w:name="_Toc7014_WPSOffice_Level1"/>
      <w:bookmarkStart w:id="1" w:name="_Toc10319"/>
      <w:r>
        <w:rPr>
          <w:rFonts w:hint="eastAsia" w:ascii="宋体" w:hAnsi="宋体" w:cs="宋体"/>
          <w:b/>
          <w:color w:val="auto"/>
          <w:sz w:val="52"/>
          <w:highlight w:val="none"/>
        </w:rPr>
        <w:t xml:space="preserve">  广西安臻工程管理有限公司</w:t>
      </w:r>
    </w:p>
    <w:p w14:paraId="0D3DAC2B">
      <w:pPr>
        <w:pStyle w:val="14"/>
        <w:rPr>
          <w:rFonts w:ascii="宋体" w:hAnsi="宋体" w:cs="宋体"/>
          <w:b/>
          <w:bCs/>
          <w:color w:val="auto"/>
          <w:sz w:val="52"/>
          <w:szCs w:val="52"/>
          <w:highlight w:val="none"/>
        </w:rPr>
      </w:pPr>
    </w:p>
    <w:p w14:paraId="1202A286">
      <w:pPr>
        <w:pStyle w:val="14"/>
        <w:rPr>
          <w:rFonts w:ascii="宋体" w:hAnsi="宋体" w:cs="宋体"/>
          <w:b/>
          <w:bCs/>
          <w:color w:val="auto"/>
          <w:sz w:val="52"/>
          <w:szCs w:val="52"/>
          <w:highlight w:val="none"/>
        </w:rPr>
      </w:pPr>
    </w:p>
    <w:p w14:paraId="0A21AB4D">
      <w:pPr>
        <w:ind w:left="558" w:right="683"/>
        <w:jc w:val="center"/>
        <w:rPr>
          <w:rFonts w:ascii="宋体" w:hAnsi="宋体" w:cs="宋体"/>
          <w:b/>
          <w:color w:val="auto"/>
          <w:sz w:val="72"/>
          <w:szCs w:val="72"/>
          <w:highlight w:val="none"/>
        </w:rPr>
      </w:pPr>
      <w:r>
        <w:rPr>
          <w:rFonts w:hint="eastAsia" w:ascii="宋体" w:hAnsi="宋体" w:cs="宋体"/>
          <w:b/>
          <w:color w:val="auto"/>
          <w:spacing w:val="93"/>
          <w:sz w:val="72"/>
          <w:szCs w:val="72"/>
          <w:highlight w:val="none"/>
        </w:rPr>
        <w:t>竞争性磋商文件</w:t>
      </w:r>
    </w:p>
    <w:p w14:paraId="48B55A6D">
      <w:pPr>
        <w:jc w:val="center"/>
        <w:rPr>
          <w:rFonts w:ascii="宋体" w:hAnsi="宋体" w:cs="宋体"/>
          <w:b/>
          <w:bCs/>
          <w:color w:val="auto"/>
          <w:sz w:val="52"/>
          <w:szCs w:val="52"/>
          <w:highlight w:val="none"/>
        </w:rPr>
      </w:pPr>
    </w:p>
    <w:p w14:paraId="705ADCF0">
      <w:pPr>
        <w:jc w:val="center"/>
        <w:rPr>
          <w:rFonts w:ascii="宋体" w:hAnsi="宋体" w:cs="宋体"/>
          <w:b/>
          <w:bCs/>
          <w:color w:val="auto"/>
          <w:sz w:val="52"/>
          <w:szCs w:val="52"/>
          <w:highlight w:val="none"/>
        </w:rPr>
      </w:pPr>
    </w:p>
    <w:p w14:paraId="68DADF1E">
      <w:pPr>
        <w:jc w:val="center"/>
        <w:rPr>
          <w:rFonts w:ascii="宋体" w:hAnsi="宋体" w:cs="宋体"/>
          <w:b/>
          <w:bCs/>
          <w:color w:val="auto"/>
          <w:sz w:val="52"/>
          <w:szCs w:val="52"/>
          <w:highlight w:val="none"/>
        </w:rPr>
      </w:pPr>
    </w:p>
    <w:p w14:paraId="2FAE6C8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 目 名 称：</w:t>
      </w:r>
      <w:r>
        <w:rPr>
          <w:rFonts w:hint="eastAsia" w:ascii="宋体" w:hAnsi="宋体" w:cs="宋体"/>
          <w:b/>
          <w:bCs/>
          <w:color w:val="auto"/>
          <w:sz w:val="32"/>
          <w:szCs w:val="32"/>
          <w:highlight w:val="none"/>
          <w:u w:val="single"/>
        </w:rPr>
        <w:t>桂林市公安局临桂分局移动警务双系统警务通服务项目</w:t>
      </w:r>
    </w:p>
    <w:p w14:paraId="5186165D">
      <w:pPr>
        <w:ind w:firstLine="960" w:firstLineChars="300"/>
        <w:rPr>
          <w:rFonts w:ascii="宋体" w:hAnsi="宋体" w:cs="宋体"/>
          <w:b/>
          <w:bCs/>
          <w:color w:val="auto"/>
          <w:sz w:val="32"/>
          <w:szCs w:val="32"/>
          <w:highlight w:val="none"/>
        </w:rPr>
      </w:pPr>
      <w:r>
        <w:rPr>
          <w:rFonts w:hint="eastAsia" w:ascii="宋体" w:hAnsi="宋体" w:cs="宋体"/>
          <w:b/>
          <w:bCs/>
          <w:color w:val="auto"/>
          <w:sz w:val="32"/>
          <w:szCs w:val="32"/>
          <w:highlight w:val="none"/>
        </w:rPr>
        <w:t>项 目 编 号：</w:t>
      </w:r>
      <w:r>
        <w:rPr>
          <w:rFonts w:hint="eastAsia" w:ascii="宋体" w:hAnsi="宋体" w:cs="宋体"/>
          <w:b/>
          <w:bCs/>
          <w:color w:val="auto"/>
          <w:sz w:val="32"/>
          <w:szCs w:val="32"/>
          <w:highlight w:val="none"/>
          <w:u w:val="single"/>
        </w:rPr>
        <w:t>GLZC2025-C3-120078-GXAZ</w:t>
      </w:r>
    </w:p>
    <w:p w14:paraId="2014C4C7">
      <w:pPr>
        <w:ind w:firstLine="1600" w:firstLineChars="500"/>
        <w:rPr>
          <w:rFonts w:ascii="宋体" w:hAnsi="宋体" w:cs="宋体"/>
          <w:color w:val="auto"/>
          <w:sz w:val="32"/>
          <w:szCs w:val="32"/>
          <w:highlight w:val="none"/>
        </w:rPr>
      </w:pPr>
    </w:p>
    <w:p w14:paraId="57CDDBB6">
      <w:pPr>
        <w:jc w:val="center"/>
        <w:rPr>
          <w:rFonts w:ascii="宋体" w:hAnsi="宋体" w:cs="宋体"/>
          <w:color w:val="auto"/>
          <w:sz w:val="32"/>
          <w:szCs w:val="32"/>
          <w:highlight w:val="none"/>
        </w:rPr>
      </w:pPr>
    </w:p>
    <w:p w14:paraId="0F72B1A8">
      <w:pPr>
        <w:rPr>
          <w:rFonts w:ascii="宋体" w:hAnsi="宋体" w:cs="宋体"/>
          <w:color w:val="auto"/>
          <w:sz w:val="32"/>
          <w:szCs w:val="32"/>
          <w:highlight w:val="none"/>
        </w:rPr>
      </w:pPr>
    </w:p>
    <w:p w14:paraId="3E163A05">
      <w:pPr>
        <w:jc w:val="center"/>
        <w:rPr>
          <w:rFonts w:ascii="宋体" w:hAnsi="宋体" w:cs="宋体"/>
          <w:color w:val="auto"/>
          <w:sz w:val="32"/>
          <w:szCs w:val="32"/>
          <w:highlight w:val="none"/>
        </w:rPr>
      </w:pPr>
    </w:p>
    <w:p w14:paraId="75BCB04C">
      <w:pPr>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采购代理机构：广西安臻工程管理有限公司</w:t>
      </w:r>
    </w:p>
    <w:p w14:paraId="62C455AF">
      <w:pPr>
        <w:pStyle w:val="8"/>
        <w:rPr>
          <w:rFonts w:ascii="宋体" w:hAnsi="宋体" w:cs="宋体"/>
          <w:color w:val="auto"/>
          <w:highlight w:val="none"/>
        </w:rPr>
      </w:pPr>
    </w:p>
    <w:p w14:paraId="55B6EB82">
      <w:pPr>
        <w:ind w:firstLine="3840" w:firstLineChars="1200"/>
        <w:rPr>
          <w:rFonts w:ascii="宋体" w:hAnsi="宋体" w:cs="宋体"/>
          <w:color w:val="auto"/>
          <w:sz w:val="48"/>
          <w:szCs w:val="48"/>
          <w:highlight w:val="none"/>
        </w:rPr>
        <w:sectPr>
          <w:headerReference r:id="rId3" w:type="default"/>
          <w:footerReference r:id="rId4" w:type="default"/>
          <w:pgSz w:w="11906" w:h="16838"/>
          <w:pgMar w:top="1440" w:right="935" w:bottom="1440" w:left="777" w:header="851" w:footer="992" w:gutter="0"/>
          <w:pgNumType w:fmt="numberInDash" w:start="1"/>
          <w:cols w:space="720" w:num="1"/>
          <w:docGrid w:type="linesAndChars" w:linePitch="312" w:charSpace="0"/>
        </w:sectPr>
      </w:pPr>
      <w:r>
        <w:rPr>
          <w:rFonts w:hint="eastAsia" w:ascii="宋体" w:hAnsi="宋体" w:cs="宋体"/>
          <w:color w:val="auto"/>
          <w:sz w:val="32"/>
          <w:szCs w:val="32"/>
          <w:highlight w:val="none"/>
        </w:rPr>
        <w:t>202</w:t>
      </w:r>
      <w:r>
        <w:rPr>
          <w:rFonts w:ascii="宋体" w:hAnsi="宋体" w:cs="宋体"/>
          <w:color w:val="auto"/>
          <w:sz w:val="32"/>
          <w:szCs w:val="32"/>
          <w:highlight w:val="none"/>
        </w:rPr>
        <w:t>5</w:t>
      </w:r>
      <w:r>
        <w:rPr>
          <w:rFonts w:hint="eastAsia" w:ascii="宋体" w:hAnsi="宋体" w:cs="宋体"/>
          <w:color w:val="auto"/>
          <w:sz w:val="32"/>
          <w:szCs w:val="32"/>
          <w:highlight w:val="none"/>
        </w:rPr>
        <w:t>年11月</w:t>
      </w:r>
    </w:p>
    <w:p w14:paraId="30EB4274">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目</w:t>
      </w:r>
      <w:r>
        <w:rPr>
          <w:rFonts w:hint="eastAsia"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zh-CN"/>
        </w:rPr>
        <w:t>录</w:t>
      </w:r>
    </w:p>
    <w:p w14:paraId="74C79326">
      <w:pPr>
        <w:pStyle w:val="16"/>
        <w:tabs>
          <w:tab w:val="right" w:leader="dot" w:pos="10194"/>
        </w:tabs>
        <w:rPr>
          <w:color w:val="auto"/>
          <w:sz w:val="28"/>
          <w:szCs w:val="36"/>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"_Toc15337" </w:instrText>
      </w:r>
      <w:r>
        <w:rPr>
          <w:color w:val="auto"/>
          <w:highlight w:val="none"/>
        </w:rPr>
        <w:fldChar w:fldCharType="separate"/>
      </w:r>
      <w:r>
        <w:rPr>
          <w:rFonts w:hint="eastAsia" w:ascii="宋体" w:hAnsi="宋体" w:cs="宋体"/>
          <w:color w:val="auto"/>
          <w:sz w:val="28"/>
          <w:szCs w:val="44"/>
          <w:highlight w:val="none"/>
        </w:rPr>
        <w:t>第一章 竞争性磋商公告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_Toc15337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color w:val="auto"/>
          <w:sz w:val="28"/>
          <w:szCs w:val="36"/>
          <w:highlight w:val="none"/>
        </w:rPr>
        <w:fldChar w:fldCharType="end"/>
      </w:r>
    </w:p>
    <w:p w14:paraId="335C9319">
      <w:pPr>
        <w:pStyle w:val="16"/>
        <w:tabs>
          <w:tab w:val="right" w:leader="dot" w:pos="10194"/>
        </w:tabs>
        <w:rPr>
          <w:color w:val="auto"/>
          <w:sz w:val="28"/>
          <w:szCs w:val="36"/>
          <w:highlight w:val="none"/>
        </w:rPr>
      </w:pPr>
      <w:r>
        <w:rPr>
          <w:color w:val="auto"/>
          <w:highlight w:val="none"/>
        </w:rPr>
        <w:fldChar w:fldCharType="begin"/>
      </w:r>
      <w:r>
        <w:rPr>
          <w:color w:val="auto"/>
          <w:highlight w:val="none"/>
        </w:rPr>
        <w:instrText xml:space="preserve"> HYPERLINK \l "_Toc31552" </w:instrText>
      </w:r>
      <w:r>
        <w:rPr>
          <w:color w:val="auto"/>
          <w:highlight w:val="none"/>
        </w:rPr>
        <w:fldChar w:fldCharType="separate"/>
      </w:r>
      <w:r>
        <w:rPr>
          <w:rFonts w:hint="eastAsia" w:ascii="宋体" w:hAnsi="宋体" w:cs="宋体"/>
          <w:color w:val="auto"/>
          <w:sz w:val="28"/>
          <w:szCs w:val="44"/>
          <w:highlight w:val="none"/>
        </w:rPr>
        <w:t>第二章 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_Toc31552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68276948">
      <w:pPr>
        <w:pStyle w:val="16"/>
        <w:tabs>
          <w:tab w:val="right" w:leader="dot" w:pos="10194"/>
        </w:tabs>
        <w:rPr>
          <w:color w:val="auto"/>
          <w:sz w:val="28"/>
          <w:szCs w:val="36"/>
          <w:highlight w:val="none"/>
        </w:rPr>
      </w:pPr>
      <w:r>
        <w:rPr>
          <w:color w:val="auto"/>
          <w:highlight w:val="none"/>
        </w:rPr>
        <w:fldChar w:fldCharType="begin"/>
      </w:r>
      <w:r>
        <w:rPr>
          <w:color w:val="auto"/>
          <w:highlight w:val="none"/>
        </w:rPr>
        <w:instrText xml:space="preserve"> HYPERLINK \l "_Toc28378" </w:instrText>
      </w:r>
      <w:r>
        <w:rPr>
          <w:color w:val="auto"/>
          <w:highlight w:val="none"/>
        </w:rPr>
        <w:fldChar w:fldCharType="separate"/>
      </w:r>
      <w:r>
        <w:rPr>
          <w:rFonts w:hint="eastAsia" w:ascii="宋体" w:hAnsi="宋体" w:cs="宋体"/>
          <w:color w:val="auto"/>
          <w:sz w:val="28"/>
          <w:szCs w:val="44"/>
          <w:highlight w:val="none"/>
        </w:rPr>
        <w:t>第三章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_Toc28378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449973FD">
      <w:pPr>
        <w:pStyle w:val="16"/>
        <w:tabs>
          <w:tab w:val="right" w:leader="dot" w:pos="10194"/>
        </w:tabs>
        <w:rPr>
          <w:color w:val="auto"/>
          <w:sz w:val="28"/>
          <w:szCs w:val="36"/>
          <w:highlight w:val="none"/>
        </w:rPr>
      </w:pPr>
      <w:r>
        <w:rPr>
          <w:color w:val="auto"/>
          <w:highlight w:val="none"/>
        </w:rPr>
        <w:fldChar w:fldCharType="begin"/>
      </w:r>
      <w:r>
        <w:rPr>
          <w:color w:val="auto"/>
          <w:highlight w:val="none"/>
        </w:rPr>
        <w:instrText xml:space="preserve"> HYPERLINK \l "_Toc25931" </w:instrText>
      </w:r>
      <w:r>
        <w:rPr>
          <w:color w:val="auto"/>
          <w:highlight w:val="none"/>
        </w:rPr>
        <w:fldChar w:fldCharType="separate"/>
      </w:r>
      <w:r>
        <w:rPr>
          <w:rFonts w:hint="eastAsia" w:ascii="宋体" w:hAnsi="宋体" w:cs="宋体"/>
          <w:color w:val="auto"/>
          <w:sz w:val="28"/>
          <w:szCs w:val="44"/>
          <w:highlight w:val="none"/>
        </w:rPr>
        <w:t>第四章  评标办法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_Toc25931 \h </w:instrText>
      </w:r>
      <w:r>
        <w:rPr>
          <w:color w:val="auto"/>
          <w:sz w:val="28"/>
          <w:szCs w:val="36"/>
          <w:highlight w:val="none"/>
        </w:rPr>
        <w:fldChar w:fldCharType="separate"/>
      </w:r>
      <w:r>
        <w:rPr>
          <w:color w:val="auto"/>
          <w:sz w:val="28"/>
          <w:szCs w:val="36"/>
          <w:highlight w:val="none"/>
        </w:rPr>
        <w:t>27</w:t>
      </w:r>
      <w:r>
        <w:rPr>
          <w:color w:val="auto"/>
          <w:sz w:val="28"/>
          <w:szCs w:val="36"/>
          <w:highlight w:val="none"/>
        </w:rPr>
        <w:fldChar w:fldCharType="end"/>
      </w:r>
      <w:r>
        <w:rPr>
          <w:color w:val="auto"/>
          <w:sz w:val="28"/>
          <w:szCs w:val="36"/>
          <w:highlight w:val="none"/>
        </w:rPr>
        <w:fldChar w:fldCharType="end"/>
      </w:r>
    </w:p>
    <w:p w14:paraId="3773E12D">
      <w:pPr>
        <w:pStyle w:val="16"/>
        <w:tabs>
          <w:tab w:val="right" w:leader="dot" w:pos="10194"/>
        </w:tabs>
        <w:rPr>
          <w:color w:val="auto"/>
          <w:sz w:val="28"/>
          <w:szCs w:val="36"/>
          <w:highlight w:val="none"/>
        </w:rPr>
      </w:pPr>
      <w:r>
        <w:rPr>
          <w:color w:val="auto"/>
          <w:highlight w:val="none"/>
        </w:rPr>
        <w:fldChar w:fldCharType="begin"/>
      </w:r>
      <w:r>
        <w:rPr>
          <w:color w:val="auto"/>
          <w:highlight w:val="none"/>
        </w:rPr>
        <w:instrText xml:space="preserve"> HYPERLINK \l "_Toc26877" </w:instrText>
      </w:r>
      <w:r>
        <w:rPr>
          <w:color w:val="auto"/>
          <w:highlight w:val="none"/>
        </w:rPr>
        <w:fldChar w:fldCharType="separate"/>
      </w:r>
      <w:r>
        <w:rPr>
          <w:rFonts w:hint="eastAsia" w:ascii="宋体" w:hAnsi="宋体" w:cs="宋体"/>
          <w:color w:val="auto"/>
          <w:sz w:val="28"/>
          <w:szCs w:val="44"/>
          <w:highlight w:val="none"/>
        </w:rPr>
        <w:t>第五章 采购合同（合同主要条款及格式）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_Toc26877 \h </w:instrText>
      </w:r>
      <w:r>
        <w:rPr>
          <w:color w:val="auto"/>
          <w:sz w:val="28"/>
          <w:szCs w:val="36"/>
          <w:highlight w:val="none"/>
        </w:rPr>
        <w:fldChar w:fldCharType="separate"/>
      </w:r>
      <w:r>
        <w:rPr>
          <w:color w:val="auto"/>
          <w:sz w:val="28"/>
          <w:szCs w:val="36"/>
          <w:highlight w:val="none"/>
        </w:rPr>
        <w:t>33</w:t>
      </w:r>
      <w:r>
        <w:rPr>
          <w:color w:val="auto"/>
          <w:sz w:val="28"/>
          <w:szCs w:val="36"/>
          <w:highlight w:val="none"/>
        </w:rPr>
        <w:fldChar w:fldCharType="end"/>
      </w:r>
      <w:r>
        <w:rPr>
          <w:color w:val="auto"/>
          <w:sz w:val="28"/>
          <w:szCs w:val="36"/>
          <w:highlight w:val="none"/>
        </w:rPr>
        <w:fldChar w:fldCharType="end"/>
      </w:r>
    </w:p>
    <w:p w14:paraId="3B12F6C6">
      <w:pPr>
        <w:pStyle w:val="18"/>
        <w:tabs>
          <w:tab w:val="right" w:leader="dot" w:pos="10194"/>
        </w:tabs>
        <w:rPr>
          <w:color w:val="auto"/>
          <w:highlight w:val="none"/>
        </w:rPr>
      </w:pPr>
    </w:p>
    <w:p w14:paraId="3877E3D8">
      <w:pPr>
        <w:jc w:val="center"/>
        <w:rPr>
          <w:rFonts w:ascii="宋体" w:hAnsi="宋体" w:cs="宋体"/>
          <w:b/>
          <w:bCs/>
          <w:color w:val="auto"/>
          <w:sz w:val="32"/>
          <w:szCs w:val="32"/>
          <w:highlight w:val="none"/>
        </w:rPr>
      </w:pPr>
      <w:r>
        <w:rPr>
          <w:rFonts w:hint="eastAsia" w:ascii="宋体" w:hAnsi="宋体" w:cs="宋体"/>
          <w:bCs/>
          <w:color w:val="auto"/>
          <w:highlight w:val="none"/>
          <w:lang w:val="zh-CN"/>
        </w:rPr>
        <w:fldChar w:fldCharType="end"/>
      </w:r>
    </w:p>
    <w:p w14:paraId="4B887BE5">
      <w:pPr>
        <w:rPr>
          <w:rFonts w:ascii="宋体" w:hAnsi="宋体" w:cs="宋体"/>
          <w:b/>
          <w:bCs/>
          <w:color w:val="auto"/>
          <w:sz w:val="32"/>
          <w:szCs w:val="32"/>
          <w:highlight w:val="none"/>
        </w:rPr>
        <w:sectPr>
          <w:footerReference r:id="rId5" w:type="default"/>
          <w:pgSz w:w="11906" w:h="16838"/>
          <w:pgMar w:top="1440" w:right="935" w:bottom="1440" w:left="777" w:header="851" w:footer="992" w:gutter="0"/>
          <w:pgNumType w:fmt="numberInDash" w:start="1"/>
          <w:cols w:space="720" w:num="1"/>
          <w:docGrid w:type="linesAndChars" w:linePitch="312" w:charSpace="0"/>
        </w:sectPr>
      </w:pPr>
    </w:p>
    <w:p w14:paraId="6796AF79">
      <w:pPr>
        <w:pStyle w:val="2"/>
        <w:numPr>
          <w:ilvl w:val="0"/>
          <w:numId w:val="1"/>
        </w:numPr>
        <w:tabs>
          <w:tab w:val="left" w:pos="0"/>
        </w:tabs>
        <w:autoSpaceDE w:val="0"/>
        <w:autoSpaceDN w:val="0"/>
        <w:adjustRightInd w:val="0"/>
        <w:spacing w:before="0" w:after="0" w:line="360" w:lineRule="auto"/>
        <w:ind w:firstLine="425"/>
        <w:jc w:val="center"/>
        <w:rPr>
          <w:rFonts w:ascii="宋体" w:hAnsi="宋体" w:cs="宋体"/>
          <w:color w:val="auto"/>
          <w:sz w:val="32"/>
          <w:szCs w:val="32"/>
          <w:highlight w:val="none"/>
        </w:rPr>
      </w:pPr>
      <w:bookmarkStart w:id="2" w:name="_Toc28359011"/>
      <w:bookmarkStart w:id="3" w:name="_Toc26809"/>
      <w:bookmarkStart w:id="4" w:name="_Toc30170"/>
      <w:bookmarkStart w:id="5" w:name="_Toc35393797"/>
      <w:bookmarkStart w:id="6" w:name="_Toc15337"/>
      <w:r>
        <w:rPr>
          <w:rFonts w:hint="eastAsia" w:ascii="宋体" w:hAnsi="宋体" w:cs="宋体"/>
          <w:color w:val="auto"/>
          <w:sz w:val="32"/>
          <w:szCs w:val="32"/>
          <w:highlight w:val="none"/>
        </w:rPr>
        <w:t>竞争性磋商公告</w:t>
      </w:r>
      <w:bookmarkEnd w:id="2"/>
      <w:bookmarkEnd w:id="3"/>
      <w:bookmarkEnd w:id="4"/>
      <w:bookmarkEnd w:id="5"/>
      <w:bookmarkEnd w:id="6"/>
    </w:p>
    <w:p w14:paraId="1AD692D8">
      <w:pPr>
        <w:spacing w:line="360" w:lineRule="exact"/>
        <w:rPr>
          <w:rFonts w:ascii="宋体" w:hAnsi="宋体" w:cs="宋体"/>
          <w:color w:val="auto"/>
          <w:highlight w:val="none"/>
        </w:rPr>
      </w:pPr>
    </w:p>
    <w:p w14:paraId="34CC32CC">
      <w:pPr>
        <w:pStyle w:val="20"/>
        <w:pBdr>
          <w:top w:val="single" w:color="auto" w:sz="4" w:space="1"/>
          <w:left w:val="single" w:color="auto" w:sz="4" w:space="4"/>
          <w:bottom w:val="single" w:color="auto" w:sz="4" w:space="1"/>
          <w:right w:val="single" w:color="auto" w:sz="4" w:space="4"/>
        </w:pBdr>
        <w:spacing w:before="68" w:beforeAutospacing="0" w:after="136" w:afterAutospacing="0"/>
        <w:rPr>
          <w:rFonts w:cs="Arial" w:asciiTheme="minorEastAsia" w:hAnsiTheme="minorEastAsia" w:eastAsiaTheme="minorEastAsia"/>
          <w:color w:val="auto"/>
          <w:sz w:val="21"/>
          <w:szCs w:val="21"/>
          <w:highlight w:val="none"/>
        </w:rPr>
      </w:pPr>
      <w:bookmarkStart w:id="7" w:name="_Toc35393639"/>
      <w:bookmarkStart w:id="8" w:name="_Toc35393808"/>
      <w:bookmarkStart w:id="9" w:name="_Toc28359021"/>
      <w:bookmarkStart w:id="10" w:name="_Toc28359098"/>
      <w:r>
        <w:rPr>
          <w:rFonts w:ascii="仿宋" w:hAnsi="仿宋" w:cs="Arial"/>
          <w:color w:val="auto"/>
          <w:sz w:val="21"/>
          <w:szCs w:val="21"/>
          <w:highlight w:val="none"/>
        </w:rPr>
        <w:t> </w:t>
      </w:r>
      <w:r>
        <w:rPr>
          <w:rFonts w:cs="Arial" w:asciiTheme="minorEastAsia" w:hAnsiTheme="minorEastAsia" w:eastAsiaTheme="minorEastAsia"/>
          <w:color w:val="auto"/>
          <w:sz w:val="21"/>
          <w:szCs w:val="21"/>
          <w:highlight w:val="none"/>
        </w:rPr>
        <w:t> 项目概况                              </w:t>
      </w:r>
    </w:p>
    <w:p w14:paraId="18C59D25">
      <w:pPr>
        <w:widowControl/>
        <w:pBdr>
          <w:top w:val="single" w:color="auto" w:sz="4" w:space="1"/>
          <w:left w:val="single" w:color="auto" w:sz="4" w:space="4"/>
          <w:bottom w:val="single" w:color="auto" w:sz="4" w:space="1"/>
          <w:right w:val="single" w:color="auto" w:sz="4" w:space="4"/>
        </w:pBdr>
        <w:spacing w:before="68" w:after="68"/>
        <w:jc w:val="left"/>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    </w:t>
      </w:r>
      <w:r>
        <w:rPr>
          <w:rFonts w:hint="eastAsia" w:cs="Arial" w:asciiTheme="minorEastAsia" w:hAnsiTheme="minorEastAsia" w:eastAsiaTheme="minorEastAsia"/>
          <w:color w:val="auto"/>
          <w:kern w:val="0"/>
          <w:szCs w:val="21"/>
          <w:highlight w:val="none"/>
        </w:rPr>
        <w:t>桂林市公安局临桂分局移动警务双系统警务通服务项目</w:t>
      </w:r>
      <w:r>
        <w:rPr>
          <w:rFonts w:cs="Arial" w:asciiTheme="minorEastAsia" w:hAnsiTheme="minorEastAsia" w:eastAsiaTheme="minorEastAsia"/>
          <w:color w:val="auto"/>
          <w:kern w:val="0"/>
          <w:szCs w:val="21"/>
          <w:highlight w:val="none"/>
        </w:rPr>
        <w:t>采购项目的潜在供应商应在</w:t>
      </w:r>
      <w:r>
        <w:rPr>
          <w:rFonts w:hint="eastAsia" w:cs="Arial" w:asciiTheme="minorEastAsia" w:hAnsiTheme="minorEastAsia" w:eastAsiaTheme="minorEastAsia"/>
          <w:color w:val="auto"/>
          <w:kern w:val="0"/>
          <w:szCs w:val="21"/>
          <w:highlight w:val="none"/>
        </w:rPr>
        <w:t>广西政府采购云平台</w:t>
      </w:r>
      <w:r>
        <w:rPr>
          <w:rFonts w:cs="Arial" w:asciiTheme="minorEastAsia" w:hAnsiTheme="minorEastAsia" w:eastAsiaTheme="minorEastAsia"/>
          <w:color w:val="auto"/>
          <w:kern w:val="0"/>
          <w:szCs w:val="21"/>
          <w:highlight w:val="none"/>
        </w:rPr>
        <w:t>线上获取获取采购文件，并于2025年12月9日 09:30（北京时间）前提交响应文件。               </w:t>
      </w:r>
    </w:p>
    <w:p w14:paraId="702A5088">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一、项目基本情况</w:t>
      </w:r>
    </w:p>
    <w:p w14:paraId="2260652C">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项目编号：</w:t>
      </w:r>
      <w:r>
        <w:rPr>
          <w:rFonts w:hint="eastAsia" w:cs="宋体" w:asciiTheme="minorEastAsia" w:hAnsiTheme="minorEastAsia" w:eastAsiaTheme="minorEastAsia"/>
          <w:color w:val="auto"/>
          <w:kern w:val="0"/>
          <w:szCs w:val="21"/>
          <w:highlight w:val="none"/>
        </w:rPr>
        <w:t>GLZC2025-C3-120078-GXAZ</w:t>
      </w:r>
      <w:r>
        <w:rPr>
          <w:rFonts w:cs="宋体" w:asciiTheme="minorEastAsia" w:hAnsiTheme="minorEastAsia" w:eastAsiaTheme="minorEastAsia"/>
          <w:color w:val="auto"/>
          <w:kern w:val="0"/>
          <w:szCs w:val="21"/>
          <w:highlight w:val="none"/>
        </w:rPr>
        <w:t> </w:t>
      </w:r>
    </w:p>
    <w:p w14:paraId="671614E2">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项目名称：</w:t>
      </w:r>
      <w:r>
        <w:rPr>
          <w:rFonts w:hint="eastAsia" w:cs="宋体" w:asciiTheme="minorEastAsia" w:hAnsiTheme="minorEastAsia" w:eastAsiaTheme="minorEastAsia"/>
          <w:color w:val="auto"/>
          <w:kern w:val="0"/>
          <w:szCs w:val="21"/>
          <w:highlight w:val="none"/>
        </w:rPr>
        <w:t>桂林市公安局临桂分局移动警务双系统警务通服务项目</w:t>
      </w:r>
      <w:r>
        <w:rPr>
          <w:rFonts w:cs="宋体" w:asciiTheme="minorEastAsia" w:hAnsiTheme="minorEastAsia" w:eastAsiaTheme="minorEastAsia"/>
          <w:color w:val="auto"/>
          <w:kern w:val="0"/>
          <w:szCs w:val="21"/>
          <w:highlight w:val="none"/>
        </w:rPr>
        <w:t> </w:t>
      </w:r>
    </w:p>
    <w:p w14:paraId="552C2261">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采购方式：竞争性磋商 </w:t>
      </w:r>
    </w:p>
    <w:p w14:paraId="192FBBE2">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预算总金额（元）：</w:t>
      </w:r>
      <w:r>
        <w:rPr>
          <w:rFonts w:hint="eastAsia" w:cs="宋体" w:asciiTheme="minorEastAsia" w:hAnsiTheme="minorEastAsia" w:eastAsiaTheme="minorEastAsia"/>
          <w:color w:val="auto"/>
          <w:kern w:val="0"/>
          <w:szCs w:val="21"/>
          <w:highlight w:val="none"/>
        </w:rPr>
        <w:t>2875320.00</w:t>
      </w:r>
      <w:r>
        <w:rPr>
          <w:rFonts w:cs="宋体" w:asciiTheme="minorEastAsia" w:hAnsiTheme="minorEastAsia" w:eastAsiaTheme="minorEastAsia"/>
          <w:color w:val="auto"/>
          <w:kern w:val="0"/>
          <w:szCs w:val="21"/>
          <w:highlight w:val="none"/>
        </w:rPr>
        <w:t> </w:t>
      </w:r>
    </w:p>
    <w:p w14:paraId="57477C01">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采购需求：</w:t>
      </w:r>
    </w:p>
    <w:p w14:paraId="6B3563F6">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w:t>
      </w:r>
    </w:p>
    <w:p w14:paraId="2D9D6F24">
      <w:pPr>
        <w:widowControl/>
        <w:spacing w:before="50" w:after="50"/>
        <w:jc w:val="left"/>
        <w:rPr>
          <w:rFonts w:cs="宋体" w:asciiTheme="minorEastAsia" w:hAnsiTheme="minorEastAsia"/>
          <w:color w:val="auto"/>
          <w:kern w:val="0"/>
          <w:szCs w:val="21"/>
          <w:highlight w:val="none"/>
        </w:rPr>
      </w:pPr>
      <w:r>
        <w:rPr>
          <w:rFonts w:cs="宋体" w:asciiTheme="minorEastAsia" w:hAnsiTheme="minorEastAsia" w:eastAsiaTheme="minorEastAsia"/>
          <w:color w:val="auto"/>
          <w:kern w:val="0"/>
          <w:szCs w:val="21"/>
          <w:highlight w:val="none"/>
        </w:rPr>
        <w:t>标项名称:</w:t>
      </w:r>
      <w:r>
        <w:rPr>
          <w:rFonts w:hint="eastAsia"/>
          <w:color w:val="auto"/>
          <w:highlight w:val="none"/>
        </w:rPr>
        <w:t xml:space="preserve"> </w:t>
      </w:r>
      <w:r>
        <w:rPr>
          <w:rFonts w:hint="eastAsia" w:cs="宋体" w:asciiTheme="minorEastAsia" w:hAnsiTheme="minorEastAsia" w:eastAsiaTheme="minorEastAsia"/>
          <w:color w:val="auto"/>
          <w:kern w:val="0"/>
          <w:szCs w:val="21"/>
          <w:highlight w:val="none"/>
        </w:rPr>
        <w:t>桂林市公安局临桂分局移动警务双系统警务通服务项目</w:t>
      </w:r>
    </w:p>
    <w:p w14:paraId="31021117">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数量:不限</w:t>
      </w:r>
    </w:p>
    <w:p w14:paraId="4C0D6E26">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预算金额（元）:</w:t>
      </w:r>
      <w:r>
        <w:rPr>
          <w:rFonts w:hint="eastAsia" w:cs="宋体" w:asciiTheme="minorEastAsia" w:hAnsiTheme="minorEastAsia" w:eastAsiaTheme="minorEastAsia"/>
          <w:color w:val="auto"/>
          <w:kern w:val="0"/>
          <w:szCs w:val="21"/>
          <w:highlight w:val="none"/>
        </w:rPr>
        <w:t>2875320.00</w:t>
      </w:r>
    </w:p>
    <w:p w14:paraId="6C6D2753">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简要规格描述或项目基本概况介绍、用途：</w:t>
      </w:r>
      <w:r>
        <w:rPr>
          <w:rFonts w:hint="eastAsia" w:cs="宋体" w:asciiTheme="minorEastAsia" w:hAnsiTheme="minorEastAsia" w:eastAsiaTheme="minorEastAsia"/>
          <w:color w:val="auto"/>
          <w:kern w:val="0"/>
          <w:szCs w:val="21"/>
          <w:highlight w:val="none"/>
        </w:rPr>
        <w:t>桂林市公安局临桂分局移动警务双系统警务通服务项目，详见竞争性磋商文件。</w:t>
      </w:r>
    </w:p>
    <w:p w14:paraId="328A89BF">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最高限价（如有）：</w:t>
      </w:r>
      <w:r>
        <w:rPr>
          <w:rFonts w:hint="eastAsia" w:cs="宋体" w:asciiTheme="minorEastAsia" w:hAnsiTheme="minorEastAsia" w:eastAsiaTheme="minorEastAsia"/>
          <w:color w:val="auto"/>
          <w:kern w:val="0"/>
          <w:szCs w:val="21"/>
          <w:highlight w:val="none"/>
        </w:rPr>
        <w:t>/</w:t>
      </w:r>
    </w:p>
    <w:p w14:paraId="07D34220">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合同履约期限：</w:t>
      </w:r>
      <w:r>
        <w:rPr>
          <w:rFonts w:hint="eastAsia" w:cs="宋体" w:asciiTheme="minorEastAsia" w:hAnsiTheme="minorEastAsia" w:eastAsiaTheme="minorEastAsia"/>
          <w:color w:val="auto"/>
          <w:kern w:val="0"/>
          <w:szCs w:val="21"/>
          <w:highlight w:val="none"/>
        </w:rPr>
        <w:t>自交付运行之日起三年</w:t>
      </w:r>
      <w:r>
        <w:rPr>
          <w:rFonts w:cs="宋体" w:asciiTheme="minorEastAsia" w:hAnsiTheme="minorEastAsia" w:eastAsiaTheme="minorEastAsia"/>
          <w:color w:val="auto"/>
          <w:kern w:val="0"/>
          <w:szCs w:val="21"/>
          <w:highlight w:val="none"/>
        </w:rPr>
        <w:t>。</w:t>
      </w:r>
    </w:p>
    <w:p w14:paraId="0C66C4DF">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本标项（否）接受联合体投标</w:t>
      </w:r>
    </w:p>
    <w:p w14:paraId="4E9C8204">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备注：</w:t>
      </w:r>
    </w:p>
    <w:p w14:paraId="6534BCBA">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二、申请人的资格要求：</w:t>
      </w:r>
    </w:p>
    <w:p w14:paraId="33390D47">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1.满足《中华人民共和国政府采购法》第二十二条规定；</w:t>
      </w:r>
    </w:p>
    <w:p w14:paraId="2EBF313D">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2.落实政府采购政策需满足的资格要求：无 </w:t>
      </w:r>
    </w:p>
    <w:p w14:paraId="77D0BFD5">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3.本项目的特定资格要求：无 </w:t>
      </w:r>
    </w:p>
    <w:p w14:paraId="1E5C43F2">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三、获取采购文件</w:t>
      </w:r>
    </w:p>
    <w:p w14:paraId="54A74E3D">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时间：/至2025年12月9日，每天上午00:00至12:00，下午12:00至23:59（北京时间，法定节假日除外）</w:t>
      </w:r>
    </w:p>
    <w:p w14:paraId="31716443">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地点（网址）：</w:t>
      </w:r>
      <w:r>
        <w:rPr>
          <w:rFonts w:hint="eastAsia" w:cs="宋体" w:asciiTheme="minorEastAsia" w:hAnsiTheme="minorEastAsia" w:eastAsiaTheme="minorEastAsia"/>
          <w:color w:val="auto"/>
          <w:kern w:val="0"/>
          <w:szCs w:val="21"/>
          <w:highlight w:val="none"/>
        </w:rPr>
        <w:t>广西政府采购云平台</w:t>
      </w:r>
      <w:r>
        <w:rPr>
          <w:rFonts w:cs="宋体" w:asciiTheme="minorEastAsia" w:hAnsiTheme="minorEastAsia" w:eastAsiaTheme="minorEastAsia"/>
          <w:color w:val="auto"/>
          <w:kern w:val="0"/>
          <w:szCs w:val="21"/>
          <w:highlight w:val="none"/>
        </w:rPr>
        <w:t>线上获取 </w:t>
      </w:r>
    </w:p>
    <w:p w14:paraId="6620199B">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方式：供应商登录</w:t>
      </w:r>
      <w:r>
        <w:rPr>
          <w:rFonts w:hint="eastAsia" w:cs="宋体" w:asciiTheme="minorEastAsia" w:hAnsiTheme="minorEastAsia" w:eastAsiaTheme="minorEastAsia"/>
          <w:color w:val="auto"/>
          <w:kern w:val="0"/>
          <w:szCs w:val="21"/>
          <w:highlight w:val="none"/>
        </w:rPr>
        <w:t>广西政府采购云平台</w:t>
      </w:r>
      <w:r>
        <w:rPr>
          <w:rFonts w:cs="宋体" w:asciiTheme="minorEastAsia" w:hAnsiTheme="minorEastAsia" w:eastAsiaTheme="minorEastAsia"/>
          <w:color w:val="auto"/>
          <w:kern w:val="0"/>
          <w:szCs w:val="21"/>
          <w:highlight w:val="none"/>
        </w:rPr>
        <w:t>https://www.zcygov.cn/在线申请获取采购文件（进入“项目采购”应用，在获取采购文件菜单中选择项目，申请获取采购文件） </w:t>
      </w:r>
    </w:p>
    <w:p w14:paraId="78834325">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售价（元）：0 </w:t>
      </w:r>
    </w:p>
    <w:p w14:paraId="5EB3DB99">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四、响应文件提交</w:t>
      </w:r>
      <w:r>
        <w:rPr>
          <w:rFonts w:hint="eastAsia" w:cs="宋体" w:asciiTheme="minorEastAsia" w:hAnsiTheme="minorEastAsia" w:eastAsiaTheme="minorEastAsia"/>
          <w:color w:val="auto"/>
          <w:kern w:val="0"/>
          <w:szCs w:val="21"/>
          <w:highlight w:val="none"/>
        </w:rPr>
        <w:t> </w:t>
      </w:r>
    </w:p>
    <w:p w14:paraId="34FC71D9">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截止时间：</w:t>
      </w:r>
      <w:r>
        <w:rPr>
          <w:rFonts w:hint="eastAsia" w:cs="宋体" w:asciiTheme="minorEastAsia" w:hAnsiTheme="minorEastAsia" w:eastAsiaTheme="minorEastAsia"/>
          <w:color w:val="auto"/>
          <w:kern w:val="0"/>
          <w:szCs w:val="21"/>
          <w:highlight w:val="none"/>
        </w:rPr>
        <w:t>2025年12月9日</w:t>
      </w:r>
      <w:r>
        <w:rPr>
          <w:rFonts w:cs="宋体" w:asciiTheme="minorEastAsia" w:hAnsiTheme="minorEastAsia" w:eastAsiaTheme="minorEastAsia"/>
          <w:color w:val="auto"/>
          <w:kern w:val="0"/>
          <w:szCs w:val="21"/>
          <w:highlight w:val="none"/>
        </w:rPr>
        <w:t xml:space="preserve"> 09:30（北京时间）</w:t>
      </w:r>
    </w:p>
    <w:p w14:paraId="53A84F92">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地点（网址）：请登录</w:t>
      </w:r>
      <w:r>
        <w:rPr>
          <w:rFonts w:hint="eastAsia" w:cs="宋体" w:asciiTheme="minorEastAsia" w:hAnsiTheme="minorEastAsia" w:eastAsiaTheme="minorEastAsia"/>
          <w:color w:val="auto"/>
          <w:kern w:val="0"/>
          <w:szCs w:val="21"/>
          <w:highlight w:val="none"/>
        </w:rPr>
        <w:t>广西政府采购云平台</w:t>
      </w:r>
      <w:r>
        <w:rPr>
          <w:rFonts w:cs="宋体" w:asciiTheme="minorEastAsia" w:hAnsiTheme="minorEastAsia" w:eastAsiaTheme="minorEastAsia"/>
          <w:color w:val="auto"/>
          <w:kern w:val="0"/>
          <w:szCs w:val="21"/>
          <w:highlight w:val="none"/>
        </w:rPr>
        <w:t>投标客户端投标 </w:t>
      </w:r>
    </w:p>
    <w:p w14:paraId="7B0187A6">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五、响应文件开启</w:t>
      </w:r>
      <w:r>
        <w:rPr>
          <w:rFonts w:hint="eastAsia" w:cs="宋体" w:asciiTheme="minorEastAsia" w:hAnsiTheme="minorEastAsia" w:eastAsiaTheme="minorEastAsia"/>
          <w:color w:val="auto"/>
          <w:kern w:val="0"/>
          <w:szCs w:val="21"/>
          <w:highlight w:val="none"/>
        </w:rPr>
        <w:t> </w:t>
      </w:r>
    </w:p>
    <w:p w14:paraId="04BDF5ED">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开启时间：</w:t>
      </w:r>
      <w:r>
        <w:rPr>
          <w:rFonts w:hint="eastAsia" w:cs="宋体" w:asciiTheme="minorEastAsia" w:hAnsiTheme="minorEastAsia" w:eastAsiaTheme="minorEastAsia"/>
          <w:color w:val="auto"/>
          <w:kern w:val="0"/>
          <w:szCs w:val="21"/>
          <w:highlight w:val="none"/>
        </w:rPr>
        <w:t>2025年12月9日</w:t>
      </w:r>
      <w:r>
        <w:rPr>
          <w:rFonts w:cs="宋体" w:asciiTheme="minorEastAsia" w:hAnsiTheme="minorEastAsia" w:eastAsiaTheme="minorEastAsia"/>
          <w:color w:val="auto"/>
          <w:kern w:val="0"/>
          <w:szCs w:val="21"/>
          <w:highlight w:val="none"/>
        </w:rPr>
        <w:t xml:space="preserve"> 09:30（北京时间）</w:t>
      </w:r>
    </w:p>
    <w:p w14:paraId="06903A13">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地点：</w:t>
      </w:r>
      <w:r>
        <w:rPr>
          <w:rFonts w:hint="eastAsia" w:cs="宋体" w:asciiTheme="minorEastAsia" w:hAnsiTheme="minorEastAsia" w:eastAsiaTheme="minorEastAsia"/>
          <w:color w:val="auto"/>
          <w:kern w:val="0"/>
          <w:szCs w:val="21"/>
          <w:highlight w:val="none"/>
        </w:rPr>
        <w:t>桂林市公共资源交易中心1号</w:t>
      </w:r>
      <w:r>
        <w:rPr>
          <w:rFonts w:hint="eastAsia" w:cs="宋体" w:asciiTheme="minorEastAsia" w:hAnsiTheme="minorEastAsia" w:eastAsiaTheme="minorEastAsia"/>
          <w:color w:val="auto"/>
          <w:kern w:val="0"/>
          <w:szCs w:val="21"/>
          <w:highlight w:val="none"/>
          <w:lang w:val="en-US" w:eastAsia="zh-CN"/>
        </w:rPr>
        <w:t>政采开标仓</w:t>
      </w:r>
      <w:r>
        <w:rPr>
          <w:rFonts w:cs="宋体" w:asciiTheme="minorEastAsia" w:hAnsiTheme="minorEastAsia" w:eastAsiaTheme="minorEastAsia"/>
          <w:color w:val="auto"/>
          <w:kern w:val="0"/>
          <w:szCs w:val="21"/>
          <w:highlight w:val="none"/>
        </w:rPr>
        <w:t>通过</w:t>
      </w:r>
      <w:r>
        <w:rPr>
          <w:rFonts w:hint="eastAsia" w:cs="宋体" w:asciiTheme="minorEastAsia" w:hAnsiTheme="minorEastAsia" w:eastAsiaTheme="minorEastAsia"/>
          <w:color w:val="auto"/>
          <w:kern w:val="0"/>
          <w:szCs w:val="21"/>
          <w:highlight w:val="none"/>
        </w:rPr>
        <w:t>广西政府采购云平台</w:t>
      </w:r>
      <w:r>
        <w:rPr>
          <w:rFonts w:cs="宋体" w:asciiTheme="minorEastAsia" w:hAnsiTheme="minorEastAsia" w:eastAsiaTheme="minorEastAsia"/>
          <w:color w:val="auto"/>
          <w:kern w:val="0"/>
          <w:szCs w:val="21"/>
          <w:highlight w:val="none"/>
        </w:rPr>
        <w:t>实行在线解密开启。 </w:t>
      </w:r>
    </w:p>
    <w:p w14:paraId="6610AE7C">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六、公告期限</w:t>
      </w:r>
    </w:p>
    <w:p w14:paraId="2902C51B">
      <w:pPr>
        <w:widowControl/>
        <w:spacing w:before="50" w:after="50"/>
        <w:jc w:val="left"/>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    自本公告发布之日起</w:t>
      </w:r>
      <w:r>
        <w:rPr>
          <w:rFonts w:hint="eastAsia" w:cs="Arial" w:asciiTheme="minorEastAsia" w:hAnsiTheme="minorEastAsia" w:eastAsiaTheme="minorEastAsia"/>
          <w:color w:val="auto"/>
          <w:kern w:val="0"/>
          <w:szCs w:val="21"/>
          <w:highlight w:val="none"/>
          <w:lang w:val="en-US" w:eastAsia="zh-CN"/>
        </w:rPr>
        <w:t>5</w:t>
      </w:r>
      <w:r>
        <w:rPr>
          <w:rFonts w:cs="Arial" w:asciiTheme="minorEastAsia" w:hAnsiTheme="minorEastAsia" w:eastAsiaTheme="minorEastAsia"/>
          <w:color w:val="auto"/>
          <w:kern w:val="0"/>
          <w:szCs w:val="21"/>
          <w:highlight w:val="none"/>
        </w:rPr>
        <w:t>个工作日。</w:t>
      </w:r>
      <w:bookmarkStart w:id="198" w:name="_GoBack"/>
      <w:bookmarkEnd w:id="198"/>
    </w:p>
    <w:p w14:paraId="6A507286">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七、其他补充事宜</w:t>
      </w:r>
      <w:r>
        <w:rPr>
          <w:rFonts w:hint="eastAsia" w:cs="宋体" w:asciiTheme="minorEastAsia" w:hAnsiTheme="minorEastAsia" w:eastAsiaTheme="minorEastAsia"/>
          <w:color w:val="auto"/>
          <w:kern w:val="0"/>
          <w:szCs w:val="21"/>
          <w:highlight w:val="none"/>
        </w:rPr>
        <w:t> </w:t>
      </w:r>
    </w:p>
    <w:p w14:paraId="6A2DFF9B">
      <w:pPr>
        <w:widowControl/>
        <w:spacing w:before="50" w:after="5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1.本项目无需缴纳磋商保证金。</w:t>
      </w:r>
    </w:p>
    <w:p w14:paraId="2B467717">
      <w:pPr>
        <w:widowControl/>
        <w:spacing w:before="50" w:after="5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2.本项目信息发布媒体：</w:t>
      </w:r>
    </w:p>
    <w:p w14:paraId="79C2C098">
      <w:pPr>
        <w:widowControl/>
        <w:spacing w:before="50" w:after="5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桂林市政府采购网（zfcg.czj.guilin.gov.cn）</w:t>
      </w:r>
    </w:p>
    <w:p w14:paraId="47B9DCD3">
      <w:pPr>
        <w:widowControl/>
        <w:spacing w:before="50" w:after="5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广西壮族自治区政府采购网（www.ccgp-guangxi.gov.cn）</w:t>
      </w:r>
    </w:p>
    <w:p w14:paraId="1411A670">
      <w:pPr>
        <w:widowControl/>
        <w:spacing w:before="50" w:after="5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中国政府采购网http://www.ccgp.gov.cn/</w:t>
      </w:r>
    </w:p>
    <w:p w14:paraId="49538339">
      <w:pPr>
        <w:widowControl/>
        <w:spacing w:before="50" w:after="5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3.磋商响应文件解密时间：截标时间后30分钟内（</w:t>
      </w:r>
      <w:r>
        <w:rPr>
          <w:rFonts w:hint="eastAsia" w:cs="宋体" w:asciiTheme="minorEastAsia" w:hAnsiTheme="minorEastAsia" w:eastAsiaTheme="minorEastAsia"/>
          <w:color w:val="auto"/>
          <w:kern w:val="0"/>
          <w:szCs w:val="21"/>
          <w:highlight w:val="none"/>
        </w:rPr>
        <w:t>2025年12月9日</w:t>
      </w:r>
      <w:r>
        <w:rPr>
          <w:rFonts w:hint="eastAsia" w:cs="Arial" w:asciiTheme="minorEastAsia" w:hAnsiTheme="minorEastAsia" w:eastAsiaTheme="minorEastAsia"/>
          <w:color w:val="auto"/>
          <w:kern w:val="0"/>
          <w:szCs w:val="21"/>
          <w:highlight w:val="none"/>
        </w:rPr>
        <w:t xml:space="preserve">上午9时30分至10时00分)磋商供应商可以登录广西政府采购云平台，用“项目采购-开标评标”功能进行解密电子磋商响应文件。 </w:t>
      </w:r>
    </w:p>
    <w:p w14:paraId="764007E7">
      <w:pPr>
        <w:widowControl/>
        <w:spacing w:before="50" w:after="5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注：投标文件网上递交截止时间后，各供应商须在解密时限内对上传广西政府采购云平台的投标文件进行解密，所有供应商在规定的解密时限内解密完成或解密时限结束后，我公司开启已解密的响应文件。供应商超过解密时限未解密的，系统默认自动放弃，造成投标无效的后果由供应商自行承担。</w:t>
      </w:r>
    </w:p>
    <w:p w14:paraId="23DE01B1">
      <w:pPr>
        <w:widowControl/>
        <w:spacing w:before="50" w:after="50"/>
        <w:jc w:val="left"/>
        <w:rPr>
          <w:rFonts w:asciiTheme="minorEastAsia" w:hAnsiTheme="minorEastAsia" w:eastAsiaTheme="minorEastAsia" w:cstheme="minorEastAsia"/>
          <w:color w:val="auto"/>
          <w:szCs w:val="21"/>
          <w:highlight w:val="none"/>
        </w:rPr>
      </w:pPr>
      <w:r>
        <w:rPr>
          <w:rFonts w:hint="eastAsia" w:cs="Arial" w:asciiTheme="minorEastAsia" w:hAnsiTheme="minorEastAsia" w:eastAsiaTheme="minorEastAsia"/>
          <w:color w:val="auto"/>
          <w:kern w:val="0"/>
          <w:szCs w:val="21"/>
          <w:highlight w:val="none"/>
        </w:rPr>
        <w:t>4. 磋商响应文件解密时间：截标时间后30分钟内（</w:t>
      </w:r>
      <w:r>
        <w:rPr>
          <w:rFonts w:hint="eastAsia" w:cs="宋体" w:asciiTheme="minorEastAsia" w:hAnsiTheme="minorEastAsia" w:eastAsiaTheme="minorEastAsia"/>
          <w:color w:val="auto"/>
          <w:kern w:val="0"/>
          <w:szCs w:val="21"/>
          <w:highlight w:val="none"/>
        </w:rPr>
        <w:t>2025年12月9日</w:t>
      </w:r>
      <w:r>
        <w:rPr>
          <w:rFonts w:hint="eastAsia" w:cs="Arial" w:asciiTheme="minorEastAsia" w:hAnsiTheme="minorEastAsia" w:eastAsiaTheme="minorEastAsia"/>
          <w:color w:val="auto"/>
          <w:kern w:val="0"/>
          <w:szCs w:val="21"/>
          <w:highlight w:val="none"/>
        </w:rPr>
        <w:t>上午9时30分至10时00分)磋商供应商可以登录广西政府采购云平台，用“项目采购-</w:t>
      </w:r>
      <w:r>
        <w:rPr>
          <w:rFonts w:hint="eastAsia" w:asciiTheme="minorEastAsia" w:hAnsiTheme="minorEastAsia" w:eastAsiaTheme="minorEastAsia" w:cstheme="minorEastAsia"/>
          <w:color w:val="auto"/>
          <w:szCs w:val="21"/>
          <w:highlight w:val="none"/>
        </w:rPr>
        <w:t xml:space="preserve">开标评标”功能进行解密电子磋商响应文件。 </w:t>
      </w:r>
    </w:p>
    <w:p w14:paraId="16F3B0EE">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投标文件网上递交截止时间后，各供应商须在解密时限内对上传广西政府采购云平台的投标文件进行解密，所有供应商在规定的解密时限内解密完成或解密时限结束后，我公司开启已解密的响应文件。供应商超过解密时限未解密的，系统默认自动放弃，造成投标无效的后果由供应商自行承担。</w:t>
      </w:r>
    </w:p>
    <w:p w14:paraId="1DD754D5">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本项目通过广西政府采购云平台实行在线投标响应（电子投标），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14:paraId="68DE35F6">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西政府采购云平台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14:paraId="2FC8FC41">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为确保网上操作合法、有效和安全，磋商供应商应当在磋商截止时间前完成在“政府采购云平台”的身份认证，确保在电子投标过程中能够对相关数据电文进行加密和使用电子签章。使用“广西政府采购云平台电子交易客户端”需要提前申领CA数字证书，申领流程请自行前往广西政府采购云平台网站进行查阅；（完成CA数字证书办理预计一周左右，建议供应商获取磋商文件后立即办理。）</w:t>
      </w:r>
    </w:p>
    <w:p w14:paraId="4C8213F1">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543E595">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8.本项目需要磋商供应商代表在截标当天截标后，按磋商小组要求及时登陆广西政府采购云平台等候在线磋商及提交最后报价。</w:t>
      </w:r>
    </w:p>
    <w:p w14:paraId="3E7D939D">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14:paraId="73E26097">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rPr>
        <w:t>.落实政策</w:t>
      </w:r>
    </w:p>
    <w:p w14:paraId="74DEDD05">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（1）本项目非专门面向中小微企业采购。</w:t>
      </w:r>
    </w:p>
    <w:p w14:paraId="4C42E40A">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（2）《关于政府采购支持监狱企业发展有关问题的通知》（财库[2014]68号）。</w:t>
      </w:r>
    </w:p>
    <w:p w14:paraId="08CB6797">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（3）《关于促进残疾人就业政府采购政策的通知》（财库[2017]141号）。 </w:t>
      </w:r>
    </w:p>
    <w:p w14:paraId="7E51B2E4">
      <w:pPr>
        <w:pStyle w:val="20"/>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11.本项目所属行业：</w:t>
      </w:r>
      <w:r>
        <w:rPr>
          <w:rFonts w:hint="eastAsia" w:asciiTheme="minorEastAsia" w:hAnsiTheme="minorEastAsia" w:eastAsiaTheme="minorEastAsia" w:cstheme="minorEastAsia"/>
          <w:b/>
          <w:bCs/>
          <w:color w:val="auto"/>
          <w:sz w:val="21"/>
          <w:szCs w:val="21"/>
          <w:highlight w:val="none"/>
        </w:rPr>
        <w:t>信息传输业 ※</w:t>
      </w:r>
    </w:p>
    <w:p w14:paraId="1F48C705">
      <w:pPr>
        <w:widowControl/>
        <w:spacing w:before="50" w:after="50" w:line="360" w:lineRule="atLeast"/>
        <w:jc w:val="left"/>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  </w:t>
      </w:r>
    </w:p>
    <w:p w14:paraId="4607DDC3">
      <w:pPr>
        <w:widowControl/>
        <w:spacing w:before="170" w:after="170" w:line="32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八、凡对本次招标提出询问，请按以下方式联系</w:t>
      </w:r>
    </w:p>
    <w:p w14:paraId="36D35E9A">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1.采购人信息</w:t>
      </w:r>
    </w:p>
    <w:p w14:paraId="0C1B69E9">
      <w:pPr>
        <w:widowControl/>
        <w:spacing w:before="75" w:after="75" w:line="300" w:lineRule="atLeast"/>
        <w:jc w:val="left"/>
        <w:rPr>
          <w:rFonts w:ascii="宋体" w:hAnsi="宋体" w:cs="宋体"/>
          <w:color w:val="auto"/>
          <w:kern w:val="0"/>
          <w:szCs w:val="21"/>
          <w:highlight w:val="none"/>
        </w:rPr>
      </w:pPr>
      <w:r>
        <w:rPr>
          <w:rFonts w:cs="宋体" w:asciiTheme="minorEastAsia" w:hAnsiTheme="minorEastAsia" w:eastAsiaTheme="minorEastAsia"/>
          <w:color w:val="auto"/>
          <w:kern w:val="0"/>
          <w:szCs w:val="21"/>
          <w:highlight w:val="none"/>
        </w:rPr>
        <w:t xml:space="preserve">    </w:t>
      </w:r>
      <w:r>
        <w:rPr>
          <w:rFonts w:ascii="宋体" w:hAnsi="宋体" w:cs="宋体"/>
          <w:color w:val="auto"/>
          <w:kern w:val="0"/>
          <w:szCs w:val="21"/>
          <w:highlight w:val="none"/>
        </w:rPr>
        <w:t>名    称：桂林市公安局临桂分局  </w:t>
      </w:r>
    </w:p>
    <w:p w14:paraId="4C831130">
      <w:pPr>
        <w:widowControl/>
        <w:spacing w:before="75" w:after="75" w:line="300" w:lineRule="atLeast"/>
        <w:jc w:val="left"/>
        <w:rPr>
          <w:rFonts w:ascii="宋体" w:hAnsi="宋体" w:cs="宋体"/>
          <w:color w:val="auto"/>
          <w:kern w:val="0"/>
          <w:szCs w:val="21"/>
          <w:highlight w:val="none"/>
        </w:rPr>
      </w:pPr>
      <w:r>
        <w:rPr>
          <w:rFonts w:ascii="宋体" w:hAnsi="宋体" w:cs="宋体"/>
          <w:color w:val="auto"/>
          <w:kern w:val="0"/>
          <w:szCs w:val="21"/>
          <w:highlight w:val="none"/>
        </w:rPr>
        <w:t>    地    址：</w:t>
      </w:r>
      <w:r>
        <w:rPr>
          <w:rFonts w:hint="eastAsia" w:ascii="宋体" w:hAnsi="宋体" w:cs="宋体"/>
          <w:color w:val="auto"/>
          <w:kern w:val="0"/>
          <w:szCs w:val="21"/>
          <w:highlight w:val="none"/>
        </w:rPr>
        <w:t>桂林市临桂区世纪东路4</w:t>
      </w:r>
      <w:r>
        <w:rPr>
          <w:rFonts w:ascii="宋体" w:hAnsi="宋体" w:cs="宋体"/>
          <w:color w:val="auto"/>
          <w:kern w:val="0"/>
          <w:szCs w:val="21"/>
          <w:highlight w:val="none"/>
        </w:rPr>
        <w:t>1</w:t>
      </w:r>
      <w:r>
        <w:rPr>
          <w:rFonts w:hint="eastAsia" w:ascii="宋体" w:hAnsi="宋体" w:cs="宋体"/>
          <w:color w:val="auto"/>
          <w:kern w:val="0"/>
          <w:szCs w:val="21"/>
          <w:highlight w:val="none"/>
        </w:rPr>
        <w:t xml:space="preserve">号 </w:t>
      </w:r>
    </w:p>
    <w:p w14:paraId="7C161B86">
      <w:pPr>
        <w:widowControl/>
        <w:spacing w:before="75" w:after="75" w:line="30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ab/>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项目联系人：黄警官 </w:t>
      </w:r>
    </w:p>
    <w:p w14:paraId="5F559D68">
      <w:pPr>
        <w:widowControl/>
        <w:spacing w:before="75" w:after="75" w:line="300" w:lineRule="atLeast"/>
        <w:jc w:val="left"/>
        <w:rPr>
          <w:rFonts w:ascii="宋体" w:hAnsi="宋体" w:cs="宋体"/>
          <w:color w:val="auto"/>
          <w:kern w:val="0"/>
          <w:szCs w:val="21"/>
          <w:highlight w:val="none"/>
        </w:rPr>
      </w:pPr>
      <w:r>
        <w:rPr>
          <w:rFonts w:ascii="宋体" w:hAnsi="宋体" w:cs="宋体"/>
          <w:color w:val="auto"/>
          <w:kern w:val="0"/>
          <w:szCs w:val="21"/>
          <w:highlight w:val="none"/>
        </w:rPr>
        <w:t>    项目联系方式：13677731233</w:t>
      </w:r>
    </w:p>
    <w:p w14:paraId="1A41C8CD">
      <w:pPr>
        <w:widowControl/>
        <w:spacing w:before="50" w:after="50"/>
        <w:jc w:val="left"/>
        <w:rPr>
          <w:rFonts w:cs="宋体" w:asciiTheme="minorEastAsia" w:hAnsiTheme="minorEastAsia" w:eastAsiaTheme="minorEastAsia"/>
          <w:color w:val="auto"/>
          <w:kern w:val="0"/>
          <w:szCs w:val="21"/>
          <w:highlight w:val="none"/>
        </w:rPr>
      </w:pPr>
    </w:p>
    <w:p w14:paraId="189CAE86">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w:t>
      </w:r>
    </w:p>
    <w:p w14:paraId="5C33CE71">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2.采购代理机构信息</w:t>
      </w:r>
    </w:p>
    <w:p w14:paraId="4A83A243">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名    称：广西安臻工程管理有限公司 </w:t>
      </w:r>
    </w:p>
    <w:p w14:paraId="36F4BCAE">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    址：</w:t>
      </w:r>
      <w:r>
        <w:rPr>
          <w:rFonts w:hint="eastAsia" w:asciiTheme="minorEastAsia" w:hAnsiTheme="minorEastAsia" w:eastAsiaTheme="minorEastAsia" w:cstheme="minorEastAsia"/>
          <w:color w:val="auto"/>
          <w:szCs w:val="21"/>
          <w:highlight w:val="none"/>
        </w:rPr>
        <w:t>临桂区临桂镇仕通路69号精通.伊顿国际</w:t>
      </w:r>
      <w:r>
        <w:rPr>
          <w:rFonts w:cs="宋体" w:asciiTheme="minorEastAsia" w:hAnsiTheme="minorEastAsia" w:eastAsiaTheme="minorEastAsia"/>
          <w:color w:val="auto"/>
          <w:kern w:val="0"/>
          <w:szCs w:val="21"/>
          <w:highlight w:val="none"/>
        </w:rPr>
        <w:t> </w:t>
      </w:r>
    </w:p>
    <w:p w14:paraId="65F73EF8">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项目联系人：</w:t>
      </w:r>
      <w:r>
        <w:rPr>
          <w:rFonts w:hint="eastAsia" w:cs="宋体" w:asciiTheme="minorEastAsia" w:hAnsiTheme="minorEastAsia" w:eastAsiaTheme="minorEastAsia"/>
          <w:color w:val="auto"/>
          <w:kern w:val="0"/>
          <w:szCs w:val="21"/>
          <w:highlight w:val="none"/>
        </w:rPr>
        <w:t>刘俊杰</w:t>
      </w:r>
      <w:r>
        <w:rPr>
          <w:rFonts w:cs="宋体" w:asciiTheme="minorEastAsia" w:hAnsiTheme="minorEastAsia" w:eastAsiaTheme="minorEastAsia"/>
          <w:color w:val="auto"/>
          <w:kern w:val="0"/>
          <w:szCs w:val="21"/>
          <w:highlight w:val="none"/>
        </w:rPr>
        <w:t> </w:t>
      </w:r>
    </w:p>
    <w:p w14:paraId="59378F2D">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项目联系方式：</w:t>
      </w:r>
      <w:r>
        <w:rPr>
          <w:rFonts w:hint="eastAsia" w:cs="宋体" w:asciiTheme="minorEastAsia" w:hAnsiTheme="minorEastAsia" w:eastAsiaTheme="minorEastAsia"/>
          <w:color w:val="auto"/>
          <w:kern w:val="0"/>
          <w:szCs w:val="21"/>
          <w:highlight w:val="none"/>
        </w:rPr>
        <w:t>18078360291</w:t>
      </w:r>
      <w:r>
        <w:rPr>
          <w:rFonts w:cs="宋体" w:asciiTheme="minorEastAsia" w:hAnsiTheme="minorEastAsia" w:eastAsiaTheme="minorEastAsia"/>
          <w:color w:val="auto"/>
          <w:kern w:val="0"/>
          <w:szCs w:val="21"/>
          <w:highlight w:val="none"/>
        </w:rPr>
        <w:t> </w:t>
      </w:r>
    </w:p>
    <w:p w14:paraId="437C9E72">
      <w:pPr>
        <w:widowControl/>
        <w:spacing w:before="68" w:after="68"/>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w:t>
      </w:r>
    </w:p>
    <w:bookmarkEnd w:id="7"/>
    <w:bookmarkEnd w:id="8"/>
    <w:bookmarkEnd w:id="9"/>
    <w:bookmarkEnd w:id="10"/>
    <w:p w14:paraId="74DAE173">
      <w:pPr>
        <w:pStyle w:val="8"/>
        <w:rPr>
          <w:rFonts w:ascii="宋体" w:hAnsi="宋体" w:cs="宋体"/>
          <w:color w:val="auto"/>
          <w:highlight w:val="none"/>
        </w:rPr>
      </w:pPr>
    </w:p>
    <w:p w14:paraId="0C07E98C">
      <w:pPr>
        <w:pStyle w:val="8"/>
        <w:rPr>
          <w:rFonts w:ascii="宋体" w:hAnsi="宋体" w:cs="宋体"/>
          <w:color w:val="auto"/>
          <w:highlight w:val="none"/>
        </w:rPr>
      </w:pPr>
    </w:p>
    <w:p w14:paraId="26976193">
      <w:pPr>
        <w:pStyle w:val="8"/>
        <w:rPr>
          <w:rFonts w:ascii="宋体" w:hAnsi="宋体" w:cs="宋体"/>
          <w:color w:val="auto"/>
          <w:highlight w:val="none"/>
        </w:rPr>
      </w:pPr>
    </w:p>
    <w:p w14:paraId="18870358">
      <w:pPr>
        <w:pStyle w:val="8"/>
        <w:rPr>
          <w:rFonts w:ascii="宋体" w:hAnsi="宋体" w:cs="宋体"/>
          <w:color w:val="auto"/>
          <w:highlight w:val="none"/>
        </w:rPr>
      </w:pPr>
    </w:p>
    <w:p w14:paraId="0E9810A0">
      <w:pPr>
        <w:pStyle w:val="8"/>
        <w:rPr>
          <w:rFonts w:ascii="宋体" w:hAnsi="宋体" w:cs="宋体"/>
          <w:color w:val="auto"/>
          <w:highlight w:val="none"/>
        </w:rPr>
      </w:pPr>
    </w:p>
    <w:p w14:paraId="7AC292CD">
      <w:pPr>
        <w:pStyle w:val="8"/>
        <w:rPr>
          <w:rFonts w:ascii="宋体" w:hAnsi="宋体" w:cs="宋体"/>
          <w:color w:val="auto"/>
          <w:highlight w:val="none"/>
        </w:rPr>
      </w:pPr>
    </w:p>
    <w:p w14:paraId="1586CA05">
      <w:pPr>
        <w:pStyle w:val="8"/>
        <w:rPr>
          <w:rFonts w:ascii="宋体" w:hAnsi="宋体" w:cs="宋体"/>
          <w:color w:val="auto"/>
          <w:highlight w:val="none"/>
        </w:rPr>
      </w:pPr>
    </w:p>
    <w:p w14:paraId="6F00EBEB">
      <w:pPr>
        <w:pStyle w:val="8"/>
        <w:rPr>
          <w:rFonts w:ascii="宋体" w:hAnsi="宋体" w:cs="宋体"/>
          <w:color w:val="auto"/>
          <w:highlight w:val="none"/>
        </w:rPr>
      </w:pPr>
    </w:p>
    <w:p w14:paraId="116788DD">
      <w:pPr>
        <w:pStyle w:val="8"/>
        <w:rPr>
          <w:rFonts w:ascii="宋体" w:hAnsi="宋体" w:cs="宋体"/>
          <w:color w:val="auto"/>
          <w:highlight w:val="none"/>
        </w:rPr>
      </w:pPr>
    </w:p>
    <w:p w14:paraId="4BFA4EBE">
      <w:pPr>
        <w:pStyle w:val="8"/>
        <w:rPr>
          <w:rFonts w:ascii="宋体" w:hAnsi="宋体" w:cs="宋体"/>
          <w:color w:val="auto"/>
          <w:highlight w:val="none"/>
        </w:rPr>
      </w:pPr>
    </w:p>
    <w:p w14:paraId="5CAB9B4D">
      <w:pPr>
        <w:pStyle w:val="8"/>
        <w:rPr>
          <w:rFonts w:ascii="宋体" w:hAnsi="宋体" w:cs="宋体"/>
          <w:color w:val="auto"/>
          <w:highlight w:val="none"/>
        </w:rPr>
      </w:pPr>
    </w:p>
    <w:p w14:paraId="3E71AF5E">
      <w:pPr>
        <w:pStyle w:val="8"/>
        <w:rPr>
          <w:rFonts w:ascii="宋体" w:hAnsi="宋体" w:cs="宋体"/>
          <w:color w:val="auto"/>
          <w:highlight w:val="none"/>
        </w:rPr>
      </w:pPr>
    </w:p>
    <w:p w14:paraId="2A616D2F">
      <w:pPr>
        <w:pStyle w:val="2"/>
        <w:spacing w:line="240" w:lineRule="auto"/>
        <w:jc w:val="center"/>
        <w:rPr>
          <w:rFonts w:ascii="宋体" w:hAnsi="宋体" w:cs="宋体"/>
          <w:color w:val="auto"/>
          <w:sz w:val="32"/>
          <w:szCs w:val="32"/>
          <w:highlight w:val="none"/>
        </w:rPr>
      </w:pPr>
      <w:bookmarkStart w:id="11" w:name="_Toc31552"/>
      <w:r>
        <w:rPr>
          <w:rFonts w:hint="eastAsia" w:ascii="宋体" w:hAnsi="宋体" w:cs="宋体"/>
          <w:color w:val="auto"/>
          <w:sz w:val="32"/>
          <w:szCs w:val="32"/>
          <w:highlight w:val="none"/>
        </w:rPr>
        <w:t>第二章 供应商须知</w:t>
      </w:r>
      <w:bookmarkEnd w:id="0"/>
      <w:bookmarkEnd w:id="1"/>
      <w:bookmarkEnd w:id="11"/>
    </w:p>
    <w:p w14:paraId="76A67B36">
      <w:pPr>
        <w:pStyle w:val="3"/>
        <w:jc w:val="center"/>
        <w:rPr>
          <w:rFonts w:ascii="宋体" w:hAnsi="宋体" w:cs="宋体"/>
          <w:bCs w:val="0"/>
          <w:color w:val="auto"/>
          <w:sz w:val="24"/>
          <w:szCs w:val="24"/>
          <w:highlight w:val="none"/>
        </w:rPr>
      </w:pPr>
      <w:bookmarkStart w:id="12" w:name="_Toc13547"/>
      <w:bookmarkStart w:id="13" w:name="_Toc25063"/>
      <w:bookmarkStart w:id="14" w:name="_Toc2741"/>
      <w:bookmarkStart w:id="15" w:name="_Toc9508"/>
      <w:r>
        <w:rPr>
          <w:rFonts w:hint="eastAsia" w:ascii="宋体" w:hAnsi="宋体" w:cs="宋体"/>
          <w:bCs w:val="0"/>
          <w:color w:val="auto"/>
          <w:sz w:val="24"/>
          <w:szCs w:val="24"/>
          <w:highlight w:val="none"/>
        </w:rPr>
        <w:t>供 应 商 须 知 前 附 表</w:t>
      </w:r>
      <w:bookmarkEnd w:id="12"/>
      <w:bookmarkEnd w:id="13"/>
      <w:bookmarkEnd w:id="14"/>
      <w:bookmarkEnd w:id="15"/>
    </w:p>
    <w:tbl>
      <w:tblPr>
        <w:tblStyle w:val="24"/>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3F82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6BD1D0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42" w:type="dxa"/>
            <w:vAlign w:val="center"/>
          </w:tcPr>
          <w:p w14:paraId="6B3247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775" w:type="dxa"/>
            <w:vAlign w:val="center"/>
          </w:tcPr>
          <w:p w14:paraId="02F4F9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912" w:type="dxa"/>
            <w:vAlign w:val="center"/>
          </w:tcPr>
          <w:p w14:paraId="0B1BAB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内容、要求</w:t>
            </w:r>
          </w:p>
        </w:tc>
      </w:tr>
      <w:tr w14:paraId="615A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1ADEEE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942" w:type="dxa"/>
            <w:vAlign w:val="center"/>
          </w:tcPr>
          <w:p w14:paraId="756B30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75" w:type="dxa"/>
            <w:vAlign w:val="center"/>
          </w:tcPr>
          <w:p w14:paraId="2C1EC9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项目名称及项目编号</w:t>
            </w:r>
          </w:p>
        </w:tc>
        <w:tc>
          <w:tcPr>
            <w:tcW w:w="6912" w:type="dxa"/>
          </w:tcPr>
          <w:p w14:paraId="342C986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项目名称：桂林市公安局临桂分局移动警务双系统警务通服务项目</w:t>
            </w:r>
          </w:p>
          <w:p w14:paraId="2DDF0F4B">
            <w:pPr>
              <w:spacing w:line="360" w:lineRule="auto"/>
              <w:jc w:val="left"/>
              <w:rPr>
                <w:rFonts w:ascii="宋体" w:hAnsi="宋体" w:cs="宋体"/>
                <w:color w:val="auto"/>
                <w:highlight w:val="none"/>
              </w:rPr>
            </w:pPr>
            <w:r>
              <w:rPr>
                <w:rFonts w:hint="eastAsia" w:ascii="宋体" w:hAnsi="宋体" w:cs="宋体"/>
                <w:color w:val="auto"/>
                <w:szCs w:val="21"/>
                <w:highlight w:val="none"/>
              </w:rPr>
              <w:t>项目编号：GLZC2025-C3-120078-GXAZ</w:t>
            </w:r>
          </w:p>
        </w:tc>
      </w:tr>
      <w:tr w14:paraId="5A1D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66A19F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942" w:type="dxa"/>
            <w:vAlign w:val="center"/>
          </w:tcPr>
          <w:p w14:paraId="6183CD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75" w:type="dxa"/>
            <w:vAlign w:val="center"/>
          </w:tcPr>
          <w:p w14:paraId="186ECB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w:t>
            </w:r>
          </w:p>
        </w:tc>
        <w:tc>
          <w:tcPr>
            <w:tcW w:w="6912" w:type="dxa"/>
            <w:vAlign w:val="center"/>
          </w:tcPr>
          <w:p w14:paraId="6D7B9268">
            <w:pPr>
              <w:spacing w:line="360" w:lineRule="auto"/>
              <w:rPr>
                <w:rFonts w:ascii="宋体" w:hAnsi="宋体" w:cs="宋体"/>
                <w:color w:val="auto"/>
                <w:szCs w:val="21"/>
                <w:highlight w:val="none"/>
              </w:rPr>
            </w:pPr>
            <w:r>
              <w:rPr>
                <w:rFonts w:hint="eastAsia" w:ascii="宋体" w:hAnsi="宋体" w:cs="宋体"/>
                <w:color w:val="auto"/>
                <w:szCs w:val="21"/>
                <w:highlight w:val="none"/>
              </w:rPr>
              <w:t>3.1符合《中华人民共和国政府采购法》第二十二条和《政府采购法实施条例》第十八条规定，具备合法资格的供应商；</w:t>
            </w:r>
          </w:p>
          <w:p w14:paraId="38AC9CC3">
            <w:pPr>
              <w:spacing w:line="360" w:lineRule="auto"/>
              <w:rPr>
                <w:rFonts w:ascii="宋体" w:hAnsi="宋体" w:cs="宋体"/>
                <w:color w:val="auto"/>
                <w:szCs w:val="21"/>
                <w:highlight w:val="none"/>
              </w:rPr>
            </w:pPr>
            <w:r>
              <w:rPr>
                <w:rFonts w:hint="eastAsia" w:ascii="宋体" w:hAnsi="宋体" w:cs="宋体"/>
                <w:color w:val="auto"/>
                <w:szCs w:val="21"/>
                <w:highlight w:val="none"/>
              </w:rPr>
              <w:t>3.2本项目不接受联合体参与磋商；</w:t>
            </w:r>
          </w:p>
          <w:p w14:paraId="5106BDC7">
            <w:pPr>
              <w:spacing w:line="360" w:lineRule="auto"/>
              <w:rPr>
                <w:rFonts w:ascii="宋体" w:hAnsi="宋体" w:cs="宋体"/>
                <w:color w:val="auto"/>
                <w:szCs w:val="21"/>
                <w:highlight w:val="none"/>
              </w:rPr>
            </w:pPr>
            <w:r>
              <w:rPr>
                <w:rFonts w:hint="eastAsia" w:ascii="宋体" w:hAnsi="宋体" w:cs="宋体"/>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AAB6C70">
            <w:pPr>
              <w:spacing w:line="360" w:lineRule="exact"/>
              <w:rPr>
                <w:rFonts w:ascii="宋体" w:hAnsi="宋体" w:cs="宋体"/>
                <w:bCs/>
                <w:color w:val="auto"/>
                <w:szCs w:val="21"/>
                <w:highlight w:val="none"/>
              </w:rPr>
            </w:pPr>
            <w:r>
              <w:rPr>
                <w:rFonts w:hint="eastAsia" w:ascii="宋体" w:hAnsi="宋体" w:cs="宋体"/>
                <w:color w:val="auto"/>
                <w:szCs w:val="21"/>
                <w:highlight w:val="none"/>
              </w:rPr>
              <w:t>3.4落实政府采购政策需满足的资格要求：</w:t>
            </w:r>
            <w:r>
              <w:rPr>
                <w:rFonts w:hint="eastAsia" w:ascii="宋体" w:hAnsi="宋体" w:cs="宋体"/>
                <w:bCs/>
                <w:color w:val="auto"/>
                <w:szCs w:val="21"/>
                <w:highlight w:val="none"/>
              </w:rPr>
              <w:t>无。</w:t>
            </w:r>
          </w:p>
          <w:p w14:paraId="6D6BC2CD">
            <w:pPr>
              <w:spacing w:line="360" w:lineRule="exact"/>
              <w:rPr>
                <w:rFonts w:ascii="宋体" w:hAnsi="宋体" w:cs="宋体"/>
                <w:color w:val="auto"/>
                <w:highlight w:val="none"/>
              </w:rPr>
            </w:pPr>
            <w:r>
              <w:rPr>
                <w:rFonts w:hint="eastAsia" w:ascii="宋体" w:hAnsi="宋体" w:cs="宋体"/>
                <w:color w:val="auto"/>
                <w:szCs w:val="21"/>
                <w:highlight w:val="none"/>
              </w:rPr>
              <w:t>3.5本项目的特定资格要求：</w:t>
            </w:r>
            <w:r>
              <w:rPr>
                <w:rFonts w:hint="eastAsia" w:ascii="宋体" w:hAnsi="宋体" w:cs="宋体"/>
                <w:bCs/>
                <w:color w:val="auto"/>
                <w:szCs w:val="21"/>
                <w:highlight w:val="none"/>
              </w:rPr>
              <w:t>无。</w:t>
            </w:r>
          </w:p>
        </w:tc>
      </w:tr>
      <w:tr w14:paraId="4C4E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2AC3E4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942" w:type="dxa"/>
            <w:vAlign w:val="center"/>
          </w:tcPr>
          <w:p w14:paraId="381B21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75" w:type="dxa"/>
            <w:vAlign w:val="center"/>
          </w:tcPr>
          <w:p w14:paraId="03D605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磋商费用</w:t>
            </w:r>
          </w:p>
        </w:tc>
        <w:tc>
          <w:tcPr>
            <w:tcW w:w="6912" w:type="dxa"/>
            <w:vAlign w:val="center"/>
          </w:tcPr>
          <w:p w14:paraId="4499689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不论磋商结果如何，供应商均应自行承担所有与磋商有关的全部费用。 </w:t>
            </w:r>
          </w:p>
        </w:tc>
      </w:tr>
      <w:tr w14:paraId="082E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34D29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942" w:type="dxa"/>
            <w:vAlign w:val="center"/>
          </w:tcPr>
          <w:p w14:paraId="424E7E21">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13</w:t>
            </w:r>
          </w:p>
        </w:tc>
        <w:tc>
          <w:tcPr>
            <w:tcW w:w="1775" w:type="dxa"/>
            <w:vAlign w:val="center"/>
          </w:tcPr>
          <w:p w14:paraId="58499CB1">
            <w:pPr>
              <w:spacing w:line="360" w:lineRule="auto"/>
              <w:jc w:val="center"/>
              <w:rPr>
                <w:rFonts w:ascii="宋体" w:hAnsi="宋体" w:cs="宋体"/>
                <w:color w:val="auto"/>
                <w:position w:val="-2"/>
                <w:szCs w:val="21"/>
                <w:highlight w:val="none"/>
              </w:rPr>
            </w:pPr>
            <w:r>
              <w:rPr>
                <w:rFonts w:hint="eastAsia" w:ascii="宋体" w:hAnsi="宋体" w:cs="宋体"/>
                <w:color w:val="auto"/>
                <w:szCs w:val="21"/>
                <w:highlight w:val="none"/>
              </w:rPr>
              <w:t>磋商报价及采购预算金额</w:t>
            </w:r>
          </w:p>
        </w:tc>
        <w:tc>
          <w:tcPr>
            <w:tcW w:w="6912" w:type="dxa"/>
            <w:vAlign w:val="center"/>
          </w:tcPr>
          <w:p w14:paraId="1B0D27F1">
            <w:pPr>
              <w:spacing w:line="360" w:lineRule="auto"/>
              <w:rPr>
                <w:rFonts w:ascii="宋体" w:hAnsi="宋体" w:cs="宋体"/>
                <w:color w:val="auto"/>
                <w:szCs w:val="21"/>
                <w:highlight w:val="none"/>
              </w:rPr>
            </w:pPr>
            <w:r>
              <w:rPr>
                <w:rFonts w:hint="eastAsia" w:ascii="宋体" w:hAnsi="宋体" w:cs="宋体"/>
                <w:color w:val="auto"/>
                <w:szCs w:val="21"/>
                <w:highlight w:val="none"/>
              </w:rPr>
              <w:t>13.1 磋商报价应按磋商文件中相关附表格式填写。</w:t>
            </w:r>
            <w:r>
              <w:rPr>
                <w:rFonts w:hint="eastAsia" w:ascii="宋体" w:hAnsi="宋体" w:cs="宋体"/>
                <w:b/>
                <w:bCs/>
                <w:color w:val="auto"/>
                <w:szCs w:val="21"/>
                <w:highlight w:val="none"/>
              </w:rPr>
              <w:t>采购预算金额人民币贰佰捌拾柒万伍仟叁佰贰拾元整（¥2875320.00元）。</w:t>
            </w:r>
            <w:r>
              <w:rPr>
                <w:rFonts w:hint="eastAsia" w:ascii="宋体" w:hAnsi="宋体" w:cs="宋体"/>
                <w:color w:val="auto"/>
                <w:szCs w:val="21"/>
                <w:highlight w:val="none"/>
              </w:rPr>
              <w:t>供应商报价</w:t>
            </w:r>
            <w:r>
              <w:rPr>
                <w:rFonts w:hint="eastAsia" w:ascii="宋体" w:hAnsi="宋体" w:cs="宋体"/>
                <w:color w:val="auto"/>
                <w:kern w:val="0"/>
                <w:szCs w:val="21"/>
                <w:highlight w:val="none"/>
              </w:rPr>
              <w:t>超出采购预算金额（最高限价）的，响应文件按无效处理。</w:t>
            </w:r>
          </w:p>
          <w:p w14:paraId="62C202C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13.2供应商必须就“采购需求”中所有内容作完整唯一报价，否则，其响应文件无效；响应文件只允许有一个报价，有选择的或有条件的报价将不予接受。</w:t>
            </w:r>
          </w:p>
          <w:p w14:paraId="47F11E9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13.4</w:t>
            </w:r>
            <w:r>
              <w:rPr>
                <w:rFonts w:hint="eastAsia" w:ascii="宋体" w:hAnsi="宋体" w:cs="宋体"/>
                <w:color w:val="auto"/>
                <w:kern w:val="0"/>
                <w:szCs w:val="21"/>
                <w:highlight w:val="none"/>
              </w:rPr>
              <w:t>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tc>
      </w:tr>
      <w:tr w14:paraId="56A2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775D1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942" w:type="dxa"/>
            <w:vAlign w:val="center"/>
          </w:tcPr>
          <w:p w14:paraId="4E05989F">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14.1</w:t>
            </w:r>
          </w:p>
        </w:tc>
        <w:tc>
          <w:tcPr>
            <w:tcW w:w="1775" w:type="dxa"/>
            <w:vAlign w:val="center"/>
          </w:tcPr>
          <w:p w14:paraId="47BCF111">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响应文件有效期</w:t>
            </w:r>
          </w:p>
        </w:tc>
        <w:tc>
          <w:tcPr>
            <w:tcW w:w="6912" w:type="dxa"/>
          </w:tcPr>
          <w:p w14:paraId="3678E2D5">
            <w:pPr>
              <w:tabs>
                <w:tab w:val="left" w:pos="1305"/>
              </w:tabs>
              <w:spacing w:line="360" w:lineRule="auto"/>
              <w:rPr>
                <w:rFonts w:ascii="宋体" w:hAnsi="宋体" w:cs="宋体"/>
                <w:color w:val="auto"/>
                <w:szCs w:val="21"/>
                <w:highlight w:val="none"/>
              </w:rPr>
            </w:pPr>
            <w:r>
              <w:rPr>
                <w:rFonts w:hint="eastAsia" w:ascii="宋体" w:hAnsi="宋体" w:cs="宋体"/>
                <w:color w:val="auto"/>
                <w:szCs w:val="21"/>
                <w:highlight w:val="none"/>
              </w:rPr>
              <w:t>响应文件递交截止时间之日起90天，有效期不足的响应文件将被拒绝。</w:t>
            </w:r>
          </w:p>
        </w:tc>
      </w:tr>
      <w:tr w14:paraId="5AA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EC7F6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942" w:type="dxa"/>
            <w:vAlign w:val="center"/>
          </w:tcPr>
          <w:p w14:paraId="184D6EE2">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15</w:t>
            </w:r>
          </w:p>
        </w:tc>
        <w:tc>
          <w:tcPr>
            <w:tcW w:w="1775" w:type="dxa"/>
            <w:vAlign w:val="center"/>
          </w:tcPr>
          <w:p w14:paraId="6DA39942">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保证金</w:t>
            </w:r>
          </w:p>
        </w:tc>
        <w:tc>
          <w:tcPr>
            <w:tcW w:w="6912" w:type="dxa"/>
          </w:tcPr>
          <w:p w14:paraId="383B6BEB">
            <w:pPr>
              <w:tabs>
                <w:tab w:val="left" w:pos="1305"/>
              </w:tabs>
              <w:spacing w:line="360" w:lineRule="auto"/>
              <w:rPr>
                <w:rFonts w:ascii="宋体" w:hAnsi="宋体" w:cs="宋体"/>
                <w:color w:val="auto"/>
                <w:szCs w:val="21"/>
                <w:highlight w:val="none"/>
              </w:rPr>
            </w:pPr>
            <w:r>
              <w:rPr>
                <w:rFonts w:hint="eastAsia" w:ascii="宋体" w:hAnsi="宋体" w:cs="宋体"/>
                <w:b/>
                <w:bCs/>
                <w:color w:val="auto"/>
                <w:szCs w:val="21"/>
                <w:highlight w:val="none"/>
              </w:rPr>
              <w:t>本项目无需缴纳磋商保证金。</w:t>
            </w:r>
          </w:p>
        </w:tc>
      </w:tr>
      <w:tr w14:paraId="677D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5A631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942" w:type="dxa"/>
            <w:vAlign w:val="center"/>
          </w:tcPr>
          <w:p w14:paraId="03B5E9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1775" w:type="dxa"/>
            <w:vAlign w:val="center"/>
          </w:tcPr>
          <w:p w14:paraId="74C7776B">
            <w:pPr>
              <w:pStyle w:val="4"/>
              <w:spacing w:line="360" w:lineRule="auto"/>
              <w:jc w:val="center"/>
              <w:rPr>
                <w:rFonts w:ascii="宋体" w:hAnsi="宋体" w:cs="宋体"/>
                <w:b w:val="0"/>
                <w:bCs/>
                <w:color w:val="auto"/>
                <w:sz w:val="21"/>
                <w:szCs w:val="21"/>
                <w:highlight w:val="none"/>
              </w:rPr>
            </w:pPr>
            <w:bookmarkStart w:id="16" w:name="_Toc19911"/>
            <w:bookmarkStart w:id="17" w:name="_Toc27452"/>
            <w:bookmarkStart w:id="18" w:name="_Toc13467"/>
            <w:r>
              <w:rPr>
                <w:rFonts w:hint="eastAsia" w:ascii="宋体" w:hAnsi="宋体" w:cs="宋体"/>
                <w:b w:val="0"/>
                <w:bCs/>
                <w:color w:val="auto"/>
                <w:sz w:val="21"/>
                <w:szCs w:val="21"/>
                <w:highlight w:val="none"/>
              </w:rPr>
              <w:t>竞争性磋商响应文件的制作</w:t>
            </w:r>
            <w:bookmarkEnd w:id="16"/>
            <w:bookmarkEnd w:id="17"/>
            <w:bookmarkEnd w:id="18"/>
          </w:p>
          <w:p w14:paraId="233D38C3">
            <w:pPr>
              <w:spacing w:line="360" w:lineRule="auto"/>
              <w:jc w:val="center"/>
              <w:rPr>
                <w:rFonts w:ascii="宋体" w:hAnsi="宋体" w:cs="宋体"/>
                <w:color w:val="auto"/>
                <w:szCs w:val="21"/>
                <w:highlight w:val="none"/>
              </w:rPr>
            </w:pPr>
          </w:p>
        </w:tc>
        <w:tc>
          <w:tcPr>
            <w:tcW w:w="6912" w:type="dxa"/>
            <w:vAlign w:val="center"/>
          </w:tcPr>
          <w:p w14:paraId="7EB75219">
            <w:pPr>
              <w:spacing w:line="360" w:lineRule="auto"/>
              <w:rPr>
                <w:rFonts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9D5914D">
            <w:pPr>
              <w:spacing w:line="360" w:lineRule="auto"/>
              <w:rPr>
                <w:rFonts w:ascii="宋体" w:hAnsi="宋体" w:cs="宋体"/>
                <w:color w:val="auto"/>
                <w:szCs w:val="21"/>
                <w:highlight w:val="none"/>
              </w:rPr>
            </w:pPr>
            <w:r>
              <w:rPr>
                <w:rFonts w:hint="eastAsia" w:ascii="宋体" w:hAnsi="宋体" w:cs="宋体"/>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71341980">
            <w:pPr>
              <w:spacing w:line="360" w:lineRule="auto"/>
              <w:rPr>
                <w:rFonts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76C33E3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16.4磋商前准备 </w:t>
            </w:r>
          </w:p>
          <w:p w14:paraId="3B374BA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14:paraId="535E270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5E0B02F7">
            <w:pPr>
              <w:spacing w:line="360" w:lineRule="auto"/>
              <w:rPr>
                <w:rFonts w:ascii="宋体" w:hAnsi="宋体" w:cs="宋体"/>
                <w:color w:val="auto"/>
                <w:szCs w:val="21"/>
                <w:highlight w:val="none"/>
              </w:rPr>
            </w:pPr>
            <w:r>
              <w:rPr>
                <w:rFonts w:hint="eastAsia" w:ascii="宋体" w:hAnsi="宋体" w:cs="宋体"/>
                <w:color w:val="auto"/>
                <w:szCs w:val="21"/>
                <w:highlight w:val="none"/>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218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5996BD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942" w:type="dxa"/>
            <w:vAlign w:val="center"/>
          </w:tcPr>
          <w:p w14:paraId="06ED76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18.1</w:t>
            </w:r>
          </w:p>
        </w:tc>
        <w:tc>
          <w:tcPr>
            <w:tcW w:w="1775" w:type="dxa"/>
            <w:vAlign w:val="center"/>
          </w:tcPr>
          <w:p w14:paraId="5EF0BB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响应文件递交截止时间</w:t>
            </w:r>
          </w:p>
        </w:tc>
        <w:tc>
          <w:tcPr>
            <w:tcW w:w="6912" w:type="dxa"/>
            <w:vAlign w:val="center"/>
          </w:tcPr>
          <w:p w14:paraId="5442CB63">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于2025年12月9日上午9时30分</w:t>
            </w:r>
            <w:r>
              <w:rPr>
                <w:rFonts w:hint="eastAsia" w:ascii="宋体" w:hAnsi="宋体" w:cs="宋体"/>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14:paraId="3892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D4E08F6">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9</w:t>
            </w:r>
          </w:p>
        </w:tc>
        <w:tc>
          <w:tcPr>
            <w:tcW w:w="942" w:type="dxa"/>
            <w:vAlign w:val="center"/>
          </w:tcPr>
          <w:p w14:paraId="35BAC6B2">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18.2</w:t>
            </w:r>
          </w:p>
        </w:tc>
        <w:tc>
          <w:tcPr>
            <w:tcW w:w="1775" w:type="dxa"/>
            <w:vAlign w:val="center"/>
          </w:tcPr>
          <w:p w14:paraId="596561EB">
            <w:pPr>
              <w:spacing w:line="360" w:lineRule="auto"/>
              <w:jc w:val="center"/>
              <w:rPr>
                <w:rFonts w:ascii="宋体" w:hAnsi="宋体" w:cs="宋体"/>
                <w:color w:val="auto"/>
                <w:position w:val="-2"/>
                <w:szCs w:val="21"/>
                <w:highlight w:val="none"/>
              </w:rPr>
            </w:pPr>
            <w:r>
              <w:rPr>
                <w:rFonts w:hint="eastAsia" w:ascii="宋体" w:hAnsi="宋体" w:cs="宋体"/>
                <w:color w:val="auto"/>
                <w:szCs w:val="21"/>
                <w:highlight w:val="none"/>
              </w:rPr>
              <w:t>磋商响应文件解密时间及地点</w:t>
            </w:r>
          </w:p>
        </w:tc>
        <w:tc>
          <w:tcPr>
            <w:tcW w:w="6912" w:type="dxa"/>
            <w:vAlign w:val="center"/>
          </w:tcPr>
          <w:p w14:paraId="216A6A9C">
            <w:pPr>
              <w:pStyle w:val="7"/>
              <w:spacing w:line="360" w:lineRule="auto"/>
              <w:rPr>
                <w:rFonts w:ascii="宋体" w:hAnsi="宋体" w:cs="宋体"/>
                <w:color w:val="auto"/>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：截标时间后</w:t>
            </w:r>
            <w:r>
              <w:rPr>
                <w:rFonts w:hint="eastAsia" w:ascii="宋体" w:hAnsi="宋体" w:cs="宋体"/>
                <w:color w:val="auto"/>
                <w:highlight w:val="none"/>
                <w:u w:val="single"/>
              </w:rPr>
              <w:t>30</w:t>
            </w:r>
            <w:r>
              <w:rPr>
                <w:rFonts w:hint="eastAsia" w:ascii="宋体" w:hAnsi="宋体" w:cs="宋体"/>
                <w:color w:val="auto"/>
                <w:highlight w:val="none"/>
              </w:rPr>
              <w:t>分钟内（</w:t>
            </w:r>
            <w:r>
              <w:rPr>
                <w:rFonts w:hint="eastAsia" w:ascii="宋体" w:hAnsi="宋体" w:cs="宋体"/>
                <w:color w:val="auto"/>
                <w:szCs w:val="21"/>
                <w:highlight w:val="none"/>
                <w:u w:val="single"/>
              </w:rPr>
              <w:t>2025年12月9日上午9时30分</w:t>
            </w:r>
            <w:r>
              <w:rPr>
                <w:rFonts w:hint="eastAsia" w:ascii="宋体" w:hAnsi="宋体" w:cs="宋体"/>
                <w:color w:val="auto"/>
                <w:highlight w:val="none"/>
                <w:u w:val="single"/>
              </w:rPr>
              <w:t>至10时00分</w:t>
            </w:r>
            <w:r>
              <w:rPr>
                <w:rFonts w:hint="eastAsia" w:ascii="宋体" w:hAnsi="宋体" w:cs="宋体"/>
                <w:color w:val="auto"/>
                <w:highlight w:val="none"/>
              </w:rPr>
              <w:t>)磋商供应商可以登录广西政府采购云平台，用“项目采购-开标评标”功能进行解密磋商响应文件。</w:t>
            </w:r>
          </w:p>
          <w:p w14:paraId="0A88AE47">
            <w:pPr>
              <w:pStyle w:val="7"/>
              <w:spacing w:line="360" w:lineRule="auto"/>
              <w:rPr>
                <w:rFonts w:ascii="宋体" w:hAnsi="宋体" w:cs="宋体"/>
                <w:color w:val="auto"/>
                <w:szCs w:val="21"/>
                <w:highlight w:val="none"/>
              </w:rPr>
            </w:pPr>
            <w:r>
              <w:rPr>
                <w:rFonts w:hint="eastAsia" w:ascii="宋体" w:hAnsi="宋体" w:cs="宋体"/>
                <w:b/>
                <w:bCs/>
                <w:color w:val="auto"/>
                <w:szCs w:val="21"/>
                <w:highlight w:val="none"/>
              </w:rPr>
              <w:t>注：投标文件网上递交截止时间后，各供应商须在解密时限内对上传广西政府采购云平台的投标文件进行解密，所有供应商在规定的解密时限内解密完成或解密时限结束后，我中心开启已解密的响应文件。供应商超过解密时限未解密的，系统默认自动放弃，造成投标无效的后果由供应商自行承担。</w:t>
            </w:r>
          </w:p>
        </w:tc>
      </w:tr>
      <w:tr w14:paraId="238F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6AD7AF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942" w:type="dxa"/>
            <w:vAlign w:val="center"/>
          </w:tcPr>
          <w:p w14:paraId="6F74BBA1">
            <w:pPr>
              <w:spacing w:line="360" w:lineRule="auto"/>
              <w:ind w:firstLine="105" w:firstLineChars="50"/>
              <w:jc w:val="center"/>
              <w:rPr>
                <w:rFonts w:ascii="宋体" w:hAnsi="宋体" w:cs="宋体"/>
                <w:color w:val="auto"/>
                <w:position w:val="-2"/>
                <w:szCs w:val="21"/>
                <w:highlight w:val="none"/>
              </w:rPr>
            </w:pPr>
            <w:r>
              <w:rPr>
                <w:rFonts w:hint="eastAsia" w:ascii="宋体" w:hAnsi="宋体" w:cs="宋体"/>
                <w:color w:val="auto"/>
                <w:position w:val="-2"/>
                <w:szCs w:val="21"/>
                <w:highlight w:val="none"/>
              </w:rPr>
              <w:t>19.1</w:t>
            </w:r>
          </w:p>
        </w:tc>
        <w:tc>
          <w:tcPr>
            <w:tcW w:w="1775" w:type="dxa"/>
            <w:vAlign w:val="center"/>
          </w:tcPr>
          <w:p w14:paraId="6C4F12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磋商小组组成</w:t>
            </w:r>
          </w:p>
        </w:tc>
        <w:tc>
          <w:tcPr>
            <w:tcW w:w="6912" w:type="dxa"/>
            <w:vAlign w:val="center"/>
          </w:tcPr>
          <w:p w14:paraId="308CC5E0">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人，评审专家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14:paraId="094C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6513A3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942" w:type="dxa"/>
            <w:vAlign w:val="center"/>
          </w:tcPr>
          <w:p w14:paraId="3D84B6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19.2</w:t>
            </w:r>
          </w:p>
        </w:tc>
        <w:tc>
          <w:tcPr>
            <w:tcW w:w="1775" w:type="dxa"/>
            <w:vAlign w:val="center"/>
          </w:tcPr>
          <w:p w14:paraId="274913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磋商时间、地点、人员</w:t>
            </w:r>
          </w:p>
        </w:tc>
        <w:tc>
          <w:tcPr>
            <w:tcW w:w="6912" w:type="dxa"/>
          </w:tcPr>
          <w:p w14:paraId="398580FC">
            <w:pPr>
              <w:spacing w:line="360" w:lineRule="auto"/>
              <w:ind w:left="315" w:hanging="315" w:hangingChars="150"/>
              <w:jc w:val="left"/>
              <w:rPr>
                <w:rFonts w:ascii="宋体" w:hAnsi="宋体" w:cs="宋体"/>
                <w:color w:val="auto"/>
                <w:szCs w:val="21"/>
                <w:highlight w:val="none"/>
              </w:rPr>
            </w:pPr>
            <w:r>
              <w:rPr>
                <w:rFonts w:hint="eastAsia" w:ascii="宋体" w:hAnsi="宋体" w:cs="宋体"/>
                <w:color w:val="auto"/>
                <w:szCs w:val="21"/>
                <w:highlight w:val="none"/>
              </w:rPr>
              <w:t>19.2.1磋商时间：响应文件递交截止时间后。</w:t>
            </w:r>
          </w:p>
          <w:p w14:paraId="51B21DE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19.2.2磋商地点：本项目需要磋商供应商代表在截标当天截标后，按磋商小组要求及时登陆广西政府采购云平台等候在线磋商。</w:t>
            </w:r>
          </w:p>
          <w:p w14:paraId="39324FBB">
            <w:pPr>
              <w:spacing w:line="360" w:lineRule="auto"/>
              <w:ind w:left="15" w:hanging="14" w:hangingChars="7"/>
              <w:jc w:val="left"/>
              <w:rPr>
                <w:rFonts w:ascii="宋体" w:hAnsi="宋体" w:cs="宋体"/>
                <w:color w:val="auto"/>
                <w:szCs w:val="21"/>
                <w:highlight w:val="none"/>
              </w:rPr>
            </w:pPr>
            <w:r>
              <w:rPr>
                <w:rFonts w:hint="eastAsia" w:ascii="宋体" w:hAnsi="宋体" w:cs="宋体"/>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5A299BD6">
            <w:pPr>
              <w:tabs>
                <w:tab w:val="left" w:pos="114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19.2.4响应文件递交截止时间后，由磋商小组在评标室内线上开启响应文件。</w:t>
            </w:r>
          </w:p>
        </w:tc>
      </w:tr>
      <w:tr w14:paraId="76D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0D7051B">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12</w:t>
            </w:r>
          </w:p>
        </w:tc>
        <w:tc>
          <w:tcPr>
            <w:tcW w:w="942" w:type="dxa"/>
            <w:vAlign w:val="center"/>
          </w:tcPr>
          <w:p w14:paraId="63EBB2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20.2</w:t>
            </w:r>
          </w:p>
        </w:tc>
        <w:tc>
          <w:tcPr>
            <w:tcW w:w="1775" w:type="dxa"/>
            <w:vAlign w:val="center"/>
          </w:tcPr>
          <w:p w14:paraId="641897FE">
            <w:pPr>
              <w:pStyle w:val="12"/>
              <w:spacing w:line="360" w:lineRule="auto"/>
              <w:jc w:val="center"/>
              <w:rPr>
                <w:rFonts w:hAnsi="宋体" w:cs="宋体"/>
                <w:color w:val="auto"/>
                <w:kern w:val="0"/>
                <w:szCs w:val="21"/>
                <w:highlight w:val="none"/>
              </w:rPr>
            </w:pPr>
            <w:r>
              <w:rPr>
                <w:rFonts w:hint="eastAsia" w:hAnsi="宋体" w:cs="宋体"/>
                <w:color w:val="auto"/>
                <w:kern w:val="0"/>
                <w:szCs w:val="21"/>
                <w:highlight w:val="none"/>
              </w:rPr>
              <w:t>评审办法</w:t>
            </w:r>
          </w:p>
        </w:tc>
        <w:tc>
          <w:tcPr>
            <w:tcW w:w="6912" w:type="dxa"/>
            <w:vAlign w:val="center"/>
          </w:tcPr>
          <w:p w14:paraId="1E8BDDFE">
            <w:pPr>
              <w:tabs>
                <w:tab w:val="left" w:pos="1140"/>
              </w:tabs>
              <w:spacing w:line="360" w:lineRule="auto"/>
              <w:rPr>
                <w:rFonts w:ascii="宋体" w:hAnsi="宋体" w:cs="宋体"/>
                <w:color w:val="auto"/>
                <w:szCs w:val="21"/>
                <w:highlight w:val="none"/>
              </w:rPr>
            </w:pPr>
            <w:r>
              <w:rPr>
                <w:rFonts w:hint="eastAsia" w:ascii="宋体" w:hAnsi="宋体" w:cs="宋体"/>
                <w:color w:val="auto"/>
                <w:szCs w:val="21"/>
                <w:highlight w:val="none"/>
              </w:rPr>
              <w:t>具体详见第四章评审办法。</w:t>
            </w:r>
          </w:p>
        </w:tc>
      </w:tr>
      <w:tr w14:paraId="3E21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270D0D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942" w:type="dxa"/>
            <w:vAlign w:val="center"/>
          </w:tcPr>
          <w:p w14:paraId="3AC5C0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1775" w:type="dxa"/>
            <w:vAlign w:val="center"/>
          </w:tcPr>
          <w:p w14:paraId="4F7914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信用查询</w:t>
            </w:r>
          </w:p>
        </w:tc>
        <w:tc>
          <w:tcPr>
            <w:tcW w:w="6912" w:type="dxa"/>
            <w:vAlign w:val="center"/>
          </w:tcPr>
          <w:p w14:paraId="731DEBAE">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w:t>
            </w:r>
            <w:r>
              <w:rPr>
                <w:rFonts w:hint="eastAsia"/>
                <w:color w:val="auto"/>
                <w:highlight w:val="none"/>
              </w:rPr>
              <w:t>号</w:t>
            </w:r>
            <w:r>
              <w:rPr>
                <w:rFonts w:hint="eastAsia" w:ascii="宋体" w:hAnsi="宋体" w:cs="宋体"/>
                <w:color w:val="auto"/>
                <w:szCs w:val="21"/>
                <w:highlight w:val="none"/>
              </w:rPr>
              <w:t>），由采购代理机构对第一成交候选人进行信用查询：</w:t>
            </w:r>
          </w:p>
          <w:p w14:paraId="5DE75B8F">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0FB065C7">
            <w:pPr>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rPr>
              <w:t>⑵查询时间：成交通知书发出前；</w:t>
            </w:r>
          </w:p>
          <w:p w14:paraId="7D3D3B30">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31148D9C">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7C89662C">
            <w:pPr>
              <w:spacing w:line="360" w:lineRule="auto"/>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4EE6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8CF55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942" w:type="dxa"/>
            <w:vAlign w:val="center"/>
          </w:tcPr>
          <w:p w14:paraId="350411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27</w:t>
            </w:r>
          </w:p>
        </w:tc>
        <w:tc>
          <w:tcPr>
            <w:tcW w:w="1775" w:type="dxa"/>
            <w:vAlign w:val="center"/>
          </w:tcPr>
          <w:p w14:paraId="780F91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成交结果公告</w:t>
            </w:r>
          </w:p>
          <w:p w14:paraId="085F93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及成交通知书</w:t>
            </w:r>
          </w:p>
        </w:tc>
        <w:tc>
          <w:tcPr>
            <w:tcW w:w="6912" w:type="dxa"/>
          </w:tcPr>
          <w:p w14:paraId="55BB248B">
            <w:pPr>
              <w:spacing w:line="360" w:lineRule="auto"/>
              <w:rPr>
                <w:rFonts w:ascii="宋体" w:hAnsi="宋体" w:cs="宋体"/>
                <w:color w:val="auto"/>
                <w:szCs w:val="21"/>
                <w:highlight w:val="none"/>
              </w:rPr>
            </w:pPr>
            <w:r>
              <w:rPr>
                <w:rFonts w:hint="eastAsia" w:ascii="宋体" w:hAnsi="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775D7D8">
            <w:pPr>
              <w:spacing w:line="360" w:lineRule="auto"/>
              <w:rPr>
                <w:rFonts w:ascii="宋体" w:hAnsi="宋体" w:cs="宋体"/>
                <w:color w:val="auto"/>
                <w:szCs w:val="21"/>
                <w:highlight w:val="none"/>
              </w:rPr>
            </w:pPr>
            <w:r>
              <w:rPr>
                <w:rFonts w:hint="eastAsia" w:ascii="宋体" w:hAnsi="宋体" w:cs="宋体"/>
                <w:color w:val="auto"/>
                <w:szCs w:val="21"/>
                <w:highlight w:val="none"/>
              </w:rPr>
              <w:t>27.2在发布成交公告的同时，采购代理机构向成交供应商发出成交通知书。成交供应商自接到通知之日起七个工作日内，办理成交通知书领取手续。</w:t>
            </w:r>
          </w:p>
        </w:tc>
      </w:tr>
      <w:tr w14:paraId="7D70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62" w:type="dxa"/>
            <w:vAlign w:val="center"/>
          </w:tcPr>
          <w:p w14:paraId="6EDE57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942" w:type="dxa"/>
            <w:vAlign w:val="center"/>
          </w:tcPr>
          <w:p w14:paraId="62BD21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1775" w:type="dxa"/>
            <w:vAlign w:val="center"/>
          </w:tcPr>
          <w:p w14:paraId="0CBA03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912" w:type="dxa"/>
            <w:vAlign w:val="center"/>
          </w:tcPr>
          <w:p w14:paraId="5733E8A4">
            <w:pPr>
              <w:widowControl/>
              <w:jc w:val="left"/>
              <w:rPr>
                <w:rFonts w:ascii="宋体" w:hAnsi="宋体" w:cs="宋体"/>
                <w:color w:val="auto"/>
                <w:szCs w:val="21"/>
                <w:highlight w:val="none"/>
              </w:rPr>
            </w:pPr>
            <w:r>
              <w:rPr>
                <w:rFonts w:hint="eastAsia" w:ascii="宋体" w:hAnsi="宋体" w:cs="宋体"/>
                <w:bCs/>
                <w:color w:val="auto"/>
                <w:kern w:val="0"/>
                <w:szCs w:val="21"/>
                <w:highlight w:val="none"/>
              </w:rPr>
              <w:t>本项目无需缴纳履约保证金。</w:t>
            </w:r>
          </w:p>
        </w:tc>
      </w:tr>
      <w:tr w14:paraId="400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870D5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942" w:type="dxa"/>
            <w:vAlign w:val="center"/>
          </w:tcPr>
          <w:p w14:paraId="4BBF03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1775" w:type="dxa"/>
            <w:vAlign w:val="center"/>
          </w:tcPr>
          <w:p w14:paraId="7A03C8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签订合同时间</w:t>
            </w:r>
          </w:p>
        </w:tc>
        <w:tc>
          <w:tcPr>
            <w:tcW w:w="6912" w:type="dxa"/>
          </w:tcPr>
          <w:p w14:paraId="7E1D2B06">
            <w:pPr>
              <w:spacing w:line="360" w:lineRule="auto"/>
              <w:rPr>
                <w:rFonts w:ascii="宋体" w:hAnsi="宋体" w:cs="宋体"/>
                <w:color w:val="auto"/>
                <w:szCs w:val="21"/>
                <w:highlight w:val="none"/>
              </w:rPr>
            </w:pPr>
            <w:r>
              <w:rPr>
                <w:rFonts w:hint="eastAsia" w:ascii="宋体" w:hAnsi="宋体" w:cs="宋体"/>
                <w:bCs/>
                <w:color w:val="auto"/>
                <w:kern w:val="0"/>
                <w:szCs w:val="21"/>
                <w:highlight w:val="none"/>
              </w:rPr>
              <w:t>成交通知书发出之日起八个工作日内签订合同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14:paraId="5ADB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19016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w:t>
            </w:r>
          </w:p>
        </w:tc>
        <w:tc>
          <w:tcPr>
            <w:tcW w:w="942" w:type="dxa"/>
            <w:vAlign w:val="center"/>
          </w:tcPr>
          <w:p w14:paraId="2FC570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29.3</w:t>
            </w:r>
          </w:p>
        </w:tc>
        <w:tc>
          <w:tcPr>
            <w:tcW w:w="1775" w:type="dxa"/>
            <w:vAlign w:val="center"/>
          </w:tcPr>
          <w:p w14:paraId="447629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合同备案存档</w:t>
            </w:r>
          </w:p>
        </w:tc>
        <w:tc>
          <w:tcPr>
            <w:tcW w:w="6912" w:type="dxa"/>
            <w:vAlign w:val="center"/>
          </w:tcPr>
          <w:p w14:paraId="0423575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政府采购合同双方自签订之日起一个工作日内将合同原件一份交采购代理机构</w:t>
            </w:r>
            <w:r>
              <w:rPr>
                <w:rFonts w:hint="eastAsia" w:ascii="宋体" w:hAnsi="宋体" w:cs="宋体"/>
                <w:color w:val="auto"/>
                <w:szCs w:val="21"/>
                <w:highlight w:val="none"/>
                <w:lang w:eastAsia="zh-CN"/>
              </w:rPr>
              <w:t>，</w:t>
            </w:r>
            <w:r>
              <w:rPr>
                <w:rFonts w:hint="eastAsia" w:ascii="宋体" w:hAnsi="宋体"/>
              </w:rPr>
              <w:t>采购代理机构将政府采购合同在省级以上人民政府财政部门指定媒体上公告</w:t>
            </w:r>
            <w:r>
              <w:rPr>
                <w:rFonts w:hint="eastAsia" w:ascii="宋体" w:hAnsi="宋体"/>
                <w:lang w:eastAsia="zh-CN"/>
              </w:rPr>
              <w:t>。</w:t>
            </w:r>
            <w:r>
              <w:rPr>
                <w:rFonts w:hint="eastAsia" w:ascii="宋体" w:hAnsi="宋体" w:cs="宋体"/>
                <w:color w:val="auto"/>
                <w:szCs w:val="21"/>
                <w:highlight w:val="none"/>
              </w:rPr>
              <w:t>采购人于合同签订之日起七个工作日内将一份合同原件送本级财政部门备案</w:t>
            </w:r>
            <w:r>
              <w:rPr>
                <w:rFonts w:hint="eastAsia" w:ascii="宋体" w:hAnsi="宋体"/>
                <w:color w:val="auto"/>
                <w:highlight w:val="none"/>
              </w:rPr>
              <w:t>。</w:t>
            </w:r>
          </w:p>
        </w:tc>
      </w:tr>
      <w:tr w14:paraId="65F8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C966C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942" w:type="dxa"/>
            <w:vAlign w:val="center"/>
          </w:tcPr>
          <w:p w14:paraId="21CC25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w:t>
            </w:r>
          </w:p>
        </w:tc>
        <w:tc>
          <w:tcPr>
            <w:tcW w:w="1775" w:type="dxa"/>
            <w:vAlign w:val="center"/>
          </w:tcPr>
          <w:p w14:paraId="2FBC7E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6912" w:type="dxa"/>
          </w:tcPr>
          <w:p w14:paraId="6D5B6329">
            <w:pPr>
              <w:spacing w:line="360" w:lineRule="auto"/>
              <w:rPr>
                <w:rFonts w:ascii="宋体" w:hAnsi="宋体" w:cs="宋体"/>
                <w:color w:val="auto"/>
                <w:szCs w:val="21"/>
                <w:highlight w:val="none"/>
              </w:rPr>
            </w:pPr>
            <w:r>
              <w:rPr>
                <w:rFonts w:hint="eastAsia" w:ascii="宋体" w:hAnsi="宋体"/>
                <w:color w:val="auto"/>
                <w:szCs w:val="21"/>
                <w:highlight w:val="none"/>
              </w:rPr>
              <w:t>本项目的采购代理服务收费标准按计价格[2002]1980号《招标代理服务收费管理暂行办法》服务类收费标准和发改办价格[2003]857号文的规定向成交磋商供应商收取。</w:t>
            </w:r>
          </w:p>
        </w:tc>
      </w:tr>
      <w:tr w14:paraId="5B08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76304C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942" w:type="dxa"/>
            <w:vAlign w:val="center"/>
          </w:tcPr>
          <w:p w14:paraId="35FC9C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775" w:type="dxa"/>
            <w:vAlign w:val="center"/>
          </w:tcPr>
          <w:p w14:paraId="36FC15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解释权</w:t>
            </w:r>
          </w:p>
        </w:tc>
        <w:tc>
          <w:tcPr>
            <w:tcW w:w="6912" w:type="dxa"/>
          </w:tcPr>
          <w:p w14:paraId="7FBEEFF3">
            <w:pPr>
              <w:spacing w:line="360" w:lineRule="auto"/>
              <w:rPr>
                <w:rFonts w:ascii="宋体" w:hAnsi="宋体" w:cs="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D4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64653D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942" w:type="dxa"/>
            <w:vAlign w:val="center"/>
          </w:tcPr>
          <w:p w14:paraId="1B0326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1775" w:type="dxa"/>
            <w:vAlign w:val="center"/>
          </w:tcPr>
          <w:p w14:paraId="62EC70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监督管理机构</w:t>
            </w:r>
          </w:p>
        </w:tc>
        <w:tc>
          <w:tcPr>
            <w:tcW w:w="6912" w:type="dxa"/>
            <w:vAlign w:val="center"/>
          </w:tcPr>
          <w:p w14:paraId="23B26105">
            <w:pPr>
              <w:spacing w:line="360" w:lineRule="auto"/>
              <w:rPr>
                <w:rFonts w:ascii="宋体" w:hAnsi="宋体" w:cs="宋体"/>
                <w:color w:val="auto"/>
                <w:szCs w:val="21"/>
                <w:highlight w:val="none"/>
              </w:rPr>
            </w:pPr>
            <w:r>
              <w:rPr>
                <w:rFonts w:hint="eastAsia" w:ascii="宋体" w:hAnsi="宋体" w:cs="宋体"/>
                <w:color w:val="auto"/>
                <w:szCs w:val="21"/>
                <w:highlight w:val="none"/>
              </w:rPr>
              <w:t>临桂区财政局       电话：0773-5593932</w:t>
            </w:r>
          </w:p>
        </w:tc>
      </w:tr>
    </w:tbl>
    <w:p w14:paraId="1FE31492">
      <w:pPr>
        <w:rPr>
          <w:color w:val="auto"/>
          <w:highlight w:val="none"/>
        </w:rPr>
      </w:pPr>
      <w:bookmarkStart w:id="19" w:name="_Toc22792"/>
    </w:p>
    <w:p w14:paraId="6601BB4E">
      <w:pPr>
        <w:pStyle w:val="14"/>
        <w:rPr>
          <w:color w:val="auto"/>
          <w:highlight w:val="none"/>
        </w:rPr>
      </w:pPr>
      <w:r>
        <w:rPr>
          <w:color w:val="auto"/>
          <w:highlight w:val="none"/>
        </w:rPr>
        <w:br w:type="page"/>
      </w:r>
    </w:p>
    <w:p w14:paraId="44372EAF">
      <w:pPr>
        <w:rPr>
          <w:color w:val="auto"/>
          <w:highlight w:val="none"/>
        </w:rPr>
      </w:pPr>
    </w:p>
    <w:p w14:paraId="6598E088">
      <w:pPr>
        <w:pStyle w:val="3"/>
        <w:jc w:val="center"/>
        <w:rPr>
          <w:rFonts w:ascii="宋体" w:hAnsi="宋体" w:cs="宋体"/>
          <w:bCs w:val="0"/>
          <w:color w:val="auto"/>
          <w:szCs w:val="28"/>
          <w:highlight w:val="none"/>
        </w:rPr>
      </w:pPr>
      <w:bookmarkStart w:id="20" w:name="_Toc11269"/>
      <w:r>
        <w:rPr>
          <w:rFonts w:hint="eastAsia" w:ascii="宋体" w:hAnsi="宋体" w:cs="宋体"/>
          <w:bCs w:val="0"/>
          <w:color w:val="auto"/>
          <w:szCs w:val="28"/>
          <w:highlight w:val="none"/>
        </w:rPr>
        <w:t>一、总则</w:t>
      </w:r>
      <w:bookmarkEnd w:id="19"/>
      <w:bookmarkEnd w:id="20"/>
    </w:p>
    <w:p w14:paraId="34EAA3CA">
      <w:pPr>
        <w:pStyle w:val="4"/>
        <w:spacing w:line="360" w:lineRule="auto"/>
        <w:ind w:firstLine="422" w:firstLineChars="200"/>
        <w:rPr>
          <w:rFonts w:ascii="宋体" w:hAnsi="宋体" w:cs="宋体"/>
          <w:color w:val="auto"/>
          <w:sz w:val="21"/>
          <w:szCs w:val="21"/>
          <w:highlight w:val="none"/>
        </w:rPr>
      </w:pPr>
      <w:bookmarkStart w:id="21" w:name="_Toc6626"/>
      <w:bookmarkStart w:id="22" w:name="_Toc11429"/>
      <w:r>
        <w:rPr>
          <w:rFonts w:hint="eastAsia" w:ascii="宋体" w:hAnsi="宋体" w:cs="宋体"/>
          <w:color w:val="auto"/>
          <w:sz w:val="21"/>
          <w:szCs w:val="21"/>
          <w:highlight w:val="none"/>
        </w:rPr>
        <w:t>1. 适应范围</w:t>
      </w:r>
      <w:bookmarkEnd w:id="21"/>
      <w:bookmarkEnd w:id="22"/>
    </w:p>
    <w:p w14:paraId="289A42D1">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1.1  项目名称及项目编号：</w:t>
      </w:r>
    </w:p>
    <w:p w14:paraId="41021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项目名称：桂林市公安局临桂分局移动警务双系统警务通服务项目</w:t>
      </w:r>
    </w:p>
    <w:p w14:paraId="08F432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项目编号：GLZC2025-C3-120078-GXAZ</w:t>
      </w:r>
    </w:p>
    <w:p w14:paraId="1B534E33">
      <w:pPr>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1.2本竞争性磋商文件（以下简称磋商文件）适用于本磋商项目的磋商、评审、合同履约、验收、付款等行为（法律、法规另有规定的，从其规定）。</w:t>
      </w:r>
    </w:p>
    <w:p w14:paraId="65EBBDA9">
      <w:pPr>
        <w:pStyle w:val="4"/>
        <w:spacing w:line="360" w:lineRule="auto"/>
        <w:ind w:firstLine="422" w:firstLineChars="200"/>
        <w:rPr>
          <w:rFonts w:ascii="宋体" w:hAnsi="宋体" w:cs="宋体"/>
          <w:color w:val="auto"/>
          <w:sz w:val="21"/>
          <w:szCs w:val="21"/>
          <w:highlight w:val="none"/>
        </w:rPr>
      </w:pPr>
      <w:bookmarkStart w:id="23" w:name="_Toc28336"/>
      <w:bookmarkStart w:id="24" w:name="_Toc25502"/>
      <w:r>
        <w:rPr>
          <w:rFonts w:hint="eastAsia" w:ascii="宋体" w:hAnsi="宋体" w:cs="宋体"/>
          <w:color w:val="auto"/>
          <w:sz w:val="21"/>
          <w:szCs w:val="21"/>
          <w:highlight w:val="none"/>
        </w:rPr>
        <w:t>2. 定义</w:t>
      </w:r>
      <w:bookmarkEnd w:id="23"/>
      <w:bookmarkEnd w:id="24"/>
    </w:p>
    <w:p w14:paraId="1FD7F302">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14:paraId="3A925BCF">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2.2“货物”系指按磋商文件规定，供应商须向采购人提供的一切设备、保险、税金、备品备件、工具、手册及其它有关技术资料和材料。</w:t>
      </w:r>
    </w:p>
    <w:p w14:paraId="1BD8E400">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14:paraId="6AAF98A2">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14:paraId="6D7F6760">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2.5“书面形式”包括信函、传真、电报等。</w:t>
      </w:r>
    </w:p>
    <w:p w14:paraId="4BADB6A0">
      <w:pPr>
        <w:spacing w:line="360" w:lineRule="exact"/>
        <w:ind w:firstLine="435"/>
        <w:rPr>
          <w:rFonts w:ascii="宋体" w:hAnsi="宋体" w:cs="宋体"/>
          <w:b/>
          <w:color w:val="auto"/>
          <w:sz w:val="24"/>
          <w:highlight w:val="none"/>
        </w:rPr>
      </w:pPr>
      <w:r>
        <w:rPr>
          <w:rFonts w:hint="eastAsia" w:ascii="宋体" w:hAnsi="宋体" w:cs="宋体"/>
          <w:b/>
          <w:color w:val="auto"/>
          <w:sz w:val="24"/>
          <w:highlight w:val="none"/>
          <w:u w:val="single"/>
        </w:rPr>
        <w:t>2.6实质性要求：</w:t>
      </w:r>
      <w:r>
        <w:rPr>
          <w:rFonts w:hint="eastAsia" w:ascii="宋体" w:hAnsi="宋体" w:cs="宋体"/>
          <w:b/>
          <w:color w:val="auto"/>
          <w:szCs w:val="21"/>
          <w:highlight w:val="none"/>
          <w:u w:val="single"/>
        </w:rPr>
        <w:t>“服务采购需求”</w:t>
      </w:r>
      <w:r>
        <w:rPr>
          <w:rFonts w:hint="eastAsia"/>
          <w:color w:val="auto"/>
          <w:highlight w:val="none"/>
        </w:rPr>
        <w:t xml:space="preserve"> </w:t>
      </w:r>
      <w:r>
        <w:rPr>
          <w:rFonts w:hint="eastAsia" w:ascii="宋体" w:hAnsi="宋体" w:cs="宋体"/>
          <w:b/>
          <w:color w:val="auto"/>
          <w:szCs w:val="21"/>
          <w:highlight w:val="none"/>
          <w:u w:val="single"/>
        </w:rPr>
        <w:t>中标注“★”项的条款以及招标文件中要求“必须提供”的条款均属于实质性要求，不允许负偏离，否则投标无效，标注“▲”号的技术条款系指与项目实际紧密相关的功能条款、技术指标，将作为设备性能评审依据。</w:t>
      </w:r>
    </w:p>
    <w:p w14:paraId="6243EF91">
      <w:pPr>
        <w:pStyle w:val="4"/>
        <w:spacing w:line="360" w:lineRule="auto"/>
        <w:ind w:firstLine="422" w:firstLineChars="200"/>
        <w:rPr>
          <w:rFonts w:ascii="宋体" w:hAnsi="宋体" w:cs="宋体"/>
          <w:color w:val="auto"/>
          <w:sz w:val="21"/>
          <w:szCs w:val="21"/>
          <w:highlight w:val="none"/>
        </w:rPr>
      </w:pPr>
      <w:bookmarkStart w:id="25" w:name="_Toc25441"/>
      <w:bookmarkStart w:id="26" w:name="_Toc3027"/>
      <w:r>
        <w:rPr>
          <w:rFonts w:hint="eastAsia" w:ascii="宋体" w:hAnsi="宋体" w:cs="宋体"/>
          <w:color w:val="auto"/>
          <w:sz w:val="21"/>
          <w:szCs w:val="21"/>
          <w:highlight w:val="none"/>
        </w:rPr>
        <w:t>3. 供应商资格</w:t>
      </w:r>
      <w:bookmarkEnd w:id="25"/>
      <w:bookmarkEnd w:id="26"/>
    </w:p>
    <w:p w14:paraId="634A668A">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3.1符合《中华人民共和国政府采购法》第二十二条和《政府采购法实施条例》第十八条规定，具备合法资格的供应商；</w:t>
      </w:r>
    </w:p>
    <w:p w14:paraId="384CA64F">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3.2本项目不接受联合体参与磋商；</w:t>
      </w:r>
    </w:p>
    <w:p w14:paraId="6F94E6EF">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E6C4E8B">
      <w:pPr>
        <w:spacing w:line="360" w:lineRule="exact"/>
        <w:ind w:firstLine="420" w:firstLineChars="200"/>
        <w:rPr>
          <w:rFonts w:ascii="宋体" w:hAnsi="宋体" w:cs="宋体"/>
          <w:b/>
          <w:bCs/>
          <w:color w:val="auto"/>
          <w:szCs w:val="21"/>
          <w:highlight w:val="none"/>
        </w:rPr>
      </w:pPr>
      <w:bookmarkStart w:id="27" w:name="_Toc16496"/>
      <w:r>
        <w:rPr>
          <w:rFonts w:hint="eastAsia" w:ascii="宋体" w:hAnsi="宋体" w:cs="宋体"/>
          <w:color w:val="auto"/>
          <w:szCs w:val="21"/>
          <w:highlight w:val="none"/>
        </w:rPr>
        <w:t>3.4落实政府采购政策需满足的资格要求：本项目非专门面向中小微企业，所属行业为：</w:t>
      </w:r>
      <w:r>
        <w:rPr>
          <w:rFonts w:hint="eastAsia" w:asciiTheme="minorEastAsia" w:hAnsiTheme="minorEastAsia" w:eastAsiaTheme="minorEastAsia" w:cstheme="minorEastAsia"/>
          <w:b/>
          <w:bCs/>
          <w:color w:val="auto"/>
          <w:szCs w:val="21"/>
          <w:highlight w:val="none"/>
        </w:rPr>
        <w:t>信息传输业 ※</w:t>
      </w:r>
      <w:r>
        <w:rPr>
          <w:rFonts w:hint="eastAsia" w:ascii="宋体" w:hAnsi="宋体" w:cs="宋体"/>
          <w:color w:val="auto"/>
          <w:szCs w:val="21"/>
          <w:highlight w:val="none"/>
        </w:rPr>
        <w:t>。</w:t>
      </w:r>
    </w:p>
    <w:p w14:paraId="5C0DFDBD">
      <w:pPr>
        <w:pStyle w:val="4"/>
        <w:spacing w:line="360" w:lineRule="auto"/>
        <w:ind w:firstLine="420" w:firstLineChars="200"/>
        <w:rPr>
          <w:rFonts w:ascii="宋体" w:hAnsi="宋体" w:cs="宋体"/>
          <w:color w:val="auto"/>
          <w:sz w:val="21"/>
          <w:szCs w:val="21"/>
          <w:highlight w:val="none"/>
        </w:rPr>
      </w:pPr>
      <w:bookmarkStart w:id="28" w:name="_Toc4527"/>
      <w:bookmarkStart w:id="29" w:name="_Toc5736"/>
      <w:bookmarkStart w:id="30" w:name="_Toc1216"/>
      <w:bookmarkStart w:id="31" w:name="_Toc19004"/>
      <w:r>
        <w:rPr>
          <w:rFonts w:hint="eastAsia" w:ascii="宋体" w:hAnsi="宋体" w:cs="宋体"/>
          <w:b w:val="0"/>
          <w:color w:val="auto"/>
          <w:sz w:val="21"/>
          <w:szCs w:val="21"/>
          <w:highlight w:val="none"/>
        </w:rPr>
        <w:t>3.5本项目的特定资格要求：</w:t>
      </w:r>
      <w:bookmarkEnd w:id="28"/>
      <w:bookmarkEnd w:id="29"/>
      <w:r>
        <w:rPr>
          <w:rFonts w:hint="eastAsia" w:ascii="宋体" w:hAnsi="宋体" w:cs="宋体"/>
          <w:b w:val="0"/>
          <w:color w:val="auto"/>
          <w:sz w:val="21"/>
          <w:szCs w:val="21"/>
          <w:highlight w:val="none"/>
        </w:rPr>
        <w:t>无。</w:t>
      </w:r>
      <w:bookmarkEnd w:id="30"/>
      <w:bookmarkEnd w:id="31"/>
    </w:p>
    <w:p w14:paraId="1FCC344C">
      <w:pPr>
        <w:pStyle w:val="4"/>
        <w:spacing w:line="360" w:lineRule="auto"/>
        <w:ind w:firstLine="422" w:firstLineChars="200"/>
        <w:rPr>
          <w:rFonts w:ascii="宋体" w:hAnsi="宋体" w:cs="宋体"/>
          <w:color w:val="auto"/>
          <w:sz w:val="21"/>
          <w:szCs w:val="21"/>
          <w:highlight w:val="none"/>
        </w:rPr>
      </w:pPr>
      <w:bookmarkStart w:id="32" w:name="_Toc31367"/>
      <w:r>
        <w:rPr>
          <w:rFonts w:hint="eastAsia" w:ascii="宋体" w:hAnsi="宋体" w:cs="宋体"/>
          <w:color w:val="auto"/>
          <w:sz w:val="21"/>
          <w:szCs w:val="21"/>
          <w:highlight w:val="none"/>
        </w:rPr>
        <w:t>4. 磋商费用</w:t>
      </w:r>
      <w:bookmarkEnd w:id="27"/>
      <w:bookmarkEnd w:id="32"/>
    </w:p>
    <w:p w14:paraId="77FF0C04">
      <w:pPr>
        <w:tabs>
          <w:tab w:val="left" w:pos="1635"/>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不论磋商结果如何，供应商均应自行承担所有与磋商有关的全部费用。</w:t>
      </w:r>
    </w:p>
    <w:p w14:paraId="0E7CEF71">
      <w:pPr>
        <w:pStyle w:val="4"/>
        <w:numPr>
          <w:ilvl w:val="0"/>
          <w:numId w:val="2"/>
        </w:numPr>
        <w:spacing w:line="360" w:lineRule="auto"/>
        <w:ind w:firstLine="422" w:firstLineChars="200"/>
        <w:rPr>
          <w:rFonts w:ascii="宋体" w:hAnsi="宋体" w:cs="宋体"/>
          <w:color w:val="auto"/>
          <w:sz w:val="21"/>
          <w:szCs w:val="21"/>
          <w:highlight w:val="none"/>
        </w:rPr>
      </w:pPr>
      <w:bookmarkStart w:id="33" w:name="_Toc6137"/>
      <w:bookmarkStart w:id="34" w:name="_Toc31376"/>
      <w:r>
        <w:rPr>
          <w:rFonts w:hint="eastAsia" w:ascii="宋体" w:hAnsi="宋体" w:cs="宋体"/>
          <w:color w:val="auto"/>
          <w:sz w:val="21"/>
          <w:szCs w:val="21"/>
          <w:highlight w:val="none"/>
        </w:rPr>
        <w:t>联合体要求</w:t>
      </w:r>
      <w:bookmarkEnd w:id="33"/>
      <w:bookmarkEnd w:id="34"/>
    </w:p>
    <w:p w14:paraId="69FA6A6F">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本项目不接受联合体参与磋商</w:t>
      </w:r>
      <w:bookmarkStart w:id="35" w:name="_Toc6998"/>
    </w:p>
    <w:p w14:paraId="46D220DB">
      <w:pPr>
        <w:pStyle w:val="4"/>
        <w:numPr>
          <w:ilvl w:val="0"/>
          <w:numId w:val="2"/>
        </w:numPr>
        <w:spacing w:line="360" w:lineRule="auto"/>
        <w:ind w:firstLine="422" w:firstLineChars="200"/>
        <w:rPr>
          <w:rFonts w:ascii="宋体" w:hAnsi="宋体" w:cs="宋体"/>
          <w:color w:val="auto"/>
          <w:sz w:val="21"/>
          <w:szCs w:val="21"/>
          <w:highlight w:val="none"/>
        </w:rPr>
      </w:pPr>
      <w:bookmarkStart w:id="36" w:name="_Toc8700"/>
      <w:r>
        <w:rPr>
          <w:rFonts w:hint="eastAsia" w:ascii="宋体" w:hAnsi="宋体" w:cs="宋体"/>
          <w:color w:val="auto"/>
          <w:sz w:val="21"/>
          <w:szCs w:val="21"/>
          <w:highlight w:val="none"/>
        </w:rPr>
        <w:t>转包与分包</w:t>
      </w:r>
      <w:bookmarkEnd w:id="35"/>
      <w:bookmarkEnd w:id="36"/>
    </w:p>
    <w:p w14:paraId="0643470E">
      <w:pPr>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 本项目不允许转包。</w:t>
      </w:r>
    </w:p>
    <w:p w14:paraId="5E09A13A">
      <w:pPr>
        <w:ind w:firstLine="420" w:firstLineChars="200"/>
        <w:rPr>
          <w:rFonts w:ascii="宋体" w:hAnsi="宋体" w:cs="宋体"/>
          <w:bCs/>
          <w:color w:val="auto"/>
          <w:szCs w:val="21"/>
          <w:highlight w:val="none"/>
        </w:rPr>
      </w:pPr>
      <w:r>
        <w:rPr>
          <w:rFonts w:hint="eastAsia" w:asciiTheme="minorEastAsia" w:hAnsiTheme="minorEastAsia" w:eastAsiaTheme="minorEastAsia" w:cstheme="minorEastAsia"/>
          <w:color w:val="auto"/>
          <w:highlight w:val="none"/>
        </w:rPr>
        <w:t xml:space="preserve">6.2 </w:t>
      </w:r>
      <w:r>
        <w:rPr>
          <w:rFonts w:hint="eastAsia"/>
          <w:color w:val="auto"/>
          <w:highlight w:val="none"/>
        </w:rPr>
        <w:t>本项目不可以分包。</w:t>
      </w:r>
    </w:p>
    <w:p w14:paraId="327B104D">
      <w:pPr>
        <w:pStyle w:val="4"/>
        <w:spacing w:line="360" w:lineRule="auto"/>
        <w:ind w:firstLine="422" w:firstLineChars="200"/>
        <w:rPr>
          <w:rFonts w:ascii="宋体" w:hAnsi="宋体" w:cs="宋体"/>
          <w:color w:val="auto"/>
          <w:sz w:val="21"/>
          <w:szCs w:val="21"/>
          <w:highlight w:val="none"/>
        </w:rPr>
      </w:pPr>
      <w:bookmarkStart w:id="37" w:name="_Toc219"/>
      <w:bookmarkStart w:id="38" w:name="_Toc4152"/>
      <w:r>
        <w:rPr>
          <w:rFonts w:hint="eastAsia" w:ascii="宋体" w:hAnsi="宋体" w:cs="宋体"/>
          <w:color w:val="auto"/>
          <w:sz w:val="21"/>
          <w:szCs w:val="21"/>
          <w:highlight w:val="none"/>
        </w:rPr>
        <w:t>7. 质疑和投诉</w:t>
      </w:r>
      <w:bookmarkEnd w:id="37"/>
      <w:bookmarkEnd w:id="38"/>
      <w:r>
        <w:rPr>
          <w:rFonts w:hint="eastAsia" w:ascii="宋体" w:hAnsi="宋体" w:cs="宋体"/>
          <w:color w:val="auto"/>
          <w:sz w:val="21"/>
          <w:szCs w:val="21"/>
          <w:highlight w:val="none"/>
        </w:rPr>
        <w:tab/>
      </w:r>
    </w:p>
    <w:p w14:paraId="362D38D5">
      <w:pPr>
        <w:tabs>
          <w:tab w:val="left" w:pos="2190"/>
        </w:tabs>
        <w:spacing w:line="360" w:lineRule="exact"/>
        <w:ind w:firstLine="435"/>
        <w:rPr>
          <w:rFonts w:ascii="宋体" w:hAnsi="宋体" w:cs="宋体"/>
          <w:color w:val="auto"/>
          <w:szCs w:val="21"/>
          <w:highlight w:val="none"/>
        </w:rPr>
      </w:pPr>
      <w:bookmarkStart w:id="39" w:name="_Toc8195"/>
      <w:bookmarkStart w:id="40" w:name="_Toc26087"/>
      <w:r>
        <w:rPr>
          <w:rFonts w:hint="eastAsia" w:ascii="宋体" w:hAnsi="宋体" w:cs="宋体"/>
          <w:color w:val="auto"/>
          <w:szCs w:val="21"/>
          <w:highlight w:val="none"/>
        </w:rPr>
        <w:t>7.1供应对政府采购活动事项有疑问的，可以向采购人提出询问。</w:t>
      </w:r>
    </w:p>
    <w:p w14:paraId="7FEA1B91">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7.2供应商认为磋商文件使自己的合法权益受到损害的，应当在竞争性磋商公告期限届满之日起七个工作日内，以书面形式向采购代理机构（广西安臻工程管理有限公司）提出质疑。供应商认为采购过程或成交结果使自己的合法权益受到损害的，应当在各采购程序环节结束之日起七个工作日内，以书面形式向采购代理机构（广西安臻工程管理有限公司）提出质疑。采购代理机构应认真做好质疑处理工作。</w:t>
      </w:r>
    </w:p>
    <w:p w14:paraId="533081DC">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7.3供应商对采购代理机构的质疑答复不满意或者采购代理机构未在规定的时间内作出答复的，可以在答复期满后十五个工作日内向本级财政部门投诉。</w:t>
      </w:r>
    </w:p>
    <w:p w14:paraId="06F2BC40">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7.4质疑、投诉应当采用书面形式，质疑书、投诉书实行实名制，均应明确阐述磋商文件、采购过程或成交结果中使自己合法权益受到损害的实质性内容，提供相关事实、明确的请求，并提供必要的证明材料。</w:t>
      </w:r>
    </w:p>
    <w:p w14:paraId="292CA93C">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7.5质疑联系部门：广西安臻工程管理有限公司；联系电话：18078360291；</w:t>
      </w:r>
    </w:p>
    <w:p w14:paraId="31652F4D">
      <w:pPr>
        <w:tabs>
          <w:tab w:val="left" w:pos="2190"/>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Theme="minorEastAsia" w:hAnsiTheme="minorEastAsia" w:eastAsiaTheme="minorEastAsia" w:cstheme="minorEastAsia"/>
          <w:color w:val="auto"/>
          <w:szCs w:val="21"/>
          <w:highlight w:val="none"/>
        </w:rPr>
        <w:t>临桂区临桂镇仕通路69号精通.伊顿国际</w:t>
      </w:r>
      <w:r>
        <w:rPr>
          <w:rFonts w:hint="eastAsia" w:ascii="宋体" w:hAnsi="宋体" w:cs="宋体"/>
          <w:color w:val="auto"/>
          <w:szCs w:val="21"/>
          <w:highlight w:val="none"/>
        </w:rPr>
        <w:t>。</w:t>
      </w:r>
    </w:p>
    <w:p w14:paraId="11D461E9">
      <w:pPr>
        <w:tabs>
          <w:tab w:val="left" w:pos="2190"/>
        </w:tabs>
        <w:spacing w:line="360" w:lineRule="exact"/>
        <w:ind w:firstLine="435"/>
        <w:rPr>
          <w:color w:val="auto"/>
          <w:highlight w:val="none"/>
        </w:rPr>
      </w:pPr>
      <w:r>
        <w:rPr>
          <w:rFonts w:hint="eastAsia" w:ascii="宋体" w:hAnsi="宋体" w:cs="宋体"/>
          <w:color w:val="auto"/>
          <w:szCs w:val="21"/>
          <w:highlight w:val="none"/>
        </w:rPr>
        <w:t>7.6 投诉联系部门：</w:t>
      </w:r>
      <w:bookmarkEnd w:id="39"/>
      <w:bookmarkEnd w:id="40"/>
      <w:r>
        <w:rPr>
          <w:rFonts w:hint="eastAsia" w:ascii="宋体" w:hAnsi="宋体" w:cs="宋体"/>
          <w:color w:val="auto"/>
          <w:szCs w:val="21"/>
          <w:highlight w:val="none"/>
        </w:rPr>
        <w:t>临桂区财政局       电话：0773-5593932。</w:t>
      </w:r>
    </w:p>
    <w:p w14:paraId="1BBCDF52">
      <w:pPr>
        <w:pStyle w:val="29"/>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7.7 供应商在法定质疑期内应当一次性提出针对同一采购程序环节的质疑。</w:t>
      </w:r>
    </w:p>
    <w:p w14:paraId="37CFFEB1">
      <w:pPr>
        <w:pStyle w:val="29"/>
        <w:ind w:firstLine="420" w:firstLineChars="200"/>
        <w:rPr>
          <w:rFonts w:ascii="宋体" w:hAnsi="宋体" w:cs="宋体"/>
          <w:color w:val="auto"/>
          <w:szCs w:val="21"/>
          <w:highlight w:val="none"/>
        </w:rPr>
      </w:pPr>
      <w:r>
        <w:rPr>
          <w:rFonts w:hint="eastAsia" w:ascii="宋体" w:hAnsi="宋体" w:cs="宋体"/>
          <w:color w:val="auto"/>
          <w:kern w:val="2"/>
          <w:sz w:val="21"/>
          <w:szCs w:val="21"/>
          <w:highlight w:val="none"/>
        </w:rPr>
        <w:t>7.8 不在法定质疑期内提出的质疑函可以拒收。不符合要求的质疑函在法定质疑期内及时补充完整，否则作质疑不成立处理。</w:t>
      </w:r>
    </w:p>
    <w:p w14:paraId="416AA517">
      <w:pPr>
        <w:pStyle w:val="4"/>
        <w:spacing w:line="360" w:lineRule="auto"/>
        <w:ind w:firstLine="422" w:firstLineChars="200"/>
        <w:rPr>
          <w:rFonts w:ascii="宋体" w:hAnsi="宋体" w:cs="宋体"/>
          <w:color w:val="auto"/>
          <w:sz w:val="21"/>
          <w:szCs w:val="21"/>
          <w:highlight w:val="none"/>
        </w:rPr>
      </w:pPr>
      <w:bookmarkStart w:id="41" w:name="_Toc3368"/>
      <w:bookmarkStart w:id="42" w:name="_Toc16823"/>
      <w:r>
        <w:rPr>
          <w:rFonts w:hint="eastAsia" w:ascii="宋体" w:hAnsi="宋体" w:cs="宋体"/>
          <w:color w:val="auto"/>
          <w:sz w:val="21"/>
          <w:szCs w:val="21"/>
          <w:highlight w:val="none"/>
        </w:rPr>
        <w:t>8. 特别说明</w:t>
      </w:r>
      <w:bookmarkEnd w:id="41"/>
      <w:bookmarkEnd w:id="42"/>
    </w:p>
    <w:p w14:paraId="334C4690">
      <w:pPr>
        <w:tabs>
          <w:tab w:val="left" w:pos="1635"/>
        </w:tabs>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8.1关联供应商不得参加同一合同项下政府采购活动，否则响应文件将被视为无效：</w:t>
      </w:r>
    </w:p>
    <w:p w14:paraId="103BC8AC">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（1）单位负责人为同一人或者存在直接控股、管理关系的，不得参加同一合同项下的政府采购活动。</w:t>
      </w:r>
    </w:p>
    <w:p w14:paraId="608E3776">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4AF2A6EC">
      <w:pPr>
        <w:tabs>
          <w:tab w:val="left" w:pos="1635"/>
        </w:tabs>
        <w:spacing w:line="360" w:lineRule="exact"/>
        <w:ind w:firstLine="435"/>
        <w:rPr>
          <w:rFonts w:ascii="宋体" w:hAnsi="宋体" w:cs="宋体"/>
          <w:b/>
          <w:bCs/>
          <w:color w:val="auto"/>
          <w:szCs w:val="21"/>
          <w:highlight w:val="none"/>
        </w:rPr>
      </w:pPr>
      <w:r>
        <w:rPr>
          <w:rFonts w:hint="eastAsia" w:ascii="宋体" w:hAnsi="宋体" w:cs="宋体"/>
          <w:b/>
          <w:color w:val="auto"/>
          <w:szCs w:val="21"/>
          <w:highlight w:val="none"/>
        </w:rPr>
        <w:t>8.2</w:t>
      </w:r>
      <w:r>
        <w:rPr>
          <w:rFonts w:hint="eastAsia" w:ascii="宋体" w:hAnsi="宋体" w:cs="宋体"/>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59FA8BA4">
      <w:pPr>
        <w:pStyle w:val="8"/>
        <w:rPr>
          <w:rFonts w:ascii="宋体" w:hAnsi="宋体" w:cs="宋体"/>
          <w:color w:val="auto"/>
          <w:highlight w:val="none"/>
        </w:rPr>
      </w:pPr>
    </w:p>
    <w:p w14:paraId="7BCBFF98">
      <w:pPr>
        <w:pStyle w:val="3"/>
        <w:jc w:val="center"/>
        <w:rPr>
          <w:rFonts w:ascii="宋体" w:hAnsi="宋体" w:cs="宋体"/>
          <w:bCs w:val="0"/>
          <w:color w:val="auto"/>
          <w:szCs w:val="28"/>
          <w:highlight w:val="none"/>
        </w:rPr>
      </w:pPr>
      <w:bookmarkStart w:id="43" w:name="_Toc22498"/>
      <w:bookmarkStart w:id="44" w:name="_Toc10790"/>
      <w:r>
        <w:rPr>
          <w:rFonts w:hint="eastAsia" w:ascii="宋体" w:hAnsi="宋体" w:cs="宋体"/>
          <w:bCs w:val="0"/>
          <w:color w:val="auto"/>
          <w:szCs w:val="28"/>
          <w:highlight w:val="none"/>
        </w:rPr>
        <w:t>二、磋商文件</w:t>
      </w:r>
      <w:bookmarkEnd w:id="43"/>
      <w:bookmarkEnd w:id="44"/>
    </w:p>
    <w:p w14:paraId="5C19756F">
      <w:pPr>
        <w:pStyle w:val="4"/>
        <w:spacing w:line="360" w:lineRule="auto"/>
        <w:ind w:firstLine="422" w:firstLineChars="200"/>
        <w:rPr>
          <w:rFonts w:ascii="宋体" w:hAnsi="宋体" w:cs="宋体"/>
          <w:color w:val="auto"/>
          <w:sz w:val="21"/>
          <w:szCs w:val="21"/>
          <w:highlight w:val="none"/>
          <w:lang w:val="pt-BR"/>
        </w:rPr>
      </w:pPr>
      <w:bookmarkStart w:id="45" w:name="_Toc18964"/>
      <w:bookmarkStart w:id="46" w:name="_Toc25988"/>
      <w:r>
        <w:rPr>
          <w:rFonts w:hint="eastAsia" w:ascii="宋体" w:hAnsi="宋体" w:cs="宋体"/>
          <w:color w:val="auto"/>
          <w:sz w:val="21"/>
          <w:szCs w:val="21"/>
          <w:highlight w:val="none"/>
          <w:lang w:val="pt-BR"/>
        </w:rPr>
        <w:t xml:space="preserve">9. </w:t>
      </w:r>
      <w:r>
        <w:rPr>
          <w:rFonts w:hint="eastAsia" w:ascii="宋体" w:hAnsi="宋体" w:cs="宋体"/>
          <w:color w:val="auto"/>
          <w:sz w:val="21"/>
          <w:szCs w:val="21"/>
          <w:highlight w:val="none"/>
        </w:rPr>
        <w:t>磋商文件的构成</w:t>
      </w:r>
      <w:bookmarkEnd w:id="45"/>
      <w:bookmarkEnd w:id="46"/>
    </w:p>
    <w:p w14:paraId="57BB10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（1）竞争性磋商公告；</w:t>
      </w:r>
    </w:p>
    <w:p w14:paraId="3E636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（2）供应商须知；</w:t>
      </w:r>
    </w:p>
    <w:p w14:paraId="0633914D">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（3）采购需求</w:t>
      </w:r>
      <w:r>
        <w:rPr>
          <w:rFonts w:hint="eastAsia" w:ascii="宋体" w:hAnsi="宋体" w:cs="宋体"/>
          <w:bCs/>
          <w:color w:val="auto"/>
          <w:szCs w:val="21"/>
          <w:highlight w:val="none"/>
        </w:rPr>
        <w:t>；</w:t>
      </w:r>
    </w:p>
    <w:p w14:paraId="0359F0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（4）评审办法；</w:t>
      </w:r>
    </w:p>
    <w:p w14:paraId="2C6CE4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14:paraId="68990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（6）响应文件（格式）。</w:t>
      </w:r>
    </w:p>
    <w:p w14:paraId="52070845">
      <w:pPr>
        <w:pStyle w:val="4"/>
        <w:spacing w:line="360" w:lineRule="auto"/>
        <w:ind w:firstLine="422" w:firstLineChars="200"/>
        <w:rPr>
          <w:rFonts w:ascii="宋体" w:hAnsi="宋体" w:cs="宋体"/>
          <w:color w:val="auto"/>
          <w:sz w:val="21"/>
          <w:szCs w:val="21"/>
          <w:highlight w:val="none"/>
        </w:rPr>
      </w:pPr>
      <w:bookmarkStart w:id="47" w:name="_Toc13400"/>
      <w:bookmarkStart w:id="48" w:name="_Toc9103"/>
      <w:r>
        <w:rPr>
          <w:rFonts w:hint="eastAsia" w:ascii="宋体" w:hAnsi="宋体" w:cs="宋体"/>
          <w:color w:val="auto"/>
          <w:sz w:val="21"/>
          <w:szCs w:val="21"/>
          <w:highlight w:val="none"/>
        </w:rPr>
        <w:t>10. 磋商文件的澄清与修改</w:t>
      </w:r>
      <w:bookmarkEnd w:id="47"/>
      <w:bookmarkEnd w:id="48"/>
    </w:p>
    <w:p w14:paraId="754BA0E3">
      <w:pPr>
        <w:pStyle w:val="29"/>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44227C8E">
      <w:pPr>
        <w:pStyle w:val="29"/>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10.2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028C634E">
      <w:pPr>
        <w:pStyle w:val="29"/>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10.3澄清或者修改的内容为磋商文件的组成部分。当澄清或者修改通知就同一内容的表述不一致时，以最后发出的文件为准。</w:t>
      </w:r>
    </w:p>
    <w:p w14:paraId="13A333E5">
      <w:pPr>
        <w:pStyle w:val="29"/>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10.4 磋商文件的澄清或者修改都应该通过本项目采购代理机构以法定形式发布，采购人非通过本机构，不得擅自澄清或者修改磋商文件。</w:t>
      </w:r>
    </w:p>
    <w:p w14:paraId="6D3AB2A8">
      <w:pPr>
        <w:pStyle w:val="29"/>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10.5采购单位可以视采购具体情况，延长响应文件截止时间和磋商时间，在本项目竞争性磋商公告发布的同一媒体上发布变更公告。</w:t>
      </w:r>
    </w:p>
    <w:p w14:paraId="7FE4D5BB">
      <w:pPr>
        <w:pStyle w:val="29"/>
        <w:rPr>
          <w:rFonts w:ascii="宋体" w:hAnsi="宋体" w:cs="宋体"/>
          <w:color w:val="auto"/>
          <w:highlight w:val="none"/>
        </w:rPr>
      </w:pPr>
    </w:p>
    <w:p w14:paraId="08E86D22">
      <w:pPr>
        <w:pStyle w:val="3"/>
        <w:jc w:val="center"/>
        <w:rPr>
          <w:rFonts w:ascii="宋体" w:hAnsi="宋体" w:cs="宋体"/>
          <w:bCs w:val="0"/>
          <w:color w:val="auto"/>
          <w:szCs w:val="28"/>
          <w:highlight w:val="none"/>
        </w:rPr>
      </w:pPr>
      <w:bookmarkStart w:id="49" w:name="_Toc26688"/>
      <w:bookmarkStart w:id="50" w:name="_Toc20830"/>
      <w:r>
        <w:rPr>
          <w:rFonts w:hint="eastAsia" w:ascii="宋体" w:hAnsi="宋体" w:cs="宋体"/>
          <w:bCs w:val="0"/>
          <w:color w:val="auto"/>
          <w:szCs w:val="28"/>
          <w:highlight w:val="none"/>
        </w:rPr>
        <w:t>三、竞争性磋商响应文件的编制</w:t>
      </w:r>
      <w:bookmarkEnd w:id="49"/>
      <w:bookmarkEnd w:id="50"/>
    </w:p>
    <w:p w14:paraId="57AF711D">
      <w:pPr>
        <w:pStyle w:val="4"/>
        <w:spacing w:line="360" w:lineRule="auto"/>
        <w:ind w:firstLine="422" w:firstLineChars="200"/>
        <w:rPr>
          <w:rFonts w:ascii="宋体" w:hAnsi="宋体" w:cs="宋体"/>
          <w:color w:val="auto"/>
          <w:sz w:val="21"/>
          <w:szCs w:val="21"/>
          <w:highlight w:val="none"/>
        </w:rPr>
      </w:pPr>
      <w:bookmarkStart w:id="51" w:name="_Toc16848"/>
      <w:r>
        <w:rPr>
          <w:rFonts w:hint="eastAsia" w:ascii="宋体" w:hAnsi="宋体" w:cs="宋体"/>
          <w:color w:val="auto"/>
          <w:sz w:val="21"/>
          <w:szCs w:val="21"/>
          <w:highlight w:val="none"/>
        </w:rPr>
        <w:t>11.竞争性磋商响应文件编制基本要求</w:t>
      </w:r>
      <w:bookmarkEnd w:id="51"/>
    </w:p>
    <w:p w14:paraId="0093557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11.1 本项目实行电子投标，供应商应准备电子磋商响应文件：</w:t>
      </w:r>
    </w:p>
    <w:p w14:paraId="2F43116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11.1.1 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14:paraId="3AFF34F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11.2竞争性磋商响应文件（以下简称响应文件）的组成及要求</w:t>
      </w:r>
    </w:p>
    <w:p w14:paraId="6BA0EFC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11.2.1响应文件组成【格式见第六章“响应文件（格式）”】</w:t>
      </w:r>
    </w:p>
    <w:p w14:paraId="181C161E">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11.2.1.1资格性响应证明材料：</w:t>
      </w:r>
    </w:p>
    <w:p w14:paraId="088928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10E6B2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7D4763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①如供应商为截标时间前60日以内成立的公司，可以提供供应商与委托代理人签订的劳动合同复印件代替养老保险证明复印件；</w:t>
      </w:r>
    </w:p>
    <w:p w14:paraId="36C598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②如供应商为事业单位，可以提供事业单位机构编制管理证复印件或事业单位机构为其发放工资的工资条复印件代替养老保险证明复印件；</w:t>
      </w:r>
    </w:p>
    <w:p w14:paraId="5573EE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③如委托代理人为免缴纳社保人员，提供免缴纳社保的证明材料复印件及供应商与委托代理人签订的劳动合同复印件代替养老保险证明复印件。</w:t>
      </w:r>
    </w:p>
    <w:p w14:paraId="5B990F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color w:val="auto"/>
          <w:szCs w:val="21"/>
          <w:highlight w:val="none"/>
        </w:rPr>
        <w:t>】</w:t>
      </w:r>
      <w:r>
        <w:rPr>
          <w:rFonts w:hint="eastAsia" w:ascii="宋体" w:hAnsi="宋体" w:cs="宋体"/>
          <w:b/>
          <w:bCs/>
          <w:color w:val="auto"/>
          <w:szCs w:val="21"/>
          <w:highlight w:val="none"/>
        </w:rPr>
        <w:t>（委托代理时必须提供）</w:t>
      </w:r>
    </w:p>
    <w:p w14:paraId="19F8B18F">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74C085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color w:val="auto"/>
          <w:szCs w:val="21"/>
          <w:highlight w:val="none"/>
        </w:rPr>
        <w:t>（必须提供，自然人除外）；</w:t>
      </w:r>
    </w:p>
    <w:p w14:paraId="18C5D5D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u w:val="single"/>
        </w:rPr>
        <w:t>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如为分支机构或分公司参与投标，需提供具有法人资格的总公司的营业执照副本复印件及授权书，授权书须加盖总公司的公章。总公司可就本项目在一定范围及时间内出具授权书。已由总公司授权的，总公司取得的相关资质证书对分支机构或分公司有效，法律法规或者行业另有规定的除外。（所需材料均为复印件）</w:t>
      </w:r>
      <w:r>
        <w:rPr>
          <w:rFonts w:hint="eastAsia" w:ascii="宋体" w:hAnsi="宋体" w:cs="宋体"/>
          <w:b/>
          <w:bCs/>
          <w:color w:val="auto"/>
          <w:szCs w:val="21"/>
          <w:highlight w:val="none"/>
        </w:rPr>
        <w:t>。</w:t>
      </w:r>
    </w:p>
    <w:p w14:paraId="78A8E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的财务状况报告（提供2023年以来任意年度经审计的财务报告扫描件或者其基本开户银行出具的资信证明或者截标时间前半年内至少一个月能反映财务状况的报表或者供应商自拟的截标时间前半年内至少一个月的财务情况说明）</w:t>
      </w:r>
      <w:r>
        <w:rPr>
          <w:rFonts w:hint="eastAsia" w:ascii="宋体" w:hAnsi="宋体" w:cs="宋体"/>
          <w:b/>
          <w:color w:val="auto"/>
          <w:szCs w:val="21"/>
          <w:highlight w:val="none"/>
        </w:rPr>
        <w:t>（必须提供）；</w:t>
      </w:r>
    </w:p>
    <w:p w14:paraId="01F9F973">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（6）供应商近半年内任意一个月或任一季度依法缴纳税收的证明材料【增值税发票(税收完税证明)或企业所得税完税证明或税务部门出具的免税证明】复印件</w:t>
      </w:r>
      <w:r>
        <w:rPr>
          <w:rFonts w:hint="eastAsia" w:ascii="宋体" w:hAnsi="宋体" w:cs="宋体"/>
          <w:b/>
          <w:color w:val="auto"/>
          <w:szCs w:val="21"/>
          <w:highlight w:val="none"/>
        </w:rPr>
        <w:t>（必须提供）；</w:t>
      </w:r>
    </w:p>
    <w:p w14:paraId="08582F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（7）供应商近半年内任意一个月或任一季度依法缴纳社会保障资金的相关材料</w:t>
      </w:r>
      <w:r>
        <w:rPr>
          <w:rFonts w:hint="eastAsia" w:ascii="宋体" w:hAnsi="宋体" w:cs="宋体"/>
          <w:b/>
          <w:color w:val="auto"/>
          <w:szCs w:val="21"/>
          <w:highlight w:val="none"/>
        </w:rPr>
        <w:t>（必须提供）；</w:t>
      </w:r>
    </w:p>
    <w:p w14:paraId="6DE352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）《中小企业声明函》（见附件）</w:t>
      </w:r>
      <w:r>
        <w:rPr>
          <w:rFonts w:hint="eastAsia" w:ascii="宋体" w:hAnsi="宋体" w:cs="宋体"/>
          <w:b/>
          <w:color w:val="auto"/>
          <w:szCs w:val="21"/>
          <w:highlight w:val="none"/>
        </w:rPr>
        <w:t>（如有，请提供）；</w:t>
      </w:r>
    </w:p>
    <w:p w14:paraId="44D802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color w:val="auto"/>
          <w:szCs w:val="21"/>
          <w:highlight w:val="none"/>
        </w:rPr>
        <w:t>（如有，请提供）；</w:t>
      </w:r>
    </w:p>
    <w:p w14:paraId="2DDE12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）符合条件的残疾人福利性单位在参加政府采购活动时，应当提供《残疾人福利性单位声明函》（见附件），并对声明的真实性负责；</w:t>
      </w:r>
      <w:r>
        <w:rPr>
          <w:rFonts w:hint="eastAsia" w:ascii="宋体" w:hAnsi="宋体" w:cs="宋体"/>
          <w:b/>
          <w:color w:val="auto"/>
          <w:szCs w:val="21"/>
          <w:highlight w:val="none"/>
        </w:rPr>
        <w:t>（如有，请提供）。</w:t>
      </w:r>
    </w:p>
    <w:p w14:paraId="3B6E2060">
      <w:pPr>
        <w:pStyle w:val="23"/>
        <w:ind w:left="0" w:leftChars="0" w:firstLine="422"/>
        <w:rPr>
          <w:rFonts w:ascii="宋体" w:hAnsi="宋体" w:cs="宋体"/>
          <w:color w:val="auto"/>
          <w:highlight w:val="none"/>
        </w:rPr>
      </w:pPr>
      <w:r>
        <w:rPr>
          <w:rFonts w:hint="eastAsia" w:ascii="宋体" w:hAnsi="宋体" w:cs="宋体"/>
          <w:b/>
          <w:bCs/>
          <w:color w:val="auto"/>
          <w:szCs w:val="21"/>
          <w:highlight w:val="none"/>
        </w:rPr>
        <w:t>11.2.1.2符合性响应证明材料：</w:t>
      </w:r>
    </w:p>
    <w:p w14:paraId="0ADCCC88">
      <w:pPr>
        <w:spacing w:line="360" w:lineRule="auto"/>
        <w:ind w:firstLine="420" w:firstLineChars="200"/>
        <w:rPr>
          <w:rFonts w:ascii="宋体" w:hAnsi="宋体" w:cs="宋体"/>
          <w:color w:val="auto"/>
          <w:szCs w:val="21"/>
          <w:highlight w:val="none"/>
        </w:rPr>
      </w:pPr>
      <w:bookmarkStart w:id="52" w:name="_Toc16312"/>
      <w:bookmarkStart w:id="53" w:name="_Toc2809"/>
      <w:bookmarkStart w:id="54" w:name="_Toc28932"/>
      <w:r>
        <w:rPr>
          <w:rFonts w:hint="eastAsia" w:ascii="宋体" w:hAnsi="宋体" w:cs="宋体"/>
          <w:color w:val="auto"/>
          <w:szCs w:val="21"/>
          <w:highlight w:val="none"/>
        </w:rPr>
        <w:t>（1）响应函（格式见附件）</w:t>
      </w:r>
      <w:r>
        <w:rPr>
          <w:rFonts w:hint="eastAsia" w:ascii="宋体" w:hAnsi="宋体" w:cs="宋体"/>
          <w:b/>
          <w:color w:val="auto"/>
          <w:szCs w:val="21"/>
          <w:highlight w:val="none"/>
        </w:rPr>
        <w:t>（必须提供）</w:t>
      </w:r>
      <w:bookmarkEnd w:id="52"/>
      <w:r>
        <w:rPr>
          <w:rFonts w:hint="eastAsia" w:ascii="宋体" w:hAnsi="宋体" w:cs="宋体"/>
          <w:b/>
          <w:color w:val="auto"/>
          <w:szCs w:val="21"/>
          <w:highlight w:val="none"/>
        </w:rPr>
        <w:t>；</w:t>
      </w:r>
      <w:bookmarkEnd w:id="53"/>
      <w:bookmarkEnd w:id="54"/>
    </w:p>
    <w:p w14:paraId="539F4616">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20509B2D">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（3）针对本项目的实施方案（</w:t>
      </w:r>
      <w:r>
        <w:rPr>
          <w:rFonts w:hint="eastAsia"/>
          <w:color w:val="auto"/>
          <w:highlight w:val="none"/>
        </w:rPr>
        <w:t>根据“服务采购需求”要求提供，格式自拟</w:t>
      </w:r>
      <w:r>
        <w:rPr>
          <w:rFonts w:hint="eastAsia" w:ascii="宋体" w:hAnsi="宋体" w:cs="宋体"/>
          <w:color w:val="auto"/>
          <w:szCs w:val="21"/>
          <w:highlight w:val="none"/>
        </w:rPr>
        <w:t>）</w:t>
      </w:r>
      <w:r>
        <w:rPr>
          <w:rFonts w:hint="eastAsia" w:ascii="宋体" w:hAnsi="宋体" w:cs="宋体"/>
          <w:b/>
          <w:bCs/>
          <w:color w:val="auto"/>
          <w:szCs w:val="21"/>
          <w:highlight w:val="none"/>
        </w:rPr>
        <w:t>(必须提供)；</w:t>
      </w:r>
    </w:p>
    <w:p w14:paraId="4F5DD760">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（4）服务方案（由供应商根据本项目服务采购需求、特点及供应商自身的处理能力自行编写，承诺书内容至少应包括“采购需求”中的所有服务条款）（格式见附件）</w:t>
      </w:r>
      <w:r>
        <w:rPr>
          <w:rFonts w:hint="eastAsia" w:ascii="宋体" w:hAnsi="宋体" w:cs="宋体"/>
          <w:b/>
          <w:bCs/>
          <w:color w:val="auto"/>
          <w:szCs w:val="21"/>
          <w:highlight w:val="none"/>
        </w:rPr>
        <w:t>（必须提供）；</w:t>
      </w:r>
    </w:p>
    <w:p w14:paraId="10E1737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（5）技术及商务要求偏离表</w:t>
      </w:r>
      <w:r>
        <w:rPr>
          <w:rFonts w:hint="eastAsia" w:ascii="宋体" w:hAnsi="宋体" w:cs="宋体"/>
          <w:b/>
          <w:bCs/>
          <w:color w:val="auto"/>
          <w:szCs w:val="21"/>
          <w:highlight w:val="none"/>
        </w:rPr>
        <w:t>（必须提供）</w:t>
      </w:r>
    </w:p>
    <w:p w14:paraId="47D184D8">
      <w:pPr>
        <w:spacing w:line="360" w:lineRule="auto"/>
        <w:ind w:firstLine="420" w:firstLineChars="200"/>
        <w:rPr>
          <w:color w:val="auto"/>
          <w:highlight w:val="none"/>
        </w:rPr>
      </w:pPr>
      <w:r>
        <w:rPr>
          <w:rFonts w:hint="eastAsia" w:ascii="宋体" w:hAnsi="宋体" w:cs="宋体"/>
          <w:color w:val="auto"/>
          <w:szCs w:val="21"/>
          <w:highlight w:val="none"/>
        </w:rPr>
        <w:t>（6）</w:t>
      </w:r>
      <w:r>
        <w:rPr>
          <w:rFonts w:hint="eastAsia" w:cs="Courier New"/>
          <w:bCs/>
          <w:color w:val="auto"/>
          <w:kern w:val="1"/>
          <w:szCs w:val="21"/>
          <w:highlight w:val="none"/>
        </w:rPr>
        <w:t>技术方案</w:t>
      </w:r>
      <w:r>
        <w:rPr>
          <w:rFonts w:hint="eastAsia" w:ascii="宋体" w:hAnsi="宋体" w:cs="宋体"/>
          <w:color w:val="auto"/>
          <w:szCs w:val="21"/>
          <w:highlight w:val="none"/>
        </w:rPr>
        <w:t>（</w:t>
      </w:r>
      <w:r>
        <w:rPr>
          <w:rFonts w:hint="eastAsia"/>
          <w:color w:val="auto"/>
          <w:highlight w:val="none"/>
        </w:rPr>
        <w:t>根据“服务采购需求”要求提供，格式自拟</w:t>
      </w:r>
      <w:r>
        <w:rPr>
          <w:rFonts w:hint="eastAsia" w:ascii="宋体" w:hAnsi="宋体" w:cs="宋体"/>
          <w:color w:val="auto"/>
          <w:szCs w:val="21"/>
          <w:highlight w:val="none"/>
        </w:rPr>
        <w:t>）</w:t>
      </w:r>
      <w:r>
        <w:rPr>
          <w:rFonts w:hint="eastAsia" w:ascii="宋体" w:hAnsi="宋体" w:cs="宋体"/>
          <w:b/>
          <w:bCs/>
          <w:color w:val="auto"/>
          <w:szCs w:val="21"/>
          <w:highlight w:val="none"/>
        </w:rPr>
        <w:t>（必须提供）</w:t>
      </w:r>
    </w:p>
    <w:p w14:paraId="03043AA3">
      <w:pPr>
        <w:pStyle w:val="23"/>
        <w:ind w:left="0" w:leftChars="0" w:firstLine="422"/>
        <w:rPr>
          <w:rFonts w:ascii="宋体" w:hAnsi="宋体" w:cs="宋体"/>
          <w:b/>
          <w:bCs/>
          <w:color w:val="auto"/>
          <w:szCs w:val="21"/>
          <w:highlight w:val="none"/>
        </w:rPr>
      </w:pPr>
      <w:r>
        <w:rPr>
          <w:rFonts w:hint="eastAsia" w:ascii="宋体" w:hAnsi="宋体" w:cs="宋体"/>
          <w:b/>
          <w:bCs/>
          <w:color w:val="auto"/>
          <w:szCs w:val="21"/>
          <w:highlight w:val="none"/>
        </w:rPr>
        <w:t>11.2.1.3其他有效证明材料</w:t>
      </w:r>
    </w:p>
    <w:p w14:paraId="544A24C1">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（1）项目实施人员一览表（格式见附件）</w:t>
      </w:r>
      <w:r>
        <w:rPr>
          <w:rFonts w:hint="eastAsia" w:ascii="宋体" w:hAnsi="宋体" w:cs="宋体"/>
          <w:b/>
          <w:bCs/>
          <w:color w:val="auto"/>
          <w:szCs w:val="21"/>
          <w:highlight w:val="none"/>
        </w:rPr>
        <w:t>【如有，请提供】；</w:t>
      </w:r>
    </w:p>
    <w:p w14:paraId="3B70DA08">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（2）“采购需求”需提供的有效证明文件</w:t>
      </w:r>
      <w:r>
        <w:rPr>
          <w:rFonts w:hint="eastAsia" w:ascii="宋体" w:hAnsi="宋体" w:cs="宋体"/>
          <w:b/>
          <w:bCs/>
          <w:color w:val="auto"/>
          <w:szCs w:val="21"/>
          <w:highlight w:val="none"/>
        </w:rPr>
        <w:t>（如有，请提供）；</w:t>
      </w:r>
    </w:p>
    <w:p w14:paraId="73692E2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（3）供应商2022年1月1日以来具有同类项目的业绩相关证明材料（无不良记录，以中标、成交通知书或签订的合同为准，并能清晰反映项目的名称、采购内容、采购金额、采购时间）</w:t>
      </w:r>
      <w:r>
        <w:rPr>
          <w:rFonts w:hint="eastAsia" w:ascii="宋体" w:hAnsi="宋体" w:cs="宋体"/>
          <w:b/>
          <w:bCs/>
          <w:color w:val="auto"/>
          <w:szCs w:val="21"/>
          <w:highlight w:val="none"/>
        </w:rPr>
        <w:t>（如有，请提供）；</w:t>
      </w:r>
    </w:p>
    <w:p w14:paraId="251DB3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（4）供应商可结合本项目的评审办法视自身情况自行提交其它相关证明材料。</w:t>
      </w:r>
    </w:p>
    <w:p w14:paraId="7F816A13">
      <w:pPr>
        <w:spacing w:line="400" w:lineRule="exact"/>
        <w:ind w:firstLine="420"/>
        <w:rPr>
          <w:rFonts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提供的以上相关证明材料属于“必须提供”的文件应加盖磋商供应商公章（CA签章）/自然人签字或个人CA签章，否则响应无效。</w:t>
      </w:r>
    </w:p>
    <w:p w14:paraId="22CF50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供应商应按竞争性磋商文件第六章“响应文件（格式）”编制响应文件。</w:t>
      </w:r>
    </w:p>
    <w:p w14:paraId="064BDEFA">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w:t>
      </w:r>
    </w:p>
    <w:p w14:paraId="27B5DDB6">
      <w:pPr>
        <w:spacing w:line="36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（1）响</w:t>
      </w:r>
      <w:r>
        <w:rPr>
          <w:rFonts w:hint="eastAsia" w:ascii="宋体" w:hAnsi="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07074E23">
      <w:pPr>
        <w:numPr>
          <w:ilvl w:val="0"/>
          <w:numId w:val="3"/>
        </w:numPr>
        <w:spacing w:line="36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磋商文件要求法定代表人（负责人）或委托代理人签字的部分必须签字然后扫描或者拍照做成 pdf 格式上传（或加盖个人CA签章），无签字的视为响应无效。</w:t>
      </w:r>
    </w:p>
    <w:p w14:paraId="3E4D3EFA">
      <w:pPr>
        <w:pStyle w:val="4"/>
        <w:spacing w:line="360" w:lineRule="auto"/>
        <w:ind w:firstLine="422" w:firstLineChars="200"/>
        <w:rPr>
          <w:rFonts w:ascii="宋体" w:hAnsi="宋体" w:cs="宋体"/>
          <w:color w:val="auto"/>
          <w:sz w:val="21"/>
          <w:szCs w:val="21"/>
          <w:highlight w:val="none"/>
        </w:rPr>
      </w:pPr>
      <w:bookmarkStart w:id="55" w:name="_Toc2180"/>
      <w:bookmarkStart w:id="56" w:name="_Toc4603"/>
      <w:r>
        <w:rPr>
          <w:rFonts w:hint="eastAsia" w:ascii="宋体" w:hAnsi="宋体" w:cs="宋体"/>
          <w:color w:val="auto"/>
          <w:sz w:val="21"/>
          <w:szCs w:val="21"/>
          <w:highlight w:val="none"/>
        </w:rPr>
        <w:t>12. 响应文件的语言及计量</w:t>
      </w:r>
      <w:bookmarkEnd w:id="55"/>
      <w:bookmarkEnd w:id="56"/>
    </w:p>
    <w:p w14:paraId="3475C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248887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24CE639E">
      <w:pPr>
        <w:pStyle w:val="4"/>
        <w:spacing w:line="360" w:lineRule="auto"/>
        <w:ind w:firstLine="422" w:firstLineChars="200"/>
        <w:rPr>
          <w:rFonts w:ascii="宋体" w:hAnsi="宋体" w:cs="宋体"/>
          <w:color w:val="auto"/>
          <w:sz w:val="21"/>
          <w:szCs w:val="21"/>
          <w:highlight w:val="none"/>
        </w:rPr>
      </w:pPr>
      <w:bookmarkStart w:id="57" w:name="_Toc5340"/>
      <w:bookmarkStart w:id="58" w:name="_Toc10838"/>
      <w:r>
        <w:rPr>
          <w:rFonts w:hint="eastAsia" w:ascii="宋体" w:hAnsi="宋体" w:cs="宋体"/>
          <w:color w:val="auto"/>
          <w:sz w:val="21"/>
          <w:szCs w:val="21"/>
          <w:highlight w:val="none"/>
        </w:rPr>
        <w:t>13. 磋商报价及采购预算金额</w:t>
      </w:r>
      <w:bookmarkEnd w:id="57"/>
      <w:bookmarkEnd w:id="58"/>
    </w:p>
    <w:p w14:paraId="1CD07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 磋商报价应按磋商文件中相关附表格式填写。采购预算金额（人民币）：</w:t>
      </w:r>
      <w:r>
        <w:rPr>
          <w:rFonts w:hint="eastAsia" w:ascii="宋体" w:hAnsi="宋体" w:cs="宋体"/>
          <w:b/>
          <w:color w:val="auto"/>
          <w:szCs w:val="21"/>
          <w:highlight w:val="none"/>
          <w:u w:val="single"/>
        </w:rPr>
        <w:t>贰佰捌拾柒万伍仟叁佰贰拾元整</w:t>
      </w:r>
      <w:r>
        <w:rPr>
          <w:rFonts w:hint="eastAsia" w:ascii="宋体" w:hAnsi="宋体" w:cs="宋体"/>
          <w:b/>
          <w:bCs/>
          <w:color w:val="auto"/>
          <w:szCs w:val="21"/>
          <w:highlight w:val="none"/>
          <w:u w:val="single"/>
        </w:rPr>
        <w:t>（¥2875320.00元）</w:t>
      </w:r>
      <w:r>
        <w:rPr>
          <w:rFonts w:hint="eastAsia" w:ascii="宋体" w:hAnsi="宋体" w:cs="宋体"/>
          <w:color w:val="auto"/>
          <w:szCs w:val="21"/>
          <w:highlight w:val="none"/>
        </w:rPr>
        <w:t>。报价超过相应采购预算金额（最高限价）的，响应文件按无效处理。</w:t>
      </w:r>
    </w:p>
    <w:p w14:paraId="0517A0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768392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磋商报价应包括本次采购范围内货物价款、货物随配标准附件、包装、运输、装卸、保险、税金、货到位以及调试、检验、售后服务、培训、保修及其他所有成本费用的总和；供应商综合考虑在报价中。</w:t>
      </w:r>
    </w:p>
    <w:p w14:paraId="308622E3">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13.4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24F51A2F">
      <w:pPr>
        <w:pStyle w:val="4"/>
        <w:spacing w:line="360" w:lineRule="auto"/>
        <w:ind w:firstLine="422" w:firstLineChars="200"/>
        <w:rPr>
          <w:rFonts w:ascii="宋体" w:hAnsi="宋体" w:cs="宋体"/>
          <w:color w:val="auto"/>
          <w:sz w:val="21"/>
          <w:szCs w:val="21"/>
          <w:highlight w:val="none"/>
        </w:rPr>
      </w:pPr>
      <w:bookmarkStart w:id="59" w:name="_Toc21567"/>
      <w:bookmarkStart w:id="60" w:name="_Toc26881"/>
      <w:r>
        <w:rPr>
          <w:rFonts w:hint="eastAsia" w:ascii="宋体" w:hAnsi="宋体" w:cs="宋体"/>
          <w:color w:val="auto"/>
          <w:sz w:val="21"/>
          <w:szCs w:val="21"/>
          <w:highlight w:val="none"/>
        </w:rPr>
        <w:t>14. 响应文件有效期</w:t>
      </w:r>
      <w:bookmarkEnd w:id="59"/>
      <w:bookmarkEnd w:id="60"/>
    </w:p>
    <w:p w14:paraId="69FA4D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响应文件有效期：响应文件递交截止时间之日起90天，有效期不足的响应文件将被拒绝。</w:t>
      </w:r>
    </w:p>
    <w:p w14:paraId="428F10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0568539E">
      <w:pPr>
        <w:pStyle w:val="4"/>
        <w:spacing w:line="360" w:lineRule="auto"/>
        <w:ind w:firstLine="422" w:firstLineChars="200"/>
        <w:rPr>
          <w:rFonts w:ascii="宋体" w:hAnsi="宋体" w:cs="宋体"/>
          <w:color w:val="auto"/>
          <w:sz w:val="21"/>
          <w:szCs w:val="21"/>
          <w:highlight w:val="none"/>
        </w:rPr>
      </w:pPr>
      <w:bookmarkStart w:id="61" w:name="_Toc22602"/>
      <w:bookmarkStart w:id="62" w:name="_Toc6001"/>
      <w:r>
        <w:rPr>
          <w:rFonts w:hint="eastAsia" w:ascii="宋体" w:hAnsi="宋体" w:cs="宋体"/>
          <w:color w:val="auto"/>
          <w:sz w:val="21"/>
          <w:szCs w:val="21"/>
          <w:highlight w:val="none"/>
        </w:rPr>
        <w:t>15. 磋商保证金</w:t>
      </w:r>
      <w:bookmarkEnd w:id="61"/>
      <w:bookmarkEnd w:id="62"/>
    </w:p>
    <w:p w14:paraId="0E5C760B">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本项目无需缴纳磋商保证金。</w:t>
      </w:r>
    </w:p>
    <w:p w14:paraId="0C294CD4">
      <w:pPr>
        <w:pStyle w:val="4"/>
        <w:spacing w:line="360" w:lineRule="auto"/>
        <w:ind w:firstLine="422" w:firstLineChars="200"/>
        <w:rPr>
          <w:rFonts w:ascii="宋体" w:hAnsi="宋体" w:cs="宋体"/>
          <w:color w:val="auto"/>
          <w:sz w:val="21"/>
          <w:szCs w:val="21"/>
          <w:highlight w:val="none"/>
        </w:rPr>
      </w:pPr>
      <w:bookmarkStart w:id="63" w:name="_Toc387"/>
      <w:bookmarkStart w:id="64" w:name="_Toc32127"/>
      <w:r>
        <w:rPr>
          <w:rFonts w:hint="eastAsia" w:ascii="宋体" w:hAnsi="宋体" w:cs="宋体"/>
          <w:color w:val="auto"/>
          <w:sz w:val="21"/>
          <w:szCs w:val="21"/>
          <w:highlight w:val="none"/>
        </w:rPr>
        <w:t>16. 竞争性磋商响应文件的</w:t>
      </w:r>
      <w:bookmarkEnd w:id="63"/>
      <w:r>
        <w:rPr>
          <w:rFonts w:hint="eastAsia" w:ascii="宋体" w:hAnsi="宋体" w:cs="宋体"/>
          <w:color w:val="auto"/>
          <w:sz w:val="21"/>
          <w:szCs w:val="21"/>
          <w:highlight w:val="none"/>
        </w:rPr>
        <w:t>制作</w:t>
      </w:r>
      <w:bookmarkEnd w:id="64"/>
    </w:p>
    <w:p w14:paraId="277529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4D052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570222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07FC0B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16.4磋商前准备 </w:t>
      </w:r>
    </w:p>
    <w:p w14:paraId="6B57A8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14:paraId="1CE2AF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3F6394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14:paraId="6A4753A4">
      <w:pPr>
        <w:pStyle w:val="4"/>
        <w:spacing w:line="360" w:lineRule="auto"/>
        <w:ind w:firstLine="422" w:firstLineChars="200"/>
        <w:rPr>
          <w:rFonts w:ascii="宋体" w:hAnsi="宋体" w:cs="宋体"/>
          <w:color w:val="auto"/>
          <w:sz w:val="21"/>
          <w:szCs w:val="21"/>
          <w:highlight w:val="none"/>
        </w:rPr>
      </w:pPr>
      <w:bookmarkStart w:id="65" w:name="_Toc24920"/>
      <w:r>
        <w:rPr>
          <w:rFonts w:hint="eastAsia" w:ascii="宋体" w:hAnsi="宋体" w:cs="宋体"/>
          <w:color w:val="auto"/>
          <w:sz w:val="21"/>
          <w:szCs w:val="21"/>
          <w:highlight w:val="none"/>
        </w:rPr>
        <w:t>17. 响应文件的修改和撤回</w:t>
      </w:r>
      <w:bookmarkEnd w:id="65"/>
    </w:p>
    <w:p w14:paraId="4D60BA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CD9D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 在响应文件递交截止时间后的响应文件有效期内，供应商不得撤回其响应文件。</w:t>
      </w:r>
    </w:p>
    <w:p w14:paraId="7524B8FF">
      <w:pPr>
        <w:pStyle w:val="4"/>
        <w:spacing w:line="360" w:lineRule="auto"/>
        <w:ind w:firstLine="422" w:firstLineChars="200"/>
        <w:rPr>
          <w:rFonts w:ascii="宋体" w:hAnsi="宋体" w:cs="宋体"/>
          <w:color w:val="auto"/>
          <w:sz w:val="21"/>
          <w:szCs w:val="21"/>
          <w:highlight w:val="none"/>
        </w:rPr>
      </w:pPr>
      <w:bookmarkStart w:id="66" w:name="_Toc17652"/>
      <w:bookmarkStart w:id="67" w:name="_Toc30156"/>
      <w:r>
        <w:rPr>
          <w:rFonts w:hint="eastAsia" w:ascii="宋体" w:hAnsi="宋体" w:cs="宋体"/>
          <w:color w:val="auto"/>
          <w:sz w:val="21"/>
          <w:szCs w:val="21"/>
          <w:highlight w:val="none"/>
        </w:rPr>
        <w:t>18. 响应文件的递交和解密</w:t>
      </w:r>
      <w:bookmarkEnd w:id="66"/>
      <w:bookmarkEnd w:id="67"/>
    </w:p>
    <w:p w14:paraId="1CD9FF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18.1响应文件递交截止时间：于</w:t>
      </w:r>
      <w:r>
        <w:rPr>
          <w:rFonts w:hint="eastAsia" w:ascii="宋体" w:hAnsi="宋体" w:cs="宋体"/>
          <w:color w:val="auto"/>
          <w:szCs w:val="21"/>
          <w:highlight w:val="none"/>
          <w:u w:val="single"/>
        </w:rPr>
        <w:t>2025年12月9日上午9时30分</w:t>
      </w:r>
      <w:r>
        <w:rPr>
          <w:rFonts w:hint="eastAsia" w:ascii="宋体" w:hAnsi="宋体" w:cs="宋体"/>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p w14:paraId="722ADA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rPr>
        <w:t>2025年12月9日上午9时30分至10时00分</w:t>
      </w:r>
      <w:r>
        <w:rPr>
          <w:rFonts w:hint="eastAsia" w:ascii="宋体" w:hAnsi="宋体" w:cs="宋体"/>
          <w:color w:val="auto"/>
          <w:szCs w:val="21"/>
          <w:highlight w:val="none"/>
        </w:rPr>
        <w:t>)磋商供应商可以登录广西政府采购云平台，用“项目采购-开标评标”功能进行解密磋商文件。</w:t>
      </w:r>
    </w:p>
    <w:p w14:paraId="710AE2D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投标文件网上递交截止时间后，各供应商须在解密时限内对上传广西政府采购云平台的投标文件进行解密，所有供应商在规定的解密时限内解密完成或解密时限结束后，我中心开启已解密的响应文件。供应商超过解密时限未解密的，系统默认自动放弃，造成投标无效的后果由供应商自行承担。</w:t>
      </w:r>
    </w:p>
    <w:p w14:paraId="49AD18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 除竞争性磋商文件另有规定外，供应商所递交的响应文件不予退还。</w:t>
      </w:r>
    </w:p>
    <w:p w14:paraId="1084D6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 电子响应文件的相关说明</w:t>
      </w:r>
    </w:p>
    <w:p w14:paraId="533164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8EDDBB0">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4811C40E">
      <w:pPr>
        <w:pStyle w:val="3"/>
        <w:jc w:val="center"/>
        <w:rPr>
          <w:rFonts w:ascii="宋体" w:hAnsi="宋体" w:cs="宋体"/>
          <w:bCs w:val="0"/>
          <w:color w:val="auto"/>
          <w:szCs w:val="28"/>
          <w:highlight w:val="none"/>
        </w:rPr>
      </w:pPr>
      <w:bookmarkStart w:id="68" w:name="_Toc2433"/>
      <w:bookmarkStart w:id="69" w:name="_Toc14616"/>
      <w:r>
        <w:rPr>
          <w:rFonts w:hint="eastAsia" w:ascii="宋体" w:hAnsi="宋体" w:cs="宋体"/>
          <w:bCs w:val="0"/>
          <w:color w:val="auto"/>
          <w:szCs w:val="28"/>
          <w:highlight w:val="none"/>
        </w:rPr>
        <w:t>四、竞争性磋商（简称磋商）与评审</w:t>
      </w:r>
      <w:bookmarkEnd w:id="68"/>
      <w:bookmarkEnd w:id="69"/>
    </w:p>
    <w:p w14:paraId="6C9B341C">
      <w:pPr>
        <w:pStyle w:val="4"/>
        <w:spacing w:line="360" w:lineRule="auto"/>
        <w:ind w:firstLine="422" w:firstLineChars="200"/>
        <w:rPr>
          <w:rFonts w:ascii="宋体" w:hAnsi="宋体" w:cs="宋体"/>
          <w:color w:val="auto"/>
          <w:sz w:val="21"/>
          <w:szCs w:val="21"/>
          <w:highlight w:val="none"/>
        </w:rPr>
      </w:pPr>
      <w:bookmarkStart w:id="70" w:name="_Toc31588"/>
      <w:bookmarkStart w:id="71" w:name="_Toc23159"/>
      <w:r>
        <w:rPr>
          <w:rFonts w:hint="eastAsia" w:ascii="宋体" w:hAnsi="宋体" w:cs="宋体"/>
          <w:color w:val="auto"/>
          <w:sz w:val="21"/>
          <w:szCs w:val="21"/>
          <w:highlight w:val="none"/>
        </w:rPr>
        <w:t>19. 磋商小组组成及磋商时间、地点、人员</w:t>
      </w:r>
      <w:bookmarkEnd w:id="70"/>
      <w:bookmarkEnd w:id="71"/>
    </w:p>
    <w:p w14:paraId="192B0D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磋商小组组成：</w:t>
      </w:r>
    </w:p>
    <w:p w14:paraId="239EE2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人，评审专家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217209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磋商时间、地点、人员：</w:t>
      </w:r>
    </w:p>
    <w:p w14:paraId="2EE955E9">
      <w:pPr>
        <w:spacing w:line="360" w:lineRule="auto"/>
        <w:ind w:firstLine="420" w:firstLineChars="200"/>
        <w:rPr>
          <w:rFonts w:ascii="宋体" w:hAnsi="宋体" w:cs="宋体"/>
          <w:color w:val="auto"/>
          <w:szCs w:val="21"/>
          <w:highlight w:val="none"/>
        </w:rPr>
      </w:pPr>
      <w:bookmarkStart w:id="72" w:name="_Toc9878"/>
      <w:r>
        <w:rPr>
          <w:rFonts w:hint="eastAsia" w:ascii="宋体" w:hAnsi="宋体" w:cs="宋体"/>
          <w:color w:val="auto"/>
          <w:szCs w:val="21"/>
          <w:highlight w:val="none"/>
        </w:rPr>
        <w:t>19.2.1磋商时间：响应文件递交截止时间后。</w:t>
      </w:r>
      <w:bookmarkEnd w:id="72"/>
    </w:p>
    <w:p w14:paraId="4891AA5B">
      <w:pPr>
        <w:spacing w:line="360" w:lineRule="auto"/>
        <w:ind w:firstLine="420" w:firstLineChars="200"/>
        <w:rPr>
          <w:rFonts w:ascii="宋体" w:hAnsi="宋体" w:cs="宋体"/>
          <w:color w:val="auto"/>
          <w:szCs w:val="21"/>
          <w:highlight w:val="none"/>
        </w:rPr>
      </w:pPr>
      <w:bookmarkStart w:id="73" w:name="_Toc29268"/>
      <w:r>
        <w:rPr>
          <w:rFonts w:hint="eastAsia" w:ascii="宋体" w:hAnsi="宋体" w:cs="宋体"/>
          <w:color w:val="auto"/>
          <w:szCs w:val="21"/>
          <w:highlight w:val="none"/>
        </w:rPr>
        <w:t>19.2.2磋商地点：</w:t>
      </w:r>
      <w:bookmarkEnd w:id="73"/>
      <w:r>
        <w:rPr>
          <w:rFonts w:hint="eastAsia" w:ascii="宋体" w:hAnsi="宋体" w:cs="宋体"/>
          <w:color w:val="auto"/>
          <w:szCs w:val="21"/>
          <w:highlight w:val="none"/>
        </w:rPr>
        <w:t>本项目需要磋商供应商代表在截标当天截标后，按磋商小组要求及时登陆广西政府采购云平台等候在线磋商。</w:t>
      </w:r>
    </w:p>
    <w:p w14:paraId="17412F51">
      <w:pPr>
        <w:spacing w:line="360" w:lineRule="auto"/>
        <w:ind w:firstLine="420" w:firstLineChars="200"/>
        <w:rPr>
          <w:rFonts w:ascii="宋体" w:hAnsi="宋体" w:cs="宋体"/>
          <w:bCs/>
          <w:color w:val="auto"/>
          <w:szCs w:val="21"/>
          <w:highlight w:val="none"/>
        </w:rPr>
      </w:pPr>
      <w:bookmarkStart w:id="74" w:name="_Toc21307"/>
      <w:r>
        <w:rPr>
          <w:rFonts w:hint="eastAsia" w:ascii="宋体" w:hAnsi="宋体" w:cs="宋体"/>
          <w:color w:val="auto"/>
          <w:szCs w:val="21"/>
          <w:highlight w:val="none"/>
        </w:rPr>
        <w:t>19</w:t>
      </w:r>
      <w:r>
        <w:rPr>
          <w:rFonts w:hint="eastAsia" w:ascii="宋体" w:hAnsi="宋体" w:cs="宋体"/>
          <w:bCs/>
          <w:color w:val="auto"/>
          <w:szCs w:val="21"/>
          <w:highlight w:val="none"/>
        </w:rPr>
        <w:t>.2.3磋商参加人员：供应商法定代表人、负责人、自然人或相应的委托代理人持</w:t>
      </w:r>
      <w:r>
        <w:rPr>
          <w:rFonts w:hint="eastAsia" w:ascii="宋体" w:hAnsi="宋体" w:cs="宋体"/>
          <w:bCs/>
          <w:color w:val="auto"/>
          <w:szCs w:val="21"/>
          <w:highlight w:val="none"/>
          <w:u w:val="single"/>
        </w:rPr>
        <w:t>有效身份证原件</w:t>
      </w:r>
      <w:r>
        <w:rPr>
          <w:rFonts w:hint="eastAsia" w:ascii="宋体" w:hAnsi="宋体" w:cs="宋体"/>
          <w:bCs/>
          <w:color w:val="auto"/>
          <w:szCs w:val="21"/>
          <w:highlight w:val="none"/>
        </w:rPr>
        <w:t>和供应商</w:t>
      </w:r>
      <w:r>
        <w:rPr>
          <w:rFonts w:hint="eastAsia" w:ascii="宋体" w:hAnsi="宋体" w:cs="宋体"/>
          <w:bCs/>
          <w:color w:val="auto"/>
          <w:szCs w:val="21"/>
          <w:highlight w:val="none"/>
          <w:u w:val="single"/>
        </w:rPr>
        <w:t>广西政府采购云平台CA数字证书</w:t>
      </w:r>
      <w:r>
        <w:rPr>
          <w:rFonts w:hint="eastAsia" w:ascii="宋体" w:hAnsi="宋体" w:cs="宋体"/>
          <w:bCs/>
          <w:color w:val="auto"/>
          <w:szCs w:val="21"/>
          <w:highlight w:val="none"/>
        </w:rPr>
        <w:t>参加磋商。请供应商按时到达指定地点等候磋商。</w:t>
      </w:r>
      <w:bookmarkEnd w:id="74"/>
    </w:p>
    <w:p w14:paraId="3AC0EA20">
      <w:pPr>
        <w:spacing w:line="360" w:lineRule="auto"/>
        <w:ind w:firstLine="420" w:firstLineChars="200"/>
        <w:rPr>
          <w:rFonts w:ascii="宋体" w:hAnsi="宋体" w:cs="宋体"/>
          <w:bCs/>
          <w:color w:val="auto"/>
          <w:szCs w:val="21"/>
          <w:highlight w:val="none"/>
        </w:rPr>
      </w:pPr>
      <w:bookmarkStart w:id="75" w:name="_Toc6288"/>
      <w:r>
        <w:rPr>
          <w:rFonts w:hint="eastAsia" w:ascii="宋体" w:hAnsi="宋体" w:cs="宋体"/>
          <w:bCs/>
          <w:color w:val="auto"/>
          <w:szCs w:val="21"/>
          <w:highlight w:val="none"/>
        </w:rPr>
        <w:t>19.2.4响应文件递交截止时间后，由磋商小组在评标室内线上开启响应文件。</w:t>
      </w:r>
      <w:bookmarkEnd w:id="75"/>
    </w:p>
    <w:p w14:paraId="15E2B434">
      <w:pPr>
        <w:pStyle w:val="4"/>
        <w:spacing w:line="360" w:lineRule="auto"/>
        <w:ind w:firstLine="422" w:firstLineChars="200"/>
        <w:rPr>
          <w:rFonts w:ascii="宋体" w:hAnsi="宋体" w:cs="宋体"/>
          <w:color w:val="auto"/>
          <w:sz w:val="21"/>
          <w:szCs w:val="21"/>
          <w:highlight w:val="none"/>
        </w:rPr>
      </w:pPr>
      <w:bookmarkStart w:id="76" w:name="_Toc25258"/>
      <w:bookmarkStart w:id="77" w:name="_Toc11496"/>
      <w:r>
        <w:rPr>
          <w:rFonts w:hint="eastAsia" w:ascii="宋体" w:hAnsi="宋体" w:cs="宋体"/>
          <w:color w:val="auto"/>
          <w:sz w:val="21"/>
          <w:szCs w:val="21"/>
          <w:highlight w:val="none"/>
        </w:rPr>
        <w:t>20. 评审原则</w:t>
      </w:r>
      <w:bookmarkEnd w:id="76"/>
      <w:bookmarkEnd w:id="77"/>
    </w:p>
    <w:p w14:paraId="3527FB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 磋商小组必须坚持公平、公正、科学和择优的原则。</w:t>
      </w:r>
    </w:p>
    <w:p w14:paraId="59F835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评审办法：综合评分法，具体详见第四章评审办法。</w:t>
      </w:r>
    </w:p>
    <w:p w14:paraId="2231B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磋商小组应按磋商文件进行评审，不得擅自更改评审办法。</w:t>
      </w:r>
    </w:p>
    <w:p w14:paraId="68EEEC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在评审过程中，磋商小组任何人不得对某个供应商发表任何倾向性意见，不得向其他磋商小组成员明示或者暗示自己的评审意见。</w:t>
      </w:r>
    </w:p>
    <w:p w14:paraId="30F6D04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07A0A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 响应文件最后报价出现前后不一致的，除竞争性磋商文件另有规定外，按照下列规定修正：</w:t>
      </w:r>
    </w:p>
    <w:p w14:paraId="3A1E7819">
      <w:pPr>
        <w:pStyle w:val="30"/>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14:paraId="3DF217E5">
      <w:pPr>
        <w:pStyle w:val="30"/>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14:paraId="0B8B8A9B">
      <w:pPr>
        <w:pStyle w:val="30"/>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14:paraId="03510AB1">
      <w:pPr>
        <w:pStyle w:val="30"/>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14:paraId="5713EC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2643621">
      <w:pPr>
        <w:pStyle w:val="4"/>
        <w:spacing w:line="360" w:lineRule="auto"/>
        <w:ind w:firstLine="422" w:firstLineChars="200"/>
        <w:rPr>
          <w:rFonts w:ascii="宋体" w:hAnsi="宋体" w:cs="宋体"/>
          <w:color w:val="auto"/>
          <w:sz w:val="21"/>
          <w:szCs w:val="21"/>
          <w:highlight w:val="none"/>
        </w:rPr>
      </w:pPr>
      <w:bookmarkStart w:id="78" w:name="_Toc16920"/>
      <w:bookmarkStart w:id="79" w:name="_Toc27193"/>
      <w:r>
        <w:rPr>
          <w:rFonts w:hint="eastAsia" w:ascii="宋体" w:hAnsi="宋体" w:cs="宋体"/>
          <w:color w:val="auto"/>
          <w:sz w:val="21"/>
          <w:szCs w:val="21"/>
          <w:highlight w:val="none"/>
        </w:rPr>
        <w:t>21. 评审程序及磋商要求</w:t>
      </w:r>
      <w:bookmarkEnd w:id="78"/>
      <w:bookmarkEnd w:id="79"/>
    </w:p>
    <w:p w14:paraId="497D5B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21.1磋商小组成员的通讯工具或相关电子设备交由桂林市公共资源交易中心统一保管后到达评标室，采购 </w:t>
      </w:r>
    </w:p>
    <w:p w14:paraId="69355400">
      <w:pPr>
        <w:spacing w:line="360" w:lineRule="auto"/>
        <w:rPr>
          <w:rFonts w:ascii="宋体" w:hAnsi="宋体" w:cs="宋体"/>
          <w:color w:val="auto"/>
          <w:szCs w:val="21"/>
          <w:highlight w:val="none"/>
        </w:rPr>
      </w:pPr>
      <w:r>
        <w:rPr>
          <w:rFonts w:hint="eastAsia" w:ascii="宋体" w:hAnsi="宋体" w:cs="宋体"/>
          <w:color w:val="auto"/>
          <w:szCs w:val="21"/>
          <w:highlight w:val="none"/>
        </w:rPr>
        <w:t>代理机构核实磋商小组成员身份，告知回避要求，宣布评审工作纪律和程序，推选磋商小组组长。</w:t>
      </w:r>
    </w:p>
    <w:p w14:paraId="3DE464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7DFF06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3BADD76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172D7B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21.4.1 查询渠道：《国家企业信用信息公示系统》（网址：www.gsxt.gov.cn/index.html）</w:t>
      </w:r>
    </w:p>
    <w:p w14:paraId="46F860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21.4.2 审查流程：</w:t>
      </w:r>
    </w:p>
    <w:p w14:paraId="41A5B4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0CFCC0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57838F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14:paraId="6D18D4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（4）将相关资料作为评审资料打印存档。</w:t>
      </w:r>
    </w:p>
    <w:p w14:paraId="1CF3389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21.5 磋商小组如发现供应商提供的证明文件不齐全或不符合规定格式的，应一次性告知供应商，供应商应在规定的时间内线上补正或更正。</w:t>
      </w:r>
    </w:p>
    <w:p w14:paraId="0E879E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21.6 磋商小组在对响应文件的有效性、完整性和响应程度进行审查时，可以要求供应商对响应文件中含义 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个人CA签章)</w:t>
      </w:r>
      <w:r>
        <w:rPr>
          <w:rFonts w:hint="eastAsia" w:ascii="宋体" w:hAnsi="宋体" w:cs="宋体"/>
          <w:color w:val="auto"/>
          <w:szCs w:val="21"/>
          <w:highlight w:val="none"/>
        </w:rPr>
        <w:t>或者加盖供应商公章(CA签章)。</w:t>
      </w:r>
    </w:p>
    <w:p w14:paraId="625E5C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根据磋商文件规定的程序、评定成交的标准等事项与实质性响应竞争性磋商文件要求的供应商进行磋商。未实质性响应磋商文件的响应文件按无效处理，磋商小组应当告知有关供应商。 </w:t>
      </w:r>
    </w:p>
    <w:p w14:paraId="2FB585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磋商小组所有成员应当按已确定的磋商顺序集中与单一供应商分别进行磋商，并给予所有实质性响应竞争 性磋商文件要求的供应商平等的磋商机会。 </w:t>
      </w:r>
    </w:p>
    <w:p w14:paraId="61D59B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14:paraId="5ACAE2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14:paraId="3456C2B0">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98539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21.8 在磋商过程中，磋商小组可以根据磋商文件和磋商情况实质性变动项目需求中的技术、服务要求以及 合同草案条款，但不得变动磋商文件中的其他内容。实质性变动的内容，须经采购人代表确认。 对磋商文件作出的实质性变动是磋商文件的有效组成部分，磋商小组应当及时通过广西政府采购云平台同时通知所有参加磋商的供应商。 供应商应当按照磋商文件的变动情况和磋商小组的要求重新提交响应文件，并由其法定代表人、负责人、自然人或相应的授权委托代表签字（个人CA签章）或者加盖供应商公章(CA签章)。逾时不交的，视同放弃磋商。 </w:t>
      </w:r>
    </w:p>
    <w:p w14:paraId="06EDF3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21.9 第二轮磋商</w:t>
      </w:r>
    </w:p>
    <w:p w14:paraId="71AD90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2A889B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磋商后，供应商根据磋商小组统一整理的书面磋商记录要求做出书面承诺，并由其法定代表人或授权代表签字或者加盖公章（CA签章）后按时线上提交。</w:t>
      </w:r>
    </w:p>
    <w:p w14:paraId="55C160AD">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76A6A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7155A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 最后报价 </w:t>
      </w:r>
    </w:p>
    <w:p w14:paraId="7E928C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5732FA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9D19E61">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 xml:space="preserve">21.11.3 根据《财政部关于政府采购竞争性磋商采购方式管理暂行办法有关问题的补充通知》(财库〔2015〕124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59B5DD3B">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21.11.4 根据《政府采购竞争性磋商采购方式管理暂行办法》(财库〔2014〕214 号)的规定：</w:t>
      </w:r>
      <w:r>
        <w:rPr>
          <w:rFonts w:hint="eastAsia" w:ascii="宋体" w:hAnsi="宋体" w:cs="宋体"/>
          <w:b/>
          <w:bCs/>
          <w:color w:val="auto"/>
          <w:szCs w:val="21"/>
          <w:highlight w:val="none"/>
        </w:rPr>
        <w:t xml:space="preserve">最后报价是供应商响应文件的有效组成部分。 </w:t>
      </w:r>
      <w:r>
        <w:rPr>
          <w:rFonts w:hint="eastAsia" w:ascii="宋体" w:hAnsi="宋体" w:cs="宋体"/>
          <w:color w:val="auto"/>
          <w:szCs w:val="21"/>
          <w:highlight w:val="none"/>
        </w:rPr>
        <w:t>符合本办法(财库〔2014〕214号)第三条第四项情形的，提交最后报价的供应商可以为2家。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14:paraId="30F51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21.12 已提交响应文件的供应商，在提交最后报价之前，可以根据磋商情况书面退出磋商。 </w:t>
      </w:r>
    </w:p>
    <w:p w14:paraId="3E7E0F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未书面退出磋商的供应商在规定时间内线上提交最后报价，其最后报价超出采购预算导致已通过评审的响 应文件无效的，按供应商在提交响应文件截止时间后撤回响应文件处理。 </w:t>
      </w:r>
    </w:p>
    <w:p w14:paraId="0526D2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21.13 评审报告 </w:t>
      </w:r>
    </w:p>
    <w:p w14:paraId="3D5E1A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C5F8C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21.14 在评审过程中出现法律法规和磋商文件均没有明确规定的情形时，由磋商小组现场协商解决，协商 不一致的，由全体磋商小组投票表决，以得票率二分之一以上磋商小组成员的意见为准。 </w:t>
      </w:r>
    </w:p>
    <w:p w14:paraId="00173F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21.15 采购代理机构发现磋商小组有明显的违规倾向或歧视现象，或不按评审办法进行，或其他不正常行为的，应当及时制止。如制止无效，应及时向桂林市政府采购监督管理机构报告。</w:t>
      </w:r>
    </w:p>
    <w:p w14:paraId="16E546B2">
      <w:pPr>
        <w:spacing w:line="360" w:lineRule="auto"/>
        <w:ind w:firstLine="420" w:firstLineChars="200"/>
        <w:rPr>
          <w:rFonts w:ascii="宋体" w:hAnsi="宋体" w:cs="宋体"/>
          <w:b/>
          <w:bCs/>
          <w:color w:val="auto"/>
          <w:highlight w:val="none"/>
        </w:rPr>
      </w:pPr>
      <w:r>
        <w:rPr>
          <w:rFonts w:hint="eastAsia" w:ascii="宋体" w:hAnsi="宋体" w:cs="宋体"/>
          <w:color w:val="auto"/>
          <w:szCs w:val="21"/>
          <w:highlight w:val="none"/>
        </w:rPr>
        <w:t>21.16 本采购项目的评审依据为竞争性磋商文件和竞争性磋商响应文件，采用的评审方法为</w:t>
      </w:r>
      <w:r>
        <w:rPr>
          <w:rFonts w:hint="eastAsia" w:ascii="宋体" w:hAnsi="宋体" w:cs="宋体"/>
          <w:b/>
          <w:bCs/>
          <w:color w:val="auto"/>
          <w:szCs w:val="21"/>
          <w:highlight w:val="none"/>
        </w:rPr>
        <w:t>综合评分法。</w:t>
      </w:r>
    </w:p>
    <w:p w14:paraId="74D5D196">
      <w:pPr>
        <w:pStyle w:val="4"/>
        <w:spacing w:line="360" w:lineRule="auto"/>
        <w:ind w:firstLine="422" w:firstLineChars="200"/>
        <w:rPr>
          <w:rFonts w:ascii="宋体" w:hAnsi="宋体" w:cs="宋体"/>
          <w:color w:val="auto"/>
          <w:sz w:val="21"/>
          <w:szCs w:val="21"/>
          <w:highlight w:val="none"/>
        </w:rPr>
      </w:pPr>
      <w:bookmarkStart w:id="80" w:name="_Toc32470"/>
      <w:bookmarkStart w:id="81" w:name="_Toc3178"/>
      <w:r>
        <w:rPr>
          <w:rFonts w:hint="eastAsia" w:ascii="宋体" w:hAnsi="宋体" w:cs="宋体"/>
          <w:color w:val="auto"/>
          <w:sz w:val="21"/>
          <w:szCs w:val="21"/>
          <w:highlight w:val="none"/>
        </w:rPr>
        <w:t>22. 确定成交供应商</w:t>
      </w:r>
      <w:bookmarkEnd w:id="80"/>
      <w:bookmarkEnd w:id="81"/>
    </w:p>
    <w:p w14:paraId="49D654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3E72E299">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22.2采购单位应当确定磋商小组推荐排名第一的成交候选人为成交供应商。</w:t>
      </w:r>
    </w:p>
    <w:p w14:paraId="586BD6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3C01B1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22.4排名第二的成交候选人因前款规定的同样原因不能签订合同的，采购单位可以确定排名第三的成交候选人为成交供应商。</w:t>
      </w:r>
    </w:p>
    <w:p w14:paraId="2800D12F">
      <w:pPr>
        <w:pStyle w:val="4"/>
        <w:spacing w:line="360" w:lineRule="auto"/>
        <w:ind w:firstLine="422" w:firstLineChars="200"/>
        <w:rPr>
          <w:rFonts w:ascii="宋体" w:hAnsi="宋体" w:cs="宋体"/>
          <w:color w:val="auto"/>
          <w:sz w:val="21"/>
          <w:szCs w:val="21"/>
          <w:highlight w:val="none"/>
        </w:rPr>
      </w:pPr>
      <w:bookmarkStart w:id="82" w:name="_Toc16772"/>
      <w:bookmarkStart w:id="83" w:name="_Toc21715"/>
      <w:r>
        <w:rPr>
          <w:rFonts w:hint="eastAsia" w:ascii="宋体" w:hAnsi="宋体" w:cs="宋体"/>
          <w:color w:val="auto"/>
          <w:sz w:val="21"/>
          <w:szCs w:val="21"/>
          <w:highlight w:val="none"/>
        </w:rPr>
        <w:t>23. 属于下列情况之一者，响应文件无效</w:t>
      </w:r>
      <w:bookmarkEnd w:id="82"/>
      <w:bookmarkEnd w:id="83"/>
    </w:p>
    <w:p w14:paraId="4265B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14:paraId="52BAC3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（2）不具备磋商文件规定的资格要求的；</w:t>
      </w:r>
    </w:p>
    <w:p w14:paraId="61DD7F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14:paraId="096274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（4）响应文件有效期、交货时间、免费保修期（升级、维护）期/维护期、售后服务不能满足磋商文件要求的；</w:t>
      </w:r>
    </w:p>
    <w:p w14:paraId="211AFF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（5）供应商未就“采购需求”中的所有内容作完整唯一报价的，或报价超出采购预算总金额的；</w:t>
      </w:r>
    </w:p>
    <w:p w14:paraId="23D71D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14:paraId="0EA1EA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14:paraId="74B2C4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14:paraId="091DF50E">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14:paraId="5D4EDE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（10）不符合法律、法规和磋商文件规定的其他实质性要求和条件的。</w:t>
      </w:r>
    </w:p>
    <w:p w14:paraId="35C6013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供应商有下列情形之一的视为供应商相互串通磋商，响应文件将被视为无效</w:t>
      </w:r>
    </w:p>
    <w:p w14:paraId="082A65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5D8FCE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70E090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2061F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（4）不同供应商的响应文件异常一致或竞标报价呈规律性差异；</w:t>
      </w:r>
    </w:p>
    <w:p w14:paraId="6FFEBE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（5）不同供应商的响应文件相互混编；</w:t>
      </w:r>
    </w:p>
    <w:p w14:paraId="1AEBD6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6494E16E">
      <w:pPr>
        <w:pStyle w:val="4"/>
        <w:spacing w:line="360" w:lineRule="auto"/>
        <w:ind w:firstLine="422" w:firstLineChars="200"/>
        <w:rPr>
          <w:rFonts w:ascii="宋体" w:hAnsi="宋体" w:cs="宋体"/>
          <w:color w:val="auto"/>
          <w:sz w:val="21"/>
          <w:szCs w:val="21"/>
          <w:highlight w:val="none"/>
        </w:rPr>
      </w:pPr>
      <w:bookmarkStart w:id="84" w:name="_Toc4348"/>
      <w:bookmarkStart w:id="85" w:name="_Toc5714"/>
      <w:r>
        <w:rPr>
          <w:rFonts w:hint="eastAsia" w:ascii="宋体" w:hAnsi="宋体" w:cs="宋体"/>
          <w:color w:val="auto"/>
          <w:sz w:val="21"/>
          <w:szCs w:val="21"/>
          <w:highlight w:val="none"/>
        </w:rPr>
        <w:t>24. 出现下列情形之一的，采购人或者采购代理机构应当终止竞争性磋商采购活动，发布项目终止公告并说明原因，重新开展采购活动</w:t>
      </w:r>
      <w:bookmarkEnd w:id="84"/>
      <w:bookmarkEnd w:id="85"/>
    </w:p>
    <w:p w14:paraId="3E9933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1649FC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2F64EFB5">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 xml:space="preserve">（除财库〔2014〕214 号《政府采购竞争性磋商采购方式管理暂行办法》第二十一条第三款规定的情形外） </w:t>
      </w:r>
    </w:p>
    <w:p w14:paraId="4E4CC8FF">
      <w:pPr>
        <w:pStyle w:val="4"/>
        <w:spacing w:line="360" w:lineRule="auto"/>
        <w:ind w:firstLine="422" w:firstLineChars="200"/>
        <w:rPr>
          <w:rFonts w:ascii="宋体" w:hAnsi="宋体" w:cs="宋体"/>
          <w:color w:val="auto"/>
          <w:sz w:val="21"/>
          <w:szCs w:val="21"/>
          <w:highlight w:val="none"/>
        </w:rPr>
      </w:pPr>
      <w:bookmarkStart w:id="86" w:name="_Toc5489"/>
      <w:bookmarkStart w:id="87" w:name="_Toc19105"/>
      <w:r>
        <w:rPr>
          <w:rFonts w:hint="eastAsia" w:ascii="宋体" w:hAnsi="宋体" w:cs="宋体"/>
          <w:color w:val="auto"/>
          <w:sz w:val="21"/>
          <w:szCs w:val="21"/>
          <w:highlight w:val="none"/>
        </w:rPr>
        <w:t>25. 磋商过程的监控</w:t>
      </w:r>
      <w:bookmarkEnd w:id="86"/>
      <w:bookmarkEnd w:id="87"/>
    </w:p>
    <w:p w14:paraId="72C7B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本项目磋商过程实行全程录音、录像监控，供应商在磋商过程中所进行的试图影响磋商结果的不公正活动，可能导致其磋商被拒绝。</w:t>
      </w:r>
    </w:p>
    <w:p w14:paraId="73618D77">
      <w:pPr>
        <w:pStyle w:val="4"/>
        <w:numPr>
          <w:ilvl w:val="0"/>
          <w:numId w:val="4"/>
        </w:numPr>
        <w:spacing w:line="360" w:lineRule="auto"/>
        <w:ind w:firstLine="422" w:firstLineChars="200"/>
        <w:rPr>
          <w:rFonts w:ascii="宋体" w:hAnsi="宋体" w:cs="宋体"/>
          <w:color w:val="auto"/>
          <w:sz w:val="21"/>
          <w:szCs w:val="21"/>
          <w:highlight w:val="none"/>
        </w:rPr>
      </w:pPr>
      <w:bookmarkStart w:id="88" w:name="_Toc12774"/>
      <w:bookmarkStart w:id="89" w:name="_Toc14787"/>
      <w:r>
        <w:rPr>
          <w:rFonts w:hint="eastAsia" w:ascii="宋体" w:hAnsi="宋体" w:cs="宋体"/>
          <w:color w:val="auto"/>
          <w:sz w:val="21"/>
          <w:szCs w:val="21"/>
          <w:highlight w:val="none"/>
        </w:rPr>
        <w:t>信用查询</w:t>
      </w:r>
      <w:bookmarkEnd w:id="88"/>
      <w:bookmarkEnd w:id="89"/>
    </w:p>
    <w:p w14:paraId="007CF0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w:t>
      </w:r>
      <w:r>
        <w:rPr>
          <w:rFonts w:hint="eastAsia"/>
          <w:color w:val="auto"/>
          <w:highlight w:val="none"/>
        </w:rPr>
        <w:t>）</w:t>
      </w:r>
      <w:r>
        <w:rPr>
          <w:rFonts w:hint="eastAsia" w:ascii="宋体" w:hAnsi="宋体" w:cs="宋体"/>
          <w:color w:val="auto"/>
          <w:szCs w:val="21"/>
          <w:highlight w:val="none"/>
        </w:rPr>
        <w:t>，采购代理机构对成交人的成交资格进行信用查询：</w:t>
      </w:r>
    </w:p>
    <w:p w14:paraId="5432FD0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14:paraId="4321BBF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（2）查询时间：成交通知书发出前；</w:t>
      </w:r>
    </w:p>
    <w:p w14:paraId="0035413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14:paraId="1614655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780FD46">
      <w:pPr>
        <w:spacing w:line="288" w:lineRule="auto"/>
        <w:ind w:firstLine="420" w:firstLineChars="200"/>
        <w:rPr>
          <w:rFonts w:ascii="宋体" w:hAnsi="宋体" w:cs="宋体"/>
          <w:color w:val="auto"/>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812487">
      <w:pPr>
        <w:pStyle w:val="4"/>
        <w:spacing w:line="288" w:lineRule="auto"/>
        <w:ind w:firstLine="422" w:firstLineChars="200"/>
        <w:rPr>
          <w:rFonts w:ascii="宋体" w:hAnsi="宋体" w:cs="宋体"/>
          <w:color w:val="auto"/>
          <w:sz w:val="21"/>
          <w:szCs w:val="21"/>
          <w:highlight w:val="none"/>
        </w:rPr>
      </w:pPr>
      <w:bookmarkStart w:id="90" w:name="_Toc6068"/>
      <w:bookmarkStart w:id="91" w:name="_Toc9438"/>
      <w:r>
        <w:rPr>
          <w:rFonts w:hint="eastAsia" w:ascii="宋体" w:hAnsi="宋体" w:cs="宋体"/>
          <w:color w:val="auto"/>
          <w:sz w:val="21"/>
          <w:szCs w:val="21"/>
          <w:highlight w:val="none"/>
        </w:rPr>
        <w:t>27. 成交结果公告及成交通知书</w:t>
      </w:r>
      <w:bookmarkEnd w:id="90"/>
      <w:bookmarkEnd w:id="91"/>
    </w:p>
    <w:p w14:paraId="676320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0E805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 在发布成交公告的同时，采购代理机构向成交供应商发出成交通知书。成交供应商自接到通知之日起七个工作日内，办理成交通知书领取手续。</w:t>
      </w:r>
    </w:p>
    <w:p w14:paraId="403B00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采购代理机构无义务向未成交的供应商解释未成交原因和退还响应文件。</w:t>
      </w:r>
    </w:p>
    <w:p w14:paraId="328921B6">
      <w:pPr>
        <w:pStyle w:val="3"/>
        <w:spacing w:line="288" w:lineRule="auto"/>
        <w:jc w:val="center"/>
        <w:rPr>
          <w:rFonts w:ascii="宋体" w:hAnsi="宋体" w:cs="宋体"/>
          <w:bCs w:val="0"/>
          <w:color w:val="auto"/>
          <w:szCs w:val="28"/>
          <w:highlight w:val="none"/>
        </w:rPr>
      </w:pPr>
      <w:bookmarkStart w:id="92" w:name="_Toc19125"/>
      <w:bookmarkStart w:id="93" w:name="_Toc25593"/>
      <w:r>
        <w:rPr>
          <w:rFonts w:hint="eastAsia" w:ascii="宋体" w:hAnsi="宋体" w:cs="宋体"/>
          <w:bCs w:val="0"/>
          <w:color w:val="auto"/>
          <w:szCs w:val="28"/>
          <w:highlight w:val="none"/>
        </w:rPr>
        <w:t>五、</w:t>
      </w:r>
      <w:r>
        <w:rPr>
          <w:rFonts w:hint="eastAsia" w:ascii="宋体" w:hAnsi="宋体" w:cs="宋体"/>
          <w:color w:val="auto"/>
          <w:szCs w:val="28"/>
          <w:highlight w:val="none"/>
        </w:rPr>
        <w:t>履约保证金及</w:t>
      </w:r>
      <w:r>
        <w:rPr>
          <w:rFonts w:hint="eastAsia" w:ascii="宋体" w:hAnsi="宋体" w:cs="宋体"/>
          <w:bCs w:val="0"/>
          <w:color w:val="auto"/>
          <w:szCs w:val="28"/>
          <w:highlight w:val="none"/>
        </w:rPr>
        <w:t>签订合同</w:t>
      </w:r>
      <w:bookmarkEnd w:id="92"/>
      <w:bookmarkEnd w:id="93"/>
    </w:p>
    <w:p w14:paraId="51DF129E">
      <w:pPr>
        <w:pStyle w:val="4"/>
        <w:spacing w:line="288" w:lineRule="auto"/>
        <w:ind w:firstLine="422" w:firstLineChars="200"/>
        <w:rPr>
          <w:rFonts w:ascii="宋体" w:hAnsi="宋体" w:cs="宋体"/>
          <w:color w:val="auto"/>
          <w:highlight w:val="none"/>
        </w:rPr>
      </w:pPr>
      <w:bookmarkStart w:id="94" w:name="_Toc26520"/>
      <w:bookmarkStart w:id="95" w:name="_Toc677"/>
      <w:r>
        <w:rPr>
          <w:rFonts w:hint="eastAsia" w:ascii="宋体" w:hAnsi="宋体" w:cs="宋体"/>
          <w:color w:val="auto"/>
          <w:sz w:val="21"/>
          <w:szCs w:val="21"/>
          <w:highlight w:val="none"/>
        </w:rPr>
        <w:t>28. 履约保证金</w:t>
      </w:r>
      <w:bookmarkEnd w:id="94"/>
      <w:bookmarkEnd w:id="95"/>
    </w:p>
    <w:p w14:paraId="75DA0685">
      <w:pPr>
        <w:pStyle w:val="4"/>
        <w:spacing w:line="288" w:lineRule="auto"/>
        <w:ind w:firstLine="422" w:firstLineChars="200"/>
        <w:rPr>
          <w:rFonts w:ascii="宋体" w:hAnsi="宋体" w:cs="宋体"/>
          <w:bCs/>
          <w:color w:val="auto"/>
          <w:sz w:val="21"/>
          <w:szCs w:val="21"/>
          <w:highlight w:val="none"/>
        </w:rPr>
      </w:pPr>
      <w:bookmarkStart w:id="96" w:name="_Toc11630"/>
      <w:bookmarkStart w:id="97" w:name="_Toc4956"/>
      <w:r>
        <w:rPr>
          <w:rFonts w:hint="eastAsia" w:ascii="宋体" w:hAnsi="宋体" w:cs="宋体"/>
          <w:bCs/>
          <w:color w:val="auto"/>
          <w:sz w:val="21"/>
          <w:szCs w:val="21"/>
          <w:highlight w:val="none"/>
        </w:rPr>
        <w:t>本项目无需缴纳履约保证金。</w:t>
      </w:r>
      <w:bookmarkEnd w:id="96"/>
    </w:p>
    <w:p w14:paraId="48391553">
      <w:pPr>
        <w:pStyle w:val="4"/>
        <w:spacing w:line="288" w:lineRule="auto"/>
        <w:ind w:firstLine="422" w:firstLineChars="200"/>
        <w:rPr>
          <w:rFonts w:ascii="宋体" w:hAnsi="宋体" w:cs="宋体"/>
          <w:color w:val="auto"/>
          <w:sz w:val="21"/>
          <w:szCs w:val="21"/>
          <w:highlight w:val="none"/>
        </w:rPr>
      </w:pPr>
      <w:bookmarkStart w:id="98" w:name="_Toc9465"/>
      <w:r>
        <w:rPr>
          <w:rFonts w:hint="eastAsia" w:ascii="宋体" w:hAnsi="宋体" w:cs="宋体"/>
          <w:color w:val="auto"/>
          <w:sz w:val="21"/>
          <w:szCs w:val="21"/>
          <w:highlight w:val="none"/>
        </w:rPr>
        <w:t>29. 签订合同</w:t>
      </w:r>
      <w:bookmarkEnd w:id="97"/>
      <w:bookmarkEnd w:id="98"/>
    </w:p>
    <w:p w14:paraId="50F3F87A">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29.1 签订合同时间：成交通知书发出之日起八个工作日内签订合同。成交供应商领取成交通知书后，应按规定与采购人签订合同。</w:t>
      </w:r>
    </w:p>
    <w:p w14:paraId="3A904C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CDA08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14:paraId="6389A7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14:paraId="32DAC8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（3）拒绝履行合同义务的。</w:t>
      </w:r>
    </w:p>
    <w:p w14:paraId="5BA1427D">
      <w:pPr>
        <w:spacing w:line="360" w:lineRule="auto"/>
        <w:ind w:firstLine="420" w:firstLineChars="200"/>
        <w:rPr>
          <w:rFonts w:ascii="宋体" w:hAnsi="宋体" w:cs="宋体"/>
          <w:color w:val="000000"/>
        </w:rPr>
      </w:pPr>
      <w:r>
        <w:rPr>
          <w:rFonts w:hint="eastAsia" w:ascii="宋体" w:hAnsi="宋体" w:cs="宋体"/>
          <w:color w:val="auto"/>
          <w:szCs w:val="21"/>
          <w:highlight w:val="none"/>
        </w:rPr>
        <w:t>29.3 合同备案存档：政府采购合同双方自签订之日起一个工作日内将合同原件一份交采购代理机构</w:t>
      </w:r>
      <w:r>
        <w:rPr>
          <w:rFonts w:hint="eastAsia" w:ascii="宋体" w:hAnsi="宋体" w:cs="宋体"/>
          <w:color w:val="auto"/>
          <w:szCs w:val="21"/>
          <w:highlight w:val="none"/>
          <w:lang w:eastAsia="zh-CN"/>
        </w:rPr>
        <w:t>，</w:t>
      </w:r>
      <w:r>
        <w:rPr>
          <w:rFonts w:hint="eastAsia" w:ascii="宋体" w:hAnsi="宋体"/>
        </w:rPr>
        <w:t>采购代理机构将政府采购合同在省级以上人民政府财政部门指定媒体上公告</w:t>
      </w:r>
      <w:r>
        <w:rPr>
          <w:rFonts w:hint="eastAsia" w:ascii="宋体" w:hAnsi="宋体"/>
          <w:lang w:eastAsia="zh-CN"/>
        </w:rPr>
        <w:t>。</w:t>
      </w:r>
      <w:r>
        <w:rPr>
          <w:rFonts w:hint="eastAsia" w:ascii="宋体" w:hAnsi="宋体" w:cs="宋体"/>
          <w:color w:val="auto"/>
          <w:szCs w:val="21"/>
          <w:highlight w:val="none"/>
        </w:rPr>
        <w:t>采购人于合同签订之日起七个工作日内将一份合同原件送本级财政部门备案</w:t>
      </w:r>
      <w:r>
        <w:rPr>
          <w:rFonts w:hint="eastAsia" w:ascii="宋体" w:hAnsi="宋体"/>
          <w:color w:val="auto"/>
          <w:highlight w:val="none"/>
        </w:rPr>
        <w:t>。</w:t>
      </w:r>
    </w:p>
    <w:p w14:paraId="4B2076DA">
      <w:pPr>
        <w:pStyle w:val="3"/>
        <w:spacing w:line="288" w:lineRule="auto"/>
        <w:jc w:val="center"/>
        <w:rPr>
          <w:rFonts w:ascii="宋体" w:hAnsi="宋体" w:cs="宋体"/>
          <w:bCs w:val="0"/>
          <w:color w:val="auto"/>
          <w:szCs w:val="28"/>
          <w:highlight w:val="none"/>
        </w:rPr>
      </w:pPr>
      <w:bookmarkStart w:id="99" w:name="_Toc18322"/>
      <w:bookmarkStart w:id="100" w:name="_Toc16348"/>
      <w:r>
        <w:rPr>
          <w:rFonts w:hint="eastAsia" w:ascii="宋体" w:hAnsi="宋体" w:cs="宋体"/>
          <w:bCs w:val="0"/>
          <w:color w:val="auto"/>
          <w:szCs w:val="28"/>
          <w:highlight w:val="none"/>
        </w:rPr>
        <w:t>六、其他事项</w:t>
      </w:r>
      <w:bookmarkEnd w:id="99"/>
      <w:bookmarkEnd w:id="100"/>
    </w:p>
    <w:p w14:paraId="377C6C67">
      <w:pPr>
        <w:pStyle w:val="4"/>
        <w:spacing w:line="288" w:lineRule="auto"/>
        <w:ind w:firstLine="422" w:firstLineChars="200"/>
        <w:rPr>
          <w:rFonts w:ascii="宋体" w:hAnsi="宋体" w:cs="宋体"/>
          <w:color w:val="auto"/>
          <w:sz w:val="21"/>
          <w:szCs w:val="21"/>
          <w:highlight w:val="none"/>
        </w:rPr>
      </w:pPr>
      <w:bookmarkStart w:id="101" w:name="_Toc12620"/>
      <w:bookmarkStart w:id="102" w:name="_Toc28647"/>
      <w:r>
        <w:rPr>
          <w:rFonts w:hint="eastAsia" w:ascii="宋体" w:hAnsi="宋体" w:cs="宋体"/>
          <w:color w:val="auto"/>
          <w:sz w:val="21"/>
          <w:szCs w:val="21"/>
          <w:highlight w:val="none"/>
        </w:rPr>
        <w:t>30. 采购代理服务费</w:t>
      </w:r>
      <w:bookmarkEnd w:id="101"/>
      <w:bookmarkEnd w:id="102"/>
    </w:p>
    <w:p w14:paraId="3B5771C7">
      <w:pPr>
        <w:pStyle w:val="12"/>
        <w:spacing w:line="380" w:lineRule="exact"/>
        <w:ind w:firstLine="420" w:firstLineChars="200"/>
        <w:rPr>
          <w:rFonts w:hAnsi="宋体"/>
          <w:color w:val="auto"/>
          <w:szCs w:val="21"/>
          <w:highlight w:val="none"/>
        </w:rPr>
      </w:pPr>
      <w:r>
        <w:rPr>
          <w:rFonts w:hint="eastAsia" w:hAnsi="宋体"/>
          <w:color w:val="auto"/>
          <w:szCs w:val="21"/>
          <w:highlight w:val="none"/>
        </w:rPr>
        <w:t>1、成交供应商领取成交通知书前，向广西安臻工程管理有限公司一次性付清采购代理服务费。本项目的采购代理服务收费标准按计价格[2002]1980号《招标代理服务收费管理暂行办法》服务类收费标准和发改办价格[2003]857号文的规定向成交磋商供应商收取。</w:t>
      </w:r>
    </w:p>
    <w:p w14:paraId="24B4A846">
      <w:pPr>
        <w:spacing w:line="380" w:lineRule="exact"/>
        <w:jc w:val="center"/>
        <w:rPr>
          <w:rFonts w:ascii="宋体" w:hAnsi="宋体"/>
          <w:color w:val="auto"/>
          <w:szCs w:val="21"/>
          <w:highlight w:val="none"/>
        </w:rPr>
      </w:pPr>
      <w:r>
        <w:rPr>
          <w:rFonts w:hint="eastAsia" w:ascii="宋体" w:hAnsi="宋体"/>
          <w:color w:val="auto"/>
          <w:szCs w:val="21"/>
          <w:highlight w:val="none"/>
        </w:rPr>
        <w:t>采购代理服务收费标准</w:t>
      </w:r>
    </w:p>
    <w:tbl>
      <w:tblPr>
        <w:tblStyle w:val="24"/>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F6A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41A85C1F">
            <w:pPr>
              <w:pStyle w:val="12"/>
              <w:spacing w:line="380" w:lineRule="exact"/>
              <w:ind w:left="25"/>
              <w:rPr>
                <w:rFonts w:hAnsi="宋体"/>
                <w:color w:val="auto"/>
                <w:highlight w:val="none"/>
              </w:rPr>
            </w:pPr>
            <w:r>
              <w:rPr>
                <w:rFonts w:hAnsi="宋体"/>
                <w:color w:val="auto"/>
                <w:highlight w:val="none"/>
              </w:rPr>
              <w:pict>
                <v:line id="直线 101" o:spid="_x0000_s1027" o:spt="20" style="position:absolute;left:0pt;margin-left:23.35pt;margin-top:0.85pt;height:49.7pt;width:106.5pt;z-index:251659264;mso-width-relative:page;mso-height-relative:page;" coordsize="21600,21600">
                  <v:path arrowok="t"/>
                  <v:fill focussize="0,0"/>
                  <v:stroke/>
                  <v:imagedata o:title=""/>
                  <o:lock v:ext="edit"/>
                </v:line>
              </w:pict>
            </w:r>
            <w:r>
              <w:rPr>
                <w:rFonts w:hint="eastAsia" w:hAnsi="宋体"/>
                <w:color w:val="auto"/>
                <w:highlight w:val="none"/>
              </w:rPr>
              <w:t>费率           服务类型</w:t>
            </w:r>
          </w:p>
          <w:p w14:paraId="72E2F12B">
            <w:pPr>
              <w:pStyle w:val="12"/>
              <w:spacing w:line="380" w:lineRule="exact"/>
              <w:ind w:left="25"/>
              <w:rPr>
                <w:rFonts w:hAnsi="宋体"/>
                <w:color w:val="auto"/>
                <w:highlight w:val="none"/>
              </w:rPr>
            </w:pPr>
            <w:r>
              <w:rPr>
                <w:rFonts w:hAnsi="宋体"/>
                <w:color w:val="auto"/>
                <w:highlight w:val="none"/>
              </w:rPr>
              <w:pict>
                <v:line id="直线 102" o:spid="_x0000_s1028" o:spt="20" style="position:absolute;left:0pt;margin-left:-5.35pt;margin-top:3.55pt;height:31.2pt;width:135pt;z-index:251660288;mso-width-relative:page;mso-height-relative:page;" coordsize="21600,21600">
                  <v:path arrowok="t"/>
                  <v:fill focussize="0,0"/>
                  <v:stroke/>
                  <v:imagedata o:title=""/>
                  <o:lock v:ext="edit"/>
                </v:line>
              </w:pict>
            </w:r>
          </w:p>
          <w:p w14:paraId="074AEBA5">
            <w:pPr>
              <w:pStyle w:val="12"/>
              <w:spacing w:line="380" w:lineRule="exact"/>
              <w:ind w:left="25"/>
              <w:rPr>
                <w:rFonts w:hAnsi="宋体"/>
                <w:color w:val="auto"/>
                <w:highlight w:val="none"/>
              </w:rPr>
            </w:pPr>
            <w:r>
              <w:rPr>
                <w:rFonts w:hint="eastAsia" w:hAnsi="宋体"/>
                <w:color w:val="auto"/>
                <w:highlight w:val="none"/>
              </w:rPr>
              <w:t>中标金额（万元）</w:t>
            </w:r>
          </w:p>
        </w:tc>
        <w:tc>
          <w:tcPr>
            <w:tcW w:w="2002" w:type="dxa"/>
            <w:vAlign w:val="center"/>
          </w:tcPr>
          <w:p w14:paraId="603ED781">
            <w:pPr>
              <w:pStyle w:val="12"/>
              <w:spacing w:line="380" w:lineRule="exact"/>
              <w:ind w:left="25"/>
              <w:jc w:val="center"/>
              <w:rPr>
                <w:rFonts w:hAnsi="宋体"/>
                <w:color w:val="auto"/>
                <w:highlight w:val="none"/>
              </w:rPr>
            </w:pPr>
            <w:r>
              <w:rPr>
                <w:rFonts w:hint="eastAsia" w:hAnsi="宋体"/>
                <w:color w:val="auto"/>
                <w:highlight w:val="none"/>
              </w:rPr>
              <w:t>货物招标</w:t>
            </w:r>
          </w:p>
        </w:tc>
        <w:tc>
          <w:tcPr>
            <w:tcW w:w="1992" w:type="dxa"/>
            <w:vAlign w:val="center"/>
          </w:tcPr>
          <w:p w14:paraId="65DE6367">
            <w:pPr>
              <w:pStyle w:val="12"/>
              <w:spacing w:line="380" w:lineRule="exact"/>
              <w:ind w:left="25"/>
              <w:jc w:val="center"/>
              <w:rPr>
                <w:rFonts w:hAnsi="宋体"/>
                <w:color w:val="auto"/>
                <w:highlight w:val="none"/>
              </w:rPr>
            </w:pPr>
            <w:r>
              <w:rPr>
                <w:rFonts w:hint="eastAsia" w:hAnsi="宋体"/>
                <w:color w:val="auto"/>
                <w:highlight w:val="none"/>
              </w:rPr>
              <w:t>服务招标</w:t>
            </w:r>
          </w:p>
        </w:tc>
        <w:tc>
          <w:tcPr>
            <w:tcW w:w="2293" w:type="dxa"/>
            <w:vAlign w:val="center"/>
          </w:tcPr>
          <w:p w14:paraId="1F9843B5">
            <w:pPr>
              <w:pStyle w:val="12"/>
              <w:spacing w:line="380" w:lineRule="exact"/>
              <w:ind w:left="25"/>
              <w:jc w:val="center"/>
              <w:rPr>
                <w:rFonts w:hAnsi="宋体"/>
                <w:color w:val="auto"/>
                <w:highlight w:val="none"/>
              </w:rPr>
            </w:pPr>
            <w:r>
              <w:rPr>
                <w:rFonts w:hint="eastAsia" w:hAnsi="宋体"/>
                <w:color w:val="auto"/>
                <w:highlight w:val="none"/>
              </w:rPr>
              <w:t>工程招标</w:t>
            </w:r>
          </w:p>
        </w:tc>
      </w:tr>
      <w:tr w14:paraId="0DEB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17B4C1AB">
            <w:pPr>
              <w:pStyle w:val="12"/>
              <w:spacing w:line="380" w:lineRule="exact"/>
              <w:ind w:left="25"/>
              <w:rPr>
                <w:rFonts w:hAnsi="宋体"/>
                <w:color w:val="auto"/>
                <w:highlight w:val="none"/>
              </w:rPr>
            </w:pPr>
            <w:r>
              <w:rPr>
                <w:rFonts w:hint="eastAsia" w:hAnsi="宋体"/>
                <w:color w:val="auto"/>
                <w:highlight w:val="none"/>
              </w:rPr>
              <w:t>100以下</w:t>
            </w:r>
          </w:p>
        </w:tc>
        <w:tc>
          <w:tcPr>
            <w:tcW w:w="2002" w:type="dxa"/>
          </w:tcPr>
          <w:p w14:paraId="0C767638">
            <w:pPr>
              <w:pStyle w:val="12"/>
              <w:spacing w:line="380" w:lineRule="exact"/>
              <w:ind w:left="25"/>
              <w:jc w:val="center"/>
              <w:rPr>
                <w:rFonts w:hAnsi="宋体"/>
                <w:color w:val="auto"/>
                <w:highlight w:val="none"/>
              </w:rPr>
            </w:pPr>
            <w:r>
              <w:rPr>
                <w:rFonts w:hint="eastAsia" w:hAnsi="宋体"/>
                <w:color w:val="auto"/>
                <w:highlight w:val="none"/>
              </w:rPr>
              <w:t>1.5%</w:t>
            </w:r>
          </w:p>
        </w:tc>
        <w:tc>
          <w:tcPr>
            <w:tcW w:w="1992" w:type="dxa"/>
          </w:tcPr>
          <w:p w14:paraId="37A2058E">
            <w:pPr>
              <w:pStyle w:val="12"/>
              <w:spacing w:line="380" w:lineRule="exact"/>
              <w:ind w:left="25"/>
              <w:jc w:val="center"/>
              <w:rPr>
                <w:rFonts w:hAnsi="宋体"/>
                <w:color w:val="auto"/>
                <w:highlight w:val="none"/>
              </w:rPr>
            </w:pPr>
            <w:r>
              <w:rPr>
                <w:rFonts w:hint="eastAsia" w:hAnsi="宋体"/>
                <w:color w:val="auto"/>
                <w:highlight w:val="none"/>
              </w:rPr>
              <w:t>1.5%</w:t>
            </w:r>
          </w:p>
        </w:tc>
        <w:tc>
          <w:tcPr>
            <w:tcW w:w="2293" w:type="dxa"/>
          </w:tcPr>
          <w:p w14:paraId="5DBBEFCD">
            <w:pPr>
              <w:pStyle w:val="12"/>
              <w:spacing w:line="380" w:lineRule="exact"/>
              <w:ind w:left="25"/>
              <w:jc w:val="center"/>
              <w:rPr>
                <w:rFonts w:hAnsi="宋体"/>
                <w:color w:val="auto"/>
                <w:highlight w:val="none"/>
              </w:rPr>
            </w:pPr>
            <w:r>
              <w:rPr>
                <w:rFonts w:hint="eastAsia" w:hAnsi="宋体"/>
                <w:color w:val="auto"/>
                <w:highlight w:val="none"/>
              </w:rPr>
              <w:t>1.0%</w:t>
            </w:r>
          </w:p>
        </w:tc>
      </w:tr>
      <w:tr w14:paraId="02F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1D12E349">
            <w:pPr>
              <w:pStyle w:val="12"/>
              <w:spacing w:line="380" w:lineRule="exact"/>
              <w:ind w:left="25"/>
              <w:rPr>
                <w:rFonts w:hAnsi="宋体"/>
                <w:color w:val="auto"/>
                <w:highlight w:val="none"/>
              </w:rPr>
            </w:pPr>
            <w:r>
              <w:rPr>
                <w:rFonts w:hint="eastAsia" w:hAnsi="宋体"/>
                <w:color w:val="auto"/>
                <w:highlight w:val="none"/>
              </w:rPr>
              <w:t>100-500</w:t>
            </w:r>
          </w:p>
        </w:tc>
        <w:tc>
          <w:tcPr>
            <w:tcW w:w="2002" w:type="dxa"/>
          </w:tcPr>
          <w:p w14:paraId="78A628A1">
            <w:pPr>
              <w:pStyle w:val="12"/>
              <w:spacing w:line="380" w:lineRule="exact"/>
              <w:ind w:left="25"/>
              <w:jc w:val="center"/>
              <w:rPr>
                <w:rFonts w:hAnsi="宋体"/>
                <w:color w:val="auto"/>
                <w:highlight w:val="none"/>
              </w:rPr>
            </w:pPr>
            <w:r>
              <w:rPr>
                <w:rFonts w:hint="eastAsia" w:hAnsi="宋体"/>
                <w:color w:val="auto"/>
                <w:highlight w:val="none"/>
              </w:rPr>
              <w:t>1.1%</w:t>
            </w:r>
          </w:p>
        </w:tc>
        <w:tc>
          <w:tcPr>
            <w:tcW w:w="1992" w:type="dxa"/>
          </w:tcPr>
          <w:p w14:paraId="1971A2C6">
            <w:pPr>
              <w:pStyle w:val="12"/>
              <w:spacing w:line="380" w:lineRule="exact"/>
              <w:ind w:left="25"/>
              <w:jc w:val="center"/>
              <w:rPr>
                <w:rFonts w:hAnsi="宋体"/>
                <w:color w:val="auto"/>
                <w:highlight w:val="none"/>
              </w:rPr>
            </w:pPr>
            <w:r>
              <w:rPr>
                <w:rFonts w:hint="eastAsia" w:hAnsi="宋体"/>
                <w:color w:val="auto"/>
                <w:highlight w:val="none"/>
              </w:rPr>
              <w:t>0.8%</w:t>
            </w:r>
          </w:p>
        </w:tc>
        <w:tc>
          <w:tcPr>
            <w:tcW w:w="2293" w:type="dxa"/>
          </w:tcPr>
          <w:p w14:paraId="377E4A31">
            <w:pPr>
              <w:pStyle w:val="12"/>
              <w:spacing w:line="380" w:lineRule="exact"/>
              <w:ind w:left="25"/>
              <w:jc w:val="center"/>
              <w:rPr>
                <w:rFonts w:hAnsi="宋体"/>
                <w:color w:val="auto"/>
                <w:highlight w:val="none"/>
              </w:rPr>
            </w:pPr>
            <w:r>
              <w:rPr>
                <w:rFonts w:hint="eastAsia" w:hAnsi="宋体"/>
                <w:color w:val="auto"/>
                <w:highlight w:val="none"/>
              </w:rPr>
              <w:t>0.7%</w:t>
            </w:r>
          </w:p>
        </w:tc>
      </w:tr>
      <w:tr w14:paraId="37B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2860F09">
            <w:pPr>
              <w:pStyle w:val="12"/>
              <w:spacing w:line="380" w:lineRule="exact"/>
              <w:ind w:left="25"/>
              <w:rPr>
                <w:rFonts w:hAnsi="宋体"/>
                <w:color w:val="auto"/>
                <w:highlight w:val="none"/>
              </w:rPr>
            </w:pPr>
            <w:r>
              <w:rPr>
                <w:rFonts w:hint="eastAsia" w:hAnsi="宋体"/>
                <w:color w:val="auto"/>
                <w:highlight w:val="none"/>
              </w:rPr>
              <w:t>500-1000</w:t>
            </w:r>
          </w:p>
        </w:tc>
        <w:tc>
          <w:tcPr>
            <w:tcW w:w="2002" w:type="dxa"/>
          </w:tcPr>
          <w:p w14:paraId="1BFBC80E">
            <w:pPr>
              <w:pStyle w:val="12"/>
              <w:spacing w:line="380" w:lineRule="exact"/>
              <w:ind w:left="25"/>
              <w:jc w:val="center"/>
              <w:rPr>
                <w:rFonts w:hAnsi="宋体"/>
                <w:color w:val="auto"/>
                <w:highlight w:val="none"/>
              </w:rPr>
            </w:pPr>
            <w:r>
              <w:rPr>
                <w:rFonts w:hint="eastAsia" w:hAnsi="宋体"/>
                <w:color w:val="auto"/>
                <w:highlight w:val="none"/>
              </w:rPr>
              <w:t>0.8%</w:t>
            </w:r>
          </w:p>
        </w:tc>
        <w:tc>
          <w:tcPr>
            <w:tcW w:w="1992" w:type="dxa"/>
          </w:tcPr>
          <w:p w14:paraId="25368E57">
            <w:pPr>
              <w:pStyle w:val="12"/>
              <w:spacing w:line="380" w:lineRule="exact"/>
              <w:ind w:left="25"/>
              <w:jc w:val="center"/>
              <w:rPr>
                <w:rFonts w:hAnsi="宋体"/>
                <w:color w:val="auto"/>
                <w:highlight w:val="none"/>
              </w:rPr>
            </w:pPr>
            <w:r>
              <w:rPr>
                <w:rFonts w:hint="eastAsia" w:hAnsi="宋体"/>
                <w:color w:val="auto"/>
                <w:highlight w:val="none"/>
              </w:rPr>
              <w:t>0.45%</w:t>
            </w:r>
          </w:p>
        </w:tc>
        <w:tc>
          <w:tcPr>
            <w:tcW w:w="2293" w:type="dxa"/>
          </w:tcPr>
          <w:p w14:paraId="38FF5D7F">
            <w:pPr>
              <w:pStyle w:val="12"/>
              <w:spacing w:line="380" w:lineRule="exact"/>
              <w:ind w:left="25"/>
              <w:jc w:val="center"/>
              <w:rPr>
                <w:rFonts w:hAnsi="宋体"/>
                <w:color w:val="auto"/>
                <w:highlight w:val="none"/>
              </w:rPr>
            </w:pPr>
            <w:r>
              <w:rPr>
                <w:rFonts w:hint="eastAsia" w:hAnsi="宋体"/>
                <w:color w:val="auto"/>
                <w:highlight w:val="none"/>
              </w:rPr>
              <w:t>0.55%</w:t>
            </w:r>
          </w:p>
        </w:tc>
      </w:tr>
      <w:tr w14:paraId="6A7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C89C82A">
            <w:pPr>
              <w:pStyle w:val="12"/>
              <w:spacing w:line="380" w:lineRule="exact"/>
              <w:ind w:left="25"/>
              <w:rPr>
                <w:rFonts w:hAnsi="宋体"/>
                <w:color w:val="auto"/>
                <w:highlight w:val="none"/>
              </w:rPr>
            </w:pPr>
            <w:r>
              <w:rPr>
                <w:rFonts w:hint="eastAsia" w:hAnsi="宋体"/>
                <w:color w:val="auto"/>
                <w:highlight w:val="none"/>
              </w:rPr>
              <w:t>1000-5000</w:t>
            </w:r>
          </w:p>
        </w:tc>
        <w:tc>
          <w:tcPr>
            <w:tcW w:w="2002" w:type="dxa"/>
          </w:tcPr>
          <w:p w14:paraId="2CD0CF32">
            <w:pPr>
              <w:pStyle w:val="12"/>
              <w:spacing w:line="380" w:lineRule="exact"/>
              <w:ind w:left="25"/>
              <w:jc w:val="center"/>
              <w:rPr>
                <w:rFonts w:hAnsi="宋体"/>
                <w:color w:val="auto"/>
                <w:highlight w:val="none"/>
              </w:rPr>
            </w:pPr>
            <w:r>
              <w:rPr>
                <w:rFonts w:hint="eastAsia" w:hAnsi="宋体"/>
                <w:color w:val="auto"/>
                <w:highlight w:val="none"/>
              </w:rPr>
              <w:t>0.5%</w:t>
            </w:r>
          </w:p>
        </w:tc>
        <w:tc>
          <w:tcPr>
            <w:tcW w:w="1992" w:type="dxa"/>
          </w:tcPr>
          <w:p w14:paraId="61A98622">
            <w:pPr>
              <w:pStyle w:val="12"/>
              <w:spacing w:line="380" w:lineRule="exact"/>
              <w:ind w:left="25"/>
              <w:jc w:val="center"/>
              <w:rPr>
                <w:rFonts w:hAnsi="宋体"/>
                <w:color w:val="auto"/>
                <w:highlight w:val="none"/>
              </w:rPr>
            </w:pPr>
            <w:r>
              <w:rPr>
                <w:rFonts w:hint="eastAsia" w:hAnsi="宋体"/>
                <w:color w:val="auto"/>
                <w:highlight w:val="none"/>
              </w:rPr>
              <w:t>0.25%</w:t>
            </w:r>
          </w:p>
        </w:tc>
        <w:tc>
          <w:tcPr>
            <w:tcW w:w="2293" w:type="dxa"/>
          </w:tcPr>
          <w:p w14:paraId="3F8B9F71">
            <w:pPr>
              <w:pStyle w:val="12"/>
              <w:spacing w:line="380" w:lineRule="exact"/>
              <w:ind w:left="25"/>
              <w:jc w:val="center"/>
              <w:rPr>
                <w:rFonts w:hAnsi="宋体"/>
                <w:color w:val="auto"/>
                <w:highlight w:val="none"/>
              </w:rPr>
            </w:pPr>
            <w:r>
              <w:rPr>
                <w:rFonts w:hint="eastAsia" w:hAnsi="宋体"/>
                <w:color w:val="auto"/>
                <w:highlight w:val="none"/>
              </w:rPr>
              <w:t>0.35%</w:t>
            </w:r>
          </w:p>
        </w:tc>
      </w:tr>
      <w:tr w14:paraId="25CF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A885D70">
            <w:pPr>
              <w:pStyle w:val="12"/>
              <w:spacing w:line="380" w:lineRule="exact"/>
              <w:ind w:left="25"/>
              <w:rPr>
                <w:rFonts w:hAnsi="宋体"/>
                <w:color w:val="auto"/>
                <w:highlight w:val="none"/>
              </w:rPr>
            </w:pPr>
            <w:r>
              <w:rPr>
                <w:rFonts w:hint="eastAsia" w:hAnsi="宋体"/>
                <w:color w:val="auto"/>
                <w:highlight w:val="none"/>
              </w:rPr>
              <w:t>5000-10000</w:t>
            </w:r>
          </w:p>
        </w:tc>
        <w:tc>
          <w:tcPr>
            <w:tcW w:w="2002" w:type="dxa"/>
          </w:tcPr>
          <w:p w14:paraId="5C758287">
            <w:pPr>
              <w:pStyle w:val="12"/>
              <w:spacing w:line="380" w:lineRule="exact"/>
              <w:ind w:left="25"/>
              <w:jc w:val="center"/>
              <w:rPr>
                <w:rFonts w:hAnsi="宋体"/>
                <w:color w:val="auto"/>
                <w:highlight w:val="none"/>
              </w:rPr>
            </w:pPr>
            <w:r>
              <w:rPr>
                <w:rFonts w:hint="eastAsia" w:hAnsi="宋体"/>
                <w:color w:val="auto"/>
                <w:highlight w:val="none"/>
              </w:rPr>
              <w:t>0.25%</w:t>
            </w:r>
          </w:p>
        </w:tc>
        <w:tc>
          <w:tcPr>
            <w:tcW w:w="1992" w:type="dxa"/>
          </w:tcPr>
          <w:p w14:paraId="231D642A">
            <w:pPr>
              <w:pStyle w:val="12"/>
              <w:spacing w:line="380" w:lineRule="exact"/>
              <w:ind w:left="25"/>
              <w:jc w:val="center"/>
              <w:rPr>
                <w:rFonts w:hAnsi="宋体"/>
                <w:color w:val="auto"/>
                <w:highlight w:val="none"/>
              </w:rPr>
            </w:pPr>
            <w:r>
              <w:rPr>
                <w:rFonts w:hint="eastAsia" w:hAnsi="宋体"/>
                <w:color w:val="auto"/>
                <w:highlight w:val="none"/>
              </w:rPr>
              <w:t>0.1%</w:t>
            </w:r>
          </w:p>
        </w:tc>
        <w:tc>
          <w:tcPr>
            <w:tcW w:w="2293" w:type="dxa"/>
          </w:tcPr>
          <w:p w14:paraId="3998610C">
            <w:pPr>
              <w:pStyle w:val="12"/>
              <w:spacing w:line="380" w:lineRule="exact"/>
              <w:ind w:left="25"/>
              <w:jc w:val="center"/>
              <w:rPr>
                <w:rFonts w:hAnsi="宋体"/>
                <w:color w:val="auto"/>
                <w:highlight w:val="none"/>
              </w:rPr>
            </w:pPr>
            <w:r>
              <w:rPr>
                <w:rFonts w:hint="eastAsia" w:hAnsi="宋体"/>
                <w:color w:val="auto"/>
                <w:highlight w:val="none"/>
              </w:rPr>
              <w:t>0.2%</w:t>
            </w:r>
          </w:p>
        </w:tc>
      </w:tr>
      <w:tr w14:paraId="2F18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14:paraId="304F4F9A">
            <w:pPr>
              <w:pStyle w:val="12"/>
              <w:spacing w:line="380" w:lineRule="exact"/>
              <w:ind w:left="25"/>
              <w:rPr>
                <w:rFonts w:hAnsi="宋体"/>
                <w:color w:val="auto"/>
                <w:highlight w:val="none"/>
              </w:rPr>
            </w:pPr>
            <w:r>
              <w:rPr>
                <w:rFonts w:hint="eastAsia" w:hAnsi="宋体"/>
                <w:color w:val="auto"/>
                <w:highlight w:val="none"/>
              </w:rPr>
              <w:t>10000-100000</w:t>
            </w:r>
          </w:p>
        </w:tc>
        <w:tc>
          <w:tcPr>
            <w:tcW w:w="2002" w:type="dxa"/>
          </w:tcPr>
          <w:p w14:paraId="6DAD8FFF">
            <w:pPr>
              <w:pStyle w:val="12"/>
              <w:spacing w:line="380" w:lineRule="exact"/>
              <w:ind w:left="25"/>
              <w:jc w:val="center"/>
              <w:rPr>
                <w:rFonts w:hAnsi="宋体"/>
                <w:color w:val="auto"/>
                <w:highlight w:val="none"/>
              </w:rPr>
            </w:pPr>
            <w:r>
              <w:rPr>
                <w:rFonts w:hint="eastAsia" w:hAnsi="宋体"/>
                <w:color w:val="auto"/>
                <w:highlight w:val="none"/>
              </w:rPr>
              <w:t>0.05%</w:t>
            </w:r>
          </w:p>
        </w:tc>
        <w:tc>
          <w:tcPr>
            <w:tcW w:w="1992" w:type="dxa"/>
          </w:tcPr>
          <w:p w14:paraId="367A2DA9">
            <w:pPr>
              <w:pStyle w:val="12"/>
              <w:spacing w:line="380" w:lineRule="exact"/>
              <w:ind w:left="25"/>
              <w:jc w:val="center"/>
              <w:rPr>
                <w:rFonts w:hAnsi="宋体"/>
                <w:color w:val="auto"/>
                <w:highlight w:val="none"/>
              </w:rPr>
            </w:pPr>
            <w:r>
              <w:rPr>
                <w:rFonts w:hint="eastAsia" w:hAnsi="宋体"/>
                <w:color w:val="auto"/>
                <w:highlight w:val="none"/>
              </w:rPr>
              <w:t>0.05%</w:t>
            </w:r>
          </w:p>
        </w:tc>
        <w:tc>
          <w:tcPr>
            <w:tcW w:w="2293" w:type="dxa"/>
          </w:tcPr>
          <w:p w14:paraId="08368856">
            <w:pPr>
              <w:pStyle w:val="12"/>
              <w:spacing w:line="380" w:lineRule="exact"/>
              <w:ind w:left="25"/>
              <w:jc w:val="center"/>
              <w:rPr>
                <w:rFonts w:hAnsi="宋体"/>
                <w:color w:val="auto"/>
                <w:highlight w:val="none"/>
              </w:rPr>
            </w:pPr>
            <w:r>
              <w:rPr>
                <w:rFonts w:hint="eastAsia" w:hAnsi="宋体"/>
                <w:color w:val="auto"/>
                <w:highlight w:val="none"/>
              </w:rPr>
              <w:t>0.05%</w:t>
            </w:r>
          </w:p>
        </w:tc>
      </w:tr>
      <w:tr w14:paraId="49A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tcPr>
          <w:p w14:paraId="6C35D2EB">
            <w:pPr>
              <w:pStyle w:val="12"/>
              <w:spacing w:line="380" w:lineRule="exact"/>
              <w:ind w:left="25"/>
              <w:rPr>
                <w:rFonts w:hAnsi="宋体"/>
                <w:color w:val="auto"/>
                <w:highlight w:val="none"/>
              </w:rPr>
            </w:pPr>
            <w:r>
              <w:rPr>
                <w:rFonts w:hint="eastAsia" w:hAnsi="宋体"/>
                <w:color w:val="auto"/>
                <w:highlight w:val="none"/>
              </w:rPr>
              <w:t>100000以上</w:t>
            </w:r>
          </w:p>
        </w:tc>
        <w:tc>
          <w:tcPr>
            <w:tcW w:w="2002" w:type="dxa"/>
          </w:tcPr>
          <w:p w14:paraId="67E98073">
            <w:pPr>
              <w:pStyle w:val="12"/>
              <w:spacing w:line="380" w:lineRule="exact"/>
              <w:ind w:left="25"/>
              <w:jc w:val="center"/>
              <w:rPr>
                <w:rFonts w:hAnsi="宋体"/>
                <w:color w:val="auto"/>
                <w:highlight w:val="none"/>
              </w:rPr>
            </w:pPr>
            <w:r>
              <w:rPr>
                <w:rFonts w:hint="eastAsia" w:hAnsi="宋体"/>
                <w:color w:val="auto"/>
                <w:highlight w:val="none"/>
              </w:rPr>
              <w:t>0.01%</w:t>
            </w:r>
          </w:p>
        </w:tc>
        <w:tc>
          <w:tcPr>
            <w:tcW w:w="1992" w:type="dxa"/>
          </w:tcPr>
          <w:p w14:paraId="03F19805">
            <w:pPr>
              <w:pStyle w:val="12"/>
              <w:spacing w:line="380" w:lineRule="exact"/>
              <w:ind w:left="25"/>
              <w:jc w:val="center"/>
              <w:rPr>
                <w:rFonts w:hAnsi="宋体"/>
                <w:color w:val="auto"/>
                <w:highlight w:val="none"/>
              </w:rPr>
            </w:pPr>
            <w:r>
              <w:rPr>
                <w:rFonts w:hint="eastAsia" w:hAnsi="宋体"/>
                <w:color w:val="auto"/>
                <w:highlight w:val="none"/>
              </w:rPr>
              <w:t>0.01%</w:t>
            </w:r>
          </w:p>
        </w:tc>
        <w:tc>
          <w:tcPr>
            <w:tcW w:w="2293" w:type="dxa"/>
          </w:tcPr>
          <w:p w14:paraId="66619BEE">
            <w:pPr>
              <w:pStyle w:val="12"/>
              <w:spacing w:line="380" w:lineRule="exact"/>
              <w:ind w:left="25"/>
              <w:jc w:val="center"/>
              <w:rPr>
                <w:rFonts w:hAnsi="宋体"/>
                <w:color w:val="auto"/>
                <w:highlight w:val="none"/>
              </w:rPr>
            </w:pPr>
            <w:r>
              <w:rPr>
                <w:rFonts w:hint="eastAsia" w:hAnsi="宋体"/>
                <w:color w:val="auto"/>
                <w:highlight w:val="none"/>
              </w:rPr>
              <w:t>0.01%</w:t>
            </w:r>
          </w:p>
        </w:tc>
      </w:tr>
    </w:tbl>
    <w:p w14:paraId="498C9E2D">
      <w:pPr>
        <w:pStyle w:val="12"/>
        <w:spacing w:line="380" w:lineRule="exact"/>
        <w:ind w:left="25"/>
        <w:rPr>
          <w:rFonts w:hAnsi="宋体"/>
          <w:color w:val="auto"/>
          <w:highlight w:val="none"/>
        </w:rPr>
      </w:pPr>
      <w:r>
        <w:rPr>
          <w:rFonts w:hint="eastAsia" w:hAnsi="宋体"/>
          <w:color w:val="auto"/>
          <w:highlight w:val="none"/>
        </w:rPr>
        <w:t>注：采购代理服务收费按差额定率累进法计算。</w:t>
      </w:r>
    </w:p>
    <w:p w14:paraId="329CF280">
      <w:pPr>
        <w:spacing w:line="380" w:lineRule="exact"/>
        <w:ind w:firstLine="420" w:firstLineChars="200"/>
        <w:rPr>
          <w:rFonts w:ascii="宋体" w:hAnsi="宋体"/>
          <w:color w:val="auto"/>
          <w:highlight w:val="none"/>
        </w:rPr>
      </w:pPr>
      <w:r>
        <w:rPr>
          <w:rFonts w:hint="eastAsia" w:ascii="宋体" w:hAnsi="宋体"/>
          <w:color w:val="auto"/>
          <w:highlight w:val="none"/>
        </w:rPr>
        <w:t>31、</w:t>
      </w:r>
      <w:r>
        <w:rPr>
          <w:rFonts w:hint="eastAsia" w:ascii="宋体" w:hAnsi="宋体"/>
          <w:b/>
          <w:color w:val="auto"/>
          <w:highlight w:val="none"/>
        </w:rPr>
        <w:t>交纳代理服务费银行账户：</w:t>
      </w:r>
    </w:p>
    <w:p w14:paraId="4A0FDD49">
      <w:pPr>
        <w:pStyle w:val="12"/>
        <w:snapToGrid w:val="0"/>
        <w:spacing w:line="380" w:lineRule="exact"/>
        <w:ind w:firstLine="420" w:firstLineChars="200"/>
        <w:rPr>
          <w:rFonts w:hAnsi="宋体"/>
          <w:color w:val="auto"/>
          <w:highlight w:val="none"/>
        </w:rPr>
      </w:pPr>
      <w:r>
        <w:rPr>
          <w:rFonts w:hint="eastAsia" w:hAnsi="宋体"/>
          <w:color w:val="auto"/>
          <w:highlight w:val="none"/>
        </w:rPr>
        <w:t>采购代理机构银行账户：</w:t>
      </w:r>
    </w:p>
    <w:p w14:paraId="5DA9099E">
      <w:pPr>
        <w:pStyle w:val="12"/>
        <w:snapToGrid w:val="0"/>
        <w:spacing w:line="360" w:lineRule="exact"/>
        <w:ind w:firstLine="420" w:firstLineChars="200"/>
        <w:rPr>
          <w:rFonts w:hAnsi="宋体"/>
          <w:color w:val="auto"/>
          <w:szCs w:val="21"/>
          <w:highlight w:val="none"/>
        </w:rPr>
      </w:pPr>
      <w:r>
        <w:rPr>
          <w:rFonts w:hint="eastAsia" w:hAnsi="宋体"/>
          <w:color w:val="auto"/>
          <w:szCs w:val="21"/>
          <w:highlight w:val="none"/>
        </w:rPr>
        <w:t>账户名称：广西安臻工程管理有限公司</w:t>
      </w:r>
    </w:p>
    <w:p w14:paraId="38E2D2E8">
      <w:pPr>
        <w:pStyle w:val="12"/>
        <w:snapToGrid w:val="0"/>
        <w:spacing w:line="380" w:lineRule="exact"/>
        <w:ind w:firstLine="420" w:firstLineChars="200"/>
        <w:rPr>
          <w:rFonts w:hAnsi="宋体" w:cs="宋体"/>
          <w:color w:val="auto"/>
          <w:highlight w:val="none"/>
        </w:rPr>
      </w:pPr>
      <w:r>
        <w:rPr>
          <w:rFonts w:hint="eastAsia" w:hAnsi="宋体"/>
          <w:color w:val="auto"/>
          <w:szCs w:val="21"/>
          <w:highlight w:val="none"/>
        </w:rPr>
        <w:t>开户银行：</w:t>
      </w:r>
      <w:r>
        <w:rPr>
          <w:rFonts w:hint="eastAsia" w:hAnsi="宋体" w:cs="宋体"/>
          <w:color w:val="auto"/>
          <w:highlight w:val="none"/>
        </w:rPr>
        <w:t>桂林银行股份有限公司临桂支行</w:t>
      </w:r>
    </w:p>
    <w:p w14:paraId="70C1E652">
      <w:pPr>
        <w:pStyle w:val="12"/>
        <w:snapToGrid w:val="0"/>
        <w:spacing w:line="380" w:lineRule="exact"/>
        <w:ind w:firstLine="420" w:firstLineChars="200"/>
        <w:rPr>
          <w:rFonts w:hAnsi="宋体" w:cs="宋体"/>
          <w:color w:val="auto"/>
          <w:highlight w:val="none"/>
        </w:rPr>
      </w:pPr>
      <w:r>
        <w:rPr>
          <w:rFonts w:hint="eastAsia" w:hAnsi="宋体" w:cs="宋体"/>
          <w:color w:val="auto"/>
          <w:highlight w:val="none"/>
        </w:rPr>
        <w:t>银行账号：</w:t>
      </w:r>
      <w:r>
        <w:rPr>
          <w:rFonts w:hAnsi="宋体" w:cs="宋体"/>
          <w:color w:val="auto"/>
          <w:highlight w:val="none"/>
        </w:rPr>
        <w:t>660000019867600018</w:t>
      </w:r>
    </w:p>
    <w:p w14:paraId="3A63B893">
      <w:pPr>
        <w:pStyle w:val="12"/>
        <w:snapToGrid w:val="0"/>
        <w:spacing w:line="360" w:lineRule="auto"/>
        <w:ind w:firstLine="420" w:firstLineChars="200"/>
        <w:rPr>
          <w:rFonts w:hint="eastAsia" w:hAnsi="宋体"/>
          <w:color w:val="auto"/>
          <w:highlight w:val="none"/>
        </w:rPr>
      </w:pPr>
    </w:p>
    <w:p w14:paraId="59ADC209">
      <w:pPr>
        <w:pStyle w:val="12"/>
        <w:snapToGrid w:val="0"/>
        <w:spacing w:line="360" w:lineRule="auto"/>
        <w:ind w:firstLine="420" w:firstLineChars="200"/>
        <w:rPr>
          <w:rFonts w:hAnsi="宋体"/>
          <w:color w:val="auto"/>
          <w:highlight w:val="none"/>
        </w:rPr>
      </w:pPr>
      <w:r>
        <w:rPr>
          <w:rFonts w:hint="eastAsia" w:hAnsi="宋体"/>
          <w:color w:val="auto"/>
          <w:highlight w:val="none"/>
        </w:rPr>
        <w:t>32、解释权：本竞争性磋商文件是根据</w:t>
      </w:r>
      <w:r>
        <w:rPr>
          <w:rFonts w:hint="eastAsia" w:hAnsi="宋体"/>
          <w:bCs/>
          <w:color w:val="auto"/>
          <w:highlight w:val="none"/>
        </w:rPr>
        <w:t>《中华人民共和国政府采购法》、《中华人民共和国政府采购法实施条例》、</w:t>
      </w:r>
      <w:r>
        <w:rPr>
          <w:rFonts w:hAnsi="宋体"/>
          <w:bCs/>
          <w:color w:val="auto"/>
          <w:highlight w:val="none"/>
        </w:rPr>
        <w:t>《政府采购竞争性磋商采购方式管理暂行办法》</w:t>
      </w:r>
      <w:r>
        <w:rPr>
          <w:rFonts w:hint="eastAsia" w:hAnsi="宋体"/>
          <w:color w:val="auto"/>
          <w:highlight w:val="none"/>
        </w:rPr>
        <w:t>和政府采购管理有关规定编制，本竞争性磋商文件的解释权属于采购代理机构。</w:t>
      </w:r>
    </w:p>
    <w:p w14:paraId="79F9C2FC">
      <w:pPr>
        <w:snapToGrid w:val="0"/>
        <w:spacing w:line="360" w:lineRule="auto"/>
        <w:ind w:firstLine="422" w:firstLineChars="200"/>
        <w:rPr>
          <w:color w:val="auto"/>
          <w:highlight w:val="none"/>
        </w:rPr>
      </w:pPr>
      <w:bookmarkStart w:id="103" w:name="_Toc30723"/>
      <w:r>
        <w:rPr>
          <w:rStyle w:val="31"/>
          <w:rFonts w:hint="eastAsia" w:ascii="宋体" w:hAnsi="宋体" w:cs="宋体"/>
          <w:color w:val="auto"/>
          <w:sz w:val="21"/>
          <w:szCs w:val="21"/>
          <w:highlight w:val="none"/>
        </w:rPr>
        <w:t>33. 监督管理机构</w:t>
      </w:r>
      <w:bookmarkEnd w:id="103"/>
      <w:r>
        <w:rPr>
          <w:rFonts w:hint="eastAsia" w:ascii="宋体" w:hAnsi="宋体" w:cs="宋体"/>
          <w:color w:val="auto"/>
          <w:szCs w:val="21"/>
          <w:highlight w:val="none"/>
        </w:rPr>
        <w:t>：临桂区财政局       电话：0773-5593932。</w:t>
      </w:r>
    </w:p>
    <w:p w14:paraId="7DBA3714">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p>
    <w:p w14:paraId="6BDFEC14">
      <w:pPr>
        <w:rPr>
          <w:rFonts w:ascii="宋体" w:hAnsi="宋体" w:cs="宋体"/>
          <w:color w:val="auto"/>
          <w:sz w:val="32"/>
          <w:szCs w:val="32"/>
          <w:highlight w:val="none"/>
        </w:rPr>
      </w:pPr>
    </w:p>
    <w:p w14:paraId="0870B82D">
      <w:pPr>
        <w:pStyle w:val="8"/>
        <w:rPr>
          <w:rFonts w:ascii="宋体" w:hAnsi="宋体" w:cs="宋体"/>
          <w:color w:val="auto"/>
          <w:sz w:val="32"/>
          <w:szCs w:val="32"/>
          <w:highlight w:val="none"/>
        </w:rPr>
      </w:pPr>
    </w:p>
    <w:p w14:paraId="67564207">
      <w:pPr>
        <w:rPr>
          <w:rFonts w:ascii="宋体" w:hAnsi="宋体" w:cs="宋体"/>
          <w:color w:val="auto"/>
          <w:sz w:val="32"/>
          <w:szCs w:val="32"/>
          <w:highlight w:val="none"/>
        </w:rPr>
      </w:pPr>
    </w:p>
    <w:p w14:paraId="733002C5">
      <w:pPr>
        <w:pStyle w:val="8"/>
        <w:rPr>
          <w:rFonts w:ascii="宋体" w:hAnsi="宋体" w:cs="宋体"/>
          <w:color w:val="auto"/>
          <w:sz w:val="32"/>
          <w:szCs w:val="32"/>
          <w:highlight w:val="none"/>
        </w:rPr>
      </w:pPr>
    </w:p>
    <w:p w14:paraId="13E745EA">
      <w:pPr>
        <w:rPr>
          <w:color w:val="auto"/>
          <w:highlight w:val="none"/>
        </w:rPr>
      </w:pPr>
    </w:p>
    <w:p w14:paraId="2A71EFB6">
      <w:pPr>
        <w:widowControl/>
        <w:jc w:val="left"/>
        <w:rPr>
          <w:rFonts w:ascii="宋体" w:hAnsi="宋体" w:cs="宋体"/>
          <w:b/>
          <w:bCs/>
          <w:color w:val="auto"/>
          <w:kern w:val="44"/>
          <w:sz w:val="32"/>
          <w:szCs w:val="32"/>
          <w:highlight w:val="none"/>
        </w:rPr>
      </w:pPr>
      <w:r>
        <w:rPr>
          <w:rFonts w:ascii="宋体" w:hAnsi="宋体" w:cs="宋体"/>
          <w:color w:val="auto"/>
          <w:sz w:val="32"/>
          <w:szCs w:val="32"/>
          <w:highlight w:val="none"/>
        </w:rPr>
        <w:br w:type="page"/>
      </w:r>
    </w:p>
    <w:p w14:paraId="7005DA74">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104" w:name="_Toc28378"/>
      <w:r>
        <w:rPr>
          <w:rFonts w:hint="eastAsia" w:ascii="宋体" w:hAnsi="宋体" w:cs="宋体"/>
          <w:color w:val="auto"/>
          <w:sz w:val="32"/>
          <w:szCs w:val="32"/>
          <w:highlight w:val="none"/>
        </w:rPr>
        <w:t xml:space="preserve">第三章 </w:t>
      </w:r>
      <w:bookmarkStart w:id="105" w:name="_Toc24601"/>
      <w:bookmarkStart w:id="106" w:name="_Toc22353"/>
      <w:r>
        <w:rPr>
          <w:rFonts w:hint="eastAsia" w:ascii="宋体" w:hAnsi="宋体" w:cs="宋体"/>
          <w:color w:val="auto"/>
          <w:sz w:val="32"/>
          <w:szCs w:val="32"/>
          <w:highlight w:val="none"/>
        </w:rPr>
        <w:t>采购需求</w:t>
      </w:r>
      <w:bookmarkEnd w:id="104"/>
      <w:bookmarkEnd w:id="105"/>
      <w:bookmarkEnd w:id="106"/>
    </w:p>
    <w:p w14:paraId="5D0DDCA4">
      <w:pPr>
        <w:spacing w:line="288" w:lineRule="auto"/>
        <w:ind w:firstLine="422" w:firstLineChars="200"/>
        <w:textAlignment w:val="center"/>
        <w:rPr>
          <w:rFonts w:ascii="宋体" w:hAnsi="宋体" w:cs="宋体"/>
          <w:b/>
          <w:color w:val="auto"/>
          <w:szCs w:val="21"/>
          <w:highlight w:val="none"/>
          <w:u w:val="single"/>
        </w:rPr>
      </w:pPr>
      <w:bookmarkStart w:id="107" w:name="_Toc30534"/>
      <w:bookmarkStart w:id="108" w:name="_Toc17907"/>
      <w:r>
        <w:rPr>
          <w:rFonts w:hint="eastAsia"/>
          <w:b/>
          <w:bCs/>
          <w:color w:val="auto"/>
          <w:highlight w:val="none"/>
        </w:rPr>
        <w:t>1、说明：</w:t>
      </w:r>
      <w:r>
        <w:rPr>
          <w:rFonts w:hint="eastAsia" w:ascii="宋体" w:hAnsi="宋体" w:cs="宋体"/>
          <w:b/>
          <w:color w:val="auto"/>
          <w:szCs w:val="21"/>
          <w:highlight w:val="none"/>
          <w:u w:val="single"/>
        </w:rPr>
        <w:t>“服务采购需求”</w:t>
      </w:r>
      <w:r>
        <w:rPr>
          <w:rFonts w:hint="eastAsia"/>
          <w:color w:val="auto"/>
          <w:highlight w:val="none"/>
        </w:rPr>
        <w:t xml:space="preserve"> </w:t>
      </w:r>
      <w:r>
        <w:rPr>
          <w:rFonts w:hint="eastAsia" w:ascii="宋体" w:hAnsi="宋体" w:cs="宋体"/>
          <w:b/>
          <w:color w:val="auto"/>
          <w:szCs w:val="21"/>
          <w:highlight w:val="none"/>
          <w:u w:val="single"/>
        </w:rPr>
        <w:t>中标注“★”项的条款以及招标文件中要求“必须提供”的条款均属于实质性要求，不允许负偏离，否则投标无效，标注“▲”号的技术条款系指与项目实际紧密相关的功能条款、技术指标，将作为设备性能评审依据。</w:t>
      </w:r>
    </w:p>
    <w:p w14:paraId="77D655AB">
      <w:pPr>
        <w:spacing w:line="288" w:lineRule="auto"/>
        <w:ind w:firstLine="422" w:firstLineChars="200"/>
        <w:textAlignment w:val="center"/>
        <w:rPr>
          <w:b/>
          <w:bCs/>
          <w:color w:val="auto"/>
          <w:highlight w:val="none"/>
        </w:rPr>
      </w:pPr>
      <w:r>
        <w:rPr>
          <w:rFonts w:hint="eastAsia"/>
          <w:b/>
          <w:bCs/>
          <w:color w:val="auto"/>
          <w:highlight w:val="none"/>
        </w:rPr>
        <w:t>2、本项目所属行业：信息传输业 ※</w:t>
      </w:r>
    </w:p>
    <w:tbl>
      <w:tblPr>
        <w:tblStyle w:val="24"/>
        <w:tblpPr w:leftFromText="180" w:rightFromText="180" w:vertAnchor="text" w:horzAnchor="page" w:tblpX="1249" w:tblpY="438"/>
        <w:tblOverlap w:val="never"/>
        <w:tblW w:w="9576" w:type="dxa"/>
        <w:tblInd w:w="0" w:type="dxa"/>
        <w:tblLayout w:type="fixed"/>
        <w:tblCellMar>
          <w:top w:w="0" w:type="dxa"/>
          <w:left w:w="108" w:type="dxa"/>
          <w:bottom w:w="0" w:type="dxa"/>
          <w:right w:w="108" w:type="dxa"/>
        </w:tblCellMar>
      </w:tblPr>
      <w:tblGrid>
        <w:gridCol w:w="675"/>
        <w:gridCol w:w="1134"/>
        <w:gridCol w:w="6379"/>
        <w:gridCol w:w="709"/>
        <w:gridCol w:w="679"/>
      </w:tblGrid>
      <w:tr w14:paraId="2884E611">
        <w:tblPrEx>
          <w:tblCellMar>
            <w:top w:w="0" w:type="dxa"/>
            <w:left w:w="108" w:type="dxa"/>
            <w:bottom w:w="0" w:type="dxa"/>
            <w:right w:w="108" w:type="dxa"/>
          </w:tblCellMar>
        </w:tblPrEx>
        <w:trPr>
          <w:trHeight w:val="624" w:hRule="atLeast"/>
        </w:trPr>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14:paraId="74A17602">
            <w:pPr>
              <w:widowControl/>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7139125A">
            <w:pPr>
              <w:widowControl/>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6379" w:type="dxa"/>
            <w:tcBorders>
              <w:top w:val="single" w:color="auto" w:sz="4" w:space="0"/>
              <w:left w:val="nil"/>
              <w:bottom w:val="single" w:color="auto" w:sz="4" w:space="0"/>
              <w:right w:val="single" w:color="auto" w:sz="4" w:space="0"/>
            </w:tcBorders>
            <w:shd w:val="clear" w:color="000000" w:fill="FFFFFF"/>
            <w:vAlign w:val="center"/>
          </w:tcPr>
          <w:p w14:paraId="3581E8A1">
            <w:pPr>
              <w:widowControl/>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配套服务相关性能参数</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3C62B8C">
            <w:pPr>
              <w:widowControl/>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679" w:type="dxa"/>
            <w:tcBorders>
              <w:top w:val="single" w:color="auto" w:sz="4" w:space="0"/>
              <w:left w:val="nil"/>
              <w:bottom w:val="single" w:color="auto" w:sz="4" w:space="0"/>
              <w:right w:val="single" w:color="auto" w:sz="4" w:space="0"/>
            </w:tcBorders>
            <w:shd w:val="clear" w:color="000000" w:fill="FFFFFF"/>
            <w:vAlign w:val="center"/>
          </w:tcPr>
          <w:p w14:paraId="74818980">
            <w:pPr>
              <w:widowControl/>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单位</w:t>
            </w:r>
          </w:p>
        </w:tc>
      </w:tr>
      <w:tr w14:paraId="1EE0BE83">
        <w:tblPrEx>
          <w:tblCellMar>
            <w:top w:w="0" w:type="dxa"/>
            <w:left w:w="108" w:type="dxa"/>
            <w:bottom w:w="0" w:type="dxa"/>
            <w:right w:w="108" w:type="dxa"/>
          </w:tblCellMar>
        </w:tblPrEx>
        <w:trPr>
          <w:trHeight w:val="558" w:hRule="atLeast"/>
        </w:trPr>
        <w:tc>
          <w:tcPr>
            <w:tcW w:w="675" w:type="dxa"/>
            <w:tcBorders>
              <w:top w:val="nil"/>
              <w:left w:val="single" w:color="auto" w:sz="4" w:space="0"/>
              <w:bottom w:val="single" w:color="auto" w:sz="4" w:space="0"/>
              <w:right w:val="single" w:color="auto" w:sz="4" w:space="0"/>
            </w:tcBorders>
            <w:shd w:val="clear" w:color="000000" w:fill="FFFFFF"/>
            <w:vAlign w:val="center"/>
          </w:tcPr>
          <w:p w14:paraId="0D7AE9AE">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4" w:type="dxa"/>
            <w:tcBorders>
              <w:top w:val="nil"/>
              <w:left w:val="nil"/>
              <w:bottom w:val="single" w:color="auto" w:sz="4" w:space="0"/>
              <w:right w:val="single" w:color="auto" w:sz="4" w:space="0"/>
            </w:tcBorders>
            <w:shd w:val="clear" w:color="000000" w:fill="FFFFFF"/>
            <w:vAlign w:val="center"/>
          </w:tcPr>
          <w:p w14:paraId="3F6360F9">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桂林市公安局临桂分局移动警务双系统警务通服务项目</w:t>
            </w:r>
          </w:p>
        </w:tc>
        <w:tc>
          <w:tcPr>
            <w:tcW w:w="6379" w:type="dxa"/>
            <w:tcBorders>
              <w:top w:val="nil"/>
              <w:left w:val="nil"/>
              <w:bottom w:val="single" w:color="auto" w:sz="4" w:space="0"/>
              <w:right w:val="single" w:color="auto" w:sz="4" w:space="0"/>
            </w:tcBorders>
            <w:shd w:val="clear" w:color="000000" w:fill="FFFFFF"/>
            <w:vAlign w:val="center"/>
          </w:tcPr>
          <w:p w14:paraId="628C031A">
            <w:pPr>
              <w:widowControl/>
              <w:overflowPunct w:val="0"/>
              <w:spacing w:line="360" w:lineRule="auto"/>
              <w:jc w:val="left"/>
              <w:rPr>
                <w:rFonts w:ascii="宋体" w:hAnsi="宋体"/>
                <w:b/>
                <w:bCs/>
                <w:color w:val="auto"/>
                <w:szCs w:val="21"/>
                <w:highlight w:val="none"/>
              </w:rPr>
            </w:pPr>
            <w:r>
              <w:rPr>
                <w:rFonts w:hint="eastAsia" w:ascii="宋体" w:hAnsi="宋体"/>
                <w:b/>
                <w:bCs/>
                <w:color w:val="auto"/>
                <w:szCs w:val="21"/>
                <w:highlight w:val="none"/>
              </w:rPr>
              <w:t xml:space="preserve">一、总体目标： </w:t>
            </w:r>
          </w:p>
          <w:p w14:paraId="305FE3B3">
            <w:pPr>
              <w:widowControl/>
              <w:overflowPunct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在信息高速发展的形势下，外勤民警与公安内勤民警信息的交流需求日益增大，迫切需要快捷的反应速度，迅捷的内外部沟通手段。为推进我局全面深化改革和“四项建设”工作任务，适应“大整合、高共享、深应用”公安信息化发展大势，充分运用现代移动信息化技术手段，使一线民警能够灵活获取公安内网的各类信息资源，提升我局执法监督、远程办公和指挥调度的能力，在广西壮族自治区公安厅移动警务平台的技术支撑，结合基础电信通信服务，提供245台移动警务办公终端及通信服务。 </w:t>
            </w:r>
          </w:p>
          <w:p w14:paraId="69AF090A">
            <w:pPr>
              <w:widowControl/>
              <w:overflowPunct w:val="0"/>
              <w:spacing w:line="360" w:lineRule="auto"/>
              <w:jc w:val="left"/>
              <w:rPr>
                <w:rFonts w:ascii="宋体" w:hAnsi="宋体"/>
                <w:b/>
                <w:bCs/>
                <w:color w:val="auto"/>
                <w:szCs w:val="21"/>
                <w:highlight w:val="none"/>
              </w:rPr>
            </w:pPr>
            <w:r>
              <w:rPr>
                <w:rFonts w:hint="eastAsia" w:ascii="宋体" w:hAnsi="宋体"/>
                <w:b/>
                <w:bCs/>
                <w:color w:val="auto"/>
                <w:szCs w:val="21"/>
                <w:highlight w:val="none"/>
              </w:rPr>
              <w:t>二、245台移动警务办公服务目标要求及技术指标：</w:t>
            </w:r>
          </w:p>
          <w:p w14:paraId="7AFABB9E">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1.外观设计：直板，尺寸（± 0.5）≥160.9mm（长± 0.5）+ 75.9mm（宽± 0.5）+ 7.8mm（厚± 0.2）；</w:t>
            </w:r>
          </w:p>
          <w:p w14:paraId="7FFC8751">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2.网络制式：全网通；</w:t>
            </w:r>
          </w:p>
          <w:p w14:paraId="15E0366C">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3.双卡双待，支持SIM卡、nano SIM卡；</w:t>
            </w:r>
          </w:p>
          <w:p w14:paraId="55949AC9">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4.存储：RAM≥12GB，ROM≥512GB；</w:t>
            </w:r>
          </w:p>
          <w:p w14:paraId="4102EAC9">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5.CPU：国产芯片；</w:t>
            </w:r>
          </w:p>
          <w:p w14:paraId="27F5EBBA">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6.支持 GPS/AGPS/GLONASS/北斗/GALILEO/QZSS/NavIC；</w:t>
            </w:r>
          </w:p>
          <w:p w14:paraId="2060F5B8">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7.屏幕：≥6.7英寸，≥10.7 亿色，具备P3广色域的OLED显示屏, 支持自适应刷新率，分辨率≥ 2688 × 1216像素；</w:t>
            </w:r>
          </w:p>
          <w:p w14:paraId="42BF61B2">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8.后置摄像头：≥4个摄像头，摄像头像素≥5000万像素+ 4000万像素+ 1200万像素+ 150万像素，支持自动对焦；</w:t>
            </w:r>
          </w:p>
          <w:p w14:paraId="4313B8F0">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前置摄像头：≥1300 万像素；</w:t>
            </w:r>
          </w:p>
          <w:p w14:paraId="66AAAFC5">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9.电池容量：≥5300mAh（典型值），手机支持最大快充≥66W，支持无线充电，支持≥50W超级快充，支持无线反向充电；</w:t>
            </w:r>
          </w:p>
          <w:p w14:paraId="3D25F793">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10.支持的传感器要求：包括但不限于：姿态感应器、重力传感器、红外传感器、侧边指纹、霍尔传感器、陀螺仪、指南针、环境光传感器、接近光传感器、Camera 激光对焦传感器、色温传感器等；</w:t>
            </w:r>
          </w:p>
          <w:p w14:paraId="7497A887">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11.防水防尘：具备或优于防水防尘IP68等级标准。</w:t>
            </w:r>
          </w:p>
          <w:p w14:paraId="792932FC">
            <w:pPr>
              <w:widowControl/>
              <w:overflowPunct w:val="0"/>
              <w:spacing w:line="360" w:lineRule="auto"/>
              <w:jc w:val="left"/>
              <w:rPr>
                <w:rFonts w:ascii="宋体" w:hAnsi="宋体"/>
                <w:b/>
                <w:bCs/>
                <w:color w:val="auto"/>
                <w:szCs w:val="21"/>
                <w:highlight w:val="none"/>
              </w:rPr>
            </w:pPr>
            <w:r>
              <w:rPr>
                <w:rFonts w:hint="eastAsia" w:ascii="宋体" w:hAnsi="宋体"/>
                <w:b/>
                <w:bCs/>
                <w:color w:val="auto"/>
                <w:szCs w:val="21"/>
                <w:highlight w:val="none"/>
              </w:rPr>
              <w:t xml:space="preserve">三、操作系统及软件适配服务要求： </w:t>
            </w:r>
          </w:p>
          <w:p w14:paraId="3C95D5C6">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1.操作系统安全要求：至少具备两个完全独立的操作系统，可根据不同的使用环境切换不同的操作系统。安全模式下操作系统接受广西壮族自治区公安厅移动警务管理平台进行统一认证和设备绑定，进入工作系统受到保护；</w:t>
            </w:r>
          </w:p>
          <w:p w14:paraId="5B36D9E1">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2.操作系统定制能力：双系统同时在线，支持公共APN和专属APN同时接入、同时在线。当前系统能接收到另外一个系统的通知栏消息，但看不到数据；双系统定位双在线，定位芯片可以同时向两个系统提供定位服务，保证前后台系统都能获取到正确的位置信息；</w:t>
            </w:r>
          </w:p>
          <w:p w14:paraId="62517B7B">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3.操作系统国产自主可控，支持操作系统级定制，满足国家“十四五” 战略要求；</w:t>
            </w:r>
          </w:p>
          <w:p w14:paraId="6AFB095A">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4.操作系统支持与鸿蒙生态设备间的一碰传功能、音频流转功能、文件拖拽编辑功能、分享分布式图片与视频功能；</w:t>
            </w:r>
          </w:p>
          <w:p w14:paraId="3BA2C293">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5.NFC应用：可用于实现NFC读取身份证标识码核验身份证信息功能；</w:t>
            </w:r>
          </w:p>
          <w:p w14:paraId="6E0F450F">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6.安全水印：支持系统级全局水印功能，防止偷拍屏幕造成信息泄露，同时支持防截屏、防录屏；</w:t>
            </w:r>
          </w:p>
          <w:p w14:paraId="5AD95179">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7.设备应用适配：可适配我单位的警务通应用软件；</w:t>
            </w:r>
          </w:p>
          <w:p w14:paraId="5E178711">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8.设备安全功能要求：支持数据加密存储功能；具备安全引导机制，防止非法刷机；具备内核级防破解反 Root技术；</w:t>
            </w:r>
          </w:p>
          <w:p w14:paraId="47A57789">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▲9.设备安全检测：供应商提供的终端设备和操作系统，通过公安部安全与警用电子产品质量检测中心检查的，提供的终端符合公安部最新移动警务终端标准（《GA/T 1466.1-2018 智能手机型移动警务终端第1 部分：技术要求》；</w:t>
            </w:r>
          </w:p>
          <w:p w14:paraId="31E78CE0">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四、安全加密认证服务要求：</w:t>
            </w:r>
          </w:p>
          <w:p w14:paraId="1B143981">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1.移动警务终端加密证书服务</w:t>
            </w:r>
          </w:p>
          <w:p w14:paraId="71EED251">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采用广西移动警务芯片加密证书方案，为采购单位提供移动警务终端不少于245个加密证书服务，提供移动警务内置安全芯片加密方案。终端密码模块为空中发证客户端、VPDN 客户端、可信计算模块提供各项密码功能，实现证书和密钥对应的安全存储和使用。 </w:t>
            </w:r>
          </w:p>
          <w:p w14:paraId="72076010">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(1) 内置安全芯片 inSE; </w:t>
            </w:r>
          </w:p>
          <w:p w14:paraId="1FFD42B8">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(2) 在线安全初始化、授权激活；</w:t>
            </w:r>
          </w:p>
          <w:p w14:paraId="51F55EE4">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(3) 支持密钥管理；</w:t>
            </w:r>
          </w:p>
          <w:p w14:paraId="4D4626B2">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(4) 支持数据加解密； </w:t>
            </w:r>
          </w:p>
          <w:p w14:paraId="17475AA6">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(5) 支持数字签名/验签； </w:t>
            </w:r>
          </w:p>
          <w:p w14:paraId="276D5FEF">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(6) 支持消息杂凑、消息验证码 MAC、随机数； </w:t>
            </w:r>
          </w:p>
          <w:p w14:paraId="2A060E32">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(7) 支持 SKF 国密接口； </w:t>
            </w:r>
          </w:p>
          <w:p w14:paraId="455B5ABF">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(8) 支持作为移动警务终端可信根使用； </w:t>
            </w:r>
          </w:p>
          <w:p w14:paraId="5CB52F45">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(9) 支持 SM2/SM3/SM4 国密算法、支持 RSA、SHA1/SHA256; </w:t>
            </w:r>
          </w:p>
          <w:p w14:paraId="2DE35AC3">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(10) SM4 加/解密速率：不低于 15Mbps; </w:t>
            </w:r>
          </w:p>
          <w:p w14:paraId="061DA583">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(11) SM2 签名验签速率：不低于 5 次/秒； </w:t>
            </w:r>
          </w:p>
          <w:p w14:paraId="3A634EAF">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 xml:space="preserve">(12) SM3 计算速率：不低于 30Mbps。 </w:t>
            </w:r>
          </w:p>
          <w:p w14:paraId="0ECE5CFA">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▲2.支持基于运营商SIM快捷卡应用服务</w:t>
            </w:r>
          </w:p>
          <w:p w14:paraId="1DD1AEA6">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实现实名身份认证的方式，支持内置SM2、SM3、SM4等国产算法，实现以手机号为账号的“一键登录”。</w:t>
            </w:r>
          </w:p>
          <w:p w14:paraId="1025E941">
            <w:pPr>
              <w:widowControl/>
              <w:overflowPunct w:val="0"/>
              <w:spacing w:line="360" w:lineRule="auto"/>
              <w:jc w:val="left"/>
              <w:rPr>
                <w:rFonts w:ascii="宋体" w:hAnsi="宋体"/>
                <w:b/>
                <w:bCs/>
                <w:color w:val="auto"/>
                <w:szCs w:val="21"/>
                <w:highlight w:val="none"/>
              </w:rPr>
            </w:pPr>
            <w:r>
              <w:rPr>
                <w:rFonts w:hint="eastAsia" w:ascii="宋体" w:hAnsi="宋体"/>
                <w:b/>
                <w:bCs/>
                <w:color w:val="auto"/>
                <w:szCs w:val="21"/>
                <w:highlight w:val="none"/>
              </w:rPr>
              <w:t>五、通信服务要求：</w:t>
            </w:r>
          </w:p>
          <w:p w14:paraId="19721904">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采用先进的技术网络，支持端到端、多场景的高质量传输通信。</w:t>
            </w:r>
          </w:p>
          <w:p w14:paraId="49365CFC">
            <w:pPr>
              <w:widowControl/>
              <w:overflowPunct w:val="0"/>
              <w:spacing w:line="360" w:lineRule="auto"/>
              <w:jc w:val="left"/>
              <w:rPr>
                <w:rFonts w:ascii="宋体" w:hAnsi="宋体"/>
                <w:bCs/>
                <w:color w:val="auto"/>
                <w:szCs w:val="21"/>
                <w:highlight w:val="none"/>
              </w:rPr>
            </w:pPr>
            <w:bookmarkStart w:id="109" w:name="OLE_LINK1"/>
            <w:r>
              <w:rPr>
                <w:rFonts w:hint="eastAsia" w:ascii="宋体" w:hAnsi="宋体"/>
                <w:bCs/>
                <w:color w:val="auto"/>
                <w:szCs w:val="21"/>
                <w:highlight w:val="none"/>
              </w:rPr>
              <w:t>（1）套餐包含国内工作语音通话服务每月不少于1000分钟。</w:t>
            </w:r>
          </w:p>
          <w:p w14:paraId="459A01AB">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（2）套餐包含每月工作数据流量不少于60G。</w:t>
            </w:r>
          </w:p>
          <w:p w14:paraId="403ED9F5">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（3）套餐包含短信服务每月不少于400条。</w:t>
            </w:r>
          </w:p>
          <w:p w14:paraId="463C67DE">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（4）套餐包含集团网内通话每月不少于2000分钟。</w:t>
            </w:r>
          </w:p>
          <w:p w14:paraId="16697DA7">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（5）提供所有移动警务终端的基础电信通信服务的开卡、入网。</w:t>
            </w:r>
          </w:p>
          <w:p w14:paraId="4F006E4B">
            <w:pPr>
              <w:widowControl/>
              <w:overflowPunct w:val="0"/>
              <w:spacing w:line="360" w:lineRule="auto"/>
              <w:jc w:val="left"/>
              <w:rPr>
                <w:rFonts w:ascii="宋体" w:hAnsi="宋体"/>
                <w:bCs/>
                <w:color w:val="auto"/>
                <w:szCs w:val="21"/>
                <w:highlight w:val="none"/>
              </w:rPr>
            </w:pPr>
            <w:r>
              <w:rPr>
                <w:rFonts w:hint="eastAsia" w:ascii="宋体" w:hAnsi="宋体"/>
                <w:bCs/>
                <w:color w:val="auto"/>
                <w:szCs w:val="21"/>
                <w:highlight w:val="none"/>
              </w:rPr>
              <w:t>（6）提供5G应急保障服务1项，提供2个具有多旋翼视距内无人机飞手人员服务，3年飞6次服务。</w:t>
            </w:r>
            <w:bookmarkEnd w:id="109"/>
          </w:p>
        </w:tc>
        <w:tc>
          <w:tcPr>
            <w:tcW w:w="709" w:type="dxa"/>
            <w:tcBorders>
              <w:top w:val="nil"/>
              <w:left w:val="nil"/>
              <w:bottom w:val="single" w:color="auto" w:sz="4" w:space="0"/>
              <w:right w:val="single" w:color="auto" w:sz="4" w:space="0"/>
            </w:tcBorders>
            <w:shd w:val="clear" w:color="000000" w:fill="FFFFFF"/>
            <w:vAlign w:val="center"/>
          </w:tcPr>
          <w:p w14:paraId="5E941301">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679" w:type="dxa"/>
            <w:tcBorders>
              <w:top w:val="nil"/>
              <w:left w:val="nil"/>
              <w:bottom w:val="single" w:color="auto" w:sz="4" w:space="0"/>
              <w:right w:val="single" w:color="auto" w:sz="4" w:space="0"/>
            </w:tcBorders>
            <w:shd w:val="clear" w:color="000000" w:fill="FFFFFF"/>
            <w:vAlign w:val="center"/>
          </w:tcPr>
          <w:p w14:paraId="71A9EC72">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w:t>
            </w:r>
          </w:p>
        </w:tc>
      </w:tr>
      <w:tr w14:paraId="31D9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76" w:type="dxa"/>
            <w:gridSpan w:val="5"/>
            <w:vAlign w:val="center"/>
          </w:tcPr>
          <w:p w14:paraId="2EF96D0D">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商务要求</w:t>
            </w:r>
          </w:p>
        </w:tc>
      </w:tr>
      <w:tr w14:paraId="1B73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09" w:type="dxa"/>
            <w:gridSpan w:val="2"/>
            <w:vAlign w:val="center"/>
          </w:tcPr>
          <w:p w14:paraId="788ADFFA">
            <w:pPr>
              <w:widowControl/>
              <w:spacing w:line="360" w:lineRule="auto"/>
              <w:jc w:val="center"/>
              <w:rPr>
                <w:b/>
                <w:color w:val="auto"/>
                <w:szCs w:val="21"/>
                <w:highlight w:val="none"/>
              </w:rPr>
            </w:pPr>
            <w:r>
              <w:rPr>
                <w:rFonts w:hint="eastAsia"/>
                <w:b/>
                <w:color w:val="auto"/>
                <w:szCs w:val="21"/>
                <w:highlight w:val="none"/>
              </w:rPr>
              <w:t>交付期及服务时间</w:t>
            </w:r>
          </w:p>
        </w:tc>
        <w:tc>
          <w:tcPr>
            <w:tcW w:w="7767" w:type="dxa"/>
            <w:gridSpan w:val="3"/>
          </w:tcPr>
          <w:p w14:paraId="02BF7B9A">
            <w:pPr>
              <w:spacing w:line="360" w:lineRule="auto"/>
              <w:rPr>
                <w:color w:val="auto"/>
                <w:szCs w:val="21"/>
                <w:highlight w:val="none"/>
              </w:rPr>
            </w:pPr>
            <w:r>
              <w:rPr>
                <w:rFonts w:hint="eastAsia"/>
                <w:color w:val="auto"/>
                <w:szCs w:val="21"/>
                <w:highlight w:val="none"/>
              </w:rPr>
              <w:t>1、合同履行期限：自交付运行之日起三年。</w:t>
            </w:r>
          </w:p>
          <w:p w14:paraId="06F56724">
            <w:pPr>
              <w:spacing w:line="360" w:lineRule="auto"/>
              <w:rPr>
                <w:color w:val="auto"/>
                <w:szCs w:val="21"/>
                <w:highlight w:val="none"/>
              </w:rPr>
            </w:pPr>
            <w:r>
              <w:rPr>
                <w:rFonts w:hint="eastAsia"/>
                <w:color w:val="auto"/>
                <w:szCs w:val="21"/>
                <w:highlight w:val="none"/>
              </w:rPr>
              <w:t>2、交付时间：签订合同之日起30日内完成交付。</w:t>
            </w:r>
          </w:p>
          <w:p w14:paraId="0F82794B">
            <w:pPr>
              <w:spacing w:line="360" w:lineRule="auto"/>
              <w:rPr>
                <w:color w:val="auto"/>
                <w:szCs w:val="21"/>
                <w:highlight w:val="none"/>
              </w:rPr>
            </w:pPr>
            <w:r>
              <w:rPr>
                <w:rFonts w:hint="eastAsia"/>
                <w:color w:val="auto"/>
                <w:szCs w:val="21"/>
                <w:highlight w:val="none"/>
              </w:rPr>
              <w:t>3、交付地点：桂林市采购人指定地点。</w:t>
            </w:r>
          </w:p>
        </w:tc>
      </w:tr>
      <w:tr w14:paraId="1EAD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09" w:type="dxa"/>
            <w:gridSpan w:val="2"/>
            <w:vAlign w:val="center"/>
          </w:tcPr>
          <w:p w14:paraId="4B231EAB">
            <w:pPr>
              <w:widowControl/>
              <w:spacing w:line="360" w:lineRule="auto"/>
              <w:jc w:val="center"/>
              <w:rPr>
                <w:b/>
                <w:color w:val="auto"/>
                <w:szCs w:val="21"/>
                <w:highlight w:val="none"/>
              </w:rPr>
            </w:pPr>
            <w:r>
              <w:rPr>
                <w:rFonts w:hint="eastAsia"/>
                <w:b/>
                <w:color w:val="auto"/>
                <w:szCs w:val="21"/>
                <w:highlight w:val="none"/>
              </w:rPr>
              <w:t>服务要求</w:t>
            </w:r>
          </w:p>
        </w:tc>
        <w:tc>
          <w:tcPr>
            <w:tcW w:w="7767" w:type="dxa"/>
            <w:gridSpan w:val="3"/>
          </w:tcPr>
          <w:p w14:paraId="1D5C5CC7">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1、提供7*24小时响应用户电话咨询服务，及时响应并解决问题或给出合理的意见与建议；</w:t>
            </w:r>
          </w:p>
          <w:p w14:paraId="7B600792">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2、在终端遗失时，提供广西壮族自治区公安厅警务终端管控及应用适配目录内的同等级终端购买途径；</w:t>
            </w:r>
          </w:p>
          <w:p w14:paraId="2E0F5E9B">
            <w:pPr>
              <w:widowControl/>
              <w:spacing w:line="500" w:lineRule="exact"/>
              <w:jc w:val="left"/>
              <w:rPr>
                <w:rFonts w:ascii="宋体" w:hAnsi="宋体" w:cs="宋体"/>
                <w:color w:val="auto"/>
                <w:highlight w:val="none"/>
              </w:rPr>
            </w:pPr>
            <w:r>
              <w:rPr>
                <w:rFonts w:hint="eastAsia" w:ascii="宋体" w:hAnsi="宋体" w:cs="宋体"/>
                <w:color w:val="auto"/>
                <w:szCs w:val="21"/>
                <w:highlight w:val="none"/>
              </w:rPr>
              <w:t>3、整机保修服务：提供≥1年三包法规定的标准保修服务。要求100%原装原厂零件保修，在保修范围内“零”费用保修，提供软件系统的刷机服务，提供指定官方售后网点终端三包≥1年延保服务。</w:t>
            </w:r>
          </w:p>
        </w:tc>
      </w:tr>
      <w:tr w14:paraId="001D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09" w:type="dxa"/>
            <w:gridSpan w:val="2"/>
            <w:vAlign w:val="center"/>
          </w:tcPr>
          <w:p w14:paraId="750FE752">
            <w:pPr>
              <w:widowControl/>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付款方式</w:t>
            </w:r>
          </w:p>
        </w:tc>
        <w:tc>
          <w:tcPr>
            <w:tcW w:w="7767" w:type="dxa"/>
            <w:gridSpan w:val="3"/>
            <w:vAlign w:val="center"/>
          </w:tcPr>
          <w:p w14:paraId="7E2A2DCB">
            <w:pPr>
              <w:spacing w:line="360" w:lineRule="auto"/>
              <w:rPr>
                <w:rFonts w:ascii="宋体" w:hAnsi="宋体" w:cs="宋体"/>
                <w:color w:val="auto"/>
                <w:szCs w:val="21"/>
                <w:highlight w:val="none"/>
              </w:rPr>
            </w:pPr>
            <w:r>
              <w:rPr>
                <w:rFonts w:hint="eastAsia" w:ascii="宋体" w:hAnsi="宋体" w:cs="宋体"/>
                <w:color w:val="auto"/>
                <w:szCs w:val="21"/>
                <w:highlight w:val="none"/>
              </w:rPr>
              <w:t>本项目分三次结算，具体为：</w:t>
            </w:r>
          </w:p>
          <w:p w14:paraId="332BD270">
            <w:pPr>
              <w:spacing w:line="360" w:lineRule="auto"/>
              <w:rPr>
                <w:rFonts w:ascii="宋体" w:hAnsi="宋体" w:cs="宋体"/>
                <w:color w:val="auto"/>
                <w:szCs w:val="21"/>
                <w:highlight w:val="none"/>
              </w:rPr>
            </w:pPr>
            <w:r>
              <w:rPr>
                <w:rFonts w:hint="eastAsia" w:ascii="宋体" w:hAnsi="宋体" w:cs="宋体"/>
                <w:color w:val="auto"/>
                <w:szCs w:val="21"/>
                <w:highlight w:val="none"/>
              </w:rPr>
              <w:t>1、在签订合同后1个月内向中标人支付合同总金额的34%；</w:t>
            </w:r>
          </w:p>
          <w:p w14:paraId="3334D8BF">
            <w:pPr>
              <w:spacing w:line="360" w:lineRule="auto"/>
              <w:rPr>
                <w:rFonts w:ascii="宋体" w:hAnsi="宋体" w:cs="宋体"/>
                <w:color w:val="auto"/>
                <w:szCs w:val="21"/>
                <w:highlight w:val="none"/>
              </w:rPr>
            </w:pPr>
            <w:r>
              <w:rPr>
                <w:rFonts w:hint="eastAsia" w:ascii="宋体" w:hAnsi="宋体" w:cs="宋体"/>
                <w:color w:val="auto"/>
                <w:szCs w:val="21"/>
                <w:highlight w:val="none"/>
              </w:rPr>
              <w:t>2、合同签订的第13个月向中标人支付合同总金额的33%。</w:t>
            </w:r>
          </w:p>
          <w:p w14:paraId="0D6BEADC">
            <w:pPr>
              <w:spacing w:line="360" w:lineRule="auto"/>
              <w:rPr>
                <w:rFonts w:ascii="宋体" w:hAnsi="宋体" w:cs="宋体"/>
                <w:color w:val="auto"/>
                <w:szCs w:val="21"/>
                <w:highlight w:val="none"/>
              </w:rPr>
            </w:pPr>
            <w:r>
              <w:rPr>
                <w:rFonts w:hint="eastAsia" w:ascii="宋体" w:hAnsi="宋体" w:cs="宋体"/>
                <w:color w:val="auto"/>
                <w:szCs w:val="21"/>
                <w:highlight w:val="none"/>
              </w:rPr>
              <w:t>3、合同签订的第25个月向中标人支付合同总金额的33%。</w:t>
            </w:r>
          </w:p>
        </w:tc>
      </w:tr>
      <w:tr w14:paraId="045B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09" w:type="dxa"/>
            <w:gridSpan w:val="2"/>
            <w:vAlign w:val="center"/>
          </w:tcPr>
          <w:p w14:paraId="0F919CB6">
            <w:pPr>
              <w:widowControl/>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报价要求</w:t>
            </w:r>
          </w:p>
        </w:tc>
        <w:tc>
          <w:tcPr>
            <w:tcW w:w="7767" w:type="dxa"/>
            <w:gridSpan w:val="3"/>
          </w:tcPr>
          <w:p w14:paraId="6035A07F">
            <w:pPr>
              <w:spacing w:line="360" w:lineRule="auto"/>
              <w:rPr>
                <w:rFonts w:ascii="宋体" w:hAnsi="宋体" w:cs="宋体"/>
                <w:color w:val="auto"/>
                <w:szCs w:val="21"/>
                <w:highlight w:val="none"/>
              </w:rPr>
            </w:pPr>
            <w:r>
              <w:rPr>
                <w:rFonts w:hint="eastAsia" w:ascii="宋体" w:hAnsi="宋体" w:cs="宋体"/>
                <w:color w:val="auto"/>
                <w:szCs w:val="21"/>
                <w:highlight w:val="none"/>
              </w:rPr>
              <w:t>报价为完成采购人指定内容的整体包干价格，包含但不限于本次全部采购需求所应提供的服务，以及伴随的货物的价格；包含服务价款，货物的成本、运输（含保险）、安装（如有）、调试、检验、技术服务、培训、售后服务、税费等所有费用，采购人无需再另付任何费用。</w:t>
            </w:r>
          </w:p>
        </w:tc>
      </w:tr>
      <w:tr w14:paraId="1694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09" w:type="dxa"/>
            <w:gridSpan w:val="2"/>
            <w:vAlign w:val="center"/>
          </w:tcPr>
          <w:p w14:paraId="370FD7E0">
            <w:pPr>
              <w:spacing w:line="360" w:lineRule="auto"/>
              <w:jc w:val="center"/>
              <w:rPr>
                <w:rFonts w:ascii="宋体" w:hAnsi="宋体"/>
                <w:b/>
                <w:color w:val="auto"/>
                <w:highlight w:val="none"/>
              </w:rPr>
            </w:pPr>
            <w:r>
              <w:rPr>
                <w:rFonts w:hint="eastAsia" w:ascii="宋体" w:hAnsi="宋体"/>
                <w:b/>
                <w:color w:val="auto"/>
                <w:highlight w:val="none"/>
              </w:rPr>
              <w:t>验收要求</w:t>
            </w:r>
          </w:p>
        </w:tc>
        <w:tc>
          <w:tcPr>
            <w:tcW w:w="7767" w:type="dxa"/>
            <w:gridSpan w:val="3"/>
          </w:tcPr>
          <w:p w14:paraId="75D97248">
            <w:pPr>
              <w:spacing w:line="360" w:lineRule="auto"/>
              <w:rPr>
                <w:rFonts w:ascii="宋体" w:hAnsi="宋体" w:cs="宋体"/>
                <w:color w:val="auto"/>
                <w:szCs w:val="21"/>
                <w:highlight w:val="none"/>
              </w:rPr>
            </w:pPr>
            <w:r>
              <w:rPr>
                <w:rFonts w:hint="eastAsia" w:ascii="宋体" w:hAnsi="宋体" w:cs="宋体"/>
                <w:color w:val="auto"/>
                <w:szCs w:val="21"/>
                <w:highlight w:val="none"/>
              </w:rPr>
              <w:t>1、依据招标文件要求的采购需求、中标供应商投标文件承诺以及国家现行相关标准、规范履行合同。</w:t>
            </w:r>
          </w:p>
          <w:p w14:paraId="3202200E">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2、中标供应商提供的服务成果达不到验收标准的，不予验收，中标供应商应当退还采购人已支付的相关费用，造成采购人损失的，成交供应商应当予以赔偿，相关一切不利后果由成交供应商自行承担。</w:t>
            </w:r>
          </w:p>
        </w:tc>
      </w:tr>
      <w:tr w14:paraId="1169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09" w:type="dxa"/>
            <w:gridSpan w:val="2"/>
            <w:vAlign w:val="center"/>
          </w:tcPr>
          <w:p w14:paraId="5A517CBD">
            <w:pPr>
              <w:widowControl/>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其他要求</w:t>
            </w:r>
          </w:p>
        </w:tc>
        <w:tc>
          <w:tcPr>
            <w:tcW w:w="7767" w:type="dxa"/>
            <w:gridSpan w:val="3"/>
          </w:tcPr>
          <w:p w14:paraId="032B3A74">
            <w:pPr>
              <w:spacing w:line="360" w:lineRule="auto"/>
              <w:rPr>
                <w:rFonts w:ascii="宋体" w:hAnsi="宋体" w:cs="宋体"/>
                <w:color w:val="auto"/>
                <w:szCs w:val="21"/>
                <w:highlight w:val="none"/>
              </w:rPr>
            </w:pPr>
            <w:r>
              <w:rPr>
                <w:rFonts w:hint="eastAsia" w:ascii="宋体" w:hAnsi="宋体" w:cs="宋体"/>
                <w:color w:val="auto"/>
                <w:szCs w:val="21"/>
                <w:highlight w:val="none"/>
              </w:rPr>
              <w:t>1、供应商所提供的标的涉及到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2C6E14D0">
            <w:pPr>
              <w:spacing w:line="360"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、中标后，若中标供应商所供产品及售后服务不按招标文件要求履约的，将按照《中华人民共和国政府采购法》及其实施条例等有关规定严肃处理。</w:t>
            </w:r>
          </w:p>
          <w:p w14:paraId="16212A89">
            <w:pPr>
              <w:spacing w:line="360" w:lineRule="auto"/>
              <w:rPr>
                <w:rFonts w:ascii="宋体" w:hAns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、本项目政府采购预算金额为人民币：</w:t>
            </w:r>
            <w:r>
              <w:rPr>
                <w:rFonts w:hint="eastAsia" w:ascii="宋体" w:hAnsi="宋体" w:cs="宋体"/>
                <w:b/>
                <w:color w:val="auto"/>
                <w:szCs w:val="21"/>
                <w:highlight w:val="none"/>
              </w:rPr>
              <w:t xml:space="preserve">贰佰捌拾柒万伍仟叁佰贰拾元整（¥ </w:t>
            </w:r>
            <w:r>
              <w:rPr>
                <w:rFonts w:ascii="宋体" w:hAnsi="宋体" w:cs="宋体"/>
                <w:b/>
                <w:color w:val="auto"/>
                <w:szCs w:val="21"/>
                <w:highlight w:val="none"/>
              </w:rPr>
              <w:t>2875320</w:t>
            </w:r>
            <w:r>
              <w:rPr>
                <w:rFonts w:hint="eastAsia" w:ascii="宋体" w:hAnsi="宋体" w:cs="宋体"/>
                <w:b/>
                <w:color w:val="auto"/>
                <w:szCs w:val="21"/>
                <w:highlight w:val="none"/>
              </w:rPr>
              <w:t>元）</w:t>
            </w:r>
            <w:r>
              <w:rPr>
                <w:rFonts w:hint="eastAsia" w:ascii="宋体" w:hAnsi="宋体" w:cs="宋体"/>
                <w:color w:val="auto"/>
                <w:szCs w:val="21"/>
                <w:highlight w:val="none"/>
              </w:rPr>
              <w:t>，投标报价超出采购最高限价的将被视为无效投标。投标报价超出采购最高限价的将被视为无效投标。</w:t>
            </w:r>
          </w:p>
        </w:tc>
      </w:tr>
    </w:tbl>
    <w:p w14:paraId="068EEA66">
      <w:pPr>
        <w:pStyle w:val="45"/>
        <w:rPr>
          <w:color w:val="auto"/>
          <w:highlight w:val="none"/>
        </w:rPr>
        <w:sectPr>
          <w:footerReference r:id="rId6" w:type="default"/>
          <w:pgSz w:w="11910" w:h="16840"/>
          <w:pgMar w:top="1440" w:right="1134" w:bottom="1440" w:left="1134" w:header="0" w:footer="1157" w:gutter="567"/>
          <w:cols w:space="720" w:num="1"/>
          <w:docGrid w:linePitch="286" w:charSpace="0"/>
        </w:sectPr>
      </w:pPr>
    </w:p>
    <w:p w14:paraId="09B10B82">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110" w:name="_Toc25931"/>
      <w:bookmarkStart w:id="111" w:name="_Toc181881717"/>
      <w:r>
        <w:rPr>
          <w:rFonts w:hint="eastAsia" w:ascii="宋体" w:hAnsi="宋体" w:cs="宋体"/>
          <w:color w:val="auto"/>
          <w:sz w:val="32"/>
          <w:szCs w:val="32"/>
          <w:highlight w:val="none"/>
        </w:rPr>
        <w:t>第四章  评标办法</w:t>
      </w:r>
      <w:bookmarkEnd w:id="107"/>
      <w:bookmarkEnd w:id="108"/>
      <w:bookmarkEnd w:id="110"/>
      <w:bookmarkEnd w:id="111"/>
    </w:p>
    <w:p w14:paraId="68133F02">
      <w:pPr>
        <w:pStyle w:val="3"/>
        <w:rPr>
          <w:color w:val="auto"/>
          <w:highlight w:val="none"/>
        </w:rPr>
      </w:pPr>
      <w:bookmarkStart w:id="112" w:name="_Toc32072"/>
      <w:bookmarkStart w:id="113" w:name="_Toc181881718"/>
      <w:r>
        <w:rPr>
          <w:rFonts w:hint="eastAsia"/>
          <w:color w:val="auto"/>
          <w:highlight w:val="none"/>
        </w:rPr>
        <w:t>一、评标原则</w:t>
      </w:r>
      <w:bookmarkEnd w:id="112"/>
      <w:bookmarkEnd w:id="113"/>
    </w:p>
    <w:p w14:paraId="45652630">
      <w:pPr>
        <w:pStyle w:val="12"/>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（一）评委会组成：本招标采购项目的磋商小组由采购人代表、评审专家组成。其中，专家评委不得少于成员总数的三分之二。</w:t>
      </w:r>
    </w:p>
    <w:p w14:paraId="5476DFF2">
      <w:pPr>
        <w:pStyle w:val="12"/>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（二）评标依据：评委将以招投标文件为评标依据，对供应商的投标</w:t>
      </w:r>
      <w:r>
        <w:rPr>
          <w:rFonts w:hint="eastAsia" w:hAnsi="宋体" w:cs="宋体"/>
          <w:color w:val="auto"/>
          <w:szCs w:val="21"/>
          <w:highlight w:val="none"/>
        </w:rPr>
        <w:t>报价、系统维护技术方案、履约能力等方面内容按百分制打分。</w:t>
      </w:r>
    </w:p>
    <w:p w14:paraId="6F7A1EF4">
      <w:pPr>
        <w:pStyle w:val="12"/>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（三）评标方式：以封闭方式进行。</w:t>
      </w:r>
    </w:p>
    <w:p w14:paraId="3B0260E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（四）采购人和采购代理机构、磋商小组成员要严格遵守政府采购相关法律制度，依法履行各自职责，公正、客观、审慎地组织和参与评审工作。</w:t>
      </w:r>
      <w:r>
        <w:rPr>
          <w:rFonts w:hint="eastAsia"/>
          <w:color w:val="auto"/>
          <w:highlight w:val="none"/>
        </w:rPr>
        <w:t xml:space="preserve">  </w:t>
      </w:r>
    </w:p>
    <w:p w14:paraId="654BD42E">
      <w:pPr>
        <w:pStyle w:val="3"/>
        <w:rPr>
          <w:color w:val="auto"/>
          <w:highlight w:val="none"/>
        </w:rPr>
      </w:pPr>
      <w:bookmarkStart w:id="114" w:name="_Toc181881719"/>
      <w:bookmarkStart w:id="115" w:name="_Toc24273"/>
      <w:r>
        <w:rPr>
          <w:rFonts w:hint="eastAsia"/>
          <w:color w:val="auto"/>
          <w:highlight w:val="none"/>
        </w:rPr>
        <w:t>二、评定方法</w:t>
      </w:r>
      <w:bookmarkEnd w:id="114"/>
      <w:bookmarkEnd w:id="115"/>
    </w:p>
    <w:p w14:paraId="2917E23F">
      <w:pPr>
        <w:pStyle w:val="12"/>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（一）对进入详评的，采用百分制综合评分法。</w:t>
      </w:r>
    </w:p>
    <w:p w14:paraId="144F5631">
      <w:pPr>
        <w:pStyle w:val="12"/>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（二）计分办法（按四舍五入取至百分位）：</w:t>
      </w:r>
    </w:p>
    <w:p w14:paraId="42AA5E55">
      <w:pPr>
        <w:pStyle w:val="12"/>
        <w:spacing w:line="360" w:lineRule="auto"/>
        <w:ind w:firstLine="420" w:firstLineChars="200"/>
        <w:jc w:val="left"/>
        <w:rPr>
          <w:rFonts w:hAnsi="宋体" w:cs="宋体"/>
          <w:b/>
          <w:bCs/>
          <w:color w:val="auto"/>
          <w:kern w:val="0"/>
          <w:szCs w:val="21"/>
          <w:highlight w:val="none"/>
        </w:rPr>
      </w:pPr>
      <w:bookmarkStart w:id="116" w:name="_Toc7653"/>
      <w:r>
        <w:rPr>
          <w:rFonts w:hint="eastAsia" w:hAnsi="宋体" w:cs="宋体"/>
          <w:b/>
          <w:bCs/>
          <w:color w:val="auto"/>
          <w:kern w:val="0"/>
          <w:szCs w:val="21"/>
          <w:highlight w:val="none"/>
        </w:rPr>
        <w:t>1、价格分………………………………………………………………………………20分</w:t>
      </w:r>
      <w:bookmarkEnd w:id="116"/>
    </w:p>
    <w:p w14:paraId="1CF1B620">
      <w:pPr>
        <w:pStyle w:val="12"/>
        <w:spacing w:line="360" w:lineRule="auto"/>
        <w:ind w:firstLine="420" w:firstLineChars="200"/>
        <w:rPr>
          <w:rFonts w:hAnsi="宋体" w:cs="宋体"/>
          <w:color w:val="auto"/>
          <w:szCs w:val="21"/>
          <w:highlight w:val="none"/>
        </w:rPr>
      </w:pPr>
      <w:r>
        <w:rPr>
          <w:rFonts w:hint="eastAsia" w:hAnsi="宋体" w:cs="宋体"/>
          <w:bCs/>
          <w:color w:val="auto"/>
          <w:szCs w:val="21"/>
          <w:highlight w:val="none"/>
        </w:rPr>
        <w:t>（1）根据《广西壮族自治区财政厅关于进一步发挥政府采购政策功能促进企业发展的通知》（桂财采〔2022〕30号），凡符合《政府采购促进中小企业发展管理办法》（财库〔2020〕46号）规定条件且按该办法中规定的格式提供了《中小企业声明函》的小型和微型企业，对其投标价给予</w:t>
      </w:r>
      <w:r>
        <w:rPr>
          <w:rFonts w:hAnsi="宋体" w:cs="宋体"/>
          <w:bCs/>
          <w:color w:val="auto"/>
          <w:szCs w:val="21"/>
          <w:highlight w:val="none"/>
        </w:rPr>
        <w:t>1</w:t>
      </w:r>
      <w:r>
        <w:rPr>
          <w:rFonts w:hint="eastAsia" w:hAnsi="宋体" w:cs="宋体"/>
          <w:bCs/>
          <w:color w:val="auto"/>
          <w:szCs w:val="21"/>
          <w:highlight w:val="none"/>
        </w:rPr>
        <w:t>0%的扣除，扣除后的价格为评标价，即评标价=投标价×（1-</w:t>
      </w:r>
      <w:r>
        <w:rPr>
          <w:rFonts w:hAnsi="宋体" w:cs="宋体"/>
          <w:bCs/>
          <w:color w:val="auto"/>
          <w:szCs w:val="21"/>
          <w:highlight w:val="none"/>
        </w:rPr>
        <w:t>1</w:t>
      </w:r>
      <w:r>
        <w:rPr>
          <w:rFonts w:hint="eastAsia" w:hAnsi="宋体" w:cs="宋体"/>
          <w:bCs/>
          <w:color w:val="auto"/>
          <w:szCs w:val="21"/>
          <w:highlight w:val="none"/>
        </w:rPr>
        <w:t>0%）。</w:t>
      </w:r>
    </w:p>
    <w:p w14:paraId="7FE4BBE5">
      <w:pPr>
        <w:pStyle w:val="12"/>
        <w:spacing w:line="360" w:lineRule="auto"/>
        <w:ind w:firstLine="420"/>
        <w:rPr>
          <w:rFonts w:hAnsi="宋体" w:cs="宋体"/>
          <w:color w:val="auto"/>
          <w:szCs w:val="21"/>
          <w:highlight w:val="none"/>
        </w:rPr>
      </w:pPr>
      <w:r>
        <w:rPr>
          <w:rFonts w:hint="eastAsia" w:hAnsi="宋体" w:cs="宋体"/>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14:paraId="05092AF8">
      <w:pPr>
        <w:pStyle w:val="12"/>
        <w:numPr>
          <w:ilvl w:val="0"/>
          <w:numId w:val="5"/>
        </w:numPr>
        <w:spacing w:line="360" w:lineRule="auto"/>
        <w:ind w:firstLine="420"/>
        <w:rPr>
          <w:rFonts w:hAnsi="宋体" w:cs="宋体"/>
          <w:color w:val="auto"/>
          <w:kern w:val="0"/>
          <w:szCs w:val="21"/>
          <w:highlight w:val="none"/>
        </w:rPr>
      </w:pPr>
      <w:r>
        <w:rPr>
          <w:rFonts w:hint="eastAsia" w:hAnsi="宋体" w:cs="宋体"/>
          <w:color w:val="auto"/>
          <w:kern w:val="0"/>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4BC2196D">
      <w:pPr>
        <w:pStyle w:val="12"/>
        <w:numPr>
          <w:ilvl w:val="0"/>
          <w:numId w:val="5"/>
        </w:numPr>
        <w:spacing w:line="360" w:lineRule="auto"/>
        <w:ind w:firstLine="420"/>
        <w:rPr>
          <w:rFonts w:hAnsi="宋体" w:cs="宋体"/>
          <w:color w:val="auto"/>
          <w:szCs w:val="21"/>
          <w:highlight w:val="none"/>
        </w:rPr>
      </w:pPr>
      <w:r>
        <w:rPr>
          <w:rFonts w:hint="eastAsia" w:hAnsi="宋体" w:cs="宋体"/>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70564050">
      <w:pPr>
        <w:pStyle w:val="12"/>
        <w:spacing w:line="360" w:lineRule="auto"/>
        <w:ind w:firstLine="420" w:firstLineChars="200"/>
        <w:rPr>
          <w:rFonts w:hAnsi="宋体" w:cs="宋体"/>
          <w:color w:val="auto"/>
          <w:szCs w:val="21"/>
          <w:highlight w:val="none"/>
        </w:rPr>
      </w:pPr>
      <w:r>
        <w:rPr>
          <w:rFonts w:hint="eastAsia" w:hAnsi="宋体" w:cs="宋体"/>
          <w:color w:val="auto"/>
          <w:szCs w:val="21"/>
          <w:highlight w:val="none"/>
        </w:rPr>
        <w:t>对于不属于以上情形的供应商，其投标报价即为评标价。</w:t>
      </w:r>
    </w:p>
    <w:p w14:paraId="37EE3579">
      <w:pPr>
        <w:pStyle w:val="12"/>
        <w:spacing w:line="360" w:lineRule="auto"/>
        <w:ind w:firstLine="420" w:firstLineChars="200"/>
        <w:rPr>
          <w:rFonts w:hAnsi="宋体" w:cs="宋体"/>
          <w:color w:val="auto"/>
          <w:kern w:val="0"/>
          <w:szCs w:val="21"/>
          <w:highlight w:val="none"/>
        </w:rPr>
      </w:pPr>
      <w:r>
        <w:rPr>
          <w:rFonts w:hint="eastAsia" w:hAnsi="宋体" w:cs="宋体"/>
          <w:color w:val="auto"/>
          <w:kern w:val="0"/>
          <w:szCs w:val="21"/>
          <w:highlight w:val="none"/>
        </w:rPr>
        <w:t>（4）价格分采用低价优先法计算，即满足招标文件要求且评标报价最低的评标报价为评标基准价，其价格分为20分。</w:t>
      </w:r>
    </w:p>
    <w:p w14:paraId="488638E6">
      <w:pPr>
        <w:pStyle w:val="12"/>
        <w:spacing w:line="360" w:lineRule="auto"/>
        <w:ind w:firstLine="420"/>
        <w:rPr>
          <w:rFonts w:hAnsi="宋体" w:cs="宋体"/>
          <w:color w:val="auto"/>
          <w:kern w:val="0"/>
          <w:szCs w:val="21"/>
          <w:highlight w:val="none"/>
        </w:rPr>
      </w:pPr>
      <w:r>
        <w:rPr>
          <w:rFonts w:hint="eastAsia" w:hAnsi="宋体" w:cs="宋体"/>
          <w:color w:val="auto"/>
          <w:kern w:val="0"/>
          <w:szCs w:val="21"/>
          <w:highlight w:val="none"/>
        </w:rPr>
        <w:t>（5）价格分计算公式：</w:t>
      </w:r>
    </w:p>
    <w:p w14:paraId="6041B681">
      <w:pPr>
        <w:pStyle w:val="12"/>
        <w:spacing w:line="360" w:lineRule="auto"/>
        <w:ind w:firstLine="3087" w:firstLineChars="1470"/>
        <w:rPr>
          <w:rFonts w:hAnsi="宋体" w:cs="宋体"/>
          <w:bCs/>
          <w:color w:val="auto"/>
          <w:szCs w:val="21"/>
          <w:highlight w:val="none"/>
        </w:rPr>
      </w:pPr>
      <w:r>
        <w:rPr>
          <w:rFonts w:hint="eastAsia" w:hAnsi="宋体" w:cs="宋体"/>
          <w:bCs/>
          <w:color w:val="auto"/>
          <w:szCs w:val="21"/>
          <w:highlight w:val="none"/>
        </w:rPr>
        <w:t xml:space="preserve"> </w:t>
      </w:r>
      <w:r>
        <w:rPr>
          <w:rFonts w:hint="eastAsia" w:hAnsi="宋体"/>
          <w:bCs/>
          <w:color w:val="auto"/>
          <w:highlight w:val="none"/>
        </w:rPr>
        <w:t>磋商供应商最低</w:t>
      </w:r>
      <w:r>
        <w:rPr>
          <w:rFonts w:hint="eastAsia" w:hAnsi="宋体"/>
          <w:color w:val="auto"/>
          <w:highlight w:val="none"/>
        </w:rPr>
        <w:t>评标报价</w:t>
      </w:r>
      <w:r>
        <w:rPr>
          <w:rFonts w:hint="eastAsia" w:hAnsi="宋体"/>
          <w:bCs/>
          <w:color w:val="auto"/>
          <w:highlight w:val="none"/>
        </w:rPr>
        <w:t xml:space="preserve">金额 </w:t>
      </w:r>
      <w:r>
        <w:rPr>
          <w:rFonts w:hint="eastAsia" w:hAnsi="宋体" w:cs="宋体"/>
          <w:bCs/>
          <w:color w:val="auto"/>
          <w:szCs w:val="21"/>
          <w:highlight w:val="none"/>
        </w:rPr>
        <w:t xml:space="preserve">          </w:t>
      </w:r>
    </w:p>
    <w:p w14:paraId="540362BB">
      <w:pPr>
        <w:pStyle w:val="12"/>
        <w:spacing w:line="360" w:lineRule="auto"/>
        <w:ind w:firstLine="420"/>
        <w:rPr>
          <w:rFonts w:hAnsi="宋体" w:cs="宋体"/>
          <w:bCs/>
          <w:color w:val="auto"/>
          <w:szCs w:val="21"/>
          <w:highlight w:val="none"/>
        </w:rPr>
      </w:pPr>
      <w:r>
        <w:rPr>
          <w:rFonts w:hAnsi="宋体" w:cs="宋体"/>
          <w:bCs/>
          <w:color w:val="auto"/>
          <w:szCs w:val="21"/>
          <w:highlight w:val="none"/>
        </w:rPr>
        <w:pict>
          <v:line id="直接连接符 1" o:spid="_x0000_s1030" o:spt="20" style="position:absolute;left:0pt;margin-left:143.25pt;margin-top:11.75pt;height:0.05pt;width:156pt;z-index:251661312;mso-width-relative:page;mso-height-relative:page;"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KWp87WAAAACQEAAA8AAAAAAAAAAQAgAAAAIgAAAGRycy9kb3ducmV2LnhtbFBLAQIUABQAAAAI&#10;AIdO4kCsxiyE7wEAAOYDAAAOAAAAAAAAAAEAIAAAACUBAABkcnMvZTJvRG9jLnhtbFBLBQYAAAAA&#10;BgAGAFkBAACGBQAAAAA=&#10;">
            <v:path arrowok="t"/>
            <v:fill focussize="0,0"/>
            <v:stroke/>
            <v:imagedata o:title=""/>
            <o:lock v:ext="edit"/>
          </v:line>
        </w:pict>
      </w:r>
      <w:r>
        <w:rPr>
          <w:rFonts w:hint="eastAsia" w:hAnsi="宋体" w:cs="宋体"/>
          <w:bCs/>
          <w:color w:val="auto"/>
          <w:szCs w:val="21"/>
          <w:highlight w:val="none"/>
        </w:rPr>
        <w:t>某供应商价格分 =                                         ×  20分</w:t>
      </w:r>
    </w:p>
    <w:p w14:paraId="20EF810B">
      <w:pPr>
        <w:pStyle w:val="12"/>
        <w:spacing w:line="360" w:lineRule="auto"/>
        <w:ind w:firstLine="420" w:firstLineChars="200"/>
        <w:rPr>
          <w:color w:val="auto"/>
          <w:highlight w:val="none"/>
        </w:rPr>
      </w:pPr>
      <w:r>
        <w:rPr>
          <w:rFonts w:hint="eastAsia" w:hAnsi="宋体" w:cs="宋体"/>
          <w:bCs/>
          <w:color w:val="auto"/>
          <w:szCs w:val="21"/>
          <w:highlight w:val="none"/>
        </w:rPr>
        <w:t xml:space="preserve">                           </w:t>
      </w:r>
      <w:r>
        <w:rPr>
          <w:rFonts w:hint="eastAsia" w:hAnsi="宋体"/>
          <w:bCs/>
          <w:color w:val="auto"/>
          <w:highlight w:val="none"/>
        </w:rPr>
        <w:t>磋商供应商</w:t>
      </w:r>
      <w:r>
        <w:rPr>
          <w:rFonts w:hint="eastAsia" w:hAnsi="宋体"/>
          <w:color w:val="auto"/>
          <w:highlight w:val="none"/>
        </w:rPr>
        <w:t>评标报价</w:t>
      </w:r>
      <w:r>
        <w:rPr>
          <w:rFonts w:hint="eastAsia" w:hAnsi="宋体"/>
          <w:bCs/>
          <w:color w:val="auto"/>
          <w:highlight w:val="none"/>
        </w:rPr>
        <w:t>金额</w:t>
      </w:r>
      <w:r>
        <w:rPr>
          <w:rFonts w:hint="eastAsia" w:hAnsi="宋体" w:cs="宋体"/>
          <w:bCs/>
          <w:color w:val="auto"/>
          <w:szCs w:val="21"/>
          <w:highlight w:val="none"/>
        </w:rPr>
        <w:t xml:space="preserve">  </w:t>
      </w:r>
    </w:p>
    <w:p w14:paraId="1F36460F">
      <w:pPr>
        <w:pStyle w:val="12"/>
        <w:tabs>
          <w:tab w:val="left" w:pos="4214"/>
        </w:tabs>
        <w:spacing w:line="360" w:lineRule="auto"/>
        <w:ind w:firstLine="420" w:firstLineChars="200"/>
        <w:rPr>
          <w:b/>
          <w:color w:val="auto"/>
          <w:highlight w:val="none"/>
        </w:rPr>
      </w:pPr>
      <w:r>
        <w:rPr>
          <w:rFonts w:hint="eastAsia"/>
          <w:b/>
          <w:color w:val="auto"/>
          <w:highlight w:val="none"/>
        </w:rPr>
        <w:t>2、</w:t>
      </w:r>
      <w:r>
        <w:rPr>
          <w:rFonts w:hint="eastAsia" w:cs="Courier New"/>
          <w:b/>
          <w:color w:val="auto"/>
          <w:kern w:val="1"/>
          <w:szCs w:val="21"/>
          <w:highlight w:val="none"/>
        </w:rPr>
        <w:t>技术方案分</w:t>
      </w:r>
      <w:r>
        <w:rPr>
          <w:rFonts w:hint="eastAsia"/>
          <w:b/>
          <w:color w:val="auto"/>
          <w:highlight w:val="none"/>
        </w:rPr>
        <w:t>…………………………………………………………………………</w:t>
      </w:r>
      <w:r>
        <w:rPr>
          <w:b/>
          <w:color w:val="auto"/>
          <w:highlight w:val="none"/>
        </w:rPr>
        <w:t>21</w:t>
      </w:r>
      <w:r>
        <w:rPr>
          <w:rFonts w:hint="eastAsia"/>
          <w:b/>
          <w:color w:val="auto"/>
          <w:highlight w:val="none"/>
        </w:rPr>
        <w:t>分</w:t>
      </w:r>
    </w:p>
    <w:p w14:paraId="002A76BC">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一档（7分）：项目技术方案描述较简单，针对性不强的。</w:t>
      </w:r>
    </w:p>
    <w:p w14:paraId="7819B022">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二档（14分）：在满足一档基础上，能够结合采购人的需求提供整体方案的拓扑结构，针对终端定制的安全工作系统及延伸技术要求的关键要求，并有相关功能介绍描述。</w:t>
      </w:r>
    </w:p>
    <w:p w14:paraId="0C86FE25">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21分）：在满足二档基础上，供应商提供的终端服务性能参数、功能参数、安全工作系统方案满足采购需求，详细描述终端系统实现原理及方式，详细描述各个的功能实现原理，需求一览表中带“▲”的技术参数为重要技术指标、功能项，需提供检测报告或彩页、官网或功能截图并加盖供应商C</w:t>
      </w:r>
      <w:r>
        <w:rPr>
          <w:rFonts w:ascii="宋体" w:hAnsi="宋体" w:cs="宋体"/>
          <w:color w:val="auto"/>
          <w:szCs w:val="21"/>
          <w:highlight w:val="none"/>
        </w:rPr>
        <w:t>A</w:t>
      </w:r>
      <w:r>
        <w:rPr>
          <w:rFonts w:hint="eastAsia" w:ascii="宋体" w:hAnsi="宋体" w:cs="宋体"/>
          <w:color w:val="auto"/>
          <w:szCs w:val="21"/>
          <w:highlight w:val="none"/>
        </w:rPr>
        <w:t>签章，供应商响应的所有技术指标、功能项均能满足采购文件要求。</w:t>
      </w:r>
    </w:p>
    <w:p w14:paraId="31D0819F">
      <w:pPr>
        <w:pStyle w:val="12"/>
        <w:tabs>
          <w:tab w:val="left" w:pos="4214"/>
        </w:tabs>
        <w:spacing w:line="360" w:lineRule="auto"/>
        <w:ind w:firstLine="420" w:firstLineChars="200"/>
        <w:rPr>
          <w:b/>
          <w:color w:val="auto"/>
          <w:highlight w:val="none"/>
        </w:rPr>
      </w:pPr>
      <w:r>
        <w:rPr>
          <w:rFonts w:hint="eastAsia"/>
          <w:b/>
          <w:color w:val="auto"/>
          <w:highlight w:val="none"/>
        </w:rPr>
        <w:t>3、</w:t>
      </w:r>
      <w:r>
        <w:rPr>
          <w:rFonts w:hint="eastAsia" w:cs="Courier New"/>
          <w:b/>
          <w:color w:val="auto"/>
          <w:kern w:val="1"/>
          <w:szCs w:val="21"/>
          <w:highlight w:val="none"/>
        </w:rPr>
        <w:t>项目实施方案</w:t>
      </w:r>
      <w:r>
        <w:rPr>
          <w:rFonts w:hint="eastAsia"/>
          <w:b/>
          <w:color w:val="auto"/>
          <w:highlight w:val="none"/>
        </w:rPr>
        <w:t>分………………………………………………………………15分</w:t>
      </w:r>
    </w:p>
    <w:p w14:paraId="270982BC">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磋商小组根据供应商提供的“项目实施方案”（内容包括但不限于技术力量、系统安全工作方案、服务保障、质量保证措施等）的优劣程度</w:t>
      </w:r>
      <w:r>
        <w:rPr>
          <w:rFonts w:ascii="宋体" w:hAnsi="宋体" w:cs="宋体"/>
          <w:color w:val="auto"/>
          <w:szCs w:val="21"/>
          <w:highlight w:val="none"/>
        </w:rPr>
        <w:t>进行</w:t>
      </w:r>
      <w:r>
        <w:rPr>
          <w:rFonts w:hint="eastAsia" w:ascii="宋体" w:hAnsi="宋体" w:cs="宋体"/>
          <w:color w:val="auto"/>
          <w:szCs w:val="21"/>
          <w:highlight w:val="none"/>
        </w:rPr>
        <w:t>综合评审</w:t>
      </w:r>
      <w:r>
        <w:rPr>
          <w:rFonts w:ascii="宋体" w:hAnsi="宋体" w:cs="宋体"/>
          <w:color w:val="auto"/>
          <w:szCs w:val="21"/>
          <w:highlight w:val="none"/>
        </w:rPr>
        <w:t>并</w:t>
      </w:r>
      <w:r>
        <w:rPr>
          <w:rFonts w:hint="eastAsia" w:ascii="宋体" w:hAnsi="宋体" w:cs="宋体"/>
          <w:color w:val="auto"/>
          <w:szCs w:val="21"/>
          <w:highlight w:val="none"/>
        </w:rPr>
        <w:t xml:space="preserve">独立打分： </w:t>
      </w:r>
    </w:p>
    <w:p w14:paraId="32E93533">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一档（5分）：项目实施方案描述较简单，项目实施的技术力量、实施内容仅基本满足项目要求，针对性不强的；拟投入本项目实施项目经理1人，其他实施人员2人及以上，满足以上相关要求的，进入一档。</w:t>
      </w:r>
    </w:p>
    <w:p w14:paraId="37AAA345">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ascii="宋体" w:hAnsi="宋体" w:cs="宋体"/>
          <w:color w:val="auto"/>
          <w:szCs w:val="21"/>
          <w:highlight w:val="none"/>
        </w:rPr>
        <w:t>1</w:t>
      </w:r>
      <w:r>
        <w:rPr>
          <w:rFonts w:hint="eastAsia" w:ascii="宋体" w:hAnsi="宋体" w:cs="宋体"/>
          <w:color w:val="auto"/>
          <w:szCs w:val="21"/>
          <w:highlight w:val="none"/>
        </w:rPr>
        <w:t>0分）：项目实施方案描述全面详细、表述清晰、完整，具有针对性、合理性、可行性；项目实施的技术力量满足本项目实施要求，并有详细说明；拟投入本项目实施项目经理1人（具有高级信息系统项目管理师、通信类高级工程师），其他实施人员5人及以上，其中至少1人具备信息系统项目管理师证书，至少1人具备网络工程师，满足以上相关要求的，进入二档。</w:t>
      </w:r>
    </w:p>
    <w:p w14:paraId="28465B52">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15分）：项目实施方案描述全面详细、表述清晰、完整，具有针对性、合理性、可行性、实施性强；项目实施的技术力量安排得当、严谨、满足本项目实施要求，并有详细说明；有明确的项目组织实施管理机构，有详细的实施进度计划、详细的人员安排计划，质量保证措施完整、具有针对性、合理性、可行性；拟投入本项目实施项目经理1人（具有高级信息系统项目管理师、网络安全能力认证、通信类高级工程师），其他实施人员10人及以上，其中至少 2 人具备信息系统项目管理师证书，至少2人具备网络工程师，满足以上相关要求的，进入三档。</w:t>
      </w:r>
    </w:p>
    <w:p w14:paraId="2E2A16AE">
      <w:pPr>
        <w:rPr>
          <w:b/>
          <w:bCs/>
          <w:color w:val="auto"/>
          <w:highlight w:val="none"/>
        </w:rPr>
      </w:pPr>
      <w:r>
        <w:rPr>
          <w:rFonts w:hint="eastAsia"/>
          <w:b/>
          <w:bCs/>
          <w:color w:val="auto"/>
          <w:highlight w:val="none"/>
        </w:rPr>
        <w:t xml:space="preserve">  注：实施方案相关人员需提供相关有效证明材料并加盖单位公章（CA签章）</w:t>
      </w:r>
    </w:p>
    <w:p w14:paraId="1FB4EC67">
      <w:pPr>
        <w:ind w:firstLine="210" w:firstLineChars="100"/>
        <w:jc w:val="left"/>
        <w:rPr>
          <w:rFonts w:cs="Courier New"/>
          <w:b/>
          <w:color w:val="auto"/>
          <w:kern w:val="1"/>
          <w:szCs w:val="21"/>
          <w:highlight w:val="none"/>
        </w:rPr>
      </w:pPr>
      <w:r>
        <w:rPr>
          <w:rFonts w:cs="Courier New"/>
          <w:b/>
          <w:color w:val="auto"/>
          <w:kern w:val="1"/>
          <w:szCs w:val="21"/>
          <w:highlight w:val="none"/>
        </w:rPr>
        <w:t>4</w:t>
      </w:r>
      <w:r>
        <w:rPr>
          <w:rFonts w:hint="eastAsia" w:cs="Courier New"/>
          <w:b/>
          <w:color w:val="auto"/>
          <w:kern w:val="1"/>
          <w:szCs w:val="21"/>
          <w:highlight w:val="none"/>
        </w:rPr>
        <w:t>、服务方案分……………………………………………………………………………</w:t>
      </w:r>
      <w:r>
        <w:rPr>
          <w:rFonts w:cs="Courier New"/>
          <w:b/>
          <w:color w:val="auto"/>
          <w:kern w:val="1"/>
          <w:szCs w:val="21"/>
          <w:highlight w:val="none"/>
        </w:rPr>
        <w:t>24</w:t>
      </w:r>
      <w:r>
        <w:rPr>
          <w:rFonts w:hint="eastAsia" w:cs="Courier New"/>
          <w:b/>
          <w:color w:val="auto"/>
          <w:kern w:val="1"/>
          <w:szCs w:val="21"/>
          <w:highlight w:val="none"/>
        </w:rPr>
        <w:t>分</w:t>
      </w:r>
    </w:p>
    <w:p w14:paraId="7ADDE110">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根据供应商提供的“服务方案”（内容包括但不限于投入本项目的服务人员、故障出现解决方案、定期维护、培训计划、重大突发事件应急方案等）的优劣程度进行综合评审并独立打分：（未提供相应评审内容或方案的，不得分）</w:t>
      </w:r>
    </w:p>
    <w:p w14:paraId="2D10251D">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8分）：服务方案简单描述；具有拟投入本项目的服务人员表，定期维护方案、故障出现解决方案、培训计划基本合理、可行的；供应商承诺在出现重大突发事件时，拟投入本项目的应急服务人员数量不低于5人为采购人解决问题；</w:t>
      </w:r>
    </w:p>
    <w:p w14:paraId="5F6C9E94">
      <w:pPr>
        <w:pStyle w:val="8"/>
        <w:spacing w:after="156"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16分）：服务方案中具有详细、合理的服务流程；拟投入本项目的服务人员配备全面，并提供服务人员表；定期维护方案、故障出现解决方案、培训计划详细、完整，具有合理性、可行性；可提供全国统一的7×24售后服务热线；供应商承诺在出现重大突发事件时，拟投入本项目的应急服务人员数量不低于10人为采购人解决问题，其中要求至少2人具备工信部部属单位颁发的设备管理专业知识测评证书、2人具备系统管理专业知识测评证书、2 人具有国家认可的民用无人机飞行执照，并提供相应人员有效证书复印件的；</w:t>
      </w:r>
    </w:p>
    <w:p w14:paraId="650C73D2">
      <w:pPr>
        <w:pStyle w:val="8"/>
        <w:spacing w:after="156" w:line="360" w:lineRule="auto"/>
        <w:ind w:firstLine="420" w:firstLineChars="200"/>
        <w:rPr>
          <w:rFonts w:ascii="宋体" w:hAnsi="宋体"/>
          <w:color w:val="auto"/>
          <w:highlight w:val="none"/>
        </w:rPr>
      </w:pPr>
      <w:r>
        <w:rPr>
          <w:rFonts w:hint="eastAsia" w:ascii="宋体" w:hAnsi="宋体" w:cs="宋体"/>
          <w:color w:val="auto"/>
          <w:szCs w:val="21"/>
          <w:highlight w:val="none"/>
        </w:rPr>
        <w:t>三档（24分）：服务方案中具有详细、完善、合理的服务流程；拟投入本项目的服务人员配备全面，并提供服务人员表；提供有明确完善的用户回访、保密承诺；定期维护方案、故障出现解决方案表述清晰、详细，具有合理性、可行性、科学性、可操作性强；培训计划内容详实、安排合理，有具体的培训目标、时间及内容；可提供全国统一的7×24售后服务热线；供应商承诺在出现重大突发事件时，拟投入本项目的应急服务人员数量不低于15人为采购人解决问题并提供详细的应急方案，其中要求至少有5人具备工信部部属单位颁发的设备管理专业知识测评证书、5人具备系统管理专业知识测评证书、2 人具有国家认可的民用无人机飞行执照，并提供相应人员有效证书复印件</w:t>
      </w:r>
      <w:r>
        <w:rPr>
          <w:rFonts w:hint="eastAsia" w:ascii="宋体" w:hAnsi="宋体"/>
          <w:color w:val="auto"/>
          <w:highlight w:val="none"/>
        </w:rPr>
        <w:t>。</w:t>
      </w:r>
    </w:p>
    <w:p w14:paraId="29C43A40">
      <w:pPr>
        <w:kinsoku w:val="0"/>
        <w:overflowPunct w:val="0"/>
        <w:spacing w:before="120" w:after="120" w:line="440" w:lineRule="exact"/>
        <w:ind w:left="96" w:right="97" w:firstLine="200"/>
        <w:rPr>
          <w:rFonts w:cs="Courier New"/>
          <w:b/>
          <w:color w:val="auto"/>
          <w:kern w:val="1"/>
          <w:szCs w:val="21"/>
          <w:highlight w:val="none"/>
        </w:rPr>
      </w:pPr>
      <w:r>
        <w:rPr>
          <w:rFonts w:cs="Courier New"/>
          <w:b/>
          <w:color w:val="auto"/>
          <w:kern w:val="1"/>
          <w:szCs w:val="21"/>
          <w:highlight w:val="none"/>
        </w:rPr>
        <w:t>5</w:t>
      </w:r>
      <w:r>
        <w:rPr>
          <w:rFonts w:hint="eastAsia" w:cs="Courier New"/>
          <w:b/>
          <w:color w:val="auto"/>
          <w:kern w:val="1"/>
          <w:szCs w:val="21"/>
          <w:highlight w:val="none"/>
        </w:rPr>
        <w:t>.履约能力分……………………………………………………………………………</w:t>
      </w:r>
      <w:r>
        <w:rPr>
          <w:rFonts w:cs="Courier New"/>
          <w:b/>
          <w:color w:val="auto"/>
          <w:kern w:val="1"/>
          <w:szCs w:val="21"/>
          <w:highlight w:val="none"/>
        </w:rPr>
        <w:t>2</w:t>
      </w:r>
      <w:r>
        <w:rPr>
          <w:rFonts w:hint="eastAsia" w:cs="Courier New"/>
          <w:b/>
          <w:color w:val="auto"/>
          <w:kern w:val="1"/>
          <w:szCs w:val="21"/>
          <w:highlight w:val="none"/>
        </w:rPr>
        <w:t>0分</w:t>
      </w:r>
    </w:p>
    <w:p w14:paraId="67FB5F7F">
      <w:pPr>
        <w:spacing w:line="420" w:lineRule="exact"/>
        <w:ind w:firstLine="420"/>
        <w:rPr>
          <w:rFonts w:ascii="宋体" w:hAnsi="宋体"/>
          <w:color w:val="auto"/>
          <w:szCs w:val="21"/>
          <w:highlight w:val="none"/>
        </w:rPr>
      </w:pPr>
      <w:r>
        <w:rPr>
          <w:rFonts w:hint="eastAsia" w:ascii="宋体" w:hAnsi="宋体"/>
          <w:color w:val="auto"/>
          <w:szCs w:val="21"/>
          <w:highlight w:val="none"/>
        </w:rPr>
        <w:t>（1）供应商或其上级单位具有 ISO9001质量管理体系认证、ISO/IEC20000信息技术服务管理体系认证、ISO/IEC27001信息安全管理体系认证、ISO45001职业健康安全管理体系认证并提供有效证书复印件（提供有效证书复印并加盖供应商公章（或CA签章），不提供不得分)，每提供一项，得1分；满分4分。</w:t>
      </w:r>
    </w:p>
    <w:p w14:paraId="318B7875">
      <w:pPr>
        <w:spacing w:line="420" w:lineRule="exact"/>
        <w:ind w:firstLine="420"/>
        <w:rPr>
          <w:rFonts w:ascii="宋体" w:hAnsi="宋体"/>
          <w:color w:val="auto"/>
          <w:szCs w:val="21"/>
          <w:highlight w:val="none"/>
        </w:rPr>
      </w:pPr>
      <w:r>
        <w:rPr>
          <w:rFonts w:hint="eastAsia" w:ascii="宋体" w:hAnsi="宋体"/>
          <w:color w:val="auto"/>
          <w:szCs w:val="21"/>
          <w:highlight w:val="none"/>
        </w:rPr>
        <w:t>（2）供应商或其上级单位具有信息系统安全集成服务的信息安全服务资质认证证书（提供有效证书复印并加盖供应商公章（或CA签章），不提供不得分)，得3分。</w:t>
      </w:r>
    </w:p>
    <w:p w14:paraId="4E98FADE">
      <w:pPr>
        <w:spacing w:line="420" w:lineRule="exact"/>
        <w:ind w:firstLine="420"/>
        <w:rPr>
          <w:rFonts w:ascii="宋体" w:hAnsi="宋体"/>
          <w:color w:val="auto"/>
          <w:szCs w:val="21"/>
          <w:highlight w:val="none"/>
        </w:rPr>
      </w:pPr>
      <w:r>
        <w:rPr>
          <w:rFonts w:hint="eastAsia" w:ascii="宋体" w:hAnsi="宋体"/>
          <w:color w:val="auto"/>
          <w:szCs w:val="21"/>
          <w:highlight w:val="none"/>
        </w:rPr>
        <w:t>（3）供应商或其上级单位获得GB/T 16868-2009服务质量达标测评认证证书的（提供有效证书复印并加盖供应商公章（或CA签章），不提供不得分)，得3分。</w:t>
      </w:r>
    </w:p>
    <w:p w14:paraId="5DDCF2BC">
      <w:pPr>
        <w:spacing w:line="420" w:lineRule="exact"/>
        <w:ind w:firstLine="420"/>
        <w:rPr>
          <w:rFonts w:ascii="宋体" w:hAnsi="宋体"/>
          <w:color w:val="auto"/>
          <w:szCs w:val="21"/>
          <w:highlight w:val="none"/>
        </w:rPr>
      </w:pPr>
      <w:r>
        <w:rPr>
          <w:rFonts w:hint="eastAsia" w:ascii="宋体" w:hAnsi="宋体"/>
          <w:color w:val="auto"/>
          <w:szCs w:val="21"/>
          <w:highlight w:val="none"/>
        </w:rPr>
        <w:t>（4）供应商或其上级单位具有售后服务认证证书（提供有效证书复印并加盖供应商公章（或CA签章），不提供不得分)，得3分。</w:t>
      </w:r>
    </w:p>
    <w:p w14:paraId="0058F935">
      <w:pPr>
        <w:spacing w:line="420" w:lineRule="exact"/>
        <w:ind w:firstLine="420"/>
        <w:rPr>
          <w:rFonts w:ascii="宋体" w:hAnsi="宋体"/>
          <w:color w:val="auto"/>
          <w:szCs w:val="21"/>
          <w:highlight w:val="none"/>
        </w:rPr>
      </w:pPr>
      <w:r>
        <w:rPr>
          <w:rFonts w:hint="eastAsia" w:ascii="宋体" w:hAnsi="宋体"/>
          <w:color w:val="auto"/>
          <w:szCs w:val="21"/>
          <w:highlight w:val="none"/>
        </w:rPr>
        <w:t>（5）供应商或其上级公司具有攻击面管理产品检验证书，符合FT-S04-0096-01《攻击面管理产品功能评价方法》的要求，得3分。（提供相关证明材料复印件并加盖单位公章（CA签章））</w:t>
      </w:r>
    </w:p>
    <w:p w14:paraId="705D10BC">
      <w:pPr>
        <w:spacing w:line="420" w:lineRule="exact"/>
        <w:ind w:firstLine="420"/>
        <w:rPr>
          <w:rFonts w:ascii="宋体" w:hAnsi="宋体"/>
          <w:color w:val="auto"/>
          <w:szCs w:val="21"/>
          <w:highlight w:val="none"/>
        </w:rPr>
      </w:pPr>
      <w:r>
        <w:rPr>
          <w:rFonts w:hint="eastAsia" w:ascii="宋体" w:hAnsi="宋体"/>
          <w:color w:val="auto"/>
          <w:szCs w:val="21"/>
          <w:highlight w:val="none"/>
        </w:rPr>
        <w:t>（6）供应商或其上级公司具有 GB/T 33136-2016 ITSS信息技术服务标准符合性证书的（提供有效认证证书复印并加盖供应商公章（或CA签章）)，得2分，不提供不得分，满分2分。</w:t>
      </w:r>
    </w:p>
    <w:p w14:paraId="3D57FC20">
      <w:pPr>
        <w:spacing w:line="420" w:lineRule="exact"/>
        <w:ind w:firstLine="420"/>
        <w:rPr>
          <w:rFonts w:ascii="宋体" w:hAnsi="宋体"/>
          <w:bCs/>
          <w:color w:val="auto"/>
          <w:szCs w:val="21"/>
          <w:highlight w:val="none"/>
        </w:rPr>
      </w:pPr>
      <w:r>
        <w:rPr>
          <w:rFonts w:hint="eastAsia" w:ascii="宋体" w:hAnsi="宋体"/>
          <w:bCs/>
          <w:color w:val="auto"/>
          <w:szCs w:val="21"/>
          <w:highlight w:val="none"/>
        </w:rPr>
        <w:t>（7）</w:t>
      </w:r>
      <w:r>
        <w:rPr>
          <w:rFonts w:hint="eastAsia" w:ascii="宋体" w:hAnsi="宋体"/>
          <w:color w:val="auto"/>
          <w:szCs w:val="21"/>
          <w:highlight w:val="none"/>
        </w:rPr>
        <w:t>供应商</w:t>
      </w:r>
      <w:r>
        <w:rPr>
          <w:rFonts w:hint="eastAsia" w:ascii="宋体" w:hAnsi="宋体" w:cs="宋体"/>
          <w:color w:val="auto"/>
          <w:szCs w:val="21"/>
          <w:highlight w:val="none"/>
        </w:rPr>
        <w:t>2022年1月1日以来具有同类服务项目业绩的（供应商于投标文件中提供签订的中标/成交通知书或项目合同，能清晰反映中标/成交内容或合同标的，同一个编号的项目有两个或两个以上的分标中标/成交的只算一次，并加盖供应商C</w:t>
      </w:r>
      <w:r>
        <w:rPr>
          <w:rFonts w:ascii="宋体" w:hAnsi="宋体" w:cs="宋体"/>
          <w:color w:val="auto"/>
          <w:szCs w:val="21"/>
          <w:highlight w:val="none"/>
        </w:rPr>
        <w:t>A</w:t>
      </w:r>
      <w:r>
        <w:rPr>
          <w:rFonts w:hint="eastAsia" w:ascii="宋体" w:hAnsi="宋体" w:cs="宋体"/>
          <w:color w:val="auto"/>
          <w:szCs w:val="21"/>
          <w:highlight w:val="none"/>
        </w:rPr>
        <w:t>签章，</w:t>
      </w:r>
      <w:r>
        <w:rPr>
          <w:rFonts w:hint="eastAsia" w:ascii="宋体" w:hAnsi="宋体" w:cs="宋体"/>
          <w:bCs/>
          <w:color w:val="auto"/>
          <w:szCs w:val="21"/>
          <w:highlight w:val="none"/>
        </w:rPr>
        <w:t>否则不予以计分</w:t>
      </w:r>
      <w:r>
        <w:rPr>
          <w:rFonts w:hint="eastAsia" w:ascii="宋体" w:hAnsi="宋体" w:cs="宋体"/>
          <w:color w:val="auto"/>
          <w:szCs w:val="21"/>
          <w:highlight w:val="none"/>
        </w:rPr>
        <w:t>），每提供1项业绩得1分，最多得2分</w:t>
      </w:r>
      <w:r>
        <w:rPr>
          <w:rFonts w:hint="eastAsia" w:ascii="宋体" w:hAnsi="宋体"/>
          <w:bCs/>
          <w:color w:val="auto"/>
          <w:szCs w:val="21"/>
          <w:highlight w:val="none"/>
        </w:rPr>
        <w:t>。</w:t>
      </w:r>
    </w:p>
    <w:p w14:paraId="73703B34">
      <w:pPr>
        <w:spacing w:line="420" w:lineRule="exact"/>
        <w:ind w:firstLine="420"/>
        <w:rPr>
          <w:color w:val="auto"/>
          <w:highlight w:val="none"/>
        </w:rPr>
      </w:pPr>
      <w:r>
        <w:rPr>
          <w:rFonts w:hint="eastAsia" w:ascii="宋体" w:hAnsi="宋体"/>
          <w:b/>
          <w:bCs/>
          <w:color w:val="auto"/>
          <w:szCs w:val="21"/>
          <w:highlight w:val="none"/>
        </w:rPr>
        <w:t>注：以上有关奖项、证书或证明材料，供应商如为分公司投标的，需提供其上级单位或总公司授权的才予以认可。</w:t>
      </w:r>
    </w:p>
    <w:p w14:paraId="339C2317">
      <w:pPr>
        <w:pStyle w:val="12"/>
        <w:tabs>
          <w:tab w:val="left" w:pos="4214"/>
        </w:tabs>
        <w:spacing w:line="360" w:lineRule="auto"/>
        <w:ind w:firstLine="420" w:firstLineChars="200"/>
        <w:rPr>
          <w:b/>
          <w:color w:val="auto"/>
          <w:highlight w:val="none"/>
        </w:rPr>
      </w:pPr>
      <w:r>
        <w:rPr>
          <w:b/>
          <w:color w:val="auto"/>
          <w:highlight w:val="none"/>
        </w:rPr>
        <w:t>6</w:t>
      </w:r>
      <w:r>
        <w:rPr>
          <w:rFonts w:hint="eastAsia"/>
          <w:b/>
          <w:color w:val="auto"/>
          <w:highlight w:val="none"/>
        </w:rPr>
        <w:t>. 综合得分＝1+2+3</w:t>
      </w:r>
      <w:r>
        <w:rPr>
          <w:b/>
          <w:color w:val="auto"/>
          <w:highlight w:val="none"/>
        </w:rPr>
        <w:t>+4+5</w:t>
      </w:r>
    </w:p>
    <w:p w14:paraId="54CCF7E1">
      <w:pPr>
        <w:spacing w:line="360" w:lineRule="auto"/>
        <w:ind w:firstLine="420" w:firstLineChars="200"/>
        <w:rPr>
          <w:b/>
          <w:bCs/>
          <w:color w:val="auto"/>
          <w:highlight w:val="none"/>
        </w:rPr>
      </w:pPr>
      <w:r>
        <w:rPr>
          <w:rFonts w:hint="eastAsia" w:hAnsi="宋体" w:cs="宋体"/>
          <w:b/>
          <w:bCs/>
          <w:color w:val="auto"/>
          <w:szCs w:val="21"/>
          <w:highlight w:val="none"/>
        </w:rPr>
        <w:t>注：以上证书提供相关复印件，如查实为虚假的投标无效，未提供不计分。</w:t>
      </w:r>
    </w:p>
    <w:p w14:paraId="564E4F80">
      <w:pPr>
        <w:pStyle w:val="12"/>
        <w:tabs>
          <w:tab w:val="left" w:pos="4214"/>
        </w:tabs>
        <w:spacing w:line="360" w:lineRule="auto"/>
        <w:ind w:firstLine="420" w:firstLineChars="200"/>
        <w:rPr>
          <w:rFonts w:hAnsi="宋体" w:cs="宋体"/>
          <w:b/>
          <w:color w:val="auto"/>
          <w:szCs w:val="21"/>
          <w:highlight w:val="none"/>
        </w:rPr>
      </w:pPr>
      <w:r>
        <w:rPr>
          <w:rFonts w:hint="eastAsia" w:hAnsi="宋体" w:cs="宋体"/>
          <w:b/>
          <w:color w:val="auto"/>
          <w:szCs w:val="21"/>
          <w:highlight w:val="none"/>
        </w:rPr>
        <w:t>三、推荐及确定成交候选供应商原则</w:t>
      </w:r>
    </w:p>
    <w:p w14:paraId="154CB666">
      <w:pPr>
        <w:pStyle w:val="12"/>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1.磋商小组根据综合得分由高到低排列次序，若得分相同时，按评标价由低到高顺序排列；得分相同且评标价也相同的由磋商小组按照抽签的方式决定排次次序。</w:t>
      </w:r>
    </w:p>
    <w:p w14:paraId="3AFE12D0">
      <w:pPr>
        <w:pStyle w:val="12"/>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2.磋商小组可推荐前三名为成交候选人，采购人应当确定磋商小组推荐排名第一的成交候选人为成交人。</w:t>
      </w:r>
    </w:p>
    <w:p w14:paraId="40249266">
      <w:pPr>
        <w:pStyle w:val="12"/>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3.排名第一的成交候选人放弃成交、因不可抗力提出不能履行合同，或者招标文件规定应当提交履约保证金而在规定的期限内未能提交的，或因失信行为被取消成交候选人资格的，采购人可以确定排名第二的成交候选人为成交人，并依此类推。</w:t>
      </w:r>
    </w:p>
    <w:p w14:paraId="56112EEA">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rPr>
        <w:t>四、特别说明</w:t>
      </w:r>
    </w:p>
    <w:p w14:paraId="641832E2">
      <w:pPr>
        <w:spacing w:line="340" w:lineRule="exact"/>
        <w:ind w:firstLine="420" w:firstLineChars="200"/>
        <w:rPr>
          <w:rFonts w:ascii="Calibri" w:hAnsi="Calibri"/>
          <w:b/>
          <w:color w:val="auto"/>
          <w:sz w:val="32"/>
          <w:highlight w:val="none"/>
        </w:rPr>
      </w:pPr>
      <w:r>
        <w:rPr>
          <w:rFonts w:hint="eastAsia" w:ascii="宋体" w:hAnsi="宋体" w:cs="宋体"/>
          <w:b/>
          <w:bCs/>
          <w:color w:val="auto"/>
          <w:szCs w:val="21"/>
          <w:highlight w:val="none"/>
          <w:u w:val="doubl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r>
        <w:rPr>
          <w:color w:val="auto"/>
          <w:highlight w:val="none"/>
        </w:rPr>
        <w:br w:type="page"/>
      </w:r>
    </w:p>
    <w:p w14:paraId="0F64F9EC">
      <w:pPr>
        <w:pStyle w:val="4"/>
        <w:rPr>
          <w:color w:val="auto"/>
          <w:highlight w:val="none"/>
        </w:rPr>
      </w:pPr>
      <w:bookmarkStart w:id="117" w:name="_Toc11113"/>
      <w:r>
        <w:rPr>
          <w:rFonts w:hint="eastAsia"/>
          <w:color w:val="auto"/>
          <w:highlight w:val="none"/>
        </w:rPr>
        <w:t>附表</w:t>
      </w:r>
      <w:bookmarkEnd w:id="117"/>
    </w:p>
    <w:p w14:paraId="2FD482D7">
      <w:pPr>
        <w:widowControl/>
        <w:spacing w:before="156" w:beforeLines="50" w:after="156" w:afterLines="50" w:line="280" w:lineRule="exact"/>
        <w:jc w:val="center"/>
        <w:rPr>
          <w:rFonts w:ascii="宋体" w:hAnsi="宋体" w:cs="宋体"/>
          <w:b/>
          <w:bCs/>
          <w:color w:val="auto"/>
          <w:kern w:val="0"/>
          <w:sz w:val="30"/>
          <w:szCs w:val="30"/>
          <w:highlight w:val="none"/>
        </w:rPr>
      </w:pPr>
      <w:bookmarkStart w:id="118" w:name="_Toc28361_WPSOffice_Level2"/>
      <w:r>
        <w:rPr>
          <w:rFonts w:hint="eastAsia" w:ascii="宋体" w:hAnsi="宋体" w:cs="宋体"/>
          <w:b/>
          <w:bCs/>
          <w:color w:val="auto"/>
          <w:kern w:val="0"/>
          <w:sz w:val="30"/>
          <w:szCs w:val="30"/>
          <w:highlight w:val="none"/>
        </w:rPr>
        <w:t>统计上大中小微型企业划分标准</w:t>
      </w:r>
      <w:bookmarkEnd w:id="118"/>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CAB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06AC3D1D">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FFFFFF"/>
            <w:vAlign w:val="center"/>
          </w:tcPr>
          <w:p w14:paraId="18B12E3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FFFFFF"/>
            <w:vAlign w:val="center"/>
          </w:tcPr>
          <w:p w14:paraId="71FCB21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6045F187">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FFFFFF"/>
            <w:vAlign w:val="center"/>
          </w:tcPr>
          <w:p w14:paraId="764FBF2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FFFFFF"/>
            <w:vAlign w:val="center"/>
          </w:tcPr>
          <w:p w14:paraId="6C661A34">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FFFFFF"/>
            <w:vAlign w:val="center"/>
          </w:tcPr>
          <w:p w14:paraId="24083CA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FFFFFF"/>
            <w:vAlign w:val="center"/>
          </w:tcPr>
          <w:p w14:paraId="6B0B543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CEF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F55B5B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262A1B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8656A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5A641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62E4A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68FFBA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35A884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0C7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A1B4B4">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0C9E38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CF601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4A028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3F4DFC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DC9CD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31E4C7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F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0B69D5">
            <w:pPr>
              <w:widowControl/>
              <w:spacing w:line="280" w:lineRule="exact"/>
              <w:jc w:val="left"/>
              <w:rPr>
                <w:rFonts w:ascii="宋体" w:hAnsi="宋体" w:cs="宋体"/>
                <w:color w:val="auto"/>
                <w:kern w:val="0"/>
                <w:sz w:val="18"/>
                <w:szCs w:val="18"/>
                <w:highlight w:val="none"/>
              </w:rPr>
            </w:pPr>
          </w:p>
        </w:tc>
        <w:tc>
          <w:tcPr>
            <w:tcW w:w="1369" w:type="dxa"/>
            <w:vAlign w:val="center"/>
          </w:tcPr>
          <w:p w14:paraId="3AE7F9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0615D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24AE0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6D8782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02A0AC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690B99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C3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7C7D1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4CD801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5C30C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6D3A3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303864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7E7076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3B8E00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9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0735D0">
            <w:pPr>
              <w:widowControl/>
              <w:spacing w:line="280" w:lineRule="exact"/>
              <w:jc w:val="left"/>
              <w:rPr>
                <w:rFonts w:ascii="宋体" w:hAnsi="宋体" w:cs="宋体"/>
                <w:color w:val="auto"/>
                <w:kern w:val="0"/>
                <w:sz w:val="18"/>
                <w:szCs w:val="18"/>
                <w:highlight w:val="none"/>
              </w:rPr>
            </w:pPr>
          </w:p>
        </w:tc>
        <w:tc>
          <w:tcPr>
            <w:tcW w:w="1369" w:type="dxa"/>
            <w:vAlign w:val="center"/>
          </w:tcPr>
          <w:p w14:paraId="3DA856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E08D3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3A363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1E271F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5DE022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7A9D1E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2CC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EB321C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49234E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A976A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DE66E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1C1EE5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684929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59BDD6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B2E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5543C7">
            <w:pPr>
              <w:widowControl/>
              <w:spacing w:line="280" w:lineRule="exact"/>
              <w:jc w:val="left"/>
              <w:rPr>
                <w:rFonts w:ascii="宋体" w:hAnsi="宋体" w:cs="宋体"/>
                <w:color w:val="auto"/>
                <w:kern w:val="0"/>
                <w:sz w:val="18"/>
                <w:szCs w:val="18"/>
                <w:highlight w:val="none"/>
              </w:rPr>
            </w:pPr>
          </w:p>
        </w:tc>
        <w:tc>
          <w:tcPr>
            <w:tcW w:w="1369" w:type="dxa"/>
            <w:vAlign w:val="center"/>
          </w:tcPr>
          <w:p w14:paraId="5A160E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B2C6D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28054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603239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01CC0E1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0C4481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8E4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C5FCC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768063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6695E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3494B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DCFF1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1D636C6B">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0A430A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79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13DDF4">
            <w:pPr>
              <w:widowControl/>
              <w:spacing w:line="280" w:lineRule="exact"/>
              <w:jc w:val="left"/>
              <w:rPr>
                <w:rFonts w:ascii="宋体" w:hAnsi="宋体" w:cs="宋体"/>
                <w:color w:val="auto"/>
                <w:kern w:val="0"/>
                <w:sz w:val="18"/>
                <w:szCs w:val="18"/>
                <w:highlight w:val="none"/>
              </w:rPr>
            </w:pPr>
          </w:p>
        </w:tc>
        <w:tc>
          <w:tcPr>
            <w:tcW w:w="1369" w:type="dxa"/>
            <w:vAlign w:val="center"/>
          </w:tcPr>
          <w:p w14:paraId="43368D3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ED369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F80E9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F83BD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7C056D8E">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7748E4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0C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088FB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727F03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DC392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2E726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8C81E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03980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4913FE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97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E44530">
            <w:pPr>
              <w:widowControl/>
              <w:spacing w:line="280" w:lineRule="exact"/>
              <w:jc w:val="left"/>
              <w:rPr>
                <w:rFonts w:ascii="宋体" w:hAnsi="宋体" w:cs="宋体"/>
                <w:color w:val="auto"/>
                <w:kern w:val="0"/>
                <w:sz w:val="18"/>
                <w:szCs w:val="18"/>
                <w:highlight w:val="none"/>
              </w:rPr>
            </w:pPr>
          </w:p>
        </w:tc>
        <w:tc>
          <w:tcPr>
            <w:tcW w:w="1369" w:type="dxa"/>
            <w:vAlign w:val="center"/>
          </w:tcPr>
          <w:p w14:paraId="033F18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6A2A7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90750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38B64E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44E50C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2213B7A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50A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49423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677D9B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8B264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EB6B7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52B5E71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276F89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7D021C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4A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E34EFA">
            <w:pPr>
              <w:widowControl/>
              <w:spacing w:line="280" w:lineRule="exact"/>
              <w:jc w:val="left"/>
              <w:rPr>
                <w:rFonts w:ascii="宋体" w:hAnsi="宋体" w:cs="宋体"/>
                <w:color w:val="auto"/>
                <w:kern w:val="0"/>
                <w:sz w:val="18"/>
                <w:szCs w:val="18"/>
                <w:highlight w:val="none"/>
              </w:rPr>
            </w:pPr>
          </w:p>
        </w:tc>
        <w:tc>
          <w:tcPr>
            <w:tcW w:w="1369" w:type="dxa"/>
            <w:vAlign w:val="center"/>
          </w:tcPr>
          <w:p w14:paraId="42597D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E315A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65916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62C485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284580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0D4FDF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8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9B297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75935D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17E8C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ED530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33C021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CD0BF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1F45DF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6B8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DA9B99">
            <w:pPr>
              <w:widowControl/>
              <w:spacing w:line="280" w:lineRule="exact"/>
              <w:jc w:val="left"/>
              <w:rPr>
                <w:rFonts w:ascii="宋体" w:hAnsi="宋体" w:cs="宋体"/>
                <w:color w:val="auto"/>
                <w:kern w:val="0"/>
                <w:sz w:val="18"/>
                <w:szCs w:val="18"/>
                <w:highlight w:val="none"/>
              </w:rPr>
            </w:pPr>
          </w:p>
        </w:tc>
        <w:tc>
          <w:tcPr>
            <w:tcW w:w="1369" w:type="dxa"/>
            <w:vAlign w:val="center"/>
          </w:tcPr>
          <w:p w14:paraId="249039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C0002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7612C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25E7B4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4513C8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22FFB4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0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89924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64BD90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753B4A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14636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DA5791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1022F7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8798C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1A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61F9DB">
            <w:pPr>
              <w:widowControl/>
              <w:spacing w:line="280" w:lineRule="exact"/>
              <w:jc w:val="left"/>
              <w:rPr>
                <w:rFonts w:ascii="宋体" w:hAnsi="宋体" w:cs="宋体"/>
                <w:color w:val="auto"/>
                <w:kern w:val="0"/>
                <w:sz w:val="18"/>
                <w:szCs w:val="18"/>
                <w:highlight w:val="none"/>
              </w:rPr>
            </w:pPr>
          </w:p>
        </w:tc>
        <w:tc>
          <w:tcPr>
            <w:tcW w:w="1369" w:type="dxa"/>
            <w:vAlign w:val="center"/>
          </w:tcPr>
          <w:p w14:paraId="6ABAFC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26499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85FAD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9A29B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4E2AC6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59FB19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02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96B41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6686D8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E3153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56CC6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90F653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3EAAE4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3D1CE1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36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46B3BE">
            <w:pPr>
              <w:widowControl/>
              <w:spacing w:line="280" w:lineRule="exact"/>
              <w:jc w:val="left"/>
              <w:rPr>
                <w:rFonts w:ascii="宋体" w:hAnsi="宋体" w:cs="宋体"/>
                <w:color w:val="auto"/>
                <w:kern w:val="0"/>
                <w:sz w:val="18"/>
                <w:szCs w:val="18"/>
                <w:highlight w:val="none"/>
              </w:rPr>
            </w:pPr>
          </w:p>
        </w:tc>
        <w:tc>
          <w:tcPr>
            <w:tcW w:w="1369" w:type="dxa"/>
            <w:vAlign w:val="center"/>
          </w:tcPr>
          <w:p w14:paraId="696A3B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B7A19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62ABE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30E1C2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5FFADE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363D99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F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182DA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6B9D345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8EED0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CD188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1D5C91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035003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F904D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C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4E2270">
            <w:pPr>
              <w:widowControl/>
              <w:spacing w:line="280" w:lineRule="exact"/>
              <w:jc w:val="left"/>
              <w:rPr>
                <w:rFonts w:ascii="宋体" w:hAnsi="宋体" w:cs="宋体"/>
                <w:color w:val="auto"/>
                <w:kern w:val="0"/>
                <w:sz w:val="18"/>
                <w:szCs w:val="18"/>
                <w:highlight w:val="none"/>
              </w:rPr>
            </w:pPr>
          </w:p>
        </w:tc>
        <w:tc>
          <w:tcPr>
            <w:tcW w:w="1369" w:type="dxa"/>
            <w:vAlign w:val="center"/>
          </w:tcPr>
          <w:p w14:paraId="408BEA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2C017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E4349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666A02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0BF216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614A76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52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375D08D">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69CE8A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3B122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D7F1A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03ACB9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6AA0AF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318061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B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D2B3DC1">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14:paraId="4EECCC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D67D4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33F34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6ADFC8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2625C3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11C208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09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C00AC1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70D718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6D74D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CB47A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02DB3E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2FE6FA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4B1EC2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9D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6E28D33">
            <w:pPr>
              <w:widowControl/>
              <w:spacing w:line="280" w:lineRule="exact"/>
              <w:jc w:val="left"/>
              <w:rPr>
                <w:rFonts w:ascii="宋体" w:hAnsi="宋体" w:cs="宋体"/>
                <w:color w:val="auto"/>
                <w:kern w:val="0"/>
                <w:sz w:val="18"/>
                <w:szCs w:val="18"/>
                <w:highlight w:val="none"/>
              </w:rPr>
            </w:pPr>
          </w:p>
        </w:tc>
        <w:tc>
          <w:tcPr>
            <w:tcW w:w="1369" w:type="dxa"/>
            <w:vAlign w:val="center"/>
          </w:tcPr>
          <w:p w14:paraId="1C4FC5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3B5C8A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83082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281AC6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264FAC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599B67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93F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B2918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3584F4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8966F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E4FC9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65F448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7835A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3544BE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CB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8F41B">
            <w:pPr>
              <w:widowControl/>
              <w:spacing w:line="280" w:lineRule="exact"/>
              <w:jc w:val="left"/>
              <w:rPr>
                <w:rFonts w:ascii="宋体" w:hAnsi="宋体" w:cs="宋体"/>
                <w:color w:val="auto"/>
                <w:kern w:val="0"/>
                <w:sz w:val="18"/>
                <w:szCs w:val="18"/>
                <w:highlight w:val="none"/>
              </w:rPr>
            </w:pPr>
          </w:p>
        </w:tc>
        <w:tc>
          <w:tcPr>
            <w:tcW w:w="1369" w:type="dxa"/>
            <w:vAlign w:val="center"/>
          </w:tcPr>
          <w:p w14:paraId="63D972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812DE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6F0A7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09488A0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3EE353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320D21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FD1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4F04C7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31B16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DBD4D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24F05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C89D90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1F5679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53827B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E7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1B8DDA2">
            <w:pPr>
              <w:widowControl/>
              <w:spacing w:line="280" w:lineRule="exact"/>
              <w:jc w:val="left"/>
              <w:rPr>
                <w:rFonts w:ascii="宋体" w:hAnsi="宋体" w:cs="宋体"/>
                <w:color w:val="auto"/>
                <w:kern w:val="0"/>
                <w:sz w:val="18"/>
                <w:szCs w:val="18"/>
                <w:highlight w:val="none"/>
              </w:rPr>
            </w:pPr>
          </w:p>
        </w:tc>
        <w:tc>
          <w:tcPr>
            <w:tcW w:w="1369" w:type="dxa"/>
            <w:vAlign w:val="center"/>
          </w:tcPr>
          <w:p w14:paraId="1C1B65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621FE3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C6A1D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0DF799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6ED0E7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5F4C55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5AA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E7A550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161DA4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A398E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D26AC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FABE6A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70BD4E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96F80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5767199">
      <w:pPr>
        <w:widowControl/>
        <w:spacing w:line="280" w:lineRule="exact"/>
        <w:rPr>
          <w:rFonts w:ascii="宋体" w:hAnsi="宋体" w:cs="宋体"/>
          <w:color w:val="auto"/>
          <w:spacing w:val="8"/>
          <w:kern w:val="0"/>
          <w:sz w:val="24"/>
          <w:highlight w:val="none"/>
        </w:rPr>
      </w:pPr>
    </w:p>
    <w:p w14:paraId="0BF0E8A8">
      <w:pPr>
        <w:widowControl/>
        <w:spacing w:line="280" w:lineRule="exact"/>
        <w:rPr>
          <w:rFonts w:ascii="宋体" w:hAnsi="宋体" w:cs="宋体"/>
          <w:color w:val="auto"/>
          <w:spacing w:val="8"/>
          <w:kern w:val="0"/>
          <w:sz w:val="24"/>
          <w:highlight w:val="none"/>
        </w:rPr>
      </w:pPr>
    </w:p>
    <w:p w14:paraId="341A21FD">
      <w:pPr>
        <w:widowControl/>
        <w:spacing w:line="280" w:lineRule="exact"/>
        <w:rPr>
          <w:rFonts w:ascii="宋体" w:hAnsi="宋体" w:cs="宋体"/>
          <w:color w:val="auto"/>
          <w:spacing w:val="8"/>
          <w:kern w:val="0"/>
          <w:sz w:val="24"/>
          <w:highlight w:val="none"/>
        </w:rPr>
      </w:pPr>
    </w:p>
    <w:p w14:paraId="6996C026">
      <w:pPr>
        <w:widowControl/>
        <w:spacing w:line="280" w:lineRule="exac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14:paraId="57565875">
      <w:pPr>
        <w:pStyle w:val="12"/>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1.大型、中型和小型企业须同时满足所列指标的下限，否则下划一档；微型企业只须满足所列指标中的一项即可。</w:t>
      </w:r>
    </w:p>
    <w:p w14:paraId="268C5480">
      <w:pPr>
        <w:pStyle w:val="12"/>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927DBA">
      <w:pPr>
        <w:pStyle w:val="12"/>
        <w:spacing w:line="280" w:lineRule="exact"/>
        <w:ind w:firstLine="512" w:firstLineChars="200"/>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19" w:name="_Toc8466"/>
      <w:bookmarkStart w:id="120" w:name="_Toc4774"/>
    </w:p>
    <w:p w14:paraId="3EEE307F">
      <w:pPr>
        <w:pStyle w:val="6"/>
        <w:rPr>
          <w:rFonts w:ascii="宋体" w:hAnsi="宋体" w:cs="宋体"/>
          <w:color w:val="auto"/>
          <w:spacing w:val="8"/>
          <w:kern w:val="0"/>
          <w:sz w:val="24"/>
          <w:highlight w:val="none"/>
        </w:rPr>
      </w:pPr>
    </w:p>
    <w:p w14:paraId="52C74F94">
      <w:pPr>
        <w:rPr>
          <w:rFonts w:ascii="宋体" w:hAnsi="宋体" w:cs="宋体"/>
          <w:color w:val="auto"/>
          <w:spacing w:val="8"/>
          <w:kern w:val="0"/>
          <w:sz w:val="24"/>
          <w:highlight w:val="none"/>
        </w:rPr>
      </w:pPr>
    </w:p>
    <w:p w14:paraId="4344B9A1">
      <w:pPr>
        <w:pStyle w:val="29"/>
        <w:rPr>
          <w:rFonts w:ascii="宋体" w:hAnsi="宋体" w:cs="宋体"/>
          <w:color w:val="auto"/>
          <w:highlight w:val="none"/>
        </w:rPr>
      </w:pPr>
    </w:p>
    <w:p w14:paraId="3E923FA9">
      <w:pPr>
        <w:pStyle w:val="29"/>
        <w:rPr>
          <w:rFonts w:ascii="宋体" w:hAnsi="宋体" w:cs="宋体"/>
          <w:color w:val="auto"/>
          <w:highlight w:val="none"/>
        </w:rPr>
      </w:pPr>
    </w:p>
    <w:p w14:paraId="0BA11EFF">
      <w:pPr>
        <w:pStyle w:val="29"/>
        <w:rPr>
          <w:rFonts w:ascii="宋体" w:hAnsi="宋体" w:cs="宋体"/>
          <w:color w:val="auto"/>
          <w:highlight w:val="none"/>
        </w:rPr>
      </w:pPr>
    </w:p>
    <w:p w14:paraId="3F2EE5FE">
      <w:pPr>
        <w:pStyle w:val="29"/>
        <w:rPr>
          <w:rFonts w:ascii="宋体" w:hAnsi="宋体" w:cs="宋体"/>
          <w:color w:val="auto"/>
          <w:highlight w:val="none"/>
        </w:rPr>
      </w:pPr>
    </w:p>
    <w:p w14:paraId="053A1473">
      <w:pPr>
        <w:pStyle w:val="29"/>
        <w:rPr>
          <w:rFonts w:ascii="宋体" w:hAnsi="宋体" w:cs="宋体"/>
          <w:color w:val="auto"/>
          <w:highlight w:val="none"/>
        </w:rPr>
      </w:pPr>
    </w:p>
    <w:p w14:paraId="202F24B8">
      <w:pPr>
        <w:pStyle w:val="29"/>
        <w:rPr>
          <w:rFonts w:ascii="宋体" w:hAnsi="宋体" w:cs="宋体"/>
          <w:color w:val="auto"/>
          <w:highlight w:val="none"/>
        </w:rPr>
      </w:pPr>
    </w:p>
    <w:p w14:paraId="4BA06F60">
      <w:pPr>
        <w:pStyle w:val="29"/>
        <w:rPr>
          <w:rFonts w:ascii="宋体" w:hAnsi="宋体" w:cs="宋体"/>
          <w:color w:val="auto"/>
          <w:highlight w:val="none"/>
        </w:rPr>
      </w:pPr>
    </w:p>
    <w:p w14:paraId="64DD891E">
      <w:pPr>
        <w:pStyle w:val="29"/>
        <w:rPr>
          <w:rFonts w:ascii="宋体" w:hAnsi="宋体" w:cs="宋体"/>
          <w:color w:val="auto"/>
          <w:highlight w:val="none"/>
        </w:rPr>
      </w:pPr>
    </w:p>
    <w:p w14:paraId="21E23C89">
      <w:pPr>
        <w:pStyle w:val="29"/>
        <w:rPr>
          <w:rFonts w:ascii="宋体" w:hAnsi="宋体" w:cs="宋体"/>
          <w:color w:val="auto"/>
          <w:highlight w:val="none"/>
        </w:rPr>
      </w:pPr>
    </w:p>
    <w:p w14:paraId="7F39182D">
      <w:pPr>
        <w:pStyle w:val="29"/>
        <w:rPr>
          <w:rFonts w:ascii="宋体" w:hAnsi="宋体" w:cs="宋体"/>
          <w:color w:val="auto"/>
          <w:highlight w:val="none"/>
        </w:rPr>
      </w:pPr>
    </w:p>
    <w:p w14:paraId="4C617055">
      <w:pPr>
        <w:pStyle w:val="29"/>
        <w:rPr>
          <w:rFonts w:ascii="宋体" w:hAnsi="宋体" w:cs="宋体"/>
          <w:color w:val="auto"/>
          <w:highlight w:val="none"/>
        </w:rPr>
      </w:pPr>
    </w:p>
    <w:p w14:paraId="511F3BA1">
      <w:pPr>
        <w:pStyle w:val="29"/>
        <w:rPr>
          <w:rFonts w:ascii="宋体" w:hAnsi="宋体" w:cs="宋体"/>
          <w:color w:val="auto"/>
          <w:highlight w:val="none"/>
        </w:rPr>
      </w:pPr>
    </w:p>
    <w:p w14:paraId="363F65A8">
      <w:pPr>
        <w:pStyle w:val="29"/>
        <w:rPr>
          <w:rFonts w:ascii="宋体" w:hAnsi="宋体" w:cs="宋体"/>
          <w:color w:val="auto"/>
          <w:highlight w:val="none"/>
        </w:rPr>
      </w:pPr>
    </w:p>
    <w:p w14:paraId="392BB386">
      <w:pPr>
        <w:pStyle w:val="29"/>
        <w:rPr>
          <w:rFonts w:ascii="宋体" w:hAnsi="宋体" w:cs="宋体"/>
          <w:color w:val="auto"/>
          <w:highlight w:val="none"/>
        </w:rPr>
      </w:pPr>
    </w:p>
    <w:p w14:paraId="5C92FF2F">
      <w:pPr>
        <w:pStyle w:val="29"/>
        <w:rPr>
          <w:rFonts w:ascii="宋体" w:hAnsi="宋体" w:cs="宋体"/>
          <w:color w:val="auto"/>
          <w:highlight w:val="none"/>
        </w:rPr>
      </w:pPr>
    </w:p>
    <w:p w14:paraId="0E54904F">
      <w:pPr>
        <w:pStyle w:val="29"/>
        <w:rPr>
          <w:rFonts w:ascii="宋体" w:hAnsi="宋体" w:cs="宋体"/>
          <w:color w:val="auto"/>
          <w:highlight w:val="none"/>
        </w:rPr>
      </w:pPr>
    </w:p>
    <w:p w14:paraId="5D30DF32">
      <w:pPr>
        <w:pStyle w:val="29"/>
        <w:rPr>
          <w:rFonts w:ascii="宋体" w:hAnsi="宋体" w:cs="宋体"/>
          <w:color w:val="auto"/>
          <w:highlight w:val="none"/>
        </w:rPr>
      </w:pPr>
    </w:p>
    <w:p w14:paraId="36EF595B">
      <w:pPr>
        <w:pStyle w:val="29"/>
        <w:rPr>
          <w:rFonts w:ascii="宋体" w:hAnsi="宋体" w:cs="宋体"/>
          <w:color w:val="auto"/>
          <w:highlight w:val="none"/>
        </w:rPr>
      </w:pPr>
    </w:p>
    <w:p w14:paraId="1743C9E2">
      <w:pPr>
        <w:pStyle w:val="29"/>
        <w:rPr>
          <w:rFonts w:ascii="宋体" w:hAnsi="宋体" w:cs="宋体"/>
          <w:color w:val="auto"/>
          <w:highlight w:val="none"/>
        </w:rPr>
      </w:pPr>
    </w:p>
    <w:p w14:paraId="1EA4A411">
      <w:pPr>
        <w:pStyle w:val="29"/>
        <w:rPr>
          <w:rFonts w:ascii="宋体" w:hAnsi="宋体" w:cs="宋体"/>
          <w:color w:val="auto"/>
          <w:highlight w:val="none"/>
        </w:rPr>
      </w:pPr>
    </w:p>
    <w:p w14:paraId="2D36E629">
      <w:pPr>
        <w:pStyle w:val="29"/>
        <w:rPr>
          <w:rFonts w:ascii="宋体" w:hAnsi="宋体" w:cs="宋体"/>
          <w:color w:val="auto"/>
          <w:highlight w:val="none"/>
        </w:rPr>
      </w:pPr>
    </w:p>
    <w:p w14:paraId="2E287F66">
      <w:pPr>
        <w:pStyle w:val="29"/>
        <w:rPr>
          <w:rFonts w:ascii="宋体" w:hAnsi="宋体" w:cs="宋体"/>
          <w:color w:val="auto"/>
          <w:highlight w:val="none"/>
        </w:rPr>
      </w:pPr>
    </w:p>
    <w:p w14:paraId="62AC30FD">
      <w:pPr>
        <w:pStyle w:val="29"/>
        <w:rPr>
          <w:rFonts w:ascii="宋体" w:hAnsi="宋体" w:cs="宋体"/>
          <w:color w:val="auto"/>
          <w:highlight w:val="none"/>
        </w:rPr>
      </w:pPr>
    </w:p>
    <w:p w14:paraId="02E037F3">
      <w:pPr>
        <w:pStyle w:val="29"/>
        <w:rPr>
          <w:rFonts w:ascii="宋体" w:hAnsi="宋体" w:cs="宋体"/>
          <w:color w:val="auto"/>
          <w:highlight w:val="none"/>
        </w:rPr>
      </w:pPr>
    </w:p>
    <w:p w14:paraId="6ECF172D">
      <w:pPr>
        <w:rPr>
          <w:rFonts w:ascii="宋体" w:hAnsi="宋体" w:cs="宋体"/>
          <w:color w:val="auto"/>
          <w:highlight w:val="none"/>
        </w:rPr>
      </w:pPr>
    </w:p>
    <w:p w14:paraId="19B91882">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121" w:name="_Toc26877"/>
      <w:r>
        <w:rPr>
          <w:rFonts w:hint="eastAsia" w:ascii="宋体" w:hAnsi="宋体" w:cs="宋体"/>
          <w:color w:val="auto"/>
          <w:sz w:val="32"/>
          <w:szCs w:val="32"/>
          <w:highlight w:val="none"/>
        </w:rPr>
        <w:t>第五章 采购合同（合同主要条款及格式）</w:t>
      </w:r>
      <w:bookmarkEnd w:id="119"/>
      <w:bookmarkEnd w:id="120"/>
      <w:bookmarkEnd w:id="121"/>
    </w:p>
    <w:p w14:paraId="6CEDE0B5">
      <w:pPr>
        <w:spacing w:line="420" w:lineRule="exact"/>
        <w:rPr>
          <w:rFonts w:ascii="宋体" w:hAnsi="宋体" w:cs="宋体"/>
          <w:color w:val="auto"/>
          <w:szCs w:val="21"/>
          <w:highlight w:val="none"/>
        </w:rPr>
      </w:pPr>
      <w:r>
        <w:rPr>
          <w:rFonts w:hint="eastAsia" w:ascii="宋体" w:hAnsi="宋体" w:cs="宋体"/>
          <w:color w:val="auto"/>
          <w:szCs w:val="21"/>
          <w:highlight w:val="none"/>
        </w:rPr>
        <w:t>合同编号：GLZC2025-C3-120078-GXAZ</w:t>
      </w:r>
    </w:p>
    <w:p w14:paraId="7CD26368">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项目名称：桂林市公安局临桂分局移动警务双系统警务通服务项目  </w:t>
      </w:r>
    </w:p>
    <w:p w14:paraId="2E3C7D1A">
      <w:pPr>
        <w:spacing w:line="360" w:lineRule="auto"/>
        <w:rPr>
          <w:rFonts w:ascii="宋体" w:hAnsi="宋体" w:cs="宋体"/>
          <w:color w:val="auto"/>
          <w:highlight w:val="none"/>
        </w:rPr>
      </w:pPr>
    </w:p>
    <w:p w14:paraId="61980CB6">
      <w:pPr>
        <w:spacing w:line="360" w:lineRule="auto"/>
        <w:rPr>
          <w:rFonts w:ascii="宋体" w:hAnsi="宋体" w:cs="宋体"/>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 xml:space="preserve">    业主单位名称         </w:t>
      </w:r>
      <w:r>
        <w:rPr>
          <w:rFonts w:hint="eastAsia" w:ascii="宋体" w:hAnsi="宋体" w:cs="宋体"/>
          <w:color w:val="auto"/>
          <w:highlight w:val="none"/>
        </w:rPr>
        <w:t>（采购人）</w:t>
      </w:r>
    </w:p>
    <w:p w14:paraId="212C79C9">
      <w:pPr>
        <w:spacing w:line="360" w:lineRule="auto"/>
        <w:rPr>
          <w:rFonts w:ascii="宋体" w:hAnsi="宋体" w:cs="宋体"/>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color w:val="auto"/>
          <w:highlight w:val="none"/>
        </w:rPr>
        <w:t>（成交供应商）</w:t>
      </w:r>
    </w:p>
    <w:p w14:paraId="4248DB6D">
      <w:pPr>
        <w:widowControl/>
        <w:ind w:firstLine="420" w:firstLineChars="200"/>
        <w:jc w:val="left"/>
        <w:rPr>
          <w:rFonts w:ascii="宋体" w:hAnsi="宋体" w:cs="宋体"/>
          <w:color w:val="auto"/>
          <w:highlight w:val="none"/>
        </w:rPr>
      </w:pPr>
      <w:r>
        <w:rPr>
          <w:rFonts w:hint="eastAsia" w:ascii="宋体" w:hAnsi="宋体" w:cs="宋体"/>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0016C269">
      <w:pPr>
        <w:pStyle w:val="3"/>
        <w:ind w:left="567" w:leftChars="200" w:hanging="147" w:hangingChars="70"/>
        <w:rPr>
          <w:rFonts w:ascii="宋体" w:hAnsi="宋体" w:cs="宋体"/>
          <w:bCs w:val="0"/>
          <w:color w:val="auto"/>
          <w:sz w:val="21"/>
          <w:szCs w:val="21"/>
          <w:highlight w:val="none"/>
        </w:rPr>
      </w:pPr>
      <w:bookmarkStart w:id="122" w:name="_Toc30275"/>
      <w:bookmarkStart w:id="123" w:name="_Toc8537"/>
      <w:bookmarkStart w:id="124" w:name="_Toc20217"/>
      <w:r>
        <w:rPr>
          <w:rFonts w:hint="eastAsia" w:ascii="宋体" w:hAnsi="宋体" w:cs="宋体"/>
          <w:bCs w:val="0"/>
          <w:color w:val="auto"/>
          <w:sz w:val="21"/>
          <w:szCs w:val="21"/>
          <w:highlight w:val="none"/>
        </w:rPr>
        <w:t>第一条 合同文件</w:t>
      </w:r>
      <w:bookmarkEnd w:id="122"/>
      <w:bookmarkEnd w:id="123"/>
      <w:bookmarkEnd w:id="124"/>
    </w:p>
    <w:p w14:paraId="042CF9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1、本合同所附下列文件是构成本合同不可分割的部分：</w:t>
      </w:r>
    </w:p>
    <w:p w14:paraId="4C6CAF04">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（1）成交供应商提交的</w:t>
      </w:r>
      <w:r>
        <w:rPr>
          <w:rFonts w:hint="eastAsia" w:ascii="宋体" w:hAnsi="宋体" w:cs="宋体"/>
          <w:color w:val="auto"/>
          <w:szCs w:val="21"/>
          <w:highlight w:val="none"/>
        </w:rPr>
        <w:t>磋商</w:t>
      </w:r>
      <w:r>
        <w:rPr>
          <w:rFonts w:hint="eastAsia" w:ascii="宋体" w:hAnsi="宋体" w:cs="宋体"/>
          <w:color w:val="auto"/>
          <w:highlight w:val="none"/>
        </w:rPr>
        <w:t>报价表、</w:t>
      </w:r>
      <w:r>
        <w:rPr>
          <w:rFonts w:hint="eastAsia" w:ascii="宋体" w:hAnsi="宋体" w:cs="宋体"/>
          <w:color w:val="auto"/>
          <w:szCs w:val="21"/>
          <w:highlight w:val="none"/>
        </w:rPr>
        <w:t>针对本项目的服务方案</w:t>
      </w:r>
      <w:r>
        <w:rPr>
          <w:rFonts w:hint="eastAsia" w:ascii="宋体" w:hAnsi="宋体" w:cs="宋体"/>
          <w:color w:val="auto"/>
          <w:highlight w:val="none"/>
        </w:rPr>
        <w:t>；</w:t>
      </w:r>
    </w:p>
    <w:p w14:paraId="00831C32">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（2）成交通知书；</w:t>
      </w:r>
    </w:p>
    <w:p w14:paraId="40DD4F1B">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（3）本合同协议书及有关补充资料；</w:t>
      </w:r>
    </w:p>
    <w:p w14:paraId="05308758">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（4）磋商文件的条款要求。</w:t>
      </w:r>
    </w:p>
    <w:p w14:paraId="31C4F351">
      <w:pP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2、合同价金额包括：服务过程中相关的一切费用。</w:t>
      </w:r>
    </w:p>
    <w:p w14:paraId="6BB734AD">
      <w:pPr>
        <w:pStyle w:val="3"/>
        <w:ind w:left="567" w:leftChars="200" w:hanging="147" w:hangingChars="70"/>
        <w:rPr>
          <w:rFonts w:ascii="宋体" w:hAnsi="宋体" w:cs="宋体"/>
          <w:bCs w:val="0"/>
          <w:color w:val="auto"/>
          <w:sz w:val="21"/>
          <w:szCs w:val="21"/>
          <w:highlight w:val="none"/>
        </w:rPr>
      </w:pPr>
      <w:bookmarkStart w:id="125" w:name="_Toc28710"/>
      <w:bookmarkStart w:id="126" w:name="_Toc6972"/>
      <w:bookmarkStart w:id="127" w:name="_Toc21355"/>
      <w:r>
        <w:rPr>
          <w:rFonts w:hint="eastAsia" w:ascii="宋体" w:hAnsi="宋体" w:cs="宋体"/>
          <w:bCs w:val="0"/>
          <w:color w:val="auto"/>
          <w:sz w:val="21"/>
          <w:szCs w:val="21"/>
          <w:highlight w:val="none"/>
        </w:rPr>
        <w:t>第二条　合同金额</w:t>
      </w:r>
      <w:bookmarkEnd w:id="125"/>
      <w:bookmarkEnd w:id="126"/>
      <w:bookmarkEnd w:id="127"/>
    </w:p>
    <w:p w14:paraId="6E6CD146">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根据《成交通知书》的成交内容，合同的总金额为：（大写）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5FA55128">
      <w:pPr>
        <w:pStyle w:val="3"/>
        <w:ind w:left="567" w:leftChars="200" w:hanging="147" w:hangingChars="70"/>
        <w:rPr>
          <w:rFonts w:ascii="宋体" w:hAnsi="宋体" w:cs="宋体"/>
          <w:bCs w:val="0"/>
          <w:color w:val="auto"/>
          <w:sz w:val="21"/>
          <w:szCs w:val="21"/>
          <w:highlight w:val="none"/>
        </w:rPr>
      </w:pPr>
      <w:bookmarkStart w:id="128" w:name="_Toc9581"/>
      <w:bookmarkStart w:id="129" w:name="_Toc24693"/>
      <w:bookmarkStart w:id="130" w:name="_Toc16138"/>
      <w:r>
        <w:rPr>
          <w:rFonts w:hint="eastAsia" w:ascii="宋体" w:hAnsi="宋体" w:cs="宋体"/>
          <w:bCs w:val="0"/>
          <w:color w:val="auto"/>
          <w:sz w:val="21"/>
          <w:szCs w:val="21"/>
          <w:highlight w:val="none"/>
        </w:rPr>
        <w:t>第三条  服务保证</w:t>
      </w:r>
      <w:bookmarkEnd w:id="128"/>
      <w:bookmarkEnd w:id="129"/>
      <w:bookmarkEnd w:id="130"/>
    </w:p>
    <w:p w14:paraId="6427469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成交供应商应按磋商文件、响应文件和承诺规定的服务内容向采购人提供相应服务。</w:t>
      </w:r>
    </w:p>
    <w:p w14:paraId="51CB1D1D">
      <w:pPr>
        <w:pStyle w:val="3"/>
        <w:ind w:left="567" w:leftChars="200" w:hanging="147" w:hangingChars="70"/>
        <w:rPr>
          <w:rFonts w:ascii="宋体" w:hAnsi="宋体" w:cs="宋体"/>
          <w:bCs w:val="0"/>
          <w:color w:val="auto"/>
          <w:sz w:val="21"/>
          <w:szCs w:val="21"/>
          <w:highlight w:val="none"/>
        </w:rPr>
      </w:pPr>
      <w:bookmarkStart w:id="131" w:name="_Toc29064"/>
      <w:bookmarkStart w:id="132" w:name="_Toc25056"/>
      <w:bookmarkStart w:id="133" w:name="_Toc8669"/>
      <w:r>
        <w:rPr>
          <w:rFonts w:hint="eastAsia" w:ascii="宋体" w:hAnsi="宋体" w:cs="宋体"/>
          <w:bCs w:val="0"/>
          <w:color w:val="auto"/>
          <w:sz w:val="21"/>
          <w:szCs w:val="21"/>
          <w:highlight w:val="none"/>
        </w:rPr>
        <w:t>第四条  服务期限</w:t>
      </w:r>
      <w:bookmarkEnd w:id="131"/>
      <w:bookmarkEnd w:id="132"/>
      <w:bookmarkEnd w:id="133"/>
    </w:p>
    <w:p w14:paraId="7828C5B6">
      <w:pPr>
        <w:spacing w:line="360" w:lineRule="auto"/>
        <w:ind w:firstLine="411" w:firstLineChars="196"/>
        <w:rPr>
          <w:rFonts w:ascii="宋体" w:hAnsi="宋体" w:cs="宋体"/>
          <w:color w:val="auto"/>
          <w:szCs w:val="21"/>
          <w:highlight w:val="none"/>
          <w:u w:val="single"/>
        </w:rPr>
      </w:pPr>
      <w:bookmarkStart w:id="134" w:name="_Toc15179"/>
      <w:bookmarkStart w:id="135" w:name="_Toc25521"/>
      <w:r>
        <w:rPr>
          <w:rFonts w:hint="eastAsia" w:ascii="宋体" w:hAnsi="宋体" w:cs="宋体"/>
          <w:color w:val="auto"/>
          <w:szCs w:val="21"/>
          <w:highlight w:val="none"/>
        </w:rPr>
        <w:t xml:space="preserve">服务期限: </w:t>
      </w:r>
      <w:r>
        <w:rPr>
          <w:rFonts w:hint="eastAsia"/>
          <w:color w:val="auto"/>
          <w:szCs w:val="21"/>
          <w:highlight w:val="none"/>
        </w:rPr>
        <w:t>：自交付运行之日起三年。</w:t>
      </w:r>
    </w:p>
    <w:p w14:paraId="4F35D1B3">
      <w:pPr>
        <w:pStyle w:val="3"/>
        <w:ind w:left="567" w:leftChars="200" w:hanging="147" w:hangingChars="70"/>
        <w:rPr>
          <w:rFonts w:ascii="宋体" w:hAnsi="宋体" w:cs="宋体"/>
          <w:bCs w:val="0"/>
          <w:color w:val="auto"/>
          <w:sz w:val="21"/>
          <w:szCs w:val="21"/>
          <w:highlight w:val="none"/>
        </w:rPr>
      </w:pPr>
      <w:bookmarkStart w:id="136" w:name="_Toc28652"/>
      <w:r>
        <w:rPr>
          <w:rFonts w:hint="eastAsia" w:ascii="宋体" w:hAnsi="宋体" w:cs="宋体"/>
          <w:bCs w:val="0"/>
          <w:color w:val="auto"/>
          <w:sz w:val="21"/>
          <w:szCs w:val="21"/>
          <w:highlight w:val="none"/>
        </w:rPr>
        <w:t>第五条  交付</w:t>
      </w:r>
      <w:bookmarkEnd w:id="134"/>
      <w:bookmarkEnd w:id="135"/>
      <w:bookmarkEnd w:id="136"/>
    </w:p>
    <w:p w14:paraId="5EBAA029">
      <w:pPr>
        <w:spacing w:line="360" w:lineRule="auto"/>
        <w:ind w:firstLine="420" w:firstLineChars="200"/>
        <w:rPr>
          <w:rFonts w:ascii="宋体" w:hAnsi="宋体" w:cs="宋体"/>
          <w:color w:val="auto"/>
          <w:szCs w:val="21"/>
          <w:highlight w:val="none"/>
          <w:u w:val="single"/>
        </w:rPr>
      </w:pPr>
      <w:bookmarkStart w:id="137" w:name="_Toc22519"/>
      <w:bookmarkStart w:id="138" w:name="_Toc8253"/>
      <w:r>
        <w:rPr>
          <w:rFonts w:hint="eastAsia" w:ascii="宋体" w:hAnsi="宋体" w:cs="宋体"/>
          <w:color w:val="auto"/>
          <w:szCs w:val="21"/>
          <w:highlight w:val="none"/>
        </w:rPr>
        <w:t>1、服务时间 ：</w:t>
      </w:r>
      <w:r>
        <w:rPr>
          <w:rFonts w:hint="eastAsia" w:ascii="宋体" w:hAnsi="宋体" w:cs="宋体"/>
          <w:color w:val="auto"/>
          <w:szCs w:val="21"/>
          <w:highlight w:val="none"/>
          <w:u w:val="single"/>
        </w:rPr>
        <w:t>签订合同之日起30日内完成交付</w:t>
      </w:r>
      <w:r>
        <w:rPr>
          <w:rFonts w:hint="eastAsia" w:ascii="宋体" w:hAnsi="宋体" w:cs="宋体"/>
          <w:color w:val="auto"/>
          <w:szCs w:val="21"/>
          <w:highlight w:val="none"/>
        </w:rPr>
        <w:t>。</w:t>
      </w:r>
    </w:p>
    <w:p w14:paraId="389F2075">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桂林市采购人指定地点 </w:t>
      </w:r>
      <w:r>
        <w:rPr>
          <w:rFonts w:hint="eastAsia" w:ascii="宋体" w:hAnsi="宋体" w:cs="宋体"/>
          <w:color w:val="auto"/>
          <w:szCs w:val="21"/>
          <w:highlight w:val="none"/>
        </w:rPr>
        <w:t>。</w:t>
      </w:r>
    </w:p>
    <w:p w14:paraId="4BAD0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2、成交供应商提供不符合磋商文件、响应文件和本合同规定的服务，采购人有权拒绝接受。</w:t>
      </w:r>
    </w:p>
    <w:p w14:paraId="470BFDF8">
      <w:pPr>
        <w:pStyle w:val="3"/>
        <w:ind w:left="567" w:leftChars="200" w:hanging="147" w:hangingChars="70"/>
        <w:rPr>
          <w:rFonts w:ascii="宋体" w:hAnsi="宋体" w:cs="宋体"/>
          <w:bCs w:val="0"/>
          <w:color w:val="auto"/>
          <w:sz w:val="21"/>
          <w:szCs w:val="21"/>
          <w:highlight w:val="none"/>
        </w:rPr>
      </w:pPr>
      <w:bookmarkStart w:id="139" w:name="_Toc4439"/>
      <w:r>
        <w:rPr>
          <w:rFonts w:hint="eastAsia" w:ascii="宋体" w:hAnsi="宋体" w:cs="宋体"/>
          <w:bCs w:val="0"/>
          <w:color w:val="auto"/>
          <w:sz w:val="21"/>
          <w:szCs w:val="21"/>
          <w:highlight w:val="none"/>
        </w:rPr>
        <w:t>第六条  税费</w:t>
      </w:r>
      <w:bookmarkEnd w:id="137"/>
      <w:bookmarkEnd w:id="138"/>
      <w:bookmarkEnd w:id="139"/>
    </w:p>
    <w:p w14:paraId="321AE9F0">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本合同执行中相关的一切税费均由成交供应商负担。</w:t>
      </w:r>
    </w:p>
    <w:p w14:paraId="4D8D63AB">
      <w:pPr>
        <w:pStyle w:val="3"/>
        <w:ind w:left="567" w:leftChars="200" w:hanging="147" w:hangingChars="70"/>
        <w:rPr>
          <w:rFonts w:ascii="宋体" w:hAnsi="宋体" w:cs="宋体"/>
          <w:bCs w:val="0"/>
          <w:color w:val="auto"/>
          <w:sz w:val="21"/>
          <w:szCs w:val="21"/>
          <w:highlight w:val="none"/>
        </w:rPr>
      </w:pPr>
      <w:bookmarkStart w:id="140" w:name="_Toc31516"/>
      <w:bookmarkStart w:id="141" w:name="_Toc768"/>
      <w:bookmarkStart w:id="142" w:name="_Toc11829"/>
      <w:r>
        <w:rPr>
          <w:rFonts w:hint="eastAsia" w:ascii="宋体" w:hAnsi="宋体" w:cs="宋体"/>
          <w:bCs w:val="0"/>
          <w:color w:val="auto"/>
          <w:sz w:val="21"/>
          <w:szCs w:val="21"/>
          <w:highlight w:val="none"/>
        </w:rPr>
        <w:t>第七条  付款方式</w:t>
      </w:r>
      <w:bookmarkEnd w:id="140"/>
      <w:bookmarkEnd w:id="141"/>
      <w:bookmarkEnd w:id="142"/>
    </w:p>
    <w:p w14:paraId="303B6670">
      <w:pPr>
        <w:spacing w:line="360" w:lineRule="auto"/>
        <w:rPr>
          <w:rFonts w:ascii="宋体" w:hAnsi="宋体" w:cs="宋体"/>
          <w:color w:val="auto"/>
          <w:szCs w:val="21"/>
          <w:highlight w:val="none"/>
        </w:rPr>
      </w:pPr>
      <w:bookmarkStart w:id="143" w:name="_Toc7272"/>
      <w:bookmarkStart w:id="144" w:name="_Toc2652"/>
      <w:r>
        <w:rPr>
          <w:rFonts w:hint="eastAsia" w:ascii="宋体" w:hAnsi="宋体"/>
          <w:color w:val="auto"/>
          <w:szCs w:val="21"/>
          <w:highlight w:val="none"/>
          <w:lang w:val="zh-CN"/>
        </w:rPr>
        <w:t>1、</w:t>
      </w:r>
      <w:r>
        <w:rPr>
          <w:rFonts w:hint="eastAsia" w:ascii="宋体" w:hAnsi="宋体" w:cs="宋体"/>
          <w:color w:val="auto"/>
          <w:szCs w:val="21"/>
          <w:highlight w:val="none"/>
        </w:rPr>
        <w:t>本项目分三次结算，具体为：</w:t>
      </w:r>
    </w:p>
    <w:p w14:paraId="173A6CDF">
      <w:pPr>
        <w:spacing w:line="360" w:lineRule="auto"/>
        <w:rPr>
          <w:rFonts w:ascii="宋体" w:hAnsi="宋体" w:cs="宋体"/>
          <w:color w:val="auto"/>
          <w:szCs w:val="21"/>
          <w:highlight w:val="none"/>
        </w:rPr>
      </w:pPr>
      <w:r>
        <w:rPr>
          <w:rFonts w:hint="eastAsia" w:ascii="宋体" w:hAnsi="宋体" w:cs="宋体"/>
          <w:color w:val="auto"/>
          <w:szCs w:val="21"/>
          <w:highlight w:val="none"/>
        </w:rPr>
        <w:t>1、在签订合同后1个月内向中标人支付合同总金额的34%；</w:t>
      </w:r>
    </w:p>
    <w:p w14:paraId="5407ABF3">
      <w:pPr>
        <w:spacing w:line="360" w:lineRule="auto"/>
        <w:rPr>
          <w:rFonts w:ascii="宋体" w:hAnsi="宋体" w:cs="宋体"/>
          <w:color w:val="auto"/>
          <w:szCs w:val="21"/>
          <w:highlight w:val="none"/>
        </w:rPr>
      </w:pPr>
      <w:r>
        <w:rPr>
          <w:rFonts w:hint="eastAsia" w:ascii="宋体" w:hAnsi="宋体" w:cs="宋体"/>
          <w:color w:val="auto"/>
          <w:szCs w:val="21"/>
          <w:highlight w:val="none"/>
        </w:rPr>
        <w:t>2、合同签订的第13个月向中标人支付合同总金额的33%。</w:t>
      </w:r>
    </w:p>
    <w:p w14:paraId="0B77671A">
      <w:pPr>
        <w:widowControl/>
        <w:spacing w:line="400" w:lineRule="exact"/>
        <w:jc w:val="left"/>
        <w:rPr>
          <w:rFonts w:ascii="宋体" w:hAnsi="宋体"/>
          <w:color w:val="auto"/>
          <w:szCs w:val="21"/>
          <w:highlight w:val="none"/>
          <w:lang w:val="zh-CN"/>
        </w:rPr>
      </w:pPr>
      <w:r>
        <w:rPr>
          <w:rFonts w:hint="eastAsia" w:ascii="宋体" w:hAnsi="宋体" w:cs="宋体"/>
          <w:color w:val="auto"/>
          <w:szCs w:val="21"/>
          <w:highlight w:val="none"/>
        </w:rPr>
        <w:t>3、合同签订的第25个月向中标人支付合同总金额的33%</w:t>
      </w:r>
      <w:r>
        <w:rPr>
          <w:rFonts w:hint="eastAsia" w:ascii="宋体" w:hAnsi="宋体"/>
          <w:color w:val="auto"/>
          <w:szCs w:val="21"/>
          <w:highlight w:val="none"/>
          <w:lang w:val="zh-CN"/>
        </w:rPr>
        <w:t>。</w:t>
      </w:r>
    </w:p>
    <w:p w14:paraId="52DF0C28">
      <w:pPr>
        <w:widowControl/>
        <w:spacing w:line="400" w:lineRule="exact"/>
        <w:ind w:firstLine="422" w:firstLineChars="201"/>
        <w:jc w:val="left"/>
        <w:rPr>
          <w:rFonts w:ascii="宋体" w:hAnsi="宋体" w:cs="宋体"/>
          <w:color w:val="auto"/>
          <w:kern w:val="0"/>
          <w:szCs w:val="21"/>
          <w:highlight w:val="none"/>
        </w:rPr>
      </w:pPr>
      <w:r>
        <w:rPr>
          <w:rFonts w:hint="eastAsia" w:ascii="宋体" w:hAnsi="宋体" w:cs="宋体"/>
          <w:b/>
          <w:color w:val="auto"/>
          <w:szCs w:val="21"/>
          <w:highlight w:val="none"/>
        </w:rPr>
        <w:t xml:space="preserve">第八条 </w:t>
      </w:r>
      <w:r>
        <w:rPr>
          <w:rFonts w:hint="eastAsia" w:ascii="宋体" w:hAnsi="宋体" w:cs="宋体"/>
          <w:color w:val="auto"/>
          <w:kern w:val="0"/>
          <w:szCs w:val="21"/>
          <w:highlight w:val="none"/>
        </w:rPr>
        <w:t xml:space="preserve"> </w:t>
      </w:r>
      <w:r>
        <w:rPr>
          <w:rFonts w:hint="eastAsia" w:ascii="宋体" w:hAnsi="宋体" w:cs="宋体"/>
          <w:b/>
          <w:color w:val="auto"/>
          <w:szCs w:val="21"/>
          <w:highlight w:val="none"/>
        </w:rPr>
        <w:t>履约保证金</w:t>
      </w:r>
    </w:p>
    <w:p w14:paraId="51E2400F">
      <w:pPr>
        <w:pStyle w:val="3"/>
        <w:ind w:left="567" w:leftChars="200" w:hanging="147" w:hangingChars="70"/>
        <w:rPr>
          <w:rFonts w:ascii="宋体" w:hAnsi="宋体"/>
          <w:bCs w:val="0"/>
          <w:color w:val="auto"/>
          <w:sz w:val="21"/>
          <w:szCs w:val="21"/>
          <w:highlight w:val="none"/>
          <w:lang w:val="en-US"/>
        </w:rPr>
      </w:pPr>
      <w:bookmarkStart w:id="145" w:name="_Toc26933"/>
      <w:r>
        <w:rPr>
          <w:rFonts w:hint="eastAsia" w:ascii="宋体" w:hAnsi="宋体"/>
          <w:bCs w:val="0"/>
          <w:color w:val="auto"/>
          <w:sz w:val="21"/>
          <w:szCs w:val="21"/>
          <w:highlight w:val="none"/>
          <w:lang w:val="en-US"/>
        </w:rPr>
        <w:t>本项目无需缴纳履约保证金。</w:t>
      </w:r>
      <w:bookmarkEnd w:id="145"/>
    </w:p>
    <w:p w14:paraId="6FC05E02">
      <w:pPr>
        <w:pStyle w:val="3"/>
        <w:ind w:left="567" w:leftChars="200" w:hanging="147" w:hangingChars="70"/>
        <w:rPr>
          <w:rFonts w:ascii="宋体" w:hAnsi="宋体" w:cs="宋体"/>
          <w:bCs w:val="0"/>
          <w:color w:val="auto"/>
          <w:sz w:val="21"/>
          <w:szCs w:val="21"/>
          <w:highlight w:val="none"/>
        </w:rPr>
      </w:pPr>
      <w:bookmarkStart w:id="146" w:name="_Toc3636"/>
      <w:r>
        <w:rPr>
          <w:rFonts w:hint="eastAsia" w:ascii="宋体" w:hAnsi="宋体" w:cs="宋体"/>
          <w:bCs w:val="0"/>
          <w:color w:val="auto"/>
          <w:sz w:val="21"/>
          <w:szCs w:val="21"/>
          <w:highlight w:val="none"/>
        </w:rPr>
        <w:t>第九条  违约责任</w:t>
      </w:r>
      <w:bookmarkEnd w:id="143"/>
      <w:bookmarkEnd w:id="144"/>
      <w:bookmarkEnd w:id="146"/>
    </w:p>
    <w:p w14:paraId="41E35568">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1、乙方所提供的服务质量不合格的，应及时调整，调整不及时的按逾期处罚，乙方应向甲方支付合同金额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违约金并赔偿甲方经济损失。</w:t>
      </w:r>
    </w:p>
    <w:p w14:paraId="49505929">
      <w:pPr>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2、乙方提供的服务如果侵犯了第三方合法权益而引发的任何纠纷或诉讼，均由乙方负责交涉并承担全部责任。</w:t>
      </w:r>
    </w:p>
    <w:p w14:paraId="2A7966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3、乙方无故延期服务交付的，每天向甲方偿付违约合同金额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违约金，但违约金累计不得超过合同金额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天甲方有权解除合同，违约方承担因此给对方造成经济损失；甲方不能按期付款的，每天向乙方偿付延合同金额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滞纳金，但滞纳金累计不得超过合同金额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656441">
      <w:pPr>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4、乙方未按本合同和投标文件中规定的服务承诺提供服务的，乙方应按本合同合同金额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向甲方支付违约金。</w:t>
      </w:r>
    </w:p>
    <w:p w14:paraId="62C3B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5、其他违约行为按照合同金额额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收取违约金并赔偿经济损失。</w:t>
      </w:r>
    </w:p>
    <w:p w14:paraId="0A560193">
      <w:pPr>
        <w:pStyle w:val="3"/>
        <w:ind w:left="567" w:leftChars="200" w:hanging="147" w:hangingChars="70"/>
        <w:rPr>
          <w:rFonts w:ascii="宋体" w:hAnsi="宋体" w:cs="宋体"/>
          <w:bCs w:val="0"/>
          <w:color w:val="auto"/>
          <w:sz w:val="21"/>
          <w:szCs w:val="21"/>
          <w:highlight w:val="none"/>
        </w:rPr>
      </w:pPr>
      <w:bookmarkStart w:id="147" w:name="_Toc8363"/>
      <w:bookmarkStart w:id="148" w:name="_Toc1538"/>
      <w:bookmarkStart w:id="149" w:name="_Toc15565"/>
      <w:r>
        <w:rPr>
          <w:rFonts w:hint="eastAsia" w:ascii="宋体" w:hAnsi="宋体" w:cs="宋体"/>
          <w:bCs w:val="0"/>
          <w:color w:val="auto"/>
          <w:sz w:val="21"/>
          <w:szCs w:val="21"/>
          <w:highlight w:val="none"/>
        </w:rPr>
        <w:t>第十条  不可抗力事件处理</w:t>
      </w:r>
      <w:bookmarkEnd w:id="147"/>
      <w:bookmarkEnd w:id="148"/>
      <w:bookmarkEnd w:id="149"/>
    </w:p>
    <w:p w14:paraId="208727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1、在合同有效期内，成交供应商因不可抗力事件导致不能履行合同，则合同履行期可延长，其延长期与不可抗力影响期相同。</w:t>
      </w:r>
    </w:p>
    <w:p w14:paraId="7C04A961">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不可抗力事件发生后，应立即通知对方，并寄送有关权威机构出具的证明。</w:t>
      </w:r>
    </w:p>
    <w:p w14:paraId="59E2DCAE">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不可抗力事件延续一百二十天以上，双方应通过友好协商，确定是否继续履行合同。</w:t>
      </w:r>
    </w:p>
    <w:p w14:paraId="6F38F585">
      <w:pPr>
        <w:pStyle w:val="3"/>
        <w:ind w:left="567" w:leftChars="200" w:hanging="147" w:hangingChars="70"/>
        <w:rPr>
          <w:rFonts w:ascii="宋体" w:hAnsi="宋体" w:cs="宋体"/>
          <w:bCs w:val="0"/>
          <w:color w:val="auto"/>
          <w:sz w:val="21"/>
          <w:szCs w:val="21"/>
          <w:highlight w:val="none"/>
        </w:rPr>
      </w:pPr>
      <w:bookmarkStart w:id="150" w:name="_Toc10995"/>
      <w:bookmarkStart w:id="151" w:name="_Toc8638"/>
      <w:bookmarkStart w:id="152" w:name="_Toc7311"/>
      <w:r>
        <w:rPr>
          <w:rFonts w:hint="eastAsia" w:ascii="宋体" w:hAnsi="宋体" w:cs="宋体"/>
          <w:bCs w:val="0"/>
          <w:color w:val="auto"/>
          <w:sz w:val="21"/>
          <w:szCs w:val="21"/>
          <w:highlight w:val="none"/>
        </w:rPr>
        <w:t>第十一条  合同争议解决</w:t>
      </w:r>
      <w:bookmarkEnd w:id="150"/>
      <w:bookmarkEnd w:id="151"/>
      <w:bookmarkEnd w:id="152"/>
    </w:p>
    <w:p w14:paraId="772FE8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1、因服务问题发生争议的，应邀请国家认可的相关机构进行鉴定。服务符合要求的，鉴定费由采购人承担；服务不符合要求的，鉴定费由成交供应商承担。</w:t>
      </w:r>
    </w:p>
    <w:p w14:paraId="03EDBF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w:t>
      </w:r>
      <w:r>
        <w:rPr>
          <w:rFonts w:hint="eastAsia" w:ascii="宋体" w:hAnsi="宋体" w:cs="宋体"/>
          <w:color w:val="auto"/>
          <w:highlight w:val="none"/>
        </w:rPr>
        <w:t>项目所在地</w:t>
      </w:r>
      <w:r>
        <w:rPr>
          <w:rFonts w:hint="eastAsia" w:ascii="宋体" w:hAnsi="宋体" w:cs="宋体"/>
          <w:color w:val="auto"/>
          <w:szCs w:val="21"/>
          <w:highlight w:val="none"/>
        </w:rPr>
        <w:t>人民法院提起诉讼。</w:t>
      </w:r>
    </w:p>
    <w:p w14:paraId="52DF6DB9">
      <w:pPr>
        <w:spacing w:line="360" w:lineRule="auto"/>
        <w:ind w:left="435"/>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6081212E">
      <w:pPr>
        <w:pStyle w:val="3"/>
        <w:ind w:left="567" w:leftChars="200" w:hanging="147" w:hangingChars="70"/>
        <w:rPr>
          <w:rFonts w:ascii="宋体" w:hAnsi="宋体" w:cs="宋体"/>
          <w:bCs w:val="0"/>
          <w:color w:val="auto"/>
          <w:sz w:val="21"/>
          <w:szCs w:val="21"/>
          <w:highlight w:val="none"/>
        </w:rPr>
      </w:pPr>
      <w:bookmarkStart w:id="153" w:name="_Toc27483"/>
      <w:bookmarkStart w:id="154" w:name="_Toc15005"/>
      <w:bookmarkStart w:id="155" w:name="_Toc17823"/>
      <w:r>
        <w:rPr>
          <w:rFonts w:hint="eastAsia" w:ascii="宋体" w:hAnsi="宋体" w:cs="宋体"/>
          <w:bCs w:val="0"/>
          <w:color w:val="auto"/>
          <w:sz w:val="21"/>
          <w:szCs w:val="21"/>
          <w:highlight w:val="none"/>
        </w:rPr>
        <w:t>第十二条  合同生效及其它</w:t>
      </w:r>
      <w:bookmarkEnd w:id="153"/>
      <w:bookmarkEnd w:id="154"/>
      <w:bookmarkEnd w:id="155"/>
    </w:p>
    <w:p w14:paraId="54E2C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1、合同经甲乙双方法定代表人或授权代表签字并加盖单位公章后生效。</w:t>
      </w:r>
    </w:p>
    <w:p w14:paraId="1BD704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2、合同执行中涉及采购资金和采购内容修改或补充的，需本级财政部门审批，并签订书面补充协议报</w:t>
      </w:r>
      <w:r>
        <w:rPr>
          <w:rFonts w:hint="eastAsia" w:ascii="宋体" w:hAnsi="宋体" w:cs="宋体"/>
          <w:color w:val="auto"/>
          <w:highlight w:val="none"/>
        </w:rPr>
        <w:t>本级财政部门</w:t>
      </w:r>
      <w:r>
        <w:rPr>
          <w:rFonts w:hint="eastAsia" w:ascii="宋体" w:hAnsi="宋体" w:cs="宋体"/>
          <w:color w:val="auto"/>
          <w:szCs w:val="21"/>
          <w:highlight w:val="none"/>
        </w:rPr>
        <w:t>备案，方可作为主合同不可分割的一部分。</w:t>
      </w:r>
    </w:p>
    <w:p w14:paraId="22C70A6F">
      <w:pPr>
        <w:spacing w:line="360" w:lineRule="auto"/>
        <w:ind w:left="435"/>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48E81BFD">
      <w:pPr>
        <w:pStyle w:val="3"/>
        <w:ind w:left="567" w:leftChars="200" w:hanging="147" w:hangingChars="70"/>
        <w:rPr>
          <w:rFonts w:ascii="宋体" w:hAnsi="宋体" w:cs="宋体"/>
          <w:bCs w:val="0"/>
          <w:color w:val="auto"/>
          <w:sz w:val="21"/>
          <w:szCs w:val="21"/>
          <w:highlight w:val="none"/>
        </w:rPr>
      </w:pPr>
      <w:bookmarkStart w:id="156" w:name="_Toc31438"/>
      <w:bookmarkStart w:id="157" w:name="_Toc25980"/>
      <w:bookmarkStart w:id="158" w:name="_Toc12956"/>
      <w:r>
        <w:rPr>
          <w:rFonts w:hint="eastAsia" w:ascii="宋体" w:hAnsi="宋体" w:cs="宋体"/>
          <w:bCs w:val="0"/>
          <w:color w:val="auto"/>
          <w:sz w:val="21"/>
          <w:szCs w:val="21"/>
          <w:highlight w:val="none"/>
        </w:rPr>
        <w:t>第十三条  合同的变更、终止与转让</w:t>
      </w:r>
      <w:bookmarkEnd w:id="156"/>
      <w:bookmarkEnd w:id="157"/>
      <w:bookmarkEnd w:id="158"/>
    </w:p>
    <w:p w14:paraId="0B86A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47B53F05">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成交供应商不得擅自转让其应履行的合同义务。</w:t>
      </w:r>
    </w:p>
    <w:p w14:paraId="0F3F8C8B">
      <w:pPr>
        <w:pStyle w:val="3"/>
        <w:ind w:left="567" w:leftChars="200" w:hanging="147" w:hangingChars="70"/>
        <w:rPr>
          <w:rFonts w:ascii="宋体" w:hAnsi="宋体" w:cs="宋体"/>
          <w:bCs w:val="0"/>
          <w:color w:val="auto"/>
          <w:sz w:val="21"/>
          <w:szCs w:val="21"/>
          <w:highlight w:val="none"/>
        </w:rPr>
      </w:pPr>
      <w:bookmarkStart w:id="159" w:name="_Toc32608"/>
      <w:bookmarkStart w:id="160" w:name="_Toc24252"/>
      <w:bookmarkStart w:id="161" w:name="_Toc14327"/>
      <w:r>
        <w:rPr>
          <w:rFonts w:hint="eastAsia" w:ascii="宋体" w:hAnsi="宋体" w:cs="宋体"/>
          <w:bCs w:val="0"/>
          <w:color w:val="auto"/>
          <w:sz w:val="21"/>
          <w:szCs w:val="21"/>
          <w:highlight w:val="none"/>
        </w:rPr>
        <w:t>第十四条  签订本合同依据</w:t>
      </w:r>
      <w:bookmarkEnd w:id="159"/>
      <w:bookmarkEnd w:id="160"/>
      <w:bookmarkEnd w:id="161"/>
    </w:p>
    <w:p w14:paraId="13FF6F4A">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1、竞争性磋商文件；</w:t>
      </w:r>
    </w:p>
    <w:p w14:paraId="495D259A">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2、成交供应商的响应（或应答）文件；</w:t>
      </w:r>
    </w:p>
    <w:p w14:paraId="157855DF">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3、服务方案；</w:t>
      </w:r>
    </w:p>
    <w:p w14:paraId="44830615">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4、磋商中的磋商记录；</w:t>
      </w:r>
    </w:p>
    <w:p w14:paraId="718D24B3">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5、成交通知书。</w:t>
      </w:r>
    </w:p>
    <w:p w14:paraId="4EC5D56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甲乙双方签字盖章后生效，一式四份，具有同等法律效力，甲乙双方各持一份。双方自签订之日起一个工作日内，乙方将合同原件一份交采购代理机构。采购人于合同签订之日起七个工作日内将一份合同原件送本级财政部门备案。</w:t>
      </w:r>
    </w:p>
    <w:p w14:paraId="169872F6">
      <w:pPr>
        <w:spacing w:line="360" w:lineRule="auto"/>
        <w:rPr>
          <w:rFonts w:ascii="宋体" w:hAnsi="宋体" w:cs="宋体"/>
          <w:color w:val="auto"/>
          <w:szCs w:val="21"/>
          <w:highlight w:val="none"/>
        </w:rPr>
      </w:pPr>
    </w:p>
    <w:p w14:paraId="717F1717">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成交供应商名称（公章）：</w:t>
      </w:r>
      <w:r>
        <w:rPr>
          <w:rFonts w:hint="eastAsia" w:ascii="宋体" w:hAnsi="宋体" w:cs="宋体"/>
          <w:color w:val="auto"/>
          <w:szCs w:val="21"/>
          <w:highlight w:val="none"/>
          <w:u w:val="single"/>
        </w:rPr>
        <w:t xml:space="preserve">                                                    </w:t>
      </w:r>
    </w:p>
    <w:p w14:paraId="33A5B163">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7692E952">
      <w:pPr>
        <w:tabs>
          <w:tab w:val="left" w:pos="468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7D0DDE21">
      <w:pPr>
        <w:tabs>
          <w:tab w:val="left" w:pos="504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 </w:t>
      </w:r>
      <w:r>
        <w:rPr>
          <w:rFonts w:hint="eastAsia" w:ascii="宋体" w:hAnsi="宋体" w:cs="宋体"/>
          <w:color w:val="auto"/>
          <w:szCs w:val="21"/>
          <w:highlight w:val="none"/>
          <w:u w:val="single"/>
        </w:rPr>
        <w:t xml:space="preserve">                                  </w:t>
      </w:r>
    </w:p>
    <w:p w14:paraId="180F9532">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8DB66B9">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008C98">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41E5E57">
      <w:pPr>
        <w:tabs>
          <w:tab w:val="left" w:pos="5040"/>
        </w:tabs>
        <w:spacing w:line="360" w:lineRule="auto"/>
        <w:rPr>
          <w:rFonts w:ascii="宋体" w:hAnsi="宋体" w:cs="宋体"/>
          <w:color w:val="auto"/>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C15EF25">
      <w:pPr>
        <w:rPr>
          <w:rFonts w:ascii="宋体" w:hAnsi="宋体" w:cs="宋体"/>
          <w:color w:val="auto"/>
          <w:highlight w:val="none"/>
        </w:rPr>
      </w:pPr>
    </w:p>
    <w:p w14:paraId="3084397B">
      <w:pPr>
        <w:pStyle w:val="8"/>
        <w:rPr>
          <w:rFonts w:ascii="宋体" w:hAnsi="宋体" w:cs="宋体"/>
          <w:color w:val="auto"/>
          <w:highlight w:val="none"/>
        </w:rPr>
      </w:pPr>
    </w:p>
    <w:p w14:paraId="5B9DF1C2">
      <w:pPr>
        <w:pStyle w:val="3"/>
        <w:ind w:left="0" w:firstLine="0"/>
        <w:rPr>
          <w:rFonts w:ascii="宋体" w:hAnsi="宋体" w:cs="宋体"/>
          <w:color w:val="auto"/>
          <w:sz w:val="32"/>
          <w:highlight w:val="none"/>
        </w:rPr>
      </w:pPr>
      <w:bookmarkStart w:id="162" w:name="_Toc10014"/>
      <w:bookmarkStart w:id="163" w:name="_Toc24269"/>
    </w:p>
    <w:p w14:paraId="555083A8">
      <w:pPr>
        <w:rPr>
          <w:rFonts w:ascii="宋体" w:hAnsi="宋体" w:cs="宋体"/>
          <w:b/>
          <w:bCs/>
          <w:color w:val="auto"/>
          <w:kern w:val="44"/>
          <w:sz w:val="32"/>
          <w:szCs w:val="32"/>
          <w:highlight w:val="none"/>
        </w:rPr>
      </w:pPr>
    </w:p>
    <w:p w14:paraId="0CD79841">
      <w:pPr>
        <w:pStyle w:val="8"/>
        <w:rPr>
          <w:rFonts w:ascii="宋体" w:hAnsi="宋体" w:cs="宋体"/>
          <w:b/>
          <w:bCs/>
          <w:color w:val="auto"/>
          <w:kern w:val="44"/>
          <w:sz w:val="32"/>
          <w:szCs w:val="32"/>
          <w:highlight w:val="none"/>
        </w:rPr>
      </w:pPr>
    </w:p>
    <w:p w14:paraId="45F8AF62">
      <w:pPr>
        <w:rPr>
          <w:color w:val="auto"/>
          <w:highlight w:val="none"/>
        </w:rPr>
      </w:pPr>
    </w:p>
    <w:p w14:paraId="706D1E29">
      <w:pPr>
        <w:widowControl/>
        <w:jc w:val="left"/>
        <w:rPr>
          <w:rFonts w:ascii="宋体" w:hAnsi="宋体" w:cs="宋体"/>
          <w:b/>
          <w:bCs/>
          <w:color w:val="auto"/>
          <w:kern w:val="44"/>
          <w:sz w:val="32"/>
          <w:szCs w:val="32"/>
          <w:highlight w:val="none"/>
          <w:lang w:val="pt-BR"/>
        </w:rPr>
      </w:pPr>
      <w:r>
        <w:rPr>
          <w:rFonts w:ascii="宋体" w:hAnsi="宋体" w:cs="宋体"/>
          <w:b/>
          <w:color w:val="auto"/>
          <w:kern w:val="44"/>
          <w:sz w:val="32"/>
          <w:highlight w:val="none"/>
        </w:rPr>
        <w:br w:type="page"/>
      </w:r>
    </w:p>
    <w:p w14:paraId="252B09C0">
      <w:pPr>
        <w:pStyle w:val="3"/>
        <w:ind w:left="0" w:firstLine="0"/>
        <w:jc w:val="center"/>
        <w:rPr>
          <w:rFonts w:ascii="宋体" w:hAnsi="宋体" w:cs="宋体"/>
          <w:color w:val="auto"/>
          <w:highlight w:val="none"/>
        </w:rPr>
      </w:pPr>
      <w:bookmarkStart w:id="164" w:name="_Toc12049"/>
      <w:r>
        <w:rPr>
          <w:rFonts w:hint="eastAsia" w:ascii="宋体" w:hAnsi="宋体" w:cs="宋体"/>
          <w:color w:val="auto"/>
          <w:sz w:val="32"/>
          <w:highlight w:val="none"/>
        </w:rPr>
        <w:t xml:space="preserve">第六章  </w:t>
      </w:r>
      <w:bookmarkEnd w:id="162"/>
      <w:bookmarkEnd w:id="163"/>
      <w:bookmarkStart w:id="165" w:name="_Toc13185"/>
      <w:r>
        <w:rPr>
          <w:rFonts w:hint="eastAsia" w:ascii="宋体" w:hAnsi="宋体" w:cs="宋体"/>
          <w:color w:val="auto"/>
          <w:sz w:val="32"/>
          <w:highlight w:val="none"/>
        </w:rPr>
        <w:t>响应文件（格式）</w:t>
      </w:r>
      <w:bookmarkEnd w:id="164"/>
      <w:bookmarkEnd w:id="165"/>
    </w:p>
    <w:p w14:paraId="7F21D227">
      <w:pPr>
        <w:rPr>
          <w:rFonts w:ascii="宋体" w:hAnsi="宋体" w:cs="宋体"/>
          <w:color w:val="auto"/>
          <w:highlight w:val="none"/>
        </w:rPr>
      </w:pPr>
    </w:p>
    <w:p w14:paraId="4F882657">
      <w:pPr>
        <w:pStyle w:val="12"/>
        <w:rPr>
          <w:rFonts w:hAnsi="宋体" w:cs="宋体"/>
          <w:b/>
          <w:color w:val="auto"/>
          <w:sz w:val="32"/>
          <w:highlight w:val="none"/>
        </w:rPr>
      </w:pPr>
      <w:bookmarkStart w:id="166" w:name="_Toc21496"/>
      <w:bookmarkStart w:id="167" w:name="_Toc497927069"/>
      <w:bookmarkStart w:id="168" w:name="_Toc18351"/>
      <w:r>
        <w:rPr>
          <w:rFonts w:hint="eastAsia" w:hAnsi="宋体" w:cs="宋体"/>
          <w:b/>
          <w:color w:val="auto"/>
          <w:sz w:val="32"/>
          <w:highlight w:val="none"/>
        </w:rPr>
        <w:t>一、响应文件袋（盒、箱）标记</w:t>
      </w:r>
      <w:bookmarkEnd w:id="166"/>
      <w:bookmarkEnd w:id="167"/>
      <w:bookmarkEnd w:id="168"/>
    </w:p>
    <w:p w14:paraId="3533C155">
      <w:pPr>
        <w:adjustRightInd w:val="0"/>
        <w:snapToGrid w:val="0"/>
        <w:rPr>
          <w:rFonts w:ascii="宋体" w:hAnsi="宋体" w:cs="宋体"/>
          <w:b/>
          <w:color w:val="auto"/>
          <w:sz w:val="44"/>
          <w:szCs w:val="44"/>
          <w:highlight w:val="none"/>
        </w:rPr>
      </w:pPr>
    </w:p>
    <w:p w14:paraId="1D8C98AC">
      <w:pPr>
        <w:pStyle w:val="29"/>
        <w:rPr>
          <w:rFonts w:ascii="宋体" w:hAnsi="宋体" w:cs="宋体"/>
          <w:color w:val="auto"/>
          <w:highlight w:val="none"/>
        </w:rPr>
      </w:pPr>
    </w:p>
    <w:p w14:paraId="35C9BA34">
      <w:pPr>
        <w:snapToGrid w:val="0"/>
        <w:spacing w:before="156" w:beforeLines="50" w:after="50"/>
        <w:jc w:val="center"/>
        <w:rPr>
          <w:rFonts w:ascii="宋体" w:hAnsi="宋体" w:cs="宋体"/>
          <w:b/>
          <w:color w:val="auto"/>
          <w:sz w:val="36"/>
          <w:szCs w:val="36"/>
          <w:highlight w:val="none"/>
        </w:rPr>
      </w:pPr>
      <w:r>
        <w:rPr>
          <w:rFonts w:hint="eastAsia" w:ascii="宋体" w:hAnsi="宋体" w:cs="宋体"/>
          <w:b/>
          <w:color w:val="auto"/>
          <w:sz w:val="36"/>
          <w:szCs w:val="36"/>
          <w:highlight w:val="none"/>
        </w:rPr>
        <w:t>响 应 文 件</w:t>
      </w:r>
    </w:p>
    <w:p w14:paraId="16F92DD1">
      <w:pPr>
        <w:snapToGrid w:val="0"/>
        <w:spacing w:before="156" w:beforeLines="50" w:after="50"/>
        <w:ind w:firstLine="480" w:firstLineChars="150"/>
        <w:rPr>
          <w:rFonts w:ascii="宋体" w:hAnsi="宋体" w:cs="宋体"/>
          <w:b/>
          <w:color w:val="auto"/>
          <w:sz w:val="28"/>
          <w:szCs w:val="28"/>
          <w:highlight w:val="none"/>
        </w:rPr>
      </w:pPr>
      <w:r>
        <w:rPr>
          <w:rFonts w:hint="eastAsia" w:ascii="宋体" w:hAnsi="宋体" w:cs="宋体"/>
          <w:color w:val="auto"/>
          <w:sz w:val="32"/>
          <w:szCs w:val="32"/>
          <w:highlight w:val="none"/>
        </w:rPr>
        <w:t xml:space="preserve">                       </w:t>
      </w:r>
    </w:p>
    <w:p w14:paraId="705F64FE">
      <w:pPr>
        <w:snapToGrid w:val="0"/>
        <w:spacing w:before="156" w:beforeLines="50" w:after="50"/>
        <w:ind w:firstLine="420" w:firstLineChars="150"/>
        <w:rPr>
          <w:rFonts w:ascii="宋体" w:hAnsi="宋体" w:cs="宋体"/>
          <w:b/>
          <w:color w:val="auto"/>
          <w:sz w:val="28"/>
          <w:szCs w:val="28"/>
          <w:highlight w:val="none"/>
        </w:rPr>
      </w:pPr>
    </w:p>
    <w:p w14:paraId="16B25BB6">
      <w:pPr>
        <w:snapToGrid w:val="0"/>
        <w:spacing w:before="156" w:beforeLines="50" w:after="50"/>
        <w:ind w:firstLine="420" w:firstLineChars="150"/>
        <w:rPr>
          <w:rFonts w:ascii="宋体" w:hAnsi="宋体" w:cs="宋体"/>
          <w:b/>
          <w:color w:val="auto"/>
          <w:sz w:val="28"/>
          <w:szCs w:val="28"/>
          <w:highlight w:val="none"/>
        </w:rPr>
      </w:pPr>
    </w:p>
    <w:p w14:paraId="53751D46">
      <w:pPr>
        <w:snapToGrid w:val="0"/>
        <w:spacing w:before="156" w:beforeLines="50" w:after="50"/>
        <w:jc w:val="center"/>
        <w:rPr>
          <w:rFonts w:ascii="宋体" w:hAnsi="宋体" w:cs="宋体"/>
          <w:b/>
          <w:color w:val="auto"/>
          <w:sz w:val="28"/>
          <w:szCs w:val="28"/>
          <w:highlight w:val="none"/>
          <w:u w:val="singl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rPr>
        <w:t>桂林市公安局临桂分局移动警务双系统警务通服务项目</w:t>
      </w:r>
    </w:p>
    <w:p w14:paraId="4EF0DD32">
      <w:pPr>
        <w:snapToGrid w:val="0"/>
        <w:spacing w:before="156" w:beforeLines="50" w:after="50"/>
        <w:ind w:firstLine="2693" w:firstLineChars="962"/>
        <w:rPr>
          <w:rFonts w:ascii="宋体" w:hAnsi="宋体" w:cs="宋体"/>
          <w:b/>
          <w:color w:val="auto"/>
          <w:sz w:val="28"/>
          <w:szCs w:val="28"/>
          <w:highlight w:val="none"/>
        </w:rPr>
      </w:pPr>
    </w:p>
    <w:p w14:paraId="0962AE0B">
      <w:pPr>
        <w:snapToGrid w:val="0"/>
        <w:spacing w:before="156" w:beforeLines="50" w:after="50"/>
        <w:ind w:firstLine="2693" w:firstLineChars="962"/>
        <w:rPr>
          <w:rFonts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u w:val="single"/>
        </w:rPr>
        <w:t>GLZC2025-C3-120078-GXAZ</w:t>
      </w:r>
    </w:p>
    <w:p w14:paraId="29BB9E89">
      <w:pPr>
        <w:rPr>
          <w:rFonts w:ascii="宋体" w:hAnsi="宋体" w:cs="宋体"/>
          <w:b/>
          <w:color w:val="auto"/>
          <w:highlight w:val="none"/>
        </w:rPr>
      </w:pPr>
    </w:p>
    <w:p w14:paraId="1DBDACA3">
      <w:pPr>
        <w:spacing w:line="400" w:lineRule="exact"/>
        <w:ind w:firstLine="2693" w:firstLineChars="962"/>
        <w:rPr>
          <w:rFonts w:ascii="宋体" w:hAnsi="宋体" w:cs="宋体"/>
          <w:b/>
          <w:color w:val="auto"/>
          <w:sz w:val="28"/>
          <w:szCs w:val="28"/>
          <w:highlight w:val="none"/>
        </w:rPr>
      </w:pPr>
    </w:p>
    <w:p w14:paraId="1094ABE7">
      <w:pPr>
        <w:pStyle w:val="29"/>
        <w:rPr>
          <w:rFonts w:ascii="宋体" w:hAnsi="宋体" w:cs="宋体"/>
          <w:b/>
          <w:color w:val="auto"/>
          <w:sz w:val="28"/>
          <w:szCs w:val="28"/>
          <w:highlight w:val="none"/>
        </w:rPr>
      </w:pPr>
    </w:p>
    <w:p w14:paraId="329389B8">
      <w:pPr>
        <w:pStyle w:val="29"/>
        <w:rPr>
          <w:rFonts w:ascii="宋体" w:hAnsi="宋体" w:cs="宋体"/>
          <w:b/>
          <w:color w:val="auto"/>
          <w:sz w:val="28"/>
          <w:szCs w:val="28"/>
          <w:highlight w:val="none"/>
        </w:rPr>
      </w:pPr>
    </w:p>
    <w:p w14:paraId="611738A6">
      <w:pPr>
        <w:pStyle w:val="29"/>
        <w:rPr>
          <w:rFonts w:ascii="宋体" w:hAnsi="宋体" w:cs="宋体"/>
          <w:b/>
          <w:color w:val="auto"/>
          <w:sz w:val="28"/>
          <w:szCs w:val="28"/>
          <w:highlight w:val="none"/>
        </w:rPr>
      </w:pPr>
    </w:p>
    <w:p w14:paraId="52E52C38">
      <w:pPr>
        <w:snapToGrid w:val="0"/>
        <w:spacing w:before="156" w:beforeLines="50" w:after="50"/>
        <w:ind w:firstLine="2693" w:firstLineChars="962"/>
        <w:rPr>
          <w:rFonts w:ascii="宋体" w:hAnsi="宋体" w:cs="宋体"/>
          <w:b/>
          <w:color w:val="auto"/>
          <w:sz w:val="28"/>
          <w:szCs w:val="28"/>
          <w:highlight w:val="none"/>
          <w:u w:val="single"/>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rPr>
        <w:t xml:space="preserve"> 广西安臻工程管理有限公司   </w:t>
      </w:r>
    </w:p>
    <w:p w14:paraId="3CDE3A1C">
      <w:pPr>
        <w:pStyle w:val="9"/>
        <w:ind w:left="980" w:hanging="560" w:hangingChars="200"/>
        <w:rPr>
          <w:rFonts w:ascii="宋体" w:hAnsi="宋体" w:cs="宋体"/>
          <w:bCs/>
          <w:color w:val="auto"/>
          <w:sz w:val="28"/>
          <w:szCs w:val="28"/>
          <w:highlight w:val="none"/>
        </w:rPr>
      </w:pPr>
      <w:bookmarkStart w:id="169" w:name="_Toc4932_WPSOffice_Level2"/>
      <w:bookmarkStart w:id="170" w:name="_Toc20319_WPSOffice_Level2"/>
      <w:r>
        <w:rPr>
          <w:rFonts w:hint="eastAsia" w:ascii="宋体" w:hAnsi="宋体" w:cs="宋体"/>
          <w:bCs/>
          <w:color w:val="auto"/>
          <w:sz w:val="28"/>
          <w:szCs w:val="28"/>
          <w:highlight w:val="none"/>
        </w:rPr>
        <w:t>磋商供应商[公章(CA签章)、自然人除外]：</w:t>
      </w:r>
      <w:r>
        <w:rPr>
          <w:rFonts w:hint="eastAsia" w:ascii="宋体" w:hAnsi="宋体" w:cs="宋体"/>
          <w:bCs/>
          <w:color w:val="auto"/>
          <w:sz w:val="28"/>
          <w:szCs w:val="28"/>
          <w:highlight w:val="none"/>
          <w:u w:val="single"/>
        </w:rPr>
        <w:t xml:space="preserve">                       </w:t>
      </w:r>
      <w:bookmarkEnd w:id="169"/>
      <w:bookmarkEnd w:id="170"/>
      <w:r>
        <w:rPr>
          <w:rFonts w:hint="eastAsia" w:ascii="宋体" w:hAnsi="宋体" w:cs="宋体"/>
          <w:bCs/>
          <w:color w:val="auto"/>
          <w:sz w:val="28"/>
          <w:szCs w:val="28"/>
          <w:highlight w:val="none"/>
          <w:u w:val="single"/>
        </w:rPr>
        <w:t xml:space="preserve">       </w:t>
      </w:r>
    </w:p>
    <w:p w14:paraId="34680EE0">
      <w:pPr>
        <w:pStyle w:val="12"/>
        <w:spacing w:line="320" w:lineRule="exact"/>
        <w:ind w:firstLine="420"/>
        <w:rPr>
          <w:rFonts w:hAnsi="宋体" w:cs="宋体"/>
          <w:color w:val="auto"/>
          <w:sz w:val="28"/>
          <w:szCs w:val="28"/>
          <w:highlight w:val="none"/>
        </w:rPr>
      </w:pPr>
      <w:bookmarkStart w:id="171" w:name="_Toc9622_WPSOffice_Level2"/>
      <w:bookmarkStart w:id="172" w:name="_Toc32056_WPSOffice_Level2"/>
      <w:r>
        <w:rPr>
          <w:rFonts w:hint="eastAsia" w:hAnsi="宋体" w:cs="宋体"/>
          <w:color w:val="auto"/>
          <w:sz w:val="28"/>
          <w:szCs w:val="28"/>
          <w:highlight w:val="none"/>
        </w:rPr>
        <w:t>法定代表人、负责人、自然人或相应的委托代理人签字[或盖章(CA签章)]</w:t>
      </w:r>
    </w:p>
    <w:p w14:paraId="170F84E3">
      <w:pPr>
        <w:pStyle w:val="9"/>
        <w:ind w:left="980" w:hanging="560" w:hangingChars="200"/>
        <w:rPr>
          <w:rFonts w:ascii="宋体" w:hAnsi="宋体" w:cs="宋体"/>
          <w:color w:val="auto"/>
          <w:sz w:val="28"/>
          <w:szCs w:val="28"/>
          <w:highlight w:val="none"/>
          <w:u w:val="single"/>
        </w:rPr>
      </w:pPr>
      <w:r>
        <w:rPr>
          <w:rFonts w:hint="eastAsia" w:ascii="宋体" w:hAnsi="宋体" w:cs="宋体"/>
          <w:color w:val="auto"/>
          <w:sz w:val="28"/>
          <w:szCs w:val="28"/>
          <w:highlight w:val="none"/>
        </w:rPr>
        <w:t>（属自然人的应在签名处加盖大拇指指印或个人CA签章）：</w:t>
      </w:r>
      <w:r>
        <w:rPr>
          <w:rFonts w:hint="eastAsia" w:ascii="宋体" w:hAnsi="宋体" w:cs="宋体"/>
          <w:color w:val="auto"/>
          <w:sz w:val="28"/>
          <w:szCs w:val="28"/>
          <w:highlight w:val="none"/>
          <w:u w:val="single"/>
        </w:rPr>
        <w:t xml:space="preserve">              </w:t>
      </w:r>
    </w:p>
    <w:p w14:paraId="4969C651">
      <w:pPr>
        <w:pStyle w:val="9"/>
        <w:ind w:left="980" w:hanging="560" w:hangingChars="200"/>
        <w:rPr>
          <w:rFonts w:ascii="宋体" w:hAnsi="宋体" w:cs="宋体"/>
          <w:bCs/>
          <w:color w:val="auto"/>
          <w:sz w:val="28"/>
          <w:szCs w:val="28"/>
          <w:highlight w:val="none"/>
          <w:u w:val="single"/>
        </w:rPr>
      </w:pPr>
      <w:r>
        <w:rPr>
          <w:rFonts w:hint="eastAsia" w:ascii="宋体" w:hAnsi="宋体" w:cs="宋体"/>
          <w:bCs/>
          <w:color w:val="auto"/>
          <w:sz w:val="28"/>
          <w:szCs w:val="28"/>
          <w:highlight w:val="none"/>
        </w:rPr>
        <w:t>联系电话：</w:t>
      </w:r>
      <w:bookmarkEnd w:id="171"/>
      <w:bookmarkEnd w:id="172"/>
      <w:r>
        <w:rPr>
          <w:rFonts w:hint="eastAsia" w:ascii="宋体" w:hAnsi="宋体" w:cs="宋体"/>
          <w:bCs/>
          <w:color w:val="auto"/>
          <w:sz w:val="28"/>
          <w:szCs w:val="28"/>
          <w:highlight w:val="none"/>
          <w:u w:val="single"/>
        </w:rPr>
        <w:t xml:space="preserve">                                                </w:t>
      </w:r>
    </w:p>
    <w:p w14:paraId="79E9E0B2">
      <w:pPr>
        <w:pStyle w:val="9"/>
        <w:ind w:left="980" w:hanging="560" w:hangingChars="200"/>
        <w:rPr>
          <w:rFonts w:ascii="宋体" w:hAnsi="宋体" w:cs="宋体"/>
          <w:bCs/>
          <w:color w:val="auto"/>
          <w:sz w:val="28"/>
          <w:szCs w:val="28"/>
          <w:highlight w:val="none"/>
        </w:rPr>
      </w:pPr>
      <w:bookmarkStart w:id="173" w:name="_Toc26465_WPSOffice_Level2"/>
      <w:bookmarkStart w:id="174"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173"/>
      <w:bookmarkEnd w:id="174"/>
    </w:p>
    <w:p w14:paraId="1C5E139D">
      <w:pPr>
        <w:pStyle w:val="9"/>
        <w:ind w:left="980" w:hanging="560" w:hangingChars="200"/>
        <w:rPr>
          <w:rFonts w:ascii="宋体" w:hAnsi="宋体" w:cs="宋体"/>
          <w:bCs/>
          <w:color w:val="auto"/>
          <w:sz w:val="28"/>
          <w:szCs w:val="28"/>
          <w:highlight w:val="none"/>
        </w:rPr>
      </w:pPr>
    </w:p>
    <w:p w14:paraId="602326C1">
      <w:pPr>
        <w:pStyle w:val="9"/>
        <w:ind w:left="980" w:hanging="560" w:hangingChars="200"/>
        <w:rPr>
          <w:rFonts w:ascii="宋体" w:hAnsi="宋体" w:cs="宋体"/>
          <w:bCs/>
          <w:color w:val="auto"/>
          <w:sz w:val="28"/>
          <w:szCs w:val="28"/>
          <w:highlight w:val="none"/>
        </w:rPr>
      </w:pPr>
    </w:p>
    <w:p w14:paraId="3F92A736">
      <w:pPr>
        <w:numPr>
          <w:ilvl w:val="0"/>
          <w:numId w:val="8"/>
        </w:numPr>
        <w:rPr>
          <w:rFonts w:ascii="宋体" w:hAnsi="宋体" w:cs="宋体"/>
          <w:b/>
          <w:bCs/>
          <w:color w:val="auto"/>
          <w:sz w:val="32"/>
          <w:szCs w:val="32"/>
          <w:highlight w:val="none"/>
        </w:rPr>
      </w:pPr>
      <w:bookmarkStart w:id="175" w:name="_Toc19430"/>
      <w:bookmarkStart w:id="176" w:name="_Toc497927070"/>
      <w:bookmarkStart w:id="177" w:name="_Toc21615"/>
      <w:r>
        <w:rPr>
          <w:rFonts w:hint="eastAsia" w:ascii="宋体" w:hAnsi="宋体" w:cs="宋体"/>
          <w:b/>
          <w:bCs/>
          <w:color w:val="auto"/>
          <w:sz w:val="32"/>
          <w:szCs w:val="32"/>
          <w:highlight w:val="none"/>
        </w:rPr>
        <w:t>响应文件组成</w:t>
      </w:r>
      <w:bookmarkEnd w:id="175"/>
      <w:bookmarkEnd w:id="176"/>
      <w:bookmarkEnd w:id="177"/>
    </w:p>
    <w:p w14:paraId="78258813">
      <w:pPr>
        <w:pStyle w:val="8"/>
        <w:rPr>
          <w:rFonts w:ascii="宋体" w:hAnsi="宋体" w:cs="宋体"/>
          <w:color w:val="auto"/>
          <w:highlight w:val="none"/>
        </w:rPr>
      </w:pPr>
    </w:p>
    <w:p w14:paraId="52E2295A">
      <w:pPr>
        <w:pStyle w:val="8"/>
        <w:rPr>
          <w:rFonts w:ascii="宋体" w:hAnsi="宋体" w:cs="宋体"/>
          <w:color w:val="auto"/>
          <w:highlight w:val="none"/>
        </w:rPr>
      </w:pPr>
    </w:p>
    <w:p w14:paraId="495943A0">
      <w:pPr>
        <w:spacing w:line="400" w:lineRule="exact"/>
        <w:rPr>
          <w:rFonts w:ascii="宋体" w:hAnsi="宋体" w:cs="宋体"/>
          <w:b/>
          <w:bCs/>
          <w:color w:val="auto"/>
          <w:sz w:val="28"/>
          <w:szCs w:val="28"/>
          <w:highlight w:val="none"/>
        </w:rPr>
      </w:pPr>
    </w:p>
    <w:p w14:paraId="00843A7A">
      <w:pPr>
        <w:pStyle w:val="8"/>
        <w:rPr>
          <w:rFonts w:ascii="宋体" w:hAnsi="宋体" w:cs="宋体"/>
          <w:b/>
          <w:bCs/>
          <w:color w:val="auto"/>
          <w:sz w:val="28"/>
          <w:szCs w:val="28"/>
          <w:highlight w:val="none"/>
        </w:rPr>
      </w:pPr>
    </w:p>
    <w:p w14:paraId="6BC41CA1">
      <w:pPr>
        <w:numPr>
          <w:ilvl w:val="0"/>
          <w:numId w:val="9"/>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资格性响应证明材料</w:t>
      </w:r>
    </w:p>
    <w:p w14:paraId="5D8B432D">
      <w:pPr>
        <w:pStyle w:val="8"/>
        <w:rPr>
          <w:rFonts w:ascii="宋体" w:hAnsi="宋体" w:cs="宋体"/>
          <w:b/>
          <w:bCs/>
          <w:color w:val="auto"/>
          <w:sz w:val="28"/>
          <w:szCs w:val="28"/>
          <w:highlight w:val="none"/>
        </w:rPr>
      </w:pPr>
    </w:p>
    <w:p w14:paraId="429CEFF0">
      <w:pPr>
        <w:pStyle w:val="8"/>
        <w:rPr>
          <w:rFonts w:ascii="宋体" w:hAnsi="宋体" w:cs="宋体"/>
          <w:b/>
          <w:bCs/>
          <w:color w:val="auto"/>
          <w:sz w:val="28"/>
          <w:szCs w:val="28"/>
          <w:highlight w:val="none"/>
        </w:rPr>
      </w:pPr>
    </w:p>
    <w:p w14:paraId="19AD94D2">
      <w:pPr>
        <w:numPr>
          <w:ilvl w:val="0"/>
          <w:numId w:val="9"/>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符合性响应证明材料</w:t>
      </w:r>
    </w:p>
    <w:p w14:paraId="3332EC78">
      <w:pPr>
        <w:pStyle w:val="8"/>
        <w:rPr>
          <w:rFonts w:ascii="宋体" w:hAnsi="宋体" w:cs="宋体"/>
          <w:b/>
          <w:bCs/>
          <w:color w:val="auto"/>
          <w:sz w:val="28"/>
          <w:szCs w:val="28"/>
          <w:highlight w:val="none"/>
        </w:rPr>
      </w:pPr>
    </w:p>
    <w:p w14:paraId="43A68991">
      <w:pPr>
        <w:pStyle w:val="8"/>
        <w:rPr>
          <w:rFonts w:ascii="宋体" w:hAnsi="宋体" w:cs="宋体"/>
          <w:b/>
          <w:bCs/>
          <w:color w:val="auto"/>
          <w:sz w:val="28"/>
          <w:szCs w:val="28"/>
          <w:highlight w:val="none"/>
        </w:rPr>
      </w:pPr>
    </w:p>
    <w:p w14:paraId="66F84E93">
      <w:pPr>
        <w:numPr>
          <w:ilvl w:val="0"/>
          <w:numId w:val="9"/>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其他有效证明材料</w:t>
      </w:r>
    </w:p>
    <w:p w14:paraId="5EEB4181">
      <w:pPr>
        <w:pStyle w:val="29"/>
        <w:rPr>
          <w:rFonts w:ascii="宋体" w:hAnsi="宋体" w:cs="宋体"/>
          <w:color w:val="auto"/>
          <w:highlight w:val="none"/>
        </w:rPr>
      </w:pPr>
    </w:p>
    <w:p w14:paraId="023CE57B">
      <w:pPr>
        <w:tabs>
          <w:tab w:val="left" w:pos="5040"/>
        </w:tabs>
        <w:spacing w:line="400" w:lineRule="exact"/>
        <w:rPr>
          <w:rFonts w:ascii="宋体" w:hAnsi="宋体" w:cs="宋体"/>
          <w:color w:val="auto"/>
          <w:szCs w:val="21"/>
          <w:highlight w:val="none"/>
        </w:rPr>
      </w:pPr>
    </w:p>
    <w:p w14:paraId="753C5D92">
      <w:pPr>
        <w:pStyle w:val="8"/>
        <w:rPr>
          <w:rFonts w:ascii="宋体" w:hAnsi="宋体" w:cs="宋体"/>
          <w:color w:val="auto"/>
          <w:szCs w:val="21"/>
          <w:highlight w:val="none"/>
        </w:rPr>
      </w:pPr>
    </w:p>
    <w:p w14:paraId="27DEAB98">
      <w:pPr>
        <w:pStyle w:val="8"/>
        <w:rPr>
          <w:rFonts w:ascii="宋体" w:hAnsi="宋体" w:cs="宋体"/>
          <w:color w:val="auto"/>
          <w:szCs w:val="21"/>
          <w:highlight w:val="none"/>
        </w:rPr>
      </w:pPr>
    </w:p>
    <w:p w14:paraId="2469B2DF">
      <w:pPr>
        <w:pStyle w:val="8"/>
        <w:rPr>
          <w:rFonts w:ascii="宋体" w:hAnsi="宋体" w:cs="宋体"/>
          <w:color w:val="auto"/>
          <w:szCs w:val="21"/>
          <w:highlight w:val="none"/>
        </w:rPr>
      </w:pPr>
    </w:p>
    <w:p w14:paraId="05FFE7E3">
      <w:pPr>
        <w:pStyle w:val="8"/>
        <w:rPr>
          <w:rFonts w:ascii="宋体" w:hAnsi="宋体" w:cs="宋体"/>
          <w:color w:val="auto"/>
          <w:szCs w:val="21"/>
          <w:highlight w:val="none"/>
        </w:rPr>
      </w:pPr>
    </w:p>
    <w:p w14:paraId="456F9EE5">
      <w:pPr>
        <w:rPr>
          <w:rFonts w:ascii="宋体" w:hAnsi="宋体" w:cs="宋体"/>
          <w:color w:val="auto"/>
          <w:szCs w:val="21"/>
          <w:highlight w:val="none"/>
        </w:rPr>
      </w:pPr>
    </w:p>
    <w:p w14:paraId="662F9034">
      <w:pPr>
        <w:pStyle w:val="29"/>
        <w:rPr>
          <w:rFonts w:ascii="宋体" w:hAnsi="宋体" w:cs="宋体"/>
          <w:color w:val="auto"/>
          <w:szCs w:val="21"/>
          <w:highlight w:val="none"/>
        </w:rPr>
      </w:pPr>
    </w:p>
    <w:p w14:paraId="49BC1300">
      <w:pPr>
        <w:pStyle w:val="29"/>
        <w:rPr>
          <w:rFonts w:ascii="宋体" w:hAnsi="宋体" w:cs="宋体"/>
          <w:color w:val="auto"/>
          <w:szCs w:val="21"/>
          <w:highlight w:val="none"/>
        </w:rPr>
      </w:pPr>
    </w:p>
    <w:p w14:paraId="4F31C75B">
      <w:pPr>
        <w:pStyle w:val="29"/>
        <w:rPr>
          <w:rFonts w:ascii="宋体" w:hAnsi="宋体" w:cs="宋体"/>
          <w:color w:val="auto"/>
          <w:szCs w:val="21"/>
          <w:highlight w:val="none"/>
        </w:rPr>
      </w:pPr>
    </w:p>
    <w:p w14:paraId="43B9DE87">
      <w:pPr>
        <w:pStyle w:val="29"/>
        <w:rPr>
          <w:rFonts w:ascii="宋体" w:hAnsi="宋体" w:cs="宋体"/>
          <w:color w:val="auto"/>
          <w:szCs w:val="21"/>
          <w:highlight w:val="none"/>
        </w:rPr>
      </w:pPr>
    </w:p>
    <w:p w14:paraId="4C9AAD2B">
      <w:pPr>
        <w:pStyle w:val="29"/>
        <w:rPr>
          <w:rFonts w:ascii="宋体" w:hAnsi="宋体" w:cs="宋体"/>
          <w:color w:val="auto"/>
          <w:szCs w:val="21"/>
          <w:highlight w:val="none"/>
        </w:rPr>
      </w:pPr>
    </w:p>
    <w:p w14:paraId="64F23970">
      <w:pPr>
        <w:pStyle w:val="29"/>
        <w:rPr>
          <w:rFonts w:ascii="宋体" w:hAnsi="宋体" w:cs="宋体"/>
          <w:color w:val="auto"/>
          <w:szCs w:val="21"/>
          <w:highlight w:val="none"/>
        </w:rPr>
      </w:pPr>
    </w:p>
    <w:p w14:paraId="3B927054">
      <w:pPr>
        <w:pStyle w:val="29"/>
        <w:rPr>
          <w:rFonts w:ascii="宋体" w:hAnsi="宋体" w:cs="宋体"/>
          <w:color w:val="auto"/>
          <w:szCs w:val="21"/>
          <w:highlight w:val="none"/>
        </w:rPr>
      </w:pPr>
    </w:p>
    <w:p w14:paraId="7BEC1CE8">
      <w:pPr>
        <w:pStyle w:val="29"/>
        <w:rPr>
          <w:rFonts w:ascii="宋体" w:hAnsi="宋体" w:cs="宋体"/>
          <w:color w:val="auto"/>
          <w:szCs w:val="21"/>
          <w:highlight w:val="none"/>
        </w:rPr>
      </w:pPr>
    </w:p>
    <w:p w14:paraId="2C1DDAAE">
      <w:pPr>
        <w:pStyle w:val="29"/>
        <w:rPr>
          <w:rFonts w:ascii="宋体" w:hAnsi="宋体" w:cs="宋体"/>
          <w:color w:val="auto"/>
          <w:szCs w:val="21"/>
          <w:highlight w:val="none"/>
        </w:rPr>
      </w:pPr>
    </w:p>
    <w:p w14:paraId="105B1C5B">
      <w:pPr>
        <w:pStyle w:val="29"/>
        <w:rPr>
          <w:rFonts w:ascii="宋体" w:hAnsi="宋体" w:cs="宋体"/>
          <w:color w:val="auto"/>
          <w:szCs w:val="21"/>
          <w:highlight w:val="none"/>
        </w:rPr>
      </w:pPr>
    </w:p>
    <w:p w14:paraId="125B8C0E">
      <w:pPr>
        <w:pStyle w:val="29"/>
        <w:rPr>
          <w:rFonts w:ascii="宋体" w:hAnsi="宋体" w:cs="宋体"/>
          <w:color w:val="auto"/>
          <w:szCs w:val="21"/>
          <w:highlight w:val="none"/>
        </w:rPr>
      </w:pPr>
    </w:p>
    <w:p w14:paraId="5D18A304">
      <w:pPr>
        <w:pStyle w:val="29"/>
        <w:rPr>
          <w:rFonts w:ascii="宋体" w:hAnsi="宋体" w:cs="宋体"/>
          <w:color w:val="auto"/>
          <w:szCs w:val="21"/>
          <w:highlight w:val="none"/>
        </w:rPr>
      </w:pPr>
    </w:p>
    <w:p w14:paraId="1532B78F">
      <w:pPr>
        <w:pStyle w:val="29"/>
        <w:rPr>
          <w:rFonts w:ascii="宋体" w:hAnsi="宋体" w:cs="宋体"/>
          <w:color w:val="auto"/>
          <w:szCs w:val="21"/>
          <w:highlight w:val="none"/>
        </w:rPr>
      </w:pPr>
    </w:p>
    <w:p w14:paraId="55B89A07">
      <w:pPr>
        <w:pStyle w:val="29"/>
        <w:rPr>
          <w:rFonts w:ascii="宋体" w:hAnsi="宋体" w:cs="宋体"/>
          <w:color w:val="auto"/>
          <w:szCs w:val="21"/>
          <w:highlight w:val="none"/>
        </w:rPr>
      </w:pPr>
    </w:p>
    <w:p w14:paraId="25F9D769">
      <w:pPr>
        <w:rPr>
          <w:rFonts w:ascii="宋体" w:hAnsi="宋体" w:cs="宋体"/>
          <w:color w:val="auto"/>
          <w:highlight w:val="none"/>
        </w:rPr>
      </w:pPr>
      <w:bookmarkStart w:id="178" w:name="_Toc497927071"/>
      <w:bookmarkStart w:id="179" w:name="_Toc7185"/>
      <w:bookmarkStart w:id="180" w:name="_Toc11067"/>
    </w:p>
    <w:p w14:paraId="7CC99AF4">
      <w:pPr>
        <w:pStyle w:val="5"/>
        <w:jc w:val="center"/>
        <w:rPr>
          <w:rFonts w:ascii="宋体" w:hAnsi="宋体" w:cs="宋体"/>
          <w:color w:val="auto"/>
          <w:sz w:val="32"/>
          <w:szCs w:val="32"/>
          <w:highlight w:val="none"/>
        </w:rPr>
      </w:pPr>
      <w:r>
        <w:rPr>
          <w:rFonts w:hint="eastAsia" w:ascii="宋体" w:hAnsi="宋体" w:cs="宋体"/>
          <w:color w:val="auto"/>
          <w:sz w:val="32"/>
          <w:szCs w:val="32"/>
          <w:highlight w:val="none"/>
        </w:rPr>
        <w:t>（一）资格性响应证明材料目录</w:t>
      </w:r>
      <w:bookmarkEnd w:id="178"/>
      <w:bookmarkEnd w:id="179"/>
      <w:bookmarkEnd w:id="180"/>
    </w:p>
    <w:p w14:paraId="5D4A6B3D">
      <w:pPr>
        <w:rPr>
          <w:rFonts w:ascii="宋体" w:hAnsi="宋体" w:cs="宋体"/>
          <w:color w:val="auto"/>
          <w:highlight w:val="none"/>
        </w:rPr>
      </w:pPr>
    </w:p>
    <w:p w14:paraId="0B00F2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1.供应商相应的法定代表人、负责人、自然人身份证正反两面复印件</w:t>
      </w:r>
      <w:r>
        <w:rPr>
          <w:rFonts w:hint="eastAsia" w:ascii="宋体" w:hAnsi="宋体" w:cs="宋体"/>
          <w:b/>
          <w:bCs/>
          <w:color w:val="auto"/>
          <w:sz w:val="24"/>
          <w:highlight w:val="none"/>
        </w:rPr>
        <w:t>（必须提供）</w:t>
      </w:r>
      <w:r>
        <w:rPr>
          <w:rFonts w:hint="eastAsia" w:ascii="宋体" w:hAnsi="宋体" w:cs="宋体"/>
          <w:color w:val="auto"/>
          <w:sz w:val="24"/>
          <w:highlight w:val="none"/>
        </w:rPr>
        <w:t>；</w:t>
      </w:r>
    </w:p>
    <w:p w14:paraId="3E7274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47FBD9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如供应商为截标时间前60日以内成立的公司，可以提供供应商与委托代理人签订的劳动合同复印件代替养老保险证明复印件；</w:t>
      </w:r>
    </w:p>
    <w:p w14:paraId="23E507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（2）如供应商为事业单位，可以提供事业单位机构编制管理证复印件或事业单位机构为其发放工资的工资条复印件代替养老保险证明复印件；</w:t>
      </w:r>
    </w:p>
    <w:p w14:paraId="246963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（3）如委托代理人为免缴纳社保人员，提供免缴纳社保的证明材料复印件及供应商与委托代理人签订的劳动合同复印件代替养老保险证明复印件。</w:t>
      </w:r>
    </w:p>
    <w:p w14:paraId="7A18DEAF">
      <w:pPr>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color w:val="auto"/>
          <w:sz w:val="24"/>
          <w:highlight w:val="none"/>
        </w:rPr>
        <w:t>】</w:t>
      </w:r>
      <w:r>
        <w:rPr>
          <w:rFonts w:hint="eastAsia" w:ascii="宋体" w:hAnsi="宋体" w:cs="宋体"/>
          <w:b/>
          <w:bCs/>
          <w:color w:val="auto"/>
          <w:sz w:val="24"/>
          <w:highlight w:val="none"/>
        </w:rPr>
        <w:t>（委托代理时必须提供）；</w:t>
      </w:r>
    </w:p>
    <w:p w14:paraId="2723CA59">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3.供应商参加政府采购活动前3年内在经营活动中没有重大违法记录及有关信用信息的书面声明</w:t>
      </w:r>
      <w:r>
        <w:rPr>
          <w:rFonts w:hint="eastAsia" w:ascii="宋体" w:hAnsi="宋体" w:cs="宋体"/>
          <w:b/>
          <w:bCs/>
          <w:color w:val="auto"/>
          <w:sz w:val="24"/>
          <w:highlight w:val="none"/>
        </w:rPr>
        <w:t>（必须提供）；</w:t>
      </w:r>
    </w:p>
    <w:p w14:paraId="23168C07">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4.供应商的法人或者其他组织营业执照等证明文件复印件</w:t>
      </w:r>
      <w:r>
        <w:rPr>
          <w:rFonts w:hint="eastAsia" w:ascii="宋体" w:hAnsi="宋体" w:cs="宋体"/>
          <w:b/>
          <w:bCs/>
          <w:color w:val="auto"/>
          <w:sz w:val="24"/>
          <w:highlight w:val="none"/>
        </w:rPr>
        <w:t>（必须提供，自然人除外）；</w:t>
      </w:r>
    </w:p>
    <w:p w14:paraId="3306BE43">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5.供应商的财务状况报告（提供2023年以来任意年度经审计的财务报告扫描件或者其基本开户银行出具的资信证明或者截标时间前半年内至少一个月能反映财务状况的报表或者供应商自拟的截标时间前半年内至少一个月的财务情况说明）</w:t>
      </w:r>
      <w:r>
        <w:rPr>
          <w:rFonts w:hint="eastAsia" w:ascii="宋体" w:hAnsi="宋体" w:cs="宋体"/>
          <w:b/>
          <w:bCs/>
          <w:color w:val="auto"/>
          <w:sz w:val="24"/>
          <w:highlight w:val="none"/>
        </w:rPr>
        <w:t>（必须提供）；</w:t>
      </w:r>
    </w:p>
    <w:p w14:paraId="24BDE263">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6.供应商在磋商当天前近半年内任意一个月或任一季度依法缴纳税收的证明材料（增值税发票(税收完税证明)或企业所得税完税证明或税务部门出具的免税证明）复印件</w:t>
      </w:r>
      <w:r>
        <w:rPr>
          <w:rFonts w:hint="eastAsia" w:ascii="宋体" w:hAnsi="宋体" w:cs="宋体"/>
          <w:b/>
          <w:bCs/>
          <w:color w:val="auto"/>
          <w:sz w:val="24"/>
          <w:highlight w:val="none"/>
        </w:rPr>
        <w:t>（必须提供）；</w:t>
      </w:r>
    </w:p>
    <w:p w14:paraId="16E492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w:t>
      </w:r>
      <w:r>
        <w:rPr>
          <w:rFonts w:hint="eastAsia" w:ascii="宋体" w:hAnsi="宋体" w:cs="宋体"/>
          <w:color w:val="auto"/>
          <w:sz w:val="24"/>
          <w:highlight w:val="none"/>
        </w:rPr>
        <w:t>供应商近半年内任意一个月或任一季度依法缴纳社会保障资金的相关材料（必须提供）；</w:t>
      </w:r>
    </w:p>
    <w:p w14:paraId="23A2C5D6">
      <w:pPr>
        <w:pStyle w:val="8"/>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.《中小企业声明函》（见附件）</w:t>
      </w:r>
      <w:r>
        <w:rPr>
          <w:rFonts w:hint="eastAsia" w:ascii="宋体" w:hAnsi="宋体" w:cs="宋体"/>
          <w:b/>
          <w:bCs/>
          <w:color w:val="auto"/>
          <w:sz w:val="24"/>
          <w:highlight w:val="none"/>
        </w:rPr>
        <w:t>（如有，请提供）</w:t>
      </w:r>
      <w:r>
        <w:rPr>
          <w:rFonts w:hint="eastAsia" w:ascii="宋体" w:hAnsi="宋体" w:cs="宋体"/>
          <w:color w:val="auto"/>
          <w:sz w:val="24"/>
          <w:highlight w:val="none"/>
        </w:rPr>
        <w:t>；</w:t>
      </w:r>
    </w:p>
    <w:p w14:paraId="368C5C5D">
      <w:pPr>
        <w:pStyle w:val="8"/>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color w:val="auto"/>
          <w:sz w:val="24"/>
          <w:highlight w:val="none"/>
        </w:rPr>
        <w:t>（如有，请提供）</w:t>
      </w:r>
      <w:r>
        <w:rPr>
          <w:rFonts w:hint="eastAsia" w:ascii="宋体" w:hAnsi="宋体" w:cs="宋体"/>
          <w:color w:val="auto"/>
          <w:sz w:val="24"/>
          <w:highlight w:val="none"/>
        </w:rPr>
        <w:t>；</w:t>
      </w:r>
    </w:p>
    <w:p w14:paraId="41C02969">
      <w:pPr>
        <w:pStyle w:val="8"/>
        <w:spacing w:line="360" w:lineRule="auto"/>
        <w:ind w:left="420" w:leftChars="200"/>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.符合条件的残疾人福利性单位在参加政府采购活动时，应当提供《残疾人福利性单位声明函》（见附件），并对声明的真实性负责；</w:t>
      </w:r>
      <w:r>
        <w:rPr>
          <w:rFonts w:hint="eastAsia" w:ascii="宋体" w:hAnsi="宋体" w:cs="宋体"/>
          <w:b/>
          <w:bCs/>
          <w:color w:val="auto"/>
          <w:sz w:val="24"/>
          <w:highlight w:val="none"/>
        </w:rPr>
        <w:t>（如有，请提供）。</w:t>
      </w:r>
    </w:p>
    <w:p w14:paraId="040181E2">
      <w:pPr>
        <w:pStyle w:val="29"/>
        <w:rPr>
          <w:rFonts w:ascii="宋体" w:hAnsi="宋体" w:cs="宋体"/>
          <w:color w:val="auto"/>
          <w:highlight w:val="none"/>
        </w:rPr>
      </w:pPr>
    </w:p>
    <w:p w14:paraId="70EAAC5E">
      <w:pPr>
        <w:pStyle w:val="29"/>
        <w:rPr>
          <w:rFonts w:ascii="宋体" w:hAnsi="宋体" w:cs="宋体"/>
          <w:color w:val="auto"/>
          <w:highlight w:val="none"/>
        </w:rPr>
      </w:pPr>
    </w:p>
    <w:p w14:paraId="3EDF99FC">
      <w:pPr>
        <w:pStyle w:val="29"/>
        <w:rPr>
          <w:rFonts w:ascii="宋体" w:hAnsi="宋体" w:cs="宋体"/>
          <w:color w:val="auto"/>
          <w:highlight w:val="none"/>
        </w:rPr>
      </w:pPr>
    </w:p>
    <w:p w14:paraId="48E05B52">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1.供应商相应的法定代表人、负责人、自然人身份证正反两面复印件（必须提供）；</w:t>
      </w:r>
    </w:p>
    <w:p w14:paraId="621C36AC">
      <w:pPr>
        <w:spacing w:line="440" w:lineRule="atLeast"/>
        <w:rPr>
          <w:rFonts w:ascii="宋体" w:hAnsi="宋体" w:cs="宋体"/>
          <w:b/>
          <w:color w:val="auto"/>
          <w:sz w:val="28"/>
          <w:szCs w:val="28"/>
          <w:highlight w:val="none"/>
        </w:rPr>
      </w:pPr>
    </w:p>
    <w:p w14:paraId="6F6A552D">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5D528061">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（1） 如供应商为截标时间前60日以内成立的公司，可以提供供应商与委托代理人签订的劳动合同复印件代替养老保险证明复印件；</w:t>
      </w:r>
    </w:p>
    <w:p w14:paraId="4113EBC5">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（2）如供应商为事业单位，可以提供事业单位机构编制管理证复印件或事业单位机构为其发放工资的工资条复印件代替养老保险证明复印件；</w:t>
      </w:r>
    </w:p>
    <w:p w14:paraId="3448B8F0">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（3）如委托代理人为免缴纳社保人员，提供免缴纳社保的证明材料复印件及供应商与委托代理人签订的劳动合同复印件代替养老保险证明复印件。</w:t>
      </w:r>
    </w:p>
    <w:p w14:paraId="64EB96E4">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属自然人的应提供由县级以上（含县级）社会养老保险经办机构出具的自然人本人及委托代理人所交纳的响应文件递交截止时间前三个月内任意一个月养老保险证明复印件】（委托代理时必须提供；如为联合体的，授权委托书原件须由牵头人出具）</w:t>
      </w:r>
    </w:p>
    <w:p w14:paraId="3D08A283">
      <w:pPr>
        <w:spacing w:line="440" w:lineRule="atLeast"/>
        <w:rPr>
          <w:rFonts w:ascii="宋体" w:hAnsi="宋体" w:cs="宋体"/>
          <w:b/>
          <w:color w:val="auto"/>
          <w:sz w:val="28"/>
          <w:szCs w:val="28"/>
          <w:highlight w:val="none"/>
        </w:rPr>
      </w:pPr>
    </w:p>
    <w:p w14:paraId="0F4F54D5">
      <w:pPr>
        <w:pStyle w:val="12"/>
        <w:rPr>
          <w:rFonts w:hAnsi="宋体" w:cs="宋体"/>
          <w:b/>
          <w:color w:val="auto"/>
          <w:sz w:val="32"/>
          <w:highlight w:val="none"/>
        </w:rPr>
      </w:pPr>
    </w:p>
    <w:p w14:paraId="71762FAA">
      <w:pPr>
        <w:rPr>
          <w:rFonts w:ascii="宋体" w:hAnsi="宋体" w:cs="宋体"/>
          <w:b/>
          <w:color w:val="auto"/>
          <w:sz w:val="32"/>
          <w:highlight w:val="none"/>
        </w:rPr>
      </w:pPr>
    </w:p>
    <w:p w14:paraId="5E0F871D">
      <w:pPr>
        <w:pStyle w:val="8"/>
        <w:rPr>
          <w:rFonts w:ascii="宋体" w:hAnsi="宋体" w:cs="宋体"/>
          <w:b/>
          <w:color w:val="auto"/>
          <w:sz w:val="32"/>
          <w:highlight w:val="none"/>
        </w:rPr>
      </w:pPr>
    </w:p>
    <w:p w14:paraId="14BF5534">
      <w:pPr>
        <w:pStyle w:val="8"/>
        <w:rPr>
          <w:rFonts w:ascii="宋体" w:hAnsi="宋体" w:cs="宋体"/>
          <w:b/>
          <w:color w:val="auto"/>
          <w:sz w:val="32"/>
          <w:highlight w:val="none"/>
        </w:rPr>
      </w:pPr>
    </w:p>
    <w:p w14:paraId="0B34746D">
      <w:pPr>
        <w:rPr>
          <w:rFonts w:ascii="宋体" w:hAnsi="宋体" w:cs="宋体"/>
          <w:color w:val="auto"/>
          <w:highlight w:val="none"/>
        </w:rPr>
      </w:pPr>
    </w:p>
    <w:p w14:paraId="7663267A">
      <w:pPr>
        <w:pStyle w:val="3"/>
        <w:rPr>
          <w:rFonts w:ascii="宋体" w:hAnsi="宋体" w:cs="宋体"/>
          <w:color w:val="auto"/>
          <w:highlight w:val="none"/>
        </w:rPr>
      </w:pPr>
    </w:p>
    <w:p w14:paraId="54C80EF4">
      <w:pPr>
        <w:rPr>
          <w:rFonts w:ascii="宋体" w:hAnsi="宋体" w:cs="宋体"/>
          <w:color w:val="auto"/>
          <w:highlight w:val="none"/>
        </w:rPr>
      </w:pPr>
    </w:p>
    <w:p w14:paraId="19F29191">
      <w:pPr>
        <w:pStyle w:val="12"/>
        <w:rPr>
          <w:rFonts w:hAnsi="宋体" w:cs="宋体"/>
          <w:b/>
          <w:color w:val="auto"/>
          <w:sz w:val="32"/>
          <w:highlight w:val="none"/>
        </w:rPr>
      </w:pPr>
      <w:r>
        <w:rPr>
          <w:rFonts w:hint="eastAsia" w:hAnsi="宋体" w:cs="宋体"/>
          <w:b/>
          <w:color w:val="auto"/>
          <w:sz w:val="32"/>
          <w:highlight w:val="none"/>
        </w:rPr>
        <w:t xml:space="preserve">附件：            </w:t>
      </w:r>
    </w:p>
    <w:p w14:paraId="09C722DF">
      <w:pPr>
        <w:pStyle w:val="12"/>
        <w:ind w:firstLine="627" w:firstLineChars="196"/>
        <w:jc w:val="center"/>
        <w:rPr>
          <w:rFonts w:hAnsi="宋体" w:cs="宋体"/>
          <w:b/>
          <w:color w:val="auto"/>
          <w:sz w:val="32"/>
          <w:highlight w:val="none"/>
        </w:rPr>
      </w:pPr>
      <w:bookmarkStart w:id="181" w:name="_Toc5420_WPSOffice_Level1"/>
      <w:bookmarkStart w:id="182" w:name="_Toc964_WPSOffice_Level1"/>
      <w:r>
        <w:rPr>
          <w:rFonts w:hint="eastAsia" w:hAnsi="宋体" w:cs="宋体"/>
          <w:b/>
          <w:color w:val="auto"/>
          <w:sz w:val="32"/>
          <w:highlight w:val="none"/>
        </w:rPr>
        <w:t>授权委托书（格式一）</w:t>
      </w:r>
      <w:bookmarkEnd w:id="181"/>
      <w:bookmarkEnd w:id="182"/>
    </w:p>
    <w:p w14:paraId="37918B85">
      <w:pPr>
        <w:pStyle w:val="12"/>
        <w:rPr>
          <w:rFonts w:hAnsi="宋体" w:cs="宋体"/>
          <w:color w:val="auto"/>
          <w:highlight w:val="none"/>
        </w:rPr>
      </w:pPr>
    </w:p>
    <w:p w14:paraId="65A2443B">
      <w:pPr>
        <w:spacing w:line="40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广西安臻工程管理有限公司 </w:t>
      </w:r>
    </w:p>
    <w:p w14:paraId="1D208040">
      <w:pPr>
        <w:spacing w:line="400" w:lineRule="exact"/>
        <w:rPr>
          <w:rFonts w:ascii="宋体" w:hAnsi="宋体" w:cs="宋体"/>
          <w:color w:val="auto"/>
          <w:szCs w:val="21"/>
          <w:highlight w:val="none"/>
        </w:rPr>
      </w:pPr>
    </w:p>
    <w:p w14:paraId="02E4D18C">
      <w:pPr>
        <w:pStyle w:val="12"/>
        <w:spacing w:line="400" w:lineRule="exact"/>
        <w:ind w:firstLine="420" w:firstLineChars="20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1F47A77A">
      <w:pPr>
        <w:pStyle w:val="12"/>
        <w:spacing w:line="400" w:lineRule="exact"/>
        <w:ind w:firstLine="420" w:firstLineChars="200"/>
        <w:rPr>
          <w:rFonts w:hAnsi="宋体" w:cs="宋体"/>
          <w:color w:val="auto"/>
          <w:highlight w:val="none"/>
        </w:rPr>
      </w:pPr>
      <w:r>
        <w:rPr>
          <w:rFonts w:hint="eastAsia" w:hAnsi="宋体" w:cs="宋体"/>
          <w:color w:val="auto"/>
          <w:highlight w:val="none"/>
        </w:rPr>
        <w:t>我方对被授权人的签字事项负全部责任。</w:t>
      </w:r>
    </w:p>
    <w:p w14:paraId="1AF0AEF8">
      <w:pPr>
        <w:pStyle w:val="12"/>
        <w:spacing w:line="400" w:lineRule="exact"/>
        <w:ind w:firstLine="420" w:firstLineChars="200"/>
        <w:rPr>
          <w:rFonts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1E751AB1">
      <w:pPr>
        <w:pStyle w:val="12"/>
        <w:spacing w:line="400" w:lineRule="exact"/>
        <w:rPr>
          <w:rFonts w:hAnsi="宋体" w:cs="宋体"/>
          <w:color w:val="auto"/>
          <w:highlight w:val="none"/>
          <w:u w:val="single"/>
        </w:rPr>
      </w:pPr>
      <w:r>
        <w:rPr>
          <w:rFonts w:hint="eastAsia" w:hAnsi="宋体" w:cs="宋体"/>
          <w:color w:val="auto"/>
          <w:highlight w:val="none"/>
        </w:rPr>
        <w:t xml:space="preserve">                                                                                             </w:t>
      </w:r>
    </w:p>
    <w:p w14:paraId="0D8DAD6E">
      <w:pPr>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0F43001F">
      <w:pPr>
        <w:spacing w:line="400" w:lineRule="exact"/>
        <w:ind w:firstLine="420" w:firstLineChars="200"/>
        <w:rPr>
          <w:rFonts w:ascii="宋体" w:hAnsi="宋体" w:cs="宋体"/>
          <w:color w:val="auto"/>
          <w:kern w:val="0"/>
          <w:highlight w:val="none"/>
        </w:rPr>
      </w:pPr>
    </w:p>
    <w:p w14:paraId="186870B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79B8F2F2">
      <w:pPr>
        <w:spacing w:line="400" w:lineRule="exact"/>
        <w:ind w:firstLine="420" w:firstLineChars="200"/>
        <w:rPr>
          <w:rFonts w:ascii="宋体" w:hAnsi="宋体" w:cs="宋体"/>
          <w:color w:val="auto"/>
          <w:szCs w:val="21"/>
          <w:highlight w:val="none"/>
        </w:rPr>
      </w:pPr>
    </w:p>
    <w:p w14:paraId="474D1F48">
      <w:pPr>
        <w:spacing w:line="400" w:lineRule="exact"/>
        <w:ind w:firstLine="420" w:firstLineChars="200"/>
        <w:rPr>
          <w:rFonts w:ascii="宋体" w:hAnsi="宋体" w:cs="宋体"/>
          <w:color w:val="auto"/>
          <w:szCs w:val="21"/>
          <w:highlight w:val="none"/>
        </w:rPr>
      </w:pPr>
    </w:p>
    <w:p w14:paraId="74B5E040">
      <w:pPr>
        <w:snapToGrid w:val="0"/>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磋商供应商[公章（CA签章）]：</w:t>
      </w:r>
      <w:r>
        <w:rPr>
          <w:rFonts w:hint="eastAsia" w:ascii="宋体" w:hAnsi="宋体" w:cs="宋体"/>
          <w:color w:val="auto"/>
          <w:szCs w:val="21"/>
          <w:highlight w:val="none"/>
          <w:u w:val="single"/>
        </w:rPr>
        <w:t xml:space="preserve">                                   </w:t>
      </w:r>
    </w:p>
    <w:p w14:paraId="0068E1F4">
      <w:pPr>
        <w:snapToGrid w:val="0"/>
        <w:spacing w:line="400" w:lineRule="exact"/>
        <w:ind w:firstLine="420"/>
        <w:rPr>
          <w:rFonts w:ascii="宋体" w:hAnsi="宋体" w:cs="宋体"/>
          <w:color w:val="auto"/>
          <w:szCs w:val="21"/>
          <w:highlight w:val="none"/>
        </w:rPr>
      </w:pPr>
    </w:p>
    <w:p w14:paraId="52B0F3EE">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98AC455">
      <w:pPr>
        <w:snapToGrid w:val="0"/>
        <w:spacing w:line="400" w:lineRule="exact"/>
        <w:ind w:firstLine="420"/>
        <w:rPr>
          <w:rFonts w:ascii="宋体" w:hAnsi="宋体" w:cs="宋体"/>
          <w:color w:val="auto"/>
          <w:szCs w:val="21"/>
          <w:highlight w:val="none"/>
        </w:rPr>
      </w:pPr>
    </w:p>
    <w:p w14:paraId="0B9AD510">
      <w:pPr>
        <w:pStyle w:val="8"/>
        <w:rPr>
          <w:rFonts w:ascii="宋体" w:hAnsi="宋体" w:cs="宋体"/>
          <w:color w:val="auto"/>
          <w:highlight w:val="none"/>
        </w:rPr>
      </w:pPr>
    </w:p>
    <w:p w14:paraId="4DEC74AB">
      <w:pPr>
        <w:pStyle w:val="12"/>
        <w:spacing w:line="340" w:lineRule="exact"/>
        <w:ind w:firstLine="480" w:firstLineChars="200"/>
        <w:rPr>
          <w:rFonts w:hAnsi="宋体" w:cs="宋体"/>
          <w:color w:val="auto"/>
          <w:highlight w:val="none"/>
        </w:rPr>
      </w:pPr>
      <w:r>
        <w:rPr>
          <w:rFonts w:hint="eastAsia" w:hAnsi="宋体" w:cs="宋体"/>
          <w:b/>
          <w:color w:val="auto"/>
          <w:sz w:val="24"/>
          <w:highlight w:val="none"/>
        </w:rPr>
        <w:t>注：供应商的授权委托书原件、委托代理人身份证正反面复印件以及由县级以上（含县级）社会养老保险经办机构出具的供应商为委托代理人交纳的开标截止时间前三个月内任意一个月养老保险证明复印件（如供应商为截标时间前60日以内成立的公司，可以提供供应商与委托代理人签订的劳动合同复印件代替养老保险证明复印件；如供应商为事业单位，可以提供事业单位机构编制管理证复印件或事业单位机构为其发放工资的工资条复印件代替养老保险证明复印件；如委托代理人为免缴纳社保人员，提供免缴纳社保的证明材料复印件及供应商与委托代理人签订的劳动合同复印件代替养老保险证明复印件）委托代理时必须提供。</w:t>
      </w:r>
    </w:p>
    <w:p w14:paraId="0344A442">
      <w:pPr>
        <w:pStyle w:val="12"/>
        <w:spacing w:line="340" w:lineRule="exact"/>
        <w:ind w:firstLine="420" w:firstLineChars="200"/>
        <w:rPr>
          <w:rFonts w:hAnsi="宋体" w:cs="宋体"/>
          <w:color w:val="auto"/>
          <w:highlight w:val="none"/>
        </w:rPr>
      </w:pPr>
    </w:p>
    <w:p w14:paraId="7B5E2D2C">
      <w:pPr>
        <w:pStyle w:val="8"/>
        <w:rPr>
          <w:rFonts w:ascii="宋体" w:hAnsi="宋体" w:cs="宋体"/>
          <w:color w:val="auto"/>
          <w:highlight w:val="none"/>
        </w:rPr>
      </w:pPr>
    </w:p>
    <w:p w14:paraId="66F7EFD7">
      <w:pPr>
        <w:pStyle w:val="8"/>
        <w:rPr>
          <w:rFonts w:ascii="宋体" w:hAnsi="宋体" w:cs="宋体"/>
          <w:color w:val="auto"/>
          <w:highlight w:val="none"/>
        </w:rPr>
      </w:pPr>
    </w:p>
    <w:p w14:paraId="50B8E971">
      <w:pPr>
        <w:pStyle w:val="8"/>
        <w:rPr>
          <w:rFonts w:ascii="宋体" w:hAnsi="宋体" w:cs="宋体"/>
          <w:color w:val="auto"/>
          <w:highlight w:val="none"/>
        </w:rPr>
      </w:pPr>
    </w:p>
    <w:p w14:paraId="60E061D3">
      <w:pPr>
        <w:rPr>
          <w:rFonts w:ascii="宋体" w:hAnsi="宋体" w:cs="宋体"/>
          <w:color w:val="auto"/>
          <w:highlight w:val="none"/>
        </w:rPr>
      </w:pPr>
    </w:p>
    <w:p w14:paraId="1B15CA53">
      <w:pPr>
        <w:pStyle w:val="3"/>
        <w:rPr>
          <w:rFonts w:ascii="宋体" w:hAnsi="宋体" w:cs="宋体"/>
          <w:color w:val="auto"/>
          <w:highlight w:val="none"/>
        </w:rPr>
      </w:pPr>
    </w:p>
    <w:p w14:paraId="2DFF907E">
      <w:pPr>
        <w:rPr>
          <w:color w:val="auto"/>
          <w:highlight w:val="none"/>
        </w:rPr>
      </w:pPr>
    </w:p>
    <w:p w14:paraId="40571068">
      <w:pPr>
        <w:pStyle w:val="12"/>
        <w:jc w:val="center"/>
        <w:rPr>
          <w:rFonts w:hAnsi="宋体" w:cs="宋体"/>
          <w:b/>
          <w:color w:val="auto"/>
          <w:sz w:val="32"/>
          <w:highlight w:val="none"/>
        </w:rPr>
      </w:pPr>
      <w:bookmarkStart w:id="183" w:name="_Toc6975_WPSOffice_Level1"/>
      <w:bookmarkStart w:id="184" w:name="_Toc21370_WPSOffice_Level1"/>
      <w:r>
        <w:rPr>
          <w:rFonts w:hint="eastAsia" w:hAnsi="宋体" w:cs="宋体"/>
          <w:b/>
          <w:color w:val="auto"/>
          <w:sz w:val="32"/>
          <w:highlight w:val="none"/>
        </w:rPr>
        <w:t>授权委托书（格式二）</w:t>
      </w:r>
      <w:bookmarkEnd w:id="183"/>
      <w:bookmarkEnd w:id="184"/>
    </w:p>
    <w:p w14:paraId="671D4F6E">
      <w:pPr>
        <w:pStyle w:val="12"/>
        <w:rPr>
          <w:rFonts w:hAnsi="宋体" w:cs="宋体"/>
          <w:b/>
          <w:color w:val="auto"/>
          <w:sz w:val="32"/>
          <w:highlight w:val="none"/>
        </w:rPr>
      </w:pPr>
    </w:p>
    <w:p w14:paraId="6A7D0D25">
      <w:pPr>
        <w:pStyle w:val="12"/>
        <w:rPr>
          <w:rFonts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广西安臻工程管理有限公司 </w:t>
      </w:r>
    </w:p>
    <w:p w14:paraId="5A6E2AA4">
      <w:pPr>
        <w:rPr>
          <w:rFonts w:ascii="宋体" w:hAnsi="宋体" w:cs="宋体"/>
          <w:color w:val="auto"/>
          <w:highlight w:val="none"/>
        </w:rPr>
      </w:pPr>
    </w:p>
    <w:p w14:paraId="4F66CC7D">
      <w:pPr>
        <w:pStyle w:val="12"/>
        <w:spacing w:line="340" w:lineRule="exact"/>
        <w:ind w:firstLine="420" w:firstLineChars="20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35BFBB5E">
      <w:pPr>
        <w:pStyle w:val="12"/>
        <w:spacing w:line="340" w:lineRule="exact"/>
        <w:ind w:firstLine="420" w:firstLineChars="200"/>
        <w:rPr>
          <w:rFonts w:hAnsi="宋体" w:cs="宋体"/>
          <w:color w:val="auto"/>
          <w:highlight w:val="none"/>
        </w:rPr>
      </w:pPr>
      <w:r>
        <w:rPr>
          <w:rFonts w:hint="eastAsia" w:hAnsi="宋体" w:cs="宋体"/>
          <w:color w:val="auto"/>
          <w:highlight w:val="none"/>
        </w:rPr>
        <w:t>本人对被授权人的签字事项负全部责任。</w:t>
      </w:r>
    </w:p>
    <w:p w14:paraId="1783C477">
      <w:pPr>
        <w:pStyle w:val="12"/>
        <w:spacing w:line="340" w:lineRule="exact"/>
        <w:ind w:firstLine="420" w:firstLineChars="200"/>
        <w:rPr>
          <w:rFonts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3514CF5D">
      <w:pPr>
        <w:pStyle w:val="12"/>
        <w:spacing w:line="340" w:lineRule="exact"/>
        <w:rPr>
          <w:rFonts w:hAnsi="宋体" w:cs="宋体"/>
          <w:color w:val="auto"/>
          <w:highlight w:val="none"/>
          <w:u w:val="single"/>
        </w:rPr>
      </w:pPr>
      <w:r>
        <w:rPr>
          <w:rFonts w:hint="eastAsia" w:hAnsi="宋体" w:cs="宋体"/>
          <w:color w:val="auto"/>
          <w:highlight w:val="none"/>
        </w:rPr>
        <w:t xml:space="preserve">                                                                                             </w:t>
      </w:r>
    </w:p>
    <w:p w14:paraId="7A63FD38">
      <w:pPr>
        <w:spacing w:line="34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68F656C3">
      <w:pPr>
        <w:spacing w:line="340" w:lineRule="exact"/>
        <w:ind w:firstLine="420" w:firstLineChars="200"/>
        <w:rPr>
          <w:rFonts w:ascii="宋体" w:hAnsi="宋体" w:cs="宋体"/>
          <w:color w:val="auto"/>
          <w:kern w:val="0"/>
          <w:highlight w:val="none"/>
        </w:rPr>
      </w:pPr>
    </w:p>
    <w:p w14:paraId="4D6B55C6">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29C66C17">
      <w:pPr>
        <w:spacing w:line="340" w:lineRule="exact"/>
        <w:ind w:firstLine="420" w:firstLineChars="200"/>
        <w:rPr>
          <w:rFonts w:ascii="宋体" w:hAnsi="宋体" w:cs="宋体"/>
          <w:color w:val="auto"/>
          <w:szCs w:val="21"/>
          <w:highlight w:val="none"/>
        </w:rPr>
      </w:pPr>
    </w:p>
    <w:p w14:paraId="3C2D7C0F">
      <w:pPr>
        <w:snapToGrid w:val="0"/>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7FD0CCA">
      <w:pPr>
        <w:pStyle w:val="12"/>
        <w:spacing w:line="400" w:lineRule="exact"/>
        <w:ind w:left="420" w:leftChars="200"/>
        <w:rPr>
          <w:rFonts w:hAnsi="宋体" w:cs="宋体"/>
          <w:color w:val="auto"/>
          <w:szCs w:val="21"/>
          <w:highlight w:val="none"/>
        </w:rPr>
      </w:pPr>
    </w:p>
    <w:p w14:paraId="01E063D9">
      <w:pPr>
        <w:pStyle w:val="12"/>
        <w:spacing w:line="400" w:lineRule="exact"/>
        <w:rPr>
          <w:rFonts w:hAnsi="宋体" w:cs="宋体"/>
          <w:b/>
          <w:color w:val="auto"/>
          <w:szCs w:val="21"/>
          <w:highlight w:val="none"/>
        </w:rPr>
      </w:pPr>
      <w:r>
        <w:rPr>
          <w:rFonts w:hint="eastAsia" w:hAnsi="宋体" w:cs="宋体"/>
          <w:b/>
          <w:color w:val="auto"/>
          <w:szCs w:val="21"/>
          <w:highlight w:val="none"/>
        </w:rPr>
        <w:t>附：委托代理人身份证正反面复印件</w:t>
      </w:r>
    </w:p>
    <w:p w14:paraId="186333BB">
      <w:pPr>
        <w:rPr>
          <w:rFonts w:ascii="宋体" w:hAnsi="宋体" w:cs="宋体"/>
          <w:b/>
          <w:color w:val="auto"/>
          <w:szCs w:val="21"/>
          <w:highlight w:val="none"/>
        </w:rPr>
      </w:pPr>
    </w:p>
    <w:p w14:paraId="30C453BF">
      <w:pPr>
        <w:pStyle w:val="8"/>
        <w:rPr>
          <w:rFonts w:ascii="宋体" w:hAnsi="宋体" w:cs="宋体"/>
          <w:b/>
          <w:color w:val="auto"/>
          <w:szCs w:val="21"/>
          <w:highlight w:val="none"/>
        </w:rPr>
      </w:pPr>
    </w:p>
    <w:p w14:paraId="76CD8373">
      <w:pPr>
        <w:pStyle w:val="8"/>
        <w:rPr>
          <w:rFonts w:ascii="宋体" w:hAnsi="宋体" w:cs="宋体"/>
          <w:b/>
          <w:color w:val="auto"/>
          <w:szCs w:val="21"/>
          <w:highlight w:val="none"/>
        </w:rPr>
      </w:pPr>
    </w:p>
    <w:p w14:paraId="4538D467">
      <w:pPr>
        <w:pStyle w:val="8"/>
        <w:rPr>
          <w:rFonts w:ascii="宋体" w:hAnsi="宋体" w:cs="宋体"/>
          <w:b/>
          <w:color w:val="auto"/>
          <w:szCs w:val="21"/>
          <w:highlight w:val="none"/>
        </w:rPr>
      </w:pPr>
    </w:p>
    <w:p w14:paraId="3039568D">
      <w:pPr>
        <w:pStyle w:val="8"/>
        <w:rPr>
          <w:rFonts w:ascii="宋体" w:hAnsi="宋体" w:cs="宋体"/>
          <w:b/>
          <w:color w:val="auto"/>
          <w:szCs w:val="21"/>
          <w:highlight w:val="none"/>
        </w:rPr>
      </w:pPr>
    </w:p>
    <w:p w14:paraId="22BA1E9D">
      <w:pPr>
        <w:pStyle w:val="8"/>
        <w:rPr>
          <w:rFonts w:ascii="宋体" w:hAnsi="宋体" w:cs="宋体"/>
          <w:b/>
          <w:color w:val="auto"/>
          <w:szCs w:val="21"/>
          <w:highlight w:val="none"/>
        </w:rPr>
      </w:pPr>
    </w:p>
    <w:p w14:paraId="59353A23">
      <w:pPr>
        <w:pStyle w:val="8"/>
        <w:rPr>
          <w:rFonts w:ascii="宋体" w:hAnsi="宋体" w:cs="宋体"/>
          <w:b/>
          <w:color w:val="auto"/>
          <w:szCs w:val="21"/>
          <w:highlight w:val="none"/>
        </w:rPr>
      </w:pPr>
    </w:p>
    <w:p w14:paraId="6A042708">
      <w:pPr>
        <w:pStyle w:val="8"/>
        <w:rPr>
          <w:rFonts w:ascii="宋体" w:hAnsi="宋体" w:cs="宋体"/>
          <w:b/>
          <w:color w:val="auto"/>
          <w:szCs w:val="21"/>
          <w:highlight w:val="none"/>
        </w:rPr>
      </w:pPr>
    </w:p>
    <w:p w14:paraId="3C5A4156">
      <w:pPr>
        <w:pStyle w:val="8"/>
        <w:rPr>
          <w:rFonts w:ascii="宋体" w:hAnsi="宋体" w:cs="宋体"/>
          <w:b/>
          <w:color w:val="auto"/>
          <w:szCs w:val="21"/>
          <w:highlight w:val="none"/>
        </w:rPr>
      </w:pPr>
    </w:p>
    <w:p w14:paraId="6D895B81">
      <w:pPr>
        <w:pStyle w:val="8"/>
        <w:rPr>
          <w:rFonts w:ascii="宋体" w:hAnsi="宋体" w:cs="宋体"/>
          <w:b/>
          <w:color w:val="auto"/>
          <w:szCs w:val="21"/>
          <w:highlight w:val="none"/>
        </w:rPr>
      </w:pPr>
    </w:p>
    <w:p w14:paraId="498846D8">
      <w:pPr>
        <w:pStyle w:val="8"/>
        <w:rPr>
          <w:rFonts w:ascii="宋体" w:hAnsi="宋体" w:cs="宋体"/>
          <w:b/>
          <w:color w:val="auto"/>
          <w:szCs w:val="21"/>
          <w:highlight w:val="none"/>
        </w:rPr>
      </w:pPr>
    </w:p>
    <w:p w14:paraId="0C12A45D">
      <w:pPr>
        <w:pStyle w:val="8"/>
        <w:rPr>
          <w:rFonts w:ascii="宋体" w:hAnsi="宋体" w:cs="宋体"/>
          <w:b/>
          <w:color w:val="auto"/>
          <w:szCs w:val="21"/>
          <w:highlight w:val="none"/>
        </w:rPr>
      </w:pPr>
    </w:p>
    <w:p w14:paraId="423839BC">
      <w:pPr>
        <w:pStyle w:val="8"/>
        <w:rPr>
          <w:rFonts w:ascii="宋体" w:hAnsi="宋体" w:cs="宋体"/>
          <w:b/>
          <w:color w:val="auto"/>
          <w:szCs w:val="21"/>
          <w:highlight w:val="none"/>
        </w:rPr>
      </w:pPr>
    </w:p>
    <w:p w14:paraId="020BB2BF">
      <w:pPr>
        <w:pStyle w:val="8"/>
        <w:rPr>
          <w:rFonts w:ascii="宋体" w:hAnsi="宋体" w:cs="宋体"/>
          <w:b/>
          <w:color w:val="auto"/>
          <w:szCs w:val="21"/>
          <w:highlight w:val="none"/>
        </w:rPr>
      </w:pPr>
    </w:p>
    <w:p w14:paraId="15D50DE0">
      <w:pPr>
        <w:pStyle w:val="8"/>
        <w:rPr>
          <w:rFonts w:ascii="宋体" w:hAnsi="宋体" w:cs="宋体"/>
          <w:b/>
          <w:color w:val="auto"/>
          <w:szCs w:val="21"/>
          <w:highlight w:val="none"/>
        </w:rPr>
      </w:pPr>
    </w:p>
    <w:p w14:paraId="2981FE9B">
      <w:pPr>
        <w:pStyle w:val="8"/>
        <w:rPr>
          <w:rFonts w:ascii="宋体" w:hAnsi="宋体" w:cs="宋体"/>
          <w:b/>
          <w:color w:val="auto"/>
          <w:szCs w:val="21"/>
          <w:highlight w:val="none"/>
        </w:rPr>
      </w:pPr>
    </w:p>
    <w:p w14:paraId="7B113B93">
      <w:pPr>
        <w:pStyle w:val="8"/>
        <w:rPr>
          <w:rFonts w:ascii="宋体" w:hAnsi="宋体" w:cs="宋体"/>
          <w:b/>
          <w:color w:val="auto"/>
          <w:szCs w:val="21"/>
          <w:highlight w:val="none"/>
        </w:rPr>
      </w:pPr>
    </w:p>
    <w:p w14:paraId="5F276A3D">
      <w:pPr>
        <w:pStyle w:val="8"/>
        <w:rPr>
          <w:rFonts w:ascii="宋体" w:hAnsi="宋体" w:cs="宋体"/>
          <w:b/>
          <w:color w:val="auto"/>
          <w:szCs w:val="21"/>
          <w:highlight w:val="none"/>
        </w:rPr>
      </w:pPr>
    </w:p>
    <w:p w14:paraId="06239F79">
      <w:pPr>
        <w:pStyle w:val="8"/>
        <w:rPr>
          <w:rFonts w:ascii="宋体" w:hAnsi="宋体" w:cs="宋体"/>
          <w:b/>
          <w:color w:val="auto"/>
          <w:szCs w:val="21"/>
          <w:highlight w:val="none"/>
        </w:rPr>
      </w:pPr>
    </w:p>
    <w:p w14:paraId="1FA99B5B">
      <w:pPr>
        <w:pStyle w:val="8"/>
        <w:rPr>
          <w:rFonts w:ascii="宋体" w:hAnsi="宋体" w:cs="宋体"/>
          <w:b/>
          <w:color w:val="auto"/>
          <w:szCs w:val="21"/>
          <w:highlight w:val="none"/>
        </w:rPr>
      </w:pPr>
    </w:p>
    <w:p w14:paraId="48B9C6F4">
      <w:pPr>
        <w:pStyle w:val="8"/>
        <w:rPr>
          <w:rFonts w:ascii="宋体" w:hAnsi="宋体" w:cs="宋体"/>
          <w:b/>
          <w:color w:val="auto"/>
          <w:szCs w:val="21"/>
          <w:highlight w:val="none"/>
        </w:rPr>
      </w:pPr>
    </w:p>
    <w:p w14:paraId="1A1250C4">
      <w:pPr>
        <w:rPr>
          <w:rFonts w:ascii="宋体" w:hAnsi="宋体" w:cs="宋体"/>
          <w:b/>
          <w:color w:val="auto"/>
          <w:szCs w:val="21"/>
          <w:highlight w:val="none"/>
        </w:rPr>
      </w:pPr>
    </w:p>
    <w:p w14:paraId="4BB125AD">
      <w:pPr>
        <w:rPr>
          <w:rFonts w:ascii="宋体" w:hAnsi="宋体" w:cs="宋体"/>
          <w:color w:val="auto"/>
          <w:highlight w:val="none"/>
        </w:rPr>
      </w:pPr>
    </w:p>
    <w:p w14:paraId="65FF39B5">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p>
    <w:p w14:paraId="0B55C91F">
      <w:pPr>
        <w:pStyle w:val="12"/>
        <w:spacing w:line="400" w:lineRule="exact"/>
        <w:ind w:left="420" w:leftChars="200" w:firstLine="156" w:firstLineChars="49"/>
        <w:rPr>
          <w:rFonts w:hAnsi="宋体" w:cs="宋体"/>
          <w:b/>
          <w:color w:val="auto"/>
          <w:sz w:val="32"/>
          <w:szCs w:val="32"/>
          <w:highlight w:val="none"/>
        </w:rPr>
      </w:pPr>
      <w:r>
        <w:rPr>
          <w:rFonts w:hint="eastAsia" w:hAnsi="宋体" w:cs="宋体"/>
          <w:b/>
          <w:color w:val="auto"/>
          <w:sz w:val="32"/>
          <w:szCs w:val="32"/>
          <w:highlight w:val="none"/>
        </w:rPr>
        <w:t xml:space="preserve">                       </w:t>
      </w:r>
    </w:p>
    <w:p w14:paraId="7511611B">
      <w:pPr>
        <w:pStyle w:val="12"/>
        <w:spacing w:line="400" w:lineRule="exact"/>
        <w:rPr>
          <w:rFonts w:hAnsi="宋体" w:cs="宋体"/>
          <w:b/>
          <w:color w:val="auto"/>
          <w:sz w:val="32"/>
          <w:szCs w:val="32"/>
          <w:highlight w:val="none"/>
        </w:rPr>
      </w:pPr>
      <w:r>
        <w:rPr>
          <w:rFonts w:hint="eastAsia" w:hAnsi="宋体" w:cs="宋体"/>
          <w:b/>
          <w:color w:val="auto"/>
          <w:sz w:val="32"/>
          <w:szCs w:val="32"/>
          <w:highlight w:val="none"/>
        </w:rPr>
        <w:t>附件：</w:t>
      </w:r>
    </w:p>
    <w:p w14:paraId="36C74783">
      <w:pPr>
        <w:pStyle w:val="12"/>
        <w:spacing w:line="400" w:lineRule="exact"/>
        <w:jc w:val="center"/>
        <w:rPr>
          <w:rFonts w:hAnsi="宋体" w:cs="宋体"/>
          <w:b/>
          <w:color w:val="auto"/>
          <w:sz w:val="32"/>
          <w:szCs w:val="32"/>
          <w:highlight w:val="none"/>
        </w:rPr>
      </w:pPr>
      <w:bookmarkStart w:id="185" w:name="_Toc30890_WPSOffice_Level1"/>
      <w:bookmarkStart w:id="186" w:name="_Toc30304_WPSOffice_Level1"/>
      <w:r>
        <w:rPr>
          <w:rFonts w:hint="eastAsia" w:hAnsi="宋体" w:cs="宋体"/>
          <w:b/>
          <w:color w:val="auto"/>
          <w:sz w:val="32"/>
          <w:szCs w:val="32"/>
          <w:highlight w:val="none"/>
        </w:rPr>
        <w:t>声   明</w:t>
      </w:r>
      <w:bookmarkEnd w:id="185"/>
      <w:bookmarkEnd w:id="186"/>
    </w:p>
    <w:p w14:paraId="160F4C6D">
      <w:pPr>
        <w:pStyle w:val="12"/>
        <w:spacing w:line="400" w:lineRule="exact"/>
        <w:rPr>
          <w:rFonts w:hAnsi="宋体" w:cs="宋体"/>
          <w:b/>
          <w:color w:val="auto"/>
          <w:sz w:val="32"/>
          <w:szCs w:val="32"/>
          <w:highlight w:val="none"/>
        </w:rPr>
      </w:pPr>
    </w:p>
    <w:p w14:paraId="63F3B149">
      <w:pPr>
        <w:pStyle w:val="12"/>
        <w:spacing w:line="400" w:lineRule="exact"/>
        <w:rPr>
          <w:rFonts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广西安臻工程管理有限公司 </w:t>
      </w:r>
    </w:p>
    <w:p w14:paraId="16E5267F">
      <w:pPr>
        <w:rPr>
          <w:rFonts w:ascii="宋体" w:hAnsi="宋体" w:cs="宋体"/>
          <w:color w:val="auto"/>
          <w:szCs w:val="21"/>
          <w:highlight w:val="none"/>
          <w:u w:val="single"/>
        </w:rPr>
      </w:pPr>
    </w:p>
    <w:p w14:paraId="70029BF8">
      <w:pPr>
        <w:pStyle w:val="8"/>
        <w:rPr>
          <w:rFonts w:ascii="宋体" w:hAnsi="宋体" w:cs="宋体"/>
          <w:color w:val="auto"/>
          <w:highlight w:val="none"/>
        </w:rPr>
      </w:pPr>
    </w:p>
    <w:p w14:paraId="2F265E06">
      <w:pPr>
        <w:pStyle w:val="12"/>
        <w:spacing w:line="400" w:lineRule="exact"/>
        <w:ind w:firstLine="420" w:firstLineChars="200"/>
        <w:rPr>
          <w:rFonts w:hAnsi="宋体" w:cs="宋体"/>
          <w:color w:val="auto"/>
          <w:highlight w:val="none"/>
        </w:rPr>
      </w:pPr>
      <w:r>
        <w:rPr>
          <w:rFonts w:hint="eastAsia" w:hAnsi="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DF1D96E">
      <w:pPr>
        <w:rPr>
          <w:rFonts w:ascii="宋体" w:hAnsi="宋体" w:cs="宋体"/>
          <w:color w:val="auto"/>
          <w:highlight w:val="none"/>
        </w:rPr>
      </w:pPr>
    </w:p>
    <w:p w14:paraId="722F3536">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18195A52">
      <w:pPr>
        <w:pStyle w:val="12"/>
        <w:ind w:firstLine="3990" w:firstLineChars="1900"/>
        <w:rPr>
          <w:rFonts w:hAnsi="宋体" w:cs="宋体"/>
          <w:color w:val="auto"/>
          <w:highlight w:val="none"/>
          <w:u w:val="single"/>
        </w:rPr>
      </w:pPr>
      <w:r>
        <w:rPr>
          <w:rFonts w:hint="eastAsia" w:hAnsi="宋体" w:cs="宋体"/>
          <w:color w:val="auto"/>
          <w:highlight w:val="none"/>
        </w:rPr>
        <w:t>日          期：</w:t>
      </w:r>
      <w:r>
        <w:rPr>
          <w:rFonts w:hint="eastAsia" w:hAnsi="宋体" w:cs="宋体"/>
          <w:color w:val="auto"/>
          <w:highlight w:val="none"/>
          <w:u w:val="single"/>
        </w:rPr>
        <w:t xml:space="preserve">                            </w:t>
      </w:r>
    </w:p>
    <w:p w14:paraId="1FAABF74">
      <w:pPr>
        <w:pStyle w:val="12"/>
        <w:spacing w:line="340" w:lineRule="exact"/>
        <w:rPr>
          <w:rFonts w:hAnsi="宋体" w:cs="宋体"/>
          <w:b/>
          <w:color w:val="auto"/>
          <w:sz w:val="28"/>
          <w:szCs w:val="28"/>
          <w:highlight w:val="none"/>
        </w:rPr>
      </w:pPr>
    </w:p>
    <w:p w14:paraId="747F7970">
      <w:pPr>
        <w:pStyle w:val="12"/>
        <w:spacing w:line="340" w:lineRule="exact"/>
        <w:rPr>
          <w:rFonts w:hAnsi="宋体" w:cs="宋体"/>
          <w:b/>
          <w:color w:val="auto"/>
          <w:sz w:val="28"/>
          <w:szCs w:val="28"/>
          <w:highlight w:val="none"/>
        </w:rPr>
      </w:pPr>
      <w:r>
        <w:rPr>
          <w:rFonts w:hint="eastAsia" w:hAnsi="宋体" w:cs="宋体"/>
          <w:b/>
          <w:color w:val="auto"/>
          <w:sz w:val="28"/>
          <w:szCs w:val="28"/>
          <w:highlight w:val="none"/>
        </w:rPr>
        <w:t>4.供应商的法人或者其他组织营业执照等证明文件复印件（必须提供，自然人除外）；</w:t>
      </w:r>
    </w:p>
    <w:p w14:paraId="5962B5A5">
      <w:pPr>
        <w:tabs>
          <w:tab w:val="left" w:pos="1305"/>
        </w:tabs>
        <w:spacing w:line="340" w:lineRule="exact"/>
        <w:rPr>
          <w:rFonts w:ascii="宋体" w:hAnsi="宋体" w:cs="宋体"/>
          <w:b/>
          <w:color w:val="auto"/>
          <w:szCs w:val="21"/>
          <w:highlight w:val="none"/>
        </w:rPr>
      </w:pPr>
    </w:p>
    <w:p w14:paraId="3ADF73CD">
      <w:pPr>
        <w:tabs>
          <w:tab w:val="left" w:pos="1305"/>
        </w:tabs>
        <w:spacing w:line="400" w:lineRule="exact"/>
        <w:rPr>
          <w:rFonts w:ascii="宋体" w:hAnsi="宋体" w:cs="宋体"/>
          <w:b/>
          <w:color w:val="auto"/>
          <w:szCs w:val="21"/>
          <w:highlight w:val="none"/>
        </w:rPr>
      </w:pPr>
      <w:r>
        <w:rPr>
          <w:rFonts w:hint="eastAsia" w:ascii="宋体" w:hAnsi="宋体" w:cs="宋体"/>
          <w:b/>
          <w:color w:val="auto"/>
          <w:szCs w:val="21"/>
          <w:highlight w:val="none"/>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如为分支机构或分公司参与投标，需提供具有法人资格的总公司的营业执照副本复印件及授权书，授权书须加盖总公司的公章。总公司可就本项目在一定范围及时间内出具授权书。已由总公司授权的，总公司取得的相关资质证书对分支机构或分公司有效，法律法规或者行业另有规定的除外。（所需材料均为复印件）。</w:t>
      </w:r>
    </w:p>
    <w:p w14:paraId="296A58CA">
      <w:pPr>
        <w:rPr>
          <w:rFonts w:ascii="宋体" w:hAnsi="宋体" w:cs="宋体"/>
          <w:b/>
          <w:bCs/>
          <w:color w:val="auto"/>
          <w:sz w:val="28"/>
          <w:szCs w:val="28"/>
          <w:highlight w:val="none"/>
        </w:rPr>
      </w:pPr>
    </w:p>
    <w:p w14:paraId="6FDD04A3">
      <w:pPr>
        <w:pStyle w:val="12"/>
        <w:spacing w:line="340" w:lineRule="exact"/>
        <w:rPr>
          <w:rFonts w:hAnsi="宋体" w:cs="宋体"/>
          <w:b/>
          <w:color w:val="auto"/>
          <w:sz w:val="28"/>
          <w:szCs w:val="28"/>
          <w:highlight w:val="none"/>
        </w:rPr>
      </w:pPr>
      <w:r>
        <w:rPr>
          <w:rFonts w:hint="eastAsia" w:hAnsi="宋体" w:cs="宋体"/>
          <w:b/>
          <w:color w:val="auto"/>
          <w:sz w:val="28"/>
          <w:szCs w:val="28"/>
          <w:highlight w:val="none"/>
        </w:rPr>
        <w:t>5.供应商的财务状况报告（提供2023年以来任意年度经审计的财务报告扫描件或者其基本开户银行出具的资信证明或者截标时间前半年内至少一个月能反映财务状况的报表或者供应商自拟的截标时间前半年内至少一个月的财务情况说明）（必须提供）；</w:t>
      </w:r>
    </w:p>
    <w:p w14:paraId="0D07D775">
      <w:pPr>
        <w:pStyle w:val="12"/>
        <w:spacing w:line="340" w:lineRule="exact"/>
        <w:rPr>
          <w:rFonts w:hAnsi="宋体" w:cs="宋体"/>
          <w:b/>
          <w:color w:val="auto"/>
          <w:sz w:val="28"/>
          <w:szCs w:val="28"/>
          <w:highlight w:val="none"/>
        </w:rPr>
      </w:pPr>
    </w:p>
    <w:p w14:paraId="00E148E6">
      <w:pPr>
        <w:pStyle w:val="6"/>
        <w:rPr>
          <w:rFonts w:ascii="宋体" w:hAnsi="宋体" w:cs="宋体"/>
          <w:color w:val="auto"/>
          <w:highlight w:val="none"/>
        </w:rPr>
      </w:pPr>
    </w:p>
    <w:p w14:paraId="5DB6452B">
      <w:pPr>
        <w:pStyle w:val="6"/>
        <w:numPr>
          <w:ilvl w:val="0"/>
          <w:numId w:val="2"/>
        </w:numPr>
        <w:ind w:left="0"/>
        <w:rPr>
          <w:rFonts w:ascii="宋体" w:hAnsi="宋体" w:cs="宋体"/>
          <w:b/>
          <w:color w:val="auto"/>
          <w:sz w:val="28"/>
          <w:szCs w:val="28"/>
          <w:highlight w:val="none"/>
        </w:rPr>
      </w:pPr>
      <w:r>
        <w:rPr>
          <w:rFonts w:hint="eastAsia" w:ascii="宋体" w:hAnsi="宋体" w:cs="宋体"/>
          <w:b/>
          <w:color w:val="auto"/>
          <w:sz w:val="28"/>
          <w:szCs w:val="28"/>
          <w:highlight w:val="none"/>
        </w:rPr>
        <w:t>供应商在磋商当天前近半年内任意一个月或任一季度依法缴纳税收的证明材料（增值税发票(税收完税证明)或企业所得税完税证明或税务部门出具的免税证明）复印件（必须提供）；</w:t>
      </w:r>
    </w:p>
    <w:p w14:paraId="0071E67E">
      <w:pPr>
        <w:rPr>
          <w:color w:val="auto"/>
          <w:highlight w:val="none"/>
        </w:rPr>
      </w:pPr>
    </w:p>
    <w:p w14:paraId="4F6E8BCF">
      <w:pPr>
        <w:pStyle w:val="29"/>
        <w:rPr>
          <w:color w:val="auto"/>
          <w:highlight w:val="none"/>
        </w:rPr>
      </w:pPr>
    </w:p>
    <w:p w14:paraId="4D939ABB">
      <w:pPr>
        <w:pStyle w:val="6"/>
        <w:ind w:left="0"/>
        <w:rPr>
          <w:rFonts w:ascii="宋体" w:hAnsi="宋体" w:cs="宋体"/>
          <w:b/>
          <w:color w:val="auto"/>
          <w:sz w:val="28"/>
          <w:szCs w:val="28"/>
          <w:highlight w:val="none"/>
        </w:rPr>
      </w:pPr>
      <w:r>
        <w:rPr>
          <w:rFonts w:ascii="宋体" w:hAnsi="宋体" w:cs="宋体"/>
          <w:b/>
          <w:color w:val="auto"/>
          <w:sz w:val="28"/>
          <w:szCs w:val="28"/>
          <w:highlight w:val="none"/>
        </w:rPr>
        <w:t>7、</w:t>
      </w:r>
      <w:r>
        <w:rPr>
          <w:rFonts w:hint="eastAsia" w:ascii="宋体" w:hAnsi="宋体" w:cs="宋体"/>
          <w:b/>
          <w:color w:val="auto"/>
          <w:sz w:val="28"/>
          <w:szCs w:val="28"/>
          <w:highlight w:val="none"/>
        </w:rPr>
        <w:t>供应商近半年内任意一个月或任一季度依法缴纳社会保障资金的相关材料（必须提供）；</w:t>
      </w:r>
    </w:p>
    <w:p w14:paraId="34886381">
      <w:pPr>
        <w:pStyle w:val="8"/>
        <w:rPr>
          <w:rFonts w:ascii="宋体" w:hAnsi="Courier New"/>
          <w:b/>
          <w:color w:val="auto"/>
          <w:kern w:val="0"/>
          <w:sz w:val="28"/>
          <w:szCs w:val="28"/>
          <w:highlight w:val="none"/>
        </w:rPr>
      </w:pPr>
    </w:p>
    <w:p w14:paraId="6F5E2BD8">
      <w:pPr>
        <w:rPr>
          <w:color w:val="auto"/>
          <w:highlight w:val="none"/>
        </w:rPr>
      </w:pPr>
    </w:p>
    <w:p w14:paraId="0AC4F176">
      <w:pPr>
        <w:pStyle w:val="8"/>
        <w:rPr>
          <w:rFonts w:ascii="宋体" w:hAnsi="Courier New"/>
          <w:b/>
          <w:color w:val="auto"/>
          <w:kern w:val="0"/>
          <w:sz w:val="28"/>
          <w:szCs w:val="28"/>
          <w:highlight w:val="none"/>
        </w:rPr>
      </w:pPr>
      <w:r>
        <w:rPr>
          <w:rFonts w:ascii="宋体" w:hAnsi="Courier New"/>
          <w:b/>
          <w:color w:val="auto"/>
          <w:kern w:val="0"/>
          <w:sz w:val="28"/>
          <w:szCs w:val="28"/>
          <w:highlight w:val="none"/>
        </w:rPr>
        <w:t>8</w:t>
      </w:r>
      <w:r>
        <w:rPr>
          <w:rFonts w:hint="eastAsia" w:ascii="宋体" w:hAnsi="Courier New"/>
          <w:b/>
          <w:color w:val="auto"/>
          <w:kern w:val="0"/>
          <w:sz w:val="28"/>
          <w:szCs w:val="28"/>
          <w:highlight w:val="none"/>
        </w:rPr>
        <w:t>.《中小企业声明函》（见附件）（如有，请提供）；</w:t>
      </w:r>
    </w:p>
    <w:p w14:paraId="406FF63D">
      <w:pPr>
        <w:pStyle w:val="12"/>
        <w:rPr>
          <w:rFonts w:ascii="Times New Roman" w:hAnsi="Times New Roman"/>
          <w:b/>
          <w:bCs/>
          <w:color w:val="auto"/>
          <w:sz w:val="32"/>
          <w:szCs w:val="32"/>
          <w:highlight w:val="none"/>
        </w:rPr>
      </w:pPr>
      <w:r>
        <w:rPr>
          <w:rFonts w:hint="eastAsia" w:ascii="Times New Roman" w:hAnsi="Times New Roman"/>
          <w:b/>
          <w:bCs/>
          <w:color w:val="auto"/>
          <w:sz w:val="32"/>
          <w:szCs w:val="32"/>
          <w:highlight w:val="none"/>
        </w:rPr>
        <w:t>附件：</w:t>
      </w:r>
    </w:p>
    <w:p w14:paraId="224648BF">
      <w:pPr>
        <w:pStyle w:val="12"/>
        <w:spacing w:line="440" w:lineRule="exact"/>
        <w:jc w:val="center"/>
        <w:rPr>
          <w:rFonts w:ascii="Times New Roman" w:hAnsi="Times New Roman"/>
          <w:b/>
          <w:bCs/>
          <w:color w:val="auto"/>
          <w:sz w:val="28"/>
          <w:szCs w:val="28"/>
          <w:highlight w:val="none"/>
        </w:rPr>
      </w:pPr>
      <w:r>
        <w:rPr>
          <w:rFonts w:ascii="Times New Roman" w:hAnsi="Times New Roman"/>
          <w:b/>
          <w:bCs/>
          <w:color w:val="auto"/>
          <w:sz w:val="28"/>
          <w:szCs w:val="28"/>
          <w:highlight w:val="none"/>
        </w:rPr>
        <w:t>中小企业声明函</w:t>
      </w:r>
    </w:p>
    <w:p w14:paraId="7D617EE8">
      <w:pPr>
        <w:pStyle w:val="12"/>
        <w:spacing w:line="440" w:lineRule="exact"/>
        <w:ind w:firstLine="444" w:firstLineChars="200"/>
        <w:rPr>
          <w:rFonts w:hAnsi="宋体" w:cs="宋体"/>
          <w:color w:val="auto"/>
          <w:spacing w:val="6"/>
          <w:szCs w:val="21"/>
          <w:highlight w:val="none"/>
        </w:rPr>
      </w:pPr>
      <w:r>
        <w:rPr>
          <w:rFonts w:hint="eastAsia" w:hAnsi="宋体" w:cs="宋体"/>
          <w:color w:val="auto"/>
          <w:spacing w:val="6"/>
          <w:szCs w:val="21"/>
          <w:highlight w:val="none"/>
        </w:rPr>
        <w:t>本公司（联合体）郑重声明，根据《政府采购促进中小企业发展管理办法》（财库﹝2020﹞46 号）的规定，本公司（联合体）参加（</w:t>
      </w:r>
      <w:r>
        <w:rPr>
          <w:rFonts w:hint="eastAsia" w:hAnsi="宋体" w:cs="宋体"/>
          <w:color w:val="auto"/>
          <w:spacing w:val="6"/>
          <w:szCs w:val="21"/>
          <w:highlight w:val="none"/>
          <w:u w:val="single"/>
        </w:rPr>
        <w:t>单位名称</w:t>
      </w:r>
      <w:r>
        <w:rPr>
          <w:rFonts w:hint="eastAsia" w:hAnsi="宋体" w:cs="宋体"/>
          <w:color w:val="auto"/>
          <w:spacing w:val="6"/>
          <w:szCs w:val="21"/>
          <w:highlight w:val="none"/>
        </w:rPr>
        <w:t>）的（</w:t>
      </w:r>
      <w:r>
        <w:rPr>
          <w:rFonts w:hint="eastAsia" w:hAnsi="宋体" w:cs="宋体"/>
          <w:color w:val="auto"/>
          <w:spacing w:val="6"/>
          <w:szCs w:val="21"/>
          <w:highlight w:val="none"/>
          <w:u w:val="single"/>
        </w:rPr>
        <w:t>项目名称</w:t>
      </w:r>
      <w:r>
        <w:rPr>
          <w:rFonts w:hint="eastAsia" w:hAnsi="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4E7AFA">
      <w:pPr>
        <w:pStyle w:val="12"/>
        <w:spacing w:line="440" w:lineRule="exact"/>
        <w:ind w:firstLine="444" w:firstLineChars="200"/>
        <w:rPr>
          <w:color w:val="auto"/>
          <w:szCs w:val="21"/>
          <w:highlight w:val="none"/>
        </w:rPr>
      </w:pPr>
      <w:r>
        <w:rPr>
          <w:rFonts w:hint="eastAsia" w:hAnsi="宋体" w:cs="宋体"/>
          <w:color w:val="auto"/>
          <w:spacing w:val="6"/>
          <w:szCs w:val="21"/>
          <w:highlight w:val="none"/>
        </w:rPr>
        <w:t>1.</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 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 万元，属于（</w:t>
      </w:r>
      <w:r>
        <w:rPr>
          <w:rFonts w:hint="eastAsia" w:hAnsi="宋体" w:cs="宋体"/>
          <w:color w:val="auto"/>
          <w:spacing w:val="6"/>
          <w:szCs w:val="21"/>
          <w:highlight w:val="none"/>
          <w:u w:val="single"/>
        </w:rPr>
        <w:t>中型企业、 小型企业、微型企业</w:t>
      </w:r>
      <w:r>
        <w:rPr>
          <w:rFonts w:hint="eastAsia" w:hAnsi="宋体" w:cs="宋体"/>
          <w:color w:val="auto"/>
          <w:spacing w:val="6"/>
          <w:szCs w:val="21"/>
          <w:highlight w:val="none"/>
        </w:rPr>
        <w:t>）</w:t>
      </w:r>
    </w:p>
    <w:p w14:paraId="7DD0837C">
      <w:pPr>
        <w:widowControl/>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2.</w:t>
      </w:r>
      <w:r>
        <w:rPr>
          <w:rFonts w:hint="eastAsia" w:ascii="宋体" w:hAnsi="宋体" w:cs="宋体"/>
          <w:color w:val="auto"/>
          <w:spacing w:val="6"/>
          <w:szCs w:val="21"/>
          <w:highlight w:val="none"/>
          <w:u w:val="single"/>
        </w:rPr>
        <w:t xml:space="preserve">（标的名称） </w:t>
      </w:r>
      <w:r>
        <w:rPr>
          <w:rFonts w:hint="eastAsia" w:ascii="宋体" w:hAnsi="宋体" w:cs="宋体"/>
          <w:color w:val="auto"/>
          <w:spacing w:val="6"/>
          <w:szCs w:val="21"/>
          <w:highlight w:val="none"/>
        </w:rPr>
        <w:t>，属于</w:t>
      </w:r>
      <w:r>
        <w:rPr>
          <w:rFonts w:hint="eastAsia" w:ascii="宋体" w:hAnsi="宋体" w:cs="宋体"/>
          <w:color w:val="auto"/>
          <w:spacing w:val="6"/>
          <w:szCs w:val="21"/>
          <w:highlight w:val="none"/>
          <w:u w:val="single"/>
        </w:rPr>
        <w:t>（采购文件中明确的所属行业）</w:t>
      </w:r>
      <w:r>
        <w:rPr>
          <w:rFonts w:hint="eastAsia" w:ascii="宋体" w:hAnsi="宋体" w:cs="宋体"/>
          <w:color w:val="auto"/>
          <w:spacing w:val="6"/>
          <w:szCs w:val="21"/>
          <w:highlight w:val="none"/>
        </w:rPr>
        <w:t>；承建（承接）企业为（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人，营业收入为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万元，资产总额为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万元，属于（</w:t>
      </w:r>
      <w:r>
        <w:rPr>
          <w:rFonts w:hint="eastAsia" w:ascii="宋体" w:hAnsi="宋体" w:cs="宋体"/>
          <w:color w:val="auto"/>
          <w:spacing w:val="6"/>
          <w:szCs w:val="21"/>
          <w:highlight w:val="none"/>
          <w:u w:val="single"/>
        </w:rPr>
        <w:t>中型企业、 小型企业、微型企业</w:t>
      </w:r>
      <w:r>
        <w:rPr>
          <w:rFonts w:hint="eastAsia" w:ascii="宋体" w:hAnsi="宋体" w:cs="宋体"/>
          <w:color w:val="auto"/>
          <w:spacing w:val="6"/>
          <w:szCs w:val="21"/>
          <w:highlight w:val="none"/>
        </w:rPr>
        <w:t>）；</w:t>
      </w:r>
    </w:p>
    <w:p w14:paraId="435134DE">
      <w:pPr>
        <w:pStyle w:val="6"/>
        <w:ind w:left="0"/>
        <w:rPr>
          <w:color w:val="auto"/>
          <w:szCs w:val="21"/>
          <w:highlight w:val="none"/>
        </w:rPr>
      </w:pPr>
      <w:r>
        <w:rPr>
          <w:rFonts w:hint="eastAsia"/>
          <w:color w:val="auto"/>
          <w:szCs w:val="21"/>
          <w:highlight w:val="none"/>
        </w:rPr>
        <w:t>……</w:t>
      </w:r>
    </w:p>
    <w:p w14:paraId="1D65F634">
      <w:pPr>
        <w:widowControl/>
        <w:jc w:val="left"/>
        <w:rPr>
          <w:rFonts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6BA2DC4A">
      <w:pPr>
        <w:widowControl/>
        <w:jc w:val="left"/>
        <w:rPr>
          <w:rFonts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61E9F3F3">
      <w:pPr>
        <w:widowControl/>
        <w:ind w:firstLine="5106" w:firstLineChars="2300"/>
        <w:jc w:val="left"/>
        <w:rPr>
          <w:rFonts w:ascii="宋体" w:hAnsi="宋体" w:cs="宋体"/>
          <w:color w:val="auto"/>
          <w:spacing w:val="6"/>
          <w:szCs w:val="21"/>
          <w:highlight w:val="none"/>
        </w:rPr>
      </w:pPr>
      <w:r>
        <w:rPr>
          <w:rFonts w:hint="eastAsia" w:ascii="宋体" w:hAnsi="宋体" w:cs="宋体"/>
          <w:color w:val="auto"/>
          <w:spacing w:val="6"/>
          <w:szCs w:val="21"/>
          <w:highlight w:val="none"/>
        </w:rPr>
        <w:t xml:space="preserve">企业名称（盖章）： </w:t>
      </w:r>
    </w:p>
    <w:p w14:paraId="67408EDC">
      <w:pPr>
        <w:widowControl/>
        <w:ind w:firstLine="5106" w:firstLineChars="2300"/>
        <w:jc w:val="left"/>
        <w:rPr>
          <w:rFonts w:ascii="宋体" w:hAnsi="宋体" w:cs="宋体"/>
          <w:color w:val="auto"/>
          <w:spacing w:val="6"/>
          <w:szCs w:val="21"/>
          <w:highlight w:val="none"/>
        </w:rPr>
      </w:pPr>
      <w:r>
        <w:rPr>
          <w:rFonts w:hint="eastAsia" w:ascii="宋体" w:hAnsi="宋体" w:cs="宋体"/>
          <w:color w:val="auto"/>
          <w:spacing w:val="6"/>
          <w:szCs w:val="21"/>
          <w:highlight w:val="none"/>
        </w:rPr>
        <w:t>日 期：</w:t>
      </w:r>
    </w:p>
    <w:p w14:paraId="32B5891B">
      <w:pPr>
        <w:pStyle w:val="6"/>
        <w:ind w:left="0"/>
        <w:rPr>
          <w:color w:val="auto"/>
          <w:highlight w:val="none"/>
        </w:rPr>
      </w:pPr>
    </w:p>
    <w:p w14:paraId="79599BF5">
      <w:pPr>
        <w:widowControl/>
        <w:jc w:val="left"/>
        <w:rPr>
          <w:color w:val="auto"/>
          <w:highlight w:val="none"/>
        </w:rPr>
      </w:pPr>
    </w:p>
    <w:p w14:paraId="7DC10D52">
      <w:pPr>
        <w:widowControl/>
        <w:jc w:val="left"/>
        <w:rPr>
          <w:rFonts w:ascii="宋体" w:hAnsi="Courier New"/>
          <w:b/>
          <w:color w:val="auto"/>
          <w:kern w:val="0"/>
          <w:sz w:val="28"/>
          <w:szCs w:val="28"/>
          <w:highlight w:val="none"/>
        </w:rPr>
      </w:pPr>
      <w:r>
        <w:rPr>
          <w:rFonts w:hint="eastAsia" w:ascii="宋体" w:hAnsi="宋体" w:cs="宋体"/>
          <w:color w:val="auto"/>
          <w:kern w:val="0"/>
          <w:sz w:val="18"/>
          <w:szCs w:val="18"/>
          <w:highlight w:val="none"/>
        </w:rPr>
        <w:t>注：从业人员、营业收入、资产总额填报上一年度数据，无上一年度数据的新成立企业可不填报。</w:t>
      </w:r>
    </w:p>
    <w:p w14:paraId="722904C9">
      <w:pPr>
        <w:pStyle w:val="8"/>
        <w:rPr>
          <w:rFonts w:ascii="宋体" w:hAnsi="Courier New"/>
          <w:b/>
          <w:color w:val="auto"/>
          <w:kern w:val="0"/>
          <w:sz w:val="28"/>
          <w:szCs w:val="28"/>
          <w:highlight w:val="none"/>
        </w:rPr>
      </w:pPr>
    </w:p>
    <w:p w14:paraId="2AA998EB">
      <w:pPr>
        <w:pStyle w:val="8"/>
        <w:rPr>
          <w:rFonts w:ascii="宋体" w:hAnsi="Courier New"/>
          <w:b/>
          <w:color w:val="auto"/>
          <w:kern w:val="0"/>
          <w:sz w:val="28"/>
          <w:szCs w:val="28"/>
          <w:highlight w:val="none"/>
        </w:rPr>
      </w:pPr>
    </w:p>
    <w:p w14:paraId="381B8931">
      <w:pPr>
        <w:pStyle w:val="8"/>
        <w:rPr>
          <w:rFonts w:ascii="宋体" w:hAnsi="Courier New"/>
          <w:b/>
          <w:color w:val="auto"/>
          <w:kern w:val="0"/>
          <w:sz w:val="28"/>
          <w:szCs w:val="28"/>
          <w:highlight w:val="none"/>
        </w:rPr>
      </w:pPr>
    </w:p>
    <w:p w14:paraId="05ADAF7C">
      <w:pPr>
        <w:pStyle w:val="8"/>
        <w:rPr>
          <w:rFonts w:ascii="宋体" w:hAnsi="Courier New"/>
          <w:b/>
          <w:color w:val="auto"/>
          <w:kern w:val="0"/>
          <w:sz w:val="28"/>
          <w:szCs w:val="28"/>
          <w:highlight w:val="none"/>
        </w:rPr>
      </w:pPr>
      <w:r>
        <w:rPr>
          <w:rFonts w:ascii="宋体" w:hAnsi="Courier New"/>
          <w:b/>
          <w:color w:val="auto"/>
          <w:kern w:val="0"/>
          <w:sz w:val="28"/>
          <w:szCs w:val="28"/>
          <w:highlight w:val="none"/>
        </w:rPr>
        <w:t>9</w:t>
      </w:r>
      <w:r>
        <w:rPr>
          <w:rFonts w:hint="eastAsia" w:ascii="宋体" w:hAnsi="Courier New"/>
          <w:b/>
          <w:color w:val="auto"/>
          <w:kern w:val="0"/>
          <w:sz w:val="28"/>
          <w:szCs w:val="28"/>
          <w:highlight w:val="none"/>
        </w:rPr>
        <w:t>.如提供服务的供应商属于监狱企业的，应当提供由省级以上监狱管理局、戒毒管理局等（含新疆生产建设兵团）出具的属于监狱企业的证明文件, 否则不予享受优惠政策（如有，请提供）；</w:t>
      </w:r>
    </w:p>
    <w:p w14:paraId="7331D108">
      <w:pPr>
        <w:spacing w:line="588" w:lineRule="exact"/>
        <w:jc w:val="center"/>
        <w:rPr>
          <w:rFonts w:ascii="宋体" w:hAnsi="宋体" w:cs="宋体"/>
          <w:b/>
          <w:color w:val="auto"/>
          <w:spacing w:val="6"/>
          <w:sz w:val="28"/>
          <w:szCs w:val="28"/>
          <w:highlight w:val="none"/>
        </w:rPr>
      </w:pPr>
    </w:p>
    <w:p w14:paraId="592D0775">
      <w:pPr>
        <w:spacing w:line="588" w:lineRule="exact"/>
        <w:jc w:val="center"/>
        <w:rPr>
          <w:rFonts w:ascii="宋体" w:cs="宋体"/>
          <w:b/>
          <w:color w:val="auto"/>
          <w:spacing w:val="6"/>
          <w:sz w:val="28"/>
          <w:szCs w:val="28"/>
          <w:highlight w:val="none"/>
        </w:rPr>
      </w:pPr>
      <w:r>
        <w:rPr>
          <w:rFonts w:hint="eastAsia" w:ascii="宋体" w:hAnsi="宋体" w:cs="宋体"/>
          <w:b/>
          <w:color w:val="auto"/>
          <w:spacing w:val="6"/>
          <w:sz w:val="28"/>
          <w:szCs w:val="28"/>
          <w:highlight w:val="none"/>
        </w:rPr>
        <w:t>残疾人福利性单位声明函</w:t>
      </w:r>
    </w:p>
    <w:p w14:paraId="2F83EE8B">
      <w:pPr>
        <w:spacing w:line="588"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本单位郑重声明，根据《财政部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民政部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中国残疾人联合会关于促进残疾人就业政府采购政策的通知》（财库</w:t>
      </w:r>
      <w:r>
        <w:rPr>
          <w:rFonts w:hint="eastAsia" w:ascii="宋体" w:hAnsi="宋体" w:cs="宋体"/>
          <w:color w:val="auto"/>
          <w:szCs w:val="21"/>
          <w:highlight w:val="none"/>
        </w:rPr>
        <w:t>〔</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 xml:space="preserve"> 141</w:t>
      </w:r>
      <w:r>
        <w:rPr>
          <w:rFonts w:hint="eastAsia" w:ascii="宋体" w:hAnsi="宋体" w:cs="宋体"/>
          <w:color w:val="auto"/>
          <w:spacing w:val="6"/>
          <w:szCs w:val="21"/>
          <w:highlight w:val="none"/>
        </w:rPr>
        <w:t>号）的规定，本单位为符合条件的残疾人福利性单位，且本单位参加</w:t>
      </w:r>
      <w:r>
        <w:rPr>
          <w:rFonts w:ascii="宋体" w:hAnsi="宋体" w:cs="宋体"/>
          <w:color w:val="auto"/>
          <w:spacing w:val="6"/>
          <w:szCs w:val="21"/>
          <w:highlight w:val="none"/>
        </w:rPr>
        <w:t>______</w:t>
      </w:r>
      <w:r>
        <w:rPr>
          <w:rFonts w:hint="eastAsia" w:ascii="宋体" w:hAnsi="宋体" w:cs="宋体"/>
          <w:color w:val="auto"/>
          <w:spacing w:val="6"/>
          <w:szCs w:val="21"/>
          <w:highlight w:val="none"/>
        </w:rPr>
        <w:t>单位的</w:t>
      </w:r>
      <w:r>
        <w:rPr>
          <w:rFonts w:ascii="宋体" w:hAnsi="宋体" w:cs="宋体"/>
          <w:color w:val="auto"/>
          <w:spacing w:val="6"/>
          <w:szCs w:val="21"/>
          <w:highlight w:val="none"/>
        </w:rPr>
        <w:t>______</w:t>
      </w:r>
      <w:r>
        <w:rPr>
          <w:rFonts w:hint="eastAsia" w:ascii="宋体" w:hAnsi="宋体" w:cs="宋体"/>
          <w:color w:val="auto"/>
          <w:spacing w:val="6"/>
          <w:szCs w:val="21"/>
          <w:highlight w:val="none"/>
        </w:rPr>
        <w:t>项目采购活动提供本单位制造的货物（由本单位承担工程</w:t>
      </w:r>
      <w:r>
        <w:rPr>
          <w:rFonts w:ascii="宋体" w:hAnsi="宋体" w:cs="宋体"/>
          <w:color w:val="auto"/>
          <w:spacing w:val="6"/>
          <w:szCs w:val="21"/>
          <w:highlight w:val="none"/>
        </w:rPr>
        <w:t>/</w:t>
      </w:r>
      <w:r>
        <w:rPr>
          <w:rFonts w:hint="eastAsia" w:ascii="宋体" w:hAnsi="宋体" w:cs="宋体"/>
          <w:color w:val="auto"/>
          <w:spacing w:val="6"/>
          <w:szCs w:val="21"/>
          <w:highlight w:val="none"/>
        </w:rPr>
        <w:t>提供服务），或者提供其他残疾人福利性单位制造的货物（不包括使用非残疾人福利性单位注册商标的货物）。</w:t>
      </w:r>
    </w:p>
    <w:p w14:paraId="73631892">
      <w:pPr>
        <w:spacing w:line="588"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BB27D38">
      <w:pPr>
        <w:rPr>
          <w:rFonts w:ascii="宋体" w:cs="宋体"/>
          <w:color w:val="auto"/>
          <w:szCs w:val="21"/>
          <w:highlight w:val="none"/>
        </w:rPr>
      </w:pPr>
    </w:p>
    <w:p w14:paraId="497AA1A3">
      <w:pPr>
        <w:tabs>
          <w:tab w:val="left" w:pos="4860"/>
        </w:tabs>
        <w:spacing w:line="588" w:lineRule="exact"/>
        <w:ind w:right="1560" w:firstLine="444" w:firstLineChars="200"/>
        <w:jc w:val="center"/>
        <w:rPr>
          <w:rFonts w:ascii="宋体" w:cs="宋体"/>
          <w:color w:val="auto"/>
          <w:spacing w:val="6"/>
          <w:szCs w:val="21"/>
          <w:highlight w:val="none"/>
        </w:rPr>
      </w:pP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单位名称（公章(CA签章)）：</w:t>
      </w:r>
      <w:r>
        <w:rPr>
          <w:rFonts w:ascii="宋体" w:hAnsi="宋体" w:cs="宋体"/>
          <w:color w:val="auto"/>
          <w:spacing w:val="6"/>
          <w:szCs w:val="21"/>
          <w:highlight w:val="none"/>
        </w:rPr>
        <w:t xml:space="preserve"> </w:t>
      </w:r>
    </w:p>
    <w:p w14:paraId="23DD0884">
      <w:pPr>
        <w:pStyle w:val="12"/>
        <w:ind w:firstLine="3552" w:firstLineChars="1600"/>
        <w:rPr>
          <w:color w:val="auto"/>
          <w:szCs w:val="21"/>
          <w:highlight w:val="none"/>
        </w:rPr>
      </w:pPr>
      <w:r>
        <w:rPr>
          <w:rFonts w:hint="eastAsia" w:hAnsi="宋体" w:cs="宋体"/>
          <w:color w:val="auto"/>
          <w:spacing w:val="6"/>
          <w:szCs w:val="21"/>
          <w:highlight w:val="none"/>
        </w:rPr>
        <w:t>日</w:t>
      </w:r>
      <w:r>
        <w:rPr>
          <w:rFonts w:hAnsi="宋体" w:cs="宋体"/>
          <w:color w:val="auto"/>
          <w:spacing w:val="6"/>
          <w:szCs w:val="21"/>
          <w:highlight w:val="none"/>
        </w:rPr>
        <w:t xml:space="preserve">    </w:t>
      </w:r>
      <w:r>
        <w:rPr>
          <w:rFonts w:hint="eastAsia" w:hAnsi="宋体" w:cs="宋体"/>
          <w:color w:val="auto"/>
          <w:spacing w:val="6"/>
          <w:szCs w:val="21"/>
          <w:highlight w:val="none"/>
        </w:rPr>
        <w:t>期：</w:t>
      </w:r>
      <w:r>
        <w:rPr>
          <w:rFonts w:hAnsi="宋体" w:cs="宋体"/>
          <w:color w:val="auto"/>
          <w:spacing w:val="6"/>
          <w:szCs w:val="21"/>
          <w:highlight w:val="none"/>
        </w:rPr>
        <w:t xml:space="preserve">  </w:t>
      </w:r>
      <w:r>
        <w:rPr>
          <w:rFonts w:hint="eastAsia" w:hAnsi="宋体" w:cs="宋体"/>
          <w:color w:val="auto"/>
          <w:spacing w:val="6"/>
          <w:szCs w:val="21"/>
          <w:highlight w:val="none"/>
        </w:rPr>
        <w:t>年</w:t>
      </w:r>
      <w:r>
        <w:rPr>
          <w:rFonts w:hAnsi="宋体" w:cs="宋体"/>
          <w:color w:val="auto"/>
          <w:spacing w:val="6"/>
          <w:szCs w:val="21"/>
          <w:highlight w:val="none"/>
        </w:rPr>
        <w:t xml:space="preserve">  </w:t>
      </w:r>
      <w:r>
        <w:rPr>
          <w:rFonts w:hint="eastAsia" w:hAnsi="宋体" w:cs="宋体"/>
          <w:color w:val="auto"/>
          <w:spacing w:val="6"/>
          <w:szCs w:val="21"/>
          <w:highlight w:val="none"/>
        </w:rPr>
        <w:t>月</w:t>
      </w:r>
      <w:r>
        <w:rPr>
          <w:rFonts w:hAnsi="宋体" w:cs="宋体"/>
          <w:color w:val="auto"/>
          <w:spacing w:val="6"/>
          <w:szCs w:val="21"/>
          <w:highlight w:val="none"/>
        </w:rPr>
        <w:t xml:space="preserve">  </w:t>
      </w:r>
      <w:r>
        <w:rPr>
          <w:rFonts w:hint="eastAsia" w:hAnsi="宋体" w:cs="宋体"/>
          <w:color w:val="auto"/>
          <w:spacing w:val="6"/>
          <w:szCs w:val="21"/>
          <w:highlight w:val="none"/>
        </w:rPr>
        <w:t>日</w:t>
      </w:r>
    </w:p>
    <w:p w14:paraId="719C7F39">
      <w:pPr>
        <w:pStyle w:val="8"/>
        <w:tabs>
          <w:tab w:val="left" w:pos="2299"/>
        </w:tabs>
        <w:rPr>
          <w:color w:val="auto"/>
          <w:highlight w:val="none"/>
        </w:rPr>
      </w:pPr>
      <w:r>
        <w:rPr>
          <w:rFonts w:hint="eastAsia"/>
          <w:color w:val="auto"/>
          <w:highlight w:val="none"/>
        </w:rPr>
        <w:tab/>
      </w:r>
    </w:p>
    <w:p w14:paraId="1BC9B4A8">
      <w:pPr>
        <w:pStyle w:val="8"/>
        <w:rPr>
          <w:color w:val="auto"/>
          <w:highlight w:val="none"/>
        </w:rPr>
      </w:pPr>
    </w:p>
    <w:p w14:paraId="242449C1">
      <w:pPr>
        <w:tabs>
          <w:tab w:val="left" w:pos="1305"/>
        </w:tabs>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Cs w:val="21"/>
          <w:highlight w:val="none"/>
        </w:rPr>
        <w:t>中标、成交供应商为残疾人福利性单位的，采购人或者其委托的采购代理机构应当随中标、成交结果同时公告其《残疾人福利性单位声明函》，接受社会监督</w:t>
      </w:r>
      <w:r>
        <w:rPr>
          <w:rFonts w:hint="eastAsia" w:ascii="宋体" w:hAnsi="宋体" w:cs="宋体"/>
          <w:color w:val="auto"/>
          <w:sz w:val="24"/>
          <w:highlight w:val="none"/>
        </w:rPr>
        <w:t>。</w:t>
      </w:r>
    </w:p>
    <w:p w14:paraId="1F2E37D9">
      <w:pPr>
        <w:pStyle w:val="8"/>
        <w:rPr>
          <w:rFonts w:ascii="宋体" w:hAnsi="Courier New"/>
          <w:b/>
          <w:color w:val="auto"/>
          <w:kern w:val="0"/>
          <w:sz w:val="28"/>
          <w:szCs w:val="28"/>
          <w:highlight w:val="none"/>
        </w:rPr>
      </w:pPr>
    </w:p>
    <w:p w14:paraId="4B21454A">
      <w:pPr>
        <w:pStyle w:val="8"/>
        <w:rPr>
          <w:rFonts w:ascii="宋体" w:hAnsi="Courier New"/>
          <w:b/>
          <w:color w:val="auto"/>
          <w:kern w:val="0"/>
          <w:sz w:val="28"/>
          <w:szCs w:val="28"/>
          <w:highlight w:val="none"/>
        </w:rPr>
      </w:pPr>
    </w:p>
    <w:p w14:paraId="566C1055">
      <w:pPr>
        <w:pStyle w:val="8"/>
        <w:rPr>
          <w:rFonts w:ascii="宋体" w:hAnsi="Courier New"/>
          <w:b/>
          <w:color w:val="auto"/>
          <w:kern w:val="0"/>
          <w:sz w:val="28"/>
          <w:szCs w:val="28"/>
          <w:highlight w:val="none"/>
        </w:rPr>
      </w:pPr>
      <w:r>
        <w:rPr>
          <w:rFonts w:ascii="宋体" w:hAnsi="Courier New"/>
          <w:b/>
          <w:color w:val="auto"/>
          <w:kern w:val="0"/>
          <w:sz w:val="28"/>
          <w:szCs w:val="28"/>
          <w:highlight w:val="none"/>
        </w:rPr>
        <w:t>10</w:t>
      </w:r>
      <w:r>
        <w:rPr>
          <w:rFonts w:hint="eastAsia" w:ascii="宋体" w:hAnsi="Courier New"/>
          <w:b/>
          <w:color w:val="auto"/>
          <w:kern w:val="0"/>
          <w:sz w:val="28"/>
          <w:szCs w:val="28"/>
          <w:highlight w:val="none"/>
        </w:rPr>
        <w:t>.符合条件的残疾人福利性单位在参加政府采购活动时，应当提供《残疾人福利性单位声明函》（见附件），并对声明的真实性负责；（如有，请提供）；</w:t>
      </w:r>
    </w:p>
    <w:p w14:paraId="0ABB6EAA">
      <w:pPr>
        <w:rPr>
          <w:color w:val="auto"/>
          <w:highlight w:val="none"/>
        </w:rPr>
      </w:pPr>
    </w:p>
    <w:p w14:paraId="539124CE">
      <w:pPr>
        <w:pStyle w:val="29"/>
        <w:rPr>
          <w:color w:val="auto"/>
          <w:highlight w:val="none"/>
        </w:rPr>
      </w:pPr>
    </w:p>
    <w:p w14:paraId="023DE3C2">
      <w:pPr>
        <w:pStyle w:val="29"/>
        <w:rPr>
          <w:rFonts w:ascii="宋体" w:hAnsi="宋体" w:cs="宋体"/>
          <w:color w:val="auto"/>
          <w:highlight w:val="none"/>
        </w:rPr>
      </w:pPr>
    </w:p>
    <w:p w14:paraId="7B406007">
      <w:pPr>
        <w:widowControl/>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r>
        <w:rPr>
          <w:rFonts w:hint="eastAsia" w:ascii="宋体" w:hAnsi="宋体" w:cs="宋体"/>
          <w:b/>
          <w:bCs/>
          <w:color w:val="auto"/>
          <w:sz w:val="32"/>
          <w:szCs w:val="32"/>
          <w:highlight w:val="none"/>
        </w:rPr>
        <w:t>（二）符合性响应证明材料目录</w:t>
      </w:r>
    </w:p>
    <w:p w14:paraId="6FB0F86E">
      <w:pPr>
        <w:spacing w:line="360" w:lineRule="auto"/>
        <w:ind w:left="-60" w:firstLine="48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响应函</w:t>
      </w:r>
      <w:r>
        <w:rPr>
          <w:rFonts w:hint="eastAsia" w:ascii="宋体" w:hAnsi="宋体" w:cs="宋体"/>
          <w:b/>
          <w:bCs/>
          <w:color w:val="auto"/>
          <w:sz w:val="24"/>
          <w:highlight w:val="none"/>
        </w:rPr>
        <w:t>（格式见附件）（必须提供</w:t>
      </w:r>
      <w:r>
        <w:rPr>
          <w:color w:val="auto"/>
          <w:highlight w:val="none"/>
        </w:rPr>
        <w:t>）</w:t>
      </w:r>
      <w:r>
        <w:rPr>
          <w:rFonts w:hint="eastAsia" w:ascii="宋体" w:hAnsi="宋体" w:cs="宋体"/>
          <w:b/>
          <w:bCs/>
          <w:color w:val="auto"/>
          <w:sz w:val="24"/>
          <w:highlight w:val="none"/>
        </w:rPr>
        <w:t>；</w:t>
      </w:r>
    </w:p>
    <w:p w14:paraId="733798F5">
      <w:pPr>
        <w:spacing w:line="360" w:lineRule="auto"/>
        <w:rPr>
          <w:rFonts w:ascii="宋体" w:hAnsi="宋体" w:cs="宋体"/>
          <w:color w:val="auto"/>
          <w:sz w:val="24"/>
          <w:highlight w:val="none"/>
        </w:rPr>
      </w:pPr>
    </w:p>
    <w:p w14:paraId="36F3D8BB">
      <w:pPr>
        <w:spacing w:line="360" w:lineRule="auto"/>
        <w:ind w:left="-60" w:firstLine="480"/>
        <w:rPr>
          <w:rFonts w:ascii="宋体" w:hAnsi="宋体" w:cs="宋体"/>
          <w:b/>
          <w:bCs/>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磋商报价表</w:t>
      </w:r>
      <w:r>
        <w:rPr>
          <w:rFonts w:hint="eastAsia" w:ascii="宋体" w:hAnsi="宋体" w:cs="宋体"/>
          <w:b/>
          <w:bCs/>
          <w:color w:val="auto"/>
          <w:sz w:val="24"/>
          <w:highlight w:val="none"/>
        </w:rPr>
        <w:t>（格式见附件）（必须提供）；</w:t>
      </w:r>
    </w:p>
    <w:p w14:paraId="43CE3CCC">
      <w:pPr>
        <w:pStyle w:val="8"/>
        <w:rPr>
          <w:rFonts w:ascii="宋体" w:hAnsi="宋体" w:cs="宋体"/>
          <w:color w:val="auto"/>
          <w:highlight w:val="none"/>
        </w:rPr>
      </w:pPr>
    </w:p>
    <w:p w14:paraId="59FF4728">
      <w:pPr>
        <w:spacing w:line="360" w:lineRule="auto"/>
        <w:ind w:left="-60" w:firstLine="4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针对本项目的实施方案（根据“服务采购需求”要求提供，格式自拟）</w:t>
      </w:r>
      <w:r>
        <w:rPr>
          <w:rFonts w:hint="eastAsia" w:ascii="宋体" w:hAnsi="宋体" w:cs="宋体"/>
          <w:b/>
          <w:bCs/>
          <w:color w:val="auto"/>
          <w:sz w:val="24"/>
          <w:highlight w:val="none"/>
        </w:rPr>
        <w:t>（必须提供）；</w:t>
      </w:r>
    </w:p>
    <w:p w14:paraId="3159BCB2">
      <w:pPr>
        <w:pStyle w:val="8"/>
        <w:rPr>
          <w:rFonts w:ascii="宋体" w:hAnsi="宋体" w:cs="宋体"/>
          <w:color w:val="auto"/>
          <w:highlight w:val="none"/>
        </w:rPr>
      </w:pPr>
    </w:p>
    <w:p w14:paraId="5AA8D978">
      <w:pPr>
        <w:spacing w:line="360" w:lineRule="auto"/>
        <w:ind w:left="-60" w:firstLine="480"/>
        <w:rPr>
          <w:rFonts w:ascii="宋体" w:hAnsi="宋体" w:cs="宋体"/>
          <w:b/>
          <w:bCs/>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服务方案（由供应商根据本项目采购需求、特点及供应商自身的处理能力自行编写，承诺书内容至少应包括“采购需求”的所有服务条款）</w:t>
      </w:r>
      <w:r>
        <w:rPr>
          <w:rFonts w:hint="eastAsia" w:ascii="宋体" w:hAnsi="宋体" w:cs="宋体"/>
          <w:b/>
          <w:bCs/>
          <w:color w:val="auto"/>
          <w:sz w:val="24"/>
          <w:highlight w:val="none"/>
        </w:rPr>
        <w:t>（格式见附件）（必须提供）；</w:t>
      </w:r>
    </w:p>
    <w:p w14:paraId="7050D9B1">
      <w:pPr>
        <w:pStyle w:val="29"/>
        <w:rPr>
          <w:rFonts w:ascii="宋体" w:hAnsi="宋体" w:cs="宋体"/>
          <w:color w:val="auto"/>
          <w:highlight w:val="none"/>
        </w:rPr>
      </w:pPr>
    </w:p>
    <w:p w14:paraId="34A5B998">
      <w:pPr>
        <w:pStyle w:val="29"/>
        <w:ind w:left="-60" w:firstLine="48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技术及商务要求偏离表</w:t>
      </w:r>
      <w:r>
        <w:rPr>
          <w:rFonts w:hint="eastAsia" w:ascii="宋体" w:hAnsi="宋体" w:cs="宋体"/>
          <w:b/>
          <w:bCs/>
          <w:color w:val="auto"/>
          <w:highlight w:val="none"/>
        </w:rPr>
        <w:t>（必须提供）；</w:t>
      </w:r>
      <w:r>
        <w:rPr>
          <w:rFonts w:hint="eastAsia" w:ascii="宋体" w:hAnsi="宋体" w:cs="宋体"/>
          <w:b/>
          <w:bCs/>
          <w:color w:val="auto"/>
          <w:highlight w:val="none"/>
        </w:rPr>
        <w:br w:type="textWrapping"/>
      </w:r>
    </w:p>
    <w:p w14:paraId="26778835">
      <w:pPr>
        <w:pStyle w:val="29"/>
        <w:ind w:left="-60" w:firstLine="480"/>
        <w:rPr>
          <w:rFonts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rPr>
        <w:t>技术方案（根据“服务采购需求”要求提供，格式自拟）</w:t>
      </w:r>
      <w:r>
        <w:rPr>
          <w:rFonts w:hint="eastAsia" w:ascii="宋体" w:hAnsi="宋体" w:cs="宋体"/>
          <w:b/>
          <w:bCs/>
          <w:color w:val="auto"/>
          <w:highlight w:val="none"/>
        </w:rPr>
        <w:t>（必须提供）</w:t>
      </w:r>
      <w:r>
        <w:rPr>
          <w:rFonts w:hint="eastAsia" w:ascii="宋体" w:hAnsi="宋体" w:cs="宋体"/>
          <w:color w:val="auto"/>
          <w:highlight w:val="none"/>
        </w:rPr>
        <w:t>。</w:t>
      </w:r>
    </w:p>
    <w:p w14:paraId="75879372">
      <w:pPr>
        <w:pStyle w:val="29"/>
        <w:rPr>
          <w:rFonts w:ascii="宋体" w:hAnsi="宋体" w:cs="宋体"/>
          <w:color w:val="auto"/>
          <w:highlight w:val="none"/>
        </w:rPr>
      </w:pPr>
    </w:p>
    <w:p w14:paraId="3EFA42FA">
      <w:pPr>
        <w:pStyle w:val="8"/>
        <w:rPr>
          <w:rFonts w:ascii="宋体" w:hAnsi="宋体" w:cs="宋体"/>
          <w:color w:val="auto"/>
          <w:highlight w:val="none"/>
        </w:rPr>
      </w:pPr>
    </w:p>
    <w:p w14:paraId="21E84E55">
      <w:pPr>
        <w:pStyle w:val="12"/>
        <w:spacing w:line="340" w:lineRule="exact"/>
        <w:rPr>
          <w:rFonts w:hAnsi="宋体" w:cs="宋体"/>
          <w:b/>
          <w:color w:val="auto"/>
          <w:sz w:val="28"/>
          <w:szCs w:val="28"/>
          <w:highlight w:val="none"/>
        </w:rPr>
      </w:pPr>
    </w:p>
    <w:p w14:paraId="6811E0BA">
      <w:pPr>
        <w:pStyle w:val="12"/>
        <w:spacing w:line="340" w:lineRule="exact"/>
        <w:rPr>
          <w:rFonts w:hAnsi="宋体" w:cs="宋体"/>
          <w:b/>
          <w:color w:val="auto"/>
          <w:sz w:val="28"/>
          <w:szCs w:val="28"/>
          <w:highlight w:val="none"/>
        </w:rPr>
      </w:pPr>
    </w:p>
    <w:p w14:paraId="10E73536">
      <w:pPr>
        <w:rPr>
          <w:rFonts w:ascii="宋体" w:hAnsi="宋体" w:cs="宋体"/>
          <w:b/>
          <w:color w:val="auto"/>
          <w:sz w:val="28"/>
          <w:szCs w:val="28"/>
          <w:highlight w:val="none"/>
        </w:rPr>
      </w:pPr>
    </w:p>
    <w:p w14:paraId="10F112D7">
      <w:pPr>
        <w:pStyle w:val="8"/>
        <w:rPr>
          <w:rFonts w:ascii="宋体" w:hAnsi="宋体" w:cs="宋体"/>
          <w:b/>
          <w:color w:val="auto"/>
          <w:sz w:val="28"/>
          <w:szCs w:val="28"/>
          <w:highlight w:val="none"/>
        </w:rPr>
      </w:pPr>
    </w:p>
    <w:p w14:paraId="0B6C7AC1">
      <w:pPr>
        <w:rPr>
          <w:rFonts w:ascii="宋体" w:hAnsi="宋体" w:cs="宋体"/>
          <w:b/>
          <w:color w:val="auto"/>
          <w:sz w:val="28"/>
          <w:szCs w:val="28"/>
          <w:highlight w:val="none"/>
        </w:rPr>
      </w:pPr>
    </w:p>
    <w:p w14:paraId="5BADFDE0">
      <w:pPr>
        <w:pStyle w:val="8"/>
        <w:rPr>
          <w:rFonts w:ascii="宋体" w:hAnsi="宋体" w:cs="宋体"/>
          <w:b/>
          <w:color w:val="auto"/>
          <w:sz w:val="28"/>
          <w:szCs w:val="28"/>
          <w:highlight w:val="none"/>
        </w:rPr>
      </w:pPr>
    </w:p>
    <w:p w14:paraId="3CF16A52">
      <w:pPr>
        <w:rPr>
          <w:rFonts w:ascii="宋体" w:hAnsi="宋体" w:cs="宋体"/>
          <w:b/>
          <w:color w:val="auto"/>
          <w:sz w:val="28"/>
          <w:szCs w:val="28"/>
          <w:highlight w:val="none"/>
        </w:rPr>
      </w:pPr>
    </w:p>
    <w:p w14:paraId="14888D81">
      <w:pPr>
        <w:pStyle w:val="8"/>
        <w:rPr>
          <w:rFonts w:ascii="宋体" w:hAnsi="宋体" w:cs="宋体"/>
          <w:b/>
          <w:color w:val="auto"/>
          <w:sz w:val="28"/>
          <w:szCs w:val="28"/>
          <w:highlight w:val="none"/>
        </w:rPr>
      </w:pPr>
    </w:p>
    <w:p w14:paraId="55A94CCD">
      <w:pPr>
        <w:rPr>
          <w:rFonts w:ascii="宋体" w:hAnsi="宋体" w:cs="宋体"/>
          <w:b/>
          <w:color w:val="auto"/>
          <w:sz w:val="28"/>
          <w:szCs w:val="28"/>
          <w:highlight w:val="none"/>
        </w:rPr>
      </w:pPr>
    </w:p>
    <w:p w14:paraId="5AF4447D">
      <w:pPr>
        <w:pStyle w:val="8"/>
        <w:rPr>
          <w:rFonts w:ascii="宋体" w:hAnsi="宋体" w:cs="宋体"/>
          <w:b/>
          <w:color w:val="auto"/>
          <w:sz w:val="28"/>
          <w:szCs w:val="28"/>
          <w:highlight w:val="none"/>
        </w:rPr>
      </w:pPr>
    </w:p>
    <w:p w14:paraId="67F45E74">
      <w:pPr>
        <w:rPr>
          <w:rFonts w:ascii="宋体" w:hAnsi="宋体" w:cs="宋体"/>
          <w:b/>
          <w:color w:val="auto"/>
          <w:sz w:val="28"/>
          <w:szCs w:val="28"/>
          <w:highlight w:val="none"/>
        </w:rPr>
      </w:pPr>
    </w:p>
    <w:p w14:paraId="24D86953">
      <w:pPr>
        <w:pStyle w:val="8"/>
        <w:rPr>
          <w:rFonts w:ascii="宋体" w:hAnsi="宋体" w:cs="宋体"/>
          <w:b/>
          <w:color w:val="auto"/>
          <w:sz w:val="28"/>
          <w:szCs w:val="28"/>
          <w:highlight w:val="none"/>
        </w:rPr>
      </w:pPr>
    </w:p>
    <w:p w14:paraId="1D4D5F2F">
      <w:pPr>
        <w:rPr>
          <w:rFonts w:ascii="宋体" w:hAnsi="宋体" w:cs="宋体"/>
          <w:b/>
          <w:color w:val="auto"/>
          <w:sz w:val="28"/>
          <w:szCs w:val="28"/>
          <w:highlight w:val="none"/>
        </w:rPr>
      </w:pPr>
    </w:p>
    <w:p w14:paraId="6CFA5A33">
      <w:pPr>
        <w:pStyle w:val="29"/>
        <w:rPr>
          <w:color w:val="auto"/>
          <w:highlight w:val="none"/>
        </w:rPr>
      </w:pPr>
    </w:p>
    <w:p w14:paraId="640AF15F">
      <w:pPr>
        <w:pStyle w:val="8"/>
        <w:rPr>
          <w:color w:val="auto"/>
          <w:highlight w:val="none"/>
        </w:rPr>
      </w:pPr>
    </w:p>
    <w:p w14:paraId="12DABBC8">
      <w:pPr>
        <w:spacing w:line="400" w:lineRule="exact"/>
        <w:rPr>
          <w:rFonts w:ascii="宋体" w:hAnsi="宋体" w:cs="宋体"/>
          <w:b/>
          <w:bCs/>
          <w:color w:val="auto"/>
          <w:sz w:val="28"/>
          <w:szCs w:val="28"/>
          <w:highlight w:val="none"/>
        </w:rPr>
      </w:pPr>
      <w:bookmarkStart w:id="187" w:name="_Toc12920"/>
      <w:bookmarkStart w:id="188" w:name="_Toc17617"/>
      <w:bookmarkStart w:id="189" w:name="_Toc497927072"/>
      <w:r>
        <w:rPr>
          <w:rFonts w:hint="eastAsia" w:ascii="宋体" w:hAnsi="宋体" w:cs="宋体"/>
          <w:b/>
          <w:bCs/>
          <w:color w:val="auto"/>
          <w:sz w:val="28"/>
          <w:szCs w:val="28"/>
          <w:highlight w:val="none"/>
        </w:rPr>
        <w:t>1.响应函（格式见附件）（必须提供）</w:t>
      </w:r>
      <w:bookmarkEnd w:id="187"/>
      <w:bookmarkEnd w:id="188"/>
      <w:bookmarkEnd w:id="189"/>
    </w:p>
    <w:p w14:paraId="6C629B34">
      <w:pPr>
        <w:pStyle w:val="29"/>
        <w:rPr>
          <w:rFonts w:ascii="宋体" w:hAnsi="宋体" w:cs="宋体"/>
          <w:color w:val="auto"/>
          <w:highlight w:val="none"/>
        </w:rPr>
      </w:pPr>
    </w:p>
    <w:p w14:paraId="1DE918E6">
      <w:pPr>
        <w:pStyle w:val="12"/>
        <w:rPr>
          <w:rFonts w:hAnsi="宋体" w:cs="宋体"/>
          <w:b/>
          <w:color w:val="auto"/>
          <w:sz w:val="32"/>
          <w:highlight w:val="none"/>
        </w:rPr>
      </w:pPr>
      <w:r>
        <w:rPr>
          <w:rFonts w:hint="eastAsia" w:hAnsi="宋体" w:cs="宋体"/>
          <w:b/>
          <w:color w:val="auto"/>
          <w:sz w:val="32"/>
          <w:highlight w:val="none"/>
        </w:rPr>
        <w:t>附件：</w:t>
      </w:r>
    </w:p>
    <w:p w14:paraId="126CDE8A">
      <w:pPr>
        <w:pStyle w:val="12"/>
        <w:ind w:firstLine="800" w:firstLineChars="250"/>
        <w:jc w:val="center"/>
        <w:rPr>
          <w:rFonts w:hAnsi="宋体" w:cs="宋体"/>
          <w:b/>
          <w:color w:val="auto"/>
          <w:sz w:val="32"/>
          <w:highlight w:val="none"/>
        </w:rPr>
      </w:pPr>
      <w:bookmarkStart w:id="190" w:name="_Toc17832_WPSOffice_Level1"/>
      <w:bookmarkStart w:id="191" w:name="_Toc7273_WPSOffice_Level1"/>
      <w:r>
        <w:rPr>
          <w:rFonts w:hint="eastAsia" w:hAnsi="宋体" w:cs="宋体"/>
          <w:b/>
          <w:color w:val="auto"/>
          <w:sz w:val="32"/>
          <w:highlight w:val="none"/>
        </w:rPr>
        <w:t>响 应 函 （格 式）</w:t>
      </w:r>
      <w:bookmarkEnd w:id="190"/>
      <w:bookmarkEnd w:id="191"/>
    </w:p>
    <w:p w14:paraId="75A20356">
      <w:pPr>
        <w:spacing w:line="240" w:lineRule="exact"/>
        <w:jc w:val="center"/>
        <w:rPr>
          <w:rFonts w:ascii="宋体" w:hAnsi="宋体" w:cs="宋体"/>
          <w:color w:val="auto"/>
          <w:sz w:val="32"/>
          <w:highlight w:val="none"/>
        </w:rPr>
      </w:pPr>
    </w:p>
    <w:p w14:paraId="6366E4B7">
      <w:pPr>
        <w:spacing w:line="40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：广西安臻工程管理有限公司</w:t>
      </w:r>
    </w:p>
    <w:p w14:paraId="7D611EA9">
      <w:pPr>
        <w:spacing w:line="400" w:lineRule="exact"/>
        <w:rPr>
          <w:rFonts w:ascii="宋体" w:hAnsi="宋体" w:cs="宋体"/>
          <w:color w:val="auto"/>
          <w:szCs w:val="21"/>
          <w:highlight w:val="none"/>
        </w:rPr>
      </w:pPr>
    </w:p>
    <w:p w14:paraId="11E245F7">
      <w:pPr>
        <w:pStyle w:val="12"/>
        <w:spacing w:line="360" w:lineRule="exact"/>
        <w:ind w:firstLine="420"/>
        <w:rPr>
          <w:rFonts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14:paraId="30A2BEEB">
      <w:pPr>
        <w:pStyle w:val="12"/>
        <w:spacing w:line="360" w:lineRule="exact"/>
        <w:ind w:firstLine="420"/>
        <w:rPr>
          <w:rFonts w:hAnsi="宋体" w:cs="宋体"/>
          <w:color w:val="auto"/>
          <w:highlight w:val="none"/>
        </w:rPr>
      </w:pPr>
      <w:r>
        <w:rPr>
          <w:rFonts w:hint="eastAsia" w:hAnsi="宋体" w:cs="宋体"/>
          <w:color w:val="auto"/>
          <w:highlight w:val="none"/>
        </w:rPr>
        <w:t>据此函，签字代表宣布同意如下：</w:t>
      </w:r>
    </w:p>
    <w:p w14:paraId="6E82FAF6">
      <w:pPr>
        <w:pStyle w:val="12"/>
        <w:spacing w:line="360" w:lineRule="exact"/>
        <w:ind w:firstLine="420"/>
        <w:rPr>
          <w:rFonts w:hAnsi="宋体" w:cs="宋体"/>
          <w:color w:val="auto"/>
          <w:highlight w:val="none"/>
        </w:rPr>
      </w:pPr>
      <w:r>
        <w:rPr>
          <w:rFonts w:hint="eastAsia" w:hAnsi="宋体" w:cs="宋体"/>
          <w:color w:val="auto"/>
          <w:highlight w:val="none"/>
        </w:rPr>
        <w:t>1、按磋商文件采购需求和磋商报价表：</w:t>
      </w:r>
    </w:p>
    <w:p w14:paraId="31E2950C">
      <w:pPr>
        <w:pStyle w:val="12"/>
        <w:spacing w:line="360" w:lineRule="exact"/>
        <w:ind w:firstLine="420"/>
        <w:rPr>
          <w:rFonts w:hAnsi="宋体" w:cs="宋体"/>
          <w:color w:val="auto"/>
          <w:highlight w:val="none"/>
        </w:rPr>
      </w:pPr>
      <w:r>
        <w:rPr>
          <w:rFonts w:hint="eastAsia" w:hAnsi="宋体" w:cs="宋体"/>
          <w:color w:val="auto"/>
          <w:highlight w:val="none"/>
        </w:rPr>
        <w:t>磋商总报价（大写）</w:t>
      </w:r>
      <w:r>
        <w:rPr>
          <w:rFonts w:hint="eastAsia" w:hAnsi="宋体" w:cs="宋体"/>
          <w:color w:val="auto"/>
          <w:highlight w:val="none"/>
          <w:u w:val="single"/>
        </w:rPr>
        <w:t xml:space="preserve">                </w:t>
      </w:r>
      <w:r>
        <w:rPr>
          <w:rFonts w:hint="eastAsia" w:hAnsi="宋体" w:cs="宋体"/>
          <w:color w:val="auto"/>
          <w:highlight w:val="none"/>
        </w:rPr>
        <w:t>元人民币(￥</w:t>
      </w:r>
      <w:r>
        <w:rPr>
          <w:rFonts w:hint="eastAsia" w:hAnsi="宋体" w:cs="宋体"/>
          <w:color w:val="auto"/>
          <w:highlight w:val="none"/>
          <w:u w:val="single"/>
        </w:rPr>
        <w:t xml:space="preserve">            </w:t>
      </w:r>
      <w:r>
        <w:rPr>
          <w:rFonts w:hint="eastAsia" w:hAnsi="宋体" w:cs="宋体"/>
          <w:color w:val="auto"/>
          <w:highlight w:val="none"/>
        </w:rPr>
        <w:t>)。</w:t>
      </w:r>
    </w:p>
    <w:p w14:paraId="5C7CB391">
      <w:pPr>
        <w:pStyle w:val="12"/>
        <w:spacing w:line="360" w:lineRule="exact"/>
        <w:ind w:firstLine="420"/>
        <w:rPr>
          <w:rFonts w:hAnsi="宋体" w:cs="宋体"/>
          <w:color w:val="auto"/>
          <w:highlight w:val="none"/>
        </w:rPr>
      </w:pPr>
      <w:r>
        <w:rPr>
          <w:rFonts w:hint="eastAsia" w:hAnsi="宋体" w:cs="宋体"/>
          <w:color w:val="auto"/>
          <w:highlight w:val="none"/>
        </w:rPr>
        <w:t>2、我方承诺已具备磋商文件规定的供应商资格条件。</w:t>
      </w:r>
    </w:p>
    <w:p w14:paraId="3701A315">
      <w:pPr>
        <w:pStyle w:val="12"/>
        <w:spacing w:line="360" w:lineRule="exact"/>
        <w:ind w:firstLine="420"/>
        <w:rPr>
          <w:rFonts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14:paraId="54DA3B90">
      <w:pPr>
        <w:pStyle w:val="12"/>
        <w:spacing w:line="360" w:lineRule="exact"/>
        <w:ind w:firstLine="420"/>
        <w:rPr>
          <w:rFonts w:hAnsi="宋体" w:cs="宋体"/>
          <w:color w:val="auto"/>
          <w:highlight w:val="none"/>
        </w:rPr>
      </w:pPr>
      <w:r>
        <w:rPr>
          <w:rFonts w:hint="eastAsia" w:hAnsi="宋体" w:cs="宋体"/>
          <w:color w:val="auto"/>
          <w:highlight w:val="none"/>
        </w:rPr>
        <w:t>4、响应文件有效期为</w:t>
      </w:r>
      <w:r>
        <w:rPr>
          <w:rFonts w:hint="eastAsia" w:hAnsi="宋体" w:cs="宋体"/>
          <w:color w:val="auto"/>
          <w:szCs w:val="21"/>
          <w:highlight w:val="none"/>
        </w:rPr>
        <w:t>响应文件递交截止时间之日起90天。</w:t>
      </w:r>
    </w:p>
    <w:p w14:paraId="532BE278">
      <w:pPr>
        <w:pStyle w:val="12"/>
        <w:spacing w:line="360" w:lineRule="exact"/>
        <w:ind w:firstLine="420"/>
        <w:rPr>
          <w:rFonts w:hAnsi="宋体" w:cs="宋体"/>
          <w:color w:val="auto"/>
          <w:highlight w:val="none"/>
        </w:rPr>
      </w:pPr>
      <w:r>
        <w:rPr>
          <w:rFonts w:hint="eastAsia" w:hAnsi="宋体" w:cs="宋体"/>
          <w:color w:val="auto"/>
          <w:highlight w:val="none"/>
        </w:rPr>
        <w:t>5、如我方成交：</w:t>
      </w:r>
    </w:p>
    <w:p w14:paraId="559C09A8">
      <w:pPr>
        <w:pStyle w:val="12"/>
        <w:spacing w:line="360" w:lineRule="exact"/>
        <w:ind w:firstLine="420"/>
        <w:rPr>
          <w:rFonts w:hAnsi="宋体" w:cs="宋体"/>
          <w:color w:val="auto"/>
          <w:highlight w:val="none"/>
        </w:rPr>
      </w:pPr>
      <w:r>
        <w:rPr>
          <w:rFonts w:hint="eastAsia" w:hAnsi="宋体" w:cs="宋体"/>
          <w:color w:val="auto"/>
          <w:highlight w:val="none"/>
        </w:rPr>
        <w:t>（1）我方承诺在收到成交通知书后，在成交通知书规定的期限内与采购人签订合同。</w:t>
      </w:r>
    </w:p>
    <w:p w14:paraId="5E2B59BB">
      <w:pPr>
        <w:pStyle w:val="12"/>
        <w:spacing w:line="360" w:lineRule="exact"/>
        <w:ind w:firstLine="420"/>
        <w:rPr>
          <w:rFonts w:hAnsi="宋体" w:cs="宋体"/>
          <w:color w:val="auto"/>
          <w:szCs w:val="21"/>
          <w:highlight w:val="none"/>
        </w:rPr>
      </w:pPr>
      <w:r>
        <w:rPr>
          <w:rFonts w:hint="eastAsia" w:hAnsi="宋体" w:cs="宋体"/>
          <w:color w:val="auto"/>
          <w:szCs w:val="21"/>
          <w:highlight w:val="none"/>
        </w:rPr>
        <w:t>（2）我方承诺按照磋商文件规定递交履约担保。</w:t>
      </w:r>
    </w:p>
    <w:p w14:paraId="401E43C2">
      <w:pPr>
        <w:pStyle w:val="12"/>
        <w:spacing w:line="360" w:lineRule="exact"/>
        <w:ind w:firstLine="420"/>
        <w:rPr>
          <w:rFonts w:hAnsi="宋体" w:cs="宋体"/>
          <w:color w:val="auto"/>
          <w:szCs w:val="21"/>
          <w:highlight w:val="none"/>
        </w:rPr>
      </w:pPr>
      <w:r>
        <w:rPr>
          <w:rFonts w:hint="eastAsia" w:hAnsi="宋体" w:cs="宋体"/>
          <w:color w:val="auto"/>
          <w:szCs w:val="21"/>
          <w:highlight w:val="none"/>
        </w:rPr>
        <w:t>（3）我方承诺本响应文件至本项目合同履行完毕止均保持有效，按磋商文件及政府采购法律、法规的规定履行合同责任和义务。</w:t>
      </w:r>
    </w:p>
    <w:p w14:paraId="641A47BC">
      <w:pPr>
        <w:pStyle w:val="12"/>
        <w:spacing w:line="360" w:lineRule="exact"/>
        <w:ind w:firstLine="420"/>
        <w:rPr>
          <w:rFonts w:hAnsi="宋体" w:cs="宋体"/>
          <w:color w:val="auto"/>
          <w:szCs w:val="21"/>
          <w:highlight w:val="none"/>
        </w:rPr>
      </w:pPr>
      <w:r>
        <w:rPr>
          <w:rFonts w:hint="eastAsia" w:hAnsi="宋体" w:cs="宋体"/>
          <w:color w:val="auto"/>
          <w:szCs w:val="21"/>
          <w:highlight w:val="none"/>
        </w:rPr>
        <w:t>与本项目有关的正式通讯地址为：</w:t>
      </w:r>
    </w:p>
    <w:p w14:paraId="5F3EE477">
      <w:pPr>
        <w:rPr>
          <w:rFonts w:ascii="宋体" w:hAnsi="宋体" w:cs="宋体"/>
          <w:color w:val="auto"/>
          <w:szCs w:val="21"/>
          <w:highlight w:val="none"/>
        </w:rPr>
      </w:pPr>
    </w:p>
    <w:p w14:paraId="0ACF9C06">
      <w:pPr>
        <w:pStyle w:val="12"/>
        <w:spacing w:line="320" w:lineRule="exact"/>
        <w:ind w:firstLine="420"/>
        <w:rPr>
          <w:rFonts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59A15025">
      <w:pPr>
        <w:pStyle w:val="12"/>
        <w:spacing w:line="320" w:lineRule="exact"/>
        <w:ind w:firstLine="420"/>
        <w:rPr>
          <w:rFonts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1C8C7D9A">
      <w:pPr>
        <w:pStyle w:val="12"/>
        <w:spacing w:line="320" w:lineRule="exact"/>
        <w:ind w:firstLine="420"/>
        <w:rPr>
          <w:rFonts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54BB2E79">
      <w:pPr>
        <w:pStyle w:val="12"/>
        <w:spacing w:line="320" w:lineRule="exact"/>
        <w:ind w:firstLine="420"/>
        <w:rPr>
          <w:rFonts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2BF2B445">
      <w:pPr>
        <w:pStyle w:val="12"/>
        <w:spacing w:line="320" w:lineRule="exact"/>
        <w:ind w:firstLine="420"/>
        <w:rPr>
          <w:rFonts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18FA8C84">
      <w:pPr>
        <w:pStyle w:val="12"/>
        <w:spacing w:line="320" w:lineRule="exact"/>
        <w:ind w:firstLine="420"/>
        <w:rPr>
          <w:rFonts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5EED6870">
      <w:pPr>
        <w:pStyle w:val="12"/>
        <w:spacing w:line="320" w:lineRule="exact"/>
        <w:ind w:firstLine="420"/>
        <w:rPr>
          <w:rFonts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54CC6B46">
      <w:pPr>
        <w:pStyle w:val="6"/>
        <w:rPr>
          <w:rFonts w:ascii="宋体" w:hAnsi="宋体" w:cs="宋体"/>
          <w:color w:val="auto"/>
          <w:szCs w:val="21"/>
          <w:highlight w:val="none"/>
          <w:u w:val="single"/>
        </w:rPr>
      </w:pPr>
    </w:p>
    <w:p w14:paraId="413C4D6C">
      <w:pPr>
        <w:rPr>
          <w:rFonts w:ascii="宋体" w:hAnsi="宋体" w:cs="宋体"/>
          <w:color w:val="auto"/>
          <w:szCs w:val="21"/>
          <w:highlight w:val="none"/>
          <w:u w:val="single"/>
        </w:rPr>
      </w:pPr>
    </w:p>
    <w:p w14:paraId="4172FEC7">
      <w:pPr>
        <w:pStyle w:val="3"/>
        <w:rPr>
          <w:rFonts w:ascii="宋体" w:hAnsi="宋体" w:cs="宋体"/>
          <w:color w:val="auto"/>
          <w:sz w:val="21"/>
          <w:szCs w:val="21"/>
          <w:highlight w:val="none"/>
          <w:u w:val="single"/>
        </w:rPr>
      </w:pPr>
    </w:p>
    <w:p w14:paraId="73A4EA43">
      <w:pPr>
        <w:rPr>
          <w:rFonts w:ascii="宋体" w:hAnsi="宋体" w:cs="宋体"/>
          <w:color w:val="auto"/>
          <w:szCs w:val="21"/>
          <w:highlight w:val="none"/>
          <w:u w:val="single"/>
        </w:rPr>
      </w:pPr>
    </w:p>
    <w:p w14:paraId="18BC019B">
      <w:pPr>
        <w:pStyle w:val="3"/>
        <w:rPr>
          <w:color w:val="auto"/>
          <w:highlight w:val="none"/>
        </w:rPr>
      </w:pPr>
    </w:p>
    <w:p w14:paraId="7F96551F">
      <w:pPr>
        <w:pStyle w:val="12"/>
        <w:spacing w:line="340" w:lineRule="exact"/>
        <w:rPr>
          <w:rFonts w:hAnsi="宋体" w:cs="宋体"/>
          <w:b/>
          <w:color w:val="auto"/>
          <w:sz w:val="28"/>
          <w:szCs w:val="28"/>
          <w:highlight w:val="none"/>
        </w:rPr>
      </w:pPr>
    </w:p>
    <w:p w14:paraId="454C80D8">
      <w:pPr>
        <w:pStyle w:val="12"/>
        <w:spacing w:line="340" w:lineRule="exact"/>
        <w:rPr>
          <w:rFonts w:hAnsi="宋体" w:cs="宋体"/>
          <w:color w:val="auto"/>
          <w:highlight w:val="none"/>
        </w:rPr>
      </w:pPr>
      <w:r>
        <w:rPr>
          <w:rFonts w:hint="eastAsia" w:hAnsi="宋体" w:cs="宋体"/>
          <w:b/>
          <w:color w:val="auto"/>
          <w:sz w:val="28"/>
          <w:szCs w:val="28"/>
          <w:highlight w:val="none"/>
        </w:rPr>
        <w:t>2、磋商报价表（必须提供）；</w:t>
      </w:r>
    </w:p>
    <w:p w14:paraId="22F7BE9B">
      <w:pPr>
        <w:pStyle w:val="12"/>
        <w:spacing w:line="320" w:lineRule="exact"/>
        <w:jc w:val="left"/>
        <w:rPr>
          <w:rFonts w:hAnsi="宋体" w:cs="宋体"/>
          <w:b/>
          <w:color w:val="auto"/>
          <w:sz w:val="28"/>
          <w:szCs w:val="28"/>
          <w:highlight w:val="none"/>
        </w:rPr>
      </w:pPr>
    </w:p>
    <w:p w14:paraId="1557F583">
      <w:pPr>
        <w:pStyle w:val="6"/>
        <w:ind w:left="0"/>
        <w:rPr>
          <w:rFonts w:ascii="宋体" w:hAnsi="宋体" w:cs="宋体"/>
          <w:color w:val="auto"/>
          <w:highlight w:val="none"/>
        </w:rPr>
      </w:pPr>
      <w:r>
        <w:rPr>
          <w:rFonts w:hint="eastAsia" w:ascii="宋体" w:hAnsi="宋体" w:cs="宋体"/>
          <w:b/>
          <w:bCs/>
          <w:color w:val="auto"/>
          <w:sz w:val="30"/>
          <w:szCs w:val="30"/>
          <w:highlight w:val="none"/>
        </w:rPr>
        <w:t>附件：</w:t>
      </w:r>
    </w:p>
    <w:p w14:paraId="6A7254B7">
      <w:pPr>
        <w:pStyle w:val="12"/>
        <w:spacing w:line="480" w:lineRule="exact"/>
        <w:ind w:left="420"/>
        <w:jc w:val="center"/>
        <w:rPr>
          <w:rFonts w:hAnsi="宋体" w:cs="宋体"/>
          <w:b/>
          <w:color w:val="auto"/>
          <w:szCs w:val="21"/>
          <w:highlight w:val="none"/>
        </w:rPr>
      </w:pPr>
      <w:r>
        <w:rPr>
          <w:rFonts w:hint="eastAsia" w:hAnsi="宋体" w:cs="宋体"/>
          <w:b/>
          <w:color w:val="auto"/>
          <w:szCs w:val="21"/>
          <w:highlight w:val="none"/>
        </w:rPr>
        <w:t>磋商报价表（格式）</w:t>
      </w:r>
    </w:p>
    <w:tbl>
      <w:tblPr>
        <w:tblStyle w:val="2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0CB6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3F28DE2D">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vAlign w:val="center"/>
          </w:tcPr>
          <w:p w14:paraId="1DE03B31">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vAlign w:val="center"/>
          </w:tcPr>
          <w:p w14:paraId="3E4B8E4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vAlign w:val="center"/>
          </w:tcPr>
          <w:p w14:paraId="739E44EF">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19C76A6E">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124ABD21">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5846532F">
            <w:pPr>
              <w:spacing w:line="300" w:lineRule="exact"/>
              <w:jc w:val="center"/>
              <w:rPr>
                <w:rFonts w:ascii="宋体" w:hAnsi="宋体" w:cs="宋体"/>
                <w:color w:val="auto"/>
                <w:highlight w:val="none"/>
              </w:rPr>
            </w:pPr>
            <w:r>
              <w:rPr>
                <w:rFonts w:hint="eastAsia" w:ascii="宋体" w:hAnsi="宋体" w:cs="宋体"/>
                <w:color w:val="auto"/>
                <w:highlight w:val="none"/>
              </w:rPr>
              <w:t>单项合计=数量×单价</w:t>
            </w:r>
          </w:p>
          <w:p w14:paraId="1CF214C2">
            <w:pPr>
              <w:jc w:val="center"/>
              <w:rPr>
                <w:rFonts w:ascii="宋体" w:hAnsi="宋体" w:cs="宋体"/>
                <w:color w:val="auto"/>
                <w:highlight w:val="none"/>
              </w:rPr>
            </w:pPr>
            <w:r>
              <w:rPr>
                <w:rFonts w:hint="eastAsia" w:ascii="宋体" w:hAnsi="宋体" w:cs="宋体"/>
                <w:color w:val="auto"/>
                <w:highlight w:val="none"/>
              </w:rPr>
              <w:t>③=</w:t>
            </w:r>
            <w:r>
              <w:rPr>
                <w:rFonts w:hint="eastAsia" w:ascii="宋体" w:hAnsi="宋体" w:cs="宋体"/>
                <w:color w:val="auto"/>
                <w:szCs w:val="21"/>
                <w:highlight w:val="none"/>
              </w:rPr>
              <w:t>①</w:t>
            </w:r>
            <w:r>
              <w:rPr>
                <w:rFonts w:hint="eastAsia" w:ascii="宋体" w:hAnsi="宋体" w:cs="宋体"/>
                <w:color w:val="auto"/>
                <w:highlight w:val="none"/>
              </w:rPr>
              <w:t>×</w:t>
            </w:r>
            <w:r>
              <w:rPr>
                <w:rFonts w:hint="eastAsia" w:ascii="宋体" w:hAnsi="宋体" w:cs="宋体"/>
                <w:color w:val="auto"/>
                <w:szCs w:val="21"/>
                <w:highlight w:val="none"/>
              </w:rPr>
              <w:t>②</w:t>
            </w:r>
          </w:p>
        </w:tc>
        <w:tc>
          <w:tcPr>
            <w:tcW w:w="1710" w:type="dxa"/>
            <w:tcBorders>
              <w:top w:val="single" w:color="auto" w:sz="4" w:space="0"/>
              <w:bottom w:val="single" w:color="auto" w:sz="4" w:space="0"/>
            </w:tcBorders>
            <w:vAlign w:val="center"/>
          </w:tcPr>
          <w:p w14:paraId="0E13126C">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45B5A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F413F19">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14:paraId="151E7448">
            <w:pPr>
              <w:spacing w:line="360" w:lineRule="auto"/>
              <w:jc w:val="center"/>
              <w:rPr>
                <w:rFonts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4C5FAB99">
            <w:pPr>
              <w:jc w:val="center"/>
              <w:rPr>
                <w:rFonts w:ascii="宋体" w:hAnsi="宋体" w:cs="宋体"/>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D46E454">
            <w:pPr>
              <w:jc w:val="center"/>
              <w:rPr>
                <w:rFonts w:ascii="宋体" w:hAnsi="宋体" w:cs="宋体"/>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3B21286">
            <w:pPr>
              <w:jc w:val="center"/>
              <w:rPr>
                <w:rFonts w:ascii="宋体" w:hAnsi="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17D9EBC">
            <w:pPr>
              <w:jc w:val="center"/>
              <w:rPr>
                <w:rFonts w:ascii="宋体" w:hAnsi="宋体" w:cs="宋体"/>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1B3F561C">
            <w:pPr>
              <w:spacing w:line="300" w:lineRule="exact"/>
              <w:jc w:val="center"/>
              <w:rPr>
                <w:rFonts w:ascii="宋体" w:hAnsi="宋体" w:cs="宋体"/>
                <w:b/>
                <w:bCs/>
                <w:color w:val="auto"/>
                <w:szCs w:val="21"/>
                <w:highlight w:val="none"/>
              </w:rPr>
            </w:pPr>
          </w:p>
        </w:tc>
        <w:tc>
          <w:tcPr>
            <w:tcW w:w="1710" w:type="dxa"/>
            <w:tcBorders>
              <w:top w:val="single" w:color="auto" w:sz="4" w:space="0"/>
              <w:bottom w:val="single" w:color="auto" w:sz="4" w:space="0"/>
            </w:tcBorders>
            <w:vAlign w:val="center"/>
          </w:tcPr>
          <w:p w14:paraId="67D73268">
            <w:pPr>
              <w:spacing w:line="300" w:lineRule="exact"/>
              <w:jc w:val="center"/>
              <w:rPr>
                <w:rFonts w:ascii="宋体" w:hAnsi="宋体" w:cs="宋体"/>
                <w:b/>
                <w:bCs/>
                <w:color w:val="auto"/>
                <w:szCs w:val="21"/>
                <w:highlight w:val="none"/>
              </w:rPr>
            </w:pPr>
          </w:p>
        </w:tc>
      </w:tr>
      <w:tr w14:paraId="29CAF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61A94AB">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570" w:type="dxa"/>
            <w:tcBorders>
              <w:top w:val="single" w:color="auto" w:sz="4" w:space="0"/>
              <w:left w:val="single" w:color="auto" w:sz="4" w:space="0"/>
              <w:bottom w:val="single" w:color="auto" w:sz="4" w:space="0"/>
              <w:right w:val="single" w:color="auto" w:sz="4" w:space="0"/>
            </w:tcBorders>
            <w:vAlign w:val="center"/>
          </w:tcPr>
          <w:p w14:paraId="24C655CA">
            <w:pPr>
              <w:spacing w:line="360" w:lineRule="auto"/>
              <w:jc w:val="center"/>
              <w:rPr>
                <w:rFonts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67D5EEE9">
            <w:pPr>
              <w:jc w:val="center"/>
              <w:rPr>
                <w:rFonts w:ascii="宋体" w:hAnsi="宋体" w:cs="宋体"/>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53B5A42">
            <w:pPr>
              <w:jc w:val="center"/>
              <w:rPr>
                <w:rFonts w:ascii="宋体" w:hAnsi="宋体" w:cs="宋体"/>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10241E3">
            <w:pPr>
              <w:jc w:val="center"/>
              <w:rPr>
                <w:rFonts w:ascii="宋体" w:hAnsi="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6EA665DF">
            <w:pPr>
              <w:jc w:val="center"/>
              <w:rPr>
                <w:rFonts w:ascii="宋体" w:hAnsi="宋体" w:cs="宋体"/>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09F1600">
            <w:pPr>
              <w:spacing w:line="300" w:lineRule="exact"/>
              <w:jc w:val="center"/>
              <w:rPr>
                <w:rFonts w:ascii="宋体" w:hAnsi="宋体" w:cs="宋体"/>
                <w:b/>
                <w:bCs/>
                <w:color w:val="auto"/>
                <w:szCs w:val="21"/>
                <w:highlight w:val="none"/>
              </w:rPr>
            </w:pPr>
          </w:p>
        </w:tc>
        <w:tc>
          <w:tcPr>
            <w:tcW w:w="1710" w:type="dxa"/>
            <w:tcBorders>
              <w:top w:val="single" w:color="auto" w:sz="4" w:space="0"/>
              <w:bottom w:val="single" w:color="auto" w:sz="4" w:space="0"/>
            </w:tcBorders>
            <w:vAlign w:val="center"/>
          </w:tcPr>
          <w:p w14:paraId="721BA662">
            <w:pPr>
              <w:spacing w:line="300" w:lineRule="exact"/>
              <w:jc w:val="center"/>
              <w:rPr>
                <w:rFonts w:ascii="宋体" w:hAnsi="宋体" w:cs="宋体"/>
                <w:b/>
                <w:bCs/>
                <w:color w:val="auto"/>
                <w:szCs w:val="21"/>
                <w:highlight w:val="none"/>
              </w:rPr>
            </w:pPr>
          </w:p>
        </w:tc>
      </w:tr>
      <w:tr w14:paraId="7E422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AEACB62">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570" w:type="dxa"/>
            <w:tcBorders>
              <w:top w:val="single" w:color="auto" w:sz="4" w:space="0"/>
              <w:left w:val="single" w:color="auto" w:sz="4" w:space="0"/>
              <w:bottom w:val="single" w:color="auto" w:sz="4" w:space="0"/>
              <w:right w:val="single" w:color="auto" w:sz="4" w:space="0"/>
            </w:tcBorders>
            <w:vAlign w:val="center"/>
          </w:tcPr>
          <w:p w14:paraId="4C89510F">
            <w:pPr>
              <w:spacing w:line="360" w:lineRule="auto"/>
              <w:jc w:val="center"/>
              <w:rPr>
                <w:rFonts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4AF77A00">
            <w:pPr>
              <w:jc w:val="center"/>
              <w:rPr>
                <w:rFonts w:ascii="宋体" w:hAnsi="宋体" w:cs="宋体"/>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3102BC4">
            <w:pPr>
              <w:jc w:val="center"/>
              <w:rPr>
                <w:rFonts w:ascii="宋体" w:hAnsi="宋体" w:cs="宋体"/>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E6BC8E7">
            <w:pPr>
              <w:jc w:val="center"/>
              <w:rPr>
                <w:rFonts w:ascii="宋体" w:hAnsi="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80749CB">
            <w:pPr>
              <w:jc w:val="center"/>
              <w:rPr>
                <w:rFonts w:ascii="宋体" w:hAnsi="宋体" w:cs="宋体"/>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AA6BE9A">
            <w:pPr>
              <w:spacing w:line="300" w:lineRule="exact"/>
              <w:jc w:val="center"/>
              <w:rPr>
                <w:rFonts w:ascii="宋体" w:hAnsi="宋体" w:cs="宋体"/>
                <w:b/>
                <w:bCs/>
                <w:color w:val="auto"/>
                <w:szCs w:val="21"/>
                <w:highlight w:val="none"/>
              </w:rPr>
            </w:pPr>
          </w:p>
        </w:tc>
        <w:tc>
          <w:tcPr>
            <w:tcW w:w="1710" w:type="dxa"/>
            <w:tcBorders>
              <w:top w:val="single" w:color="auto" w:sz="4" w:space="0"/>
              <w:bottom w:val="single" w:color="auto" w:sz="4" w:space="0"/>
            </w:tcBorders>
            <w:vAlign w:val="center"/>
          </w:tcPr>
          <w:p w14:paraId="39EAC2DB">
            <w:pPr>
              <w:spacing w:line="300" w:lineRule="exact"/>
              <w:jc w:val="center"/>
              <w:rPr>
                <w:rFonts w:ascii="宋体" w:hAnsi="宋体" w:cs="宋体"/>
                <w:b/>
                <w:bCs/>
                <w:color w:val="auto"/>
                <w:szCs w:val="21"/>
                <w:highlight w:val="none"/>
              </w:rPr>
            </w:pPr>
          </w:p>
        </w:tc>
      </w:tr>
      <w:tr w14:paraId="2493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BA44016">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570" w:type="dxa"/>
            <w:tcBorders>
              <w:top w:val="single" w:color="auto" w:sz="4" w:space="0"/>
              <w:left w:val="single" w:color="auto" w:sz="4" w:space="0"/>
              <w:bottom w:val="single" w:color="auto" w:sz="4" w:space="0"/>
              <w:right w:val="single" w:color="auto" w:sz="4" w:space="0"/>
            </w:tcBorders>
            <w:vAlign w:val="center"/>
          </w:tcPr>
          <w:p w14:paraId="773B721E">
            <w:pPr>
              <w:spacing w:line="360" w:lineRule="auto"/>
              <w:jc w:val="center"/>
              <w:rPr>
                <w:rFonts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3E95D8D7">
            <w:pPr>
              <w:jc w:val="center"/>
              <w:rPr>
                <w:rFonts w:ascii="宋体" w:hAnsi="宋体" w:cs="宋体"/>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5AC9855">
            <w:pPr>
              <w:jc w:val="center"/>
              <w:rPr>
                <w:rFonts w:ascii="宋体" w:hAnsi="宋体" w:cs="宋体"/>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95CC1C2">
            <w:pPr>
              <w:jc w:val="center"/>
              <w:rPr>
                <w:rFonts w:ascii="宋体" w:hAnsi="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681F0E4">
            <w:pPr>
              <w:jc w:val="center"/>
              <w:rPr>
                <w:rFonts w:ascii="宋体" w:hAnsi="宋体" w:cs="宋体"/>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12032443">
            <w:pPr>
              <w:spacing w:line="300" w:lineRule="exact"/>
              <w:jc w:val="center"/>
              <w:rPr>
                <w:rFonts w:ascii="宋体" w:hAnsi="宋体" w:cs="宋体"/>
                <w:b/>
                <w:bCs/>
                <w:color w:val="auto"/>
                <w:szCs w:val="21"/>
                <w:highlight w:val="none"/>
              </w:rPr>
            </w:pPr>
          </w:p>
        </w:tc>
        <w:tc>
          <w:tcPr>
            <w:tcW w:w="1710" w:type="dxa"/>
            <w:tcBorders>
              <w:top w:val="single" w:color="auto" w:sz="4" w:space="0"/>
              <w:bottom w:val="single" w:color="auto" w:sz="4" w:space="0"/>
            </w:tcBorders>
            <w:vAlign w:val="center"/>
          </w:tcPr>
          <w:p w14:paraId="1D92D21E">
            <w:pPr>
              <w:spacing w:line="300" w:lineRule="exact"/>
              <w:jc w:val="center"/>
              <w:rPr>
                <w:rFonts w:ascii="宋体" w:hAnsi="宋体" w:cs="宋体"/>
                <w:b/>
                <w:bCs/>
                <w:color w:val="auto"/>
                <w:szCs w:val="21"/>
                <w:highlight w:val="none"/>
              </w:rPr>
            </w:pPr>
          </w:p>
        </w:tc>
      </w:tr>
      <w:tr w14:paraId="666AD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vAlign w:val="center"/>
          </w:tcPr>
          <w:p w14:paraId="4C0B3E89">
            <w:pPr>
              <w:spacing w:line="300" w:lineRule="exact"/>
              <w:rPr>
                <w:rFonts w:ascii="宋体" w:hAnsi="宋体" w:cs="宋体"/>
                <w:color w:val="auto"/>
                <w:spacing w:val="-6"/>
                <w:szCs w:val="21"/>
                <w:highlight w:val="none"/>
              </w:rPr>
            </w:pPr>
            <w:r>
              <w:rPr>
                <w:rFonts w:hint="eastAsia" w:ascii="宋体" w:hAnsi="宋体" w:cs="宋体"/>
                <w:color w:val="auto"/>
                <w:spacing w:val="-6"/>
                <w:szCs w:val="21"/>
                <w:highlight w:val="none"/>
              </w:rPr>
              <w:t>磋商总报价（大写）：人民币                                                 （¥                   ）</w:t>
            </w:r>
          </w:p>
        </w:tc>
      </w:tr>
      <w:tr w14:paraId="5F04B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vAlign w:val="center"/>
          </w:tcPr>
          <w:p w14:paraId="2CC00ECE">
            <w:pPr>
              <w:spacing w:line="300" w:lineRule="exact"/>
              <w:rPr>
                <w:rFonts w:ascii="宋体" w:hAnsi="宋体" w:cs="宋体"/>
                <w:color w:val="auto"/>
                <w:spacing w:val="-6"/>
                <w:szCs w:val="21"/>
                <w:highlight w:val="none"/>
              </w:rPr>
            </w:pPr>
            <w:r>
              <w:rPr>
                <w:rFonts w:hint="eastAsia" w:ascii="宋体" w:hAnsi="宋体" w:cs="宋体"/>
                <w:color w:val="auto"/>
                <w:spacing w:val="-6"/>
                <w:szCs w:val="21"/>
                <w:highlight w:val="none"/>
              </w:rPr>
              <w:t>服务时间：</w:t>
            </w:r>
          </w:p>
        </w:tc>
      </w:tr>
      <w:tr w14:paraId="23799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vAlign w:val="center"/>
          </w:tcPr>
          <w:p w14:paraId="538B5646">
            <w:pPr>
              <w:spacing w:line="340" w:lineRule="exac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pacing w:val="-6"/>
                <w:szCs w:val="21"/>
                <w:highlight w:val="none"/>
              </w:rPr>
              <w:t>磋商</w:t>
            </w:r>
            <w:r>
              <w:rPr>
                <w:rFonts w:hint="eastAsia" w:ascii="宋体" w:hAnsi="宋体" w:cs="宋体"/>
                <w:color w:val="auto"/>
                <w:szCs w:val="21"/>
                <w:highlight w:val="none"/>
              </w:rPr>
              <w:t>报价指本次招标采购范围内服务价款、服务随配标准附件、包装、运输、装卸、保险、税金、及其他所有成本费用的总和；供应商综合考虑在报价中。</w:t>
            </w:r>
          </w:p>
        </w:tc>
      </w:tr>
    </w:tbl>
    <w:p w14:paraId="0A85A810">
      <w:pPr>
        <w:spacing w:line="340" w:lineRule="exact"/>
        <w:rPr>
          <w:rFonts w:ascii="宋体" w:hAnsi="宋体" w:cs="宋体"/>
          <w:color w:val="auto"/>
          <w:szCs w:val="21"/>
          <w:highlight w:val="none"/>
        </w:rPr>
      </w:pPr>
    </w:p>
    <w:p w14:paraId="448D11A1">
      <w:pPr>
        <w:spacing w:line="340" w:lineRule="exact"/>
        <w:rPr>
          <w:rFonts w:ascii="宋体" w:hAnsi="宋体" w:cs="宋体"/>
          <w:color w:val="auto"/>
          <w:szCs w:val="21"/>
          <w:highlight w:val="none"/>
          <w:u w:val="single"/>
        </w:rPr>
      </w:pPr>
      <w:r>
        <w:rPr>
          <w:rFonts w:hint="eastAsia" w:ascii="宋体" w:hAnsi="宋体" w:cs="宋体"/>
          <w:color w:val="auto"/>
          <w:szCs w:val="21"/>
          <w:highlight w:val="none"/>
        </w:rPr>
        <w:t>供应商（CA签章，自然人除外）：</w:t>
      </w:r>
      <w:r>
        <w:rPr>
          <w:rFonts w:hint="eastAsia" w:ascii="宋体" w:hAnsi="宋体" w:cs="宋体"/>
          <w:color w:val="auto"/>
          <w:szCs w:val="21"/>
          <w:highlight w:val="none"/>
          <w:u w:val="single"/>
        </w:rPr>
        <w:t xml:space="preserve">                                        </w:t>
      </w:r>
    </w:p>
    <w:p w14:paraId="72EA2095">
      <w:pPr>
        <w:spacing w:line="340" w:lineRule="exact"/>
        <w:rPr>
          <w:rFonts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法定代表人、负责人、自然人或相应的委托代理人签字或个人CA签章（属自然人的应在签名处加盖食指指印或个人CA签章）：</w:t>
      </w:r>
      <w:r>
        <w:rPr>
          <w:rFonts w:hint="eastAsia" w:ascii="宋体" w:hAnsi="宋体" w:cs="宋体"/>
          <w:color w:val="auto"/>
          <w:szCs w:val="21"/>
          <w:highlight w:val="none"/>
          <w:u w:val="single"/>
        </w:rPr>
        <w:t xml:space="preserve">                                    </w:t>
      </w:r>
    </w:p>
    <w:p w14:paraId="1AF0DED4">
      <w:pPr>
        <w:tabs>
          <w:tab w:val="left" w:pos="1305"/>
        </w:tabs>
        <w:spacing w:line="340" w:lineRule="exact"/>
        <w:rPr>
          <w:rFonts w:ascii="宋体" w:hAnsi="宋体" w:cs="宋体"/>
          <w:bCs/>
          <w:color w:val="auto"/>
          <w:szCs w:val="21"/>
          <w:highlight w:val="none"/>
        </w:rPr>
      </w:pPr>
    </w:p>
    <w:p w14:paraId="25A137AB">
      <w:pPr>
        <w:tabs>
          <w:tab w:val="left" w:pos="1305"/>
        </w:tabs>
        <w:spacing w:line="340" w:lineRule="exact"/>
        <w:rPr>
          <w:rFonts w:ascii="宋体" w:hAnsi="宋体" w:cs="宋体"/>
          <w:bCs/>
          <w:color w:val="auto"/>
          <w:szCs w:val="21"/>
          <w:highlight w:val="none"/>
        </w:rPr>
      </w:pPr>
      <w:r>
        <w:rPr>
          <w:rFonts w:hint="eastAsia" w:ascii="宋体" w:hAnsi="宋体" w:cs="宋体"/>
          <w:bCs/>
          <w:color w:val="auto"/>
          <w:szCs w:val="21"/>
          <w:highlight w:val="none"/>
        </w:rPr>
        <w:t>注</w:t>
      </w:r>
      <w:r>
        <w:rPr>
          <w:rFonts w:hint="eastAsia" w:ascii="宋体" w:hAnsi="宋体" w:cs="宋体"/>
          <w:b/>
          <w:bCs/>
          <w:color w:val="auto"/>
          <w:szCs w:val="21"/>
          <w:highlight w:val="none"/>
        </w:rPr>
        <w:t>：</w:t>
      </w:r>
      <w:r>
        <w:rPr>
          <w:rFonts w:hint="eastAsia" w:ascii="宋体" w:hAnsi="宋体" w:cs="宋体"/>
          <w:bCs/>
          <w:color w:val="auto"/>
          <w:szCs w:val="21"/>
          <w:highlight w:val="none"/>
        </w:rPr>
        <w:t>1.各</w:t>
      </w:r>
      <w:r>
        <w:rPr>
          <w:rFonts w:hint="eastAsia" w:ascii="宋体" w:hAnsi="宋体" w:cs="宋体"/>
          <w:color w:val="auto"/>
          <w:szCs w:val="21"/>
          <w:highlight w:val="none"/>
        </w:rPr>
        <w:t>供应商必须就“服务采购需求”中所投分标的所有内容作完整唯一报价，否则，其投标将被拒绝。投标文件只允许有一个报价。</w:t>
      </w:r>
    </w:p>
    <w:p w14:paraId="34E16DFE">
      <w:pPr>
        <w:pStyle w:val="12"/>
        <w:spacing w:line="360" w:lineRule="exact"/>
        <w:ind w:firstLine="420" w:firstLineChars="200"/>
        <w:rPr>
          <w:rFonts w:hAnsi="宋体" w:cs="宋体"/>
          <w:color w:val="auto"/>
          <w:szCs w:val="21"/>
          <w:highlight w:val="none"/>
        </w:rPr>
      </w:pPr>
      <w:r>
        <w:rPr>
          <w:rFonts w:hint="eastAsia" w:hAnsi="宋体" w:cs="宋体"/>
          <w:color w:val="auto"/>
          <w:szCs w:val="21"/>
          <w:highlight w:val="none"/>
        </w:rPr>
        <w:t>2.供应商应根据所投项目如实填写投标报价表</w:t>
      </w:r>
      <w:r>
        <w:rPr>
          <w:rFonts w:hint="eastAsia" w:hAnsi="宋体" w:cs="宋体"/>
          <w:bCs/>
          <w:color w:val="auto"/>
          <w:szCs w:val="21"/>
          <w:highlight w:val="none"/>
        </w:rPr>
        <w:t>的各项内容。</w:t>
      </w:r>
    </w:p>
    <w:p w14:paraId="47457F11">
      <w:pPr>
        <w:ind w:firstLine="420" w:firstLineChars="200"/>
        <w:rPr>
          <w:rFonts w:ascii="宋体" w:hAnsi="宋体" w:cs="宋体"/>
          <w:b/>
          <w:bCs/>
          <w:color w:val="auto"/>
          <w:sz w:val="32"/>
          <w:szCs w:val="32"/>
          <w:highlight w:val="none"/>
        </w:rPr>
      </w:pPr>
      <w:r>
        <w:rPr>
          <w:rFonts w:hint="eastAsia" w:ascii="宋体" w:hAnsi="宋体" w:cs="宋体"/>
          <w:color w:val="auto"/>
          <w:szCs w:val="21"/>
          <w:highlight w:val="none"/>
        </w:rPr>
        <w:t>3.</w:t>
      </w:r>
      <w:r>
        <w:rPr>
          <w:rFonts w:hint="eastAsia" w:ascii="宋体" w:hAnsi="宋体" w:cs="宋体"/>
          <w:color w:val="auto"/>
          <w:highlight w:val="none"/>
        </w:rPr>
        <w:t>磋商报价表须由法定代表人负责人、自然人或相应的委托代理人签字或个人CA签章（属自然人的应在签名处加盖食指指印或个人CA签章）并加盖供应商CA签章（自然人除外）。</w:t>
      </w:r>
      <w:r>
        <w:rPr>
          <w:rFonts w:hint="eastAsia" w:ascii="宋体" w:hAnsi="宋体" w:cs="宋体"/>
          <w:b/>
          <w:color w:val="auto"/>
          <w:highlight w:val="none"/>
        </w:rPr>
        <w:t>当本表由多页构成时，需逐页加盖供应商公章（属自然人的须逐页签字或个人CA签章）</w:t>
      </w:r>
    </w:p>
    <w:p w14:paraId="50288831">
      <w:pPr>
        <w:rPr>
          <w:rFonts w:ascii="宋体" w:hAnsi="宋体" w:cs="宋体"/>
          <w:b/>
          <w:bCs/>
          <w:color w:val="auto"/>
          <w:sz w:val="32"/>
          <w:szCs w:val="32"/>
          <w:highlight w:val="none"/>
        </w:rPr>
      </w:pPr>
    </w:p>
    <w:p w14:paraId="7CC88C4B">
      <w:pPr>
        <w:pStyle w:val="7"/>
        <w:rPr>
          <w:rFonts w:ascii="宋体" w:hAnsi="宋体" w:cs="宋体"/>
          <w:color w:val="auto"/>
          <w:highlight w:val="none"/>
        </w:rPr>
        <w:sectPr>
          <w:headerReference r:id="rId7" w:type="default"/>
          <w:footerReference r:id="rId8" w:type="default"/>
          <w:pgSz w:w="11906" w:h="16838"/>
          <w:pgMar w:top="1440" w:right="935" w:bottom="1440" w:left="777" w:header="851" w:footer="992" w:gutter="0"/>
          <w:cols w:space="720" w:num="1"/>
          <w:docGrid w:type="linesAndChars" w:linePitch="312" w:charSpace="0"/>
        </w:sectPr>
      </w:pPr>
    </w:p>
    <w:p w14:paraId="43C58838">
      <w:pPr>
        <w:pStyle w:val="12"/>
        <w:spacing w:line="340" w:lineRule="exact"/>
        <w:rPr>
          <w:rFonts w:hAnsi="宋体" w:cs="宋体"/>
          <w:b/>
          <w:color w:val="auto"/>
          <w:sz w:val="28"/>
          <w:szCs w:val="28"/>
          <w:highlight w:val="none"/>
        </w:rPr>
      </w:pPr>
      <w:r>
        <w:rPr>
          <w:rFonts w:hint="eastAsia" w:hAnsi="宋体" w:cs="宋体"/>
          <w:b/>
          <w:color w:val="auto"/>
          <w:sz w:val="28"/>
          <w:szCs w:val="28"/>
          <w:highlight w:val="none"/>
        </w:rPr>
        <w:t>3、针对本项目的实施方案（根据“服务采购需求”要求提供，格式自拟）(必须提供)；</w:t>
      </w:r>
    </w:p>
    <w:p w14:paraId="3D3503D6">
      <w:pPr>
        <w:pStyle w:val="6"/>
        <w:rPr>
          <w:color w:val="auto"/>
          <w:highlight w:val="none"/>
        </w:rPr>
      </w:pPr>
    </w:p>
    <w:p w14:paraId="3E2411BD">
      <w:pPr>
        <w:rPr>
          <w:color w:val="auto"/>
          <w:highlight w:val="none"/>
        </w:rPr>
      </w:pPr>
    </w:p>
    <w:p w14:paraId="6126CE50">
      <w:pPr>
        <w:pStyle w:val="29"/>
        <w:rPr>
          <w:color w:val="auto"/>
          <w:highlight w:val="none"/>
        </w:rPr>
      </w:pPr>
    </w:p>
    <w:p w14:paraId="5A72F86F">
      <w:pPr>
        <w:pStyle w:val="29"/>
        <w:rPr>
          <w:color w:val="auto"/>
          <w:highlight w:val="none"/>
        </w:rPr>
      </w:pPr>
    </w:p>
    <w:p w14:paraId="0DBA5609">
      <w:pPr>
        <w:spacing w:line="340" w:lineRule="exact"/>
        <w:jc w:val="center"/>
        <w:rPr>
          <w:rFonts w:hAnsi="宋体" w:cs="宋体"/>
          <w:b/>
          <w:color w:val="auto"/>
          <w:sz w:val="28"/>
          <w:szCs w:val="28"/>
          <w:highlight w:val="none"/>
        </w:rPr>
      </w:pPr>
      <w:r>
        <w:rPr>
          <w:rFonts w:hint="eastAsia" w:hAnsi="宋体" w:cs="宋体"/>
          <w:b/>
          <w:color w:val="auto"/>
          <w:sz w:val="28"/>
          <w:szCs w:val="28"/>
          <w:highlight w:val="none"/>
        </w:rPr>
        <w:t>针对本项目的实施方案</w:t>
      </w:r>
    </w:p>
    <w:p w14:paraId="7718D0BA">
      <w:pPr>
        <w:pStyle w:val="29"/>
        <w:rPr>
          <w:color w:val="auto"/>
          <w:highlight w:val="none"/>
        </w:rPr>
      </w:pPr>
    </w:p>
    <w:p w14:paraId="4734DDBA">
      <w:pPr>
        <w:pStyle w:val="29"/>
        <w:rPr>
          <w:color w:val="auto"/>
          <w:highlight w:val="none"/>
        </w:rPr>
      </w:pPr>
    </w:p>
    <w:p w14:paraId="4E0E540B">
      <w:pPr>
        <w:pStyle w:val="29"/>
        <w:rPr>
          <w:color w:val="auto"/>
          <w:highlight w:val="none"/>
        </w:rPr>
      </w:pPr>
    </w:p>
    <w:p w14:paraId="75A36A5A">
      <w:pPr>
        <w:pStyle w:val="29"/>
        <w:rPr>
          <w:color w:val="auto"/>
          <w:highlight w:val="none"/>
        </w:rPr>
      </w:pPr>
    </w:p>
    <w:p w14:paraId="1DE4B4BB">
      <w:pPr>
        <w:pStyle w:val="29"/>
        <w:rPr>
          <w:color w:val="auto"/>
          <w:highlight w:val="none"/>
        </w:rPr>
      </w:pPr>
    </w:p>
    <w:p w14:paraId="72EC8C53">
      <w:pPr>
        <w:pStyle w:val="29"/>
        <w:rPr>
          <w:color w:val="auto"/>
          <w:highlight w:val="none"/>
        </w:rPr>
      </w:pPr>
    </w:p>
    <w:p w14:paraId="0AB46CB5">
      <w:pPr>
        <w:pStyle w:val="29"/>
        <w:rPr>
          <w:color w:val="auto"/>
          <w:highlight w:val="none"/>
        </w:rPr>
      </w:pPr>
    </w:p>
    <w:p w14:paraId="0EB39AEA">
      <w:pPr>
        <w:pStyle w:val="29"/>
        <w:rPr>
          <w:color w:val="auto"/>
          <w:highlight w:val="none"/>
        </w:rPr>
      </w:pPr>
    </w:p>
    <w:p w14:paraId="6148B1C0">
      <w:pPr>
        <w:pStyle w:val="29"/>
        <w:rPr>
          <w:color w:val="auto"/>
          <w:highlight w:val="none"/>
        </w:rPr>
      </w:pPr>
    </w:p>
    <w:p w14:paraId="3C23160D">
      <w:pPr>
        <w:pStyle w:val="29"/>
        <w:rPr>
          <w:color w:val="auto"/>
          <w:highlight w:val="none"/>
        </w:rPr>
      </w:pPr>
    </w:p>
    <w:p w14:paraId="29355D7B">
      <w:pPr>
        <w:pStyle w:val="29"/>
        <w:rPr>
          <w:color w:val="auto"/>
          <w:highlight w:val="none"/>
        </w:rPr>
      </w:pPr>
    </w:p>
    <w:p w14:paraId="082E29AA">
      <w:pPr>
        <w:pStyle w:val="29"/>
        <w:rPr>
          <w:color w:val="auto"/>
          <w:highlight w:val="none"/>
        </w:rPr>
      </w:pPr>
    </w:p>
    <w:p w14:paraId="5BDB2A50">
      <w:pPr>
        <w:pStyle w:val="29"/>
        <w:rPr>
          <w:color w:val="auto"/>
          <w:highlight w:val="none"/>
        </w:rPr>
      </w:pPr>
    </w:p>
    <w:p w14:paraId="1736A9D4">
      <w:pPr>
        <w:pStyle w:val="29"/>
        <w:rPr>
          <w:color w:val="auto"/>
          <w:highlight w:val="none"/>
        </w:rPr>
      </w:pPr>
    </w:p>
    <w:p w14:paraId="57E6B009">
      <w:pPr>
        <w:pStyle w:val="29"/>
        <w:rPr>
          <w:color w:val="auto"/>
          <w:highlight w:val="none"/>
        </w:rPr>
      </w:pPr>
    </w:p>
    <w:p w14:paraId="32F7ACB4">
      <w:pPr>
        <w:pStyle w:val="29"/>
        <w:rPr>
          <w:color w:val="auto"/>
          <w:highlight w:val="none"/>
        </w:rPr>
      </w:pPr>
    </w:p>
    <w:p w14:paraId="0189A57E">
      <w:pPr>
        <w:pStyle w:val="29"/>
        <w:rPr>
          <w:color w:val="auto"/>
          <w:highlight w:val="none"/>
        </w:rPr>
      </w:pPr>
    </w:p>
    <w:p w14:paraId="4EFCF8AB">
      <w:pPr>
        <w:pStyle w:val="29"/>
        <w:rPr>
          <w:color w:val="auto"/>
          <w:highlight w:val="none"/>
        </w:rPr>
      </w:pPr>
    </w:p>
    <w:p w14:paraId="2E444F5D">
      <w:pPr>
        <w:pStyle w:val="29"/>
        <w:rPr>
          <w:color w:val="auto"/>
          <w:highlight w:val="none"/>
        </w:rPr>
      </w:pPr>
    </w:p>
    <w:p w14:paraId="2823D98D">
      <w:pPr>
        <w:pStyle w:val="29"/>
        <w:rPr>
          <w:color w:val="auto"/>
          <w:highlight w:val="none"/>
        </w:rPr>
      </w:pPr>
    </w:p>
    <w:p w14:paraId="7D3FBBED">
      <w:pPr>
        <w:pStyle w:val="29"/>
        <w:rPr>
          <w:color w:val="auto"/>
          <w:highlight w:val="none"/>
        </w:rPr>
      </w:pPr>
    </w:p>
    <w:p w14:paraId="0FAEAFCB">
      <w:pPr>
        <w:pStyle w:val="29"/>
        <w:rPr>
          <w:color w:val="auto"/>
          <w:highlight w:val="none"/>
        </w:rPr>
      </w:pPr>
    </w:p>
    <w:p w14:paraId="40836259">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0B60CA53">
      <w:pPr>
        <w:spacing w:line="340" w:lineRule="exact"/>
        <w:rPr>
          <w:rFonts w:ascii="宋体" w:hAnsi="宋体" w:cs="宋体"/>
          <w:color w:val="auto"/>
          <w:highlight w:val="none"/>
        </w:rPr>
      </w:pPr>
    </w:p>
    <w:p w14:paraId="1B3E8B66">
      <w:pPr>
        <w:snapToGrid w:val="0"/>
        <w:spacing w:line="400" w:lineRule="exact"/>
        <w:ind w:firstLine="1680" w:firstLineChars="800"/>
        <w:rPr>
          <w:rFonts w:ascii="宋体" w:hAnsi="宋体" w:cs="宋体"/>
          <w:color w:val="auto"/>
          <w:highlight w:val="none"/>
        </w:rPr>
      </w:pPr>
    </w:p>
    <w:p w14:paraId="49769934">
      <w:pPr>
        <w:snapToGrid w:val="0"/>
        <w:spacing w:line="400" w:lineRule="exact"/>
        <w:ind w:firstLine="1680" w:firstLineChars="800"/>
        <w:rPr>
          <w:rFonts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65E02EDD">
      <w:pPr>
        <w:ind w:firstLine="1890" w:firstLineChars="900"/>
        <w:rPr>
          <w:rFonts w:ascii="宋体" w:hAnsi="宋体" w:cs="宋体"/>
          <w:color w:val="auto"/>
          <w:highlight w:val="none"/>
          <w:u w:val="single"/>
        </w:rPr>
      </w:pPr>
    </w:p>
    <w:p w14:paraId="6472BF5B">
      <w:pPr>
        <w:ind w:firstLine="1890" w:firstLineChars="900"/>
        <w:rPr>
          <w:rFonts w:ascii="宋体" w:hAnsi="宋体" w:cs="宋体"/>
          <w:color w:val="auto"/>
          <w:highlight w:val="none"/>
          <w:u w:val="single"/>
        </w:rPr>
      </w:pPr>
    </w:p>
    <w:p w14:paraId="5F63B0DC">
      <w:pPr>
        <w:pStyle w:val="8"/>
        <w:rPr>
          <w:rFonts w:ascii="宋体" w:hAnsi="宋体" w:cs="宋体"/>
          <w:color w:val="auto"/>
          <w:highlight w:val="none"/>
        </w:rPr>
      </w:pPr>
    </w:p>
    <w:p w14:paraId="0E84D5D8">
      <w:pPr>
        <w:pStyle w:val="8"/>
        <w:rPr>
          <w:rFonts w:ascii="宋体" w:hAnsi="宋体" w:cs="宋体"/>
          <w:color w:val="auto"/>
          <w:highlight w:val="none"/>
        </w:rPr>
      </w:pPr>
    </w:p>
    <w:p w14:paraId="190C84DB">
      <w:pPr>
        <w:pStyle w:val="8"/>
        <w:rPr>
          <w:rFonts w:ascii="宋体" w:hAnsi="宋体" w:cs="宋体"/>
          <w:color w:val="auto"/>
          <w:highlight w:val="none"/>
        </w:rPr>
      </w:pPr>
    </w:p>
    <w:p w14:paraId="105180AE">
      <w:pPr>
        <w:pStyle w:val="8"/>
        <w:rPr>
          <w:rFonts w:ascii="宋体" w:hAnsi="宋体" w:cs="宋体"/>
          <w:color w:val="auto"/>
          <w:highlight w:val="none"/>
        </w:rPr>
      </w:pPr>
    </w:p>
    <w:p w14:paraId="21C252C1">
      <w:pPr>
        <w:pStyle w:val="8"/>
        <w:rPr>
          <w:rFonts w:ascii="宋体" w:hAnsi="宋体" w:cs="宋体"/>
          <w:color w:val="auto"/>
          <w:highlight w:val="none"/>
        </w:rPr>
      </w:pPr>
    </w:p>
    <w:p w14:paraId="36ED6ACA">
      <w:pPr>
        <w:pStyle w:val="8"/>
        <w:rPr>
          <w:rFonts w:ascii="宋体" w:hAnsi="宋体" w:cs="宋体"/>
          <w:color w:val="auto"/>
          <w:highlight w:val="none"/>
        </w:rPr>
      </w:pPr>
    </w:p>
    <w:p w14:paraId="4D269575">
      <w:pPr>
        <w:pStyle w:val="8"/>
        <w:rPr>
          <w:rFonts w:ascii="宋体" w:hAnsi="宋体" w:cs="宋体"/>
          <w:color w:val="auto"/>
          <w:highlight w:val="none"/>
        </w:rPr>
      </w:pPr>
    </w:p>
    <w:p w14:paraId="5C408DAE">
      <w:pPr>
        <w:rPr>
          <w:rFonts w:ascii="宋体" w:hAnsi="宋体" w:cs="宋体"/>
          <w:color w:val="auto"/>
          <w:highlight w:val="none"/>
        </w:rPr>
      </w:pPr>
    </w:p>
    <w:p w14:paraId="75B3ACC6">
      <w:pPr>
        <w:pStyle w:val="8"/>
        <w:rPr>
          <w:rFonts w:ascii="宋体" w:hAnsi="宋体" w:cs="宋体"/>
          <w:color w:val="auto"/>
          <w:highlight w:val="none"/>
        </w:rPr>
      </w:pPr>
    </w:p>
    <w:p w14:paraId="08F82CDB">
      <w:pPr>
        <w:pStyle w:val="12"/>
        <w:spacing w:line="340" w:lineRule="exact"/>
        <w:rPr>
          <w:rFonts w:hAnsi="宋体" w:cs="宋体"/>
          <w:b/>
          <w:color w:val="auto"/>
          <w:sz w:val="28"/>
          <w:szCs w:val="28"/>
          <w:highlight w:val="none"/>
        </w:rPr>
      </w:pPr>
      <w:r>
        <w:rPr>
          <w:rFonts w:hint="eastAsia" w:hAnsi="宋体" w:cs="宋体"/>
          <w:b/>
          <w:color w:val="auto"/>
          <w:sz w:val="28"/>
          <w:szCs w:val="28"/>
          <w:highlight w:val="none"/>
        </w:rPr>
        <w:t>4、服务方案（由供应商根据本项目采购需求、特点及供应商自身的处理能力自行编写，承诺书内容至少应包括“采购需求”的所有服务条款）（必须提供）；</w:t>
      </w:r>
    </w:p>
    <w:p w14:paraId="33DD8A07">
      <w:pPr>
        <w:rPr>
          <w:rFonts w:ascii="宋体" w:hAnsi="宋体" w:cs="宋体"/>
          <w:color w:val="auto"/>
          <w:highlight w:val="none"/>
        </w:rPr>
      </w:pPr>
    </w:p>
    <w:p w14:paraId="5504F86C">
      <w:pPr>
        <w:pStyle w:val="12"/>
        <w:spacing w:line="340" w:lineRule="exact"/>
        <w:rPr>
          <w:rFonts w:hAnsi="宋体" w:cs="宋体"/>
          <w:b/>
          <w:color w:val="auto"/>
          <w:sz w:val="28"/>
          <w:szCs w:val="28"/>
          <w:highlight w:val="none"/>
        </w:rPr>
      </w:pPr>
      <w:r>
        <w:rPr>
          <w:rFonts w:hint="eastAsia" w:hAnsi="宋体" w:cs="宋体"/>
          <w:b/>
          <w:color w:val="auto"/>
          <w:sz w:val="28"/>
          <w:szCs w:val="28"/>
          <w:highlight w:val="none"/>
        </w:rPr>
        <w:t>附件：</w:t>
      </w:r>
    </w:p>
    <w:p w14:paraId="3ABB24D2">
      <w:pPr>
        <w:rPr>
          <w:rFonts w:ascii="宋体" w:hAnsi="宋体" w:cs="宋体"/>
          <w:color w:val="auto"/>
          <w:highlight w:val="none"/>
        </w:rPr>
      </w:pPr>
    </w:p>
    <w:p w14:paraId="3880611C">
      <w:pPr>
        <w:pStyle w:val="8"/>
        <w:rPr>
          <w:rFonts w:ascii="宋体" w:hAnsi="宋体" w:cs="宋体"/>
          <w:color w:val="auto"/>
          <w:highlight w:val="none"/>
        </w:rPr>
      </w:pPr>
    </w:p>
    <w:p w14:paraId="301A3A54">
      <w:pPr>
        <w:pStyle w:val="8"/>
        <w:rPr>
          <w:rFonts w:ascii="宋体" w:hAnsi="宋体" w:cs="宋体"/>
          <w:color w:val="auto"/>
          <w:highlight w:val="none"/>
        </w:rPr>
      </w:pPr>
    </w:p>
    <w:p w14:paraId="793C631B">
      <w:pPr>
        <w:pStyle w:val="8"/>
        <w:rPr>
          <w:rFonts w:ascii="宋体" w:hAnsi="宋体" w:cs="宋体"/>
          <w:color w:val="auto"/>
          <w:highlight w:val="none"/>
        </w:rPr>
      </w:pPr>
    </w:p>
    <w:p w14:paraId="1CB304A9">
      <w:pPr>
        <w:pStyle w:val="12"/>
        <w:spacing w:line="340" w:lineRule="exact"/>
        <w:jc w:val="center"/>
        <w:rPr>
          <w:rFonts w:hAnsi="宋体" w:cs="宋体"/>
          <w:b/>
          <w:color w:val="auto"/>
          <w:sz w:val="32"/>
          <w:szCs w:val="32"/>
          <w:highlight w:val="none"/>
        </w:rPr>
      </w:pPr>
      <w:r>
        <w:rPr>
          <w:rFonts w:hint="eastAsia" w:hAnsi="宋体" w:cs="宋体"/>
          <w:b/>
          <w:color w:val="auto"/>
          <w:sz w:val="32"/>
          <w:szCs w:val="32"/>
          <w:highlight w:val="none"/>
        </w:rPr>
        <w:t>服务方案（格式）</w:t>
      </w:r>
    </w:p>
    <w:p w14:paraId="1AC698FE">
      <w:pPr>
        <w:pStyle w:val="12"/>
        <w:spacing w:line="340" w:lineRule="exact"/>
        <w:jc w:val="center"/>
        <w:rPr>
          <w:rFonts w:hAnsi="宋体" w:cs="宋体"/>
          <w:b/>
          <w:color w:val="auto"/>
          <w:sz w:val="32"/>
          <w:szCs w:val="32"/>
          <w:highlight w:val="none"/>
        </w:rPr>
      </w:pPr>
    </w:p>
    <w:p w14:paraId="4FE81AB2">
      <w:pPr>
        <w:pStyle w:val="12"/>
        <w:spacing w:line="340" w:lineRule="exact"/>
        <w:jc w:val="center"/>
        <w:rPr>
          <w:rFonts w:hAnsi="宋体" w:cs="宋体"/>
          <w:b/>
          <w:color w:val="auto"/>
          <w:sz w:val="32"/>
          <w:szCs w:val="32"/>
          <w:highlight w:val="none"/>
        </w:rPr>
      </w:pPr>
    </w:p>
    <w:p w14:paraId="1654F103">
      <w:pPr>
        <w:pStyle w:val="12"/>
        <w:spacing w:line="340" w:lineRule="exact"/>
        <w:jc w:val="center"/>
        <w:rPr>
          <w:rFonts w:hAnsi="宋体" w:cs="宋体"/>
          <w:b/>
          <w:color w:val="auto"/>
          <w:sz w:val="32"/>
          <w:szCs w:val="32"/>
          <w:highlight w:val="none"/>
        </w:rPr>
      </w:pPr>
    </w:p>
    <w:p w14:paraId="53AECB78">
      <w:pPr>
        <w:rPr>
          <w:rFonts w:ascii="宋体" w:hAnsi="宋体" w:cs="宋体"/>
          <w:b/>
          <w:color w:val="auto"/>
          <w:sz w:val="32"/>
          <w:szCs w:val="32"/>
          <w:highlight w:val="none"/>
        </w:rPr>
      </w:pPr>
    </w:p>
    <w:p w14:paraId="73C08A17">
      <w:pPr>
        <w:pStyle w:val="8"/>
        <w:rPr>
          <w:rFonts w:ascii="宋体" w:hAnsi="宋体" w:cs="宋体"/>
          <w:color w:val="auto"/>
          <w:highlight w:val="none"/>
        </w:rPr>
      </w:pPr>
    </w:p>
    <w:p w14:paraId="3C7E89D8">
      <w:pPr>
        <w:pStyle w:val="8"/>
        <w:rPr>
          <w:rFonts w:ascii="宋体" w:hAnsi="宋体" w:cs="宋体"/>
          <w:b/>
          <w:color w:val="auto"/>
          <w:sz w:val="32"/>
          <w:szCs w:val="32"/>
          <w:highlight w:val="none"/>
        </w:rPr>
      </w:pPr>
    </w:p>
    <w:p w14:paraId="5D7AF61D">
      <w:pPr>
        <w:pStyle w:val="12"/>
        <w:spacing w:line="340" w:lineRule="exact"/>
        <w:jc w:val="center"/>
        <w:rPr>
          <w:rFonts w:hAnsi="宋体" w:cs="宋体"/>
          <w:b/>
          <w:color w:val="auto"/>
          <w:sz w:val="32"/>
          <w:szCs w:val="32"/>
          <w:highlight w:val="none"/>
        </w:rPr>
      </w:pPr>
    </w:p>
    <w:p w14:paraId="51409DC9">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36F20D66">
      <w:pPr>
        <w:pStyle w:val="3"/>
        <w:rPr>
          <w:rFonts w:ascii="宋体" w:hAnsi="宋体" w:cs="宋体"/>
          <w:color w:val="auto"/>
          <w:highlight w:val="none"/>
        </w:rPr>
      </w:pPr>
    </w:p>
    <w:p w14:paraId="7EF8D2AD">
      <w:pPr>
        <w:snapToGrid w:val="0"/>
        <w:spacing w:line="400" w:lineRule="exact"/>
        <w:ind w:firstLine="1680" w:firstLineChars="800"/>
        <w:rPr>
          <w:rFonts w:ascii="宋体" w:hAnsi="宋体" w:cs="宋体"/>
          <w:b/>
          <w:bCs/>
          <w:color w:val="auto"/>
          <w:szCs w:val="21"/>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26145E88">
      <w:pPr>
        <w:pStyle w:val="8"/>
        <w:rPr>
          <w:rFonts w:ascii="宋体" w:hAnsi="宋体" w:cs="宋体"/>
          <w:b/>
          <w:bCs/>
          <w:color w:val="auto"/>
          <w:szCs w:val="21"/>
          <w:highlight w:val="none"/>
        </w:rPr>
        <w:sectPr>
          <w:pgSz w:w="11906" w:h="16838"/>
          <w:pgMar w:top="1440" w:right="935" w:bottom="1440" w:left="777" w:header="851" w:footer="992" w:gutter="0"/>
          <w:cols w:space="720" w:num="1"/>
          <w:docGrid w:type="lines" w:linePitch="312" w:charSpace="0"/>
        </w:sectPr>
      </w:pPr>
    </w:p>
    <w:p w14:paraId="4F443CA2">
      <w:pPr>
        <w:pStyle w:val="12"/>
        <w:spacing w:line="400" w:lineRule="exact"/>
        <w:ind w:left="420"/>
        <w:rPr>
          <w:rFonts w:hAnsi="宋体"/>
          <w:b/>
          <w:color w:val="auto"/>
          <w:sz w:val="32"/>
          <w:szCs w:val="32"/>
          <w:highlight w:val="none"/>
        </w:rPr>
      </w:pPr>
      <w:r>
        <w:rPr>
          <w:rFonts w:hint="eastAsia" w:hAnsi="宋体"/>
          <w:b/>
          <w:color w:val="auto"/>
          <w:sz w:val="32"/>
          <w:szCs w:val="32"/>
          <w:highlight w:val="none"/>
        </w:rPr>
        <w:t>5.技术及商务要求偏离表（必须提供）</w:t>
      </w:r>
    </w:p>
    <w:p w14:paraId="151D1EAD">
      <w:pPr>
        <w:pStyle w:val="12"/>
        <w:ind w:firstLine="472" w:firstLineChars="147"/>
        <w:rPr>
          <w:rFonts w:hAnsi="宋体"/>
          <w:b/>
          <w:color w:val="auto"/>
          <w:sz w:val="32"/>
          <w:szCs w:val="32"/>
          <w:highlight w:val="none"/>
        </w:rPr>
      </w:pPr>
    </w:p>
    <w:p w14:paraId="2C84FAFE">
      <w:pPr>
        <w:pStyle w:val="12"/>
        <w:ind w:firstLine="1754" w:firstLineChars="546"/>
        <w:rPr>
          <w:rFonts w:hAnsi="宋体"/>
          <w:b/>
          <w:bCs/>
          <w:color w:val="auto"/>
          <w:sz w:val="32"/>
          <w:highlight w:val="none"/>
        </w:rPr>
      </w:pPr>
      <w:r>
        <w:rPr>
          <w:rFonts w:hint="eastAsia" w:hAnsi="宋体"/>
          <w:b/>
          <w:color w:val="auto"/>
          <w:sz w:val="32"/>
          <w:szCs w:val="32"/>
          <w:highlight w:val="none"/>
        </w:rPr>
        <w:t>技术及商务要求偏离表</w:t>
      </w:r>
      <w:r>
        <w:rPr>
          <w:rFonts w:hint="eastAsia" w:hAnsi="宋体"/>
          <w:b/>
          <w:bCs/>
          <w:color w:val="auto"/>
          <w:sz w:val="32"/>
          <w:highlight w:val="none"/>
        </w:rPr>
        <w:t>（格式）</w:t>
      </w:r>
    </w:p>
    <w:tbl>
      <w:tblPr>
        <w:tblStyle w:val="24"/>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489"/>
        <w:gridCol w:w="2520"/>
        <w:gridCol w:w="2700"/>
      </w:tblGrid>
      <w:tr w14:paraId="319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8" w:type="dxa"/>
            <w:vAlign w:val="center"/>
          </w:tcPr>
          <w:p w14:paraId="1C5F7A53">
            <w:pPr>
              <w:pStyle w:val="12"/>
              <w:spacing w:line="400" w:lineRule="exact"/>
              <w:jc w:val="center"/>
              <w:rPr>
                <w:rFonts w:hAnsi="宋体"/>
                <w:color w:val="auto"/>
                <w:szCs w:val="22"/>
                <w:highlight w:val="none"/>
              </w:rPr>
            </w:pPr>
            <w:r>
              <w:rPr>
                <w:rFonts w:hint="eastAsia" w:hAnsi="宋体"/>
                <w:color w:val="auto"/>
                <w:szCs w:val="22"/>
                <w:highlight w:val="none"/>
              </w:rPr>
              <w:t>序号</w:t>
            </w:r>
          </w:p>
        </w:tc>
        <w:tc>
          <w:tcPr>
            <w:tcW w:w="1651" w:type="dxa"/>
            <w:vAlign w:val="center"/>
          </w:tcPr>
          <w:p w14:paraId="48A5CBE9">
            <w:pPr>
              <w:pStyle w:val="12"/>
              <w:spacing w:line="400" w:lineRule="exact"/>
              <w:jc w:val="center"/>
              <w:rPr>
                <w:rFonts w:hAnsi="宋体"/>
                <w:color w:val="auto"/>
                <w:szCs w:val="22"/>
                <w:highlight w:val="none"/>
              </w:rPr>
            </w:pPr>
            <w:r>
              <w:rPr>
                <w:rFonts w:hint="eastAsia" w:hAnsi="宋体"/>
                <w:color w:val="auto"/>
                <w:szCs w:val="22"/>
                <w:highlight w:val="none"/>
              </w:rPr>
              <w:t>服务名称</w:t>
            </w:r>
          </w:p>
        </w:tc>
        <w:tc>
          <w:tcPr>
            <w:tcW w:w="2489" w:type="dxa"/>
            <w:vAlign w:val="center"/>
          </w:tcPr>
          <w:p w14:paraId="032ED0D7">
            <w:pPr>
              <w:pStyle w:val="12"/>
              <w:spacing w:line="300" w:lineRule="exact"/>
              <w:jc w:val="center"/>
              <w:rPr>
                <w:rFonts w:hAnsi="宋体"/>
                <w:color w:val="auto"/>
                <w:szCs w:val="22"/>
                <w:highlight w:val="none"/>
              </w:rPr>
            </w:pPr>
            <w:r>
              <w:rPr>
                <w:rFonts w:hint="eastAsia" w:hAnsi="宋体"/>
                <w:b/>
                <w:color w:val="auto"/>
                <w:highlight w:val="none"/>
              </w:rPr>
              <w:t>项目要求及技术需求</w:t>
            </w:r>
          </w:p>
        </w:tc>
        <w:tc>
          <w:tcPr>
            <w:tcW w:w="2520" w:type="dxa"/>
            <w:vAlign w:val="center"/>
          </w:tcPr>
          <w:p w14:paraId="02B5E64C">
            <w:pPr>
              <w:pStyle w:val="12"/>
              <w:spacing w:line="300" w:lineRule="exact"/>
              <w:jc w:val="center"/>
              <w:rPr>
                <w:rFonts w:hAnsi="宋体"/>
                <w:b/>
                <w:color w:val="auto"/>
                <w:highlight w:val="none"/>
              </w:rPr>
            </w:pPr>
            <w:r>
              <w:rPr>
                <w:rFonts w:hint="eastAsia" w:hAnsi="宋体"/>
                <w:b/>
                <w:color w:val="auto"/>
                <w:highlight w:val="none"/>
              </w:rPr>
              <w:t>投标文件的响应情况</w:t>
            </w:r>
          </w:p>
        </w:tc>
        <w:tc>
          <w:tcPr>
            <w:tcW w:w="2700" w:type="dxa"/>
            <w:vAlign w:val="center"/>
          </w:tcPr>
          <w:p w14:paraId="1FC47DF5">
            <w:pPr>
              <w:pStyle w:val="12"/>
              <w:spacing w:line="400" w:lineRule="exact"/>
              <w:jc w:val="center"/>
              <w:rPr>
                <w:rFonts w:hAnsi="宋体"/>
                <w:color w:val="auto"/>
                <w:szCs w:val="22"/>
                <w:highlight w:val="none"/>
              </w:rPr>
            </w:pPr>
            <w:r>
              <w:rPr>
                <w:rFonts w:hint="eastAsia" w:hAnsi="宋体"/>
                <w:color w:val="auto"/>
                <w:szCs w:val="22"/>
                <w:highlight w:val="none"/>
              </w:rPr>
              <w:t>偏离情况说明</w:t>
            </w:r>
          </w:p>
        </w:tc>
      </w:tr>
      <w:tr w14:paraId="4EEF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E6F11B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651" w:type="dxa"/>
            <w:vAlign w:val="center"/>
          </w:tcPr>
          <w:p w14:paraId="7DF6B057">
            <w:pPr>
              <w:jc w:val="center"/>
              <w:rPr>
                <w:rFonts w:ascii="宋体" w:hAnsi="宋体" w:cs="宋体"/>
                <w:color w:val="auto"/>
                <w:szCs w:val="21"/>
                <w:highlight w:val="none"/>
              </w:rPr>
            </w:pPr>
          </w:p>
        </w:tc>
        <w:tc>
          <w:tcPr>
            <w:tcW w:w="2489" w:type="dxa"/>
            <w:vAlign w:val="center"/>
          </w:tcPr>
          <w:p w14:paraId="7D9BE83F">
            <w:pPr>
              <w:pStyle w:val="12"/>
              <w:spacing w:line="600" w:lineRule="exact"/>
              <w:jc w:val="center"/>
              <w:rPr>
                <w:rFonts w:hAnsi="宋体"/>
                <w:color w:val="auto"/>
                <w:szCs w:val="22"/>
                <w:highlight w:val="none"/>
              </w:rPr>
            </w:pPr>
          </w:p>
        </w:tc>
        <w:tc>
          <w:tcPr>
            <w:tcW w:w="2520" w:type="dxa"/>
          </w:tcPr>
          <w:p w14:paraId="40478817">
            <w:pPr>
              <w:pStyle w:val="12"/>
              <w:spacing w:line="600" w:lineRule="exact"/>
              <w:jc w:val="center"/>
              <w:rPr>
                <w:rFonts w:hAnsi="宋体"/>
                <w:color w:val="auto"/>
                <w:szCs w:val="22"/>
                <w:highlight w:val="none"/>
              </w:rPr>
            </w:pPr>
          </w:p>
        </w:tc>
        <w:tc>
          <w:tcPr>
            <w:tcW w:w="2700" w:type="dxa"/>
            <w:vAlign w:val="center"/>
          </w:tcPr>
          <w:p w14:paraId="3FCE4FE2">
            <w:pPr>
              <w:pStyle w:val="12"/>
              <w:spacing w:line="600" w:lineRule="exact"/>
              <w:jc w:val="center"/>
              <w:rPr>
                <w:rFonts w:hAnsi="宋体"/>
                <w:color w:val="auto"/>
                <w:szCs w:val="22"/>
                <w:highlight w:val="none"/>
              </w:rPr>
            </w:pPr>
          </w:p>
        </w:tc>
      </w:tr>
      <w:tr w14:paraId="450B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957B499">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651" w:type="dxa"/>
            <w:vAlign w:val="center"/>
          </w:tcPr>
          <w:p w14:paraId="56EF352D">
            <w:pPr>
              <w:jc w:val="center"/>
              <w:rPr>
                <w:rFonts w:ascii="宋体" w:hAnsi="宋体" w:cs="宋体"/>
                <w:color w:val="auto"/>
                <w:szCs w:val="21"/>
                <w:highlight w:val="none"/>
              </w:rPr>
            </w:pPr>
          </w:p>
        </w:tc>
        <w:tc>
          <w:tcPr>
            <w:tcW w:w="2489" w:type="dxa"/>
          </w:tcPr>
          <w:p w14:paraId="62440CED">
            <w:pPr>
              <w:pStyle w:val="12"/>
              <w:spacing w:line="600" w:lineRule="exact"/>
              <w:rPr>
                <w:rFonts w:hAnsi="宋体"/>
                <w:color w:val="auto"/>
                <w:szCs w:val="22"/>
                <w:highlight w:val="none"/>
              </w:rPr>
            </w:pPr>
          </w:p>
        </w:tc>
        <w:tc>
          <w:tcPr>
            <w:tcW w:w="2520" w:type="dxa"/>
          </w:tcPr>
          <w:p w14:paraId="097E8F11">
            <w:pPr>
              <w:pStyle w:val="12"/>
              <w:spacing w:line="600" w:lineRule="exact"/>
              <w:rPr>
                <w:rFonts w:hAnsi="宋体"/>
                <w:color w:val="auto"/>
                <w:szCs w:val="22"/>
                <w:highlight w:val="none"/>
              </w:rPr>
            </w:pPr>
          </w:p>
        </w:tc>
        <w:tc>
          <w:tcPr>
            <w:tcW w:w="2700" w:type="dxa"/>
          </w:tcPr>
          <w:p w14:paraId="5BC4BF89">
            <w:pPr>
              <w:pStyle w:val="12"/>
              <w:spacing w:line="600" w:lineRule="exact"/>
              <w:rPr>
                <w:rFonts w:hAnsi="宋体"/>
                <w:color w:val="auto"/>
                <w:szCs w:val="22"/>
                <w:highlight w:val="none"/>
              </w:rPr>
            </w:pPr>
          </w:p>
        </w:tc>
      </w:tr>
      <w:tr w14:paraId="1B06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0A77254E">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651" w:type="dxa"/>
            <w:vAlign w:val="center"/>
          </w:tcPr>
          <w:p w14:paraId="74FD6AAB">
            <w:pPr>
              <w:jc w:val="center"/>
              <w:rPr>
                <w:rFonts w:ascii="宋体" w:hAnsi="宋体" w:cs="宋体"/>
                <w:color w:val="auto"/>
                <w:szCs w:val="21"/>
                <w:highlight w:val="none"/>
              </w:rPr>
            </w:pPr>
          </w:p>
        </w:tc>
        <w:tc>
          <w:tcPr>
            <w:tcW w:w="2489" w:type="dxa"/>
          </w:tcPr>
          <w:p w14:paraId="3F01C739">
            <w:pPr>
              <w:pStyle w:val="12"/>
              <w:spacing w:line="600" w:lineRule="exact"/>
              <w:rPr>
                <w:rFonts w:hAnsi="宋体"/>
                <w:color w:val="auto"/>
                <w:szCs w:val="22"/>
                <w:highlight w:val="none"/>
              </w:rPr>
            </w:pPr>
          </w:p>
        </w:tc>
        <w:tc>
          <w:tcPr>
            <w:tcW w:w="2520" w:type="dxa"/>
          </w:tcPr>
          <w:p w14:paraId="272E8BF2">
            <w:pPr>
              <w:pStyle w:val="12"/>
              <w:spacing w:line="600" w:lineRule="exact"/>
              <w:rPr>
                <w:rFonts w:hAnsi="宋体"/>
                <w:color w:val="auto"/>
                <w:szCs w:val="22"/>
                <w:highlight w:val="none"/>
              </w:rPr>
            </w:pPr>
          </w:p>
        </w:tc>
        <w:tc>
          <w:tcPr>
            <w:tcW w:w="2700" w:type="dxa"/>
          </w:tcPr>
          <w:p w14:paraId="02810109">
            <w:pPr>
              <w:pStyle w:val="12"/>
              <w:spacing w:line="600" w:lineRule="exact"/>
              <w:rPr>
                <w:rFonts w:hAnsi="宋体"/>
                <w:color w:val="auto"/>
                <w:szCs w:val="22"/>
                <w:highlight w:val="none"/>
              </w:rPr>
            </w:pPr>
          </w:p>
        </w:tc>
      </w:tr>
      <w:tr w14:paraId="7CD5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0854E683">
            <w:pPr>
              <w:jc w:val="center"/>
              <w:rPr>
                <w:rFonts w:ascii="宋体" w:hAnsi="宋体" w:cs="宋体"/>
                <w:color w:val="auto"/>
                <w:szCs w:val="21"/>
                <w:highlight w:val="none"/>
              </w:rPr>
            </w:pPr>
            <w:r>
              <w:rPr>
                <w:rFonts w:hint="eastAsia" w:ascii="宋体" w:hAnsi="宋体" w:cs="宋体"/>
                <w:color w:val="auto"/>
                <w:szCs w:val="21"/>
                <w:highlight w:val="none"/>
              </w:rPr>
              <w:t>N</w:t>
            </w:r>
          </w:p>
        </w:tc>
        <w:tc>
          <w:tcPr>
            <w:tcW w:w="1651" w:type="dxa"/>
            <w:vAlign w:val="center"/>
          </w:tcPr>
          <w:p w14:paraId="460E25B5">
            <w:pPr>
              <w:jc w:val="center"/>
              <w:rPr>
                <w:rFonts w:ascii="宋体" w:hAnsi="宋体" w:cs="宋体"/>
                <w:color w:val="auto"/>
                <w:szCs w:val="21"/>
                <w:highlight w:val="none"/>
              </w:rPr>
            </w:pPr>
          </w:p>
        </w:tc>
        <w:tc>
          <w:tcPr>
            <w:tcW w:w="2489" w:type="dxa"/>
          </w:tcPr>
          <w:p w14:paraId="7A12C4AA">
            <w:pPr>
              <w:pStyle w:val="12"/>
              <w:spacing w:line="600" w:lineRule="exact"/>
              <w:rPr>
                <w:rFonts w:hAnsi="宋体"/>
                <w:color w:val="auto"/>
                <w:szCs w:val="22"/>
                <w:highlight w:val="none"/>
              </w:rPr>
            </w:pPr>
          </w:p>
        </w:tc>
        <w:tc>
          <w:tcPr>
            <w:tcW w:w="2520" w:type="dxa"/>
          </w:tcPr>
          <w:p w14:paraId="04B75F04">
            <w:pPr>
              <w:pStyle w:val="12"/>
              <w:spacing w:line="600" w:lineRule="exact"/>
              <w:rPr>
                <w:rFonts w:hAnsi="宋体"/>
                <w:color w:val="auto"/>
                <w:szCs w:val="22"/>
                <w:highlight w:val="none"/>
              </w:rPr>
            </w:pPr>
          </w:p>
        </w:tc>
        <w:tc>
          <w:tcPr>
            <w:tcW w:w="2700" w:type="dxa"/>
          </w:tcPr>
          <w:p w14:paraId="5EB50831">
            <w:pPr>
              <w:pStyle w:val="12"/>
              <w:spacing w:line="600" w:lineRule="exact"/>
              <w:rPr>
                <w:rFonts w:hAnsi="宋体"/>
                <w:color w:val="auto"/>
                <w:szCs w:val="22"/>
                <w:highlight w:val="none"/>
              </w:rPr>
            </w:pPr>
          </w:p>
        </w:tc>
      </w:tr>
      <w:tr w14:paraId="7D90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C8BE5DB">
            <w:pPr>
              <w:widowControl/>
              <w:spacing w:line="360" w:lineRule="auto"/>
              <w:jc w:val="center"/>
              <w:rPr>
                <w:color w:val="auto"/>
                <w:szCs w:val="21"/>
                <w:highlight w:val="none"/>
              </w:rPr>
            </w:pPr>
            <w:r>
              <w:rPr>
                <w:rFonts w:hint="eastAsia"/>
                <w:color w:val="auto"/>
                <w:szCs w:val="21"/>
                <w:highlight w:val="none"/>
              </w:rPr>
              <w:t>交付期及服务时间</w:t>
            </w:r>
          </w:p>
        </w:tc>
        <w:tc>
          <w:tcPr>
            <w:tcW w:w="2489" w:type="dxa"/>
          </w:tcPr>
          <w:p w14:paraId="3E78F91F">
            <w:pPr>
              <w:pStyle w:val="12"/>
              <w:spacing w:line="600" w:lineRule="exact"/>
              <w:rPr>
                <w:rFonts w:hAnsi="宋体"/>
                <w:color w:val="auto"/>
                <w:szCs w:val="22"/>
                <w:highlight w:val="none"/>
              </w:rPr>
            </w:pPr>
          </w:p>
        </w:tc>
        <w:tc>
          <w:tcPr>
            <w:tcW w:w="2520" w:type="dxa"/>
          </w:tcPr>
          <w:p w14:paraId="1CDE9D16">
            <w:pPr>
              <w:pStyle w:val="12"/>
              <w:spacing w:line="600" w:lineRule="exact"/>
              <w:rPr>
                <w:rFonts w:hAnsi="宋体"/>
                <w:color w:val="auto"/>
                <w:szCs w:val="22"/>
                <w:highlight w:val="none"/>
              </w:rPr>
            </w:pPr>
          </w:p>
        </w:tc>
        <w:tc>
          <w:tcPr>
            <w:tcW w:w="2700" w:type="dxa"/>
          </w:tcPr>
          <w:p w14:paraId="50E437AF">
            <w:pPr>
              <w:pStyle w:val="12"/>
              <w:spacing w:line="600" w:lineRule="exact"/>
              <w:rPr>
                <w:rFonts w:hAnsi="宋体"/>
                <w:color w:val="auto"/>
                <w:szCs w:val="22"/>
                <w:highlight w:val="none"/>
              </w:rPr>
            </w:pPr>
          </w:p>
        </w:tc>
      </w:tr>
      <w:tr w14:paraId="2311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EB7962A">
            <w:pPr>
              <w:widowControl/>
              <w:spacing w:line="360" w:lineRule="auto"/>
              <w:jc w:val="center"/>
              <w:rPr>
                <w:color w:val="auto"/>
                <w:szCs w:val="21"/>
                <w:highlight w:val="none"/>
              </w:rPr>
            </w:pPr>
            <w:r>
              <w:rPr>
                <w:rFonts w:hint="eastAsia"/>
                <w:color w:val="auto"/>
                <w:szCs w:val="21"/>
                <w:highlight w:val="none"/>
              </w:rPr>
              <w:t>服务要求</w:t>
            </w:r>
          </w:p>
        </w:tc>
        <w:tc>
          <w:tcPr>
            <w:tcW w:w="2489" w:type="dxa"/>
          </w:tcPr>
          <w:p w14:paraId="6B402235">
            <w:pPr>
              <w:pStyle w:val="12"/>
              <w:spacing w:line="600" w:lineRule="exact"/>
              <w:rPr>
                <w:rFonts w:hAnsi="宋体"/>
                <w:color w:val="auto"/>
                <w:szCs w:val="22"/>
                <w:highlight w:val="none"/>
              </w:rPr>
            </w:pPr>
          </w:p>
        </w:tc>
        <w:tc>
          <w:tcPr>
            <w:tcW w:w="2520" w:type="dxa"/>
          </w:tcPr>
          <w:p w14:paraId="15877168">
            <w:pPr>
              <w:pStyle w:val="12"/>
              <w:spacing w:line="600" w:lineRule="exact"/>
              <w:rPr>
                <w:rFonts w:hAnsi="宋体"/>
                <w:color w:val="auto"/>
                <w:szCs w:val="22"/>
                <w:highlight w:val="none"/>
              </w:rPr>
            </w:pPr>
          </w:p>
        </w:tc>
        <w:tc>
          <w:tcPr>
            <w:tcW w:w="2700" w:type="dxa"/>
          </w:tcPr>
          <w:p w14:paraId="127BFA1F">
            <w:pPr>
              <w:pStyle w:val="12"/>
              <w:spacing w:line="600" w:lineRule="exact"/>
              <w:rPr>
                <w:rFonts w:hAnsi="宋体"/>
                <w:color w:val="auto"/>
                <w:szCs w:val="22"/>
                <w:highlight w:val="none"/>
              </w:rPr>
            </w:pPr>
          </w:p>
        </w:tc>
      </w:tr>
      <w:tr w14:paraId="3596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298663AB">
            <w:pPr>
              <w:widowControl/>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付款方式</w:t>
            </w:r>
          </w:p>
        </w:tc>
        <w:tc>
          <w:tcPr>
            <w:tcW w:w="2489" w:type="dxa"/>
          </w:tcPr>
          <w:p w14:paraId="20B57186">
            <w:pPr>
              <w:pStyle w:val="12"/>
              <w:spacing w:line="600" w:lineRule="exact"/>
              <w:rPr>
                <w:rFonts w:hAnsi="宋体"/>
                <w:color w:val="auto"/>
                <w:szCs w:val="22"/>
                <w:highlight w:val="none"/>
              </w:rPr>
            </w:pPr>
          </w:p>
        </w:tc>
        <w:tc>
          <w:tcPr>
            <w:tcW w:w="2520" w:type="dxa"/>
          </w:tcPr>
          <w:p w14:paraId="5F50CE78">
            <w:pPr>
              <w:pStyle w:val="12"/>
              <w:spacing w:line="600" w:lineRule="exact"/>
              <w:rPr>
                <w:rFonts w:hAnsi="宋体"/>
                <w:color w:val="auto"/>
                <w:szCs w:val="22"/>
                <w:highlight w:val="none"/>
              </w:rPr>
            </w:pPr>
          </w:p>
        </w:tc>
        <w:tc>
          <w:tcPr>
            <w:tcW w:w="2700" w:type="dxa"/>
          </w:tcPr>
          <w:p w14:paraId="64A5A60E">
            <w:pPr>
              <w:pStyle w:val="12"/>
              <w:spacing w:line="600" w:lineRule="exact"/>
              <w:rPr>
                <w:rFonts w:hAnsi="宋体"/>
                <w:color w:val="auto"/>
                <w:szCs w:val="22"/>
                <w:highlight w:val="none"/>
              </w:rPr>
            </w:pPr>
          </w:p>
        </w:tc>
      </w:tr>
      <w:tr w14:paraId="7DFD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10BF6FB8">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2489" w:type="dxa"/>
          </w:tcPr>
          <w:p w14:paraId="204078A3">
            <w:pPr>
              <w:pStyle w:val="12"/>
              <w:spacing w:line="600" w:lineRule="exact"/>
              <w:rPr>
                <w:rFonts w:hAnsi="宋体"/>
                <w:color w:val="auto"/>
                <w:szCs w:val="22"/>
                <w:highlight w:val="none"/>
              </w:rPr>
            </w:pPr>
          </w:p>
        </w:tc>
        <w:tc>
          <w:tcPr>
            <w:tcW w:w="2520" w:type="dxa"/>
          </w:tcPr>
          <w:p w14:paraId="50A89792">
            <w:pPr>
              <w:pStyle w:val="12"/>
              <w:spacing w:line="600" w:lineRule="exact"/>
              <w:rPr>
                <w:rFonts w:hAnsi="宋体"/>
                <w:color w:val="auto"/>
                <w:szCs w:val="22"/>
                <w:highlight w:val="none"/>
              </w:rPr>
            </w:pPr>
          </w:p>
        </w:tc>
        <w:tc>
          <w:tcPr>
            <w:tcW w:w="2700" w:type="dxa"/>
          </w:tcPr>
          <w:p w14:paraId="2795784D">
            <w:pPr>
              <w:pStyle w:val="12"/>
              <w:spacing w:line="600" w:lineRule="exact"/>
              <w:rPr>
                <w:rFonts w:hAnsi="宋体"/>
                <w:color w:val="auto"/>
                <w:szCs w:val="22"/>
                <w:highlight w:val="none"/>
              </w:rPr>
            </w:pPr>
          </w:p>
        </w:tc>
      </w:tr>
      <w:tr w14:paraId="5B79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381E01C9">
            <w:pPr>
              <w:spacing w:line="360" w:lineRule="auto"/>
              <w:jc w:val="center"/>
              <w:rPr>
                <w:rFonts w:ascii="宋体" w:hAnsi="宋体"/>
                <w:color w:val="auto"/>
                <w:highlight w:val="none"/>
              </w:rPr>
            </w:pPr>
            <w:r>
              <w:rPr>
                <w:rFonts w:hint="eastAsia" w:ascii="宋体" w:hAnsi="宋体"/>
                <w:color w:val="auto"/>
                <w:highlight w:val="none"/>
              </w:rPr>
              <w:t>验收要求</w:t>
            </w:r>
          </w:p>
        </w:tc>
        <w:tc>
          <w:tcPr>
            <w:tcW w:w="2489" w:type="dxa"/>
          </w:tcPr>
          <w:p w14:paraId="148005BB">
            <w:pPr>
              <w:pStyle w:val="12"/>
              <w:spacing w:line="600" w:lineRule="exact"/>
              <w:rPr>
                <w:rFonts w:hAnsi="宋体"/>
                <w:color w:val="auto"/>
                <w:szCs w:val="22"/>
                <w:highlight w:val="none"/>
              </w:rPr>
            </w:pPr>
          </w:p>
        </w:tc>
        <w:tc>
          <w:tcPr>
            <w:tcW w:w="2520" w:type="dxa"/>
          </w:tcPr>
          <w:p w14:paraId="73098A00">
            <w:pPr>
              <w:pStyle w:val="12"/>
              <w:spacing w:line="600" w:lineRule="exact"/>
              <w:rPr>
                <w:rFonts w:hAnsi="宋体"/>
                <w:color w:val="auto"/>
                <w:szCs w:val="22"/>
                <w:highlight w:val="none"/>
              </w:rPr>
            </w:pPr>
          </w:p>
        </w:tc>
        <w:tc>
          <w:tcPr>
            <w:tcW w:w="2700" w:type="dxa"/>
          </w:tcPr>
          <w:p w14:paraId="0EBF20C3">
            <w:pPr>
              <w:pStyle w:val="12"/>
              <w:spacing w:line="600" w:lineRule="exact"/>
              <w:rPr>
                <w:rFonts w:hAnsi="宋体"/>
                <w:color w:val="auto"/>
                <w:szCs w:val="22"/>
                <w:highlight w:val="none"/>
              </w:rPr>
            </w:pPr>
          </w:p>
        </w:tc>
      </w:tr>
      <w:tr w14:paraId="6908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2C2DDF6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2489" w:type="dxa"/>
            <w:vAlign w:val="center"/>
          </w:tcPr>
          <w:p w14:paraId="47E2992D">
            <w:pPr>
              <w:pStyle w:val="12"/>
              <w:spacing w:line="600" w:lineRule="exact"/>
              <w:jc w:val="center"/>
              <w:rPr>
                <w:rFonts w:hAnsi="宋体"/>
                <w:color w:val="auto"/>
                <w:szCs w:val="22"/>
                <w:highlight w:val="none"/>
              </w:rPr>
            </w:pPr>
          </w:p>
        </w:tc>
        <w:tc>
          <w:tcPr>
            <w:tcW w:w="2520" w:type="dxa"/>
            <w:vAlign w:val="center"/>
          </w:tcPr>
          <w:p w14:paraId="6DE1DBEE">
            <w:pPr>
              <w:pStyle w:val="12"/>
              <w:spacing w:line="600" w:lineRule="exact"/>
              <w:jc w:val="center"/>
              <w:rPr>
                <w:rFonts w:hAnsi="宋体"/>
                <w:color w:val="auto"/>
                <w:szCs w:val="22"/>
                <w:highlight w:val="none"/>
              </w:rPr>
            </w:pPr>
          </w:p>
        </w:tc>
        <w:tc>
          <w:tcPr>
            <w:tcW w:w="2700" w:type="dxa"/>
            <w:vAlign w:val="center"/>
          </w:tcPr>
          <w:p w14:paraId="3AFA5D9C">
            <w:pPr>
              <w:pStyle w:val="12"/>
              <w:spacing w:line="600" w:lineRule="exact"/>
              <w:jc w:val="center"/>
              <w:rPr>
                <w:rFonts w:hAnsi="宋体"/>
                <w:color w:val="auto"/>
                <w:szCs w:val="22"/>
                <w:highlight w:val="none"/>
              </w:rPr>
            </w:pPr>
          </w:p>
        </w:tc>
      </w:tr>
      <w:tr w14:paraId="5019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2CE4137B">
            <w:pPr>
              <w:widowControl/>
              <w:spacing w:line="360" w:lineRule="auto"/>
              <w:jc w:val="center"/>
              <w:rPr>
                <w:rFonts w:ascii="宋体" w:hAnsi="宋体" w:cs="宋体"/>
                <w:color w:val="auto"/>
                <w:szCs w:val="21"/>
                <w:highlight w:val="none"/>
              </w:rPr>
            </w:pPr>
            <w:r>
              <w:rPr>
                <w:rFonts w:hint="eastAsia" w:hAnsi="宋体"/>
                <w:color w:val="auto"/>
                <w:szCs w:val="22"/>
                <w:highlight w:val="none"/>
              </w:rPr>
              <w:t>……</w:t>
            </w:r>
          </w:p>
        </w:tc>
        <w:tc>
          <w:tcPr>
            <w:tcW w:w="2489" w:type="dxa"/>
            <w:vAlign w:val="center"/>
          </w:tcPr>
          <w:p w14:paraId="40CD9384">
            <w:pPr>
              <w:pStyle w:val="12"/>
              <w:spacing w:line="600" w:lineRule="exact"/>
              <w:jc w:val="center"/>
              <w:rPr>
                <w:rFonts w:hAnsi="宋体"/>
                <w:color w:val="auto"/>
                <w:szCs w:val="22"/>
                <w:highlight w:val="none"/>
              </w:rPr>
            </w:pPr>
            <w:r>
              <w:rPr>
                <w:rFonts w:hint="eastAsia" w:hAnsi="宋体"/>
                <w:color w:val="auto"/>
                <w:szCs w:val="22"/>
                <w:highlight w:val="none"/>
              </w:rPr>
              <w:t>……</w:t>
            </w:r>
          </w:p>
        </w:tc>
        <w:tc>
          <w:tcPr>
            <w:tcW w:w="2520" w:type="dxa"/>
            <w:vAlign w:val="center"/>
          </w:tcPr>
          <w:p w14:paraId="1C6447B9">
            <w:pPr>
              <w:pStyle w:val="12"/>
              <w:spacing w:line="600" w:lineRule="exact"/>
              <w:jc w:val="center"/>
              <w:rPr>
                <w:rFonts w:hAnsi="宋体"/>
                <w:color w:val="auto"/>
                <w:szCs w:val="22"/>
                <w:highlight w:val="none"/>
              </w:rPr>
            </w:pPr>
            <w:r>
              <w:rPr>
                <w:rFonts w:hint="eastAsia" w:hAnsi="宋体"/>
                <w:color w:val="auto"/>
                <w:szCs w:val="22"/>
                <w:highlight w:val="none"/>
              </w:rPr>
              <w:t>……</w:t>
            </w:r>
          </w:p>
        </w:tc>
        <w:tc>
          <w:tcPr>
            <w:tcW w:w="2700" w:type="dxa"/>
            <w:vAlign w:val="center"/>
          </w:tcPr>
          <w:p w14:paraId="0A19095C">
            <w:pPr>
              <w:pStyle w:val="12"/>
              <w:spacing w:line="600" w:lineRule="exact"/>
              <w:jc w:val="center"/>
              <w:rPr>
                <w:rFonts w:hAnsi="宋体"/>
                <w:color w:val="auto"/>
                <w:szCs w:val="22"/>
                <w:highlight w:val="none"/>
              </w:rPr>
            </w:pPr>
            <w:r>
              <w:rPr>
                <w:rFonts w:hint="eastAsia" w:hAnsi="宋体"/>
                <w:color w:val="auto"/>
                <w:szCs w:val="22"/>
                <w:highlight w:val="none"/>
              </w:rPr>
              <w:t>……</w:t>
            </w:r>
          </w:p>
        </w:tc>
      </w:tr>
    </w:tbl>
    <w:p w14:paraId="63162269">
      <w:pPr>
        <w:snapToGrid w:val="0"/>
        <w:spacing w:line="400" w:lineRule="exact"/>
        <w:ind w:firstLine="1890" w:firstLineChars="900"/>
        <w:outlineLvl w:val="4"/>
        <w:rPr>
          <w:rFonts w:ascii="宋体" w:hAnsi="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B68B292">
      <w:pPr>
        <w:pStyle w:val="12"/>
        <w:ind w:firstLine="1890" w:firstLineChars="900"/>
        <w:rPr>
          <w:rFonts w:hAnsi="宋体"/>
          <w:color w:val="auto"/>
          <w:highlight w:val="none"/>
        </w:rPr>
      </w:pPr>
    </w:p>
    <w:p w14:paraId="5E50C199">
      <w:pPr>
        <w:pStyle w:val="12"/>
        <w:spacing w:line="440" w:lineRule="exact"/>
        <w:ind w:firstLine="1890" w:firstLineChars="900"/>
        <w:jc w:val="left"/>
        <w:rPr>
          <w:rFonts w:hAnsi="宋体"/>
          <w:color w:val="auto"/>
          <w:highlight w:val="none"/>
          <w:u w:val="single"/>
        </w:rPr>
      </w:pPr>
      <w:r>
        <w:rPr>
          <w:rFonts w:hint="eastAsia" w:hAnsi="宋体"/>
          <w:color w:val="auto"/>
          <w:highlight w:val="none"/>
        </w:rPr>
        <w:t>日          期：</w:t>
      </w:r>
      <w:r>
        <w:rPr>
          <w:rFonts w:hint="eastAsia" w:hAnsi="宋体"/>
          <w:color w:val="auto"/>
          <w:highlight w:val="none"/>
          <w:u w:val="single"/>
        </w:rPr>
        <w:t xml:space="preserve">                                                  </w:t>
      </w:r>
    </w:p>
    <w:p w14:paraId="0BA4B853">
      <w:pPr>
        <w:pStyle w:val="6"/>
        <w:rPr>
          <w:color w:val="auto"/>
          <w:highlight w:val="none"/>
        </w:rPr>
      </w:pPr>
    </w:p>
    <w:p w14:paraId="17E19191">
      <w:pPr>
        <w:pStyle w:val="12"/>
        <w:spacing w:line="360" w:lineRule="exact"/>
        <w:ind w:left="420" w:hanging="420" w:hangingChars="200"/>
        <w:rPr>
          <w:rFonts w:hAnsi="宋体"/>
          <w:bCs/>
          <w:color w:val="auto"/>
          <w:highlight w:val="none"/>
        </w:rPr>
      </w:pPr>
      <w:r>
        <w:rPr>
          <w:rFonts w:hint="eastAsia" w:hAnsi="宋体"/>
          <w:bCs/>
          <w:color w:val="auto"/>
          <w:highlight w:val="none"/>
        </w:rPr>
        <w:t>注：1.供应商应对照“采购需求”注明所投产品技术参数的响应情况及偏离情况（无偏离、正偏离、负偏离），当出现“正偏离”或“负偏离”情况时应对应填写偏离情况说明及提供相应有效的证明材料。</w:t>
      </w:r>
    </w:p>
    <w:p w14:paraId="5663AC2E">
      <w:pPr>
        <w:pStyle w:val="12"/>
        <w:spacing w:line="400" w:lineRule="exact"/>
        <w:ind w:left="420" w:leftChars="200"/>
        <w:rPr>
          <w:rFonts w:hAnsi="宋体"/>
          <w:bCs/>
          <w:color w:val="auto"/>
          <w:highlight w:val="none"/>
        </w:rPr>
      </w:pPr>
      <w:r>
        <w:rPr>
          <w:rFonts w:hint="eastAsia" w:hAnsi="宋体"/>
          <w:bCs/>
          <w:color w:val="auto"/>
          <w:highlight w:val="none"/>
        </w:rPr>
        <w:t>2.技术规格及商务要求偏离表</w:t>
      </w:r>
      <w:r>
        <w:rPr>
          <w:rFonts w:hint="eastAsia"/>
          <w:color w:val="auto"/>
          <w:highlight w:val="none"/>
        </w:rPr>
        <w:t>须由法定代表人、负责人、自然人或相应的委托代理人签字</w:t>
      </w:r>
      <w:r>
        <w:rPr>
          <w:rFonts w:hint="eastAsia" w:hAnsi="宋体"/>
          <w:color w:val="auto"/>
          <w:highlight w:val="none"/>
        </w:rPr>
        <w:t>或盖章（属自然人的应在签名处加盖食指指印）</w:t>
      </w:r>
      <w:r>
        <w:rPr>
          <w:rFonts w:hint="eastAsia"/>
          <w:color w:val="auto"/>
          <w:highlight w:val="none"/>
        </w:rPr>
        <w:t>并加盖供应商公章（CA签章）（自然人除外）。当本表由多页构成时，需逐页加盖供应商公章（属自然人的须逐页签字）。</w:t>
      </w:r>
    </w:p>
    <w:p w14:paraId="4F28FEFC">
      <w:pPr>
        <w:pStyle w:val="12"/>
        <w:spacing w:line="400" w:lineRule="exact"/>
        <w:ind w:left="420" w:leftChars="200"/>
        <w:rPr>
          <w:color w:val="auto"/>
          <w:highlight w:val="none"/>
        </w:rPr>
      </w:pPr>
      <w:r>
        <w:rPr>
          <w:rFonts w:hint="eastAsia"/>
          <w:color w:val="auto"/>
          <w:highlight w:val="none"/>
        </w:rPr>
        <w:t>3</w:t>
      </w:r>
      <w:r>
        <w:rPr>
          <w:color w:val="auto"/>
          <w:highlight w:val="none"/>
        </w:rPr>
        <w:t>.</w:t>
      </w:r>
      <w:r>
        <w:rPr>
          <w:rFonts w:hint="eastAsia"/>
          <w:color w:val="auto"/>
          <w:highlight w:val="none"/>
        </w:rPr>
        <w:t>商务要求不允许负偏离，否则投标无效。</w:t>
      </w:r>
    </w:p>
    <w:p w14:paraId="38CED4B9">
      <w:pPr>
        <w:pStyle w:val="17"/>
        <w:rPr>
          <w:color w:val="auto"/>
          <w:highlight w:val="none"/>
        </w:rPr>
        <w:sectPr>
          <w:pgSz w:w="11906" w:h="16838"/>
          <w:pgMar w:top="1440" w:right="935" w:bottom="1440" w:left="777" w:header="851" w:footer="992" w:gutter="0"/>
          <w:cols w:space="720" w:num="1"/>
          <w:docGrid w:type="lines" w:linePitch="312" w:charSpace="0"/>
        </w:sectPr>
      </w:pPr>
    </w:p>
    <w:p w14:paraId="2D0D8686">
      <w:pPr>
        <w:rPr>
          <w:rFonts w:ascii="宋体" w:hAnsi="宋体"/>
          <w:b/>
          <w:color w:val="auto"/>
          <w:sz w:val="32"/>
          <w:szCs w:val="32"/>
          <w:highlight w:val="none"/>
        </w:rPr>
      </w:pPr>
      <w:r>
        <w:rPr>
          <w:rFonts w:ascii="宋体" w:hAnsi="宋体"/>
          <w:b/>
          <w:color w:val="auto"/>
          <w:sz w:val="32"/>
          <w:szCs w:val="32"/>
          <w:highlight w:val="none"/>
        </w:rPr>
        <w:t>6．</w:t>
      </w:r>
      <w:r>
        <w:rPr>
          <w:rFonts w:hint="eastAsia" w:ascii="宋体" w:hAnsi="宋体"/>
          <w:b/>
          <w:color w:val="auto"/>
          <w:sz w:val="32"/>
          <w:szCs w:val="32"/>
          <w:highlight w:val="none"/>
        </w:rPr>
        <w:t>技术方案（根据“服务采购需求”要求提供，格式自拟）（必须提供）</w:t>
      </w:r>
    </w:p>
    <w:p w14:paraId="224C709B">
      <w:pPr>
        <w:snapToGrid w:val="0"/>
        <w:spacing w:line="400" w:lineRule="exact"/>
        <w:ind w:firstLine="1890" w:firstLineChars="900"/>
        <w:rPr>
          <w:rFonts w:ascii="宋体" w:hAnsi="宋体" w:cs="宋体"/>
          <w:color w:val="auto"/>
          <w:szCs w:val="21"/>
          <w:highlight w:val="none"/>
        </w:rPr>
      </w:pPr>
    </w:p>
    <w:p w14:paraId="34BCA344">
      <w:pPr>
        <w:snapToGrid w:val="0"/>
        <w:spacing w:line="400" w:lineRule="exact"/>
        <w:ind w:firstLine="3213" w:firstLineChars="1000"/>
        <w:rPr>
          <w:rFonts w:ascii="宋体" w:hAnsi="宋体" w:cs="宋体"/>
          <w:color w:val="auto"/>
          <w:szCs w:val="21"/>
          <w:highlight w:val="none"/>
        </w:rPr>
      </w:pPr>
      <w:r>
        <w:rPr>
          <w:rFonts w:hint="eastAsia" w:ascii="宋体" w:hAnsi="宋体"/>
          <w:b/>
          <w:color w:val="auto"/>
          <w:sz w:val="32"/>
          <w:szCs w:val="32"/>
          <w:highlight w:val="none"/>
        </w:rPr>
        <w:t>技术方案</w:t>
      </w:r>
    </w:p>
    <w:p w14:paraId="11D4D13E">
      <w:pPr>
        <w:snapToGrid w:val="0"/>
        <w:spacing w:line="400" w:lineRule="exact"/>
        <w:ind w:firstLine="1890" w:firstLineChars="900"/>
        <w:rPr>
          <w:rFonts w:ascii="宋体" w:hAnsi="宋体" w:cs="宋体"/>
          <w:color w:val="auto"/>
          <w:szCs w:val="21"/>
          <w:highlight w:val="none"/>
        </w:rPr>
      </w:pPr>
    </w:p>
    <w:p w14:paraId="07F2B3E5">
      <w:pPr>
        <w:snapToGrid w:val="0"/>
        <w:spacing w:line="400" w:lineRule="exact"/>
        <w:ind w:firstLine="1890" w:firstLineChars="900"/>
        <w:rPr>
          <w:rFonts w:ascii="宋体" w:hAnsi="宋体" w:cs="宋体"/>
          <w:color w:val="auto"/>
          <w:szCs w:val="21"/>
          <w:highlight w:val="none"/>
        </w:rPr>
      </w:pPr>
    </w:p>
    <w:p w14:paraId="3B77A2A2">
      <w:pPr>
        <w:snapToGrid w:val="0"/>
        <w:spacing w:line="400" w:lineRule="exact"/>
        <w:ind w:firstLine="1890" w:firstLineChars="900"/>
        <w:rPr>
          <w:rFonts w:ascii="宋体" w:hAnsi="宋体" w:cs="宋体"/>
          <w:color w:val="auto"/>
          <w:szCs w:val="21"/>
          <w:highlight w:val="none"/>
        </w:rPr>
      </w:pPr>
    </w:p>
    <w:p w14:paraId="5851475B">
      <w:pPr>
        <w:snapToGrid w:val="0"/>
        <w:spacing w:line="400" w:lineRule="exact"/>
        <w:ind w:firstLine="1890" w:firstLineChars="900"/>
        <w:rPr>
          <w:rFonts w:ascii="宋体" w:hAnsi="宋体" w:cs="宋体"/>
          <w:color w:val="auto"/>
          <w:szCs w:val="21"/>
          <w:highlight w:val="none"/>
        </w:rPr>
      </w:pPr>
    </w:p>
    <w:p w14:paraId="673229FB">
      <w:pPr>
        <w:snapToGrid w:val="0"/>
        <w:spacing w:line="400" w:lineRule="exact"/>
        <w:ind w:firstLine="1890" w:firstLineChars="900"/>
        <w:rPr>
          <w:rFonts w:ascii="宋体" w:hAnsi="宋体" w:cs="宋体"/>
          <w:color w:val="auto"/>
          <w:szCs w:val="21"/>
          <w:highlight w:val="none"/>
        </w:rPr>
      </w:pPr>
    </w:p>
    <w:p w14:paraId="40F9D4FD">
      <w:pPr>
        <w:snapToGrid w:val="0"/>
        <w:spacing w:line="400" w:lineRule="exact"/>
        <w:ind w:firstLine="1890" w:firstLineChars="900"/>
        <w:rPr>
          <w:rFonts w:ascii="宋体" w:hAnsi="宋体" w:cs="宋体"/>
          <w:color w:val="auto"/>
          <w:szCs w:val="21"/>
          <w:highlight w:val="none"/>
        </w:rPr>
      </w:pPr>
    </w:p>
    <w:p w14:paraId="393F70F2">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5D851EB2">
      <w:pPr>
        <w:pStyle w:val="3"/>
        <w:rPr>
          <w:rFonts w:ascii="宋体" w:hAnsi="宋体" w:cs="宋体"/>
          <w:color w:val="auto"/>
          <w:highlight w:val="none"/>
        </w:rPr>
      </w:pPr>
    </w:p>
    <w:p w14:paraId="7D03CBE7">
      <w:pPr>
        <w:snapToGrid w:val="0"/>
        <w:spacing w:line="400" w:lineRule="exact"/>
        <w:ind w:firstLine="1890" w:firstLineChars="900"/>
        <w:rPr>
          <w:rFonts w:ascii="宋体" w:hAnsi="宋体" w:cs="宋体"/>
          <w:b/>
          <w:bCs/>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8CBB119">
      <w:pPr>
        <w:rPr>
          <w:color w:val="auto"/>
          <w:highlight w:val="none"/>
        </w:rPr>
      </w:pPr>
    </w:p>
    <w:p w14:paraId="6778AB8F">
      <w:pPr>
        <w:rPr>
          <w:color w:val="auto"/>
          <w:highlight w:val="none"/>
        </w:rPr>
      </w:pPr>
    </w:p>
    <w:p w14:paraId="774573EA">
      <w:pPr>
        <w:rPr>
          <w:color w:val="auto"/>
          <w:highlight w:val="none"/>
        </w:rPr>
      </w:pPr>
    </w:p>
    <w:p w14:paraId="0B4444A6">
      <w:pPr>
        <w:rPr>
          <w:color w:val="auto"/>
          <w:highlight w:val="none"/>
        </w:rPr>
      </w:pPr>
    </w:p>
    <w:p w14:paraId="64D9B06F">
      <w:pPr>
        <w:rPr>
          <w:color w:val="auto"/>
          <w:highlight w:val="none"/>
        </w:rPr>
      </w:pPr>
    </w:p>
    <w:p w14:paraId="1603A897">
      <w:pPr>
        <w:rPr>
          <w:color w:val="auto"/>
          <w:highlight w:val="none"/>
        </w:rPr>
      </w:pPr>
    </w:p>
    <w:p w14:paraId="7A401693">
      <w:pPr>
        <w:rPr>
          <w:color w:val="auto"/>
          <w:highlight w:val="none"/>
        </w:rPr>
      </w:pPr>
    </w:p>
    <w:p w14:paraId="1F4B463A">
      <w:pPr>
        <w:rPr>
          <w:color w:val="auto"/>
          <w:highlight w:val="none"/>
        </w:rPr>
      </w:pPr>
    </w:p>
    <w:p w14:paraId="52F8F92D">
      <w:pPr>
        <w:rPr>
          <w:color w:val="auto"/>
          <w:highlight w:val="none"/>
        </w:rPr>
      </w:pPr>
    </w:p>
    <w:p w14:paraId="5A6E5639">
      <w:pPr>
        <w:rPr>
          <w:color w:val="auto"/>
          <w:highlight w:val="none"/>
        </w:rPr>
      </w:pPr>
    </w:p>
    <w:p w14:paraId="62F94F9A">
      <w:pPr>
        <w:rPr>
          <w:color w:val="auto"/>
          <w:highlight w:val="none"/>
        </w:rPr>
      </w:pPr>
    </w:p>
    <w:p w14:paraId="1C5A77B0">
      <w:pPr>
        <w:rPr>
          <w:color w:val="auto"/>
          <w:highlight w:val="none"/>
        </w:rPr>
      </w:pPr>
    </w:p>
    <w:p w14:paraId="551913C1">
      <w:pPr>
        <w:rPr>
          <w:color w:val="auto"/>
          <w:highlight w:val="none"/>
        </w:rPr>
      </w:pPr>
    </w:p>
    <w:p w14:paraId="5724F3CF">
      <w:pPr>
        <w:rPr>
          <w:color w:val="auto"/>
          <w:highlight w:val="none"/>
        </w:rPr>
      </w:pPr>
    </w:p>
    <w:p w14:paraId="66E998A0">
      <w:pPr>
        <w:rPr>
          <w:color w:val="auto"/>
          <w:highlight w:val="none"/>
        </w:rPr>
      </w:pPr>
    </w:p>
    <w:p w14:paraId="3F1785D0">
      <w:pPr>
        <w:rPr>
          <w:color w:val="auto"/>
          <w:highlight w:val="none"/>
        </w:rPr>
      </w:pPr>
    </w:p>
    <w:p w14:paraId="26E38980">
      <w:pPr>
        <w:rPr>
          <w:color w:val="auto"/>
          <w:highlight w:val="none"/>
        </w:rPr>
      </w:pPr>
    </w:p>
    <w:p w14:paraId="44C0E2C7">
      <w:pPr>
        <w:rPr>
          <w:color w:val="auto"/>
          <w:highlight w:val="none"/>
        </w:rPr>
      </w:pPr>
    </w:p>
    <w:p w14:paraId="05A5C32D">
      <w:pPr>
        <w:rPr>
          <w:color w:val="auto"/>
          <w:highlight w:val="none"/>
        </w:rPr>
      </w:pPr>
    </w:p>
    <w:p w14:paraId="373A4758">
      <w:pPr>
        <w:rPr>
          <w:color w:val="auto"/>
          <w:highlight w:val="none"/>
        </w:rPr>
      </w:pPr>
    </w:p>
    <w:p w14:paraId="00141A15">
      <w:pPr>
        <w:rPr>
          <w:color w:val="auto"/>
          <w:highlight w:val="none"/>
        </w:rPr>
      </w:pPr>
    </w:p>
    <w:p w14:paraId="10A2FC11">
      <w:pPr>
        <w:rPr>
          <w:color w:val="auto"/>
          <w:highlight w:val="none"/>
        </w:rPr>
      </w:pPr>
    </w:p>
    <w:p w14:paraId="2A302A19">
      <w:pPr>
        <w:rPr>
          <w:color w:val="auto"/>
          <w:highlight w:val="none"/>
        </w:rPr>
      </w:pPr>
    </w:p>
    <w:p w14:paraId="08FB1F90">
      <w:pPr>
        <w:rPr>
          <w:color w:val="auto"/>
          <w:highlight w:val="none"/>
        </w:rPr>
      </w:pPr>
    </w:p>
    <w:p w14:paraId="08FA878D">
      <w:pPr>
        <w:rPr>
          <w:color w:val="auto"/>
          <w:highlight w:val="none"/>
        </w:rPr>
      </w:pPr>
    </w:p>
    <w:p w14:paraId="46510435">
      <w:pPr>
        <w:rPr>
          <w:color w:val="auto"/>
          <w:highlight w:val="none"/>
        </w:rPr>
      </w:pPr>
    </w:p>
    <w:p w14:paraId="02C6AA83">
      <w:pPr>
        <w:spacing w:line="340" w:lineRule="exact"/>
        <w:ind w:left="420"/>
        <w:jc w:val="center"/>
        <w:rPr>
          <w:rFonts w:ascii="宋体" w:hAnsi="宋体" w:cs="宋体"/>
          <w:color w:val="auto"/>
          <w:szCs w:val="21"/>
          <w:highlight w:val="none"/>
        </w:rPr>
      </w:pPr>
      <w:bookmarkStart w:id="192" w:name="_Toc9339"/>
      <w:bookmarkStart w:id="193" w:name="_Toc28672"/>
      <w:bookmarkStart w:id="194" w:name="_Toc497927084"/>
      <w:r>
        <w:rPr>
          <w:rFonts w:hint="eastAsia" w:ascii="宋体" w:hAnsi="宋体" w:cs="宋体"/>
          <w:b/>
          <w:bCs/>
          <w:color w:val="auto"/>
          <w:sz w:val="32"/>
          <w:szCs w:val="32"/>
          <w:highlight w:val="none"/>
        </w:rPr>
        <w:t>（三）其他有效证明材料目录</w:t>
      </w:r>
      <w:bookmarkEnd w:id="192"/>
      <w:bookmarkEnd w:id="193"/>
      <w:bookmarkEnd w:id="194"/>
    </w:p>
    <w:p w14:paraId="2E4842B7">
      <w:pPr>
        <w:spacing w:line="360" w:lineRule="auto"/>
        <w:ind w:firstLine="480" w:firstLineChars="200"/>
        <w:rPr>
          <w:rFonts w:ascii="宋体" w:hAnsi="宋体" w:cs="宋体"/>
          <w:b/>
          <w:bCs/>
          <w:color w:val="auto"/>
          <w:highlight w:val="none"/>
        </w:rPr>
      </w:pPr>
      <w:r>
        <w:rPr>
          <w:rFonts w:hint="eastAsia" w:ascii="宋体" w:hAnsi="宋体" w:cs="宋体"/>
          <w:color w:val="auto"/>
          <w:sz w:val="24"/>
          <w:highlight w:val="none"/>
        </w:rPr>
        <w:t>1.项目实施人员一览表（格式见附件）</w:t>
      </w:r>
      <w:r>
        <w:rPr>
          <w:rFonts w:hint="eastAsia" w:ascii="宋体" w:hAnsi="宋体" w:cs="宋体"/>
          <w:b/>
          <w:bCs/>
          <w:color w:val="auto"/>
          <w:sz w:val="24"/>
          <w:highlight w:val="none"/>
        </w:rPr>
        <w:t>（如有，请提供）；</w:t>
      </w:r>
    </w:p>
    <w:p w14:paraId="253437EE">
      <w:pPr>
        <w:spacing w:line="360" w:lineRule="auto"/>
        <w:ind w:firstLine="480" w:firstLineChars="200"/>
        <w:jc w:val="left"/>
        <w:rPr>
          <w:rFonts w:ascii="宋体" w:hAnsi="宋体" w:cs="宋体"/>
          <w:b/>
          <w:bCs/>
          <w:color w:val="auto"/>
          <w:highlight w:val="none"/>
        </w:rPr>
      </w:pPr>
      <w:r>
        <w:rPr>
          <w:rFonts w:hint="eastAsia" w:ascii="宋体" w:hAnsi="宋体" w:cs="宋体"/>
          <w:color w:val="auto"/>
          <w:sz w:val="24"/>
          <w:highlight w:val="none"/>
        </w:rPr>
        <w:t>2.“采购需求”需提供的有效证明文件</w:t>
      </w:r>
      <w:r>
        <w:rPr>
          <w:rFonts w:hint="eastAsia" w:ascii="宋体" w:hAnsi="宋体" w:cs="宋体"/>
          <w:b/>
          <w:bCs/>
          <w:color w:val="auto"/>
          <w:sz w:val="24"/>
          <w:highlight w:val="none"/>
        </w:rPr>
        <w:t>（如有，请提供）；</w:t>
      </w:r>
    </w:p>
    <w:p w14:paraId="5F5269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3.供应商20</w:t>
      </w:r>
      <w:r>
        <w:rPr>
          <w:rFonts w:ascii="宋体" w:hAnsi="宋体" w:cs="宋体"/>
          <w:color w:val="auto"/>
          <w:sz w:val="24"/>
          <w:highlight w:val="none"/>
        </w:rPr>
        <w:t>2</w:t>
      </w:r>
      <w:r>
        <w:rPr>
          <w:rFonts w:hint="eastAsia" w:ascii="宋体" w:hAnsi="宋体" w:cs="宋体"/>
          <w:color w:val="auto"/>
          <w:sz w:val="24"/>
          <w:highlight w:val="none"/>
        </w:rPr>
        <w:t>2年1月1日以来具有同类项目业绩相关证明材料（无不良记录，以中标、成交通知书或签订的合同为准，并能清晰反映项目的名称、采购内容、采购金额、采购时间）</w:t>
      </w:r>
      <w:r>
        <w:rPr>
          <w:rFonts w:hint="eastAsia" w:ascii="宋体" w:hAnsi="宋体" w:cs="宋体"/>
          <w:b/>
          <w:bCs/>
          <w:color w:val="auto"/>
          <w:sz w:val="24"/>
          <w:highlight w:val="none"/>
        </w:rPr>
        <w:t>（如有，请提供）；</w:t>
      </w:r>
    </w:p>
    <w:p w14:paraId="77B743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4.供应商可结合本项目的评审办法视自身情况自行提交其它相关证明材料。</w:t>
      </w:r>
    </w:p>
    <w:p w14:paraId="4CA5767E">
      <w:pPr>
        <w:spacing w:line="360" w:lineRule="auto"/>
        <w:ind w:firstLine="480" w:firstLineChars="200"/>
        <w:rPr>
          <w:rFonts w:ascii="宋体" w:hAnsi="宋体" w:cs="宋体"/>
          <w:color w:val="auto"/>
          <w:sz w:val="24"/>
          <w:highlight w:val="none"/>
        </w:rPr>
      </w:pPr>
    </w:p>
    <w:p w14:paraId="02BF9652">
      <w:pPr>
        <w:pStyle w:val="29"/>
        <w:rPr>
          <w:rFonts w:ascii="宋体" w:hAnsi="宋体" w:cs="宋体"/>
          <w:b/>
          <w:bCs/>
          <w:color w:val="auto"/>
          <w:highlight w:val="none"/>
        </w:rPr>
      </w:pPr>
    </w:p>
    <w:p w14:paraId="0AF67367">
      <w:pPr>
        <w:pStyle w:val="29"/>
        <w:rPr>
          <w:rFonts w:ascii="宋体" w:hAnsi="宋体" w:cs="宋体"/>
          <w:b/>
          <w:bCs/>
          <w:color w:val="auto"/>
          <w:highlight w:val="none"/>
        </w:rPr>
      </w:pPr>
    </w:p>
    <w:p w14:paraId="2BB5DEF5">
      <w:pPr>
        <w:pStyle w:val="29"/>
        <w:rPr>
          <w:rFonts w:ascii="宋体" w:hAnsi="宋体" w:cs="宋体"/>
          <w:b/>
          <w:bCs/>
          <w:color w:val="auto"/>
          <w:highlight w:val="none"/>
        </w:rPr>
      </w:pPr>
    </w:p>
    <w:p w14:paraId="7B3731BC">
      <w:pPr>
        <w:pStyle w:val="29"/>
        <w:rPr>
          <w:rFonts w:ascii="宋体" w:hAnsi="宋体" w:cs="宋体"/>
          <w:b/>
          <w:bCs/>
          <w:color w:val="auto"/>
          <w:highlight w:val="none"/>
        </w:rPr>
      </w:pPr>
    </w:p>
    <w:p w14:paraId="0F7BFAF7">
      <w:pPr>
        <w:pStyle w:val="29"/>
        <w:rPr>
          <w:rFonts w:ascii="宋体" w:hAnsi="宋体" w:cs="宋体"/>
          <w:b/>
          <w:bCs/>
          <w:color w:val="auto"/>
          <w:highlight w:val="none"/>
        </w:rPr>
      </w:pPr>
    </w:p>
    <w:p w14:paraId="225782C4">
      <w:pPr>
        <w:pStyle w:val="29"/>
        <w:rPr>
          <w:rFonts w:ascii="宋体" w:hAnsi="宋体" w:cs="宋体"/>
          <w:b/>
          <w:bCs/>
          <w:color w:val="auto"/>
          <w:highlight w:val="none"/>
        </w:rPr>
      </w:pPr>
    </w:p>
    <w:p w14:paraId="1240530D">
      <w:pPr>
        <w:pStyle w:val="29"/>
        <w:rPr>
          <w:rFonts w:ascii="宋体" w:hAnsi="宋体" w:cs="宋体"/>
          <w:b/>
          <w:bCs/>
          <w:color w:val="auto"/>
          <w:highlight w:val="none"/>
        </w:rPr>
      </w:pPr>
    </w:p>
    <w:p w14:paraId="48BED5E4">
      <w:pPr>
        <w:pStyle w:val="29"/>
        <w:rPr>
          <w:rFonts w:ascii="宋体" w:hAnsi="宋体" w:cs="宋体"/>
          <w:b/>
          <w:bCs/>
          <w:color w:val="auto"/>
          <w:highlight w:val="none"/>
        </w:rPr>
      </w:pPr>
    </w:p>
    <w:p w14:paraId="5C206032">
      <w:pPr>
        <w:pStyle w:val="29"/>
        <w:rPr>
          <w:rFonts w:ascii="宋体" w:hAnsi="宋体" w:cs="宋体"/>
          <w:b/>
          <w:bCs/>
          <w:color w:val="auto"/>
          <w:highlight w:val="none"/>
        </w:rPr>
      </w:pPr>
    </w:p>
    <w:p w14:paraId="61174C3B">
      <w:pPr>
        <w:pStyle w:val="29"/>
        <w:rPr>
          <w:rFonts w:ascii="宋体" w:hAnsi="宋体" w:cs="宋体"/>
          <w:b/>
          <w:bCs/>
          <w:color w:val="auto"/>
          <w:highlight w:val="none"/>
        </w:rPr>
      </w:pPr>
    </w:p>
    <w:p w14:paraId="55D46D1E">
      <w:pPr>
        <w:pStyle w:val="29"/>
        <w:rPr>
          <w:rFonts w:ascii="宋体" w:hAnsi="宋体" w:cs="宋体"/>
          <w:b/>
          <w:bCs/>
          <w:color w:val="auto"/>
          <w:highlight w:val="none"/>
        </w:rPr>
      </w:pPr>
    </w:p>
    <w:p w14:paraId="516AF123">
      <w:pPr>
        <w:pStyle w:val="29"/>
        <w:rPr>
          <w:rFonts w:ascii="宋体" w:hAnsi="宋体" w:cs="宋体"/>
          <w:b/>
          <w:bCs/>
          <w:color w:val="auto"/>
          <w:highlight w:val="none"/>
        </w:rPr>
      </w:pPr>
    </w:p>
    <w:p w14:paraId="0EB1B25F">
      <w:pPr>
        <w:pStyle w:val="29"/>
        <w:rPr>
          <w:rFonts w:ascii="宋体" w:hAnsi="宋体" w:cs="宋体"/>
          <w:b/>
          <w:bCs/>
          <w:color w:val="auto"/>
          <w:highlight w:val="none"/>
        </w:rPr>
      </w:pPr>
    </w:p>
    <w:p w14:paraId="52149424">
      <w:pPr>
        <w:pStyle w:val="29"/>
        <w:rPr>
          <w:rFonts w:ascii="宋体" w:hAnsi="宋体" w:cs="宋体"/>
          <w:b/>
          <w:bCs/>
          <w:color w:val="auto"/>
          <w:highlight w:val="none"/>
        </w:rPr>
      </w:pPr>
    </w:p>
    <w:p w14:paraId="7A841AAB">
      <w:pPr>
        <w:pStyle w:val="29"/>
        <w:rPr>
          <w:rFonts w:ascii="宋体" w:hAnsi="宋体" w:cs="宋体"/>
          <w:b/>
          <w:bCs/>
          <w:color w:val="auto"/>
          <w:highlight w:val="none"/>
        </w:rPr>
      </w:pPr>
    </w:p>
    <w:p w14:paraId="38FFFA0C">
      <w:pPr>
        <w:pStyle w:val="29"/>
        <w:rPr>
          <w:rFonts w:ascii="宋体" w:hAnsi="宋体" w:cs="宋体"/>
          <w:b/>
          <w:bCs/>
          <w:color w:val="auto"/>
          <w:highlight w:val="none"/>
        </w:rPr>
      </w:pPr>
    </w:p>
    <w:p w14:paraId="4F2875CD">
      <w:pPr>
        <w:pStyle w:val="29"/>
        <w:rPr>
          <w:rFonts w:ascii="宋体" w:hAnsi="宋体" w:cs="宋体"/>
          <w:b/>
          <w:bCs/>
          <w:color w:val="auto"/>
          <w:highlight w:val="none"/>
        </w:rPr>
      </w:pPr>
    </w:p>
    <w:p w14:paraId="5E3C1256">
      <w:pPr>
        <w:pStyle w:val="29"/>
        <w:rPr>
          <w:rFonts w:ascii="宋体" w:hAnsi="宋体" w:cs="宋体"/>
          <w:b/>
          <w:bCs/>
          <w:color w:val="auto"/>
          <w:highlight w:val="none"/>
        </w:rPr>
      </w:pPr>
    </w:p>
    <w:p w14:paraId="4198576A">
      <w:pPr>
        <w:pStyle w:val="29"/>
        <w:rPr>
          <w:rFonts w:ascii="宋体" w:hAnsi="宋体" w:cs="宋体"/>
          <w:b/>
          <w:bCs/>
          <w:color w:val="auto"/>
          <w:highlight w:val="none"/>
        </w:rPr>
      </w:pPr>
    </w:p>
    <w:p w14:paraId="0C5E661C">
      <w:pPr>
        <w:pStyle w:val="8"/>
        <w:rPr>
          <w:rFonts w:ascii="宋体" w:hAnsi="宋体" w:cs="宋体"/>
          <w:b/>
          <w:color w:val="auto"/>
          <w:sz w:val="28"/>
          <w:szCs w:val="28"/>
          <w:highlight w:val="none"/>
        </w:rPr>
      </w:pPr>
    </w:p>
    <w:p w14:paraId="4287AEEE">
      <w:pPr>
        <w:widowControl/>
        <w:jc w:val="left"/>
        <w:rPr>
          <w:rFonts w:ascii="宋体" w:hAnsi="宋体" w:cs="宋体"/>
          <w:b/>
          <w:color w:val="auto"/>
          <w:sz w:val="28"/>
          <w:szCs w:val="28"/>
          <w:highlight w:val="none"/>
        </w:rPr>
      </w:pPr>
      <w:r>
        <w:rPr>
          <w:rFonts w:hAnsi="宋体" w:cs="宋体"/>
          <w:b/>
          <w:color w:val="auto"/>
          <w:sz w:val="28"/>
          <w:szCs w:val="28"/>
          <w:highlight w:val="none"/>
        </w:rPr>
        <w:br w:type="page"/>
      </w:r>
    </w:p>
    <w:p w14:paraId="470A8AEA">
      <w:pPr>
        <w:pStyle w:val="12"/>
        <w:numPr>
          <w:ilvl w:val="0"/>
          <w:numId w:val="10"/>
        </w:numPr>
        <w:spacing w:line="340" w:lineRule="exact"/>
        <w:ind w:firstLine="562" w:firstLineChars="200"/>
        <w:rPr>
          <w:rFonts w:hAnsi="宋体" w:cs="宋体"/>
          <w:b/>
          <w:color w:val="auto"/>
          <w:sz w:val="28"/>
          <w:szCs w:val="28"/>
          <w:highlight w:val="none"/>
        </w:rPr>
      </w:pPr>
      <w:r>
        <w:rPr>
          <w:rFonts w:hint="eastAsia" w:hAnsi="宋体" w:cs="宋体"/>
          <w:b/>
          <w:color w:val="auto"/>
          <w:sz w:val="28"/>
          <w:szCs w:val="28"/>
          <w:highlight w:val="none"/>
        </w:rPr>
        <w:t>项目实施人员一览表 （如有，请提供）；</w:t>
      </w:r>
    </w:p>
    <w:p w14:paraId="7A800820">
      <w:pPr>
        <w:rPr>
          <w:rFonts w:ascii="宋体" w:hAnsi="宋体" w:cs="宋体"/>
          <w:color w:val="auto"/>
          <w:highlight w:val="none"/>
        </w:rPr>
      </w:pPr>
    </w:p>
    <w:p w14:paraId="1CC49AA7">
      <w:pPr>
        <w:pStyle w:val="12"/>
        <w:rPr>
          <w:rFonts w:hAnsi="宋体" w:cs="宋体"/>
          <w:b/>
          <w:bCs/>
          <w:color w:val="auto"/>
          <w:sz w:val="32"/>
          <w:szCs w:val="32"/>
          <w:highlight w:val="none"/>
        </w:rPr>
      </w:pPr>
      <w:r>
        <w:rPr>
          <w:rFonts w:hint="eastAsia" w:hAnsi="宋体" w:cs="宋体"/>
          <w:b/>
          <w:bCs/>
          <w:color w:val="auto"/>
          <w:sz w:val="32"/>
          <w:szCs w:val="32"/>
          <w:highlight w:val="none"/>
        </w:rPr>
        <w:t>附件：</w:t>
      </w:r>
    </w:p>
    <w:p w14:paraId="3D6DC937">
      <w:pPr>
        <w:pStyle w:val="12"/>
        <w:ind w:firstLine="472" w:firstLineChars="147"/>
        <w:jc w:val="center"/>
        <w:rPr>
          <w:rFonts w:hAnsi="宋体" w:cs="宋体"/>
          <w:b/>
          <w:bCs/>
          <w:color w:val="auto"/>
          <w:sz w:val="32"/>
          <w:szCs w:val="32"/>
          <w:highlight w:val="none"/>
        </w:rPr>
      </w:pPr>
      <w:r>
        <w:rPr>
          <w:rFonts w:hint="eastAsia" w:hAnsi="宋体" w:cs="宋体"/>
          <w:b/>
          <w:bCs/>
          <w:color w:val="auto"/>
          <w:sz w:val="32"/>
          <w:szCs w:val="32"/>
          <w:highlight w:val="none"/>
        </w:rPr>
        <w:t>项目实施人员一览表（格式）</w:t>
      </w:r>
    </w:p>
    <w:tbl>
      <w:tblPr>
        <w:tblStyle w:val="24"/>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7F50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1" w:type="dxa"/>
            <w:vAlign w:val="center"/>
          </w:tcPr>
          <w:p w14:paraId="37CD26F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050" w:type="dxa"/>
            <w:vAlign w:val="center"/>
          </w:tcPr>
          <w:p w14:paraId="545B848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665" w:type="dxa"/>
            <w:vAlign w:val="center"/>
          </w:tcPr>
          <w:p w14:paraId="55F70EF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专业技术资格</w:t>
            </w:r>
          </w:p>
        </w:tc>
        <w:tc>
          <w:tcPr>
            <w:tcW w:w="1200" w:type="dxa"/>
            <w:vAlign w:val="center"/>
          </w:tcPr>
          <w:p w14:paraId="0207271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2550" w:type="dxa"/>
            <w:vAlign w:val="center"/>
          </w:tcPr>
          <w:p w14:paraId="6772E6F5">
            <w:pPr>
              <w:spacing w:line="400" w:lineRule="exact"/>
              <w:rPr>
                <w:rFonts w:ascii="宋体" w:hAnsi="宋体" w:cs="宋体"/>
                <w:color w:val="auto"/>
                <w:szCs w:val="21"/>
                <w:highlight w:val="none"/>
              </w:rPr>
            </w:pPr>
            <w:r>
              <w:rPr>
                <w:rFonts w:hint="eastAsia" w:ascii="宋体" w:hAnsi="宋体" w:cs="宋体"/>
                <w:color w:val="auto"/>
                <w:szCs w:val="21"/>
                <w:highlight w:val="none"/>
              </w:rPr>
              <w:t>参加本单位工作时间</w:t>
            </w:r>
          </w:p>
        </w:tc>
        <w:tc>
          <w:tcPr>
            <w:tcW w:w="2610" w:type="dxa"/>
            <w:vAlign w:val="center"/>
          </w:tcPr>
          <w:p w14:paraId="3E1323C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劳动合同编号</w:t>
            </w:r>
          </w:p>
        </w:tc>
      </w:tr>
      <w:tr w14:paraId="57BB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D5F018C">
            <w:pPr>
              <w:spacing w:line="400" w:lineRule="exact"/>
              <w:rPr>
                <w:rFonts w:ascii="宋体" w:hAnsi="宋体" w:cs="宋体"/>
                <w:color w:val="auto"/>
                <w:szCs w:val="21"/>
                <w:highlight w:val="none"/>
              </w:rPr>
            </w:pPr>
          </w:p>
        </w:tc>
        <w:tc>
          <w:tcPr>
            <w:tcW w:w="1050" w:type="dxa"/>
          </w:tcPr>
          <w:p w14:paraId="20CB3FCA">
            <w:pPr>
              <w:spacing w:line="400" w:lineRule="exact"/>
              <w:rPr>
                <w:rFonts w:ascii="宋体" w:hAnsi="宋体" w:cs="宋体"/>
                <w:color w:val="auto"/>
                <w:szCs w:val="21"/>
                <w:highlight w:val="none"/>
              </w:rPr>
            </w:pPr>
          </w:p>
        </w:tc>
        <w:tc>
          <w:tcPr>
            <w:tcW w:w="1665" w:type="dxa"/>
          </w:tcPr>
          <w:p w14:paraId="305AD963">
            <w:pPr>
              <w:spacing w:line="400" w:lineRule="exact"/>
              <w:rPr>
                <w:rFonts w:ascii="宋体" w:hAnsi="宋体" w:cs="宋体"/>
                <w:color w:val="auto"/>
                <w:szCs w:val="21"/>
                <w:highlight w:val="none"/>
              </w:rPr>
            </w:pPr>
          </w:p>
        </w:tc>
        <w:tc>
          <w:tcPr>
            <w:tcW w:w="1200" w:type="dxa"/>
          </w:tcPr>
          <w:p w14:paraId="28527CDD">
            <w:pPr>
              <w:spacing w:line="400" w:lineRule="exact"/>
              <w:rPr>
                <w:rFonts w:ascii="宋体" w:hAnsi="宋体" w:cs="宋体"/>
                <w:color w:val="auto"/>
                <w:szCs w:val="21"/>
                <w:highlight w:val="none"/>
              </w:rPr>
            </w:pPr>
          </w:p>
        </w:tc>
        <w:tc>
          <w:tcPr>
            <w:tcW w:w="2550" w:type="dxa"/>
          </w:tcPr>
          <w:p w14:paraId="7F8CF236">
            <w:pPr>
              <w:spacing w:line="400" w:lineRule="exact"/>
              <w:rPr>
                <w:rFonts w:ascii="宋体" w:hAnsi="宋体" w:cs="宋体"/>
                <w:color w:val="auto"/>
                <w:szCs w:val="21"/>
                <w:highlight w:val="none"/>
              </w:rPr>
            </w:pPr>
          </w:p>
        </w:tc>
        <w:tc>
          <w:tcPr>
            <w:tcW w:w="2610" w:type="dxa"/>
          </w:tcPr>
          <w:p w14:paraId="5D351034">
            <w:pPr>
              <w:spacing w:line="400" w:lineRule="exact"/>
              <w:rPr>
                <w:rFonts w:ascii="宋体" w:hAnsi="宋体" w:cs="宋体"/>
                <w:color w:val="auto"/>
                <w:szCs w:val="21"/>
                <w:highlight w:val="none"/>
              </w:rPr>
            </w:pPr>
          </w:p>
        </w:tc>
      </w:tr>
      <w:tr w14:paraId="66AD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14B4FA2">
            <w:pPr>
              <w:spacing w:line="400" w:lineRule="exact"/>
              <w:rPr>
                <w:rFonts w:ascii="宋体" w:hAnsi="宋体" w:cs="宋体"/>
                <w:color w:val="auto"/>
                <w:szCs w:val="21"/>
                <w:highlight w:val="none"/>
              </w:rPr>
            </w:pPr>
          </w:p>
        </w:tc>
        <w:tc>
          <w:tcPr>
            <w:tcW w:w="1050" w:type="dxa"/>
          </w:tcPr>
          <w:p w14:paraId="513AE586">
            <w:pPr>
              <w:spacing w:line="400" w:lineRule="exact"/>
              <w:rPr>
                <w:rFonts w:ascii="宋体" w:hAnsi="宋体" w:cs="宋体"/>
                <w:color w:val="auto"/>
                <w:szCs w:val="21"/>
                <w:highlight w:val="none"/>
              </w:rPr>
            </w:pPr>
          </w:p>
        </w:tc>
        <w:tc>
          <w:tcPr>
            <w:tcW w:w="1665" w:type="dxa"/>
          </w:tcPr>
          <w:p w14:paraId="5B842031">
            <w:pPr>
              <w:spacing w:line="400" w:lineRule="exact"/>
              <w:rPr>
                <w:rFonts w:ascii="宋体" w:hAnsi="宋体" w:cs="宋体"/>
                <w:color w:val="auto"/>
                <w:szCs w:val="21"/>
                <w:highlight w:val="none"/>
              </w:rPr>
            </w:pPr>
          </w:p>
        </w:tc>
        <w:tc>
          <w:tcPr>
            <w:tcW w:w="1200" w:type="dxa"/>
          </w:tcPr>
          <w:p w14:paraId="76D3E1D2">
            <w:pPr>
              <w:spacing w:line="400" w:lineRule="exact"/>
              <w:rPr>
                <w:rFonts w:ascii="宋体" w:hAnsi="宋体" w:cs="宋体"/>
                <w:color w:val="auto"/>
                <w:szCs w:val="21"/>
                <w:highlight w:val="none"/>
              </w:rPr>
            </w:pPr>
          </w:p>
        </w:tc>
        <w:tc>
          <w:tcPr>
            <w:tcW w:w="2550" w:type="dxa"/>
          </w:tcPr>
          <w:p w14:paraId="398B3651">
            <w:pPr>
              <w:spacing w:line="400" w:lineRule="exact"/>
              <w:rPr>
                <w:rFonts w:ascii="宋体" w:hAnsi="宋体" w:cs="宋体"/>
                <w:color w:val="auto"/>
                <w:szCs w:val="21"/>
                <w:highlight w:val="none"/>
              </w:rPr>
            </w:pPr>
          </w:p>
        </w:tc>
        <w:tc>
          <w:tcPr>
            <w:tcW w:w="2610" w:type="dxa"/>
          </w:tcPr>
          <w:p w14:paraId="2CAF932D">
            <w:pPr>
              <w:spacing w:line="400" w:lineRule="exact"/>
              <w:rPr>
                <w:rFonts w:ascii="宋体" w:hAnsi="宋体" w:cs="宋体"/>
                <w:color w:val="auto"/>
                <w:szCs w:val="21"/>
                <w:highlight w:val="none"/>
              </w:rPr>
            </w:pPr>
          </w:p>
        </w:tc>
      </w:tr>
    </w:tbl>
    <w:p w14:paraId="375DFD13">
      <w:pPr>
        <w:spacing w:line="400" w:lineRule="exact"/>
        <w:rPr>
          <w:rFonts w:ascii="宋体" w:hAnsi="宋体" w:cs="宋体"/>
          <w:color w:val="auto"/>
          <w:szCs w:val="21"/>
          <w:highlight w:val="none"/>
        </w:rPr>
      </w:pPr>
    </w:p>
    <w:p w14:paraId="2BC28E08">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7308690F">
      <w:pPr>
        <w:snapToGrid w:val="0"/>
        <w:spacing w:line="400" w:lineRule="exact"/>
        <w:ind w:firstLine="1890" w:firstLineChars="900"/>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24B36135">
      <w:pPr>
        <w:pStyle w:val="8"/>
        <w:rPr>
          <w:rFonts w:ascii="宋体" w:hAnsi="宋体" w:cs="宋体"/>
          <w:color w:val="auto"/>
          <w:highlight w:val="none"/>
        </w:rPr>
      </w:pPr>
    </w:p>
    <w:p w14:paraId="21FB0AA6">
      <w:pPr>
        <w:pStyle w:val="12"/>
        <w:spacing w:line="340" w:lineRule="exact"/>
        <w:rPr>
          <w:rFonts w:hint="eastAsia" w:hAnsi="宋体" w:cs="宋体"/>
          <w:b/>
          <w:bCs/>
          <w:color w:val="auto"/>
          <w:szCs w:val="21"/>
          <w:highlight w:val="none"/>
        </w:rPr>
      </w:pPr>
      <w:r>
        <w:rPr>
          <w:rFonts w:hint="eastAsia" w:hAnsi="宋体" w:cs="宋体"/>
          <w:b/>
          <w:bCs/>
          <w:color w:val="auto"/>
          <w:szCs w:val="21"/>
          <w:highlight w:val="none"/>
        </w:rPr>
        <w:t>注：1.在填写时，如本表格不适合投标单位的实际情况，可根据本表格式自行制表填写。</w:t>
      </w:r>
    </w:p>
    <w:p w14:paraId="36D44464">
      <w:pPr>
        <w:pStyle w:val="12"/>
        <w:spacing w:line="340" w:lineRule="exact"/>
        <w:rPr>
          <w:rFonts w:hint="eastAsia" w:hAnsi="宋体" w:cs="宋体"/>
          <w:b/>
          <w:bCs/>
          <w:color w:val="auto"/>
          <w:szCs w:val="21"/>
          <w:highlight w:val="none"/>
        </w:rPr>
      </w:pPr>
      <w:r>
        <w:rPr>
          <w:rFonts w:hint="eastAsia" w:hAnsi="宋体" w:cs="宋体"/>
          <w:b/>
          <w:bCs/>
          <w:color w:val="auto"/>
          <w:szCs w:val="21"/>
          <w:highlight w:val="none"/>
        </w:rPr>
        <w:t>2.提供由县级以上（含县级）社会养老保险经办机构出具的投标人为项目实施人员交纳的投标截止时间前半年内连续三个月的社保证明复印件，新成立的公司则提供与授权委托人签订的劳动合同复印件。</w:t>
      </w:r>
    </w:p>
    <w:p w14:paraId="0850921D">
      <w:pPr>
        <w:pStyle w:val="12"/>
        <w:spacing w:line="340" w:lineRule="exact"/>
        <w:rPr>
          <w:rFonts w:hint="eastAsia" w:hAnsi="宋体" w:cs="宋体"/>
          <w:b/>
          <w:bCs/>
          <w:color w:val="auto"/>
          <w:szCs w:val="21"/>
          <w:highlight w:val="none"/>
        </w:rPr>
      </w:pPr>
      <w:r>
        <w:rPr>
          <w:rFonts w:hint="eastAsia" w:hAnsi="宋体" w:cs="宋体"/>
          <w:b/>
          <w:bCs/>
          <w:color w:val="auto"/>
          <w:szCs w:val="21"/>
          <w:highlight w:val="none"/>
        </w:rPr>
        <w:t>3.项目实施人员一览表须由法定代表人、负责人、自然人或相应的委托代理人签字或盖章（属自然人的应在签名处加盖食指指印）并加盖投标人公章(CA签章)，自然人签字或个人CA签章。</w:t>
      </w:r>
    </w:p>
    <w:p w14:paraId="22F2B7E6">
      <w:pPr>
        <w:pStyle w:val="12"/>
        <w:spacing w:line="340" w:lineRule="exact"/>
        <w:rPr>
          <w:rFonts w:hAnsi="宋体" w:cs="宋体"/>
          <w:b/>
          <w:bCs/>
          <w:color w:val="auto"/>
          <w:szCs w:val="21"/>
          <w:highlight w:val="none"/>
        </w:rPr>
      </w:pPr>
      <w:r>
        <w:rPr>
          <w:rFonts w:hint="eastAsia" w:hAnsi="宋体" w:cs="宋体"/>
          <w:b/>
          <w:bCs/>
          <w:color w:val="auto"/>
          <w:szCs w:val="21"/>
          <w:highlight w:val="none"/>
        </w:rPr>
        <w:t>4.当本表由多页构成时，需逐页加盖投标人公章（CA签章）（属自然人的须逐页签字或个人CA签章），否则投标无效。</w:t>
      </w:r>
    </w:p>
    <w:p w14:paraId="14B41CBE">
      <w:pPr>
        <w:pStyle w:val="6"/>
        <w:rPr>
          <w:color w:val="auto"/>
          <w:highlight w:val="none"/>
        </w:rPr>
      </w:pPr>
    </w:p>
    <w:p w14:paraId="72EEB2BB">
      <w:pPr>
        <w:rPr>
          <w:rFonts w:hint="eastAsia"/>
          <w:color w:val="auto"/>
          <w:highlight w:val="none"/>
        </w:rPr>
      </w:pPr>
    </w:p>
    <w:p w14:paraId="5485AB6D">
      <w:pPr>
        <w:pStyle w:val="12"/>
        <w:spacing w:line="340" w:lineRule="exact"/>
        <w:rPr>
          <w:rFonts w:hAnsi="宋体" w:cs="宋体"/>
          <w:b/>
          <w:color w:val="auto"/>
          <w:sz w:val="28"/>
          <w:szCs w:val="28"/>
          <w:highlight w:val="none"/>
        </w:rPr>
      </w:pPr>
      <w:r>
        <w:rPr>
          <w:rFonts w:hint="eastAsia" w:hAnsi="宋体" w:cs="宋体"/>
          <w:b/>
          <w:color w:val="auto"/>
          <w:sz w:val="28"/>
          <w:szCs w:val="28"/>
          <w:highlight w:val="none"/>
        </w:rPr>
        <w:t>2.“采购需求”需提供的有效证明文件（如有，请提供）；</w:t>
      </w:r>
    </w:p>
    <w:p w14:paraId="270E4945">
      <w:pPr>
        <w:pStyle w:val="8"/>
        <w:rPr>
          <w:rFonts w:ascii="宋体" w:hAnsi="宋体" w:cs="宋体"/>
          <w:b/>
          <w:color w:val="auto"/>
          <w:highlight w:val="none"/>
        </w:rPr>
      </w:pPr>
    </w:p>
    <w:p w14:paraId="6A1D9948">
      <w:pPr>
        <w:pStyle w:val="12"/>
        <w:spacing w:line="340" w:lineRule="exact"/>
        <w:rPr>
          <w:rFonts w:hAnsi="宋体" w:cs="宋体"/>
          <w:b/>
          <w:color w:val="auto"/>
          <w:sz w:val="28"/>
          <w:szCs w:val="28"/>
          <w:highlight w:val="none"/>
        </w:rPr>
      </w:pPr>
      <w:bookmarkStart w:id="195" w:name="_Toc3052"/>
      <w:bookmarkStart w:id="196" w:name="_Toc10161"/>
      <w:bookmarkStart w:id="197" w:name="_Toc497927090"/>
    </w:p>
    <w:p w14:paraId="0C8E485C">
      <w:pPr>
        <w:pStyle w:val="12"/>
        <w:spacing w:line="340" w:lineRule="exact"/>
        <w:rPr>
          <w:rFonts w:hAnsi="宋体" w:cs="宋体"/>
          <w:b/>
          <w:color w:val="auto"/>
          <w:sz w:val="28"/>
          <w:szCs w:val="28"/>
          <w:highlight w:val="none"/>
        </w:rPr>
      </w:pPr>
      <w:r>
        <w:rPr>
          <w:rFonts w:hint="eastAsia" w:hAnsi="宋体" w:cs="宋体"/>
          <w:b/>
          <w:color w:val="auto"/>
          <w:sz w:val="28"/>
          <w:szCs w:val="28"/>
          <w:highlight w:val="none"/>
        </w:rPr>
        <w:t>3.供应商20</w:t>
      </w:r>
      <w:r>
        <w:rPr>
          <w:rFonts w:hAnsi="宋体" w:cs="宋体"/>
          <w:b/>
          <w:color w:val="auto"/>
          <w:sz w:val="28"/>
          <w:szCs w:val="28"/>
          <w:highlight w:val="none"/>
        </w:rPr>
        <w:t>2</w:t>
      </w:r>
      <w:r>
        <w:rPr>
          <w:rFonts w:hint="eastAsia" w:hAnsi="宋体" w:cs="宋体"/>
          <w:b/>
          <w:color w:val="auto"/>
          <w:sz w:val="28"/>
          <w:szCs w:val="28"/>
          <w:highlight w:val="none"/>
        </w:rPr>
        <w:t>2年1月1日以来具有同类项目业绩相关证明材料（无不良记录，以中标、成交通知书或签订的合同为准，并能清晰反映项目的名称、采购内容、采购金额、采购时间）（如有，请提供）；</w:t>
      </w:r>
      <w:bookmarkEnd w:id="195"/>
      <w:bookmarkEnd w:id="196"/>
      <w:bookmarkEnd w:id="197"/>
    </w:p>
    <w:p w14:paraId="497AA5CC">
      <w:pPr>
        <w:pStyle w:val="12"/>
        <w:spacing w:line="340" w:lineRule="exact"/>
        <w:rPr>
          <w:rFonts w:hAnsi="宋体" w:cs="宋体"/>
          <w:b/>
          <w:color w:val="auto"/>
          <w:sz w:val="28"/>
          <w:szCs w:val="28"/>
          <w:highlight w:val="none"/>
        </w:rPr>
      </w:pPr>
    </w:p>
    <w:p w14:paraId="01375BAE">
      <w:pPr>
        <w:pStyle w:val="12"/>
        <w:spacing w:line="340" w:lineRule="exact"/>
        <w:rPr>
          <w:rFonts w:hAnsi="宋体" w:cs="宋体"/>
          <w:b/>
          <w:color w:val="auto"/>
          <w:sz w:val="28"/>
          <w:szCs w:val="28"/>
          <w:highlight w:val="none"/>
        </w:rPr>
      </w:pPr>
    </w:p>
    <w:p w14:paraId="43C4CA26">
      <w:pPr>
        <w:pStyle w:val="12"/>
        <w:spacing w:line="340" w:lineRule="exact"/>
        <w:rPr>
          <w:rFonts w:hAnsi="宋体" w:cs="宋体"/>
          <w:b/>
          <w:color w:val="auto"/>
          <w:sz w:val="28"/>
          <w:szCs w:val="28"/>
          <w:highlight w:val="none"/>
        </w:rPr>
      </w:pPr>
    </w:p>
    <w:p w14:paraId="6F8BE686">
      <w:pPr>
        <w:pStyle w:val="12"/>
        <w:spacing w:line="340" w:lineRule="exact"/>
        <w:rPr>
          <w:rFonts w:hAnsi="宋体" w:cs="宋体"/>
          <w:b/>
          <w:color w:val="auto"/>
          <w:sz w:val="28"/>
          <w:szCs w:val="28"/>
          <w:highlight w:val="none"/>
        </w:rPr>
      </w:pPr>
    </w:p>
    <w:p w14:paraId="65179C5C">
      <w:pPr>
        <w:pStyle w:val="12"/>
        <w:spacing w:line="340" w:lineRule="exact"/>
        <w:rPr>
          <w:rFonts w:hAnsi="宋体" w:cs="宋体"/>
          <w:b/>
          <w:color w:val="auto"/>
          <w:sz w:val="28"/>
          <w:szCs w:val="28"/>
          <w:highlight w:val="none"/>
        </w:rPr>
      </w:pPr>
    </w:p>
    <w:p w14:paraId="55D67506">
      <w:pPr>
        <w:pStyle w:val="12"/>
        <w:spacing w:line="340" w:lineRule="exact"/>
        <w:rPr>
          <w:rFonts w:hAnsi="宋体" w:cs="宋体"/>
          <w:b/>
          <w:color w:val="auto"/>
          <w:sz w:val="28"/>
          <w:szCs w:val="28"/>
          <w:highlight w:val="none"/>
        </w:rPr>
      </w:pPr>
    </w:p>
    <w:p w14:paraId="1F544DD5">
      <w:pPr>
        <w:pStyle w:val="29"/>
        <w:rPr>
          <w:rFonts w:ascii="宋体" w:hAnsi="宋体" w:cs="宋体"/>
          <w:b/>
          <w:color w:val="auto"/>
          <w:sz w:val="28"/>
          <w:szCs w:val="28"/>
          <w:highlight w:val="none"/>
        </w:rPr>
      </w:pPr>
    </w:p>
    <w:p w14:paraId="003AB861">
      <w:pPr>
        <w:pStyle w:val="12"/>
        <w:spacing w:line="340" w:lineRule="exact"/>
        <w:rPr>
          <w:rFonts w:hAnsi="宋体" w:cs="宋体"/>
          <w:color w:val="auto"/>
          <w:highlight w:val="none"/>
        </w:rPr>
      </w:pPr>
      <w:r>
        <w:rPr>
          <w:rFonts w:hint="eastAsia" w:hAnsi="宋体" w:cs="宋体"/>
          <w:b/>
          <w:color w:val="auto"/>
          <w:sz w:val="28"/>
          <w:szCs w:val="28"/>
          <w:highlight w:val="none"/>
        </w:rPr>
        <w:t xml:space="preserve">4.供应商可结合本项目的评审办法视自身情况自行提交其它相关证明材料。           </w:t>
      </w:r>
      <w:r>
        <w:rPr>
          <w:rFonts w:hint="eastAsia" w:hAnsi="宋体" w:cs="宋体"/>
          <w:color w:val="auto"/>
          <w:sz w:val="28"/>
          <w:szCs w:val="28"/>
          <w:highlight w:val="none"/>
        </w:rPr>
        <w:t xml:space="preserve"> </w:t>
      </w:r>
      <w:r>
        <w:rPr>
          <w:rFonts w:hint="eastAsia" w:hAnsi="宋体" w:cs="宋体"/>
          <w:color w:val="auto"/>
          <w:highlight w:val="none"/>
        </w:rPr>
        <w:t xml:space="preserve">      </w:t>
      </w:r>
    </w:p>
    <w:p w14:paraId="67C0061A">
      <w:pPr>
        <w:rPr>
          <w:rFonts w:ascii="宋体" w:hAnsi="宋体" w:cs="宋体"/>
          <w:color w:val="auto"/>
          <w:highlight w:val="none"/>
        </w:rPr>
      </w:pPr>
    </w:p>
    <w:sectPr>
      <w:pgSz w:w="11906" w:h="16838"/>
      <w:pgMar w:top="1440" w:right="935" w:bottom="1440" w:left="7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CA57">
    <w:pPr>
      <w:pStyle w:val="14"/>
      <w:pBdr>
        <w:bottom w:val="single" w:color="auto" w:sz="4" w:space="0"/>
      </w:pBdr>
    </w:pPr>
  </w:p>
  <w:p w14:paraId="33B07001">
    <w:pPr>
      <w:pStyle w:val="14"/>
    </w:pPr>
    <w:r>
      <w:rPr>
        <w:rFonts w:hint="eastAsia"/>
      </w:rPr>
      <w:t>广西安臻工程管理有限公司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0F26">
    <w:pPr>
      <w:pStyle w:val="14"/>
      <w:pBdr>
        <w:bottom w:val="single" w:color="auto" w:sz="4" w:space="0"/>
      </w:pBdr>
    </w:pPr>
  </w:p>
  <w:p w14:paraId="636E03E3">
    <w:pPr>
      <w:pStyle w:val="14"/>
    </w:pPr>
    <w:r>
      <w:rPr>
        <w:rFonts w:hint="eastAsia"/>
      </w:rPr>
      <w:t>广西安臻工程管理有限公司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AF76">
    <w:pPr>
      <w:pStyle w:val="8"/>
      <w:rPr>
        <w:sz w:val="16"/>
      </w:rPr>
    </w:pPr>
    <w:r>
      <w:pict>
        <v:shape id="文本框 3" o:spid="_x0000_s2050" o:spt="202" type="#_x0000_t202" style="position:absolute;left:0pt;margin-left:285.7pt;margin-top:770.05pt;height:12.9pt;width:24pt;mso-position-horizontal-relative:page;mso-position-vertical-relative:page;z-index:-251655168;mso-width-relative:page;mso-height-relative:page;" filled="f" stroked="f" coordsize="21600,21600" o:gfxdata="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q4359oAAAANAQAADwAAAAAA&#10;AAABACAAAAAiAAAAZHJzL2Rvd25yZXYueG1sUEsBAhQAFAAAAAgAh07iQA4DXIARAgAAEgQAAA4A&#10;AAAAAAAAAQAgAAAAKQEAAGRycy9lMm9Eb2MueG1sUEsFBgAAAAAGAAYAWQEAAKwFAAAAAA==&#10;">
          <v:path/>
          <v:fill on="f" focussize="0,0"/>
          <v:stroke on="f" joinstyle="miter"/>
          <v:imagedata o:title=""/>
          <o:lock v:ext="edit"/>
          <v:textbox inset="0mm,0mm,0mm,0mm">
            <w:txbxContent>
              <w:p w14:paraId="0C4E6275">
                <w:r>
                  <w:t xml:space="preserve">- </w:t>
                </w:r>
                <w:r>
                  <w:fldChar w:fldCharType="begin"/>
                </w:r>
                <w:r>
                  <w:instrText xml:space="preserve"> PAGE </w:instrText>
                </w:r>
                <w:r>
                  <w:fldChar w:fldCharType="separate"/>
                </w:r>
                <w:r>
                  <w:t>17</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7A62">
    <w:pPr>
      <w:pStyle w:val="14"/>
      <w:pBdr>
        <w:bottom w:val="single" w:color="auto" w:sz="4" w:space="0"/>
      </w:pBdr>
      <w:tabs>
        <w:tab w:val="clear" w:pos="4153"/>
      </w:tabs>
      <w:jc w:val="center"/>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9D78F42">
                <w:pPr>
                  <w:pStyle w:val="14"/>
                </w:pPr>
                <w:r>
                  <w:fldChar w:fldCharType="begin"/>
                </w:r>
                <w:r>
                  <w:instrText xml:space="preserve"> PAGE  \* MERGEFORMAT </w:instrText>
                </w:r>
                <w:r>
                  <w:fldChar w:fldCharType="separate"/>
                </w:r>
                <w:r>
                  <w:t>50</w:t>
                </w:r>
                <w:r>
                  <w:fldChar w:fldCharType="end"/>
                </w:r>
              </w:p>
            </w:txbxContent>
          </v:textbox>
        </v:shape>
      </w:pict>
    </w:r>
  </w:p>
  <w:p w14:paraId="7653EAF3">
    <w:pPr>
      <w:pStyle w:val="14"/>
    </w:pPr>
    <w:r>
      <w:rPr>
        <w:rFonts w:hint="eastAsia"/>
      </w:rPr>
      <w:t>广西安臻工程管理有限公司                                                                   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462C">
    <w:pPr>
      <w:pStyle w:val="15"/>
      <w:jc w:val="left"/>
    </w:pPr>
    <w:r>
      <w:rPr>
        <w:rFonts w:hint="eastAsia"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41C5">
    <w:pPr>
      <w:pStyle w:val="15"/>
      <w:jc w:val="left"/>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FD97BE0"/>
    <w:multiLevelType w:val="singleLevel"/>
    <w:tmpl w:val="1FD97BE0"/>
    <w:lvl w:ilvl="0" w:tentative="0">
      <w:start w:val="1"/>
      <w:numFmt w:val="chineseCounting"/>
      <w:suff w:val="nothing"/>
      <w:lvlText w:val="（%1）"/>
      <w:lvlJc w:val="left"/>
      <w:rPr>
        <w:rFonts w:hint="eastAsia"/>
      </w:rPr>
    </w:lvl>
  </w:abstractNum>
  <w:abstractNum w:abstractNumId="4">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4603DC6E"/>
    <w:multiLevelType w:val="singleLevel"/>
    <w:tmpl w:val="4603DC6E"/>
    <w:lvl w:ilvl="0" w:tentative="0">
      <w:start w:val="2"/>
      <w:numFmt w:val="decimal"/>
      <w:suff w:val="nothing"/>
      <w:lvlText w:val="（%1）"/>
      <w:lvlJc w:val="left"/>
    </w:lvl>
  </w:abstractNum>
  <w:abstractNum w:abstractNumId="7">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AD43707"/>
    <w:multiLevelType w:val="singleLevel"/>
    <w:tmpl w:val="6AD43707"/>
    <w:lvl w:ilvl="0" w:tentative="0">
      <w:start w:val="5"/>
      <w:numFmt w:val="decimal"/>
      <w:suff w:val="space"/>
      <w:lvlText w:val="%1."/>
      <w:lvlJc w:val="left"/>
    </w:lvl>
  </w:abstractNum>
  <w:abstractNum w:abstractNumId="9">
    <w:nsid w:val="7D48D8E6"/>
    <w:multiLevelType w:val="singleLevel"/>
    <w:tmpl w:val="7D48D8E6"/>
    <w:lvl w:ilvl="0" w:tentative="0">
      <w:start w:val="1"/>
      <w:numFmt w:val="decimal"/>
      <w:lvlText w:val="%1."/>
      <w:lvlJc w:val="left"/>
      <w:pPr>
        <w:ind w:left="425" w:hanging="425"/>
      </w:pPr>
      <w:rPr>
        <w:rFonts w:hint="default"/>
      </w:rPr>
    </w:lvl>
  </w:abstractNum>
  <w:num w:numId="1">
    <w:abstractNumId w:val="2"/>
  </w:num>
  <w:num w:numId="2">
    <w:abstractNumId w:val="8"/>
  </w:num>
  <w:num w:numId="3">
    <w:abstractNumId w:val="1"/>
  </w:num>
  <w:num w:numId="4">
    <w:abstractNumId w:val="5"/>
  </w:num>
  <w:num w:numId="5">
    <w:abstractNumId w:val="6"/>
  </w:num>
  <w:num w:numId="6">
    <w:abstractNumId w:val="7"/>
    <w:lvlOverride w:ilvl="0">
      <w:startOverride w:val="2"/>
    </w:lvlOverride>
  </w:num>
  <w:num w:numId="7">
    <w:abstractNumId w:val="4"/>
    <w:lvlOverride w:ilvl="0">
      <w:startOverride w:val="2"/>
    </w:lvlOverride>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4YjdlODAwM2I5ZGM3MjMyOGI5Njg5OGNhOTU3YzAifQ=="/>
  </w:docVars>
  <w:rsids>
    <w:rsidRoot w:val="003F48A7"/>
    <w:rsid w:val="00023BB7"/>
    <w:rsid w:val="00046F39"/>
    <w:rsid w:val="000A7643"/>
    <w:rsid w:val="000B6928"/>
    <w:rsid w:val="000E5348"/>
    <w:rsid w:val="000E6CED"/>
    <w:rsid w:val="00121E38"/>
    <w:rsid w:val="001569FD"/>
    <w:rsid w:val="001702A3"/>
    <w:rsid w:val="001935A6"/>
    <w:rsid w:val="00245E49"/>
    <w:rsid w:val="00253C95"/>
    <w:rsid w:val="00292840"/>
    <w:rsid w:val="002A29CE"/>
    <w:rsid w:val="002C724E"/>
    <w:rsid w:val="002F3364"/>
    <w:rsid w:val="002F6A8B"/>
    <w:rsid w:val="002F7AA1"/>
    <w:rsid w:val="00371531"/>
    <w:rsid w:val="003A1EB9"/>
    <w:rsid w:val="003B336E"/>
    <w:rsid w:val="003C240B"/>
    <w:rsid w:val="003F48A7"/>
    <w:rsid w:val="0041069E"/>
    <w:rsid w:val="00431DAD"/>
    <w:rsid w:val="00451E30"/>
    <w:rsid w:val="004538CF"/>
    <w:rsid w:val="00453EBB"/>
    <w:rsid w:val="00466024"/>
    <w:rsid w:val="004A4E89"/>
    <w:rsid w:val="004E098B"/>
    <w:rsid w:val="00503FC5"/>
    <w:rsid w:val="00506675"/>
    <w:rsid w:val="005120BE"/>
    <w:rsid w:val="00515122"/>
    <w:rsid w:val="00532D50"/>
    <w:rsid w:val="00536E2D"/>
    <w:rsid w:val="00547CA6"/>
    <w:rsid w:val="00563FEB"/>
    <w:rsid w:val="00571C1F"/>
    <w:rsid w:val="005C2170"/>
    <w:rsid w:val="00641048"/>
    <w:rsid w:val="00643289"/>
    <w:rsid w:val="00671766"/>
    <w:rsid w:val="00690B8C"/>
    <w:rsid w:val="00693A09"/>
    <w:rsid w:val="006D490D"/>
    <w:rsid w:val="006F0A36"/>
    <w:rsid w:val="007660B1"/>
    <w:rsid w:val="00786D8A"/>
    <w:rsid w:val="007C72B5"/>
    <w:rsid w:val="00901E80"/>
    <w:rsid w:val="0091275D"/>
    <w:rsid w:val="00934ED3"/>
    <w:rsid w:val="00951F76"/>
    <w:rsid w:val="00954587"/>
    <w:rsid w:val="0097338F"/>
    <w:rsid w:val="00984D1D"/>
    <w:rsid w:val="0099166E"/>
    <w:rsid w:val="009C5D85"/>
    <w:rsid w:val="00A10CD7"/>
    <w:rsid w:val="00A467A6"/>
    <w:rsid w:val="00A57DA5"/>
    <w:rsid w:val="00A96770"/>
    <w:rsid w:val="00AA6560"/>
    <w:rsid w:val="00AB3EA6"/>
    <w:rsid w:val="00AC475C"/>
    <w:rsid w:val="00AC6200"/>
    <w:rsid w:val="00B10954"/>
    <w:rsid w:val="00B70AE2"/>
    <w:rsid w:val="00BE539C"/>
    <w:rsid w:val="00C0042E"/>
    <w:rsid w:val="00C333F1"/>
    <w:rsid w:val="00C934B4"/>
    <w:rsid w:val="00CA0711"/>
    <w:rsid w:val="00CA350F"/>
    <w:rsid w:val="00CD3890"/>
    <w:rsid w:val="00CF3162"/>
    <w:rsid w:val="00D16A07"/>
    <w:rsid w:val="00D454CF"/>
    <w:rsid w:val="00D55139"/>
    <w:rsid w:val="00D61899"/>
    <w:rsid w:val="00D761B6"/>
    <w:rsid w:val="00D82912"/>
    <w:rsid w:val="00D93E85"/>
    <w:rsid w:val="00DB595D"/>
    <w:rsid w:val="00DE08B7"/>
    <w:rsid w:val="00DF4A82"/>
    <w:rsid w:val="00E0783D"/>
    <w:rsid w:val="00E24A8B"/>
    <w:rsid w:val="00E30F22"/>
    <w:rsid w:val="00E340BD"/>
    <w:rsid w:val="00E3498A"/>
    <w:rsid w:val="00E63E98"/>
    <w:rsid w:val="00EA63B0"/>
    <w:rsid w:val="00EE604A"/>
    <w:rsid w:val="00EF35AF"/>
    <w:rsid w:val="00F14E5A"/>
    <w:rsid w:val="00F24F21"/>
    <w:rsid w:val="00F34182"/>
    <w:rsid w:val="00F56105"/>
    <w:rsid w:val="00F60F72"/>
    <w:rsid w:val="00F9514D"/>
    <w:rsid w:val="00FA13E2"/>
    <w:rsid w:val="00FB2AD9"/>
    <w:rsid w:val="00FD1FF4"/>
    <w:rsid w:val="0100033D"/>
    <w:rsid w:val="02113B97"/>
    <w:rsid w:val="02B95509"/>
    <w:rsid w:val="031406F5"/>
    <w:rsid w:val="03181B59"/>
    <w:rsid w:val="036061AF"/>
    <w:rsid w:val="036C7E00"/>
    <w:rsid w:val="05075F25"/>
    <w:rsid w:val="051031AE"/>
    <w:rsid w:val="058212E8"/>
    <w:rsid w:val="05E82D27"/>
    <w:rsid w:val="060C5A1F"/>
    <w:rsid w:val="065000D1"/>
    <w:rsid w:val="065B15E4"/>
    <w:rsid w:val="06AE1DE6"/>
    <w:rsid w:val="074402B4"/>
    <w:rsid w:val="076C2901"/>
    <w:rsid w:val="079052BE"/>
    <w:rsid w:val="083F7130"/>
    <w:rsid w:val="0A7B7E34"/>
    <w:rsid w:val="0AA70314"/>
    <w:rsid w:val="0B523DCB"/>
    <w:rsid w:val="0B6A2EE0"/>
    <w:rsid w:val="0C825799"/>
    <w:rsid w:val="0C9B0435"/>
    <w:rsid w:val="0C9C22B2"/>
    <w:rsid w:val="0E5D7ED4"/>
    <w:rsid w:val="0EBA28D2"/>
    <w:rsid w:val="0F152394"/>
    <w:rsid w:val="0F2549CB"/>
    <w:rsid w:val="0F6B6C1D"/>
    <w:rsid w:val="110660A6"/>
    <w:rsid w:val="125C726E"/>
    <w:rsid w:val="13916645"/>
    <w:rsid w:val="1506135C"/>
    <w:rsid w:val="184F13F4"/>
    <w:rsid w:val="18E37D3D"/>
    <w:rsid w:val="1914553B"/>
    <w:rsid w:val="19516B4A"/>
    <w:rsid w:val="1A41745E"/>
    <w:rsid w:val="1A606D71"/>
    <w:rsid w:val="1ABB044E"/>
    <w:rsid w:val="1C08226C"/>
    <w:rsid w:val="1C1764BC"/>
    <w:rsid w:val="1C624D13"/>
    <w:rsid w:val="1D1207F7"/>
    <w:rsid w:val="1E201B9E"/>
    <w:rsid w:val="1FE74446"/>
    <w:rsid w:val="20BD73DF"/>
    <w:rsid w:val="20F83FE3"/>
    <w:rsid w:val="211F672C"/>
    <w:rsid w:val="21925627"/>
    <w:rsid w:val="225455FE"/>
    <w:rsid w:val="23B95317"/>
    <w:rsid w:val="24967F5F"/>
    <w:rsid w:val="2520043F"/>
    <w:rsid w:val="25212425"/>
    <w:rsid w:val="26FB3479"/>
    <w:rsid w:val="27150F97"/>
    <w:rsid w:val="28534CC7"/>
    <w:rsid w:val="28C8445F"/>
    <w:rsid w:val="29CE1279"/>
    <w:rsid w:val="2A45114C"/>
    <w:rsid w:val="2B336409"/>
    <w:rsid w:val="2B352B08"/>
    <w:rsid w:val="2B50775C"/>
    <w:rsid w:val="2C152475"/>
    <w:rsid w:val="2C730BFF"/>
    <w:rsid w:val="2DF70B36"/>
    <w:rsid w:val="2F1958D0"/>
    <w:rsid w:val="2F451631"/>
    <w:rsid w:val="2FB344DB"/>
    <w:rsid w:val="3119570C"/>
    <w:rsid w:val="31BF7BF7"/>
    <w:rsid w:val="32B6051E"/>
    <w:rsid w:val="33196C24"/>
    <w:rsid w:val="337A3E72"/>
    <w:rsid w:val="34E701DE"/>
    <w:rsid w:val="35033E7C"/>
    <w:rsid w:val="35073D21"/>
    <w:rsid w:val="369E0EF6"/>
    <w:rsid w:val="375E31F0"/>
    <w:rsid w:val="379A346B"/>
    <w:rsid w:val="37C20190"/>
    <w:rsid w:val="37F250A8"/>
    <w:rsid w:val="389153B5"/>
    <w:rsid w:val="38BB18EB"/>
    <w:rsid w:val="3AAF5A38"/>
    <w:rsid w:val="3AC33A3E"/>
    <w:rsid w:val="3B721655"/>
    <w:rsid w:val="3BE41159"/>
    <w:rsid w:val="3E6E4482"/>
    <w:rsid w:val="3EFE20EC"/>
    <w:rsid w:val="3FF41373"/>
    <w:rsid w:val="41166258"/>
    <w:rsid w:val="427A0DB5"/>
    <w:rsid w:val="429F0D52"/>
    <w:rsid w:val="43727F57"/>
    <w:rsid w:val="449C3EE4"/>
    <w:rsid w:val="47226FD9"/>
    <w:rsid w:val="4822043E"/>
    <w:rsid w:val="483F0499"/>
    <w:rsid w:val="48557468"/>
    <w:rsid w:val="48A84EE5"/>
    <w:rsid w:val="492B03C7"/>
    <w:rsid w:val="49A15183"/>
    <w:rsid w:val="4A615E38"/>
    <w:rsid w:val="4B6052BB"/>
    <w:rsid w:val="4C077C2D"/>
    <w:rsid w:val="4CF010A6"/>
    <w:rsid w:val="4D085C18"/>
    <w:rsid w:val="4DF07841"/>
    <w:rsid w:val="4E3F5A59"/>
    <w:rsid w:val="4E5C54C6"/>
    <w:rsid w:val="4E784900"/>
    <w:rsid w:val="4ECB452F"/>
    <w:rsid w:val="500B71A4"/>
    <w:rsid w:val="50135D22"/>
    <w:rsid w:val="50A2103A"/>
    <w:rsid w:val="50DD43F7"/>
    <w:rsid w:val="51456CD1"/>
    <w:rsid w:val="518129BD"/>
    <w:rsid w:val="53DE45D6"/>
    <w:rsid w:val="54356616"/>
    <w:rsid w:val="54EA1A57"/>
    <w:rsid w:val="55157550"/>
    <w:rsid w:val="552A1E7A"/>
    <w:rsid w:val="554C7908"/>
    <w:rsid w:val="557E675B"/>
    <w:rsid w:val="558A20A7"/>
    <w:rsid w:val="55DB7536"/>
    <w:rsid w:val="575E5568"/>
    <w:rsid w:val="58201313"/>
    <w:rsid w:val="58A03B81"/>
    <w:rsid w:val="58DB5A41"/>
    <w:rsid w:val="598F630D"/>
    <w:rsid w:val="59B166C6"/>
    <w:rsid w:val="5A643739"/>
    <w:rsid w:val="5BA37FCD"/>
    <w:rsid w:val="5BC76216"/>
    <w:rsid w:val="5D056076"/>
    <w:rsid w:val="5E847F27"/>
    <w:rsid w:val="5E985640"/>
    <w:rsid w:val="5EB23D46"/>
    <w:rsid w:val="61680316"/>
    <w:rsid w:val="62693085"/>
    <w:rsid w:val="629E6C38"/>
    <w:rsid w:val="63CA40E4"/>
    <w:rsid w:val="657123B4"/>
    <w:rsid w:val="65AE1BAE"/>
    <w:rsid w:val="671F53D7"/>
    <w:rsid w:val="67386876"/>
    <w:rsid w:val="674F6483"/>
    <w:rsid w:val="6777710B"/>
    <w:rsid w:val="677E648B"/>
    <w:rsid w:val="67EB1AD0"/>
    <w:rsid w:val="681B125A"/>
    <w:rsid w:val="68A23436"/>
    <w:rsid w:val="690A0C77"/>
    <w:rsid w:val="69644210"/>
    <w:rsid w:val="69960D5D"/>
    <w:rsid w:val="6BB3513A"/>
    <w:rsid w:val="6C9C7F3A"/>
    <w:rsid w:val="6CE35466"/>
    <w:rsid w:val="6E9F12D8"/>
    <w:rsid w:val="6FE17A7F"/>
    <w:rsid w:val="7026759E"/>
    <w:rsid w:val="70681625"/>
    <w:rsid w:val="70D56AB2"/>
    <w:rsid w:val="71924FC1"/>
    <w:rsid w:val="719B6B25"/>
    <w:rsid w:val="72AE7DEA"/>
    <w:rsid w:val="73994D87"/>
    <w:rsid w:val="73F05BE5"/>
    <w:rsid w:val="75787ED4"/>
    <w:rsid w:val="75E26C5D"/>
    <w:rsid w:val="75E5251D"/>
    <w:rsid w:val="75FF0362"/>
    <w:rsid w:val="7645008C"/>
    <w:rsid w:val="77D31AA6"/>
    <w:rsid w:val="77DD0911"/>
    <w:rsid w:val="78B1618F"/>
    <w:rsid w:val="7A4D3D91"/>
    <w:rsid w:val="7B8E1BD1"/>
    <w:rsid w:val="7C3E7E36"/>
    <w:rsid w:val="7CED59B0"/>
    <w:rsid w:val="7E6E7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qFormat="1" w:uiPriority="99"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tabs>
        <w:tab w:val="left" w:pos="567"/>
      </w:tabs>
      <w:spacing w:line="360" w:lineRule="auto"/>
      <w:ind w:left="567" w:hanging="567"/>
      <w:outlineLvl w:val="1"/>
    </w:pPr>
    <w:rPr>
      <w:rFonts w:ascii="Arial" w:hAnsi="Arial"/>
      <w:color w:val="000000"/>
      <w:sz w:val="28"/>
      <w:szCs w:val="32"/>
      <w:lang w:val="pt-BR"/>
    </w:rPr>
  </w:style>
  <w:style w:type="paragraph" w:styleId="4">
    <w:name w:val="heading 3"/>
    <w:basedOn w:val="1"/>
    <w:next w:val="1"/>
    <w:link w:val="31"/>
    <w:qFormat/>
    <w:uiPriority w:val="0"/>
    <w:pPr>
      <w:keepNext/>
      <w:keepLines/>
      <w:outlineLvl w:val="2"/>
    </w:pPr>
    <w:rPr>
      <w:rFonts w:ascii="Calibri" w:hAnsi="Calibri"/>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annotation text"/>
    <w:basedOn w:val="1"/>
    <w:link w:val="37"/>
    <w:qFormat/>
    <w:uiPriority w:val="0"/>
    <w:pPr>
      <w:jc w:val="left"/>
    </w:pPr>
  </w:style>
  <w:style w:type="paragraph" w:styleId="8">
    <w:name w:val="Body Text"/>
    <w:basedOn w:val="1"/>
    <w:next w:val="1"/>
    <w:link w:val="41"/>
    <w:qFormat/>
    <w:uiPriority w:val="99"/>
  </w:style>
  <w:style w:type="paragraph" w:styleId="9">
    <w:name w:val="Body Text Indent"/>
    <w:basedOn w:val="1"/>
    <w:qFormat/>
    <w:uiPriority w:val="0"/>
    <w:pPr>
      <w:spacing w:after="120"/>
      <w:ind w:left="420" w:leftChars="200"/>
    </w:pPr>
  </w:style>
  <w:style w:type="paragraph" w:styleId="10">
    <w:name w:val="Block Text"/>
    <w:basedOn w:val="1"/>
    <w:qFormat/>
    <w:uiPriority w:val="99"/>
    <w:pPr>
      <w:ind w:right="33"/>
      <w:textAlignment w:val="baseline"/>
    </w:pPr>
    <w:rPr>
      <w:szCs w:val="20"/>
    </w:rPr>
  </w:style>
  <w:style w:type="paragraph" w:styleId="11">
    <w:name w:val="toc 3"/>
    <w:basedOn w:val="1"/>
    <w:next w:val="1"/>
    <w:unhideWhenUsed/>
    <w:qFormat/>
    <w:uiPriority w:val="39"/>
    <w:pPr>
      <w:ind w:left="840" w:leftChars="400"/>
    </w:pPr>
  </w:style>
  <w:style w:type="paragraph" w:styleId="12">
    <w:name w:val="Plain Text"/>
    <w:basedOn w:val="1"/>
    <w:next w:val="6"/>
    <w:link w:val="35"/>
    <w:qFormat/>
    <w:uiPriority w:val="99"/>
    <w:rPr>
      <w:rFonts w:ascii="宋体" w:hAnsi="Courier New"/>
      <w:szCs w:val="20"/>
    </w:rPr>
  </w:style>
  <w:style w:type="paragraph" w:styleId="13">
    <w:name w:val="Balloon Text"/>
    <w:basedOn w:val="1"/>
    <w:link w:val="39"/>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8">
    <w:name w:val="toc 2"/>
    <w:basedOn w:val="1"/>
    <w:next w:val="1"/>
    <w:unhideWhenUsed/>
    <w:qFormat/>
    <w:uiPriority w:val="39"/>
    <w:pPr>
      <w:ind w:left="420" w:leftChars="200"/>
    </w:pPr>
  </w:style>
  <w:style w:type="paragraph" w:styleId="19">
    <w:name w:val="List 4"/>
    <w:basedOn w:val="1"/>
    <w:unhideWhenUsed/>
    <w:qFormat/>
    <w:uiPriority w:val="99"/>
    <w:pPr>
      <w:ind w:left="100" w:leftChars="600" w:hanging="200" w:hangingChars="200"/>
      <w:contextualSpacing/>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semiHidden/>
    <w:qFormat/>
    <w:uiPriority w:val="0"/>
    <w:pPr>
      <w:spacing w:line="400" w:lineRule="exact"/>
      <w:ind w:firstLine="420" w:firstLineChars="200"/>
    </w:pPr>
    <w:rPr>
      <w:rFonts w:ascii="宋体" w:hAnsi="Courier New"/>
      <w:b/>
      <w:szCs w:val="20"/>
    </w:rPr>
  </w:style>
  <w:style w:type="paragraph" w:styleId="22">
    <w:name w:val="annotation subject"/>
    <w:basedOn w:val="7"/>
    <w:next w:val="7"/>
    <w:link w:val="38"/>
    <w:qFormat/>
    <w:uiPriority w:val="0"/>
    <w:rPr>
      <w:b/>
      <w:bCs/>
    </w:rPr>
  </w:style>
  <w:style w:type="paragraph" w:styleId="23">
    <w:name w:val="Body Text First Indent 2"/>
    <w:basedOn w:val="9"/>
    <w:unhideWhenUsed/>
    <w:qFormat/>
    <w:uiPriority w:val="99"/>
    <w:pPr>
      <w:ind w:firstLine="420" w:firstLineChars="200"/>
    </w:p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000FF" w:themeColor="hyperlink"/>
      <w:u w:val="single"/>
    </w:rPr>
  </w:style>
  <w:style w:type="character" w:styleId="28">
    <w:name w:val="annotation reference"/>
    <w:basedOn w:val="26"/>
    <w:qFormat/>
    <w:uiPriority w:val="0"/>
    <w:rPr>
      <w:sz w:val="21"/>
      <w:szCs w:val="21"/>
    </w:rPr>
  </w:style>
  <w:style w:type="paragraph" w:customStyle="1" w:styleId="29">
    <w:name w:val="Default"/>
    <w:link w:val="4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列出段落1"/>
    <w:basedOn w:val="1"/>
    <w:qFormat/>
    <w:uiPriority w:val="99"/>
    <w:pPr>
      <w:ind w:firstLine="420" w:firstLineChars="200"/>
    </w:pPr>
  </w:style>
  <w:style w:type="character" w:customStyle="1" w:styleId="31">
    <w:name w:val="标题 3 字符"/>
    <w:link w:val="4"/>
    <w:qFormat/>
    <w:uiPriority w:val="0"/>
    <w:rPr>
      <w:rFonts w:ascii="Calibri" w:hAnsi="Calibri" w:eastAsia="宋体"/>
      <w:b/>
      <w:sz w:val="32"/>
    </w:rPr>
  </w:style>
  <w:style w:type="paragraph" w:customStyle="1" w:styleId="32">
    <w:name w:val="Char1 Char Char Char Char Char Char"/>
    <w:basedOn w:val="1"/>
    <w:qFormat/>
    <w:uiPriority w:val="0"/>
    <w:rPr>
      <w:rFonts w:ascii="Tahoma" w:hAnsi="Tahoma"/>
      <w:sz w:val="24"/>
      <w:szCs w:val="20"/>
    </w:rPr>
  </w:style>
  <w:style w:type="character" w:customStyle="1" w:styleId="33">
    <w:name w:val="unnamed4"/>
    <w:basedOn w:val="26"/>
    <w:qFormat/>
    <w:uiPriority w:val="0"/>
  </w:style>
  <w:style w:type="character" w:customStyle="1" w:styleId="34">
    <w:name w:val="unnamed2"/>
    <w:basedOn w:val="26"/>
    <w:qFormat/>
    <w:uiPriority w:val="0"/>
  </w:style>
  <w:style w:type="character" w:customStyle="1" w:styleId="35">
    <w:name w:val="纯文本 字符"/>
    <w:basedOn w:val="26"/>
    <w:link w:val="12"/>
    <w:qFormat/>
    <w:uiPriority w:val="99"/>
    <w:rPr>
      <w:rFonts w:ascii="宋体" w:hAnsi="Courier New"/>
      <w:kern w:val="2"/>
      <w:sz w:val="21"/>
    </w:rPr>
  </w:style>
  <w:style w:type="paragraph" w:customStyle="1" w:styleId="36">
    <w:name w:val="样式 正文文本 + 宋体 首行缩进:  0.74 厘米 行距: 1.5 倍行距"/>
    <w:basedOn w:val="8"/>
    <w:qFormat/>
    <w:uiPriority w:val="0"/>
    <w:pPr>
      <w:spacing w:after="120" w:line="360" w:lineRule="auto"/>
      <w:ind w:firstLine="200" w:firstLineChars="200"/>
    </w:pPr>
    <w:rPr>
      <w:rFonts w:ascii="Calibri" w:hAnsi="Calibri"/>
      <w:sz w:val="24"/>
      <w:szCs w:val="22"/>
    </w:rPr>
  </w:style>
  <w:style w:type="character" w:customStyle="1" w:styleId="37">
    <w:name w:val="批注文字 字符"/>
    <w:basedOn w:val="26"/>
    <w:link w:val="7"/>
    <w:qFormat/>
    <w:uiPriority w:val="0"/>
    <w:rPr>
      <w:kern w:val="2"/>
      <w:sz w:val="21"/>
      <w:szCs w:val="24"/>
    </w:rPr>
  </w:style>
  <w:style w:type="character" w:customStyle="1" w:styleId="38">
    <w:name w:val="批注主题 字符"/>
    <w:basedOn w:val="37"/>
    <w:link w:val="22"/>
    <w:qFormat/>
    <w:uiPriority w:val="0"/>
    <w:rPr>
      <w:kern w:val="2"/>
      <w:sz w:val="21"/>
      <w:szCs w:val="24"/>
    </w:rPr>
  </w:style>
  <w:style w:type="character" w:customStyle="1" w:styleId="39">
    <w:name w:val="批注框文本 字符"/>
    <w:basedOn w:val="26"/>
    <w:link w:val="13"/>
    <w:qFormat/>
    <w:uiPriority w:val="0"/>
    <w:rPr>
      <w:kern w:val="2"/>
      <w:sz w:val="18"/>
      <w:szCs w:val="18"/>
    </w:rPr>
  </w:style>
  <w:style w:type="paragraph" w:styleId="40">
    <w:name w:val="List Paragraph"/>
    <w:basedOn w:val="1"/>
    <w:unhideWhenUsed/>
    <w:qFormat/>
    <w:uiPriority w:val="34"/>
    <w:pPr>
      <w:ind w:firstLine="420" w:firstLineChars="200"/>
    </w:pPr>
  </w:style>
  <w:style w:type="character" w:customStyle="1" w:styleId="41">
    <w:name w:val="正文文本 字符"/>
    <w:basedOn w:val="26"/>
    <w:link w:val="8"/>
    <w:qFormat/>
    <w:uiPriority w:val="99"/>
    <w:rPr>
      <w:kern w:val="2"/>
      <w:sz w:val="21"/>
      <w:szCs w:val="24"/>
    </w:rPr>
  </w:style>
  <w:style w:type="paragraph" w:customStyle="1" w:styleId="4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Default Char"/>
    <w:link w:val="29"/>
    <w:qFormat/>
    <w:locked/>
    <w:uiPriority w:val="0"/>
    <w:rPr>
      <w:color w:val="000000"/>
      <w:sz w:val="24"/>
      <w:szCs w:val="24"/>
    </w:rPr>
  </w:style>
  <w:style w:type="paragraph" w:customStyle="1" w:styleId="44">
    <w:name w:val="NormalIndent"/>
    <w:basedOn w:val="1"/>
    <w:qFormat/>
    <w:uiPriority w:val="0"/>
    <w:pPr>
      <w:ind w:firstLine="420"/>
    </w:pPr>
    <w:rPr>
      <w:szCs w:val="21"/>
    </w:rPr>
  </w:style>
  <w:style w:type="paragraph" w:customStyle="1" w:styleId="45">
    <w:name w:val="正本"/>
    <w:basedOn w:val="1"/>
    <w:qFormat/>
    <w:uiPriority w:val="99"/>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52"/>
    <customShpInfo spid="_x0000_s1027"/>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34193</Words>
  <Characters>37041</Characters>
  <Lines>299</Lines>
  <Paragraphs>84</Paragraphs>
  <TotalTime>1</TotalTime>
  <ScaleCrop>false</ScaleCrop>
  <LinksUpToDate>false</LinksUpToDate>
  <CharactersWithSpaces>40303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越努力越幸运</cp:lastModifiedBy>
  <dcterms:modified xsi:type="dcterms:W3CDTF">2025-11-27T09:26:56Z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E40AE4D9A8394659B6F96CA17FECFA26</vt:lpwstr>
  </property>
  <property fmtid="{D5CDD505-2E9C-101B-9397-08002B2CF9AE}" pid="4" name="KSOTemplateDocerSaveRecord">
    <vt:lpwstr>eyJoZGlkIjoiMmYyMjg2ZmMyYzk4ZDlmM2RmMGZiZWJlMzY0NjA1MTkiLCJ1c2VySWQiOiI5NjU0NTE2MDMifQ==</vt:lpwstr>
  </property>
</Properties>
</file>