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77403">
      <w:pPr>
        <w:pStyle w:val="9"/>
        <w:keepNext w:val="0"/>
        <w:keepLines w:val="0"/>
        <w:pageBreakBefore w:val="0"/>
        <w:widowControl w:val="0"/>
        <w:kinsoku/>
        <w:wordWrap/>
        <w:overflowPunct w:val="0"/>
        <w:topLinePunct w:val="0"/>
        <w:autoSpaceDE w:val="0"/>
        <w:autoSpaceDN w:val="0"/>
        <w:bidi w:val="0"/>
        <w:adjustRightInd/>
        <w:snapToGrid/>
        <w:spacing w:line="1000" w:lineRule="exact"/>
        <w:jc w:val="left"/>
        <w:textAlignment w:val="auto"/>
      </w:pPr>
      <w:r>
        <w:pict>
          <v:shape id="艺术字 1" o:spid="_x0000_s1030" o:spt="136" type="#_x0000_t136" style="position:absolute;left:0pt;margin-left:82.15pt;margin-top:11.85pt;height:54.3pt;width:384.3pt;z-index:251676672;mso-width-relative:page;mso-height-relative:page;" fillcolor="#FFFFFF" filled="t" stroked="t" coordsize="21600,21600" adj="10800">
            <v:path/>
            <v:fill on="t" color2="#FFFFFF" focussize="0,0"/>
            <v:stroke color="#000000"/>
            <v:imagedata o:title=""/>
            <o:lock v:ext="edit" aspectratio="f"/>
            <v:textpath on="t" fitshape="t" fitpath="t" trim="t" xscale="f" string="广西嘉华建设项目管理咨询有限公司" style="font-family:宋体;font-size:36pt;v-text-align:center;"/>
            <v:shadow on="t" obscured="f" color="#808080" opacity="49152f" offset="2pt,2pt" offset2="0pt,0pt" origin="0f,0f" matrix="65536f,0f,0f,65536f,0,0"/>
          </v:shape>
        </w:pict>
      </w:r>
      <w:r>
        <w:drawing>
          <wp:anchor distT="0" distB="0" distL="114300" distR="114300" simplePos="0" relativeHeight="251675648" behindDoc="0" locked="0" layoutInCell="1" allowOverlap="1">
            <wp:simplePos x="0" y="0"/>
            <wp:positionH relativeFrom="page">
              <wp:posOffset>854710</wp:posOffset>
            </wp:positionH>
            <wp:positionV relativeFrom="page">
              <wp:posOffset>936625</wp:posOffset>
            </wp:positionV>
            <wp:extent cx="914400" cy="760095"/>
            <wp:effectExtent l="0" t="0" r="0" b="1905"/>
            <wp:wrapNone/>
            <wp:docPr id="7" name="图片 19" descr="嘉华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嘉华标志2"/>
                    <pic:cNvPicPr>
                      <a:picLocks noChangeAspect="1"/>
                    </pic:cNvPicPr>
                  </pic:nvPicPr>
                  <pic:blipFill>
                    <a:blip r:embed="rId28"/>
                    <a:stretch>
                      <a:fillRect/>
                    </a:stretch>
                  </pic:blipFill>
                  <pic:spPr>
                    <a:xfrm>
                      <a:off x="0" y="0"/>
                      <a:ext cx="914400" cy="760095"/>
                    </a:xfrm>
                    <a:prstGeom prst="rect">
                      <a:avLst/>
                    </a:prstGeom>
                    <a:noFill/>
                    <a:ln>
                      <a:noFill/>
                    </a:ln>
                  </pic:spPr>
                </pic:pic>
              </a:graphicData>
            </a:graphic>
          </wp:anchor>
        </w:drawing>
      </w:r>
    </w:p>
    <w:p w14:paraId="318FC0F9">
      <w:pPr>
        <w:pStyle w:val="9"/>
        <w:keepNext w:val="0"/>
        <w:keepLines w:val="0"/>
        <w:pageBreakBefore w:val="0"/>
        <w:widowControl w:val="0"/>
        <w:kinsoku/>
        <w:wordWrap/>
        <w:overflowPunct w:val="0"/>
        <w:topLinePunct w:val="0"/>
        <w:autoSpaceDE w:val="0"/>
        <w:autoSpaceDN w:val="0"/>
        <w:bidi w:val="0"/>
        <w:adjustRightInd/>
        <w:snapToGrid/>
        <w:spacing w:line="1000" w:lineRule="exact"/>
        <w:jc w:val="left"/>
        <w:textAlignment w:val="auto"/>
        <w:rPr>
          <w:b/>
          <w:sz w:val="78"/>
        </w:rPr>
      </w:pPr>
      <w:r>
        <w:rPr>
          <w:b/>
          <w:bCs/>
          <w:w w:val="95"/>
          <w:sz w:val="30"/>
          <w:szCs w:val="30"/>
        </w:rPr>
        <mc:AlternateContent>
          <mc:Choice Requires="wps">
            <w:drawing>
              <wp:anchor distT="0" distB="0" distL="114300" distR="114300" simplePos="0" relativeHeight="251662336" behindDoc="0" locked="0" layoutInCell="1" allowOverlap="1">
                <wp:simplePos x="0" y="0"/>
                <wp:positionH relativeFrom="column">
                  <wp:posOffset>-126365</wp:posOffset>
                </wp:positionH>
                <wp:positionV relativeFrom="paragraph">
                  <wp:posOffset>280670</wp:posOffset>
                </wp:positionV>
                <wp:extent cx="6226175" cy="8255"/>
                <wp:effectExtent l="0" t="31750" r="3175" b="36195"/>
                <wp:wrapNone/>
                <wp:docPr id="4" name="Line 2"/>
                <wp:cNvGraphicFramePr/>
                <a:graphic xmlns:a="http://schemas.openxmlformats.org/drawingml/2006/main">
                  <a:graphicData uri="http://schemas.microsoft.com/office/word/2010/wordprocessingShape">
                    <wps:wsp>
                      <wps:cNvCnPr/>
                      <wps:spPr>
                        <a:xfrm flipV="1">
                          <a:off x="0" y="0"/>
                          <a:ext cx="6226175" cy="8255"/>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9.95pt;margin-top:22.1pt;height:0.65pt;width:490.25pt;z-index:251662336;mso-width-relative:page;mso-height-relative:page;" filled="f" stroked="t" coordsize="21600,21600" o:gfxdata="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WAoE1wAA&#10;AAkBAAAPAAAAAAAAAAEAIAAAACIAAABkcnMvZG93bnJldi54bWxQSwECFAAUAAAACACHTuJAnSbp&#10;duYBAADnAwAADgAAAAAAAAABACAAAAAmAQAAZHJzL2Uyb0RvYy54bWxQSwUGAAAAAAYABgBZAQAA&#10;fgUAAAAA&#10;">
                <v:fill on="f" focussize="0,0"/>
                <v:stroke weight="5pt" color="#FF0000" linestyle="thickBetweenThin" joinstyle="round"/>
                <v:imagedata o:title=""/>
                <o:lock v:ext="edit" aspectratio="f"/>
              </v:line>
            </w:pict>
          </mc:Fallback>
        </mc:AlternateContent>
      </w:r>
    </w:p>
    <w:p w14:paraId="1AA538BC">
      <w:pPr>
        <w:pStyle w:val="4"/>
        <w:rPr>
          <w:rFonts w:hint="eastAsia"/>
        </w:rPr>
      </w:pPr>
    </w:p>
    <w:p w14:paraId="40CE7D91">
      <w:pPr>
        <w:pStyle w:val="14"/>
        <w:jc w:val="center"/>
        <w:rPr>
          <w:rFonts w:hint="eastAsia" w:ascii="仿宋" w:hAnsi="仿宋" w:eastAsia="仿宋" w:cs="仿宋"/>
        </w:rPr>
      </w:pPr>
      <w:r>
        <w:rPr>
          <w:rFonts w:hint="eastAsia" w:ascii="宋体" w:hAnsi="宋体" w:eastAsia="宋体" w:cs="宋体"/>
          <w:b/>
          <w:bCs/>
          <w:sz w:val="96"/>
          <w:szCs w:val="96"/>
          <w:highlight w:val="none"/>
          <w:lang w:eastAsia="zh-CN"/>
        </w:rPr>
        <w:t>竞争性磋商文件</w:t>
      </w:r>
    </w:p>
    <w:p w14:paraId="11E45648">
      <w:pPr>
        <w:rPr>
          <w:b/>
          <w:sz w:val="78"/>
        </w:rPr>
      </w:pPr>
    </w:p>
    <w:p w14:paraId="311A401D">
      <w:pPr>
        <w:pStyle w:val="9"/>
        <w:keepNext w:val="0"/>
        <w:keepLines w:val="0"/>
        <w:pageBreakBefore w:val="0"/>
        <w:widowControl w:val="0"/>
        <w:kinsoku/>
        <w:wordWrap/>
        <w:overflowPunct w:val="0"/>
        <w:topLinePunct w:val="0"/>
        <w:autoSpaceDE w:val="0"/>
        <w:autoSpaceDN w:val="0"/>
        <w:bidi w:val="0"/>
      </w:pPr>
    </w:p>
    <w:p w14:paraId="542DEE8F">
      <w:pPr>
        <w:pStyle w:val="4"/>
      </w:pPr>
    </w:p>
    <w:p w14:paraId="2CAEBB33">
      <w:pPr>
        <w:keepNext w:val="0"/>
        <w:keepLines w:val="0"/>
        <w:pageBreakBefore w:val="0"/>
        <w:widowControl w:val="0"/>
        <w:kinsoku/>
        <w:wordWrap/>
        <w:overflowPunct w:val="0"/>
        <w:topLinePunct w:val="0"/>
        <w:autoSpaceDE w:val="0"/>
        <w:autoSpaceDN w:val="0"/>
        <w:bidi w:val="0"/>
      </w:pPr>
    </w:p>
    <w:p w14:paraId="2C8E96F0">
      <w:pPr>
        <w:pStyle w:val="9"/>
        <w:keepNext w:val="0"/>
        <w:keepLines w:val="0"/>
        <w:pageBreakBefore w:val="0"/>
        <w:widowControl w:val="0"/>
        <w:kinsoku/>
        <w:wordWrap/>
        <w:overflowPunct w:val="0"/>
        <w:topLinePunct w:val="0"/>
        <w:autoSpaceDE w:val="0"/>
        <w:autoSpaceDN w:val="0"/>
        <w:bidi w:val="0"/>
      </w:pPr>
    </w:p>
    <w:p w14:paraId="0CB78834">
      <w:pPr>
        <w:keepNext w:val="0"/>
        <w:keepLines w:val="0"/>
        <w:pageBreakBefore w:val="0"/>
        <w:widowControl w:val="0"/>
        <w:kinsoku/>
        <w:wordWrap/>
        <w:overflowPunct w:val="0"/>
        <w:topLinePunct w:val="0"/>
        <w:autoSpaceDE w:val="0"/>
        <w:autoSpaceDN w:val="0"/>
        <w:bidi w:val="0"/>
        <w:adjustRightInd w:val="0"/>
        <w:snapToGrid w:val="0"/>
        <w:spacing w:line="500" w:lineRule="exact"/>
        <w:ind w:left="1598" w:leftChars="304" w:right="0" w:hanging="960" w:hangingChars="300"/>
        <w:jc w:val="both"/>
        <w:textAlignment w:val="baseline"/>
        <w:rPr>
          <w:rFonts w:hint="eastAsia" w:ascii="宋体" w:hAnsi="宋体" w:eastAsia="宋体" w:cs="宋体"/>
          <w:b/>
          <w:sz w:val="32"/>
          <w:szCs w:val="32"/>
          <w:lang w:eastAsia="zh-CN"/>
        </w:rPr>
      </w:pPr>
      <w:r>
        <w:rPr>
          <w:b/>
          <w:sz w:val="32"/>
          <w:szCs w:val="32"/>
        </w:rPr>
        <w:t>项目名称：</w:t>
      </w:r>
      <w:bookmarkStart w:id="0" w:name="OLE_LINK9"/>
      <w:r>
        <w:rPr>
          <w:rFonts w:hint="eastAsia" w:ascii="宋体" w:hAnsi="宋体" w:eastAsia="宋体" w:cs="宋体"/>
          <w:b/>
          <w:sz w:val="32"/>
          <w:szCs w:val="32"/>
          <w:lang w:eastAsia="zh-CN"/>
        </w:rPr>
        <w:t>柳城县六塘镇三界村谷里屯片区糖料蔗基地灌溉</w:t>
      </w:r>
    </w:p>
    <w:p w14:paraId="565CD85C">
      <w:pPr>
        <w:keepNext w:val="0"/>
        <w:keepLines w:val="0"/>
        <w:pageBreakBefore w:val="0"/>
        <w:widowControl w:val="0"/>
        <w:kinsoku/>
        <w:wordWrap/>
        <w:overflowPunct w:val="0"/>
        <w:topLinePunct w:val="0"/>
        <w:autoSpaceDE w:val="0"/>
        <w:autoSpaceDN w:val="0"/>
        <w:bidi w:val="0"/>
        <w:adjustRightInd w:val="0"/>
        <w:snapToGrid w:val="0"/>
        <w:spacing w:line="500" w:lineRule="exact"/>
        <w:ind w:left="1600" w:leftChars="762" w:right="0" w:firstLine="643" w:firstLineChars="200"/>
        <w:jc w:val="both"/>
        <w:textAlignment w:val="baseline"/>
        <w:rPr>
          <w:rFonts w:hint="eastAsia" w:ascii="宋体" w:hAnsi="宋体" w:eastAsia="宋体" w:cs="宋体"/>
          <w:b/>
          <w:sz w:val="32"/>
          <w:szCs w:val="32"/>
          <w:lang w:eastAsia="zh-CN"/>
        </w:rPr>
      </w:pPr>
      <w:r>
        <w:rPr>
          <w:rFonts w:hint="eastAsia" w:ascii="宋体" w:hAnsi="宋体" w:eastAsia="宋体" w:cs="宋体"/>
          <w:b/>
          <w:sz w:val="32"/>
          <w:szCs w:val="32"/>
          <w:lang w:eastAsia="zh-CN"/>
        </w:rPr>
        <w:t>建设项目</w:t>
      </w:r>
    </w:p>
    <w:bookmarkEnd w:id="0"/>
    <w:p w14:paraId="5C60006B">
      <w:pPr>
        <w:keepNext w:val="0"/>
        <w:keepLines w:val="0"/>
        <w:pageBreakBefore w:val="0"/>
        <w:widowControl w:val="0"/>
        <w:kinsoku/>
        <w:wordWrap/>
        <w:overflowPunct w:val="0"/>
        <w:topLinePunct w:val="0"/>
        <w:autoSpaceDE w:val="0"/>
        <w:autoSpaceDN w:val="0"/>
        <w:bidi w:val="0"/>
        <w:spacing w:line="417" w:lineRule="auto"/>
        <w:ind w:right="638"/>
        <w:rPr>
          <w:b/>
          <w:sz w:val="32"/>
          <w:szCs w:val="32"/>
        </w:rPr>
      </w:pPr>
    </w:p>
    <w:p w14:paraId="6F2F95AA">
      <w:pPr>
        <w:keepNext w:val="0"/>
        <w:keepLines w:val="0"/>
        <w:pageBreakBefore w:val="0"/>
        <w:widowControl w:val="0"/>
        <w:kinsoku/>
        <w:wordWrap/>
        <w:overflowPunct w:val="0"/>
        <w:topLinePunct w:val="0"/>
        <w:autoSpaceDE w:val="0"/>
        <w:autoSpaceDN w:val="0"/>
        <w:bidi w:val="0"/>
        <w:spacing w:line="417" w:lineRule="auto"/>
        <w:ind w:right="638" w:firstLine="640" w:firstLineChars="200"/>
        <w:rPr>
          <w:sz w:val="32"/>
          <w:szCs w:val="32"/>
          <w:highlight w:val="yellow"/>
        </w:rPr>
      </w:pPr>
      <w:r>
        <w:rPr>
          <w:b/>
          <w:sz w:val="32"/>
          <w:szCs w:val="32"/>
        </w:rPr>
        <w:t>项目编号：</w:t>
      </w:r>
      <w:bookmarkStart w:id="1" w:name="OLE_LINK21"/>
      <w:r>
        <w:rPr>
          <w:b/>
          <w:sz w:val="32"/>
          <w:szCs w:val="32"/>
        </w:rPr>
        <w:t>LZZC2025-C2-220087-GXJH</w:t>
      </w:r>
    </w:p>
    <w:bookmarkEnd w:id="1"/>
    <w:p w14:paraId="53B220F4">
      <w:pPr>
        <w:pStyle w:val="9"/>
        <w:keepNext w:val="0"/>
        <w:keepLines w:val="0"/>
        <w:pageBreakBefore w:val="0"/>
        <w:widowControl w:val="0"/>
        <w:kinsoku/>
        <w:wordWrap/>
        <w:overflowPunct w:val="0"/>
        <w:topLinePunct w:val="0"/>
        <w:autoSpaceDE w:val="0"/>
        <w:autoSpaceDN w:val="0"/>
        <w:bidi w:val="0"/>
        <w:rPr>
          <w:b/>
          <w:sz w:val="32"/>
          <w:szCs w:val="32"/>
        </w:rPr>
      </w:pPr>
    </w:p>
    <w:p w14:paraId="5D03C76E">
      <w:pPr>
        <w:pStyle w:val="9"/>
        <w:keepNext w:val="0"/>
        <w:keepLines w:val="0"/>
        <w:pageBreakBefore w:val="0"/>
        <w:widowControl w:val="0"/>
        <w:kinsoku/>
        <w:wordWrap/>
        <w:overflowPunct w:val="0"/>
        <w:topLinePunct w:val="0"/>
        <w:autoSpaceDE w:val="0"/>
        <w:autoSpaceDN w:val="0"/>
        <w:bidi w:val="0"/>
        <w:rPr>
          <w:b/>
          <w:sz w:val="32"/>
          <w:szCs w:val="32"/>
        </w:rPr>
      </w:pPr>
    </w:p>
    <w:p w14:paraId="018CA0AD">
      <w:pPr>
        <w:keepNext w:val="0"/>
        <w:keepLines w:val="0"/>
        <w:pageBreakBefore w:val="0"/>
        <w:widowControl w:val="0"/>
        <w:tabs>
          <w:tab w:val="left" w:pos="2683"/>
          <w:tab w:val="left" w:pos="3484"/>
        </w:tabs>
        <w:kinsoku/>
        <w:wordWrap/>
        <w:overflowPunct w:val="0"/>
        <w:topLinePunct w:val="0"/>
        <w:autoSpaceDE w:val="0"/>
        <w:autoSpaceDN w:val="0"/>
        <w:bidi w:val="0"/>
        <w:spacing w:before="253" w:line="400" w:lineRule="exact"/>
        <w:ind w:right="1071" w:firstLine="1711" w:firstLineChars="600"/>
        <w:jc w:val="both"/>
        <w:rPr>
          <w:b/>
          <w:sz w:val="32"/>
          <w:szCs w:val="32"/>
        </w:rPr>
      </w:pPr>
      <w:r>
        <w:rPr>
          <w:b/>
          <w:bCs/>
          <w:w w:val="95"/>
          <w:sz w:val="30"/>
          <w:szCs w:val="30"/>
        </w:rPr>
        <mc:AlternateContent>
          <mc:Choice Requires="wps">
            <w:drawing>
              <wp:anchor distT="0" distB="0" distL="114300" distR="114300" simplePos="0" relativeHeight="251677696" behindDoc="0" locked="0" layoutInCell="1" allowOverlap="1">
                <wp:simplePos x="0" y="0"/>
                <wp:positionH relativeFrom="column">
                  <wp:posOffset>-77470</wp:posOffset>
                </wp:positionH>
                <wp:positionV relativeFrom="paragraph">
                  <wp:posOffset>297815</wp:posOffset>
                </wp:positionV>
                <wp:extent cx="6226175" cy="8255"/>
                <wp:effectExtent l="0" t="31750" r="3175" b="36195"/>
                <wp:wrapNone/>
                <wp:docPr id="8" name="Line 2"/>
                <wp:cNvGraphicFramePr/>
                <a:graphic xmlns:a="http://schemas.openxmlformats.org/drawingml/2006/main">
                  <a:graphicData uri="http://schemas.microsoft.com/office/word/2010/wordprocessingShape">
                    <wps:wsp>
                      <wps:cNvCnPr/>
                      <wps:spPr>
                        <a:xfrm flipV="1">
                          <a:off x="0" y="0"/>
                          <a:ext cx="6226175" cy="8255"/>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6.1pt;margin-top:23.45pt;height:0.65pt;width:490.25pt;z-index:251677696;mso-width-relative:page;mso-height-relative:page;" filled="f" stroked="t" coordsize="21600,21600" o:gfxdata="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DbPj1wAA&#10;AAkBAAAPAAAAAAAAAAEAIAAAACIAAABkcnMvZG93bnJldi54bWxQSwECFAAUAAAACACHTuJAjPyi&#10;gOYBAADnAwAADgAAAAAAAAABACAAAAAmAQAAZHJzL2Uyb0RvYy54bWxQSwUGAAAAAAYABgBZAQAA&#10;fgUAAAAA&#10;">
                <v:fill on="f" focussize="0,0"/>
                <v:stroke weight="5pt" color="#FF0000" linestyle="thickBetweenThin" joinstyle="round"/>
                <v:imagedata o:title=""/>
                <o:lock v:ext="edit" aspectratio="f"/>
              </v:line>
            </w:pict>
          </mc:Fallback>
        </mc:AlternateContent>
      </w:r>
    </w:p>
    <w:p w14:paraId="67A5131D">
      <w:pPr>
        <w:keepNext w:val="0"/>
        <w:keepLines w:val="0"/>
        <w:pageBreakBefore w:val="0"/>
        <w:widowControl w:val="0"/>
        <w:tabs>
          <w:tab w:val="left" w:pos="2683"/>
          <w:tab w:val="left" w:pos="3484"/>
        </w:tabs>
        <w:kinsoku/>
        <w:wordWrap/>
        <w:overflowPunct w:val="0"/>
        <w:topLinePunct w:val="0"/>
        <w:autoSpaceDE w:val="0"/>
        <w:autoSpaceDN w:val="0"/>
        <w:bidi w:val="0"/>
        <w:spacing w:before="253" w:line="400" w:lineRule="exact"/>
        <w:ind w:right="1071" w:firstLine="1921" w:firstLineChars="600"/>
        <w:jc w:val="both"/>
        <w:rPr>
          <w:b/>
          <w:w w:val="95"/>
          <w:sz w:val="32"/>
          <w:szCs w:val="32"/>
        </w:rPr>
      </w:pPr>
      <w:r>
        <w:rPr>
          <w:b/>
          <w:sz w:val="32"/>
          <w:szCs w:val="32"/>
        </w:rPr>
        <w:t>采购人：</w:t>
      </w:r>
      <w:r>
        <w:rPr>
          <w:rFonts w:hint="eastAsia"/>
          <w:b/>
          <w:sz w:val="32"/>
          <w:szCs w:val="32"/>
          <w:lang w:val="en-US" w:eastAsia="zh-CN"/>
        </w:rPr>
        <w:t>柳城县六塘镇人民政府</w:t>
      </w:r>
    </w:p>
    <w:p w14:paraId="06F016B0">
      <w:pPr>
        <w:keepNext w:val="0"/>
        <w:keepLines w:val="0"/>
        <w:pageBreakBefore w:val="0"/>
        <w:widowControl w:val="0"/>
        <w:tabs>
          <w:tab w:val="left" w:pos="2683"/>
          <w:tab w:val="left" w:pos="3484"/>
        </w:tabs>
        <w:kinsoku/>
        <w:wordWrap/>
        <w:overflowPunct w:val="0"/>
        <w:topLinePunct w:val="0"/>
        <w:autoSpaceDE w:val="0"/>
        <w:autoSpaceDN w:val="0"/>
        <w:bidi w:val="0"/>
        <w:spacing w:before="253" w:line="400" w:lineRule="exact"/>
        <w:ind w:left="1277" w:leftChars="0" w:right="-49" w:rightChars="0" w:firstLine="599" w:firstLineChars="197"/>
        <w:rPr>
          <w:rFonts w:hint="eastAsia" w:ascii="宋体" w:hAnsi="宋体" w:eastAsia="宋体" w:cs="Times New Roman"/>
          <w:b/>
          <w:bCs w:val="0"/>
          <w:color w:val="000000"/>
          <w:spacing w:val="0"/>
          <w:kern w:val="2"/>
          <w:sz w:val="32"/>
          <w:szCs w:val="32"/>
          <w:lang w:val="en-US" w:eastAsia="zh-CN" w:bidi="ar-SA"/>
        </w:rPr>
      </w:pPr>
      <w:r>
        <w:rPr>
          <w:b/>
          <w:w w:val="95"/>
          <w:sz w:val="32"/>
          <w:szCs w:val="32"/>
        </w:rPr>
        <w:t>采购代理机构：</w:t>
      </w:r>
      <w:bookmarkStart w:id="2" w:name="OLE_LINK23"/>
      <w:r>
        <w:rPr>
          <w:rFonts w:hint="eastAsia" w:ascii="宋体" w:hAnsi="宋体" w:eastAsia="宋体" w:cs="Times New Roman"/>
          <w:b/>
          <w:bCs w:val="0"/>
          <w:color w:val="000000"/>
          <w:spacing w:val="0"/>
          <w:kern w:val="2"/>
          <w:sz w:val="32"/>
          <w:szCs w:val="32"/>
          <w:lang w:val="en-US" w:eastAsia="zh-CN" w:bidi="ar-SA"/>
        </w:rPr>
        <w:t>广西嘉华建设项目管理咨询有限公司</w:t>
      </w:r>
    </w:p>
    <w:bookmarkEnd w:id="2"/>
    <w:p w14:paraId="00270884">
      <w:pPr>
        <w:pStyle w:val="8"/>
        <w:keepNext w:val="0"/>
        <w:keepLines w:val="0"/>
        <w:pageBreakBefore w:val="0"/>
        <w:widowControl w:val="0"/>
        <w:kinsoku/>
        <w:wordWrap/>
        <w:overflowPunct w:val="0"/>
        <w:topLinePunct w:val="0"/>
        <w:autoSpaceDE w:val="0"/>
        <w:autoSpaceDN w:val="0"/>
        <w:bidi w:val="0"/>
        <w:rPr>
          <w:sz w:val="32"/>
          <w:szCs w:val="32"/>
        </w:rPr>
      </w:pPr>
    </w:p>
    <w:p w14:paraId="7BC1818C">
      <w:pPr>
        <w:keepNext w:val="0"/>
        <w:keepLines w:val="0"/>
        <w:pageBreakBefore w:val="0"/>
        <w:widowControl w:val="0"/>
        <w:tabs>
          <w:tab w:val="left" w:pos="2683"/>
          <w:tab w:val="left" w:pos="3484"/>
        </w:tabs>
        <w:kinsoku/>
        <w:wordWrap/>
        <w:overflowPunct w:val="0"/>
        <w:topLinePunct w:val="0"/>
        <w:autoSpaceDE w:val="0"/>
        <w:autoSpaceDN w:val="0"/>
        <w:bidi w:val="0"/>
        <w:spacing w:before="253" w:line="400" w:lineRule="exact"/>
        <w:ind w:left="1877" w:right="1071"/>
        <w:jc w:val="center"/>
        <w:rPr>
          <w:b/>
          <w:w w:val="95"/>
          <w:sz w:val="32"/>
          <w:szCs w:val="32"/>
        </w:rPr>
        <w:sectPr>
          <w:pgSz w:w="11905" w:h="16838"/>
          <w:pgMar w:top="1247" w:right="1247" w:bottom="1247" w:left="1247" w:header="850" w:footer="992" w:gutter="0"/>
          <w:pgNumType w:fmt="decimal" w:start="0"/>
          <w:cols w:space="0" w:num="1"/>
          <w:rtlGutter w:val="0"/>
          <w:docGrid w:linePitch="0" w:charSpace="0"/>
        </w:sectPr>
      </w:pPr>
      <w:r>
        <w:rPr>
          <w:rFonts w:hint="eastAsia" w:eastAsia="宋体"/>
          <w:b/>
          <w:w w:val="95"/>
          <w:sz w:val="32"/>
          <w:szCs w:val="32"/>
          <w:lang w:val="en-US" w:eastAsia="zh-CN"/>
        </w:rPr>
        <w:t>2025</w:t>
      </w:r>
      <w:r>
        <w:rPr>
          <w:rFonts w:hint="eastAsia"/>
          <w:b/>
          <w:w w:val="95"/>
          <w:sz w:val="32"/>
          <w:szCs w:val="32"/>
        </w:rPr>
        <w:t>年</w:t>
      </w:r>
      <w:r>
        <w:rPr>
          <w:rFonts w:hint="eastAsia"/>
          <w:b/>
          <w:w w:val="95"/>
          <w:sz w:val="32"/>
          <w:szCs w:val="32"/>
          <w:lang w:val="en-US" w:eastAsia="zh-CN"/>
        </w:rPr>
        <w:t>10</w:t>
      </w:r>
      <w:r>
        <w:rPr>
          <w:rFonts w:hint="eastAsia"/>
          <w:b/>
          <w:w w:val="95"/>
          <w:sz w:val="32"/>
          <w:szCs w:val="32"/>
        </w:rPr>
        <w:t>月</w:t>
      </w:r>
    </w:p>
    <w:p w14:paraId="7A156782">
      <w:pPr>
        <w:keepNext w:val="0"/>
        <w:keepLines w:val="0"/>
        <w:pageBreakBefore w:val="0"/>
        <w:widowControl w:val="0"/>
        <w:kinsoku/>
        <w:wordWrap/>
        <w:overflowPunct w:val="0"/>
        <w:topLinePunct w:val="0"/>
        <w:autoSpaceDE w:val="0"/>
        <w:autoSpaceDN w:val="0"/>
        <w:bidi w:val="0"/>
        <w:spacing w:before="85" w:line="226" w:lineRule="auto"/>
        <w:ind w:left="3803"/>
        <w:rPr>
          <w:rFonts w:ascii="宋体" w:hAnsi="宋体" w:eastAsia="宋体" w:cs="宋体"/>
          <w:sz w:val="42"/>
          <w:szCs w:val="42"/>
        </w:rPr>
      </w:pPr>
      <w:r>
        <w:rPr>
          <w:rFonts w:ascii="宋体" w:hAnsi="宋体" w:eastAsia="宋体" w:cs="宋体"/>
          <w:spacing w:val="23"/>
          <w:sz w:val="42"/>
          <w:szCs w:val="42"/>
        </w:rPr>
        <w:t>目   录</w:t>
      </w:r>
    </w:p>
    <w:p w14:paraId="7409552A">
      <w:pPr>
        <w:keepNext w:val="0"/>
        <w:keepLines w:val="0"/>
        <w:pageBreakBefore w:val="0"/>
        <w:widowControl w:val="0"/>
        <w:kinsoku/>
        <w:wordWrap/>
        <w:overflowPunct w:val="0"/>
        <w:topLinePunct w:val="0"/>
        <w:autoSpaceDE w:val="0"/>
        <w:autoSpaceDN w:val="0"/>
        <w:bidi w:val="0"/>
        <w:spacing w:line="369" w:lineRule="auto"/>
        <w:rPr>
          <w:rFonts w:ascii="Arial"/>
          <w:sz w:val="21"/>
        </w:rPr>
      </w:pPr>
    </w:p>
    <w:sdt>
      <w:sdtPr>
        <w:rPr>
          <w:rFonts w:ascii="宋体" w:hAnsi="宋体" w:eastAsia="宋体" w:cs="Arial"/>
          <w:snapToGrid w:val="0"/>
          <w:color w:val="000000"/>
          <w:kern w:val="0"/>
          <w:sz w:val="21"/>
          <w:szCs w:val="21"/>
        </w:rPr>
        <w:id w:val="147470579"/>
        <w15:color w:val="DBDBDB"/>
        <w:docPartObj>
          <w:docPartGallery w:val="Table of Contents"/>
          <w:docPartUnique/>
        </w:docPartObj>
      </w:sdtPr>
      <w:sdtEndPr>
        <w:rPr>
          <w:rFonts w:hint="eastAsia" w:ascii="宋体" w:hAnsi="宋体" w:eastAsia="宋体" w:cs="宋体"/>
          <w:snapToGrid w:val="0"/>
          <w:color w:val="000000"/>
          <w:kern w:val="0"/>
          <w:sz w:val="21"/>
          <w:szCs w:val="24"/>
        </w:rPr>
      </w:sdtEndPr>
      <w:sdtContent>
        <w:p w14:paraId="5B95CAEA">
          <w:pPr>
            <w:spacing w:before="0" w:beforeLines="0" w:after="0" w:afterLines="0" w:line="240" w:lineRule="auto"/>
            <w:ind w:left="0" w:leftChars="0" w:right="0" w:rightChars="0" w:firstLine="0" w:firstLineChars="0"/>
            <w:jc w:val="center"/>
          </w:pPr>
        </w:p>
        <w:p w14:paraId="564CDB04">
          <w:pPr>
            <w:pStyle w:val="19"/>
            <w:tabs>
              <w:tab w:val="right" w:leader="dot" w:pos="9298"/>
            </w:tabs>
          </w:pPr>
          <w:r>
            <w:fldChar w:fldCharType="begin"/>
          </w:r>
          <w:r>
            <w:instrText xml:space="preserve">TOC \o "1-2" \h \u </w:instrText>
          </w:r>
          <w:r>
            <w:fldChar w:fldCharType="separate"/>
          </w:r>
          <w:r>
            <w:fldChar w:fldCharType="begin"/>
          </w:r>
          <w:r>
            <w:instrText xml:space="preserve"> HYPERLINK \l _Toc28308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第一章  竞争性磋商公告</w:t>
          </w:r>
          <w:r>
            <w:tab/>
          </w:r>
          <w:r>
            <w:fldChar w:fldCharType="begin"/>
          </w:r>
          <w:r>
            <w:instrText xml:space="preserve"> PAGEREF _Toc28308 \h </w:instrText>
          </w:r>
          <w:r>
            <w:fldChar w:fldCharType="separate"/>
          </w:r>
          <w:r>
            <w:t>1</w:t>
          </w:r>
          <w:r>
            <w:fldChar w:fldCharType="end"/>
          </w:r>
          <w:r>
            <w:fldChar w:fldCharType="end"/>
          </w:r>
        </w:p>
        <w:p w14:paraId="1FF6DEE5">
          <w:pPr>
            <w:pStyle w:val="19"/>
            <w:tabs>
              <w:tab w:val="right" w:leader="dot" w:pos="9298"/>
            </w:tabs>
          </w:pPr>
          <w:r>
            <w:fldChar w:fldCharType="begin"/>
          </w:r>
          <w:r>
            <w:instrText xml:space="preserve"> HYPERLINK \l _Toc11410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第二章  供应商须知</w:t>
          </w:r>
          <w:r>
            <w:tab/>
          </w:r>
          <w:r>
            <w:fldChar w:fldCharType="begin"/>
          </w:r>
          <w:r>
            <w:instrText xml:space="preserve"> PAGEREF _Toc11410 \h </w:instrText>
          </w:r>
          <w:r>
            <w:fldChar w:fldCharType="separate"/>
          </w:r>
          <w:r>
            <w:t>5</w:t>
          </w:r>
          <w:r>
            <w:fldChar w:fldCharType="end"/>
          </w:r>
          <w:r>
            <w:fldChar w:fldCharType="end"/>
          </w:r>
        </w:p>
        <w:p w14:paraId="717B58BC">
          <w:pPr>
            <w:pStyle w:val="20"/>
            <w:tabs>
              <w:tab w:val="right" w:leader="dot" w:pos="9298"/>
            </w:tabs>
          </w:pPr>
          <w:r>
            <w:fldChar w:fldCharType="begin"/>
          </w:r>
          <w:r>
            <w:instrText xml:space="preserve"> HYPERLINK \l _Toc11269 </w:instrText>
          </w:r>
          <w:r>
            <w:fldChar w:fldCharType="separate"/>
          </w:r>
          <w:r>
            <w:rPr>
              <w:rFonts w:hint="eastAsia" w:asciiTheme="minorEastAsia" w:hAnsiTheme="minorEastAsia" w:eastAsiaTheme="minorEastAsia" w:cstheme="minorEastAsia"/>
              <w:bCs/>
              <w:szCs w:val="24"/>
              <w:lang w:val="en-US" w:eastAsia="zh-CN"/>
            </w:rPr>
            <w:t>供应商须知前附表</w:t>
          </w:r>
          <w:r>
            <w:tab/>
          </w:r>
          <w:r>
            <w:fldChar w:fldCharType="begin"/>
          </w:r>
          <w:r>
            <w:instrText xml:space="preserve"> PAGEREF _Toc11269 \h </w:instrText>
          </w:r>
          <w:r>
            <w:fldChar w:fldCharType="separate"/>
          </w:r>
          <w:r>
            <w:t>5</w:t>
          </w:r>
          <w:r>
            <w:fldChar w:fldCharType="end"/>
          </w:r>
          <w:r>
            <w:fldChar w:fldCharType="end"/>
          </w:r>
        </w:p>
        <w:p w14:paraId="74169222">
          <w:pPr>
            <w:pStyle w:val="20"/>
            <w:tabs>
              <w:tab w:val="right" w:leader="dot" w:pos="9298"/>
            </w:tabs>
          </w:pPr>
          <w:r>
            <w:fldChar w:fldCharType="begin"/>
          </w:r>
          <w:r>
            <w:instrText xml:space="preserve"> HYPERLINK \l _Toc32025 </w:instrText>
          </w:r>
          <w:r>
            <w:fldChar w:fldCharType="separate"/>
          </w:r>
          <w:r>
            <w:rPr>
              <w:rFonts w:hint="eastAsia" w:ascii="宋体" w:hAnsi="宋体" w:eastAsia="宋体" w:cs="宋体"/>
              <w:bCs/>
              <w:szCs w:val="24"/>
              <w:lang w:val="en-US" w:eastAsia="zh-CN"/>
            </w:rPr>
            <w:t>供应商须知正文</w:t>
          </w:r>
          <w:r>
            <w:tab/>
          </w:r>
          <w:r>
            <w:fldChar w:fldCharType="begin"/>
          </w:r>
          <w:r>
            <w:instrText xml:space="preserve"> PAGEREF _Toc32025 \h </w:instrText>
          </w:r>
          <w:r>
            <w:fldChar w:fldCharType="separate"/>
          </w:r>
          <w:r>
            <w:t>12</w:t>
          </w:r>
          <w:r>
            <w:fldChar w:fldCharType="end"/>
          </w:r>
          <w:r>
            <w:fldChar w:fldCharType="end"/>
          </w:r>
        </w:p>
        <w:p w14:paraId="4749BB6C">
          <w:pPr>
            <w:pStyle w:val="19"/>
            <w:tabs>
              <w:tab w:val="right" w:leader="dot" w:pos="9298"/>
            </w:tabs>
          </w:pPr>
          <w:r>
            <w:fldChar w:fldCharType="begin"/>
          </w:r>
          <w:r>
            <w:instrText xml:space="preserve"> HYPERLINK \l _Toc26755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第三章  工程量清单</w:t>
          </w:r>
          <w:r>
            <w:tab/>
          </w:r>
          <w:r>
            <w:fldChar w:fldCharType="begin"/>
          </w:r>
          <w:r>
            <w:instrText xml:space="preserve"> PAGEREF _Toc26755 \h </w:instrText>
          </w:r>
          <w:r>
            <w:fldChar w:fldCharType="separate"/>
          </w:r>
          <w:r>
            <w:t>30</w:t>
          </w:r>
          <w:r>
            <w:fldChar w:fldCharType="end"/>
          </w:r>
          <w:r>
            <w:fldChar w:fldCharType="end"/>
          </w:r>
        </w:p>
        <w:p w14:paraId="6BBFCF2D">
          <w:pPr>
            <w:pStyle w:val="19"/>
            <w:tabs>
              <w:tab w:val="right" w:leader="dot" w:pos="9298"/>
            </w:tabs>
          </w:pPr>
          <w:r>
            <w:fldChar w:fldCharType="begin"/>
          </w:r>
          <w:r>
            <w:instrText xml:space="preserve"> HYPERLINK \l _Toc25478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第四章  图纸</w:t>
          </w:r>
          <w:r>
            <w:tab/>
          </w:r>
          <w:r>
            <w:fldChar w:fldCharType="begin"/>
          </w:r>
          <w:r>
            <w:instrText xml:space="preserve"> PAGEREF _Toc25478 \h </w:instrText>
          </w:r>
          <w:r>
            <w:fldChar w:fldCharType="separate"/>
          </w:r>
          <w:r>
            <w:t>30</w:t>
          </w:r>
          <w:r>
            <w:fldChar w:fldCharType="end"/>
          </w:r>
          <w:r>
            <w:fldChar w:fldCharType="end"/>
          </w:r>
        </w:p>
        <w:p w14:paraId="20F993BF">
          <w:pPr>
            <w:pStyle w:val="19"/>
            <w:tabs>
              <w:tab w:val="right" w:leader="dot" w:pos="9298"/>
            </w:tabs>
          </w:pPr>
          <w:r>
            <w:fldChar w:fldCharType="begin"/>
          </w:r>
          <w:r>
            <w:instrText xml:space="preserve"> HYPERLINK \l _Toc28453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第五章  技术规范</w:t>
          </w:r>
          <w:r>
            <w:tab/>
          </w:r>
          <w:r>
            <w:fldChar w:fldCharType="begin"/>
          </w:r>
          <w:r>
            <w:instrText xml:space="preserve"> PAGEREF _Toc28453 \h </w:instrText>
          </w:r>
          <w:r>
            <w:fldChar w:fldCharType="separate"/>
          </w:r>
          <w:r>
            <w:t>31</w:t>
          </w:r>
          <w:r>
            <w:fldChar w:fldCharType="end"/>
          </w:r>
          <w:r>
            <w:fldChar w:fldCharType="end"/>
          </w:r>
        </w:p>
        <w:p w14:paraId="79BDE484">
          <w:pPr>
            <w:pStyle w:val="19"/>
            <w:tabs>
              <w:tab w:val="right" w:leader="dot" w:pos="9298"/>
            </w:tabs>
          </w:pPr>
          <w:r>
            <w:fldChar w:fldCharType="begin"/>
          </w:r>
          <w:r>
            <w:instrText xml:space="preserve"> HYPERLINK \l _Toc30974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第六章  评标办法及评分标准</w:t>
          </w:r>
          <w:r>
            <w:tab/>
          </w:r>
          <w:r>
            <w:fldChar w:fldCharType="begin"/>
          </w:r>
          <w:r>
            <w:instrText xml:space="preserve"> PAGEREF _Toc30974 \h </w:instrText>
          </w:r>
          <w:r>
            <w:fldChar w:fldCharType="separate"/>
          </w:r>
          <w:r>
            <w:t>32</w:t>
          </w:r>
          <w:r>
            <w:fldChar w:fldCharType="end"/>
          </w:r>
          <w:r>
            <w:fldChar w:fldCharType="end"/>
          </w:r>
        </w:p>
        <w:p w14:paraId="52BC7A03">
          <w:pPr>
            <w:pStyle w:val="19"/>
            <w:tabs>
              <w:tab w:val="right" w:leader="dot" w:pos="9298"/>
            </w:tabs>
          </w:pPr>
          <w:r>
            <w:fldChar w:fldCharType="begin"/>
          </w:r>
          <w:r>
            <w:instrText xml:space="preserve"> HYPERLINK \l _Toc11588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第七章  合同主要条款格式</w:t>
          </w:r>
          <w:r>
            <w:tab/>
          </w:r>
          <w:r>
            <w:fldChar w:fldCharType="begin"/>
          </w:r>
          <w:r>
            <w:instrText xml:space="preserve"> PAGEREF _Toc11588 \h </w:instrText>
          </w:r>
          <w:r>
            <w:fldChar w:fldCharType="separate"/>
          </w:r>
          <w:r>
            <w:t>35</w:t>
          </w:r>
          <w:r>
            <w:fldChar w:fldCharType="end"/>
          </w:r>
          <w:r>
            <w:fldChar w:fldCharType="end"/>
          </w:r>
        </w:p>
        <w:p w14:paraId="20499874">
          <w:pPr>
            <w:pStyle w:val="19"/>
            <w:tabs>
              <w:tab w:val="right" w:leader="dot" w:pos="9298"/>
            </w:tabs>
          </w:pPr>
          <w:r>
            <w:fldChar w:fldCharType="begin"/>
          </w:r>
          <w:r>
            <w:instrText xml:space="preserve"> HYPERLINK \l _Toc21297 </w:instrText>
          </w:r>
          <w:r>
            <w:fldChar w:fldCharType="separate"/>
          </w:r>
          <w:r>
            <w:rPr>
              <w:rFonts w:hint="eastAsia" w:ascii="宋体" w:hAnsi="宋体" w:eastAsia="宋体" w:cs="宋体"/>
              <w:spacing w:val="1"/>
              <w:szCs w:val="28"/>
              <w:lang w:val="en-US" w:eastAsia="zh-CN"/>
              <w14:textOutline w14:w="5103" w14:cap="sq" w14:cmpd="sng">
                <w14:solidFill>
                  <w14:srgbClr w14:val="000000"/>
                </w14:solidFill>
                <w14:prstDash w14:val="solid"/>
                <w14:bevel/>
              </w14:textOutline>
            </w:rPr>
            <w:t>第八章  响应文件格式</w:t>
          </w:r>
          <w:r>
            <w:tab/>
          </w:r>
          <w:r>
            <w:fldChar w:fldCharType="begin"/>
          </w:r>
          <w:r>
            <w:instrText xml:space="preserve"> PAGEREF _Toc21297 \h </w:instrText>
          </w:r>
          <w:r>
            <w:fldChar w:fldCharType="separate"/>
          </w:r>
          <w:r>
            <w:t>69</w:t>
          </w:r>
          <w:r>
            <w:fldChar w:fldCharType="end"/>
          </w:r>
          <w:r>
            <w:fldChar w:fldCharType="end"/>
          </w:r>
        </w:p>
        <w:p w14:paraId="4EA4B7DE">
          <w:pPr>
            <w:rPr>
              <w:rFonts w:hint="eastAsia" w:ascii="宋体" w:hAnsi="宋体" w:eastAsia="宋体" w:cs="宋体"/>
              <w:snapToGrid w:val="0"/>
              <w:color w:val="000000"/>
              <w:kern w:val="0"/>
              <w:sz w:val="21"/>
              <w:szCs w:val="24"/>
            </w:rPr>
          </w:pPr>
          <w:r>
            <w:fldChar w:fldCharType="end"/>
          </w:r>
        </w:p>
      </w:sdtContent>
    </w:sdt>
    <w:p w14:paraId="15102C80">
      <w:pPr>
        <w:keepNext w:val="0"/>
        <w:keepLines w:val="0"/>
        <w:pageBreakBefore w:val="0"/>
        <w:widowControl w:val="0"/>
        <w:kinsoku/>
        <w:wordWrap/>
        <w:overflowPunct w:val="0"/>
        <w:topLinePunct w:val="0"/>
        <w:autoSpaceDE w:val="0"/>
        <w:autoSpaceDN w:val="0"/>
        <w:bidi w:val="0"/>
        <w:adjustRightInd w:val="0"/>
        <w:snapToGrid w:val="0"/>
        <w:spacing w:before="63" w:line="400" w:lineRule="exact"/>
        <w:jc w:val="both"/>
        <w:textAlignment w:val="baseline"/>
        <w:rPr>
          <w:rFonts w:hint="eastAsia" w:ascii="宋体" w:hAnsi="宋体" w:eastAsia="宋体" w:cs="宋体"/>
          <w:snapToGrid w:val="0"/>
          <w:color w:val="000000"/>
          <w:kern w:val="0"/>
          <w:sz w:val="21"/>
          <w:szCs w:val="24"/>
        </w:rPr>
      </w:pPr>
    </w:p>
    <w:p w14:paraId="66CD8222">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5" w:type="default"/>
          <w:pgSz w:w="11906" w:h="16838"/>
          <w:pgMar w:top="1304" w:right="1304" w:bottom="1304" w:left="1304" w:header="0" w:footer="675" w:gutter="0"/>
          <w:pgNumType w:fmt="decimal" w:start="1"/>
          <w:cols w:space="425" w:num="1"/>
          <w:rtlGutter w:val="0"/>
          <w:docGrid w:linePitch="0" w:charSpace="0"/>
        </w:sectPr>
      </w:pPr>
    </w:p>
    <w:p w14:paraId="24691145">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3" w:name="_Toc28308"/>
      <w:bookmarkStart w:id="4" w:name="_Toc11861"/>
      <w:bookmarkStart w:id="5" w:name="_Toc9346"/>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第一章  竞争性磋商公告</w:t>
      </w:r>
      <w:bookmarkEnd w:id="3"/>
      <w:bookmarkEnd w:id="4"/>
      <w:bookmarkEnd w:id="5"/>
    </w:p>
    <w:p w14:paraId="619B8900">
      <w:pPr>
        <w:keepNext w:val="0"/>
        <w:keepLines w:val="0"/>
        <w:pageBreakBefore w:val="0"/>
        <w:widowControl w:val="0"/>
        <w:kinsoku/>
        <w:wordWrap/>
        <w:overflowPunct w:val="0"/>
        <w:topLinePunct w:val="0"/>
        <w:autoSpaceDE w:val="0"/>
        <w:autoSpaceDN w:val="0"/>
        <w:bidi w:val="0"/>
        <w:spacing w:before="148" w:line="219" w:lineRule="auto"/>
        <w:ind w:left="70"/>
        <w:jc w:val="center"/>
        <w:outlineLvl w:val="9"/>
        <w:rPr>
          <w:rFonts w:ascii="宋体" w:hAnsi="宋体" w:eastAsia="宋体" w:cs="宋体"/>
          <w:sz w:val="28"/>
          <w:szCs w:val="28"/>
        </w:rPr>
      </w:pPr>
      <w:bookmarkStart w:id="6" w:name="_bookmark1"/>
      <w:bookmarkEnd w:id="6"/>
      <w:bookmarkStart w:id="7" w:name="_Toc11343"/>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广西嘉华建设项目管理咨询有限公司</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关于</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柳城县六塘镇三界村谷里屯片区糖料蔗基地灌溉建设项目</w:t>
      </w:r>
      <w:r>
        <w:rPr>
          <w:rFonts w:ascii="宋体" w:hAnsi="宋体" w:eastAsia="宋体" w:cs="宋体"/>
          <w:spacing w:val="1"/>
          <w:sz w:val="28"/>
          <w:szCs w:val="28"/>
          <w:highlight w:val="none"/>
          <w14:textOutline w14:w="5103" w14:cap="sq" w14:cmpd="sng">
            <w14:solidFill>
              <w14:srgbClr w14:val="000000"/>
            </w14:solidFill>
            <w14:prstDash w14:val="solid"/>
            <w14:bevel/>
          </w14:textOutline>
        </w:rPr>
        <w:t>(LZZC2025-C2-220087-GXJH)</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竞争性磋商公告</w:t>
      </w:r>
      <w:bookmarkEnd w:id="7"/>
    </w:p>
    <w:p w14:paraId="766F3E24">
      <w:pPr>
        <w:keepNext w:val="0"/>
        <w:keepLines w:val="0"/>
        <w:pageBreakBefore w:val="0"/>
        <w:widowControl w:val="0"/>
        <w:kinsoku/>
        <w:wordWrap/>
        <w:overflowPunct w:val="0"/>
        <w:topLinePunct w:val="0"/>
        <w:autoSpaceDE w:val="0"/>
        <w:autoSpaceDN w:val="0"/>
        <w:bidi w:val="0"/>
      </w:pPr>
    </w:p>
    <w:p w14:paraId="19D1127E">
      <w:pPr>
        <w:keepNext w:val="0"/>
        <w:keepLines w:val="0"/>
        <w:pageBreakBefore w:val="0"/>
        <w:widowControl w:val="0"/>
        <w:kinsoku/>
        <w:wordWrap/>
        <w:overflowPunct w:val="0"/>
        <w:topLinePunct w:val="0"/>
        <w:autoSpaceDE w:val="0"/>
        <w:autoSpaceDN w:val="0"/>
        <w:bidi w:val="0"/>
        <w:spacing w:line="87" w:lineRule="exact"/>
      </w:pPr>
    </w:p>
    <w:tbl>
      <w:tblPr>
        <w:tblStyle w:val="30"/>
        <w:tblW w:w="9495" w:type="dxa"/>
        <w:tblInd w:w="-18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95"/>
      </w:tblGrid>
      <w:tr w14:paraId="6E8AA4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34" w:hRule="atLeast"/>
        </w:trPr>
        <w:tc>
          <w:tcPr>
            <w:tcW w:w="9495" w:type="dxa"/>
            <w:vAlign w:val="top"/>
          </w:tcPr>
          <w:p w14:paraId="0A8BB3AB">
            <w:pPr>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firstLine="520" w:firstLineChars="200"/>
              <w:textAlignment w:val="baseline"/>
              <w:rPr>
                <w:rFonts w:ascii="宋体" w:hAnsi="宋体" w:eastAsia="宋体" w:cs="宋体"/>
                <w:spacing w:val="10"/>
                <w:sz w:val="24"/>
                <w:szCs w:val="24"/>
                <w14:textOutline w14:w="3795" w14:cap="sq" w14:cmpd="sng">
                  <w14:solidFill>
                    <w14:srgbClr w14:val="000000"/>
                  </w14:solidFill>
                  <w14:prstDash w14:val="solid"/>
                  <w14:bevel/>
                </w14:textOutline>
              </w:rPr>
            </w:pPr>
            <w:r>
              <w:rPr>
                <w:rFonts w:ascii="宋体" w:hAnsi="宋体" w:eastAsia="宋体" w:cs="宋体"/>
                <w:spacing w:val="10"/>
                <w:sz w:val="24"/>
                <w:szCs w:val="24"/>
                <w14:textOutline w14:w="3795" w14:cap="sq" w14:cmpd="sng">
                  <w14:solidFill>
                    <w14:srgbClr w14:val="000000"/>
                  </w14:solidFill>
                  <w14:prstDash w14:val="solid"/>
                  <w14:bevel/>
                </w14:textOutline>
              </w:rPr>
              <w:t>项目概况：</w:t>
            </w:r>
          </w:p>
          <w:p w14:paraId="4BA62F81">
            <w:pPr>
              <w:keepNext w:val="0"/>
              <w:keepLines w:val="0"/>
              <w:pageBreakBefore w:val="0"/>
              <w:widowControl w:val="0"/>
              <w:kinsoku/>
              <w:wordWrap/>
              <w:overflowPunct w:val="0"/>
              <w:topLinePunct w:val="0"/>
              <w:autoSpaceDE w:val="0"/>
              <w:autoSpaceDN w:val="0"/>
              <w:bidi w:val="0"/>
              <w:adjustRightInd w:val="0"/>
              <w:snapToGrid w:val="0"/>
              <w:spacing w:line="400" w:lineRule="exact"/>
              <w:ind w:left="218" w:leftChars="104" w:right="0" w:firstLine="520" w:firstLineChars="200"/>
              <w:jc w:val="left"/>
              <w:textAlignment w:val="baseline"/>
            </w:pPr>
            <w:r>
              <w:rPr>
                <w:rFonts w:hint="eastAsia" w:ascii="宋体" w:hAnsi="宋体" w:eastAsia="宋体" w:cs="宋体"/>
                <w:spacing w:val="10"/>
                <w:sz w:val="24"/>
                <w:szCs w:val="24"/>
                <w:lang w:eastAsia="zh-CN"/>
              </w:rPr>
              <w:t>柳城县六塘镇三界村谷里屯片区糖料蔗基地灌溉建设项目采购项目的潜在供应商应在</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 (</w:t>
            </w:r>
            <w:r>
              <w:rPr>
                <w:rFonts w:hint="eastAsia" w:ascii="宋体" w:hAnsi="宋体" w:eastAsia="宋体" w:cs="宋体"/>
                <w:sz w:val="24"/>
                <w:szCs w:val="24"/>
                <w:lang w:eastAsia="zh-CN"/>
              </w:rPr>
              <w:t>https://www.gcy.zfcg.gxzf.gov.cn/</w:t>
            </w:r>
            <w:r>
              <w:rPr>
                <w:rFonts w:ascii="宋体" w:hAnsi="宋体" w:eastAsia="宋体" w:cs="宋体"/>
                <w:spacing w:val="10"/>
                <w:sz w:val="24"/>
                <w:szCs w:val="24"/>
              </w:rPr>
              <w:t>) 获取</w:t>
            </w:r>
            <w:r>
              <w:rPr>
                <w:rFonts w:hint="eastAsia" w:ascii="宋体" w:hAnsi="宋体" w:eastAsia="宋体" w:cs="宋体"/>
                <w:spacing w:val="10"/>
                <w:sz w:val="24"/>
                <w:szCs w:val="24"/>
              </w:rPr>
              <w:t>采购文件</w:t>
            </w:r>
            <w:r>
              <w:rPr>
                <w:rFonts w:hint="eastAsia" w:ascii="宋体" w:hAnsi="宋体" w:eastAsia="宋体" w:cs="宋体"/>
                <w:spacing w:val="10"/>
                <w:sz w:val="24"/>
                <w:szCs w:val="24"/>
                <w:lang w:val="en-US" w:eastAsia="zh-CN"/>
              </w:rPr>
              <w:t>,</w:t>
            </w:r>
            <w:r>
              <w:rPr>
                <w:rFonts w:ascii="宋体" w:hAnsi="宋体" w:eastAsia="宋体" w:cs="宋体"/>
                <w:spacing w:val="10"/>
                <w:sz w:val="24"/>
                <w:szCs w:val="24"/>
              </w:rPr>
              <w:t>并于</w:t>
            </w:r>
            <w:r>
              <w:rPr>
                <w:rFonts w:hint="eastAsia" w:ascii="宋体" w:hAnsi="宋体" w:eastAsia="宋体" w:cs="宋体"/>
                <w:spacing w:val="10"/>
                <w:sz w:val="24"/>
                <w:szCs w:val="24"/>
                <w:lang w:val="en-US" w:eastAsia="zh-CN"/>
              </w:rPr>
              <w:t>2025</w:t>
            </w: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10</w:t>
            </w:r>
            <w:r>
              <w:rPr>
                <w:rFonts w:ascii="宋体" w:hAnsi="宋体" w:eastAsia="宋体" w:cs="宋体"/>
                <w:spacing w:val="8"/>
                <w:sz w:val="24"/>
                <w:szCs w:val="24"/>
              </w:rPr>
              <w:t>月</w:t>
            </w:r>
            <w:r>
              <w:rPr>
                <w:rFonts w:hint="eastAsia" w:ascii="宋体" w:hAnsi="宋体" w:eastAsia="宋体" w:cs="宋体"/>
                <w:spacing w:val="8"/>
                <w:sz w:val="24"/>
                <w:szCs w:val="24"/>
                <w:lang w:val="en-US" w:eastAsia="zh-CN"/>
              </w:rPr>
              <w:t>28</w:t>
            </w:r>
            <w:r>
              <w:rPr>
                <w:rFonts w:ascii="宋体" w:hAnsi="宋体" w:eastAsia="宋体" w:cs="宋体"/>
                <w:spacing w:val="7"/>
                <w:sz w:val="24"/>
                <w:szCs w:val="24"/>
              </w:rPr>
              <w:t>日09:</w:t>
            </w:r>
            <w:r>
              <w:rPr>
                <w:rFonts w:hint="eastAsia" w:ascii="宋体" w:hAnsi="宋体" w:eastAsia="宋体" w:cs="宋体"/>
                <w:spacing w:val="7"/>
                <w:sz w:val="24"/>
                <w:szCs w:val="24"/>
                <w:lang w:val="en-US" w:eastAsia="zh-CN"/>
              </w:rPr>
              <w:t>2</w:t>
            </w:r>
            <w:r>
              <w:rPr>
                <w:rFonts w:ascii="宋体" w:hAnsi="宋体" w:eastAsia="宋体" w:cs="宋体"/>
                <w:spacing w:val="7"/>
                <w:sz w:val="24"/>
                <w:szCs w:val="24"/>
              </w:rPr>
              <w:t>0 (北京时间)前</w:t>
            </w:r>
            <w:r>
              <w:rPr>
                <w:rFonts w:hint="eastAsia" w:ascii="宋体" w:hAnsi="宋体" w:eastAsia="宋体" w:cs="宋体"/>
                <w:spacing w:val="7"/>
                <w:sz w:val="24"/>
                <w:szCs w:val="24"/>
              </w:rPr>
              <w:t>提交响应</w:t>
            </w:r>
            <w:r>
              <w:rPr>
                <w:rFonts w:ascii="宋体" w:hAnsi="宋体" w:eastAsia="宋体" w:cs="宋体"/>
                <w:spacing w:val="7"/>
                <w:sz w:val="24"/>
                <w:szCs w:val="24"/>
              </w:rPr>
              <w:t>文件</w:t>
            </w:r>
            <w:r>
              <w:rPr>
                <w:rFonts w:ascii="宋体" w:hAnsi="宋体" w:eastAsia="宋体" w:cs="宋体"/>
                <w:spacing w:val="7"/>
                <w:sz w:val="20"/>
                <w:szCs w:val="20"/>
              </w:rPr>
              <w:t>。</w:t>
            </w:r>
          </w:p>
        </w:tc>
      </w:tr>
    </w:tbl>
    <w:p w14:paraId="147E96D6">
      <w:pPr>
        <w:keepNext w:val="0"/>
        <w:keepLines w:val="0"/>
        <w:pageBreakBefore w:val="0"/>
        <w:widowControl w:val="0"/>
        <w:kinsoku/>
        <w:wordWrap/>
        <w:overflowPunct w:val="0"/>
        <w:topLinePunct w:val="0"/>
        <w:autoSpaceDE w:val="0"/>
        <w:autoSpaceDN w:val="0"/>
        <w:bidi w:val="0"/>
        <w:spacing w:line="247" w:lineRule="auto"/>
        <w:rPr>
          <w:rFonts w:ascii="Arial"/>
          <w:sz w:val="21"/>
        </w:rPr>
      </w:pPr>
    </w:p>
    <w:p w14:paraId="4544ED31">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ascii="宋体" w:hAnsi="宋体" w:eastAsia="宋体" w:cs="宋体"/>
          <w:sz w:val="28"/>
          <w:szCs w:val="28"/>
        </w:rPr>
      </w:pPr>
      <w:r>
        <w:rPr>
          <w:rFonts w:ascii="宋体" w:hAnsi="宋体" w:eastAsia="宋体" w:cs="宋体"/>
          <w:spacing w:val="10"/>
          <w:position w:val="2"/>
          <w:sz w:val="28"/>
          <w:szCs w:val="28"/>
          <w14:textOutline w14:w="3795" w14:cap="sq" w14:cmpd="sng">
            <w14:solidFill>
              <w14:srgbClr w14:val="000000"/>
            </w14:solidFill>
            <w14:prstDash w14:val="solid"/>
            <w14:bevel/>
          </w14:textOutline>
        </w:rPr>
        <w:t>一</w:t>
      </w:r>
      <w:r>
        <w:rPr>
          <w:rFonts w:ascii="宋体" w:hAnsi="宋体" w:eastAsia="宋体" w:cs="宋体"/>
          <w:spacing w:val="9"/>
          <w:position w:val="2"/>
          <w:sz w:val="28"/>
          <w:szCs w:val="28"/>
          <w14:textOutline w14:w="3795" w14:cap="sq" w14:cmpd="sng">
            <w14:solidFill>
              <w14:srgbClr w14:val="000000"/>
            </w14:solidFill>
            <w14:prstDash w14:val="solid"/>
            <w14:bevel/>
          </w14:textOutline>
        </w:rPr>
        <w:t>、项目基本情况</w:t>
      </w:r>
    </w:p>
    <w:p w14:paraId="34EA717C">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项目编号：</w:t>
      </w:r>
      <w:bookmarkStart w:id="8" w:name="OLE_LINK15"/>
      <w:r>
        <w:rPr>
          <w:rFonts w:hint="eastAsia" w:asciiTheme="minorEastAsia" w:hAnsiTheme="minorEastAsia" w:eastAsiaTheme="minorEastAsia" w:cstheme="minorEastAsia"/>
          <w:snapToGrid/>
          <w:color w:val="auto"/>
          <w:kern w:val="2"/>
          <w:sz w:val="24"/>
          <w:szCs w:val="24"/>
          <w:lang w:val="en-US" w:eastAsia="zh-CN" w:bidi="ar-SA"/>
        </w:rPr>
        <w:t>LZZC2025-C2-220087-GXJH</w:t>
      </w:r>
    </w:p>
    <w:bookmarkEnd w:id="8"/>
    <w:p w14:paraId="43CF1B0F">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项目名称：</w:t>
      </w:r>
      <w:bookmarkStart w:id="9" w:name="OLE_LINK3"/>
      <w:r>
        <w:rPr>
          <w:rFonts w:hint="eastAsia" w:asciiTheme="minorEastAsia" w:hAnsiTheme="minorEastAsia" w:eastAsiaTheme="minorEastAsia" w:cstheme="minorEastAsia"/>
          <w:snapToGrid/>
          <w:color w:val="auto"/>
          <w:kern w:val="2"/>
          <w:sz w:val="24"/>
          <w:szCs w:val="24"/>
          <w:lang w:val="en-US" w:eastAsia="zh-CN" w:bidi="ar-SA"/>
        </w:rPr>
        <w:t xml:space="preserve">柳城县六塘镇三界村谷里屯片区糖料蔗基地灌溉建设项目 </w:t>
      </w:r>
      <w:bookmarkEnd w:id="9"/>
    </w:p>
    <w:p w14:paraId="32D8042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采购方式：竞争性磋商</w:t>
      </w:r>
    </w:p>
    <w:p w14:paraId="282722CC">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预算总金额（元）：1092256.61元</w:t>
      </w:r>
    </w:p>
    <w:p w14:paraId="54719729">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采购需求：</w:t>
      </w:r>
    </w:p>
    <w:p w14:paraId="79984BD9">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标项名称：柳城县六塘镇三界村谷里屯片区糖料蔗基地灌溉建设项目</w:t>
      </w:r>
    </w:p>
    <w:p w14:paraId="246A2019">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数量：不限</w:t>
      </w:r>
    </w:p>
    <w:p w14:paraId="46698FC0">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预算金额（元） ：1092256.61元</w:t>
      </w:r>
    </w:p>
    <w:p w14:paraId="333874D0">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简要规格描述或项目基本概况介绍、用途：</w:t>
      </w:r>
      <w:bookmarkStart w:id="10" w:name="OLE_LINK25"/>
      <w:bookmarkStart w:id="11" w:name="OLE_LINK27"/>
      <w:r>
        <w:rPr>
          <w:rFonts w:hint="eastAsia" w:asciiTheme="minorEastAsia" w:hAnsiTheme="minorEastAsia" w:eastAsiaTheme="minorEastAsia" w:cstheme="minorEastAsia"/>
          <w:snapToGrid/>
          <w:color w:val="auto"/>
          <w:kern w:val="2"/>
          <w:sz w:val="24"/>
          <w:szCs w:val="24"/>
          <w:lang w:val="en-US" w:eastAsia="zh-CN" w:bidi="ar-SA"/>
        </w:rPr>
        <w:t>项目位于柳城县六塘镇三界村谷里屯，该项目主要施工内容为柳城县六塘镇三界村谷里屯片区糖料蔗基地灌溉建设，总面积840亩。具体内容以施工图纸及工程量清单为准。如需进一步了解详细内容，详见竞争性磋商文件。</w:t>
      </w:r>
      <w:bookmarkEnd w:id="10"/>
      <w:bookmarkEnd w:id="11"/>
    </w:p>
    <w:p w14:paraId="5B0BB69D">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lang w:val="en-US" w:eastAsia="zh-CN"/>
        </w:rPr>
      </w:pPr>
      <w:r>
        <w:rPr>
          <w:rFonts w:hint="eastAsia" w:asciiTheme="minorEastAsia" w:hAnsiTheme="minorEastAsia" w:eastAsiaTheme="minorEastAsia" w:cstheme="minorEastAsia"/>
          <w:snapToGrid/>
          <w:color w:val="auto"/>
          <w:kern w:val="2"/>
          <w:sz w:val="24"/>
          <w:szCs w:val="24"/>
          <w:lang w:val="en-US" w:eastAsia="zh-CN" w:bidi="ar-SA"/>
        </w:rPr>
        <w:t>最高限价（如有）： 1092256.61元</w:t>
      </w:r>
    </w:p>
    <w:p w14:paraId="64D0689E">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合同履约期限：工期</w:t>
      </w:r>
      <w:r>
        <w:rPr>
          <w:rFonts w:hint="eastAsia" w:asciiTheme="minorEastAsia" w:hAnsiTheme="minorEastAsia" w:eastAsiaTheme="minorEastAsia" w:cstheme="minorEastAsia"/>
          <w:snapToGrid/>
          <w:color w:val="auto"/>
          <w:kern w:val="2"/>
          <w:sz w:val="24"/>
          <w:szCs w:val="24"/>
          <w:highlight w:val="none"/>
          <w:lang w:val="en-US" w:eastAsia="zh-CN" w:bidi="ar-SA"/>
        </w:rPr>
        <w:t>：</w:t>
      </w:r>
      <w:bookmarkStart w:id="12" w:name="OLE_LINK28"/>
      <w:r>
        <w:rPr>
          <w:rFonts w:hint="eastAsia" w:asciiTheme="minorEastAsia" w:hAnsiTheme="minorEastAsia" w:eastAsiaTheme="minorEastAsia" w:cstheme="minorEastAsia"/>
          <w:snapToGrid/>
          <w:color w:val="auto"/>
          <w:kern w:val="2"/>
          <w:sz w:val="24"/>
          <w:szCs w:val="24"/>
          <w:highlight w:val="none"/>
          <w:lang w:val="en-US" w:eastAsia="zh-CN" w:bidi="ar-SA"/>
        </w:rPr>
        <w:t>60日历天</w:t>
      </w:r>
      <w:bookmarkEnd w:id="12"/>
      <w:r>
        <w:rPr>
          <w:rFonts w:hint="eastAsia" w:asciiTheme="minorEastAsia" w:hAnsiTheme="minorEastAsia" w:eastAsiaTheme="minorEastAsia" w:cstheme="minorEastAsia"/>
          <w:snapToGrid/>
          <w:color w:val="auto"/>
          <w:kern w:val="2"/>
          <w:sz w:val="24"/>
          <w:szCs w:val="24"/>
          <w:highlight w:val="none"/>
          <w:lang w:val="en-US" w:eastAsia="zh-CN" w:bidi="ar-SA"/>
        </w:rPr>
        <w:t>，</w:t>
      </w:r>
      <w:r>
        <w:rPr>
          <w:rFonts w:hint="eastAsia" w:asciiTheme="minorEastAsia" w:hAnsiTheme="minorEastAsia" w:eastAsiaTheme="minorEastAsia" w:cstheme="minorEastAsia"/>
          <w:snapToGrid/>
          <w:color w:val="auto"/>
          <w:kern w:val="2"/>
          <w:sz w:val="24"/>
          <w:szCs w:val="24"/>
          <w:lang w:val="en-US" w:eastAsia="zh-CN" w:bidi="ar-SA"/>
        </w:rPr>
        <w:t>质量要求：达到国家工程施工验收规范合格标准</w:t>
      </w:r>
    </w:p>
    <w:p w14:paraId="696F3522">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本标项（否）接受联合体投标</w:t>
      </w:r>
    </w:p>
    <w:p w14:paraId="2AD4514E">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0000FF"/>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备注：</w:t>
      </w:r>
      <w:r>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t>本项目为线上电子招标项目，采用远程异地评标，有意向参与本项目的供应商应当做好参与全流程电子招投标交易的充分准备。</w:t>
      </w:r>
    </w:p>
    <w:p w14:paraId="6E9D9D24">
      <w:pPr>
        <w:keepNext w:val="0"/>
        <w:keepLines w:val="0"/>
        <w:pageBreakBefore w:val="0"/>
        <w:widowControl w:val="0"/>
        <w:tabs>
          <w:tab w:val="center" w:pos="4649"/>
        </w:tabs>
        <w:kinsoku/>
        <w:wordWrap/>
        <w:overflowPunct w:val="0"/>
        <w:topLinePunct w:val="0"/>
        <w:autoSpaceDE w:val="0"/>
        <w:autoSpaceDN w:val="0"/>
        <w:bidi w:val="0"/>
        <w:adjustRightInd w:val="0"/>
        <w:snapToGrid w:val="0"/>
        <w:spacing w:line="460" w:lineRule="exact"/>
        <w:ind w:left="34"/>
        <w:textAlignment w:val="baseline"/>
        <w:rPr>
          <w:rFonts w:hint="eastAsia" w:ascii="宋体" w:hAnsi="宋体" w:eastAsia="宋体" w:cs="宋体"/>
          <w:spacing w:val="10"/>
          <w:position w:val="2"/>
          <w:sz w:val="28"/>
          <w:szCs w:val="28"/>
          <w:lang w:eastAsia="zh-CN"/>
          <w14:textOutline w14:w="3795" w14:cap="sq" w14:cmpd="sng">
            <w14:solidFill>
              <w14:srgbClr w14:val="000000"/>
            </w14:solidFill>
            <w14:prstDash w14:val="solid"/>
            <w14:bevel/>
          </w14:textOutline>
        </w:rPr>
      </w:pPr>
      <w:r>
        <w:rPr>
          <w:rFonts w:ascii="宋体" w:hAnsi="宋体" w:eastAsia="宋体" w:cs="宋体"/>
          <w:spacing w:val="10"/>
          <w:position w:val="2"/>
          <w:sz w:val="28"/>
          <w:szCs w:val="28"/>
          <w14:textOutline w14:w="3795" w14:cap="sq" w14:cmpd="sng">
            <w14:solidFill>
              <w14:srgbClr w14:val="000000"/>
            </w14:solidFill>
            <w14:prstDash w14:val="solid"/>
            <w14:bevel/>
          </w14:textOutline>
        </w:rPr>
        <w:t>二、申请人的资格要求：</w:t>
      </w:r>
      <w:r>
        <w:rPr>
          <w:rFonts w:hint="eastAsia" w:ascii="宋体" w:hAnsi="宋体" w:eastAsia="宋体" w:cs="宋体"/>
          <w:spacing w:val="10"/>
          <w:position w:val="2"/>
          <w:sz w:val="28"/>
          <w:szCs w:val="28"/>
          <w:lang w:eastAsia="zh-CN"/>
          <w14:textOutline w14:w="3795" w14:cap="sq" w14:cmpd="sng">
            <w14:solidFill>
              <w14:srgbClr w14:val="000000"/>
            </w14:solidFill>
            <w14:prstDash w14:val="solid"/>
            <w14:bevel/>
          </w14:textOutline>
        </w:rPr>
        <w:tab/>
      </w:r>
    </w:p>
    <w:p w14:paraId="18908E04">
      <w:pPr>
        <w:keepNext w:val="0"/>
        <w:keepLines w:val="0"/>
        <w:pageBreakBefore w:val="0"/>
        <w:widowControl w:val="0"/>
        <w:kinsoku/>
        <w:wordWrap/>
        <w:overflowPunct w:val="0"/>
        <w:topLinePunct w:val="0"/>
        <w:autoSpaceDE w:val="0"/>
        <w:autoSpaceDN w:val="0"/>
        <w:bidi w:val="0"/>
        <w:adjustRightInd/>
        <w:snapToGrid/>
        <w:spacing w:line="40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1.满足《中华人民共和国政府采购法》第二十二条规定；</w:t>
      </w:r>
    </w:p>
    <w:p w14:paraId="14484FE3">
      <w:pPr>
        <w:keepNext w:val="0"/>
        <w:keepLines w:val="0"/>
        <w:pageBreakBefore w:val="0"/>
        <w:widowControl w:val="0"/>
        <w:kinsoku/>
        <w:wordWrap/>
        <w:overflowPunct w:val="0"/>
        <w:topLinePunct w:val="0"/>
        <w:autoSpaceDE w:val="0"/>
        <w:autoSpaceDN w:val="0"/>
        <w:bidi w:val="0"/>
        <w:adjustRightInd/>
        <w:snapToGrid/>
        <w:spacing w:line="440" w:lineRule="exact"/>
        <w:ind w:lef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2.落实政府采购政策需满足的资格要求：</w:t>
      </w:r>
      <w:bookmarkStart w:id="13" w:name="OLE_LINK29"/>
      <w:r>
        <w:rPr>
          <w:rFonts w:hint="eastAsia" w:asciiTheme="minorEastAsia" w:hAnsiTheme="minorEastAsia" w:eastAsiaTheme="minorEastAsia" w:cstheme="minorEastAsia"/>
          <w:snapToGrid/>
          <w:color w:val="auto"/>
          <w:kern w:val="2"/>
          <w:sz w:val="24"/>
          <w:szCs w:val="24"/>
          <w:lang w:val="en-US" w:eastAsia="zh-CN" w:bidi="ar-SA"/>
        </w:rPr>
        <w:t>本项目属于专门面向小微企业采购的项目，监狱企业、残疾人福利单位视同小型、微型企业；小微企业须符合本项目采购标的所属行业对应的中小企业划分标准。</w:t>
      </w:r>
    </w:p>
    <w:bookmarkEnd w:id="13"/>
    <w:p w14:paraId="4E69404D">
      <w:pPr>
        <w:keepNext w:val="0"/>
        <w:keepLines w:val="0"/>
        <w:pageBreakBefore w:val="0"/>
        <w:widowControl/>
        <w:suppressLineNumbers w:val="0"/>
        <w:wordWrap/>
        <w:topLinePunct w:val="0"/>
        <w:autoSpaceDE w:val="0"/>
        <w:autoSpaceDN w:val="0"/>
        <w:bidi w:val="0"/>
        <w:spacing w:line="440" w:lineRule="exact"/>
        <w:ind w:left="0" w:firstLine="480" w:firstLineChars="200"/>
        <w:jc w:val="left"/>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3.本项目的特定资格要求：</w:t>
      </w:r>
    </w:p>
    <w:p w14:paraId="5426F4C4">
      <w:pPr>
        <w:keepNext w:val="0"/>
        <w:keepLines w:val="0"/>
        <w:pageBreakBefore w:val="0"/>
        <w:widowControl/>
        <w:suppressLineNumbers w:val="0"/>
        <w:wordWrap/>
        <w:topLinePunct w:val="0"/>
        <w:autoSpaceDE w:val="0"/>
        <w:autoSpaceDN w:val="0"/>
        <w:bidi w:val="0"/>
        <w:spacing w:line="440" w:lineRule="exact"/>
        <w:jc w:val="left"/>
        <w:rPr>
          <w:rFonts w:hint="default" w:ascii="Calibri" w:hAnsi="Calibri" w:cs="Calibri" w:eastAsiaTheme="minorEastAsia"/>
          <w:snapToGrid/>
          <w:color w:val="auto"/>
          <w:kern w:val="2"/>
          <w:sz w:val="24"/>
          <w:szCs w:val="24"/>
          <w:lang w:val="en-US" w:eastAsia="zh-CN" w:bidi="ar-SA"/>
        </w:rPr>
      </w:pPr>
      <w:bookmarkStart w:id="14" w:name="OLE_LINK30"/>
      <w:r>
        <w:rPr>
          <w:rFonts w:hint="default" w:ascii="Calibri" w:hAnsi="Calibri" w:cs="Calibri" w:eastAsiaTheme="minorEastAsia"/>
          <w:snapToGrid/>
          <w:color w:val="auto"/>
          <w:kern w:val="2"/>
          <w:sz w:val="24"/>
          <w:szCs w:val="24"/>
          <w:lang w:val="en-US" w:eastAsia="zh-CN" w:bidi="ar-SA"/>
        </w:rPr>
        <w:t>【分标1】</w:t>
      </w:r>
    </w:p>
    <w:p w14:paraId="3F8FA4C4">
      <w:pPr>
        <w:keepNext w:val="0"/>
        <w:keepLines w:val="0"/>
        <w:pageBreakBefore w:val="0"/>
        <w:widowControl/>
        <w:suppressLineNumbers w:val="0"/>
        <w:wordWrap/>
        <w:topLinePunct w:val="0"/>
        <w:autoSpaceDE w:val="0"/>
        <w:autoSpaceDN w:val="0"/>
        <w:bidi w:val="0"/>
        <w:spacing w:line="440" w:lineRule="exact"/>
        <w:jc w:val="left"/>
        <w:rPr>
          <w:rFonts w:hint="eastAsia"/>
          <w:lang w:val="en-US" w:eastAsia="zh-CN"/>
        </w:rPr>
      </w:pPr>
      <w:r>
        <w:rPr>
          <w:rFonts w:hint="eastAsia" w:asciiTheme="minorEastAsia" w:hAnsiTheme="minorEastAsia" w:eastAsiaTheme="minorEastAsia" w:cstheme="minorEastAsia"/>
          <w:snapToGrid/>
          <w:color w:val="auto"/>
          <w:kern w:val="2"/>
          <w:sz w:val="24"/>
          <w:szCs w:val="24"/>
          <w:lang w:val="en-US" w:eastAsia="zh-CN" w:bidi="ar-SA"/>
        </w:rPr>
        <w:t>标项一：</w:t>
      </w:r>
      <w:r>
        <w:rPr>
          <w:rFonts w:hint="default" w:ascii="Calibri" w:hAnsi="Calibri" w:cs="Calibri" w:eastAsiaTheme="minorEastAsia"/>
          <w:snapToGrid/>
          <w:color w:val="auto"/>
          <w:kern w:val="2"/>
          <w:sz w:val="24"/>
          <w:szCs w:val="24"/>
          <w:lang w:val="en-US" w:eastAsia="zh-CN" w:bidi="ar-SA"/>
        </w:rPr>
        <w:t>①</w:t>
      </w:r>
      <w:r>
        <w:rPr>
          <w:rFonts w:hint="eastAsia" w:asciiTheme="minorEastAsia" w:hAnsiTheme="minorEastAsia" w:eastAsiaTheme="minorEastAsia" w:cstheme="minorEastAsia"/>
          <w:snapToGrid/>
          <w:color w:val="auto"/>
          <w:kern w:val="2"/>
          <w:sz w:val="24"/>
          <w:szCs w:val="24"/>
          <w:highlight w:val="none"/>
          <w:lang w:val="en-US" w:eastAsia="zh-CN" w:bidi="ar-SA"/>
        </w:rPr>
        <w:t>具有</w:t>
      </w:r>
      <w:r>
        <w:rPr>
          <w:rFonts w:hint="eastAsia" w:ascii="宋体" w:hAnsi="宋体" w:eastAsia="宋体" w:cs="宋体"/>
          <w:b/>
          <w:bCs/>
          <w:snapToGrid w:val="0"/>
          <w:color w:val="000000"/>
          <w:kern w:val="0"/>
          <w:sz w:val="24"/>
          <w:szCs w:val="24"/>
          <w:u w:val="single"/>
          <w:lang w:val="en-US" w:eastAsia="zh-CN" w:bidi="ar"/>
        </w:rPr>
        <w:t>水利水电工程施工总承包叁级(含）以上</w:t>
      </w:r>
      <w:r>
        <w:rPr>
          <w:rFonts w:hint="eastAsia" w:asciiTheme="minorEastAsia" w:hAnsiTheme="minorEastAsia" w:eastAsiaTheme="minorEastAsia" w:cstheme="minorEastAsia"/>
          <w:snapToGrid/>
          <w:color w:val="auto"/>
          <w:kern w:val="2"/>
          <w:sz w:val="24"/>
          <w:szCs w:val="24"/>
          <w:highlight w:val="none"/>
          <w:lang w:val="en-US" w:eastAsia="zh-CN" w:bidi="ar-SA"/>
        </w:rPr>
        <w:t>资质，</w:t>
      </w:r>
      <w:r>
        <w:rPr>
          <w:rFonts w:hint="eastAsia" w:ascii="宋体" w:hAnsi="宋体" w:eastAsia="宋体" w:cs="宋体"/>
          <w:snapToGrid w:val="0"/>
          <w:color w:val="000000"/>
          <w:kern w:val="0"/>
          <w:sz w:val="24"/>
          <w:szCs w:val="24"/>
          <w:lang w:val="en-US" w:eastAsia="zh-CN" w:bidi="ar"/>
        </w:rPr>
        <w:t>具有省级及以上建设行政主管部门颁发的安全生产许可证</w:t>
      </w:r>
      <w:r>
        <w:rPr>
          <w:rFonts w:hint="eastAsia" w:asciiTheme="minorEastAsia" w:hAnsiTheme="minorEastAsia" w:eastAsiaTheme="minorEastAsia" w:cstheme="minorEastAsia"/>
          <w:snapToGrid/>
          <w:color w:val="auto"/>
          <w:kern w:val="2"/>
          <w:sz w:val="24"/>
          <w:szCs w:val="24"/>
          <w:highlight w:val="none"/>
          <w:lang w:val="en-US" w:eastAsia="zh-CN" w:bidi="ar-SA"/>
        </w:rPr>
        <w:t>；并在人员、设备、资金等方面具备相应的施工能力。其中，供应商拟派项目经理须具备</w:t>
      </w:r>
      <w:r>
        <w:rPr>
          <w:rFonts w:hint="eastAsia" w:ascii="宋体" w:hAnsi="宋体" w:eastAsia="宋体" w:cs="宋体"/>
          <w:b/>
          <w:bCs/>
          <w:snapToGrid w:val="0"/>
          <w:color w:val="000000"/>
          <w:kern w:val="0"/>
          <w:sz w:val="24"/>
          <w:szCs w:val="24"/>
          <w:u w:val="single"/>
          <w:lang w:val="en-US" w:eastAsia="zh-CN" w:bidi="ar"/>
        </w:rPr>
        <w:t>水利水电工程专业贰级(含)以上</w:t>
      </w:r>
      <w:r>
        <w:rPr>
          <w:rFonts w:hint="eastAsia" w:ascii="宋体" w:hAnsi="宋体" w:eastAsia="宋体" w:cs="宋体"/>
          <w:snapToGrid w:val="0"/>
          <w:color w:val="000000"/>
          <w:kern w:val="0"/>
          <w:sz w:val="24"/>
          <w:szCs w:val="24"/>
          <w:lang w:val="en-US" w:eastAsia="zh-CN" w:bidi="ar"/>
        </w:rPr>
        <w:t>注册建造师执业资格、</w:t>
      </w:r>
      <w:r>
        <w:rPr>
          <w:rFonts w:hint="eastAsia" w:ascii="宋体" w:hAnsi="宋体" w:eastAsia="宋体" w:cs="宋体"/>
          <w:b w:val="0"/>
          <w:bCs w:val="0"/>
          <w:snapToGrid w:val="0"/>
          <w:color w:val="000000"/>
          <w:kern w:val="0"/>
          <w:sz w:val="24"/>
          <w:szCs w:val="24"/>
          <w:lang w:val="en-US" w:eastAsia="zh-CN" w:bidi="ar"/>
        </w:rPr>
        <w:t>安全生产考核合格证书(B类)</w:t>
      </w:r>
      <w:r>
        <w:rPr>
          <w:rFonts w:hint="eastAsia" w:asciiTheme="minorEastAsia" w:hAnsiTheme="minorEastAsia" w:eastAsiaTheme="minorEastAsia" w:cstheme="minorEastAsia"/>
          <w:snapToGrid/>
          <w:color w:val="auto"/>
          <w:kern w:val="2"/>
          <w:sz w:val="24"/>
          <w:szCs w:val="24"/>
          <w:lang w:val="en-US" w:eastAsia="zh-CN" w:bidi="ar-SA"/>
        </w:rPr>
        <w:t>。专职安全员要求:拟派专职安全员须具备有效的安全生产考核合格证书(C类)；②本项目不接受有在建、已中标未开工或已列为其他项目中标候选人第一名的建造师作为项目经理）(符合桂建管〔 2013 〕17号文、桂建管﹝2014﹞25号文和桂建管﹝2016﹞70 除外。</w:t>
      </w:r>
    </w:p>
    <w:bookmarkEnd w:id="14"/>
    <w:p w14:paraId="36ED6E73">
      <w:pPr>
        <w:keepNext w:val="0"/>
        <w:keepLines w:val="0"/>
        <w:pageBreakBefore w:val="0"/>
        <w:widowControl w:val="0"/>
        <w:kinsoku/>
        <w:wordWrap/>
        <w:overflowPunct w:val="0"/>
        <w:topLinePunct w:val="0"/>
        <w:autoSpaceDE w:val="0"/>
        <w:autoSpaceDN w:val="0"/>
        <w:bidi w:val="0"/>
        <w:adjustRightInd w:val="0"/>
        <w:snapToGrid w:val="0"/>
        <w:spacing w:line="440" w:lineRule="exact"/>
        <w:ind w:left="0"/>
        <w:textAlignment w:val="baseline"/>
        <w:rPr>
          <w:rFonts w:ascii="宋体" w:hAnsi="宋体" w:eastAsia="宋体" w:cs="宋体"/>
          <w:spacing w:val="10"/>
          <w:position w:val="2"/>
          <w:sz w:val="28"/>
          <w:szCs w:val="28"/>
          <w14:textOutline w14:w="3795" w14:cap="sq" w14:cmpd="sng">
            <w14:solidFill>
              <w14:srgbClr w14:val="000000"/>
            </w14:solidFill>
            <w14:prstDash w14:val="solid"/>
            <w14:bevel/>
          </w14:textOutline>
        </w:rPr>
      </w:pPr>
      <w:r>
        <w:rPr>
          <w:rFonts w:ascii="宋体" w:hAnsi="宋体" w:eastAsia="宋体" w:cs="宋体"/>
          <w:spacing w:val="10"/>
          <w:position w:val="2"/>
          <w:sz w:val="28"/>
          <w:szCs w:val="28"/>
          <w14:textOutline w14:w="3795" w14:cap="sq" w14:cmpd="sng">
            <w14:solidFill>
              <w14:srgbClr w14:val="000000"/>
            </w14:solidFill>
            <w14:prstDash w14:val="solid"/>
            <w14:bevel/>
          </w14:textOutline>
        </w:rPr>
        <w:t>三、获取</w:t>
      </w:r>
      <w:r>
        <w:rPr>
          <w:rFonts w:hint="eastAsia" w:ascii="宋体" w:hAnsi="宋体" w:eastAsia="宋体" w:cs="宋体"/>
          <w:spacing w:val="10"/>
          <w:position w:val="2"/>
          <w:sz w:val="28"/>
          <w:szCs w:val="28"/>
          <w:lang w:eastAsia="zh-CN"/>
          <w14:textOutline w14:w="3795" w14:cap="sq" w14:cmpd="sng">
            <w14:solidFill>
              <w14:srgbClr w14:val="000000"/>
            </w14:solidFill>
            <w14:prstDash w14:val="solid"/>
            <w14:bevel/>
          </w14:textOutline>
        </w:rPr>
        <w:t>采购</w:t>
      </w:r>
      <w:r>
        <w:rPr>
          <w:rFonts w:ascii="宋体" w:hAnsi="宋体" w:eastAsia="宋体" w:cs="宋体"/>
          <w:spacing w:val="10"/>
          <w:position w:val="2"/>
          <w:sz w:val="28"/>
          <w:szCs w:val="28"/>
          <w14:textOutline w14:w="3795" w14:cap="sq" w14:cmpd="sng">
            <w14:solidFill>
              <w14:srgbClr w14:val="000000"/>
            </w14:solidFill>
            <w14:prstDash w14:val="solid"/>
            <w14:bevel/>
          </w14:textOutline>
        </w:rPr>
        <w:t>文件</w:t>
      </w:r>
    </w:p>
    <w:p w14:paraId="751A545C">
      <w:pPr>
        <w:keepNext w:val="0"/>
        <w:keepLines w:val="0"/>
        <w:pageBreakBefore w:val="0"/>
        <w:widowControl w:val="0"/>
        <w:kinsoku/>
        <w:wordWrap/>
        <w:overflowPunct w:val="0"/>
        <w:topLinePunct w:val="0"/>
        <w:autoSpaceDE w:val="0"/>
        <w:autoSpaceDN w:val="0"/>
        <w:bidi w:val="0"/>
        <w:adjustRightInd/>
        <w:snapToGrid/>
        <w:spacing w:line="440" w:lineRule="exact"/>
        <w:ind w:lef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时间：2025年10月16日至2025年10月23日，每天上午08:00至12:00，下午12:00至17:30(北京时间，法定节假日除外)</w:t>
      </w:r>
    </w:p>
    <w:p w14:paraId="3750DE80">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地点(网址) ：</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 xml:space="preserve"> (https://www.gcy.zfcg.gxzf.gov.cn/)</w:t>
      </w:r>
    </w:p>
    <w:p w14:paraId="2CD295A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方式：</w:t>
      </w:r>
      <w:bookmarkStart w:id="15" w:name="OLE_LINK31"/>
      <w:bookmarkStart w:id="16" w:name="OLE_LINK33"/>
      <w:r>
        <w:rPr>
          <w:rFonts w:hint="eastAsia" w:asciiTheme="minorEastAsia" w:hAnsiTheme="minorEastAsia" w:eastAsiaTheme="minorEastAsia" w:cstheme="minorEastAsia"/>
          <w:snapToGrid/>
          <w:color w:val="auto"/>
          <w:kern w:val="2"/>
          <w:sz w:val="24"/>
          <w:szCs w:val="24"/>
          <w:lang w:val="en-US" w:eastAsia="zh-CN" w:bidi="ar-SA"/>
        </w:rPr>
        <w:t>本项目不提供纸质文件，潜在供应商需使用账号登录或者使用CA登录“</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”(https://www.gcy.zfcg.gxzf.gov.cn/) -进入“项目采购”应用，在获取采购文件菜单中选择项目，获取采购文件 (或在“</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电子投标客户端-获取采购文件”跳转到广西政府采购云平台系统获取) 。电子响应文件制作需要基于“</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”获取的采购文件编制，通过其他方式获取采购文件的，将有可能导致供应商无法在广西政府采购云平台编制及上传响应文件。</w:t>
      </w:r>
      <w:bookmarkEnd w:id="15"/>
    </w:p>
    <w:bookmarkEnd w:id="16"/>
    <w:p w14:paraId="6AACB9D4">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售价 (元) ：0</w:t>
      </w:r>
    </w:p>
    <w:p w14:paraId="02619338">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ascii="宋体" w:hAnsi="宋体" w:eastAsia="宋体" w:cs="宋体"/>
          <w:spacing w:val="10"/>
          <w:position w:val="2"/>
          <w:sz w:val="28"/>
          <w:szCs w:val="28"/>
          <w14:textOutline w14:w="3795" w14:cap="sq" w14:cmpd="sng">
            <w14:solidFill>
              <w14:srgbClr w14:val="000000"/>
            </w14:solidFill>
            <w14:prstDash w14:val="solid"/>
            <w14:bevel/>
          </w14:textOutline>
        </w:rPr>
      </w:pPr>
      <w:r>
        <w:rPr>
          <w:rFonts w:ascii="宋体" w:hAnsi="宋体" w:eastAsia="宋体" w:cs="宋体"/>
          <w:spacing w:val="10"/>
          <w:position w:val="2"/>
          <w:sz w:val="28"/>
          <w:szCs w:val="28"/>
          <w14:textOutline w14:w="3795" w14:cap="sq" w14:cmpd="sng">
            <w14:solidFill>
              <w14:srgbClr w14:val="000000"/>
            </w14:solidFill>
            <w14:prstDash w14:val="solid"/>
            <w14:bevel/>
          </w14:textOutline>
        </w:rPr>
        <w:t>四、</w:t>
      </w:r>
      <w:r>
        <w:rPr>
          <w:rFonts w:hint="eastAsia" w:ascii="宋体" w:hAnsi="宋体" w:eastAsia="宋体" w:cs="宋体"/>
          <w:spacing w:val="10"/>
          <w:position w:val="2"/>
          <w:sz w:val="28"/>
          <w:szCs w:val="28"/>
          <w14:textOutline w14:w="3795" w14:cap="sq" w14:cmpd="sng">
            <w14:solidFill>
              <w14:srgbClr w14:val="000000"/>
            </w14:solidFill>
            <w14:prstDash w14:val="solid"/>
            <w14:bevel/>
          </w14:textOutline>
        </w:rPr>
        <w:t>响应文件提交</w:t>
      </w:r>
    </w:p>
    <w:p w14:paraId="557172D3">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截止时间：2025年10月28日 09:20 (北京时间)</w:t>
      </w:r>
    </w:p>
    <w:p w14:paraId="477C76E6">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地点(网址) ：</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 xml:space="preserve"> (https://www.gcy.zfcg.gxzf.gov.cn/)  </w:t>
      </w:r>
    </w:p>
    <w:p w14:paraId="0E39BB3A">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hint="eastAsia" w:ascii="宋体" w:hAnsi="宋体" w:eastAsia="宋体" w:cs="宋体"/>
          <w:spacing w:val="10"/>
          <w:position w:val="2"/>
          <w:sz w:val="28"/>
          <w:szCs w:val="28"/>
          <w:lang w:val="en-US" w:eastAsia="zh-CN"/>
          <w14:textOutline w14:w="3795" w14:cap="sq" w14:cmpd="sng">
            <w14:solidFill>
              <w14:srgbClr w14:val="000000"/>
            </w14:solidFill>
            <w14:prstDash w14:val="solid"/>
            <w14:bevel/>
          </w14:textOutline>
        </w:rPr>
      </w:pPr>
      <w:r>
        <w:rPr>
          <w:rFonts w:hint="eastAsia" w:ascii="宋体" w:hAnsi="宋体" w:eastAsia="宋体" w:cs="宋体"/>
          <w:spacing w:val="10"/>
          <w:position w:val="2"/>
          <w:sz w:val="28"/>
          <w:szCs w:val="28"/>
          <w14:textOutline w14:w="3795" w14:cap="sq" w14:cmpd="sng">
            <w14:solidFill>
              <w14:srgbClr w14:val="000000"/>
            </w14:solidFill>
            <w14:prstDash w14:val="solid"/>
            <w14:bevel/>
          </w14:textOutline>
        </w:rPr>
        <w:t>五、响应文件开启 </w:t>
      </w:r>
    </w:p>
    <w:p w14:paraId="0C3C761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开启时间：2025年10月28日 09:20 (北京时间)</w:t>
      </w:r>
    </w:p>
    <w:p w14:paraId="22849A4D">
      <w:pPr>
        <w:keepNext w:val="0"/>
        <w:keepLines w:val="0"/>
        <w:pageBreakBefore w:val="0"/>
        <w:widowControl w:val="0"/>
        <w:kinsoku/>
        <w:wordWrap/>
        <w:overflowPunct w:val="0"/>
        <w:topLinePunct w:val="0"/>
        <w:autoSpaceDE w:val="0"/>
        <w:autoSpaceDN w:val="0"/>
        <w:bidi w:val="0"/>
        <w:adjustRightInd w:val="0"/>
        <w:snapToGrid w:val="0"/>
        <w:spacing w:line="460" w:lineRule="exact"/>
        <w:ind w:left="34" w:firstLine="480" w:firstLineChars="200"/>
        <w:textAlignment w:val="baseline"/>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点(网址)：广西政府采购云平台（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 </w:t>
      </w:r>
    </w:p>
    <w:p w14:paraId="565EF023">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ascii="宋体" w:hAnsi="宋体" w:eastAsia="宋体" w:cs="宋体"/>
          <w:spacing w:val="10"/>
          <w:position w:val="2"/>
          <w:sz w:val="28"/>
          <w:szCs w:val="28"/>
          <w14:textOutline w14:w="3795" w14:cap="sq" w14:cmpd="sng">
            <w14:solidFill>
              <w14:srgbClr w14:val="000000"/>
            </w14:solidFill>
            <w14:prstDash w14:val="solid"/>
            <w14:bevel/>
          </w14:textOutline>
        </w:rPr>
      </w:pPr>
      <w:r>
        <w:rPr>
          <w:rFonts w:hint="eastAsia" w:ascii="宋体" w:hAnsi="宋体" w:eastAsia="宋体" w:cs="宋体"/>
          <w:spacing w:val="10"/>
          <w:position w:val="2"/>
          <w:sz w:val="28"/>
          <w:szCs w:val="28"/>
          <w:lang w:eastAsia="zh-CN"/>
          <w14:textOutline w14:w="3795" w14:cap="sq" w14:cmpd="sng">
            <w14:solidFill>
              <w14:srgbClr w14:val="000000"/>
            </w14:solidFill>
            <w14:prstDash w14:val="solid"/>
            <w14:bevel/>
          </w14:textOutline>
        </w:rPr>
        <w:t>六</w:t>
      </w:r>
      <w:r>
        <w:rPr>
          <w:rFonts w:ascii="宋体" w:hAnsi="宋体" w:eastAsia="宋体" w:cs="宋体"/>
          <w:spacing w:val="10"/>
          <w:position w:val="2"/>
          <w:sz w:val="28"/>
          <w:szCs w:val="28"/>
          <w14:textOutline w14:w="3795" w14:cap="sq" w14:cmpd="sng">
            <w14:solidFill>
              <w14:srgbClr w14:val="000000"/>
            </w14:solidFill>
            <w14:prstDash w14:val="solid"/>
            <w14:bevel/>
          </w14:textOutline>
        </w:rPr>
        <w:t>、公告期限</w:t>
      </w:r>
    </w:p>
    <w:p w14:paraId="450ABA6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自本公告发布之日起5个工作日。</w:t>
      </w:r>
    </w:p>
    <w:p w14:paraId="4900F722">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ascii="宋体" w:hAnsi="宋体" w:eastAsia="宋体" w:cs="宋体"/>
          <w:spacing w:val="10"/>
          <w:position w:val="2"/>
          <w:sz w:val="28"/>
          <w:szCs w:val="28"/>
          <w14:textOutline w14:w="3795" w14:cap="sq" w14:cmpd="sng">
            <w14:solidFill>
              <w14:srgbClr w14:val="000000"/>
            </w14:solidFill>
            <w14:prstDash w14:val="solid"/>
            <w14:bevel/>
          </w14:textOutline>
        </w:rPr>
      </w:pPr>
      <w:r>
        <w:rPr>
          <w:rFonts w:hint="eastAsia" w:ascii="宋体" w:hAnsi="宋体" w:eastAsia="宋体" w:cs="宋体"/>
          <w:spacing w:val="10"/>
          <w:position w:val="2"/>
          <w:sz w:val="28"/>
          <w:szCs w:val="28"/>
          <w:lang w:eastAsia="zh-CN"/>
          <w14:textOutline w14:w="3795" w14:cap="sq" w14:cmpd="sng">
            <w14:solidFill>
              <w14:srgbClr w14:val="000000"/>
            </w14:solidFill>
            <w14:prstDash w14:val="solid"/>
            <w14:bevel/>
          </w14:textOutline>
        </w:rPr>
        <w:t>七</w:t>
      </w:r>
      <w:r>
        <w:rPr>
          <w:rFonts w:ascii="宋体" w:hAnsi="宋体" w:eastAsia="宋体" w:cs="宋体"/>
          <w:spacing w:val="10"/>
          <w:position w:val="2"/>
          <w:sz w:val="28"/>
          <w:szCs w:val="28"/>
          <w14:textOutline w14:w="3795" w14:cap="sq" w14:cmpd="sng">
            <w14:solidFill>
              <w14:srgbClr w14:val="000000"/>
            </w14:solidFill>
            <w14:prstDash w14:val="solid"/>
            <w14:bevel/>
          </w14:textOutline>
        </w:rPr>
        <w:t>、其他补充事宜</w:t>
      </w:r>
    </w:p>
    <w:p w14:paraId="70A76BAC">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default" w:asciiTheme="minorEastAsia" w:hAnsiTheme="minorEastAsia" w:eastAsiaTheme="minorEastAsia" w:cstheme="minorEastAsia"/>
          <w:snapToGrid/>
          <w:color w:val="auto"/>
          <w:kern w:val="2"/>
          <w:sz w:val="24"/>
          <w:szCs w:val="24"/>
          <w:lang w:val="en-US" w:eastAsia="zh-CN" w:bidi="ar-SA"/>
        </w:rPr>
      </w:pPr>
      <w:bookmarkStart w:id="17" w:name="OLE_LINK34"/>
      <w:r>
        <w:rPr>
          <w:rFonts w:hint="eastAsia" w:asciiTheme="minorEastAsia" w:hAnsiTheme="minorEastAsia" w:eastAsiaTheme="minorEastAsia" w:cstheme="minorEastAsia"/>
          <w:snapToGrid/>
          <w:color w:val="auto"/>
          <w:kern w:val="2"/>
          <w:sz w:val="24"/>
          <w:szCs w:val="24"/>
          <w:lang w:val="en-US" w:eastAsia="zh-CN" w:bidi="ar-SA"/>
        </w:rPr>
        <w:t>1.磋商保证金：本项目不收取磋商保证金。</w:t>
      </w:r>
    </w:p>
    <w:p w14:paraId="65302025">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default"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2.网上查询地址：广西壮族自治区政府采购网（zfcg.gxzf.gov.cn）、柳州市政府采购网（zfcg.lzscz.liuzhou.gov.cn）、 全国公共资源交易平台(广西.柳州)（ggzy.jgswj.gxzf.gov.cn/lzggzy/）。</w:t>
      </w:r>
    </w:p>
    <w:p w14:paraId="2ED967C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default"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3.本项目需要落实的政府采购政策。</w:t>
      </w:r>
    </w:p>
    <w:p w14:paraId="4C307BEF">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 政府采购促进中小企业发展。</w:t>
      </w:r>
    </w:p>
    <w:p w14:paraId="4C31B1FE">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 政府采购促进残疾人就业政策。</w:t>
      </w:r>
    </w:p>
    <w:p w14:paraId="451D774C">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 政府采购支持监狱企业发展。</w:t>
      </w:r>
    </w:p>
    <w:p w14:paraId="2103FFD2">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4.供应商参与在线投标响应 (电子竞标) 特别说明</w:t>
      </w:r>
    </w:p>
    <w:p w14:paraId="200EC776">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 响应文件提交方式：本项目为全流程电子化项目，通过“</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 (https://www.gcy.zfcg.gxzf.gov.cn/) 实行在线电子投标，供应商应先安装“</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电子交易客户端” (请自行前往 “</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”进行下载) ，并按照本项目采购文件和“</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”的要求编制、加密后在投标截止时间前通过网络上传至“</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”，供应商在“</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”提交电子版响应文件时，请填写参加远程采购活动经办人联系方式，电子响应文件具体操作流程详见《政府采购项目电子交易管理操作指南-供应商》。</w:t>
      </w:r>
    </w:p>
    <w:p w14:paraId="39F7234F">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 未进行网上注册并办理数字证书 (CA认证) 的供应商将无法参与本项目政府采购活动，潜在供应商应当在投标截止时间前，完成电子交易平台上的CA数字证书办理及响应文件的提交。完成CA 数字证书办理预计7日左右，供应商只需办理其中一家CA数字证书及签章。</w:t>
      </w:r>
    </w:p>
    <w:p w14:paraId="63BC71E4">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 为确保网上操作合法、有效和安全，请供应商确保在电子响应过程中能够对相关数据电文进行加密和使用电子签章，妥善保管CA数字证书并使用有效的CA数字证书参与整个采购活动。</w:t>
      </w:r>
    </w:p>
    <w:p w14:paraId="42EB379E">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 供应商应当在首次响应文件提交截止时间前完成电子响应文件的上传、递交，响应文件提交 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”将予以拒收。</w:t>
      </w:r>
    </w:p>
    <w:p w14:paraId="4DDFEBA9">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 若对项目采购电子交易系统操作有疑问，可登陆“</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 xml:space="preserve">”(https://www.gcy.zfcg.gxzf.gov.cn/) ，点击右侧咨询小采，获取采小蜜智能服务管家帮助，或拨打广西政府采购云平台服务热线95763获取热线服务帮助。     </w:t>
      </w:r>
    </w:p>
    <w:p w14:paraId="2BC6C761">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D1B4B8">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17"/>
    <w:p w14:paraId="3C09AB81">
      <w:pPr>
        <w:keepNext w:val="0"/>
        <w:keepLines w:val="0"/>
        <w:pageBreakBefore w:val="0"/>
        <w:widowControl w:val="0"/>
        <w:kinsoku/>
        <w:wordWrap/>
        <w:overflowPunct w:val="0"/>
        <w:topLinePunct w:val="0"/>
        <w:autoSpaceDE w:val="0"/>
        <w:autoSpaceDN w:val="0"/>
        <w:bidi w:val="0"/>
        <w:adjustRightInd w:val="0"/>
        <w:snapToGrid w:val="0"/>
        <w:spacing w:line="460" w:lineRule="exact"/>
        <w:ind w:left="34"/>
        <w:textAlignment w:val="baseline"/>
        <w:rPr>
          <w:rFonts w:hint="eastAsia" w:eastAsia="宋体"/>
          <w:lang w:eastAsia="zh-CN"/>
        </w:rPr>
      </w:pPr>
      <w:r>
        <w:rPr>
          <w:rFonts w:ascii="宋体" w:hAnsi="宋体" w:eastAsia="宋体" w:cs="宋体"/>
          <w:spacing w:val="10"/>
          <w:position w:val="2"/>
          <w:sz w:val="28"/>
          <w:szCs w:val="28"/>
          <w14:textOutline w14:w="3795" w14:cap="sq" w14:cmpd="sng">
            <w14:solidFill>
              <w14:srgbClr w14:val="000000"/>
            </w14:solidFill>
            <w14:prstDash w14:val="solid"/>
            <w14:bevel/>
          </w14:textOutline>
        </w:rPr>
        <w:t>七、对本次采购提出询问，请按以下方式联系</w:t>
      </w:r>
    </w:p>
    <w:p w14:paraId="058402E3">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1.采购人信息</w:t>
      </w:r>
    </w:p>
    <w:p w14:paraId="784DB39F">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名称:柳城县六塘镇人民政府</w:t>
      </w:r>
    </w:p>
    <w:p w14:paraId="5D941224">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地址:柳州市柳城县六塘镇六塘街</w:t>
      </w:r>
    </w:p>
    <w:p w14:paraId="1A83F716">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项目联系人:包晨熹</w:t>
      </w:r>
    </w:p>
    <w:p w14:paraId="53FCFADD">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联系电话:</w:t>
      </w:r>
      <w:r>
        <w:rPr>
          <w:rFonts w:ascii="仿宋" w:hAnsi="仿宋" w:eastAsia="仿宋" w:cs="仿宋"/>
          <w:i w:val="0"/>
          <w:iCs w:val="0"/>
          <w:caps w:val="0"/>
          <w:color w:val="000000"/>
          <w:spacing w:val="0"/>
          <w:sz w:val="27"/>
          <w:szCs w:val="27"/>
          <w:highlight w:val="none"/>
        </w:rPr>
        <w:t>0772-7713750</w:t>
      </w:r>
      <w:r>
        <w:rPr>
          <w:rFonts w:hint="eastAsia" w:ascii="仿宋" w:hAnsi="仿宋" w:eastAsia="仿宋" w:cs="仿宋"/>
          <w:i w:val="0"/>
          <w:iCs w:val="0"/>
          <w:caps w:val="0"/>
          <w:color w:val="000000"/>
          <w:spacing w:val="0"/>
          <w:sz w:val="27"/>
          <w:szCs w:val="27"/>
          <w:highlight w:val="none"/>
        </w:rPr>
        <w:t> </w:t>
      </w:r>
    </w:p>
    <w:p w14:paraId="746BEB13">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2.采购代理机</w:t>
      </w:r>
      <w:r>
        <w:rPr>
          <w:rFonts w:hint="eastAsia" w:asciiTheme="minorEastAsia" w:hAnsiTheme="minorEastAsia" w:eastAsiaTheme="minorEastAsia" w:cstheme="minorEastAsia"/>
          <w:snapToGrid/>
          <w:color w:val="auto"/>
          <w:kern w:val="2"/>
          <w:sz w:val="24"/>
          <w:szCs w:val="24"/>
          <w:lang w:val="en-US" w:eastAsia="zh-CN" w:bidi="ar-SA"/>
        </w:rPr>
        <w:t>构信息</w:t>
      </w:r>
    </w:p>
    <w:p w14:paraId="4B3115A2">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名    称：广西嘉华建设项目管理咨询有限公司</w:t>
      </w:r>
    </w:p>
    <w:p w14:paraId="644AEC6B">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    址：</w:t>
      </w:r>
      <w:bookmarkStart w:id="18" w:name="OLE_LINK24"/>
      <w:r>
        <w:rPr>
          <w:rFonts w:hint="eastAsia" w:asciiTheme="minorEastAsia" w:hAnsiTheme="minorEastAsia" w:eastAsiaTheme="minorEastAsia" w:cstheme="minorEastAsia"/>
          <w:snapToGrid/>
          <w:color w:val="auto"/>
          <w:kern w:val="2"/>
          <w:sz w:val="24"/>
          <w:szCs w:val="24"/>
          <w:lang w:val="en-US" w:eastAsia="zh-CN" w:bidi="ar-SA"/>
        </w:rPr>
        <w:t>柳州市学院路36号聚福苑西门商业楼3栋2层2号</w:t>
      </w:r>
    </w:p>
    <w:bookmarkEnd w:id="18"/>
    <w:p w14:paraId="68745DCE">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default"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项目联系人：邓雅婷、韦文妃</w:t>
      </w:r>
    </w:p>
    <w:p w14:paraId="2C51D5FB">
      <w:pPr>
        <w:keepNext w:val="0"/>
        <w:keepLines w:val="0"/>
        <w:pageBreakBefore w:val="0"/>
        <w:widowControl w:val="0"/>
        <w:kinsoku/>
        <w:wordWrap/>
        <w:overflowPunct w:val="0"/>
        <w:topLinePunct w:val="0"/>
        <w:autoSpaceDE w:val="0"/>
        <w:autoSpaceDN w:val="0"/>
        <w:bidi w:val="0"/>
        <w:adjustRightInd/>
        <w:snapToGrid/>
        <w:spacing w:line="460" w:lineRule="exact"/>
        <w:ind w:firstLine="480" w:firstLineChars="200"/>
        <w:jc w:val="both"/>
        <w:textAlignment w:val="auto"/>
        <w:rPr>
          <w:rFonts w:hint="default"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项目联系方式：0772-2990831</w:t>
      </w:r>
    </w:p>
    <w:p w14:paraId="22B32CE1">
      <w:pPr>
        <w:keepNext w:val="0"/>
        <w:keepLines w:val="0"/>
        <w:pageBreakBefore w:val="0"/>
        <w:widowControl w:val="0"/>
        <w:numPr>
          <w:ilvl w:val="0"/>
          <w:numId w:val="0"/>
        </w:numPr>
        <w:kinsoku/>
        <w:wordWrap/>
        <w:overflowPunct w:val="0"/>
        <w:topLinePunct w:val="0"/>
        <w:autoSpaceDE w:val="0"/>
        <w:autoSpaceDN w:val="0"/>
        <w:bidi w:val="0"/>
        <w:spacing w:before="65" w:line="270" w:lineRule="exact"/>
        <w:rPr>
          <w:rFonts w:ascii="宋体" w:hAnsi="宋体" w:eastAsia="宋体" w:cs="宋体"/>
          <w:spacing w:val="7"/>
          <w:position w:val="1"/>
          <w:sz w:val="20"/>
          <w:szCs w:val="20"/>
        </w:rPr>
      </w:pPr>
    </w:p>
    <w:p w14:paraId="4A102DFF">
      <w:pPr>
        <w:keepNext w:val="0"/>
        <w:keepLines w:val="0"/>
        <w:pageBreakBefore w:val="0"/>
        <w:widowControl w:val="0"/>
        <w:kinsoku/>
        <w:wordWrap/>
        <w:overflowPunct w:val="0"/>
        <w:topLinePunct w:val="0"/>
        <w:autoSpaceDE w:val="0"/>
        <w:autoSpaceDN w:val="0"/>
        <w:bidi w:val="0"/>
        <w:spacing w:line="104" w:lineRule="exact"/>
      </w:pPr>
    </w:p>
    <w:p w14:paraId="725945F1">
      <w:pPr>
        <w:keepNext w:val="0"/>
        <w:keepLines w:val="0"/>
        <w:pageBreakBefore w:val="0"/>
        <w:widowControl w:val="0"/>
        <w:kinsoku/>
        <w:wordWrap/>
        <w:overflowPunct w:val="0"/>
        <w:topLinePunct w:val="0"/>
        <w:autoSpaceDE w:val="0"/>
        <w:autoSpaceDN w:val="0"/>
        <w:bidi w:val="0"/>
        <w:sectPr>
          <w:footerReference r:id="rId6" w:type="default"/>
          <w:pgSz w:w="11906" w:h="16838"/>
          <w:pgMar w:top="1134" w:right="1304" w:bottom="1134" w:left="1304" w:header="0" w:footer="675" w:gutter="0"/>
          <w:pgNumType w:fmt="decimal" w:start="1"/>
          <w:cols w:space="425" w:num="1"/>
          <w:rtlGutter w:val="0"/>
          <w:docGrid w:linePitch="0" w:charSpace="0"/>
        </w:sectPr>
      </w:pPr>
    </w:p>
    <w:p w14:paraId="5D4B789E">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19" w:name="_Toc11410"/>
      <w:bookmarkStart w:id="20" w:name="_Toc11294"/>
      <w:bookmarkStart w:id="21" w:name="_Toc32652"/>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第二章  供应商须知</w:t>
      </w:r>
      <w:bookmarkEnd w:id="19"/>
      <w:bookmarkEnd w:id="20"/>
      <w:bookmarkEnd w:id="21"/>
    </w:p>
    <w:p w14:paraId="30A12E48">
      <w:pPr>
        <w:keepNext w:val="0"/>
        <w:keepLines w:val="0"/>
        <w:pageBreakBefore w:val="0"/>
        <w:widowControl w:val="0"/>
        <w:kinsoku/>
        <w:wordWrap/>
        <w:overflowPunct w:val="0"/>
        <w:topLinePunct w:val="0"/>
        <w:autoSpaceDE w:val="0"/>
        <w:autoSpaceDN w:val="0"/>
        <w:bidi w:val="0"/>
        <w:spacing w:line="107" w:lineRule="exact"/>
      </w:pPr>
    </w:p>
    <w:tbl>
      <w:tblPr>
        <w:tblStyle w:val="30"/>
        <w:tblW w:w="93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8424"/>
      </w:tblGrid>
      <w:tr w14:paraId="683E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305" w:type="dxa"/>
            <w:gridSpan w:val="2"/>
            <w:tcMar>
              <w:top w:w="57" w:type="dxa"/>
              <w:left w:w="57" w:type="dxa"/>
              <w:bottom w:w="57" w:type="dxa"/>
              <w:right w:w="57" w:type="dxa"/>
            </w:tcMar>
            <w:vAlign w:val="top"/>
          </w:tcPr>
          <w:p w14:paraId="788F77E5">
            <w:pPr>
              <w:keepNext w:val="0"/>
              <w:keepLines w:val="0"/>
              <w:pageBreakBefore w:val="0"/>
              <w:widowControl w:val="0"/>
              <w:kinsoku/>
              <w:wordWrap/>
              <w:overflowPunct w:val="0"/>
              <w:topLinePunct w:val="0"/>
              <w:autoSpaceDE w:val="0"/>
              <w:autoSpaceDN w:val="0"/>
              <w:bidi w:val="0"/>
              <w:adjustRightInd w:val="0"/>
              <w:snapToGrid w:val="0"/>
              <w:spacing w:before="72" w:line="228" w:lineRule="auto"/>
              <w:ind w:firstLine="0" w:firstLineChars="0"/>
              <w:jc w:val="center"/>
              <w:textAlignment w:val="baseline"/>
              <w:outlineLvl w:val="1"/>
              <w:rPr>
                <w:rFonts w:hint="eastAsia" w:asciiTheme="minorEastAsia" w:hAnsiTheme="minorEastAsia" w:eastAsiaTheme="minorEastAsia" w:cstheme="minorEastAsia"/>
                <w:sz w:val="24"/>
                <w:szCs w:val="24"/>
                <w:lang w:val="en-US" w:eastAsia="zh-CN"/>
              </w:rPr>
            </w:pPr>
            <w:bookmarkStart w:id="22" w:name="_Toc11269"/>
            <w:bookmarkStart w:id="23" w:name="_Toc4485"/>
            <w:r>
              <w:rPr>
                <w:rFonts w:hint="eastAsia" w:asciiTheme="minorEastAsia" w:hAnsiTheme="minorEastAsia" w:eastAsiaTheme="minorEastAsia" w:cstheme="minorEastAsia"/>
                <w:b/>
                <w:bCs/>
                <w:sz w:val="24"/>
                <w:szCs w:val="24"/>
                <w:lang w:val="en-US" w:eastAsia="zh-CN"/>
              </w:rPr>
              <w:t>供应商须知前附表</w:t>
            </w:r>
            <w:bookmarkEnd w:id="22"/>
            <w:bookmarkEnd w:id="23"/>
          </w:p>
        </w:tc>
      </w:tr>
      <w:tr w14:paraId="4EAF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81" w:type="dxa"/>
            <w:tcMar>
              <w:top w:w="57" w:type="dxa"/>
              <w:left w:w="57" w:type="dxa"/>
              <w:bottom w:w="57" w:type="dxa"/>
              <w:right w:w="57" w:type="dxa"/>
            </w:tcMar>
            <w:vAlign w:val="top"/>
          </w:tcPr>
          <w:p w14:paraId="1893F654">
            <w:pPr>
              <w:keepNext w:val="0"/>
              <w:keepLines w:val="0"/>
              <w:pageBreakBefore w:val="0"/>
              <w:widowControl w:val="0"/>
              <w:kinsoku/>
              <w:wordWrap/>
              <w:overflowPunct w:val="0"/>
              <w:topLinePunct w:val="0"/>
              <w:autoSpaceDE w:val="0"/>
              <w:autoSpaceDN w:val="0"/>
              <w:bidi w:val="0"/>
              <w:snapToGrid w:val="0"/>
              <w:spacing w:line="360" w:lineRule="auto"/>
              <w:ind w:firstLine="202"/>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序号</w:t>
            </w:r>
          </w:p>
        </w:tc>
        <w:tc>
          <w:tcPr>
            <w:tcW w:w="8424" w:type="dxa"/>
            <w:tcMar>
              <w:top w:w="57" w:type="dxa"/>
              <w:left w:w="57" w:type="dxa"/>
              <w:bottom w:w="57" w:type="dxa"/>
              <w:right w:w="57" w:type="dxa"/>
            </w:tcMar>
            <w:vAlign w:val="top"/>
          </w:tcPr>
          <w:p w14:paraId="5EE586D4">
            <w:pPr>
              <w:keepNext w:val="0"/>
              <w:keepLines w:val="0"/>
              <w:pageBreakBefore w:val="0"/>
              <w:widowControl w:val="0"/>
              <w:kinsoku/>
              <w:wordWrap/>
              <w:overflowPunct w:val="0"/>
              <w:topLinePunct w:val="0"/>
              <w:autoSpaceDE w:val="0"/>
              <w:autoSpaceDN w:val="0"/>
              <w:bidi w:val="0"/>
              <w:snapToGrid w:val="0"/>
              <w:spacing w:line="360" w:lineRule="auto"/>
              <w:ind w:firstLine="3614" w:firstLineChars="150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内容、要求</w:t>
            </w:r>
          </w:p>
        </w:tc>
      </w:tr>
      <w:tr w14:paraId="15B7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81" w:type="dxa"/>
            <w:tcMar>
              <w:top w:w="57" w:type="dxa"/>
              <w:left w:w="57" w:type="dxa"/>
              <w:bottom w:w="57" w:type="dxa"/>
              <w:right w:w="57" w:type="dxa"/>
            </w:tcMar>
            <w:vAlign w:val="center"/>
          </w:tcPr>
          <w:p w14:paraId="29392BC2">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6FADCC29">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项目名称：柳城县六塘镇三界村谷里屯片区糖料蔗基地灌溉建设项目</w:t>
            </w:r>
          </w:p>
        </w:tc>
      </w:tr>
      <w:tr w14:paraId="5A9C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81" w:type="dxa"/>
            <w:tcMar>
              <w:top w:w="57" w:type="dxa"/>
              <w:left w:w="57" w:type="dxa"/>
              <w:bottom w:w="57" w:type="dxa"/>
              <w:right w:w="57" w:type="dxa"/>
            </w:tcMar>
            <w:vAlign w:val="center"/>
          </w:tcPr>
          <w:p w14:paraId="66502DC8">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78ABD80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采购资金来源</w:t>
            </w:r>
            <w:r>
              <w:rPr>
                <w:rFonts w:hint="eastAsia" w:asciiTheme="minorEastAsia" w:hAnsiTheme="minorEastAsia" w:eastAsiaTheme="minorEastAsia" w:cstheme="minorEastAsia"/>
                <w:snapToGrid/>
                <w:color w:val="auto"/>
                <w:kern w:val="2"/>
                <w:sz w:val="24"/>
                <w:szCs w:val="24"/>
                <w:highlight w:val="none"/>
                <w:lang w:val="en-US" w:eastAsia="zh-CN" w:bidi="ar-SA"/>
              </w:rPr>
              <w:t>：财政资金</w:t>
            </w:r>
          </w:p>
        </w:tc>
      </w:tr>
      <w:tr w14:paraId="1B53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1" w:type="dxa"/>
            <w:tcMar>
              <w:top w:w="57" w:type="dxa"/>
              <w:left w:w="57" w:type="dxa"/>
              <w:bottom w:w="57" w:type="dxa"/>
              <w:right w:w="57" w:type="dxa"/>
            </w:tcMar>
            <w:vAlign w:val="center"/>
          </w:tcPr>
          <w:p w14:paraId="3CFB7DDE">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335B88A1">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供应商资格要求：详见竞争性磋商公告</w:t>
            </w:r>
          </w:p>
        </w:tc>
      </w:tr>
      <w:tr w14:paraId="795E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81" w:type="dxa"/>
            <w:tcMar>
              <w:top w:w="57" w:type="dxa"/>
              <w:left w:w="57" w:type="dxa"/>
              <w:bottom w:w="57" w:type="dxa"/>
              <w:right w:w="57" w:type="dxa"/>
            </w:tcMar>
            <w:vAlign w:val="center"/>
          </w:tcPr>
          <w:p w14:paraId="0ABA579C">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3CD0A2CE">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要求工期</w:t>
            </w:r>
            <w:r>
              <w:rPr>
                <w:rFonts w:hint="eastAsia" w:asciiTheme="minorEastAsia" w:hAnsiTheme="minorEastAsia" w:eastAsiaTheme="minorEastAsia" w:cstheme="minorEastAsia"/>
                <w:snapToGrid/>
                <w:color w:val="auto"/>
                <w:kern w:val="2"/>
                <w:sz w:val="24"/>
                <w:szCs w:val="24"/>
                <w:highlight w:val="none"/>
                <w:lang w:val="en-US" w:eastAsia="zh-CN" w:bidi="ar-SA"/>
              </w:rPr>
              <w:t>：60日历天</w:t>
            </w:r>
          </w:p>
        </w:tc>
      </w:tr>
      <w:tr w14:paraId="2FFA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81" w:type="dxa"/>
            <w:tcMar>
              <w:top w:w="57" w:type="dxa"/>
              <w:left w:w="57" w:type="dxa"/>
              <w:bottom w:w="57" w:type="dxa"/>
              <w:right w:w="57" w:type="dxa"/>
            </w:tcMar>
            <w:vAlign w:val="center"/>
          </w:tcPr>
          <w:p w14:paraId="1FC277A0">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1213A4C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质量要求：达到国家工程施工验收规范合格标准</w:t>
            </w:r>
          </w:p>
        </w:tc>
      </w:tr>
      <w:tr w14:paraId="156F3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81" w:type="dxa"/>
            <w:tcMar>
              <w:top w:w="57" w:type="dxa"/>
              <w:left w:w="57" w:type="dxa"/>
              <w:bottom w:w="57" w:type="dxa"/>
              <w:right w:w="57" w:type="dxa"/>
            </w:tcMar>
            <w:vAlign w:val="center"/>
          </w:tcPr>
          <w:p w14:paraId="596F7E06">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7CB9453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磋商保证金：本项目不收取磋商保证金。</w:t>
            </w:r>
          </w:p>
        </w:tc>
      </w:tr>
      <w:tr w14:paraId="06EB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1" w:type="dxa"/>
            <w:tcMar>
              <w:top w:w="57" w:type="dxa"/>
              <w:left w:w="57" w:type="dxa"/>
              <w:bottom w:w="57" w:type="dxa"/>
              <w:right w:w="57" w:type="dxa"/>
            </w:tcMar>
            <w:vAlign w:val="center"/>
          </w:tcPr>
          <w:p w14:paraId="033ADD1F">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083C090C">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现场考察或答疑会： 不组织。供应商自行考察现场。</w:t>
            </w:r>
          </w:p>
        </w:tc>
      </w:tr>
      <w:tr w14:paraId="7B88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1" w:type="dxa"/>
            <w:tcMar>
              <w:top w:w="57" w:type="dxa"/>
              <w:left w:w="57" w:type="dxa"/>
              <w:bottom w:w="57" w:type="dxa"/>
              <w:right w:w="57" w:type="dxa"/>
            </w:tcMar>
            <w:vAlign w:val="center"/>
          </w:tcPr>
          <w:p w14:paraId="34BDDB14">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4E35C407">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联合体投标： 不接受联合体投标</w:t>
            </w:r>
          </w:p>
        </w:tc>
      </w:tr>
      <w:tr w14:paraId="2F5A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81" w:type="dxa"/>
            <w:tcMar>
              <w:top w:w="57" w:type="dxa"/>
              <w:left w:w="57" w:type="dxa"/>
              <w:bottom w:w="57" w:type="dxa"/>
              <w:right w:w="57" w:type="dxa"/>
            </w:tcMar>
            <w:vAlign w:val="center"/>
          </w:tcPr>
          <w:p w14:paraId="4E0E8D43">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10955D9F">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是否允许分包： 不允许分包</w:t>
            </w:r>
          </w:p>
        </w:tc>
      </w:tr>
      <w:tr w14:paraId="47E99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81" w:type="dxa"/>
            <w:tcMar>
              <w:top w:w="57" w:type="dxa"/>
              <w:left w:w="57" w:type="dxa"/>
              <w:bottom w:w="57" w:type="dxa"/>
              <w:right w:w="57" w:type="dxa"/>
            </w:tcMar>
            <w:vAlign w:val="center"/>
          </w:tcPr>
          <w:p w14:paraId="6C862D59">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4C399E6E">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响应文件有效期：投标截止日期后 60 天</w:t>
            </w:r>
          </w:p>
        </w:tc>
      </w:tr>
      <w:tr w14:paraId="5D7C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81" w:type="dxa"/>
            <w:tcMar>
              <w:top w:w="57" w:type="dxa"/>
              <w:left w:w="57" w:type="dxa"/>
              <w:bottom w:w="57" w:type="dxa"/>
              <w:right w:w="57" w:type="dxa"/>
            </w:tcMar>
            <w:vAlign w:val="center"/>
          </w:tcPr>
          <w:p w14:paraId="49DB5D9E">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40DF26A5">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响应文件组成： 资格文件、报价文件、商务技术文件。</w:t>
            </w:r>
          </w:p>
          <w:p w14:paraId="3F7456FE">
            <w:pPr>
              <w:keepNext w:val="0"/>
              <w:keepLines w:val="0"/>
              <w:pageBreakBefore w:val="0"/>
              <w:widowControl w:val="0"/>
              <w:kinsoku/>
              <w:wordWrap/>
              <w:overflowPunct w:val="0"/>
              <w:topLinePunct w:val="0"/>
              <w:autoSpaceDE w:val="0"/>
              <w:autoSpaceDN w:val="0"/>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t>1.资格文件</w:t>
            </w:r>
          </w:p>
          <w:p w14:paraId="63708B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bCs/>
                <w:sz w:val="24"/>
                <w:szCs w:val="24"/>
                <w:highlight w:val="none"/>
              </w:rPr>
              <w:t>供应商资格声明函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7F646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基本情况表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0B2D7B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有效的营业执照</w:t>
            </w:r>
            <w:r>
              <w:rPr>
                <w:rFonts w:hint="eastAsia" w:asciiTheme="minorEastAsia" w:hAnsiTheme="minorEastAsia" w:eastAsiaTheme="minorEastAsia" w:cstheme="minorEastAsia"/>
                <w:color w:val="auto"/>
                <w:sz w:val="24"/>
                <w:szCs w:val="24"/>
                <w:highlight w:val="none"/>
                <w:lang w:eastAsia="zh-CN"/>
              </w:rPr>
              <w:t>复印件；</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4FB05E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中小企业声明函或者残疾人福利性单位声明函或者供应商属于监狱企业的证明材料；</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796F2A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建设工程项目管理承诺书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0EF2A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sz w:val="24"/>
                <w:szCs w:val="24"/>
                <w:highlight w:val="none"/>
              </w:rPr>
              <w:t>供应商特定资格要求的资格证明材料</w:t>
            </w:r>
            <w:r>
              <w:rPr>
                <w:rFonts w:hint="eastAsia" w:asciiTheme="minorEastAsia" w:hAnsiTheme="minorEastAsia" w:eastAsiaTheme="minorEastAsia" w:cstheme="minorEastAsia"/>
                <w:b/>
                <w:bCs/>
                <w:sz w:val="24"/>
                <w:szCs w:val="24"/>
                <w:highlight w:val="none"/>
                <w:lang w:eastAsia="zh-CN"/>
              </w:rPr>
              <w:t>：</w:t>
            </w:r>
            <w:r>
              <w:rPr>
                <w:rFonts w:hint="default" w:ascii="Calibri" w:hAnsi="Calibri" w:cs="Calibri" w:eastAsiaTheme="minorEastAsia"/>
                <w:snapToGrid/>
                <w:color w:val="auto"/>
                <w:kern w:val="2"/>
                <w:sz w:val="24"/>
                <w:szCs w:val="24"/>
                <w:lang w:val="en-US" w:eastAsia="zh-CN" w:bidi="ar-SA"/>
              </w:rPr>
              <w:t>①</w:t>
            </w:r>
            <w:r>
              <w:rPr>
                <w:rFonts w:hint="eastAsia" w:asciiTheme="minorEastAsia" w:hAnsiTheme="minorEastAsia" w:eastAsiaTheme="minorEastAsia" w:cstheme="minorEastAsia"/>
                <w:snapToGrid/>
                <w:color w:val="auto"/>
                <w:kern w:val="2"/>
                <w:sz w:val="24"/>
                <w:szCs w:val="24"/>
                <w:highlight w:val="none"/>
                <w:lang w:val="en-US" w:eastAsia="zh-CN" w:bidi="ar-SA"/>
              </w:rPr>
              <w:t>具有</w:t>
            </w:r>
            <w:r>
              <w:rPr>
                <w:rFonts w:hint="eastAsia" w:ascii="宋体" w:hAnsi="宋体" w:eastAsia="宋体" w:cs="宋体"/>
                <w:b/>
                <w:bCs/>
                <w:snapToGrid w:val="0"/>
                <w:color w:val="000000"/>
                <w:kern w:val="0"/>
                <w:sz w:val="24"/>
                <w:szCs w:val="24"/>
                <w:u w:val="single"/>
                <w:lang w:val="en-US" w:eastAsia="zh-CN" w:bidi="ar"/>
              </w:rPr>
              <w:t>水利水电工程施工总承包叁级(含）以上</w:t>
            </w:r>
            <w:r>
              <w:rPr>
                <w:rFonts w:hint="eastAsia" w:asciiTheme="minorEastAsia" w:hAnsiTheme="minorEastAsia" w:eastAsiaTheme="minorEastAsia" w:cstheme="minorEastAsia"/>
                <w:snapToGrid/>
                <w:color w:val="auto"/>
                <w:kern w:val="2"/>
                <w:sz w:val="24"/>
                <w:szCs w:val="24"/>
                <w:highlight w:val="none"/>
                <w:lang w:val="en-US" w:eastAsia="zh-CN" w:bidi="ar-SA"/>
              </w:rPr>
              <w:t>资质，</w:t>
            </w:r>
            <w:r>
              <w:rPr>
                <w:rFonts w:hint="eastAsia" w:ascii="宋体" w:hAnsi="宋体" w:eastAsia="宋体" w:cs="宋体"/>
                <w:snapToGrid w:val="0"/>
                <w:color w:val="000000"/>
                <w:kern w:val="0"/>
                <w:sz w:val="24"/>
                <w:szCs w:val="24"/>
                <w:lang w:val="en-US" w:eastAsia="zh-CN" w:bidi="ar"/>
              </w:rPr>
              <w:t>具有省级及以上建设行政主管部门颁发的安全生产许可证</w:t>
            </w:r>
            <w:r>
              <w:rPr>
                <w:rFonts w:hint="eastAsia" w:asciiTheme="minorEastAsia" w:hAnsiTheme="minorEastAsia" w:eastAsiaTheme="minorEastAsia" w:cstheme="minorEastAsia"/>
                <w:snapToGrid/>
                <w:color w:val="auto"/>
                <w:kern w:val="2"/>
                <w:sz w:val="24"/>
                <w:szCs w:val="24"/>
                <w:highlight w:val="none"/>
                <w:lang w:val="en-US" w:eastAsia="zh-CN" w:bidi="ar-SA"/>
              </w:rPr>
              <w:t>；并在人员、设备、资金等方面具备相应的施工能力。其中，供应商拟派项目经理须具备</w:t>
            </w:r>
            <w:r>
              <w:rPr>
                <w:rFonts w:hint="eastAsia" w:ascii="宋体" w:hAnsi="宋体" w:eastAsia="宋体" w:cs="宋体"/>
                <w:b/>
                <w:bCs/>
                <w:snapToGrid w:val="0"/>
                <w:color w:val="000000"/>
                <w:kern w:val="0"/>
                <w:sz w:val="24"/>
                <w:szCs w:val="24"/>
                <w:u w:val="single"/>
                <w:lang w:val="en-US" w:eastAsia="zh-CN" w:bidi="ar"/>
              </w:rPr>
              <w:t>水利水电工程专业贰级(含)以上</w:t>
            </w:r>
            <w:r>
              <w:rPr>
                <w:rFonts w:hint="eastAsia" w:ascii="宋体" w:hAnsi="宋体" w:eastAsia="宋体" w:cs="宋体"/>
                <w:snapToGrid w:val="0"/>
                <w:color w:val="000000"/>
                <w:kern w:val="0"/>
                <w:sz w:val="24"/>
                <w:szCs w:val="24"/>
                <w:lang w:val="en-US" w:eastAsia="zh-CN" w:bidi="ar"/>
              </w:rPr>
              <w:t>注册建造师执业资格、</w:t>
            </w:r>
            <w:r>
              <w:rPr>
                <w:rFonts w:hint="eastAsia" w:ascii="宋体" w:hAnsi="宋体" w:eastAsia="宋体" w:cs="宋体"/>
                <w:b w:val="0"/>
                <w:bCs w:val="0"/>
                <w:snapToGrid w:val="0"/>
                <w:color w:val="000000"/>
                <w:kern w:val="0"/>
                <w:sz w:val="24"/>
                <w:szCs w:val="24"/>
                <w:lang w:val="en-US" w:eastAsia="zh-CN" w:bidi="ar"/>
              </w:rPr>
              <w:t>安全生产考核合格证书(B类)</w:t>
            </w:r>
            <w:r>
              <w:rPr>
                <w:rFonts w:hint="eastAsia" w:asciiTheme="minorEastAsia" w:hAnsiTheme="minorEastAsia" w:eastAsiaTheme="minorEastAsia" w:cstheme="minorEastAsia"/>
                <w:snapToGrid/>
                <w:color w:val="auto"/>
                <w:kern w:val="2"/>
                <w:sz w:val="24"/>
                <w:szCs w:val="24"/>
                <w:lang w:val="en-US" w:eastAsia="zh-CN" w:bidi="ar-SA"/>
              </w:rPr>
              <w:t>。专职安全员要求:拟派专职安全员须具备有效的安全生产考核合格证书(C类)；②本项目不接受有在建、已中标未开工或已列为其他项目中标候选人第一名的建造师作为项目经理）(符合桂建管〔 2013 〕17号文、桂建管﹝2014﹞25号文和桂建管﹝2016﹞70 除外。</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958C2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文件规定必须提供以外，供应商认为需要提供的其他证明材料；</w:t>
            </w:r>
          </w:p>
          <w:p w14:paraId="5DE35848">
            <w:pPr>
              <w:keepNext w:val="0"/>
              <w:keepLines w:val="0"/>
              <w:pageBreakBefore w:val="0"/>
              <w:widowControl w:val="0"/>
              <w:kinsoku/>
              <w:wordWrap/>
              <w:overflowPunct w:val="0"/>
              <w:topLinePunct w:val="0"/>
              <w:autoSpaceDE w:val="0"/>
              <w:autoSpaceDN w:val="0"/>
              <w:bidi w:val="0"/>
              <w:adjustRightInd/>
              <w:snapToGrid w:val="0"/>
              <w:spacing w:line="360" w:lineRule="auto"/>
              <w:ind w:firstLine="520" w:firstLineChars="200"/>
              <w:jc w:val="both"/>
              <w:textAlignment w:val="auto"/>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4"/>
                <w:szCs w:val="24"/>
                <w:lang w:val="en-US" w:eastAsia="zh-CN"/>
                <w14:textOutline w14:w="3795" w14:cap="sq" w14:cmpd="sng">
                  <w14:solidFill>
                    <w14:srgbClr w14:val="000000"/>
                  </w14:solidFill>
                  <w14:prstDash w14:val="solid"/>
                  <w14:bevel/>
                </w14:textOutline>
              </w:rPr>
              <w:t>以上文件均须加盖供应商单位电子公章或自然人加盖手指指印，否则响应文件按无效响应处</w:t>
            </w:r>
            <w:r>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t>理。</w:t>
            </w:r>
          </w:p>
          <w:p w14:paraId="10609F2D">
            <w:pPr>
              <w:pStyle w:val="9"/>
              <w:keepNext w:val="0"/>
              <w:keepLines w:val="0"/>
              <w:pageBreakBefore w:val="0"/>
              <w:wordWrap/>
              <w:topLinePunct w:val="0"/>
              <w:bidi w:val="0"/>
              <w:snapToGrid w:val="0"/>
              <w:spacing w:after="0" w:line="360" w:lineRule="auto"/>
              <w:rPr>
                <w:rFonts w:hint="eastAsia" w:asciiTheme="minorEastAsia" w:hAnsiTheme="minorEastAsia" w:eastAsiaTheme="minorEastAsia" w:cstheme="minorEastAsia"/>
                <w:lang w:val="en-US" w:eastAsia="zh-CN"/>
              </w:rPr>
            </w:pPr>
          </w:p>
          <w:p w14:paraId="64FEFA77">
            <w:pPr>
              <w:keepNext w:val="0"/>
              <w:keepLines w:val="0"/>
              <w:pageBreakBefore w:val="0"/>
              <w:widowControl w:val="0"/>
              <w:kinsoku/>
              <w:wordWrap/>
              <w:overflowPunct w:val="0"/>
              <w:topLinePunct w:val="0"/>
              <w:autoSpaceDE w:val="0"/>
              <w:autoSpaceDN w:val="0"/>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t>2.报价文件</w:t>
            </w:r>
          </w:p>
          <w:p w14:paraId="313AD2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Arial"/>
                <w:sz w:val="24"/>
                <w:szCs w:val="24"/>
              </w:rPr>
            </w:pPr>
            <w:r>
              <w:rPr>
                <w:rFonts w:hint="eastAsia" w:asciiTheme="minorEastAsia" w:hAnsiTheme="minorEastAsia" w:eastAsiaTheme="minorEastAsia" w:cstheme="minorEastAsia"/>
                <w:snapToGrid/>
                <w:color w:val="auto"/>
                <w:kern w:val="2"/>
                <w:sz w:val="24"/>
                <w:szCs w:val="24"/>
                <w:lang w:val="en-US" w:eastAsia="zh-CN" w:bidi="ar-SA"/>
              </w:rPr>
              <w:t>(1)报价</w:t>
            </w:r>
            <w:r>
              <w:rPr>
                <w:rFonts w:hint="eastAsia" w:ascii="宋体" w:hAnsi="宋体" w:eastAsia="宋体" w:cs="宋体"/>
                <w:color w:val="auto"/>
                <w:kern w:val="0"/>
                <w:sz w:val="24"/>
                <w:szCs w:val="24"/>
                <w:highlight w:val="none"/>
                <w:lang w:eastAsia="zh-CN"/>
              </w:rPr>
              <w:t>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（必须提供，否则响应文件按无效响应处理）</w:t>
            </w:r>
          </w:p>
          <w:p w14:paraId="6E9FE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(2)投标函；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0316BA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(3)投标函附录；</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236224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(4)已标价</w:t>
            </w:r>
            <w:r>
              <w:rPr>
                <w:rFonts w:hint="eastAsia" w:asciiTheme="minorEastAsia" w:hAnsiTheme="minorEastAsia" w:eastAsiaTheme="minorEastAsia" w:cstheme="minorEastAsia"/>
                <w:color w:val="auto"/>
                <w:sz w:val="24"/>
                <w:szCs w:val="24"/>
                <w:highlight w:val="none"/>
                <w:lang w:val="en-US" w:eastAsia="zh-CN"/>
              </w:rPr>
              <w:t>工程量</w:t>
            </w:r>
            <w:r>
              <w:rPr>
                <w:rFonts w:hint="eastAsia" w:asciiTheme="minorEastAsia" w:hAnsiTheme="minorEastAsia" w:eastAsiaTheme="minorEastAsia" w:cstheme="minorEastAsia"/>
                <w:snapToGrid/>
                <w:color w:val="auto"/>
                <w:kern w:val="2"/>
                <w:sz w:val="24"/>
                <w:szCs w:val="24"/>
                <w:lang w:val="en-US" w:eastAsia="zh-CN" w:bidi="ar-SA"/>
              </w:rPr>
              <w:t>清单 ；</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B8CDA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w:t>
            </w: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文件规定必须提供以外，供应商认为需要提供的其他证明材料；</w:t>
            </w:r>
          </w:p>
          <w:p w14:paraId="5E1D2F10">
            <w:pPr>
              <w:keepNext w:val="0"/>
              <w:keepLines w:val="0"/>
              <w:pageBreakBefore w:val="0"/>
              <w:widowControl w:val="0"/>
              <w:kinsoku/>
              <w:wordWrap/>
              <w:overflowPunct w:val="0"/>
              <w:topLinePunct w:val="0"/>
              <w:autoSpaceDE w:val="0"/>
              <w:autoSpaceDN w:val="0"/>
              <w:bidi w:val="0"/>
              <w:adjustRightInd/>
              <w:snapToGrid w:val="0"/>
              <w:spacing w:line="360" w:lineRule="auto"/>
              <w:ind w:firstLine="520" w:firstLineChars="200"/>
              <w:jc w:val="both"/>
              <w:textAlignment w:val="auto"/>
              <w:rPr>
                <w:rFonts w:hint="eastAsia" w:asciiTheme="minorEastAsia" w:hAnsiTheme="minorEastAsia" w:eastAsiaTheme="minorEastAsia" w:cstheme="minorEastAsia"/>
                <w:spacing w:val="10"/>
                <w:position w:val="2"/>
                <w:sz w:val="24"/>
                <w:szCs w:val="24"/>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4"/>
                <w:szCs w:val="24"/>
                <w:lang w:val="en-US" w:eastAsia="zh-CN"/>
                <w14:textOutline w14:w="3795" w14:cap="sq" w14:cmpd="sng">
                  <w14:solidFill>
                    <w14:srgbClr w14:val="000000"/>
                  </w14:solidFill>
                  <w14:prstDash w14:val="solid"/>
                  <w14:bevel/>
                </w14:textOutline>
              </w:rPr>
              <w:t>以上文件均须加盖供应商单位电子公章或自然人加盖手指指印，否则响应文件按无效响应处理。</w:t>
            </w:r>
          </w:p>
          <w:p w14:paraId="02EA20C2">
            <w:pPr>
              <w:pStyle w:val="12"/>
              <w:keepNext w:val="0"/>
              <w:keepLines w:val="0"/>
              <w:pageBreakBefore w:val="0"/>
              <w:wordWrap/>
              <w:topLinePunct w:val="0"/>
              <w:bidi w:val="0"/>
              <w:snapToGrid w:val="0"/>
              <w:spacing w:line="360" w:lineRule="auto"/>
              <w:rPr>
                <w:rFonts w:hint="eastAsia" w:asciiTheme="minorEastAsia" w:hAnsiTheme="minorEastAsia" w:eastAsiaTheme="minorEastAsia" w:cstheme="minorEastAsia"/>
                <w:lang w:val="en-US" w:eastAsia="zh-CN"/>
              </w:rPr>
            </w:pPr>
          </w:p>
          <w:p w14:paraId="0B730A83">
            <w:pPr>
              <w:keepNext w:val="0"/>
              <w:keepLines w:val="0"/>
              <w:pageBreakBefore w:val="0"/>
              <w:widowControl w:val="0"/>
              <w:kinsoku/>
              <w:wordWrap/>
              <w:overflowPunct w:val="0"/>
              <w:topLinePunct w:val="0"/>
              <w:autoSpaceDE w:val="0"/>
              <w:autoSpaceDN w:val="0"/>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8"/>
                <w:szCs w:val="28"/>
                <w:lang w:val="en-US" w:eastAsia="zh-CN"/>
                <w14:textOutline w14:w="3795" w14:cap="sq" w14:cmpd="sng">
                  <w14:solidFill>
                    <w14:srgbClr w14:val="000000"/>
                  </w14:solidFill>
                  <w14:prstDash w14:val="solid"/>
                  <w14:bevel/>
                </w14:textOutline>
              </w:rPr>
              <w:t>3.商务技术文件</w:t>
            </w:r>
          </w:p>
          <w:p w14:paraId="23564B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 法定代表人身份证明书及法定代表人有效身份证正反面复印件；</w:t>
            </w:r>
            <w:r>
              <w:rPr>
                <w:rFonts w:hint="eastAsia" w:asciiTheme="minorEastAsia" w:hAnsiTheme="minorEastAsia" w:eastAsiaTheme="minorEastAsia" w:cstheme="minorEastAsia"/>
                <w:b/>
                <w:bCs/>
                <w:snapToGrid/>
                <w:color w:val="auto"/>
                <w:kern w:val="2"/>
                <w:sz w:val="24"/>
                <w:szCs w:val="24"/>
                <w:lang w:val="en-US" w:eastAsia="zh-CN" w:bidi="ar-SA"/>
              </w:rPr>
              <w:t>（除自然人竞标外必须提供，否则响应文件按无效响应处理）</w:t>
            </w:r>
          </w:p>
          <w:p w14:paraId="1480FE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 法定代表人授权委托书及委托代理人有效身份证正反面复印件；</w:t>
            </w:r>
            <w:r>
              <w:rPr>
                <w:rFonts w:hint="eastAsia" w:asciiTheme="minorEastAsia" w:hAnsiTheme="minorEastAsia" w:eastAsiaTheme="minorEastAsia" w:cstheme="minorEastAsia"/>
                <w:b/>
                <w:bCs/>
                <w:snapToGrid/>
                <w:color w:val="auto"/>
                <w:kern w:val="2"/>
                <w:sz w:val="24"/>
                <w:szCs w:val="24"/>
                <w:lang w:val="en-US" w:eastAsia="zh-CN" w:bidi="ar-SA"/>
              </w:rPr>
              <w:t>（委托时必须提供，否则响应文件按无效响应处理）</w:t>
            </w:r>
          </w:p>
          <w:p w14:paraId="7CB58E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w:t>
            </w:r>
            <w:r>
              <w:rPr>
                <w:rFonts w:hint="eastAsia" w:asciiTheme="minorEastAsia" w:hAnsiTheme="minorEastAsia" w:eastAsiaTheme="minorEastAsia" w:cstheme="minorEastAsia"/>
                <w:snapToGrid/>
                <w:color w:val="auto"/>
                <w:kern w:val="2"/>
                <w:sz w:val="24"/>
                <w:szCs w:val="24"/>
                <w:highlight w:val="none"/>
                <w:lang w:val="en-US" w:eastAsia="zh-CN" w:bidi="ar-SA"/>
              </w:rPr>
              <w:t xml:space="preserve"> 供应商自2022年1月1日至投标截止日期止已完成且质量合格的类似项目业绩证明材料（提供施工合同和验收证明复印件）；</w:t>
            </w:r>
          </w:p>
          <w:p w14:paraId="5CBFEB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 各分部分项工程的主要施工方法；</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79F0B8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 拟投入本工程的主要施工机械设备情况；</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4BC79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(6) 劳动力安排计划；</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F1BF2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(7) 确保工程质量的技术组织措施；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7E0FEB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(8) 确保安全生产的技术组织措施；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4E076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(9) 拟配备的试验和检测仪器设备；</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7257CB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(10) 确保文明施工的技术组织措施；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54DE82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(11) 确保工期的技术组织措施；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B90C5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）项目管理机构配备情况表</w:t>
            </w:r>
            <w:r>
              <w:rPr>
                <w:rFonts w:hint="eastAsia" w:ascii="宋体" w:hAnsi="宋体" w:eastAsia="宋体" w:cs="宋体"/>
                <w:b/>
                <w:bCs/>
                <w:color w:val="auto"/>
                <w:sz w:val="24"/>
                <w:szCs w:val="24"/>
                <w:highlight w:val="none"/>
              </w:rPr>
              <w:t>（必须提供，否则响应文件按无效响应处理）</w:t>
            </w:r>
          </w:p>
          <w:p w14:paraId="2E5A32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）供应商认为需要提供的其他有关资料。</w:t>
            </w:r>
          </w:p>
          <w:p w14:paraId="2233C702">
            <w:pPr>
              <w:keepNext w:val="0"/>
              <w:keepLines w:val="0"/>
              <w:pageBreakBefore w:val="0"/>
              <w:widowControl w:val="0"/>
              <w:kinsoku/>
              <w:wordWrap/>
              <w:overflowPunct w:val="0"/>
              <w:topLinePunct w:val="0"/>
              <w:autoSpaceDE w:val="0"/>
              <w:autoSpaceDN w:val="0"/>
              <w:bidi w:val="0"/>
              <w:adjustRightInd/>
              <w:snapToGrid w:val="0"/>
              <w:spacing w:line="360" w:lineRule="auto"/>
              <w:ind w:firstLine="520" w:firstLineChars="200"/>
              <w:jc w:val="both"/>
              <w:textAlignment w:val="auto"/>
              <w:rPr>
                <w:rFonts w:hint="eastAsia" w:asciiTheme="minorEastAsia" w:hAnsiTheme="minorEastAsia" w:eastAsiaTheme="minorEastAsia" w:cstheme="minorEastAsia"/>
                <w:spacing w:val="10"/>
                <w:position w:val="2"/>
                <w:sz w:val="24"/>
                <w:szCs w:val="24"/>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2"/>
                <w:sz w:val="24"/>
                <w:szCs w:val="24"/>
                <w:lang w:val="en-US" w:eastAsia="zh-CN"/>
                <w14:textOutline w14:w="3795" w14:cap="sq" w14:cmpd="sng">
                  <w14:solidFill>
                    <w14:srgbClr w14:val="000000"/>
                  </w14:solidFill>
                  <w14:prstDash w14:val="solid"/>
                  <w14:bevel/>
                </w14:textOutline>
              </w:rPr>
              <w:t>以上文件均须加盖供应商单位电子公章或自然人加盖手指指印，否则响应文件按无效响应处理。</w:t>
            </w:r>
          </w:p>
          <w:p w14:paraId="406B4234">
            <w:pPr>
              <w:pStyle w:val="2"/>
              <w:rPr>
                <w:rFonts w:hint="eastAsia"/>
                <w:lang w:val="en-US" w:eastAsia="zh-CN"/>
              </w:rPr>
            </w:pPr>
          </w:p>
        </w:tc>
      </w:tr>
      <w:tr w14:paraId="79375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881" w:type="dxa"/>
            <w:tcMar>
              <w:top w:w="57" w:type="dxa"/>
              <w:left w:w="57" w:type="dxa"/>
              <w:bottom w:w="57" w:type="dxa"/>
              <w:right w:w="57" w:type="dxa"/>
            </w:tcMar>
            <w:vAlign w:val="center"/>
          </w:tcPr>
          <w:p w14:paraId="3F48FA51">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07F28133">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最高限价：</w:t>
            </w:r>
          </w:p>
          <w:p w14:paraId="47DF5F88">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t xml:space="preserve">人民币壹佰零玖万伍仟贰佰贰拾柒元零角零分（￥1092256.61元） </w:t>
            </w:r>
          </w:p>
          <w:p w14:paraId="24AA7079">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t>投标报价须小于等于最高限价，否则投标无效。</w:t>
            </w:r>
          </w:p>
        </w:tc>
      </w:tr>
      <w:tr w14:paraId="7905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881" w:type="dxa"/>
            <w:tcMar>
              <w:top w:w="57" w:type="dxa"/>
              <w:left w:w="57" w:type="dxa"/>
              <w:bottom w:w="57" w:type="dxa"/>
              <w:right w:w="57" w:type="dxa"/>
            </w:tcMar>
            <w:vAlign w:val="center"/>
          </w:tcPr>
          <w:p w14:paraId="2D3822FE">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190A589F">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响应文件报价要求：</w:t>
            </w:r>
          </w:p>
          <w:p w14:paraId="2AEF3308">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1.本项目应以人民币报价；</w:t>
            </w:r>
          </w:p>
          <w:p w14:paraId="475708FC">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2.供应商须就《工程量清单》中的所有内容作完整唯一报价报价，符合</w:t>
            </w:r>
            <w:r>
              <w:rPr>
                <w:rFonts w:ascii="宋体" w:hAnsi="宋体" w:eastAsia="宋体"/>
                <w:b/>
                <w:color w:val="auto"/>
                <w:sz w:val="24"/>
                <w:szCs w:val="24"/>
                <w:highlight w:val="none"/>
                <w:lang w:eastAsia="zh-CN"/>
              </w:rPr>
              <w:t>工程量清单报价表填写规定</w:t>
            </w:r>
            <w:r>
              <w:rPr>
                <w:rFonts w:hint="eastAsia" w:asciiTheme="minorEastAsia" w:hAnsiTheme="minorEastAsia" w:eastAsiaTheme="minorEastAsia" w:cstheme="minorEastAsia"/>
                <w:snapToGrid/>
                <w:color w:val="auto"/>
                <w:kern w:val="2"/>
                <w:sz w:val="24"/>
                <w:szCs w:val="24"/>
                <w:lang w:val="en-US" w:eastAsia="zh-CN" w:bidi="ar-SA"/>
              </w:rPr>
              <w:t>；</w:t>
            </w:r>
          </w:p>
          <w:p w14:paraId="2053CCBC">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3.不论磋商结果如何，供应商均应自行承担所有与磋商有关的全部费用；</w:t>
            </w:r>
          </w:p>
        </w:tc>
      </w:tr>
      <w:tr w14:paraId="3E34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881" w:type="dxa"/>
            <w:tcMar>
              <w:top w:w="57" w:type="dxa"/>
              <w:left w:w="57" w:type="dxa"/>
              <w:bottom w:w="57" w:type="dxa"/>
              <w:right w:w="57" w:type="dxa"/>
            </w:tcMar>
            <w:vAlign w:val="center"/>
          </w:tcPr>
          <w:p w14:paraId="7F82FC19">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25AAB909">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电子响应文件的制作、加密：</w:t>
            </w:r>
          </w:p>
          <w:p w14:paraId="2849A693">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1、供应商制作电子响应文件前，应登陆“</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”进行“申请获取采购文件”操作，否则，有可能导致无法在线编制响应文件并参与投标，其不利后果由供应商自行承担。</w:t>
            </w:r>
          </w:p>
          <w:p w14:paraId="0B0FFDF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2、供应商下载或获取磋商文件后，登录“广西政府采购云平台电子投标客户端”，按照本磋商文件规定的响应文件格式、顺序以及“</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”的要求，通过“广西政府采购云平台电子投标客户端”编制电子响应文件 。</w:t>
            </w:r>
          </w:p>
          <w:p w14:paraId="5478E3A9">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3、供应商应按“广西政府采购云平台电子投标客户端”载明的“标书关联”功能进行电子响应文件的关联定位，以便评标小组在评审时点击相应评审项可直接定位到该评审内容； 如供应商的电子响应文件未能关联定位相应内容，或者关联定位的内容与该评审项不符，导致评标小组无法查询并做出对供应商不利的评审，相关后果由供应商自行承担 。</w:t>
            </w:r>
          </w:p>
          <w:p w14:paraId="1650270C">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4、电子响应文件不得涂改，若有修改错漏处，须由法定代表人(负责人、 自然人)或授权委托代理人通过“广西政府采购云平台电子投标客户端”采用广西政府采购云平台个人CA证书签章，没有办理广西政府采购云平台个人CA证书签章的 ，在响应文件中响应位置手写签字后扫描或者拍照做成 PDF 的格式上传 。因响应文件字迹潦草、表达不清、 内容不完整、编排混乱导致响应文件被误读、漏读， 或者在按磋商文件规定的部位查找不到相关内容的，其不利后果由供应商自行承担。</w:t>
            </w:r>
          </w:p>
          <w:p w14:paraId="75A65F26">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5、供应商编制、生成电子响应文件后应当加密响应文件。供应商未按规定编制并加密的响应文件，“</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”将予以拒收。</w:t>
            </w:r>
          </w:p>
        </w:tc>
      </w:tr>
      <w:tr w14:paraId="7717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81" w:type="dxa"/>
            <w:tcMar>
              <w:top w:w="57" w:type="dxa"/>
              <w:left w:w="57" w:type="dxa"/>
              <w:bottom w:w="57" w:type="dxa"/>
              <w:right w:w="57" w:type="dxa"/>
            </w:tcMar>
            <w:vAlign w:val="center"/>
          </w:tcPr>
          <w:p w14:paraId="76D55663">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3BC390EB">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首次响应文件开启时间</w:t>
            </w:r>
          </w:p>
          <w:p w14:paraId="55906512">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时间：详见竞争性磋商公告</w:t>
            </w:r>
          </w:p>
          <w:p w14:paraId="00A969A9">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地点：详见竞争性磋商公告</w:t>
            </w:r>
          </w:p>
          <w:p w14:paraId="33E8451F">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磋商时间：（首次电子响应文件递交截止时间后，具体时间由采购代理机构另行通知。）</w:t>
            </w:r>
          </w:p>
          <w:p w14:paraId="134677C3">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地点：广西政府采购云平台（https://www.gcy.zfcg.gxzf.gov.cn/）。</w:t>
            </w:r>
          </w:p>
          <w:p w14:paraId="0DC6635D">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供应商应当在首次响应文件提交截止时间前完成电子响应文件的上传、递交，响应文件提交截止时间前可以补充、修改或者撤回响应文件。补充或者修改响应文件的，应当先行撤回原文件，补充、修改后重新上传、递交 。投标截止时间前未完成上传、递交的，视为撤回响应文件。响应文件提交截止时间以后上传递交的响应文件的，“</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”将予以拒收。</w:t>
            </w:r>
          </w:p>
        </w:tc>
      </w:tr>
      <w:tr w14:paraId="3742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881" w:type="dxa"/>
            <w:tcMar>
              <w:top w:w="57" w:type="dxa"/>
              <w:left w:w="57" w:type="dxa"/>
              <w:bottom w:w="57" w:type="dxa"/>
              <w:right w:w="57" w:type="dxa"/>
            </w:tcMar>
            <w:vAlign w:val="center"/>
          </w:tcPr>
          <w:p w14:paraId="118584CD">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1F9968DB">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本项目的工程量清单和施工设计图纸由潜在供应商在“</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”自行下载。</w:t>
            </w:r>
          </w:p>
        </w:tc>
      </w:tr>
      <w:tr w14:paraId="34BD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1" w:type="dxa"/>
            <w:tcMar>
              <w:top w:w="57" w:type="dxa"/>
              <w:left w:w="57" w:type="dxa"/>
              <w:bottom w:w="57" w:type="dxa"/>
              <w:right w:w="57" w:type="dxa"/>
            </w:tcMar>
            <w:vAlign w:val="center"/>
          </w:tcPr>
          <w:p w14:paraId="449715E7">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25585CB5">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评标办法及评分标准： 综合评分法</w:t>
            </w:r>
          </w:p>
        </w:tc>
      </w:tr>
      <w:tr w14:paraId="6E88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81" w:type="dxa"/>
            <w:tcMar>
              <w:top w:w="57" w:type="dxa"/>
              <w:left w:w="57" w:type="dxa"/>
              <w:bottom w:w="57" w:type="dxa"/>
              <w:right w:w="57" w:type="dxa"/>
            </w:tcMar>
            <w:vAlign w:val="center"/>
          </w:tcPr>
          <w:p w14:paraId="03CAF7AA">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5A23BEBE">
            <w:pPr>
              <w:spacing w:line="400" w:lineRule="exact"/>
              <w:ind w:firstLine="720" w:firstLineChars="300"/>
              <w:jc w:val="left"/>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t>履约保证金：是</w:t>
            </w:r>
          </w:p>
          <w:p w14:paraId="2506FE30">
            <w:pPr>
              <w:spacing w:line="400" w:lineRule="exact"/>
              <w:ind w:firstLine="480" w:firstLineChars="200"/>
              <w:jc w:val="left"/>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t>履约保证金的形式：可以采用现金、银行保函、银行转账、工程担保、电子保函或保证保险等形式【备注：严禁要求中标人只能以现金方式提交保证金的行为】</w:t>
            </w:r>
          </w:p>
          <w:p w14:paraId="67A816AD">
            <w:pPr>
              <w:spacing w:line="400" w:lineRule="exact"/>
              <w:ind w:firstLine="480" w:firstLineChars="200"/>
              <w:jc w:val="left"/>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t>履约保证金的金额：暂定合同总价的2%作为履约保证金。</w:t>
            </w:r>
          </w:p>
          <w:p w14:paraId="60FBDC67">
            <w:pPr>
              <w:spacing w:line="400" w:lineRule="exact"/>
              <w:ind w:firstLine="480" w:firstLineChars="200"/>
              <w:jc w:val="left"/>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highlight w:val="none"/>
                <w:lang w:val="en-US" w:eastAsia="zh-CN" w:bidi="ar-SA"/>
                <w14:textFill>
                  <w14:solidFill>
                    <w14:schemeClr w14:val="tx1"/>
                  </w14:solidFill>
                </w14:textFill>
              </w:rPr>
              <w:t>投标人在收到中标通知书后，须在15日内向招标人足额提交履约保证金，否则招标人可以取消其中标资格。</w:t>
            </w:r>
          </w:p>
        </w:tc>
      </w:tr>
      <w:tr w14:paraId="192BD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81" w:type="dxa"/>
            <w:tcMar>
              <w:top w:w="57" w:type="dxa"/>
              <w:left w:w="57" w:type="dxa"/>
              <w:bottom w:w="57" w:type="dxa"/>
              <w:right w:w="57" w:type="dxa"/>
            </w:tcMar>
            <w:vAlign w:val="center"/>
          </w:tcPr>
          <w:p w14:paraId="5E9D2E7E">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78D83425">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t>发布媒体：详见竞争性磋商公告</w:t>
            </w:r>
          </w:p>
        </w:tc>
      </w:tr>
      <w:tr w14:paraId="64AB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881" w:type="dxa"/>
            <w:tcMar>
              <w:top w:w="57" w:type="dxa"/>
              <w:left w:w="57" w:type="dxa"/>
              <w:bottom w:w="57" w:type="dxa"/>
              <w:right w:w="57" w:type="dxa"/>
            </w:tcMar>
            <w:vAlign w:val="center"/>
          </w:tcPr>
          <w:p w14:paraId="12DC2EB7">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2D05E086">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中标公告及中标通知书：采购代理机构在采购人依法确认成交供应商后两个工作日内发布成交公告和成交通知书。</w:t>
            </w:r>
          </w:p>
        </w:tc>
      </w:tr>
      <w:tr w14:paraId="1BDF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81" w:type="dxa"/>
            <w:tcMar>
              <w:top w:w="57" w:type="dxa"/>
              <w:left w:w="57" w:type="dxa"/>
              <w:bottom w:w="57" w:type="dxa"/>
              <w:right w:w="57" w:type="dxa"/>
            </w:tcMar>
            <w:vAlign w:val="center"/>
          </w:tcPr>
          <w:p w14:paraId="73F9A0C9">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09DBC2D0">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签订合同时间： 中标通知书发出之日起二十五日内。</w:t>
            </w:r>
          </w:p>
        </w:tc>
      </w:tr>
      <w:tr w14:paraId="7709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1" w:type="dxa"/>
            <w:tcMar>
              <w:top w:w="57" w:type="dxa"/>
              <w:left w:w="57" w:type="dxa"/>
              <w:bottom w:w="57" w:type="dxa"/>
              <w:right w:w="57" w:type="dxa"/>
            </w:tcMar>
            <w:vAlign w:val="center"/>
          </w:tcPr>
          <w:p w14:paraId="006655EF">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367B89ED">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政府采购合同公告：根据《中华人民共和国政府采购法实施条例》 第五十条规定，采购人应当自政府采购合同签订之日起2个工作日内，将政府采购合同在省级以上人民政府财政部门指定的媒体上公告，但政府采购合同中涉及国家秘密、商业秘密的内容除外。 因此请各供应商应在响应文件中注明投标内容中涉及商业秘密的部分，未注明的视为响应文件中不涉及商业秘密。</w:t>
            </w:r>
          </w:p>
        </w:tc>
      </w:tr>
      <w:tr w14:paraId="3AB6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1" w:type="dxa"/>
            <w:tcMar>
              <w:top w:w="57" w:type="dxa"/>
              <w:left w:w="57" w:type="dxa"/>
              <w:bottom w:w="57" w:type="dxa"/>
              <w:right w:w="57" w:type="dxa"/>
            </w:tcMar>
            <w:vAlign w:val="center"/>
          </w:tcPr>
          <w:p w14:paraId="44439770">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59894A1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解释：构成本磋商文件的各个组成文件应互为解释，互为说明；除磋商文件中有特别规定外，仅适用于竞标阶段的规定，按更正公告（澄清公告）、竞争性磋商公告、供应商须知、工程量清单、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D59F184">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EEF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4" w:hRule="atLeast"/>
        </w:trPr>
        <w:tc>
          <w:tcPr>
            <w:tcW w:w="881" w:type="dxa"/>
            <w:tcMar>
              <w:top w:w="57" w:type="dxa"/>
              <w:left w:w="57" w:type="dxa"/>
              <w:bottom w:w="57" w:type="dxa"/>
              <w:right w:w="57" w:type="dxa"/>
            </w:tcMar>
            <w:vAlign w:val="center"/>
          </w:tcPr>
          <w:p w14:paraId="3964CEDF">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5E71CBC2">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1、参与电子投标的准备工作：</w:t>
            </w:r>
          </w:p>
          <w:p w14:paraId="2F13FA6D">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( 1) 响应文件提交方式：本项目为全流程电子化项目 ，通过 “</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 (</w:t>
            </w:r>
            <w:r>
              <w:rPr>
                <w:rFonts w:hint="eastAsia" w:asciiTheme="minorEastAsia" w:hAnsiTheme="minorEastAsia" w:eastAsiaTheme="minorEastAsia" w:cstheme="minorEastAsia"/>
                <w:snapToGrid/>
                <w:color w:val="auto"/>
                <w:kern w:val="2"/>
                <w:sz w:val="24"/>
                <w:szCs w:val="24"/>
                <w:lang w:val="en-US" w:eastAsia="zh-CN" w:bidi="ar-SA"/>
              </w:rPr>
              <w:fldChar w:fldCharType="begin"/>
            </w:r>
            <w:r>
              <w:rPr>
                <w:rFonts w:hint="eastAsia" w:asciiTheme="minorEastAsia" w:hAnsiTheme="minorEastAsia" w:eastAsiaTheme="minorEastAsia" w:cstheme="minorEastAsia"/>
                <w:snapToGrid/>
                <w:color w:val="auto"/>
                <w:kern w:val="2"/>
                <w:sz w:val="24"/>
                <w:szCs w:val="24"/>
                <w:lang w:val="en-US" w:eastAsia="zh-CN" w:bidi="ar-SA"/>
              </w:rPr>
              <w:instrText xml:space="preserve"> HYPERLINK "https://www.gcy.zfcg.gxzf.gov.cn/" </w:instrText>
            </w:r>
            <w:r>
              <w:rPr>
                <w:rFonts w:hint="eastAsia" w:asciiTheme="minorEastAsia" w:hAnsiTheme="minorEastAsia" w:eastAsiaTheme="minorEastAsia" w:cstheme="minorEastAsia"/>
                <w:snapToGrid/>
                <w:color w:val="auto"/>
                <w:kern w:val="2"/>
                <w:sz w:val="24"/>
                <w:szCs w:val="24"/>
                <w:lang w:val="en-US" w:eastAsia="zh-CN" w:bidi="ar-SA"/>
              </w:rPr>
              <w:fldChar w:fldCharType="separate"/>
            </w:r>
            <w:r>
              <w:rPr>
                <w:rFonts w:hint="eastAsia" w:asciiTheme="minorEastAsia" w:hAnsiTheme="minorEastAsia" w:eastAsiaTheme="minorEastAsia" w:cstheme="minorEastAsia"/>
                <w:snapToGrid/>
                <w:color w:val="auto"/>
                <w:kern w:val="2"/>
                <w:sz w:val="24"/>
                <w:szCs w:val="24"/>
                <w:lang w:val="en-US" w:eastAsia="zh-CN" w:bidi="ar-SA"/>
              </w:rPr>
              <w:fldChar w:fldCharType="begin"/>
            </w:r>
            <w:r>
              <w:rPr>
                <w:rFonts w:hint="eastAsia" w:asciiTheme="minorEastAsia" w:hAnsiTheme="minorEastAsia" w:eastAsiaTheme="minorEastAsia" w:cstheme="minorEastAsia"/>
                <w:snapToGrid/>
                <w:color w:val="auto"/>
                <w:kern w:val="2"/>
                <w:sz w:val="24"/>
                <w:szCs w:val="24"/>
                <w:lang w:val="en-US" w:eastAsia="zh-CN" w:bidi="ar-SA"/>
              </w:rPr>
              <w:instrText xml:space="preserve"> HYPERLINK "https://www.gcy.zfcg.gxzf.gov.cn/" </w:instrText>
            </w:r>
            <w:r>
              <w:rPr>
                <w:rFonts w:hint="eastAsia" w:asciiTheme="minorEastAsia" w:hAnsiTheme="minorEastAsia" w:eastAsiaTheme="minorEastAsia" w:cstheme="minorEastAsia"/>
                <w:snapToGrid/>
                <w:color w:val="auto"/>
                <w:kern w:val="2"/>
                <w:sz w:val="24"/>
                <w:szCs w:val="24"/>
                <w:lang w:val="en-US" w:eastAsia="zh-CN" w:bidi="ar-SA"/>
              </w:rPr>
              <w:fldChar w:fldCharType="separate"/>
            </w:r>
            <w:r>
              <w:rPr>
                <w:rFonts w:hint="eastAsia" w:asciiTheme="minorEastAsia" w:hAnsiTheme="minorEastAsia" w:eastAsiaTheme="minorEastAsia" w:cstheme="minorEastAsia"/>
                <w:snapToGrid/>
                <w:color w:val="auto"/>
                <w:kern w:val="2"/>
                <w:sz w:val="24"/>
                <w:szCs w:val="24"/>
                <w:lang w:val="en-US" w:eastAsia="zh-CN" w:bidi="ar-SA"/>
              </w:rPr>
              <w:t>https://www.gcy.z fcg.gx zf.gov.cn/</w:t>
            </w:r>
            <w:r>
              <w:rPr>
                <w:rFonts w:hint="eastAsia" w:asciiTheme="minorEastAsia" w:hAnsiTheme="minorEastAsia" w:eastAsiaTheme="minorEastAsia" w:cstheme="minorEastAsia"/>
                <w:snapToGrid/>
                <w:color w:val="auto"/>
                <w:kern w:val="2"/>
                <w:sz w:val="24"/>
                <w:szCs w:val="24"/>
                <w:lang w:val="en-US" w:eastAsia="zh-CN" w:bidi="ar-SA"/>
              </w:rPr>
              <w:fldChar w:fldCharType="end"/>
            </w:r>
            <w:r>
              <w:rPr>
                <w:rFonts w:hint="eastAsia" w:asciiTheme="minorEastAsia" w:hAnsiTheme="minorEastAsia" w:eastAsiaTheme="minorEastAsia" w:cstheme="minorEastAsia"/>
                <w:snapToGrid/>
                <w:color w:val="auto"/>
                <w:kern w:val="2"/>
                <w:sz w:val="24"/>
                <w:szCs w:val="24"/>
                <w:lang w:val="en-US" w:eastAsia="zh-CN" w:bidi="ar-SA"/>
              </w:rPr>
              <w:t>/</w:t>
            </w:r>
            <w:r>
              <w:rPr>
                <w:rFonts w:hint="eastAsia" w:asciiTheme="minorEastAsia" w:hAnsiTheme="minorEastAsia" w:eastAsiaTheme="minorEastAsia" w:cstheme="minorEastAsia"/>
                <w:snapToGrid/>
                <w:color w:val="auto"/>
                <w:kern w:val="2"/>
                <w:sz w:val="24"/>
                <w:szCs w:val="24"/>
                <w:lang w:val="en-US" w:eastAsia="zh-CN" w:bidi="ar-SA"/>
              </w:rPr>
              <w:fldChar w:fldCharType="end"/>
            </w:r>
            <w:r>
              <w:rPr>
                <w:rFonts w:hint="eastAsia" w:asciiTheme="minorEastAsia" w:hAnsiTheme="minorEastAsia" w:eastAsiaTheme="minorEastAsia" w:cstheme="minorEastAsia"/>
                <w:snapToGrid/>
                <w:color w:val="auto"/>
                <w:kern w:val="2"/>
                <w:sz w:val="24"/>
                <w:szCs w:val="24"/>
                <w:lang w:val="en-US" w:eastAsia="zh-CN" w:bidi="ar-SA"/>
              </w:rPr>
              <w:t xml:space="preserve"> ) 实行在线电子投标，供应商应先安装“广西政府采购云平台电子交易客户端” (请自行前往“</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”进行下载) ，并按照本项目采购文件和“广西政府采购云平台”平台的要求编制、 加密后在投标截止时间前通过网络上传至</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，供应商在“</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”提交电子版响应文件时，请填写参加远程采购活动经办人联系方式，电子响应文件具体 操作流程详见《政府采购项目电子交易管理操作指南-供应商》。</w:t>
            </w:r>
          </w:p>
          <w:p w14:paraId="6A1B3D39">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 未进行网上注册并办理数字证书(CA认证) 的供应商将无法参与本项目政府采购活动， 潜在供应商应当在投标截止时间前，完成电子交易平台上的CA数字证书办理 (申领流程见本公告附件2) 及响应文件的提交 。完成CA数字证书办理预计7日左右，供应商只需办理其中一家CA数字证书及签章。</w:t>
            </w:r>
          </w:p>
          <w:p w14:paraId="61E2D536">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 为确保网上操作合法、有效和安全，请供应商确保在电子响应过程中能够对相关数据电文进行加密和使用电子签章，妥善保管CA数字证书并使用有效的CA数字证书参与整个采购活动。</w:t>
            </w:r>
          </w:p>
          <w:p w14:paraId="727E065C">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2、CA证书在线解密：响应文件开启时，须要供应商携带制作响应文件时用来加密的有效数字证书 (CA认证) 登录“</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”电子开标大厅现场按规定时间对加密的响应文件进行解密，否则后果自负。</w:t>
            </w:r>
          </w:p>
          <w:p w14:paraId="39BE78E6">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3、若对项目采购电子交易系统操作有疑问，可登陆“</w:t>
            </w:r>
            <w:r>
              <w:rPr>
                <w:rFonts w:hint="eastAsia" w:asciiTheme="minorEastAsia" w:hAnsiTheme="minorEastAsia" w:eastAsiaTheme="minorEastAsia" w:cstheme="minorEastAsia"/>
                <w:spacing w:val="10"/>
                <w:sz w:val="24"/>
                <w:szCs w:val="24"/>
                <w:lang w:val="en-US" w:eastAsia="zh-CN"/>
              </w:rPr>
              <w:t>广西</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10"/>
                <w:sz w:val="24"/>
                <w:szCs w:val="24"/>
                <w:lang w:val="en-US" w:eastAsia="zh-CN"/>
              </w:rPr>
              <w:t>府</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10"/>
                <w:sz w:val="24"/>
                <w:szCs w:val="24"/>
                <w:lang w:val="en-US" w:eastAsia="zh-CN"/>
              </w:rPr>
              <w:t>购</w:t>
            </w:r>
            <w:r>
              <w:rPr>
                <w:rFonts w:hint="eastAsia" w:asciiTheme="minorEastAsia" w:hAnsiTheme="minorEastAsia" w:eastAsiaTheme="minorEastAsia" w:cstheme="minorEastAsia"/>
                <w:spacing w:val="10"/>
                <w:sz w:val="24"/>
                <w:szCs w:val="24"/>
              </w:rPr>
              <w:t>云平台</w:t>
            </w:r>
            <w:r>
              <w:rPr>
                <w:rFonts w:hint="eastAsia" w:asciiTheme="minorEastAsia" w:hAnsiTheme="minorEastAsia" w:eastAsiaTheme="minorEastAsia" w:cstheme="minorEastAsia"/>
                <w:snapToGrid/>
                <w:color w:val="auto"/>
                <w:kern w:val="2"/>
                <w:sz w:val="24"/>
                <w:szCs w:val="24"/>
                <w:lang w:val="en-US" w:eastAsia="zh-CN" w:bidi="ar-SA"/>
              </w:rPr>
              <w:t>”(</w:t>
            </w:r>
            <w:r>
              <w:rPr>
                <w:rFonts w:hint="eastAsia" w:asciiTheme="minorEastAsia" w:hAnsiTheme="minorEastAsia" w:eastAsiaTheme="minorEastAsia" w:cstheme="minorEastAsia"/>
                <w:snapToGrid/>
                <w:color w:val="auto"/>
                <w:kern w:val="2"/>
                <w:sz w:val="24"/>
                <w:szCs w:val="24"/>
                <w:lang w:val="en-US" w:eastAsia="zh-CN" w:bidi="ar-SA"/>
              </w:rPr>
              <w:fldChar w:fldCharType="begin"/>
            </w:r>
            <w:r>
              <w:rPr>
                <w:rFonts w:hint="eastAsia" w:asciiTheme="minorEastAsia" w:hAnsiTheme="minorEastAsia" w:eastAsiaTheme="minorEastAsia" w:cstheme="minorEastAsia"/>
                <w:snapToGrid/>
                <w:color w:val="auto"/>
                <w:kern w:val="2"/>
                <w:sz w:val="24"/>
                <w:szCs w:val="24"/>
                <w:lang w:val="en-US" w:eastAsia="zh-CN" w:bidi="ar-SA"/>
              </w:rPr>
              <w:instrText xml:space="preserve"> HYPERLINK "https://www.gcy.zfcg.gxzf.gov.cn/" </w:instrText>
            </w:r>
            <w:r>
              <w:rPr>
                <w:rFonts w:hint="eastAsia" w:asciiTheme="minorEastAsia" w:hAnsiTheme="minorEastAsia" w:eastAsiaTheme="minorEastAsia" w:cstheme="minorEastAsia"/>
                <w:snapToGrid/>
                <w:color w:val="auto"/>
                <w:kern w:val="2"/>
                <w:sz w:val="24"/>
                <w:szCs w:val="24"/>
                <w:lang w:val="en-US" w:eastAsia="zh-CN" w:bidi="ar-SA"/>
              </w:rPr>
              <w:fldChar w:fldCharType="separate"/>
            </w:r>
            <w:r>
              <w:rPr>
                <w:rFonts w:hint="eastAsia" w:asciiTheme="minorEastAsia" w:hAnsiTheme="minorEastAsia" w:eastAsiaTheme="minorEastAsia" w:cstheme="minorEastAsia"/>
                <w:snapToGrid/>
                <w:color w:val="auto"/>
                <w:kern w:val="2"/>
                <w:sz w:val="24"/>
                <w:szCs w:val="24"/>
                <w:lang w:val="en-US" w:eastAsia="zh-CN" w:bidi="ar-SA"/>
              </w:rPr>
              <w:fldChar w:fldCharType="begin"/>
            </w:r>
            <w:r>
              <w:rPr>
                <w:rFonts w:hint="eastAsia" w:asciiTheme="minorEastAsia" w:hAnsiTheme="minorEastAsia" w:eastAsiaTheme="minorEastAsia" w:cstheme="minorEastAsia"/>
                <w:snapToGrid/>
                <w:color w:val="auto"/>
                <w:kern w:val="2"/>
                <w:sz w:val="24"/>
                <w:szCs w:val="24"/>
                <w:lang w:val="en-US" w:eastAsia="zh-CN" w:bidi="ar-SA"/>
              </w:rPr>
              <w:instrText xml:space="preserve"> HYPERLINK "https://www.gcy.zfcg.gxzf.gov.cn/" </w:instrText>
            </w:r>
            <w:r>
              <w:rPr>
                <w:rFonts w:hint="eastAsia" w:asciiTheme="minorEastAsia" w:hAnsiTheme="minorEastAsia" w:eastAsiaTheme="minorEastAsia" w:cstheme="minorEastAsia"/>
                <w:snapToGrid/>
                <w:color w:val="auto"/>
                <w:kern w:val="2"/>
                <w:sz w:val="24"/>
                <w:szCs w:val="24"/>
                <w:lang w:val="en-US" w:eastAsia="zh-CN" w:bidi="ar-SA"/>
              </w:rPr>
              <w:fldChar w:fldCharType="separate"/>
            </w:r>
            <w:r>
              <w:rPr>
                <w:rFonts w:hint="eastAsia" w:asciiTheme="minorEastAsia" w:hAnsiTheme="minorEastAsia" w:eastAsiaTheme="minorEastAsia" w:cstheme="minorEastAsia"/>
                <w:snapToGrid/>
                <w:color w:val="auto"/>
                <w:kern w:val="2"/>
                <w:sz w:val="24"/>
                <w:szCs w:val="24"/>
                <w:lang w:val="en-US" w:eastAsia="zh-CN" w:bidi="ar-SA"/>
              </w:rPr>
              <w:t>https://www.gcy.z fcg.gx zf.gov.cn/</w:t>
            </w:r>
            <w:r>
              <w:rPr>
                <w:rFonts w:hint="eastAsia" w:asciiTheme="minorEastAsia" w:hAnsiTheme="minorEastAsia" w:eastAsiaTheme="minorEastAsia" w:cstheme="minorEastAsia"/>
                <w:snapToGrid/>
                <w:color w:val="auto"/>
                <w:kern w:val="2"/>
                <w:sz w:val="24"/>
                <w:szCs w:val="24"/>
                <w:lang w:val="en-US" w:eastAsia="zh-CN" w:bidi="ar-SA"/>
              </w:rPr>
              <w:fldChar w:fldCharType="end"/>
            </w:r>
            <w:r>
              <w:rPr>
                <w:rFonts w:hint="eastAsia" w:asciiTheme="minorEastAsia" w:hAnsiTheme="minorEastAsia" w:eastAsiaTheme="minorEastAsia" w:cstheme="minorEastAsia"/>
                <w:snapToGrid/>
                <w:color w:val="auto"/>
                <w:kern w:val="2"/>
                <w:sz w:val="24"/>
                <w:szCs w:val="24"/>
                <w:lang w:val="en-US" w:eastAsia="zh-CN" w:bidi="ar-SA"/>
              </w:rPr>
              <w:t>/</w:t>
            </w:r>
            <w:r>
              <w:rPr>
                <w:rFonts w:hint="eastAsia" w:asciiTheme="minorEastAsia" w:hAnsiTheme="minorEastAsia" w:eastAsiaTheme="minorEastAsia" w:cstheme="minorEastAsia"/>
                <w:snapToGrid/>
                <w:color w:val="auto"/>
                <w:kern w:val="2"/>
                <w:sz w:val="24"/>
                <w:szCs w:val="24"/>
                <w:lang w:val="en-US" w:eastAsia="zh-CN" w:bidi="ar-SA"/>
              </w:rPr>
              <w:fldChar w:fldCharType="end"/>
            </w:r>
            <w:r>
              <w:rPr>
                <w:rFonts w:hint="eastAsia" w:asciiTheme="minorEastAsia" w:hAnsiTheme="minorEastAsia" w:eastAsiaTheme="minorEastAsia" w:cstheme="minorEastAsia"/>
                <w:snapToGrid/>
                <w:color w:val="auto"/>
                <w:kern w:val="2"/>
                <w:sz w:val="24"/>
                <w:szCs w:val="24"/>
                <w:lang w:val="en-US" w:eastAsia="zh-CN" w:bidi="ar-SA"/>
              </w:rPr>
              <w:t>)，点击右侧咨询小采，获取采小蜜智能服务管家帮助，或拨打广西政府采购云平台服务热线95763获取热线服务帮助。</w:t>
            </w:r>
          </w:p>
        </w:tc>
      </w:tr>
      <w:tr w14:paraId="028A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81" w:type="dxa"/>
            <w:tcMar>
              <w:top w:w="57" w:type="dxa"/>
              <w:left w:w="57" w:type="dxa"/>
              <w:bottom w:w="57" w:type="dxa"/>
              <w:right w:w="57" w:type="dxa"/>
            </w:tcMar>
            <w:vAlign w:val="center"/>
          </w:tcPr>
          <w:p w14:paraId="65723489">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3E551B4D">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招标代理服务费：参照发改价格[2011]534号《国家发展改革委调整招标代理服务收费标准》计取，由成交人在领取成交通知书时，一次性向招标代理机构支付。</w:t>
            </w:r>
          </w:p>
          <w:p w14:paraId="52F6E4DB">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银行账户名称：广西嘉华建设项目管理咨询有限公司柳州桂中分公司；</w:t>
            </w:r>
          </w:p>
          <w:p w14:paraId="4B63ECAD">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开户银行：上海浦东发展银行柳州分行；</w:t>
            </w:r>
          </w:p>
          <w:p w14:paraId="7DA399B0">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 xml:space="preserve">银行账号：5501 0078  8011  0000  0352。 </w:t>
            </w:r>
          </w:p>
        </w:tc>
      </w:tr>
      <w:tr w14:paraId="35AA2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1" w:type="dxa"/>
            <w:tcMar>
              <w:top w:w="57" w:type="dxa"/>
              <w:left w:w="57" w:type="dxa"/>
              <w:bottom w:w="57" w:type="dxa"/>
              <w:right w:w="57" w:type="dxa"/>
            </w:tcMar>
            <w:vAlign w:val="center"/>
          </w:tcPr>
          <w:p w14:paraId="67A18958">
            <w:pPr>
              <w:keepNext w:val="0"/>
              <w:keepLines w:val="0"/>
              <w:pageBreakBefore w:val="0"/>
              <w:widowControl w:val="0"/>
              <w:numPr>
                <w:ilvl w:val="0"/>
                <w:numId w:val="1"/>
              </w:numPr>
              <w:kinsoku/>
              <w:wordWrap/>
              <w:overflowPunct w:val="0"/>
              <w:topLinePunct w:val="0"/>
              <w:autoSpaceDE w:val="0"/>
              <w:autoSpaceDN w:val="0"/>
              <w:bidi w:val="0"/>
              <w:adjustRightInd/>
              <w:snapToGrid w:val="0"/>
              <w:spacing w:line="360" w:lineRule="auto"/>
              <w:ind w:left="425" w:leftChars="0" w:hanging="425" w:firstLineChars="0"/>
              <w:jc w:val="center"/>
              <w:textAlignment w:val="auto"/>
              <w:rPr>
                <w:rFonts w:hint="eastAsia" w:asciiTheme="minorEastAsia" w:hAnsiTheme="minorEastAsia" w:eastAsiaTheme="minorEastAsia" w:cstheme="minorEastAsia"/>
                <w:snapToGrid/>
                <w:color w:val="auto"/>
                <w:kern w:val="2"/>
                <w:sz w:val="24"/>
                <w:szCs w:val="24"/>
                <w:lang w:val="en-US" w:eastAsia="zh-CN" w:bidi="ar-SA"/>
              </w:rPr>
            </w:pPr>
          </w:p>
        </w:tc>
        <w:tc>
          <w:tcPr>
            <w:tcW w:w="8424" w:type="dxa"/>
            <w:tcMar>
              <w:top w:w="57" w:type="dxa"/>
              <w:left w:w="57" w:type="dxa"/>
              <w:bottom w:w="57" w:type="dxa"/>
              <w:right w:w="57" w:type="dxa"/>
            </w:tcMar>
            <w:vAlign w:val="top"/>
          </w:tcPr>
          <w:p w14:paraId="27504156">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供应商公章及签字：</w:t>
            </w:r>
          </w:p>
          <w:p w14:paraId="12D10F00">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1、本磋商文件中描述供应商的“公章”是指供应商通过指定电子化政府采购平台办理数字证书 (CA认证证书) 获得的以法定主体行为名称制作的电子印章。</w:t>
            </w:r>
          </w:p>
          <w:p w14:paraId="294B13EE">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2、本磋商文件中要求供应商对其电子响应文件的相关内容加盖公章的，均指采用CA证书签章。</w:t>
            </w:r>
          </w:p>
          <w:p w14:paraId="1E21613A">
            <w:pPr>
              <w:keepNext w:val="0"/>
              <w:keepLines w:val="0"/>
              <w:pageBreakBefore w:val="0"/>
              <w:widowControl w:val="0"/>
              <w:kinsoku/>
              <w:wordWrap/>
              <w:overflowPunct w:val="0"/>
              <w:topLinePunct w:val="0"/>
              <w:autoSpaceDE w:val="0"/>
              <w:autoSpaceDN w:val="0"/>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3、本磋商文件中描述供应商的“签字”是指供应商通过指定电子化政府采购平台办理数字证书 (CA认证证书)获得的以供应商法定代表人(负责人、自然人)或者委托代理人姓名制作的个人电子印章或手写签字。没有办理个人CA证书的，可以为手写签字的形式。</w:t>
            </w:r>
          </w:p>
        </w:tc>
      </w:tr>
    </w:tbl>
    <w:p w14:paraId="7E822425">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7" w:type="default"/>
          <w:pgSz w:w="11906" w:h="16838"/>
          <w:pgMar w:top="1304" w:right="1304" w:bottom="1304" w:left="1304" w:header="0" w:footer="675" w:gutter="0"/>
          <w:pgNumType w:fmt="decimal"/>
          <w:cols w:space="425" w:num="1"/>
          <w:rtlGutter w:val="0"/>
          <w:docGrid w:linePitch="0" w:charSpace="0"/>
        </w:sectPr>
      </w:pPr>
    </w:p>
    <w:p w14:paraId="0C9CEDAF">
      <w:pPr>
        <w:keepNext w:val="0"/>
        <w:keepLines w:val="0"/>
        <w:pageBreakBefore w:val="0"/>
        <w:widowControl w:val="0"/>
        <w:kinsoku/>
        <w:wordWrap/>
        <w:overflowPunct w:val="0"/>
        <w:topLinePunct w:val="0"/>
        <w:autoSpaceDE w:val="0"/>
        <w:autoSpaceDN w:val="0"/>
        <w:bidi w:val="0"/>
        <w:adjustRightInd w:val="0"/>
        <w:snapToGrid w:val="0"/>
        <w:spacing w:before="72" w:line="228" w:lineRule="auto"/>
        <w:ind w:firstLine="0" w:firstLineChars="0"/>
        <w:jc w:val="center"/>
        <w:textAlignment w:val="baseline"/>
        <w:outlineLvl w:val="1"/>
        <w:rPr>
          <w:rFonts w:hint="eastAsia" w:ascii="宋体" w:hAnsi="宋体" w:eastAsia="宋体" w:cs="宋体"/>
          <w:b/>
          <w:bCs/>
          <w:sz w:val="24"/>
          <w:szCs w:val="24"/>
          <w:lang w:val="en-US" w:eastAsia="zh-CN"/>
        </w:rPr>
      </w:pPr>
      <w:bookmarkStart w:id="24" w:name="_Toc32025"/>
      <w:bookmarkStart w:id="25" w:name="_Toc9303"/>
      <w:bookmarkStart w:id="26" w:name="_Toc32384"/>
      <w:r>
        <w:rPr>
          <w:rFonts w:hint="eastAsia" w:ascii="宋体" w:hAnsi="宋体" w:eastAsia="宋体" w:cs="宋体"/>
          <w:b/>
          <w:bCs/>
          <w:sz w:val="24"/>
          <w:szCs w:val="24"/>
          <w:lang w:val="en-US" w:eastAsia="zh-CN"/>
        </w:rPr>
        <w:t>供应商须知正文</w:t>
      </w:r>
      <w:bookmarkEnd w:id="24"/>
      <w:bookmarkEnd w:id="25"/>
      <w:bookmarkEnd w:id="26"/>
    </w:p>
    <w:p w14:paraId="25325367">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sz w:val="24"/>
          <w:szCs w:val="24"/>
          <w:highlight w:val="none"/>
        </w:rPr>
      </w:pPr>
    </w:p>
    <w:p w14:paraId="70DC5DF2">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一、总　则</w:t>
      </w:r>
    </w:p>
    <w:p w14:paraId="7A6E54F0">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 适用范围</w:t>
      </w:r>
    </w:p>
    <w:p w14:paraId="1200D60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1.1本竞争性磋商文件（以下简称磋商文件）适用于本项目的所有采购程序和环节（法律、法规另有规定的，从其规定）。</w:t>
      </w:r>
    </w:p>
    <w:p w14:paraId="69CFEBA9">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 定义</w:t>
      </w:r>
    </w:p>
    <w:p w14:paraId="1B9D4C9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2.1“采购人”是指</w:t>
      </w:r>
      <w:r>
        <w:rPr>
          <w:rFonts w:hint="eastAsia" w:ascii="宋体" w:hAnsi="宋体" w:eastAsia="宋体" w:cs="宋体"/>
          <w:sz w:val="24"/>
          <w:szCs w:val="24"/>
          <w:highlight w:val="none"/>
          <w:lang w:eastAsia="zh-CN"/>
        </w:rPr>
        <w:t>柳城县六塘镇人民政府</w:t>
      </w:r>
      <w:r>
        <w:rPr>
          <w:rFonts w:hint="eastAsia" w:ascii="宋体" w:hAnsi="宋体" w:eastAsia="宋体" w:cs="宋体"/>
          <w:sz w:val="24"/>
          <w:szCs w:val="24"/>
          <w:highlight w:val="none"/>
        </w:rPr>
        <w:t>；“采购代理机构”是指</w:t>
      </w:r>
      <w:r>
        <w:rPr>
          <w:rFonts w:hint="eastAsia" w:ascii="宋体" w:hAnsi="宋体" w:eastAsia="宋体" w:cs="宋体"/>
          <w:sz w:val="24"/>
          <w:szCs w:val="24"/>
          <w:highlight w:val="none"/>
          <w:lang w:eastAsia="zh-CN"/>
        </w:rPr>
        <w:t>广西嘉华建设项目管理咨询有限公司</w:t>
      </w:r>
      <w:r>
        <w:rPr>
          <w:rFonts w:hint="eastAsia" w:ascii="宋体" w:hAnsi="宋体" w:eastAsia="宋体" w:cs="宋体"/>
          <w:sz w:val="24"/>
          <w:szCs w:val="24"/>
          <w:highlight w:val="none"/>
        </w:rPr>
        <w:t>。</w:t>
      </w:r>
    </w:p>
    <w:p w14:paraId="35C4B95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2.2“供应商”系指响应本磋商文件要求，参加磋商的法人或其他组织或自然人。如果该供应商在本次磋商中成交，即成为“成交供应商”。</w:t>
      </w:r>
    </w:p>
    <w:p w14:paraId="149DA7F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“项目”系指供应商按竞争性磋商文件规定向采购人提供的产品和服务。</w:t>
      </w:r>
    </w:p>
    <w:p w14:paraId="3058064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“书面形式”包括是指合同书、信件和数据电文（包括电报、电传、传真、电子数据交换和电子邮件）等可以有形地表现所载内容的形式。</w:t>
      </w:r>
    </w:p>
    <w:p w14:paraId="4DDF1A6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“签字”系指表示同意、认可、承担责任或义务的行为。</w:t>
      </w:r>
    </w:p>
    <w:p w14:paraId="76E33430">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“电子响应文件”系指完整的响应文件，内容包括资格文件、报价要求文件、商务技术文件。</w:t>
      </w:r>
    </w:p>
    <w:p w14:paraId="36D9F00F">
      <w:pPr>
        <w:keepNext w:val="0"/>
        <w:keepLines w:val="0"/>
        <w:pageBreakBefore w:val="0"/>
        <w:widowControl w:val="0"/>
        <w:kinsoku/>
        <w:wordWrap/>
        <w:overflowPunct w:val="0"/>
        <w:topLinePunct w:val="0"/>
        <w:autoSpaceDE w:val="0"/>
        <w:autoSpaceDN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“实质性要求”是指磋商文件中已经指明不满足则响应文件按无效响应处理的条款，或者不能负偏离的条款，或者采购需求中带“★”的条款。</w:t>
      </w:r>
    </w:p>
    <w:p w14:paraId="7C0FFC93">
      <w:pPr>
        <w:keepNext w:val="0"/>
        <w:keepLines w:val="0"/>
        <w:pageBreakBefore w:val="0"/>
        <w:widowControl w:val="0"/>
        <w:kinsoku/>
        <w:wordWrap/>
        <w:overflowPunct w:val="0"/>
        <w:topLinePunct w:val="0"/>
        <w:autoSpaceDE w:val="0"/>
        <w:autoSpaceDN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“正偏离”，是指响应文件对磋商文件“采购需求”中有关条款作出的响应优于条款要求并有利于采购人的情形。</w:t>
      </w:r>
    </w:p>
    <w:p w14:paraId="072F0D0C">
      <w:pPr>
        <w:keepNext w:val="0"/>
        <w:keepLines w:val="0"/>
        <w:pageBreakBefore w:val="0"/>
        <w:widowControl w:val="0"/>
        <w:kinsoku/>
        <w:wordWrap/>
        <w:overflowPunct w:val="0"/>
        <w:topLinePunct w:val="0"/>
        <w:autoSpaceDE w:val="0"/>
        <w:autoSpaceDN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“负偏离”，是指响应文件对磋商文件“采购需求”中有关条款作出的响应不满足条款要求，导致采购人要求不能得到满足的情形。</w:t>
      </w:r>
    </w:p>
    <w:p w14:paraId="301E2F9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“允许负偏离的条款”是指采购需求中的不属于“实质性要求”的条款。</w:t>
      </w:r>
    </w:p>
    <w:p w14:paraId="19A217E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竞争性磋商文件中所称的“以上”、“以下”、“内”、“以内”、“届满”，包括本数；所称的“不满”、“不足”、“以外”，不包括本数。</w:t>
      </w:r>
    </w:p>
    <w:p w14:paraId="6CB31EB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2.12</w:t>
      </w:r>
      <w:r>
        <w:rPr>
          <w:rFonts w:hint="eastAsia" w:ascii="宋体" w:hAnsi="宋体" w:eastAsia="宋体" w:cs="宋体"/>
          <w:sz w:val="24"/>
          <w:szCs w:val="24"/>
          <w:highlight w:val="none"/>
        </w:rPr>
        <w:t>.本文件中的“法定代表人”若无特别说明，当供应商是企业的，是指企业法人营业执照上 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61959FA3">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 供应商的资格条件</w:t>
      </w:r>
    </w:p>
    <w:p w14:paraId="5E7E3CC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供应商资格：详见供应商须知前附表。</w:t>
      </w:r>
    </w:p>
    <w:p w14:paraId="0E3434E7">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4. 磋商费用</w:t>
      </w:r>
    </w:p>
    <w:p w14:paraId="1681F1D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4.1供应商应自行承担所有与编写和提交响应文件有关的费用，不论磋商结果如何，采购人和采购代理机构在任何情况下无义务和责任承担此类费用。</w:t>
      </w:r>
    </w:p>
    <w:p w14:paraId="784E9BF4">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5. 联合体竞标</w:t>
      </w:r>
    </w:p>
    <w:p w14:paraId="766E948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不接受联合体竞标</w:t>
      </w:r>
    </w:p>
    <w:p w14:paraId="3B2A8229">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6. 分包与转包 </w:t>
      </w:r>
    </w:p>
    <w:p w14:paraId="3C0E66C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本项目是否允许分包详见“供应商须知前附表”，本项目不允许违法分包。供应商根据竞争性磋商文件的规定和采购项目的实际情况，拟在成交后将成交项目的非主体、非关键性工作分包的，应当在响应文件中载明分包承担主体，分包承担主体应当具备相应资质条件且不得再次分包。</w:t>
      </w:r>
    </w:p>
    <w:p w14:paraId="33DC2A7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6.2根据《政府采购促进中小企业发展管理办法》（财库[2020]46号）第九条</w:t>
      </w:r>
      <w:r>
        <w:rPr>
          <w:rFonts w:hint="eastAsia" w:ascii="宋体" w:hAnsi="宋体" w:eastAsia="宋体" w:cs="宋体"/>
          <w:sz w:val="24"/>
          <w:szCs w:val="24"/>
          <w:highlight w:val="none"/>
          <w:lang w:eastAsia="zh-CN"/>
        </w:rPr>
        <w:t>和</w:t>
      </w:r>
      <w:r>
        <w:rPr>
          <w:rFonts w:hint="eastAsia" w:ascii="宋体" w:hAnsi="宋体" w:eastAsia="宋体" w:cs="宋体"/>
          <w:snapToGrid w:val="0"/>
          <w:kern w:val="0"/>
          <w:sz w:val="24"/>
          <w:szCs w:val="24"/>
          <w:highlight w:val="none"/>
        </w:rPr>
        <w:t>《关于对政府采购领域扶持中小企业的政策进行调整的通知》（柳财采〔202</w:t>
      </w:r>
      <w:r>
        <w:rPr>
          <w:rFonts w:hint="eastAsia" w:ascii="宋体" w:hAnsi="宋体" w:eastAsia="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〕18号）</w:t>
      </w:r>
      <w:r>
        <w:rPr>
          <w:rFonts w:hint="eastAsia" w:ascii="宋体" w:hAnsi="宋体" w:eastAsia="宋体" w:cs="宋体"/>
          <w:sz w:val="24"/>
          <w:szCs w:val="24"/>
          <w:highlight w:val="none"/>
        </w:rPr>
        <w:t>规定，允许大中型企业向一家或者多家小微企业分包的采购项目，对于分包意向协议约定小微企业的合同份额占到合同总金额30%以上的，采购人、采购代理机构应当对大中型企业的报价给予</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%的扣除，用扣除后的价格参加评审。接受分包的小微企业与分包企业之间存在直接控股、管理关系的，不享受价格扣除优惠政策。</w:t>
      </w:r>
    </w:p>
    <w:p w14:paraId="47751BC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6.3本项目不允许转包。</w:t>
      </w:r>
    </w:p>
    <w:p w14:paraId="2A39C887">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 特别说明</w:t>
      </w:r>
    </w:p>
    <w:p w14:paraId="214AF34A">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7.1供应商响应所使用的资格、信誉、荣誉、业绩与企业认证必须为供应商所拥有。供应商响应的采购项目负责人必须为供应商员工（或必须本供应商或其控股公司员工）。</w:t>
      </w:r>
    </w:p>
    <w:p w14:paraId="01620C4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7.2供应商应仔细阅读竞争性磋商文件的所有内容，按照竞争性磋商文件的要求提交响应文件，并对所提供的全部资料的真实性承担法律责任。</w:t>
      </w:r>
    </w:p>
    <w:p w14:paraId="7C4D525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在政府采购活动中，采购人员及相关人员与供应商有下列利害关系之一的，应当回避：</w:t>
      </w:r>
    </w:p>
    <w:p w14:paraId="7BDE1C78">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36D6CD98">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7F55131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7FAAE6F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6048FC2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20D47DC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C875A1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供应商有下列情形之一的，属于恶意串通行为：</w:t>
      </w:r>
    </w:p>
    <w:p w14:paraId="2BFA5F1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（1）供应商直接或者间接从采购人或者采购代理机构处获得其他供应商的相关信息并修改其竞标文件或者响应文件：</w:t>
      </w:r>
    </w:p>
    <w:p w14:paraId="57F8CEC3">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（2）供应商按照采购人或者采购代理机构的授意撤换、修改竞标文件或者响应文件；</w:t>
      </w:r>
    </w:p>
    <w:p w14:paraId="298241A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（3）供应商之间协商报价、技术方案等竞标文件或者响应文件的实质性内容；</w:t>
      </w:r>
    </w:p>
    <w:p w14:paraId="3FE7625C">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（4）属于同一集团、协会、商会等组织成员的供应商按照该组织要求协同参加政府采购活动；</w:t>
      </w:r>
    </w:p>
    <w:p w14:paraId="216D03C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（5）供应商之间事先约定一致抬高或者压低竞标报价,或者在招标项目中事先约定轮流以高价位或者低价位成交,或者事先约定由某一特定供应商成交,然后再参加竞标；</w:t>
      </w:r>
    </w:p>
    <w:p w14:paraId="1A199EC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（6）供应商之间商定部分供应商放弃参加政府采购活动或者放弃成交；</w:t>
      </w:r>
    </w:p>
    <w:p w14:paraId="04E9CD1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（7）供应商与采购人或者采购代理机构之间、供应商相互之间，为谋求特定供应商成交或者排斥其他供应商的其他串通行为。</w:t>
      </w:r>
    </w:p>
    <w:p w14:paraId="2B1E9231">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根据桂财采</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20</w:t>
      </w:r>
      <w:r>
        <w:rPr>
          <w:rFonts w:hint="eastAsia" w:ascii="宋体" w:hAnsi="宋体" w:eastAsia="宋体" w:cs="宋体"/>
          <w:b/>
          <w:bCs/>
          <w:sz w:val="24"/>
          <w:szCs w:val="24"/>
          <w:highlight w:val="none"/>
          <w:lang w:val="en-US" w:eastAsia="zh-CN"/>
        </w:rPr>
        <w:t>16]42号《关于防治政府采购招标中串通投标行为的通知》规定，有下列情形之一的市委供应商相互串通投标，响应文件将被视为无效。</w:t>
      </w:r>
    </w:p>
    <w:p w14:paraId="02E2746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rPr>
        <w:t>1）不同供应商的响应文件由同一单位或者个人编制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或不同投标人报名（获取文件）的IP地址一致的；</w:t>
      </w:r>
    </w:p>
    <w:p w14:paraId="7CA59CF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43B4D213">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（3）不同供应商的响应文件载明的项目人员为同一个人；</w:t>
      </w:r>
    </w:p>
    <w:p w14:paraId="73FF0CE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（4）不同供应商的响应文件异常一致或磋商报价呈规律性差异；</w:t>
      </w:r>
    </w:p>
    <w:p w14:paraId="12CD2FA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12DBD67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（6）不同供应商的磋商保证金从同一单位或者个人账户转出</w:t>
      </w:r>
    </w:p>
    <w:p w14:paraId="63DB40AA">
      <w:pPr>
        <w:keepNext w:val="0"/>
        <w:keepLines w:val="0"/>
        <w:pageBreakBefore w:val="0"/>
        <w:widowControl w:val="0"/>
        <w:kinsoku/>
        <w:wordWrap/>
        <w:overflowPunct w:val="0"/>
        <w:topLinePunct w:val="0"/>
        <w:autoSpaceDE w:val="0"/>
        <w:autoSpaceDN w:val="0"/>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关联供应商不得参加同一合同项下政府采购活动，否则响应文件将被视为无效：</w:t>
      </w:r>
    </w:p>
    <w:p w14:paraId="3B4B5753">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（1）单位负责人为同一人或者存在直接控股、管理关系的不同的供应商，不得参加同一合同项下的政府采购活动；</w:t>
      </w:r>
    </w:p>
    <w:p w14:paraId="0FABE0E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（2）为本项目提供过整体设计、规范编制或者项目管理、监理、检测等服务的供应商，不得再参加本项目上述服务以外的其他采购活动。</w:t>
      </w:r>
    </w:p>
    <w:p w14:paraId="4683D531">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8.质疑和投诉</w:t>
      </w:r>
    </w:p>
    <w:p w14:paraId="019375A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供应商认为竞争性磋商文件、招标过程或成交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1ACAFE3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质疑、投诉应当采用书面形式，质疑书、投诉书均应明确阐述竞争性磋商文件、招标过程或成交结果中使自己合法权益受到损害的实质性内容，提供相关事实、依据和证据及其来源或线索，便于有关单位调查、答复和处理。</w:t>
      </w:r>
    </w:p>
    <w:p w14:paraId="09BD5078">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8.3质疑和投诉书面要求</w:t>
      </w:r>
    </w:p>
    <w:p w14:paraId="7DF26BEE">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质疑人或投诉人提供的书面材料（如材料中有外文资料须同时附上中文译本）至少包括以下内容：</w:t>
      </w:r>
    </w:p>
    <w:p w14:paraId="64808D6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（1）质疑人或投诉人的姓名或者名称、地址、邮编、联系人及联系电话；</w:t>
      </w:r>
    </w:p>
    <w:p w14:paraId="058A566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74F7ADA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4546832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1A49934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148381C3">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（6）质疑人或投诉人的签章及质疑或投诉时间；</w:t>
      </w:r>
    </w:p>
    <w:p w14:paraId="43445A4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（7）质疑或投诉的书面材料须提供法定代表人签名和加盖单位公章的原件。</w:t>
      </w:r>
    </w:p>
    <w:p w14:paraId="34AE605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（8）质疑人须一次性提出针对同一采购程序环节的质疑。</w:t>
      </w:r>
    </w:p>
    <w:p w14:paraId="5497FD2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CE900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未持有有效授权委托书的代理人提交的质疑函或不在法定质疑期内提交的质疑函，将不予受理。</w:t>
      </w:r>
    </w:p>
    <w:p w14:paraId="49219E93">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8.4接受质疑函的联系方式等详见竞争性磋商公告中采购人、采购代理机构的联系方式。</w:t>
      </w:r>
    </w:p>
    <w:p w14:paraId="406D6525">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二、竞争性磋商文件</w:t>
      </w:r>
    </w:p>
    <w:p w14:paraId="4D8D7959">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9.竞争性磋商竞争性磋商文件的组成</w:t>
      </w:r>
    </w:p>
    <w:p w14:paraId="0514CFD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竞争</w:t>
      </w:r>
      <w:r>
        <w:rPr>
          <w:rFonts w:hint="eastAsia" w:ascii="宋体" w:hAnsi="宋体" w:eastAsia="宋体" w:cs="宋体"/>
          <w:sz w:val="24"/>
          <w:szCs w:val="24"/>
          <w:highlight w:val="none"/>
        </w:rPr>
        <w:t>磋商公告；</w:t>
      </w:r>
    </w:p>
    <w:p w14:paraId="10A6965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（2）供应商须知；</w:t>
      </w:r>
    </w:p>
    <w:p w14:paraId="4AD8345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工程量清单</w:t>
      </w:r>
      <w:r>
        <w:rPr>
          <w:rFonts w:hint="eastAsia" w:ascii="宋体" w:hAnsi="宋体" w:eastAsia="宋体" w:cs="宋体"/>
          <w:sz w:val="24"/>
          <w:szCs w:val="24"/>
          <w:highlight w:val="none"/>
        </w:rPr>
        <w:t>；</w:t>
      </w:r>
    </w:p>
    <w:p w14:paraId="10EC9BD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图纸</w:t>
      </w:r>
      <w:r>
        <w:rPr>
          <w:rFonts w:hint="eastAsia" w:ascii="宋体" w:hAnsi="宋体" w:eastAsia="宋体" w:cs="宋体"/>
          <w:sz w:val="24"/>
          <w:szCs w:val="24"/>
          <w:highlight w:val="none"/>
        </w:rPr>
        <w:t>；</w:t>
      </w:r>
    </w:p>
    <w:p w14:paraId="636FB72A">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技术规范</w:t>
      </w:r>
      <w:r>
        <w:rPr>
          <w:rFonts w:hint="eastAsia" w:ascii="宋体" w:hAnsi="宋体" w:eastAsia="宋体" w:cs="宋体"/>
          <w:sz w:val="24"/>
          <w:szCs w:val="24"/>
          <w:highlight w:val="none"/>
        </w:rPr>
        <w:t>；</w:t>
      </w:r>
    </w:p>
    <w:p w14:paraId="4B40BBA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评标办法及评分标准</w:t>
      </w:r>
      <w:r>
        <w:rPr>
          <w:rFonts w:hint="eastAsia" w:ascii="宋体" w:hAnsi="宋体" w:eastAsia="宋体" w:cs="宋体"/>
          <w:sz w:val="24"/>
          <w:szCs w:val="24"/>
          <w:highlight w:val="none"/>
        </w:rPr>
        <w:t>；</w:t>
      </w:r>
    </w:p>
    <w:p w14:paraId="1E25B2D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合同主要条款</w:t>
      </w:r>
      <w:r>
        <w:rPr>
          <w:rFonts w:hint="eastAsia" w:ascii="宋体" w:hAnsi="宋体" w:eastAsia="宋体" w:cs="宋体"/>
          <w:sz w:val="24"/>
          <w:szCs w:val="24"/>
          <w:highlight w:val="none"/>
        </w:rPr>
        <w:t>；</w:t>
      </w:r>
    </w:p>
    <w:p w14:paraId="0CEA39A5">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响应文件格式</w:t>
      </w:r>
      <w:r>
        <w:rPr>
          <w:rFonts w:hint="eastAsia" w:ascii="宋体" w:hAnsi="宋体" w:eastAsia="宋体" w:cs="宋体"/>
          <w:sz w:val="24"/>
          <w:szCs w:val="24"/>
          <w:highlight w:val="none"/>
        </w:rPr>
        <w:t>；</w:t>
      </w:r>
    </w:p>
    <w:p w14:paraId="64FDEC04">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10. 供应商的风险</w:t>
      </w:r>
    </w:p>
    <w:p w14:paraId="79DEBF3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10.1供应商没有按照竞争性磋商文件要求提供全部资料，或者供应商没有对竞争性磋商文件在各方面作出实质性响应是供应商的风险，并可能导致其响应被拒绝。</w:t>
      </w:r>
    </w:p>
    <w:p w14:paraId="5C72055B">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11.竞争性磋商文件的澄清与修改</w:t>
      </w:r>
    </w:p>
    <w:p w14:paraId="24E1260C">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w:t>
      </w:r>
      <w:r>
        <w:rPr>
          <w:rFonts w:hint="eastAsia" w:ascii="宋体" w:hAnsi="宋体" w:eastAsia="宋体" w:cs="宋体"/>
          <w:kern w:val="0"/>
          <w:sz w:val="24"/>
          <w:szCs w:val="24"/>
          <w:highlight w:val="none"/>
        </w:rPr>
        <w:t>竞争性</w:t>
      </w:r>
      <w:r>
        <w:rPr>
          <w:rFonts w:hint="eastAsia" w:ascii="宋体" w:hAnsi="宋体" w:eastAsia="宋体" w:cs="宋体"/>
          <w:sz w:val="24"/>
          <w:szCs w:val="24"/>
          <w:highlight w:val="none"/>
        </w:rPr>
        <w:t>磋商文件的组成部分。澄清或者修改的内容可能影响响应文件编制的，采购代理机构在提交首次响应文件截止时间至少5日前，以书面形式通知所有获取</w:t>
      </w:r>
      <w:r>
        <w:rPr>
          <w:rFonts w:hint="eastAsia" w:ascii="宋体" w:hAnsi="宋体" w:eastAsia="宋体" w:cs="宋体"/>
          <w:kern w:val="0"/>
          <w:sz w:val="24"/>
          <w:szCs w:val="24"/>
          <w:highlight w:val="none"/>
        </w:rPr>
        <w:t>竞争性</w:t>
      </w:r>
      <w:r>
        <w:rPr>
          <w:rFonts w:hint="eastAsia" w:ascii="宋体" w:hAnsi="宋体" w:eastAsia="宋体" w:cs="宋体"/>
          <w:sz w:val="24"/>
          <w:szCs w:val="24"/>
          <w:highlight w:val="none"/>
        </w:rPr>
        <w:t>磋商文件的供应商，不足5日的，顺延提交首次响应文件截止时间。</w:t>
      </w:r>
    </w:p>
    <w:p w14:paraId="19B70A03">
      <w:pPr>
        <w:keepNext w:val="0"/>
        <w:keepLines w:val="0"/>
        <w:pageBreakBefore w:val="0"/>
        <w:widowControl w:val="0"/>
        <w:numPr>
          <w:ilvl w:val="0"/>
          <w:numId w:val="2"/>
        </w:numPr>
        <w:kinsoku/>
        <w:wordWrap/>
        <w:overflowPunct w:val="0"/>
        <w:topLinePunct w:val="0"/>
        <w:autoSpaceDE w:val="0"/>
        <w:autoSpaceDN w:val="0"/>
        <w:bidi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响应文件的编制</w:t>
      </w:r>
    </w:p>
    <w:p w14:paraId="572C7415">
      <w:pPr>
        <w:keepNext w:val="0"/>
        <w:keepLines w:val="0"/>
        <w:pageBreakBefore w:val="0"/>
        <w:widowControl w:val="0"/>
        <w:numPr>
          <w:ilvl w:val="0"/>
          <w:numId w:val="3"/>
        </w:numPr>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竞争性磋商响应文件编制基本要求</w:t>
      </w:r>
    </w:p>
    <w:p w14:paraId="173816F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磋商供应商提交的竞争性磋商电子响应文件以及磋商供应商与本公司和采购人就有关磋商的所有来往函电均应使用中文。磋商供应商提交的支持文件和印刷的文件可以使用别的语言，但其相应内容必须附有中文翻译文本，在解释竞争性磋商响应文件时以翻译文本为主。</w:t>
      </w:r>
    </w:p>
    <w:p w14:paraId="592BA45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12.2磋商供应商应认真阅读、并充分理解本文件的全部内容（包括所有的澄清、更改、补充、答疑等内容），承诺并履行本文件中各项条款规定及要求。</w:t>
      </w:r>
    </w:p>
    <w:p w14:paraId="2F77A4D2">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12.3竞争性磋商响应文件必须按本文件的全部内容，包括所有的澄清、更改、补充、答疑等内容及附件进行编制。</w:t>
      </w:r>
    </w:p>
    <w:p w14:paraId="450187F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12.4如因磋商供应商只填写和提供了本文件要求的部分内容和附件，而给磋商小组评审造成困难，其可能导致的结果和责任由磋商供应商自行承担。</w:t>
      </w:r>
    </w:p>
    <w:p w14:paraId="3992F3EB">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13.响应文件的组成</w:t>
      </w:r>
    </w:p>
    <w:p w14:paraId="5378922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电子竞争性磋商响应文件的组成：由资格文件、</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文件、商务技术文件组成。</w:t>
      </w:r>
    </w:p>
    <w:p w14:paraId="5E77A8AF">
      <w:pPr>
        <w:pStyle w:val="14"/>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color w:val="000000"/>
          <w:sz w:val="24"/>
          <w:szCs w:val="24"/>
          <w:highlight w:val="none"/>
          <w:lang w:eastAsia="zh-CN"/>
        </w:rPr>
      </w:pPr>
      <w:r>
        <w:rPr>
          <w:rFonts w:hint="eastAsia" w:ascii="宋体" w:hAnsi="宋体" w:eastAsia="宋体" w:cs="宋体"/>
          <w:b/>
          <w:sz w:val="24"/>
          <w:szCs w:val="24"/>
          <w:highlight w:val="none"/>
        </w:rPr>
        <w:t>13.1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资格文件</w:t>
      </w:r>
      <w:r>
        <w:rPr>
          <w:rFonts w:hint="eastAsia" w:ascii="宋体" w:hAnsi="宋体" w:eastAsia="宋体" w:cs="宋体"/>
          <w:b/>
          <w:sz w:val="24"/>
          <w:szCs w:val="24"/>
          <w:highlight w:val="none"/>
          <w:lang w:eastAsia="zh-CN"/>
        </w:rPr>
        <w:t>：</w:t>
      </w:r>
      <w:r>
        <w:rPr>
          <w:rFonts w:hint="eastAsia" w:ascii="宋体" w:hAnsi="宋体" w:eastAsia="宋体" w:cs="宋体"/>
          <w:bCs w:val="0"/>
          <w:snapToGrid w:val="0"/>
          <w:color w:val="000000"/>
          <w:spacing w:val="0"/>
          <w:kern w:val="0"/>
          <w:sz w:val="24"/>
          <w:szCs w:val="24"/>
          <w:highlight w:val="none"/>
        </w:rPr>
        <w:t>详见供应商须知前附表。</w:t>
      </w:r>
    </w:p>
    <w:p w14:paraId="59AB18E4">
      <w:pPr>
        <w:pStyle w:val="50"/>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color w:val="000000"/>
          <w:sz w:val="24"/>
          <w:szCs w:val="24"/>
          <w:highlight w:val="none"/>
          <w:lang w:eastAsia="zh-CN"/>
        </w:rPr>
      </w:pPr>
      <w:r>
        <w:rPr>
          <w:rFonts w:hint="eastAsia" w:ascii="宋体" w:hAnsi="宋体" w:eastAsia="宋体" w:cs="宋体"/>
          <w:b/>
          <w:spacing w:val="0"/>
          <w:kern w:val="2"/>
          <w:sz w:val="24"/>
          <w:szCs w:val="24"/>
          <w:highlight w:val="none"/>
        </w:rPr>
        <w:t>13.2</w:t>
      </w:r>
      <w:r>
        <w:rPr>
          <w:rFonts w:hint="eastAsia" w:ascii="宋体" w:hAnsi="宋体" w:eastAsia="宋体" w:cs="宋体"/>
          <w:b/>
          <w:spacing w:val="0"/>
          <w:kern w:val="2"/>
          <w:sz w:val="24"/>
          <w:szCs w:val="24"/>
          <w:highlight w:val="none"/>
          <w:lang w:val="en-US" w:eastAsia="zh-CN"/>
        </w:rPr>
        <w:t xml:space="preserve"> 报价</w:t>
      </w:r>
      <w:r>
        <w:rPr>
          <w:rFonts w:hint="eastAsia" w:ascii="宋体" w:hAnsi="宋体" w:eastAsia="宋体" w:cs="宋体"/>
          <w:b/>
          <w:spacing w:val="0"/>
          <w:kern w:val="2"/>
          <w:sz w:val="24"/>
          <w:szCs w:val="24"/>
          <w:highlight w:val="none"/>
        </w:rPr>
        <w:t>文件</w:t>
      </w:r>
      <w:r>
        <w:rPr>
          <w:rFonts w:hint="eastAsia" w:ascii="宋体" w:hAnsi="宋体" w:eastAsia="宋体" w:cs="宋体"/>
          <w:b/>
          <w:sz w:val="24"/>
          <w:szCs w:val="24"/>
          <w:highlight w:val="none"/>
          <w:lang w:eastAsia="zh-CN"/>
        </w:rPr>
        <w:t>：</w:t>
      </w:r>
      <w:r>
        <w:rPr>
          <w:rFonts w:hint="eastAsia" w:ascii="宋体" w:hAnsi="宋体" w:eastAsia="宋体" w:cs="宋体"/>
          <w:bCs w:val="0"/>
          <w:snapToGrid w:val="0"/>
          <w:color w:val="000000"/>
          <w:spacing w:val="0"/>
          <w:kern w:val="0"/>
          <w:sz w:val="24"/>
          <w:szCs w:val="24"/>
          <w:highlight w:val="none"/>
        </w:rPr>
        <w:t>详见供应商须知前附表。</w:t>
      </w:r>
    </w:p>
    <w:p w14:paraId="08D341E6">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b/>
          <w:bCs/>
          <w:sz w:val="24"/>
          <w:szCs w:val="24"/>
          <w:highlight w:val="none"/>
        </w:rPr>
        <w:t>13.3</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spacing w:val="0"/>
          <w:kern w:val="2"/>
          <w:sz w:val="24"/>
          <w:szCs w:val="24"/>
          <w:highlight w:val="none"/>
          <w:lang w:val="en-US" w:eastAsia="zh-CN"/>
        </w:rPr>
        <w:t>商务</w:t>
      </w:r>
      <w:r>
        <w:rPr>
          <w:rFonts w:hint="eastAsia" w:ascii="宋体" w:hAnsi="宋体" w:eastAsia="宋体" w:cs="宋体"/>
          <w:b/>
          <w:bCs/>
          <w:sz w:val="24"/>
          <w:szCs w:val="24"/>
          <w:highlight w:val="none"/>
        </w:rPr>
        <w:t>技术文件</w:t>
      </w:r>
      <w:r>
        <w:rPr>
          <w:rFonts w:hint="eastAsia" w:ascii="宋体" w:hAnsi="宋体" w:eastAsia="宋体" w:cs="宋体"/>
          <w:b/>
          <w:sz w:val="24"/>
          <w:szCs w:val="24"/>
          <w:highlight w:val="none"/>
          <w:lang w:eastAsia="zh-CN"/>
        </w:rPr>
        <w:t>：</w:t>
      </w:r>
      <w:r>
        <w:rPr>
          <w:rFonts w:hint="eastAsia" w:ascii="宋体" w:hAnsi="宋体" w:eastAsia="宋体" w:cs="宋体"/>
          <w:sz w:val="24"/>
          <w:szCs w:val="24"/>
          <w:highlight w:val="none"/>
        </w:rPr>
        <w:t>详见供应商须知前附表。</w:t>
      </w:r>
    </w:p>
    <w:p w14:paraId="35A89710">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14. 响应文件的语言及计量</w:t>
      </w:r>
    </w:p>
    <w:p w14:paraId="459979D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14.1响应文件以及竞标方与采购人就有关竞标事宜的所有来往函电，均应以中文汉语书写。除签名、盖章、专用名称等特殊情形外，以中文汉语以外的文字表述的响应文件视同未提供。</w:t>
      </w:r>
    </w:p>
    <w:p w14:paraId="5B6533FD">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14.2竞标计量单位，</w:t>
      </w:r>
      <w:r>
        <w:rPr>
          <w:rFonts w:hint="eastAsia" w:ascii="宋体" w:hAnsi="宋体" w:eastAsia="宋体" w:cs="宋体"/>
          <w:kern w:val="0"/>
          <w:sz w:val="24"/>
          <w:szCs w:val="24"/>
          <w:highlight w:val="none"/>
        </w:rPr>
        <w:t>竞争性</w:t>
      </w:r>
      <w:r>
        <w:rPr>
          <w:rFonts w:hint="eastAsia" w:ascii="宋体" w:hAnsi="宋体" w:eastAsia="宋体" w:cs="宋体"/>
          <w:sz w:val="24"/>
          <w:szCs w:val="24"/>
          <w:highlight w:val="none"/>
        </w:rPr>
        <w:t>磋商文件已有明确规定的，使用</w:t>
      </w:r>
      <w:r>
        <w:rPr>
          <w:rFonts w:hint="eastAsia" w:ascii="宋体" w:hAnsi="宋体" w:eastAsia="宋体" w:cs="宋体"/>
          <w:kern w:val="0"/>
          <w:sz w:val="24"/>
          <w:szCs w:val="24"/>
          <w:highlight w:val="none"/>
        </w:rPr>
        <w:t>竞争性</w:t>
      </w:r>
      <w:r>
        <w:rPr>
          <w:rFonts w:hint="eastAsia" w:ascii="宋体" w:hAnsi="宋体" w:eastAsia="宋体" w:cs="宋体"/>
          <w:sz w:val="24"/>
          <w:szCs w:val="24"/>
          <w:highlight w:val="none"/>
        </w:rPr>
        <w:t>磋商文件规定的计量单位；</w:t>
      </w:r>
      <w:r>
        <w:rPr>
          <w:rFonts w:hint="eastAsia" w:ascii="宋体" w:hAnsi="宋体" w:eastAsia="宋体" w:cs="宋体"/>
          <w:kern w:val="0"/>
          <w:sz w:val="24"/>
          <w:szCs w:val="24"/>
          <w:highlight w:val="none"/>
        </w:rPr>
        <w:t>竞争性磋商文件</w:t>
      </w:r>
      <w:r>
        <w:rPr>
          <w:rFonts w:hint="eastAsia" w:ascii="宋体" w:hAnsi="宋体" w:eastAsia="宋体" w:cs="宋体"/>
          <w:sz w:val="24"/>
          <w:szCs w:val="24"/>
          <w:highlight w:val="none"/>
        </w:rPr>
        <w:t>没有规定的，应采用中华人民共和国法定计量单位（货币单位：人民币元），否则视同未响应。</w:t>
      </w:r>
    </w:p>
    <w:p w14:paraId="0328E658">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15、响应文件报价要求</w:t>
      </w:r>
    </w:p>
    <w:p w14:paraId="5B104E1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本工程投标报价采用工程量清单报价的方式，详见“供应商须知前附表” 。</w:t>
      </w:r>
    </w:p>
    <w:p w14:paraId="72A3E53A">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2.计算依据</w:t>
      </w:r>
    </w:p>
    <w:p w14:paraId="125B7CA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)本工程的计算依据：</w:t>
      </w:r>
    </w:p>
    <w:p w14:paraId="04C41DE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1.依据广西区水利厅、区发改委、区财政厅“桂水基[2007]38号”文“关于发布《广西水利水电工程设计概(预)算编制规定》、《广西水利水电工程概(预)算系列定额》”的通知的有关规定进行编制;</w:t>
      </w:r>
    </w:p>
    <w:p w14:paraId="066F27B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2.广西水利厅以桂水基[2004]46号文发布的《关于在我区水利水电建设工程实行建筑意外伤害保险制度的通知》;</w:t>
      </w:r>
    </w:p>
    <w:p w14:paraId="5641AF7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3.桂水基[2016]1号《关于调整广西水利水电建设工程定额人工预算单价的通知》:</w:t>
      </w:r>
    </w:p>
    <w:p w14:paraId="31268FD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4.桂水基[2016]16号《水利厅关于营业税改征增值税后广西水利水电工程计价依据调整的通知》:</w:t>
      </w:r>
    </w:p>
    <w:p w14:paraId="5073C72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5.水办基[2016]31号《水利厅办公室转发水利部办公厅关于印发《水利工程营业税改征增值税计价依据调整办法》的通知</w:t>
      </w:r>
    </w:p>
    <w:p w14:paraId="6BD5DCD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6.桂水基[2018]11号自治区水利厅关于调整水利工程增值税税率的通知</w:t>
      </w:r>
    </w:p>
    <w:p w14:paraId="09F6885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7.桂水建设[2019]4号自治区水利厅关于调整水利工程增值税计算标准的通知</w:t>
      </w:r>
    </w:p>
    <w:p w14:paraId="4A8895C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8.桂人社规[2019]9号广西人力资源和社会保障厅降低社会保险费率</w:t>
      </w:r>
    </w:p>
    <w:p w14:paraId="41A26F5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9.桂水建设[2019]7号广西水利水电工程施工招标文件示范文本(2019年版)</w:t>
      </w:r>
    </w:p>
    <w:p w14:paraId="01B7CFF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10.桂水建设[2023]4号自治区水利厅关于调整水利工程安全文明施工措施费费率的通知</w:t>
      </w:r>
    </w:p>
    <w:p w14:paraId="7CC7037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lang w:eastAsia="zh-CN"/>
        </w:rPr>
        <w:t>现行的有关文件以及施工设计图纸。</w:t>
      </w:r>
    </w:p>
    <w:p w14:paraId="0C3108B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二、其他问题：</w:t>
      </w:r>
    </w:p>
    <w:p w14:paraId="778541F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kern w:val="0"/>
          <w:sz w:val="24"/>
          <w:szCs w:val="24"/>
          <w:highlight w:val="none"/>
          <w:lang w:eastAsia="zh-CN"/>
        </w:rPr>
      </w:pPr>
      <w:r>
        <w:rPr>
          <w:rFonts w:hint="eastAsia" w:ascii="宋体" w:hAnsi="宋体" w:eastAsia="宋体" w:cs="宋体"/>
          <w:b w:val="0"/>
          <w:bCs w:val="0"/>
          <w:snapToGrid w:val="0"/>
          <w:color w:val="000000"/>
          <w:kern w:val="0"/>
          <w:sz w:val="24"/>
          <w:szCs w:val="24"/>
          <w:highlight w:val="none"/>
          <w:lang w:eastAsia="zh-CN"/>
        </w:rPr>
        <w:t>（</w:t>
      </w:r>
      <w:r>
        <w:rPr>
          <w:rFonts w:hint="eastAsia" w:ascii="宋体" w:hAnsi="宋体" w:eastAsia="宋体" w:cs="宋体"/>
          <w:b w:val="0"/>
          <w:bCs w:val="0"/>
          <w:snapToGrid w:val="0"/>
          <w:color w:val="000000"/>
          <w:kern w:val="0"/>
          <w:sz w:val="24"/>
          <w:szCs w:val="24"/>
          <w:highlight w:val="none"/>
          <w:lang w:val="en-US" w:eastAsia="zh-CN"/>
        </w:rPr>
        <w:t>1</w:t>
      </w:r>
      <w:r>
        <w:rPr>
          <w:rFonts w:hint="eastAsia" w:ascii="宋体" w:hAnsi="宋体" w:eastAsia="宋体" w:cs="宋体"/>
          <w:b w:val="0"/>
          <w:bCs w:val="0"/>
          <w:snapToGrid w:val="0"/>
          <w:color w:val="000000"/>
          <w:kern w:val="0"/>
          <w:sz w:val="24"/>
          <w:szCs w:val="24"/>
          <w:highlight w:val="none"/>
          <w:lang w:eastAsia="zh-CN"/>
        </w:rPr>
        <w:t>）材料价格：按2025年《柳州市建设工程造价信息》第7期柳城县信息价计取。柳城县缺项部分参照柳州市信息价。同时按《2021年柳城县建设工程项目地方材料市价格有关问题会议纪要》计算相应材料的超运距运费。</w:t>
      </w:r>
    </w:p>
    <w:p w14:paraId="428A9A5A">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16、响应文件有效期</w:t>
      </w:r>
    </w:p>
    <w:p w14:paraId="47E79C31">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16.1响应文件有效期：详见供应商须知前附表。有效期不足的响应文件将被拒绝。</w:t>
      </w:r>
    </w:p>
    <w:p w14:paraId="5AD545F6">
      <w:pPr>
        <w:pStyle w:val="14"/>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16.2在特殊情况下，采购人可与供应商协商延长响应文件的有效期，这种要求和答复均以书面形式进行。</w:t>
      </w:r>
    </w:p>
    <w:p w14:paraId="45D26657">
      <w:pPr>
        <w:pStyle w:val="14"/>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16.3供应商可拒绝接受延长有效期要求而不会导致磋商保证金被没收。同意延长有效期的供应商需要相应延长磋商保证金的有效期，但不能修改响应文件其它内容。 </w:t>
      </w:r>
    </w:p>
    <w:p w14:paraId="5988624A">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16.4供应商的响应文件自开标之日起至合同履行完毕止均应保持有效。</w:t>
      </w:r>
    </w:p>
    <w:p w14:paraId="071D1CB9">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17、磋商保证金</w:t>
      </w:r>
    </w:p>
    <w:p w14:paraId="24D854B3">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w:t>
      </w:r>
      <w:r>
        <w:rPr>
          <w:rFonts w:hint="eastAsia" w:ascii="宋体" w:hAnsi="宋体" w:eastAsia="宋体" w:cs="宋体"/>
          <w:kern w:val="0"/>
          <w:sz w:val="24"/>
          <w:szCs w:val="24"/>
          <w:highlight w:val="none"/>
          <w:lang w:val="en-US" w:eastAsia="zh-CN"/>
        </w:rPr>
        <w:t>无</w:t>
      </w:r>
      <w:r>
        <w:rPr>
          <w:rFonts w:hint="eastAsia" w:ascii="宋体" w:hAnsi="宋体" w:eastAsia="宋体" w:cs="宋体"/>
          <w:kern w:val="0"/>
          <w:sz w:val="24"/>
          <w:szCs w:val="24"/>
          <w:highlight w:val="none"/>
        </w:rPr>
        <w:t>需缴纳磋商保证金：</w:t>
      </w:r>
      <w:r>
        <w:rPr>
          <w:rFonts w:hint="eastAsia" w:ascii="宋体" w:hAnsi="宋体" w:eastAsia="宋体" w:cs="宋体"/>
          <w:sz w:val="24"/>
          <w:szCs w:val="24"/>
          <w:highlight w:val="none"/>
        </w:rPr>
        <w:t>详见供应商须知前附表。</w:t>
      </w:r>
    </w:p>
    <w:p w14:paraId="2CD87776">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18、</w:t>
      </w:r>
      <w:bookmarkStart w:id="27" w:name="_Toc254970542"/>
      <w:bookmarkStart w:id="28" w:name="_Toc254970683"/>
      <w:r>
        <w:rPr>
          <w:rFonts w:hint="eastAsia" w:ascii="宋体" w:hAnsi="宋体" w:eastAsia="宋体" w:cs="宋体"/>
          <w:b/>
          <w:sz w:val="24"/>
          <w:szCs w:val="24"/>
          <w:highlight w:val="none"/>
        </w:rPr>
        <w:t>响应文件的</w:t>
      </w:r>
      <w:bookmarkEnd w:id="27"/>
      <w:bookmarkEnd w:id="28"/>
      <w:r>
        <w:rPr>
          <w:rFonts w:hint="eastAsia" w:ascii="宋体" w:hAnsi="宋体" w:eastAsia="宋体" w:cs="宋体"/>
          <w:b/>
          <w:sz w:val="24"/>
          <w:szCs w:val="24"/>
          <w:highlight w:val="none"/>
        </w:rPr>
        <w:t>编制</w:t>
      </w:r>
    </w:p>
    <w:p w14:paraId="65795B5F">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供应商应按本竞争性磋商竞争性磋商文件规定的格式和顺序编制、装订响应文件并标注页码，响应文件内容不完整、编排混乱导致响应文件被误读、漏读或者查找不到相关内容的，所引起的后果由供应商负责。</w:t>
      </w:r>
    </w:p>
    <w:p w14:paraId="4D7437F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18.2响应文件应按资格</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分别编制，商务技术文件合并编制，本磋商只接受电子版响应文件。</w:t>
      </w:r>
    </w:p>
    <w:p w14:paraId="554B1200">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响应文件电子版要求：按照本竞争性磋商文件“第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章 响应文件格式”编写（未附格式的，由供应商自行拟定），</w:t>
      </w:r>
      <w:r>
        <w:rPr>
          <w:rFonts w:hint="eastAsia" w:ascii="宋体" w:hAnsi="宋体" w:cs="宋体"/>
          <w:b/>
          <w:bCs/>
          <w:color w:val="auto"/>
          <w:sz w:val="24"/>
          <w:szCs w:val="24"/>
          <w:highlight w:val="none"/>
        </w:rPr>
        <w:t>并在规定处加盖电子公章</w:t>
      </w:r>
      <w:r>
        <w:rPr>
          <w:rFonts w:hint="eastAsia" w:ascii="宋体" w:hAnsi="宋体" w:cs="宋体"/>
          <w:b/>
          <w:bCs/>
          <w:color w:val="auto"/>
          <w:sz w:val="24"/>
          <w:szCs w:val="24"/>
          <w:highlight w:val="none"/>
          <w:lang w:eastAsia="zh-CN"/>
        </w:rPr>
        <w:t>或签字</w:t>
      </w:r>
      <w:r>
        <w:rPr>
          <w:rFonts w:hint="eastAsia" w:ascii="宋体" w:hAnsi="宋体" w:eastAsia="宋体" w:cs="宋体"/>
          <w:b/>
          <w:bCs/>
          <w:sz w:val="24"/>
          <w:szCs w:val="24"/>
          <w:highlight w:val="none"/>
        </w:rPr>
        <w:t>，否则响应文件按无效响应处理。</w:t>
      </w:r>
      <w:r>
        <w:rPr>
          <w:rFonts w:hint="eastAsia" w:ascii="宋体" w:hAnsi="宋体" w:eastAsia="宋体" w:cs="宋体"/>
          <w:b/>
          <w:bCs/>
          <w:kern w:val="0"/>
          <w:sz w:val="24"/>
          <w:szCs w:val="24"/>
          <w:highlight w:val="none"/>
        </w:rPr>
        <w:t>骑缝盖</w:t>
      </w:r>
      <w:r>
        <w:rPr>
          <w:rFonts w:hint="eastAsia" w:ascii="宋体" w:hAnsi="宋体" w:eastAsia="宋体" w:cs="宋体"/>
          <w:b/>
          <w:bCs/>
          <w:sz w:val="24"/>
          <w:szCs w:val="24"/>
          <w:highlight w:val="none"/>
        </w:rPr>
        <w:t>公章不视为在规定位置盖章。</w:t>
      </w:r>
    </w:p>
    <w:p w14:paraId="4735B4DD">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18.4响应文件中标注的供应商名称应与营业执照（事业单位法人证书、执业许可证、自然人身份证）及电子公章一致，否则其响应文件按无效响应处理。</w:t>
      </w:r>
    </w:p>
    <w:p w14:paraId="01417A9D">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18.5</w:t>
      </w:r>
      <w:r>
        <w:rPr>
          <w:rFonts w:hint="eastAsia" w:ascii="宋体" w:hAnsi="宋体" w:eastAsia="宋体" w:cs="宋体"/>
          <w:kern w:val="0"/>
          <w:sz w:val="24"/>
          <w:szCs w:val="24"/>
          <w:highlight w:val="none"/>
        </w:rPr>
        <w:t>响应文件应避免涂改、行间插字或者删除，否则其响应文件按无效响应处理。</w:t>
      </w:r>
    </w:p>
    <w:p w14:paraId="7C14B337">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19.响应文件的递交</w:t>
      </w:r>
    </w:p>
    <w:p w14:paraId="310EA064">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8ADCEBE">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19.2 使用“广西政府采购云平台电子交易客户端”需要提前申领CA 数字证书。</w:t>
      </w:r>
    </w:p>
    <w:p w14:paraId="2F3CCB38">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19.3 为确保网上操作合法、有效和安全，供应商应当在响应文件提交截止时间前完成在“</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政府采购云平台”的身份认证，确保在电子交易过程中能够对相关数据电文进行加密和使用电子签名。</w:t>
      </w:r>
    </w:p>
    <w:p w14:paraId="049DACFB">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20.响应文件的补充、修改、撤回与退回</w:t>
      </w:r>
    </w:p>
    <w:p w14:paraId="1A2BD40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政府采购云平台”平台将拒收。</w:t>
      </w:r>
    </w:p>
    <w:p w14:paraId="40E0B1CA">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政府采购云平台”平台收到响应文件，将妥善保存并即时向供应商发出确认回执通知。在提交响应文件截止时间前，除供应商补充、修改或者撤回响应文件外，任何单位和个人不得解密或提取响应文件。</w:t>
      </w:r>
    </w:p>
    <w:p w14:paraId="2BAA76C7">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20.3在提交响应文件截止时间止提交电子版响应文件的供应商不足3家时，电子版响应文件由代理机构在“</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政府采购云平台”平台操作退回，除此之外采购人和采购代理机构对已提交的响应文件概不退回。</w:t>
      </w:r>
    </w:p>
    <w:p w14:paraId="58B41428">
      <w:pPr>
        <w:keepNext w:val="0"/>
        <w:keepLines w:val="0"/>
        <w:pageBreakBefore w:val="0"/>
        <w:widowControl w:val="0"/>
        <w:tabs>
          <w:tab w:val="left" w:pos="3600"/>
        </w:tabs>
        <w:kinsoku/>
        <w:wordWrap/>
        <w:overflowPunct w:val="0"/>
        <w:topLinePunct w:val="0"/>
        <w:autoSpaceDE w:val="0"/>
        <w:autoSpaceDN w:val="0"/>
        <w:bidi w:val="0"/>
        <w:spacing w:line="360" w:lineRule="auto"/>
        <w:rPr>
          <w:rFonts w:hint="eastAsia" w:ascii="宋体" w:hAnsi="宋体" w:eastAsia="宋体" w:cs="宋体"/>
          <w:b/>
          <w:sz w:val="24"/>
          <w:szCs w:val="24"/>
          <w:highlight w:val="none"/>
        </w:rPr>
      </w:pPr>
      <w:bookmarkStart w:id="29" w:name="_Toc482865152"/>
      <w:bookmarkStart w:id="30" w:name="_Toc482865322"/>
      <w:bookmarkStart w:id="31" w:name="_Toc495351941"/>
      <w:bookmarkStart w:id="32" w:name="_Toc482864551"/>
      <w:bookmarkStart w:id="33" w:name="_Toc308018677"/>
      <w:bookmarkStart w:id="34" w:name="_Toc495388768"/>
      <w:bookmarkStart w:id="35" w:name="_Toc445223680"/>
      <w:bookmarkStart w:id="36" w:name="_Toc448421142"/>
      <w:bookmarkStart w:id="37" w:name="_Toc495388445"/>
      <w:bookmarkStart w:id="38" w:name="_Toc400465713"/>
      <w:bookmarkStart w:id="39" w:name="_Toc254970685"/>
      <w:bookmarkStart w:id="40" w:name="_Toc483327811"/>
      <w:bookmarkStart w:id="41" w:name="_Toc293863053"/>
      <w:bookmarkStart w:id="42" w:name="_Toc293863320"/>
      <w:bookmarkStart w:id="43" w:name="_Toc254970544"/>
      <w:r>
        <w:rPr>
          <w:rFonts w:hint="eastAsia" w:ascii="宋体" w:hAnsi="宋体" w:eastAsia="宋体" w:cs="宋体"/>
          <w:b/>
          <w:sz w:val="24"/>
          <w:szCs w:val="24"/>
          <w:highlight w:val="none"/>
        </w:rPr>
        <w:t>四、</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szCs w:val="24"/>
          <w:highlight w:val="none"/>
        </w:rPr>
        <w:t>评审及磋商</w:t>
      </w:r>
    </w:p>
    <w:p w14:paraId="46FD75BE">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21.磋商小组成立</w:t>
      </w:r>
    </w:p>
    <w:p w14:paraId="43DECAF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21.1磋商小组由采购人代表和评审专家共3人以上单数组成，其中评审专家人数不得少于磋商小组成员总数的2/3。</w:t>
      </w:r>
    </w:p>
    <w:p w14:paraId="4FC336BD">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22.首次响应文件的开启</w:t>
      </w:r>
    </w:p>
    <w:p w14:paraId="06F9A51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22.1首次响应文件由磋商小组或者采购代理机构在“供应商须知前附表”规定的时间开启。</w:t>
      </w:r>
    </w:p>
    <w:p w14:paraId="0A16C967">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23. 响应文件解密</w:t>
      </w:r>
    </w:p>
    <w:p w14:paraId="03E2A23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竞争性磋商文件的规定登录到“</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政府采购云平台”平台电子开标大厅签到并在发起解密指令之时起30分钟内完成对电子响应文件在线解密。发起解密指令之时起5分钟内供应商还未进行解密的，代理机构通知供应商，</w:t>
      </w:r>
      <w:r>
        <w:rPr>
          <w:rFonts w:hint="eastAsia" w:ascii="宋体" w:hAnsi="宋体" w:eastAsia="宋体" w:cs="宋体"/>
          <w:bCs/>
          <w:sz w:val="24"/>
          <w:szCs w:val="24"/>
          <w:highlight w:val="none"/>
        </w:rPr>
        <w:t>通知后，</w:t>
      </w:r>
      <w:r>
        <w:rPr>
          <w:rFonts w:hint="eastAsia" w:ascii="宋体" w:hAnsi="宋体" w:eastAsia="宋体" w:cs="宋体"/>
          <w:sz w:val="24"/>
          <w:szCs w:val="24"/>
          <w:highlight w:val="none"/>
        </w:rPr>
        <w:t>响应</w:t>
      </w:r>
      <w:r>
        <w:rPr>
          <w:rFonts w:hint="eastAsia" w:ascii="宋体" w:hAnsi="宋体" w:eastAsia="宋体" w:cs="宋体"/>
          <w:bCs/>
          <w:sz w:val="24"/>
          <w:szCs w:val="24"/>
          <w:highlight w:val="none"/>
        </w:rPr>
        <w:t>文件仍未按时解密，或者</w:t>
      </w:r>
      <w:r>
        <w:rPr>
          <w:rFonts w:hint="eastAsia" w:ascii="宋体" w:hAnsi="宋体" w:eastAsia="宋体" w:cs="宋体"/>
          <w:sz w:val="24"/>
          <w:szCs w:val="24"/>
          <w:highlight w:val="none"/>
        </w:rPr>
        <w:t>供应商</w:t>
      </w:r>
      <w:r>
        <w:rPr>
          <w:rFonts w:hint="eastAsia" w:ascii="宋体" w:hAnsi="宋体" w:eastAsia="宋体" w:cs="宋体"/>
          <w:bCs/>
          <w:sz w:val="24"/>
          <w:szCs w:val="24"/>
          <w:highlight w:val="none"/>
        </w:rPr>
        <w:t>没预留联系方式或预留联系方式无效，</w:t>
      </w:r>
      <w:r>
        <w:rPr>
          <w:rFonts w:hint="eastAsia" w:ascii="宋体" w:hAnsi="宋体" w:eastAsia="宋体" w:cs="宋体"/>
          <w:sz w:val="24"/>
          <w:szCs w:val="24"/>
          <w:highlight w:val="none"/>
        </w:rPr>
        <w:t>非代理机构原因导致代理机构无法联系到供应商进行解密的</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视为响应文件无效</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（解密异常情况处理：详见本章30.电子交易活动的中止。）</w:t>
      </w:r>
    </w:p>
    <w:p w14:paraId="60020B1D">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24.评审程序</w:t>
      </w:r>
    </w:p>
    <w:p w14:paraId="257DF457">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24.1磋商小组按照“第六章 评审方法和评审标准”规定的方法、评审因素、标准和程序对响应文件进行评审。</w:t>
      </w:r>
    </w:p>
    <w:p w14:paraId="48ABA126">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24.2资格审查</w:t>
      </w:r>
    </w:p>
    <w:p w14:paraId="66ABECEB">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响应文件开启后，磋商小组依法对供应商的资格文件进行审查</w:t>
      </w:r>
      <w:r>
        <w:rPr>
          <w:rFonts w:hint="eastAsia" w:ascii="宋体" w:hAnsi="宋体" w:eastAsia="宋体" w:cs="宋体"/>
          <w:spacing w:val="-2"/>
          <w:sz w:val="24"/>
          <w:szCs w:val="24"/>
          <w:highlight w:val="none"/>
        </w:rPr>
        <w:t>。</w:t>
      </w:r>
      <w:r>
        <w:rPr>
          <w:rFonts w:hint="eastAsia" w:ascii="宋体" w:hAnsi="宋体" w:eastAsia="宋体" w:cs="宋体"/>
          <w:b/>
          <w:bCs/>
          <w:sz w:val="24"/>
          <w:szCs w:val="24"/>
          <w:highlight w:val="none"/>
        </w:rPr>
        <w:t>在资格审查时，如发现下列情形之一的，响应文件将被视为无效：</w:t>
      </w:r>
    </w:p>
    <w:p w14:paraId="5E80EE9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（1）不符合《中华人民共和国政府采购法》第二十二条规定条件的。</w:t>
      </w:r>
    </w:p>
    <w:p w14:paraId="437584D0">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（2）未按本项目采购公告规定方式获得磋商文件的。</w:t>
      </w:r>
    </w:p>
    <w:p w14:paraId="72962B2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（3）参加同一合同项下的政府采购活动的不同供应商，单位负责人为同一人或者存在直接控股、管理关系的。</w:t>
      </w:r>
    </w:p>
    <w:p w14:paraId="78CB4A39">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（4）在“信用中国”网站(www.creditchina.gov.cn) 、中国政府采购网（www.ccgp.gov.cn）等渠道被列入失信被执行人、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、政府采购严重违法失信行为记录名单的。</w:t>
      </w:r>
    </w:p>
    <w:p w14:paraId="226290E9">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（5）不按照磋商文件要求提供合格的资格证明材料的。</w:t>
      </w:r>
    </w:p>
    <w:p w14:paraId="51DE3A9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（6）违反国家法律法规规定的其他资格内容的。</w:t>
      </w:r>
    </w:p>
    <w:p w14:paraId="3643069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通过资格审查的合格供应商不足3家的，不得进入符合性审查环节，采购人或者采购代理机构应当重新开展采购活动。</w:t>
      </w:r>
    </w:p>
    <w:p w14:paraId="3248700B">
      <w:pPr>
        <w:keepNext w:val="0"/>
        <w:keepLines w:val="0"/>
        <w:pageBreakBefore w:val="0"/>
        <w:widowControl w:val="0"/>
        <w:kinsoku/>
        <w:wordWrap/>
        <w:overflowPunct w:val="0"/>
        <w:topLinePunct w:val="0"/>
        <w:autoSpaceDE w:val="0"/>
        <w:autoSpaceDN w:val="0"/>
        <w:bidi w:val="0"/>
        <w:spacing w:line="360" w:lineRule="auto"/>
        <w:ind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24.3符合性审查</w:t>
      </w:r>
    </w:p>
    <w:p w14:paraId="08AEA06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由磋商小组对通过资格审查的合格供应商的响应文件的竞标报价、商务、技术等实质性要求进行符合性审查，以确定其是否满足磋商文件的实质性要求。</w:t>
      </w:r>
    </w:p>
    <w:p w14:paraId="4F2D95A7">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9EAB44">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在评审时，如发现下列情形之一的，将被视为响应文件无效处理：</w:t>
      </w:r>
    </w:p>
    <w:p w14:paraId="5286C40C">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（1）商务技术评审</w:t>
      </w:r>
    </w:p>
    <w:p w14:paraId="3374F8D3">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响应文件未按磋商文件要求签署、盖章；</w:t>
      </w:r>
    </w:p>
    <w:p w14:paraId="213F118B">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响应文件未提供任一项“供应商须知” 商务技术文件中 “必须提供”或者“委托时必须提供”的文件资料；</w:t>
      </w:r>
    </w:p>
    <w:p w14:paraId="0DF79D20">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质量要求、工期、技术标准和要求、合同价款主要条款</w:t>
      </w:r>
      <w:r>
        <w:rPr>
          <w:rFonts w:hint="eastAsia" w:ascii="宋体" w:hAnsi="宋体" w:eastAsia="宋体" w:cs="宋体"/>
          <w:kern w:val="0"/>
          <w:sz w:val="24"/>
          <w:szCs w:val="24"/>
          <w:highlight w:val="none"/>
        </w:rPr>
        <w:t>不能满足磋商</w:t>
      </w:r>
      <w:r>
        <w:rPr>
          <w:rFonts w:hint="eastAsia" w:ascii="宋体" w:hAnsi="宋体" w:eastAsia="宋体" w:cs="宋体"/>
          <w:kern w:val="0"/>
          <w:sz w:val="24"/>
          <w:szCs w:val="24"/>
          <w:highlight w:val="none"/>
          <w:lang w:eastAsia="zh-CN"/>
        </w:rPr>
        <w:t>文件</w:t>
      </w:r>
      <w:r>
        <w:rPr>
          <w:rFonts w:hint="eastAsia" w:ascii="宋体" w:hAnsi="宋体" w:eastAsia="宋体" w:cs="宋体"/>
          <w:kern w:val="0"/>
          <w:sz w:val="24"/>
          <w:szCs w:val="24"/>
          <w:highlight w:val="none"/>
        </w:rPr>
        <w:t>要求的；</w:t>
      </w:r>
    </w:p>
    <w:p w14:paraId="548E1C20">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未对竞标有效期作出响应或者响应文件承诺的竞标有效期不满足磋商文件要求；</w:t>
      </w:r>
    </w:p>
    <w:p w14:paraId="4EB78BC8">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响应文件的实质性内容未使用中文表述、使用计量单位不符合磋商文件要求；</w:t>
      </w:r>
    </w:p>
    <w:p w14:paraId="1806BC3B">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响应文件中的文件资料因填写不齐全或者内容虚假或者出现其他情形而导致被磋商小组认定无效；</w:t>
      </w:r>
    </w:p>
    <w:p w14:paraId="1431E78A">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响应文件含有采购人不能接受的附加条件；</w:t>
      </w:r>
    </w:p>
    <w:p w14:paraId="0EA3A142">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属于“供应商须知正文”第7.</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条情形；</w:t>
      </w:r>
    </w:p>
    <w:p w14:paraId="57EFDCEB">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虚假竞标，或者出现其他情形而导致被磋商小组认定无效；</w:t>
      </w:r>
    </w:p>
    <w:p w14:paraId="2D974C90">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竞标技术方案不明确，存在一个或一个以上备选（替代）竞标方案的；</w:t>
      </w:r>
    </w:p>
    <w:p w14:paraId="70B59E16">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响应文件标注的项目名称或者项目编号与竞争性磋商文件标注的项目名称或者项目编号不一致的；</w:t>
      </w:r>
    </w:p>
    <w:p w14:paraId="727FA877">
      <w:pPr>
        <w:keepNext w:val="0"/>
        <w:keepLines w:val="0"/>
        <w:pageBreakBefore w:val="0"/>
        <w:widowControl w:val="0"/>
        <w:numPr>
          <w:ilvl w:val="0"/>
          <w:numId w:val="4"/>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法律、法规和磋商文件规定的其他无效情形。</w:t>
      </w:r>
    </w:p>
    <w:p w14:paraId="2671725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（2）报价评审</w:t>
      </w:r>
    </w:p>
    <w:p w14:paraId="4F410FD1">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响应文件未提供“供应商须知” 报价文件中规定的</w:t>
      </w:r>
      <w:r>
        <w:rPr>
          <w:rFonts w:hint="eastAsia" w:ascii="宋体" w:hAnsi="宋体" w:eastAsia="宋体" w:cs="宋体"/>
          <w:sz w:val="24"/>
          <w:szCs w:val="24"/>
          <w:highlight w:val="none"/>
        </w:rPr>
        <w:t>开标一览表（报价表）</w:t>
      </w:r>
      <w:r>
        <w:rPr>
          <w:rFonts w:hint="eastAsia" w:ascii="宋体" w:hAnsi="宋体" w:eastAsia="宋体" w:cs="宋体"/>
          <w:kern w:val="0"/>
          <w:sz w:val="24"/>
          <w:szCs w:val="24"/>
          <w:highlight w:val="none"/>
        </w:rPr>
        <w:t>；</w:t>
      </w:r>
    </w:p>
    <w:p w14:paraId="034B4905">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未采用人民币报价或者未按照磋商文件标明的币种报价；</w:t>
      </w:r>
    </w:p>
    <w:p w14:paraId="3BA0DB43">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01B61F">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47DC61C1">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r>
        <w:rPr>
          <w:rFonts w:hint="eastAsia" w:ascii="宋体" w:hAnsi="宋体" w:eastAsia="宋体" w:cs="宋体"/>
          <w:kern w:val="0"/>
          <w:sz w:val="24"/>
          <w:szCs w:val="24"/>
          <w:highlight w:val="none"/>
          <w:lang w:eastAsia="zh-CN"/>
        </w:rPr>
        <w:t>；</w:t>
      </w:r>
    </w:p>
    <w:p w14:paraId="596BE431">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响应文件响应的标的数量及单位与竞争性磋商竞争性磋商文件要求实质性不一致的</w:t>
      </w:r>
      <w:r>
        <w:rPr>
          <w:rFonts w:hint="eastAsia" w:ascii="宋体" w:hAnsi="宋体" w:eastAsia="宋体" w:cs="宋体"/>
          <w:kern w:val="0"/>
          <w:sz w:val="24"/>
          <w:szCs w:val="24"/>
          <w:highlight w:val="none"/>
          <w:lang w:eastAsia="zh-CN"/>
        </w:rPr>
        <w:t>；</w:t>
      </w:r>
    </w:p>
    <w:p w14:paraId="41D035A1">
      <w:pPr>
        <w:keepNext w:val="0"/>
        <w:keepLines w:val="0"/>
        <w:pageBreakBefore w:val="0"/>
        <w:widowControl w:val="0"/>
        <w:numPr>
          <w:ilvl w:val="0"/>
          <w:numId w:val="5"/>
        </w:numPr>
        <w:kinsoku/>
        <w:wordWrap/>
        <w:overflowPunct w:val="0"/>
        <w:topLinePunct w:val="0"/>
        <w:autoSpaceDE w:val="0"/>
        <w:autoSpaceDN w:val="0"/>
        <w:bidi w:val="0"/>
        <w:spacing w:line="360" w:lineRule="auto"/>
        <w:ind w:left="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3E6B43C9">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79AB94">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D3AED70">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25.磋商程序</w:t>
      </w:r>
    </w:p>
    <w:p w14:paraId="005A9C58">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25.1磋商小组按照</w:t>
      </w:r>
      <w:r>
        <w:rPr>
          <w:rFonts w:hint="eastAsia" w:ascii="宋体" w:hAnsi="宋体" w:eastAsia="宋体" w:cs="宋体"/>
          <w:sz w:val="24"/>
          <w:szCs w:val="24"/>
          <w:highlight w:val="none"/>
          <w:lang w:eastAsia="zh-CN"/>
        </w:rPr>
        <w:t>随机</w:t>
      </w:r>
      <w:r>
        <w:rPr>
          <w:rFonts w:hint="eastAsia" w:ascii="宋体" w:hAnsi="宋体" w:eastAsia="宋体" w:cs="宋体"/>
          <w:sz w:val="24"/>
          <w:szCs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D223E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601F53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25.3对磋商文件作出的实质性变动是磋商文件的有效组成部分，由磋商小组及时以电子澄清函形式同时通知所有参加磋商的供应商。</w:t>
      </w:r>
    </w:p>
    <w:p w14:paraId="7AB8C902">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9FEFE0B">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25.5磋商中，磋商的任何一方不得透露与磋商有关的其他供应商的技术资料、价格和其他信息。</w:t>
      </w:r>
    </w:p>
    <w:p w14:paraId="46E29E0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25.6磋商小组应对磋商过程和重要磋商内容进行记录，作为评标报告一部分，磋商小组在记录上签字确认。</w:t>
      </w:r>
    </w:p>
    <w:p w14:paraId="0DA15623">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25.7磋商过程中重新提交的响应文件，供应商可以在开启前补充、修改。</w:t>
      </w:r>
    </w:p>
    <w:p w14:paraId="686EF253">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25.8对磋商过程提交的响应文件进行有效性、完整性和响应程度审查，通过审查的合格供应商不足3家的，采购人或者采购代理机构应当重新开展采购活动。</w:t>
      </w:r>
    </w:p>
    <w:p w14:paraId="308C2C56">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26.最后报价</w:t>
      </w:r>
    </w:p>
    <w:p w14:paraId="6CEEFFD2">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sz w:val="24"/>
          <w:szCs w:val="24"/>
          <w:highlight w:val="none"/>
        </w:rPr>
        <w:t>26.1磋商文件能够详细列明采购标的的技术、服务要求的，磋商结束后，由磋商小组要求所有继续参加磋商的供应商在规定时间内密封提交最后报价，除本章第26.3条外，提交最后报价的供应商不得少于3家，否则必须重新采购。</w:t>
      </w:r>
      <w:r>
        <w:rPr>
          <w:rFonts w:hint="eastAsia" w:ascii="宋体" w:hAnsi="宋体" w:eastAsia="宋体" w:cs="宋体"/>
          <w:kern w:val="0"/>
          <w:sz w:val="24"/>
          <w:szCs w:val="24"/>
          <w:highlight w:val="none"/>
        </w:rPr>
        <w:t>继续参加磋商的供应商</w:t>
      </w:r>
      <w:r>
        <w:rPr>
          <w:rFonts w:hint="eastAsia" w:ascii="宋体" w:hAnsi="宋体" w:eastAsia="宋体" w:cs="宋体"/>
          <w:sz w:val="24"/>
          <w:szCs w:val="24"/>
          <w:highlight w:val="none"/>
        </w:rPr>
        <w:t>作最后报价</w:t>
      </w:r>
      <w:r>
        <w:rPr>
          <w:rFonts w:hint="eastAsia" w:ascii="宋体" w:hAnsi="宋体" w:eastAsia="宋体" w:cs="宋体"/>
          <w:b/>
          <w:sz w:val="24"/>
          <w:szCs w:val="24"/>
          <w:highlight w:val="none"/>
        </w:rPr>
        <w:t>，</w:t>
      </w:r>
      <w:r>
        <w:rPr>
          <w:rFonts w:hint="eastAsia" w:ascii="宋体" w:hAnsi="宋体" w:eastAsia="宋体" w:cs="宋体"/>
          <w:b w:val="0"/>
          <w:bCs/>
          <w:sz w:val="24"/>
          <w:szCs w:val="24"/>
          <w:highlight w:val="none"/>
        </w:rPr>
        <w:t>最后报价须由其法定代表人或授权代表签字或者加盖电子公章</w:t>
      </w:r>
      <w:r>
        <w:rPr>
          <w:rFonts w:hint="eastAsia" w:ascii="宋体" w:hAnsi="宋体" w:eastAsia="宋体" w:cs="宋体"/>
          <w:b w:val="0"/>
          <w:bCs/>
          <w:kern w:val="0"/>
          <w:sz w:val="24"/>
          <w:szCs w:val="24"/>
          <w:highlight w:val="none"/>
        </w:rPr>
        <w:t>后递交</w:t>
      </w:r>
      <w:r>
        <w:rPr>
          <w:rFonts w:hint="eastAsia" w:ascii="宋体" w:hAnsi="宋体" w:eastAsia="宋体" w:cs="宋体"/>
          <w:b w:val="0"/>
          <w:bCs/>
          <w:sz w:val="24"/>
          <w:szCs w:val="24"/>
          <w:highlight w:val="none"/>
        </w:rPr>
        <w:t>。</w:t>
      </w:r>
    </w:p>
    <w:p w14:paraId="70E914B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E8DA308">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D0B385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26.4供应商未在规定时间内提交最后报价的，视同退出磋商。</w:t>
      </w:r>
    </w:p>
    <w:p w14:paraId="68DDE499">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26.5磋商小组收齐项目或某一分标最后报价后统一开启，磋商小组对最后报价进行有效性、完整性和响应程度的审查。</w:t>
      </w:r>
    </w:p>
    <w:p w14:paraId="48321DA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26.6最终响应文件的报价出现前后不一致的，按照本章第29.1条的规定修正。</w:t>
      </w:r>
    </w:p>
    <w:p w14:paraId="2F074E4C">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26.7修正后的最终报价出现下列情形的，按无效响应处理：</w:t>
      </w:r>
    </w:p>
    <w:p w14:paraId="5955E060">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（1）供应商不确认的（全流程电子化评标采取在线确认）；</w:t>
      </w:r>
    </w:p>
    <w:p w14:paraId="4378641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（2）经供应商确认修正后的响应报价（包含首次报价、最后报价）超过所竞标分标规定的采购预算金额或者最高限价的（如本项目公布了最高限价）；</w:t>
      </w:r>
    </w:p>
    <w:p w14:paraId="466F7C14">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（3）经供应商确认修正后的响应报价（包含首次报价、最后报价）超过分项采购预算金额或者最高限价的（如本项目公布了最高限价）。</w:t>
      </w:r>
    </w:p>
    <w:p w14:paraId="22D3C2D2">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26.8经供应商确认修正后的最后报价作为评审及签订合同的依据。</w:t>
      </w:r>
    </w:p>
    <w:p w14:paraId="1685E4E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26.9供应商出现最后报价按无效响应处理或者响应文件按无效处理时，磋商小组应当告知有关供应商。</w:t>
      </w:r>
    </w:p>
    <w:p w14:paraId="5EBBB936">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26.10最后报价结束后，磋商小组不得再与供应商进行任何形式的商谈。</w:t>
      </w:r>
    </w:p>
    <w:p w14:paraId="0733476F">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27.比较与评价</w:t>
      </w:r>
    </w:p>
    <w:p w14:paraId="1FEF7D3A">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27.1评审方法：综合评分法。</w:t>
      </w:r>
    </w:p>
    <w:p w14:paraId="57AA9D91">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27.2经磋商确定最终采购需求和提交最后报价的供应商后，由磋商小组采用综合评分法对提交最后报价的供应商的响应文件和最后报价进行综合评分。</w:t>
      </w:r>
    </w:p>
    <w:p w14:paraId="548A5C9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27.3评审时，磋商小组各成员应当独立对每个有效响应的文件进行评价、打分，然后汇总每个供应商每项评分因素的得分。</w:t>
      </w:r>
    </w:p>
    <w:p w14:paraId="2AA91964">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（1）磋商小组按照磋商文件中规定的评审标准计算各供应商的报价得分。项目评审过程中，不得去掉最后报价中的最高报价和最低报价。</w:t>
      </w:r>
    </w:p>
    <w:p w14:paraId="4B53CAC5">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（2）各供应商的得分为磋商小组所有成员的有效评分的算术平均数。</w:t>
      </w:r>
    </w:p>
    <w:p w14:paraId="17D2E2A8">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27.4评审价为供应商的最后报价进行政策性扣除后的价格，评审价只是作为评审时使用。最终成交供应商的成交金额等于最后报价（如有修正，以确认修正后的最后报价为准）。</w:t>
      </w:r>
    </w:p>
    <w:p w14:paraId="037FC464">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14:paraId="1069D01B">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AE1808">
      <w:pPr>
        <w:keepNext w:val="0"/>
        <w:keepLines w:val="0"/>
        <w:pageBreakBefore w:val="0"/>
        <w:widowControl w:val="0"/>
        <w:kinsoku/>
        <w:wordWrap/>
        <w:overflowPunct w:val="0"/>
        <w:topLinePunct w:val="0"/>
        <w:autoSpaceDE w:val="0"/>
        <w:autoSpaceDN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28.澄清问题的形式</w:t>
      </w:r>
    </w:p>
    <w:p w14:paraId="54FE209B">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28.1对于响应文件中含义不明确、同类问题表述不一致或者有明显文字和计算错误的内容，磋商小组应在“</w:t>
      </w:r>
      <w:r>
        <w:rPr>
          <w:rFonts w:hint="eastAsia" w:ascii="宋体" w:hAnsi="宋体" w:eastAsia="宋体" w:cs="宋体"/>
          <w:sz w:val="24"/>
          <w:szCs w:val="24"/>
          <w:highlight w:val="none"/>
          <w:lang w:eastAsia="zh-CN"/>
        </w:rPr>
        <w:t>广西政府采购云平台</w:t>
      </w:r>
      <w:r>
        <w:rPr>
          <w:rFonts w:hint="eastAsia" w:ascii="宋体" w:hAnsi="宋体" w:eastAsia="宋体" w:cs="宋体"/>
          <w:sz w:val="24"/>
          <w:szCs w:val="24"/>
          <w:highlight w:val="none"/>
        </w:rPr>
        <w:t>”平台发布电子澄清函，要求供应商在规定时间内作出必要的澄清、说明或者补正。供应商在“</w:t>
      </w:r>
      <w:r>
        <w:rPr>
          <w:rFonts w:hint="eastAsia" w:ascii="宋体" w:hAnsi="宋体" w:eastAsia="宋体" w:cs="宋体"/>
          <w:sz w:val="24"/>
          <w:szCs w:val="24"/>
          <w:highlight w:val="none"/>
          <w:lang w:eastAsia="zh-CN"/>
        </w:rPr>
        <w:t>广西政府采购云平台</w:t>
      </w:r>
      <w:r>
        <w:rPr>
          <w:rFonts w:hint="eastAsia" w:ascii="宋体" w:hAnsi="宋体" w:eastAsia="宋体" w:cs="宋体"/>
          <w:sz w:val="24"/>
          <w:szCs w:val="24"/>
          <w:highlight w:val="none"/>
        </w:rPr>
        <w:t>”平台接收到电子澄清函后根据澄清函内容上传PDF格式回函，电子澄清答复函使用CA证书加盖单位公章后在线上传至磋商小组。供应商的澄清、说明或者补正不得超出响应文件的范围或者改变响应文件的实质性内容。供应商未在规定时间内进行澄清、说明或者补正的，其响应文件按无效响应处理。</w:t>
      </w:r>
    </w:p>
    <w:p w14:paraId="76E1C0DB">
      <w:pPr>
        <w:keepNext w:val="0"/>
        <w:keepLines w:val="0"/>
        <w:pageBreakBefore w:val="0"/>
        <w:widowControl w:val="0"/>
        <w:kinsoku/>
        <w:wordWrap/>
        <w:overflowPunct w:val="0"/>
        <w:topLinePunct w:val="0"/>
        <w:autoSpaceDE w:val="0"/>
        <w:autoSpaceDN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2C231D">
      <w:pPr>
        <w:keepNext w:val="0"/>
        <w:keepLines w:val="0"/>
        <w:pageBreakBefore w:val="0"/>
        <w:widowControl w:val="0"/>
        <w:tabs>
          <w:tab w:val="left" w:pos="540"/>
        </w:tabs>
        <w:kinsoku/>
        <w:wordWrap/>
        <w:overflowPunct w:val="0"/>
        <w:topLinePunct w:val="0"/>
        <w:autoSpaceDE w:val="0"/>
        <w:autoSpaceDN w:val="0"/>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29.错误修正</w:t>
      </w:r>
    </w:p>
    <w:p w14:paraId="273CD86B">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29.1竞争性磋商响应文件如果出现计算或表达上的错误，修正错误的原则如下：</w:t>
      </w:r>
    </w:p>
    <w:p w14:paraId="4CBB62EB">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（1）响应文件中开标一览表（报价表）内容与响应文件中相应内容不一致的，以开标一览表（报价表）为准；</w:t>
      </w:r>
    </w:p>
    <w:p w14:paraId="642DF710">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2685295A">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（3）单价金额小数点或者百分比有明显错位的，以开标一览表（报价表）的总价为准，并修改单价；</w:t>
      </w:r>
    </w:p>
    <w:p w14:paraId="3BDAED41">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2C2E0B20">
      <w:pPr>
        <w:keepNext w:val="0"/>
        <w:keepLines w:val="0"/>
        <w:pageBreakBefore w:val="0"/>
        <w:widowControl w:val="0"/>
        <w:tabs>
          <w:tab w:val="left" w:pos="540"/>
        </w:tabs>
        <w:kinsoku/>
        <w:wordWrap/>
        <w:overflowPunct w:val="0"/>
        <w:topLinePunct w:val="0"/>
        <w:autoSpaceDE w:val="0"/>
        <w:autoSpaceDN w:val="0"/>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同时出现两种以上不一致的，按照前款规定的顺序修正。修正后的报价经供应商确认并加盖公章或者由法定代表人或其授权的代表签字后产生约束力，供应商不确认的，其响应文件按无效响应处理。</w:t>
      </w:r>
    </w:p>
    <w:p w14:paraId="5E336BC6">
      <w:pPr>
        <w:keepNext w:val="0"/>
        <w:keepLines w:val="0"/>
        <w:pageBreakBefore w:val="0"/>
        <w:widowControl w:val="0"/>
        <w:kinsoku/>
        <w:wordWrap/>
        <w:overflowPunct w:val="0"/>
        <w:topLinePunct w:val="0"/>
        <w:autoSpaceDE w:val="0"/>
        <w:autoSpaceDN w:val="0"/>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30.电子交易活动的中止</w:t>
      </w:r>
    </w:p>
    <w:p w14:paraId="51AD711F">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30.1采购过程中出现以下情形，导致电子交易平台无法正常运行，或者无法保证电子交易的公平、公正和安全时，采购机构可中止电子交易活动：</w:t>
      </w:r>
    </w:p>
    <w:p w14:paraId="689714BD">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（1）电子交易平台发生故障而无法登录访问的；</w:t>
      </w:r>
    </w:p>
    <w:p w14:paraId="2388099D">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（2）电子交易平台应用或数据库出现错误，不能进行正常操作的；</w:t>
      </w:r>
    </w:p>
    <w:p w14:paraId="0BEA9FA8">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（3）电子交易平台发现严重安全漏洞，有潜在泄密危险的；</w:t>
      </w:r>
    </w:p>
    <w:p w14:paraId="5904D92F">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（4）病毒发作导致不能进行正常操作的；</w:t>
      </w:r>
    </w:p>
    <w:p w14:paraId="2F427B20">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（4）其他无法保证电子交易的公平、公正和安全的情况。</w:t>
      </w:r>
    </w:p>
    <w:p w14:paraId="5A55BB5A">
      <w:pPr>
        <w:keepNext w:val="0"/>
        <w:keepLines w:val="0"/>
        <w:pageBreakBefore w:val="0"/>
        <w:widowControl w:val="0"/>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28C55C">
      <w:pPr>
        <w:keepNext w:val="0"/>
        <w:keepLines w:val="0"/>
        <w:pageBreakBefore w:val="0"/>
        <w:widowControl w:val="0"/>
        <w:tabs>
          <w:tab w:val="left" w:pos="540"/>
        </w:tabs>
        <w:kinsoku/>
        <w:wordWrap/>
        <w:overflowPunct w:val="0"/>
        <w:topLinePunct w:val="0"/>
        <w:autoSpaceDE w:val="0"/>
        <w:autoSpaceDN w:val="0"/>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31.评委表决</w:t>
      </w:r>
    </w:p>
    <w:p w14:paraId="5EDD5E3D">
      <w:pPr>
        <w:keepNext w:val="0"/>
        <w:keepLines w:val="0"/>
        <w:pageBreakBefore w:val="0"/>
        <w:widowControl w:val="0"/>
        <w:tabs>
          <w:tab w:val="left" w:pos="540"/>
        </w:tabs>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31.1在评标过程中出现法律法规和竞争性磋商文件均没有明确规定的情形时，由磋商小组现场协商解决，协商不一致的，由全体评委投票表决，以得票率二分之一以上专家的意见为准。</w:t>
      </w:r>
    </w:p>
    <w:p w14:paraId="093F6C75">
      <w:pPr>
        <w:keepNext w:val="0"/>
        <w:keepLines w:val="0"/>
        <w:pageBreakBefore w:val="0"/>
        <w:widowControl w:val="0"/>
        <w:tabs>
          <w:tab w:val="left" w:pos="540"/>
        </w:tabs>
        <w:kinsoku/>
        <w:wordWrap/>
        <w:overflowPunct w:val="0"/>
        <w:topLinePunct w:val="0"/>
        <w:autoSpaceDE w:val="0"/>
        <w:autoSpaceDN w:val="0"/>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32.评审过程的监控</w:t>
      </w:r>
    </w:p>
    <w:p w14:paraId="5CA8C330">
      <w:pPr>
        <w:keepNext w:val="0"/>
        <w:keepLines w:val="0"/>
        <w:pageBreakBefore w:val="0"/>
        <w:widowControl w:val="0"/>
        <w:tabs>
          <w:tab w:val="left" w:pos="540"/>
        </w:tabs>
        <w:kinsoku/>
        <w:wordWrap/>
        <w:overflowPunct w:val="0"/>
        <w:topLinePunct w:val="0"/>
        <w:autoSpaceDE w:val="0"/>
        <w:autoSpaceDN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32.1本项目电子评标过程实行网上留痕、全程录音、录像监控，，供应商在评审过程中所进行的试图影响评审结果的不公正活动，可能导致其竞争性磋商被拒绝。</w:t>
      </w:r>
    </w:p>
    <w:p w14:paraId="264F0325">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五、成交及合同</w:t>
      </w:r>
    </w:p>
    <w:p w14:paraId="237F0DCB">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33.确定成交供应商</w:t>
      </w:r>
    </w:p>
    <w:p w14:paraId="060588C2">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33.1 </w:t>
      </w:r>
      <w:r>
        <w:rPr>
          <w:rFonts w:hint="eastAsia" w:ascii="宋体" w:hAnsi="宋体" w:eastAsia="宋体" w:cs="宋体"/>
          <w:kern w:val="0"/>
          <w:sz w:val="24"/>
          <w:szCs w:val="24"/>
          <w:highlight w:val="none"/>
        </w:rPr>
        <w:t>根据以下原则确定成交供应商：响应文件满足磋商文件全部实质性要求且按评审因素的量化指标评审得分最高的供应商为成交供应商。</w:t>
      </w:r>
    </w:p>
    <w:p w14:paraId="1DCE5E52">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14:paraId="185E04D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33.3成交供应商确定后二个工作日内，采购代理机构或采购人</w:t>
      </w:r>
      <w:r>
        <w:rPr>
          <w:rFonts w:hint="eastAsia" w:ascii="宋体" w:hAnsi="宋体" w:eastAsia="宋体" w:cs="宋体"/>
          <w:kern w:val="0"/>
          <w:sz w:val="24"/>
          <w:szCs w:val="24"/>
          <w:highlight w:val="none"/>
        </w:rPr>
        <w:t>应当对成交人信用进行核实</w:t>
      </w:r>
      <w:r>
        <w:rPr>
          <w:rFonts w:hint="eastAsia" w:ascii="宋体" w:hAnsi="宋体" w:eastAsia="宋体" w:cs="宋体"/>
          <w:sz w:val="24"/>
          <w:szCs w:val="24"/>
          <w:highlight w:val="none"/>
        </w:rPr>
        <w:t>，如其未被列入失信被执行人、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、政府采购严重违法失信行为记录名单，则采购代理机构在公告发布媒体成交公告；如其被列入失信被执行人、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、政府采购严重违法失信行为记录名单，则取消其成交资格，</w:t>
      </w:r>
      <w:r>
        <w:rPr>
          <w:rFonts w:hint="eastAsia" w:ascii="宋体" w:hAnsi="宋体" w:eastAsia="宋体" w:cs="宋体"/>
          <w:spacing w:val="-3"/>
          <w:sz w:val="24"/>
          <w:szCs w:val="24"/>
          <w:highlight w:val="none"/>
        </w:rPr>
        <w:t>并确定排名第二的成交候选人为成交人。排名第二的成交候选人因前款规定的同样原因被取消成交资格的，采购人可以确定排名第三的成交候选人为成交人。以上信息查询记录</w:t>
      </w:r>
      <w:r>
        <w:rPr>
          <w:rFonts w:hint="eastAsia" w:ascii="宋体" w:hAnsi="宋体" w:eastAsia="宋体" w:cs="宋体"/>
          <w:sz w:val="24"/>
          <w:szCs w:val="24"/>
          <w:highlight w:val="none"/>
        </w:rPr>
        <w:t>及相关证据与竞争性磋商文件一并保存。</w:t>
      </w:r>
    </w:p>
    <w:p w14:paraId="4600594A">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33.4在发布成交公告的同时，采购代理机构向成交供应商</w:t>
      </w:r>
      <w:r>
        <w:rPr>
          <w:rFonts w:hint="eastAsia" w:ascii="宋体" w:hAnsi="宋体" w:eastAsia="宋体" w:cs="宋体"/>
          <w:kern w:val="0"/>
          <w:sz w:val="24"/>
          <w:szCs w:val="24"/>
          <w:highlight w:val="none"/>
        </w:rPr>
        <w:t>通过“</w:t>
      </w:r>
      <w:r>
        <w:rPr>
          <w:rFonts w:hint="eastAsia" w:ascii="宋体" w:hAnsi="宋体" w:eastAsia="宋体" w:cs="宋体"/>
          <w:kern w:val="0"/>
          <w:sz w:val="24"/>
          <w:szCs w:val="24"/>
          <w:highlight w:val="none"/>
          <w:lang w:eastAsia="zh-CN"/>
        </w:rPr>
        <w:t>广西政府采购云平台</w:t>
      </w:r>
      <w:r>
        <w:rPr>
          <w:rFonts w:hint="eastAsia" w:ascii="宋体" w:hAnsi="宋体" w:eastAsia="宋体" w:cs="宋体"/>
          <w:kern w:val="0"/>
          <w:sz w:val="24"/>
          <w:szCs w:val="24"/>
          <w:highlight w:val="none"/>
        </w:rPr>
        <w:t>”平台发出电子</w:t>
      </w:r>
      <w:r>
        <w:rPr>
          <w:rFonts w:hint="eastAsia" w:ascii="宋体" w:hAnsi="宋体" w:eastAsia="宋体" w:cs="宋体"/>
          <w:sz w:val="24"/>
          <w:szCs w:val="24"/>
          <w:highlight w:val="none"/>
        </w:rPr>
        <w:t>成交通知书。</w:t>
      </w:r>
    </w:p>
    <w:p w14:paraId="7AE58512">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供应商认为竞争性磋商竞争性磋商文件、招标过程和成交结果使自己的权益受到损害的，可以在知道或者应知其权益受到损害之日起七个工作日内，以书面形式向招标采购单位提出质疑，并及时索要书面回执。</w:t>
      </w:r>
    </w:p>
    <w:p w14:paraId="39DDD09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33.6采购代理机构应当按照有关规定就采购人委托授权范围内的事项在收到供应商的书面质疑后七个工作日内做出答复，但答复的内容不得涉及商业秘密。</w:t>
      </w:r>
    </w:p>
    <w:p w14:paraId="37F9C3FB">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34.签订合同</w:t>
      </w:r>
    </w:p>
    <w:p w14:paraId="0630DFD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34.1成交供应商应在成交通知书发出之日起二十日五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eastAsia="宋体" w:cs="宋体"/>
          <w:kern w:val="0"/>
          <w:sz w:val="24"/>
          <w:szCs w:val="24"/>
          <w:highlight w:val="none"/>
        </w:rPr>
        <w:t>电子采购合同需要供应商通过有效CA证书进行电子签名与签章。</w:t>
      </w:r>
    </w:p>
    <w:p w14:paraId="1C2F46B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871FF9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34.3如成交人不按成交通知书的规定签订合同，则按成交人违约处理，采购代理机构将没收成交人竞标的全部磋商保证金并上缴同级财政国库。</w:t>
      </w:r>
    </w:p>
    <w:p w14:paraId="241B95F8">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5F93453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34.5政府采购合同公告：采购人或者受托采购代理机构应当自政府采购合同签订之日起2个工作日内，</w:t>
      </w:r>
      <w:r>
        <w:rPr>
          <w:rFonts w:hint="eastAsia" w:asciiTheme="minorEastAsia" w:hAnsiTheme="minorEastAsia" w:eastAsiaTheme="minorEastAsia" w:cstheme="minorEastAsia"/>
          <w:snapToGrid/>
          <w:color w:val="auto"/>
          <w:kern w:val="2"/>
          <w:sz w:val="24"/>
          <w:szCs w:val="24"/>
          <w:lang w:val="en-US" w:eastAsia="zh-CN" w:bidi="ar-SA"/>
        </w:rPr>
        <w:t>将政府采购合同在省级以上人民政府财政部门指定的媒体上公告</w:t>
      </w:r>
      <w:r>
        <w:rPr>
          <w:rFonts w:hint="eastAsia" w:ascii="宋体" w:hAnsi="宋体" w:eastAsia="宋体" w:cs="宋体"/>
          <w:sz w:val="24"/>
          <w:szCs w:val="24"/>
          <w:highlight w:val="none"/>
        </w:rPr>
        <w:t>上发布公告，但政府采购合同中涉及国家秘密、商业秘密的内容除外。因此请各供应商应在响应文件中注明竞标内容中涉及商业秘密的部分，未注明的视为响应文件中不涉及商业秘密。</w:t>
      </w:r>
    </w:p>
    <w:p w14:paraId="7FD4D86D">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六、验收</w:t>
      </w:r>
    </w:p>
    <w:p w14:paraId="2AB15C0C">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35.验收</w:t>
      </w:r>
    </w:p>
    <w:p w14:paraId="63F332EB">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49E4C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35.2采购人可以邀请参加本项目的其他供应商或者第三方机构参与验收。参与验收的供应商或者第三方机构的意见作为验收书的参考资料一并存档。</w:t>
      </w:r>
    </w:p>
    <w:p w14:paraId="7F5A52FE">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F6CFA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C5F4D38">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35.5项目验收完毕，成交供应商将壹份《广西壮族自治区政府采购项目合同验收书》送采购代理机构存档。</w:t>
      </w:r>
    </w:p>
    <w:p w14:paraId="37F2BBF5">
      <w:pPr>
        <w:keepNext w:val="0"/>
        <w:keepLines w:val="0"/>
        <w:pageBreakBefore w:val="0"/>
        <w:widowControl w:val="0"/>
        <w:kinsoku/>
        <w:wordWrap/>
        <w:overflowPunct w:val="0"/>
        <w:topLinePunct w:val="0"/>
        <w:autoSpaceDE w:val="0"/>
        <w:autoSpaceDN w:val="0"/>
        <w:bidi w:val="0"/>
        <w:spacing w:line="360" w:lineRule="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七、</w:t>
      </w:r>
      <w:r>
        <w:rPr>
          <w:rFonts w:hint="eastAsia" w:ascii="宋体" w:hAnsi="宋体" w:eastAsia="宋体" w:cs="宋体"/>
          <w:b/>
          <w:bCs/>
          <w:sz w:val="24"/>
          <w:szCs w:val="24"/>
          <w:highlight w:val="none"/>
        </w:rPr>
        <w:t>其他事项</w:t>
      </w:r>
    </w:p>
    <w:p w14:paraId="3290A953">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36. 需要补充的其他内容</w:t>
      </w:r>
    </w:p>
    <w:p w14:paraId="0E7E47BC">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36.1本竞争性磋商文件解释规则详见“供应商须知前附表”。</w:t>
      </w:r>
    </w:p>
    <w:p w14:paraId="5D43900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36.2其他事项详见“供应商须知前附表”。</w:t>
      </w:r>
    </w:p>
    <w:p w14:paraId="230C8973">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37. 代理服务费</w:t>
      </w:r>
    </w:p>
    <w:p w14:paraId="6BE17D5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37.1代理服务费：详见“供应商须知前附表”</w:t>
      </w:r>
    </w:p>
    <w:p w14:paraId="28563144">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38.供应商信用查询相关规定</w:t>
      </w:r>
    </w:p>
    <w:p w14:paraId="106FC636">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38.1信用查询渠道：“信用中国”网站（www.creditchina.gov.cn）、中国政府采购网（www.ccgp.gov.cn）；</w:t>
      </w:r>
    </w:p>
    <w:p w14:paraId="53491FB0">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38.2信用查询截止时点：资格审查时。</w:t>
      </w:r>
    </w:p>
    <w:p w14:paraId="54F5BA5F">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38.3信用信息查询记录：“列入失信被执行人”、“ 重大税收违法失信主体”、“政府采购严重违法失信行为记录名单”。</w:t>
      </w:r>
    </w:p>
    <w:p w14:paraId="782544E9">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38.5证据留存方式：在查询网站中直接截图查询记录，截图作为在“</w:t>
      </w:r>
      <w:r>
        <w:rPr>
          <w:rFonts w:hint="eastAsia" w:ascii="宋体" w:hAnsi="宋体" w:eastAsia="宋体" w:cs="宋体"/>
          <w:sz w:val="24"/>
          <w:szCs w:val="24"/>
          <w:highlight w:val="none"/>
          <w:lang w:eastAsia="zh-CN"/>
        </w:rPr>
        <w:t>广西政府采购云平台</w:t>
      </w:r>
      <w:r>
        <w:rPr>
          <w:rFonts w:hint="eastAsia" w:ascii="宋体" w:hAnsi="宋体" w:eastAsia="宋体" w:cs="宋体"/>
          <w:sz w:val="24"/>
          <w:szCs w:val="24"/>
          <w:highlight w:val="none"/>
        </w:rPr>
        <w:t>”平台作为附件上传保存。</w:t>
      </w:r>
    </w:p>
    <w:p w14:paraId="28CE91CA">
      <w:pPr>
        <w:keepNext w:val="0"/>
        <w:keepLines w:val="0"/>
        <w:pageBreakBefore w:val="0"/>
        <w:widowControl w:val="0"/>
        <w:kinsoku/>
        <w:wordWrap/>
        <w:overflowPunct w:val="0"/>
        <w:topLinePunct w:val="0"/>
        <w:autoSpaceDE w:val="0"/>
        <w:autoSpaceDN w:val="0"/>
        <w:bidi w:val="0"/>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39. 关于中小企业的相关规定</w:t>
      </w:r>
    </w:p>
    <w:p w14:paraId="5EA312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39.1根据《政府采购促进中小企业发展管理办法》(财库[2020]46 号) ，本磋商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73085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39.2供应商提供的货物、工程或者服务符合下列情形的，享受中小企业扶持政策： ①在货物采购项目中，货物由中小企业制造，即货物由中小企业生产且使用该中小企业商号或者注册商标；②在工程采购项目中工程由中小企业承建，即工程施工单位为中小企业； ③在服务采购项目中，服务由中小企业承接 ，即提供服务的人员为中小企业依照《中华人民共和国劳动合同法》订立劳动合同的从业人员。</w:t>
      </w:r>
    </w:p>
    <w:p w14:paraId="73840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39.3在政府采购工程招标活动中，工程由中小企业承建，即工程施工单位为中小企业，享受磋商文件规定的中小企业扶持政策，不对其中涉及的货物的制造商和服务的承接商作出要求，联合体各方均为中小企业的，联合体视同中小企业。其中，联合体各方均为小微企业的，联合体视同小微企业。</w:t>
      </w:r>
    </w:p>
    <w:p w14:paraId="112C2A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供应商确定自身属于上述定义的中小企业时，应按第七章“响应文件格式“提供相应的《中小企业声明函》，否则评标时不予认定。任何单位和个人不得要求供应商提供《中小企业声明函》之外的中小企业身份证明文件。</w:t>
      </w:r>
    </w:p>
    <w:p w14:paraId="3B6014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39.4以联合体形式参加政府采购活动，联合体各方均为中小企业的，联合体视同中小企业。其中，联合体各方均为小微企业的，联合体视同小微企业。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629EA2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39.5享受中小企业扶持政策获得政府采购合同的，小微企业不得将合同分包给大中型企业，中型企业不得将合同分包给大型企业。</w:t>
      </w:r>
    </w:p>
    <w:p w14:paraId="42E243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39.6供应商按《关于政府采购支持监狱企业发展有关问题的通知》(财库[2014]68 号)认定为监狱企业的，在政府采购活动中，监狱企业视同小型、微型企业。监狱企业参 加政府采购活动时，应当提供由省级以上监狱管理局、戒毒管理局(含新疆生产建设兵团)出具的属于监狱企业的证明文件。</w:t>
      </w:r>
    </w:p>
    <w:p w14:paraId="07BA68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39.7供应商按《三部门联合发布关于促进残疾人就业政府采购政策的通知》(财库[2017]141 号) 认定为残疾人福利性单位的，视同小型、微型企业；残疾人福利性单位参加政府采购活动时，应当提供《残疾人福利性单位声明函》 。残疾人福利性单位属于小型、微型企业的，不重复享受政策。</w:t>
      </w:r>
    </w:p>
    <w:p w14:paraId="763A4D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ascii="Arial"/>
          <w:sz w:val="21"/>
        </w:rPr>
      </w:pPr>
      <w:r>
        <w:rPr>
          <w:rFonts w:hint="eastAsia" w:asciiTheme="minorEastAsia" w:hAnsiTheme="minorEastAsia" w:eastAsiaTheme="minorEastAsia" w:cstheme="minorEastAsia"/>
          <w:snapToGrid/>
          <w:color w:val="auto"/>
          <w:kern w:val="2"/>
          <w:sz w:val="24"/>
          <w:szCs w:val="24"/>
          <w:highlight w:val="none"/>
          <w:lang w:val="en-US" w:eastAsia="zh-CN" w:bidi="ar-SA"/>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  (财库[2020]46 号) 第九条</w:t>
      </w:r>
      <w:bookmarkStart w:id="44" w:name="_bookmark2"/>
      <w:bookmarkEnd w:id="44"/>
      <w:r>
        <w:rPr>
          <w:rFonts w:hint="eastAsia" w:asciiTheme="minorEastAsia" w:hAnsiTheme="minorEastAsia" w:eastAsiaTheme="minorEastAsia" w:cstheme="minorEastAsia"/>
          <w:snapToGrid/>
          <w:color w:val="auto"/>
          <w:kern w:val="2"/>
          <w:sz w:val="24"/>
          <w:szCs w:val="24"/>
          <w:highlight w:val="none"/>
          <w:lang w:val="en-US" w:eastAsia="zh-CN" w:bidi="ar-SA"/>
        </w:rPr>
        <w:t>有关规定重新组织采购活动。</w:t>
      </w:r>
    </w:p>
    <w:p w14:paraId="0EC36494">
      <w:pPr>
        <w:keepNext w:val="0"/>
        <w:keepLines w:val="0"/>
        <w:pageBreakBefore w:val="0"/>
        <w:widowControl w:val="0"/>
        <w:kinsoku/>
        <w:wordWrap/>
        <w:overflowPunct w:val="0"/>
        <w:topLinePunct w:val="0"/>
        <w:autoSpaceDE w:val="0"/>
        <w:autoSpaceDN w:val="0"/>
        <w:bidi w:val="0"/>
        <w:rPr>
          <w:rFonts w:ascii="Arial"/>
          <w:sz w:val="21"/>
        </w:rPr>
      </w:pPr>
      <w:r>
        <w:rPr>
          <w:rFonts w:ascii="Arial"/>
          <w:sz w:val="21"/>
        </w:rPr>
        <w:br w:type="page"/>
      </w:r>
    </w:p>
    <w:p w14:paraId="7DF88E78">
      <w:pPr>
        <w:pStyle w:val="12"/>
        <w:keepNext w:val="0"/>
        <w:keepLines w:val="0"/>
        <w:pageBreakBefore w:val="0"/>
        <w:widowControl w:val="0"/>
        <w:kinsoku/>
        <w:wordWrap/>
        <w:overflowPunct w:val="0"/>
        <w:topLinePunct w:val="0"/>
        <w:autoSpaceDE w:val="0"/>
        <w:autoSpaceDN w:val="0"/>
        <w:bidi w:val="0"/>
        <w:ind w:left="0" w:leftChars="0" w:firstLine="0" w:firstLineChars="0"/>
      </w:pPr>
    </w:p>
    <w:p w14:paraId="3DE5406A">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45" w:name="_Toc32547"/>
      <w:bookmarkStart w:id="46" w:name="_Toc29611"/>
      <w:bookmarkStart w:id="47" w:name="_Toc26755"/>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第三章  工程量清单</w:t>
      </w:r>
      <w:bookmarkEnd w:id="45"/>
      <w:bookmarkEnd w:id="46"/>
      <w:bookmarkEnd w:id="47"/>
    </w:p>
    <w:p w14:paraId="33CD8FF4">
      <w:pPr>
        <w:keepNext w:val="0"/>
        <w:keepLines w:val="0"/>
        <w:pageBreakBefore w:val="0"/>
        <w:widowControl w:val="0"/>
        <w:kinsoku/>
        <w:wordWrap/>
        <w:overflowPunct w:val="0"/>
        <w:topLinePunct w:val="0"/>
        <w:autoSpaceDE w:val="0"/>
        <w:autoSpaceDN w:val="0"/>
        <w:bidi w:val="0"/>
        <w:spacing w:line="258" w:lineRule="auto"/>
        <w:rPr>
          <w:rFonts w:ascii="Arial"/>
          <w:sz w:val="21"/>
        </w:rPr>
      </w:pPr>
    </w:p>
    <w:p w14:paraId="5B617F8D">
      <w:pPr>
        <w:keepNext w:val="0"/>
        <w:keepLines w:val="0"/>
        <w:pageBreakBefore w:val="0"/>
        <w:widowControl w:val="0"/>
        <w:kinsoku/>
        <w:wordWrap/>
        <w:overflowPunct w:val="0"/>
        <w:topLinePunct w:val="0"/>
        <w:autoSpaceDE w:val="0"/>
        <w:autoSpaceDN w:val="0"/>
        <w:bidi w:val="0"/>
        <w:spacing w:line="288" w:lineRule="auto"/>
        <w:rPr>
          <w:rFonts w:ascii="Arial"/>
          <w:sz w:val="21"/>
        </w:rPr>
      </w:pPr>
    </w:p>
    <w:p w14:paraId="186F88D2">
      <w:pPr>
        <w:keepNext w:val="0"/>
        <w:keepLines w:val="0"/>
        <w:pageBreakBefore w:val="0"/>
        <w:widowControl w:val="0"/>
        <w:kinsoku/>
        <w:wordWrap/>
        <w:overflowPunct w:val="0"/>
        <w:topLinePunct w:val="0"/>
        <w:autoSpaceDE w:val="0"/>
        <w:autoSpaceDN w:val="0"/>
        <w:bidi w:val="0"/>
        <w:spacing w:before="72" w:line="228" w:lineRule="auto"/>
        <w:ind w:firstLine="1764" w:firstLineChars="700"/>
        <w:outlineLvl w:val="9"/>
        <w:rPr>
          <w:rFonts w:ascii="宋体" w:hAnsi="宋体" w:eastAsia="宋体" w:cs="宋体"/>
          <w:spacing w:val="6"/>
          <w:sz w:val="24"/>
          <w:szCs w:val="24"/>
        </w:rPr>
      </w:pPr>
      <w:r>
        <w:rPr>
          <w:rFonts w:hint="eastAsia" w:ascii="宋体" w:hAnsi="宋体" w:eastAsia="宋体" w:cs="宋体"/>
          <w:spacing w:val="6"/>
          <w:sz w:val="24"/>
          <w:szCs w:val="24"/>
          <w:lang w:val="en-US" w:eastAsia="zh-CN"/>
        </w:rPr>
        <w:t>按 “工程量清单”中的相关表格及投标报价说明填写。</w:t>
      </w:r>
    </w:p>
    <w:p w14:paraId="031B7C9D">
      <w:pPr>
        <w:keepNext w:val="0"/>
        <w:keepLines w:val="0"/>
        <w:pageBreakBefore w:val="0"/>
        <w:widowControl w:val="0"/>
        <w:kinsoku/>
        <w:wordWrap/>
        <w:overflowPunct w:val="0"/>
        <w:topLinePunct w:val="0"/>
        <w:autoSpaceDE w:val="0"/>
        <w:autoSpaceDN w:val="0"/>
        <w:bidi w:val="0"/>
        <w:spacing w:before="72" w:line="228" w:lineRule="auto"/>
        <w:ind w:firstLine="2772" w:firstLineChars="1100"/>
        <w:outlineLvl w:val="9"/>
        <w:rPr>
          <w:rFonts w:ascii="宋体" w:hAnsi="宋体" w:eastAsia="宋体" w:cs="宋体"/>
          <w:spacing w:val="6"/>
          <w:sz w:val="24"/>
          <w:szCs w:val="24"/>
        </w:rPr>
      </w:pPr>
    </w:p>
    <w:p w14:paraId="53BC76DB">
      <w:pPr>
        <w:pStyle w:val="9"/>
        <w:keepNext w:val="0"/>
        <w:keepLines w:val="0"/>
        <w:pageBreakBefore w:val="0"/>
        <w:widowControl w:val="0"/>
        <w:kinsoku/>
        <w:wordWrap/>
        <w:overflowPunct w:val="0"/>
        <w:topLinePunct w:val="0"/>
        <w:autoSpaceDE w:val="0"/>
        <w:autoSpaceDN w:val="0"/>
        <w:bidi w:val="0"/>
      </w:pPr>
    </w:p>
    <w:p w14:paraId="7A5827BA">
      <w:pPr>
        <w:keepNext w:val="0"/>
        <w:keepLines w:val="0"/>
        <w:pageBreakBefore w:val="0"/>
        <w:widowControl w:val="0"/>
        <w:kinsoku/>
        <w:wordWrap/>
        <w:overflowPunct w:val="0"/>
        <w:topLinePunct w:val="0"/>
        <w:autoSpaceDE w:val="0"/>
        <w:autoSpaceDN w:val="0"/>
        <w:bidi w:val="0"/>
        <w:spacing w:line="242" w:lineRule="auto"/>
        <w:rPr>
          <w:rFonts w:ascii="Arial"/>
          <w:sz w:val="21"/>
        </w:rPr>
      </w:pPr>
    </w:p>
    <w:p w14:paraId="2119A159">
      <w:pPr>
        <w:keepNext w:val="0"/>
        <w:keepLines w:val="0"/>
        <w:pageBreakBefore w:val="0"/>
        <w:widowControl w:val="0"/>
        <w:kinsoku/>
        <w:wordWrap/>
        <w:overflowPunct w:val="0"/>
        <w:topLinePunct w:val="0"/>
        <w:autoSpaceDE w:val="0"/>
        <w:autoSpaceDN w:val="0"/>
        <w:bidi w:val="0"/>
        <w:spacing w:line="242" w:lineRule="auto"/>
        <w:rPr>
          <w:rFonts w:ascii="Arial"/>
          <w:sz w:val="21"/>
        </w:rPr>
      </w:pPr>
    </w:p>
    <w:p w14:paraId="33F7D767">
      <w:pPr>
        <w:keepNext w:val="0"/>
        <w:keepLines w:val="0"/>
        <w:pageBreakBefore w:val="0"/>
        <w:widowControl w:val="0"/>
        <w:kinsoku/>
        <w:wordWrap/>
        <w:overflowPunct w:val="0"/>
        <w:topLinePunct w:val="0"/>
        <w:autoSpaceDE w:val="0"/>
        <w:autoSpaceDN w:val="0"/>
        <w:bidi w:val="0"/>
        <w:spacing w:line="243" w:lineRule="auto"/>
        <w:rPr>
          <w:rFonts w:ascii="Arial"/>
          <w:sz w:val="21"/>
        </w:rPr>
      </w:pPr>
    </w:p>
    <w:p w14:paraId="50CB2C26">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48" w:name="_Toc25796"/>
      <w:bookmarkStart w:id="49" w:name="_Toc25899"/>
      <w:bookmarkStart w:id="50" w:name="_Toc25478"/>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第四章  图纸</w:t>
      </w:r>
      <w:bookmarkEnd w:id="48"/>
      <w:bookmarkEnd w:id="49"/>
      <w:bookmarkEnd w:id="50"/>
    </w:p>
    <w:p w14:paraId="2F01BD37">
      <w:pPr>
        <w:keepNext w:val="0"/>
        <w:keepLines w:val="0"/>
        <w:pageBreakBefore w:val="0"/>
        <w:widowControl w:val="0"/>
        <w:kinsoku/>
        <w:wordWrap/>
        <w:overflowPunct w:val="0"/>
        <w:topLinePunct w:val="0"/>
        <w:autoSpaceDE w:val="0"/>
        <w:autoSpaceDN w:val="0"/>
        <w:bidi w:val="0"/>
        <w:spacing w:line="325" w:lineRule="exact"/>
        <w:ind w:firstLine="4448"/>
        <w:textAlignment w:val="center"/>
      </w:pPr>
    </w:p>
    <w:p w14:paraId="36D2B76A">
      <w:pPr>
        <w:keepNext w:val="0"/>
        <w:keepLines w:val="0"/>
        <w:pageBreakBefore w:val="0"/>
        <w:widowControl w:val="0"/>
        <w:kinsoku/>
        <w:wordWrap/>
        <w:overflowPunct w:val="0"/>
        <w:topLinePunct w:val="0"/>
        <w:autoSpaceDE w:val="0"/>
        <w:autoSpaceDN w:val="0"/>
        <w:bidi w:val="0"/>
        <w:spacing w:line="300" w:lineRule="auto"/>
        <w:rPr>
          <w:rFonts w:ascii="Arial"/>
          <w:sz w:val="21"/>
        </w:rPr>
      </w:pPr>
    </w:p>
    <w:p w14:paraId="3E38AD3B">
      <w:pPr>
        <w:keepNext w:val="0"/>
        <w:keepLines w:val="0"/>
        <w:pageBreakBefore w:val="0"/>
        <w:widowControl w:val="0"/>
        <w:kinsoku/>
        <w:wordWrap/>
        <w:overflowPunct w:val="0"/>
        <w:topLinePunct w:val="0"/>
        <w:autoSpaceDE w:val="0"/>
        <w:autoSpaceDN w:val="0"/>
        <w:bidi w:val="0"/>
        <w:spacing w:line="300" w:lineRule="auto"/>
        <w:rPr>
          <w:rFonts w:ascii="Arial"/>
          <w:sz w:val="21"/>
        </w:rPr>
      </w:pPr>
    </w:p>
    <w:p w14:paraId="4E514911">
      <w:pPr>
        <w:keepNext w:val="0"/>
        <w:keepLines w:val="0"/>
        <w:pageBreakBefore w:val="0"/>
        <w:widowControl w:val="0"/>
        <w:kinsoku/>
        <w:wordWrap/>
        <w:overflowPunct w:val="0"/>
        <w:topLinePunct w:val="0"/>
        <w:autoSpaceDE w:val="0"/>
        <w:autoSpaceDN w:val="0"/>
        <w:bidi w:val="0"/>
        <w:spacing w:before="72" w:line="228" w:lineRule="auto"/>
        <w:ind w:firstLine="2772" w:firstLineChars="1100"/>
        <w:outlineLvl w:val="9"/>
        <w:rPr>
          <w:rFonts w:ascii="宋体" w:hAnsi="宋体" w:eastAsia="宋体" w:cs="宋体"/>
          <w:sz w:val="24"/>
          <w:szCs w:val="24"/>
        </w:rPr>
      </w:pPr>
      <w:bookmarkStart w:id="51" w:name="_bookmark3"/>
      <w:bookmarkEnd w:id="51"/>
      <w:bookmarkStart w:id="52" w:name="_Toc6652"/>
      <w:r>
        <w:rPr>
          <w:rFonts w:ascii="宋体" w:hAnsi="宋体" w:eastAsia="宋体" w:cs="宋体"/>
          <w:spacing w:val="6"/>
          <w:sz w:val="24"/>
          <w:szCs w:val="24"/>
        </w:rPr>
        <w:t xml:space="preserve">( </w:t>
      </w:r>
      <w:r>
        <w:rPr>
          <w:rFonts w:hint="eastAsia" w:ascii="宋体" w:hAnsi="宋体" w:eastAsia="宋体" w:cs="宋体"/>
          <w:spacing w:val="10"/>
          <w:sz w:val="24"/>
          <w:szCs w:val="24"/>
          <w:lang w:val="en-US" w:eastAsia="zh-CN"/>
        </w:rPr>
        <w:t>广西</w:t>
      </w:r>
      <w:r>
        <w:rPr>
          <w:rFonts w:ascii="宋体" w:hAnsi="宋体" w:eastAsia="宋体" w:cs="宋体"/>
          <w:spacing w:val="10"/>
          <w:sz w:val="24"/>
          <w:szCs w:val="24"/>
        </w:rPr>
        <w:t>政</w:t>
      </w:r>
      <w:r>
        <w:rPr>
          <w:rFonts w:hint="eastAsia" w:ascii="宋体" w:hAnsi="宋体" w:eastAsia="宋体" w:cs="宋体"/>
          <w:spacing w:val="10"/>
          <w:sz w:val="24"/>
          <w:szCs w:val="24"/>
          <w:lang w:val="en-US" w:eastAsia="zh-CN"/>
        </w:rPr>
        <w:t>府</w:t>
      </w:r>
      <w:r>
        <w:rPr>
          <w:rFonts w:ascii="宋体" w:hAnsi="宋体" w:eastAsia="宋体" w:cs="宋体"/>
          <w:spacing w:val="10"/>
          <w:sz w:val="24"/>
          <w:szCs w:val="24"/>
        </w:rPr>
        <w:t>采</w:t>
      </w:r>
      <w:r>
        <w:rPr>
          <w:rFonts w:hint="eastAsia" w:ascii="宋体" w:hAnsi="宋体" w:eastAsia="宋体" w:cs="宋体"/>
          <w:spacing w:val="10"/>
          <w:sz w:val="24"/>
          <w:szCs w:val="24"/>
          <w:lang w:val="en-US" w:eastAsia="zh-CN"/>
        </w:rPr>
        <w:t>购</w:t>
      </w:r>
      <w:r>
        <w:rPr>
          <w:rFonts w:ascii="宋体" w:hAnsi="宋体" w:eastAsia="宋体" w:cs="宋体"/>
          <w:spacing w:val="10"/>
          <w:sz w:val="24"/>
          <w:szCs w:val="24"/>
        </w:rPr>
        <w:t>云</w:t>
      </w:r>
      <w:r>
        <w:rPr>
          <w:rFonts w:hint="eastAsia" w:ascii="宋体" w:hAnsi="宋体" w:eastAsia="宋体" w:cs="宋体"/>
          <w:spacing w:val="6"/>
          <w:sz w:val="24"/>
          <w:szCs w:val="24"/>
          <w:lang w:val="en-US" w:eastAsia="zh-CN"/>
        </w:rPr>
        <w:t>平台自行下载</w:t>
      </w:r>
      <w:r>
        <w:rPr>
          <w:rFonts w:ascii="宋体" w:hAnsi="宋体" w:eastAsia="宋体" w:cs="宋体"/>
          <w:spacing w:val="6"/>
          <w:sz w:val="24"/>
          <w:szCs w:val="24"/>
        </w:rPr>
        <w:t>)</w:t>
      </w:r>
      <w:bookmarkEnd w:id="52"/>
    </w:p>
    <w:p w14:paraId="41B2EFF9">
      <w:pPr>
        <w:keepNext w:val="0"/>
        <w:keepLines w:val="0"/>
        <w:pageBreakBefore w:val="0"/>
        <w:widowControl w:val="0"/>
        <w:kinsoku/>
        <w:wordWrap/>
        <w:overflowPunct w:val="0"/>
        <w:topLinePunct w:val="0"/>
        <w:autoSpaceDE w:val="0"/>
        <w:autoSpaceDN w:val="0"/>
        <w:bidi w:val="0"/>
        <w:sectPr>
          <w:headerReference r:id="rId8" w:type="default"/>
          <w:footerReference r:id="rId9" w:type="default"/>
          <w:pgSz w:w="11906" w:h="16838"/>
          <w:pgMar w:top="1304" w:right="1304" w:bottom="1304" w:left="1304" w:header="0" w:footer="675" w:gutter="0"/>
          <w:pgNumType w:fmt="decimal"/>
          <w:cols w:space="425" w:num="1"/>
          <w:rtlGutter w:val="0"/>
          <w:docGrid w:linePitch="0" w:charSpace="0"/>
        </w:sectPr>
      </w:pPr>
    </w:p>
    <w:p w14:paraId="6A1ED9A0">
      <w:pPr>
        <w:keepNext w:val="0"/>
        <w:keepLines w:val="0"/>
        <w:pageBreakBefore w:val="0"/>
        <w:widowControl w:val="0"/>
        <w:kinsoku/>
        <w:wordWrap/>
        <w:overflowPunct w:val="0"/>
        <w:topLinePunct w:val="0"/>
        <w:autoSpaceDE w:val="0"/>
        <w:autoSpaceDN w:val="0"/>
        <w:bidi w:val="0"/>
        <w:spacing w:line="284" w:lineRule="auto"/>
        <w:rPr>
          <w:rFonts w:ascii="Arial"/>
          <w:sz w:val="21"/>
        </w:rPr>
      </w:pPr>
    </w:p>
    <w:p w14:paraId="3EC331DC">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53" w:name="_Toc10299"/>
      <w:bookmarkStart w:id="54" w:name="_Toc20699"/>
      <w:bookmarkStart w:id="55" w:name="_Toc28453"/>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第五章  技术规范</w:t>
      </w:r>
      <w:bookmarkEnd w:id="53"/>
      <w:bookmarkEnd w:id="54"/>
      <w:bookmarkEnd w:id="55"/>
    </w:p>
    <w:p w14:paraId="6818FCF1">
      <w:pPr>
        <w:keepNext w:val="0"/>
        <w:keepLines w:val="0"/>
        <w:pageBreakBefore w:val="0"/>
        <w:widowControl w:val="0"/>
        <w:kinsoku/>
        <w:wordWrap/>
        <w:overflowPunct w:val="0"/>
        <w:topLinePunct w:val="0"/>
        <w:autoSpaceDE w:val="0"/>
        <w:autoSpaceDN w:val="0"/>
        <w:bidi w:val="0"/>
        <w:spacing w:line="243" w:lineRule="auto"/>
      </w:pPr>
    </w:p>
    <w:p w14:paraId="6E0EABB0">
      <w:pPr>
        <w:keepNext w:val="0"/>
        <w:keepLines w:val="0"/>
        <w:pageBreakBefore w:val="0"/>
        <w:widowControl w:val="0"/>
        <w:kinsoku/>
        <w:wordWrap/>
        <w:overflowPunct w:val="0"/>
        <w:topLinePunct w:val="0"/>
        <w:autoSpaceDE w:val="0"/>
        <w:autoSpaceDN w:val="0"/>
        <w:bidi w:val="0"/>
        <w:spacing w:line="423" w:lineRule="auto"/>
        <w:rPr>
          <w:rFonts w:ascii="Arial"/>
          <w:sz w:val="21"/>
        </w:rPr>
      </w:pPr>
    </w:p>
    <w:p w14:paraId="700F616B">
      <w:pPr>
        <w:keepNext w:val="0"/>
        <w:keepLines w:val="0"/>
        <w:pageBreakBefore w:val="0"/>
        <w:widowControl w:val="0"/>
        <w:kinsoku/>
        <w:wordWrap/>
        <w:overflowPunct w:val="0"/>
        <w:topLinePunct w:val="0"/>
        <w:autoSpaceDE w:val="0"/>
        <w:autoSpaceDN w:val="0"/>
        <w:bidi w:val="0"/>
        <w:spacing w:before="71" w:line="297" w:lineRule="exact"/>
        <w:ind w:left="512"/>
        <w:outlineLvl w:val="9"/>
        <w:rPr>
          <w:rFonts w:ascii="宋体" w:hAnsi="宋体" w:eastAsia="宋体" w:cs="宋体"/>
          <w:sz w:val="24"/>
          <w:szCs w:val="24"/>
        </w:rPr>
      </w:pPr>
      <w:r>
        <w:rPr>
          <w:rFonts w:ascii="宋体" w:hAnsi="宋体" w:eastAsia="宋体" w:cs="宋体"/>
          <w:spacing w:val="25"/>
          <w:position w:val="1"/>
          <w:sz w:val="24"/>
          <w:szCs w:val="24"/>
        </w:rPr>
        <w:t>1</w:t>
      </w:r>
      <w:r>
        <w:rPr>
          <w:rFonts w:ascii="宋体" w:hAnsi="宋体" w:eastAsia="宋体" w:cs="宋体"/>
          <w:spacing w:val="16"/>
          <w:position w:val="1"/>
          <w:sz w:val="24"/>
          <w:szCs w:val="24"/>
        </w:rPr>
        <w:t>、依据设计文件的要求，本招标工程项目的材料、设备、施工须达到下列中华人民共</w:t>
      </w:r>
      <w:r>
        <w:rPr>
          <w:rFonts w:ascii="宋体" w:hAnsi="宋体" w:eastAsia="宋体" w:cs="宋体"/>
          <w:spacing w:val="17"/>
          <w:sz w:val="24"/>
          <w:szCs w:val="24"/>
        </w:rPr>
        <w:t>和</w:t>
      </w:r>
      <w:r>
        <w:rPr>
          <w:rFonts w:ascii="宋体" w:hAnsi="宋体" w:eastAsia="宋体" w:cs="宋体"/>
          <w:spacing w:val="10"/>
          <w:sz w:val="24"/>
          <w:szCs w:val="24"/>
        </w:rPr>
        <w:t>国以及省、自治区、直辖市或行业的工程建设标准、规范的要求。</w:t>
      </w:r>
    </w:p>
    <w:p w14:paraId="0C80EF0B">
      <w:pPr>
        <w:keepNext w:val="0"/>
        <w:keepLines w:val="0"/>
        <w:pageBreakBefore w:val="0"/>
        <w:widowControl w:val="0"/>
        <w:kinsoku/>
        <w:wordWrap/>
        <w:overflowPunct w:val="0"/>
        <w:topLinePunct w:val="0"/>
        <w:autoSpaceDE w:val="0"/>
        <w:autoSpaceDN w:val="0"/>
        <w:bidi w:val="0"/>
        <w:spacing w:before="211" w:line="297" w:lineRule="exact"/>
        <w:ind w:left="484"/>
        <w:outlineLvl w:val="9"/>
        <w:rPr>
          <w:rFonts w:ascii="宋体" w:hAnsi="宋体" w:eastAsia="宋体" w:cs="宋体"/>
          <w:sz w:val="24"/>
          <w:szCs w:val="24"/>
        </w:rPr>
      </w:pPr>
      <w:r>
        <w:rPr>
          <w:rFonts w:ascii="宋体" w:hAnsi="宋体" w:eastAsia="宋体" w:cs="宋体"/>
          <w:spacing w:val="21"/>
          <w:position w:val="1"/>
          <w:sz w:val="24"/>
          <w:szCs w:val="24"/>
        </w:rPr>
        <w:t>2</w:t>
      </w:r>
      <w:r>
        <w:rPr>
          <w:rFonts w:ascii="宋体" w:hAnsi="宋体" w:eastAsia="宋体" w:cs="宋体"/>
          <w:spacing w:val="15"/>
          <w:position w:val="1"/>
          <w:sz w:val="24"/>
          <w:szCs w:val="24"/>
        </w:rPr>
        <w:t>、引用的标准和规程规范可参考。</w:t>
      </w:r>
    </w:p>
    <w:p w14:paraId="5334AB84">
      <w:pPr>
        <w:keepNext w:val="0"/>
        <w:keepLines w:val="0"/>
        <w:pageBreakBefore w:val="0"/>
        <w:widowControl w:val="0"/>
        <w:kinsoku/>
        <w:wordWrap/>
        <w:overflowPunct w:val="0"/>
        <w:topLinePunct w:val="0"/>
        <w:autoSpaceDE w:val="0"/>
        <w:autoSpaceDN w:val="0"/>
        <w:bidi w:val="0"/>
        <w:sectPr>
          <w:footerReference r:id="rId10" w:type="default"/>
          <w:pgSz w:w="11906" w:h="16838"/>
          <w:pgMar w:top="1304" w:right="1304" w:bottom="1304" w:left="1304" w:header="0" w:footer="675" w:gutter="0"/>
          <w:pgNumType w:fmt="decimal"/>
          <w:cols w:space="425" w:num="1"/>
          <w:rtlGutter w:val="0"/>
          <w:docGrid w:linePitch="0" w:charSpace="0"/>
        </w:sectPr>
      </w:pPr>
    </w:p>
    <w:p w14:paraId="54FC0D0D">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56" w:name="_Toc31459"/>
      <w:bookmarkStart w:id="57" w:name="_Toc4885"/>
      <w:bookmarkStart w:id="58" w:name="_Toc30974"/>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第六章  评标办法及评分标准</w:t>
      </w:r>
      <w:bookmarkEnd w:id="56"/>
      <w:bookmarkEnd w:id="57"/>
      <w:bookmarkEnd w:id="58"/>
    </w:p>
    <w:p w14:paraId="669ADA8F">
      <w:pPr>
        <w:keepNext w:val="0"/>
        <w:keepLines w:val="0"/>
        <w:pageBreakBefore w:val="0"/>
        <w:widowControl w:val="0"/>
        <w:kinsoku/>
        <w:wordWrap/>
        <w:overflowPunct w:val="0"/>
        <w:topLinePunct w:val="0"/>
        <w:autoSpaceDE w:val="0"/>
        <w:autoSpaceDN w:val="0"/>
        <w:bidi w:val="0"/>
        <w:spacing w:line="474" w:lineRule="auto"/>
        <w:rPr>
          <w:rFonts w:ascii="Arial"/>
          <w:sz w:val="21"/>
        </w:rPr>
      </w:pPr>
    </w:p>
    <w:p w14:paraId="6F8EA096">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一、评标原则</w:t>
      </w:r>
    </w:p>
    <w:p w14:paraId="5CF15170">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（一）磋商小组成员组成：本竞争性磋商采购项目的磋商小组由采购人代表和评审专家共三人以上的单数组成，其中评审专家的人数不得少于磋商小组成员总数的三分之二。</w:t>
      </w:r>
    </w:p>
    <w:p w14:paraId="24676EF9">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（二）评标依据：磋商小组以竞争性磋商文件和竞争性磋商响应文件为依据，对磋商供应商的价格、服务方案、信誉、业绩等方面按百分制打分。</w:t>
      </w:r>
    </w:p>
    <w:p w14:paraId="5AC4B227">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（三）评标方式：以封闭方式进行。</w:t>
      </w:r>
    </w:p>
    <w:p w14:paraId="492744ED">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40E59859">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lang w:val="en-US" w:eastAsia="zh-CN"/>
        </w:rPr>
        <w:t>二</w:t>
      </w:r>
      <w:r>
        <w:rPr>
          <w:rFonts w:hint="eastAsia" w:ascii="宋体" w:hAnsi="宋体" w:eastAsia="宋体" w:cs="宋体"/>
          <w:spacing w:val="18"/>
          <w:sz w:val="24"/>
          <w:szCs w:val="24"/>
        </w:rPr>
        <w:t>、评标方法：综合评分法。</w:t>
      </w:r>
    </w:p>
    <w:p w14:paraId="17E2E544">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(1)对通过资格审查、符合性性评审的响应文件，采用综合评分法进行评审；</w:t>
      </w:r>
    </w:p>
    <w:p w14:paraId="74F9CA0C">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(2)评标时以经评审的最低价为得分最高满分10分，本项目专门面向小微企业采购，专门面向小微企业预留份额为100%，根据财库[2020]46号文规定，不再执行价格评审优惠的扶持政策。</w:t>
      </w:r>
    </w:p>
    <w:tbl>
      <w:tblPr>
        <w:tblStyle w:val="25"/>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299"/>
        <w:gridCol w:w="6414"/>
      </w:tblGrid>
      <w:tr w14:paraId="25A8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38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349432E2">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报价分（满分</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0分）</w:t>
            </w:r>
          </w:p>
        </w:tc>
        <w:tc>
          <w:tcPr>
            <w:tcW w:w="7713" w:type="dxa"/>
            <w:gridSpan w:val="2"/>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4FB98045">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（1）本项目专门面向</w:t>
            </w:r>
            <w:r>
              <w:rPr>
                <w:rFonts w:hint="eastAsia" w:ascii="宋体" w:hAnsi="宋体" w:eastAsia="宋体" w:cs="宋体"/>
                <w:snapToGrid w:val="0"/>
                <w:color w:val="000000"/>
                <w:kern w:val="0"/>
                <w:sz w:val="24"/>
                <w:szCs w:val="24"/>
                <w:lang w:val="en-US" w:eastAsia="zh-CN"/>
              </w:rPr>
              <w:t>小微企业采购</w:t>
            </w:r>
            <w:r>
              <w:rPr>
                <w:rFonts w:hint="eastAsia" w:ascii="宋体" w:hAnsi="宋体" w:eastAsia="宋体" w:cs="宋体"/>
                <w:sz w:val="24"/>
                <w:szCs w:val="24"/>
                <w:lang w:eastAsia="zh-CN"/>
              </w:rPr>
              <w:t>，不再执行价格优惠扶持政策，评标报价=</w:t>
            </w:r>
            <w:r>
              <w:rPr>
                <w:rFonts w:hint="eastAsia" w:ascii="宋体" w:hAnsi="宋体" w:eastAsia="宋体" w:cs="宋体"/>
                <w:sz w:val="24"/>
                <w:szCs w:val="24"/>
                <w:lang w:val="en-US" w:eastAsia="zh-CN"/>
              </w:rPr>
              <w:t>投</w:t>
            </w:r>
            <w:r>
              <w:rPr>
                <w:rFonts w:hint="eastAsia" w:ascii="宋体" w:hAnsi="宋体" w:eastAsia="宋体" w:cs="宋体"/>
                <w:sz w:val="24"/>
                <w:szCs w:val="24"/>
                <w:lang w:eastAsia="zh-CN"/>
              </w:rPr>
              <w:t>标最后报价。</w:t>
            </w:r>
          </w:p>
          <w:p w14:paraId="0E2F271B">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（2）满足磋商文件要求且评审报价最低的报价为评审基准价，其价格分为满分。</w:t>
            </w:r>
          </w:p>
          <w:p w14:paraId="0A27C3F2">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）某有效供应商价格得分=有效供应商最低评标价/某供应商的最后报价×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0分</w:t>
            </w:r>
          </w:p>
        </w:tc>
      </w:tr>
      <w:tr w14:paraId="68D61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389" w:type="dxa"/>
            <w:tcBorders>
              <w:top w:val="single" w:color="auto" w:sz="4" w:space="0"/>
              <w:left w:val="single" w:color="auto" w:sz="4" w:space="0"/>
              <w:bottom w:val="single" w:color="auto" w:sz="4" w:space="0"/>
              <w:right w:val="single" w:color="auto" w:sz="4" w:space="0"/>
              <w:tl2br w:val="nil"/>
              <w:tr2bl w:val="nil"/>
            </w:tcBorders>
            <w:noWrap w:val="0"/>
            <w:tcMar>
              <w:left w:w="113" w:type="dxa"/>
              <w:right w:w="113" w:type="dxa"/>
            </w:tcMar>
            <w:vAlign w:val="center"/>
          </w:tcPr>
          <w:p w14:paraId="75BB51C5">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商务分（满分</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tcMar>
              <w:left w:w="113" w:type="dxa"/>
              <w:right w:w="113" w:type="dxa"/>
            </w:tcMar>
            <w:vAlign w:val="center"/>
          </w:tcPr>
          <w:p w14:paraId="50E463B8">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bookmarkStart w:id="59" w:name="OLE_LINK43"/>
            <w:r>
              <w:rPr>
                <w:rFonts w:hint="eastAsia" w:ascii="宋体" w:hAnsi="宋体" w:eastAsia="宋体" w:cs="宋体"/>
                <w:sz w:val="24"/>
                <w:szCs w:val="24"/>
                <w:lang w:eastAsia="zh-CN"/>
              </w:rPr>
              <w:t>业绩（</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bookmarkEnd w:id="59"/>
          </w:p>
        </w:tc>
        <w:tc>
          <w:tcPr>
            <w:tcW w:w="6414" w:type="dxa"/>
            <w:tcBorders>
              <w:top w:val="single" w:color="000000" w:sz="2" w:space="0"/>
              <w:left w:val="single" w:color="auto" w:sz="4" w:space="0"/>
              <w:bottom w:val="single" w:color="000000" w:sz="2" w:space="0"/>
              <w:right w:val="single" w:color="000000" w:sz="2" w:space="0"/>
              <w:tl2br w:val="nil"/>
              <w:tr2bl w:val="nil"/>
            </w:tcBorders>
            <w:noWrap w:val="0"/>
            <w:tcMar>
              <w:top w:w="0" w:type="dxa"/>
              <w:left w:w="113" w:type="dxa"/>
              <w:bottom w:w="0" w:type="dxa"/>
              <w:right w:w="113" w:type="dxa"/>
            </w:tcMar>
            <w:vAlign w:val="center"/>
          </w:tcPr>
          <w:p w14:paraId="07014404">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60" w:name="OLE_LINK44"/>
            <w:r>
              <w:rPr>
                <w:rFonts w:hint="eastAsia" w:ascii="宋体" w:hAnsi="宋体" w:eastAsia="宋体" w:cs="宋体"/>
                <w:spacing w:val="0"/>
                <w:w w:val="100"/>
                <w:sz w:val="24"/>
                <w:szCs w:val="24"/>
                <w:lang w:eastAsia="zh-CN"/>
              </w:rPr>
              <w:t>供应商自2022年1月1日至投标截止日期以来已完成且质量合格的</w:t>
            </w:r>
            <w:r>
              <w:rPr>
                <w:rFonts w:hint="eastAsia" w:ascii="宋体" w:hAnsi="宋体" w:eastAsia="宋体" w:cs="宋体"/>
                <w:b w:val="0"/>
                <w:bCs w:val="0"/>
                <w:spacing w:val="0"/>
                <w:w w:val="100"/>
                <w:sz w:val="24"/>
                <w:szCs w:val="24"/>
                <w:lang w:val="en-US" w:eastAsia="zh-CN"/>
              </w:rPr>
              <w:t>类似</w:t>
            </w:r>
            <w:r>
              <w:rPr>
                <w:rFonts w:hint="eastAsia" w:ascii="宋体" w:hAnsi="宋体" w:eastAsia="宋体" w:cs="宋体"/>
                <w:spacing w:val="0"/>
                <w:w w:val="100"/>
                <w:sz w:val="24"/>
                <w:szCs w:val="24"/>
                <w:lang w:eastAsia="zh-CN"/>
              </w:rPr>
              <w:t>工程项目， 每个得</w:t>
            </w:r>
            <w:r>
              <w:rPr>
                <w:rFonts w:hint="eastAsia" w:ascii="宋体" w:hAnsi="宋体" w:eastAsia="宋体" w:cs="宋体"/>
                <w:spacing w:val="0"/>
                <w:w w:val="100"/>
                <w:sz w:val="24"/>
                <w:szCs w:val="24"/>
                <w:lang w:val="en-US" w:eastAsia="zh-CN"/>
              </w:rPr>
              <w:t>2.5</w:t>
            </w:r>
            <w:r>
              <w:rPr>
                <w:rFonts w:hint="eastAsia" w:ascii="宋体" w:hAnsi="宋体" w:eastAsia="宋体" w:cs="宋体"/>
                <w:spacing w:val="0"/>
                <w:w w:val="100"/>
                <w:sz w:val="24"/>
                <w:szCs w:val="24"/>
                <w:lang w:eastAsia="zh-CN"/>
              </w:rPr>
              <w:t>分，本项满分</w:t>
            </w:r>
            <w:r>
              <w:rPr>
                <w:rFonts w:hint="eastAsia" w:ascii="宋体" w:hAnsi="宋体" w:eastAsia="宋体" w:cs="宋体"/>
                <w:spacing w:val="0"/>
                <w:w w:val="100"/>
                <w:sz w:val="24"/>
                <w:szCs w:val="24"/>
                <w:lang w:val="en-US" w:eastAsia="zh-CN"/>
              </w:rPr>
              <w:t>5</w:t>
            </w:r>
            <w:r>
              <w:rPr>
                <w:rFonts w:hint="eastAsia" w:ascii="宋体" w:hAnsi="宋体" w:eastAsia="宋体" w:cs="宋体"/>
                <w:spacing w:val="0"/>
                <w:w w:val="100"/>
                <w:sz w:val="24"/>
                <w:szCs w:val="24"/>
                <w:lang w:eastAsia="zh-CN"/>
              </w:rPr>
              <w:t>分。</w:t>
            </w:r>
          </w:p>
          <w:p w14:paraId="5C09E4F6">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注：需提供施工合同和验收证明复印件， 否则不予计分。</w:t>
            </w:r>
            <w:bookmarkEnd w:id="60"/>
          </w:p>
        </w:tc>
      </w:tr>
      <w:tr w14:paraId="0ED4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389" w:type="dxa"/>
            <w:vMerge w:val="restart"/>
            <w:tcBorders>
              <w:top w:val="single" w:color="auto" w:sz="4" w:space="0"/>
              <w:left w:val="single" w:color="000000" w:sz="2" w:space="0"/>
              <w:right w:val="single" w:color="000000" w:sz="2" w:space="0"/>
              <w:tl2br w:val="nil"/>
              <w:tr2bl w:val="nil"/>
            </w:tcBorders>
            <w:noWrap w:val="0"/>
            <w:tcMar>
              <w:left w:w="113" w:type="dxa"/>
              <w:right w:w="113" w:type="dxa"/>
            </w:tcMar>
            <w:vAlign w:val="center"/>
          </w:tcPr>
          <w:p w14:paraId="76232574">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技术分（满分</w:t>
            </w:r>
            <w:r>
              <w:rPr>
                <w:rFonts w:hint="eastAsia" w:ascii="宋体" w:hAnsi="宋体" w:eastAsia="宋体" w:cs="宋体"/>
                <w:sz w:val="24"/>
                <w:szCs w:val="24"/>
                <w:lang w:val="en-US" w:eastAsia="zh-CN"/>
              </w:rPr>
              <w:t>85</w:t>
            </w:r>
            <w:r>
              <w:rPr>
                <w:rFonts w:hint="eastAsia" w:ascii="宋体" w:hAnsi="宋体" w:eastAsia="宋体" w:cs="宋体"/>
                <w:sz w:val="24"/>
                <w:szCs w:val="24"/>
                <w:lang w:val="en-US" w:eastAsia="en-US"/>
              </w:rPr>
              <w:t>分）</w:t>
            </w:r>
          </w:p>
        </w:tc>
        <w:tc>
          <w:tcPr>
            <w:tcW w:w="1299" w:type="dxa"/>
            <w:tcBorders>
              <w:top w:val="single" w:color="auto" w:sz="4"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737B831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bookmarkStart w:id="61" w:name="OLE_LINK45"/>
            <w:r>
              <w:rPr>
                <w:rFonts w:hint="eastAsia" w:ascii="宋体" w:hAnsi="宋体" w:eastAsia="宋体" w:cs="宋体"/>
                <w:sz w:val="24"/>
                <w:szCs w:val="24"/>
                <w:lang w:val="en-US" w:eastAsia="en-US"/>
              </w:rPr>
              <w:t>各分部分项工程的主要施工方法</w:t>
            </w:r>
            <w:r>
              <w:rPr>
                <w:rFonts w:hint="eastAsia" w:ascii="宋体" w:hAnsi="宋体" w:eastAsia="宋体" w:cs="宋体"/>
                <w:sz w:val="24"/>
                <w:szCs w:val="24"/>
                <w:lang w:val="en-US" w:eastAsia="zh-CN"/>
              </w:rPr>
              <w:t>（15分）</w:t>
            </w:r>
            <w:bookmarkEnd w:id="61"/>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4AF52D52">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62" w:name="OLE_LINK46"/>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15</w:t>
            </w:r>
            <w:r>
              <w:rPr>
                <w:rFonts w:hint="eastAsia" w:ascii="宋体" w:hAnsi="宋体" w:eastAsia="宋体" w:cs="宋体"/>
                <w:spacing w:val="0"/>
                <w:w w:val="100"/>
                <w:sz w:val="24"/>
                <w:szCs w:val="24"/>
                <w:lang w:eastAsia="zh-CN"/>
              </w:rPr>
              <w:t xml:space="preserve">分）：施工方法合理，技术措施具体、先进、有效。 </w:t>
            </w:r>
          </w:p>
          <w:p w14:paraId="651333AD">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10</w:t>
            </w:r>
            <w:r>
              <w:rPr>
                <w:rFonts w:hint="eastAsia" w:ascii="宋体" w:hAnsi="宋体" w:eastAsia="宋体" w:cs="宋体"/>
                <w:spacing w:val="0"/>
                <w:w w:val="100"/>
                <w:sz w:val="24"/>
                <w:szCs w:val="24"/>
                <w:lang w:eastAsia="zh-CN"/>
              </w:rPr>
              <w:t>分）：施工方法比较合理， 施工技术措施比较具体。</w:t>
            </w:r>
          </w:p>
          <w:p w14:paraId="68EE0EBC">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5</w:t>
            </w:r>
            <w:r>
              <w:rPr>
                <w:rFonts w:hint="eastAsia" w:ascii="宋体" w:hAnsi="宋体" w:eastAsia="宋体" w:cs="宋体"/>
                <w:spacing w:val="0"/>
                <w:w w:val="100"/>
                <w:sz w:val="24"/>
                <w:szCs w:val="24"/>
                <w:lang w:eastAsia="zh-CN"/>
              </w:rPr>
              <w:t>分）：施工方法基本合理， 施工技术措施不够具体。</w:t>
            </w:r>
          </w:p>
          <w:p w14:paraId="5DB36F66">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差（0分）：未提供施工方法或施工方法不合理，技术措施不具体。</w:t>
            </w:r>
            <w:bookmarkEnd w:id="62"/>
          </w:p>
        </w:tc>
      </w:tr>
      <w:tr w14:paraId="0FD7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2BDA72AD">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02070452">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bookmarkStart w:id="63" w:name="OLE_LINK47"/>
            <w:r>
              <w:rPr>
                <w:rFonts w:hint="eastAsia" w:ascii="宋体" w:hAnsi="宋体" w:eastAsia="宋体" w:cs="宋体"/>
                <w:sz w:val="24"/>
                <w:szCs w:val="24"/>
                <w:lang w:eastAsia="zh-CN"/>
              </w:rPr>
              <w:t>拟投入本工程的主要施工机械设备情况</w:t>
            </w:r>
          </w:p>
          <w:p w14:paraId="25502599">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w:t>
            </w:r>
            <w:bookmarkEnd w:id="63"/>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32249D08">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64" w:name="OLE_LINK48"/>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9</w:t>
            </w:r>
            <w:r>
              <w:rPr>
                <w:rFonts w:hint="eastAsia" w:ascii="宋体" w:hAnsi="宋体" w:eastAsia="宋体" w:cs="宋体"/>
                <w:spacing w:val="0"/>
                <w:w w:val="100"/>
                <w:sz w:val="24"/>
                <w:szCs w:val="24"/>
                <w:lang w:eastAsia="zh-CN"/>
              </w:rPr>
              <w:t>分）：投入计划与进度计划呼应，较好满足施工需要，采用先进机械设备。</w:t>
            </w:r>
          </w:p>
          <w:p w14:paraId="73D7B85E">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6</w:t>
            </w:r>
            <w:r>
              <w:rPr>
                <w:rFonts w:hint="eastAsia" w:ascii="宋体" w:hAnsi="宋体" w:eastAsia="宋体" w:cs="宋体"/>
                <w:spacing w:val="0"/>
                <w:w w:val="100"/>
                <w:sz w:val="24"/>
                <w:szCs w:val="24"/>
                <w:lang w:eastAsia="zh-CN"/>
              </w:rPr>
              <w:t>分）：投入计划与进度计划呼应，满足施工需要。</w:t>
            </w:r>
          </w:p>
          <w:p w14:paraId="10F4106C">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3</w:t>
            </w:r>
            <w:r>
              <w:rPr>
                <w:rFonts w:hint="eastAsia" w:ascii="宋体" w:hAnsi="宋体" w:eastAsia="宋体" w:cs="宋体"/>
                <w:spacing w:val="0"/>
                <w:w w:val="100"/>
                <w:sz w:val="24"/>
                <w:szCs w:val="24"/>
                <w:lang w:eastAsia="zh-CN"/>
              </w:rPr>
              <w:t>分）：投入计划与进度计划呼应，基本满足施工需要。</w:t>
            </w:r>
          </w:p>
          <w:p w14:paraId="0AB11313">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差（0分）：未提供投入计划或投入计划与进度计划不呼应，不能满足施工需要。</w:t>
            </w:r>
            <w:bookmarkEnd w:id="64"/>
          </w:p>
        </w:tc>
      </w:tr>
      <w:tr w14:paraId="21D9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06BD2B6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376D157E">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bookmarkStart w:id="65" w:name="OLE_LINK49"/>
            <w:r>
              <w:rPr>
                <w:rFonts w:hint="eastAsia" w:ascii="宋体" w:hAnsi="宋体" w:eastAsia="宋体" w:cs="宋体"/>
                <w:sz w:val="24"/>
                <w:szCs w:val="24"/>
                <w:lang w:eastAsia="zh-CN"/>
              </w:rPr>
              <w:t>劳动力安排计划（</w:t>
            </w:r>
            <w:r>
              <w:rPr>
                <w:rFonts w:hint="eastAsia" w:ascii="宋体" w:hAnsi="宋体" w:eastAsia="宋体" w:cs="宋体"/>
                <w:sz w:val="24"/>
                <w:szCs w:val="24"/>
                <w:lang w:val="en-US" w:eastAsia="zh-CN"/>
              </w:rPr>
              <w:t>9分）</w:t>
            </w:r>
            <w:bookmarkEnd w:id="65"/>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0AD861E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66" w:name="OLE_LINK50"/>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9</w:t>
            </w:r>
            <w:r>
              <w:rPr>
                <w:rFonts w:hint="eastAsia" w:ascii="宋体" w:hAnsi="宋体" w:eastAsia="宋体" w:cs="宋体"/>
                <w:spacing w:val="0"/>
                <w:w w:val="100"/>
                <w:sz w:val="24"/>
                <w:szCs w:val="24"/>
                <w:lang w:eastAsia="zh-CN"/>
              </w:rPr>
              <w:t>分）：投入计划与进度计划呼应，较好满足施工需要，调配投入计划合理、准确。</w:t>
            </w:r>
          </w:p>
          <w:p w14:paraId="7C1EFD3A">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6</w:t>
            </w:r>
            <w:r>
              <w:rPr>
                <w:rFonts w:hint="eastAsia" w:ascii="宋体" w:hAnsi="宋体" w:eastAsia="宋体" w:cs="宋体"/>
                <w:spacing w:val="0"/>
                <w:w w:val="100"/>
                <w:sz w:val="24"/>
                <w:szCs w:val="24"/>
                <w:lang w:eastAsia="zh-CN"/>
              </w:rPr>
              <w:t>分）：投入计划与进度计划呼应，基本满足施工需要，调配投入计划基本合理、准确。</w:t>
            </w:r>
          </w:p>
          <w:p w14:paraId="5F942C89">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3</w:t>
            </w:r>
            <w:r>
              <w:rPr>
                <w:rFonts w:hint="eastAsia" w:ascii="宋体" w:hAnsi="宋体" w:eastAsia="宋体" w:cs="宋体"/>
                <w:spacing w:val="0"/>
                <w:w w:val="100"/>
                <w:sz w:val="24"/>
                <w:szCs w:val="24"/>
                <w:lang w:eastAsia="zh-CN"/>
              </w:rPr>
              <w:t>分）：投入计划与进度计划呼应，基本满足施工需要，调配投入计划基本合理。</w:t>
            </w:r>
          </w:p>
          <w:p w14:paraId="4F451693">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 ：未提供投入计划或投入计划与进度计划不呼应，不能满足施工需要。</w:t>
            </w:r>
            <w:bookmarkEnd w:id="66"/>
          </w:p>
        </w:tc>
      </w:tr>
      <w:tr w14:paraId="643E1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25E64C66">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2C1C8438">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bookmarkStart w:id="67" w:name="OLE_LINK51"/>
            <w:r>
              <w:rPr>
                <w:rFonts w:hint="eastAsia" w:ascii="宋体" w:hAnsi="宋体" w:eastAsia="宋体" w:cs="宋体"/>
                <w:sz w:val="24"/>
                <w:szCs w:val="24"/>
                <w:lang w:eastAsia="zh-CN"/>
              </w:rPr>
              <w:t>确保工程质量的技术组织措施（</w:t>
            </w:r>
            <w:r>
              <w:rPr>
                <w:rFonts w:hint="eastAsia" w:ascii="宋体" w:hAnsi="宋体" w:eastAsia="宋体" w:cs="宋体"/>
                <w:sz w:val="24"/>
                <w:szCs w:val="24"/>
                <w:lang w:val="en-US" w:eastAsia="zh-CN"/>
              </w:rPr>
              <w:t>12分）</w:t>
            </w:r>
            <w:bookmarkEnd w:id="67"/>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3BF67ED3">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68" w:name="OLE_LINK52"/>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12</w:t>
            </w:r>
            <w:r>
              <w:rPr>
                <w:rFonts w:hint="eastAsia" w:ascii="宋体" w:hAnsi="宋体" w:eastAsia="宋体" w:cs="宋体"/>
                <w:spacing w:val="0"/>
                <w:w w:val="100"/>
                <w:sz w:val="24"/>
                <w:szCs w:val="24"/>
                <w:lang w:eastAsia="zh-CN"/>
              </w:rPr>
              <w:t>分）：针对项目实际提出先进、可行、具体的保证措施，超过磋商文件的质量要求及施工验收规范要求。</w:t>
            </w:r>
          </w:p>
          <w:p w14:paraId="45E539EC">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lang w:eastAsia="zh-CN"/>
              </w:rPr>
              <w:t>分）：针对项目实际提出先进、可行、具体的保证措施，满足磋商文件的质量要求。</w:t>
            </w:r>
          </w:p>
          <w:p w14:paraId="1506DEF0">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4</w:t>
            </w:r>
            <w:r>
              <w:rPr>
                <w:rFonts w:hint="eastAsia" w:ascii="宋体" w:hAnsi="宋体" w:eastAsia="宋体" w:cs="宋体"/>
                <w:spacing w:val="0"/>
                <w:w w:val="100"/>
                <w:sz w:val="24"/>
                <w:szCs w:val="24"/>
                <w:lang w:eastAsia="zh-CN"/>
              </w:rPr>
              <w:t>分）：具体措施可行，满足磋商文件的质量要求。</w:t>
            </w:r>
          </w:p>
          <w:p w14:paraId="4D77E7D4">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差（0分）：未提供措施或措施不可行。</w:t>
            </w:r>
            <w:bookmarkEnd w:id="68"/>
          </w:p>
        </w:tc>
      </w:tr>
      <w:tr w14:paraId="6122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10CBCF65">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339CAA2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bookmarkStart w:id="69" w:name="OLE_LINK53"/>
            <w:r>
              <w:rPr>
                <w:rFonts w:hint="eastAsia" w:ascii="宋体" w:hAnsi="宋体" w:eastAsia="宋体" w:cs="宋体"/>
                <w:sz w:val="24"/>
                <w:szCs w:val="24"/>
                <w:lang w:eastAsia="zh-CN"/>
              </w:rPr>
              <w:t>确保安全生产的技术组织措施（</w:t>
            </w:r>
            <w:r>
              <w:rPr>
                <w:rFonts w:hint="eastAsia" w:ascii="宋体" w:hAnsi="宋体" w:eastAsia="宋体" w:cs="宋体"/>
                <w:sz w:val="24"/>
                <w:szCs w:val="24"/>
                <w:lang w:val="en-US" w:eastAsia="zh-CN"/>
              </w:rPr>
              <w:t>12分）</w:t>
            </w:r>
            <w:bookmarkEnd w:id="69"/>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5FF501F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70" w:name="OLE_LINK54"/>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12</w:t>
            </w:r>
            <w:r>
              <w:rPr>
                <w:rFonts w:hint="eastAsia" w:ascii="宋体" w:hAnsi="宋体" w:eastAsia="宋体" w:cs="宋体"/>
                <w:spacing w:val="0"/>
                <w:w w:val="100"/>
                <w:sz w:val="24"/>
                <w:szCs w:val="24"/>
                <w:lang w:eastAsia="zh-CN"/>
              </w:rPr>
              <w:t>分）：针对项目实际情况， 有先进、具体、完整、可行的实施措施，采用规范正确、清晰。</w:t>
            </w:r>
          </w:p>
          <w:p w14:paraId="27ADBCAA">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lang w:eastAsia="zh-CN"/>
              </w:rPr>
              <w:t>分）：针对项目实际情况，有合理的措施且具体、完整，采用规范正确。</w:t>
            </w:r>
          </w:p>
          <w:p w14:paraId="78F478A6">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4</w:t>
            </w:r>
            <w:r>
              <w:rPr>
                <w:rFonts w:hint="eastAsia" w:ascii="宋体" w:hAnsi="宋体" w:eastAsia="宋体" w:cs="宋体"/>
                <w:spacing w:val="0"/>
                <w:w w:val="100"/>
                <w:sz w:val="24"/>
                <w:szCs w:val="24"/>
                <w:lang w:eastAsia="zh-CN"/>
              </w:rPr>
              <w:t>分）：有基本合理的措施， 采用规范正确。</w:t>
            </w:r>
          </w:p>
          <w:p w14:paraId="09DDC59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差（0分）：未提供安全施工措施或安全施工措施不合理， 采用规范不正确。</w:t>
            </w:r>
            <w:bookmarkEnd w:id="70"/>
          </w:p>
        </w:tc>
      </w:tr>
      <w:tr w14:paraId="42B3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0FCC3944">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0A506A89">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val="en-US" w:eastAsia="zh-CN"/>
              </w:rPr>
            </w:pPr>
            <w:bookmarkStart w:id="71" w:name="OLE_LINK55"/>
            <w:r>
              <w:rPr>
                <w:rFonts w:hint="eastAsia" w:ascii="宋体" w:hAnsi="宋体" w:eastAsia="宋体" w:cs="宋体"/>
                <w:sz w:val="24"/>
                <w:szCs w:val="24"/>
                <w:lang w:eastAsia="zh-CN"/>
              </w:rPr>
              <w:t>拟配备的试验和检测仪器设备（</w:t>
            </w:r>
            <w:r>
              <w:rPr>
                <w:rFonts w:hint="eastAsia" w:ascii="宋体" w:hAnsi="宋体" w:eastAsia="宋体" w:cs="宋体"/>
                <w:sz w:val="24"/>
                <w:szCs w:val="24"/>
                <w:lang w:val="en-US" w:eastAsia="zh-CN"/>
              </w:rPr>
              <w:t>8分）</w:t>
            </w:r>
            <w:bookmarkEnd w:id="71"/>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70530E09">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72" w:name="OLE_LINK56"/>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lang w:eastAsia="zh-CN"/>
              </w:rPr>
              <w:t>分）：投入计划与进度计划呼应，较好满足施工需要，采用先进机械设备。</w:t>
            </w:r>
          </w:p>
          <w:p w14:paraId="02CB296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5</w:t>
            </w:r>
            <w:r>
              <w:rPr>
                <w:rFonts w:hint="eastAsia" w:ascii="宋体" w:hAnsi="宋体" w:eastAsia="宋体" w:cs="宋体"/>
                <w:spacing w:val="0"/>
                <w:w w:val="100"/>
                <w:sz w:val="24"/>
                <w:szCs w:val="24"/>
                <w:lang w:eastAsia="zh-CN"/>
              </w:rPr>
              <w:t>分）：投入计划与进度计划呼应，满足施工需要。</w:t>
            </w:r>
          </w:p>
          <w:p w14:paraId="14E2721C">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中（2分）：投入计划与进度计划呼应，基本满足施工需要。</w:t>
            </w:r>
          </w:p>
          <w:p w14:paraId="16E7BD2D">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差（0分）：未提供投入计划或投入计划与进度计划不呼应，不能满足施工需要。</w:t>
            </w:r>
            <w:bookmarkEnd w:id="72"/>
          </w:p>
        </w:tc>
      </w:tr>
      <w:tr w14:paraId="7F56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389" w:type="dxa"/>
            <w:vMerge w:val="continue"/>
            <w:tcBorders>
              <w:left w:val="single" w:color="000000" w:sz="2" w:space="0"/>
              <w:right w:val="single" w:color="000000" w:sz="2" w:space="0"/>
              <w:tl2br w:val="nil"/>
              <w:tr2bl w:val="nil"/>
            </w:tcBorders>
            <w:noWrap w:val="0"/>
            <w:tcMar>
              <w:left w:w="113" w:type="dxa"/>
              <w:right w:w="113" w:type="dxa"/>
            </w:tcMar>
            <w:vAlign w:val="top"/>
          </w:tcPr>
          <w:p w14:paraId="057CE86A">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000000" w:sz="2" w:space="0"/>
              <w:right w:val="single" w:color="000000" w:sz="2" w:space="0"/>
              <w:tl2br w:val="nil"/>
              <w:tr2bl w:val="nil"/>
            </w:tcBorders>
            <w:noWrap w:val="0"/>
            <w:tcMar>
              <w:left w:w="113" w:type="dxa"/>
              <w:right w:w="113" w:type="dxa"/>
            </w:tcMar>
            <w:vAlign w:val="center"/>
          </w:tcPr>
          <w:p w14:paraId="390BF3FB">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val="en-US" w:eastAsia="zh-CN"/>
              </w:rPr>
            </w:pPr>
            <w:bookmarkStart w:id="73" w:name="OLE_LINK57"/>
            <w:r>
              <w:rPr>
                <w:rFonts w:hint="eastAsia" w:ascii="宋体" w:hAnsi="宋体" w:eastAsia="宋体" w:cs="宋体"/>
                <w:sz w:val="24"/>
                <w:szCs w:val="24"/>
                <w:lang w:eastAsia="zh-CN"/>
              </w:rPr>
              <w:t>确保文明施工的技术组织措施（</w:t>
            </w:r>
            <w:r>
              <w:rPr>
                <w:rFonts w:hint="eastAsia" w:ascii="宋体" w:hAnsi="宋体" w:eastAsia="宋体" w:cs="宋体"/>
                <w:sz w:val="24"/>
                <w:szCs w:val="24"/>
                <w:lang w:val="en-US" w:eastAsia="zh-CN"/>
              </w:rPr>
              <w:t>8分）</w:t>
            </w:r>
            <w:bookmarkEnd w:id="73"/>
          </w:p>
        </w:tc>
        <w:tc>
          <w:tcPr>
            <w:tcW w:w="6414" w:type="dxa"/>
            <w:tcBorders>
              <w:top w:val="single" w:color="000000" w:sz="2" w:space="0"/>
              <w:left w:val="single" w:color="000000" w:sz="2" w:space="0"/>
              <w:bottom w:val="single" w:color="000000" w:sz="2" w:space="0"/>
              <w:right w:val="single" w:color="000000" w:sz="2" w:space="0"/>
              <w:tl2br w:val="nil"/>
              <w:tr2bl w:val="nil"/>
            </w:tcBorders>
            <w:noWrap w:val="0"/>
            <w:tcMar>
              <w:top w:w="0" w:type="dxa"/>
              <w:left w:w="113" w:type="dxa"/>
              <w:bottom w:w="0" w:type="dxa"/>
              <w:right w:w="113" w:type="dxa"/>
            </w:tcMar>
            <w:vAlign w:val="top"/>
          </w:tcPr>
          <w:p w14:paraId="5B45992A">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bookmarkStart w:id="74" w:name="OLE_LINK58"/>
            <w:r>
              <w:rPr>
                <w:rFonts w:hint="eastAsia" w:ascii="宋体" w:hAnsi="宋体" w:eastAsia="宋体" w:cs="宋体"/>
                <w:spacing w:val="0"/>
                <w:w w:val="100"/>
                <w:sz w:val="24"/>
                <w:szCs w:val="24"/>
                <w:lang w:eastAsia="zh-CN"/>
              </w:rPr>
              <w:t>优（8分）：针对项目实际情况，有先进、具体、完整、可行的实施措施，采用规范正确、清晰。</w:t>
            </w:r>
          </w:p>
          <w:p w14:paraId="68D29AA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良（5分）：针对项目实际情况，有合理的措施且具体、完整，采用规范正确。</w:t>
            </w:r>
          </w:p>
          <w:p w14:paraId="15172C09">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中（2分）：有基本合理的措施，采用规范正确。</w:t>
            </w:r>
          </w:p>
          <w:p w14:paraId="18F05543">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差（0分）：未提供文明施工措施或文明施工措施不合理， 采用规范不正确。</w:t>
            </w:r>
            <w:bookmarkEnd w:id="74"/>
          </w:p>
        </w:tc>
      </w:tr>
      <w:tr w14:paraId="34E2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389" w:type="dxa"/>
            <w:vMerge w:val="continue"/>
            <w:tcBorders>
              <w:left w:val="single" w:color="000000" w:sz="2" w:space="0"/>
              <w:bottom w:val="single" w:color="auto" w:sz="4" w:space="0"/>
              <w:right w:val="single" w:color="000000" w:sz="2" w:space="0"/>
              <w:tl2br w:val="nil"/>
              <w:tr2bl w:val="nil"/>
            </w:tcBorders>
            <w:noWrap w:val="0"/>
            <w:tcMar>
              <w:left w:w="113" w:type="dxa"/>
              <w:right w:w="113" w:type="dxa"/>
            </w:tcMar>
            <w:vAlign w:val="top"/>
          </w:tcPr>
          <w:p w14:paraId="6AC2554A">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p>
        </w:tc>
        <w:tc>
          <w:tcPr>
            <w:tcW w:w="1299" w:type="dxa"/>
            <w:tcBorders>
              <w:top w:val="single" w:color="000000" w:sz="2" w:space="0"/>
              <w:left w:val="single" w:color="000000" w:sz="2" w:space="0"/>
              <w:bottom w:val="single" w:color="auto" w:sz="4" w:space="0"/>
              <w:right w:val="single" w:color="000000" w:sz="2" w:space="0"/>
              <w:tl2br w:val="nil"/>
              <w:tr2bl w:val="nil"/>
            </w:tcBorders>
            <w:noWrap w:val="0"/>
            <w:tcMar>
              <w:left w:w="113" w:type="dxa"/>
              <w:right w:w="113" w:type="dxa"/>
            </w:tcMar>
            <w:vAlign w:val="center"/>
          </w:tcPr>
          <w:p w14:paraId="4A99F4C9">
            <w:pPr>
              <w:keepNext w:val="0"/>
              <w:keepLines w:val="0"/>
              <w:pageBreakBefore w:val="0"/>
              <w:widowControl w:val="0"/>
              <w:kinsoku/>
              <w:wordWrap/>
              <w:overflowPunct w:val="0"/>
              <w:topLinePunct w:val="0"/>
              <w:autoSpaceDE w:val="0"/>
              <w:autoSpaceDN w:val="0"/>
              <w:bidi w:val="0"/>
              <w:spacing w:line="261" w:lineRule="auto"/>
              <w:jc w:val="left"/>
              <w:rPr>
                <w:rFonts w:hint="eastAsia" w:ascii="宋体" w:hAnsi="宋体" w:eastAsia="宋体" w:cs="宋体"/>
                <w:sz w:val="24"/>
                <w:szCs w:val="24"/>
                <w:lang w:val="en-US" w:eastAsia="zh-CN"/>
              </w:rPr>
            </w:pPr>
            <w:bookmarkStart w:id="75" w:name="OLE_LINK59"/>
            <w:r>
              <w:rPr>
                <w:rFonts w:hint="eastAsia" w:ascii="宋体" w:hAnsi="宋体" w:eastAsia="宋体" w:cs="宋体"/>
                <w:sz w:val="24"/>
                <w:szCs w:val="24"/>
                <w:lang w:eastAsia="zh-CN"/>
              </w:rPr>
              <w:t>确保工期的技术组织措施（</w:t>
            </w:r>
            <w:r>
              <w:rPr>
                <w:rFonts w:hint="eastAsia" w:ascii="宋体" w:hAnsi="宋体" w:eastAsia="宋体" w:cs="宋体"/>
                <w:sz w:val="24"/>
                <w:szCs w:val="24"/>
                <w:lang w:val="en-US" w:eastAsia="zh-CN"/>
              </w:rPr>
              <w:t>12分）</w:t>
            </w:r>
            <w:bookmarkEnd w:id="75"/>
          </w:p>
        </w:tc>
        <w:tc>
          <w:tcPr>
            <w:tcW w:w="6414" w:type="dxa"/>
            <w:tcBorders>
              <w:top w:val="single" w:color="000000" w:sz="2" w:space="0"/>
              <w:left w:val="single" w:color="000000" w:sz="2" w:space="0"/>
              <w:bottom w:val="single" w:color="auto" w:sz="4" w:space="0"/>
              <w:right w:val="single" w:color="000000" w:sz="2" w:space="0"/>
              <w:tl2br w:val="nil"/>
              <w:tr2bl w:val="nil"/>
            </w:tcBorders>
            <w:noWrap w:val="0"/>
            <w:tcMar>
              <w:top w:w="0" w:type="dxa"/>
              <w:left w:w="113" w:type="dxa"/>
              <w:bottom w:w="0" w:type="dxa"/>
              <w:right w:w="113" w:type="dxa"/>
            </w:tcMar>
            <w:vAlign w:val="top"/>
          </w:tcPr>
          <w:p w14:paraId="393C2D8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优（</w:t>
            </w:r>
            <w:r>
              <w:rPr>
                <w:rFonts w:hint="eastAsia" w:ascii="宋体" w:hAnsi="宋体" w:eastAsia="宋体" w:cs="宋体"/>
                <w:spacing w:val="0"/>
                <w:w w:val="100"/>
                <w:sz w:val="24"/>
                <w:szCs w:val="24"/>
                <w:lang w:val="en-US" w:eastAsia="zh-CN"/>
              </w:rPr>
              <w:t>12</w:t>
            </w:r>
            <w:r>
              <w:rPr>
                <w:rFonts w:hint="eastAsia" w:ascii="宋体" w:hAnsi="宋体" w:eastAsia="宋体" w:cs="宋体"/>
                <w:spacing w:val="0"/>
                <w:w w:val="100"/>
                <w:sz w:val="24"/>
                <w:szCs w:val="24"/>
                <w:lang w:eastAsia="zh-CN"/>
              </w:rPr>
              <w:t>分）：关键线路清晰、准确、完整， 计划编制合理、可行，关键节点的控制措施有力、合理、可行。</w:t>
            </w:r>
          </w:p>
          <w:p w14:paraId="6ECFA6B3">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良（</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lang w:eastAsia="zh-CN"/>
              </w:rPr>
              <w:t>分）：关键线路清晰、准确、完整， 计划编制可行， 关键节点的控制措施合理、可行。</w:t>
            </w:r>
          </w:p>
          <w:p w14:paraId="4B82024D">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中（</w:t>
            </w:r>
            <w:r>
              <w:rPr>
                <w:rFonts w:hint="eastAsia" w:ascii="宋体" w:hAnsi="宋体" w:eastAsia="宋体" w:cs="宋体"/>
                <w:spacing w:val="0"/>
                <w:w w:val="100"/>
                <w:sz w:val="24"/>
                <w:szCs w:val="24"/>
                <w:lang w:val="en-US" w:eastAsia="zh-CN"/>
              </w:rPr>
              <w:t>4</w:t>
            </w:r>
            <w:r>
              <w:rPr>
                <w:rFonts w:hint="eastAsia" w:ascii="宋体" w:hAnsi="宋体" w:eastAsia="宋体" w:cs="宋体"/>
                <w:spacing w:val="0"/>
                <w:w w:val="100"/>
                <w:sz w:val="24"/>
                <w:szCs w:val="24"/>
                <w:lang w:eastAsia="zh-CN"/>
              </w:rPr>
              <w:t>分）：关键线路基本准确， 计划编制合理，关键节点的控制措施基本可行。</w:t>
            </w:r>
          </w:p>
          <w:p w14:paraId="4186FB6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差（0分）：关键线路不准确， 计划编制不合理，关键节点的控制不可行。</w:t>
            </w:r>
          </w:p>
        </w:tc>
      </w:tr>
      <w:tr w14:paraId="2C9C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102" w:type="dxa"/>
            <w:gridSpan w:val="3"/>
            <w:tcBorders>
              <w:top w:val="single" w:color="auto" w:sz="4" w:space="0"/>
              <w:left w:val="single" w:color="auto" w:sz="4" w:space="0"/>
              <w:bottom w:val="single" w:color="auto" w:sz="4" w:space="0"/>
              <w:right w:val="single" w:color="auto" w:sz="4" w:space="0"/>
              <w:tl2br w:val="nil"/>
              <w:tr2bl w:val="nil"/>
            </w:tcBorders>
            <w:noWrap w:val="0"/>
            <w:tcMar>
              <w:left w:w="113" w:type="dxa"/>
              <w:right w:w="113" w:type="dxa"/>
            </w:tcMar>
            <w:vAlign w:val="top"/>
          </w:tcPr>
          <w:p w14:paraId="0E56C1DF">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供应商综合得分（满分100 分）=报价分（</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0分）+商务分（</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 +技术分（</w:t>
            </w:r>
            <w:r>
              <w:rPr>
                <w:rFonts w:hint="eastAsia" w:ascii="宋体" w:hAnsi="宋体" w:eastAsia="宋体" w:cs="宋体"/>
                <w:sz w:val="24"/>
                <w:szCs w:val="24"/>
                <w:lang w:val="en-US" w:eastAsia="zh-CN"/>
              </w:rPr>
              <w:t>85</w:t>
            </w:r>
            <w:r>
              <w:rPr>
                <w:rFonts w:hint="eastAsia" w:ascii="宋体" w:hAnsi="宋体" w:eastAsia="宋体" w:cs="宋体"/>
                <w:sz w:val="24"/>
                <w:szCs w:val="24"/>
                <w:lang w:eastAsia="zh-CN"/>
              </w:rPr>
              <w:t>分）</w:t>
            </w:r>
          </w:p>
        </w:tc>
      </w:tr>
    </w:tbl>
    <w:p w14:paraId="183CCAE1">
      <w:pPr>
        <w:keepNext w:val="0"/>
        <w:keepLines w:val="0"/>
        <w:pageBreakBefore w:val="0"/>
        <w:widowControl w:val="0"/>
        <w:kinsoku/>
        <w:wordWrap/>
        <w:overflowPunct w:val="0"/>
        <w:topLinePunct w:val="0"/>
        <w:autoSpaceDE w:val="0"/>
        <w:autoSpaceDN w:val="0"/>
        <w:bidi w:val="0"/>
        <w:spacing w:line="261" w:lineRule="auto"/>
        <w:rPr>
          <w:rFonts w:hint="eastAsia" w:ascii="宋体" w:hAnsi="宋体" w:eastAsia="宋体" w:cs="宋体"/>
          <w:sz w:val="24"/>
          <w:szCs w:val="24"/>
        </w:rPr>
      </w:pPr>
    </w:p>
    <w:p w14:paraId="401722BA">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p w14:paraId="0CB25098">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1、各项指标的分数计算四舍五入，取小数点后两位。</w:t>
      </w:r>
    </w:p>
    <w:p w14:paraId="62C3AAE6">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2、供应商综合得分（满分100分）=</w:t>
      </w:r>
      <w:r>
        <w:rPr>
          <w:rFonts w:hint="eastAsia" w:ascii="宋体" w:hAnsi="宋体" w:eastAsia="宋体" w:cs="宋体"/>
          <w:sz w:val="24"/>
          <w:szCs w:val="24"/>
          <w:lang w:eastAsia="zh-CN"/>
        </w:rPr>
        <w:t>报价分（</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0分）+商务分（</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 +技术分（</w:t>
      </w:r>
      <w:r>
        <w:rPr>
          <w:rFonts w:hint="eastAsia" w:ascii="宋体" w:hAnsi="宋体" w:eastAsia="宋体" w:cs="宋体"/>
          <w:sz w:val="24"/>
          <w:szCs w:val="24"/>
          <w:lang w:val="en-US" w:eastAsia="zh-CN"/>
        </w:rPr>
        <w:t>85</w:t>
      </w:r>
      <w:r>
        <w:rPr>
          <w:rFonts w:hint="eastAsia" w:ascii="宋体" w:hAnsi="宋体" w:eastAsia="宋体" w:cs="宋体"/>
          <w:sz w:val="24"/>
          <w:szCs w:val="24"/>
          <w:lang w:eastAsia="zh-CN"/>
        </w:rPr>
        <w:t>分）</w:t>
      </w:r>
    </w:p>
    <w:p w14:paraId="790D6CF3">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磋商小组将按照经综合评分法计算出的最后得分由高到低顺序排列推荐三名成交候选人。得分相同的，按投标总报价由低到高顺序排列，得分且投标总报价相同的，按技术标优劣顺序排列，若技术标得分仍相同的，由评标小组集体投票确定。</w:t>
      </w:r>
    </w:p>
    <w:p w14:paraId="702520DF">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4、根据磋商小组推荐的成交候选人 (按最后得分高低排序) ，由采购人按顺序根据有关规定书面确定成交人，并将结果通知所有参加供应商。本项目的合同授予被确定为实质上响应采购人需求，具备履行合同能力，评标报告中推荐的排名第一的成交候选人为成交人。</w:t>
      </w:r>
    </w:p>
    <w:p w14:paraId="4580FAD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4"/>
          <w:szCs w:val="24"/>
        </w:rPr>
        <w:sectPr>
          <w:footerReference r:id="rId11" w:type="default"/>
          <w:pgSz w:w="11906" w:h="16838"/>
          <w:pgMar w:top="1304" w:right="1304" w:bottom="1304" w:left="1304" w:header="0" w:footer="675" w:gutter="0"/>
          <w:pgNumType w:fmt="decimal"/>
          <w:cols w:space="425" w:num="1"/>
          <w:rtlGutter w:val="0"/>
          <w:docGrid w:linePitch="0" w:charSpace="0"/>
        </w:sectPr>
      </w:pPr>
    </w:p>
    <w:p w14:paraId="4D913EBE">
      <w:pPr>
        <w:keepNext w:val="0"/>
        <w:keepLines w:val="0"/>
        <w:pageBreakBefore w:val="0"/>
        <w:widowControl w:val="0"/>
        <w:kinsoku/>
        <w:wordWrap/>
        <w:overflowPunct w:val="0"/>
        <w:topLinePunct w:val="0"/>
        <w:autoSpaceDE w:val="0"/>
        <w:autoSpaceDN w:val="0"/>
        <w:bidi w:val="0"/>
        <w:spacing w:before="173" w:line="333" w:lineRule="exact"/>
        <w:ind w:firstLine="3698"/>
        <w:textAlignment w:val="center"/>
      </w:pPr>
    </w:p>
    <w:p w14:paraId="546DA8C7">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7B395D2A">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6F6ABA4E">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1126EBE1">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4A1F4588">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350086B7">
      <w:pPr>
        <w:keepNext w:val="0"/>
        <w:keepLines w:val="0"/>
        <w:pageBreakBefore w:val="0"/>
        <w:widowControl w:val="0"/>
        <w:kinsoku/>
        <w:wordWrap/>
        <w:overflowPunct w:val="0"/>
        <w:topLinePunct w:val="0"/>
        <w:autoSpaceDE w:val="0"/>
        <w:autoSpaceDN w:val="0"/>
        <w:bidi w:val="0"/>
        <w:spacing w:line="424" w:lineRule="auto"/>
        <w:rPr>
          <w:rFonts w:ascii="Arial"/>
          <w:sz w:val="21"/>
        </w:rPr>
      </w:pPr>
    </w:p>
    <w:p w14:paraId="31D2AFF0">
      <w:pPr>
        <w:keepNext w:val="0"/>
        <w:keepLines w:val="0"/>
        <w:pageBreakBefore w:val="0"/>
        <w:widowControl w:val="0"/>
        <w:kinsoku/>
        <w:wordWrap/>
        <w:overflowPunct w:val="0"/>
        <w:topLinePunct w:val="0"/>
        <w:autoSpaceDE w:val="0"/>
        <w:autoSpaceDN w:val="0"/>
        <w:bidi w:val="0"/>
        <w:spacing w:line="244" w:lineRule="auto"/>
        <w:rPr>
          <w:rFonts w:ascii="Arial"/>
          <w:sz w:val="21"/>
        </w:rPr>
      </w:pPr>
    </w:p>
    <w:p w14:paraId="728665F7">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76" w:name="_Toc27790"/>
      <w:bookmarkStart w:id="77" w:name="_Toc32438"/>
      <w:bookmarkStart w:id="78" w:name="_Toc11588"/>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第七章  合同主要条款格式</w:t>
      </w:r>
      <w:bookmarkEnd w:id="76"/>
      <w:bookmarkEnd w:id="77"/>
      <w:bookmarkEnd w:id="78"/>
    </w:p>
    <w:p w14:paraId="6766A02D">
      <w:pPr>
        <w:keepNext w:val="0"/>
        <w:keepLines w:val="0"/>
        <w:pageBreakBefore w:val="0"/>
        <w:widowControl w:val="0"/>
        <w:kinsoku/>
        <w:wordWrap/>
        <w:overflowPunct w:val="0"/>
        <w:topLinePunct w:val="0"/>
        <w:autoSpaceDE w:val="0"/>
        <w:autoSpaceDN w:val="0"/>
        <w:bidi w:val="0"/>
        <w:spacing w:line="244" w:lineRule="auto"/>
        <w:rPr>
          <w:rFonts w:ascii="Arial"/>
          <w:sz w:val="21"/>
        </w:rPr>
      </w:pPr>
    </w:p>
    <w:p w14:paraId="1737B78D">
      <w:pPr>
        <w:keepNext w:val="0"/>
        <w:keepLines w:val="0"/>
        <w:pageBreakBefore w:val="0"/>
        <w:widowControl w:val="0"/>
        <w:kinsoku/>
        <w:wordWrap/>
        <w:overflowPunct w:val="0"/>
        <w:topLinePunct w:val="0"/>
        <w:autoSpaceDE w:val="0"/>
        <w:autoSpaceDN w:val="0"/>
        <w:bidi w:val="0"/>
        <w:spacing w:line="244" w:lineRule="auto"/>
        <w:rPr>
          <w:rFonts w:ascii="Arial"/>
          <w:sz w:val="21"/>
        </w:rPr>
      </w:pPr>
    </w:p>
    <w:p w14:paraId="7FA301B8">
      <w:pPr>
        <w:rPr>
          <w:rFonts w:ascii="Arial"/>
          <w:sz w:val="21"/>
        </w:rPr>
      </w:pPr>
      <w:r>
        <w:rPr>
          <w:rFonts w:ascii="Arial"/>
          <w:sz w:val="21"/>
        </w:rPr>
        <w:br w:type="page"/>
      </w:r>
    </w:p>
    <w:p w14:paraId="3C406D20">
      <w:pPr>
        <w:pStyle w:val="16"/>
        <w:shd w:val="clear" w:color="auto" w:fill="auto"/>
        <w:tabs>
          <w:tab w:val="left" w:pos="5460"/>
        </w:tabs>
        <w:jc w:val="center"/>
        <w:rPr>
          <w:rFonts w:hint="eastAsia" w:ascii="宋体" w:hAnsi="宋体" w:eastAsia="宋体" w:cs="宋体"/>
          <w:b/>
          <w:color w:val="auto"/>
          <w:sz w:val="40"/>
          <w:szCs w:val="40"/>
          <w:highlight w:val="none"/>
          <w:lang w:eastAsia="zh-CN"/>
        </w:rPr>
      </w:pPr>
      <w:bookmarkStart w:id="79" w:name="_Toc296890982"/>
      <w:bookmarkStart w:id="80" w:name="_Toc521404840"/>
      <w:bookmarkStart w:id="81" w:name="_Toc256000080"/>
      <w:bookmarkStart w:id="82" w:name="_Toc373227552"/>
      <w:bookmarkStart w:id="83" w:name="EB70e2bf7617b4475ea61d483a9b667400"/>
      <w:bookmarkStart w:id="84" w:name="_Toc389065255"/>
      <w:bookmarkStart w:id="85" w:name="_Toc373478199"/>
      <w:bookmarkStart w:id="86" w:name="_Toc296503025"/>
      <w:bookmarkStart w:id="87" w:name="_Toc351203480"/>
    </w:p>
    <w:p w14:paraId="78DD0CD8">
      <w:pPr>
        <w:pStyle w:val="16"/>
        <w:shd w:val="clear" w:color="auto" w:fill="auto"/>
        <w:jc w:val="center"/>
        <w:rPr>
          <w:rFonts w:hint="eastAsia" w:ascii="宋体" w:hAnsi="宋体" w:eastAsia="宋体" w:cs="宋体"/>
          <w:b/>
          <w:color w:val="auto"/>
          <w:sz w:val="40"/>
          <w:szCs w:val="40"/>
          <w:highlight w:val="none"/>
          <w:lang w:eastAsia="zh-CN"/>
        </w:rPr>
      </w:pPr>
    </w:p>
    <w:p w14:paraId="6F512B37">
      <w:pPr>
        <w:pStyle w:val="16"/>
        <w:shd w:val="clear" w:color="auto" w:fill="auto"/>
        <w:jc w:val="center"/>
        <w:rPr>
          <w:rFonts w:hint="eastAsia" w:ascii="宋体" w:hAnsi="宋体" w:eastAsia="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柳城县六塘镇三界村谷里屯片区糖料蔗基地灌溉建设项目</w:t>
      </w:r>
    </w:p>
    <w:p w14:paraId="41B89F9D">
      <w:pPr>
        <w:pStyle w:val="16"/>
        <w:shd w:val="clear" w:color="auto" w:fill="auto"/>
        <w:rPr>
          <w:rFonts w:hint="eastAsia" w:ascii="宋体" w:hAnsi="宋体" w:eastAsia="宋体" w:cs="宋体"/>
          <w:b/>
          <w:color w:val="auto"/>
          <w:sz w:val="40"/>
          <w:szCs w:val="40"/>
          <w:highlight w:val="none"/>
        </w:rPr>
      </w:pPr>
    </w:p>
    <w:p w14:paraId="70DCC16E">
      <w:pPr>
        <w:pStyle w:val="16"/>
        <w:shd w:val="clear" w:color="auto" w:fill="auto"/>
        <w:rPr>
          <w:rFonts w:hint="eastAsia" w:ascii="宋体" w:hAnsi="宋体" w:eastAsia="宋体" w:cs="宋体"/>
          <w:b/>
          <w:color w:val="auto"/>
          <w:sz w:val="40"/>
          <w:szCs w:val="40"/>
          <w:highlight w:val="none"/>
        </w:rPr>
      </w:pPr>
    </w:p>
    <w:p w14:paraId="5AC9287D">
      <w:pPr>
        <w:pStyle w:val="16"/>
        <w:shd w:val="clear" w:color="auto" w:fill="auto"/>
        <w:rPr>
          <w:rFonts w:hint="eastAsia" w:ascii="宋体" w:hAnsi="宋体" w:eastAsia="宋体" w:cs="宋体"/>
          <w:b/>
          <w:color w:val="auto"/>
          <w:sz w:val="40"/>
          <w:szCs w:val="40"/>
          <w:highlight w:val="none"/>
        </w:rPr>
      </w:pPr>
    </w:p>
    <w:p w14:paraId="707EC08A">
      <w:pPr>
        <w:pStyle w:val="16"/>
        <w:shd w:val="clear" w:color="auto" w:fill="auto"/>
        <w:rPr>
          <w:rFonts w:hint="eastAsia" w:ascii="宋体" w:hAnsi="宋体" w:eastAsia="宋体" w:cs="宋体"/>
          <w:b/>
          <w:color w:val="auto"/>
          <w:sz w:val="40"/>
          <w:szCs w:val="40"/>
          <w:highlight w:val="none"/>
        </w:rPr>
      </w:pPr>
    </w:p>
    <w:p w14:paraId="111C7BC0">
      <w:pPr>
        <w:pStyle w:val="16"/>
        <w:shd w:val="clear" w:color="auto" w:fill="auto"/>
        <w:rPr>
          <w:rFonts w:hint="eastAsia" w:ascii="宋体" w:hAnsi="宋体" w:eastAsia="宋体" w:cs="宋体"/>
          <w:b/>
          <w:color w:val="auto"/>
          <w:sz w:val="40"/>
          <w:szCs w:val="40"/>
          <w:highlight w:val="none"/>
        </w:rPr>
      </w:pPr>
    </w:p>
    <w:p w14:paraId="3A310273">
      <w:pPr>
        <w:pStyle w:val="16"/>
        <w:shd w:val="clear" w:color="auto" w:fill="auto"/>
        <w:jc w:val="center"/>
        <w:rPr>
          <w:rFonts w:hint="eastAsia" w:ascii="宋体" w:hAnsi="宋体" w:eastAsia="宋体" w:cs="宋体"/>
          <w:b/>
          <w:color w:val="auto"/>
          <w:sz w:val="56"/>
          <w:szCs w:val="56"/>
          <w:highlight w:val="none"/>
        </w:rPr>
      </w:pPr>
    </w:p>
    <w:p w14:paraId="54C4B0D9">
      <w:pPr>
        <w:pStyle w:val="16"/>
        <w:shd w:val="clear" w:color="auto" w:fill="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施</w:t>
      </w:r>
    </w:p>
    <w:p w14:paraId="3D831D5E">
      <w:pPr>
        <w:pStyle w:val="16"/>
        <w:shd w:val="clear" w:color="auto" w:fill="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工</w:t>
      </w:r>
    </w:p>
    <w:p w14:paraId="2A8631C3">
      <w:pPr>
        <w:pStyle w:val="16"/>
        <w:shd w:val="clear" w:color="auto" w:fill="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合</w:t>
      </w:r>
    </w:p>
    <w:p w14:paraId="16CDE8BE">
      <w:pPr>
        <w:pStyle w:val="16"/>
        <w:shd w:val="clear" w:color="auto" w:fill="auto"/>
        <w:jc w:val="center"/>
        <w:rPr>
          <w:rFonts w:hint="eastAsia" w:ascii="宋体" w:hAnsi="宋体" w:eastAsia="宋体" w:cs="宋体"/>
          <w:b/>
          <w:color w:val="auto"/>
          <w:sz w:val="56"/>
          <w:szCs w:val="56"/>
          <w:highlight w:val="none"/>
          <w:lang w:val="en-US" w:eastAsia="zh-CN"/>
        </w:rPr>
      </w:pPr>
      <w:r>
        <w:rPr>
          <w:rFonts w:hint="eastAsia" w:ascii="宋体" w:hAnsi="宋体" w:eastAsia="宋体" w:cs="宋体"/>
          <w:b/>
          <w:color w:val="auto"/>
          <w:sz w:val="56"/>
          <w:szCs w:val="56"/>
          <w:highlight w:val="none"/>
          <w:lang w:val="en-US" w:eastAsia="zh-CN"/>
        </w:rPr>
        <w:t>同</w:t>
      </w:r>
    </w:p>
    <w:p w14:paraId="43590141">
      <w:pPr>
        <w:pStyle w:val="16"/>
        <w:shd w:val="clear" w:color="auto" w:fill="auto"/>
        <w:jc w:val="center"/>
        <w:rPr>
          <w:rFonts w:hint="eastAsia" w:ascii="宋体" w:hAnsi="宋体" w:eastAsia="宋体" w:cs="宋体"/>
          <w:b/>
          <w:color w:val="auto"/>
          <w:sz w:val="56"/>
          <w:szCs w:val="56"/>
          <w:highlight w:val="none"/>
        </w:rPr>
      </w:pPr>
    </w:p>
    <w:p w14:paraId="40C6BD8C">
      <w:pPr>
        <w:pStyle w:val="16"/>
        <w:shd w:val="clear" w:color="auto" w:fill="auto"/>
        <w:jc w:val="center"/>
        <w:rPr>
          <w:rFonts w:hint="eastAsia" w:ascii="宋体" w:hAnsi="宋体" w:eastAsia="宋体" w:cs="宋体"/>
          <w:b/>
          <w:color w:val="auto"/>
          <w:sz w:val="56"/>
          <w:szCs w:val="56"/>
          <w:highlight w:val="none"/>
        </w:rPr>
      </w:pPr>
    </w:p>
    <w:p w14:paraId="2CF44F04">
      <w:pPr>
        <w:shd w:val="clear" w:color="auto" w:fill="auto"/>
        <w:spacing w:line="600" w:lineRule="exact"/>
        <w:jc w:val="left"/>
        <w:rPr>
          <w:rFonts w:hint="eastAsia" w:ascii="宋体" w:hAnsi="宋体" w:eastAsia="宋体" w:cs="宋体"/>
          <w:b/>
          <w:color w:val="auto"/>
          <w:sz w:val="36"/>
          <w:szCs w:val="36"/>
          <w:highlight w:val="none"/>
        </w:rPr>
      </w:pPr>
    </w:p>
    <w:p w14:paraId="1EBF7788">
      <w:pPr>
        <w:pStyle w:val="23"/>
        <w:shd w:val="clear" w:color="auto" w:fill="auto"/>
        <w:rPr>
          <w:rFonts w:hint="eastAsia" w:ascii="宋体" w:hAnsi="宋体" w:eastAsia="宋体" w:cs="宋体"/>
          <w:color w:val="auto"/>
          <w:sz w:val="21"/>
          <w:szCs w:val="21"/>
          <w:highlight w:val="none"/>
        </w:rPr>
      </w:pPr>
    </w:p>
    <w:p w14:paraId="0270C1A3">
      <w:pPr>
        <w:shd w:val="clear" w:color="auto" w:fill="auto"/>
        <w:spacing w:line="600" w:lineRule="exact"/>
        <w:ind w:left="0" w:leftChars="0" w:firstLine="1063" w:firstLineChars="294"/>
        <w:jc w:val="left"/>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发包人（全称）：</w:t>
      </w:r>
      <w:r>
        <w:rPr>
          <w:rFonts w:hint="eastAsia" w:ascii="宋体" w:hAnsi="宋体" w:cs="宋体"/>
          <w:b/>
          <w:color w:val="auto"/>
          <w:sz w:val="36"/>
          <w:szCs w:val="36"/>
          <w:highlight w:val="none"/>
          <w:u w:val="single"/>
          <w:lang w:eastAsia="zh-CN"/>
        </w:rPr>
        <w:t>柳城县六塘镇人民政府</w:t>
      </w:r>
    </w:p>
    <w:p w14:paraId="5601F60E">
      <w:pPr>
        <w:shd w:val="clear" w:color="auto" w:fill="auto"/>
        <w:spacing w:line="600" w:lineRule="exact"/>
        <w:ind w:left="0" w:leftChars="0" w:firstLine="1063" w:firstLineChars="294"/>
        <w:jc w:val="left"/>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承包人（全称）：</w:t>
      </w:r>
      <w:r>
        <w:rPr>
          <w:rFonts w:hint="eastAsia" w:ascii="宋体" w:hAnsi="宋体" w:eastAsia="宋体" w:cs="宋体"/>
          <w:b/>
          <w:color w:val="auto"/>
          <w:sz w:val="36"/>
          <w:szCs w:val="36"/>
          <w:highlight w:val="none"/>
          <w:u w:val="single"/>
          <w:lang w:eastAsia="zh-CN"/>
        </w:rPr>
        <w:t>　　　　　　　　　　　　　</w:t>
      </w:r>
    </w:p>
    <w:p w14:paraId="725A17A6">
      <w:pPr>
        <w:shd w:val="clear" w:color="auto" w:fill="auto"/>
        <w:spacing w:line="360" w:lineRule="auto"/>
        <w:rPr>
          <w:rFonts w:hint="eastAsia" w:ascii="宋体" w:hAnsi="宋体" w:eastAsia="宋体" w:cs="宋体"/>
          <w:b/>
          <w:color w:val="auto"/>
          <w:sz w:val="28"/>
          <w:szCs w:val="22"/>
          <w:highlight w:val="none"/>
        </w:rPr>
      </w:pPr>
    </w:p>
    <w:p w14:paraId="00CE6911">
      <w:pPr>
        <w:pStyle w:val="23"/>
        <w:shd w:val="clear" w:color="auto" w:fill="auto"/>
        <w:rPr>
          <w:rFonts w:hint="eastAsia" w:ascii="宋体" w:hAnsi="宋体" w:eastAsia="宋体" w:cs="宋体"/>
          <w:b/>
          <w:color w:val="auto"/>
          <w:sz w:val="21"/>
          <w:szCs w:val="22"/>
          <w:highlight w:val="none"/>
        </w:rPr>
      </w:pPr>
    </w:p>
    <w:p w14:paraId="7373E98A">
      <w:pPr>
        <w:pStyle w:val="23"/>
        <w:shd w:val="clear" w:color="auto" w:fill="auto"/>
        <w:ind w:left="0" w:leftChars="0" w:firstLine="0" w:firstLineChars="0"/>
        <w:jc w:val="both"/>
        <w:rPr>
          <w:rFonts w:hint="eastAsia" w:ascii="宋体" w:hAnsi="宋体" w:eastAsia="宋体" w:cs="宋体"/>
          <w:b/>
          <w:color w:val="auto"/>
          <w:sz w:val="21"/>
          <w:szCs w:val="22"/>
          <w:highlight w:val="none"/>
        </w:rPr>
      </w:pPr>
    </w:p>
    <w:p w14:paraId="52AACA74">
      <w:pPr>
        <w:rPr>
          <w:rStyle w:val="27"/>
          <w:rFonts w:hint="eastAsia" w:ascii="宋体" w:hAnsi="宋体" w:eastAsia="宋体" w:cs="宋体"/>
          <w:highlight w:val="none"/>
        </w:rPr>
      </w:pPr>
    </w:p>
    <w:p w14:paraId="5E0ACD3B">
      <w:pPr>
        <w:rPr>
          <w:rStyle w:val="27"/>
          <w:rFonts w:hint="eastAsia" w:ascii="宋体" w:hAnsi="宋体" w:eastAsia="宋体" w:cs="宋体"/>
          <w:highlight w:val="none"/>
        </w:rPr>
      </w:pPr>
      <w:r>
        <w:rPr>
          <w:rStyle w:val="27"/>
          <w:rFonts w:hint="eastAsia" w:ascii="宋体" w:hAnsi="宋体" w:eastAsia="宋体" w:cs="宋体"/>
          <w:highlight w:val="none"/>
        </w:rPr>
        <w:br w:type="page"/>
      </w:r>
    </w:p>
    <w:bookmarkEnd w:id="79"/>
    <w:bookmarkEnd w:id="80"/>
    <w:bookmarkEnd w:id="81"/>
    <w:bookmarkEnd w:id="82"/>
    <w:bookmarkEnd w:id="83"/>
    <w:bookmarkEnd w:id="84"/>
    <w:bookmarkEnd w:id="85"/>
    <w:bookmarkEnd w:id="86"/>
    <w:bookmarkEnd w:id="87"/>
    <w:p w14:paraId="1E5F156C">
      <w:pPr>
        <w:pStyle w:val="5"/>
        <w:shd w:val="clear" w:color="auto" w:fill="auto"/>
        <w:jc w:val="center"/>
        <w:rPr>
          <w:rFonts w:hint="eastAsia" w:ascii="宋体" w:hAnsi="宋体" w:eastAsia="Times New Roman" w:cs="宋体"/>
          <w:b/>
          <w:bCs w:val="0"/>
          <w:color w:val="auto"/>
          <w:sz w:val="28"/>
          <w:szCs w:val="22"/>
          <w:highlight w:val="none"/>
        </w:rPr>
      </w:pPr>
      <w:bookmarkStart w:id="88" w:name="_Toc22581"/>
      <w:r>
        <w:rPr>
          <w:rFonts w:hint="eastAsia" w:ascii="宋体" w:hAnsi="宋体" w:eastAsia="Times New Roman" w:cs="宋体"/>
          <w:b/>
          <w:bCs w:val="0"/>
          <w:color w:val="auto"/>
          <w:sz w:val="28"/>
          <w:szCs w:val="22"/>
          <w:highlight w:val="none"/>
        </w:rPr>
        <w:t>第一部分 合同协议书</w:t>
      </w:r>
      <w:bookmarkEnd w:id="88"/>
    </w:p>
    <w:p w14:paraId="3B7B5A6D">
      <w:pPr>
        <w:shd w:val="clear" w:color="auto" w:fill="auto"/>
        <w:spacing w:line="360" w:lineRule="auto"/>
        <w:rPr>
          <w:rFonts w:hint="eastAsia" w:ascii="宋体" w:hAnsi="宋体" w:eastAsia="宋体" w:cs="宋体"/>
          <w:b/>
          <w:color w:val="auto"/>
          <w:sz w:val="28"/>
          <w:szCs w:val="22"/>
          <w:highlight w:val="none"/>
          <w:u w:val="single"/>
          <w:lang w:eastAsia="zh-CN"/>
        </w:rPr>
      </w:pPr>
      <w:r>
        <w:rPr>
          <w:rFonts w:hint="eastAsia" w:ascii="宋体" w:hAnsi="宋体" w:cs="宋体"/>
          <w:b/>
          <w:color w:val="auto"/>
          <w:sz w:val="28"/>
          <w:szCs w:val="22"/>
          <w:highlight w:val="none"/>
        </w:rPr>
        <w:t>发包人（全称）：</w:t>
      </w:r>
      <w:r>
        <w:rPr>
          <w:rFonts w:hint="eastAsia" w:ascii="宋体" w:hAnsi="宋体" w:cs="宋体"/>
          <w:b/>
          <w:color w:val="auto"/>
          <w:sz w:val="28"/>
          <w:szCs w:val="22"/>
          <w:highlight w:val="none"/>
          <w:u w:val="single"/>
          <w:lang w:eastAsia="zh-CN"/>
        </w:rPr>
        <w:t>柳城县六塘镇人民政府</w:t>
      </w:r>
    </w:p>
    <w:p w14:paraId="1EA1B93D">
      <w:pPr>
        <w:shd w:val="clear" w:color="auto" w:fill="auto"/>
        <w:spacing w:line="360" w:lineRule="auto"/>
        <w:rPr>
          <w:rFonts w:hint="eastAsia" w:ascii="宋体" w:hAnsi="宋体" w:eastAsia="宋体" w:cs="宋体"/>
          <w:b/>
          <w:color w:val="auto"/>
          <w:sz w:val="28"/>
          <w:szCs w:val="22"/>
          <w:highlight w:val="none"/>
          <w:u w:val="single"/>
          <w:lang w:eastAsia="zh-CN"/>
        </w:rPr>
      </w:pPr>
      <w:r>
        <w:rPr>
          <w:rFonts w:hint="eastAsia" w:ascii="宋体" w:hAnsi="宋体" w:cs="宋体"/>
          <w:b/>
          <w:color w:val="auto"/>
          <w:sz w:val="28"/>
          <w:szCs w:val="22"/>
          <w:highlight w:val="none"/>
        </w:rPr>
        <w:t>承包人（全称）：</w:t>
      </w:r>
      <w:r>
        <w:rPr>
          <w:rFonts w:hint="eastAsia" w:ascii="宋体" w:hAnsi="宋体" w:cs="宋体"/>
          <w:b/>
          <w:color w:val="auto"/>
          <w:sz w:val="28"/>
          <w:szCs w:val="22"/>
          <w:highlight w:val="none"/>
          <w:u w:val="single"/>
          <w:lang w:eastAsia="zh-CN"/>
        </w:rPr>
        <w:t xml:space="preserve">    </w:t>
      </w:r>
    </w:p>
    <w:p w14:paraId="62360DDD">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w:t>
      </w:r>
      <w:r>
        <w:rPr>
          <w:rFonts w:hint="eastAsia" w:ascii="宋体" w:hAnsi="宋体" w:cs="宋体"/>
          <w:color w:val="auto"/>
          <w:sz w:val="22"/>
          <w:szCs w:val="22"/>
          <w:highlight w:val="none"/>
          <w:lang w:eastAsia="zh-CN"/>
        </w:rPr>
        <w:t>民法典</w:t>
      </w:r>
      <w:r>
        <w:rPr>
          <w:rFonts w:hint="eastAsia" w:ascii="宋体" w:hAnsi="宋体" w:cs="宋体"/>
          <w:color w:val="auto"/>
          <w:sz w:val="22"/>
          <w:szCs w:val="22"/>
          <w:highlight w:val="none"/>
        </w:rPr>
        <w:t>》、《中华人民共和国建筑法》及有关法律规定，遵循平等、自愿、公平和诚实信用的原则，双方就</w:t>
      </w:r>
      <w:r>
        <w:rPr>
          <w:rFonts w:hint="eastAsia" w:ascii="宋体" w:hAnsi="宋体" w:cs="宋体"/>
          <w:b/>
          <w:bCs/>
          <w:color w:val="auto"/>
          <w:sz w:val="22"/>
          <w:szCs w:val="22"/>
          <w:highlight w:val="none"/>
          <w:u w:val="single"/>
          <w:lang w:eastAsia="zh-CN"/>
        </w:rPr>
        <w:t>柳城县六塘镇三界村谷里屯片区糖料蔗基地灌溉建设项目</w:t>
      </w:r>
      <w:r>
        <w:rPr>
          <w:rFonts w:hint="eastAsia" w:ascii="宋体" w:hAnsi="宋体" w:cs="宋体"/>
          <w:color w:val="auto"/>
          <w:sz w:val="22"/>
          <w:szCs w:val="22"/>
          <w:highlight w:val="none"/>
        </w:rPr>
        <w:t>施工及有关事项协商一致共同达成如下协议：</w:t>
      </w:r>
    </w:p>
    <w:p w14:paraId="3C4F2346">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一、工程概况</w:t>
      </w:r>
    </w:p>
    <w:p w14:paraId="5D7E59B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bCs/>
          <w:color w:val="auto"/>
          <w:sz w:val="22"/>
          <w:szCs w:val="22"/>
          <w:highlight w:val="none"/>
        </w:rPr>
        <w:t>1.工程名称</w:t>
      </w:r>
      <w:r>
        <w:rPr>
          <w:rFonts w:hint="eastAsia" w:ascii="宋体" w:hAnsi="宋体" w:cs="宋体"/>
          <w:color w:val="auto"/>
          <w:sz w:val="22"/>
          <w:szCs w:val="22"/>
          <w:highlight w:val="none"/>
        </w:rPr>
        <w:t>：</w:t>
      </w:r>
      <w:r>
        <w:rPr>
          <w:rFonts w:hint="eastAsia" w:ascii="宋体" w:hAnsi="宋体" w:cs="宋体"/>
          <w:b/>
          <w:bCs/>
          <w:color w:val="auto"/>
          <w:sz w:val="22"/>
          <w:szCs w:val="22"/>
          <w:highlight w:val="none"/>
          <w:u w:val="single"/>
          <w:lang w:eastAsia="zh-CN"/>
        </w:rPr>
        <w:t>柳城县六塘镇三界村谷里屯片区糖料蔗基地灌溉建设项目</w:t>
      </w:r>
      <w:r>
        <w:rPr>
          <w:rFonts w:hint="eastAsia" w:ascii="宋体" w:hAnsi="宋体" w:cs="宋体"/>
          <w:color w:val="auto"/>
          <w:sz w:val="22"/>
          <w:szCs w:val="22"/>
          <w:highlight w:val="none"/>
        </w:rPr>
        <w:t>。</w:t>
      </w:r>
    </w:p>
    <w:p w14:paraId="437F0F5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2.工程地点：</w:t>
      </w:r>
      <w:r>
        <w:rPr>
          <w:rFonts w:hint="eastAsia" w:ascii="宋体" w:hAnsi="宋体" w:cs="宋体"/>
          <w:b/>
          <w:bCs/>
          <w:color w:val="auto"/>
          <w:sz w:val="22"/>
          <w:szCs w:val="22"/>
          <w:highlight w:val="none"/>
          <w:u w:val="single"/>
          <w:lang w:eastAsia="zh-CN"/>
        </w:rPr>
        <w:t>柳城县六塘镇三界村谷里屯</w:t>
      </w:r>
      <w:r>
        <w:rPr>
          <w:rFonts w:hint="eastAsia" w:ascii="宋体" w:hAnsi="宋体" w:cs="宋体"/>
          <w:color w:val="auto"/>
          <w:sz w:val="22"/>
          <w:szCs w:val="22"/>
          <w:highlight w:val="none"/>
        </w:rPr>
        <w:t>。</w:t>
      </w:r>
    </w:p>
    <w:p w14:paraId="40A07B6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rPr>
        <w:t>.工程承包范围：</w:t>
      </w:r>
      <w:r>
        <w:rPr>
          <w:rFonts w:hint="eastAsia" w:ascii="宋体" w:hAnsi="宋体" w:cs="宋体"/>
          <w:b/>
          <w:bCs/>
          <w:color w:val="auto"/>
          <w:sz w:val="22"/>
          <w:szCs w:val="22"/>
          <w:highlight w:val="none"/>
          <w:u w:val="single"/>
          <w:lang w:eastAsia="zh-CN"/>
        </w:rPr>
        <w:t>柳城县六塘镇三界村谷里屯片区糖料蔗基地灌溉建设项目施工图纸及工程量清单包含的内容。</w:t>
      </w:r>
    </w:p>
    <w:p w14:paraId="7737E331">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二、合同工期</w:t>
      </w:r>
    </w:p>
    <w:p w14:paraId="1AFC42D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计划开工日期：</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日。</w:t>
      </w:r>
    </w:p>
    <w:p w14:paraId="0822092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计划竣工日期：</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日。</w:t>
      </w:r>
    </w:p>
    <w:p w14:paraId="701254C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工期总日历天数：</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w:t>
      </w:r>
      <w:r>
        <w:rPr>
          <w:rFonts w:hint="eastAsia" w:ascii="宋体" w:hAnsi="宋体" w:cs="宋体"/>
          <w:b/>
          <w:bCs/>
          <w:color w:val="auto"/>
          <w:sz w:val="22"/>
          <w:szCs w:val="22"/>
          <w:highlight w:val="none"/>
          <w:u w:val="single"/>
        </w:rPr>
        <w:t>日历天</w:t>
      </w:r>
      <w:r>
        <w:rPr>
          <w:rFonts w:hint="eastAsia" w:ascii="宋体" w:hAnsi="宋体" w:cs="宋体"/>
          <w:b/>
          <w:bCs/>
          <w:color w:val="auto"/>
          <w:sz w:val="22"/>
          <w:szCs w:val="22"/>
          <w:highlight w:val="none"/>
          <w:u w:val="single"/>
          <w:lang w:val="en-US" w:eastAsia="zh-CN"/>
        </w:rPr>
        <w:t>）</w:t>
      </w:r>
      <w:r>
        <w:rPr>
          <w:rFonts w:hint="eastAsia" w:ascii="宋体" w:hAnsi="宋体" w:cs="宋体"/>
          <w:color w:val="auto"/>
          <w:sz w:val="22"/>
          <w:szCs w:val="22"/>
          <w:highlight w:val="none"/>
        </w:rPr>
        <w:t>。工期总日历天数与根据前述计划开竣工日期计算的工期天数不一致的，以工期总日历天数为准。</w:t>
      </w:r>
    </w:p>
    <w:p w14:paraId="68E25424">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三、质量标准：工程质量符合</w:t>
      </w:r>
      <w:r>
        <w:rPr>
          <w:rFonts w:hint="eastAsia" w:ascii="宋体" w:hAnsi="宋体" w:cs="宋体"/>
          <w:color w:val="auto"/>
          <w:sz w:val="22"/>
          <w:szCs w:val="22"/>
          <w:highlight w:val="none"/>
          <w:u w:val="single"/>
        </w:rPr>
        <w:t>合格</w:t>
      </w:r>
      <w:r>
        <w:rPr>
          <w:rFonts w:hint="eastAsia" w:ascii="宋体" w:hAnsi="宋体" w:cs="宋体"/>
          <w:color w:val="auto"/>
          <w:sz w:val="22"/>
          <w:szCs w:val="22"/>
          <w:highlight w:val="none"/>
        </w:rPr>
        <w:t>标准。</w:t>
      </w:r>
    </w:p>
    <w:p w14:paraId="7C6513D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四、签约合同价与合同价格形式</w:t>
      </w:r>
      <w:r>
        <w:rPr>
          <w:rFonts w:hint="eastAsia" w:ascii="宋体" w:hAnsi="宋体" w:cs="宋体"/>
          <w:color w:val="auto"/>
          <w:sz w:val="22"/>
          <w:szCs w:val="22"/>
          <w:highlight w:val="none"/>
        </w:rPr>
        <w:tab/>
      </w:r>
    </w:p>
    <w:p w14:paraId="580E0897">
      <w:pPr>
        <w:pageBreakBefore w:val="0"/>
        <w:widowControl w:val="0"/>
        <w:shd w:val="clear" w:color="auto" w:fill="auto"/>
        <w:kinsoku/>
        <w:wordWrap/>
        <w:overflowPunct/>
        <w:topLinePunct w:val="0"/>
        <w:bidi w:val="0"/>
        <w:snapToGrid w:val="0"/>
        <w:spacing w:line="360" w:lineRule="auto"/>
        <w:ind w:firstLine="459"/>
        <w:rPr>
          <w:color w:val="auto"/>
          <w:sz w:val="22"/>
          <w:szCs w:val="22"/>
          <w:highlight w:val="none"/>
        </w:rPr>
      </w:pPr>
      <w:r>
        <w:rPr>
          <w:color w:val="auto"/>
          <w:sz w:val="22"/>
          <w:szCs w:val="22"/>
          <w:highlight w:val="none"/>
        </w:rPr>
        <w:t xml:space="preserve">1. </w:t>
      </w:r>
      <w:r>
        <w:rPr>
          <w:rFonts w:hint="eastAsia" w:hAnsi="宋体" w:cs="宋体"/>
          <w:color w:val="auto"/>
          <w:sz w:val="22"/>
          <w:szCs w:val="22"/>
          <w:highlight w:val="none"/>
        </w:rPr>
        <w:t>签约合同价为：</w:t>
      </w:r>
    </w:p>
    <w:p w14:paraId="54FE195A">
      <w:pPr>
        <w:pageBreakBefore w:val="0"/>
        <w:widowControl w:val="0"/>
        <w:shd w:val="clear" w:color="auto" w:fill="auto"/>
        <w:kinsoku/>
        <w:wordWrap/>
        <w:overflowPunct/>
        <w:topLinePunct w:val="0"/>
        <w:bidi w:val="0"/>
        <w:snapToGrid w:val="0"/>
        <w:spacing w:line="360" w:lineRule="auto"/>
        <w:ind w:firstLine="550" w:firstLineChars="250"/>
        <w:rPr>
          <w:rFonts w:hAnsi="宋体"/>
          <w:color w:val="auto"/>
          <w:sz w:val="22"/>
          <w:szCs w:val="22"/>
          <w:highlight w:val="none"/>
        </w:rPr>
      </w:pPr>
      <w:r>
        <w:rPr>
          <w:rFonts w:hint="eastAsia" w:hAnsi="宋体" w:cs="宋体"/>
          <w:color w:val="auto"/>
          <w:sz w:val="22"/>
          <w:szCs w:val="22"/>
          <w:highlight w:val="none"/>
        </w:rPr>
        <w:t>人民币（大写）</w:t>
      </w:r>
      <w:r>
        <w:rPr>
          <w:rFonts w:hint="eastAsia" w:hAnsi="宋体" w:cs="宋体"/>
          <w:color w:val="auto"/>
          <w:sz w:val="22"/>
          <w:szCs w:val="22"/>
          <w:highlight w:val="none"/>
          <w:u w:val="single"/>
          <w:lang w:val="en-US" w:eastAsia="zh-CN"/>
        </w:rPr>
        <w:t xml:space="preserve">           </w:t>
      </w:r>
      <w:r>
        <w:rPr>
          <w:rFonts w:hint="eastAsia" w:cs="宋体"/>
          <w:color w:val="auto"/>
          <w:sz w:val="22"/>
          <w:szCs w:val="22"/>
          <w:highlight w:val="none"/>
        </w:rPr>
        <w:t>（</w:t>
      </w:r>
      <w:r>
        <w:rPr>
          <w:color w:val="auto"/>
          <w:sz w:val="22"/>
          <w:szCs w:val="22"/>
          <w:highlight w:val="none"/>
        </w:rPr>
        <w:t>¥</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hAnsi="宋体" w:cs="宋体"/>
          <w:color w:val="auto"/>
          <w:sz w:val="22"/>
          <w:szCs w:val="22"/>
          <w:highlight w:val="none"/>
        </w:rPr>
        <w:t>元</w:t>
      </w:r>
      <w:r>
        <w:rPr>
          <w:rFonts w:hint="eastAsia" w:cs="宋体"/>
          <w:color w:val="auto"/>
          <w:sz w:val="22"/>
          <w:szCs w:val="22"/>
          <w:highlight w:val="none"/>
        </w:rPr>
        <w:t>）</w:t>
      </w:r>
      <w:r>
        <w:rPr>
          <w:rFonts w:hint="eastAsia" w:hAnsi="宋体" w:cs="宋体"/>
          <w:color w:val="auto"/>
          <w:sz w:val="22"/>
          <w:szCs w:val="22"/>
          <w:highlight w:val="none"/>
        </w:rPr>
        <w:t>；</w:t>
      </w:r>
    </w:p>
    <w:p w14:paraId="4865B17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2.合同价格形式：</w:t>
      </w:r>
      <w:r>
        <w:rPr>
          <w:rFonts w:hint="eastAsia" w:ascii="宋体" w:hAnsi="宋体" w:eastAsia="Times New Roman" w:cs="宋体"/>
          <w:b/>
          <w:bCs/>
          <w:color w:val="auto"/>
          <w:kern w:val="0"/>
          <w:sz w:val="22"/>
          <w:szCs w:val="22"/>
          <w:highlight w:val="none"/>
          <w:u w:val="single"/>
        </w:rPr>
        <w:t>综合</w:t>
      </w:r>
      <w:r>
        <w:rPr>
          <w:rFonts w:hint="eastAsia" w:ascii="宋体" w:hAnsi="宋体" w:cs="宋体"/>
          <w:b/>
          <w:bCs/>
          <w:color w:val="auto"/>
          <w:kern w:val="0"/>
          <w:sz w:val="22"/>
          <w:szCs w:val="22"/>
          <w:highlight w:val="none"/>
          <w:u w:val="single"/>
        </w:rPr>
        <w:t>单价合同</w:t>
      </w:r>
      <w:r>
        <w:rPr>
          <w:rFonts w:hint="eastAsia" w:ascii="宋体" w:hAnsi="宋体" w:cs="宋体"/>
          <w:color w:val="auto"/>
          <w:kern w:val="0"/>
          <w:sz w:val="22"/>
          <w:szCs w:val="22"/>
          <w:highlight w:val="none"/>
        </w:rPr>
        <w:t>。</w:t>
      </w:r>
    </w:p>
    <w:p w14:paraId="3258DB7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3.增值税计税方法</w:t>
      </w:r>
    </w:p>
    <w:p w14:paraId="53F99305">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一般计税法        □简易计税法</w:t>
      </w:r>
    </w:p>
    <w:p w14:paraId="624F1B3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5A48972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4．人工、材料、机械市场价格形式</w:t>
      </w:r>
    </w:p>
    <w:p w14:paraId="7DF3F6AD">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除税价格</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含税价格</w:t>
      </w:r>
    </w:p>
    <w:p w14:paraId="530E9FB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按照《关于全面推开营业税改征增值税试点的通知》（财税〔2016〕36号）规定，增值税计税方法为一般计税方法的，人工、材料、机械市场价格形式采用除税价格；增值税计税方法为简易计税方法的，人工、材料、机械市场价格形式采用含税价格。除清包工工程、甲供工程的建设工程可采用简易计税方法外，其他一般纳税人提供建筑服务的建设工程，采用一般计税方法。】</w:t>
      </w:r>
    </w:p>
    <w:p w14:paraId="21EC69D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五、合同文</w:t>
      </w:r>
      <w:r>
        <w:rPr>
          <w:rFonts w:hint="eastAsia" w:ascii="宋体" w:hAnsi="宋体" w:cs="宋体"/>
          <w:color w:val="auto"/>
          <w:sz w:val="22"/>
          <w:szCs w:val="22"/>
          <w:highlight w:val="none"/>
        </w:rPr>
        <w:t>件构成</w:t>
      </w:r>
    </w:p>
    <w:p w14:paraId="4D2704FE">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本协议书与下列文件一起构成合同文件：</w:t>
      </w:r>
    </w:p>
    <w:p w14:paraId="3DC14A86">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（1）中标通知书（如果有）；</w:t>
      </w:r>
    </w:p>
    <w:p w14:paraId="3D3EA77F">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（2）投标函及其附录（如果有）；</w:t>
      </w:r>
    </w:p>
    <w:p w14:paraId="7BC6139F">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（3）专用合同条款及其附件；</w:t>
      </w:r>
    </w:p>
    <w:p w14:paraId="11F5CCB1">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（4）通用合同条款；</w:t>
      </w:r>
    </w:p>
    <w:p w14:paraId="3D68A201">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（5）技术标准和要求；</w:t>
      </w:r>
    </w:p>
    <w:p w14:paraId="0CD044FA">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（6）图纸；</w:t>
      </w:r>
    </w:p>
    <w:p w14:paraId="70EC4729">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（7）已标价工程量清单或预算书；</w:t>
      </w:r>
    </w:p>
    <w:p w14:paraId="475A0A0F">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（8）其他合同文件。</w:t>
      </w:r>
    </w:p>
    <w:p w14:paraId="4A93B479">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在合同订立及履行过程中形成的与合同有关的文件均构成合同文件组成部分。</w:t>
      </w:r>
    </w:p>
    <w:p w14:paraId="32A9DE86">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上述各项合同文件包括合同当事人就该项合同文件所作出的补充和修改，属于同一类内容的文件，应以最新签署的为准。</w:t>
      </w:r>
    </w:p>
    <w:p w14:paraId="59FC1A79">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六、承诺</w:t>
      </w:r>
    </w:p>
    <w:p w14:paraId="5A5E14E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1.发包人承诺按照法律规定履行项目审批手续、筹集工程建设资金并按照合同约定的期限和方式支付合同价款。</w:t>
      </w:r>
    </w:p>
    <w:p w14:paraId="5B5FB26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2.承包人承诺按照法律规定及合同约定组织完成工程施工，确保工程质量和安全，不进行转包及违法分包，并在缺陷责任期及保修期内承担相应的工程维修责任;</w:t>
      </w:r>
      <w:r>
        <w:rPr>
          <w:rFonts w:hint="eastAsia" w:ascii="宋体" w:hAnsi="宋体" w:cs="宋体"/>
          <w:color w:val="auto"/>
          <w:sz w:val="22"/>
          <w:szCs w:val="22"/>
          <w:highlight w:val="none"/>
        </w:rPr>
        <w:t>承诺接受和配合鱼峰区住建、环保、执法和安监等部门对工程建设项目进度、质量、安全和环保等方面进行的监管及履约考评。</w:t>
      </w:r>
    </w:p>
    <w:p w14:paraId="3D4595C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3.发包人和承包人通过招投标形式签订合同的，双方理解并同意不再就同一工程另行签订与合同实质性内容相背离的协议。</w:t>
      </w:r>
    </w:p>
    <w:p w14:paraId="4559B6BE">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七、词语含义</w:t>
      </w:r>
    </w:p>
    <w:p w14:paraId="4510BA7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本协议书中词语含义与第二部分通用合同条款中赋予的含义相同。</w:t>
      </w:r>
    </w:p>
    <w:p w14:paraId="71E76D41">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八、签订时间</w:t>
      </w:r>
    </w:p>
    <w:p w14:paraId="25CD1A7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本合同于</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2025</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日签订。</w:t>
      </w:r>
    </w:p>
    <w:p w14:paraId="6576A31D">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九、签订地点</w:t>
      </w:r>
    </w:p>
    <w:p w14:paraId="0C5768E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本合同在</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签订。</w:t>
      </w:r>
    </w:p>
    <w:p w14:paraId="70CB688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十、补充协议</w:t>
      </w:r>
    </w:p>
    <w:p w14:paraId="744F8F8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合同未尽事宜，合同当事人另行签订补充协议。补充协议是合同的组成部分。</w:t>
      </w:r>
    </w:p>
    <w:p w14:paraId="7A25457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十一、合同生效</w:t>
      </w:r>
    </w:p>
    <w:p w14:paraId="4966D2AD">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本合同自</w:t>
      </w:r>
      <w:r>
        <w:rPr>
          <w:rFonts w:hint="eastAsia" w:ascii="宋体" w:hAnsi="宋体" w:cs="宋体"/>
          <w:bCs/>
          <w:color w:val="auto"/>
          <w:sz w:val="22"/>
          <w:szCs w:val="22"/>
          <w:highlight w:val="none"/>
          <w:u w:val="single"/>
        </w:rPr>
        <w:t>双方盖章签字之日起</w:t>
      </w:r>
      <w:r>
        <w:rPr>
          <w:rFonts w:hint="eastAsia" w:ascii="宋体" w:hAnsi="宋体" w:cs="宋体"/>
          <w:bCs/>
          <w:color w:val="auto"/>
          <w:sz w:val="22"/>
          <w:szCs w:val="22"/>
          <w:highlight w:val="none"/>
        </w:rPr>
        <w:t>生效。</w:t>
      </w:r>
    </w:p>
    <w:p w14:paraId="1BC61A67">
      <w:pPr>
        <w:pStyle w:val="52"/>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十二、合同份数</w:t>
      </w:r>
    </w:p>
    <w:p w14:paraId="1050B89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本合同一式</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份，均具有同等法律效力，发包人执</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份，承包人执</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份。</w:t>
      </w:r>
    </w:p>
    <w:p w14:paraId="194E1742">
      <w:pPr>
        <w:pageBreakBefore w:val="0"/>
        <w:widowControl w:val="0"/>
        <w:shd w:val="clear" w:color="auto" w:fill="auto"/>
        <w:kinsoku/>
        <w:wordWrap/>
        <w:overflowPunct/>
        <w:topLinePunct w:val="0"/>
        <w:bidi w:val="0"/>
        <w:snapToGrid w:val="0"/>
        <w:spacing w:line="360" w:lineRule="auto"/>
        <w:rPr>
          <w:rFonts w:hint="eastAsia" w:ascii="宋体" w:hAnsi="宋体" w:cs="宋体"/>
          <w:bCs/>
          <w:color w:val="auto"/>
          <w:sz w:val="22"/>
          <w:szCs w:val="22"/>
          <w:highlight w:val="none"/>
        </w:rPr>
      </w:pPr>
    </w:p>
    <w:tbl>
      <w:tblPr>
        <w:tblStyle w:val="25"/>
        <w:tblpPr w:leftFromText="180" w:rightFromText="180" w:vertAnchor="text" w:horzAnchor="margin" w:tblpXSpec="center" w:tblpY="513"/>
        <w:tblOverlap w:val="never"/>
        <w:tblW w:w="0" w:type="auto"/>
        <w:tblInd w:w="0" w:type="dxa"/>
        <w:tblLayout w:type="fixed"/>
        <w:tblCellMar>
          <w:top w:w="0" w:type="dxa"/>
          <w:left w:w="108" w:type="dxa"/>
          <w:bottom w:w="0" w:type="dxa"/>
          <w:right w:w="108" w:type="dxa"/>
        </w:tblCellMar>
      </w:tblPr>
      <w:tblGrid>
        <w:gridCol w:w="4927"/>
        <w:gridCol w:w="4927"/>
      </w:tblGrid>
      <w:tr w14:paraId="4ACFEEFC">
        <w:tblPrEx>
          <w:tblCellMar>
            <w:top w:w="0" w:type="dxa"/>
            <w:left w:w="108" w:type="dxa"/>
            <w:bottom w:w="0" w:type="dxa"/>
            <w:right w:w="108" w:type="dxa"/>
          </w:tblCellMar>
        </w:tblPrEx>
        <w:trPr>
          <w:trHeight w:val="90" w:hRule="atLeast"/>
        </w:trPr>
        <w:tc>
          <w:tcPr>
            <w:tcW w:w="0" w:type="auto"/>
            <w:noWrap w:val="0"/>
            <w:vAlign w:val="top"/>
          </w:tcPr>
          <w:p w14:paraId="035C2144">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发包人（公章）：</w:t>
            </w:r>
          </w:p>
          <w:p w14:paraId="1C473947">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p>
        </w:tc>
        <w:tc>
          <w:tcPr>
            <w:tcW w:w="0" w:type="auto"/>
            <w:noWrap w:val="0"/>
            <w:vAlign w:val="top"/>
          </w:tcPr>
          <w:p w14:paraId="7C9BCEE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承包人（公章）：</w:t>
            </w:r>
          </w:p>
          <w:p w14:paraId="00900E57">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p>
        </w:tc>
      </w:tr>
      <w:tr w14:paraId="07AFF992">
        <w:tblPrEx>
          <w:tblCellMar>
            <w:top w:w="0" w:type="dxa"/>
            <w:left w:w="108" w:type="dxa"/>
            <w:bottom w:w="0" w:type="dxa"/>
            <w:right w:w="108" w:type="dxa"/>
          </w:tblCellMar>
        </w:tblPrEx>
        <w:trPr>
          <w:trHeight w:val="441" w:hRule="atLeast"/>
        </w:trPr>
        <w:tc>
          <w:tcPr>
            <w:tcW w:w="0" w:type="auto"/>
            <w:noWrap w:val="0"/>
            <w:vAlign w:val="top"/>
          </w:tcPr>
          <w:p w14:paraId="0F42F3C7">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地  址：中国农业银行柳城支行六塘分理处</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0AF93203">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地址：</w:t>
            </w:r>
          </w:p>
        </w:tc>
      </w:tr>
      <w:tr w14:paraId="33A6C7AD">
        <w:tblPrEx>
          <w:tblCellMar>
            <w:top w:w="0" w:type="dxa"/>
            <w:left w:w="108" w:type="dxa"/>
            <w:bottom w:w="0" w:type="dxa"/>
            <w:right w:w="108" w:type="dxa"/>
          </w:tblCellMar>
        </w:tblPrEx>
        <w:tc>
          <w:tcPr>
            <w:tcW w:w="0" w:type="auto"/>
            <w:noWrap w:val="0"/>
            <w:vAlign w:val="top"/>
          </w:tcPr>
          <w:p w14:paraId="2BFEB974">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法定代表人（签字）：</w:t>
            </w:r>
          </w:p>
        </w:tc>
        <w:tc>
          <w:tcPr>
            <w:tcW w:w="0" w:type="auto"/>
            <w:noWrap w:val="0"/>
            <w:vAlign w:val="top"/>
          </w:tcPr>
          <w:p w14:paraId="762FF1A1">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法定代表人（签字）：</w:t>
            </w:r>
          </w:p>
        </w:tc>
      </w:tr>
      <w:tr w14:paraId="0A8D98D4">
        <w:tblPrEx>
          <w:tblCellMar>
            <w:top w:w="0" w:type="dxa"/>
            <w:left w:w="108" w:type="dxa"/>
            <w:bottom w:w="0" w:type="dxa"/>
            <w:right w:w="108" w:type="dxa"/>
          </w:tblCellMar>
        </w:tblPrEx>
        <w:tc>
          <w:tcPr>
            <w:tcW w:w="0" w:type="auto"/>
            <w:noWrap w:val="0"/>
            <w:vAlign w:val="top"/>
          </w:tcPr>
          <w:p w14:paraId="301A51B6">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委托代理人（签字）：</w:t>
            </w:r>
          </w:p>
        </w:tc>
        <w:tc>
          <w:tcPr>
            <w:tcW w:w="0" w:type="auto"/>
            <w:noWrap w:val="0"/>
            <w:vAlign w:val="top"/>
          </w:tcPr>
          <w:p w14:paraId="404CF380">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委托代理人（签字）：</w:t>
            </w:r>
          </w:p>
        </w:tc>
      </w:tr>
      <w:tr w14:paraId="595AA856">
        <w:tblPrEx>
          <w:tblCellMar>
            <w:top w:w="0" w:type="dxa"/>
            <w:left w:w="108" w:type="dxa"/>
            <w:bottom w:w="0" w:type="dxa"/>
            <w:right w:w="108" w:type="dxa"/>
          </w:tblCellMar>
        </w:tblPrEx>
        <w:trPr>
          <w:trHeight w:val="355" w:hRule="atLeast"/>
        </w:trPr>
        <w:tc>
          <w:tcPr>
            <w:tcW w:w="0" w:type="auto"/>
            <w:noWrap w:val="0"/>
            <w:vAlign w:val="top"/>
          </w:tcPr>
          <w:p w14:paraId="0123EA97">
            <w:pPr>
              <w:pStyle w:val="53"/>
              <w:pageBreakBefore w:val="0"/>
              <w:kinsoku/>
              <w:wordWrap/>
              <w:overflowPunct/>
              <w:topLinePunct w:val="0"/>
              <w:bidi w:val="0"/>
              <w:spacing w:line="500" w:lineRule="exact"/>
              <w:ind w:left="0" w:leftChars="0" w:right="0" w:rightChars="0"/>
              <w:rPr>
                <w:rStyle w:val="27"/>
                <w:rFonts w:hint="default"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电  话：0772-7711213</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75135D8D">
            <w:pPr>
              <w:pStyle w:val="53"/>
              <w:pageBreakBefore w:val="0"/>
              <w:kinsoku/>
              <w:wordWrap/>
              <w:overflowPunct/>
              <w:topLinePunct w:val="0"/>
              <w:bidi w:val="0"/>
              <w:spacing w:line="500" w:lineRule="exact"/>
              <w:ind w:left="0" w:leftChars="0" w:right="0" w:rightChars="0"/>
              <w:rPr>
                <w:rStyle w:val="27"/>
                <w:rFonts w:hint="default"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电  话：</w:t>
            </w:r>
          </w:p>
        </w:tc>
      </w:tr>
      <w:tr w14:paraId="65E6B031">
        <w:tblPrEx>
          <w:tblCellMar>
            <w:top w:w="0" w:type="dxa"/>
            <w:left w:w="108" w:type="dxa"/>
            <w:bottom w:w="0" w:type="dxa"/>
            <w:right w:w="108" w:type="dxa"/>
          </w:tblCellMar>
        </w:tblPrEx>
        <w:tc>
          <w:tcPr>
            <w:tcW w:w="0" w:type="auto"/>
            <w:noWrap w:val="0"/>
            <w:vAlign w:val="top"/>
          </w:tcPr>
          <w:p w14:paraId="70E4743A">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传  真：</w:t>
            </w:r>
          </w:p>
        </w:tc>
        <w:tc>
          <w:tcPr>
            <w:tcW w:w="0" w:type="auto"/>
            <w:noWrap w:val="0"/>
            <w:vAlign w:val="top"/>
          </w:tcPr>
          <w:p w14:paraId="7D0A9896">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传  真：</w:t>
            </w:r>
          </w:p>
        </w:tc>
      </w:tr>
      <w:tr w14:paraId="3EE14E7A">
        <w:tblPrEx>
          <w:tblCellMar>
            <w:top w:w="0" w:type="dxa"/>
            <w:left w:w="108" w:type="dxa"/>
            <w:bottom w:w="0" w:type="dxa"/>
            <w:right w:w="108" w:type="dxa"/>
          </w:tblCellMar>
        </w:tblPrEx>
        <w:tc>
          <w:tcPr>
            <w:tcW w:w="0" w:type="auto"/>
            <w:noWrap w:val="0"/>
            <w:vAlign w:val="top"/>
          </w:tcPr>
          <w:p w14:paraId="092182D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 xml:space="preserve">电子信箱： </w:t>
            </w:r>
            <w:r>
              <w:rPr>
                <w:rStyle w:val="27"/>
                <w:rFonts w:hint="eastAsia" w:ascii="宋体" w:hAnsi="宋体" w:eastAsia="宋体" w:cs="宋体"/>
                <w:color w:val="auto"/>
                <w:sz w:val="24"/>
                <w:szCs w:val="24"/>
                <w:highlight w:val="none"/>
                <w:lang w:val="en-US" w:eastAsia="zh-CN"/>
              </w:rPr>
              <w:t xml:space="preserve"> </w:t>
            </w:r>
            <w:r>
              <w:rPr>
                <w:rStyle w:val="27"/>
                <w:rFonts w:hint="eastAsia" w:ascii="宋体" w:hAnsi="宋体" w:eastAsia="宋体" w:cs="宋体"/>
                <w:color w:val="auto"/>
                <w:sz w:val="24"/>
                <w:szCs w:val="24"/>
                <w:highlight w:val="none"/>
              </w:rPr>
              <w:t xml:space="preserve">  </w:t>
            </w:r>
          </w:p>
        </w:tc>
        <w:tc>
          <w:tcPr>
            <w:tcW w:w="0" w:type="auto"/>
            <w:noWrap w:val="0"/>
            <w:vAlign w:val="top"/>
          </w:tcPr>
          <w:p w14:paraId="72CF1957">
            <w:pPr>
              <w:pStyle w:val="53"/>
              <w:pageBreakBefore w:val="0"/>
              <w:kinsoku/>
              <w:wordWrap/>
              <w:overflowPunct/>
              <w:topLinePunct w:val="0"/>
              <w:bidi w:val="0"/>
              <w:spacing w:line="500" w:lineRule="exact"/>
              <w:ind w:left="0" w:leftChars="0" w:right="0" w:rightChars="0"/>
              <w:rPr>
                <w:rStyle w:val="27"/>
                <w:rFonts w:hint="default"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电子信箱：</w:t>
            </w:r>
          </w:p>
        </w:tc>
      </w:tr>
      <w:tr w14:paraId="5CCF6CC2">
        <w:tblPrEx>
          <w:tblCellMar>
            <w:top w:w="0" w:type="dxa"/>
            <w:left w:w="108" w:type="dxa"/>
            <w:bottom w:w="0" w:type="dxa"/>
            <w:right w:w="108" w:type="dxa"/>
          </w:tblCellMar>
        </w:tblPrEx>
        <w:tc>
          <w:tcPr>
            <w:tcW w:w="0" w:type="auto"/>
            <w:noWrap w:val="0"/>
            <w:vAlign w:val="top"/>
          </w:tcPr>
          <w:p w14:paraId="44208BA6">
            <w:pPr>
              <w:pStyle w:val="60"/>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开户银行：20135701040003049</w:t>
            </w:r>
            <w:r>
              <w:rPr>
                <w:rStyle w:val="27"/>
                <w:rFonts w:hint="eastAsia" w:ascii="宋体" w:hAnsi="宋体" w:eastAsia="宋体" w:cs="宋体"/>
                <w:color w:val="auto"/>
                <w:sz w:val="24"/>
                <w:szCs w:val="24"/>
                <w:highlight w:val="none"/>
                <w:lang w:val="en-US" w:eastAsia="zh-CN"/>
              </w:rPr>
              <w:t xml:space="preserve"> </w:t>
            </w:r>
            <w:r>
              <w:rPr>
                <w:rStyle w:val="27"/>
                <w:rFonts w:hint="eastAsia" w:ascii="宋体" w:hAnsi="宋体" w:eastAsia="宋体" w:cs="宋体"/>
                <w:color w:val="auto"/>
                <w:sz w:val="24"/>
                <w:szCs w:val="24"/>
                <w:highlight w:val="none"/>
              </w:rPr>
              <w:t xml:space="preserve"> </w:t>
            </w:r>
          </w:p>
        </w:tc>
        <w:tc>
          <w:tcPr>
            <w:tcW w:w="0" w:type="auto"/>
            <w:noWrap w:val="0"/>
            <w:vAlign w:val="top"/>
          </w:tcPr>
          <w:p w14:paraId="78C026DE">
            <w:pPr>
              <w:pStyle w:val="53"/>
              <w:pageBreakBefore w:val="0"/>
              <w:kinsoku/>
              <w:wordWrap/>
              <w:overflowPunct/>
              <w:topLinePunct w:val="0"/>
              <w:bidi w:val="0"/>
              <w:spacing w:line="500" w:lineRule="exact"/>
              <w:ind w:left="1200" w:leftChars="0" w:right="0" w:rightChars="0" w:hanging="1200" w:hangingChars="50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开户银行：</w:t>
            </w:r>
          </w:p>
        </w:tc>
      </w:tr>
      <w:tr w14:paraId="08E3186D">
        <w:tblPrEx>
          <w:tblCellMar>
            <w:top w:w="0" w:type="dxa"/>
            <w:left w:w="108" w:type="dxa"/>
            <w:bottom w:w="0" w:type="dxa"/>
            <w:right w:w="108" w:type="dxa"/>
          </w:tblCellMar>
        </w:tblPrEx>
        <w:trPr>
          <w:trHeight w:val="438" w:hRule="atLeast"/>
        </w:trPr>
        <w:tc>
          <w:tcPr>
            <w:tcW w:w="0" w:type="auto"/>
            <w:noWrap w:val="0"/>
            <w:vAlign w:val="top"/>
          </w:tcPr>
          <w:p w14:paraId="593A3A38">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基本账号：</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64952B36">
            <w:pPr>
              <w:spacing w:line="500" w:lineRule="exact"/>
              <w:ind w:left="718" w:hanging="820" w:hangingChars="342"/>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基本账号：</w:t>
            </w:r>
          </w:p>
        </w:tc>
      </w:tr>
      <w:tr w14:paraId="3318691B">
        <w:tblPrEx>
          <w:tblCellMar>
            <w:top w:w="0" w:type="dxa"/>
            <w:left w:w="108" w:type="dxa"/>
            <w:bottom w:w="0" w:type="dxa"/>
            <w:right w:w="108" w:type="dxa"/>
          </w:tblCellMar>
        </w:tblPrEx>
        <w:tc>
          <w:tcPr>
            <w:tcW w:w="0" w:type="auto"/>
            <w:noWrap w:val="0"/>
            <w:vAlign w:val="top"/>
          </w:tcPr>
          <w:p w14:paraId="44B0CFE4">
            <w:pPr>
              <w:pStyle w:val="53"/>
              <w:pageBreakBefore w:val="0"/>
              <w:kinsoku/>
              <w:wordWrap/>
              <w:overflowPunct/>
              <w:topLinePunct w:val="0"/>
              <w:bidi w:val="0"/>
              <w:spacing w:line="500" w:lineRule="exact"/>
              <w:ind w:left="0" w:leftChars="0" w:right="0" w:rightChars="0"/>
              <w:rPr>
                <w:rStyle w:val="27"/>
                <w:rFonts w:hint="default"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邮政编码：</w:t>
            </w:r>
            <w:r>
              <w:rPr>
                <w:rStyle w:val="27"/>
                <w:rFonts w:hint="eastAsia" w:ascii="宋体" w:hAnsi="宋体" w:cs="宋体"/>
                <w:color w:val="auto"/>
                <w:sz w:val="24"/>
                <w:szCs w:val="24"/>
                <w:highlight w:val="none"/>
                <w:lang w:val="en-US" w:eastAsia="zh-CN"/>
              </w:rPr>
              <w:t>545212</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7568F135">
            <w:pPr>
              <w:pStyle w:val="53"/>
              <w:pageBreakBefore w:val="0"/>
              <w:kinsoku/>
              <w:wordWrap/>
              <w:overflowPunct/>
              <w:topLinePunct w:val="0"/>
              <w:bidi w:val="0"/>
              <w:spacing w:line="500" w:lineRule="exact"/>
              <w:ind w:left="0" w:leftChars="0" w:right="0" w:rightChars="0"/>
              <w:rPr>
                <w:rStyle w:val="27"/>
                <w:rFonts w:hint="default"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邮政编码：</w:t>
            </w:r>
          </w:p>
        </w:tc>
      </w:tr>
      <w:tr w14:paraId="2B6F678E">
        <w:tblPrEx>
          <w:tblCellMar>
            <w:top w:w="0" w:type="dxa"/>
            <w:left w:w="108" w:type="dxa"/>
            <w:bottom w:w="0" w:type="dxa"/>
            <w:right w:w="108" w:type="dxa"/>
          </w:tblCellMar>
        </w:tblPrEx>
        <w:tc>
          <w:tcPr>
            <w:tcW w:w="0" w:type="auto"/>
            <w:noWrap w:val="0"/>
            <w:vAlign w:val="top"/>
          </w:tcPr>
          <w:p w14:paraId="6D2A3D9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经办人：</w:t>
            </w:r>
          </w:p>
        </w:tc>
        <w:tc>
          <w:tcPr>
            <w:tcW w:w="0" w:type="auto"/>
            <w:noWrap w:val="0"/>
            <w:vAlign w:val="top"/>
          </w:tcPr>
          <w:p w14:paraId="393AEDA8">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 xml:space="preserve">经办人： </w:t>
            </w:r>
          </w:p>
        </w:tc>
      </w:tr>
    </w:tbl>
    <w:p w14:paraId="10CF3803">
      <w:pPr>
        <w:pStyle w:val="5"/>
        <w:pageBreakBefore w:val="0"/>
        <w:widowControl w:val="0"/>
        <w:shd w:val="clear" w:color="auto" w:fill="auto"/>
        <w:kinsoku/>
        <w:wordWrap/>
        <w:overflowPunct/>
        <w:topLinePunct w:val="0"/>
        <w:bidi w:val="0"/>
        <w:snapToGrid w:val="0"/>
        <w:spacing w:before="0" w:after="0" w:line="360" w:lineRule="auto"/>
        <w:jc w:val="center"/>
        <w:rPr>
          <w:rFonts w:hint="eastAsia" w:ascii="宋体" w:hAnsi="宋体" w:eastAsia="Times New Roman" w:cs="宋体"/>
          <w:b/>
          <w:bCs w:val="0"/>
          <w:color w:val="auto"/>
          <w:sz w:val="22"/>
          <w:szCs w:val="22"/>
          <w:highlight w:val="none"/>
        </w:rPr>
      </w:pPr>
      <w:r>
        <w:rPr>
          <w:rFonts w:hint="eastAsia" w:ascii="宋体" w:hAnsi="宋体" w:cs="宋体"/>
          <w:b/>
          <w:color w:val="auto"/>
          <w:sz w:val="22"/>
          <w:szCs w:val="22"/>
          <w:highlight w:val="none"/>
        </w:rPr>
        <w:br w:type="page"/>
      </w:r>
      <w:bookmarkStart w:id="89" w:name="_Toc25469"/>
      <w:r>
        <w:rPr>
          <w:rFonts w:hint="eastAsia" w:ascii="宋体" w:hAnsi="宋体" w:eastAsia="Times New Roman" w:cs="宋体"/>
          <w:b/>
          <w:bCs w:val="0"/>
          <w:color w:val="auto"/>
          <w:sz w:val="22"/>
          <w:szCs w:val="22"/>
          <w:highlight w:val="none"/>
        </w:rPr>
        <w:t>第</w:t>
      </w:r>
      <w:r>
        <w:rPr>
          <w:rFonts w:hint="eastAsia" w:ascii="宋体" w:hAnsi="宋体" w:eastAsia="宋体" w:cs="宋体"/>
          <w:b/>
          <w:bCs w:val="0"/>
          <w:color w:val="auto"/>
          <w:sz w:val="22"/>
          <w:szCs w:val="22"/>
          <w:highlight w:val="none"/>
          <w:lang w:eastAsia="zh-CN"/>
        </w:rPr>
        <w:t>二</w:t>
      </w:r>
      <w:r>
        <w:rPr>
          <w:rFonts w:hint="eastAsia" w:ascii="宋体" w:hAnsi="宋体" w:eastAsia="Times New Roman" w:cs="宋体"/>
          <w:b/>
          <w:bCs w:val="0"/>
          <w:color w:val="auto"/>
          <w:sz w:val="22"/>
          <w:szCs w:val="22"/>
          <w:highlight w:val="none"/>
        </w:rPr>
        <w:t>部分 通用合同条款</w:t>
      </w:r>
      <w:bookmarkEnd w:id="89"/>
    </w:p>
    <w:p w14:paraId="1CBE3A5E">
      <w:pPr>
        <w:pageBreakBefore w:val="0"/>
        <w:widowControl w:val="0"/>
        <w:shd w:val="clear" w:color="auto" w:fill="auto"/>
        <w:kinsoku/>
        <w:wordWrap/>
        <w:overflowPunct/>
        <w:topLinePunct w:val="0"/>
        <w:bidi w:val="0"/>
        <w:snapToGrid w:val="0"/>
        <w:spacing w:line="360" w:lineRule="auto"/>
        <w:jc w:val="center"/>
        <w:rPr>
          <w:rFonts w:hint="eastAsia"/>
          <w:sz w:val="22"/>
          <w:szCs w:val="22"/>
          <w:highlight w:val="none"/>
        </w:rPr>
      </w:pPr>
      <w:r>
        <w:rPr>
          <w:rFonts w:hint="eastAsia"/>
          <w:sz w:val="22"/>
          <w:szCs w:val="22"/>
          <w:highlight w:val="none"/>
        </w:rPr>
        <w:t>采用《</w:t>
      </w:r>
      <w:r>
        <w:rPr>
          <w:sz w:val="22"/>
          <w:szCs w:val="22"/>
          <w:highlight w:val="none"/>
        </w:rPr>
        <w:t>建设工程施工合同（示范文本）</w:t>
      </w:r>
      <w:r>
        <w:rPr>
          <w:rFonts w:hint="eastAsia"/>
          <w:sz w:val="22"/>
          <w:szCs w:val="22"/>
          <w:highlight w:val="none"/>
        </w:rPr>
        <w:t>》</w:t>
      </w:r>
      <w:r>
        <w:rPr>
          <w:sz w:val="22"/>
          <w:szCs w:val="22"/>
          <w:highlight w:val="none"/>
        </w:rPr>
        <w:t>（GF—201</w:t>
      </w:r>
      <w:r>
        <w:rPr>
          <w:rFonts w:hint="eastAsia"/>
          <w:sz w:val="22"/>
          <w:szCs w:val="22"/>
          <w:highlight w:val="none"/>
        </w:rPr>
        <w:t>7</w:t>
      </w:r>
      <w:r>
        <w:rPr>
          <w:sz w:val="22"/>
          <w:szCs w:val="22"/>
          <w:highlight w:val="none"/>
        </w:rPr>
        <w:t>—</w:t>
      </w:r>
      <w:r>
        <w:rPr>
          <w:rFonts w:hint="eastAsia"/>
          <w:sz w:val="22"/>
          <w:szCs w:val="22"/>
          <w:highlight w:val="none"/>
        </w:rPr>
        <w:t>0201）。</w:t>
      </w:r>
    </w:p>
    <w:p w14:paraId="0E00DD6C">
      <w:pPr>
        <w:pStyle w:val="5"/>
        <w:pageBreakBefore w:val="0"/>
        <w:widowControl w:val="0"/>
        <w:shd w:val="clear" w:color="auto" w:fill="auto"/>
        <w:kinsoku/>
        <w:wordWrap/>
        <w:overflowPunct/>
        <w:topLinePunct w:val="0"/>
        <w:bidi w:val="0"/>
        <w:snapToGrid w:val="0"/>
        <w:spacing w:before="0" w:after="0" w:line="360" w:lineRule="auto"/>
        <w:jc w:val="center"/>
        <w:rPr>
          <w:rFonts w:hint="eastAsia" w:ascii="宋体" w:hAnsi="宋体" w:eastAsia="Times New Roman" w:cs="宋体"/>
          <w:b/>
          <w:bCs w:val="0"/>
          <w:color w:val="auto"/>
          <w:sz w:val="22"/>
          <w:szCs w:val="22"/>
          <w:highlight w:val="none"/>
        </w:rPr>
      </w:pPr>
      <w:bookmarkStart w:id="90" w:name="_Toc26204"/>
      <w:r>
        <w:rPr>
          <w:rFonts w:hint="eastAsia" w:ascii="宋体" w:hAnsi="宋体" w:eastAsia="Times New Roman" w:cs="宋体"/>
          <w:b/>
          <w:bCs w:val="0"/>
          <w:color w:val="auto"/>
          <w:sz w:val="22"/>
          <w:szCs w:val="22"/>
          <w:highlight w:val="none"/>
        </w:rPr>
        <w:t>第</w:t>
      </w:r>
      <w:r>
        <w:rPr>
          <w:rFonts w:hint="eastAsia" w:ascii="宋体" w:hAnsi="宋体" w:eastAsia="宋体" w:cs="宋体"/>
          <w:b/>
          <w:bCs w:val="0"/>
          <w:color w:val="auto"/>
          <w:sz w:val="22"/>
          <w:szCs w:val="22"/>
          <w:highlight w:val="none"/>
          <w:lang w:eastAsia="zh-CN"/>
        </w:rPr>
        <w:t>三</w:t>
      </w:r>
      <w:r>
        <w:rPr>
          <w:rFonts w:hint="eastAsia" w:ascii="宋体" w:hAnsi="宋体" w:eastAsia="Times New Roman" w:cs="宋体"/>
          <w:b/>
          <w:bCs w:val="0"/>
          <w:color w:val="auto"/>
          <w:sz w:val="22"/>
          <w:szCs w:val="22"/>
          <w:highlight w:val="none"/>
        </w:rPr>
        <w:t>部分 专用合同条款</w:t>
      </w:r>
      <w:bookmarkEnd w:id="90"/>
    </w:p>
    <w:p w14:paraId="2529EB42">
      <w:pPr>
        <w:pageBreakBefore w:val="0"/>
        <w:widowControl w:val="0"/>
        <w:shd w:val="clear" w:color="auto" w:fill="auto"/>
        <w:kinsoku/>
        <w:wordWrap/>
        <w:overflowPunct/>
        <w:topLinePunct w:val="0"/>
        <w:bidi w:val="0"/>
        <w:snapToGrid w:val="0"/>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1.一般约定</w:t>
      </w:r>
    </w:p>
    <w:p w14:paraId="56A8D414">
      <w:pPr>
        <w:pageBreakBefore w:val="0"/>
        <w:widowControl w:val="0"/>
        <w:shd w:val="clear" w:color="auto" w:fill="auto"/>
        <w:kinsoku/>
        <w:wordWrap/>
        <w:overflowPunct/>
        <w:topLinePunct w:val="0"/>
        <w:bidi w:val="0"/>
        <w:snapToGrid w:val="0"/>
        <w:spacing w:line="360" w:lineRule="auto"/>
        <w:ind w:firstLine="440" w:firstLineChars="200"/>
        <w:jc w:val="left"/>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1.1词语定义</w:t>
      </w:r>
    </w:p>
    <w:p w14:paraId="001E7642">
      <w:pPr>
        <w:pageBreakBefore w:val="0"/>
        <w:widowControl w:val="0"/>
        <w:shd w:val="clear" w:color="auto" w:fill="auto"/>
        <w:kinsoku/>
        <w:wordWrap/>
        <w:overflowPunct/>
        <w:topLinePunct w:val="0"/>
        <w:bidi w:val="0"/>
        <w:snapToGrid w:val="0"/>
        <w:spacing w:line="360" w:lineRule="auto"/>
        <w:ind w:firstLine="440" w:firstLineChars="200"/>
        <w:jc w:val="left"/>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1.1.1合同</w:t>
      </w:r>
    </w:p>
    <w:p w14:paraId="68153A58">
      <w:pPr>
        <w:pageBreakBefore w:val="0"/>
        <w:widowControl w:val="0"/>
        <w:shd w:val="clear" w:color="auto" w:fill="auto"/>
        <w:kinsoku/>
        <w:wordWrap/>
        <w:overflowPunct/>
        <w:topLinePunct w:val="0"/>
        <w:bidi w:val="0"/>
        <w:snapToGrid w:val="0"/>
        <w:spacing w:line="360" w:lineRule="auto"/>
        <w:ind w:firstLine="440" w:firstLineChars="200"/>
        <w:jc w:val="left"/>
        <w:outlineLvl w:val="9"/>
        <w:rPr>
          <w:rFonts w:hint="eastAsia" w:ascii="宋体" w:hAnsi="宋体" w:cs="宋体"/>
          <w:color w:val="auto"/>
          <w:kern w:val="0"/>
          <w:sz w:val="22"/>
          <w:szCs w:val="22"/>
          <w:highlight w:val="none"/>
        </w:rPr>
      </w:pPr>
      <w:r>
        <w:rPr>
          <w:rFonts w:hint="eastAsia" w:ascii="宋体" w:hAnsi="宋体" w:cs="宋体"/>
          <w:color w:val="auto"/>
          <w:sz w:val="22"/>
          <w:szCs w:val="22"/>
          <w:highlight w:val="none"/>
        </w:rPr>
        <w:t>1.1.1.8已标价工程量清单：是指构成合同的由承包人按照规定的格式和要求填写并标明价格，经澄清和修正（包括与招标人工程量清单的一致性、和投标报价本身存在的计算错误和不平衡报价）（如有）且承包人已确认的工程量清单，包括说明和表格。</w:t>
      </w:r>
    </w:p>
    <w:p w14:paraId="4D9A50C6">
      <w:pPr>
        <w:pageBreakBefore w:val="0"/>
        <w:widowControl w:val="0"/>
        <w:shd w:val="clear" w:color="auto" w:fill="auto"/>
        <w:kinsoku/>
        <w:wordWrap/>
        <w:overflowPunct/>
        <w:topLinePunct w:val="0"/>
        <w:bidi w:val="0"/>
        <w:snapToGrid w:val="0"/>
        <w:spacing w:line="360" w:lineRule="auto"/>
        <w:ind w:firstLine="440" w:firstLineChars="200"/>
        <w:jc w:val="left"/>
        <w:outlineLvl w:val="9"/>
        <w:rPr>
          <w:rFonts w:hint="eastAsia" w:ascii="宋体" w:hAnsi="宋体"/>
          <w:color w:val="auto"/>
          <w:sz w:val="22"/>
          <w:szCs w:val="22"/>
          <w:highlight w:val="none"/>
        </w:rPr>
      </w:pPr>
      <w:r>
        <w:rPr>
          <w:rFonts w:hint="eastAsia" w:ascii="宋体" w:hAnsi="宋体" w:cs="宋体"/>
          <w:color w:val="auto"/>
          <w:kern w:val="0"/>
          <w:sz w:val="22"/>
          <w:szCs w:val="22"/>
          <w:highlight w:val="none"/>
        </w:rPr>
        <w:t>1.1.1.10其他合同文件包括：</w:t>
      </w:r>
      <w:r>
        <w:rPr>
          <w:rFonts w:hint="eastAsia" w:ascii="宋体" w:hAnsi="宋体"/>
          <w:color w:val="auto"/>
          <w:sz w:val="22"/>
          <w:szCs w:val="22"/>
          <w:highlight w:val="none"/>
          <w:u w:val="single"/>
        </w:rPr>
        <w:t>合同履行中，双方有关工程洽商、变更、签证、工程联系函以及往来的通知等书面文件均视为本合同的组成部分</w:t>
      </w:r>
      <w:r>
        <w:rPr>
          <w:rFonts w:hint="eastAsia" w:ascii="宋体" w:hAnsi="宋体"/>
          <w:color w:val="auto"/>
          <w:sz w:val="22"/>
          <w:szCs w:val="22"/>
          <w:highlight w:val="none"/>
        </w:rPr>
        <w:t>。</w:t>
      </w:r>
    </w:p>
    <w:p w14:paraId="101A1F41">
      <w:pPr>
        <w:spacing w:line="360" w:lineRule="auto"/>
        <w:ind w:firstLine="420" w:firstLineChars="200"/>
        <w:outlineLvl w:val="9"/>
        <w:rPr>
          <w:highlight w:val="none"/>
        </w:rPr>
      </w:pPr>
      <w:r>
        <w:rPr>
          <w:highlight w:val="none"/>
        </w:rPr>
        <w:t xml:space="preserve">1.1.2 </w:t>
      </w:r>
      <w:r>
        <w:rPr>
          <w:rFonts w:hint="eastAsia" w:hAnsi="宋体" w:cs="宋体"/>
          <w:highlight w:val="none"/>
        </w:rPr>
        <w:t>合同当事人及其他相关方</w:t>
      </w:r>
    </w:p>
    <w:p w14:paraId="36996C47">
      <w:pPr>
        <w:spacing w:line="360" w:lineRule="auto"/>
        <w:ind w:firstLine="420" w:firstLineChars="200"/>
        <w:outlineLvl w:val="9"/>
        <w:rPr>
          <w:highlight w:val="none"/>
        </w:rPr>
      </w:pPr>
      <w:bookmarkStart w:id="91" w:name="_Toc1731"/>
      <w:r>
        <w:rPr>
          <w:highlight w:val="none"/>
        </w:rPr>
        <w:t xml:space="preserve">1.1.2.4 </w:t>
      </w:r>
      <w:r>
        <w:rPr>
          <w:rFonts w:hint="eastAsia" w:hAnsi="宋体" w:cs="宋体"/>
          <w:highlight w:val="none"/>
        </w:rPr>
        <w:t>监理人：</w:t>
      </w:r>
      <w:bookmarkEnd w:id="91"/>
    </w:p>
    <w:p w14:paraId="199A71BA">
      <w:pPr>
        <w:spacing w:line="360" w:lineRule="auto"/>
        <w:ind w:firstLine="420" w:firstLineChars="200"/>
        <w:outlineLvl w:val="9"/>
        <w:rPr>
          <w:rStyle w:val="27"/>
          <w:rFonts w:hint="eastAsia" w:ascii="宋体" w:hAnsi="宋体" w:eastAsia="宋体" w:cs="宋体"/>
          <w:b/>
          <w:color w:val="auto"/>
          <w:sz w:val="22"/>
          <w:szCs w:val="22"/>
          <w:highlight w:val="none"/>
          <w:u w:val="single"/>
        </w:rPr>
      </w:pPr>
      <w:r>
        <w:rPr>
          <w:rFonts w:hint="eastAsia" w:ascii="Times New Roman" w:hAnsi="Times New Roman" w:eastAsia="宋体" w:cs="Times New Roman"/>
          <w:highlight w:val="none"/>
        </w:rPr>
        <w:t xml:space="preserve">名    </w:t>
      </w:r>
      <w:r>
        <w:rPr>
          <w:rStyle w:val="27"/>
          <w:rFonts w:hint="eastAsia" w:ascii="宋体" w:hAnsi="宋体" w:eastAsia="宋体" w:cs="宋体"/>
          <w:color w:val="auto"/>
          <w:sz w:val="22"/>
          <w:szCs w:val="22"/>
          <w:highlight w:val="none"/>
        </w:rPr>
        <w:t>称：</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见监理合同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0BB28137">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资质</w:t>
      </w:r>
      <w:r>
        <w:rPr>
          <w:rStyle w:val="27"/>
          <w:rFonts w:hint="eastAsia" w:ascii="宋体" w:hAnsi="宋体" w:eastAsia="宋体" w:cs="宋体"/>
          <w:color w:val="auto"/>
          <w:sz w:val="22"/>
          <w:szCs w:val="22"/>
          <w:highlight w:val="none"/>
        </w:rPr>
        <w:t>类别和等级：</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见监理合同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11CF8AFA">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联系</w:t>
      </w:r>
      <w:r>
        <w:rPr>
          <w:rStyle w:val="27"/>
          <w:rFonts w:hint="eastAsia" w:ascii="宋体" w:hAnsi="宋体" w:eastAsia="宋体" w:cs="宋体"/>
          <w:color w:val="auto"/>
          <w:sz w:val="22"/>
          <w:szCs w:val="22"/>
          <w:highlight w:val="none"/>
        </w:rPr>
        <w:t>电话：</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见监理合同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6B017E2F">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电子</w:t>
      </w:r>
      <w:r>
        <w:rPr>
          <w:rStyle w:val="27"/>
          <w:rFonts w:hint="eastAsia" w:ascii="宋体" w:hAnsi="宋体" w:eastAsia="宋体" w:cs="宋体"/>
          <w:color w:val="auto"/>
          <w:sz w:val="22"/>
          <w:szCs w:val="22"/>
          <w:highlight w:val="none"/>
        </w:rPr>
        <w:t>信箱：</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见监理合同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0D5105D1">
      <w:pPr>
        <w:spacing w:line="360" w:lineRule="auto"/>
        <w:ind w:firstLine="440" w:firstLineChars="200"/>
        <w:outlineLvl w:val="9"/>
        <w:rPr>
          <w:rStyle w:val="27"/>
          <w:rFonts w:hint="eastAsia" w:ascii="宋体" w:hAnsi="宋体" w:eastAsia="宋体" w:cs="宋体"/>
          <w:color w:val="auto"/>
          <w:sz w:val="22"/>
          <w:szCs w:val="22"/>
          <w:highlight w:val="none"/>
        </w:rPr>
      </w:pPr>
      <w:r>
        <w:rPr>
          <w:rStyle w:val="27"/>
          <w:rFonts w:hint="eastAsia" w:ascii="宋体" w:hAnsi="宋体" w:eastAsia="宋体" w:cs="宋体"/>
          <w:color w:val="auto"/>
          <w:sz w:val="22"/>
          <w:szCs w:val="22"/>
          <w:highlight w:val="none"/>
        </w:rPr>
        <w:t>通信地址：</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见监理合同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46AC4391">
      <w:pPr>
        <w:spacing w:line="360" w:lineRule="auto"/>
        <w:ind w:firstLine="420" w:firstLineChars="200"/>
        <w:outlineLvl w:val="9"/>
        <w:rPr>
          <w:rStyle w:val="27"/>
          <w:rFonts w:hint="eastAsia" w:ascii="宋体" w:hAnsi="宋体" w:eastAsia="宋体" w:cs="宋体"/>
          <w:color w:val="auto"/>
          <w:sz w:val="22"/>
          <w:szCs w:val="22"/>
          <w:highlight w:val="none"/>
        </w:rPr>
      </w:pPr>
      <w:r>
        <w:rPr>
          <w:highlight w:val="none"/>
        </w:rPr>
        <w:t>1.1.2.</w:t>
      </w:r>
      <w:r>
        <w:rPr>
          <w:rFonts w:hint="eastAsia"/>
          <w:highlight w:val="none"/>
          <w:lang w:val="en-US" w:eastAsia="zh-CN"/>
        </w:rPr>
        <w:t>5</w:t>
      </w:r>
      <w:r>
        <w:rPr>
          <w:rStyle w:val="27"/>
          <w:rFonts w:hint="eastAsia" w:ascii="宋体" w:hAnsi="宋体" w:eastAsia="宋体" w:cs="宋体"/>
          <w:color w:val="auto"/>
          <w:sz w:val="22"/>
          <w:szCs w:val="22"/>
          <w:highlight w:val="none"/>
        </w:rPr>
        <w:t xml:space="preserve"> 设计人：</w:t>
      </w:r>
    </w:p>
    <w:p w14:paraId="46B0D6FA">
      <w:pPr>
        <w:spacing w:line="360" w:lineRule="auto"/>
        <w:ind w:firstLine="420" w:firstLineChars="200"/>
        <w:outlineLvl w:val="9"/>
        <w:rPr>
          <w:rStyle w:val="27"/>
          <w:rFonts w:hint="eastAsia" w:ascii="宋体" w:hAnsi="宋体" w:eastAsia="宋体" w:cs="宋体"/>
          <w:color w:val="auto"/>
          <w:sz w:val="22"/>
          <w:szCs w:val="22"/>
          <w:highlight w:val="none"/>
          <w:u w:val="single"/>
        </w:rPr>
      </w:pPr>
      <w:r>
        <w:rPr>
          <w:rFonts w:hint="eastAsia" w:ascii="Times New Roman" w:hAnsi="Times New Roman" w:eastAsia="宋体" w:cs="Times New Roman"/>
          <w:highlight w:val="none"/>
        </w:rPr>
        <w:t xml:space="preserve">名    </w:t>
      </w:r>
      <w:r>
        <w:rPr>
          <w:rStyle w:val="27"/>
          <w:rFonts w:hint="eastAsia" w:ascii="宋体" w:hAnsi="宋体" w:eastAsia="宋体" w:cs="宋体"/>
          <w:color w:val="auto"/>
          <w:sz w:val="22"/>
          <w:szCs w:val="22"/>
          <w:highlight w:val="none"/>
        </w:rPr>
        <w:t>称：</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见设计合同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u w:val="single"/>
        </w:rPr>
        <w:t>；</w:t>
      </w:r>
    </w:p>
    <w:p w14:paraId="0ED88552">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资质</w:t>
      </w:r>
      <w:r>
        <w:rPr>
          <w:rStyle w:val="27"/>
          <w:rFonts w:hint="eastAsia" w:ascii="宋体" w:hAnsi="宋体" w:eastAsia="宋体" w:cs="宋体"/>
          <w:color w:val="auto"/>
          <w:sz w:val="22"/>
          <w:szCs w:val="22"/>
          <w:highlight w:val="none"/>
        </w:rPr>
        <w:t>类别和等级：</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见设计合同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10D30BA1">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联</w:t>
      </w:r>
      <w:r>
        <w:rPr>
          <w:rFonts w:hint="eastAsia" w:ascii="Times New Roman" w:hAnsi="Times New Roman" w:eastAsia="宋体" w:cs="Times New Roman"/>
          <w:highlight w:val="none"/>
          <w:lang w:val="en-US" w:eastAsia="zh-CN"/>
        </w:rPr>
        <w:t>系</w:t>
      </w:r>
      <w:r>
        <w:rPr>
          <w:rStyle w:val="27"/>
          <w:rFonts w:hint="eastAsia" w:ascii="宋体" w:hAnsi="宋体" w:eastAsia="宋体" w:cs="宋体"/>
          <w:color w:val="auto"/>
          <w:sz w:val="22"/>
          <w:szCs w:val="22"/>
          <w:highlight w:val="none"/>
        </w:rPr>
        <w:t>电话：</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见设计合同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3D76F8A4">
      <w:pPr>
        <w:spacing w:line="360" w:lineRule="auto"/>
        <w:ind w:firstLine="420" w:firstLineChars="200"/>
        <w:outlineLvl w:val="9"/>
        <w:rPr>
          <w:rStyle w:val="27"/>
          <w:rFonts w:hint="eastAsia" w:ascii="宋体" w:hAnsi="宋体" w:eastAsia="宋体" w:cs="宋体"/>
          <w:color w:val="auto"/>
          <w:sz w:val="22"/>
          <w:szCs w:val="22"/>
          <w:highlight w:val="none"/>
        </w:rPr>
      </w:pPr>
      <w:r>
        <w:rPr>
          <w:rFonts w:hint="eastAsia" w:ascii="Times New Roman" w:hAnsi="Times New Roman" w:eastAsia="宋体" w:cs="Times New Roman"/>
          <w:highlight w:val="none"/>
        </w:rPr>
        <w:t>电子</w:t>
      </w:r>
      <w:r>
        <w:rPr>
          <w:rStyle w:val="27"/>
          <w:rFonts w:hint="eastAsia" w:ascii="宋体" w:hAnsi="宋体" w:eastAsia="宋体" w:cs="宋体"/>
          <w:color w:val="auto"/>
          <w:sz w:val="22"/>
          <w:szCs w:val="22"/>
          <w:highlight w:val="none"/>
        </w:rPr>
        <w:t>信箱：</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见设计合同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1A50D78E">
      <w:pPr>
        <w:spacing w:line="360" w:lineRule="auto"/>
        <w:ind w:firstLine="440" w:firstLineChars="200"/>
        <w:outlineLvl w:val="9"/>
        <w:rPr>
          <w:rStyle w:val="27"/>
          <w:rFonts w:hint="eastAsia" w:ascii="宋体" w:hAnsi="宋体" w:eastAsia="宋体" w:cs="宋体"/>
          <w:color w:val="auto"/>
          <w:sz w:val="22"/>
          <w:szCs w:val="22"/>
          <w:highlight w:val="none"/>
        </w:rPr>
      </w:pPr>
      <w:r>
        <w:rPr>
          <w:rStyle w:val="27"/>
          <w:rFonts w:hint="eastAsia" w:ascii="宋体" w:hAnsi="宋体" w:eastAsia="宋体" w:cs="宋体"/>
          <w:color w:val="auto"/>
          <w:sz w:val="22"/>
          <w:szCs w:val="22"/>
          <w:highlight w:val="none"/>
        </w:rPr>
        <w:t>通信地址：</w:t>
      </w:r>
      <w:r>
        <w:rPr>
          <w:rStyle w:val="27"/>
          <w:rFonts w:hint="eastAsia" w:ascii="宋体" w:hAnsi="宋体" w:eastAsia="宋体" w:cs="宋体"/>
          <w:color w:val="auto"/>
          <w:sz w:val="22"/>
          <w:szCs w:val="22"/>
          <w:highlight w:val="none"/>
          <w:u w:val="single"/>
        </w:rPr>
        <w:t xml:space="preserve"> </w:t>
      </w:r>
      <w:r>
        <w:rPr>
          <w:rStyle w:val="27"/>
          <w:rFonts w:hint="eastAsia" w:ascii="宋体" w:hAnsi="宋体" w:eastAsia="宋体" w:cs="宋体"/>
          <w:color w:val="auto"/>
          <w:sz w:val="22"/>
          <w:szCs w:val="22"/>
          <w:highlight w:val="none"/>
          <w:u w:val="single"/>
          <w:lang w:eastAsia="zh-CN"/>
        </w:rPr>
        <w:t>见设计合同</w:t>
      </w:r>
      <w:r>
        <w:rPr>
          <w:rStyle w:val="27"/>
          <w:rFonts w:hint="eastAsia" w:ascii="宋体" w:hAnsi="宋体" w:eastAsia="宋体" w:cs="宋体"/>
          <w:color w:val="auto"/>
          <w:sz w:val="22"/>
          <w:szCs w:val="22"/>
          <w:highlight w:val="none"/>
          <w:u w:val="single"/>
          <w:lang w:val="en-US" w:eastAsia="zh-CN"/>
        </w:rPr>
        <w:t xml:space="preserve"> </w:t>
      </w:r>
      <w:r>
        <w:rPr>
          <w:rStyle w:val="27"/>
          <w:rFonts w:hint="eastAsia" w:ascii="宋体" w:hAnsi="宋体" w:eastAsia="宋体" w:cs="宋体"/>
          <w:color w:val="auto"/>
          <w:sz w:val="22"/>
          <w:szCs w:val="22"/>
          <w:highlight w:val="none"/>
        </w:rPr>
        <w:t>。</w:t>
      </w:r>
    </w:p>
    <w:p w14:paraId="3C6B73A1">
      <w:pPr>
        <w:pageBreakBefore w:val="0"/>
        <w:widowControl w:val="0"/>
        <w:shd w:val="clear" w:color="auto" w:fill="auto"/>
        <w:kinsoku/>
        <w:wordWrap/>
        <w:overflowPunct/>
        <w:topLinePunct w:val="0"/>
        <w:bidi w:val="0"/>
        <w:snapToGrid w:val="0"/>
        <w:spacing w:line="360" w:lineRule="auto"/>
        <w:ind w:firstLine="440" w:firstLineChars="200"/>
        <w:jc w:val="left"/>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1.1.3工程和设备</w:t>
      </w:r>
    </w:p>
    <w:p w14:paraId="01C6A87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1.1.3.7作为施工现场组成部分的其他场所包括：</w:t>
      </w:r>
      <w:r>
        <w:rPr>
          <w:rFonts w:hint="eastAsia" w:ascii="宋体" w:hAnsi="宋体" w:cs="宋体"/>
          <w:color w:val="auto"/>
          <w:sz w:val="22"/>
          <w:szCs w:val="22"/>
          <w:highlight w:val="none"/>
          <w:u w:val="single"/>
        </w:rPr>
        <w:t>无</w:t>
      </w:r>
      <w:r>
        <w:rPr>
          <w:rFonts w:hint="eastAsia" w:ascii="宋体" w:hAnsi="宋体" w:cs="宋体"/>
          <w:color w:val="auto"/>
          <w:sz w:val="22"/>
          <w:szCs w:val="22"/>
          <w:highlight w:val="none"/>
        </w:rPr>
        <w:t>。</w:t>
      </w:r>
    </w:p>
    <w:p w14:paraId="164B8E4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1.1.3.9永久占地包括：</w:t>
      </w:r>
      <w:r>
        <w:rPr>
          <w:rFonts w:hint="eastAsia" w:ascii="宋体" w:hAnsi="宋体"/>
          <w:color w:val="auto"/>
          <w:sz w:val="22"/>
          <w:szCs w:val="22"/>
          <w:highlight w:val="none"/>
          <w:u w:val="single"/>
        </w:rPr>
        <w:t>依据设计图纸确定</w:t>
      </w:r>
      <w:r>
        <w:rPr>
          <w:rFonts w:hint="eastAsia" w:ascii="宋体" w:hAnsi="宋体" w:cs="宋体"/>
          <w:color w:val="auto"/>
          <w:kern w:val="0"/>
          <w:sz w:val="22"/>
          <w:szCs w:val="22"/>
          <w:highlight w:val="none"/>
        </w:rPr>
        <w:t>。</w:t>
      </w:r>
    </w:p>
    <w:p w14:paraId="12A8DB4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1.1.3.10临时占地包括：</w:t>
      </w:r>
      <w:r>
        <w:rPr>
          <w:rFonts w:hint="eastAsia" w:ascii="宋体" w:hAnsi="宋体"/>
          <w:color w:val="auto"/>
          <w:sz w:val="22"/>
          <w:szCs w:val="22"/>
          <w:highlight w:val="none"/>
          <w:u w:val="single"/>
        </w:rPr>
        <w:t>双方在合同履行过程中确定</w:t>
      </w:r>
      <w:r>
        <w:rPr>
          <w:rFonts w:hint="eastAsia" w:ascii="宋体" w:hAnsi="宋体" w:cs="宋体"/>
          <w:color w:val="auto"/>
          <w:kern w:val="0"/>
          <w:sz w:val="22"/>
          <w:szCs w:val="22"/>
          <w:highlight w:val="none"/>
        </w:rPr>
        <w:t>。</w:t>
      </w:r>
    </w:p>
    <w:p w14:paraId="1FE4DF95">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1.3法律 </w:t>
      </w:r>
    </w:p>
    <w:p w14:paraId="47DC4C49">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适用于合同的其他规范性文件：</w:t>
      </w:r>
      <w:r>
        <w:rPr>
          <w:rFonts w:hint="eastAsia" w:ascii="宋体" w:hAnsi="宋体"/>
          <w:color w:val="auto"/>
          <w:sz w:val="22"/>
          <w:szCs w:val="22"/>
          <w:highlight w:val="none"/>
          <w:u w:val="single"/>
        </w:rPr>
        <w:t>按通用条款执行执行</w:t>
      </w:r>
      <w:r>
        <w:rPr>
          <w:rFonts w:hint="eastAsia" w:ascii="宋体" w:hAnsi="宋体" w:cs="宋体"/>
          <w:color w:val="auto"/>
          <w:sz w:val="22"/>
          <w:szCs w:val="22"/>
          <w:highlight w:val="none"/>
        </w:rPr>
        <w:t>。</w:t>
      </w:r>
    </w:p>
    <w:p w14:paraId="12166C35">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1.4标准和规范</w:t>
      </w:r>
    </w:p>
    <w:p w14:paraId="17F4483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1.4.1适用于工程的标准规范包括：</w:t>
      </w:r>
      <w:r>
        <w:rPr>
          <w:rFonts w:hint="eastAsia" w:ascii="宋体" w:hAnsi="宋体"/>
          <w:color w:val="auto"/>
          <w:sz w:val="22"/>
          <w:szCs w:val="22"/>
          <w:highlight w:val="none"/>
          <w:u w:val="single"/>
        </w:rPr>
        <w:t>按通用条款执行执行</w:t>
      </w:r>
      <w:r>
        <w:rPr>
          <w:rFonts w:hint="eastAsia" w:ascii="宋体" w:hAnsi="宋体" w:cs="宋体"/>
          <w:color w:val="auto"/>
          <w:sz w:val="22"/>
          <w:szCs w:val="22"/>
          <w:highlight w:val="none"/>
        </w:rPr>
        <w:t>。</w:t>
      </w:r>
    </w:p>
    <w:p w14:paraId="728A8BD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1.4.2发包人提供国外标准、规范的名称：</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rPr>
        <w:t>；</w:t>
      </w:r>
    </w:p>
    <w:p w14:paraId="32CC08F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发包人提供国外标准、规范的份数：</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rPr>
        <w:t>；</w:t>
      </w:r>
    </w:p>
    <w:p w14:paraId="0695F76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发包人提供国外标准、规范的名称：</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rPr>
        <w:t>。</w:t>
      </w:r>
    </w:p>
    <w:p w14:paraId="6891AEC1">
      <w:pPr>
        <w:pStyle w:val="11"/>
        <w:pageBreakBefore w:val="0"/>
        <w:widowControl w:val="0"/>
        <w:shd w:val="clear" w:color="auto" w:fill="auto"/>
        <w:kinsoku/>
        <w:wordWrap/>
        <w:overflowPunct/>
        <w:topLinePunct w:val="0"/>
        <w:bidi w:val="0"/>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1.4.3发包人对工程的技术标准和功能要求的特殊要求：</w:t>
      </w:r>
      <w:r>
        <w:rPr>
          <w:rFonts w:hint="eastAsia" w:hAnsi="宋体"/>
          <w:color w:val="auto"/>
          <w:sz w:val="22"/>
          <w:szCs w:val="22"/>
          <w:highlight w:val="none"/>
          <w:u w:val="single"/>
        </w:rPr>
        <w:t>按通用条款执行执行</w:t>
      </w:r>
      <w:r>
        <w:rPr>
          <w:rFonts w:hint="eastAsia" w:hAnsi="宋体"/>
          <w:color w:val="auto"/>
          <w:sz w:val="22"/>
          <w:szCs w:val="22"/>
          <w:highlight w:val="none"/>
        </w:rPr>
        <w:t>。</w:t>
      </w:r>
    </w:p>
    <w:p w14:paraId="475A5D29">
      <w:pPr>
        <w:pageBreakBefore w:val="0"/>
        <w:widowControl w:val="0"/>
        <w:shd w:val="clear" w:color="auto" w:fill="auto"/>
        <w:kinsoku/>
        <w:wordWrap/>
        <w:overflowPunct/>
        <w:topLinePunct w:val="0"/>
        <w:bidi w:val="0"/>
        <w:snapToGrid w:val="0"/>
        <w:spacing w:line="360" w:lineRule="auto"/>
        <w:ind w:firstLine="440" w:firstLineChars="200"/>
        <w:jc w:val="left"/>
        <w:rPr>
          <w:rFonts w:cs="宋体"/>
          <w:b w:val="0"/>
          <w:bCs w:val="0"/>
          <w:color w:val="auto"/>
          <w:sz w:val="22"/>
          <w:szCs w:val="22"/>
          <w:highlight w:val="none"/>
        </w:rPr>
      </w:pPr>
      <w:r>
        <w:rPr>
          <w:rFonts w:cs="宋体"/>
          <w:b w:val="0"/>
          <w:bCs w:val="0"/>
          <w:color w:val="auto"/>
          <w:sz w:val="22"/>
          <w:szCs w:val="22"/>
          <w:highlight w:val="none"/>
        </w:rPr>
        <w:t>1.5合同</w:t>
      </w:r>
      <w:r>
        <w:rPr>
          <w:rFonts w:hint="eastAsia" w:ascii="宋体" w:hAnsi="宋体" w:eastAsia="宋体" w:cs="宋体"/>
          <w:b w:val="0"/>
          <w:bCs w:val="0"/>
          <w:color w:val="auto"/>
          <w:kern w:val="0"/>
          <w:sz w:val="22"/>
          <w:szCs w:val="22"/>
          <w:highlight w:val="none"/>
          <w:lang w:val="en-US" w:eastAsia="zh-CN" w:bidi="ar-SA"/>
        </w:rPr>
        <w:t>文</w:t>
      </w:r>
      <w:r>
        <w:rPr>
          <w:rFonts w:cs="宋体"/>
          <w:b w:val="0"/>
          <w:bCs w:val="0"/>
          <w:color w:val="auto"/>
          <w:sz w:val="22"/>
          <w:szCs w:val="22"/>
          <w:highlight w:val="none"/>
        </w:rPr>
        <w:t>件的优先顺序</w:t>
      </w:r>
    </w:p>
    <w:p w14:paraId="7912F528">
      <w:pPr>
        <w:pageBreakBefore w:val="0"/>
        <w:widowControl w:val="0"/>
        <w:shd w:val="clear" w:color="auto" w:fill="auto"/>
        <w:kinsoku/>
        <w:wordWrap/>
        <w:overflowPunct/>
        <w:topLinePunct w:val="0"/>
        <w:bidi w:val="0"/>
        <w:snapToGrid w:val="0"/>
        <w:spacing w:line="360" w:lineRule="auto"/>
        <w:ind w:firstLine="440" w:firstLineChars="200"/>
        <w:jc w:val="left"/>
        <w:rPr>
          <w:rFonts w:cs="宋体"/>
          <w:b/>
          <w:bCs/>
          <w:color w:val="auto"/>
          <w:sz w:val="22"/>
          <w:szCs w:val="22"/>
          <w:highlight w:val="none"/>
        </w:rPr>
      </w:pPr>
      <w:r>
        <w:rPr>
          <w:rFonts w:cs="宋体"/>
          <w:b/>
          <w:bCs/>
          <w:color w:val="auto"/>
          <w:sz w:val="22"/>
          <w:szCs w:val="22"/>
          <w:highlight w:val="none"/>
        </w:rPr>
        <w:t>合同文件组成及优先顺序为：</w:t>
      </w:r>
    </w:p>
    <w:p w14:paraId="34E7644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（1）合同协议书；</w:t>
      </w:r>
    </w:p>
    <w:p w14:paraId="7448B8E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（2）中标通知书（如果有）；</w:t>
      </w:r>
    </w:p>
    <w:p w14:paraId="338157F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（3）投标函及其附录（如果有）；</w:t>
      </w:r>
    </w:p>
    <w:p w14:paraId="172F77A2">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（4）专用合同条款及其附件；</w:t>
      </w:r>
    </w:p>
    <w:p w14:paraId="3FEFD47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（5）通用合同条款；</w:t>
      </w:r>
    </w:p>
    <w:p w14:paraId="38D1B76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05F4B84F">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1.6 图纸和承包人文件。</w:t>
      </w:r>
    </w:p>
    <w:p w14:paraId="21DE213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1.6.1图纸的提供</w:t>
      </w:r>
    </w:p>
    <w:p w14:paraId="743F60A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发包人向承包人提供图纸的期限：</w:t>
      </w:r>
      <w:r>
        <w:rPr>
          <w:rFonts w:hint="eastAsia" w:ascii="宋体" w:hAnsi="宋体"/>
          <w:color w:val="auto"/>
          <w:sz w:val="22"/>
          <w:szCs w:val="22"/>
          <w:highlight w:val="none"/>
          <w:u w:val="single"/>
        </w:rPr>
        <w:t>开工前7天</w:t>
      </w:r>
      <w:r>
        <w:rPr>
          <w:rFonts w:hint="eastAsia" w:ascii="宋体" w:hAnsi="宋体" w:cs="宋体"/>
          <w:color w:val="auto"/>
          <w:sz w:val="22"/>
          <w:szCs w:val="22"/>
          <w:highlight w:val="none"/>
        </w:rPr>
        <w:t>；</w:t>
      </w:r>
    </w:p>
    <w:p w14:paraId="51B5BCE7">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发包人向承包人提供图纸的数量：</w:t>
      </w:r>
      <w:r>
        <w:rPr>
          <w:rFonts w:hint="eastAsia" w:ascii="宋体" w:hAnsi="宋体"/>
          <w:color w:val="auto"/>
          <w:sz w:val="22"/>
          <w:szCs w:val="22"/>
          <w:highlight w:val="none"/>
          <w:u w:val="single"/>
        </w:rPr>
        <w:t>一式肆套，承包人需要增加图纸套数的，发包人应代为复制，复制费用由承包人承担</w:t>
      </w:r>
      <w:r>
        <w:rPr>
          <w:rFonts w:hint="eastAsia" w:ascii="宋体" w:hAnsi="宋体"/>
          <w:color w:val="auto"/>
          <w:sz w:val="22"/>
          <w:szCs w:val="22"/>
          <w:highlight w:val="none"/>
        </w:rPr>
        <w:t>；</w:t>
      </w:r>
    </w:p>
    <w:p w14:paraId="2B2CD61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发包人向承包人提供图纸的内容：</w:t>
      </w:r>
      <w:r>
        <w:rPr>
          <w:rFonts w:hint="eastAsia" w:ascii="宋体" w:hAnsi="宋体"/>
          <w:color w:val="auto"/>
          <w:sz w:val="22"/>
          <w:szCs w:val="22"/>
          <w:highlight w:val="none"/>
          <w:u w:val="single"/>
        </w:rPr>
        <w:t>整套施工图</w:t>
      </w:r>
      <w:r>
        <w:rPr>
          <w:rFonts w:hint="eastAsia" w:ascii="宋体" w:hAnsi="宋体" w:cs="宋体"/>
          <w:color w:val="auto"/>
          <w:sz w:val="22"/>
          <w:szCs w:val="22"/>
          <w:highlight w:val="none"/>
        </w:rPr>
        <w:t>。</w:t>
      </w:r>
    </w:p>
    <w:p w14:paraId="6CD2772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1.6.4承包人文件</w:t>
      </w:r>
    </w:p>
    <w:p w14:paraId="4787A4C2">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需要由承包人提供的文件，包括：</w:t>
      </w:r>
      <w:r>
        <w:rPr>
          <w:rFonts w:hint="eastAsia" w:ascii="宋体" w:hAnsi="宋体"/>
          <w:color w:val="auto"/>
          <w:sz w:val="22"/>
          <w:szCs w:val="22"/>
          <w:highlight w:val="none"/>
          <w:u w:val="single"/>
        </w:rPr>
        <w:t>施工组织设计、专项施工方案、施工总进度计划、用于报建的现场施工管理人员的相关证件等</w:t>
      </w:r>
      <w:r>
        <w:rPr>
          <w:rFonts w:hint="eastAsia" w:ascii="宋体" w:hAnsi="宋体"/>
          <w:color w:val="auto"/>
          <w:sz w:val="22"/>
          <w:szCs w:val="22"/>
          <w:highlight w:val="none"/>
        </w:rPr>
        <w:t>；</w:t>
      </w:r>
    </w:p>
    <w:p w14:paraId="436919D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承包人提供的文件的期限为：</w:t>
      </w:r>
      <w:r>
        <w:rPr>
          <w:rFonts w:hint="eastAsia" w:ascii="宋体" w:hAnsi="宋体"/>
          <w:color w:val="auto"/>
          <w:sz w:val="22"/>
          <w:szCs w:val="22"/>
          <w:highlight w:val="none"/>
          <w:u w:val="single"/>
        </w:rPr>
        <w:t>开始施工前7天内</w:t>
      </w:r>
      <w:r>
        <w:rPr>
          <w:rFonts w:hint="eastAsia" w:ascii="宋体" w:hAnsi="宋体"/>
          <w:color w:val="auto"/>
          <w:sz w:val="22"/>
          <w:szCs w:val="22"/>
          <w:highlight w:val="none"/>
        </w:rPr>
        <w:t>；</w:t>
      </w:r>
    </w:p>
    <w:p w14:paraId="6FF9EC8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承包人提供的文件的数量为：</w:t>
      </w:r>
      <w:r>
        <w:rPr>
          <w:rFonts w:hint="eastAsia" w:ascii="宋体" w:hAnsi="宋体"/>
          <w:color w:val="auto"/>
          <w:sz w:val="22"/>
          <w:szCs w:val="22"/>
          <w:highlight w:val="none"/>
          <w:u w:val="single"/>
        </w:rPr>
        <w:t>一式叁份，证件类为原件和一式三份复印件</w:t>
      </w:r>
      <w:r>
        <w:rPr>
          <w:rFonts w:hint="eastAsia" w:ascii="宋体" w:hAnsi="宋体"/>
          <w:color w:val="auto"/>
          <w:sz w:val="22"/>
          <w:szCs w:val="22"/>
          <w:highlight w:val="none"/>
        </w:rPr>
        <w:t>；</w:t>
      </w:r>
    </w:p>
    <w:p w14:paraId="075F75F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承包人提供的文件的形式为：</w:t>
      </w:r>
      <w:r>
        <w:rPr>
          <w:rFonts w:hint="eastAsia" w:ascii="宋体" w:hAnsi="宋体"/>
          <w:color w:val="auto"/>
          <w:sz w:val="22"/>
          <w:szCs w:val="22"/>
          <w:highlight w:val="none"/>
          <w:u w:val="single"/>
        </w:rPr>
        <w:t>书面</w:t>
      </w:r>
      <w:r>
        <w:rPr>
          <w:rFonts w:hint="eastAsia" w:ascii="宋体" w:hAnsi="宋体"/>
          <w:color w:val="auto"/>
          <w:sz w:val="22"/>
          <w:szCs w:val="22"/>
          <w:highlight w:val="none"/>
        </w:rPr>
        <w:t>；</w:t>
      </w:r>
    </w:p>
    <w:p w14:paraId="6D21FF3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发包人审批承包人文件的期限：</w:t>
      </w:r>
      <w:r>
        <w:rPr>
          <w:rFonts w:hint="eastAsia" w:ascii="宋体" w:hAnsi="宋体"/>
          <w:color w:val="auto"/>
          <w:sz w:val="22"/>
          <w:szCs w:val="22"/>
          <w:highlight w:val="none"/>
          <w:u w:val="single"/>
        </w:rPr>
        <w:t>在承包人提交文件后7天内审定完毕</w:t>
      </w:r>
      <w:r>
        <w:rPr>
          <w:rFonts w:hint="eastAsia" w:ascii="宋体" w:hAnsi="宋体"/>
          <w:color w:val="auto"/>
          <w:sz w:val="22"/>
          <w:szCs w:val="22"/>
          <w:highlight w:val="none"/>
        </w:rPr>
        <w:t>。</w:t>
      </w:r>
    </w:p>
    <w:p w14:paraId="746B1B3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1.6.5现场图纸准备</w:t>
      </w:r>
    </w:p>
    <w:p w14:paraId="3A0A2DF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关于现场图纸准备的约定：</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6D6FED0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1.7联络</w:t>
      </w:r>
    </w:p>
    <w:p w14:paraId="520BA75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1.7.1发包人和承包人应当在</w:t>
      </w:r>
      <w:r>
        <w:rPr>
          <w:rFonts w:hint="eastAsia" w:ascii="宋体" w:hAnsi="宋体"/>
          <w:color w:val="auto"/>
          <w:sz w:val="22"/>
          <w:szCs w:val="22"/>
          <w:highlight w:val="none"/>
          <w:u w:val="single"/>
        </w:rPr>
        <w:t>3</w:t>
      </w:r>
      <w:r>
        <w:rPr>
          <w:rFonts w:hint="eastAsia" w:ascii="宋体" w:hAnsi="宋体"/>
          <w:color w:val="auto"/>
          <w:sz w:val="22"/>
          <w:szCs w:val="22"/>
          <w:highlight w:val="none"/>
        </w:rPr>
        <w:t>天内将与合同有关的通知、批准、证明、证书、指示、指令、要求、请求、同意、意见、确定和决定等书面函件送达对方当事人。</w:t>
      </w:r>
    </w:p>
    <w:p w14:paraId="39E8EF0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1.7.2发包人接收文件的地点：</w:t>
      </w:r>
      <w:r>
        <w:rPr>
          <w:rFonts w:hint="eastAsia" w:ascii="宋体" w:hAnsi="宋体"/>
          <w:color w:val="auto"/>
          <w:sz w:val="22"/>
          <w:szCs w:val="22"/>
          <w:highlight w:val="none"/>
          <w:u w:val="single"/>
        </w:rPr>
        <w:t>发包人设在施工现场的业主办公室</w:t>
      </w:r>
      <w:r>
        <w:rPr>
          <w:rFonts w:hint="eastAsia" w:ascii="宋体" w:hAnsi="宋体"/>
          <w:color w:val="auto"/>
          <w:sz w:val="22"/>
          <w:szCs w:val="22"/>
          <w:highlight w:val="none"/>
        </w:rPr>
        <w:t>；</w:t>
      </w:r>
    </w:p>
    <w:p w14:paraId="1228AEA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发包人指定的接收人为：</w:t>
      </w:r>
      <w:r>
        <w:rPr>
          <w:rFonts w:hint="eastAsia" w:ascii="宋体" w:hAnsi="宋体"/>
          <w:color w:val="auto"/>
          <w:sz w:val="22"/>
          <w:szCs w:val="22"/>
          <w:highlight w:val="none"/>
          <w:u w:val="single"/>
        </w:rPr>
        <w:t>发包人现场代表</w:t>
      </w:r>
      <w:r>
        <w:rPr>
          <w:rFonts w:hint="eastAsia" w:ascii="宋体" w:hAnsi="宋体"/>
          <w:color w:val="auto"/>
          <w:sz w:val="22"/>
          <w:szCs w:val="22"/>
          <w:highlight w:val="none"/>
        </w:rPr>
        <w:t>。</w:t>
      </w:r>
    </w:p>
    <w:p w14:paraId="1D045F6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承包人接收文件的地点：</w:t>
      </w:r>
      <w:r>
        <w:rPr>
          <w:rFonts w:hint="eastAsia" w:ascii="宋体" w:hAnsi="宋体"/>
          <w:color w:val="auto"/>
          <w:sz w:val="22"/>
          <w:szCs w:val="22"/>
          <w:highlight w:val="none"/>
          <w:u w:val="single"/>
        </w:rPr>
        <w:t>项目经理部办公室</w:t>
      </w:r>
      <w:r>
        <w:rPr>
          <w:rFonts w:hint="eastAsia" w:ascii="宋体" w:hAnsi="宋体"/>
          <w:color w:val="auto"/>
          <w:sz w:val="22"/>
          <w:szCs w:val="22"/>
          <w:highlight w:val="none"/>
        </w:rPr>
        <w:t>；</w:t>
      </w:r>
    </w:p>
    <w:p w14:paraId="7A4A165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承包人指定的接收人为：</w:t>
      </w:r>
      <w:r>
        <w:rPr>
          <w:rFonts w:hint="eastAsia" w:ascii="宋体" w:hAnsi="宋体"/>
          <w:color w:val="auto"/>
          <w:sz w:val="22"/>
          <w:szCs w:val="22"/>
          <w:highlight w:val="none"/>
          <w:u w:val="single"/>
        </w:rPr>
        <w:t>承包人现场项目经理</w:t>
      </w:r>
      <w:r>
        <w:rPr>
          <w:rFonts w:hint="eastAsia" w:ascii="宋体" w:hAnsi="宋体"/>
          <w:color w:val="auto"/>
          <w:sz w:val="22"/>
          <w:szCs w:val="22"/>
          <w:highlight w:val="none"/>
        </w:rPr>
        <w:t>。</w:t>
      </w:r>
    </w:p>
    <w:p w14:paraId="5E3C83D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监理人接收文件的地点：</w:t>
      </w:r>
      <w:r>
        <w:rPr>
          <w:rFonts w:hint="eastAsia" w:ascii="宋体" w:hAnsi="宋体"/>
          <w:color w:val="auto"/>
          <w:sz w:val="22"/>
          <w:szCs w:val="22"/>
          <w:highlight w:val="none"/>
          <w:u w:val="single"/>
        </w:rPr>
        <w:t>监理人设在施工现场的监理办公室</w:t>
      </w:r>
      <w:r>
        <w:rPr>
          <w:rFonts w:hint="eastAsia" w:ascii="宋体" w:hAnsi="宋体"/>
          <w:color w:val="auto"/>
          <w:sz w:val="22"/>
          <w:szCs w:val="22"/>
          <w:highlight w:val="none"/>
        </w:rPr>
        <w:t>；</w:t>
      </w:r>
    </w:p>
    <w:p w14:paraId="17BED20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监理人指定的接收人为：</w:t>
      </w:r>
      <w:r>
        <w:rPr>
          <w:rFonts w:hint="eastAsia" w:ascii="宋体" w:hAnsi="宋体"/>
          <w:color w:val="auto"/>
          <w:sz w:val="22"/>
          <w:szCs w:val="22"/>
          <w:highlight w:val="none"/>
          <w:u w:val="single"/>
        </w:rPr>
        <w:t>总监理工程师或现场监理工程师</w:t>
      </w:r>
      <w:r>
        <w:rPr>
          <w:rFonts w:hint="eastAsia" w:ascii="宋体" w:hAnsi="宋体"/>
          <w:color w:val="auto"/>
          <w:sz w:val="22"/>
          <w:szCs w:val="22"/>
          <w:highlight w:val="none"/>
        </w:rPr>
        <w:t>。</w:t>
      </w:r>
    </w:p>
    <w:p w14:paraId="2AE592C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1.10交通运输</w:t>
      </w:r>
    </w:p>
    <w:p w14:paraId="46EEB21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1.10.1出入现场的权利</w:t>
      </w:r>
    </w:p>
    <w:p w14:paraId="7A06E69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关于出入现场的权利的约定：</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372C908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bookmarkStart w:id="92" w:name="_Toc351203634"/>
      <w:r>
        <w:rPr>
          <w:rFonts w:hint="eastAsia" w:ascii="宋体" w:hAnsi="宋体"/>
          <w:color w:val="auto"/>
          <w:sz w:val="22"/>
          <w:szCs w:val="22"/>
          <w:highlight w:val="none"/>
        </w:rPr>
        <w:t>1.10.3场内交通</w:t>
      </w:r>
    </w:p>
    <w:p w14:paraId="446FE02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关于场外交通和场内交通的边界的约定：</w:t>
      </w:r>
      <w:r>
        <w:rPr>
          <w:rFonts w:hint="eastAsia" w:ascii="宋体" w:hAnsi="宋体"/>
          <w:color w:val="auto"/>
          <w:sz w:val="22"/>
          <w:szCs w:val="22"/>
          <w:highlight w:val="none"/>
          <w:u w:val="single"/>
        </w:rPr>
        <w:t>以项目规划总平图用地红线为界</w:t>
      </w:r>
      <w:r>
        <w:rPr>
          <w:rFonts w:hint="eastAsia" w:ascii="宋体" w:hAnsi="宋体"/>
          <w:color w:val="auto"/>
          <w:sz w:val="22"/>
          <w:szCs w:val="22"/>
          <w:highlight w:val="none"/>
        </w:rPr>
        <w:t>。</w:t>
      </w:r>
    </w:p>
    <w:p w14:paraId="7E24239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关于发包人向承包人免费提供满足工程施工需要的场内道路和交通设施的约定：</w:t>
      </w:r>
      <w:r>
        <w:rPr>
          <w:rFonts w:hint="eastAsia" w:ascii="宋体" w:hAnsi="宋体"/>
          <w:color w:val="auto"/>
          <w:sz w:val="22"/>
          <w:szCs w:val="22"/>
          <w:highlight w:val="none"/>
          <w:u w:val="single"/>
        </w:rPr>
        <w:t>无</w:t>
      </w:r>
      <w:r>
        <w:rPr>
          <w:rFonts w:hint="eastAsia" w:ascii="宋体" w:hAnsi="宋体"/>
          <w:color w:val="auto"/>
          <w:sz w:val="22"/>
          <w:szCs w:val="22"/>
          <w:highlight w:val="none"/>
        </w:rPr>
        <w:t>。</w:t>
      </w:r>
    </w:p>
    <w:p w14:paraId="1C98AA6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1.10.4超大件和超重件的运输</w:t>
      </w:r>
    </w:p>
    <w:p w14:paraId="08D4FB6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运输超大件或超重件所需的道路和桥梁临时加固改造费用和其他有关费用由承包人承担。</w:t>
      </w:r>
    </w:p>
    <w:p w14:paraId="40F1935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1.11.1关于发包人提供给承包人的图纸、发包人为实施工程自行编制或委托编制的技术规范及反映发包人关于合同要求或其他类似性质的文件的著作权的归属：</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3310918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关于发包人提供的上述文件的使用限制的要求：</w:t>
      </w:r>
      <w:r>
        <w:rPr>
          <w:rFonts w:hint="eastAsia" w:ascii="宋体" w:hAnsi="宋体"/>
          <w:color w:val="auto"/>
          <w:sz w:val="22"/>
          <w:szCs w:val="22"/>
          <w:highlight w:val="none"/>
          <w:u w:val="single"/>
        </w:rPr>
        <w:t>仅用于本工程</w:t>
      </w:r>
      <w:r>
        <w:rPr>
          <w:rFonts w:hint="eastAsia" w:ascii="宋体" w:hAnsi="宋体"/>
          <w:color w:val="auto"/>
          <w:sz w:val="22"/>
          <w:szCs w:val="22"/>
          <w:highlight w:val="none"/>
        </w:rPr>
        <w:t>。</w:t>
      </w:r>
    </w:p>
    <w:p w14:paraId="7CE1741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1.11.2关于承包人为实施工程所编制文件的著作权的归属：</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33BB09B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关于承包人提供的上述文件的使用限制的要求：</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7812F75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1.11.4承包人在施工过程中所采用的专利、专有技术、技术秘密的使用费的承担方式：</w:t>
      </w:r>
      <w:r>
        <w:rPr>
          <w:rFonts w:hint="eastAsia" w:ascii="宋体" w:hAnsi="宋体"/>
          <w:color w:val="auto"/>
          <w:sz w:val="22"/>
          <w:szCs w:val="22"/>
          <w:highlight w:val="none"/>
          <w:u w:val="single"/>
        </w:rPr>
        <w:t>由承包人负责</w:t>
      </w:r>
      <w:r>
        <w:rPr>
          <w:rFonts w:hint="eastAsia" w:ascii="宋体" w:hAnsi="宋体"/>
          <w:color w:val="auto"/>
          <w:sz w:val="22"/>
          <w:szCs w:val="22"/>
          <w:highlight w:val="none"/>
        </w:rPr>
        <w:t>。</w:t>
      </w:r>
    </w:p>
    <w:p w14:paraId="3FC61BE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1.13工程量清单错误的修正</w:t>
      </w:r>
    </w:p>
    <w:p w14:paraId="59871F0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出现工程量清单错误时，是否调整合同价格：</w:t>
      </w:r>
    </w:p>
    <w:p w14:paraId="23A62A3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ascii="宋体" w:hAnsi="宋体" w:cs="宋体"/>
          <w:color w:val="auto"/>
          <w:sz w:val="22"/>
          <w:szCs w:val="22"/>
          <w:highlight w:val="none"/>
        </w:rPr>
        <w:fldChar w:fldCharType="end"/>
      </w:r>
      <w:r>
        <w:rPr>
          <w:rFonts w:hint="eastAsia" w:ascii="宋体" w:hAnsi="宋体"/>
          <w:color w:val="auto"/>
          <w:sz w:val="22"/>
          <w:szCs w:val="22"/>
          <w:highlight w:val="none"/>
        </w:rPr>
        <w:t>调整（采用单价合同或成本加酬金合同时）。</w:t>
      </w:r>
    </w:p>
    <w:p w14:paraId="1AED19D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□不调整（采用总价合同时）。</w:t>
      </w:r>
    </w:p>
    <w:p w14:paraId="523590E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允许调整合同价格的工程量偏差范围：</w:t>
      </w:r>
    </w:p>
    <w:p w14:paraId="2516A2D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ascii="宋体" w:hAnsi="宋体" w:cs="宋体"/>
          <w:color w:val="auto"/>
          <w:sz w:val="22"/>
          <w:szCs w:val="22"/>
          <w:highlight w:val="none"/>
        </w:rPr>
        <w:fldChar w:fldCharType="end"/>
      </w:r>
      <w:r>
        <w:rPr>
          <w:rFonts w:hint="eastAsia" w:ascii="宋体" w:hAnsi="宋体"/>
          <w:color w:val="auto"/>
          <w:sz w:val="22"/>
          <w:szCs w:val="22"/>
          <w:highlight w:val="none"/>
        </w:rPr>
        <w:t>按实际完成工程量调整（采用单价合同或成本加酬金合同时时）。</w:t>
      </w:r>
    </w:p>
    <w:p w14:paraId="3DA1FD5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□工程量偏差超过±</w:t>
      </w:r>
      <w:r>
        <w:rPr>
          <w:rFonts w:ascii="宋体" w:hAnsi="宋体"/>
          <w:color w:val="auto"/>
          <w:sz w:val="22"/>
          <w:szCs w:val="22"/>
          <w:highlight w:val="none"/>
          <w:u w:val="single"/>
        </w:rPr>
        <w:t xml:space="preserve">  </w:t>
      </w:r>
      <w:r>
        <w:rPr>
          <w:rFonts w:hint="eastAsia" w:ascii="宋体" w:hAnsi="宋体" w:eastAsia="宋体"/>
          <w:color w:val="auto"/>
          <w:sz w:val="22"/>
          <w:szCs w:val="22"/>
          <w:highlight w:val="none"/>
          <w:u w:val="single"/>
          <w:lang w:val="en-US" w:eastAsia="zh-CN"/>
        </w:rPr>
        <w:t>/</w:t>
      </w:r>
      <w:r>
        <w:rPr>
          <w:rFonts w:ascii="宋体" w:hAnsi="宋体"/>
          <w:color w:val="auto"/>
          <w:sz w:val="22"/>
          <w:szCs w:val="22"/>
          <w:highlight w:val="none"/>
          <w:u w:val="single"/>
        </w:rPr>
        <w:t xml:space="preserve">  %</w:t>
      </w:r>
      <w:r>
        <w:rPr>
          <w:rFonts w:hint="eastAsia" w:ascii="宋体" w:hAnsi="宋体"/>
          <w:color w:val="auto"/>
          <w:sz w:val="22"/>
          <w:szCs w:val="22"/>
          <w:highlight w:val="none"/>
        </w:rPr>
        <w:t>以上时超出部分据实调整（采用总价合同时）。</w:t>
      </w:r>
    </w:p>
    <w:p w14:paraId="6D2A8ECD">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bookmarkStart w:id="93" w:name="_Toc297048343"/>
      <w:bookmarkStart w:id="94" w:name="_Toc292559362"/>
      <w:bookmarkStart w:id="95" w:name="_Toc296503157"/>
      <w:bookmarkStart w:id="96" w:name="_Toc296347156"/>
      <w:bookmarkStart w:id="97" w:name="_Toc297120457"/>
      <w:bookmarkStart w:id="98" w:name="_Toc296944496"/>
      <w:bookmarkStart w:id="99" w:name="_Toc296891197"/>
      <w:bookmarkStart w:id="100" w:name="_Toc292559867"/>
      <w:bookmarkStart w:id="101" w:name="_Toc296346658"/>
      <w:bookmarkStart w:id="102" w:name="_Toc296890985"/>
      <w:r>
        <w:rPr>
          <w:rFonts w:hint="eastAsia" w:ascii="宋体" w:hAnsi="宋体" w:eastAsia="宋体" w:cs="宋体"/>
          <w:color w:val="auto"/>
          <w:sz w:val="22"/>
          <w:szCs w:val="22"/>
          <w:highlight w:val="none"/>
        </w:rPr>
        <w:t>.发包人</w:t>
      </w:r>
      <w:bookmarkEnd w:id="92"/>
    </w:p>
    <w:p w14:paraId="5FF1D69C">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eastAsia="宋体" w:cs="Times New Roman"/>
          <w:color w:val="auto"/>
          <w:sz w:val="22"/>
          <w:szCs w:val="22"/>
          <w:highlight w:val="none"/>
        </w:rPr>
      </w:pPr>
      <w:bookmarkStart w:id="103" w:name="_Toc373478350"/>
      <w:bookmarkStart w:id="104" w:name="_Toc971240048"/>
      <w:bookmarkStart w:id="105" w:name="_Toc78449791"/>
      <w:bookmarkStart w:id="106" w:name="_Toc373227703"/>
      <w:bookmarkStart w:id="107" w:name="_Toc407135205"/>
      <w:bookmarkStart w:id="108" w:name="_Toc389065269"/>
      <w:r>
        <w:rPr>
          <w:rFonts w:hint="eastAsia" w:ascii="宋体" w:hAnsi="宋体" w:eastAsia="宋体" w:cs="Times New Roman"/>
          <w:color w:val="auto"/>
          <w:sz w:val="22"/>
          <w:szCs w:val="22"/>
          <w:highlight w:val="none"/>
        </w:rPr>
        <w:t>2.2 发包人代表</w:t>
      </w:r>
      <w:bookmarkEnd w:id="103"/>
      <w:bookmarkEnd w:id="104"/>
      <w:bookmarkEnd w:id="105"/>
      <w:bookmarkEnd w:id="106"/>
      <w:bookmarkEnd w:id="107"/>
      <w:bookmarkEnd w:id="108"/>
    </w:p>
    <w:p w14:paraId="649EF7FE">
      <w:pPr>
        <w:spacing w:line="360" w:lineRule="auto"/>
        <w:ind w:firstLine="440" w:firstLineChars="200"/>
        <w:rPr>
          <w:highlight w:val="none"/>
        </w:rPr>
      </w:pPr>
      <w:r>
        <w:rPr>
          <w:rFonts w:hint="eastAsia" w:ascii="宋体" w:hAnsi="宋体" w:eastAsia="宋体" w:cs="Times New Roman"/>
          <w:color w:val="auto"/>
          <w:sz w:val="22"/>
          <w:szCs w:val="22"/>
          <w:highlight w:val="none"/>
        </w:rPr>
        <w:t>发包人代表：</w:t>
      </w:r>
    </w:p>
    <w:p w14:paraId="02709AF1">
      <w:pPr>
        <w:spacing w:line="360" w:lineRule="auto"/>
        <w:ind w:firstLine="440" w:firstLineChars="200"/>
        <w:rPr>
          <w:highlight w:val="none"/>
        </w:rPr>
      </w:pPr>
      <w:r>
        <w:rPr>
          <w:rFonts w:hint="eastAsia" w:ascii="宋体" w:hAnsi="宋体" w:eastAsia="宋体" w:cs="Times New Roman"/>
          <w:color w:val="auto"/>
          <w:sz w:val="22"/>
          <w:szCs w:val="22"/>
          <w:highlight w:val="none"/>
        </w:rPr>
        <w:t>姓    名：</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733A9A01">
      <w:pPr>
        <w:spacing w:line="360" w:lineRule="auto"/>
        <w:ind w:firstLine="440" w:firstLineChars="200"/>
        <w:rPr>
          <w:highlight w:val="none"/>
        </w:rPr>
      </w:pPr>
      <w:r>
        <w:rPr>
          <w:rFonts w:hint="eastAsia" w:ascii="宋体" w:hAnsi="宋体" w:eastAsia="宋体" w:cs="Times New Roman"/>
          <w:color w:val="auto"/>
          <w:sz w:val="22"/>
          <w:szCs w:val="22"/>
          <w:highlight w:val="none"/>
        </w:rPr>
        <w:t>身份证号：</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01153309">
      <w:pPr>
        <w:spacing w:line="360" w:lineRule="auto"/>
        <w:ind w:firstLine="440" w:firstLineChars="200"/>
        <w:rPr>
          <w:highlight w:val="none"/>
        </w:rPr>
      </w:pPr>
      <w:r>
        <w:rPr>
          <w:rFonts w:hint="eastAsia" w:ascii="宋体" w:hAnsi="宋体" w:eastAsia="宋体" w:cs="Times New Roman"/>
          <w:color w:val="auto"/>
          <w:sz w:val="22"/>
          <w:szCs w:val="22"/>
          <w:highlight w:val="none"/>
        </w:rPr>
        <w:t>职    务：</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6096EBD7">
      <w:pPr>
        <w:spacing w:line="360" w:lineRule="auto"/>
        <w:ind w:firstLine="440" w:firstLineChars="200"/>
        <w:rPr>
          <w:highlight w:val="none"/>
        </w:rPr>
      </w:pPr>
      <w:r>
        <w:rPr>
          <w:rFonts w:hint="eastAsia" w:ascii="宋体" w:hAnsi="宋体" w:eastAsia="宋体" w:cs="Times New Roman"/>
          <w:color w:val="auto"/>
          <w:sz w:val="22"/>
          <w:szCs w:val="22"/>
          <w:highlight w:val="none"/>
        </w:rPr>
        <w:t>联系电话：</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4E1E8204">
      <w:pPr>
        <w:spacing w:line="360" w:lineRule="auto"/>
        <w:ind w:firstLine="440" w:firstLineChars="200"/>
        <w:rPr>
          <w:highlight w:val="none"/>
        </w:rPr>
      </w:pPr>
      <w:r>
        <w:rPr>
          <w:rFonts w:hint="eastAsia" w:ascii="宋体" w:hAnsi="宋体" w:eastAsia="宋体" w:cs="Times New Roman"/>
          <w:color w:val="auto"/>
          <w:sz w:val="22"/>
          <w:szCs w:val="22"/>
          <w:highlight w:val="none"/>
        </w:rPr>
        <w:t>电子信箱</w:t>
      </w:r>
      <w:r>
        <w:rPr>
          <w:rFonts w:hAnsi="宋体"/>
          <w:highlight w:val="none"/>
        </w:rPr>
        <w:t>：</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42EF9DC9">
      <w:pPr>
        <w:spacing w:line="360" w:lineRule="auto"/>
        <w:ind w:firstLine="440" w:firstLineChars="200"/>
        <w:rPr>
          <w:highlight w:val="none"/>
        </w:rPr>
      </w:pPr>
      <w:r>
        <w:rPr>
          <w:rFonts w:hint="eastAsia" w:ascii="宋体" w:hAnsi="宋体" w:eastAsia="宋体" w:cs="Times New Roman"/>
          <w:color w:val="auto"/>
          <w:sz w:val="22"/>
          <w:szCs w:val="22"/>
          <w:highlight w:val="none"/>
        </w:rPr>
        <w:t>通信地址</w:t>
      </w:r>
      <w:r>
        <w:rPr>
          <w:rFonts w:hAnsi="宋体"/>
          <w:highlight w:val="none"/>
        </w:rPr>
        <w:t>：</w:t>
      </w:r>
      <w:r>
        <w:rPr>
          <w:rFonts w:hAnsi="宋体"/>
          <w:highlight w:val="none"/>
          <w:u w:val="single"/>
        </w:rPr>
        <w:t></w:t>
      </w:r>
      <w:r>
        <w:rPr>
          <w:highlight w:val="none"/>
          <w:u w:val="single"/>
        </w:rPr>
        <w:t xml:space="preserve">   </w:t>
      </w:r>
      <w:r>
        <w:rPr>
          <w:rFonts w:hAnsi="宋体"/>
          <w:highlight w:val="none"/>
          <w:u w:val="single"/>
        </w:rPr>
        <w:t></w:t>
      </w:r>
      <w:r>
        <w:rPr>
          <w:highlight w:val="none"/>
          <w:u w:val="single"/>
        </w:rPr>
        <w:t xml:space="preserve"> </w:t>
      </w:r>
      <w:r>
        <w:rPr>
          <w:rFonts w:hAnsi="宋体"/>
          <w:highlight w:val="none"/>
          <w:u w:val="single"/>
        </w:rPr>
        <w:t></w:t>
      </w:r>
      <w:r>
        <w:rPr>
          <w:rFonts w:hAnsi="宋体"/>
          <w:highlight w:val="none"/>
        </w:rPr>
        <w:t>。</w:t>
      </w:r>
    </w:p>
    <w:p w14:paraId="0B8A78F5">
      <w:pPr>
        <w:spacing w:line="360" w:lineRule="auto"/>
        <w:ind w:firstLine="440" w:firstLineChars="200"/>
        <w:rPr>
          <w:highlight w:val="none"/>
          <w:u w:val="single"/>
        </w:rPr>
      </w:pPr>
      <w:r>
        <w:rPr>
          <w:rFonts w:hint="eastAsia" w:ascii="宋体" w:hAnsi="宋体" w:eastAsia="宋体" w:cs="Times New Roman"/>
          <w:color w:val="auto"/>
          <w:sz w:val="22"/>
          <w:szCs w:val="22"/>
          <w:highlight w:val="none"/>
        </w:rPr>
        <w:t>发包人对发包人代表的授权范围如下</w:t>
      </w:r>
      <w:r>
        <w:rPr>
          <w:rFonts w:hint="eastAsia" w:hAnsi="宋体" w:cs="宋体"/>
          <w:highlight w:val="none"/>
        </w:rPr>
        <w:t>：</w:t>
      </w:r>
      <w:r>
        <w:rPr>
          <w:sz w:val="22"/>
          <w:szCs w:val="22"/>
          <w:highlight w:val="none"/>
          <w:u w:val="single"/>
        </w:rPr>
        <w:t xml:space="preserve"> </w:t>
      </w:r>
      <w:r>
        <w:rPr>
          <w:rStyle w:val="27"/>
          <w:rFonts w:hint="eastAsia" w:ascii="宋体" w:hAnsi="宋体" w:eastAsia="宋体" w:cs="宋体"/>
          <w:color w:val="auto"/>
          <w:sz w:val="22"/>
          <w:szCs w:val="22"/>
          <w:highlight w:val="none"/>
          <w:u w:val="single"/>
        </w:rPr>
        <w:t>代表发包人与监理工程师协调与本工程有关事宜，并行使合同约定的发包人权利，履行合同约定发包人的职责</w:t>
      </w:r>
      <w:r>
        <w:rPr>
          <w:highlight w:val="none"/>
          <w:u w:val="single"/>
        </w:rPr>
        <w:t xml:space="preserve"> </w:t>
      </w:r>
      <w:r>
        <w:rPr>
          <w:rFonts w:hint="eastAsia" w:hAnsi="宋体" w:cs="宋体"/>
          <w:highlight w:val="none"/>
        </w:rPr>
        <w:t>。</w:t>
      </w:r>
    </w:p>
    <w:p w14:paraId="6D58019C">
      <w:pPr>
        <w:rPr>
          <w:rFonts w:hint="eastAsia"/>
          <w:highlight w:val="none"/>
        </w:rPr>
      </w:pPr>
    </w:p>
    <w:bookmarkEnd w:id="93"/>
    <w:bookmarkEnd w:id="94"/>
    <w:bookmarkEnd w:id="95"/>
    <w:bookmarkEnd w:id="96"/>
    <w:bookmarkEnd w:id="97"/>
    <w:bookmarkEnd w:id="98"/>
    <w:bookmarkEnd w:id="99"/>
    <w:bookmarkEnd w:id="100"/>
    <w:bookmarkEnd w:id="101"/>
    <w:bookmarkEnd w:id="102"/>
    <w:p w14:paraId="3A3E16E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2.4施工现场、施工条件和基础资料的提供</w:t>
      </w:r>
    </w:p>
    <w:p w14:paraId="3DE101E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2.4.1提供施工现场</w:t>
      </w:r>
    </w:p>
    <w:p w14:paraId="3A5F7F9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关于发包人移交施工现场的期限要求：</w:t>
      </w:r>
      <w:r>
        <w:rPr>
          <w:rFonts w:hint="eastAsia" w:ascii="宋体" w:hAnsi="宋体"/>
          <w:color w:val="auto"/>
          <w:sz w:val="22"/>
          <w:szCs w:val="22"/>
          <w:highlight w:val="none"/>
          <w:u w:val="single"/>
        </w:rPr>
        <w:t>以发包人下发进场通知之日起7天内向承包人移交施工现场</w:t>
      </w:r>
      <w:r>
        <w:rPr>
          <w:rFonts w:hint="eastAsia" w:ascii="宋体" w:hAnsi="宋体"/>
          <w:color w:val="auto"/>
          <w:sz w:val="22"/>
          <w:szCs w:val="22"/>
          <w:highlight w:val="none"/>
        </w:rPr>
        <w:t>。</w:t>
      </w:r>
    </w:p>
    <w:p w14:paraId="2E15E4C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2.4.2提供施工条件</w:t>
      </w:r>
    </w:p>
    <w:p w14:paraId="114C453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关于发包人应负责提供施工所需要的条件，包括：</w:t>
      </w:r>
      <w:r>
        <w:rPr>
          <w:rFonts w:hint="eastAsia" w:ascii="宋体" w:hAnsi="宋体"/>
          <w:color w:val="auto"/>
          <w:sz w:val="22"/>
          <w:szCs w:val="22"/>
          <w:highlight w:val="none"/>
          <w:u w:val="single"/>
        </w:rPr>
        <w:t>发包人保证办理土地征用、拆迁补偿等工作，使施工场地具备施工条件，负责施工用水、施工用电接至指定地点，并满足施工要求，接入施工现场管道/线路由承包人自行解决，施工水电费由承包人承担并负责向供电局及水务公司缴纳</w:t>
      </w:r>
      <w:r>
        <w:rPr>
          <w:rFonts w:hint="eastAsia" w:ascii="宋体" w:hAnsi="宋体"/>
          <w:color w:val="auto"/>
          <w:sz w:val="22"/>
          <w:szCs w:val="22"/>
          <w:highlight w:val="none"/>
        </w:rPr>
        <w:t>。</w:t>
      </w:r>
    </w:p>
    <w:p w14:paraId="7F1F2CE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2.5资金来源证明及支付担保</w:t>
      </w:r>
    </w:p>
    <w:p w14:paraId="50E3805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发包人提供资金来源证明的期限要求：</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4E48396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发包人是否提供支付担保</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7D27C5E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发包人提供支付担保的形式：</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6B469DA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发包人提供的支付担保格式见合同附件9。</w:t>
      </w:r>
    </w:p>
    <w:p w14:paraId="57A22F2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3.承包人</w:t>
      </w:r>
    </w:p>
    <w:p w14:paraId="32F401F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3.1承包人的一般义务</w:t>
      </w:r>
    </w:p>
    <w:p w14:paraId="2369920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（9）承包人提交的竣工资料的内容：</w:t>
      </w:r>
      <w:r>
        <w:rPr>
          <w:rFonts w:hint="eastAsia" w:ascii="宋体" w:hAnsi="宋体"/>
          <w:color w:val="auto"/>
          <w:sz w:val="22"/>
          <w:szCs w:val="22"/>
          <w:highlight w:val="none"/>
          <w:u w:val="single"/>
        </w:rPr>
        <w:t>严格按照国家发布的《建设工程文件归档整理规范》及柳州当地相关政府部门要求编制的完整竣工图纸、资料及电子文档</w:t>
      </w:r>
      <w:r>
        <w:rPr>
          <w:rFonts w:hint="eastAsia" w:ascii="宋体" w:hAnsi="宋体"/>
          <w:color w:val="auto"/>
          <w:sz w:val="22"/>
          <w:szCs w:val="22"/>
          <w:highlight w:val="none"/>
        </w:rPr>
        <w:t>。</w:t>
      </w:r>
    </w:p>
    <w:p w14:paraId="51E7133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承包人需要提交的竣工资料套数：</w:t>
      </w:r>
      <w:r>
        <w:rPr>
          <w:rFonts w:hint="eastAsia" w:ascii="宋体" w:hAnsi="宋体"/>
          <w:color w:val="auto"/>
          <w:sz w:val="22"/>
          <w:szCs w:val="22"/>
          <w:highlight w:val="none"/>
          <w:u w:val="single"/>
        </w:rPr>
        <w:t>肆套</w:t>
      </w:r>
      <w:r>
        <w:rPr>
          <w:rFonts w:hint="eastAsia" w:ascii="宋体" w:hAnsi="宋体"/>
          <w:color w:val="auto"/>
          <w:sz w:val="22"/>
          <w:szCs w:val="22"/>
          <w:highlight w:val="none"/>
        </w:rPr>
        <w:t>。</w:t>
      </w:r>
    </w:p>
    <w:p w14:paraId="3EBC8F3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承包人提交的竣工资料的费用承担：</w:t>
      </w:r>
      <w:r>
        <w:rPr>
          <w:rFonts w:hint="eastAsia" w:ascii="宋体" w:hAnsi="宋体"/>
          <w:color w:val="auto"/>
          <w:sz w:val="22"/>
          <w:szCs w:val="22"/>
          <w:highlight w:val="none"/>
          <w:u w:val="single"/>
        </w:rPr>
        <w:t>费用由承包人承担</w:t>
      </w:r>
      <w:r>
        <w:rPr>
          <w:rFonts w:hint="eastAsia" w:ascii="宋体" w:hAnsi="宋体"/>
          <w:color w:val="auto"/>
          <w:sz w:val="22"/>
          <w:szCs w:val="22"/>
          <w:highlight w:val="none"/>
        </w:rPr>
        <w:t>。</w:t>
      </w:r>
    </w:p>
    <w:p w14:paraId="10951FF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承包人提交的竣工资料移交时间：</w:t>
      </w:r>
      <w:r>
        <w:rPr>
          <w:rFonts w:hint="eastAsia" w:ascii="宋体" w:hAnsi="宋体"/>
          <w:color w:val="auto"/>
          <w:sz w:val="22"/>
          <w:szCs w:val="22"/>
          <w:highlight w:val="none"/>
          <w:u w:val="single"/>
        </w:rPr>
        <w:t>工程竣工验收之日起30天内</w:t>
      </w:r>
      <w:r>
        <w:rPr>
          <w:rFonts w:hint="eastAsia" w:ascii="宋体" w:hAnsi="宋体"/>
          <w:color w:val="auto"/>
          <w:sz w:val="22"/>
          <w:szCs w:val="22"/>
          <w:highlight w:val="none"/>
        </w:rPr>
        <w:t>。</w:t>
      </w:r>
    </w:p>
    <w:p w14:paraId="2A8AAEA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承包人提交的竣工资料形式要求：</w:t>
      </w:r>
      <w:r>
        <w:rPr>
          <w:rFonts w:hint="eastAsia" w:ascii="宋体" w:hAnsi="宋体"/>
          <w:color w:val="auto"/>
          <w:sz w:val="22"/>
          <w:szCs w:val="22"/>
          <w:highlight w:val="none"/>
          <w:u w:val="single"/>
        </w:rPr>
        <w:t>文本及电子版</w:t>
      </w:r>
      <w:r>
        <w:rPr>
          <w:rFonts w:hint="eastAsia" w:ascii="宋体" w:hAnsi="宋体"/>
          <w:color w:val="auto"/>
          <w:sz w:val="22"/>
          <w:szCs w:val="22"/>
          <w:highlight w:val="none"/>
        </w:rPr>
        <w:t>。</w:t>
      </w:r>
    </w:p>
    <w:p w14:paraId="0B6AECF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（10）承包人应履行的其他义务：</w:t>
      </w:r>
    </w:p>
    <w:p w14:paraId="2DD10B3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承包人应在办理施工许可证的时按柳州市人力资源和社会保障局的规定将农民工工资保障金存入指定帐户。</w:t>
      </w:r>
    </w:p>
    <w:p w14:paraId="1C771D7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其他义务：</w:t>
      </w:r>
      <w:r>
        <w:rPr>
          <w:rFonts w:hint="eastAsia" w:ascii="宋体" w:hAnsi="宋体"/>
          <w:color w:val="auto"/>
          <w:sz w:val="22"/>
          <w:szCs w:val="22"/>
          <w:highlight w:val="none"/>
          <w:u w:val="single"/>
        </w:rPr>
        <w:t>*1、承担施工安全保卫工作及非夜间施工照明的责任和要求；2、向发包人提供的办公和生活房屋及设施的要求：承包人应免费向发包人提供办公室和休息房各一间，每间约13平方米；*3、需承包人办理的有关施工场地交通、环卫和施工噪音管理等手续；*4、施工场地周围地下管线和邻近建筑物、构筑物(含文物保护建筑)、古树名木的保护要求及费用承担；*5、施工场地清洁卫生的要求：由于施工造成的环境污染，其责任和费用均由承包人承担；*6、取土场及弃土场由承包人自行解决，并按相关程序办理签证，提供相关证明材料及票据，否则不予结算</w:t>
      </w:r>
      <w:r>
        <w:rPr>
          <w:rFonts w:hint="eastAsia" w:ascii="宋体" w:hAnsi="宋体"/>
          <w:color w:val="auto"/>
          <w:sz w:val="22"/>
          <w:szCs w:val="22"/>
          <w:highlight w:val="none"/>
        </w:rPr>
        <w:t>。</w:t>
      </w:r>
    </w:p>
    <w:p w14:paraId="4D98E84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3.2项目经理</w:t>
      </w:r>
    </w:p>
    <w:p w14:paraId="0E53E12E">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kern w:val="0"/>
          <w:sz w:val="22"/>
          <w:szCs w:val="22"/>
          <w:highlight w:val="none"/>
          <w:u w:val="none"/>
        </w:rPr>
        <w:t>3.2.1</w:t>
      </w:r>
      <w:r>
        <w:rPr>
          <w:rFonts w:hint="eastAsia" w:ascii="宋体" w:hAnsi="宋体" w:cs="宋体"/>
          <w:b/>
          <w:bCs/>
          <w:color w:val="auto"/>
          <w:sz w:val="22"/>
          <w:szCs w:val="22"/>
          <w:highlight w:val="none"/>
          <w:u w:val="none"/>
        </w:rPr>
        <w:t>项目经理：</w:t>
      </w:r>
    </w:p>
    <w:p w14:paraId="43928A1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姓    名：</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1D7EC54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身份证号：</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36818A1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建造师执业资格等级：</w:t>
      </w:r>
      <w:r>
        <w:rPr>
          <w:rFonts w:hint="eastAsia" w:ascii="宋体" w:hAnsi="宋体" w:eastAsia="宋体" w:cs="宋体"/>
          <w:b/>
          <w:bCs/>
          <w:color w:val="auto"/>
          <w:sz w:val="22"/>
          <w:szCs w:val="22"/>
          <w:highlight w:val="none"/>
          <w:u w:val="single"/>
          <w:lang w:eastAsia="zh-CN"/>
        </w:rPr>
        <w:t>　</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53EC1C45">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建造师注册证书号：</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0D8252C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建造师执业印章号：</w:t>
      </w:r>
      <w:r>
        <w:rPr>
          <w:rFonts w:hint="eastAsia" w:ascii="宋体" w:hAnsi="宋体" w:eastAsia="宋体" w:cs="宋体"/>
          <w:b/>
          <w:bCs/>
          <w:color w:val="auto"/>
          <w:sz w:val="22"/>
          <w:szCs w:val="22"/>
          <w:highlight w:val="none"/>
          <w:u w:val="single"/>
          <w:lang w:eastAsia="zh-CN"/>
        </w:rPr>
        <w:t>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3644F97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安全生产考核合格证书号：</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5B21072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联系电话：</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none"/>
        </w:rPr>
        <w:t>；</w:t>
      </w:r>
    </w:p>
    <w:p w14:paraId="56C14A21">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电子信箱：</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none"/>
        </w:rPr>
        <w:t>；</w:t>
      </w:r>
    </w:p>
    <w:p w14:paraId="00C802F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u w:val="none"/>
        </w:rPr>
      </w:pPr>
      <w:r>
        <w:rPr>
          <w:rFonts w:hint="eastAsia" w:ascii="宋体" w:hAnsi="宋体" w:cs="宋体"/>
          <w:b/>
          <w:bCs/>
          <w:color w:val="auto"/>
          <w:sz w:val="22"/>
          <w:szCs w:val="22"/>
          <w:highlight w:val="none"/>
          <w:u w:val="none"/>
        </w:rPr>
        <w:t>通信地址：</w:t>
      </w:r>
      <w:r>
        <w:rPr>
          <w:rFonts w:hint="eastAsia" w:ascii="宋体" w:hAnsi="宋体" w:eastAsia="宋体" w:cs="宋体"/>
          <w:b/>
          <w:bCs/>
          <w:color w:val="auto"/>
          <w:sz w:val="22"/>
          <w:szCs w:val="22"/>
          <w:highlight w:val="none"/>
          <w:u w:val="single"/>
          <w:lang w:eastAsia="zh-CN"/>
        </w:rPr>
        <w:t>　</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none"/>
        </w:rPr>
        <w:t>；</w:t>
      </w:r>
    </w:p>
    <w:p w14:paraId="33B24EBF">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承包人对项目经理的授权范围如下：</w:t>
      </w:r>
      <w:r>
        <w:rPr>
          <w:rFonts w:hint="eastAsia" w:ascii="宋体" w:hAnsi="宋体"/>
          <w:color w:val="auto"/>
          <w:sz w:val="22"/>
          <w:szCs w:val="22"/>
          <w:highlight w:val="none"/>
          <w:u w:val="single"/>
        </w:rPr>
        <w:t>（1）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行使合同约定的权利，履行合同约定的义务；（2）负责本工程的施工组织方案制定和施工组织设计；（3）负责本工程的劳动力组织和机械设备组织；（4）参与选择并使用具有相应资质的分包人；（5）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命；（10）负责办理本工程竣工结算</w:t>
      </w:r>
      <w:r>
        <w:rPr>
          <w:rFonts w:hint="eastAsia" w:ascii="宋体" w:hAnsi="宋体" w:cs="宋体"/>
          <w:color w:val="auto"/>
          <w:sz w:val="22"/>
          <w:szCs w:val="22"/>
          <w:highlight w:val="none"/>
        </w:rPr>
        <w:t>。</w:t>
      </w:r>
    </w:p>
    <w:p w14:paraId="52F98C4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关于项目经理每月在施工现场的时间要求：</w:t>
      </w:r>
      <w:r>
        <w:rPr>
          <w:rFonts w:hint="eastAsia" w:ascii="宋体" w:hAnsi="宋体"/>
          <w:color w:val="auto"/>
          <w:sz w:val="22"/>
          <w:szCs w:val="22"/>
          <w:highlight w:val="none"/>
          <w:u w:val="single"/>
        </w:rPr>
        <w:t>不少于当月施工时间的70%</w:t>
      </w:r>
      <w:r>
        <w:rPr>
          <w:rFonts w:hint="eastAsia" w:ascii="宋体" w:hAnsi="宋体"/>
          <w:color w:val="auto"/>
          <w:sz w:val="22"/>
          <w:szCs w:val="22"/>
          <w:highlight w:val="none"/>
        </w:rPr>
        <w:t>。</w:t>
      </w:r>
    </w:p>
    <w:p w14:paraId="7D3D466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承包人未提交劳动合同，以及没有为项目经理缴纳社会保险证明的违约责任：</w:t>
      </w:r>
      <w:r>
        <w:rPr>
          <w:rFonts w:hint="eastAsia" w:ascii="宋体" w:hAnsi="宋体"/>
          <w:color w:val="auto"/>
          <w:sz w:val="22"/>
          <w:szCs w:val="22"/>
          <w:highlight w:val="none"/>
          <w:u w:val="single"/>
        </w:rPr>
        <w:t>由承包人承担：处以3万元罚款，责令限期提交劳动合同并补缴社会保险</w:t>
      </w:r>
      <w:r>
        <w:rPr>
          <w:rFonts w:hint="eastAsia" w:ascii="宋体" w:hAnsi="宋体"/>
          <w:color w:val="auto"/>
          <w:sz w:val="22"/>
          <w:szCs w:val="22"/>
          <w:highlight w:val="none"/>
        </w:rPr>
        <w:t>。</w:t>
      </w:r>
    </w:p>
    <w:p w14:paraId="431B13A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项目经理未经批准，擅自离开施工现场的违约责任：</w:t>
      </w:r>
      <w:r>
        <w:rPr>
          <w:rFonts w:hint="eastAsia" w:ascii="宋体" w:hAnsi="宋体"/>
          <w:color w:val="auto"/>
          <w:sz w:val="22"/>
          <w:szCs w:val="22"/>
          <w:highlight w:val="none"/>
          <w:u w:val="single"/>
        </w:rPr>
        <w:t>项目经理每月在岗带班时间不得少于当月施工时间的70%。除非有正当理由和经发包人同意，项目经理每月在岗带班时间少于当月施工时间70%的，少在岗带班一天</w:t>
      </w:r>
      <w:r>
        <w:rPr>
          <w:rFonts w:hint="eastAsia" w:ascii="宋体" w:hAnsi="宋体"/>
          <w:color w:val="auto"/>
          <w:sz w:val="22"/>
          <w:szCs w:val="22"/>
          <w:highlight w:val="none"/>
        </w:rPr>
        <w:t>。</w:t>
      </w:r>
    </w:p>
    <w:p w14:paraId="205311F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3.2.3承包人擅自更换项目经理的违约责任：</w:t>
      </w:r>
      <w:r>
        <w:rPr>
          <w:rFonts w:hint="eastAsia" w:ascii="宋体" w:hAnsi="宋体"/>
          <w:color w:val="auto"/>
          <w:sz w:val="22"/>
          <w:szCs w:val="22"/>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不得擅自更换项目经理</w:t>
      </w:r>
      <w:r>
        <w:rPr>
          <w:rFonts w:hint="eastAsia" w:ascii="宋体" w:hAnsi="宋体"/>
          <w:color w:val="auto"/>
          <w:sz w:val="22"/>
          <w:szCs w:val="22"/>
          <w:highlight w:val="none"/>
        </w:rPr>
        <w:t>。</w:t>
      </w:r>
    </w:p>
    <w:p w14:paraId="7AD079A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3.2.4承包人无正当理由拒绝更换项目经理的违约责任：</w:t>
      </w:r>
      <w:r>
        <w:rPr>
          <w:rFonts w:hint="eastAsia" w:ascii="宋体" w:hAnsi="宋体"/>
          <w:color w:val="auto"/>
          <w:sz w:val="22"/>
          <w:szCs w:val="22"/>
          <w:highlight w:val="none"/>
          <w:u w:val="single"/>
        </w:rPr>
        <w:t>因承包人项目经理不称职，发包人要求调换而未及时调换的，承包人应及时调换</w:t>
      </w:r>
      <w:r>
        <w:rPr>
          <w:rFonts w:hint="eastAsia" w:ascii="宋体" w:hAnsi="宋体"/>
          <w:color w:val="auto"/>
          <w:sz w:val="22"/>
          <w:szCs w:val="22"/>
          <w:highlight w:val="none"/>
        </w:rPr>
        <w:t>。</w:t>
      </w:r>
    </w:p>
    <w:p w14:paraId="785F1ED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3.2.6承包人更换项目理理征得发包人书面同意后7天内，应将变更情况报当地建设主管部门备案，继任项目经理诚信卡予以锁定。</w:t>
      </w:r>
    </w:p>
    <w:p w14:paraId="775E550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3.3承包人人员</w:t>
      </w:r>
    </w:p>
    <w:p w14:paraId="6F22A03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3.3.1承包人提交项目管理机构及施工现场管理人员安排报告的期限：</w:t>
      </w:r>
      <w:r>
        <w:rPr>
          <w:rFonts w:hint="eastAsia" w:ascii="宋体" w:hAnsi="宋体"/>
          <w:color w:val="auto"/>
          <w:sz w:val="22"/>
          <w:szCs w:val="22"/>
          <w:highlight w:val="none"/>
          <w:u w:val="single"/>
        </w:rPr>
        <w:t>开工前2天</w:t>
      </w:r>
      <w:r>
        <w:rPr>
          <w:rFonts w:hint="eastAsia" w:ascii="宋体" w:hAnsi="宋体"/>
          <w:color w:val="auto"/>
          <w:sz w:val="22"/>
          <w:szCs w:val="22"/>
          <w:highlight w:val="none"/>
        </w:rPr>
        <w:t>。</w:t>
      </w:r>
    </w:p>
    <w:p w14:paraId="12EE175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3.3.3承包人无正当理由拒绝撤换主要施工管理人员的违约责任：</w:t>
      </w:r>
      <w:r>
        <w:rPr>
          <w:rFonts w:hint="eastAsia" w:ascii="宋体" w:hAnsi="宋体"/>
          <w:color w:val="auto"/>
          <w:sz w:val="22"/>
          <w:szCs w:val="22"/>
          <w:highlight w:val="none"/>
          <w:u w:val="single"/>
        </w:rPr>
        <w:t>因承包人主要施工管理人员不称职，发包人要求调换的承包人应予以及时调换</w:t>
      </w:r>
      <w:r>
        <w:rPr>
          <w:rFonts w:hint="eastAsia" w:ascii="宋体" w:hAnsi="宋体"/>
          <w:color w:val="auto"/>
          <w:sz w:val="22"/>
          <w:szCs w:val="22"/>
          <w:highlight w:val="none"/>
        </w:rPr>
        <w:t>。</w:t>
      </w:r>
    </w:p>
    <w:p w14:paraId="327AF18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3.3.4承包人主要施工管理人员离开施工现场的批准要求：</w:t>
      </w:r>
      <w:r>
        <w:rPr>
          <w:rFonts w:hint="eastAsia" w:ascii="宋体" w:hAnsi="宋体"/>
          <w:color w:val="auto"/>
          <w:sz w:val="22"/>
          <w:szCs w:val="22"/>
          <w:highlight w:val="none"/>
          <w:u w:val="single"/>
        </w:rPr>
        <w:t>由总监理工程师批准，发包人认可后方可离开</w:t>
      </w:r>
      <w:r>
        <w:rPr>
          <w:rFonts w:hint="eastAsia" w:ascii="宋体" w:hAnsi="宋体"/>
          <w:color w:val="auto"/>
          <w:sz w:val="22"/>
          <w:szCs w:val="22"/>
          <w:highlight w:val="none"/>
        </w:rPr>
        <w:t>。</w:t>
      </w:r>
    </w:p>
    <w:p w14:paraId="16D6F19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3.3.5承包人擅自更换主要施工管理人员的违约责任：</w:t>
      </w:r>
      <w:r>
        <w:rPr>
          <w:rFonts w:hint="eastAsia" w:ascii="宋体" w:hAnsi="宋体"/>
          <w:color w:val="auto"/>
          <w:sz w:val="22"/>
          <w:szCs w:val="22"/>
          <w:highlight w:val="none"/>
          <w:u w:val="single"/>
        </w:rPr>
        <w:t>项目技术负责人、专职安全员及其承诺的其它在场管理人员未经发包人书面同意不准擅自更换</w:t>
      </w:r>
      <w:r>
        <w:rPr>
          <w:rFonts w:hint="eastAsia" w:ascii="宋体" w:hAnsi="宋体"/>
          <w:color w:val="auto"/>
          <w:sz w:val="22"/>
          <w:szCs w:val="22"/>
          <w:highlight w:val="none"/>
        </w:rPr>
        <w:t>。</w:t>
      </w:r>
    </w:p>
    <w:p w14:paraId="4FE4B63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承包人主要施工管理人员擅自离开施工现场的违约责任：</w:t>
      </w:r>
      <w:r>
        <w:rPr>
          <w:rFonts w:hint="eastAsia" w:ascii="宋体" w:hAnsi="宋体"/>
          <w:color w:val="auto"/>
          <w:sz w:val="22"/>
          <w:szCs w:val="22"/>
          <w:highlight w:val="none"/>
          <w:u w:val="single"/>
        </w:rPr>
        <w:t>未经发包人同意，项目技术负责人擅自离岗</w:t>
      </w:r>
      <w:r>
        <w:rPr>
          <w:rFonts w:hint="eastAsia" w:ascii="宋体" w:hAnsi="宋体"/>
          <w:color w:val="auto"/>
          <w:sz w:val="22"/>
          <w:szCs w:val="22"/>
          <w:highlight w:val="none"/>
        </w:rPr>
        <w:t>。</w:t>
      </w:r>
    </w:p>
    <w:p w14:paraId="1372A42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3.5分包</w:t>
      </w:r>
    </w:p>
    <w:p w14:paraId="5D62244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3.5.1分包的一般约定</w:t>
      </w:r>
    </w:p>
    <w:p w14:paraId="1FF8F41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禁止分包的工程包括：</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52D70D3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主体结构、关键性工作的范围包括：</w:t>
      </w:r>
      <w:r>
        <w:rPr>
          <w:rFonts w:hint="eastAsia" w:ascii="宋体" w:hAnsi="宋体"/>
          <w:color w:val="auto"/>
          <w:sz w:val="22"/>
          <w:szCs w:val="22"/>
          <w:highlight w:val="none"/>
          <w:u w:val="single"/>
        </w:rPr>
        <w:t>清单所列范围</w:t>
      </w:r>
      <w:r>
        <w:rPr>
          <w:rFonts w:hint="eastAsia" w:ascii="宋体" w:hAnsi="宋体"/>
          <w:color w:val="auto"/>
          <w:sz w:val="22"/>
          <w:szCs w:val="22"/>
          <w:highlight w:val="none"/>
        </w:rPr>
        <w:t>。</w:t>
      </w:r>
    </w:p>
    <w:p w14:paraId="0C899FF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3.5.2分包的确定</w:t>
      </w:r>
    </w:p>
    <w:p w14:paraId="6AD828C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允许分包的专业工程包括：</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06A6BC7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其他关于分包的约定：</w:t>
      </w:r>
    </w:p>
    <w:p w14:paraId="071FCB3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7F5847B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（2）在相关分包合同签订并报送有关建设行政主管部门备案后7天内，承包人应当将一份副本提交给监理人，承包人应保障分包工作不得再次分包。</w:t>
      </w:r>
    </w:p>
    <w:p w14:paraId="7D394E3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（3）未经发包人和监理人审批同意的分包工程和分包人，发包人有权拒绝验收分包工程和支付相应款项，由此引起的承包人费用增加和(或)延误的工期由承包人承担。</w:t>
      </w:r>
    </w:p>
    <w:p w14:paraId="3962F60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（4）承包人有以下情况之一者，发包人有权解除合同，并视情况扣除其履约保证金：</w:t>
      </w:r>
    </w:p>
    <w:p w14:paraId="459F0038">
      <w:pPr>
        <w:pageBreakBefore w:val="0"/>
        <w:widowControl w:val="0"/>
        <w:shd w:val="clear" w:color="auto" w:fill="auto"/>
        <w:kinsoku/>
        <w:wordWrap/>
        <w:overflowPunct/>
        <w:topLinePunct w:val="0"/>
        <w:bidi w:val="0"/>
        <w:snapToGrid w:val="0"/>
        <w:spacing w:line="360" w:lineRule="auto"/>
        <w:ind w:firstLine="880" w:firstLineChars="400"/>
        <w:rPr>
          <w:rFonts w:ascii="宋体" w:hAnsi="宋体"/>
          <w:color w:val="auto"/>
          <w:sz w:val="22"/>
          <w:szCs w:val="22"/>
          <w:highlight w:val="none"/>
        </w:rPr>
      </w:pPr>
      <w:r>
        <w:rPr>
          <w:rFonts w:hint="eastAsia" w:ascii="宋体" w:hAnsi="宋体"/>
          <w:color w:val="auto"/>
          <w:sz w:val="22"/>
          <w:szCs w:val="22"/>
          <w:highlight w:val="none"/>
        </w:rPr>
        <w:t>①个人承包工程，包括本单位及外单位人员承包，发包人不承认其个人拥有任何资质等级及营业许可资格。没收全部履约保证金。</w:t>
      </w:r>
    </w:p>
    <w:p w14:paraId="2B704F7B">
      <w:pPr>
        <w:pageBreakBefore w:val="0"/>
        <w:widowControl w:val="0"/>
        <w:shd w:val="clear" w:color="auto" w:fill="auto"/>
        <w:kinsoku/>
        <w:wordWrap/>
        <w:overflowPunct/>
        <w:topLinePunct w:val="0"/>
        <w:bidi w:val="0"/>
        <w:snapToGrid w:val="0"/>
        <w:spacing w:line="360" w:lineRule="auto"/>
        <w:ind w:firstLine="880" w:firstLineChars="400"/>
        <w:rPr>
          <w:rFonts w:ascii="宋体" w:hAnsi="宋体"/>
          <w:color w:val="auto"/>
          <w:sz w:val="22"/>
          <w:szCs w:val="22"/>
          <w:highlight w:val="none"/>
        </w:rPr>
      </w:pPr>
      <w:r>
        <w:rPr>
          <w:rFonts w:hint="eastAsia" w:ascii="宋体" w:hAnsi="宋体"/>
          <w:color w:val="auto"/>
          <w:sz w:val="22"/>
          <w:szCs w:val="22"/>
          <w:highlight w:val="none"/>
        </w:rPr>
        <w:t>②几个人联合承包工程，就地组织暗分包队伍，不具备完成本工程的技术、机械能力，被发包人判定为没有能力履行的承包人。没收全部履约保证金。</w:t>
      </w:r>
    </w:p>
    <w:p w14:paraId="51E6F9A3">
      <w:pPr>
        <w:pageBreakBefore w:val="0"/>
        <w:widowControl w:val="0"/>
        <w:shd w:val="clear" w:color="auto" w:fill="auto"/>
        <w:kinsoku/>
        <w:wordWrap/>
        <w:overflowPunct/>
        <w:topLinePunct w:val="0"/>
        <w:bidi w:val="0"/>
        <w:snapToGrid w:val="0"/>
        <w:spacing w:line="360" w:lineRule="auto"/>
        <w:ind w:firstLine="880" w:firstLineChars="400"/>
        <w:rPr>
          <w:rFonts w:ascii="宋体" w:hAnsi="宋体"/>
          <w:color w:val="auto"/>
          <w:sz w:val="22"/>
          <w:szCs w:val="22"/>
          <w:highlight w:val="none"/>
        </w:rPr>
      </w:pPr>
      <w:r>
        <w:rPr>
          <w:rFonts w:hint="eastAsia" w:ascii="宋体" w:hAnsi="宋体"/>
          <w:color w:val="auto"/>
          <w:sz w:val="22"/>
          <w:szCs w:val="22"/>
          <w:highlight w:val="none"/>
        </w:rPr>
        <w:t>③就地转包全部的工程，以谋取高额转让费、管理费的承包人。没收全部履约保证金。</w:t>
      </w:r>
    </w:p>
    <w:p w14:paraId="6D1AB311">
      <w:pPr>
        <w:pageBreakBefore w:val="0"/>
        <w:widowControl w:val="0"/>
        <w:shd w:val="clear" w:color="auto" w:fill="auto"/>
        <w:kinsoku/>
        <w:wordWrap/>
        <w:overflowPunct/>
        <w:topLinePunct w:val="0"/>
        <w:bidi w:val="0"/>
        <w:snapToGrid w:val="0"/>
        <w:spacing w:line="360" w:lineRule="auto"/>
        <w:ind w:firstLine="880" w:firstLineChars="400"/>
        <w:rPr>
          <w:rFonts w:ascii="宋体" w:hAnsi="宋体"/>
          <w:color w:val="auto"/>
          <w:sz w:val="22"/>
          <w:szCs w:val="22"/>
          <w:highlight w:val="none"/>
        </w:rPr>
      </w:pPr>
      <w:r>
        <w:rPr>
          <w:rFonts w:hint="eastAsia" w:ascii="宋体" w:hAnsi="宋体"/>
          <w:color w:val="auto"/>
          <w:sz w:val="22"/>
          <w:szCs w:val="22"/>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39C925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3.5.4分包合同价款</w:t>
      </w:r>
    </w:p>
    <w:p w14:paraId="58A95F0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关于分包合同价款支付的约定：</w:t>
      </w:r>
      <w:r>
        <w:rPr>
          <w:rFonts w:hint="eastAsia" w:ascii="宋体" w:hAnsi="宋体"/>
          <w:color w:val="auto"/>
          <w:sz w:val="22"/>
          <w:szCs w:val="22"/>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olor w:val="auto"/>
          <w:sz w:val="22"/>
          <w:szCs w:val="22"/>
          <w:highlight w:val="none"/>
        </w:rPr>
        <w:t>。</w:t>
      </w:r>
    </w:p>
    <w:p w14:paraId="17BF75A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3.6工程照管与成品、半成品保护</w:t>
      </w:r>
    </w:p>
    <w:p w14:paraId="3FAAB7C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承包人负责照管工程及工程相关的材料、工程设备的起始时间：</w:t>
      </w:r>
      <w:r>
        <w:rPr>
          <w:rFonts w:hint="eastAsia" w:ascii="宋体" w:hAnsi="宋体"/>
          <w:color w:val="auto"/>
          <w:sz w:val="22"/>
          <w:szCs w:val="22"/>
          <w:highlight w:val="none"/>
          <w:u w:val="single"/>
        </w:rPr>
        <w:t>设备、人员进场至验收交付使用前由承包人负责保修，费用由承包人承担</w:t>
      </w:r>
      <w:r>
        <w:rPr>
          <w:rFonts w:hint="eastAsia" w:ascii="宋体" w:hAnsi="宋体"/>
          <w:color w:val="auto"/>
          <w:sz w:val="22"/>
          <w:szCs w:val="22"/>
          <w:highlight w:val="none"/>
        </w:rPr>
        <w:t>。</w:t>
      </w:r>
    </w:p>
    <w:p w14:paraId="437A539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3.7履约担保</w:t>
      </w:r>
    </w:p>
    <w:p w14:paraId="12B750D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承包人是否提供履约担保：</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是</w:t>
      </w:r>
      <w:r>
        <w:rPr>
          <w:rFonts w:hint="eastAsia" w:ascii="宋体" w:hAnsi="宋体" w:cs="宋体"/>
          <w:color w:val="000000" w:themeColor="text1"/>
          <w:sz w:val="22"/>
          <w:szCs w:val="22"/>
          <w:highlight w:val="none"/>
          <w14:textFill>
            <w14:solidFill>
              <w14:schemeClr w14:val="tx1"/>
            </w14:solidFill>
          </w14:textFill>
        </w:rPr>
        <w:t>。</w:t>
      </w:r>
    </w:p>
    <w:p w14:paraId="1C34DE1D">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承包人提供履约担保的形式、金额及期限的：形式为：</w:t>
      </w:r>
      <w:r>
        <w:rPr>
          <w:rFonts w:hint="eastAsia" w:ascii="宋体" w:hAnsi="宋体" w:cs="宋体"/>
          <w:color w:val="000000" w:themeColor="text1"/>
          <w:sz w:val="22"/>
          <w:szCs w:val="22"/>
          <w:highlight w:val="none"/>
          <w:u w:val="single"/>
          <w14:textFill>
            <w14:solidFill>
              <w14:schemeClr w14:val="tx1"/>
            </w14:solidFill>
          </w14:textFill>
        </w:rPr>
        <w:t>可以采用现金、银行保函、</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银行转账、</w:t>
      </w:r>
      <w:r>
        <w:rPr>
          <w:rFonts w:hint="eastAsia" w:ascii="宋体" w:hAnsi="宋体" w:cs="宋体"/>
          <w:color w:val="000000" w:themeColor="text1"/>
          <w:sz w:val="22"/>
          <w:szCs w:val="22"/>
          <w:highlight w:val="none"/>
          <w:u w:val="single"/>
          <w14:textFill>
            <w14:solidFill>
              <w14:schemeClr w14:val="tx1"/>
            </w14:solidFill>
          </w14:textFill>
        </w:rPr>
        <w:t>工程担保、电子保函或保证保险等形式</w:t>
      </w:r>
      <w:r>
        <w:rPr>
          <w:rFonts w:hint="eastAsia" w:ascii="宋体" w:hAnsi="宋体" w:cs="宋体"/>
          <w:color w:val="000000" w:themeColor="text1"/>
          <w:sz w:val="22"/>
          <w:szCs w:val="22"/>
          <w:highlight w:val="none"/>
          <w14:textFill>
            <w14:solidFill>
              <w14:schemeClr w14:val="tx1"/>
            </w14:solidFill>
          </w14:textFill>
        </w:rPr>
        <w:t>；金额为</w:t>
      </w:r>
      <w:r>
        <w:rPr>
          <w:rFonts w:hint="eastAsia" w:ascii="宋体" w:hAnsi="宋体" w:cs="宋体"/>
          <w:color w:val="000000" w:themeColor="text1"/>
          <w:sz w:val="22"/>
          <w:szCs w:val="22"/>
          <w:highlight w:val="none"/>
          <w:u w:val="single"/>
          <w14:textFill>
            <w14:solidFill>
              <w14:schemeClr w14:val="tx1"/>
            </w14:solidFill>
          </w14:textFill>
        </w:rPr>
        <w:t>合同价款的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2</w:t>
      </w:r>
      <w:r>
        <w:rPr>
          <w:rFonts w:hint="eastAsia" w:ascii="宋体" w:hAnsi="宋体" w:cs="宋体"/>
          <w:color w:val="000000" w:themeColor="text1"/>
          <w:sz w:val="22"/>
          <w:szCs w:val="22"/>
          <w:highlight w:val="none"/>
          <w:u w:val="singl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（不高于合同价格的</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14:textFill>
            <w14:solidFill>
              <w14:schemeClr w14:val="tx1"/>
            </w14:solidFill>
          </w14:textFill>
        </w:rPr>
        <w:t>%）；期限为</w:t>
      </w:r>
      <w:r>
        <w:rPr>
          <w:rFonts w:hint="eastAsia" w:ascii="宋体" w:hAnsi="宋体"/>
          <w:color w:val="000000" w:themeColor="text1"/>
          <w:sz w:val="22"/>
          <w:szCs w:val="22"/>
          <w:highlight w:val="none"/>
          <w:u w:val="single"/>
          <w:lang w:val="en-US"/>
          <w14:textFill>
            <w14:solidFill>
              <w14:schemeClr w14:val="tx1"/>
            </w14:solidFill>
          </w14:textFill>
        </w:rPr>
        <w:t>在收到中标通知书发出后</w:t>
      </w:r>
      <w:r>
        <w:rPr>
          <w:rFonts w:hint="eastAsia" w:ascii="宋体" w:hAnsi="宋体"/>
          <w:color w:val="000000" w:themeColor="text1"/>
          <w:sz w:val="22"/>
          <w:szCs w:val="22"/>
          <w:highlight w:val="none"/>
          <w:u w:val="single"/>
          <w14:textFill>
            <w14:solidFill>
              <w14:schemeClr w14:val="tx1"/>
            </w14:solidFill>
          </w14:textFill>
        </w:rPr>
        <w:t>15日内向发包人提交暂定合同总价的</w:t>
      </w:r>
      <w:r>
        <w:rPr>
          <w:rFonts w:hint="eastAsia" w:ascii="宋体" w:hAnsi="宋体" w:eastAsia="宋体"/>
          <w:color w:val="000000" w:themeColor="text1"/>
          <w:sz w:val="22"/>
          <w:szCs w:val="22"/>
          <w:highlight w:val="none"/>
          <w:u w:val="single"/>
          <w:lang w:val="en-US" w:eastAsia="zh-CN"/>
          <w14:textFill>
            <w14:solidFill>
              <w14:schemeClr w14:val="tx1"/>
            </w14:solidFill>
          </w14:textFill>
        </w:rPr>
        <w:t>2</w:t>
      </w:r>
      <w:r>
        <w:rPr>
          <w:rFonts w:hint="eastAsia" w:ascii="宋体" w:hAnsi="宋体"/>
          <w:color w:val="000000" w:themeColor="text1"/>
          <w:sz w:val="22"/>
          <w:szCs w:val="22"/>
          <w:highlight w:val="none"/>
          <w:u w:val="single"/>
          <w14:textFill>
            <w14:solidFill>
              <w14:schemeClr w14:val="tx1"/>
            </w14:solidFill>
          </w14:textFill>
        </w:rPr>
        <w:t>%作为履约保证金。①以银行保函方式的，需提供柳州市或承包人注册所在地中、农、工、建、柳州银行之一的保函，有效期自发包人与承包人签订的合同生效之日起至签发或应签发工程接收证书之日止；②以现金或转账方式提供的，工程竣工验收合格并对验收发现的问题完成整改后7日内退还</w:t>
      </w:r>
      <w:r>
        <w:rPr>
          <w:rFonts w:hint="eastAsia" w:ascii="宋体" w:hAnsi="宋体" w:eastAsia="宋体"/>
          <w:color w:val="000000" w:themeColor="text1"/>
          <w:sz w:val="22"/>
          <w:szCs w:val="22"/>
          <w:highlight w:val="none"/>
          <w:u w:val="single"/>
          <w:lang w:val="en-US" w:eastAsia="zh-CN"/>
          <w14:textFill>
            <w14:solidFill>
              <w14:schemeClr w14:val="tx1"/>
            </w14:solidFill>
          </w14:textFill>
        </w:rPr>
        <w:t>100</w:t>
      </w:r>
      <w:r>
        <w:rPr>
          <w:rFonts w:hint="eastAsia" w:ascii="宋体" w:hAnsi="宋体"/>
          <w:color w:val="000000" w:themeColor="text1"/>
          <w:sz w:val="22"/>
          <w:szCs w:val="22"/>
          <w:highlight w:val="none"/>
          <w:u w:val="single"/>
          <w14:textFill>
            <w14:solidFill>
              <w14:schemeClr w14:val="tx1"/>
            </w14:solidFill>
          </w14:textFill>
        </w:rPr>
        <w:t>%的履约保证金（无息）。</w:t>
      </w:r>
    </w:p>
    <w:p w14:paraId="2D235F5A">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出现工期延长，超出履约保证金保函或履约保证保险期限的，承包人应在履约保证金保函或履约保证保险期限界前办理履约保证金保函或履约保证保险延期，保证工程竣工验收合格前履约保证金保函或履约保证保险持续有效。</w:t>
      </w:r>
    </w:p>
    <w:p w14:paraId="5827F2AB">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lang w:val="en-US" w:eastAsia="zh-CN"/>
        </w:rPr>
        <w:t xml:space="preserve">待工程竣工验收合格并对验收发现的问题完成整改后的14个日历天内，发包人将履约保证金退还给承包人（无息）。 </w:t>
      </w:r>
    </w:p>
    <w:p w14:paraId="386B8DC9">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bookmarkStart w:id="109" w:name="_Toc351203636"/>
      <w:r>
        <w:rPr>
          <w:rFonts w:hint="eastAsia" w:ascii="宋体" w:hAnsi="宋体" w:eastAsia="宋体" w:cs="宋体"/>
          <w:color w:val="auto"/>
          <w:sz w:val="22"/>
          <w:szCs w:val="22"/>
          <w:highlight w:val="none"/>
        </w:rPr>
        <w:t>4</w:t>
      </w:r>
      <w:bookmarkStart w:id="110" w:name="_Toc296347161"/>
      <w:bookmarkStart w:id="111" w:name="_Toc296503162"/>
      <w:bookmarkStart w:id="112" w:name="_Toc296891202"/>
      <w:bookmarkStart w:id="113" w:name="_Toc267251413"/>
      <w:bookmarkStart w:id="114" w:name="_Toc297120462"/>
      <w:bookmarkStart w:id="115" w:name="_Toc296346663"/>
      <w:bookmarkStart w:id="116" w:name="_Toc292559871"/>
      <w:bookmarkStart w:id="117" w:name="_Toc296890990"/>
      <w:bookmarkStart w:id="118" w:name="_Toc292559366"/>
      <w:bookmarkStart w:id="119" w:name="_Toc296944501"/>
      <w:bookmarkStart w:id="120" w:name="_Toc297048348"/>
      <w:r>
        <w:rPr>
          <w:rFonts w:hint="eastAsia" w:ascii="宋体" w:hAnsi="宋体" w:eastAsia="宋体" w:cs="宋体"/>
          <w:color w:val="auto"/>
          <w:sz w:val="22"/>
          <w:szCs w:val="22"/>
          <w:highlight w:val="none"/>
        </w:rPr>
        <w:t>.监</w:t>
      </w:r>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color w:val="auto"/>
          <w:sz w:val="22"/>
          <w:szCs w:val="22"/>
          <w:highlight w:val="none"/>
        </w:rPr>
        <w:t>理人</w:t>
      </w:r>
      <w:bookmarkEnd w:id="109"/>
    </w:p>
    <w:p w14:paraId="020BB6D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4.4商定或确定</w:t>
      </w:r>
    </w:p>
    <w:p w14:paraId="1C7B537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bookmarkStart w:id="121" w:name="_Toc267251418"/>
      <w:r>
        <w:rPr>
          <w:rFonts w:hint="eastAsia" w:ascii="宋体" w:hAnsi="宋体" w:cs="宋体"/>
          <w:color w:val="auto"/>
          <w:sz w:val="22"/>
          <w:szCs w:val="22"/>
          <w:highlight w:val="none"/>
        </w:rPr>
        <w:t>在发包人和承包人不能通过协商达成一致意见时，发包人授权监理人对以下事项进行确定：</w:t>
      </w:r>
    </w:p>
    <w:p w14:paraId="6E8AA64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bookmarkStart w:id="122" w:name="_Toc351203637"/>
      <w:r>
        <w:rPr>
          <w:rFonts w:hint="eastAsia" w:ascii="宋体" w:hAnsi="宋体"/>
          <w:color w:val="auto"/>
          <w:sz w:val="22"/>
          <w:szCs w:val="22"/>
          <w:highlight w:val="none"/>
        </w:rPr>
        <w:t>（1）</w:t>
      </w:r>
      <w:r>
        <w:rPr>
          <w:rFonts w:hint="eastAsia" w:ascii="宋体" w:hAnsi="宋体"/>
          <w:color w:val="auto"/>
          <w:sz w:val="22"/>
          <w:szCs w:val="22"/>
          <w:highlight w:val="none"/>
          <w:u w:val="single"/>
        </w:rPr>
        <w:t>对隐蔽工程及中间部位的验收工作</w:t>
      </w:r>
      <w:r>
        <w:rPr>
          <w:rFonts w:hint="eastAsia" w:ascii="宋体" w:hAnsi="宋体"/>
          <w:color w:val="auto"/>
          <w:sz w:val="22"/>
          <w:szCs w:val="22"/>
          <w:highlight w:val="none"/>
        </w:rPr>
        <w:t>；</w:t>
      </w:r>
    </w:p>
    <w:p w14:paraId="0811128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现场经济技术签证审核及工程进度报量审核</w:t>
      </w:r>
      <w:r>
        <w:rPr>
          <w:rFonts w:hint="eastAsia" w:ascii="宋体" w:hAnsi="宋体"/>
          <w:color w:val="auto"/>
          <w:sz w:val="22"/>
          <w:szCs w:val="22"/>
          <w:highlight w:val="none"/>
        </w:rPr>
        <w:t>；</w:t>
      </w:r>
    </w:p>
    <w:p w14:paraId="5DB1262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hint="eastAsia" w:ascii="宋体" w:hAnsi="宋体"/>
          <w:color w:val="auto"/>
          <w:sz w:val="22"/>
          <w:szCs w:val="22"/>
          <w:highlight w:val="none"/>
          <w:u w:val="single"/>
        </w:rPr>
        <w:t>无信息价材料审核及现场临时用工的签证</w:t>
      </w:r>
      <w:r>
        <w:rPr>
          <w:rFonts w:hint="eastAsia" w:ascii="宋体" w:hAnsi="宋体"/>
          <w:color w:val="auto"/>
          <w:sz w:val="22"/>
          <w:szCs w:val="22"/>
          <w:highlight w:val="none"/>
        </w:rPr>
        <w:t>。</w:t>
      </w:r>
    </w:p>
    <w:p w14:paraId="267E8960">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bookmarkEnd w:id="121"/>
      <w:bookmarkStart w:id="123" w:name="_Toc296346664"/>
      <w:bookmarkStart w:id="124" w:name="_Toc296944502"/>
      <w:bookmarkStart w:id="125" w:name="_Toc296503163"/>
      <w:bookmarkStart w:id="126" w:name="_Toc296890991"/>
      <w:bookmarkStart w:id="127" w:name="_Toc296891203"/>
      <w:bookmarkStart w:id="128" w:name="_Toc292559367"/>
      <w:bookmarkStart w:id="129" w:name="_Toc296347162"/>
      <w:bookmarkStart w:id="130" w:name="_Toc297120463"/>
      <w:bookmarkStart w:id="131" w:name="_Toc297048349"/>
      <w:bookmarkStart w:id="132" w:name="_Toc292559872"/>
      <w:r>
        <w:rPr>
          <w:rFonts w:hint="eastAsia" w:ascii="宋体" w:hAnsi="宋体" w:eastAsia="宋体" w:cs="宋体"/>
          <w:color w:val="auto"/>
          <w:sz w:val="22"/>
          <w:szCs w:val="22"/>
          <w:highlight w:val="none"/>
        </w:rPr>
        <w:t>.工程质量</w:t>
      </w:r>
      <w:bookmarkEnd w:id="122"/>
    </w:p>
    <w:p w14:paraId="04FB079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5.1质量要求</w:t>
      </w:r>
    </w:p>
    <w:p w14:paraId="228E608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w:t>
      </w:r>
      <w:bookmarkStart w:id="133" w:name="_Toc303539106"/>
      <w:bookmarkStart w:id="134" w:name="_Toc312677997"/>
      <w:bookmarkStart w:id="135" w:name="_Toc304295527"/>
      <w:bookmarkStart w:id="136" w:name="_Toc297123496"/>
      <w:bookmarkStart w:id="137" w:name="_Toc297216155"/>
      <w:bookmarkStart w:id="138" w:name="_Toc318581164"/>
      <w:bookmarkStart w:id="139" w:name="_Toc300934949"/>
      <w:r>
        <w:rPr>
          <w:rFonts w:hint="eastAsia" w:ascii="宋体" w:hAnsi="宋体" w:cs="宋体"/>
          <w:color w:val="auto"/>
          <w:sz w:val="22"/>
          <w:szCs w:val="22"/>
          <w:highlight w:val="none"/>
        </w:rPr>
        <w:t>.1.1特殊质量标准和要求：</w:t>
      </w:r>
      <w:r>
        <w:rPr>
          <w:rFonts w:hint="eastAsia" w:ascii="宋体" w:hAnsi="宋体"/>
          <w:color w:val="auto"/>
          <w:sz w:val="22"/>
          <w:szCs w:val="22"/>
          <w:highlight w:val="none"/>
          <w:u w:val="single"/>
        </w:rPr>
        <w:t>工程质量符合国家或专业的质量检验评定合格标准。乙方应按现行的国家施工验收规范和质量评定合格标准施工</w:t>
      </w:r>
      <w:r>
        <w:rPr>
          <w:rFonts w:hint="eastAsia" w:ascii="宋体" w:hAnsi="宋体" w:cs="宋体"/>
          <w:color w:val="auto"/>
          <w:sz w:val="22"/>
          <w:szCs w:val="22"/>
          <w:highlight w:val="none"/>
        </w:rPr>
        <w:t>。</w:t>
      </w:r>
    </w:p>
    <w:p w14:paraId="62CCC2B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关于工程奖项的约定：</w:t>
      </w:r>
      <w:r>
        <w:rPr>
          <w:rFonts w:hint="eastAsia" w:ascii="宋体" w:hAnsi="宋体" w:cs="宋体"/>
          <w:color w:val="auto"/>
          <w:sz w:val="22"/>
          <w:szCs w:val="22"/>
          <w:highlight w:val="none"/>
          <w:u w:val="single"/>
        </w:rPr>
        <w:t>另行约定</w:t>
      </w:r>
      <w:r>
        <w:rPr>
          <w:rFonts w:hint="eastAsia" w:ascii="宋体" w:hAnsi="宋体" w:cs="宋体"/>
          <w:color w:val="auto"/>
          <w:sz w:val="22"/>
          <w:szCs w:val="22"/>
          <w:highlight w:val="none"/>
        </w:rPr>
        <w:t>。</w:t>
      </w:r>
    </w:p>
    <w:p w14:paraId="02DEBA2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5.3隐蔽工程检查</w:t>
      </w:r>
    </w:p>
    <w:p w14:paraId="518DFECD">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5.3.2承包人提前通知监理人隐蔽工程检查的期限的约定：</w:t>
      </w:r>
      <w:r>
        <w:rPr>
          <w:rFonts w:hint="eastAsia" w:ascii="宋体" w:hAnsi="宋体"/>
          <w:color w:val="auto"/>
          <w:sz w:val="22"/>
          <w:szCs w:val="22"/>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顺序重新验收</w:t>
      </w:r>
      <w:r>
        <w:rPr>
          <w:rFonts w:hint="eastAsia" w:ascii="宋体" w:hAnsi="宋体"/>
          <w:color w:val="auto"/>
          <w:sz w:val="22"/>
          <w:szCs w:val="22"/>
          <w:highlight w:val="none"/>
        </w:rPr>
        <w:t>。</w:t>
      </w:r>
    </w:p>
    <w:p w14:paraId="56F7752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监理人不能按时进行检查时，应提前</w:t>
      </w:r>
      <w:r>
        <w:rPr>
          <w:rFonts w:hint="eastAsia" w:ascii="宋体" w:hAnsi="宋体" w:cs="宋体"/>
          <w:color w:val="auto"/>
          <w:sz w:val="22"/>
          <w:szCs w:val="22"/>
          <w:highlight w:val="none"/>
          <w:u w:val="single"/>
        </w:rPr>
        <w:t>48</w:t>
      </w:r>
      <w:r>
        <w:rPr>
          <w:rFonts w:hint="eastAsia" w:ascii="宋体" w:hAnsi="宋体" w:cs="宋体"/>
          <w:color w:val="auto"/>
          <w:sz w:val="22"/>
          <w:szCs w:val="22"/>
          <w:highlight w:val="none"/>
        </w:rPr>
        <w:t>小时提交书面延期要求。</w:t>
      </w:r>
    </w:p>
    <w:p w14:paraId="12E5B78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关于延期最长不得超过：</w:t>
      </w:r>
      <w:r>
        <w:rPr>
          <w:rFonts w:hint="eastAsia" w:ascii="宋体" w:hAnsi="宋体" w:cs="宋体"/>
          <w:color w:val="auto"/>
          <w:sz w:val="22"/>
          <w:szCs w:val="22"/>
          <w:highlight w:val="none"/>
          <w:u w:val="single"/>
        </w:rPr>
        <w:t>48</w:t>
      </w:r>
      <w:r>
        <w:rPr>
          <w:rFonts w:hint="eastAsia" w:ascii="宋体" w:hAnsi="宋体" w:cs="宋体"/>
          <w:color w:val="auto"/>
          <w:sz w:val="22"/>
          <w:szCs w:val="22"/>
          <w:highlight w:val="none"/>
        </w:rPr>
        <w:t>小时。</w:t>
      </w:r>
    </w:p>
    <w:p w14:paraId="7704AE14">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bookmarkStart w:id="140" w:name="_Toc351203638"/>
      <w:r>
        <w:rPr>
          <w:rFonts w:hint="eastAsia" w:ascii="宋体" w:hAnsi="宋体" w:eastAsia="宋体" w:cs="宋体"/>
          <w:color w:val="auto"/>
          <w:sz w:val="22"/>
          <w:szCs w:val="22"/>
          <w:highlight w:val="none"/>
        </w:rPr>
        <w:t>6.安全文明施工与环境保护</w:t>
      </w:r>
      <w:bookmarkEnd w:id="140"/>
    </w:p>
    <w:p w14:paraId="2694D7D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6.1安全文明施工</w:t>
      </w:r>
    </w:p>
    <w:p w14:paraId="40AEC40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6.1.1项目安全生产的达标目标及相应事项的约定：</w:t>
      </w:r>
      <w:r>
        <w:rPr>
          <w:rFonts w:hint="eastAsia" w:ascii="宋体" w:hAnsi="宋体"/>
          <w:color w:val="auto"/>
          <w:sz w:val="22"/>
          <w:szCs w:val="22"/>
          <w:highlight w:val="none"/>
          <w:u w:val="single"/>
        </w:rPr>
        <w:t>要求达到《建筑施工安全检查标准》（JGJ59-2011）标准和柳州市政府部门相关文件要求，力争获评“柳州市安全文明标准化工地”、“自治区安全文明标准化工地”</w:t>
      </w:r>
      <w:r>
        <w:rPr>
          <w:rFonts w:hint="eastAsia" w:ascii="宋体" w:hAnsi="宋体"/>
          <w:color w:val="auto"/>
          <w:sz w:val="22"/>
          <w:szCs w:val="22"/>
          <w:highlight w:val="none"/>
        </w:rPr>
        <w:t>。</w:t>
      </w:r>
    </w:p>
    <w:p w14:paraId="67791C40">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6.1.4关于治安保卫的特别约定：</w:t>
      </w:r>
      <w:r>
        <w:rPr>
          <w:rFonts w:hint="eastAsia" w:ascii="宋体" w:hAnsi="宋体"/>
          <w:color w:val="auto"/>
          <w:sz w:val="22"/>
          <w:szCs w:val="22"/>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olor w:val="auto"/>
          <w:sz w:val="22"/>
          <w:szCs w:val="22"/>
          <w:highlight w:val="none"/>
        </w:rPr>
        <w:t>。</w:t>
      </w:r>
    </w:p>
    <w:p w14:paraId="10A0B37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关于编制施工场地治安管理计划的约定：</w:t>
      </w:r>
      <w:r>
        <w:rPr>
          <w:rFonts w:hint="eastAsia" w:ascii="宋体" w:hAnsi="宋体"/>
          <w:color w:val="auto"/>
          <w:sz w:val="22"/>
          <w:szCs w:val="22"/>
          <w:highlight w:val="none"/>
          <w:u w:val="single"/>
        </w:rPr>
        <w:t>承包人应在工程开工前3天内编制施工场地治安管理计划，并制定应对突发治安事件的紧急预案。报发包人审批后，共同执行</w:t>
      </w:r>
      <w:r>
        <w:rPr>
          <w:rFonts w:hint="eastAsia" w:ascii="宋体" w:hAnsi="宋体"/>
          <w:color w:val="auto"/>
          <w:sz w:val="22"/>
          <w:szCs w:val="22"/>
          <w:highlight w:val="none"/>
        </w:rPr>
        <w:t>。</w:t>
      </w:r>
    </w:p>
    <w:bookmarkEnd w:id="133"/>
    <w:bookmarkEnd w:id="134"/>
    <w:bookmarkEnd w:id="135"/>
    <w:bookmarkEnd w:id="136"/>
    <w:bookmarkEnd w:id="137"/>
    <w:bookmarkEnd w:id="138"/>
    <w:bookmarkEnd w:id="139"/>
    <w:p w14:paraId="155386BB">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bookmarkStart w:id="141" w:name="_Toc351203639"/>
      <w:r>
        <w:rPr>
          <w:rFonts w:hint="eastAsia" w:ascii="宋体" w:hAnsi="宋体" w:eastAsia="宋体" w:cs="宋体"/>
          <w:color w:val="auto"/>
          <w:sz w:val="22"/>
          <w:szCs w:val="22"/>
          <w:highlight w:val="none"/>
        </w:rPr>
        <w:t>7.工期和进度</w:t>
      </w:r>
      <w:bookmarkEnd w:id="141"/>
    </w:p>
    <w:p w14:paraId="788FFF51">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7.1施工组织设计</w:t>
      </w:r>
    </w:p>
    <w:p w14:paraId="01CEDB5E">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7.1.1合</w:t>
      </w:r>
      <w:r>
        <w:rPr>
          <w:rFonts w:hint="eastAsia" w:ascii="宋体" w:hAnsi="宋体" w:cs="宋体"/>
          <w:color w:val="auto"/>
          <w:kern w:val="0"/>
          <w:sz w:val="22"/>
          <w:szCs w:val="22"/>
          <w:highlight w:val="none"/>
        </w:rPr>
        <w:t>同当事人约定的施工组织设计应包括的其他内容：</w:t>
      </w:r>
      <w:r>
        <w:rPr>
          <w:rFonts w:hint="eastAsia" w:ascii="宋体" w:hAnsi="宋体"/>
          <w:color w:val="auto"/>
          <w:sz w:val="22"/>
          <w:szCs w:val="22"/>
          <w:highlight w:val="none"/>
          <w:u w:val="single"/>
        </w:rPr>
        <w:t>另行约定</w:t>
      </w:r>
      <w:r>
        <w:rPr>
          <w:rFonts w:hint="eastAsia" w:ascii="宋体" w:hAnsi="宋体" w:cs="宋体"/>
          <w:color w:val="auto"/>
          <w:sz w:val="22"/>
          <w:szCs w:val="22"/>
          <w:highlight w:val="none"/>
        </w:rPr>
        <w:t>。</w:t>
      </w:r>
    </w:p>
    <w:p w14:paraId="032FA0F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bookmarkStart w:id="142" w:name="_Toc351203640"/>
      <w:r>
        <w:rPr>
          <w:rFonts w:hint="eastAsia" w:ascii="宋体" w:hAnsi="宋体"/>
          <w:color w:val="auto"/>
          <w:sz w:val="22"/>
          <w:szCs w:val="22"/>
          <w:highlight w:val="none"/>
        </w:rPr>
        <w:t>7.1.2施工组织设计的提交和修改</w:t>
      </w:r>
    </w:p>
    <w:p w14:paraId="453E6EA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承包人提交详细施工组织设计的期限的约定：</w:t>
      </w:r>
      <w:r>
        <w:rPr>
          <w:rFonts w:hint="eastAsia" w:ascii="宋体" w:hAnsi="宋体"/>
          <w:color w:val="auto"/>
          <w:sz w:val="22"/>
          <w:szCs w:val="22"/>
          <w:highlight w:val="none"/>
          <w:u w:val="single"/>
        </w:rPr>
        <w:t>开工前</w:t>
      </w:r>
      <w:r>
        <w:rPr>
          <w:rFonts w:hint="eastAsia" w:ascii="宋体" w:hAnsi="宋体"/>
          <w:color w:val="auto"/>
          <w:sz w:val="22"/>
          <w:szCs w:val="22"/>
          <w:highlight w:val="none"/>
        </w:rPr>
        <w:t>。</w:t>
      </w:r>
    </w:p>
    <w:p w14:paraId="399FFBE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发包人和监理人在收到详细的施工组织设计后确认或提出修改意见的期限：</w:t>
      </w:r>
      <w:r>
        <w:rPr>
          <w:rFonts w:hint="eastAsia" w:ascii="宋体" w:hAnsi="宋体"/>
          <w:color w:val="auto"/>
          <w:sz w:val="22"/>
          <w:szCs w:val="22"/>
          <w:highlight w:val="none"/>
          <w:u w:val="single"/>
        </w:rPr>
        <w:t>收到详细的施工组织设计之日起7天内</w:t>
      </w:r>
      <w:r>
        <w:rPr>
          <w:rFonts w:hint="eastAsia" w:ascii="宋体" w:hAnsi="宋体"/>
          <w:color w:val="auto"/>
          <w:sz w:val="22"/>
          <w:szCs w:val="22"/>
          <w:highlight w:val="none"/>
        </w:rPr>
        <w:t>。</w:t>
      </w:r>
    </w:p>
    <w:p w14:paraId="34E1D0C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7.2施工进度计划</w:t>
      </w:r>
    </w:p>
    <w:p w14:paraId="30B5420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7.2.2施工进度计划的修订</w:t>
      </w:r>
    </w:p>
    <w:p w14:paraId="4527545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发包人和监理人在收到修订的施工进度计划后确认或提出修改意见的期限：</w:t>
      </w:r>
      <w:r>
        <w:rPr>
          <w:rFonts w:hint="eastAsia" w:ascii="宋体" w:hAnsi="宋体"/>
          <w:color w:val="auto"/>
          <w:sz w:val="22"/>
          <w:szCs w:val="22"/>
          <w:highlight w:val="none"/>
          <w:u w:val="single"/>
        </w:rPr>
        <w:t>在收到修订的施工进度计划之日起7天内</w:t>
      </w:r>
      <w:r>
        <w:rPr>
          <w:rFonts w:hint="eastAsia" w:ascii="宋体" w:hAnsi="宋体"/>
          <w:color w:val="auto"/>
          <w:sz w:val="22"/>
          <w:szCs w:val="22"/>
          <w:highlight w:val="none"/>
        </w:rPr>
        <w:t>。</w:t>
      </w:r>
    </w:p>
    <w:p w14:paraId="00C4957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7.3开工</w:t>
      </w:r>
    </w:p>
    <w:p w14:paraId="31A0C77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7.3.1开工准备</w:t>
      </w:r>
    </w:p>
    <w:p w14:paraId="24644EE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关于承包人提交工程开工报审表的期限：</w:t>
      </w:r>
      <w:r>
        <w:rPr>
          <w:rFonts w:hint="eastAsia" w:ascii="宋体" w:hAnsi="宋体"/>
          <w:color w:val="auto"/>
          <w:sz w:val="22"/>
          <w:szCs w:val="22"/>
          <w:highlight w:val="none"/>
          <w:u w:val="single"/>
        </w:rPr>
        <w:t>合同签订后，开工前</w:t>
      </w:r>
      <w:r>
        <w:rPr>
          <w:rFonts w:hint="eastAsia" w:ascii="宋体" w:hAnsi="宋体"/>
          <w:color w:val="auto"/>
          <w:sz w:val="22"/>
          <w:szCs w:val="22"/>
          <w:highlight w:val="none"/>
        </w:rPr>
        <w:t>。</w:t>
      </w:r>
    </w:p>
    <w:p w14:paraId="783CF8C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关于发包人应完成的其他开工准备工作及期限：</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69924DE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关于承包人应完成的其他开工准备工作及期限：</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562007C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7.3.2开工通知</w:t>
      </w:r>
    </w:p>
    <w:p w14:paraId="01721AD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因发包人原因造成监理人未能在计划开工日期之日起</w:t>
      </w:r>
      <w:r>
        <w:rPr>
          <w:rFonts w:hint="eastAsia" w:ascii="宋体" w:hAnsi="宋体"/>
          <w:color w:val="auto"/>
          <w:sz w:val="22"/>
          <w:szCs w:val="22"/>
          <w:highlight w:val="none"/>
          <w:u w:val="single"/>
        </w:rPr>
        <w:t>25</w:t>
      </w:r>
      <w:r>
        <w:rPr>
          <w:rFonts w:hint="eastAsia" w:ascii="宋体" w:hAnsi="宋体"/>
          <w:color w:val="auto"/>
          <w:sz w:val="22"/>
          <w:szCs w:val="22"/>
          <w:highlight w:val="none"/>
        </w:rPr>
        <w:t>天内发出开工通知的，承包人有权提出价格调整要求，或者解除合同。</w:t>
      </w:r>
    </w:p>
    <w:p w14:paraId="47E4052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7.4测量放线</w:t>
      </w:r>
    </w:p>
    <w:p w14:paraId="792B6EC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7.4.1发包人通过监理人向承包人提供测量基准点、基准线和水准点及其书面资料的期限：</w:t>
      </w:r>
      <w:r>
        <w:rPr>
          <w:rFonts w:hint="eastAsia" w:ascii="宋体" w:hAnsi="宋体"/>
          <w:color w:val="auto"/>
          <w:sz w:val="22"/>
          <w:szCs w:val="22"/>
          <w:highlight w:val="none"/>
          <w:u w:val="single"/>
        </w:rPr>
        <w:t>合同签订后，开工前</w:t>
      </w:r>
      <w:r>
        <w:rPr>
          <w:rFonts w:hint="eastAsia" w:ascii="宋体" w:hAnsi="宋体"/>
          <w:color w:val="auto"/>
          <w:sz w:val="22"/>
          <w:szCs w:val="22"/>
          <w:highlight w:val="none"/>
        </w:rPr>
        <w:t>。</w:t>
      </w:r>
    </w:p>
    <w:p w14:paraId="4AD9ADE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7.5工期延误</w:t>
      </w:r>
    </w:p>
    <w:p w14:paraId="38B3FC9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7.5.1因发包人原因导致工期延误</w:t>
      </w:r>
    </w:p>
    <w:p w14:paraId="5A64274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（7）因发包人原因导致工期延误的其他情形：</w:t>
      </w:r>
      <w:r>
        <w:rPr>
          <w:rFonts w:hint="eastAsia" w:ascii="宋体" w:hAnsi="宋体"/>
          <w:color w:val="auto"/>
          <w:sz w:val="22"/>
          <w:szCs w:val="22"/>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⑦因发包人征地原因延误的</w:t>
      </w:r>
      <w:r>
        <w:rPr>
          <w:rFonts w:hint="eastAsia" w:ascii="宋体" w:hAnsi="宋体"/>
          <w:color w:val="auto"/>
          <w:sz w:val="22"/>
          <w:szCs w:val="22"/>
          <w:highlight w:val="none"/>
        </w:rPr>
        <w:t>。</w:t>
      </w:r>
    </w:p>
    <w:p w14:paraId="18D180F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7.5.2因承包人原因导致工期延误</w:t>
      </w:r>
    </w:p>
    <w:p w14:paraId="7F36140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因承包人原因造成工期延误，逾期竣工违约金的计算方法为：</w:t>
      </w:r>
      <w:r>
        <w:rPr>
          <w:rFonts w:hint="eastAsia" w:ascii="宋体" w:hAnsi="宋体"/>
          <w:color w:val="auto"/>
          <w:sz w:val="22"/>
          <w:szCs w:val="22"/>
          <w:highlight w:val="none"/>
          <w:u w:val="single"/>
        </w:rPr>
        <w:t>非上述原因，承包人不能按合同约定的时间竣工，承包人应承担违约责任。应向发包人支付误期赔偿费（赔偿费按逾期竣工的工程罚款，每延误一天,按该工程结算造价扣除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color w:val="auto"/>
          <w:sz w:val="22"/>
          <w:szCs w:val="22"/>
          <w:highlight w:val="none"/>
        </w:rPr>
        <w:t>。</w:t>
      </w:r>
    </w:p>
    <w:p w14:paraId="0174B1D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因承包人原因造成工期延误，逾期竣工违约金的上限：</w:t>
      </w:r>
      <w:r>
        <w:rPr>
          <w:rFonts w:hint="eastAsia" w:ascii="宋体" w:hAnsi="宋体"/>
          <w:color w:val="auto"/>
          <w:sz w:val="22"/>
          <w:szCs w:val="22"/>
          <w:highlight w:val="none"/>
          <w:u w:val="single"/>
        </w:rPr>
        <w:t>逾期竣工的单位工程结算造价扣除发包人提供的材料、发包人另行发包的专业工程价款后的5%</w:t>
      </w:r>
      <w:r>
        <w:rPr>
          <w:rFonts w:hint="eastAsia" w:ascii="宋体" w:hAnsi="宋体"/>
          <w:color w:val="auto"/>
          <w:sz w:val="22"/>
          <w:szCs w:val="22"/>
          <w:highlight w:val="none"/>
        </w:rPr>
        <w:t>。</w:t>
      </w:r>
    </w:p>
    <w:p w14:paraId="7643499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7.6不利物质条件</w:t>
      </w:r>
    </w:p>
    <w:p w14:paraId="679955E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不利物质条件的其他情形和有关约定：</w:t>
      </w:r>
      <w:r>
        <w:rPr>
          <w:rFonts w:hint="eastAsia" w:ascii="宋体" w:hAnsi="宋体"/>
          <w:color w:val="auto"/>
          <w:sz w:val="22"/>
          <w:szCs w:val="22"/>
          <w:highlight w:val="none"/>
          <w:u w:val="single"/>
        </w:rPr>
        <w:t>（1）一周内非承包人原因，停水、停电、停气造成停工累计超过8小时。（2）由于政府指令性行为引起停工（如中考、高考期间及其它活动要求停工）</w:t>
      </w:r>
      <w:r>
        <w:rPr>
          <w:rFonts w:hint="eastAsia" w:ascii="宋体" w:hAnsi="宋体"/>
          <w:color w:val="auto"/>
          <w:sz w:val="22"/>
          <w:szCs w:val="22"/>
          <w:highlight w:val="none"/>
        </w:rPr>
        <w:t>。</w:t>
      </w:r>
    </w:p>
    <w:p w14:paraId="29E6FCF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7.7异常恶劣的气候条件</w:t>
      </w:r>
    </w:p>
    <w:p w14:paraId="5325D53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发包人和承包人同意以下情形视为异常恶劣的气候条件：</w:t>
      </w:r>
    </w:p>
    <w:p w14:paraId="7E6FD7F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u w:val="single"/>
        </w:rPr>
        <w:t>8级及以上持续1天的大风</w:t>
      </w:r>
      <w:r>
        <w:rPr>
          <w:rFonts w:hint="eastAsia" w:ascii="宋体" w:hAnsi="宋体"/>
          <w:color w:val="auto"/>
          <w:sz w:val="22"/>
          <w:szCs w:val="22"/>
          <w:highlight w:val="none"/>
        </w:rPr>
        <w:t>；</w:t>
      </w:r>
    </w:p>
    <w:p w14:paraId="4B75071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s="宋体"/>
          <w:color w:val="auto"/>
          <w:kern w:val="0"/>
          <w:sz w:val="22"/>
          <w:szCs w:val="22"/>
          <w:highlight w:val="none"/>
          <w:u w:val="single"/>
        </w:rPr>
        <w:t>6级及以上的地震</w:t>
      </w:r>
      <w:r>
        <w:rPr>
          <w:rFonts w:hint="eastAsia" w:ascii="宋体" w:hAnsi="宋体"/>
          <w:color w:val="auto"/>
          <w:sz w:val="22"/>
          <w:szCs w:val="22"/>
          <w:highlight w:val="none"/>
        </w:rPr>
        <w:t>；</w:t>
      </w:r>
    </w:p>
    <w:p w14:paraId="75BCF01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hint="eastAsia" w:ascii="宋体" w:hAnsi="宋体" w:cs="宋体"/>
          <w:color w:val="auto"/>
          <w:kern w:val="0"/>
          <w:sz w:val="22"/>
          <w:szCs w:val="22"/>
          <w:highlight w:val="none"/>
          <w:u w:val="single"/>
        </w:rPr>
        <w:t>日最大降水量超过175mm或50年以上未发生过的洪水</w:t>
      </w:r>
      <w:r>
        <w:rPr>
          <w:rFonts w:hint="eastAsia" w:ascii="宋体" w:hAnsi="宋体"/>
          <w:color w:val="auto"/>
          <w:sz w:val="22"/>
          <w:szCs w:val="22"/>
          <w:highlight w:val="none"/>
        </w:rPr>
        <w:t>。</w:t>
      </w:r>
    </w:p>
    <w:p w14:paraId="7AE3996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7.9提前竣工</w:t>
      </w:r>
    </w:p>
    <w:p w14:paraId="1D83A56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7.9.2提前竣工（赶工）增加费的计算方法：</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bookmarkEnd w:id="123"/>
    <w:bookmarkEnd w:id="124"/>
    <w:bookmarkEnd w:id="125"/>
    <w:bookmarkEnd w:id="126"/>
    <w:bookmarkEnd w:id="127"/>
    <w:bookmarkEnd w:id="128"/>
    <w:bookmarkEnd w:id="129"/>
    <w:bookmarkEnd w:id="130"/>
    <w:bookmarkEnd w:id="131"/>
    <w:bookmarkEnd w:id="132"/>
    <w:bookmarkEnd w:id="142"/>
    <w:p w14:paraId="1D35D62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bookmarkStart w:id="143" w:name="_Toc292559915"/>
      <w:bookmarkStart w:id="144" w:name="_Toc296503205"/>
      <w:bookmarkStart w:id="145" w:name="_Toc297120505"/>
      <w:bookmarkStart w:id="146" w:name="_Toc351203644"/>
      <w:bookmarkStart w:id="147" w:name="_Toc296944544"/>
      <w:bookmarkStart w:id="148" w:name="_Toc292559410"/>
      <w:bookmarkStart w:id="149" w:name="_Toc297048391"/>
      <w:bookmarkStart w:id="150" w:name="_Toc303539159"/>
      <w:bookmarkStart w:id="151" w:name="_Toc296346706"/>
      <w:bookmarkStart w:id="152" w:name="_Toc296891033"/>
      <w:bookmarkStart w:id="153" w:name="_Toc312678040"/>
      <w:bookmarkStart w:id="154" w:name="_Toc296347204"/>
      <w:bookmarkStart w:id="155" w:name="_Toc297216211"/>
      <w:bookmarkStart w:id="156" w:name="_Toc296891245"/>
      <w:bookmarkStart w:id="157" w:name="_Toc304295579"/>
      <w:bookmarkStart w:id="158" w:name="_Toc300935002"/>
      <w:bookmarkStart w:id="159" w:name="_Toc297123552"/>
      <w:bookmarkStart w:id="160" w:name="_Toc267251442"/>
      <w:r>
        <w:rPr>
          <w:rFonts w:hint="eastAsia" w:ascii="宋体" w:hAnsi="宋体"/>
          <w:b/>
          <w:color w:val="auto"/>
          <w:sz w:val="22"/>
          <w:szCs w:val="22"/>
          <w:highlight w:val="none"/>
        </w:rPr>
        <w:t>8. 材料与设备</w:t>
      </w:r>
    </w:p>
    <w:p w14:paraId="09A716C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8.2承包人采购材料与工程设备</w:t>
      </w:r>
    </w:p>
    <w:p w14:paraId="61F45CB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4D9B328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3E84FC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8.4材料与工程设备的保管与使用</w:t>
      </w:r>
    </w:p>
    <w:p w14:paraId="680630C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8.4.1发包人供应的材料设备的保管费用的承担：</w:t>
      </w:r>
      <w:r>
        <w:rPr>
          <w:rFonts w:hint="eastAsia" w:ascii="宋体" w:hAnsi="宋体"/>
          <w:color w:val="auto"/>
          <w:sz w:val="22"/>
          <w:szCs w:val="22"/>
          <w:highlight w:val="none"/>
          <w:u w:val="single"/>
        </w:rPr>
        <w:t>如有发包人供应的材料和工程设备，如须承包人代为保管的，承包人清点后由承包人妥善保管，保管期间产生的费用由发包人承担。监理人未通知承包人清点的，承包人不负责材料和工程设备的保管，由此导致丢失毁损的由发包人负责。发包人供应的材料和工程设备使用前，由承包人负责检验，检验费用由发包人承担，不合格的不得使用</w:t>
      </w:r>
      <w:r>
        <w:rPr>
          <w:rFonts w:hint="eastAsia" w:ascii="宋体" w:hAnsi="宋体"/>
          <w:color w:val="auto"/>
          <w:sz w:val="22"/>
          <w:szCs w:val="22"/>
          <w:highlight w:val="none"/>
        </w:rPr>
        <w:t>。</w:t>
      </w:r>
    </w:p>
    <w:p w14:paraId="3564BD8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8.6 样品</w:t>
      </w:r>
    </w:p>
    <w:p w14:paraId="7E24091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8.6.1样品的报送与封存</w:t>
      </w:r>
    </w:p>
    <w:p w14:paraId="57E4C47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需要承包人报送样品的材料或工程设备，样品的种类、名称、规格、数量要求：</w:t>
      </w:r>
      <w:r>
        <w:rPr>
          <w:rFonts w:hint="eastAsia" w:ascii="宋体" w:hAnsi="宋体"/>
          <w:color w:val="auto"/>
          <w:sz w:val="22"/>
          <w:szCs w:val="22"/>
          <w:highlight w:val="none"/>
          <w:u w:val="single"/>
        </w:rPr>
        <w:t>主要材料涉及品种、款式、颜色等方面内容的，承包人应提交一式三份合格的材料样品送发包人选定</w:t>
      </w:r>
      <w:r>
        <w:rPr>
          <w:rFonts w:hint="eastAsia" w:ascii="宋体" w:hAnsi="宋体"/>
          <w:color w:val="auto"/>
          <w:sz w:val="22"/>
          <w:szCs w:val="22"/>
          <w:highlight w:val="none"/>
        </w:rPr>
        <w:t>。</w:t>
      </w:r>
    </w:p>
    <w:p w14:paraId="1A5F27C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8.8 施工设备和临时设施</w:t>
      </w:r>
    </w:p>
    <w:p w14:paraId="2A6FCB2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8.8.1 承包人提供的施工设备和临时设施</w:t>
      </w:r>
    </w:p>
    <w:p w14:paraId="1F0FD83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关于修建临时设施费用承担的约定：</w:t>
      </w:r>
    </w:p>
    <w:p w14:paraId="21C1953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①</w:t>
      </w:r>
      <w:r>
        <w:rPr>
          <w:rFonts w:hint="eastAsia" w:ascii="宋体" w:hAnsi="宋体"/>
          <w:color w:val="auto"/>
          <w:sz w:val="22"/>
          <w:szCs w:val="22"/>
          <w:highlight w:val="none"/>
          <w:u w:val="single"/>
        </w:rPr>
        <w:t>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 w:val="22"/>
          <w:szCs w:val="22"/>
          <w:highlight w:val="none"/>
        </w:rPr>
        <w:t>。</w:t>
      </w:r>
    </w:p>
    <w:p w14:paraId="76DA33B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②</w:t>
      </w:r>
      <w:r>
        <w:rPr>
          <w:rFonts w:hint="eastAsia" w:ascii="宋体" w:hAnsi="宋体"/>
          <w:color w:val="auto"/>
          <w:sz w:val="22"/>
          <w:szCs w:val="22"/>
          <w:highlight w:val="none"/>
          <w:u w:val="single"/>
        </w:rPr>
        <w:t>承包人负责合同实施期间其合同段内临时交通道路（含场内外连接公共交通道路）和交通设施的修建、维修、养护和交通管理工作，并承担一切费用。如发包人原因要求增加红线内的便道，费用由发包人承担。</w:t>
      </w:r>
    </w:p>
    <w:p w14:paraId="3F8F93F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③</w:t>
      </w:r>
      <w:r>
        <w:rPr>
          <w:rFonts w:hint="eastAsia" w:ascii="宋体" w:hAnsi="宋体"/>
          <w:color w:val="auto"/>
          <w:sz w:val="22"/>
          <w:szCs w:val="22"/>
          <w:highlight w:val="none"/>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color w:val="auto"/>
          <w:sz w:val="22"/>
          <w:szCs w:val="22"/>
          <w:highlight w:val="none"/>
        </w:rPr>
        <w:t>。</w:t>
      </w:r>
    </w:p>
    <w:p w14:paraId="10BB8CF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9.试验与检验</w:t>
      </w:r>
    </w:p>
    <w:p w14:paraId="3F1037F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9.1试验设备与试验人员</w:t>
      </w:r>
    </w:p>
    <w:p w14:paraId="3D7A35A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9.1.2 试验设备</w:t>
      </w:r>
    </w:p>
    <w:p w14:paraId="4041A1F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施工现场需要配置的试验场所：</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 xml:space="preserve">。 </w:t>
      </w:r>
    </w:p>
    <w:p w14:paraId="18AECE1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施工现场需要配备的试验设备：</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w:t>
      </w:r>
    </w:p>
    <w:p w14:paraId="0F93976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施工现场需要具备的其他试验条件：</w:t>
      </w:r>
      <w:r>
        <w:rPr>
          <w:rFonts w:hint="eastAsia" w:ascii="宋体" w:hAnsi="宋体"/>
          <w:color w:val="auto"/>
          <w:sz w:val="22"/>
          <w:szCs w:val="22"/>
          <w:highlight w:val="none"/>
          <w:u w:val="single"/>
        </w:rPr>
        <w:t xml:space="preserve">  另行约定  </w:t>
      </w:r>
      <w:r>
        <w:rPr>
          <w:rFonts w:hint="eastAsia" w:ascii="宋体" w:hAnsi="宋体"/>
          <w:color w:val="auto"/>
          <w:sz w:val="22"/>
          <w:szCs w:val="22"/>
          <w:highlight w:val="none"/>
        </w:rPr>
        <w:t>。</w:t>
      </w:r>
    </w:p>
    <w:p w14:paraId="715EE30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9.4 现场工艺试验 </w:t>
      </w:r>
    </w:p>
    <w:p w14:paraId="45ADBC8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现场工艺试验的有关约定：</w:t>
      </w:r>
      <w:r>
        <w:rPr>
          <w:rFonts w:hint="eastAsia" w:ascii="宋体" w:hAnsi="宋体"/>
          <w:color w:val="auto"/>
          <w:sz w:val="22"/>
          <w:szCs w:val="22"/>
          <w:highlight w:val="none"/>
          <w:u w:val="single"/>
        </w:rPr>
        <w:t>根据该项目实际情况，发包人应做好原有施工阶段性检测项目，完善阶段性检测资料移交给承包人。承包人在工程费用中仅计取检验试验配合费，用于承包人按规定进行建筑材料、构配件等试样的制作、封样、送检和其他保证工程质量进行的配合检验试验。所发生的检验试验费用由发包人负责，检验试验机构由发包人选定</w:t>
      </w:r>
      <w:r>
        <w:rPr>
          <w:rFonts w:hint="eastAsia" w:ascii="宋体" w:hAnsi="宋体"/>
          <w:color w:val="auto"/>
          <w:sz w:val="22"/>
          <w:szCs w:val="22"/>
          <w:highlight w:val="none"/>
        </w:rPr>
        <w:t>。</w:t>
      </w:r>
    </w:p>
    <w:p w14:paraId="7AC17F4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10 变更</w:t>
      </w:r>
    </w:p>
    <w:p w14:paraId="2DB051F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10.1变更的范围</w:t>
      </w:r>
    </w:p>
    <w:p w14:paraId="2DFA962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关于变更的范围的约定：</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0E4A516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10.4 变更估价</w:t>
      </w:r>
    </w:p>
    <w:p w14:paraId="6EFDC9D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取消合同通用条款10.4.1款内容以下文取代：</w:t>
      </w:r>
    </w:p>
    <w:p w14:paraId="6FA6A60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10.4.1变更估价原则</w:t>
      </w:r>
    </w:p>
    <w:p w14:paraId="048B719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因变更引起的价格调整按照本专用条款11.2款约定处理。</w:t>
      </w:r>
    </w:p>
    <w:p w14:paraId="6C1911A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10.4.2变更估价程序</w:t>
      </w:r>
    </w:p>
    <w:p w14:paraId="1DE3360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应在收到变更指示后14天内，向监理人提交变更估价申请及相关资料，如预算书等。监理人应在收到承包人提交的变更估价申请后7天内审查完毕并报送发包人，监理人对变更估价申请有异议，通知承包人修改后重新提交。承包人逾期未提交变更资料造成变更无法获批的，由承包人自行承担。</w:t>
      </w:r>
    </w:p>
    <w:p w14:paraId="3BF7877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10.5承包人的合理化建议</w:t>
      </w:r>
    </w:p>
    <w:p w14:paraId="05E65B2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监理人审查承包人合理化建议的期限：</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39B7B3A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发包人审批承包人合理化建议的期限：</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0633CFB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承包人提出的合理化建议降低了合同价格或者提高了工程经济效益的奖励的方法和金额为：</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34B2187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10.7 暂估价</w:t>
      </w:r>
    </w:p>
    <w:p w14:paraId="15EDED8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10.7.1 依法必须招标的暂估价项目</w:t>
      </w:r>
    </w:p>
    <w:p w14:paraId="1D89A9B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对于附件11-1：《承包人提供材料和工程设备暂估价表》和附件11-2：《专业工程暂估价及结算价表》所列由承包人负责分包的依法必须招标的暂估价项目，采取第</w:t>
      </w:r>
      <w:r>
        <w:rPr>
          <w:rFonts w:hint="eastAsia" w:ascii="宋体" w:hAnsi="宋体"/>
          <w:color w:val="auto"/>
          <w:sz w:val="22"/>
          <w:szCs w:val="22"/>
          <w:highlight w:val="none"/>
          <w:u w:val="single"/>
        </w:rPr>
        <w:t xml:space="preserve">  1  </w:t>
      </w:r>
      <w:r>
        <w:rPr>
          <w:rFonts w:hint="eastAsia" w:ascii="宋体" w:hAnsi="宋体"/>
          <w:color w:val="auto"/>
          <w:sz w:val="22"/>
          <w:szCs w:val="22"/>
          <w:highlight w:val="none"/>
        </w:rPr>
        <w:t>种方式确认和批准。</w:t>
      </w:r>
    </w:p>
    <w:p w14:paraId="0F7F3E4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b/>
          <w:color w:val="auto"/>
          <w:sz w:val="22"/>
          <w:szCs w:val="22"/>
          <w:highlight w:val="none"/>
        </w:rPr>
        <w:t>第1种方式：</w:t>
      </w:r>
      <w:r>
        <w:rPr>
          <w:rFonts w:hint="eastAsia" w:ascii="宋体" w:hAnsi="宋体"/>
          <w:color w:val="auto"/>
          <w:sz w:val="22"/>
          <w:szCs w:val="22"/>
          <w:highlight w:val="none"/>
        </w:rPr>
        <w:t>对于不属于依法必须招标的暂估价项目，按本项约定确认和批准：</w:t>
      </w:r>
    </w:p>
    <w:p w14:paraId="1051866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4D0FCF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（2）发包人认为承包人确定的供应商、分包人无法满足工程质量或合同要求的，发包人可以要求承包人重新确定暂估价项目的供应商、分包人;</w:t>
      </w:r>
    </w:p>
    <w:p w14:paraId="0D80207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（3）承包人应当在签订暂估价合同后7天内，将暂估价合同副本报送发包人留存。</w:t>
      </w:r>
    </w:p>
    <w:p w14:paraId="764C6A1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第2种方式：</w:t>
      </w:r>
      <w:r>
        <w:rPr>
          <w:rFonts w:hint="eastAsia" w:ascii="宋体" w:hAnsi="宋体"/>
          <w:color w:val="auto"/>
          <w:sz w:val="22"/>
          <w:szCs w:val="22"/>
          <w:highlight w:val="none"/>
        </w:rPr>
        <w:t>承包人按照第10.7.1项〔依法必须招标的暂估价项目〕约定的第1种方式确定暂估价项目</w:t>
      </w:r>
      <w:r>
        <w:rPr>
          <w:rFonts w:hint="eastAsia" w:ascii="宋体" w:hAnsi="宋体"/>
          <w:b/>
          <w:color w:val="auto"/>
          <w:sz w:val="22"/>
          <w:szCs w:val="22"/>
          <w:highlight w:val="none"/>
        </w:rPr>
        <w:t>。</w:t>
      </w:r>
    </w:p>
    <w:p w14:paraId="571248FF">
      <w:pPr>
        <w:pStyle w:val="61"/>
        <w:pageBreakBefore w:val="0"/>
        <w:widowControl w:val="0"/>
        <w:shd w:val="clear" w:color="auto" w:fill="auto"/>
        <w:kinsoku/>
        <w:wordWrap/>
        <w:overflowPunct/>
        <w:topLinePunct w:val="0"/>
        <w:bidi w:val="0"/>
        <w:snapToGrid w:val="0"/>
        <w:spacing w:line="360" w:lineRule="auto"/>
        <w:ind w:firstLine="391" w:firstLineChars="177"/>
        <w:jc w:val="left"/>
        <w:rPr>
          <w:rFonts w:ascii="宋体" w:hAnsi="宋体"/>
          <w:color w:val="auto"/>
          <w:sz w:val="22"/>
          <w:szCs w:val="22"/>
          <w:highlight w:val="none"/>
        </w:rPr>
      </w:pPr>
      <w:r>
        <w:rPr>
          <w:rFonts w:hint="eastAsia" w:ascii="宋体" w:hAnsi="宋体"/>
          <w:b/>
          <w:bCs/>
          <w:color w:val="auto"/>
          <w:sz w:val="22"/>
          <w:szCs w:val="22"/>
          <w:highlight w:val="none"/>
        </w:rPr>
        <w:t>第3种方式：</w:t>
      </w:r>
      <w:r>
        <w:rPr>
          <w:rFonts w:hint="eastAsia" w:ascii="宋体" w:hAnsi="宋体"/>
          <w:color w:val="auto"/>
          <w:sz w:val="22"/>
          <w:szCs w:val="22"/>
          <w:highlight w:val="none"/>
        </w:rPr>
        <w:t>承包人直接实施的暂估价项目</w:t>
      </w:r>
    </w:p>
    <w:p w14:paraId="469F12DE">
      <w:pPr>
        <w:pStyle w:val="61"/>
        <w:pageBreakBefore w:val="0"/>
        <w:widowControl w:val="0"/>
        <w:shd w:val="clear" w:color="auto" w:fill="auto"/>
        <w:kinsoku/>
        <w:wordWrap/>
        <w:overflowPunct/>
        <w:topLinePunct w:val="0"/>
        <w:bidi w:val="0"/>
        <w:snapToGrid w:val="0"/>
        <w:spacing w:line="360" w:lineRule="auto"/>
        <w:ind w:firstLine="389" w:firstLineChars="177"/>
        <w:jc w:val="left"/>
        <w:rPr>
          <w:rFonts w:ascii="宋体" w:hAnsi="宋体"/>
          <w:color w:val="auto"/>
          <w:sz w:val="22"/>
          <w:szCs w:val="22"/>
          <w:highlight w:val="none"/>
        </w:rPr>
      </w:pPr>
      <w:r>
        <w:rPr>
          <w:rFonts w:hint="eastAsia" w:ascii="宋体" w:hAnsi="宋体"/>
          <w:color w:val="auto"/>
          <w:sz w:val="22"/>
          <w:szCs w:val="22"/>
          <w:highlight w:val="none"/>
        </w:rPr>
        <w:t>承包人具备实施暂估价项目的资格和条件的，经发包人和承包人协商一致后，可由承包人自行实施暂估价项目。</w:t>
      </w:r>
    </w:p>
    <w:p w14:paraId="0FF6344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10.7.2 不属于依法必须招标的暂估价项目</w:t>
      </w:r>
    </w:p>
    <w:p w14:paraId="60C1111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第3种方式：承包人直接实施的暂估价项目</w:t>
      </w:r>
    </w:p>
    <w:p w14:paraId="361D45F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承包人直接实施的暂估价项目的约定：</w:t>
      </w:r>
      <w:r>
        <w:rPr>
          <w:rFonts w:hint="eastAsia" w:ascii="宋体" w:hAnsi="宋体"/>
          <w:color w:val="auto"/>
          <w:sz w:val="22"/>
          <w:szCs w:val="22"/>
          <w:highlight w:val="none"/>
          <w:u w:val="single"/>
        </w:rPr>
        <w:t>承包人具备实施暂估价项目的资格和条件的，经发包人和承包人协商一致后，可由承包人自行实施暂估价项目</w:t>
      </w:r>
      <w:r>
        <w:rPr>
          <w:rFonts w:hint="eastAsia" w:ascii="宋体" w:hAnsi="宋体"/>
          <w:color w:val="auto"/>
          <w:sz w:val="22"/>
          <w:szCs w:val="22"/>
          <w:highlight w:val="none"/>
        </w:rPr>
        <w:t>。</w:t>
      </w:r>
    </w:p>
    <w:p w14:paraId="2A6DBB3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10.8 暂列金额</w:t>
      </w:r>
    </w:p>
    <w:p w14:paraId="6E9A03C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合同当事人关于暂列金额使用的约定：暂列金额只能按照监理人的指示使用，结算时减去工程价款调整与索赔、现场签证金额计算，如有余额归发包人，如出现差额则由发包人补足并反映在相应的价款中。</w:t>
      </w:r>
    </w:p>
    <w:p w14:paraId="7DC5102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11. 价格调整</w:t>
      </w:r>
    </w:p>
    <w:p w14:paraId="3907B20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取消通用条款内容，以下文取代：</w:t>
      </w:r>
    </w:p>
    <w:p w14:paraId="54091E7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11.1法律变化引起的调整</w:t>
      </w:r>
    </w:p>
    <w:p w14:paraId="562028C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工程以投标截止日前28天，非招标工程以合同签订前28天为基准日，期后因法律、法规、规章和政策变化（此类变化主要反应在规费、增值税上）时，按省级或行业建设主管部门或其授权的工程造价管理机构据此发布的规定调整合同价款。增加时，由发包人承担由此增加的费用；减少时，应从合同价格中予以扣减。基准日期后，因法律变化造成工期延误时，工期应予以顺延。</w:t>
      </w:r>
    </w:p>
    <w:p w14:paraId="3859D1B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因法律变化引起的合同价格和工期调整，合同当事人无法达成一致的，由总监理工程师按第4.4款〔商定或确定〕的约定处理。</w:t>
      </w:r>
    </w:p>
    <w:p w14:paraId="6519944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因承包人原因造成工期延误，在工期延误期间出现法律变化的，由此增加的费用和（或）延误的工期由承包人承担。</w:t>
      </w:r>
    </w:p>
    <w:p w14:paraId="709C9EF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11.2工程变更、项目特征不符、工程量清单缺项、工程量偏差引起的调整</w:t>
      </w:r>
    </w:p>
    <w:p w14:paraId="7938273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11.2.1由于工程变更、工程量偏差导致该清单项目的工程数量发生变化在15%以内（含15%）时，按已标价工程量清单或预算书相同项目单价计价，并应考虑对物价变化和总价措施项目、规费和增值税的影响。</w:t>
      </w:r>
    </w:p>
    <w:p w14:paraId="6EABB6A5">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11.2.2由于工程变更、项目特征不符、工程量偏差导致新增清单项目或该清单项目的工程数量变化在15%以外（不含15%）时，由承包人根据工程资料、计量规则和计价方法、工程造价管理机构发布的信息价格和承包人报价浮动率提出变更工程项目的单价，并应报发包人确认后调整。承包人报价浮动率可按下列公式计算。</w:t>
      </w:r>
    </w:p>
    <w:p w14:paraId="6276ABD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招标工程：承包人报价浮动率L＝（1-中标价/招标控制价）×100%</w:t>
      </w:r>
    </w:p>
    <w:p w14:paraId="46D08BC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非招标工程：承包人报价浮动率L＝（1-报价/施工图预算）×100%</w:t>
      </w:r>
    </w:p>
    <w:p w14:paraId="331E928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式中“中标价”、“招标控制价”、“报价”、“施工图预算”均应不含暂列金额、材料和工程设备暂估价、专业工程暂估价。</w:t>
      </w:r>
    </w:p>
    <w:p w14:paraId="3FE8379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招标工程计价方法为招标时公布的招标控制价的计算方法。</w:t>
      </w:r>
    </w:p>
    <w:p w14:paraId="78E7B79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非招标工程计价方法约定如下：</w:t>
      </w:r>
    </w:p>
    <w:p w14:paraId="33C81127">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1.依据广西区水利厅、区发改委、区财政厅“桂水基[2007]38号”文“关于发布《广西水利水电工程设计概(预)算编制规定》、《广西水利水电工程概(预)算系列定额》”的通知的有关规定进行编制;</w:t>
      </w:r>
    </w:p>
    <w:p w14:paraId="370B827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2.广西水利厅以桂水基[2004]46号文发布的《关于在我区水利水电建设工程实行建筑意外伤害保险制度的通知》;</w:t>
      </w:r>
    </w:p>
    <w:p w14:paraId="7FD389CC">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3.桂水基[2016]1号《关于调整广西水利水电建设工程定额人工预算单价的通知》:</w:t>
      </w:r>
    </w:p>
    <w:p w14:paraId="2C2D6DE3">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4.桂水基[2016]16号《水利厅关于营业税改征增值税后广西水利水电工程计价依据调整的通知》:</w:t>
      </w:r>
    </w:p>
    <w:p w14:paraId="1A2652FC">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5.水办基[2016]31号《水利厅办公室转发水利部办公厅关于印发《水利工程营业税改征增值税计价依据调整办法》的通知</w:t>
      </w:r>
    </w:p>
    <w:p w14:paraId="2B4E1574">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6.桂水基[2018]11号自治区水利厅关于调整水利工程增值税税率的通知</w:t>
      </w:r>
    </w:p>
    <w:p w14:paraId="15A02261">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7.桂水建设[2019]4号自治区水利厅关于调整水利工程增值税计算标准的通知</w:t>
      </w:r>
    </w:p>
    <w:p w14:paraId="24E19FE0">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8.桂人社规[2019]9号广西人力资源和社会保障厅降低社会保险费率</w:t>
      </w:r>
    </w:p>
    <w:p w14:paraId="440B21C1">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9.桂水建设[2019]7号广西水利水电工程施工招标文件示范文本(2019年版)</w:t>
      </w:r>
    </w:p>
    <w:p w14:paraId="47BCB4E9">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10.桂水建设[2023]4号自治区水利厅关于调整水利工程安全文明施工措施费费率的通知</w:t>
      </w:r>
    </w:p>
    <w:p w14:paraId="6CD7E1E5">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现行的有关文件以及施工设计图纸。</w:t>
      </w:r>
    </w:p>
    <w:p w14:paraId="7C505F2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)材料价格按《柳州建设工程造价信息》2025年第</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期公布柳州信息价及柳城县信息价，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。同时按《2021年柳城县建设工程项目地方材料市价格有关问题会议纪要》计算相应材料的超运距运费。其中，混凝土按现场自拌计取。</w:t>
      </w:r>
    </w:p>
    <w:p w14:paraId="3416764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其他约定：</w:t>
      </w:r>
    </w:p>
    <w:p w14:paraId="086A15E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1分部分项工程项目和单价措施项目清单中的材料单价按《柳州市建设工程造价信息》基期相应编码的市场材料单价计取，没有刊登的根据市场调查确定；管理费和利润按《广西建设工程费用定额》中费率区间的</w:t>
      </w:r>
      <w:r>
        <w:rPr>
          <w:rFonts w:hint="eastAsia" w:ascii="宋体" w:hAnsi="宋体"/>
          <w:color w:val="000000" w:themeColor="text1"/>
          <w:sz w:val="22"/>
          <w:szCs w:val="22"/>
          <w:highlight w:val="none"/>
          <w:u w:val="single"/>
          <w14:textFill>
            <w14:solidFill>
              <w14:schemeClr w14:val="tx1"/>
            </w14:solidFill>
          </w14:textFill>
        </w:rPr>
        <w:t xml:space="preserve">  中  </w:t>
      </w:r>
      <w:r>
        <w:rPr>
          <w:rFonts w:hint="eastAsia" w:ascii="宋体" w:hAnsi="宋体"/>
          <w:color w:val="000000" w:themeColor="text1"/>
          <w:sz w:val="22"/>
          <w:szCs w:val="22"/>
          <w:highlight w:val="none"/>
          <w14:textFill>
            <w14:solidFill>
              <w14:schemeClr w14:val="tx1"/>
            </w14:solidFill>
          </w14:textFill>
        </w:rPr>
        <w:t>值计算；招标文件提供了暂估单价的材料，按暂估的单价计入综合单价；</w:t>
      </w:r>
    </w:p>
    <w:p w14:paraId="6795AFF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2总价措施项目清单计价根据本工程招标文件和常规施工方案及《广西建设工程费用定额》规定计算，凡有费率区间选择的均费率区间的</w:t>
      </w:r>
      <w:r>
        <w:rPr>
          <w:rFonts w:hint="eastAsia" w:ascii="宋体" w:hAnsi="宋体"/>
          <w:color w:val="auto"/>
          <w:sz w:val="22"/>
          <w:szCs w:val="22"/>
          <w:highlight w:val="none"/>
          <w:u w:val="single"/>
        </w:rPr>
        <w:t xml:space="preserve">  中 </w:t>
      </w:r>
      <w:r>
        <w:rPr>
          <w:rFonts w:hint="eastAsia" w:ascii="宋体" w:hAnsi="宋体"/>
          <w:color w:val="auto"/>
          <w:sz w:val="22"/>
          <w:szCs w:val="22"/>
          <w:highlight w:val="none"/>
        </w:rPr>
        <w:t>值计算。</w:t>
      </w:r>
    </w:p>
    <w:p w14:paraId="38C9D60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③计日工价格按当地造价管理机构发布的工程造价信息中的信息价（不含税价）计取，进税内独立费；工程造价信息未发布的，按市场调查的单价（不含税价）计算，进税内独立费；总承包服务费按照自治区建设主管部门的计价定额及有关规定计算；</w:t>
      </w:r>
    </w:p>
    <w:p w14:paraId="188212A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4税前项目直接通过柳州市工程造价管理机构《造价信息》上发布的税前项目价计算，《造价价信息》上没有刊登的根据市场调查确定；</w:t>
      </w:r>
    </w:p>
    <w:p w14:paraId="2D8263D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5规费和增值税按国家、自治区建设主管部门或税务主管部门的规定计算。</w:t>
      </w:r>
    </w:p>
    <w:p w14:paraId="08411A6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工程造价管理机构发布的信息价格采用以下第 </w:t>
      </w:r>
      <w:r>
        <w:rPr>
          <w:rFonts w:hint="eastAsia" w:ascii="宋体" w:hAnsi="宋体"/>
          <w:color w:val="auto"/>
          <w:sz w:val="22"/>
          <w:szCs w:val="22"/>
          <w:highlight w:val="none"/>
          <w:u w:val="single"/>
        </w:rPr>
        <w:t xml:space="preserve">  2  </w:t>
      </w:r>
      <w:r>
        <w:rPr>
          <w:rFonts w:hint="eastAsia" w:ascii="宋体" w:hAnsi="宋体"/>
          <w:color w:val="auto"/>
          <w:sz w:val="22"/>
          <w:szCs w:val="22"/>
          <w:highlight w:val="none"/>
        </w:rPr>
        <w:t xml:space="preserve"> 种方式确定：</w:t>
      </w:r>
    </w:p>
    <w:p w14:paraId="5D0A5E0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1按变更清单项目实施当期工程造价管理机构发布的信息价格确定。</w:t>
      </w:r>
    </w:p>
    <w:p w14:paraId="089E447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2按项目实施期间工程造价管理机构发布的信息价格平均价格确定。</w:t>
      </w:r>
    </w:p>
    <w:p w14:paraId="1B61207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11.2.3由于工程变更、工程量偏差导致任一招标工程量清单项目增加15%以上时，增加部分的工程量的综合单价以原投标综合单价（考虑购买材料当期的物价变化）和按11.2.2款规定计算的较低的价格确定该清单综合单价。</w:t>
      </w:r>
    </w:p>
    <w:p w14:paraId="295BCEE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11.2.4由于工程变更、工程量偏差导致任一招标工程量清单项目减少15%以上时，其减少后剩余部分的工程量的综合单价以原投标综合单价（考虑购买材料当期的物价变化）和按11.2.2款规定计算的较高的价格确定该清单综合单价。</w:t>
      </w:r>
    </w:p>
    <w:p w14:paraId="4D3B01C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11.2.5由于工程变更、工程量清单缺项、工程量偏差引起合同约定工程量增减的，其相应项目清单发、承包人提供的主要材料、工程设备数量应相应调整，调整数量应报发包人核对。发承包双方对材料数量有争议达不成一致的，应按照相关工程的计价定额同类项目规定的材料消耗量计算。</w:t>
      </w:r>
    </w:p>
    <w:p w14:paraId="7E46B4E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11.2.6由于工程变更、项目特征不符、工程量清单缺项、工程量偏差引起合同价款的调整造成总价措施项目、规费、增值税项目计算基础变化的，应予调整总价措施项目、规费、增值税项目费用。</w:t>
      </w:r>
    </w:p>
    <w:p w14:paraId="275FB96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11.3计日工引起的调整</w:t>
      </w:r>
    </w:p>
    <w:p w14:paraId="3317A65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计日工应根据按本合同通用条款10.9款规定核实的工程数量和承包人已标价工程量清单中的计日工单价计算计日工金额，调整合同价款。</w:t>
      </w:r>
    </w:p>
    <w:p w14:paraId="5DD774E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11.4物价变化引起的调整</w:t>
      </w:r>
    </w:p>
    <w:p w14:paraId="703A333B">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市场价格波动是否调整合同价格的约定：</w:t>
      </w:r>
      <w:r>
        <w:rPr>
          <w:rFonts w:hint="eastAsia" w:ascii="宋体" w:hAnsi="宋体"/>
          <w:b/>
          <w:bCs/>
          <w:color w:val="auto"/>
          <w:sz w:val="22"/>
          <w:szCs w:val="22"/>
          <w:highlight w:val="none"/>
          <w:u w:val="single"/>
        </w:rPr>
        <w:t>市场价格变化超过±5%</w:t>
      </w:r>
    </w:p>
    <w:p w14:paraId="717C57F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合同履行期间，因人工、材料、工程设备、机械台班价格波动影响合同价款时，采用以下第   2 种方式对合同价格进行调整：</w:t>
      </w:r>
    </w:p>
    <w:p w14:paraId="40ED8AC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因市场价格波动调整合同价格，采用以下第</w:t>
      </w:r>
      <w:r>
        <w:rPr>
          <w:rFonts w:hint="eastAsia" w:ascii="宋体" w:hAnsi="宋体"/>
          <w:color w:val="auto"/>
          <w:sz w:val="22"/>
          <w:szCs w:val="22"/>
          <w:highlight w:val="none"/>
          <w:u w:val="single"/>
        </w:rPr>
        <w:t xml:space="preserve">  2  </w:t>
      </w:r>
      <w:r>
        <w:rPr>
          <w:rFonts w:hint="eastAsia" w:ascii="宋体" w:hAnsi="宋体"/>
          <w:color w:val="auto"/>
          <w:sz w:val="22"/>
          <w:szCs w:val="22"/>
          <w:highlight w:val="none"/>
        </w:rPr>
        <w:t>种方式对合同价格进行调整：</w:t>
      </w:r>
    </w:p>
    <w:p w14:paraId="52A0CBF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b/>
          <w:bCs/>
          <w:color w:val="auto"/>
          <w:sz w:val="22"/>
          <w:szCs w:val="22"/>
          <w:highlight w:val="none"/>
        </w:rPr>
        <w:t>第1种方式：采用价格指数进行价格调整</w:t>
      </w:r>
      <w:r>
        <w:rPr>
          <w:rFonts w:hint="eastAsia" w:ascii="宋体" w:hAnsi="宋体"/>
          <w:color w:val="auto"/>
          <w:sz w:val="22"/>
          <w:szCs w:val="22"/>
          <w:highlight w:val="none"/>
        </w:rPr>
        <w:t>。</w:t>
      </w:r>
    </w:p>
    <w:p w14:paraId="6E3D1E2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1价格调整公式</w:t>
      </w:r>
    </w:p>
    <w:p w14:paraId="7E6A12A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因人工、材料、工程设备、机械等价格波动影响合同价格时，根据专用合同条款中约定的数据，按以下公式计算差额并调整合同价格：</w:t>
      </w:r>
    </w:p>
    <w:p w14:paraId="28C7DA1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 △P＝P0[A＋（B1×Ft1/Fo1＋B2×Ft2/Fo2＋B3×Ft3/Fo3……＋Bn×Ftn/Fon）-1]</w:t>
      </w:r>
    </w:p>
    <w:p w14:paraId="5B6AFFB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公式中：ΔP——需调整的价格差额；</w:t>
      </w:r>
    </w:p>
    <w:p w14:paraId="5057540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P0——约定的付款证书中承包人应得到的已完成工程量的金额。此项金额应不包括价格调整、不计质量保证金的扣留和支付、预付款的支付和扣回。约定的变更及其他金额已按现行价格计价的，也不计在内；</w:t>
      </w:r>
    </w:p>
    <w:p w14:paraId="2933CDC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A——定值权重（即不调部分的权重），暂估材料和工程设备应列入定值因子中；</w:t>
      </w:r>
    </w:p>
    <w:p w14:paraId="5817C61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B1；B2；B3……Bn——各可调因子的变值权重（即可调部分的权重），为各可调因子在签约合同价中所占的比例，变值因子中应包含人工、机械台班、由政府定价或政府指导价管理的原材料及由承包人提供的主要材料和工程设备、税前项目；</w:t>
      </w:r>
    </w:p>
    <w:p w14:paraId="129275B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Ft1；Ft2；Ft3……Ftn——各可调因子的现行价格指数，指约定的付款证书相关周期最后一天的前42天的各可调因子的价格指数；</w:t>
      </w:r>
    </w:p>
    <w:p w14:paraId="557C6C1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Fo1；Fo2；Fo3……Fon——各可调因子的基本价格指数，指基准日期的各可调因子的价格指数。</w:t>
      </w:r>
    </w:p>
    <w:p w14:paraId="1C3D4FF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以上价格调整公式中的各可调因子、定值和变值权重，以及基本价格指数及其来源在已标价的工程量清单《承包人提供的主要材料和工程设备一览表（适用于价格指数差额调整法）》中约定，非招标订立的合同，由合同当事人在专用合同条款中约定。价格指数应首先采用工程造价管理机构发布的价格指数，无前述价格指数时，可采用工程造价管理机构发布的价格代替。工程造价管理部门既无相应材料和工程设备的价格指数，其相应材料和工程设备的价格也缺项的，由发包人和承包人共同市场询价确定。招标期基本价格指数按招标人提供的招标文件确定，施工期价格指数按工程造价管理部门公布的价格指数的平均值。施工期价格上涨时，材料和工程设备价格调整由承包人提出，下降时由发包人提出，调整后的价格经发包人审查确认。</w:t>
      </w:r>
    </w:p>
    <w:p w14:paraId="7629F27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2暂时确定调整差额</w:t>
      </w:r>
    </w:p>
    <w:p w14:paraId="5836CFF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在计算调整差额时无现行价格指数的，合同当事人同意暂用前次价格指数计算。实际价格指数有调整的，合同当事人进行相应调整。</w:t>
      </w:r>
    </w:p>
    <w:p w14:paraId="1447FE5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3权重的调整</w:t>
      </w:r>
    </w:p>
    <w:p w14:paraId="326B487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因变更导致合同约定的权重不合理时，按照第4.4款〔商定或确定〕执行。</w:t>
      </w:r>
    </w:p>
    <w:p w14:paraId="2EAF73D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4因承包人原因工期延误后的价格调整</w:t>
      </w:r>
    </w:p>
    <w:p w14:paraId="219E00C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38B24E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5若可调因子中已经包括了人工和施工机械因素，则不再对其进行单项调整。</w:t>
      </w:r>
    </w:p>
    <w:p w14:paraId="60C4B34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bCs/>
          <w:color w:val="auto"/>
          <w:sz w:val="22"/>
          <w:szCs w:val="22"/>
          <w:highlight w:val="none"/>
        </w:rPr>
      </w:pPr>
      <w:r>
        <w:rPr>
          <w:rFonts w:hint="eastAsia" w:ascii="宋体" w:hAnsi="宋体"/>
          <w:b/>
          <w:bCs/>
          <w:color w:val="auto"/>
          <w:sz w:val="22"/>
          <w:szCs w:val="22"/>
          <w:highlight w:val="none"/>
        </w:rPr>
        <w:t>第2种方式：采用造价信息进行价格调整。</w:t>
      </w:r>
    </w:p>
    <w:p w14:paraId="338E843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合同履行期间，因人工、材料、工程设备和机械台班价格波动影响合同价格时，人工、机械、由政府定价或实行政府指导价管理的原材料（如：水、电、柴油、汽油等）使用费按照自治区建设主管部门或其授权的工程造价管理机构发布的人工调整文件、机械台班单价、原材料单价进行调整，但承包人对人工费或人工单价的报价高于发布价格的除外。</w:t>
      </w:r>
      <w:r>
        <w:rPr>
          <w:rFonts w:hint="eastAsia" w:ascii="宋体" w:hAnsi="宋体"/>
          <w:color w:val="auto"/>
          <w:sz w:val="22"/>
          <w:szCs w:val="22"/>
          <w:highlight w:val="none"/>
          <w:u w:val="single"/>
        </w:rPr>
        <w:t>需要进行价格调整的人工、机械和原材料，其单价和数量应由发包人审批，发包人确认需调整的人工、机械和原材料单价及数量，作为调整合同价格的依据</w:t>
      </w:r>
      <w:r>
        <w:rPr>
          <w:rFonts w:hint="eastAsia" w:ascii="宋体" w:hAnsi="宋体"/>
          <w:color w:val="auto"/>
          <w:sz w:val="22"/>
          <w:szCs w:val="22"/>
          <w:highlight w:val="none"/>
        </w:rPr>
        <w:t>。</w:t>
      </w:r>
    </w:p>
    <w:p w14:paraId="7B3C231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已标价工程量清单《承包人提供的主要材料和工程设备一览表（适用于造价信息差额调整法）》所列材料、工程设备及《税前项目清单与计价表》所列税前项目价格变化超过表中约定的风险幅度值时，按以下规定调整合同价款:</w:t>
      </w:r>
    </w:p>
    <w:p w14:paraId="1E4926E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①承包人在已标价工程量清单或预算书中载明材料、工程设备、税前项目单价低于基准价格的：合同履行期间材料单价涨幅以基准价格为基础超过合同约定的风险幅度值，或材料、工程设备、税前项目单价跌幅以在已标价工程量清单或预算书中载明材料、工程设备、税前项目单价为基础超过合同约定的风险幅度值时，其超过部分据实调整。</w:t>
      </w:r>
    </w:p>
    <w:p w14:paraId="0462334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②承包人在已标价工程量清单或预算书中载明材料、工程设备、税前项目单价高于基准价格的：除专用合同条款另有约定外，合同履行期间材料、工程设备、税前项目单价跌幅以基准价格为基础超过合同约定的风险幅度值，材料、工程设备、税前项目单价涨幅以在已标价工程量清单或预算书中载明材料、工程设备、税前项目单价为基础超过合同约定的风险幅度值时，其超过部分据实调整。</w:t>
      </w:r>
    </w:p>
    <w:p w14:paraId="42BBBF5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③承包人在已标价工程量清单或预算书中载明材料、工程设备、税前项目单价等于基准价格的：除专用合同条款另有约定外，合同履行期间材料、工程设备、税前项目单价涨跌幅以基准价格为基础超过合同约定的风险幅度值时，其超过部分据实调整。</w:t>
      </w:r>
    </w:p>
    <w:p w14:paraId="0A558D8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④承包人应在采购材料、工程设备、税前项目前将采购数量和新的材料单价报发包人核对，发包人确认用于工程时，发包人应确认采购材料、工程设备、税前项目的数量和单价。发包人在收到承包人报送的确认资料后5天内不予答复的视为认可，作为调整合同价格的依据。未经发包人事先核对，承包人自行采购材料、工程设备、税前项目的，发包人有权不予调整合同价格。发包人确认需调整的材料、工程设备单价及数量，作为调整暂列金额差额的依据，调整部分仅计差额及相应的增值税，不计其对分部分项工程量清单综合单价的影响（即不再计算管理费和利润）。税前项目调整的应计相应的增值税调整。</w:t>
      </w:r>
    </w:p>
    <w:p w14:paraId="233C73C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前述基准价格是指由发包人在招标文件或专用合同条款中给定的材料、工程设备、税前项目的价格，该价格原则上应当按照省级或行业建设主管部门或其授权的工程造价管理机构发布的信息价编制。</w:t>
      </w:r>
    </w:p>
    <w:p w14:paraId="587E417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第3种方式：专用合同条款约定的其他方式。</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185F4D8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12.合同价格、计量与支付</w:t>
      </w:r>
    </w:p>
    <w:p w14:paraId="5A3861D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12.1合同价格形式</w:t>
      </w:r>
    </w:p>
    <w:p w14:paraId="285BEE6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本工程采用</w:t>
      </w:r>
      <w:r>
        <w:rPr>
          <w:rFonts w:hint="eastAsia" w:ascii="宋体" w:hAnsi="宋体"/>
          <w:color w:val="auto"/>
          <w:sz w:val="22"/>
          <w:szCs w:val="22"/>
          <w:highlight w:val="none"/>
          <w:u w:val="single"/>
        </w:rPr>
        <w:t>单价合同</w:t>
      </w:r>
      <w:r>
        <w:rPr>
          <w:rFonts w:hint="eastAsia" w:ascii="宋体" w:hAnsi="宋体"/>
          <w:color w:val="auto"/>
          <w:sz w:val="22"/>
          <w:szCs w:val="22"/>
          <w:highlight w:val="none"/>
        </w:rPr>
        <w:t>合同价格形式。</w:t>
      </w:r>
    </w:p>
    <w:p w14:paraId="61861BA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1、单价合同。</w:t>
      </w:r>
    </w:p>
    <w:p w14:paraId="53D49F0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本合同价款采用固定综合单价方式确定，工程量按实际结算。</w:t>
      </w:r>
    </w:p>
    <w:p w14:paraId="6493774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综合单价包含的风险范围：</w:t>
      </w:r>
      <w:r>
        <w:rPr>
          <w:rFonts w:hint="eastAsia" w:ascii="宋体" w:hAnsi="宋体"/>
          <w:color w:val="auto"/>
          <w:sz w:val="22"/>
          <w:szCs w:val="22"/>
          <w:highlight w:val="none"/>
          <w:u w:val="single"/>
        </w:rPr>
        <w:t>除工程变更、项目特征不符、工程量清单缺项、工程量偏差、政策性调整、本工程《承包人提供主要材料和设备一览表》中约定的材料和设备价格变动风险以外的其他风险因素</w:t>
      </w:r>
      <w:r>
        <w:rPr>
          <w:rFonts w:hint="eastAsia" w:ascii="宋体" w:hAnsi="宋体"/>
          <w:color w:val="auto"/>
          <w:sz w:val="22"/>
          <w:szCs w:val="22"/>
          <w:highlight w:val="none"/>
        </w:rPr>
        <w:t>。</w:t>
      </w:r>
    </w:p>
    <w:p w14:paraId="16238E8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风险费用的计算方法：。</w:t>
      </w:r>
    </w:p>
    <w:p w14:paraId="254A989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风险范围以外合同价格的调整方法：</w:t>
      </w:r>
    </w:p>
    <w:p w14:paraId="4E59547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①工程变更：按11.2变更估价原则的约定调整。</w:t>
      </w:r>
    </w:p>
    <w:p w14:paraId="4BC4FCC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②政策性调整：按自治区建设行政主管部门颁布的文件执行。</w:t>
      </w:r>
    </w:p>
    <w:p w14:paraId="6687165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③材料价格风险：按11.4的约定调整。</w:t>
      </w:r>
    </w:p>
    <w:p w14:paraId="5D821CA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④其它：</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49AA0AD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2、总价合同。</w:t>
      </w:r>
    </w:p>
    <w:p w14:paraId="5F2DB67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总价包含的风险范围：</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200820A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风险费用的计算方法：</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356312D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风险范围以外合同价格的调整方法：</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343B54F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3、其他价格方式：</w:t>
      </w:r>
    </w:p>
    <w:p w14:paraId="79DBFD8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成本加酬金合同：发承包双方约定以施工图预算乘以让利幅度进行合同价款计算、调整和确认。计算公式为：</w:t>
      </w:r>
    </w:p>
    <w:p w14:paraId="1E29E62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合同价款＝施工图预算×（1-让利幅度）</w:t>
      </w:r>
    </w:p>
    <w:p w14:paraId="1C3E634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式中：</w:t>
      </w:r>
    </w:p>
    <w:p w14:paraId="292C270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让利幅度＝</w:t>
      </w:r>
      <w:r>
        <w:rPr>
          <w:rFonts w:hint="eastAsia" w:ascii="宋体" w:hAnsi="宋体"/>
          <w:color w:val="auto"/>
          <w:sz w:val="22"/>
          <w:szCs w:val="22"/>
          <w:highlight w:val="none"/>
          <w:u w:val="single"/>
        </w:rPr>
        <w:t xml:space="preserve">    </w:t>
      </w:r>
      <w:r>
        <w:rPr>
          <w:rFonts w:hint="eastAsia" w:ascii="宋体" w:hAnsi="宋体" w:eastAsia="宋体"/>
          <w:color w:val="auto"/>
          <w:sz w:val="22"/>
          <w:szCs w:val="22"/>
          <w:highlight w:val="none"/>
          <w:u w:val="single"/>
          <w:lang w:val="en-US" w:eastAsia="zh-CN"/>
        </w:rPr>
        <w:t>/</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w:t>
      </w:r>
    </w:p>
    <w:p w14:paraId="4A4D202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合同签订前，发包人应委托第三方编制施工图预算。施工图预算按以下方法和规则编制：</w:t>
      </w:r>
    </w:p>
    <w:p w14:paraId="14A233BD">
      <w:pPr>
        <w:keepNext w:val="0"/>
        <w:keepLines w:val="0"/>
        <w:pageBreakBefore w:val="0"/>
        <w:widowControl w:val="0"/>
        <w:kinsoku/>
        <w:wordWrap/>
        <w:overflowPunct w:val="0"/>
        <w:topLinePunct w:val="0"/>
        <w:autoSpaceDE w:val="0"/>
        <w:autoSpaceDN w:val="0"/>
        <w:bidi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1.依据广西区水利厅、区发改委、区财政厅“桂水基[2007]38号”文“关于发布《广西水利水电工程设计概(预)算编制规定》、《广西水利水电工程概(预)算系列定额》”的通知的有关规定进行编制;</w:t>
      </w:r>
    </w:p>
    <w:p w14:paraId="5997BC0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2.广西水利厅以桂水基[2004]46号文发布的《关于在我区水利水电建设工程实行建筑意外伤害保险制度的通知》;</w:t>
      </w:r>
    </w:p>
    <w:p w14:paraId="70838AA5">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3.桂水基[2016]1号《关于调整广西水利水电建设工程定额人工预算单价的通知》:</w:t>
      </w:r>
    </w:p>
    <w:p w14:paraId="656B6A2E">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4.桂水基[2016]16号《水利厅关于营业税改征增值税后广西水利水电工程计价依据调整的通知》:</w:t>
      </w:r>
    </w:p>
    <w:p w14:paraId="652883B5">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5.水办基[2016]31号《水利厅办公室转发水利部办公厅关于印发《水利工程营业税改征增值税计价依据调整办法》的通知</w:t>
      </w:r>
    </w:p>
    <w:p w14:paraId="31732F4F">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6.桂水基[2018]11号自治区水利厅关于调整水利工程增值税税率的通知</w:t>
      </w:r>
    </w:p>
    <w:p w14:paraId="2AB60DC3">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7.桂水建设[2019]4号自治区水利厅关于调整水利工程增值税计算标准的通知</w:t>
      </w:r>
    </w:p>
    <w:p w14:paraId="59CC9915">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8.桂人社规[2019]9号广西人力资源和社会保障厅降低社会保险费率</w:t>
      </w:r>
    </w:p>
    <w:p w14:paraId="3C7E8A92">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9.桂水建设[2019]7号广西水利水电工程施工招标文件示范文本(2019年版)</w:t>
      </w:r>
    </w:p>
    <w:p w14:paraId="21C47125">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10.桂水建设[2023]4号自治区水利厅关于调整水利工程安全文明施工措施费费率的通知</w:t>
      </w:r>
    </w:p>
    <w:p w14:paraId="796CD2BB">
      <w:pPr>
        <w:pStyle w:val="4"/>
        <w:keepNext/>
        <w:keepLines/>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现行的有关文件以及施工设计图纸。</w:t>
      </w:r>
    </w:p>
    <w:p w14:paraId="497BE9F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)材料价格按</w:t>
      </w:r>
      <w:r>
        <w:rPr>
          <w:rFonts w:hint="eastAsia" w:ascii="宋体" w:hAnsi="宋体" w:eastAsia="宋体" w:cs="宋体"/>
          <w:color w:val="000000" w:themeColor="text1"/>
          <w:sz w:val="24"/>
          <w:szCs w:val="24"/>
          <w:highlight w:val="none"/>
          <w:lang w:val="en-US" w:eastAsia="zh-CN"/>
          <w14:textFill>
            <w14:solidFill>
              <w14:schemeClr w14:val="tx1"/>
            </w14:solidFill>
          </w14:textFill>
        </w:rPr>
        <w:t>《柳州市建设工程造价信息》2025年第5期发布的柳州市信息价及柳城县信息价，无柳州市信息价的按市场询价。同时按《2021年柳城县建设工程项目地方材料市价格有关问题会议纪要》计算相应材料的超运距运费。其中，混凝土按现场自拌计取。</w:t>
      </w:r>
    </w:p>
    <w:p w14:paraId="61A8AE7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3其他约定：</w:t>
      </w:r>
    </w:p>
    <w:p w14:paraId="4B593A3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1分部分项工程项目和单价措施项目清单中的材料单价按《柳州市建设工程造价信息》基期相应编码的市场材料单价计取，没有刊登的根据市场调查确定；管理费和利润按《广西建设工程费用定额》中费率区间的</w:t>
      </w:r>
      <w:r>
        <w:rPr>
          <w:rFonts w:hint="eastAsia" w:ascii="宋体" w:hAnsi="宋体"/>
          <w:color w:val="000000" w:themeColor="text1"/>
          <w:sz w:val="22"/>
          <w:szCs w:val="22"/>
          <w:highlight w:val="none"/>
          <w:u w:val="single"/>
          <w14:textFill>
            <w14:solidFill>
              <w14:schemeClr w14:val="tx1"/>
            </w14:solidFill>
          </w14:textFill>
        </w:rPr>
        <w:t>中</w:t>
      </w:r>
      <w:r>
        <w:rPr>
          <w:rFonts w:hint="eastAsia" w:ascii="宋体" w:hAnsi="宋体"/>
          <w:color w:val="000000" w:themeColor="text1"/>
          <w:sz w:val="22"/>
          <w:szCs w:val="22"/>
          <w:highlight w:val="none"/>
          <w14:textFill>
            <w14:solidFill>
              <w14:schemeClr w14:val="tx1"/>
            </w14:solidFill>
          </w14:textFill>
        </w:rPr>
        <w:t>值计算；招标文件提供了暂估单价的材料，按暂估的单价计入综合单价；</w:t>
      </w:r>
    </w:p>
    <w:p w14:paraId="2A2A696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2总价措施项目清单计价根据本工程招标文件和常规施工方案及《广西建设工程费用定额》规定计算，凡有费率区间选择的均费率区间的</w:t>
      </w:r>
      <w:r>
        <w:rPr>
          <w:rFonts w:hint="eastAsia" w:ascii="宋体" w:hAnsi="宋体"/>
          <w:color w:val="000000" w:themeColor="text1"/>
          <w:sz w:val="22"/>
          <w:szCs w:val="22"/>
          <w:highlight w:val="none"/>
          <w:u w:val="single"/>
          <w14:textFill>
            <w14:solidFill>
              <w14:schemeClr w14:val="tx1"/>
            </w14:solidFill>
          </w14:textFill>
        </w:rPr>
        <w:t>中</w:t>
      </w:r>
      <w:r>
        <w:rPr>
          <w:rFonts w:hint="eastAsia" w:ascii="宋体" w:hAnsi="宋体"/>
          <w:color w:val="000000" w:themeColor="text1"/>
          <w:sz w:val="22"/>
          <w:szCs w:val="22"/>
          <w:highlight w:val="none"/>
          <w14:textFill>
            <w14:solidFill>
              <w14:schemeClr w14:val="tx1"/>
            </w14:solidFill>
          </w14:textFill>
        </w:rPr>
        <w:t>值计算。</w:t>
      </w:r>
    </w:p>
    <w:p w14:paraId="4672AF9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③计日工价格按当地造价管理机构发布的工程造价信息中的信息价（不含税价）计取，进税内独立费；工程造价信息未发布的，按市场调查的单价（不含税价）计算，进税内独立费；总承包服务费按照自治区建设主管部门的计价定额及有关规定计算；</w:t>
      </w:r>
    </w:p>
    <w:p w14:paraId="5DE8594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4税前项目直接通过柳州市工程造价管理机构《造价信息》上发布的税前项目价计算，《造价价信息》上没有刊登的根据市场调查确定；</w:t>
      </w:r>
    </w:p>
    <w:p w14:paraId="139530E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5规费和税金按国家、自治区建设主管部门或税务主管部门的规定计算。</w:t>
      </w:r>
    </w:p>
    <w:p w14:paraId="791C484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合同施工期间，按上述施工图预算的编制依据和规则、实际完成工程量和施工期信息价格进行价款的调整和结算。施工期信息价采用以下第</w:t>
      </w:r>
      <w:r>
        <w:rPr>
          <w:rFonts w:hint="eastAsia" w:ascii="宋体" w:hAnsi="宋体"/>
          <w:color w:val="000000" w:themeColor="text1"/>
          <w:sz w:val="22"/>
          <w:szCs w:val="22"/>
          <w:highlight w:val="none"/>
          <w:u w:val="single"/>
          <w14:textFill>
            <w14:solidFill>
              <w14:schemeClr w14:val="tx1"/>
            </w14:solidFill>
          </w14:textFill>
        </w:rPr>
        <w:t>2</w:t>
      </w:r>
      <w:r>
        <w:rPr>
          <w:rFonts w:hint="eastAsia" w:ascii="宋体" w:hAnsi="宋体"/>
          <w:color w:val="000000" w:themeColor="text1"/>
          <w:sz w:val="22"/>
          <w:szCs w:val="22"/>
          <w:highlight w:val="none"/>
          <w14:textFill>
            <w14:solidFill>
              <w14:schemeClr w14:val="tx1"/>
            </w14:solidFill>
          </w14:textFill>
        </w:rPr>
        <w:t>种方式确定：</w:t>
      </w:r>
    </w:p>
    <w:p w14:paraId="28B8FD8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第1种方式：按清单项目实施当期工程造价管理机构发布的信息价格确定。</w:t>
      </w:r>
    </w:p>
    <w:p w14:paraId="6605A63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第2种方式：按项目实施期间工程造价管理机构发布的信息价格平均价格确定。</w:t>
      </w:r>
    </w:p>
    <w:p w14:paraId="1A49E70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cs="宋体"/>
          <w:b/>
          <w:bCs/>
          <w:color w:val="000000" w:themeColor="text1"/>
          <w:sz w:val="22"/>
          <w:szCs w:val="22"/>
          <w:highlight w:val="none"/>
          <w14:textFill>
            <w14:solidFill>
              <w14:schemeClr w14:val="tx1"/>
            </w14:solidFill>
          </w14:textFill>
        </w:rPr>
      </w:pPr>
      <w:bookmarkStart w:id="161" w:name="_Toc303539161"/>
      <w:bookmarkStart w:id="162" w:name="_Toc300935004"/>
      <w:bookmarkStart w:id="163" w:name="_Toc312678042"/>
      <w:bookmarkStart w:id="164" w:name="_Toc304295581"/>
      <w:bookmarkStart w:id="165" w:name="_Toc297123554"/>
      <w:bookmarkStart w:id="166" w:name="_Toc297216213"/>
      <w:bookmarkStart w:id="167" w:name="_Toc296891247"/>
      <w:bookmarkStart w:id="168" w:name="_Toc296347206"/>
      <w:bookmarkStart w:id="169" w:name="_Toc297048393"/>
      <w:bookmarkStart w:id="170" w:name="_Toc292559917"/>
      <w:bookmarkStart w:id="171" w:name="_Toc296503207"/>
      <w:bookmarkStart w:id="172" w:name="_Toc292559412"/>
      <w:bookmarkStart w:id="173" w:name="_Toc296891035"/>
      <w:bookmarkStart w:id="174" w:name="_Toc296944546"/>
      <w:bookmarkStart w:id="175" w:name="_Toc297120507"/>
      <w:bookmarkStart w:id="176" w:name="_Toc296346708"/>
      <w:r>
        <w:rPr>
          <w:rFonts w:hint="eastAsia" w:ascii="宋体" w:hAnsi="宋体" w:cs="宋体"/>
          <w:b/>
          <w:bCs/>
          <w:color w:val="000000" w:themeColor="text1"/>
          <w:sz w:val="22"/>
          <w:szCs w:val="22"/>
          <w:highlight w:val="none"/>
          <w14:textFill>
            <w14:solidFill>
              <w14:schemeClr w14:val="tx1"/>
            </w14:solidFill>
          </w14:textFill>
        </w:rPr>
        <w:t>12.2预付款</w:t>
      </w:r>
    </w:p>
    <w:bookmarkEnd w:id="161"/>
    <w:bookmarkEnd w:id="162"/>
    <w:bookmarkEnd w:id="163"/>
    <w:bookmarkEnd w:id="164"/>
    <w:bookmarkEnd w:id="165"/>
    <w:bookmarkEnd w:id="166"/>
    <w:p w14:paraId="46061C1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12.2.1预付款的支付</w:t>
      </w:r>
    </w:p>
    <w:p w14:paraId="6CE2D7B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cs="宋体"/>
          <w:b/>
          <w:bCs/>
          <w:color w:val="000000" w:themeColor="text1"/>
          <w:sz w:val="22"/>
          <w:szCs w:val="22"/>
          <w:highlight w:val="none"/>
          <w:u w:val="singl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预付款支付比例或金额：</w:t>
      </w:r>
      <w:r>
        <w:rPr>
          <w:rFonts w:hint="eastAsia" w:ascii="宋体" w:hAnsi="宋体" w:cs="宋体"/>
          <w:b/>
          <w:bCs/>
          <w:color w:val="000000" w:themeColor="text1"/>
          <w:sz w:val="22"/>
          <w:szCs w:val="22"/>
          <w:highlight w:val="none"/>
          <w:u w:val="single"/>
          <w14:textFill>
            <w14:solidFill>
              <w14:schemeClr w14:val="tx1"/>
            </w14:solidFill>
          </w14:textFill>
        </w:rPr>
        <w:t>签约</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 xml:space="preserve">合同价的30%（预付款取整数到个位） </w:t>
      </w:r>
    </w:p>
    <w:p w14:paraId="3C0F43D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default"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预付款支付期限：</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在本合同签订且承包人依约缴纳履约保证金</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之日起10个工作日内支付</w:t>
      </w:r>
      <w:bookmarkStart w:id="264" w:name="_GoBack"/>
      <w:bookmarkEnd w:id="264"/>
      <w:r>
        <w:rPr>
          <w:rFonts w:hint="eastAsia" w:ascii="宋体" w:hAnsi="宋体" w:cs="宋体"/>
          <w:color w:val="000000" w:themeColor="text1"/>
          <w:sz w:val="22"/>
          <w:szCs w:val="22"/>
          <w:highlight w:val="none"/>
          <w14:textFill>
            <w14:solidFill>
              <w14:schemeClr w14:val="tx1"/>
            </w14:solidFill>
          </w14:textFill>
        </w:rPr>
        <w:t>。</w:t>
      </w:r>
    </w:p>
    <w:p w14:paraId="4A8CB8B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预付款扣回的方式：</w:t>
      </w:r>
      <w:r>
        <w:rPr>
          <w:rFonts w:hint="eastAsia" w:ascii="宋体" w:hAnsi="宋体" w:cs="宋体"/>
          <w:b/>
          <w:bCs/>
          <w:color w:val="000000" w:themeColor="text1"/>
          <w:sz w:val="22"/>
          <w:szCs w:val="22"/>
          <w:highlight w:val="none"/>
          <w:u w:val="single"/>
          <w:lang w:eastAsia="zh-CN"/>
          <w14:textFill>
            <w14:solidFill>
              <w14:schemeClr w14:val="tx1"/>
            </w14:solidFill>
          </w14:textFill>
        </w:rPr>
        <w:t>无</w:t>
      </w:r>
      <w:r>
        <w:rPr>
          <w:rFonts w:hint="eastAsia" w:ascii="宋体" w:hAnsi="宋体" w:cs="宋体"/>
          <w:color w:val="000000" w:themeColor="text1"/>
          <w:sz w:val="22"/>
          <w:szCs w:val="22"/>
          <w:highlight w:val="none"/>
          <w14:textFill>
            <w14:solidFill>
              <w14:schemeClr w14:val="tx1"/>
            </w14:solidFill>
          </w14:textFill>
        </w:rPr>
        <w:t>。</w:t>
      </w:r>
    </w:p>
    <w:bookmarkEnd w:id="160"/>
    <w:bookmarkEnd w:id="167"/>
    <w:bookmarkEnd w:id="168"/>
    <w:bookmarkEnd w:id="169"/>
    <w:bookmarkEnd w:id="170"/>
    <w:bookmarkEnd w:id="171"/>
    <w:bookmarkEnd w:id="172"/>
    <w:bookmarkEnd w:id="173"/>
    <w:bookmarkEnd w:id="174"/>
    <w:bookmarkEnd w:id="175"/>
    <w:bookmarkEnd w:id="176"/>
    <w:p w14:paraId="0B9FC03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bookmarkStart w:id="177" w:name="_Toc280868709"/>
      <w:bookmarkStart w:id="178" w:name="_Toc267251475"/>
      <w:bookmarkStart w:id="179" w:name="_Toc267251476"/>
      <w:bookmarkStart w:id="180" w:name="_Toc267251474"/>
      <w:bookmarkStart w:id="181" w:name="_Toc267251472"/>
      <w:bookmarkStart w:id="182" w:name="_Toc267251470"/>
      <w:bookmarkStart w:id="183" w:name="_Toc267251473"/>
      <w:bookmarkStart w:id="184" w:name="_Toc267251471"/>
      <w:r>
        <w:rPr>
          <w:rFonts w:hint="eastAsia" w:ascii="宋体" w:hAnsi="宋体"/>
          <w:color w:val="000000" w:themeColor="text1"/>
          <w:sz w:val="22"/>
          <w:szCs w:val="22"/>
          <w:highlight w:val="none"/>
          <w14:textFill>
            <w14:solidFill>
              <w14:schemeClr w14:val="tx1"/>
            </w14:solidFill>
          </w14:textFill>
        </w:rPr>
        <w:t>12.2.2 预付款担保</w:t>
      </w:r>
    </w:p>
    <w:p w14:paraId="39C2D24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承包人提交预付款担保的期限：</w:t>
      </w:r>
      <w:r>
        <w:rPr>
          <w:rFonts w:hint="eastAsia" w:ascii="宋体" w:hAnsi="宋体"/>
          <w:color w:val="000000" w:themeColor="text1"/>
          <w:sz w:val="22"/>
          <w:szCs w:val="22"/>
          <w:highlight w:val="none"/>
          <w:u w:val="single"/>
          <w14:textFill>
            <w14:solidFill>
              <w14:schemeClr w14:val="tx1"/>
            </w14:solidFill>
          </w14:textFill>
        </w:rPr>
        <w:t>本工程不设工程预付款担保</w:t>
      </w:r>
      <w:r>
        <w:rPr>
          <w:rFonts w:hint="eastAsia" w:ascii="宋体" w:hAnsi="宋体"/>
          <w:color w:val="000000" w:themeColor="text1"/>
          <w:sz w:val="22"/>
          <w:szCs w:val="22"/>
          <w:highlight w:val="none"/>
          <w14:textFill>
            <w14:solidFill>
              <w14:schemeClr w14:val="tx1"/>
            </w14:solidFill>
          </w14:textFill>
        </w:rPr>
        <w:t>。</w:t>
      </w:r>
    </w:p>
    <w:p w14:paraId="6D10F97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预付款担保的形式为：</w:t>
      </w:r>
      <w:r>
        <w:rPr>
          <w:rFonts w:hint="eastAsia" w:ascii="宋体" w:hAnsi="宋体"/>
          <w:color w:val="000000" w:themeColor="text1"/>
          <w:sz w:val="22"/>
          <w:szCs w:val="22"/>
          <w:highlight w:val="none"/>
          <w:u w:val="single"/>
          <w14:textFill>
            <w14:solidFill>
              <w14:schemeClr w14:val="tx1"/>
            </w14:solidFill>
          </w14:textFill>
        </w:rPr>
        <w:t>可以银行保函、银行转账、现金、工程担保或保证保险等形式</w:t>
      </w:r>
      <w:r>
        <w:rPr>
          <w:rFonts w:hint="eastAsia" w:ascii="宋体" w:hAnsi="宋体"/>
          <w:color w:val="000000" w:themeColor="text1"/>
          <w:sz w:val="22"/>
          <w:szCs w:val="22"/>
          <w:highlight w:val="none"/>
          <w14:textFill>
            <w14:solidFill>
              <w14:schemeClr w14:val="tx1"/>
            </w14:solidFill>
          </w14:textFill>
        </w:rPr>
        <w:t>。</w:t>
      </w:r>
    </w:p>
    <w:p w14:paraId="3711490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 计量</w:t>
      </w:r>
    </w:p>
    <w:p w14:paraId="496799A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12.3.1 计量原则</w:t>
      </w:r>
    </w:p>
    <w:p w14:paraId="59523FD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工程量计算规则：工程的计量均以《建设工程工程量清单计价规范》（GB50500－2013）及其广西壮族自治区实施细则、《建设工程工程量清单计算规范》（GB50854~50862－2013）及其广西实施细则、本工程补充项目清单为准。</w:t>
      </w:r>
    </w:p>
    <w:p w14:paraId="519EF7A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12.3.2 计量周期</w:t>
      </w:r>
    </w:p>
    <w:p w14:paraId="1C19720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关于计量周期的约定：本合同的计量周期为月，每月</w:t>
      </w:r>
      <w:r>
        <w:rPr>
          <w:rFonts w:hint="eastAsia" w:ascii="宋体" w:hAnsi="宋体"/>
          <w:color w:val="000000" w:themeColor="text1"/>
          <w:sz w:val="22"/>
          <w:szCs w:val="22"/>
          <w:highlight w:val="none"/>
          <w:u w:val="single"/>
          <w14:textFill>
            <w14:solidFill>
              <w14:schemeClr w14:val="tx1"/>
            </w14:solidFill>
          </w14:textFill>
        </w:rPr>
        <w:t xml:space="preserve"> 25 </w:t>
      </w:r>
      <w:r>
        <w:rPr>
          <w:rFonts w:hint="eastAsia" w:ascii="宋体" w:hAnsi="宋体"/>
          <w:color w:val="000000" w:themeColor="text1"/>
          <w:sz w:val="22"/>
          <w:szCs w:val="22"/>
          <w:highlight w:val="none"/>
          <w14:textFill>
            <w14:solidFill>
              <w14:schemeClr w14:val="tx1"/>
            </w14:solidFill>
          </w14:textFill>
        </w:rPr>
        <w:t>日为当月计量截止日期（不含当日）和下月计量起始日期（含当日）</w:t>
      </w:r>
    </w:p>
    <w:p w14:paraId="72AF57D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12.3.3 单价合同的计量</w:t>
      </w:r>
    </w:p>
    <w:p w14:paraId="4E8F682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12.3.4 总价合同的计量</w:t>
      </w:r>
    </w:p>
    <w:p w14:paraId="72024F9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12.3.6 其他价格形式合同的计量</w:t>
      </w:r>
    </w:p>
    <w:p w14:paraId="7155C63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成本加酬金合同的计量方式和程序：按照第12.3.3项[单价合同的计量]约定进行计量。</w:t>
      </w:r>
    </w:p>
    <w:p w14:paraId="777CB92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12.4 工程进度款支付</w:t>
      </w:r>
    </w:p>
    <w:p w14:paraId="33EE11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hint="eastAsia" w:ascii="宋体" w:hAnsi="宋体"/>
          <w:b/>
          <w:bCs/>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12.4.1 付款周期和支付比例</w:t>
      </w:r>
    </w:p>
    <w:p w14:paraId="1C93546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hint="eastAsia" w:ascii="宋体" w:hAnsi="宋体"/>
          <w:b/>
          <w:bCs/>
          <w:color w:val="000000" w:themeColor="text1"/>
          <w:sz w:val="22"/>
          <w:szCs w:val="22"/>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进度款支付比例：</w:t>
      </w:r>
    </w:p>
    <w:p w14:paraId="4095A6C3">
      <w:pPr>
        <w:pStyle w:val="15"/>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工程完工经业主、设计、监理三方验收无异议后，付至合同价80%（含30%预付款）；</w:t>
      </w:r>
    </w:p>
    <w:p w14:paraId="3A5E26EE">
      <w:pPr>
        <w:pStyle w:val="15"/>
        <w:ind w:left="0" w:leftChars="0" w:firstLine="0" w:firstLineChars="0"/>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工程竣工验收合格且竣工结算审计确认后，甲方付至结算总价100%，乙方申请该款项时须提交结算总价3%的质量保证金；质保期满后，甲方收到乙方符合约定的质保金文件（银行保函正本/到账凭证/转账回执单）并书面确认无误后5日内，无息退还该3%质保金；</w:t>
      </w:r>
    </w:p>
    <w:p w14:paraId="67005A6B">
      <w:pPr>
        <w:pStyle w:val="15"/>
        <w:ind w:left="0" w:leftChars="0" w:firstLine="0" w:firstLineChars="0"/>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乙方未按时足额提交质保金的，甲方有权从结算尾款中扣留3%作为质保金（不视为违约）；或暂不支付结算款，待乙方按规定提交后再支付。</w:t>
      </w:r>
    </w:p>
    <w:p w14:paraId="499A2936">
      <w:pPr>
        <w:keepNext w:val="0"/>
        <w:keepLines w:val="0"/>
        <w:pageBreakBefore w:val="0"/>
        <w:widowControl w:val="0"/>
        <w:shd w:val="clear" w:color="auto" w:fill="auto"/>
        <w:tabs>
          <w:tab w:val="left" w:pos="540"/>
        </w:tabs>
        <w:kinsoku/>
        <w:wordWrap/>
        <w:overflowPunct/>
        <w:topLinePunct w:val="0"/>
        <w:autoSpaceDE/>
        <w:autoSpaceDN/>
        <w:bidi w:val="0"/>
        <w:adjustRightInd/>
        <w:snapToGrid w:val="0"/>
        <w:spacing w:line="360" w:lineRule="auto"/>
        <w:ind w:firstLine="431" w:firstLineChars="196"/>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12.4.2进度付款申请单的编制</w:t>
      </w:r>
    </w:p>
    <w:p w14:paraId="701B708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关于进度付款申请单编制的约定：</w:t>
      </w:r>
    </w:p>
    <w:p w14:paraId="33FBBC5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（8）根据第6.1.6[安全文明施工费]约定应支付的安全文明施工费预付款和扣减的返还预付款。</w:t>
      </w:r>
    </w:p>
    <w:p w14:paraId="74F3A07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12.4.3进度付款申请单的提交</w:t>
      </w:r>
    </w:p>
    <w:p w14:paraId="55BBCA1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（1）单价合同进度付款申请单提交的约定：</w:t>
      </w:r>
      <w:r>
        <w:rPr>
          <w:rFonts w:hint="eastAsia" w:ascii="宋体" w:hAnsi="宋体"/>
          <w:color w:val="000000" w:themeColor="text1"/>
          <w:sz w:val="22"/>
          <w:szCs w:val="22"/>
          <w:highlight w:val="none"/>
          <w:u w:val="single"/>
          <w14:textFill>
            <w14:solidFill>
              <w14:schemeClr w14:val="tx1"/>
            </w14:solidFill>
          </w14:textFill>
        </w:rPr>
        <w:t>承包人应</w:t>
      </w:r>
      <w:r>
        <w:rPr>
          <w:rFonts w:hint="eastAsia" w:ascii="宋体" w:hAnsi="宋体" w:eastAsia="宋体"/>
          <w:color w:val="000000" w:themeColor="text1"/>
          <w:sz w:val="22"/>
          <w:szCs w:val="22"/>
          <w:highlight w:val="none"/>
          <w:u w:val="single"/>
          <w:lang w:eastAsia="zh-CN"/>
          <w14:textFill>
            <w14:solidFill>
              <w14:schemeClr w14:val="tx1"/>
            </w14:solidFill>
          </w14:textFill>
        </w:rPr>
        <w:t>按</w:t>
      </w:r>
      <w:r>
        <w:rPr>
          <w:rFonts w:hint="eastAsia" w:ascii="宋体" w:hAnsi="宋体" w:eastAsia="宋体"/>
          <w:color w:val="000000" w:themeColor="text1"/>
          <w:sz w:val="22"/>
          <w:szCs w:val="22"/>
          <w:highlight w:val="none"/>
          <w:u w:val="single"/>
          <w:lang w:val="en-US" w:eastAsia="zh-CN"/>
          <w14:textFill>
            <w14:solidFill>
              <w14:schemeClr w14:val="tx1"/>
            </w14:solidFill>
          </w14:textFill>
        </w:rPr>
        <w:t>12.4.1</w:t>
      </w:r>
      <w:r>
        <w:rPr>
          <w:rFonts w:hint="eastAsia" w:ascii="宋体" w:hAnsi="宋体"/>
          <w:color w:val="000000" w:themeColor="text1"/>
          <w:sz w:val="22"/>
          <w:szCs w:val="22"/>
          <w:highlight w:val="none"/>
          <w:u w:val="single"/>
          <w14:textFill>
            <w14:solidFill>
              <w14:schemeClr w14:val="tx1"/>
            </w14:solidFill>
          </w14:textFill>
        </w:rPr>
        <w:t>付款周期和支付比例</w:t>
      </w:r>
      <w:r>
        <w:rPr>
          <w:rFonts w:hint="eastAsia" w:ascii="宋体" w:hAnsi="宋体" w:eastAsia="宋体"/>
          <w:color w:val="000000" w:themeColor="text1"/>
          <w:sz w:val="22"/>
          <w:szCs w:val="22"/>
          <w:highlight w:val="none"/>
          <w:u w:val="single"/>
          <w:lang w:eastAsia="zh-CN"/>
          <w14:textFill>
            <w14:solidFill>
              <w14:schemeClr w14:val="tx1"/>
            </w14:solidFill>
          </w14:textFill>
        </w:rPr>
        <w:t>约定</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u w:val="single"/>
          <w14:textFill>
            <w14:solidFill>
              <w14:schemeClr w14:val="tx1"/>
            </w14:solidFill>
          </w14:textFill>
        </w:rPr>
        <w:t>每个节点完成后向总监理工程师提交由其项目经理签署的按发包人要求的格式填写的工程款支付申请表</w:t>
      </w:r>
      <w:r>
        <w:rPr>
          <w:rFonts w:hint="eastAsia" w:ascii="宋体" w:hAnsi="宋体"/>
          <w:color w:val="000000" w:themeColor="text1"/>
          <w:sz w:val="22"/>
          <w:szCs w:val="22"/>
          <w:highlight w:val="none"/>
          <w14:textFill>
            <w14:solidFill>
              <w14:schemeClr w14:val="tx1"/>
            </w14:solidFill>
          </w14:textFill>
        </w:rPr>
        <w:t>。</w:t>
      </w:r>
    </w:p>
    <w:p w14:paraId="66B6AFE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（2）总价合同进度付款申请单提交的约定：</w:t>
      </w:r>
      <w:r>
        <w:rPr>
          <w:rFonts w:hint="eastAsia" w:ascii="宋体" w:hAnsi="宋体"/>
          <w:color w:val="000000" w:themeColor="text1"/>
          <w:sz w:val="22"/>
          <w:szCs w:val="22"/>
          <w:highlight w:val="none"/>
          <w:u w:val="singl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w:t>
      </w:r>
    </w:p>
    <w:p w14:paraId="098480C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000000" w:themeColor="text1"/>
          <w:sz w:val="22"/>
          <w:szCs w:val="22"/>
          <w:highlight w:val="none"/>
          <w14:textFill>
            <w14:solidFill>
              <w14:schemeClr w14:val="tx1"/>
            </w14:solidFill>
          </w14:textFill>
        </w:rPr>
        <w:t>（3）其他价格形式合同进度付款申请单提交的约定：</w:t>
      </w:r>
      <w:r>
        <w:rPr>
          <w:rFonts w:hint="eastAsia" w:ascii="宋体" w:hAnsi="宋体"/>
          <w:color w:val="000000" w:themeColor="text1"/>
          <w:sz w:val="22"/>
          <w:szCs w:val="22"/>
          <w:highlight w:val="none"/>
          <w:u w:val="single"/>
          <w14:textFill>
            <w14:solidFill>
              <w14:schemeClr w14:val="tx1"/>
            </w14:solidFill>
          </w14:textFill>
        </w:rPr>
        <w:t>按照第12.4.3（1）[单价合同进度付</w:t>
      </w:r>
      <w:r>
        <w:rPr>
          <w:rFonts w:hint="eastAsia" w:ascii="宋体" w:hAnsi="宋体"/>
          <w:color w:val="auto"/>
          <w:sz w:val="22"/>
          <w:szCs w:val="22"/>
          <w:highlight w:val="none"/>
          <w:u w:val="single"/>
        </w:rPr>
        <w:t>款申请单提交]的约定提交</w:t>
      </w:r>
      <w:r>
        <w:rPr>
          <w:rFonts w:hint="eastAsia" w:ascii="宋体" w:hAnsi="宋体"/>
          <w:color w:val="auto"/>
          <w:sz w:val="22"/>
          <w:szCs w:val="22"/>
          <w:highlight w:val="none"/>
        </w:rPr>
        <w:t>。</w:t>
      </w:r>
    </w:p>
    <w:p w14:paraId="172CAA9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12.4.4进度款审核和支付</w:t>
      </w:r>
    </w:p>
    <w:p w14:paraId="3BB5C63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（1）监理人审查并报送发包人的期限：</w:t>
      </w:r>
      <w:r>
        <w:rPr>
          <w:rFonts w:hint="eastAsia" w:ascii="宋体" w:hAnsi="宋体"/>
          <w:color w:val="auto"/>
          <w:sz w:val="22"/>
          <w:szCs w:val="22"/>
          <w:highlight w:val="none"/>
          <w:u w:val="single"/>
        </w:rPr>
        <w:t>收到申请7天内</w:t>
      </w:r>
      <w:r>
        <w:rPr>
          <w:rFonts w:hint="eastAsia" w:ascii="宋体" w:hAnsi="宋体"/>
          <w:color w:val="auto"/>
          <w:sz w:val="22"/>
          <w:szCs w:val="22"/>
          <w:highlight w:val="none"/>
        </w:rPr>
        <w:t>。</w:t>
      </w:r>
    </w:p>
    <w:p w14:paraId="1A4A08A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发包人完成审批并签发进度款支付证书的期限：</w:t>
      </w:r>
      <w:r>
        <w:rPr>
          <w:rFonts w:hint="eastAsia" w:ascii="宋体" w:hAnsi="宋体"/>
          <w:color w:val="auto"/>
          <w:sz w:val="22"/>
          <w:szCs w:val="22"/>
          <w:highlight w:val="none"/>
          <w:u w:val="single"/>
        </w:rPr>
        <w:t>收到申请7天内</w:t>
      </w:r>
      <w:r>
        <w:rPr>
          <w:rFonts w:hint="eastAsia" w:ascii="宋体" w:hAnsi="宋体"/>
          <w:color w:val="auto"/>
          <w:sz w:val="22"/>
          <w:szCs w:val="22"/>
          <w:highlight w:val="none"/>
        </w:rPr>
        <w:t>。</w:t>
      </w:r>
    </w:p>
    <w:p w14:paraId="43B53F0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（2）发包人支付进度款的期限：</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5FFAACF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发包人逾期支付进度款的违约金的计算方式：</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4DE36D5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12.4.6支付分解表的编制</w:t>
      </w:r>
    </w:p>
    <w:p w14:paraId="1A4D543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1、总价合同支付分解表的编制与审批：</w:t>
      </w:r>
      <w:r>
        <w:rPr>
          <w:rFonts w:hint="eastAsia" w:ascii="宋体" w:hAnsi="宋体"/>
          <w:color w:val="auto"/>
          <w:sz w:val="22"/>
          <w:szCs w:val="22"/>
          <w:highlight w:val="none"/>
          <w:u w:val="single"/>
        </w:rPr>
        <w:t>/</w:t>
      </w:r>
    </w:p>
    <w:p w14:paraId="0EDFF22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2、单价合同的总价项目支付分解表的编制与审批：</w:t>
      </w:r>
      <w:r>
        <w:rPr>
          <w:rFonts w:hint="eastAsia" w:ascii="宋体" w:hAnsi="宋体"/>
          <w:color w:val="auto"/>
          <w:sz w:val="22"/>
          <w:szCs w:val="22"/>
          <w:highlight w:val="none"/>
          <w:u w:val="single"/>
        </w:rPr>
        <w:t>/</w:t>
      </w:r>
      <w:r>
        <w:rPr>
          <w:rFonts w:hint="eastAsia" w:ascii="宋体" w:hAnsi="宋体"/>
          <w:color w:val="auto"/>
          <w:sz w:val="22"/>
          <w:szCs w:val="22"/>
          <w:highlight w:val="none"/>
        </w:rPr>
        <w:t>。</w:t>
      </w:r>
    </w:p>
    <w:p w14:paraId="14EE1C1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13.验收和工程试车</w:t>
      </w:r>
    </w:p>
    <w:p w14:paraId="6E8CE54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13.1分部分项工程验收</w:t>
      </w:r>
    </w:p>
    <w:p w14:paraId="7865125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13.1.2监理人不能按时进行验收时，应提前</w:t>
      </w:r>
      <w:r>
        <w:rPr>
          <w:rFonts w:hint="eastAsia" w:ascii="宋体" w:hAnsi="宋体"/>
          <w:color w:val="auto"/>
          <w:sz w:val="22"/>
          <w:szCs w:val="22"/>
          <w:highlight w:val="none"/>
          <w:u w:val="single"/>
        </w:rPr>
        <w:t>48</w:t>
      </w:r>
      <w:r>
        <w:rPr>
          <w:rFonts w:hint="eastAsia" w:ascii="宋体" w:hAnsi="宋体"/>
          <w:color w:val="auto"/>
          <w:sz w:val="22"/>
          <w:szCs w:val="22"/>
          <w:highlight w:val="none"/>
        </w:rPr>
        <w:t>小时提交书面延期要求。</w:t>
      </w:r>
    </w:p>
    <w:p w14:paraId="3B094D1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关于延期最长不得超过：</w:t>
      </w:r>
      <w:r>
        <w:rPr>
          <w:rFonts w:hint="eastAsia" w:ascii="宋体" w:hAnsi="宋体"/>
          <w:color w:val="auto"/>
          <w:sz w:val="22"/>
          <w:szCs w:val="22"/>
          <w:highlight w:val="none"/>
          <w:u w:val="single"/>
        </w:rPr>
        <w:t>48</w:t>
      </w:r>
      <w:r>
        <w:rPr>
          <w:rFonts w:hint="eastAsia" w:ascii="宋体" w:hAnsi="宋体"/>
          <w:color w:val="auto"/>
          <w:sz w:val="22"/>
          <w:szCs w:val="22"/>
          <w:highlight w:val="none"/>
        </w:rPr>
        <w:t>小时。</w:t>
      </w:r>
    </w:p>
    <w:p w14:paraId="4EF5FE2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13.2竣工验收</w:t>
      </w:r>
    </w:p>
    <w:p w14:paraId="5CAA716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13.2.1竣工验收条件</w:t>
      </w:r>
    </w:p>
    <w:p w14:paraId="2018CC9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（3）承包人负责整理和提交的竣工验收资料应当符合工程所在地建设行政主管部门和(或)城市建设档案管理机构有关施工资料的要求，具体内容包括：</w:t>
      </w:r>
      <w:r>
        <w:rPr>
          <w:rFonts w:hint="eastAsia" w:ascii="宋体" w:hAnsi="宋体"/>
          <w:color w:val="auto"/>
          <w:sz w:val="22"/>
          <w:szCs w:val="22"/>
          <w:highlight w:val="none"/>
          <w:u w:val="single"/>
        </w:rPr>
        <w:t>按《建设工程文件归档整理规范》GB/T50328-2014要求提供</w:t>
      </w:r>
      <w:r>
        <w:rPr>
          <w:rFonts w:hint="eastAsia" w:ascii="宋体" w:hAnsi="宋体"/>
          <w:color w:val="auto"/>
          <w:sz w:val="22"/>
          <w:szCs w:val="22"/>
          <w:highlight w:val="none"/>
        </w:rPr>
        <w:t>。</w:t>
      </w:r>
    </w:p>
    <w:p w14:paraId="0A8B87D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竣工验收资料的份数：</w:t>
      </w:r>
      <w:r>
        <w:rPr>
          <w:rFonts w:hint="eastAsia" w:ascii="宋体" w:hAnsi="宋体"/>
          <w:color w:val="auto"/>
          <w:sz w:val="22"/>
          <w:szCs w:val="22"/>
          <w:highlight w:val="none"/>
          <w:u w:val="single"/>
        </w:rPr>
        <w:t>竣工验收前提供竣工图的数量为6套</w:t>
      </w:r>
      <w:r>
        <w:rPr>
          <w:rFonts w:hint="eastAsia" w:ascii="宋体" w:hAnsi="宋体"/>
          <w:color w:val="auto"/>
          <w:sz w:val="22"/>
          <w:szCs w:val="22"/>
          <w:highlight w:val="none"/>
        </w:rPr>
        <w:t>。</w:t>
      </w:r>
    </w:p>
    <w:p w14:paraId="5A7278C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承包人提供竣工图的约定：</w:t>
      </w:r>
      <w:r>
        <w:rPr>
          <w:rFonts w:hint="eastAsia" w:ascii="宋体" w:hAnsi="宋体"/>
          <w:color w:val="auto"/>
          <w:sz w:val="22"/>
          <w:szCs w:val="22"/>
          <w:highlight w:val="none"/>
          <w:u w:val="single"/>
        </w:rPr>
        <w:t>竣工验收正式通过后5天（工程造价在500万元以下含500万元）、10天（工程造价在500万元至1000万元之间含1000万元）、15天（工程造价在1000万元以上），提供竣工图的数量分别为8套、8套、8套</w:t>
      </w:r>
      <w:r>
        <w:rPr>
          <w:rFonts w:hint="eastAsia" w:ascii="宋体" w:hAnsi="宋体"/>
          <w:color w:val="auto"/>
          <w:sz w:val="22"/>
          <w:szCs w:val="22"/>
          <w:highlight w:val="none"/>
        </w:rPr>
        <w:t>。</w:t>
      </w:r>
    </w:p>
    <w:p w14:paraId="53FDA73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13.2.2竣工验收程序</w:t>
      </w:r>
    </w:p>
    <w:p w14:paraId="355A93F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关于竣工验收程序的约定：</w:t>
      </w:r>
      <w:r>
        <w:rPr>
          <w:rFonts w:hint="eastAsia" w:ascii="宋体" w:hAnsi="宋体"/>
          <w:color w:val="auto"/>
          <w:sz w:val="22"/>
          <w:szCs w:val="22"/>
          <w:highlight w:val="none"/>
          <w:u w:val="single"/>
        </w:rPr>
        <w:t>按通用条款执行13.2.2和项目所在地主管部门有关规定执行</w:t>
      </w:r>
      <w:r>
        <w:rPr>
          <w:rFonts w:hint="eastAsia" w:ascii="宋体" w:hAnsi="宋体"/>
          <w:color w:val="auto"/>
          <w:sz w:val="22"/>
          <w:szCs w:val="22"/>
          <w:highlight w:val="none"/>
        </w:rPr>
        <w:t>。</w:t>
      </w:r>
    </w:p>
    <w:p w14:paraId="0ACE6BF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发包人不按照本项约定组织竣工验收、颁发工程接收证书的违约金的计算方法：</w:t>
      </w:r>
      <w:r>
        <w:rPr>
          <w:rFonts w:hint="eastAsia" w:ascii="宋体" w:hAnsi="宋体"/>
          <w:color w:val="auto"/>
          <w:sz w:val="22"/>
          <w:szCs w:val="22"/>
          <w:highlight w:val="none"/>
          <w:u w:val="single"/>
        </w:rPr>
        <w:t>按通用条款执行执行</w:t>
      </w:r>
      <w:r>
        <w:rPr>
          <w:rFonts w:hint="eastAsia" w:ascii="宋体" w:hAnsi="宋体"/>
          <w:color w:val="auto"/>
          <w:sz w:val="22"/>
          <w:szCs w:val="22"/>
          <w:highlight w:val="none"/>
        </w:rPr>
        <w:t>。</w:t>
      </w:r>
    </w:p>
    <w:p w14:paraId="0F96C2B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13.2.5移交、接收全部与部分工程</w:t>
      </w:r>
    </w:p>
    <w:p w14:paraId="27F8D00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承包人向发包人移交工程的期限：</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1DEF499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发包人未按本合同约定接收全部或部分工程的，违约金的计算方法为：</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69A1A08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承包人未按时移交工程的，违约金的计算方法为：</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662E032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13.3工程试车</w:t>
      </w:r>
    </w:p>
    <w:p w14:paraId="28BE5A3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13.3.1试车程序</w:t>
      </w:r>
    </w:p>
    <w:p w14:paraId="37DD572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工程试车内容：</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6F0EF12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（1）单机无负荷试车费用由</w:t>
      </w:r>
      <w:r>
        <w:rPr>
          <w:rFonts w:hint="eastAsia" w:ascii="宋体" w:hAnsi="宋体"/>
          <w:color w:val="auto"/>
          <w:sz w:val="22"/>
          <w:szCs w:val="22"/>
          <w:highlight w:val="none"/>
          <w:u w:val="single"/>
        </w:rPr>
        <w:t>承包人</w:t>
      </w:r>
      <w:r>
        <w:rPr>
          <w:rFonts w:hint="eastAsia" w:ascii="宋体" w:hAnsi="宋体"/>
          <w:color w:val="auto"/>
          <w:sz w:val="22"/>
          <w:szCs w:val="22"/>
          <w:highlight w:val="none"/>
        </w:rPr>
        <w:t>承担；</w:t>
      </w:r>
    </w:p>
    <w:p w14:paraId="0B9DEC0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（2）无负荷联动试车费用由</w:t>
      </w:r>
      <w:r>
        <w:rPr>
          <w:rFonts w:hint="eastAsia" w:ascii="宋体" w:hAnsi="宋体"/>
          <w:color w:val="auto"/>
          <w:sz w:val="22"/>
          <w:szCs w:val="22"/>
          <w:highlight w:val="none"/>
          <w:u w:val="single"/>
        </w:rPr>
        <w:t>发包人</w:t>
      </w:r>
      <w:r>
        <w:rPr>
          <w:rFonts w:hint="eastAsia" w:ascii="宋体" w:hAnsi="宋体"/>
          <w:color w:val="auto"/>
          <w:sz w:val="22"/>
          <w:szCs w:val="22"/>
          <w:highlight w:val="none"/>
        </w:rPr>
        <w:t>承担。</w:t>
      </w:r>
    </w:p>
    <w:p w14:paraId="2DAA920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13.3.3投料试车</w:t>
      </w:r>
    </w:p>
    <w:p w14:paraId="3DD11B4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关于投料试车相关事项的约定：</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439BF05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13.6竣工退场</w:t>
      </w:r>
    </w:p>
    <w:p w14:paraId="6C56B48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13.6.1竣工退场</w:t>
      </w:r>
    </w:p>
    <w:p w14:paraId="19F695AE">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olor w:val="auto"/>
          <w:sz w:val="22"/>
          <w:szCs w:val="22"/>
          <w:highlight w:val="none"/>
        </w:rPr>
        <w:t>承包人完成竣工退场的期限：</w:t>
      </w:r>
      <w:r>
        <w:rPr>
          <w:rFonts w:hint="eastAsia" w:ascii="宋体" w:hAnsi="宋体"/>
          <w:color w:val="auto"/>
          <w:sz w:val="22"/>
          <w:szCs w:val="22"/>
          <w:highlight w:val="none"/>
          <w:u w:val="single"/>
        </w:rPr>
        <w:t>从工程竣工验收通过之日起3天内</w:t>
      </w:r>
      <w:r>
        <w:rPr>
          <w:rFonts w:hint="eastAsia" w:ascii="宋体" w:hAnsi="宋体"/>
          <w:color w:val="auto"/>
          <w:sz w:val="22"/>
          <w:szCs w:val="22"/>
          <w:highlight w:val="none"/>
        </w:rPr>
        <w:t>。</w:t>
      </w:r>
    </w:p>
    <w:p w14:paraId="7375ADAC">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bookmarkStart w:id="185" w:name="_Toc351203646"/>
      <w:r>
        <w:rPr>
          <w:rFonts w:hint="eastAsia" w:ascii="宋体" w:hAnsi="宋体" w:eastAsia="宋体" w:cs="宋体"/>
          <w:color w:val="auto"/>
          <w:sz w:val="22"/>
          <w:szCs w:val="22"/>
          <w:highlight w:val="none"/>
        </w:rPr>
        <w:t>14.竣工结算</w:t>
      </w:r>
      <w:bookmarkEnd w:id="185"/>
    </w:p>
    <w:p w14:paraId="0C38515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14.1竣工结算申请</w:t>
      </w:r>
    </w:p>
    <w:p w14:paraId="33ABFBB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承包人提交竣工结算申请单的期限：</w:t>
      </w:r>
      <w:r>
        <w:rPr>
          <w:rFonts w:hint="eastAsia" w:ascii="宋体" w:hAnsi="宋体"/>
          <w:color w:val="auto"/>
          <w:sz w:val="22"/>
          <w:szCs w:val="22"/>
          <w:highlight w:val="none"/>
          <w:u w:val="single"/>
        </w:rPr>
        <w:t>按通用条款执行</w:t>
      </w:r>
      <w:r>
        <w:rPr>
          <w:rFonts w:hint="eastAsia" w:ascii="宋体" w:hAnsi="宋体" w:cs="宋体"/>
          <w:color w:val="auto"/>
          <w:sz w:val="22"/>
          <w:szCs w:val="22"/>
          <w:highlight w:val="none"/>
        </w:rPr>
        <w:t>。</w:t>
      </w:r>
    </w:p>
    <w:p w14:paraId="0DEF6FF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竣工结算申请单应包括的内容：</w:t>
      </w:r>
      <w:r>
        <w:rPr>
          <w:rFonts w:hint="eastAsia" w:ascii="宋体" w:hAnsi="宋体"/>
          <w:color w:val="auto"/>
          <w:sz w:val="22"/>
          <w:szCs w:val="22"/>
          <w:highlight w:val="none"/>
          <w:u w:val="single"/>
        </w:rPr>
        <w:t>按通用条款执行</w:t>
      </w:r>
      <w:r>
        <w:rPr>
          <w:rFonts w:hint="eastAsia" w:ascii="宋体" w:hAnsi="宋体" w:cs="宋体"/>
          <w:color w:val="auto"/>
          <w:sz w:val="22"/>
          <w:szCs w:val="22"/>
          <w:highlight w:val="none"/>
        </w:rPr>
        <w:t>。</w:t>
      </w:r>
    </w:p>
    <w:p w14:paraId="255F5CB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承包人造价人员应如实编制竣工结算申请单，并对其编制的竣工结算申请单的正确性负责，不得弄虚作假和高估冒算。结算送审金额与审定金额相比，误差超过</w:t>
      </w:r>
      <w:r>
        <w:rPr>
          <w:rFonts w:hint="eastAsia" w:ascii="宋体" w:hAnsi="宋体" w:cs="宋体"/>
          <w:color w:val="auto"/>
          <w:sz w:val="22"/>
          <w:szCs w:val="22"/>
          <w:highlight w:val="none"/>
          <w:u w:val="single"/>
        </w:rPr>
        <w:t>15</w:t>
      </w:r>
      <w:r>
        <w:rPr>
          <w:rFonts w:hint="eastAsia" w:ascii="宋体" w:hAnsi="宋体" w:cs="宋体"/>
          <w:color w:val="auto"/>
          <w:sz w:val="22"/>
          <w:szCs w:val="22"/>
          <w:highlight w:val="none"/>
        </w:rPr>
        <w:t>％（可约定为10%~15%）的，由此增加的竣工结算第三方审核费用由承包人承担。增加审核费用＝（送审金额×0.85－审定金额）×5％，由发包人从承包人的结算款中扣除。并报建设主管部门，作为不良行为对承包人及其造价人员予以记录和通报。</w:t>
      </w:r>
    </w:p>
    <w:p w14:paraId="6BCE70A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14.2 竣工结算审核</w:t>
      </w:r>
    </w:p>
    <w:p w14:paraId="0A025BD5">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发包人审批竣工付款申请单的期限：</w:t>
      </w:r>
      <w:r>
        <w:rPr>
          <w:rFonts w:hint="eastAsia" w:ascii="宋体" w:hAnsi="宋体" w:cs="宋体"/>
          <w:color w:val="auto"/>
          <w:sz w:val="22"/>
          <w:szCs w:val="22"/>
          <w:highlight w:val="none"/>
          <w:u w:val="single"/>
        </w:rPr>
        <w:t>自承包人提交付款申请7天内</w:t>
      </w:r>
      <w:r>
        <w:rPr>
          <w:rFonts w:hint="eastAsia" w:ascii="宋体" w:hAnsi="宋体" w:cs="宋体"/>
          <w:color w:val="auto"/>
          <w:sz w:val="22"/>
          <w:szCs w:val="22"/>
          <w:highlight w:val="none"/>
        </w:rPr>
        <w:t>。</w:t>
      </w:r>
    </w:p>
    <w:p w14:paraId="178730C1">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发包人委托的竣工结算核审机构为：</w:t>
      </w:r>
      <w:r>
        <w:rPr>
          <w:rFonts w:hint="eastAsia" w:ascii="宋体" w:hAnsi="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。发包人委托的竣工结算核审机构对已签发的进度款支付证书进行汇总和复核中发现错误、遗漏或重复的有权提出修正。</w:t>
      </w:r>
    </w:p>
    <w:p w14:paraId="67FF006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发包人完成竣工付款的期限：</w:t>
      </w:r>
      <w:r>
        <w:rPr>
          <w:rFonts w:hint="eastAsia" w:ascii="宋体" w:hAnsi="宋体" w:cs="宋体"/>
          <w:color w:val="auto"/>
          <w:sz w:val="22"/>
          <w:szCs w:val="22"/>
          <w:highlight w:val="none"/>
          <w:u w:val="single"/>
        </w:rPr>
        <w:t>自承包人提交付款申请14天内</w:t>
      </w:r>
      <w:r>
        <w:rPr>
          <w:rFonts w:hint="eastAsia" w:ascii="宋体" w:hAnsi="宋体" w:cs="宋体"/>
          <w:color w:val="auto"/>
          <w:sz w:val="22"/>
          <w:szCs w:val="22"/>
          <w:highlight w:val="none"/>
        </w:rPr>
        <w:t>。</w:t>
      </w:r>
    </w:p>
    <w:p w14:paraId="45A39AF0">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关于竣工付款证书异议部分复核的方式和程序：</w:t>
      </w:r>
      <w:r>
        <w:rPr>
          <w:rFonts w:hint="eastAsia" w:ascii="宋体" w:hAnsi="宋体" w:cs="宋体"/>
          <w:color w:val="auto"/>
          <w:sz w:val="22"/>
          <w:szCs w:val="22"/>
          <w:highlight w:val="none"/>
          <w:u w:val="single"/>
        </w:rPr>
        <w:t>按通用条款执行</w:t>
      </w:r>
      <w:r>
        <w:rPr>
          <w:rFonts w:hint="eastAsia" w:ascii="宋体" w:hAnsi="宋体" w:cs="宋体"/>
          <w:color w:val="auto"/>
          <w:sz w:val="22"/>
          <w:szCs w:val="22"/>
          <w:highlight w:val="none"/>
        </w:rPr>
        <w:t>。</w:t>
      </w:r>
    </w:p>
    <w:p w14:paraId="2AA3573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14.4最终结清</w:t>
      </w:r>
    </w:p>
    <w:p w14:paraId="0FAE13F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14.4.1最终结清申请单</w:t>
      </w:r>
    </w:p>
    <w:p w14:paraId="0FBB256B">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承包人提交最终结清申请单的份数：</w:t>
      </w:r>
      <w:r>
        <w:rPr>
          <w:rFonts w:hint="eastAsia" w:ascii="宋体" w:hAnsi="宋体" w:cs="宋体"/>
          <w:color w:val="auto"/>
          <w:sz w:val="22"/>
          <w:szCs w:val="22"/>
          <w:highlight w:val="none"/>
          <w:u w:val="single"/>
        </w:rPr>
        <w:t>一式五份</w:t>
      </w:r>
      <w:r>
        <w:rPr>
          <w:rFonts w:hint="eastAsia" w:ascii="宋体" w:hAnsi="宋体" w:cs="宋体"/>
          <w:color w:val="auto"/>
          <w:sz w:val="22"/>
          <w:szCs w:val="22"/>
          <w:highlight w:val="none"/>
        </w:rPr>
        <w:t>。</w:t>
      </w:r>
    </w:p>
    <w:p w14:paraId="4C5EFB1A">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承包人提交最终结算申请单的期限：</w:t>
      </w:r>
      <w:r>
        <w:rPr>
          <w:rFonts w:hint="eastAsia"/>
          <w:color w:val="auto"/>
          <w:sz w:val="22"/>
          <w:szCs w:val="22"/>
          <w:highlight w:val="none"/>
          <w:u w:val="single"/>
        </w:rPr>
        <w:t>从发包人收到完整的工程竣工档案备案资料之日起28天内</w:t>
      </w:r>
      <w:r>
        <w:rPr>
          <w:rFonts w:hint="eastAsia" w:ascii="宋体" w:hAnsi="宋体" w:cs="宋体"/>
          <w:color w:val="auto"/>
          <w:sz w:val="22"/>
          <w:szCs w:val="22"/>
          <w:highlight w:val="none"/>
        </w:rPr>
        <w:t>。</w:t>
      </w:r>
    </w:p>
    <w:p w14:paraId="61E237D6">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14.4.2最终结清证书和支付</w:t>
      </w:r>
    </w:p>
    <w:p w14:paraId="063429F1">
      <w:pPr>
        <w:pageBreakBefore w:val="0"/>
        <w:widowControl w:val="0"/>
        <w:numPr>
          <w:ilvl w:val="0"/>
          <w:numId w:val="6"/>
        </w:numPr>
        <w:shd w:val="clear" w:color="auto" w:fill="auto"/>
        <w:kinsoku/>
        <w:wordWrap/>
        <w:overflowPunct/>
        <w:topLinePunct w:val="0"/>
        <w:bidi w:val="0"/>
        <w:snapToGrid w:val="0"/>
        <w:spacing w:line="360" w:lineRule="auto"/>
        <w:ind w:firstLine="440" w:firstLineChars="200"/>
        <w:jc w:val="left"/>
        <w:rPr>
          <w:rFonts w:hint="eastAsia"/>
          <w:color w:val="auto"/>
          <w:sz w:val="22"/>
          <w:szCs w:val="22"/>
          <w:highlight w:val="none"/>
        </w:rPr>
      </w:pPr>
      <w:r>
        <w:rPr>
          <w:rFonts w:hint="eastAsia" w:ascii="宋体" w:hAnsi="宋体" w:cs="宋体"/>
          <w:color w:val="auto"/>
          <w:sz w:val="22"/>
          <w:szCs w:val="22"/>
          <w:highlight w:val="none"/>
        </w:rPr>
        <w:t>发包人完成最终结清申请单的审批并颁发最终结清证书的期限：</w:t>
      </w:r>
      <w:r>
        <w:rPr>
          <w:rFonts w:hint="eastAsia"/>
          <w:color w:val="auto"/>
          <w:sz w:val="22"/>
          <w:szCs w:val="22"/>
          <w:highlight w:val="none"/>
          <w:u w:val="single"/>
        </w:rPr>
        <w:t>从发包人收到最终结清申请单之日起14天内</w:t>
      </w:r>
      <w:r>
        <w:rPr>
          <w:rFonts w:hint="eastAsia"/>
          <w:color w:val="auto"/>
          <w:sz w:val="22"/>
          <w:szCs w:val="22"/>
          <w:highlight w:val="none"/>
        </w:rPr>
        <w:t>。</w:t>
      </w:r>
    </w:p>
    <w:p w14:paraId="5FCD9F08">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（2）发包人完成支付的期限：</w:t>
      </w:r>
      <w:r>
        <w:rPr>
          <w:rFonts w:hint="eastAsia"/>
          <w:color w:val="auto"/>
          <w:sz w:val="22"/>
          <w:szCs w:val="22"/>
          <w:highlight w:val="none"/>
          <w:u w:val="single"/>
        </w:rPr>
        <w:t>从发包人签发最终结清证书之日起28天内</w:t>
      </w:r>
      <w:r>
        <w:rPr>
          <w:rFonts w:hint="eastAsia"/>
          <w:color w:val="auto"/>
          <w:sz w:val="22"/>
          <w:szCs w:val="22"/>
          <w:highlight w:val="none"/>
        </w:rPr>
        <w:t>。</w:t>
      </w:r>
    </w:p>
    <w:bookmarkEnd w:id="177"/>
    <w:bookmarkEnd w:id="178"/>
    <w:bookmarkEnd w:id="179"/>
    <w:bookmarkEnd w:id="180"/>
    <w:bookmarkEnd w:id="181"/>
    <w:bookmarkEnd w:id="182"/>
    <w:bookmarkEnd w:id="183"/>
    <w:bookmarkEnd w:id="184"/>
    <w:p w14:paraId="7F4227F4">
      <w:pPr>
        <w:pStyle w:val="6"/>
        <w:pageBreakBefore w:val="0"/>
        <w:widowControl w:val="0"/>
        <w:shd w:val="clear" w:color="auto" w:fill="auto"/>
        <w:kinsoku/>
        <w:wordWrap/>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bookmarkStart w:id="186" w:name="_Toc351203647"/>
      <w:bookmarkStart w:id="187" w:name="_Toc267251483"/>
      <w:bookmarkStart w:id="188" w:name="_Toc267251485"/>
      <w:bookmarkStart w:id="189" w:name="_Toc267251482"/>
      <w:bookmarkStart w:id="190" w:name="_Toc267251489"/>
      <w:bookmarkStart w:id="191" w:name="_Toc267251484"/>
      <w:bookmarkStart w:id="192" w:name="_Toc267251486"/>
      <w:bookmarkStart w:id="193" w:name="_Toc267251488"/>
      <w:bookmarkStart w:id="194" w:name="_Toc267251490"/>
      <w:bookmarkStart w:id="195" w:name="_Toc267251494"/>
      <w:bookmarkStart w:id="196" w:name="_Toc267251504"/>
      <w:bookmarkStart w:id="197" w:name="_Toc267251511"/>
      <w:bookmarkStart w:id="198" w:name="_Toc267251499"/>
      <w:bookmarkStart w:id="199" w:name="_Toc267251506"/>
      <w:bookmarkStart w:id="200" w:name="_Toc267251495"/>
      <w:bookmarkStart w:id="201" w:name="_Toc267251497"/>
      <w:bookmarkStart w:id="202" w:name="_Toc267251514"/>
      <w:bookmarkStart w:id="203" w:name="_Toc267251492"/>
      <w:bookmarkStart w:id="204" w:name="_Toc267251508"/>
      <w:bookmarkStart w:id="205" w:name="_Toc267251515"/>
      <w:bookmarkStart w:id="206" w:name="_Toc267251510"/>
      <w:bookmarkStart w:id="207" w:name="_Toc267251513"/>
      <w:bookmarkStart w:id="208" w:name="_Toc267251507"/>
      <w:bookmarkStart w:id="209" w:name="_Toc267251501"/>
      <w:bookmarkStart w:id="210" w:name="_Toc267251503"/>
      <w:bookmarkStart w:id="211" w:name="_Toc267251496"/>
      <w:bookmarkStart w:id="212" w:name="_Toc267251498"/>
      <w:bookmarkStart w:id="213" w:name="_Toc267251493"/>
      <w:bookmarkStart w:id="214" w:name="_Toc267251491"/>
      <w:bookmarkStart w:id="215" w:name="_Toc267251502"/>
      <w:bookmarkStart w:id="216" w:name="_Toc267251509"/>
      <w:r>
        <w:rPr>
          <w:rFonts w:hint="eastAsia" w:ascii="宋体" w:hAnsi="宋体" w:eastAsia="宋体" w:cs="宋体"/>
          <w:color w:val="auto"/>
          <w:sz w:val="22"/>
          <w:szCs w:val="22"/>
          <w:highlight w:val="none"/>
        </w:rPr>
        <w:t>15.缺陷责任期与保修</w:t>
      </w:r>
      <w:bookmarkEnd w:id="186"/>
    </w:p>
    <w:p w14:paraId="2E91858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15.2缺陷责任期</w:t>
      </w:r>
      <w:bookmarkEnd w:id="187"/>
    </w:p>
    <w:p w14:paraId="5E96A827">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缺陷责任期的具体期限：</w:t>
      </w:r>
      <w:r>
        <w:rPr>
          <w:rFonts w:hint="eastAsia" w:ascii="宋体" w:hAnsi="宋体" w:cs="宋体"/>
          <w:color w:val="auto"/>
          <w:sz w:val="22"/>
          <w:szCs w:val="22"/>
          <w:highlight w:val="none"/>
          <w:u w:val="single"/>
        </w:rPr>
        <w:t>12</w:t>
      </w:r>
      <w:r>
        <w:rPr>
          <w:rFonts w:hint="eastAsia" w:ascii="宋体" w:hAnsi="宋体" w:eastAsia="宋体" w:cs="宋体"/>
          <w:color w:val="auto"/>
          <w:sz w:val="22"/>
          <w:szCs w:val="22"/>
          <w:highlight w:val="none"/>
          <w:u w:val="single"/>
          <w:lang w:eastAsia="zh-CN"/>
        </w:rPr>
        <w:t>个月</w:t>
      </w:r>
      <w:r>
        <w:rPr>
          <w:rFonts w:hint="eastAsia" w:ascii="宋体" w:hAnsi="宋体" w:cs="宋体"/>
          <w:color w:val="auto"/>
          <w:sz w:val="22"/>
          <w:szCs w:val="22"/>
          <w:highlight w:val="none"/>
          <w:u w:val="single"/>
        </w:rPr>
        <w:t xml:space="preserve">（最长不超过24个月） </w:t>
      </w:r>
      <w:r>
        <w:rPr>
          <w:rFonts w:hint="eastAsia" w:ascii="宋体" w:hAnsi="宋体" w:cs="宋体"/>
          <w:color w:val="auto"/>
          <w:sz w:val="22"/>
          <w:szCs w:val="22"/>
          <w:highlight w:val="none"/>
        </w:rPr>
        <w:t>。</w:t>
      </w:r>
    </w:p>
    <w:p w14:paraId="0438CF53">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15.3质量保证金</w:t>
      </w:r>
    </w:p>
    <w:p w14:paraId="1EEF0FBC">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关于是否扣留质量保证金的约定：</w:t>
      </w:r>
      <w:r>
        <w:rPr>
          <w:rFonts w:hint="eastAsia" w:ascii="宋体" w:hAnsi="宋体" w:cs="宋体"/>
          <w:color w:val="auto"/>
          <w:sz w:val="22"/>
          <w:szCs w:val="22"/>
          <w:highlight w:val="none"/>
          <w:u w:val="single"/>
        </w:rPr>
        <w:t>扣留</w:t>
      </w:r>
      <w:r>
        <w:rPr>
          <w:rFonts w:hint="eastAsia" w:ascii="宋体" w:hAnsi="宋体" w:cs="宋体"/>
          <w:color w:val="auto"/>
          <w:sz w:val="22"/>
          <w:szCs w:val="22"/>
          <w:highlight w:val="none"/>
        </w:rPr>
        <w:t>。</w:t>
      </w:r>
    </w:p>
    <w:p w14:paraId="4D71B85F">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15.3.1承包人提供质量保证金的方式</w:t>
      </w:r>
    </w:p>
    <w:p w14:paraId="3B390E0E">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质量保证金采用以下第</w:t>
      </w:r>
      <w:r>
        <w:rPr>
          <w:rFonts w:hint="eastAsia" w:ascii="宋体" w:hAnsi="宋体" w:eastAsia="宋体" w:cs="宋体"/>
          <w:color w:val="auto"/>
          <w:sz w:val="22"/>
          <w:szCs w:val="22"/>
          <w:highlight w:val="none"/>
          <w:u w:val="single"/>
          <w:lang w:val="en-US" w:eastAsia="zh-CN"/>
        </w:rPr>
        <w:t xml:space="preserve"> （2） </w:t>
      </w:r>
      <w:r>
        <w:rPr>
          <w:rFonts w:hint="eastAsia" w:ascii="宋体" w:hAnsi="宋体" w:cs="宋体"/>
          <w:color w:val="auto"/>
          <w:sz w:val="22"/>
          <w:szCs w:val="22"/>
          <w:highlight w:val="none"/>
        </w:rPr>
        <w:t>种方式：</w:t>
      </w:r>
    </w:p>
    <w:p w14:paraId="4C2D05F1">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（1）质量保证金保函，保证金额为：</w:t>
      </w:r>
      <w:r>
        <w:rPr>
          <w:rFonts w:hint="eastAsia" w:ascii="宋体" w:hAnsi="宋体" w:cs="宋体"/>
          <w:color w:val="auto"/>
          <w:kern w:val="0"/>
          <w:sz w:val="22"/>
          <w:szCs w:val="22"/>
          <w:highlight w:val="none"/>
          <w:u w:val="single"/>
        </w:rPr>
        <w:t>3%</w:t>
      </w:r>
      <w:r>
        <w:rPr>
          <w:rFonts w:hint="eastAsia" w:ascii="宋体" w:hAnsi="宋体" w:cs="宋体"/>
          <w:color w:val="auto"/>
          <w:kern w:val="0"/>
          <w:sz w:val="22"/>
          <w:szCs w:val="22"/>
          <w:highlight w:val="none"/>
        </w:rPr>
        <w:t xml:space="preserve">（工程结算价的3%） ； </w:t>
      </w:r>
    </w:p>
    <w:p w14:paraId="361F2C4D">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u w:val="single"/>
        </w:rPr>
        <w:t>3</w:t>
      </w:r>
      <w:r>
        <w:rPr>
          <w:rFonts w:hint="eastAsia" w:ascii="宋体" w:hAnsi="宋体" w:cs="宋体"/>
          <w:color w:val="auto"/>
          <w:kern w:val="0"/>
          <w:sz w:val="22"/>
          <w:szCs w:val="22"/>
          <w:highlight w:val="none"/>
        </w:rPr>
        <w:t>%的工程款（工程结算价的3%）；</w:t>
      </w:r>
    </w:p>
    <w:p w14:paraId="2F0D22EB">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（3）其他方式:</w:t>
      </w:r>
      <w:r>
        <w:rPr>
          <w:rFonts w:hint="eastAsia" w:ascii="宋体" w:hAnsi="宋体" w:cs="宋体"/>
          <w:color w:val="auto"/>
          <w:kern w:val="0"/>
          <w:sz w:val="22"/>
          <w:szCs w:val="22"/>
          <w:highlight w:val="none"/>
          <w:u w:val="single"/>
        </w:rPr>
        <w:t>按通用条款执行</w:t>
      </w:r>
      <w:r>
        <w:rPr>
          <w:rFonts w:hint="eastAsia" w:ascii="宋体" w:hAnsi="宋体" w:cs="宋体"/>
          <w:color w:val="auto"/>
          <w:kern w:val="0"/>
          <w:sz w:val="22"/>
          <w:szCs w:val="22"/>
          <w:highlight w:val="none"/>
        </w:rPr>
        <w:t>。</w:t>
      </w:r>
    </w:p>
    <w:p w14:paraId="0442846D">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15.3.2质量保证金的扣留 </w:t>
      </w:r>
    </w:p>
    <w:p w14:paraId="262BF539">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质量保证金的扣留采取以下第</w:t>
      </w:r>
      <w:r>
        <w:rPr>
          <w:rFonts w:hint="eastAsia" w:ascii="宋体" w:hAnsi="宋体" w:cs="宋体"/>
          <w:color w:val="auto"/>
          <w:sz w:val="22"/>
          <w:szCs w:val="22"/>
          <w:highlight w:val="none"/>
          <w:u w:val="single"/>
          <w:lang w:val="en-US" w:eastAsia="zh-CN"/>
        </w:rPr>
        <w:t xml:space="preserve"> （2） </w:t>
      </w:r>
      <w:r>
        <w:rPr>
          <w:rFonts w:hint="eastAsia" w:ascii="宋体" w:hAnsi="宋体" w:cs="宋体"/>
          <w:color w:val="auto"/>
          <w:sz w:val="22"/>
          <w:szCs w:val="22"/>
          <w:highlight w:val="none"/>
        </w:rPr>
        <w:t>种方式：</w:t>
      </w:r>
    </w:p>
    <w:p w14:paraId="7821694F">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（1）在支付工程进度款时逐次扣留，在此情形下，质量保证金的计算基数不包括预付款的支付、扣回以及价格调整的金额；</w:t>
      </w:r>
    </w:p>
    <w:p w14:paraId="7548E3F1">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（2）工程竣工结</w:t>
      </w:r>
      <w:r>
        <w:rPr>
          <w:rFonts w:hint="eastAsia" w:ascii="宋体" w:hAnsi="宋体" w:cs="宋体"/>
          <w:color w:val="000000" w:themeColor="text1"/>
          <w:kern w:val="0"/>
          <w:sz w:val="22"/>
          <w:szCs w:val="22"/>
          <w:highlight w:val="none"/>
          <w14:textFill>
            <w14:solidFill>
              <w14:schemeClr w14:val="tx1"/>
            </w14:solidFill>
          </w14:textFill>
        </w:rPr>
        <w:t>算</w:t>
      </w:r>
      <w:r>
        <w:rPr>
          <w:rFonts w:hint="eastAsia" w:ascii="宋体" w:hAnsi="宋体" w:eastAsia="宋体" w:cs="宋体"/>
          <w:color w:val="000000" w:themeColor="text1"/>
          <w:kern w:val="0"/>
          <w:sz w:val="22"/>
          <w:szCs w:val="22"/>
          <w:highlight w:val="none"/>
          <w:lang w:eastAsia="zh-CN"/>
          <w14:textFill>
            <w14:solidFill>
              <w14:schemeClr w14:val="tx1"/>
            </w14:solidFill>
          </w14:textFill>
        </w:rPr>
        <w:t>应按</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12.4.1</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付款周期和支付比例约定执行扣留</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cs="宋体"/>
          <w:color w:val="000000" w:themeColor="text1"/>
          <w:kern w:val="0"/>
          <w:sz w:val="22"/>
          <w:szCs w:val="22"/>
          <w:highlight w:val="none"/>
          <w14:textFill>
            <w14:solidFill>
              <w14:schemeClr w14:val="tx1"/>
            </w14:solidFill>
          </w14:textFill>
        </w:rPr>
        <w:t>质量保</w:t>
      </w:r>
      <w:r>
        <w:rPr>
          <w:rFonts w:hint="eastAsia" w:ascii="宋体" w:hAnsi="宋体" w:cs="宋体"/>
          <w:color w:val="auto"/>
          <w:kern w:val="0"/>
          <w:sz w:val="22"/>
          <w:szCs w:val="22"/>
          <w:highlight w:val="none"/>
        </w:rPr>
        <w:t>证金；</w:t>
      </w:r>
    </w:p>
    <w:p w14:paraId="5E78A00F">
      <w:pPr>
        <w:pageBreakBefore w:val="0"/>
        <w:widowControl w:val="0"/>
        <w:shd w:val="clear" w:color="auto" w:fill="auto"/>
        <w:kinsoku/>
        <w:wordWrap/>
        <w:overflowPunct/>
        <w:topLinePunct w:val="0"/>
        <w:autoSpaceDE w:val="0"/>
        <w:autoSpaceDN w:val="0"/>
        <w:bidi w:val="0"/>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（3）其他扣留方式:</w:t>
      </w:r>
      <w:r>
        <w:rPr>
          <w:rFonts w:hint="eastAsia" w:ascii="宋体" w:hAnsi="宋体" w:cs="宋体"/>
          <w:color w:val="auto"/>
          <w:kern w:val="0"/>
          <w:sz w:val="22"/>
          <w:szCs w:val="22"/>
          <w:highlight w:val="none"/>
          <w:u w:val="single"/>
        </w:rPr>
        <w:t>按通用条款执行</w:t>
      </w:r>
      <w:r>
        <w:rPr>
          <w:rFonts w:hint="eastAsia" w:ascii="宋体" w:hAnsi="宋体" w:cs="宋体"/>
          <w:color w:val="auto"/>
          <w:kern w:val="0"/>
          <w:sz w:val="22"/>
          <w:szCs w:val="22"/>
          <w:highlight w:val="none"/>
        </w:rPr>
        <w:t>。</w:t>
      </w:r>
    </w:p>
    <w:p w14:paraId="32F1F294">
      <w:pPr>
        <w:pageBreakBefore w:val="0"/>
        <w:widowControl w:val="0"/>
        <w:shd w:val="clear" w:color="auto" w:fill="auto"/>
        <w:kinsoku/>
        <w:wordWrap/>
        <w:overflowPunct/>
        <w:topLinePunct w:val="0"/>
        <w:bidi w:val="0"/>
        <w:snapToGrid w:val="0"/>
        <w:spacing w:line="360" w:lineRule="auto"/>
        <w:ind w:firstLine="440" w:firstLineChars="200"/>
        <w:jc w:val="left"/>
        <w:rPr>
          <w:rFonts w:hint="eastAsia" w:ascii="宋体" w:hAnsi="宋体" w:cs="宋体"/>
          <w:color w:val="auto"/>
          <w:kern w:val="0"/>
          <w:sz w:val="22"/>
          <w:szCs w:val="22"/>
          <w:highlight w:val="none"/>
          <w:u w:val="single"/>
        </w:rPr>
      </w:pPr>
      <w:r>
        <w:rPr>
          <w:rFonts w:hint="eastAsia" w:ascii="宋体" w:hAnsi="宋体" w:cs="宋体"/>
          <w:color w:val="auto"/>
          <w:sz w:val="22"/>
          <w:szCs w:val="22"/>
          <w:highlight w:val="none"/>
        </w:rPr>
        <w:t>关于质量保证金的补充约定：</w:t>
      </w:r>
      <w:r>
        <w:rPr>
          <w:rFonts w:hint="eastAsia" w:ascii="宋体" w:hAnsi="宋体" w:cs="宋体"/>
          <w:color w:val="auto"/>
          <w:kern w:val="0"/>
          <w:sz w:val="22"/>
          <w:szCs w:val="22"/>
          <w:highlight w:val="none"/>
          <w:u w:val="single"/>
        </w:rPr>
        <w:t>按通用条款执行</w:t>
      </w:r>
      <w:r>
        <w:rPr>
          <w:rFonts w:hint="eastAsia" w:ascii="宋体" w:hAnsi="宋体" w:cs="宋体"/>
          <w:color w:val="auto"/>
          <w:kern w:val="0"/>
          <w:sz w:val="22"/>
          <w:szCs w:val="22"/>
          <w:highlight w:val="none"/>
        </w:rPr>
        <w:t>。</w:t>
      </w:r>
    </w:p>
    <w:bookmarkEnd w:id="188"/>
    <w:bookmarkEnd w:id="189"/>
    <w:bookmarkEnd w:id="190"/>
    <w:bookmarkEnd w:id="191"/>
    <w:bookmarkEnd w:id="192"/>
    <w:bookmarkEnd w:id="193"/>
    <w:bookmarkEnd w:id="194"/>
    <w:p w14:paraId="6478C46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bookmarkStart w:id="217" w:name="_Toc280868718"/>
      <w:bookmarkStart w:id="218" w:name="_Toc280868717"/>
      <w:bookmarkStart w:id="219" w:name="_Toc351203648"/>
      <w:r>
        <w:rPr>
          <w:rFonts w:hint="eastAsia" w:ascii="宋体" w:hAnsi="宋体"/>
          <w:color w:val="auto"/>
          <w:sz w:val="22"/>
          <w:szCs w:val="22"/>
          <w:highlight w:val="none"/>
        </w:rPr>
        <w:t>15.4保修</w:t>
      </w:r>
    </w:p>
    <w:p w14:paraId="2372085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15.4.1保修责任</w:t>
      </w:r>
    </w:p>
    <w:p w14:paraId="37733A0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工程保修期为：</w:t>
      </w:r>
      <w:r>
        <w:rPr>
          <w:rFonts w:hint="eastAsia" w:ascii="宋体" w:hAnsi="宋体"/>
          <w:color w:val="auto"/>
          <w:sz w:val="22"/>
          <w:szCs w:val="22"/>
          <w:highlight w:val="none"/>
          <w:u w:val="single"/>
        </w:rPr>
        <w:t>见附件《工程质量保修书》</w:t>
      </w:r>
      <w:r>
        <w:rPr>
          <w:rFonts w:hint="eastAsia" w:ascii="宋体" w:hAnsi="宋体"/>
          <w:color w:val="auto"/>
          <w:sz w:val="22"/>
          <w:szCs w:val="22"/>
          <w:highlight w:val="none"/>
        </w:rPr>
        <w:t>。</w:t>
      </w:r>
    </w:p>
    <w:p w14:paraId="2B09EBE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15.4.3修复通知</w:t>
      </w:r>
    </w:p>
    <w:p w14:paraId="002E0FC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承包人收到保修通知并到达工程现场的合理时间：</w:t>
      </w:r>
      <w:r>
        <w:rPr>
          <w:rFonts w:hint="eastAsia" w:ascii="宋体" w:hAnsi="宋体"/>
          <w:color w:val="auto"/>
          <w:sz w:val="22"/>
          <w:szCs w:val="22"/>
          <w:highlight w:val="none"/>
          <w:u w:val="single"/>
        </w:rPr>
        <w:t>24小时</w:t>
      </w:r>
      <w:r>
        <w:rPr>
          <w:rFonts w:hint="eastAsia" w:ascii="宋体" w:hAnsi="宋体"/>
          <w:color w:val="auto"/>
          <w:sz w:val="22"/>
          <w:szCs w:val="22"/>
          <w:highlight w:val="none"/>
        </w:rPr>
        <w:t>。</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6E13DF7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16.违约</w:t>
      </w:r>
    </w:p>
    <w:p w14:paraId="07952D9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16.1发包人违约</w:t>
      </w:r>
    </w:p>
    <w:p w14:paraId="03E223B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16.1.1发包人违约的情形</w:t>
      </w:r>
    </w:p>
    <w:p w14:paraId="6D9D2E2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发包人违约的其他情形：。</w:t>
      </w:r>
    </w:p>
    <w:p w14:paraId="4F2E97A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16.1.2发包人违约的责任</w:t>
      </w:r>
    </w:p>
    <w:p w14:paraId="2B932CE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发包人违约责任的承担方式和计算方法：</w:t>
      </w:r>
    </w:p>
    <w:p w14:paraId="049D250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（1）因发包人原因未能在计划开工日期前7天内下达开工通知的违约责任：</w:t>
      </w:r>
      <w:r>
        <w:rPr>
          <w:rFonts w:hint="eastAsia" w:ascii="宋体" w:hAnsi="宋体"/>
          <w:color w:val="auto"/>
          <w:sz w:val="22"/>
          <w:szCs w:val="22"/>
          <w:highlight w:val="none"/>
          <w:u w:val="single"/>
        </w:rPr>
        <w:t>工期可顺延</w:t>
      </w:r>
      <w:r>
        <w:rPr>
          <w:rFonts w:hint="eastAsia" w:ascii="宋体" w:hAnsi="宋体"/>
          <w:color w:val="auto"/>
          <w:sz w:val="22"/>
          <w:szCs w:val="22"/>
          <w:highlight w:val="none"/>
        </w:rPr>
        <w:t>。</w:t>
      </w:r>
    </w:p>
    <w:p w14:paraId="7CBB26B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（2）因发包人原因未能按合同约定支付合同价款的违约责任：</w:t>
      </w:r>
      <w:r>
        <w:rPr>
          <w:rFonts w:hint="eastAsia" w:ascii="宋体" w:hAnsi="宋体"/>
          <w:color w:val="auto"/>
          <w:sz w:val="22"/>
          <w:szCs w:val="22"/>
          <w:highlight w:val="none"/>
          <w:u w:val="single"/>
        </w:rPr>
        <w:t>按合同通用条款执行</w:t>
      </w:r>
      <w:r>
        <w:rPr>
          <w:rFonts w:hint="eastAsia" w:ascii="宋体" w:hAnsi="宋体"/>
          <w:color w:val="auto"/>
          <w:sz w:val="22"/>
          <w:szCs w:val="22"/>
          <w:highlight w:val="none"/>
        </w:rPr>
        <w:t>。</w:t>
      </w:r>
    </w:p>
    <w:p w14:paraId="3664FC0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（3）发包人违反第10.1款〔变更的范围〕第（2）项约定，自行实施被取消的工作或转由他人实施的违约责任：</w:t>
      </w:r>
      <w:r>
        <w:rPr>
          <w:rFonts w:hint="eastAsia" w:ascii="宋体" w:hAnsi="宋体"/>
          <w:color w:val="auto"/>
          <w:sz w:val="22"/>
          <w:szCs w:val="22"/>
          <w:highlight w:val="none"/>
          <w:u w:val="single"/>
        </w:rPr>
        <w:t>赔偿承包人损失</w:t>
      </w:r>
      <w:r>
        <w:rPr>
          <w:rFonts w:hint="eastAsia" w:ascii="宋体" w:hAnsi="宋体"/>
          <w:color w:val="auto"/>
          <w:sz w:val="22"/>
          <w:szCs w:val="22"/>
          <w:highlight w:val="none"/>
        </w:rPr>
        <w:t>。</w:t>
      </w:r>
    </w:p>
    <w:p w14:paraId="30AB639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 w:val="22"/>
          <w:szCs w:val="22"/>
          <w:highlight w:val="none"/>
          <w:u w:val="single"/>
        </w:rPr>
        <w:t>赔偿承包人损失，延误的工期顺延</w:t>
      </w:r>
      <w:r>
        <w:rPr>
          <w:rFonts w:hint="eastAsia" w:ascii="宋体" w:hAnsi="宋体"/>
          <w:color w:val="auto"/>
          <w:sz w:val="22"/>
          <w:szCs w:val="22"/>
          <w:highlight w:val="none"/>
        </w:rPr>
        <w:t>。</w:t>
      </w:r>
    </w:p>
    <w:p w14:paraId="536601C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（5）因发包人违反合同约定造成暂停施工的违约责任：</w:t>
      </w:r>
      <w:r>
        <w:rPr>
          <w:rFonts w:hint="eastAsia" w:ascii="宋体" w:hAnsi="宋体"/>
          <w:color w:val="auto"/>
          <w:sz w:val="22"/>
          <w:szCs w:val="22"/>
          <w:highlight w:val="none"/>
          <w:u w:val="single"/>
        </w:rPr>
        <w:t>赔偿承包人损失，延误的工期顺延</w:t>
      </w:r>
      <w:r>
        <w:rPr>
          <w:rFonts w:hint="eastAsia" w:ascii="宋体" w:hAnsi="宋体"/>
          <w:color w:val="auto"/>
          <w:sz w:val="22"/>
          <w:szCs w:val="22"/>
          <w:highlight w:val="none"/>
        </w:rPr>
        <w:t>。</w:t>
      </w:r>
    </w:p>
    <w:p w14:paraId="3EDF9DD1">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（6）发包人无正当理由没有在约定期限内发出复工指示，导致承包人无法复工的违约责任：</w:t>
      </w:r>
      <w:r>
        <w:rPr>
          <w:rFonts w:hint="eastAsia" w:ascii="宋体" w:hAnsi="宋体"/>
          <w:color w:val="auto"/>
          <w:sz w:val="22"/>
          <w:szCs w:val="22"/>
          <w:highlight w:val="none"/>
          <w:u w:val="single"/>
        </w:rPr>
        <w:t>赔偿承包人损失，延误的工期顺延</w:t>
      </w:r>
      <w:r>
        <w:rPr>
          <w:rFonts w:hint="eastAsia" w:ascii="宋体" w:hAnsi="宋体"/>
          <w:color w:val="auto"/>
          <w:sz w:val="22"/>
          <w:szCs w:val="22"/>
          <w:highlight w:val="none"/>
        </w:rPr>
        <w:t>。</w:t>
      </w:r>
    </w:p>
    <w:p w14:paraId="4DEAE94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（7）因发包人未按时将农民工工资拨付到农民工工资支付专用账户的违约责任：</w:t>
      </w:r>
      <w:r>
        <w:rPr>
          <w:rFonts w:hint="eastAsia" w:ascii="宋体" w:hAnsi="宋体"/>
          <w:color w:val="auto"/>
          <w:sz w:val="22"/>
          <w:szCs w:val="22"/>
          <w:highlight w:val="none"/>
          <w:u w:val="single"/>
        </w:rPr>
        <w:t>因发包人未按时拨付农民工工资至农民工工资专用账户出现拖欠农民工工资的，由建设单位承担农民工工资清偿责任</w:t>
      </w:r>
      <w:r>
        <w:rPr>
          <w:rFonts w:hint="eastAsia" w:ascii="宋体" w:hAnsi="宋体"/>
          <w:color w:val="auto"/>
          <w:sz w:val="22"/>
          <w:szCs w:val="22"/>
          <w:highlight w:val="none"/>
        </w:rPr>
        <w:t>。</w:t>
      </w:r>
    </w:p>
    <w:p w14:paraId="6DC1C27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（8）其他：。</w:t>
      </w:r>
    </w:p>
    <w:p w14:paraId="0D54B26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16.1.3因发包人违约解除合同</w:t>
      </w:r>
    </w:p>
    <w:p w14:paraId="4CEF1B5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承包人按16.1.1项〔发包人违约的情形〕约定暂停施工满30天后发包人仍不纠正其违约行为并致使合同目的不能实现的，承包人有权解除合同。</w:t>
      </w:r>
    </w:p>
    <w:p w14:paraId="22070D2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16.2承包人违约</w:t>
      </w:r>
    </w:p>
    <w:p w14:paraId="69D45EA5">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16.2.1承包人违约的情形</w:t>
      </w:r>
    </w:p>
    <w:p w14:paraId="13159A3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承包人违约的其他情形：。</w:t>
      </w:r>
    </w:p>
    <w:p w14:paraId="0967A03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16.2.2承包人违约的责任</w:t>
      </w:r>
    </w:p>
    <w:p w14:paraId="1A45D35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承包人违约责任的承担方式和计算方法：</w:t>
      </w:r>
    </w:p>
    <w:p w14:paraId="2FF395D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A54129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（2）承包人有本合同通用条款第16.2.1（6）条情形的，或经监理人检验认为修复质量不合格而承包人拒绝再进行修补的，发包人将扣除承包人全部质量保修金。</w:t>
      </w:r>
    </w:p>
    <w:p w14:paraId="3322BCE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430B03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（4）发包人已按时将农民工工资拨付到农民工工资支付专用账户，仍出现农民工工资拖欠的，由承包人承担农民工工资清偿责任，发包人可从未支付工程款中支清偿。</w:t>
      </w:r>
    </w:p>
    <w:p w14:paraId="001D8B2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16.2.3因承包人违约解除合同</w:t>
      </w:r>
    </w:p>
    <w:p w14:paraId="1570D388">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关于承包人违约解除合同的特别约定：</w:t>
      </w:r>
      <w:r>
        <w:rPr>
          <w:rFonts w:hint="eastAsia" w:ascii="宋体" w:hAnsi="宋体"/>
          <w:color w:val="auto"/>
          <w:sz w:val="22"/>
          <w:szCs w:val="22"/>
          <w:highlight w:val="none"/>
          <w:u w:val="single"/>
        </w:rPr>
        <w:t>承包人有违反以下情况之一的，发包人有权解除合同，并没收其全部履约保证金</w:t>
      </w:r>
      <w:r>
        <w:rPr>
          <w:rFonts w:hint="eastAsia" w:ascii="宋体" w:hAnsi="宋体"/>
          <w:color w:val="auto"/>
          <w:sz w:val="22"/>
          <w:szCs w:val="22"/>
          <w:highlight w:val="none"/>
        </w:rPr>
        <w:t>。</w:t>
      </w:r>
    </w:p>
    <w:p w14:paraId="6FBE5AE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(1)承包人无正当理由不按开工通知的要求及时进场组织施工和不按签订协议书时商定的进度计划有效地开展施工准备，造成工期延误的；</w:t>
      </w:r>
    </w:p>
    <w:p w14:paraId="1F0CE1B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(2)承包人违反本合同通用条款第3.5条规定私自将合同或合同的任何部分或任何权利转让给其他人，或私自将工程或工程的一部分分包出去的；</w:t>
      </w:r>
    </w:p>
    <w:p w14:paraId="0F00C58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(3)未经监理人批准，承包人私自将已按投标文件承诺进入工地的工程设备、施工设备、临时工程或材料撤离工地的；</w:t>
      </w:r>
    </w:p>
    <w:p w14:paraId="144AA61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(4)由于承包人原因拒绝按合同进度计划及时完成合同规定的工程，而又未采取有效措施赶上进度，造成工期严重延误的；</w:t>
      </w:r>
    </w:p>
    <w:p w14:paraId="1D0F739F">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(5)承包人否认合同有效或拒绝履行合同规定的承包人义务，或由于法律、财务等原因导致承包人无法继续履行或实质上已停止履行合同的义务的；</w:t>
      </w:r>
    </w:p>
    <w:p w14:paraId="1DE3DDD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(6)合同签订之日起十五日内，承包人无法按合同规定及投标文件的承诺进场经监理工程师认可的全部人员和机械的。</w:t>
      </w:r>
    </w:p>
    <w:p w14:paraId="6F473370">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发包人继续使用承包人在施工现场的材料、设备、临时工程、承包人文件和由承包人或以其名义编制的其他文件的费用承担方式：</w:t>
      </w:r>
      <w:r>
        <w:rPr>
          <w:rFonts w:hint="eastAsia" w:ascii="宋体" w:hAnsi="宋体"/>
          <w:color w:val="auto"/>
          <w:sz w:val="22"/>
          <w:szCs w:val="22"/>
          <w:highlight w:val="none"/>
          <w:u w:val="single"/>
        </w:rPr>
        <w:t>除材料、设备另行协商外，其它无偿使用</w:t>
      </w:r>
      <w:r>
        <w:rPr>
          <w:rFonts w:hint="eastAsia" w:ascii="宋体" w:hAnsi="宋体"/>
          <w:color w:val="auto"/>
          <w:sz w:val="22"/>
          <w:szCs w:val="22"/>
          <w:highlight w:val="none"/>
        </w:rPr>
        <w:t>。</w:t>
      </w:r>
    </w:p>
    <w:p w14:paraId="7D9F818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16.2.4因承包人违约解除合同后的处理</w:t>
      </w:r>
    </w:p>
    <w:p w14:paraId="72C6A81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如果发包人应扣除的金额超过应支付的金额，承包人应在合同解除后的56天内将其差额退还给发包人。</w:t>
      </w:r>
    </w:p>
    <w:p w14:paraId="42D3C36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17.不可抗力</w:t>
      </w:r>
    </w:p>
    <w:p w14:paraId="07FE34A9">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17.1不可抗力的确认</w:t>
      </w:r>
    </w:p>
    <w:p w14:paraId="1F3CEE0A">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除通用合同条款约定的不可抗力事件之外，视为不可抗力的其他情形：</w:t>
      </w:r>
    </w:p>
    <w:p w14:paraId="148A1496">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（1）6级以上的地震；</w:t>
      </w:r>
    </w:p>
    <w:p w14:paraId="6E184F07">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（2）10级以上持续1天的大风；</w:t>
      </w:r>
    </w:p>
    <w:p w14:paraId="2C525AAC">
      <w:pPr>
        <w:pageBreakBefore w:val="0"/>
        <w:widowControl w:val="0"/>
        <w:numPr>
          <w:ilvl w:val="0"/>
          <w:numId w:val="7"/>
        </w:numPr>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暴雨级以上持续1天的大雨；</w:t>
      </w:r>
    </w:p>
    <w:p w14:paraId="1159FB18">
      <w:pPr>
        <w:pageBreakBefore w:val="0"/>
        <w:widowControl w:val="0"/>
        <w:numPr>
          <w:ilvl w:val="0"/>
          <w:numId w:val="7"/>
        </w:numPr>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50年以上未发生过，持续2天的高温天气；</w:t>
      </w:r>
    </w:p>
    <w:p w14:paraId="04454451">
      <w:pPr>
        <w:pageBreakBefore w:val="0"/>
        <w:widowControl w:val="0"/>
        <w:numPr>
          <w:ilvl w:val="0"/>
          <w:numId w:val="7"/>
        </w:numPr>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50年以上未发生过，持续2天的低温天气；</w:t>
      </w:r>
    </w:p>
    <w:p w14:paraId="32CA792A">
      <w:pPr>
        <w:pageBreakBefore w:val="0"/>
        <w:widowControl w:val="0"/>
        <w:numPr>
          <w:ilvl w:val="0"/>
          <w:numId w:val="7"/>
        </w:numPr>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50年以上未发生过的洪水。</w:t>
      </w:r>
    </w:p>
    <w:p w14:paraId="72A4CFE6">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17.2因不可抗力解除合同</w:t>
      </w:r>
    </w:p>
    <w:p w14:paraId="066BEBB7">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合同解除后，发包人应在商定或确定发包人应支付款项后</w:t>
      </w:r>
      <w:r>
        <w:rPr>
          <w:rFonts w:hint="eastAsia" w:ascii="宋体" w:hAnsi="宋体"/>
          <w:bCs/>
          <w:color w:val="auto"/>
          <w:sz w:val="22"/>
          <w:szCs w:val="22"/>
          <w:highlight w:val="none"/>
          <w:u w:val="single"/>
        </w:rPr>
        <w:t>56</w:t>
      </w:r>
      <w:r>
        <w:rPr>
          <w:rFonts w:hint="eastAsia" w:ascii="宋体" w:hAnsi="宋体"/>
          <w:bCs/>
          <w:color w:val="auto"/>
          <w:sz w:val="22"/>
          <w:szCs w:val="22"/>
          <w:highlight w:val="none"/>
        </w:rPr>
        <w:t>天内完成款项的支付</w:t>
      </w:r>
    </w:p>
    <w:p w14:paraId="1F1264E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18.保险</w:t>
      </w:r>
    </w:p>
    <w:p w14:paraId="7BAC0224">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18.1工程保险</w:t>
      </w:r>
    </w:p>
    <w:p w14:paraId="7EF763B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关于工程保险的特别约定：</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31023F0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18.3其他保险</w:t>
      </w:r>
    </w:p>
    <w:p w14:paraId="6D77374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关于其他保险的约定：</w:t>
      </w:r>
      <w:r>
        <w:rPr>
          <w:rFonts w:hint="eastAsia" w:ascii="宋体" w:hAnsi="宋体"/>
          <w:color w:val="auto"/>
          <w:sz w:val="22"/>
          <w:szCs w:val="22"/>
          <w:highlight w:val="none"/>
          <w:u w:val="single"/>
        </w:rPr>
        <w:t>承包人必须为施工现场从事施工的所有作业人员和管理人员办理意外伤害保险，并支付保险费</w:t>
      </w:r>
      <w:r>
        <w:rPr>
          <w:rFonts w:hint="eastAsia" w:ascii="宋体" w:hAnsi="宋体"/>
          <w:color w:val="auto"/>
          <w:sz w:val="22"/>
          <w:szCs w:val="22"/>
          <w:highlight w:val="none"/>
        </w:rPr>
        <w:t>。</w:t>
      </w:r>
    </w:p>
    <w:p w14:paraId="4E811EC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承包人是否应为其施工设备等办理财产保险：</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57957DC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18.4通知义务</w:t>
      </w:r>
    </w:p>
    <w:p w14:paraId="533A2D8C">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关于变更保险合同时的通知义务的约定：</w:t>
      </w:r>
      <w:r>
        <w:rPr>
          <w:rFonts w:hint="eastAsia" w:ascii="宋体" w:hAnsi="宋体"/>
          <w:color w:val="auto"/>
          <w:sz w:val="22"/>
          <w:szCs w:val="22"/>
          <w:highlight w:val="none"/>
          <w:u w:val="single"/>
        </w:rPr>
        <w:t>按通用条款执行</w:t>
      </w:r>
      <w:r>
        <w:rPr>
          <w:rFonts w:hint="eastAsia" w:ascii="宋体" w:hAnsi="宋体"/>
          <w:color w:val="auto"/>
          <w:sz w:val="22"/>
          <w:szCs w:val="22"/>
          <w:highlight w:val="none"/>
        </w:rPr>
        <w:t>。</w:t>
      </w:r>
    </w:p>
    <w:p w14:paraId="306CB292">
      <w:pPr>
        <w:pageBreakBefore w:val="0"/>
        <w:widowControl w:val="0"/>
        <w:shd w:val="clear" w:color="auto" w:fill="auto"/>
        <w:kinsoku/>
        <w:wordWrap/>
        <w:overflowPunct/>
        <w:topLinePunct w:val="0"/>
        <w:bidi w:val="0"/>
        <w:snapToGrid w:val="0"/>
        <w:spacing w:line="360" w:lineRule="auto"/>
        <w:ind w:firstLine="440" w:firstLineChars="200"/>
        <w:rPr>
          <w:rFonts w:ascii="宋体" w:hAnsi="宋体"/>
          <w:b/>
          <w:color w:val="auto"/>
          <w:sz w:val="22"/>
          <w:szCs w:val="22"/>
          <w:highlight w:val="none"/>
        </w:rPr>
      </w:pPr>
      <w:r>
        <w:rPr>
          <w:rFonts w:hint="eastAsia" w:ascii="宋体" w:hAnsi="宋体"/>
          <w:b/>
          <w:color w:val="auto"/>
          <w:sz w:val="22"/>
          <w:szCs w:val="22"/>
          <w:highlight w:val="none"/>
        </w:rPr>
        <w:t>19.争议解决</w:t>
      </w:r>
    </w:p>
    <w:p w14:paraId="38E241A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19.3争议评审</w:t>
      </w:r>
    </w:p>
    <w:p w14:paraId="2F482F6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合同当事人是否同意将工程争议提交争议评审小组决定：</w:t>
      </w:r>
      <w:r>
        <w:rPr>
          <w:rFonts w:hint="eastAsia" w:ascii="宋体" w:hAnsi="宋体"/>
          <w:color w:val="auto"/>
          <w:sz w:val="22"/>
          <w:szCs w:val="22"/>
          <w:highlight w:val="none"/>
          <w:u w:val="single"/>
        </w:rPr>
        <w:t>另行约定</w:t>
      </w:r>
      <w:r>
        <w:rPr>
          <w:rFonts w:hint="eastAsia" w:ascii="宋体" w:hAnsi="宋体"/>
          <w:color w:val="auto"/>
          <w:sz w:val="22"/>
          <w:szCs w:val="22"/>
          <w:highlight w:val="none"/>
        </w:rPr>
        <w:t>。</w:t>
      </w:r>
    </w:p>
    <w:p w14:paraId="60D0A00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19.3.1争议评审小组的确定</w:t>
      </w:r>
    </w:p>
    <w:p w14:paraId="28E314FA">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争议评审小组成员的确定：</w:t>
      </w:r>
      <w:r>
        <w:rPr>
          <w:rFonts w:hint="eastAsia" w:ascii="宋体" w:hAnsi="宋体"/>
          <w:color w:val="auto"/>
          <w:sz w:val="22"/>
          <w:szCs w:val="22"/>
          <w:highlight w:val="none"/>
          <w:u w:val="single"/>
        </w:rPr>
        <w:t>另行约定</w:t>
      </w:r>
      <w:r>
        <w:rPr>
          <w:rFonts w:hint="eastAsia" w:ascii="宋体" w:hAnsi="宋体"/>
          <w:color w:val="auto"/>
          <w:sz w:val="22"/>
          <w:szCs w:val="22"/>
          <w:highlight w:val="none"/>
        </w:rPr>
        <w:t>。</w:t>
      </w:r>
    </w:p>
    <w:p w14:paraId="4768A259">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选定争议评审员的期限：</w:t>
      </w:r>
      <w:r>
        <w:rPr>
          <w:rFonts w:hint="eastAsia" w:ascii="宋体" w:hAnsi="宋体"/>
          <w:color w:val="auto"/>
          <w:sz w:val="22"/>
          <w:szCs w:val="22"/>
          <w:highlight w:val="none"/>
          <w:u w:val="single"/>
        </w:rPr>
        <w:t>另行约定</w:t>
      </w:r>
      <w:r>
        <w:rPr>
          <w:rFonts w:hint="eastAsia" w:ascii="宋体" w:hAnsi="宋体"/>
          <w:color w:val="auto"/>
          <w:sz w:val="22"/>
          <w:szCs w:val="22"/>
          <w:highlight w:val="none"/>
        </w:rPr>
        <w:t>。</w:t>
      </w:r>
    </w:p>
    <w:p w14:paraId="24D2CE0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争议评审小组成员的报酬承担方式：</w:t>
      </w:r>
      <w:r>
        <w:rPr>
          <w:rFonts w:hint="eastAsia" w:ascii="宋体" w:hAnsi="宋体"/>
          <w:color w:val="auto"/>
          <w:sz w:val="22"/>
          <w:szCs w:val="22"/>
          <w:highlight w:val="none"/>
          <w:u w:val="single"/>
        </w:rPr>
        <w:t>另行约定</w:t>
      </w:r>
      <w:r>
        <w:rPr>
          <w:rFonts w:hint="eastAsia" w:ascii="宋体" w:hAnsi="宋体"/>
          <w:color w:val="auto"/>
          <w:sz w:val="22"/>
          <w:szCs w:val="22"/>
          <w:highlight w:val="none"/>
        </w:rPr>
        <w:t>。</w:t>
      </w:r>
    </w:p>
    <w:p w14:paraId="1B76E45D">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其他事项的约定：。</w:t>
      </w:r>
    </w:p>
    <w:p w14:paraId="38C5D667">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19.3.2争议评审小组的决定</w:t>
      </w:r>
    </w:p>
    <w:p w14:paraId="70D78576">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合同当事人关于本项的约定：</w:t>
      </w:r>
      <w:r>
        <w:rPr>
          <w:rFonts w:hint="eastAsia" w:ascii="宋体" w:hAnsi="宋体"/>
          <w:color w:val="auto"/>
          <w:sz w:val="22"/>
          <w:szCs w:val="22"/>
          <w:highlight w:val="none"/>
          <w:u w:val="single"/>
        </w:rPr>
        <w:t>另行约定</w:t>
      </w:r>
      <w:r>
        <w:rPr>
          <w:rFonts w:hint="eastAsia" w:ascii="宋体" w:hAnsi="宋体"/>
          <w:color w:val="auto"/>
          <w:sz w:val="22"/>
          <w:szCs w:val="22"/>
          <w:highlight w:val="none"/>
        </w:rPr>
        <w:t>。</w:t>
      </w:r>
    </w:p>
    <w:p w14:paraId="6DCB3E43">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19.4仲裁或诉讼</w:t>
      </w:r>
    </w:p>
    <w:p w14:paraId="11FECDAB">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因合同及合同有关事项发生的争议，按下列第</w:t>
      </w:r>
      <w:r>
        <w:rPr>
          <w:rFonts w:hint="eastAsia" w:ascii="宋体" w:hAnsi="宋体"/>
          <w:color w:val="auto"/>
          <w:sz w:val="22"/>
          <w:szCs w:val="22"/>
          <w:highlight w:val="none"/>
          <w:u w:val="single"/>
        </w:rPr>
        <w:t>2</w:t>
      </w:r>
      <w:r>
        <w:rPr>
          <w:rFonts w:hint="eastAsia" w:ascii="宋体" w:hAnsi="宋体"/>
          <w:color w:val="auto"/>
          <w:sz w:val="22"/>
          <w:szCs w:val="22"/>
          <w:highlight w:val="none"/>
        </w:rPr>
        <w:t>种方式解决：</w:t>
      </w:r>
    </w:p>
    <w:p w14:paraId="24BAE66E">
      <w:pPr>
        <w:pageBreakBefore w:val="0"/>
        <w:widowControl w:val="0"/>
        <w:shd w:val="clear" w:color="auto" w:fill="auto"/>
        <w:kinsoku/>
        <w:wordWrap/>
        <w:overflowPunct/>
        <w:topLinePunct w:val="0"/>
        <w:bidi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（1）向</w:t>
      </w:r>
      <w:r>
        <w:rPr>
          <w:rFonts w:hint="eastAsia" w:ascii="宋体" w:hAnsi="宋体"/>
          <w:color w:val="auto"/>
          <w:sz w:val="22"/>
          <w:szCs w:val="22"/>
          <w:highlight w:val="none"/>
          <w:u w:val="single"/>
        </w:rPr>
        <w:t>/</w:t>
      </w:r>
      <w:r>
        <w:rPr>
          <w:rFonts w:hint="eastAsia" w:ascii="宋体" w:hAnsi="宋体"/>
          <w:color w:val="auto"/>
          <w:sz w:val="22"/>
          <w:szCs w:val="22"/>
          <w:highlight w:val="none"/>
        </w:rPr>
        <w:t>仲裁委员会申请仲裁</w:t>
      </w:r>
    </w:p>
    <w:p w14:paraId="4C0518F6">
      <w:pPr>
        <w:pageBreakBefore w:val="0"/>
        <w:widowControl w:val="0"/>
        <w:shd w:val="clear" w:color="auto" w:fill="auto"/>
        <w:kinsoku/>
        <w:wordWrap/>
        <w:overflowPunct/>
        <w:topLinePunct w:val="0"/>
        <w:bidi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（2）向</w:t>
      </w:r>
      <w:r>
        <w:rPr>
          <w:rFonts w:hint="eastAsia" w:ascii="宋体" w:hAnsi="宋体"/>
          <w:color w:val="auto"/>
          <w:sz w:val="22"/>
          <w:szCs w:val="22"/>
          <w:highlight w:val="none"/>
          <w:u w:val="single"/>
        </w:rPr>
        <w:t>项目所在地</w:t>
      </w:r>
      <w:r>
        <w:rPr>
          <w:rFonts w:hint="eastAsia" w:ascii="宋体" w:hAnsi="宋体"/>
          <w:color w:val="auto"/>
          <w:sz w:val="22"/>
          <w:szCs w:val="22"/>
          <w:highlight w:val="none"/>
        </w:rPr>
        <w:t>人民法院起诉。</w:t>
      </w:r>
    </w:p>
    <w:p w14:paraId="2F2DF049">
      <w:pPr>
        <w:rPr>
          <w:rFonts w:hint="eastAsia" w:ascii="宋体" w:hAnsi="宋体" w:eastAsia="宋体" w:cs="宋体"/>
          <w:highlight w:val="none"/>
        </w:rPr>
      </w:pPr>
    </w:p>
    <w:p w14:paraId="5223E9C7">
      <w:pPr>
        <w:rPr>
          <w:highlight w:val="none"/>
        </w:rPr>
      </w:pPr>
    </w:p>
    <w:p w14:paraId="2FF3FD92">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br w:type="page"/>
      </w:r>
      <w:r>
        <w:rPr>
          <w:rStyle w:val="27"/>
          <w:rFonts w:hint="eastAsia" w:ascii="宋体" w:hAnsi="宋体" w:eastAsia="宋体" w:cs="宋体"/>
          <w:color w:val="auto"/>
          <w:sz w:val="24"/>
          <w:highlight w:val="none"/>
        </w:rPr>
        <w:t>附</w:t>
      </w:r>
      <w:bookmarkStart w:id="220" w:name="_Toc267261693"/>
      <w:bookmarkStart w:id="221" w:name="_Toc296891054"/>
      <w:bookmarkStart w:id="222" w:name="_Toc296346727"/>
      <w:bookmarkStart w:id="223" w:name="_Toc296347225"/>
      <w:bookmarkStart w:id="224" w:name="_Toc296944565"/>
      <w:bookmarkStart w:id="225" w:name="_Toc296891266"/>
      <w:bookmarkStart w:id="226" w:name="_Toc296503226"/>
      <w:r>
        <w:rPr>
          <w:rStyle w:val="27"/>
          <w:rFonts w:hint="eastAsia" w:ascii="宋体" w:hAnsi="宋体" w:eastAsia="宋体" w:cs="宋体"/>
          <w:color w:val="auto"/>
          <w:sz w:val="24"/>
          <w:highlight w:val="none"/>
        </w:rPr>
        <w:t>件：</w:t>
      </w:r>
      <w:bookmarkEnd w:id="220"/>
      <w:bookmarkEnd w:id="221"/>
      <w:bookmarkEnd w:id="222"/>
      <w:bookmarkEnd w:id="223"/>
      <w:bookmarkEnd w:id="224"/>
      <w:bookmarkEnd w:id="225"/>
      <w:bookmarkEnd w:id="226"/>
    </w:p>
    <w:p w14:paraId="3A36997D">
      <w:pPr>
        <w:pStyle w:val="53"/>
        <w:pageBreakBefore w:val="0"/>
        <w:kinsoku/>
        <w:wordWrap/>
        <w:overflowPunct/>
        <w:topLinePunct w:val="0"/>
        <w:bidi w:val="0"/>
        <w:spacing w:line="500" w:lineRule="exact"/>
        <w:ind w:left="0" w:leftChars="0" w:right="0" w:rightChars="0"/>
        <w:jc w:val="center"/>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工程质量保修书</w:t>
      </w:r>
    </w:p>
    <w:p w14:paraId="060C2E75">
      <w:pPr>
        <w:pStyle w:val="53"/>
        <w:pageBreakBefore w:val="0"/>
        <w:kinsoku/>
        <w:wordWrap/>
        <w:overflowPunct/>
        <w:topLinePunct w:val="0"/>
        <w:bidi w:val="0"/>
        <w:spacing w:line="500" w:lineRule="exact"/>
        <w:ind w:left="0" w:leftChars="0" w:right="0" w:rightChars="0" w:firstLine="480" w:firstLineChars="200"/>
        <w:rPr>
          <w:rStyle w:val="27"/>
          <w:rFonts w:hint="eastAsia" w:ascii="宋体" w:hAnsi="宋体" w:eastAsia="宋体" w:cs="宋体"/>
          <w:color w:val="auto"/>
          <w:sz w:val="24"/>
          <w:highlight w:val="none"/>
          <w:lang w:val="en-US" w:eastAsia="zh-CN"/>
        </w:rPr>
      </w:pPr>
      <w:r>
        <w:rPr>
          <w:rStyle w:val="27"/>
          <w:rFonts w:hint="eastAsia" w:ascii="宋体" w:hAnsi="宋体" w:eastAsia="宋体" w:cs="宋体"/>
          <w:color w:val="auto"/>
          <w:sz w:val="24"/>
          <w:highlight w:val="none"/>
        </w:rPr>
        <w:t>发包人（全称）：</w:t>
      </w:r>
      <w:r>
        <w:rPr>
          <w:rStyle w:val="27"/>
          <w:rFonts w:hint="eastAsia" w:ascii="宋体" w:hAnsi="宋体" w:eastAsia="宋体" w:cs="宋体"/>
          <w:color w:val="auto"/>
          <w:sz w:val="24"/>
          <w:highlight w:val="none"/>
          <w:u w:val="single"/>
          <w:lang w:val="en-US" w:eastAsia="zh-CN"/>
        </w:rPr>
        <w:t xml:space="preserve"> </w:t>
      </w:r>
      <w:r>
        <w:rPr>
          <w:rStyle w:val="27"/>
          <w:rFonts w:hint="eastAsia" w:ascii="宋体" w:hAnsi="宋体" w:cs="宋体"/>
          <w:color w:val="auto"/>
          <w:sz w:val="24"/>
          <w:highlight w:val="none"/>
          <w:u w:val="single"/>
          <w:lang w:val="en-US" w:eastAsia="zh-CN"/>
        </w:rPr>
        <w:t>柳城县六塘镇人民政府</w:t>
      </w:r>
      <w:r>
        <w:rPr>
          <w:rStyle w:val="27"/>
          <w:rFonts w:hint="eastAsia" w:ascii="宋体" w:hAnsi="宋体" w:eastAsia="宋体" w:cs="宋体"/>
          <w:color w:val="auto"/>
          <w:sz w:val="24"/>
          <w:highlight w:val="none"/>
          <w:u w:val="single"/>
          <w:lang w:val="en-US" w:eastAsia="zh-CN"/>
        </w:rPr>
        <w:t xml:space="preserve"> </w:t>
      </w:r>
    </w:p>
    <w:p w14:paraId="116F480C">
      <w:pPr>
        <w:pStyle w:val="53"/>
        <w:pageBreakBefore w:val="0"/>
        <w:kinsoku/>
        <w:wordWrap/>
        <w:overflowPunct/>
        <w:topLinePunct w:val="0"/>
        <w:bidi w:val="0"/>
        <w:spacing w:line="500" w:lineRule="exact"/>
        <w:ind w:left="0" w:leftChars="0" w:right="0" w:rightChars="0" w:firstLine="480" w:firstLineChars="200"/>
        <w:rPr>
          <w:rStyle w:val="27"/>
          <w:rFonts w:hint="default" w:ascii="宋体" w:hAnsi="宋体" w:eastAsia="宋体" w:cs="宋体"/>
          <w:color w:val="auto"/>
          <w:sz w:val="24"/>
          <w:highlight w:val="none"/>
          <w:u w:val="single"/>
          <w:lang w:val="en-US" w:eastAsia="zh-CN"/>
        </w:rPr>
      </w:pPr>
      <w:r>
        <w:rPr>
          <w:rStyle w:val="27"/>
          <w:rFonts w:hint="eastAsia" w:ascii="宋体" w:hAnsi="宋体" w:eastAsia="宋体" w:cs="宋体"/>
          <w:color w:val="auto"/>
          <w:sz w:val="24"/>
          <w:highlight w:val="none"/>
        </w:rPr>
        <w:t>承包人（全称）：</w:t>
      </w:r>
      <w:r>
        <w:rPr>
          <w:rStyle w:val="27"/>
          <w:rFonts w:hint="eastAsia" w:ascii="宋体" w:hAnsi="宋体" w:eastAsia="宋体" w:cs="宋体"/>
          <w:color w:val="auto"/>
          <w:sz w:val="24"/>
          <w:highlight w:val="none"/>
          <w:u w:val="single"/>
          <w:lang w:val="en-US" w:eastAsia="zh-CN"/>
        </w:rPr>
        <w:t xml:space="preserve">                            </w:t>
      </w:r>
    </w:p>
    <w:p w14:paraId="01C9C7B1">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　　发包人和承包人根据《中华人民共和国建筑法》和《建设工程质量管理条例》，经协商一致就</w:t>
      </w:r>
      <w:r>
        <w:rPr>
          <w:rStyle w:val="27"/>
          <w:rFonts w:hint="eastAsia" w:ascii="宋体" w:hAnsi="宋体" w:cs="宋体"/>
          <w:color w:val="auto"/>
          <w:sz w:val="24"/>
          <w:highlight w:val="none"/>
          <w:u w:val="single"/>
          <w:lang w:val="en-US" w:eastAsia="zh-CN"/>
        </w:rPr>
        <w:t>柳城县六塘镇三界村谷里屯片区糖料蔗基地灌溉建设项目</w:t>
      </w:r>
      <w:r>
        <w:rPr>
          <w:rStyle w:val="27"/>
          <w:rFonts w:hint="eastAsia" w:ascii="宋体" w:hAnsi="宋体" w:eastAsia="宋体" w:cs="宋体"/>
          <w:color w:val="auto"/>
          <w:sz w:val="24"/>
          <w:highlight w:val="none"/>
        </w:rPr>
        <w:t>（工程全称）签订工程质量保修书。</w:t>
      </w:r>
    </w:p>
    <w:p w14:paraId="65A487E5">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　　一、工程质量保修范围和内容</w:t>
      </w:r>
    </w:p>
    <w:p w14:paraId="52EC89CB">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　　承包人在质量保修期内，按照有关法律规定和合同约定，承担工程质量保修责任。</w:t>
      </w:r>
    </w:p>
    <w:p w14:paraId="481B71F1">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27"/>
          <w:rFonts w:hint="eastAsia" w:ascii="宋体" w:hAnsi="宋体" w:eastAsia="宋体" w:cs="宋体"/>
          <w:color w:val="auto"/>
          <w:sz w:val="24"/>
          <w:highlight w:val="none"/>
          <w:u w:val="single"/>
        </w:rPr>
        <w:t>本合同承包范围以及合同范围外增加的全部工程。</w:t>
      </w:r>
    </w:p>
    <w:p w14:paraId="0191D84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highlight w:val="none"/>
        </w:rPr>
      </w:pPr>
      <w:r>
        <w:rPr>
          <w:rStyle w:val="27"/>
          <w:rFonts w:hint="eastAsia" w:ascii="宋体" w:hAnsi="宋体" w:eastAsia="宋体" w:cs="宋体"/>
          <w:b/>
          <w:color w:val="auto"/>
          <w:sz w:val="24"/>
          <w:highlight w:val="none"/>
        </w:rPr>
        <w:t>　　</w:t>
      </w:r>
      <w:r>
        <w:rPr>
          <w:rStyle w:val="27"/>
          <w:rFonts w:hint="eastAsia" w:ascii="宋体" w:hAnsi="宋体" w:eastAsia="宋体" w:cs="宋体"/>
          <w:color w:val="auto"/>
          <w:sz w:val="24"/>
          <w:highlight w:val="none"/>
        </w:rPr>
        <w:t>二、质量保修期</w:t>
      </w:r>
    </w:p>
    <w:p w14:paraId="65D19169">
      <w:pPr>
        <w:pStyle w:val="53"/>
        <w:pageBreakBefore w:val="0"/>
        <w:kinsoku/>
        <w:wordWrap/>
        <w:overflowPunct/>
        <w:topLinePunct w:val="0"/>
        <w:bidi w:val="0"/>
        <w:spacing w:line="500" w:lineRule="exact"/>
        <w:ind w:left="0" w:leftChars="0" w:right="0" w:rightChars="0" w:firstLine="480" w:firstLineChars="200"/>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根据《建设工程质量管理条例》及有关规定，工程的质量保修期如下：</w:t>
      </w:r>
    </w:p>
    <w:p w14:paraId="17704306">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1．地基基础工程和主体结构工程为设计文件规定的工程合理使用年限；</w:t>
      </w:r>
    </w:p>
    <w:p w14:paraId="7EAAE57C">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2．屋面防水工程、有防水要求的卫生间、房间和外墙面的防渗为</w:t>
      </w:r>
      <w:r>
        <w:rPr>
          <w:rStyle w:val="27"/>
          <w:rFonts w:hint="eastAsia" w:ascii="宋体" w:hAnsi="宋体" w:eastAsia="宋体" w:cs="宋体"/>
          <w:color w:val="auto"/>
          <w:sz w:val="24"/>
          <w:highlight w:val="none"/>
          <w:u w:val="single"/>
        </w:rPr>
        <w:t xml:space="preserve">  5  </w:t>
      </w:r>
      <w:r>
        <w:rPr>
          <w:rStyle w:val="27"/>
          <w:rFonts w:hint="eastAsia" w:ascii="宋体" w:hAnsi="宋体" w:eastAsia="宋体" w:cs="宋体"/>
          <w:color w:val="auto"/>
          <w:sz w:val="24"/>
          <w:highlight w:val="none"/>
        </w:rPr>
        <w:t>年；</w:t>
      </w:r>
    </w:p>
    <w:p w14:paraId="215F4733">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3．装修工程为</w:t>
      </w:r>
      <w:r>
        <w:rPr>
          <w:rStyle w:val="27"/>
          <w:rFonts w:hint="eastAsia" w:ascii="宋体" w:hAnsi="宋体" w:eastAsia="宋体" w:cs="宋体"/>
          <w:color w:val="auto"/>
          <w:sz w:val="24"/>
          <w:highlight w:val="none"/>
          <w:u w:val="single"/>
        </w:rPr>
        <w:t>2</w:t>
      </w:r>
      <w:r>
        <w:rPr>
          <w:rStyle w:val="27"/>
          <w:rFonts w:hint="eastAsia" w:ascii="宋体" w:hAnsi="宋体" w:eastAsia="宋体" w:cs="宋体"/>
          <w:color w:val="auto"/>
          <w:sz w:val="24"/>
          <w:highlight w:val="none"/>
        </w:rPr>
        <w:t>年；</w:t>
      </w:r>
    </w:p>
    <w:p w14:paraId="0DB1F9DA">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4．电气管线、给排水管道、设备安装工程为</w:t>
      </w:r>
      <w:r>
        <w:rPr>
          <w:rStyle w:val="27"/>
          <w:rFonts w:hint="eastAsia" w:ascii="宋体" w:hAnsi="宋体" w:eastAsia="宋体" w:cs="宋体"/>
          <w:color w:val="auto"/>
          <w:sz w:val="24"/>
          <w:highlight w:val="none"/>
          <w:u w:val="single"/>
        </w:rPr>
        <w:t>2</w:t>
      </w:r>
      <w:r>
        <w:rPr>
          <w:rStyle w:val="27"/>
          <w:rFonts w:hint="eastAsia" w:ascii="宋体" w:hAnsi="宋体" w:eastAsia="宋体" w:cs="宋体"/>
          <w:color w:val="auto"/>
          <w:sz w:val="24"/>
          <w:highlight w:val="none"/>
        </w:rPr>
        <w:t>年；</w:t>
      </w:r>
    </w:p>
    <w:p w14:paraId="653F35D5">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5．供热与供冷系统为</w:t>
      </w:r>
      <w:r>
        <w:rPr>
          <w:rStyle w:val="27"/>
          <w:rFonts w:hint="eastAsia" w:ascii="宋体" w:hAnsi="宋体" w:eastAsia="宋体" w:cs="宋体"/>
          <w:color w:val="auto"/>
          <w:sz w:val="24"/>
          <w:highlight w:val="none"/>
          <w:u w:val="single"/>
        </w:rPr>
        <w:t>2</w:t>
      </w:r>
      <w:r>
        <w:rPr>
          <w:rStyle w:val="27"/>
          <w:rFonts w:hint="eastAsia" w:ascii="宋体" w:hAnsi="宋体" w:eastAsia="宋体" w:cs="宋体"/>
          <w:color w:val="auto"/>
          <w:sz w:val="24"/>
          <w:highlight w:val="none"/>
        </w:rPr>
        <w:t>个采暖期、供冷期；</w:t>
      </w:r>
    </w:p>
    <w:p w14:paraId="2C5DAC7A">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6．住宅小区内的给排水设施、道路等配套工程为</w:t>
      </w:r>
      <w:r>
        <w:rPr>
          <w:rStyle w:val="27"/>
          <w:rFonts w:hint="eastAsia" w:ascii="宋体" w:hAnsi="宋体" w:eastAsia="宋体" w:cs="宋体"/>
          <w:color w:val="auto"/>
          <w:sz w:val="24"/>
          <w:highlight w:val="none"/>
          <w:u w:val="single"/>
          <w:lang w:val="en-US" w:eastAsia="zh-CN"/>
        </w:rPr>
        <w:t xml:space="preserve">  </w:t>
      </w:r>
      <w:r>
        <w:rPr>
          <w:rStyle w:val="27"/>
          <w:rFonts w:hint="eastAsia" w:ascii="宋体" w:hAnsi="宋体" w:eastAsia="宋体" w:cs="宋体"/>
          <w:color w:val="auto"/>
          <w:sz w:val="24"/>
          <w:highlight w:val="none"/>
          <w:u w:val="single"/>
        </w:rPr>
        <w:t xml:space="preserve">1  </w:t>
      </w:r>
      <w:r>
        <w:rPr>
          <w:rStyle w:val="27"/>
          <w:rFonts w:hint="eastAsia" w:ascii="宋体" w:hAnsi="宋体" w:eastAsia="宋体" w:cs="宋体"/>
          <w:color w:val="auto"/>
          <w:sz w:val="24"/>
          <w:highlight w:val="none"/>
        </w:rPr>
        <w:t>年；</w:t>
      </w:r>
    </w:p>
    <w:p w14:paraId="15594877">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7．其他项目保修期限约定如下：</w:t>
      </w:r>
      <w:r>
        <w:rPr>
          <w:rStyle w:val="27"/>
          <w:rFonts w:hint="eastAsia" w:ascii="宋体" w:hAnsi="宋体" w:eastAsia="宋体" w:cs="宋体"/>
          <w:color w:val="auto"/>
          <w:sz w:val="24"/>
          <w:szCs w:val="24"/>
          <w:highlight w:val="none"/>
          <w:u w:val="single"/>
        </w:rPr>
        <w:t>按国家、广西壮族自治区及柳州市建设行政主管部门颁布的现行法律、行政法规及其它规范性文件</w:t>
      </w:r>
      <w:r>
        <w:rPr>
          <w:rStyle w:val="27"/>
          <w:rFonts w:hint="eastAsia" w:ascii="宋体" w:hAnsi="宋体" w:eastAsia="宋体" w:cs="宋体"/>
          <w:color w:val="auto"/>
          <w:sz w:val="24"/>
          <w:highlight w:val="none"/>
        </w:rPr>
        <w:t>。</w:t>
      </w:r>
    </w:p>
    <w:p w14:paraId="1E7FFBDF">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kern w:val="2"/>
          <w:sz w:val="24"/>
          <w:highlight w:val="none"/>
        </w:rPr>
      </w:pPr>
      <w:r>
        <w:rPr>
          <w:rStyle w:val="27"/>
          <w:rFonts w:hint="eastAsia" w:ascii="宋体" w:hAnsi="宋体" w:eastAsia="宋体" w:cs="宋体"/>
          <w:color w:val="auto"/>
          <w:sz w:val="24"/>
          <w:highlight w:val="none"/>
        </w:rPr>
        <w:t>质量保修期自工程竣工验收合格之日起计算。</w:t>
      </w:r>
      <w:r>
        <w:rPr>
          <w:rStyle w:val="27"/>
          <w:rFonts w:hint="eastAsia" w:ascii="宋体" w:hAnsi="宋体" w:eastAsia="宋体" w:cs="宋体"/>
          <w:color w:val="auto"/>
          <w:kern w:val="2"/>
          <w:sz w:val="24"/>
          <w:highlight w:val="none"/>
        </w:rPr>
        <w:t>质量保证金退还的约定：</w:t>
      </w:r>
    </w:p>
    <w:p w14:paraId="426FF51D">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kern w:val="2"/>
          <w:sz w:val="24"/>
          <w:highlight w:val="none"/>
        </w:rPr>
        <w:t>1、质量保修期满后，由发包人组织验收，确认无工程质量缺陷后一次性支付质量保证金（扣除维修费用后）给承包人。</w:t>
      </w:r>
    </w:p>
    <w:p w14:paraId="6D053001">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三、缺陷责任期</w:t>
      </w:r>
    </w:p>
    <w:p w14:paraId="7C9E1BB5">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工程缺陷责任期为</w:t>
      </w:r>
      <w:r>
        <w:rPr>
          <w:rStyle w:val="27"/>
          <w:rFonts w:hint="eastAsia" w:ascii="宋体" w:hAnsi="宋体" w:eastAsia="宋体" w:cs="宋体"/>
          <w:color w:val="auto"/>
          <w:sz w:val="24"/>
          <w:highlight w:val="none"/>
          <w:u w:val="single"/>
          <w:lang w:val="en-US" w:eastAsia="zh-CN"/>
        </w:rPr>
        <w:t>12</w:t>
      </w:r>
      <w:r>
        <w:rPr>
          <w:rStyle w:val="27"/>
          <w:rFonts w:hint="eastAsia" w:ascii="宋体" w:hAnsi="宋体" w:eastAsia="宋体" w:cs="宋体"/>
          <w:color w:val="auto"/>
          <w:sz w:val="24"/>
          <w:highlight w:val="none"/>
        </w:rPr>
        <w:t>个月（不超过24个月），缺陷责任期自工程竣工验收合格之日起计算。单位工程先于全部工程进行验收，单位工程缺陷责任期自单位工程验收合格之日起算。</w:t>
      </w:r>
    </w:p>
    <w:p w14:paraId="096198E9">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缺陷责任期终止后，发包人应退还剩余的质量保证金。</w:t>
      </w:r>
    </w:p>
    <w:p w14:paraId="06BE5EAE">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四、质量保修责任</w:t>
      </w:r>
    </w:p>
    <w:p w14:paraId="171CBE7C">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0F81630A">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2．发生紧急事故需抢修的，承包人在接到事故通知后，应当立即到达事故现场抢修。</w:t>
      </w:r>
    </w:p>
    <w:p w14:paraId="06AEBF4E">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906969">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4．质量保修完成后，由发包人组织验收。</w:t>
      </w:r>
    </w:p>
    <w:p w14:paraId="01FBCF3B">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五、保修费用</w:t>
      </w:r>
    </w:p>
    <w:p w14:paraId="461E6275">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保修费用由造成质量缺陷的责任方承担。</w:t>
      </w:r>
    </w:p>
    <w:p w14:paraId="15F161D2">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b/>
          <w:color w:val="auto"/>
          <w:sz w:val="24"/>
          <w:highlight w:val="none"/>
        </w:rPr>
        <w:t>六</w:t>
      </w:r>
      <w:r>
        <w:rPr>
          <w:rStyle w:val="27"/>
          <w:rFonts w:hint="eastAsia" w:ascii="宋体" w:hAnsi="宋体" w:eastAsia="宋体" w:cs="宋体"/>
          <w:color w:val="auto"/>
          <w:sz w:val="24"/>
          <w:highlight w:val="none"/>
        </w:rPr>
        <w:t>、双方约定的其他工程质量保修事项：</w:t>
      </w:r>
      <w:r>
        <w:rPr>
          <w:rStyle w:val="27"/>
          <w:rFonts w:hint="eastAsia" w:ascii="宋体" w:hAnsi="宋体" w:eastAsia="宋体" w:cs="宋体"/>
          <w:color w:val="auto"/>
          <w:sz w:val="24"/>
          <w:szCs w:val="24"/>
          <w:highlight w:val="none"/>
          <w:u w:val="single"/>
        </w:rPr>
        <w:t>本工程约定的工程质量保修金为工程结算价款的3%（无息）。发包人在工程竣工验收合格之日起</w:t>
      </w:r>
      <w:r>
        <w:rPr>
          <w:rStyle w:val="27"/>
          <w:rFonts w:hint="eastAsia" w:ascii="宋体" w:hAnsi="宋体" w:eastAsia="宋体" w:cs="宋体"/>
          <w:color w:val="auto"/>
          <w:sz w:val="24"/>
          <w:szCs w:val="24"/>
          <w:highlight w:val="none"/>
          <w:u w:val="single"/>
          <w:lang w:eastAsia="zh-CN"/>
        </w:rPr>
        <w:t>至</w:t>
      </w:r>
      <w:r>
        <w:rPr>
          <w:rStyle w:val="27"/>
          <w:rFonts w:hint="eastAsia" w:ascii="宋体" w:hAnsi="宋体" w:eastAsia="宋体" w:cs="宋体"/>
          <w:color w:val="auto"/>
          <w:sz w:val="24"/>
          <w:szCs w:val="24"/>
          <w:highlight w:val="none"/>
          <w:u w:val="single"/>
        </w:rPr>
        <w:t>保修期期满后14个工作日内，将质量保修金返还承包人</w:t>
      </w:r>
      <w:r>
        <w:rPr>
          <w:rStyle w:val="27"/>
          <w:rFonts w:hint="eastAsia" w:ascii="宋体" w:hAnsi="宋体" w:eastAsia="宋体" w:cs="宋体"/>
          <w:color w:val="auto"/>
          <w:sz w:val="24"/>
          <w:highlight w:val="none"/>
        </w:rPr>
        <w:t>。</w:t>
      </w:r>
    </w:p>
    <w:p w14:paraId="577D2141">
      <w:pPr>
        <w:pStyle w:val="5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工程质量保修书由发包人、承包人在工程竣工验收前共同签署，作为施工合同附件，其有效期限至保修期满。</w:t>
      </w:r>
    </w:p>
    <w:p w14:paraId="0337C64B">
      <w:pPr>
        <w:pStyle w:val="62"/>
        <w:pageBreakBefore w:val="0"/>
        <w:kinsoku/>
        <w:wordWrap/>
        <w:overflowPunct/>
        <w:topLinePunct w:val="0"/>
        <w:bidi w:val="0"/>
        <w:spacing w:line="500" w:lineRule="exact"/>
        <w:ind w:left="6360" w:leftChars="0" w:right="0" w:rightChars="0" w:hanging="6360" w:hangingChars="2650"/>
        <w:rPr>
          <w:rStyle w:val="27"/>
          <w:rFonts w:hint="eastAsia" w:ascii="宋体" w:hAnsi="宋体" w:eastAsia="宋体" w:cs="宋体"/>
          <w:color w:val="auto"/>
          <w:sz w:val="24"/>
          <w:highlight w:val="none"/>
        </w:rPr>
      </w:pPr>
    </w:p>
    <w:tbl>
      <w:tblPr>
        <w:tblStyle w:val="25"/>
        <w:tblpPr w:leftFromText="180" w:rightFromText="180" w:vertAnchor="text" w:horzAnchor="margin" w:tblpXSpec="center" w:tblpY="513"/>
        <w:tblOverlap w:val="never"/>
        <w:tblW w:w="0" w:type="auto"/>
        <w:tblInd w:w="0" w:type="dxa"/>
        <w:tblLayout w:type="fixed"/>
        <w:tblCellMar>
          <w:top w:w="0" w:type="dxa"/>
          <w:left w:w="108" w:type="dxa"/>
          <w:bottom w:w="0" w:type="dxa"/>
          <w:right w:w="108" w:type="dxa"/>
        </w:tblCellMar>
      </w:tblPr>
      <w:tblGrid>
        <w:gridCol w:w="4927"/>
        <w:gridCol w:w="4927"/>
      </w:tblGrid>
      <w:tr w14:paraId="070E8D63">
        <w:tblPrEx>
          <w:tblCellMar>
            <w:top w:w="0" w:type="dxa"/>
            <w:left w:w="108" w:type="dxa"/>
            <w:bottom w:w="0" w:type="dxa"/>
            <w:right w:w="108" w:type="dxa"/>
          </w:tblCellMar>
        </w:tblPrEx>
        <w:trPr>
          <w:trHeight w:val="90" w:hRule="atLeast"/>
        </w:trPr>
        <w:tc>
          <w:tcPr>
            <w:tcW w:w="0" w:type="auto"/>
            <w:noWrap w:val="0"/>
            <w:vAlign w:val="top"/>
          </w:tcPr>
          <w:p w14:paraId="093B2E3D">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发包人（公章）：</w:t>
            </w:r>
          </w:p>
          <w:p w14:paraId="70D4EE6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p>
        </w:tc>
        <w:tc>
          <w:tcPr>
            <w:tcW w:w="0" w:type="auto"/>
            <w:noWrap w:val="0"/>
            <w:vAlign w:val="top"/>
          </w:tcPr>
          <w:p w14:paraId="69B588EC">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承包人（公章）：</w:t>
            </w:r>
          </w:p>
          <w:p w14:paraId="6C1FEEB3">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p>
        </w:tc>
      </w:tr>
      <w:tr w14:paraId="5998BE25">
        <w:tblPrEx>
          <w:tblCellMar>
            <w:top w:w="0" w:type="dxa"/>
            <w:left w:w="108" w:type="dxa"/>
            <w:bottom w:w="0" w:type="dxa"/>
            <w:right w:w="108" w:type="dxa"/>
          </w:tblCellMar>
        </w:tblPrEx>
        <w:trPr>
          <w:trHeight w:val="441" w:hRule="atLeast"/>
        </w:trPr>
        <w:tc>
          <w:tcPr>
            <w:tcW w:w="0" w:type="auto"/>
            <w:noWrap w:val="0"/>
            <w:vAlign w:val="top"/>
          </w:tcPr>
          <w:p w14:paraId="2D382EBF">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地  址：</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6FB24A63">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地  址：</w:t>
            </w:r>
          </w:p>
        </w:tc>
      </w:tr>
      <w:tr w14:paraId="25A4A233">
        <w:tblPrEx>
          <w:tblCellMar>
            <w:top w:w="0" w:type="dxa"/>
            <w:left w:w="108" w:type="dxa"/>
            <w:bottom w:w="0" w:type="dxa"/>
            <w:right w:w="108" w:type="dxa"/>
          </w:tblCellMar>
        </w:tblPrEx>
        <w:tc>
          <w:tcPr>
            <w:tcW w:w="0" w:type="auto"/>
            <w:noWrap w:val="0"/>
            <w:vAlign w:val="top"/>
          </w:tcPr>
          <w:p w14:paraId="2FC0B217">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法定代表人（签字）：</w:t>
            </w:r>
          </w:p>
        </w:tc>
        <w:tc>
          <w:tcPr>
            <w:tcW w:w="0" w:type="auto"/>
            <w:noWrap w:val="0"/>
            <w:vAlign w:val="top"/>
          </w:tcPr>
          <w:p w14:paraId="2ED3ED75">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法定代表人（签字）：</w:t>
            </w:r>
          </w:p>
        </w:tc>
      </w:tr>
      <w:tr w14:paraId="223EF360">
        <w:tblPrEx>
          <w:tblCellMar>
            <w:top w:w="0" w:type="dxa"/>
            <w:left w:w="108" w:type="dxa"/>
            <w:bottom w:w="0" w:type="dxa"/>
            <w:right w:w="108" w:type="dxa"/>
          </w:tblCellMar>
        </w:tblPrEx>
        <w:tc>
          <w:tcPr>
            <w:tcW w:w="0" w:type="auto"/>
            <w:noWrap w:val="0"/>
            <w:vAlign w:val="top"/>
          </w:tcPr>
          <w:p w14:paraId="07B663DE">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委托代理人（签字）：</w:t>
            </w:r>
          </w:p>
        </w:tc>
        <w:tc>
          <w:tcPr>
            <w:tcW w:w="0" w:type="auto"/>
            <w:noWrap w:val="0"/>
            <w:vAlign w:val="top"/>
          </w:tcPr>
          <w:p w14:paraId="04EEC10C">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委托代理人（签字）：</w:t>
            </w:r>
          </w:p>
        </w:tc>
      </w:tr>
      <w:tr w14:paraId="081F8DC9">
        <w:tblPrEx>
          <w:tblCellMar>
            <w:top w:w="0" w:type="dxa"/>
            <w:left w:w="108" w:type="dxa"/>
            <w:bottom w:w="0" w:type="dxa"/>
            <w:right w:w="108" w:type="dxa"/>
          </w:tblCellMar>
        </w:tblPrEx>
        <w:trPr>
          <w:trHeight w:val="355" w:hRule="atLeast"/>
        </w:trPr>
        <w:tc>
          <w:tcPr>
            <w:tcW w:w="0" w:type="auto"/>
            <w:noWrap w:val="0"/>
            <w:vAlign w:val="top"/>
          </w:tcPr>
          <w:p w14:paraId="7836CB93">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电  话：</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0D377AA8">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电  话：</w:t>
            </w:r>
          </w:p>
        </w:tc>
      </w:tr>
      <w:tr w14:paraId="6285D80B">
        <w:tblPrEx>
          <w:tblCellMar>
            <w:top w:w="0" w:type="dxa"/>
            <w:left w:w="108" w:type="dxa"/>
            <w:bottom w:w="0" w:type="dxa"/>
            <w:right w:w="108" w:type="dxa"/>
          </w:tblCellMar>
        </w:tblPrEx>
        <w:tc>
          <w:tcPr>
            <w:tcW w:w="0" w:type="auto"/>
            <w:noWrap w:val="0"/>
            <w:vAlign w:val="top"/>
          </w:tcPr>
          <w:p w14:paraId="26B91CB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传  真：</w:t>
            </w:r>
          </w:p>
        </w:tc>
        <w:tc>
          <w:tcPr>
            <w:tcW w:w="0" w:type="auto"/>
            <w:noWrap w:val="0"/>
            <w:vAlign w:val="top"/>
          </w:tcPr>
          <w:p w14:paraId="23FFE25A">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传  真：</w:t>
            </w:r>
          </w:p>
        </w:tc>
      </w:tr>
      <w:tr w14:paraId="7CEB792F">
        <w:tblPrEx>
          <w:tblCellMar>
            <w:top w:w="0" w:type="dxa"/>
            <w:left w:w="108" w:type="dxa"/>
            <w:bottom w:w="0" w:type="dxa"/>
            <w:right w:w="108" w:type="dxa"/>
          </w:tblCellMar>
        </w:tblPrEx>
        <w:tc>
          <w:tcPr>
            <w:tcW w:w="0" w:type="auto"/>
            <w:noWrap w:val="0"/>
            <w:vAlign w:val="top"/>
          </w:tcPr>
          <w:p w14:paraId="7ADDE439">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 xml:space="preserve">电子信箱： </w:t>
            </w:r>
            <w:r>
              <w:rPr>
                <w:rStyle w:val="27"/>
                <w:rFonts w:hint="eastAsia" w:ascii="宋体" w:hAnsi="宋体" w:eastAsia="宋体" w:cs="宋体"/>
                <w:color w:val="auto"/>
                <w:sz w:val="24"/>
                <w:szCs w:val="24"/>
                <w:highlight w:val="none"/>
                <w:lang w:val="en-US" w:eastAsia="zh-CN"/>
              </w:rPr>
              <w:t xml:space="preserve"> </w:t>
            </w:r>
            <w:r>
              <w:rPr>
                <w:rStyle w:val="27"/>
                <w:rFonts w:hint="eastAsia" w:ascii="宋体" w:hAnsi="宋体" w:eastAsia="宋体" w:cs="宋体"/>
                <w:color w:val="auto"/>
                <w:sz w:val="24"/>
                <w:szCs w:val="24"/>
                <w:highlight w:val="none"/>
              </w:rPr>
              <w:t xml:space="preserve">  </w:t>
            </w:r>
          </w:p>
        </w:tc>
        <w:tc>
          <w:tcPr>
            <w:tcW w:w="0" w:type="auto"/>
            <w:noWrap w:val="0"/>
            <w:vAlign w:val="top"/>
          </w:tcPr>
          <w:p w14:paraId="22F30E70">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电子信箱：</w:t>
            </w:r>
          </w:p>
        </w:tc>
      </w:tr>
      <w:tr w14:paraId="24069B1E">
        <w:tblPrEx>
          <w:tblCellMar>
            <w:top w:w="0" w:type="dxa"/>
            <w:left w:w="108" w:type="dxa"/>
            <w:bottom w:w="0" w:type="dxa"/>
            <w:right w:w="108" w:type="dxa"/>
          </w:tblCellMar>
        </w:tblPrEx>
        <w:tc>
          <w:tcPr>
            <w:tcW w:w="0" w:type="auto"/>
            <w:noWrap w:val="0"/>
            <w:vAlign w:val="top"/>
          </w:tcPr>
          <w:p w14:paraId="58056212">
            <w:pPr>
              <w:pStyle w:val="60"/>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开户银行：</w:t>
            </w:r>
            <w:r>
              <w:rPr>
                <w:rStyle w:val="27"/>
                <w:rFonts w:hint="eastAsia" w:ascii="宋体" w:hAnsi="宋体" w:eastAsia="宋体" w:cs="宋体"/>
                <w:color w:val="auto"/>
                <w:sz w:val="24"/>
                <w:szCs w:val="24"/>
                <w:highlight w:val="none"/>
                <w:lang w:val="en-US" w:eastAsia="zh-CN"/>
              </w:rPr>
              <w:t xml:space="preserve"> </w:t>
            </w:r>
            <w:r>
              <w:rPr>
                <w:rStyle w:val="27"/>
                <w:rFonts w:hint="eastAsia" w:ascii="宋体" w:hAnsi="宋体" w:eastAsia="宋体" w:cs="宋体"/>
                <w:color w:val="auto"/>
                <w:sz w:val="24"/>
                <w:szCs w:val="24"/>
                <w:highlight w:val="none"/>
              </w:rPr>
              <w:t xml:space="preserve"> </w:t>
            </w:r>
          </w:p>
        </w:tc>
        <w:tc>
          <w:tcPr>
            <w:tcW w:w="0" w:type="auto"/>
            <w:noWrap w:val="0"/>
            <w:vAlign w:val="top"/>
          </w:tcPr>
          <w:p w14:paraId="6F70A74D">
            <w:pPr>
              <w:pStyle w:val="53"/>
              <w:pageBreakBefore w:val="0"/>
              <w:kinsoku/>
              <w:wordWrap/>
              <w:overflowPunct/>
              <w:topLinePunct w:val="0"/>
              <w:bidi w:val="0"/>
              <w:spacing w:line="500" w:lineRule="exact"/>
              <w:ind w:left="1200" w:leftChars="0" w:right="0" w:rightChars="0" w:hanging="1200" w:hangingChars="50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开户银行：</w:t>
            </w:r>
          </w:p>
        </w:tc>
      </w:tr>
      <w:tr w14:paraId="6850D7ED">
        <w:tblPrEx>
          <w:tblCellMar>
            <w:top w:w="0" w:type="dxa"/>
            <w:left w:w="108" w:type="dxa"/>
            <w:bottom w:w="0" w:type="dxa"/>
            <w:right w:w="108" w:type="dxa"/>
          </w:tblCellMar>
        </w:tblPrEx>
        <w:trPr>
          <w:trHeight w:val="438" w:hRule="atLeast"/>
        </w:trPr>
        <w:tc>
          <w:tcPr>
            <w:tcW w:w="0" w:type="auto"/>
            <w:noWrap w:val="0"/>
            <w:vAlign w:val="top"/>
          </w:tcPr>
          <w:p w14:paraId="1F322A30">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基本账号：</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2B1E5677">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基本账号：</w:t>
            </w:r>
          </w:p>
        </w:tc>
      </w:tr>
      <w:tr w14:paraId="4D5142B3">
        <w:tblPrEx>
          <w:tblCellMar>
            <w:top w:w="0" w:type="dxa"/>
            <w:left w:w="108" w:type="dxa"/>
            <w:bottom w:w="0" w:type="dxa"/>
            <w:right w:w="108" w:type="dxa"/>
          </w:tblCellMar>
        </w:tblPrEx>
        <w:tc>
          <w:tcPr>
            <w:tcW w:w="0" w:type="auto"/>
            <w:noWrap w:val="0"/>
            <w:vAlign w:val="top"/>
          </w:tcPr>
          <w:p w14:paraId="4DDA03C8">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邮政编码：</w:t>
            </w:r>
            <w:r>
              <w:rPr>
                <w:rStyle w:val="27"/>
                <w:rFonts w:hint="eastAsia" w:ascii="宋体" w:hAnsi="宋体" w:eastAsia="宋体" w:cs="宋体"/>
                <w:color w:val="auto"/>
                <w:sz w:val="24"/>
                <w:szCs w:val="24"/>
                <w:highlight w:val="none"/>
                <w:lang w:val="en-US" w:eastAsia="zh-CN"/>
              </w:rPr>
              <w:t xml:space="preserve"> </w:t>
            </w:r>
          </w:p>
        </w:tc>
        <w:tc>
          <w:tcPr>
            <w:tcW w:w="0" w:type="auto"/>
            <w:noWrap w:val="0"/>
            <w:vAlign w:val="top"/>
          </w:tcPr>
          <w:p w14:paraId="55451EF0">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邮政编码：</w:t>
            </w:r>
          </w:p>
        </w:tc>
      </w:tr>
      <w:tr w14:paraId="39C26D02">
        <w:tblPrEx>
          <w:tblCellMar>
            <w:top w:w="0" w:type="dxa"/>
            <w:left w:w="108" w:type="dxa"/>
            <w:bottom w:w="0" w:type="dxa"/>
            <w:right w:w="108" w:type="dxa"/>
          </w:tblCellMar>
        </w:tblPrEx>
        <w:tc>
          <w:tcPr>
            <w:tcW w:w="0" w:type="auto"/>
            <w:noWrap w:val="0"/>
            <w:vAlign w:val="top"/>
          </w:tcPr>
          <w:p w14:paraId="4CBA9E2F">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经办人：</w:t>
            </w:r>
          </w:p>
        </w:tc>
        <w:tc>
          <w:tcPr>
            <w:tcW w:w="0" w:type="auto"/>
            <w:noWrap w:val="0"/>
            <w:vAlign w:val="top"/>
          </w:tcPr>
          <w:p w14:paraId="38382FCF">
            <w:pPr>
              <w:pStyle w:val="53"/>
              <w:pageBreakBefore w:val="0"/>
              <w:kinsoku/>
              <w:wordWrap/>
              <w:overflowPunct/>
              <w:topLinePunct w:val="0"/>
              <w:bidi w:val="0"/>
              <w:spacing w:line="500" w:lineRule="exact"/>
              <w:ind w:left="0" w:leftChars="0" w:right="0" w:rightChars="0"/>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 xml:space="preserve">经办人： </w:t>
            </w:r>
          </w:p>
        </w:tc>
      </w:tr>
    </w:tbl>
    <w:p w14:paraId="01B361C6">
      <w:pPr>
        <w:rPr>
          <w:rFonts w:hint="eastAsia" w:ascii="宋体" w:hAnsi="宋体" w:eastAsia="宋体" w:cs="宋体"/>
          <w:highlight w:val="none"/>
        </w:rPr>
      </w:pPr>
    </w:p>
    <w:p w14:paraId="13E70876">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4BDAF018">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14AD929B">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227080A5">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15121927">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543F680A">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1FDD9786">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361BA52C">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C1943D3">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26608976">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34EBC3C8">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58E9D39">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8D8B931">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EE8BFEF">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FF32834">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4251674A">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40225011">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4E34BFC8">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1783846F">
      <w:pPr>
        <w:pStyle w:val="31"/>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bCs/>
          <w:color w:val="auto"/>
          <w:sz w:val="28"/>
          <w:szCs w:val="28"/>
          <w:highlight w:val="none"/>
          <w:lang w:eastAsia="zh-CN"/>
        </w:rPr>
      </w:pPr>
    </w:p>
    <w:p w14:paraId="6FAFB53E">
      <w:pPr>
        <w:keepNext w:val="0"/>
        <w:keepLines w:val="0"/>
        <w:pageBreakBefore w:val="0"/>
        <w:widowControl w:val="0"/>
        <w:kinsoku/>
        <w:wordWrap/>
        <w:overflowPunct w:val="0"/>
        <w:topLinePunct w:val="0"/>
        <w:autoSpaceDE w:val="0"/>
        <w:autoSpaceDN w:val="0"/>
        <w:bidi w:val="0"/>
        <w:spacing w:before="148" w:line="219" w:lineRule="auto"/>
        <w:ind w:left="70"/>
        <w:jc w:val="center"/>
        <w:outlineLvl w:val="0"/>
        <w:rPr>
          <w:rFonts w:hint="default" w:ascii="宋体" w:hAnsi="宋体" w:eastAsia="宋体" w:cs="宋体"/>
          <w:spacing w:val="1"/>
          <w:sz w:val="28"/>
          <w:szCs w:val="28"/>
          <w:lang w:val="en-US" w:eastAsia="zh-CN"/>
          <w14:textOutline w14:w="5103" w14:cap="sq" w14:cmpd="sng">
            <w14:solidFill>
              <w14:srgbClr w14:val="000000"/>
            </w14:solidFill>
            <w14:prstDash w14:val="solid"/>
            <w14:bevel/>
          </w14:textOutline>
        </w:rPr>
      </w:pPr>
      <w:bookmarkStart w:id="227" w:name="_Toc21297"/>
      <w:bookmarkStart w:id="228" w:name="_Toc12413"/>
      <w:bookmarkStart w:id="229" w:name="_Toc326"/>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第八章  响应文件格式</w:t>
      </w:r>
      <w:bookmarkEnd w:id="227"/>
      <w:bookmarkEnd w:id="228"/>
      <w:bookmarkEnd w:id="229"/>
    </w:p>
    <w:p w14:paraId="59E732E1">
      <w:pPr>
        <w:keepNext w:val="0"/>
        <w:keepLines w:val="0"/>
        <w:pageBreakBefore w:val="0"/>
        <w:widowControl w:val="0"/>
        <w:kinsoku/>
        <w:wordWrap/>
        <w:overflowPunct w:val="0"/>
        <w:topLinePunct w:val="0"/>
        <w:autoSpaceDE w:val="0"/>
        <w:autoSpaceDN w:val="0"/>
        <w:bidi w:val="0"/>
        <w:rPr>
          <w:rFonts w:hint="eastAsia"/>
          <w:lang w:val="en-US" w:eastAsia="zh-CN"/>
        </w:rPr>
      </w:pPr>
    </w:p>
    <w:p w14:paraId="27850923">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headerReference r:id="rId12" w:type="default"/>
          <w:footerReference r:id="rId13" w:type="default"/>
          <w:pgSz w:w="11906" w:h="16838"/>
          <w:pgMar w:top="1304" w:right="1304" w:bottom="1304" w:left="1304" w:header="0" w:footer="675" w:gutter="0"/>
          <w:pgNumType w:fmt="decimal"/>
          <w:cols w:space="425" w:num="1"/>
          <w:rtlGutter w:val="0"/>
          <w:docGrid w:linePitch="0" w:charSpace="0"/>
        </w:sectPr>
      </w:pPr>
    </w:p>
    <w:p w14:paraId="6EEBC544">
      <w:pPr>
        <w:pStyle w:val="31"/>
        <w:keepNext w:val="0"/>
        <w:keepLines w:val="0"/>
        <w:pageBreakBefore w:val="0"/>
        <w:widowControl w:val="0"/>
        <w:kinsoku/>
        <w:wordWrap/>
        <w:overflowPunct w:val="0"/>
        <w:topLinePunct w:val="0"/>
        <w:autoSpaceDE w:val="0"/>
        <w:autoSpaceDN w:val="0"/>
        <w:bidi w:val="0"/>
        <w:jc w:val="both"/>
        <w:rPr>
          <w:rFonts w:hint="eastAsia" w:ascii="宋体" w:hAnsi="宋体" w:eastAsia="宋体" w:cs="宋体"/>
          <w:b/>
          <w:bCs/>
          <w:color w:val="auto"/>
          <w:sz w:val="24"/>
          <w:szCs w:val="24"/>
          <w:highlight w:val="none"/>
          <w:lang w:eastAsia="zh-CN"/>
        </w:rPr>
      </w:pPr>
    </w:p>
    <w:p w14:paraId="1053DDB0">
      <w:pPr>
        <w:keepNext w:val="0"/>
        <w:keepLines w:val="0"/>
        <w:pageBreakBefore w:val="0"/>
        <w:widowControl w:val="0"/>
        <w:kinsoku/>
        <w:wordWrap/>
        <w:overflowPunct w:val="0"/>
        <w:topLinePunct w:val="0"/>
        <w:autoSpaceDE w:val="0"/>
        <w:autoSpaceDN w:val="0"/>
        <w:bidi w:val="0"/>
        <w:spacing w:line="298" w:lineRule="auto"/>
        <w:outlineLvl w:val="2"/>
        <w:rPr>
          <w:rFonts w:hint="eastAsia" w:ascii="宋体" w:hAnsi="宋体" w:eastAsia="宋体" w:cs="宋体"/>
          <w:sz w:val="24"/>
          <w:szCs w:val="24"/>
          <w:lang w:val="en-US" w:eastAsia="zh-CN"/>
        </w:rPr>
      </w:pPr>
      <w:bookmarkStart w:id="230" w:name="_Toc20711"/>
      <w:r>
        <w:rPr>
          <w:rFonts w:hint="eastAsia" w:ascii="宋体" w:hAnsi="宋体" w:eastAsia="宋体" w:cs="宋体"/>
          <w:sz w:val="24"/>
          <w:szCs w:val="24"/>
          <w:lang w:val="en-US" w:eastAsia="zh-CN"/>
        </w:rPr>
        <w:t>1.资格文件格式：</w:t>
      </w:r>
      <w:bookmarkEnd w:id="230"/>
    </w:p>
    <w:p w14:paraId="26A6BFBE">
      <w:pPr>
        <w:keepNext w:val="0"/>
        <w:keepLines w:val="0"/>
        <w:pageBreakBefore w:val="0"/>
        <w:widowControl w:val="0"/>
        <w:kinsoku/>
        <w:wordWrap/>
        <w:overflowPunct w:val="0"/>
        <w:topLinePunct w:val="0"/>
        <w:autoSpaceDE w:val="0"/>
        <w:autoSpaceDN w:val="0"/>
        <w:bidi w:val="0"/>
        <w:spacing w:line="351" w:lineRule="exact"/>
        <w:ind w:firstLine="346"/>
        <w:textAlignment w:val="center"/>
        <w:rPr>
          <w:rFonts w:hint="eastAsia" w:ascii="宋体" w:hAnsi="宋体" w:eastAsia="宋体" w:cs="宋体"/>
          <w:sz w:val="24"/>
          <w:szCs w:val="24"/>
        </w:rPr>
      </w:pPr>
    </w:p>
    <w:p w14:paraId="2C993F3F">
      <w:pPr>
        <w:keepNext w:val="0"/>
        <w:keepLines w:val="0"/>
        <w:pageBreakBefore w:val="0"/>
        <w:widowControl w:val="0"/>
        <w:kinsoku/>
        <w:wordWrap/>
        <w:overflowPunct w:val="0"/>
        <w:topLinePunct w:val="0"/>
        <w:autoSpaceDE w:val="0"/>
        <w:autoSpaceDN w:val="0"/>
        <w:bidi w:val="0"/>
        <w:spacing w:line="292" w:lineRule="auto"/>
        <w:rPr>
          <w:rFonts w:hint="eastAsia" w:ascii="宋体" w:hAnsi="宋体" w:eastAsia="宋体" w:cs="宋体"/>
          <w:sz w:val="24"/>
          <w:szCs w:val="24"/>
        </w:rPr>
      </w:pPr>
    </w:p>
    <w:p w14:paraId="458BAF10">
      <w:pPr>
        <w:keepNext w:val="0"/>
        <w:keepLines w:val="0"/>
        <w:pageBreakBefore w:val="0"/>
        <w:widowControl w:val="0"/>
        <w:kinsoku/>
        <w:wordWrap/>
        <w:overflowPunct w:val="0"/>
        <w:topLinePunct w:val="0"/>
        <w:autoSpaceDE w:val="0"/>
        <w:autoSpaceDN w:val="0"/>
        <w:bidi w:val="0"/>
        <w:spacing w:line="293" w:lineRule="auto"/>
        <w:rPr>
          <w:rFonts w:hint="eastAsia" w:ascii="宋体" w:hAnsi="宋体" w:eastAsia="宋体" w:cs="宋体"/>
          <w:sz w:val="24"/>
          <w:szCs w:val="24"/>
        </w:rPr>
      </w:pPr>
    </w:p>
    <w:p w14:paraId="679FE059">
      <w:pPr>
        <w:keepNext w:val="0"/>
        <w:keepLines w:val="0"/>
        <w:pageBreakBefore w:val="0"/>
        <w:widowControl w:val="0"/>
        <w:kinsoku/>
        <w:wordWrap/>
        <w:overflowPunct w:val="0"/>
        <w:topLinePunct w:val="0"/>
        <w:autoSpaceDE w:val="0"/>
        <w:autoSpaceDN w:val="0"/>
        <w:bidi w:val="0"/>
        <w:spacing w:before="71" w:line="228" w:lineRule="auto"/>
        <w:ind w:right="114"/>
        <w:jc w:val="center"/>
        <w:rPr>
          <w:rFonts w:hint="eastAsia" w:ascii="宋体" w:hAnsi="宋体" w:eastAsia="宋体" w:cs="宋体"/>
          <w:sz w:val="24"/>
          <w:szCs w:val="24"/>
        </w:rPr>
      </w:pPr>
      <w:r>
        <w:rPr>
          <w:rFonts w:hint="eastAsia" w:ascii="宋体" w:hAnsi="宋体" w:eastAsia="宋体" w:cs="宋体"/>
          <w:spacing w:val="7"/>
          <w:sz w:val="24"/>
          <w:szCs w:val="24"/>
        </w:rPr>
        <w:t>电子投标文件</w:t>
      </w:r>
    </w:p>
    <w:p w14:paraId="5B84D7A7">
      <w:pPr>
        <w:keepNext w:val="0"/>
        <w:keepLines w:val="0"/>
        <w:pageBreakBefore w:val="0"/>
        <w:widowControl w:val="0"/>
        <w:kinsoku/>
        <w:wordWrap/>
        <w:overflowPunct w:val="0"/>
        <w:topLinePunct w:val="0"/>
        <w:autoSpaceDE w:val="0"/>
        <w:autoSpaceDN w:val="0"/>
        <w:bidi w:val="0"/>
        <w:spacing w:line="338" w:lineRule="auto"/>
        <w:rPr>
          <w:rFonts w:hint="eastAsia" w:ascii="宋体" w:hAnsi="宋体" w:eastAsia="宋体" w:cs="宋体"/>
          <w:sz w:val="24"/>
          <w:szCs w:val="24"/>
        </w:rPr>
      </w:pPr>
    </w:p>
    <w:p w14:paraId="1C7ED55D">
      <w:pPr>
        <w:keepNext w:val="0"/>
        <w:keepLines w:val="0"/>
        <w:pageBreakBefore w:val="0"/>
        <w:widowControl w:val="0"/>
        <w:kinsoku/>
        <w:wordWrap/>
        <w:overflowPunct w:val="0"/>
        <w:topLinePunct w:val="0"/>
        <w:autoSpaceDE w:val="0"/>
        <w:autoSpaceDN w:val="0"/>
        <w:bidi w:val="0"/>
        <w:spacing w:before="98" w:line="225" w:lineRule="auto"/>
        <w:ind w:left="3836"/>
        <w:rPr>
          <w:rFonts w:hint="eastAsia" w:ascii="宋体" w:hAnsi="宋体" w:eastAsia="宋体" w:cs="宋体"/>
          <w:sz w:val="24"/>
          <w:szCs w:val="24"/>
        </w:rPr>
      </w:pPr>
      <w:r>
        <w:rPr>
          <w:rFonts w:hint="eastAsia" w:ascii="宋体" w:hAnsi="宋体" w:eastAsia="宋体" w:cs="宋体"/>
          <w:spacing w:val="22"/>
          <w:sz w:val="24"/>
          <w:szCs w:val="24"/>
        </w:rPr>
        <w:t>(资格文件</w:t>
      </w:r>
      <w:r>
        <w:rPr>
          <w:rFonts w:hint="eastAsia" w:ascii="宋体" w:hAnsi="宋体" w:eastAsia="宋体" w:cs="宋体"/>
          <w:spacing w:val="21"/>
          <w:sz w:val="24"/>
          <w:szCs w:val="24"/>
        </w:rPr>
        <w:t>)</w:t>
      </w:r>
    </w:p>
    <w:p w14:paraId="161327D0">
      <w:pPr>
        <w:keepNext w:val="0"/>
        <w:keepLines w:val="0"/>
        <w:pageBreakBefore w:val="0"/>
        <w:widowControl w:val="0"/>
        <w:kinsoku/>
        <w:wordWrap/>
        <w:overflowPunct w:val="0"/>
        <w:topLinePunct w:val="0"/>
        <w:autoSpaceDE w:val="0"/>
        <w:autoSpaceDN w:val="0"/>
        <w:bidi w:val="0"/>
        <w:spacing w:before="218" w:line="228" w:lineRule="auto"/>
        <w:ind w:left="1094"/>
        <w:rPr>
          <w:rFonts w:hint="eastAsia" w:ascii="宋体" w:hAnsi="宋体" w:eastAsia="宋体" w:cs="宋体"/>
          <w:spacing w:val="10"/>
          <w:sz w:val="24"/>
          <w:szCs w:val="24"/>
        </w:rPr>
      </w:pPr>
    </w:p>
    <w:p w14:paraId="12A31C09">
      <w:pPr>
        <w:keepNext w:val="0"/>
        <w:keepLines w:val="0"/>
        <w:pageBreakBefore w:val="0"/>
        <w:widowControl w:val="0"/>
        <w:kinsoku/>
        <w:wordWrap/>
        <w:overflowPunct w:val="0"/>
        <w:topLinePunct w:val="0"/>
        <w:autoSpaceDE w:val="0"/>
        <w:autoSpaceDN w:val="0"/>
        <w:bidi w:val="0"/>
        <w:spacing w:before="218" w:line="228" w:lineRule="auto"/>
        <w:ind w:left="1094"/>
        <w:rPr>
          <w:rFonts w:hint="eastAsia" w:ascii="宋体" w:hAnsi="宋体" w:eastAsia="宋体" w:cs="宋体"/>
          <w:spacing w:val="10"/>
          <w:sz w:val="24"/>
          <w:szCs w:val="24"/>
        </w:rPr>
      </w:pPr>
    </w:p>
    <w:p w14:paraId="03191287">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目名称：</w:t>
      </w:r>
      <w:r>
        <w:rPr>
          <w:rFonts w:hint="eastAsia" w:ascii="宋体" w:hAnsi="宋体" w:eastAsia="宋体" w:cs="宋体"/>
          <w:spacing w:val="8"/>
          <w:sz w:val="24"/>
          <w:szCs w:val="24"/>
          <w:u w:val="single"/>
          <w:lang w:val="en-US" w:eastAsia="zh-CN"/>
        </w:rPr>
        <w:t xml:space="preserve">                                         </w:t>
      </w:r>
    </w:p>
    <w:p w14:paraId="003DF5C3">
      <w:pPr>
        <w:keepNext w:val="0"/>
        <w:keepLines w:val="0"/>
        <w:pageBreakBefore w:val="0"/>
        <w:widowControl w:val="0"/>
        <w:kinsoku/>
        <w:wordWrap/>
        <w:overflowPunct w:val="0"/>
        <w:topLinePunct w:val="0"/>
        <w:autoSpaceDE w:val="0"/>
        <w:autoSpaceDN w:val="0"/>
        <w:bidi w:val="0"/>
        <w:spacing w:line="258" w:lineRule="auto"/>
        <w:rPr>
          <w:rFonts w:hint="eastAsia" w:ascii="宋体" w:hAnsi="宋体" w:eastAsia="宋体" w:cs="宋体"/>
          <w:sz w:val="24"/>
          <w:szCs w:val="24"/>
        </w:rPr>
      </w:pPr>
    </w:p>
    <w:p w14:paraId="73C64CED">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0DEE2DEF">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63E6AA58">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目编号：</w:t>
      </w:r>
      <w:r>
        <w:rPr>
          <w:rFonts w:hint="eastAsia" w:ascii="宋体" w:hAnsi="宋体" w:eastAsia="宋体" w:cs="宋体"/>
          <w:spacing w:val="8"/>
          <w:sz w:val="24"/>
          <w:szCs w:val="24"/>
          <w:u w:val="single"/>
          <w:lang w:val="en-US" w:eastAsia="zh-CN"/>
        </w:rPr>
        <w:t xml:space="preserve">                                         </w:t>
      </w:r>
    </w:p>
    <w:p w14:paraId="11B1271E">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63D7D118">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2DAF312B">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469C9935">
      <w:pPr>
        <w:keepNext w:val="0"/>
        <w:keepLines w:val="0"/>
        <w:pageBreakBefore w:val="0"/>
        <w:widowControl w:val="0"/>
        <w:kinsoku/>
        <w:wordWrap/>
        <w:overflowPunct w:val="0"/>
        <w:topLinePunct w:val="0"/>
        <w:autoSpaceDE w:val="0"/>
        <w:autoSpaceDN w:val="0"/>
        <w:bidi w:val="0"/>
        <w:spacing w:before="72" w:line="228" w:lineRule="auto"/>
        <w:ind w:left="1101"/>
        <w:rPr>
          <w:rFonts w:hint="eastAsia" w:ascii="宋体" w:hAnsi="宋体" w:eastAsia="宋体" w:cs="宋体"/>
          <w:sz w:val="24"/>
          <w:szCs w:val="24"/>
        </w:rPr>
      </w:pPr>
      <w:r>
        <w:rPr>
          <w:rFonts w:hint="eastAsia" w:ascii="宋体" w:hAnsi="宋体" w:eastAsia="宋体" w:cs="宋体"/>
          <w:spacing w:val="8"/>
          <w:sz w:val="24"/>
          <w:szCs w:val="24"/>
        </w:rPr>
        <w:t xml:space="preserve">标  </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项：    (如有则填写，无分标时填写“无”或者留空)</w:t>
      </w:r>
    </w:p>
    <w:p w14:paraId="73999E89">
      <w:pPr>
        <w:keepNext w:val="0"/>
        <w:keepLines w:val="0"/>
        <w:pageBreakBefore w:val="0"/>
        <w:widowControl w:val="0"/>
        <w:kinsoku/>
        <w:wordWrap/>
        <w:overflowPunct w:val="0"/>
        <w:topLinePunct w:val="0"/>
        <w:autoSpaceDE w:val="0"/>
        <w:autoSpaceDN w:val="0"/>
        <w:bidi w:val="0"/>
        <w:spacing w:line="291" w:lineRule="auto"/>
        <w:rPr>
          <w:rFonts w:hint="eastAsia" w:ascii="宋体" w:hAnsi="宋体" w:eastAsia="宋体" w:cs="宋体"/>
          <w:sz w:val="24"/>
          <w:szCs w:val="24"/>
        </w:rPr>
      </w:pPr>
    </w:p>
    <w:p w14:paraId="2006EF64">
      <w:pPr>
        <w:keepNext w:val="0"/>
        <w:keepLines w:val="0"/>
        <w:pageBreakBefore w:val="0"/>
        <w:widowControl w:val="0"/>
        <w:kinsoku/>
        <w:wordWrap/>
        <w:overflowPunct w:val="0"/>
        <w:topLinePunct w:val="0"/>
        <w:autoSpaceDE w:val="0"/>
        <w:autoSpaceDN w:val="0"/>
        <w:bidi w:val="0"/>
        <w:spacing w:line="292" w:lineRule="auto"/>
        <w:rPr>
          <w:rFonts w:hint="eastAsia" w:ascii="宋体" w:hAnsi="宋体" w:eastAsia="宋体" w:cs="宋体"/>
          <w:sz w:val="24"/>
          <w:szCs w:val="24"/>
        </w:rPr>
      </w:pPr>
    </w:p>
    <w:p w14:paraId="5273B3CE">
      <w:pPr>
        <w:keepNext w:val="0"/>
        <w:keepLines w:val="0"/>
        <w:pageBreakBefore w:val="0"/>
        <w:widowControl w:val="0"/>
        <w:kinsoku/>
        <w:wordWrap/>
        <w:overflowPunct w:val="0"/>
        <w:topLinePunct w:val="0"/>
        <w:autoSpaceDE w:val="0"/>
        <w:autoSpaceDN w:val="0"/>
        <w:bidi w:val="0"/>
        <w:spacing w:before="72" w:line="227" w:lineRule="auto"/>
        <w:ind w:left="1021"/>
        <w:rPr>
          <w:rFonts w:hint="eastAsia" w:ascii="宋体" w:hAnsi="宋体" w:eastAsia="宋体" w:cs="宋体"/>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(加盖单位电子</w:t>
      </w:r>
      <w:r>
        <w:rPr>
          <w:rFonts w:hint="eastAsia" w:ascii="宋体" w:hAnsi="宋体" w:eastAsia="宋体" w:cs="宋体"/>
          <w:sz w:val="24"/>
          <w:szCs w:val="24"/>
        </w:rPr>
        <w:t>公章)</w:t>
      </w:r>
    </w:p>
    <w:p w14:paraId="573BE18E">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61968DC2">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2313BE80">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1"/>
          <w:sz w:val="24"/>
          <w:szCs w:val="24"/>
          <w:lang w:eastAsia="zh-CN"/>
        </w:rPr>
        <w:t>供应商</w:t>
      </w:r>
      <w:r>
        <w:rPr>
          <w:rFonts w:hint="eastAsia" w:ascii="宋体" w:hAnsi="宋体" w:eastAsia="宋体" w:cs="宋体"/>
          <w:spacing w:val="10"/>
          <w:sz w:val="24"/>
          <w:szCs w:val="24"/>
        </w:rPr>
        <w:t>地址：</w:t>
      </w:r>
      <w:r>
        <w:rPr>
          <w:rFonts w:hint="eastAsia" w:ascii="宋体" w:hAnsi="宋体" w:eastAsia="宋体" w:cs="宋体"/>
          <w:spacing w:val="8"/>
          <w:sz w:val="24"/>
          <w:szCs w:val="24"/>
          <w:u w:val="single"/>
          <w:lang w:val="en-US" w:eastAsia="zh-CN"/>
        </w:rPr>
        <w:t xml:space="preserve">                                         </w:t>
      </w:r>
    </w:p>
    <w:p w14:paraId="3B52F81A">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4DD45040">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209F074B">
      <w:pPr>
        <w:keepNext w:val="0"/>
        <w:keepLines w:val="0"/>
        <w:pageBreakBefore w:val="0"/>
        <w:widowControl w:val="0"/>
        <w:kinsoku/>
        <w:wordWrap/>
        <w:overflowPunct w:val="0"/>
        <w:topLinePunct w:val="0"/>
        <w:autoSpaceDE w:val="0"/>
        <w:autoSpaceDN w:val="0"/>
        <w:bidi w:val="0"/>
        <w:spacing w:before="71" w:line="228" w:lineRule="auto"/>
        <w:ind w:left="5889"/>
        <w:rPr>
          <w:rFonts w:hint="eastAsia" w:ascii="宋体" w:hAnsi="宋体" w:eastAsia="宋体" w:cs="宋体"/>
          <w:sz w:val="24"/>
          <w:szCs w:val="24"/>
        </w:rPr>
      </w:pPr>
      <w:r>
        <w:rPr>
          <w:rFonts w:hint="eastAsia" w:ascii="宋体" w:hAnsi="宋体" w:eastAsia="宋体" w:cs="宋体"/>
          <w:spacing w:val="21"/>
          <w:sz w:val="24"/>
          <w:szCs w:val="24"/>
        </w:rPr>
        <w:t>年  月  日</w:t>
      </w:r>
    </w:p>
    <w:p w14:paraId="0D8DD2A0">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14" w:type="default"/>
          <w:pgSz w:w="11906" w:h="16838"/>
          <w:pgMar w:top="1304" w:right="1304" w:bottom="1304" w:left="1304" w:header="0" w:footer="675" w:gutter="0"/>
          <w:pgNumType w:fmt="decimal"/>
          <w:cols w:space="425" w:num="1"/>
          <w:rtlGutter w:val="0"/>
          <w:docGrid w:linePitch="0" w:charSpace="0"/>
        </w:sectPr>
      </w:pPr>
    </w:p>
    <w:p w14:paraId="485C4280">
      <w:pPr>
        <w:keepNext w:val="0"/>
        <w:keepLines w:val="0"/>
        <w:pageBreakBefore w:val="0"/>
        <w:widowControl w:val="0"/>
        <w:kinsoku/>
        <w:wordWrap/>
        <w:overflowPunct w:val="0"/>
        <w:topLinePunct w:val="0"/>
        <w:autoSpaceDE w:val="0"/>
        <w:autoSpaceDN w:val="0"/>
        <w:bidi w:val="0"/>
        <w:spacing w:line="280" w:lineRule="auto"/>
        <w:rPr>
          <w:rFonts w:ascii="Arial"/>
          <w:sz w:val="21"/>
        </w:rPr>
      </w:pPr>
    </w:p>
    <w:p w14:paraId="4F2E5439">
      <w:pPr>
        <w:keepNext w:val="0"/>
        <w:keepLines w:val="0"/>
        <w:pageBreakBefore w:val="0"/>
        <w:widowControl w:val="0"/>
        <w:kinsoku/>
        <w:wordWrap/>
        <w:overflowPunct w:val="0"/>
        <w:topLinePunct w:val="0"/>
        <w:autoSpaceDE w:val="0"/>
        <w:autoSpaceDN w:val="0"/>
        <w:bidi w:val="0"/>
        <w:spacing w:line="280" w:lineRule="auto"/>
        <w:jc w:val="center"/>
        <w:rPr>
          <w:rFonts w:hint="eastAsia" w:ascii="Arial" w:eastAsia="宋体"/>
          <w:sz w:val="24"/>
          <w:szCs w:val="24"/>
          <w:lang w:eastAsia="zh-CN"/>
        </w:rPr>
      </w:pPr>
      <w:r>
        <w:rPr>
          <w:rFonts w:hint="eastAsia" w:eastAsia="宋体"/>
          <w:sz w:val="24"/>
          <w:szCs w:val="24"/>
          <w:lang w:eastAsia="zh-CN"/>
        </w:rPr>
        <w:t>目录</w:t>
      </w:r>
    </w:p>
    <w:p w14:paraId="08EE4117">
      <w:pPr>
        <w:keepNext w:val="0"/>
        <w:keepLines w:val="0"/>
        <w:pageBreakBefore w:val="0"/>
        <w:widowControl w:val="0"/>
        <w:kinsoku/>
        <w:wordWrap/>
        <w:overflowPunct w:val="0"/>
        <w:topLinePunct w:val="0"/>
        <w:autoSpaceDE w:val="0"/>
        <w:autoSpaceDN w:val="0"/>
        <w:bidi w:val="0"/>
        <w:spacing w:line="280" w:lineRule="auto"/>
        <w:rPr>
          <w:rFonts w:ascii="Arial"/>
          <w:sz w:val="24"/>
          <w:szCs w:val="24"/>
        </w:rPr>
      </w:pPr>
    </w:p>
    <w:p w14:paraId="4EB7EAFB">
      <w:pPr>
        <w:keepNext w:val="0"/>
        <w:keepLines w:val="0"/>
        <w:pageBreakBefore w:val="0"/>
        <w:widowControl w:val="0"/>
        <w:kinsoku/>
        <w:wordWrap/>
        <w:overflowPunct w:val="0"/>
        <w:topLinePunct w:val="0"/>
        <w:autoSpaceDE w:val="0"/>
        <w:autoSpaceDN w:val="0"/>
        <w:bidi w:val="0"/>
        <w:spacing w:line="374" w:lineRule="exact"/>
        <w:ind w:firstLine="5051"/>
        <w:textAlignment w:val="center"/>
        <w:rPr>
          <w:sz w:val="24"/>
          <w:szCs w:val="24"/>
        </w:rPr>
      </w:pPr>
    </w:p>
    <w:p w14:paraId="17611CAA">
      <w:pPr>
        <w:keepNext w:val="0"/>
        <w:keepLines w:val="0"/>
        <w:pageBreakBefore w:val="0"/>
        <w:widowControl w:val="0"/>
        <w:kinsoku/>
        <w:wordWrap/>
        <w:overflowPunct w:val="0"/>
        <w:topLinePunct w:val="0"/>
        <w:autoSpaceDE w:val="0"/>
        <w:autoSpaceDN w:val="0"/>
        <w:bidi w:val="0"/>
        <w:spacing w:before="162" w:line="389" w:lineRule="exact"/>
        <w:ind w:left="32"/>
        <w:rPr>
          <w:rFonts w:ascii="宋体" w:hAnsi="宋体" w:eastAsia="宋体" w:cs="宋体"/>
          <w:sz w:val="24"/>
          <w:szCs w:val="24"/>
        </w:rPr>
      </w:pPr>
      <w:r>
        <w:rPr>
          <w:rFonts w:ascii="宋体" w:hAnsi="宋体" w:eastAsia="宋体" w:cs="宋体"/>
          <w:spacing w:val="8"/>
          <w:position w:val="14"/>
          <w:sz w:val="24"/>
          <w:szCs w:val="24"/>
        </w:rPr>
        <w:t>1</w:t>
      </w:r>
      <w:r>
        <w:rPr>
          <w:rFonts w:ascii="宋体" w:hAnsi="宋体" w:eastAsia="宋体" w:cs="宋体"/>
          <w:spacing w:val="7"/>
          <w:position w:val="14"/>
          <w:sz w:val="24"/>
          <w:szCs w:val="24"/>
        </w:rPr>
        <w:t>、资格文件</w:t>
      </w:r>
    </w:p>
    <w:p w14:paraId="5B2AF4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bCs/>
          <w:sz w:val="24"/>
          <w:szCs w:val="24"/>
          <w:highlight w:val="none"/>
        </w:rPr>
        <w:t>供应商资格声明函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25877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基本情况表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FA118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有效的营业执照</w:t>
      </w:r>
      <w:r>
        <w:rPr>
          <w:rFonts w:hint="eastAsia" w:asciiTheme="minorEastAsia" w:hAnsiTheme="minorEastAsia" w:eastAsiaTheme="minorEastAsia" w:cstheme="minorEastAsia"/>
          <w:color w:val="auto"/>
          <w:sz w:val="24"/>
          <w:szCs w:val="24"/>
          <w:highlight w:val="none"/>
          <w:lang w:eastAsia="zh-CN"/>
        </w:rPr>
        <w:t>复印件；</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58A358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中小企业声明函或者残疾人福利性单位声明函或者供应商属于监狱企业的证明材料；</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2F29F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建设工程项目管理承诺书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20882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sz w:val="24"/>
          <w:szCs w:val="24"/>
          <w:highlight w:val="none"/>
        </w:rPr>
        <w:t>供应商特定资格要求的资格证明材料</w:t>
      </w:r>
      <w:r>
        <w:rPr>
          <w:rFonts w:hint="eastAsia" w:asciiTheme="minorEastAsia" w:hAnsiTheme="minorEastAsia" w:eastAsiaTheme="minorEastAsia" w:cstheme="minorEastAsia"/>
          <w:b/>
          <w:bCs/>
          <w:sz w:val="24"/>
          <w:szCs w:val="24"/>
          <w:highlight w:val="none"/>
          <w:lang w:eastAsia="zh-CN"/>
        </w:rPr>
        <w:t>：</w:t>
      </w:r>
      <w:r>
        <w:rPr>
          <w:rFonts w:hint="default" w:ascii="Calibri" w:hAnsi="Calibri" w:cs="Calibri" w:eastAsiaTheme="minorEastAsia"/>
          <w:snapToGrid/>
          <w:color w:val="auto"/>
          <w:kern w:val="2"/>
          <w:sz w:val="24"/>
          <w:szCs w:val="24"/>
          <w:lang w:val="en-US" w:eastAsia="zh-CN" w:bidi="ar-SA"/>
        </w:rPr>
        <w:t>①</w:t>
      </w:r>
      <w:r>
        <w:rPr>
          <w:rFonts w:hint="eastAsia" w:asciiTheme="minorEastAsia" w:hAnsiTheme="minorEastAsia" w:eastAsiaTheme="minorEastAsia" w:cstheme="minorEastAsia"/>
          <w:snapToGrid/>
          <w:color w:val="auto"/>
          <w:kern w:val="2"/>
          <w:sz w:val="24"/>
          <w:szCs w:val="24"/>
          <w:highlight w:val="none"/>
          <w:lang w:val="en-US" w:eastAsia="zh-CN" w:bidi="ar-SA"/>
        </w:rPr>
        <w:t>具有</w:t>
      </w:r>
      <w:r>
        <w:rPr>
          <w:rFonts w:hint="eastAsia" w:ascii="宋体" w:hAnsi="宋体" w:eastAsia="宋体" w:cs="宋体"/>
          <w:b/>
          <w:bCs/>
          <w:snapToGrid w:val="0"/>
          <w:color w:val="000000"/>
          <w:kern w:val="0"/>
          <w:sz w:val="24"/>
          <w:szCs w:val="24"/>
          <w:u w:val="single"/>
          <w:lang w:val="en-US" w:eastAsia="zh-CN" w:bidi="ar"/>
        </w:rPr>
        <w:t>水利水电工程施工总承包叁级(含）以上</w:t>
      </w:r>
      <w:r>
        <w:rPr>
          <w:rFonts w:hint="eastAsia" w:asciiTheme="minorEastAsia" w:hAnsiTheme="minorEastAsia" w:eastAsiaTheme="minorEastAsia" w:cstheme="minorEastAsia"/>
          <w:snapToGrid/>
          <w:color w:val="auto"/>
          <w:kern w:val="2"/>
          <w:sz w:val="24"/>
          <w:szCs w:val="24"/>
          <w:highlight w:val="none"/>
          <w:lang w:val="en-US" w:eastAsia="zh-CN" w:bidi="ar-SA"/>
        </w:rPr>
        <w:t>资质，</w:t>
      </w:r>
      <w:r>
        <w:rPr>
          <w:rFonts w:hint="eastAsia" w:ascii="宋体" w:hAnsi="宋体" w:eastAsia="宋体" w:cs="宋体"/>
          <w:snapToGrid w:val="0"/>
          <w:color w:val="000000"/>
          <w:kern w:val="0"/>
          <w:sz w:val="24"/>
          <w:szCs w:val="24"/>
          <w:lang w:val="en-US" w:eastAsia="zh-CN" w:bidi="ar"/>
        </w:rPr>
        <w:t>具有省级及以上建设行政主管部门颁发的安全生产许可证</w:t>
      </w:r>
      <w:r>
        <w:rPr>
          <w:rFonts w:hint="eastAsia" w:asciiTheme="minorEastAsia" w:hAnsiTheme="minorEastAsia" w:eastAsiaTheme="minorEastAsia" w:cstheme="minorEastAsia"/>
          <w:snapToGrid/>
          <w:color w:val="auto"/>
          <w:kern w:val="2"/>
          <w:sz w:val="24"/>
          <w:szCs w:val="24"/>
          <w:highlight w:val="none"/>
          <w:lang w:val="en-US" w:eastAsia="zh-CN" w:bidi="ar-SA"/>
        </w:rPr>
        <w:t>；并在人员、设备、资金等方面具备相应的施工能力。其中，供应商拟派项目经理须具备</w:t>
      </w:r>
      <w:r>
        <w:rPr>
          <w:rFonts w:hint="eastAsia" w:ascii="宋体" w:hAnsi="宋体" w:eastAsia="宋体" w:cs="宋体"/>
          <w:b/>
          <w:bCs/>
          <w:snapToGrid w:val="0"/>
          <w:color w:val="000000"/>
          <w:kern w:val="0"/>
          <w:sz w:val="24"/>
          <w:szCs w:val="24"/>
          <w:u w:val="single"/>
          <w:lang w:val="en-US" w:eastAsia="zh-CN" w:bidi="ar"/>
        </w:rPr>
        <w:t>水利水电工程专业贰级(含)以上</w:t>
      </w:r>
      <w:r>
        <w:rPr>
          <w:rFonts w:hint="eastAsia" w:ascii="宋体" w:hAnsi="宋体" w:eastAsia="宋体" w:cs="宋体"/>
          <w:snapToGrid w:val="0"/>
          <w:color w:val="000000"/>
          <w:kern w:val="0"/>
          <w:sz w:val="24"/>
          <w:szCs w:val="24"/>
          <w:lang w:val="en-US" w:eastAsia="zh-CN" w:bidi="ar"/>
        </w:rPr>
        <w:t>注册建造师执业资格、</w:t>
      </w:r>
      <w:r>
        <w:rPr>
          <w:rFonts w:hint="eastAsia" w:ascii="宋体" w:hAnsi="宋体" w:eastAsia="宋体" w:cs="宋体"/>
          <w:b w:val="0"/>
          <w:bCs w:val="0"/>
          <w:snapToGrid w:val="0"/>
          <w:color w:val="000000"/>
          <w:kern w:val="0"/>
          <w:sz w:val="24"/>
          <w:szCs w:val="24"/>
          <w:lang w:val="en-US" w:eastAsia="zh-CN" w:bidi="ar"/>
        </w:rPr>
        <w:t>安全生产考核合格证书(B类)</w:t>
      </w:r>
      <w:r>
        <w:rPr>
          <w:rFonts w:hint="eastAsia" w:asciiTheme="minorEastAsia" w:hAnsiTheme="minorEastAsia" w:eastAsiaTheme="minorEastAsia" w:cstheme="minorEastAsia"/>
          <w:snapToGrid/>
          <w:color w:val="auto"/>
          <w:kern w:val="2"/>
          <w:sz w:val="24"/>
          <w:szCs w:val="24"/>
          <w:lang w:val="en-US" w:eastAsia="zh-CN" w:bidi="ar-SA"/>
        </w:rPr>
        <w:t>。专职安全员要求:拟派专职安全员须具备有效的安全生产考核合格证书(C类)；②本项目不接受有在建、已中标未开工或已列为其他项目中标候选人第一名的建造师作为项目经理）(符合桂建管〔 2013 〕17号文、桂建管﹝2014﹞25号文和桂建管﹝2016﹞70 除外。</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F079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文件规定必须提供以外，供应商认为需要提供的其他证明材料；</w:t>
      </w:r>
    </w:p>
    <w:p w14:paraId="6DEDC93B">
      <w:pPr>
        <w:keepNext w:val="0"/>
        <w:keepLines w:val="0"/>
        <w:pageBreakBefore w:val="0"/>
        <w:widowControl w:val="0"/>
        <w:kinsoku/>
        <w:wordWrap/>
        <w:overflowPunct w:val="0"/>
        <w:topLinePunct w:val="0"/>
        <w:autoSpaceDE w:val="0"/>
        <w:autoSpaceDN w:val="0"/>
        <w:bidi w:val="0"/>
        <w:spacing w:before="163" w:line="227" w:lineRule="auto"/>
        <w:ind w:firstLine="480" w:firstLineChars="200"/>
        <w:rPr>
          <w:rFonts w:hint="eastAsia" w:ascii="宋体" w:hAnsi="宋体" w:eastAsia="宋体" w:cs="宋体"/>
          <w:sz w:val="24"/>
          <w:szCs w:val="24"/>
          <w:lang w:val="en-US" w:eastAsia="zh-CN"/>
        </w:rPr>
      </w:pPr>
    </w:p>
    <w:p w14:paraId="11AEA42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sz w:val="24"/>
          <w:szCs w:val="24"/>
        </w:rPr>
        <w:sectPr>
          <w:footerReference r:id="rId15" w:type="default"/>
          <w:pgSz w:w="11906" w:h="16838"/>
          <w:pgMar w:top="1304" w:right="1304" w:bottom="1304" w:left="1304" w:header="0" w:footer="675" w:gutter="0"/>
          <w:pgNumType w:fmt="decimal"/>
          <w:cols w:space="425" w:num="1"/>
          <w:rtlGutter w:val="0"/>
          <w:docGrid w:linePitch="0" w:charSpace="0"/>
        </w:sectPr>
      </w:pPr>
    </w:p>
    <w:p w14:paraId="04877FEA">
      <w:pPr>
        <w:keepNext w:val="0"/>
        <w:keepLines w:val="0"/>
        <w:pageBreakBefore w:val="0"/>
        <w:widowControl w:val="0"/>
        <w:kinsoku/>
        <w:wordWrap/>
        <w:overflowPunct w:val="0"/>
        <w:topLinePunct w:val="0"/>
        <w:autoSpaceDE w:val="0"/>
        <w:autoSpaceDN w:val="0"/>
        <w:bidi w:val="0"/>
        <w:spacing w:line="260" w:lineRule="auto"/>
        <w:rPr>
          <w:rFonts w:ascii="Arial"/>
          <w:sz w:val="21"/>
        </w:rPr>
      </w:pPr>
    </w:p>
    <w:p w14:paraId="30B7D8F8">
      <w:pPr>
        <w:keepNext w:val="0"/>
        <w:keepLines w:val="0"/>
        <w:pageBreakBefore w:val="0"/>
        <w:widowControl w:val="0"/>
        <w:kinsoku/>
        <w:wordWrap/>
        <w:overflowPunct w:val="0"/>
        <w:topLinePunct w:val="0"/>
        <w:autoSpaceDE w:val="0"/>
        <w:autoSpaceDN w:val="0"/>
        <w:bidi w:val="0"/>
        <w:spacing w:line="261" w:lineRule="auto"/>
        <w:rPr>
          <w:rFonts w:ascii="Arial"/>
          <w:sz w:val="21"/>
        </w:rPr>
      </w:pPr>
    </w:p>
    <w:p w14:paraId="39BB6A14">
      <w:pPr>
        <w:keepNext w:val="0"/>
        <w:keepLines w:val="0"/>
        <w:pageBreakBefore w:val="0"/>
        <w:widowControl w:val="0"/>
        <w:kinsoku/>
        <w:wordWrap/>
        <w:overflowPunct w:val="0"/>
        <w:topLinePunct w:val="0"/>
        <w:autoSpaceDE w:val="0"/>
        <w:autoSpaceDN w:val="0"/>
        <w:bidi w:val="0"/>
        <w:spacing w:line="277" w:lineRule="exact"/>
        <w:textAlignment w:val="center"/>
      </w:pPr>
    </w:p>
    <w:p w14:paraId="0F9D1713">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eastAsia="zh-CN"/>
        </w:rPr>
      </w:pPr>
      <w:bookmarkStart w:id="231" w:name="_Toc8217"/>
      <w:r>
        <w:rPr>
          <w:rFonts w:hint="eastAsia" w:ascii="宋体" w:hAnsi="宋体" w:eastAsia="宋体" w:cs="宋体"/>
          <w:b/>
          <w:bCs/>
          <w:snapToGrid w:val="0"/>
          <w:color w:val="auto"/>
          <w:kern w:val="0"/>
          <w:sz w:val="28"/>
          <w:szCs w:val="28"/>
          <w:highlight w:val="none"/>
          <w:lang w:val="en-US" w:eastAsia="zh-CN"/>
        </w:rPr>
        <w:t>(1)</w:t>
      </w:r>
      <w:r>
        <w:rPr>
          <w:rFonts w:hint="eastAsia" w:ascii="宋体" w:hAnsi="宋体" w:eastAsia="宋体" w:cs="宋体"/>
          <w:b/>
          <w:bCs/>
          <w:snapToGrid w:val="0"/>
          <w:color w:val="auto"/>
          <w:kern w:val="0"/>
          <w:sz w:val="28"/>
          <w:szCs w:val="28"/>
          <w:highlight w:val="none"/>
          <w:lang w:eastAsia="zh-CN"/>
        </w:rPr>
        <w:t>供应商资格声明函</w:t>
      </w:r>
      <w:bookmarkEnd w:id="231"/>
    </w:p>
    <w:p w14:paraId="79732986">
      <w:pPr>
        <w:keepNext w:val="0"/>
        <w:keepLines w:val="0"/>
        <w:pageBreakBefore w:val="0"/>
        <w:widowControl w:val="0"/>
        <w:kinsoku/>
        <w:wordWrap/>
        <w:overflowPunct w:val="0"/>
        <w:topLinePunct w:val="0"/>
        <w:autoSpaceDE w:val="0"/>
        <w:autoSpaceDN w:val="0"/>
        <w:bidi w:val="0"/>
        <w:spacing w:before="154" w:line="228" w:lineRule="auto"/>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 xml:space="preserve">                                </w:t>
      </w:r>
      <w:r>
        <w:rPr>
          <w:rFonts w:ascii="宋体" w:hAnsi="宋体" w:eastAsia="宋体" w:cs="宋体"/>
          <w:sz w:val="24"/>
          <w:szCs w:val="24"/>
        </w:rPr>
        <w:t>：</w:t>
      </w:r>
    </w:p>
    <w:p w14:paraId="4E46AED4">
      <w:pPr>
        <w:keepNext w:val="0"/>
        <w:keepLines w:val="0"/>
        <w:pageBreakBefore w:val="0"/>
        <w:widowControl w:val="0"/>
        <w:kinsoku/>
        <w:wordWrap/>
        <w:overflowPunct w:val="0"/>
        <w:topLinePunct w:val="0"/>
        <w:autoSpaceDE w:val="0"/>
        <w:autoSpaceDN w:val="0"/>
        <w:bidi w:val="0"/>
        <w:spacing w:before="150" w:line="370" w:lineRule="auto"/>
        <w:ind w:left="5" w:right="77" w:firstLine="637"/>
        <w:rPr>
          <w:rFonts w:ascii="宋体" w:hAnsi="宋体" w:eastAsia="宋体" w:cs="宋体"/>
          <w:sz w:val="24"/>
          <w:szCs w:val="24"/>
        </w:rPr>
      </w:pPr>
      <w:r>
        <w:rPr>
          <w:rFonts w:ascii="宋体" w:hAnsi="宋体" w:eastAsia="宋体" w:cs="宋体"/>
          <w:spacing w:val="4"/>
          <w:sz w:val="24"/>
          <w:szCs w:val="24"/>
        </w:rPr>
        <w:t>我方自愿参加</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 (项目编号：</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的政府采购活动，</w:t>
      </w:r>
      <w:r>
        <w:rPr>
          <w:rFonts w:ascii="宋体" w:hAnsi="宋体" w:eastAsia="宋体" w:cs="宋体"/>
          <w:spacing w:val="15"/>
          <w:sz w:val="24"/>
          <w:szCs w:val="24"/>
        </w:rPr>
        <w:t>并郑重承诺我方符合《中华人民共和国政府采购法》第二十二条规定的条件</w:t>
      </w:r>
      <w:r>
        <w:rPr>
          <w:rFonts w:ascii="宋体" w:hAnsi="宋体" w:eastAsia="宋体" w:cs="宋体"/>
          <w:spacing w:val="12"/>
          <w:sz w:val="24"/>
          <w:szCs w:val="24"/>
        </w:rPr>
        <w:t>：</w:t>
      </w:r>
    </w:p>
    <w:p w14:paraId="3B778EDA">
      <w:pPr>
        <w:keepNext w:val="0"/>
        <w:keepLines w:val="0"/>
        <w:pageBreakBefore w:val="0"/>
        <w:widowControl w:val="0"/>
        <w:kinsoku/>
        <w:wordWrap/>
        <w:overflowPunct w:val="0"/>
        <w:topLinePunct w:val="0"/>
        <w:autoSpaceDE w:val="0"/>
        <w:autoSpaceDN w:val="0"/>
        <w:bidi w:val="0"/>
        <w:spacing w:before="1" w:line="227" w:lineRule="auto"/>
        <w:ind w:left="651"/>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2"/>
          <w:sz w:val="24"/>
          <w:szCs w:val="24"/>
        </w:rPr>
        <w:t xml:space="preserve"> 一) 具有独立承担民事责任的能力；</w:t>
      </w:r>
    </w:p>
    <w:p w14:paraId="4E82660E">
      <w:pPr>
        <w:keepNext w:val="0"/>
        <w:keepLines w:val="0"/>
        <w:pageBreakBefore w:val="0"/>
        <w:widowControl w:val="0"/>
        <w:kinsoku/>
        <w:wordWrap/>
        <w:overflowPunct w:val="0"/>
        <w:topLinePunct w:val="0"/>
        <w:autoSpaceDE w:val="0"/>
        <w:autoSpaceDN w:val="0"/>
        <w:bidi w:val="0"/>
        <w:spacing w:before="151" w:line="227" w:lineRule="auto"/>
        <w:ind w:left="651"/>
        <w:rPr>
          <w:rFonts w:ascii="宋体" w:hAnsi="宋体" w:eastAsia="宋体" w:cs="宋体"/>
          <w:sz w:val="24"/>
          <w:szCs w:val="24"/>
        </w:rPr>
      </w:pPr>
      <w:r>
        <w:rPr>
          <w:rFonts w:ascii="宋体" w:hAnsi="宋体" w:eastAsia="宋体" w:cs="宋体"/>
          <w:spacing w:val="34"/>
          <w:sz w:val="24"/>
          <w:szCs w:val="24"/>
        </w:rPr>
        <w:t>(</w:t>
      </w:r>
      <w:r>
        <w:rPr>
          <w:rFonts w:ascii="宋体" w:hAnsi="宋体" w:eastAsia="宋体" w:cs="宋体"/>
          <w:spacing w:val="18"/>
          <w:sz w:val="24"/>
          <w:szCs w:val="24"/>
        </w:rPr>
        <w:t>二</w:t>
      </w:r>
      <w:r>
        <w:rPr>
          <w:rFonts w:ascii="宋体" w:hAnsi="宋体" w:eastAsia="宋体" w:cs="宋体"/>
          <w:spacing w:val="17"/>
          <w:sz w:val="24"/>
          <w:szCs w:val="24"/>
        </w:rPr>
        <w:t>) 具有良好的商业信誉和健全的财务会计制度；</w:t>
      </w:r>
    </w:p>
    <w:p w14:paraId="32EAB611">
      <w:pPr>
        <w:keepNext w:val="0"/>
        <w:keepLines w:val="0"/>
        <w:pageBreakBefore w:val="0"/>
        <w:widowControl w:val="0"/>
        <w:kinsoku/>
        <w:wordWrap/>
        <w:overflowPunct w:val="0"/>
        <w:topLinePunct w:val="0"/>
        <w:autoSpaceDE w:val="0"/>
        <w:autoSpaceDN w:val="0"/>
        <w:bidi w:val="0"/>
        <w:spacing w:before="155" w:line="228" w:lineRule="auto"/>
        <w:ind w:left="651"/>
        <w:rPr>
          <w:rFonts w:ascii="宋体" w:hAnsi="宋体" w:eastAsia="宋体" w:cs="宋体"/>
          <w:sz w:val="24"/>
          <w:szCs w:val="24"/>
        </w:rPr>
      </w:pPr>
      <w:r>
        <w:rPr>
          <w:rFonts w:ascii="宋体" w:hAnsi="宋体" w:eastAsia="宋体" w:cs="宋体"/>
          <w:spacing w:val="34"/>
          <w:sz w:val="24"/>
          <w:szCs w:val="24"/>
        </w:rPr>
        <w:t>(</w:t>
      </w:r>
      <w:r>
        <w:rPr>
          <w:rFonts w:ascii="宋体" w:hAnsi="宋体" w:eastAsia="宋体" w:cs="宋体"/>
          <w:spacing w:val="18"/>
          <w:sz w:val="24"/>
          <w:szCs w:val="24"/>
        </w:rPr>
        <w:t>三</w:t>
      </w:r>
      <w:r>
        <w:rPr>
          <w:rFonts w:ascii="宋体" w:hAnsi="宋体" w:eastAsia="宋体" w:cs="宋体"/>
          <w:spacing w:val="17"/>
          <w:sz w:val="24"/>
          <w:szCs w:val="24"/>
        </w:rPr>
        <w:t>) 具有履行合同所必需的设备和专业技术能力；</w:t>
      </w:r>
    </w:p>
    <w:p w14:paraId="48D3E3E7">
      <w:pPr>
        <w:keepNext w:val="0"/>
        <w:keepLines w:val="0"/>
        <w:pageBreakBefore w:val="0"/>
        <w:widowControl w:val="0"/>
        <w:kinsoku/>
        <w:wordWrap/>
        <w:overflowPunct w:val="0"/>
        <w:topLinePunct w:val="0"/>
        <w:autoSpaceDE w:val="0"/>
        <w:autoSpaceDN w:val="0"/>
        <w:bidi w:val="0"/>
        <w:spacing w:before="154" w:line="227" w:lineRule="auto"/>
        <w:ind w:left="651"/>
        <w:rPr>
          <w:rFonts w:ascii="宋体" w:hAnsi="宋体" w:eastAsia="宋体" w:cs="宋体"/>
          <w:sz w:val="24"/>
          <w:szCs w:val="24"/>
        </w:rPr>
      </w:pPr>
      <w:r>
        <w:rPr>
          <w:rFonts w:ascii="宋体" w:hAnsi="宋体" w:eastAsia="宋体" w:cs="宋体"/>
          <w:spacing w:val="34"/>
          <w:sz w:val="24"/>
          <w:szCs w:val="24"/>
        </w:rPr>
        <w:t>(</w:t>
      </w:r>
      <w:r>
        <w:rPr>
          <w:rFonts w:ascii="宋体" w:hAnsi="宋体" w:eastAsia="宋体" w:cs="宋体"/>
          <w:spacing w:val="18"/>
          <w:sz w:val="24"/>
          <w:szCs w:val="24"/>
        </w:rPr>
        <w:t>四</w:t>
      </w:r>
      <w:r>
        <w:rPr>
          <w:rFonts w:ascii="宋体" w:hAnsi="宋体" w:eastAsia="宋体" w:cs="宋体"/>
          <w:spacing w:val="17"/>
          <w:sz w:val="24"/>
          <w:szCs w:val="24"/>
        </w:rPr>
        <w:t>) 有依法缴纳税收和社会保障资金的良好记录；</w:t>
      </w:r>
    </w:p>
    <w:p w14:paraId="325B4F83">
      <w:pPr>
        <w:keepNext w:val="0"/>
        <w:keepLines w:val="0"/>
        <w:pageBreakBefore w:val="0"/>
        <w:widowControl w:val="0"/>
        <w:kinsoku/>
        <w:wordWrap/>
        <w:overflowPunct w:val="0"/>
        <w:topLinePunct w:val="0"/>
        <w:autoSpaceDE w:val="0"/>
        <w:autoSpaceDN w:val="0"/>
        <w:bidi w:val="0"/>
        <w:spacing w:before="152" w:line="227" w:lineRule="auto"/>
        <w:ind w:left="651"/>
        <w:rPr>
          <w:rFonts w:ascii="宋体" w:hAnsi="宋体" w:eastAsia="宋体" w:cs="宋体"/>
          <w:sz w:val="24"/>
          <w:szCs w:val="24"/>
        </w:rPr>
      </w:pPr>
      <w:r>
        <w:rPr>
          <w:rFonts w:ascii="宋体" w:hAnsi="宋体" w:eastAsia="宋体" w:cs="宋体"/>
          <w:spacing w:val="27"/>
          <w:sz w:val="24"/>
          <w:szCs w:val="24"/>
        </w:rPr>
        <w:t>(</w:t>
      </w:r>
      <w:r>
        <w:rPr>
          <w:rFonts w:ascii="宋体" w:hAnsi="宋体" w:eastAsia="宋体" w:cs="宋体"/>
          <w:spacing w:val="17"/>
          <w:sz w:val="24"/>
          <w:szCs w:val="24"/>
        </w:rPr>
        <w:t>五) 参加政府采购活动前三年内，在经营活动中没有重大违法记录；</w:t>
      </w:r>
    </w:p>
    <w:p w14:paraId="4F6B52BD">
      <w:pPr>
        <w:keepNext w:val="0"/>
        <w:keepLines w:val="0"/>
        <w:pageBreakBefore w:val="0"/>
        <w:widowControl w:val="0"/>
        <w:kinsoku/>
        <w:wordWrap/>
        <w:overflowPunct w:val="0"/>
        <w:topLinePunct w:val="0"/>
        <w:autoSpaceDE w:val="0"/>
        <w:autoSpaceDN w:val="0"/>
        <w:bidi w:val="0"/>
        <w:spacing w:before="155" w:line="228" w:lineRule="auto"/>
        <w:ind w:left="651"/>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8"/>
          <w:sz w:val="24"/>
          <w:szCs w:val="24"/>
        </w:rPr>
        <w:t>六) 法律、行政法规规定的其他条件。</w:t>
      </w:r>
    </w:p>
    <w:p w14:paraId="3EDA8C25">
      <w:pPr>
        <w:keepNext w:val="0"/>
        <w:keepLines w:val="0"/>
        <w:pageBreakBefore w:val="0"/>
        <w:widowControl w:val="0"/>
        <w:kinsoku/>
        <w:wordWrap/>
        <w:overflowPunct w:val="0"/>
        <w:topLinePunct w:val="0"/>
        <w:autoSpaceDE w:val="0"/>
        <w:autoSpaceDN w:val="0"/>
        <w:bidi w:val="0"/>
        <w:spacing w:before="154" w:line="369" w:lineRule="auto"/>
        <w:ind w:right="127" w:firstLine="643"/>
        <w:rPr>
          <w:rFonts w:ascii="宋体" w:hAnsi="宋体" w:eastAsia="宋体" w:cs="宋体"/>
          <w:sz w:val="24"/>
          <w:szCs w:val="24"/>
        </w:rPr>
      </w:pPr>
      <w:r>
        <w:rPr>
          <w:rFonts w:ascii="宋体" w:hAnsi="宋体" w:eastAsia="宋体" w:cs="宋体"/>
          <w:spacing w:val="30"/>
          <w:sz w:val="24"/>
          <w:szCs w:val="24"/>
        </w:rPr>
        <w:t>我</w:t>
      </w:r>
      <w:r>
        <w:rPr>
          <w:rFonts w:ascii="宋体" w:hAnsi="宋体" w:eastAsia="宋体" w:cs="宋体"/>
          <w:spacing w:val="23"/>
          <w:sz w:val="24"/>
          <w:szCs w:val="24"/>
        </w:rPr>
        <w:t>方</w:t>
      </w:r>
      <w:r>
        <w:rPr>
          <w:rFonts w:ascii="宋体" w:hAnsi="宋体" w:eastAsia="宋体" w:cs="宋体"/>
          <w:spacing w:val="15"/>
          <w:sz w:val="24"/>
          <w:szCs w:val="24"/>
        </w:rPr>
        <w:t>保证上述承诺事项的真实性，如有弄虚作假或其他违法违规行为，愿意承担一切法律责任</w:t>
      </w:r>
      <w:r>
        <w:rPr>
          <w:rFonts w:ascii="宋体" w:hAnsi="宋体" w:eastAsia="宋体" w:cs="宋体"/>
          <w:spacing w:val="14"/>
          <w:sz w:val="24"/>
          <w:szCs w:val="24"/>
        </w:rPr>
        <w:t>，并承担因此所造成的一切损失。</w:t>
      </w:r>
    </w:p>
    <w:p w14:paraId="0A3EBD95">
      <w:pPr>
        <w:keepNext w:val="0"/>
        <w:keepLines w:val="0"/>
        <w:pageBreakBefore w:val="0"/>
        <w:widowControl w:val="0"/>
        <w:kinsoku/>
        <w:wordWrap/>
        <w:overflowPunct w:val="0"/>
        <w:topLinePunct w:val="0"/>
        <w:autoSpaceDE w:val="0"/>
        <w:autoSpaceDN w:val="0"/>
        <w:bidi w:val="0"/>
        <w:spacing w:before="1" w:line="227" w:lineRule="auto"/>
        <w:ind w:left="641"/>
        <w:rPr>
          <w:rFonts w:ascii="宋体" w:hAnsi="宋体" w:eastAsia="宋体" w:cs="宋体"/>
          <w:sz w:val="24"/>
          <w:szCs w:val="24"/>
        </w:rPr>
      </w:pPr>
      <w:r>
        <w:rPr>
          <w:rFonts w:ascii="宋体" w:hAnsi="宋体" w:eastAsia="宋体" w:cs="宋体"/>
          <w:spacing w:val="11"/>
          <w:sz w:val="24"/>
          <w:szCs w:val="24"/>
          <w14:textOutline w14:w="3795" w14:cap="sq" w14:cmpd="sng">
            <w14:solidFill>
              <w14:srgbClr w14:val="000000"/>
            </w14:solidFill>
            <w14:prstDash w14:val="solid"/>
            <w14:bevel/>
          </w14:textOutline>
        </w:rPr>
        <w:t>特</w:t>
      </w:r>
      <w:r>
        <w:rPr>
          <w:rFonts w:ascii="宋体" w:hAnsi="宋体" w:eastAsia="宋体" w:cs="宋体"/>
          <w:spacing w:val="10"/>
          <w:sz w:val="24"/>
          <w:szCs w:val="24"/>
          <w14:textOutline w14:w="3795" w14:cap="sq" w14:cmpd="sng">
            <w14:solidFill>
              <w14:srgbClr w14:val="000000"/>
            </w14:solidFill>
            <w14:prstDash w14:val="solid"/>
            <w14:bevel/>
          </w14:textOutline>
        </w:rPr>
        <w:t>此声明！</w:t>
      </w:r>
    </w:p>
    <w:p w14:paraId="762629B5">
      <w:pPr>
        <w:keepNext w:val="0"/>
        <w:keepLines w:val="0"/>
        <w:pageBreakBefore w:val="0"/>
        <w:widowControl w:val="0"/>
        <w:kinsoku/>
        <w:wordWrap/>
        <w:overflowPunct w:val="0"/>
        <w:topLinePunct w:val="0"/>
        <w:autoSpaceDE w:val="0"/>
        <w:autoSpaceDN w:val="0"/>
        <w:bidi w:val="0"/>
        <w:spacing w:line="250" w:lineRule="auto"/>
        <w:rPr>
          <w:rFonts w:ascii="Arial"/>
          <w:sz w:val="24"/>
          <w:szCs w:val="24"/>
        </w:rPr>
      </w:pPr>
    </w:p>
    <w:p w14:paraId="3F1423E6">
      <w:pPr>
        <w:keepNext w:val="0"/>
        <w:keepLines w:val="0"/>
        <w:pageBreakBefore w:val="0"/>
        <w:widowControl w:val="0"/>
        <w:kinsoku/>
        <w:wordWrap/>
        <w:overflowPunct w:val="0"/>
        <w:topLinePunct w:val="0"/>
        <w:autoSpaceDE w:val="0"/>
        <w:autoSpaceDN w:val="0"/>
        <w:bidi w:val="0"/>
        <w:spacing w:line="250" w:lineRule="auto"/>
        <w:rPr>
          <w:rFonts w:ascii="Arial"/>
          <w:sz w:val="24"/>
          <w:szCs w:val="24"/>
        </w:rPr>
      </w:pPr>
    </w:p>
    <w:p w14:paraId="6049335A">
      <w:pPr>
        <w:keepNext w:val="0"/>
        <w:keepLines w:val="0"/>
        <w:pageBreakBefore w:val="0"/>
        <w:widowControl w:val="0"/>
        <w:kinsoku/>
        <w:wordWrap/>
        <w:overflowPunct w:val="0"/>
        <w:topLinePunct w:val="0"/>
        <w:autoSpaceDE w:val="0"/>
        <w:autoSpaceDN w:val="0"/>
        <w:bidi w:val="0"/>
        <w:spacing w:line="250" w:lineRule="auto"/>
        <w:rPr>
          <w:rFonts w:ascii="Arial"/>
          <w:sz w:val="24"/>
          <w:szCs w:val="24"/>
        </w:rPr>
      </w:pPr>
    </w:p>
    <w:p w14:paraId="1F84E7E2">
      <w:pPr>
        <w:keepNext w:val="0"/>
        <w:keepLines w:val="0"/>
        <w:pageBreakBefore w:val="0"/>
        <w:widowControl w:val="0"/>
        <w:kinsoku/>
        <w:wordWrap/>
        <w:overflowPunct w:val="0"/>
        <w:topLinePunct w:val="0"/>
        <w:autoSpaceDE w:val="0"/>
        <w:autoSpaceDN w:val="0"/>
        <w:bidi w:val="0"/>
        <w:spacing w:line="251" w:lineRule="auto"/>
        <w:rPr>
          <w:rFonts w:ascii="Arial"/>
          <w:sz w:val="24"/>
          <w:szCs w:val="24"/>
        </w:rPr>
      </w:pPr>
    </w:p>
    <w:p w14:paraId="52879AB8">
      <w:pPr>
        <w:keepNext w:val="0"/>
        <w:keepLines w:val="0"/>
        <w:pageBreakBefore w:val="0"/>
        <w:widowControl w:val="0"/>
        <w:kinsoku/>
        <w:wordWrap/>
        <w:overflowPunct w:val="0"/>
        <w:topLinePunct w:val="0"/>
        <w:autoSpaceDE w:val="0"/>
        <w:autoSpaceDN w:val="0"/>
        <w:bidi w:val="0"/>
        <w:spacing w:before="65" w:line="228" w:lineRule="auto"/>
        <w:ind w:left="4280"/>
        <w:rPr>
          <w:rFonts w:ascii="宋体" w:hAnsi="宋体" w:eastAsia="宋体" w:cs="宋体"/>
          <w:sz w:val="24"/>
          <w:szCs w:val="24"/>
        </w:rPr>
      </w:pPr>
      <w:r>
        <w:rPr>
          <w:rFonts w:ascii="宋体" w:hAnsi="宋体" w:eastAsia="宋体" w:cs="宋体"/>
          <w:spacing w:val="8"/>
          <w:sz w:val="24"/>
          <w:szCs w:val="24"/>
        </w:rPr>
        <w:t xml:space="preserve">法定代表人或委托代理人 </w:t>
      </w:r>
      <w:r>
        <w:rPr>
          <w:rFonts w:ascii="宋体" w:hAnsi="宋体" w:eastAsia="宋体" w:cs="宋体"/>
          <w:spacing w:val="8"/>
          <w:sz w:val="24"/>
          <w:szCs w:val="24"/>
          <w14:textOutline w14:w="3795" w14:cap="sq" w14:cmpd="sng">
            <w14:solidFill>
              <w14:srgbClr w14:val="000000"/>
            </w14:solidFill>
            <w14:prstDash w14:val="solid"/>
            <w14:bevel/>
          </w14:textOutline>
        </w:rPr>
        <w:t>(签字</w:t>
      </w:r>
      <w:r>
        <w:rPr>
          <w:rFonts w:hint="eastAsia" w:ascii="宋体" w:hAnsi="宋体" w:eastAsia="宋体" w:cs="宋体"/>
          <w:spacing w:val="8"/>
          <w:sz w:val="24"/>
          <w:szCs w:val="24"/>
          <w:lang w:val="en-US" w:eastAsia="zh-CN"/>
          <w14:textOutline w14:w="3795" w14:cap="sq" w14:cmpd="sng">
            <w14:solidFill>
              <w14:srgbClr w14:val="000000"/>
            </w14:solidFill>
            <w14:prstDash w14:val="solid"/>
            <w14:bevel/>
          </w14:textOutline>
        </w:rPr>
        <w:t>或盖章</w:t>
      </w:r>
      <w:r>
        <w:rPr>
          <w:rFonts w:ascii="宋体" w:hAnsi="宋体" w:eastAsia="宋体" w:cs="宋体"/>
          <w:spacing w:val="8"/>
          <w:sz w:val="24"/>
          <w:szCs w:val="24"/>
          <w14:textOutline w14:w="3795" w14:cap="sq" w14:cmpd="sng">
            <w14:solidFill>
              <w14:srgbClr w14:val="000000"/>
            </w14:solidFill>
            <w14:prstDash w14:val="solid"/>
            <w14:bevel/>
          </w14:textOutline>
        </w:rPr>
        <w:t>)</w:t>
      </w:r>
      <w:r>
        <w:rPr>
          <w:rFonts w:ascii="宋体" w:hAnsi="宋体" w:eastAsia="宋体" w:cs="宋体"/>
          <w:spacing w:val="8"/>
          <w:sz w:val="24"/>
          <w:szCs w:val="24"/>
        </w:rPr>
        <w:t xml:space="preserve"> </w:t>
      </w:r>
      <w:r>
        <w:rPr>
          <w:rFonts w:ascii="宋体" w:hAnsi="宋体" w:eastAsia="宋体" w:cs="宋体"/>
          <w:spacing w:val="8"/>
          <w:sz w:val="24"/>
          <w:szCs w:val="24"/>
          <w14:textOutline w14:w="3795" w14:cap="sq" w14:cmpd="sng">
            <w14:solidFill>
              <w14:srgbClr w14:val="000000"/>
            </w14:solidFill>
            <w14:prstDash w14:val="solid"/>
            <w14:bevel/>
          </w14:textOutline>
        </w:rPr>
        <w:t>：</w:t>
      </w:r>
      <w:r>
        <w:rPr>
          <w:rFonts w:ascii="宋体" w:hAnsi="宋体" w:eastAsia="宋体" w:cs="宋体"/>
          <w:sz w:val="24"/>
          <w:szCs w:val="24"/>
          <w:u w:val="single" w:color="auto"/>
        </w:rPr>
        <w:t xml:space="preserve">           </w:t>
      </w:r>
    </w:p>
    <w:p w14:paraId="7E7EE6FB">
      <w:pPr>
        <w:keepNext w:val="0"/>
        <w:keepLines w:val="0"/>
        <w:pageBreakBefore w:val="0"/>
        <w:widowControl w:val="0"/>
        <w:kinsoku/>
        <w:wordWrap/>
        <w:overflowPunct w:val="0"/>
        <w:topLinePunct w:val="0"/>
        <w:autoSpaceDE w:val="0"/>
        <w:autoSpaceDN w:val="0"/>
        <w:bidi w:val="0"/>
        <w:spacing w:line="242" w:lineRule="auto"/>
        <w:rPr>
          <w:rFonts w:ascii="Arial"/>
          <w:sz w:val="24"/>
          <w:szCs w:val="24"/>
        </w:rPr>
      </w:pPr>
    </w:p>
    <w:p w14:paraId="793FD4D5">
      <w:pPr>
        <w:keepNext w:val="0"/>
        <w:keepLines w:val="0"/>
        <w:pageBreakBefore w:val="0"/>
        <w:widowControl w:val="0"/>
        <w:kinsoku/>
        <w:wordWrap/>
        <w:overflowPunct w:val="0"/>
        <w:topLinePunct w:val="0"/>
        <w:autoSpaceDE w:val="0"/>
        <w:autoSpaceDN w:val="0"/>
        <w:bidi w:val="0"/>
        <w:spacing w:line="242" w:lineRule="auto"/>
        <w:rPr>
          <w:rFonts w:ascii="Arial"/>
          <w:sz w:val="24"/>
          <w:szCs w:val="24"/>
        </w:rPr>
      </w:pPr>
    </w:p>
    <w:p w14:paraId="1083622F">
      <w:pPr>
        <w:keepNext w:val="0"/>
        <w:keepLines w:val="0"/>
        <w:pageBreakBefore w:val="0"/>
        <w:widowControl w:val="0"/>
        <w:kinsoku/>
        <w:wordWrap/>
        <w:overflowPunct w:val="0"/>
        <w:topLinePunct w:val="0"/>
        <w:autoSpaceDE w:val="0"/>
        <w:autoSpaceDN w:val="0"/>
        <w:bidi w:val="0"/>
        <w:spacing w:before="66" w:line="227" w:lineRule="auto"/>
        <w:ind w:left="4517"/>
        <w:rPr>
          <w:rFonts w:ascii="宋体" w:hAnsi="宋体" w:eastAsia="宋体" w:cs="宋体"/>
          <w:sz w:val="24"/>
          <w:szCs w:val="24"/>
        </w:rPr>
      </w:pPr>
      <w:r>
        <w:rPr>
          <w:rFonts w:hint="eastAsia" w:ascii="宋体" w:hAnsi="宋体" w:eastAsia="宋体" w:cs="宋体"/>
          <w:spacing w:val="11"/>
          <w:sz w:val="24"/>
          <w:szCs w:val="24"/>
          <w:lang w:eastAsia="zh-CN"/>
        </w:rPr>
        <w:t>供应商</w:t>
      </w:r>
      <w:r>
        <w:rPr>
          <w:rFonts w:ascii="宋体" w:hAnsi="宋体" w:eastAsia="宋体" w:cs="宋体"/>
          <w:spacing w:val="8"/>
          <w:sz w:val="24"/>
          <w:szCs w:val="24"/>
        </w:rPr>
        <w:t xml:space="preserve"> </w:t>
      </w:r>
      <w:r>
        <w:rPr>
          <w:rFonts w:ascii="宋体" w:hAnsi="宋体" w:eastAsia="宋体" w:cs="宋体"/>
          <w:spacing w:val="8"/>
          <w:sz w:val="24"/>
          <w:szCs w:val="24"/>
          <w14:textOutline w14:w="3795" w14:cap="sq" w14:cmpd="sng">
            <w14:solidFill>
              <w14:srgbClr w14:val="000000"/>
            </w14:solidFill>
            <w14:prstDash w14:val="solid"/>
            <w14:bevel/>
          </w14:textOutline>
        </w:rPr>
        <w:t>(</w:t>
      </w:r>
      <w:r>
        <w:rPr>
          <w:rFonts w:ascii="宋体" w:hAnsi="宋体" w:eastAsia="宋体" w:cs="宋体"/>
          <w:sz w:val="24"/>
          <w:szCs w:val="24"/>
          <w14:textOutline w14:w="3795" w14:cap="sq" w14:cmpd="sng">
            <w14:solidFill>
              <w14:srgbClr w14:val="000000"/>
            </w14:solidFill>
            <w14:prstDash w14:val="solid"/>
            <w14:bevel/>
          </w14:textOutline>
        </w:rPr>
        <w:t>CA</w:t>
      </w:r>
      <w:r>
        <w:rPr>
          <w:rFonts w:ascii="宋体" w:hAnsi="宋体" w:eastAsia="宋体" w:cs="宋体"/>
          <w:spacing w:val="8"/>
          <w:sz w:val="24"/>
          <w:szCs w:val="24"/>
          <w14:textOutline w14:w="3795" w14:cap="sq" w14:cmpd="sng">
            <w14:solidFill>
              <w14:srgbClr w14:val="000000"/>
            </w14:solidFill>
            <w14:prstDash w14:val="solid"/>
            <w14:bevel/>
          </w14:textOutline>
        </w:rPr>
        <w:t>电子签章)</w:t>
      </w:r>
      <w:r>
        <w:rPr>
          <w:rFonts w:ascii="宋体" w:hAnsi="宋体" w:eastAsia="宋体" w:cs="宋体"/>
          <w:spacing w:val="8"/>
          <w:sz w:val="24"/>
          <w:szCs w:val="24"/>
        </w:rPr>
        <w:t xml:space="preserve"> ：</w:t>
      </w:r>
      <w:r>
        <w:rPr>
          <w:rFonts w:ascii="宋体" w:hAnsi="宋体" w:eastAsia="宋体" w:cs="宋体"/>
          <w:sz w:val="24"/>
          <w:szCs w:val="24"/>
          <w:u w:val="single" w:color="auto"/>
        </w:rPr>
        <w:t xml:space="preserve">                           </w:t>
      </w:r>
    </w:p>
    <w:p w14:paraId="53014810">
      <w:pPr>
        <w:keepNext w:val="0"/>
        <w:keepLines w:val="0"/>
        <w:pageBreakBefore w:val="0"/>
        <w:widowControl w:val="0"/>
        <w:kinsoku/>
        <w:wordWrap/>
        <w:overflowPunct w:val="0"/>
        <w:topLinePunct w:val="0"/>
        <w:autoSpaceDE w:val="0"/>
        <w:autoSpaceDN w:val="0"/>
        <w:bidi w:val="0"/>
        <w:spacing w:line="243" w:lineRule="auto"/>
        <w:rPr>
          <w:rFonts w:ascii="Arial"/>
          <w:sz w:val="24"/>
          <w:szCs w:val="24"/>
        </w:rPr>
      </w:pPr>
    </w:p>
    <w:p w14:paraId="4E4AC5AA">
      <w:pPr>
        <w:keepNext w:val="0"/>
        <w:keepLines w:val="0"/>
        <w:pageBreakBefore w:val="0"/>
        <w:widowControl w:val="0"/>
        <w:kinsoku/>
        <w:wordWrap/>
        <w:overflowPunct w:val="0"/>
        <w:topLinePunct w:val="0"/>
        <w:autoSpaceDE w:val="0"/>
        <w:autoSpaceDN w:val="0"/>
        <w:bidi w:val="0"/>
        <w:spacing w:line="244" w:lineRule="auto"/>
        <w:rPr>
          <w:rFonts w:ascii="Arial"/>
          <w:sz w:val="24"/>
          <w:szCs w:val="24"/>
        </w:rPr>
      </w:pPr>
    </w:p>
    <w:p w14:paraId="581A3859">
      <w:pPr>
        <w:keepNext w:val="0"/>
        <w:keepLines w:val="0"/>
        <w:pageBreakBefore w:val="0"/>
        <w:widowControl w:val="0"/>
        <w:kinsoku/>
        <w:wordWrap/>
        <w:overflowPunct w:val="0"/>
        <w:topLinePunct w:val="0"/>
        <w:autoSpaceDE w:val="0"/>
        <w:autoSpaceDN w:val="0"/>
        <w:bidi w:val="0"/>
        <w:spacing w:before="65" w:line="228" w:lineRule="auto"/>
        <w:jc w:val="right"/>
        <w:rPr>
          <w:rFonts w:ascii="宋体" w:hAnsi="宋体" w:eastAsia="宋体" w:cs="宋体"/>
          <w:sz w:val="24"/>
          <w:szCs w:val="24"/>
        </w:rPr>
      </w:pPr>
      <w:r>
        <w:rPr>
          <w:rFonts w:ascii="宋体" w:hAnsi="宋体" w:eastAsia="宋体" w:cs="宋体"/>
          <w:spacing w:val="-2"/>
          <w:sz w:val="24"/>
          <w:szCs w:val="24"/>
        </w:rPr>
        <w:t>日</w:t>
      </w:r>
      <w:r>
        <w:rPr>
          <w:rFonts w:ascii="宋体" w:hAnsi="宋体" w:eastAsia="宋体" w:cs="宋体"/>
          <w:spacing w:val="-1"/>
          <w:sz w:val="24"/>
          <w:szCs w:val="24"/>
        </w:rPr>
        <w:t>期：        年   月   日</w:t>
      </w:r>
    </w:p>
    <w:p w14:paraId="201B0EBE">
      <w:pPr>
        <w:keepNext w:val="0"/>
        <w:keepLines w:val="0"/>
        <w:pageBreakBefore w:val="0"/>
        <w:widowControl w:val="0"/>
        <w:kinsoku/>
        <w:wordWrap/>
        <w:overflowPunct w:val="0"/>
        <w:topLinePunct w:val="0"/>
        <w:autoSpaceDE w:val="0"/>
        <w:autoSpaceDN w:val="0"/>
        <w:bidi w:val="0"/>
        <w:spacing w:line="256" w:lineRule="auto"/>
        <w:rPr>
          <w:rFonts w:ascii="Arial"/>
          <w:sz w:val="21"/>
        </w:rPr>
      </w:pPr>
    </w:p>
    <w:p w14:paraId="525851B8">
      <w:pPr>
        <w:rPr>
          <w:rFonts w:hint="eastAsia" w:ascii="宋体" w:hAnsi="宋体" w:cs="宋体"/>
          <w:b/>
          <w:spacing w:val="6"/>
          <w:sz w:val="31"/>
          <w:szCs w:val="31"/>
        </w:rPr>
      </w:pPr>
      <w:r>
        <w:rPr>
          <w:rFonts w:hint="eastAsia" w:ascii="宋体" w:hAnsi="宋体" w:cs="宋体"/>
          <w:b/>
          <w:spacing w:val="6"/>
          <w:sz w:val="31"/>
          <w:szCs w:val="31"/>
        </w:rPr>
        <w:br w:type="page"/>
      </w:r>
    </w:p>
    <w:p w14:paraId="55B3DA2E">
      <w:pPr>
        <w:keepNext w:val="0"/>
        <w:keepLines w:val="0"/>
        <w:pageBreakBefore w:val="0"/>
        <w:widowControl w:val="0"/>
        <w:kinsoku/>
        <w:wordWrap/>
        <w:overflowPunct w:val="0"/>
        <w:topLinePunct w:val="0"/>
        <w:autoSpaceDE w:val="0"/>
        <w:autoSpaceDN w:val="0"/>
        <w:bidi w:val="0"/>
        <w:spacing w:line="250" w:lineRule="auto"/>
        <w:rPr>
          <w:rFonts w:ascii="Arial"/>
          <w:sz w:val="21"/>
        </w:rPr>
      </w:pPr>
    </w:p>
    <w:p w14:paraId="03D4C6F1">
      <w:pPr>
        <w:keepNext w:val="0"/>
        <w:keepLines w:val="0"/>
        <w:pageBreakBefore w:val="0"/>
        <w:widowControl w:val="0"/>
        <w:kinsoku/>
        <w:wordWrap/>
        <w:overflowPunct w:val="0"/>
        <w:topLinePunct w:val="0"/>
        <w:autoSpaceDE w:val="0"/>
        <w:autoSpaceDN w:val="0"/>
        <w:bidi w:val="0"/>
        <w:spacing w:line="251" w:lineRule="auto"/>
        <w:rPr>
          <w:rFonts w:ascii="Arial"/>
          <w:sz w:val="21"/>
        </w:rPr>
      </w:pPr>
    </w:p>
    <w:p w14:paraId="5D5C2DEB">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eastAsia="zh-CN"/>
        </w:rPr>
      </w:pPr>
      <w:bookmarkStart w:id="232" w:name="_Toc23219"/>
      <w:r>
        <w:rPr>
          <w:rFonts w:hint="eastAsia" w:ascii="宋体" w:hAnsi="宋体" w:eastAsia="宋体" w:cs="宋体"/>
          <w:b/>
          <w:bCs/>
          <w:snapToGrid w:val="0"/>
          <w:color w:val="auto"/>
          <w:kern w:val="0"/>
          <w:sz w:val="28"/>
          <w:szCs w:val="28"/>
          <w:highlight w:val="none"/>
          <w:lang w:val="en-US" w:eastAsia="zh-CN"/>
        </w:rPr>
        <w:t>(2)</w:t>
      </w:r>
      <w:r>
        <w:rPr>
          <w:rFonts w:hint="eastAsia" w:ascii="宋体" w:hAnsi="宋体" w:eastAsia="宋体" w:cs="宋体"/>
          <w:b/>
          <w:bCs/>
          <w:snapToGrid w:val="0"/>
          <w:color w:val="auto"/>
          <w:kern w:val="0"/>
          <w:sz w:val="28"/>
          <w:szCs w:val="28"/>
          <w:highlight w:val="none"/>
          <w:lang w:eastAsia="zh-CN"/>
        </w:rPr>
        <w:t>供应商基本</w:t>
      </w:r>
      <w:r>
        <w:rPr>
          <w:rFonts w:hint="eastAsia" w:ascii="宋体" w:hAnsi="宋体" w:eastAsia="宋体" w:cs="宋体"/>
          <w:b/>
          <w:bCs/>
          <w:snapToGrid w:val="0"/>
          <w:color w:val="auto"/>
          <w:kern w:val="0"/>
          <w:sz w:val="28"/>
          <w:szCs w:val="28"/>
          <w:highlight w:val="none"/>
          <w:lang w:val="en-US" w:eastAsia="zh-CN"/>
        </w:rPr>
        <w:t>情况表</w:t>
      </w:r>
      <w:bookmarkEnd w:id="232"/>
    </w:p>
    <w:p w14:paraId="3D0B750F">
      <w:pPr>
        <w:keepNext w:val="0"/>
        <w:keepLines w:val="0"/>
        <w:pageBreakBefore w:val="0"/>
        <w:widowControl w:val="0"/>
        <w:kinsoku/>
        <w:wordWrap/>
        <w:overflowPunct w:val="0"/>
        <w:topLinePunct w:val="0"/>
        <w:autoSpaceDE w:val="0"/>
        <w:autoSpaceDN w:val="0"/>
        <w:bidi w:val="0"/>
        <w:spacing w:before="71" w:line="190" w:lineRule="auto"/>
        <w:ind w:left="3342"/>
        <w:outlineLvl w:val="9"/>
        <w:rPr>
          <w:rFonts w:ascii="宋体" w:hAnsi="宋体" w:eastAsia="宋体" w:cs="宋体"/>
          <w:sz w:val="22"/>
          <w:szCs w:val="22"/>
        </w:rPr>
      </w:pPr>
    </w:p>
    <w:p w14:paraId="42CF33D2">
      <w:pPr>
        <w:keepNext w:val="0"/>
        <w:keepLines w:val="0"/>
        <w:pageBreakBefore w:val="0"/>
        <w:widowControl w:val="0"/>
        <w:kinsoku/>
        <w:wordWrap/>
        <w:overflowPunct w:val="0"/>
        <w:topLinePunct w:val="0"/>
        <w:autoSpaceDE w:val="0"/>
        <w:autoSpaceDN w:val="0"/>
        <w:bidi w:val="0"/>
        <w:spacing w:line="166" w:lineRule="exact"/>
      </w:pPr>
    </w:p>
    <w:tbl>
      <w:tblPr>
        <w:tblStyle w:val="30"/>
        <w:tblW w:w="9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918"/>
        <w:gridCol w:w="965"/>
        <w:gridCol w:w="840"/>
        <w:gridCol w:w="415"/>
        <w:gridCol w:w="321"/>
        <w:gridCol w:w="1091"/>
        <w:gridCol w:w="491"/>
        <w:gridCol w:w="879"/>
        <w:gridCol w:w="1553"/>
      </w:tblGrid>
      <w:tr w14:paraId="48EB4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126" w:type="dxa"/>
            <w:tcBorders>
              <w:top w:val="single" w:color="000000" w:sz="2" w:space="0"/>
              <w:bottom w:val="single" w:color="000000" w:sz="2" w:space="0"/>
            </w:tcBorders>
            <w:vAlign w:val="center"/>
          </w:tcPr>
          <w:p w14:paraId="528059B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lang w:eastAsia="zh-CN"/>
              </w:rPr>
              <w:t>供应商</w:t>
            </w:r>
            <w:r>
              <w:rPr>
                <w:rFonts w:hint="eastAsia" w:ascii="宋体" w:hAnsi="宋体" w:eastAsia="宋体" w:cs="宋体"/>
                <w:spacing w:val="14"/>
                <w:sz w:val="24"/>
                <w:szCs w:val="24"/>
              </w:rPr>
              <w:t>名</w:t>
            </w:r>
            <w:r>
              <w:rPr>
                <w:rFonts w:hint="eastAsia" w:ascii="宋体" w:hAnsi="宋体" w:eastAsia="宋体" w:cs="宋体"/>
                <w:spacing w:val="13"/>
                <w:sz w:val="24"/>
                <w:szCs w:val="24"/>
              </w:rPr>
              <w:t>称</w:t>
            </w:r>
          </w:p>
        </w:tc>
        <w:tc>
          <w:tcPr>
            <w:tcW w:w="7473" w:type="dxa"/>
            <w:gridSpan w:val="9"/>
            <w:tcBorders>
              <w:top w:val="single" w:color="000000" w:sz="2" w:space="0"/>
              <w:bottom w:val="single" w:color="000000" w:sz="2" w:space="0"/>
            </w:tcBorders>
            <w:vAlign w:val="center"/>
          </w:tcPr>
          <w:p w14:paraId="250F4896">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5CB09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126" w:type="dxa"/>
            <w:tcBorders>
              <w:top w:val="single" w:color="000000" w:sz="2" w:space="0"/>
              <w:bottom w:val="single" w:color="000000" w:sz="2" w:space="0"/>
            </w:tcBorders>
            <w:vAlign w:val="center"/>
          </w:tcPr>
          <w:p w14:paraId="46E658D7">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注</w:t>
            </w:r>
            <w:r>
              <w:rPr>
                <w:rFonts w:hint="eastAsia" w:ascii="宋体" w:hAnsi="宋体" w:eastAsia="宋体" w:cs="宋体"/>
                <w:spacing w:val="12"/>
                <w:sz w:val="24"/>
                <w:szCs w:val="24"/>
              </w:rPr>
              <w:t>册地址</w:t>
            </w:r>
          </w:p>
        </w:tc>
        <w:tc>
          <w:tcPr>
            <w:tcW w:w="3459" w:type="dxa"/>
            <w:gridSpan w:val="5"/>
            <w:tcBorders>
              <w:top w:val="single" w:color="000000" w:sz="2" w:space="0"/>
              <w:bottom w:val="single" w:color="000000" w:sz="2" w:space="0"/>
            </w:tcBorders>
            <w:vAlign w:val="center"/>
          </w:tcPr>
          <w:p w14:paraId="2D7BFB9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1091" w:type="dxa"/>
            <w:tcBorders>
              <w:top w:val="single" w:color="000000" w:sz="2" w:space="0"/>
              <w:bottom w:val="single" w:color="000000" w:sz="2" w:space="0"/>
            </w:tcBorders>
            <w:vAlign w:val="center"/>
          </w:tcPr>
          <w:p w14:paraId="6850C26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邮</w:t>
            </w:r>
            <w:r>
              <w:rPr>
                <w:rFonts w:hint="eastAsia" w:ascii="宋体" w:hAnsi="宋体" w:eastAsia="宋体" w:cs="宋体"/>
                <w:spacing w:val="6"/>
                <w:sz w:val="24"/>
                <w:szCs w:val="24"/>
              </w:rPr>
              <w:t>政编码</w:t>
            </w:r>
          </w:p>
        </w:tc>
        <w:tc>
          <w:tcPr>
            <w:tcW w:w="2923" w:type="dxa"/>
            <w:gridSpan w:val="3"/>
            <w:tcBorders>
              <w:top w:val="single" w:color="000000" w:sz="2" w:space="0"/>
              <w:bottom w:val="single" w:color="000000" w:sz="2" w:space="0"/>
            </w:tcBorders>
            <w:vAlign w:val="center"/>
          </w:tcPr>
          <w:p w14:paraId="5DD244CF">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66BD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vMerge w:val="restart"/>
            <w:tcBorders>
              <w:top w:val="single" w:color="000000" w:sz="2" w:space="0"/>
              <w:bottom w:val="nil"/>
            </w:tcBorders>
            <w:vAlign w:val="center"/>
          </w:tcPr>
          <w:p w14:paraId="693F4F86">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p w14:paraId="6D071EAF">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联系方式</w:t>
            </w:r>
          </w:p>
        </w:tc>
        <w:tc>
          <w:tcPr>
            <w:tcW w:w="918" w:type="dxa"/>
            <w:tcBorders>
              <w:top w:val="single" w:color="000000" w:sz="2" w:space="0"/>
              <w:bottom w:val="single" w:color="000000" w:sz="2" w:space="0"/>
            </w:tcBorders>
            <w:vAlign w:val="center"/>
          </w:tcPr>
          <w:p w14:paraId="031C3D72">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1"/>
                <w:sz w:val="24"/>
                <w:szCs w:val="24"/>
              </w:rPr>
              <w:t>联系人</w:t>
            </w:r>
          </w:p>
        </w:tc>
        <w:tc>
          <w:tcPr>
            <w:tcW w:w="2541" w:type="dxa"/>
            <w:gridSpan w:val="4"/>
            <w:tcBorders>
              <w:top w:val="single" w:color="000000" w:sz="2" w:space="0"/>
              <w:bottom w:val="single" w:color="000000" w:sz="2" w:space="0"/>
            </w:tcBorders>
            <w:vAlign w:val="center"/>
          </w:tcPr>
          <w:p w14:paraId="2BFB25A5">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1091" w:type="dxa"/>
            <w:tcBorders>
              <w:top w:val="single" w:color="000000" w:sz="2" w:space="0"/>
              <w:bottom w:val="single" w:color="000000" w:sz="2" w:space="0"/>
            </w:tcBorders>
            <w:vAlign w:val="center"/>
          </w:tcPr>
          <w:p w14:paraId="20A0FCC6">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1"/>
                <w:sz w:val="24"/>
                <w:szCs w:val="24"/>
              </w:rPr>
              <w:t>电</w:t>
            </w:r>
            <w:r>
              <w:rPr>
                <w:rFonts w:hint="eastAsia" w:ascii="宋体" w:hAnsi="宋体" w:eastAsia="宋体" w:cs="宋体"/>
                <w:spacing w:val="-10"/>
                <w:sz w:val="24"/>
                <w:szCs w:val="24"/>
              </w:rPr>
              <w:t>话</w:t>
            </w:r>
          </w:p>
        </w:tc>
        <w:tc>
          <w:tcPr>
            <w:tcW w:w="2923" w:type="dxa"/>
            <w:gridSpan w:val="3"/>
            <w:tcBorders>
              <w:top w:val="single" w:color="000000" w:sz="2" w:space="0"/>
              <w:bottom w:val="single" w:color="000000" w:sz="2" w:space="0"/>
            </w:tcBorders>
            <w:vAlign w:val="center"/>
          </w:tcPr>
          <w:p w14:paraId="7A750E80">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536B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126" w:type="dxa"/>
            <w:vMerge w:val="continue"/>
            <w:tcBorders>
              <w:top w:val="nil"/>
              <w:bottom w:val="single" w:color="000000" w:sz="2" w:space="0"/>
            </w:tcBorders>
            <w:vAlign w:val="center"/>
          </w:tcPr>
          <w:p w14:paraId="1B1C51FA">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918" w:type="dxa"/>
            <w:tcBorders>
              <w:top w:val="single" w:color="000000" w:sz="2" w:space="0"/>
              <w:bottom w:val="single" w:color="000000" w:sz="2" w:space="0"/>
            </w:tcBorders>
            <w:vAlign w:val="center"/>
          </w:tcPr>
          <w:p w14:paraId="04D72E2B">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传</w:t>
            </w:r>
            <w:r>
              <w:rPr>
                <w:rFonts w:hint="eastAsia" w:ascii="宋体" w:hAnsi="宋体" w:eastAsia="宋体" w:cs="宋体"/>
                <w:spacing w:val="9"/>
                <w:sz w:val="24"/>
                <w:szCs w:val="24"/>
              </w:rPr>
              <w:t>真</w:t>
            </w:r>
          </w:p>
        </w:tc>
        <w:tc>
          <w:tcPr>
            <w:tcW w:w="2541" w:type="dxa"/>
            <w:gridSpan w:val="4"/>
            <w:tcBorders>
              <w:top w:val="single" w:color="000000" w:sz="2" w:space="0"/>
              <w:bottom w:val="single" w:color="000000" w:sz="2" w:space="0"/>
            </w:tcBorders>
            <w:vAlign w:val="center"/>
          </w:tcPr>
          <w:p w14:paraId="3E82452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1091" w:type="dxa"/>
            <w:tcBorders>
              <w:top w:val="single" w:color="000000" w:sz="2" w:space="0"/>
              <w:bottom w:val="single" w:color="000000" w:sz="2" w:space="0"/>
            </w:tcBorders>
            <w:vAlign w:val="center"/>
          </w:tcPr>
          <w:p w14:paraId="6A4CFF99">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网</w:t>
            </w:r>
            <w:r>
              <w:rPr>
                <w:rFonts w:hint="eastAsia" w:ascii="宋体" w:hAnsi="宋体" w:eastAsia="宋体" w:cs="宋体"/>
                <w:spacing w:val="-3"/>
                <w:sz w:val="24"/>
                <w:szCs w:val="24"/>
              </w:rPr>
              <w:t>址</w:t>
            </w:r>
          </w:p>
        </w:tc>
        <w:tc>
          <w:tcPr>
            <w:tcW w:w="2923" w:type="dxa"/>
            <w:gridSpan w:val="3"/>
            <w:tcBorders>
              <w:top w:val="single" w:color="000000" w:sz="2" w:space="0"/>
              <w:bottom w:val="single" w:color="000000" w:sz="2" w:space="0"/>
            </w:tcBorders>
            <w:vAlign w:val="center"/>
          </w:tcPr>
          <w:p w14:paraId="3E01DBBA">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1ED0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48A3AB19">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法定代表人</w:t>
            </w:r>
          </w:p>
        </w:tc>
        <w:tc>
          <w:tcPr>
            <w:tcW w:w="918" w:type="dxa"/>
            <w:tcBorders>
              <w:top w:val="single" w:color="000000" w:sz="2" w:space="0"/>
              <w:bottom w:val="single" w:color="000000" w:sz="2" w:space="0"/>
            </w:tcBorders>
            <w:vAlign w:val="center"/>
          </w:tcPr>
          <w:p w14:paraId="1BC1158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姓</w:t>
            </w:r>
            <w:r>
              <w:rPr>
                <w:rFonts w:hint="eastAsia" w:ascii="宋体" w:hAnsi="宋体" w:eastAsia="宋体" w:cs="宋体"/>
                <w:spacing w:val="7"/>
                <w:sz w:val="24"/>
                <w:szCs w:val="24"/>
              </w:rPr>
              <w:t>名</w:t>
            </w:r>
          </w:p>
        </w:tc>
        <w:tc>
          <w:tcPr>
            <w:tcW w:w="965" w:type="dxa"/>
            <w:tcBorders>
              <w:top w:val="single" w:color="000000" w:sz="2" w:space="0"/>
              <w:bottom w:val="single" w:color="000000" w:sz="2" w:space="0"/>
            </w:tcBorders>
            <w:vAlign w:val="center"/>
          </w:tcPr>
          <w:p w14:paraId="3E9C1CF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1255" w:type="dxa"/>
            <w:gridSpan w:val="2"/>
            <w:tcBorders>
              <w:top w:val="single" w:color="000000" w:sz="2" w:space="0"/>
              <w:bottom w:val="single" w:color="000000" w:sz="2" w:space="0"/>
            </w:tcBorders>
            <w:vAlign w:val="center"/>
          </w:tcPr>
          <w:p w14:paraId="1C7086B7">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技术职称</w:t>
            </w:r>
          </w:p>
        </w:tc>
        <w:tc>
          <w:tcPr>
            <w:tcW w:w="1903" w:type="dxa"/>
            <w:gridSpan w:val="3"/>
            <w:tcBorders>
              <w:top w:val="single" w:color="000000" w:sz="2" w:space="0"/>
              <w:bottom w:val="single" w:color="000000" w:sz="2" w:space="0"/>
            </w:tcBorders>
            <w:vAlign w:val="center"/>
          </w:tcPr>
          <w:p w14:paraId="7CDE6C8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79" w:type="dxa"/>
            <w:tcBorders>
              <w:top w:val="single" w:color="000000" w:sz="2" w:space="0"/>
              <w:bottom w:val="single" w:color="000000" w:sz="2" w:space="0"/>
            </w:tcBorders>
            <w:vAlign w:val="center"/>
          </w:tcPr>
          <w:p w14:paraId="5E0F2E25">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1"/>
                <w:sz w:val="24"/>
                <w:szCs w:val="24"/>
              </w:rPr>
              <w:t>电</w:t>
            </w:r>
            <w:r>
              <w:rPr>
                <w:rFonts w:hint="eastAsia" w:ascii="宋体" w:hAnsi="宋体" w:eastAsia="宋体" w:cs="宋体"/>
                <w:spacing w:val="-10"/>
                <w:sz w:val="24"/>
                <w:szCs w:val="24"/>
              </w:rPr>
              <w:t>话</w:t>
            </w:r>
          </w:p>
        </w:tc>
        <w:tc>
          <w:tcPr>
            <w:tcW w:w="1553" w:type="dxa"/>
            <w:tcBorders>
              <w:top w:val="single" w:color="000000" w:sz="2" w:space="0"/>
              <w:bottom w:val="single" w:color="000000" w:sz="2" w:space="0"/>
            </w:tcBorders>
            <w:vAlign w:val="center"/>
          </w:tcPr>
          <w:p w14:paraId="32638990">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0A25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6D12F95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技术负责人</w:t>
            </w:r>
          </w:p>
        </w:tc>
        <w:tc>
          <w:tcPr>
            <w:tcW w:w="918" w:type="dxa"/>
            <w:tcBorders>
              <w:top w:val="single" w:color="000000" w:sz="2" w:space="0"/>
              <w:bottom w:val="single" w:color="000000" w:sz="2" w:space="0"/>
            </w:tcBorders>
            <w:vAlign w:val="center"/>
          </w:tcPr>
          <w:p w14:paraId="1930D91E">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姓</w:t>
            </w:r>
            <w:r>
              <w:rPr>
                <w:rFonts w:hint="eastAsia" w:ascii="宋体" w:hAnsi="宋体" w:eastAsia="宋体" w:cs="宋体"/>
                <w:spacing w:val="7"/>
                <w:sz w:val="24"/>
                <w:szCs w:val="24"/>
              </w:rPr>
              <w:t>名</w:t>
            </w:r>
          </w:p>
        </w:tc>
        <w:tc>
          <w:tcPr>
            <w:tcW w:w="965" w:type="dxa"/>
            <w:tcBorders>
              <w:top w:val="single" w:color="000000" w:sz="2" w:space="0"/>
              <w:bottom w:val="single" w:color="000000" w:sz="2" w:space="0"/>
            </w:tcBorders>
            <w:vAlign w:val="center"/>
          </w:tcPr>
          <w:p w14:paraId="25DA5D2B">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1255" w:type="dxa"/>
            <w:gridSpan w:val="2"/>
            <w:tcBorders>
              <w:top w:val="single" w:color="000000" w:sz="2" w:space="0"/>
              <w:bottom w:val="single" w:color="000000" w:sz="2" w:space="0"/>
            </w:tcBorders>
            <w:vAlign w:val="center"/>
          </w:tcPr>
          <w:p w14:paraId="5AEB907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技术职称</w:t>
            </w:r>
          </w:p>
        </w:tc>
        <w:tc>
          <w:tcPr>
            <w:tcW w:w="1903" w:type="dxa"/>
            <w:gridSpan w:val="3"/>
            <w:tcBorders>
              <w:top w:val="single" w:color="000000" w:sz="2" w:space="0"/>
              <w:bottom w:val="single" w:color="000000" w:sz="2" w:space="0"/>
            </w:tcBorders>
            <w:vAlign w:val="center"/>
          </w:tcPr>
          <w:p w14:paraId="1DA01EDD">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79" w:type="dxa"/>
            <w:tcBorders>
              <w:top w:val="single" w:color="000000" w:sz="2" w:space="0"/>
              <w:bottom w:val="single" w:color="000000" w:sz="2" w:space="0"/>
            </w:tcBorders>
            <w:vAlign w:val="center"/>
          </w:tcPr>
          <w:p w14:paraId="51127685">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1"/>
                <w:sz w:val="24"/>
                <w:szCs w:val="24"/>
              </w:rPr>
              <w:t>电</w:t>
            </w:r>
            <w:r>
              <w:rPr>
                <w:rFonts w:hint="eastAsia" w:ascii="宋体" w:hAnsi="宋体" w:eastAsia="宋体" w:cs="宋体"/>
                <w:spacing w:val="-10"/>
                <w:sz w:val="24"/>
                <w:szCs w:val="24"/>
              </w:rPr>
              <w:t>话</w:t>
            </w:r>
          </w:p>
        </w:tc>
        <w:tc>
          <w:tcPr>
            <w:tcW w:w="1553" w:type="dxa"/>
            <w:tcBorders>
              <w:top w:val="single" w:color="000000" w:sz="2" w:space="0"/>
              <w:bottom w:val="single" w:color="000000" w:sz="2" w:space="0"/>
            </w:tcBorders>
            <w:vAlign w:val="center"/>
          </w:tcPr>
          <w:p w14:paraId="1B008169">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6961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6139A267">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成立时</w:t>
            </w:r>
            <w:r>
              <w:rPr>
                <w:rFonts w:hint="eastAsia" w:ascii="宋体" w:hAnsi="宋体" w:eastAsia="宋体" w:cs="宋体"/>
                <w:spacing w:val="12"/>
                <w:sz w:val="24"/>
                <w:szCs w:val="24"/>
              </w:rPr>
              <w:t>间</w:t>
            </w:r>
          </w:p>
        </w:tc>
        <w:tc>
          <w:tcPr>
            <w:tcW w:w="1883" w:type="dxa"/>
            <w:gridSpan w:val="2"/>
            <w:tcBorders>
              <w:top w:val="single" w:color="000000" w:sz="2" w:space="0"/>
              <w:bottom w:val="single" w:color="000000" w:sz="2" w:space="0"/>
            </w:tcBorders>
            <w:vAlign w:val="center"/>
          </w:tcPr>
          <w:p w14:paraId="52ABD82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5590" w:type="dxa"/>
            <w:gridSpan w:val="7"/>
            <w:tcBorders>
              <w:top w:val="single" w:color="000000" w:sz="2" w:space="0"/>
              <w:bottom w:val="single" w:color="000000" w:sz="2" w:space="0"/>
            </w:tcBorders>
            <w:vAlign w:val="center"/>
          </w:tcPr>
          <w:p w14:paraId="28515F6F">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p w14:paraId="3FA5A809">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员工总人数：</w:t>
            </w:r>
          </w:p>
        </w:tc>
      </w:tr>
      <w:tr w14:paraId="3DA4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4B7FD89E">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7"/>
                <w:sz w:val="24"/>
                <w:szCs w:val="24"/>
              </w:rPr>
              <w:t>企</w:t>
            </w:r>
            <w:r>
              <w:rPr>
                <w:rFonts w:hint="eastAsia" w:ascii="宋体" w:hAnsi="宋体" w:eastAsia="宋体" w:cs="宋体"/>
                <w:spacing w:val="14"/>
                <w:sz w:val="24"/>
                <w:szCs w:val="24"/>
              </w:rPr>
              <w:t>业资质等级</w:t>
            </w:r>
          </w:p>
        </w:tc>
        <w:tc>
          <w:tcPr>
            <w:tcW w:w="1883" w:type="dxa"/>
            <w:gridSpan w:val="2"/>
            <w:tcBorders>
              <w:top w:val="single" w:color="000000" w:sz="2" w:space="0"/>
              <w:bottom w:val="single" w:color="000000" w:sz="2" w:space="0"/>
            </w:tcBorders>
            <w:vAlign w:val="center"/>
          </w:tcPr>
          <w:p w14:paraId="27D81BDA">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40" w:type="dxa"/>
            <w:vMerge w:val="restart"/>
            <w:tcBorders>
              <w:top w:val="single" w:color="000000" w:sz="2" w:space="0"/>
              <w:bottom w:val="nil"/>
            </w:tcBorders>
            <w:vAlign w:val="center"/>
          </w:tcPr>
          <w:p w14:paraId="301AB02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其中</w:t>
            </w:r>
          </w:p>
        </w:tc>
        <w:tc>
          <w:tcPr>
            <w:tcW w:w="2318" w:type="dxa"/>
            <w:gridSpan w:val="4"/>
            <w:tcBorders>
              <w:top w:val="single" w:color="000000" w:sz="2" w:space="0"/>
              <w:bottom w:val="single" w:color="000000" w:sz="2" w:space="0"/>
            </w:tcBorders>
            <w:vAlign w:val="center"/>
          </w:tcPr>
          <w:p w14:paraId="6784BFE1">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项</w:t>
            </w:r>
            <w:r>
              <w:rPr>
                <w:rFonts w:hint="eastAsia" w:ascii="宋体" w:hAnsi="宋体" w:eastAsia="宋体" w:cs="宋体"/>
                <w:spacing w:val="13"/>
                <w:sz w:val="24"/>
                <w:szCs w:val="24"/>
              </w:rPr>
              <w:t>目经理 (注册建造师)</w:t>
            </w:r>
          </w:p>
        </w:tc>
        <w:tc>
          <w:tcPr>
            <w:tcW w:w="2432" w:type="dxa"/>
            <w:gridSpan w:val="2"/>
            <w:tcBorders>
              <w:top w:val="single" w:color="000000" w:sz="2" w:space="0"/>
              <w:bottom w:val="single" w:color="000000" w:sz="2" w:space="0"/>
            </w:tcBorders>
            <w:vAlign w:val="center"/>
          </w:tcPr>
          <w:p w14:paraId="6BC3C59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4C144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3FB62A6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营</w:t>
            </w:r>
            <w:r>
              <w:rPr>
                <w:rFonts w:hint="eastAsia" w:ascii="宋体" w:hAnsi="宋体" w:eastAsia="宋体" w:cs="宋体"/>
                <w:spacing w:val="12"/>
                <w:sz w:val="24"/>
                <w:szCs w:val="24"/>
              </w:rPr>
              <w:t>业执照号</w:t>
            </w:r>
          </w:p>
        </w:tc>
        <w:tc>
          <w:tcPr>
            <w:tcW w:w="1883" w:type="dxa"/>
            <w:gridSpan w:val="2"/>
            <w:tcBorders>
              <w:top w:val="single" w:color="000000" w:sz="2" w:space="0"/>
              <w:bottom w:val="single" w:color="000000" w:sz="2" w:space="0"/>
            </w:tcBorders>
            <w:vAlign w:val="center"/>
          </w:tcPr>
          <w:p w14:paraId="05BCAE9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40" w:type="dxa"/>
            <w:vMerge w:val="continue"/>
            <w:tcBorders>
              <w:top w:val="nil"/>
              <w:bottom w:val="nil"/>
            </w:tcBorders>
            <w:vAlign w:val="center"/>
          </w:tcPr>
          <w:p w14:paraId="7D6F807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2318" w:type="dxa"/>
            <w:gridSpan w:val="4"/>
            <w:tcBorders>
              <w:top w:val="single" w:color="000000" w:sz="2" w:space="0"/>
              <w:bottom w:val="single" w:color="000000" w:sz="2" w:space="0"/>
            </w:tcBorders>
            <w:vAlign w:val="center"/>
          </w:tcPr>
          <w:p w14:paraId="0ABE328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高</w:t>
            </w:r>
            <w:r>
              <w:rPr>
                <w:rFonts w:hint="eastAsia" w:ascii="宋体" w:hAnsi="宋体" w:eastAsia="宋体" w:cs="宋体"/>
                <w:spacing w:val="13"/>
                <w:sz w:val="24"/>
                <w:szCs w:val="24"/>
              </w:rPr>
              <w:t>级职称人员</w:t>
            </w:r>
          </w:p>
        </w:tc>
        <w:tc>
          <w:tcPr>
            <w:tcW w:w="2432" w:type="dxa"/>
            <w:gridSpan w:val="2"/>
            <w:tcBorders>
              <w:top w:val="single" w:color="000000" w:sz="2" w:space="0"/>
              <w:bottom w:val="single" w:color="000000" w:sz="2" w:space="0"/>
            </w:tcBorders>
            <w:vAlign w:val="center"/>
          </w:tcPr>
          <w:p w14:paraId="0CAB8E16">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7BE3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0087672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注</w:t>
            </w:r>
            <w:r>
              <w:rPr>
                <w:rFonts w:hint="eastAsia" w:ascii="宋体" w:hAnsi="宋体" w:eastAsia="宋体" w:cs="宋体"/>
                <w:spacing w:val="12"/>
                <w:sz w:val="24"/>
                <w:szCs w:val="24"/>
              </w:rPr>
              <w:t>册资金</w:t>
            </w:r>
          </w:p>
        </w:tc>
        <w:tc>
          <w:tcPr>
            <w:tcW w:w="1883" w:type="dxa"/>
            <w:gridSpan w:val="2"/>
            <w:tcBorders>
              <w:top w:val="single" w:color="000000" w:sz="2" w:space="0"/>
              <w:bottom w:val="single" w:color="000000" w:sz="2" w:space="0"/>
            </w:tcBorders>
            <w:vAlign w:val="center"/>
          </w:tcPr>
          <w:p w14:paraId="464B579E">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40" w:type="dxa"/>
            <w:vMerge w:val="continue"/>
            <w:tcBorders>
              <w:top w:val="nil"/>
              <w:bottom w:val="nil"/>
            </w:tcBorders>
            <w:vAlign w:val="center"/>
          </w:tcPr>
          <w:p w14:paraId="6C94E9D5">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2318" w:type="dxa"/>
            <w:gridSpan w:val="4"/>
            <w:tcBorders>
              <w:top w:val="single" w:color="000000" w:sz="2" w:space="0"/>
              <w:bottom w:val="single" w:color="000000" w:sz="2" w:space="0"/>
            </w:tcBorders>
            <w:vAlign w:val="center"/>
          </w:tcPr>
          <w:p w14:paraId="1EE5B5B2">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中</w:t>
            </w:r>
            <w:r>
              <w:rPr>
                <w:rFonts w:hint="eastAsia" w:ascii="宋体" w:hAnsi="宋体" w:eastAsia="宋体" w:cs="宋体"/>
                <w:spacing w:val="9"/>
                <w:sz w:val="24"/>
                <w:szCs w:val="24"/>
              </w:rPr>
              <w:t>级职称人员</w:t>
            </w:r>
          </w:p>
        </w:tc>
        <w:tc>
          <w:tcPr>
            <w:tcW w:w="2432" w:type="dxa"/>
            <w:gridSpan w:val="2"/>
            <w:tcBorders>
              <w:top w:val="single" w:color="000000" w:sz="2" w:space="0"/>
              <w:bottom w:val="single" w:color="000000" w:sz="2" w:space="0"/>
            </w:tcBorders>
            <w:vAlign w:val="center"/>
          </w:tcPr>
          <w:p w14:paraId="412E3986">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1DF0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27F64F83">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开户银行</w:t>
            </w:r>
          </w:p>
        </w:tc>
        <w:tc>
          <w:tcPr>
            <w:tcW w:w="1883" w:type="dxa"/>
            <w:gridSpan w:val="2"/>
            <w:tcBorders>
              <w:top w:val="single" w:color="000000" w:sz="2" w:space="0"/>
              <w:bottom w:val="single" w:color="000000" w:sz="2" w:space="0"/>
            </w:tcBorders>
            <w:vAlign w:val="center"/>
          </w:tcPr>
          <w:p w14:paraId="6006B34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40" w:type="dxa"/>
            <w:vMerge w:val="continue"/>
            <w:tcBorders>
              <w:top w:val="nil"/>
              <w:bottom w:val="nil"/>
            </w:tcBorders>
            <w:vAlign w:val="center"/>
          </w:tcPr>
          <w:p w14:paraId="48AF4CFF">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2318" w:type="dxa"/>
            <w:gridSpan w:val="4"/>
            <w:tcBorders>
              <w:top w:val="single" w:color="000000" w:sz="2" w:space="0"/>
              <w:bottom w:val="single" w:color="000000" w:sz="2" w:space="0"/>
            </w:tcBorders>
            <w:vAlign w:val="center"/>
          </w:tcPr>
          <w:p w14:paraId="000CDA9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初级职称人员</w:t>
            </w:r>
          </w:p>
        </w:tc>
        <w:tc>
          <w:tcPr>
            <w:tcW w:w="2432" w:type="dxa"/>
            <w:gridSpan w:val="2"/>
            <w:tcBorders>
              <w:top w:val="single" w:color="000000" w:sz="2" w:space="0"/>
              <w:bottom w:val="single" w:color="000000" w:sz="2" w:space="0"/>
            </w:tcBorders>
            <w:vAlign w:val="center"/>
          </w:tcPr>
          <w:p w14:paraId="7199E66C">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1B8E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26" w:type="dxa"/>
            <w:tcBorders>
              <w:top w:val="single" w:color="000000" w:sz="2" w:space="0"/>
              <w:bottom w:val="single" w:color="000000" w:sz="2" w:space="0"/>
            </w:tcBorders>
            <w:vAlign w:val="center"/>
          </w:tcPr>
          <w:p w14:paraId="76D8657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账号</w:t>
            </w:r>
          </w:p>
        </w:tc>
        <w:tc>
          <w:tcPr>
            <w:tcW w:w="1883" w:type="dxa"/>
            <w:gridSpan w:val="2"/>
            <w:tcBorders>
              <w:top w:val="single" w:color="000000" w:sz="2" w:space="0"/>
              <w:bottom w:val="single" w:color="000000" w:sz="2" w:space="0"/>
            </w:tcBorders>
            <w:vAlign w:val="center"/>
          </w:tcPr>
          <w:p w14:paraId="595DE38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840" w:type="dxa"/>
            <w:vMerge w:val="continue"/>
            <w:tcBorders>
              <w:top w:val="nil"/>
              <w:bottom w:val="single" w:color="000000" w:sz="2" w:space="0"/>
            </w:tcBorders>
            <w:vAlign w:val="center"/>
          </w:tcPr>
          <w:p w14:paraId="5FE7769D">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c>
          <w:tcPr>
            <w:tcW w:w="2318" w:type="dxa"/>
            <w:gridSpan w:val="4"/>
            <w:tcBorders>
              <w:top w:val="single" w:color="000000" w:sz="2" w:space="0"/>
              <w:bottom w:val="single" w:color="000000" w:sz="2" w:space="0"/>
            </w:tcBorders>
            <w:vAlign w:val="center"/>
          </w:tcPr>
          <w:p w14:paraId="5E57FF9B">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技工</w:t>
            </w:r>
          </w:p>
        </w:tc>
        <w:tc>
          <w:tcPr>
            <w:tcW w:w="2432" w:type="dxa"/>
            <w:gridSpan w:val="2"/>
            <w:tcBorders>
              <w:top w:val="single" w:color="000000" w:sz="2" w:space="0"/>
              <w:bottom w:val="single" w:color="000000" w:sz="2" w:space="0"/>
            </w:tcBorders>
            <w:vAlign w:val="center"/>
          </w:tcPr>
          <w:p w14:paraId="0F9CDF6E">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40DB2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126" w:type="dxa"/>
            <w:tcBorders>
              <w:top w:val="single" w:color="000000" w:sz="2" w:space="0"/>
              <w:bottom w:val="single" w:color="000000" w:sz="2" w:space="0"/>
            </w:tcBorders>
            <w:vAlign w:val="center"/>
          </w:tcPr>
          <w:p w14:paraId="662B5792">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经营范</w:t>
            </w:r>
            <w:r>
              <w:rPr>
                <w:rFonts w:hint="eastAsia" w:ascii="宋体" w:hAnsi="宋体" w:eastAsia="宋体" w:cs="宋体"/>
                <w:spacing w:val="12"/>
                <w:sz w:val="24"/>
                <w:szCs w:val="24"/>
              </w:rPr>
              <w:t>围</w:t>
            </w:r>
          </w:p>
        </w:tc>
        <w:tc>
          <w:tcPr>
            <w:tcW w:w="7473" w:type="dxa"/>
            <w:gridSpan w:val="9"/>
            <w:tcBorders>
              <w:top w:val="single" w:color="000000" w:sz="2" w:space="0"/>
              <w:bottom w:val="single" w:color="000000" w:sz="2" w:space="0"/>
            </w:tcBorders>
            <w:vAlign w:val="center"/>
          </w:tcPr>
          <w:p w14:paraId="00881024">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r w14:paraId="73C1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126" w:type="dxa"/>
            <w:tcBorders>
              <w:top w:val="single" w:color="000000" w:sz="2" w:space="0"/>
              <w:bottom w:val="single" w:color="000000" w:sz="2" w:space="0"/>
            </w:tcBorders>
            <w:vAlign w:val="center"/>
          </w:tcPr>
          <w:p w14:paraId="54968078">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备注</w:t>
            </w:r>
          </w:p>
        </w:tc>
        <w:tc>
          <w:tcPr>
            <w:tcW w:w="7473" w:type="dxa"/>
            <w:gridSpan w:val="9"/>
            <w:tcBorders>
              <w:top w:val="single" w:color="000000" w:sz="2" w:space="0"/>
              <w:bottom w:val="single" w:color="000000" w:sz="2" w:space="0"/>
            </w:tcBorders>
            <w:vAlign w:val="center"/>
          </w:tcPr>
          <w:p w14:paraId="0B5549FF">
            <w:pPr>
              <w:keepNext w:val="0"/>
              <w:keepLines w:val="0"/>
              <w:pageBreakBefore w:val="0"/>
              <w:widowControl w:val="0"/>
              <w:kinsoku/>
              <w:wordWrap/>
              <w:overflowPunct w:val="0"/>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p>
        </w:tc>
      </w:tr>
    </w:tbl>
    <w:p w14:paraId="3A02518A">
      <w:pPr>
        <w:keepNext w:val="0"/>
        <w:keepLines w:val="0"/>
        <w:pageBreakBefore w:val="0"/>
        <w:widowControl w:val="0"/>
        <w:kinsoku/>
        <w:wordWrap/>
        <w:overflowPunct w:val="0"/>
        <w:topLinePunct w:val="0"/>
        <w:autoSpaceDE w:val="0"/>
        <w:autoSpaceDN w:val="0"/>
        <w:bidi w:val="0"/>
        <w:spacing w:line="434" w:lineRule="auto"/>
        <w:jc w:val="right"/>
        <w:rPr>
          <w:rFonts w:ascii="Arial"/>
          <w:sz w:val="21"/>
        </w:rPr>
      </w:pPr>
    </w:p>
    <w:p w14:paraId="2540461F">
      <w:pPr>
        <w:keepNext w:val="0"/>
        <w:keepLines w:val="0"/>
        <w:pageBreakBefore w:val="0"/>
        <w:widowControl w:val="0"/>
        <w:kinsoku/>
        <w:wordWrap/>
        <w:overflowPunct w:val="0"/>
        <w:topLinePunct w:val="0"/>
        <w:autoSpaceDE w:val="0"/>
        <w:autoSpaceDN w:val="0"/>
        <w:bidi w:val="0"/>
        <w:spacing w:before="71" w:line="227" w:lineRule="auto"/>
        <w:ind w:left="81"/>
        <w:jc w:val="center"/>
        <w:rPr>
          <w:rFonts w:hint="default" w:ascii="宋体" w:hAnsi="宋体" w:eastAsia="宋体" w:cs="宋体"/>
          <w:sz w:val="22"/>
          <w:szCs w:val="22"/>
          <w:u w:val="single"/>
          <w:lang w:val="en-US" w:eastAsia="zh-CN"/>
        </w:rPr>
      </w:pPr>
      <w:r>
        <w:rPr>
          <w:rFonts w:hint="eastAsia" w:ascii="宋体" w:hAnsi="宋体" w:eastAsia="宋体" w:cs="宋体"/>
          <w:spacing w:val="16"/>
          <w:sz w:val="22"/>
          <w:szCs w:val="22"/>
          <w:lang w:val="en-US" w:eastAsia="zh-CN"/>
        </w:rPr>
        <w:t xml:space="preserve">                                      </w:t>
      </w:r>
      <w:r>
        <w:rPr>
          <w:rFonts w:hint="eastAsia" w:ascii="宋体" w:hAnsi="宋体" w:eastAsia="宋体" w:cs="宋体"/>
          <w:spacing w:val="16"/>
          <w:sz w:val="22"/>
          <w:szCs w:val="22"/>
          <w:lang w:eastAsia="zh-CN"/>
        </w:rPr>
        <w:t>供应商</w:t>
      </w:r>
      <w:r>
        <w:rPr>
          <w:rFonts w:ascii="宋体" w:hAnsi="宋体" w:eastAsia="宋体" w:cs="宋体"/>
          <w:spacing w:val="13"/>
          <w:sz w:val="22"/>
          <w:szCs w:val="22"/>
        </w:rPr>
        <w:t>名称(</w:t>
      </w:r>
      <w:r>
        <w:rPr>
          <w:rFonts w:hint="eastAsia" w:ascii="宋体" w:hAnsi="宋体" w:eastAsia="宋体" w:cs="宋体"/>
          <w:b/>
          <w:bCs/>
          <w:sz w:val="21"/>
          <w:szCs w:val="21"/>
          <w:highlight w:val="none"/>
        </w:rPr>
        <w:t>CA电子签章</w:t>
      </w:r>
      <w:r>
        <w:rPr>
          <w:rFonts w:ascii="宋体" w:hAnsi="宋体" w:eastAsia="宋体" w:cs="宋体"/>
          <w:spacing w:val="13"/>
          <w:sz w:val="22"/>
          <w:szCs w:val="22"/>
        </w:rPr>
        <w:t>)：</w:t>
      </w:r>
      <w:r>
        <w:rPr>
          <w:rFonts w:hint="eastAsia" w:ascii="宋体" w:hAnsi="宋体" w:eastAsia="宋体" w:cs="宋体"/>
          <w:spacing w:val="13"/>
          <w:sz w:val="22"/>
          <w:szCs w:val="22"/>
          <w:u w:val="single"/>
          <w:lang w:val="en-US" w:eastAsia="zh-CN"/>
        </w:rPr>
        <w:t xml:space="preserve">     </w:t>
      </w:r>
    </w:p>
    <w:p w14:paraId="222604C9">
      <w:pPr>
        <w:keepNext w:val="0"/>
        <w:keepLines w:val="0"/>
        <w:pageBreakBefore w:val="0"/>
        <w:widowControl w:val="0"/>
        <w:kinsoku/>
        <w:wordWrap/>
        <w:overflowPunct w:val="0"/>
        <w:topLinePunct w:val="0"/>
        <w:autoSpaceDE w:val="0"/>
        <w:autoSpaceDN w:val="0"/>
        <w:bidi w:val="0"/>
        <w:spacing w:line="289" w:lineRule="auto"/>
        <w:jc w:val="right"/>
        <w:rPr>
          <w:rFonts w:ascii="Arial"/>
          <w:sz w:val="21"/>
        </w:rPr>
      </w:pPr>
    </w:p>
    <w:p w14:paraId="21928F1B">
      <w:pPr>
        <w:keepNext w:val="0"/>
        <w:keepLines w:val="0"/>
        <w:pageBreakBefore w:val="0"/>
        <w:widowControl w:val="0"/>
        <w:kinsoku/>
        <w:wordWrap/>
        <w:overflowPunct w:val="0"/>
        <w:topLinePunct w:val="0"/>
        <w:autoSpaceDE w:val="0"/>
        <w:autoSpaceDN w:val="0"/>
        <w:bidi w:val="0"/>
        <w:spacing w:before="71" w:line="228" w:lineRule="auto"/>
        <w:ind w:left="157"/>
        <w:jc w:val="right"/>
        <w:rPr>
          <w:rFonts w:ascii="宋体" w:hAnsi="宋体" w:eastAsia="宋体" w:cs="宋体"/>
          <w:sz w:val="22"/>
          <w:szCs w:val="22"/>
        </w:rPr>
      </w:pPr>
      <w:r>
        <w:rPr>
          <w:rFonts w:ascii="宋体" w:hAnsi="宋体" w:eastAsia="宋体" w:cs="宋体"/>
          <w:spacing w:val="-1"/>
          <w:sz w:val="22"/>
          <w:szCs w:val="22"/>
        </w:rPr>
        <w:t xml:space="preserve">日期：      年 </w:t>
      </w:r>
      <w:r>
        <w:rPr>
          <w:rFonts w:ascii="宋体" w:hAnsi="宋体" w:eastAsia="宋体" w:cs="宋体"/>
          <w:sz w:val="22"/>
          <w:szCs w:val="22"/>
        </w:rPr>
        <w:t xml:space="preserve">   月   日</w:t>
      </w:r>
    </w:p>
    <w:p w14:paraId="441DF579">
      <w:pPr>
        <w:keepNext w:val="0"/>
        <w:keepLines w:val="0"/>
        <w:pageBreakBefore w:val="0"/>
        <w:widowControl w:val="0"/>
        <w:kinsoku/>
        <w:wordWrap/>
        <w:overflowPunct w:val="0"/>
        <w:topLinePunct w:val="0"/>
        <w:autoSpaceDE w:val="0"/>
        <w:autoSpaceDN w:val="0"/>
        <w:bidi w:val="0"/>
        <w:sectPr>
          <w:footerReference r:id="rId16" w:type="default"/>
          <w:pgSz w:w="11906" w:h="16838"/>
          <w:pgMar w:top="1304" w:right="1304" w:bottom="1304" w:left="1304" w:header="0" w:footer="675" w:gutter="0"/>
          <w:pgNumType w:fmt="decimal"/>
          <w:cols w:space="425" w:num="1"/>
          <w:rtlGutter w:val="0"/>
          <w:docGrid w:linePitch="0" w:charSpace="0"/>
        </w:sectPr>
      </w:pPr>
    </w:p>
    <w:p w14:paraId="141CFC05">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eastAsia="zh-CN"/>
        </w:rPr>
      </w:pPr>
      <w:bookmarkStart w:id="233" w:name="_Toc19210"/>
      <w:r>
        <w:rPr>
          <w:rFonts w:hint="eastAsia" w:ascii="宋体" w:hAnsi="宋体" w:eastAsia="宋体" w:cs="宋体"/>
          <w:b/>
          <w:bCs/>
          <w:snapToGrid w:val="0"/>
          <w:color w:val="auto"/>
          <w:kern w:val="0"/>
          <w:sz w:val="28"/>
          <w:szCs w:val="28"/>
          <w:highlight w:val="none"/>
          <w:lang w:val="en-US" w:eastAsia="zh-CN"/>
        </w:rPr>
        <w:t>(3)</w:t>
      </w:r>
      <w:r>
        <w:rPr>
          <w:rFonts w:hint="eastAsia" w:ascii="宋体" w:hAnsi="宋体" w:eastAsia="宋体" w:cs="宋体"/>
          <w:b/>
          <w:bCs/>
          <w:snapToGrid w:val="0"/>
          <w:color w:val="auto"/>
          <w:kern w:val="0"/>
          <w:sz w:val="28"/>
          <w:szCs w:val="28"/>
          <w:highlight w:val="none"/>
          <w:lang w:eastAsia="zh-CN"/>
        </w:rPr>
        <w:t>有效的营业执照复印件</w:t>
      </w:r>
      <w:bookmarkEnd w:id="233"/>
    </w:p>
    <w:p w14:paraId="6B66DF4E">
      <w:pPr>
        <w:rPr>
          <w:rFonts w:hint="eastAsia" w:ascii="宋体" w:hAnsi="宋体" w:eastAsia="宋体" w:cs="宋体"/>
          <w:b/>
          <w:sz w:val="32"/>
          <w:szCs w:val="32"/>
          <w:highlight w:val="none"/>
        </w:rPr>
      </w:pPr>
    </w:p>
    <w:p w14:paraId="2C0032F3">
      <w:pPr>
        <w:rPr>
          <w:rFonts w:hint="eastAsia" w:ascii="宋体" w:hAnsi="宋体" w:eastAsia="宋体" w:cs="宋体"/>
          <w:b/>
          <w:sz w:val="32"/>
          <w:szCs w:val="32"/>
          <w:highlight w:val="none"/>
        </w:rPr>
      </w:pPr>
    </w:p>
    <w:p w14:paraId="0E10FD90">
      <w:pPr>
        <w:rPr>
          <w:rFonts w:hint="eastAsia" w:ascii="宋体" w:hAnsi="宋体" w:eastAsia="宋体" w:cs="宋体"/>
          <w:b/>
          <w:sz w:val="32"/>
          <w:szCs w:val="32"/>
          <w:highlight w:val="none"/>
        </w:rPr>
      </w:pPr>
    </w:p>
    <w:p w14:paraId="03E61D24">
      <w:pPr>
        <w:rPr>
          <w:rFonts w:hint="eastAsia" w:ascii="宋体" w:hAnsi="宋体" w:eastAsia="宋体" w:cs="宋体"/>
          <w:b/>
          <w:sz w:val="32"/>
          <w:szCs w:val="32"/>
          <w:highlight w:val="none"/>
        </w:rPr>
      </w:pPr>
    </w:p>
    <w:p w14:paraId="75E5618A">
      <w:pPr>
        <w:rPr>
          <w:rFonts w:hint="eastAsia" w:ascii="宋体" w:hAnsi="宋体" w:eastAsia="宋体" w:cs="宋体"/>
          <w:b/>
          <w:sz w:val="32"/>
          <w:szCs w:val="32"/>
          <w:highlight w:val="none"/>
        </w:rPr>
      </w:pPr>
    </w:p>
    <w:p w14:paraId="734B382E">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b/>
          <w:sz w:val="32"/>
          <w:szCs w:val="32"/>
          <w:highlight w:val="none"/>
        </w:rPr>
      </w:pPr>
      <w:bookmarkStart w:id="234" w:name="_Toc3974"/>
      <w:r>
        <w:rPr>
          <w:rFonts w:hint="eastAsia" w:ascii="宋体" w:hAnsi="宋体" w:eastAsia="宋体" w:cs="宋体"/>
          <w:b/>
          <w:bCs/>
          <w:snapToGrid w:val="0"/>
          <w:color w:val="auto"/>
          <w:kern w:val="0"/>
          <w:sz w:val="28"/>
          <w:szCs w:val="28"/>
          <w:highlight w:val="none"/>
          <w:lang w:val="en-US" w:eastAsia="zh-CN"/>
        </w:rPr>
        <w:t>(4)</w:t>
      </w:r>
      <w:r>
        <w:rPr>
          <w:rFonts w:hint="eastAsia" w:ascii="宋体" w:hAnsi="宋体" w:eastAsia="宋体" w:cs="宋体"/>
          <w:b/>
          <w:sz w:val="32"/>
          <w:szCs w:val="32"/>
          <w:highlight w:val="none"/>
        </w:rPr>
        <w:t>中小企业声明函（</w:t>
      </w:r>
      <w:r>
        <w:rPr>
          <w:rFonts w:hint="eastAsia" w:ascii="宋体" w:hAnsi="宋体" w:eastAsia="宋体" w:cs="宋体"/>
          <w:b/>
          <w:sz w:val="32"/>
          <w:szCs w:val="32"/>
          <w:highlight w:val="none"/>
          <w:lang w:eastAsia="zh-CN"/>
        </w:rPr>
        <w:t>工程</w:t>
      </w:r>
      <w:r>
        <w:rPr>
          <w:rFonts w:hint="eastAsia" w:ascii="宋体" w:hAnsi="宋体" w:eastAsia="宋体" w:cs="宋体"/>
          <w:b/>
          <w:sz w:val="32"/>
          <w:szCs w:val="32"/>
          <w:highlight w:val="none"/>
        </w:rPr>
        <w:t>）</w:t>
      </w:r>
      <w:bookmarkEnd w:id="234"/>
    </w:p>
    <w:p w14:paraId="0D0F3B7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p>
    <w:p w14:paraId="46FA63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rPr>
        <w:t>（单位名称）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w:t>
      </w:r>
      <w:r>
        <w:rPr>
          <w:rFonts w:hint="eastAsia" w:ascii="宋体" w:hAnsi="宋体" w:eastAsia="宋体" w:cs="宋体"/>
          <w:color w:val="000000"/>
          <w:sz w:val="23"/>
          <w:szCs w:val="24"/>
          <w:highlight w:val="none"/>
        </w:rPr>
        <w:t>工程的施工单位</w:t>
      </w:r>
      <w:r>
        <w:rPr>
          <w:rFonts w:hint="eastAsia" w:ascii="宋体" w:hAnsi="宋体" w:eastAsia="宋体" w:cs="宋体"/>
          <w:color w:val="auto"/>
          <w:kern w:val="0"/>
          <w:sz w:val="24"/>
          <w:highlight w:val="none"/>
        </w:rPr>
        <w:t>由符合政策要求的中小企业承接。相关企业（含联合体中的中小企业、签订分包意向协议的中小企业）的具体情况如下：</w:t>
      </w:r>
    </w:p>
    <w:p w14:paraId="71D211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 小型企业、微型企业）</w:t>
      </w:r>
      <w:r>
        <w:rPr>
          <w:rFonts w:hint="eastAsia" w:ascii="宋体" w:hAnsi="宋体" w:eastAsia="宋体" w:cs="宋体"/>
          <w:color w:val="auto"/>
          <w:kern w:val="0"/>
          <w:sz w:val="24"/>
          <w:highlight w:val="none"/>
        </w:rPr>
        <w:t>；</w:t>
      </w:r>
    </w:p>
    <w:p w14:paraId="214D95D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 小型企业、微型企业）</w:t>
      </w:r>
      <w:r>
        <w:rPr>
          <w:rFonts w:hint="eastAsia" w:ascii="宋体" w:hAnsi="宋体" w:eastAsia="宋体" w:cs="宋体"/>
          <w:color w:val="auto"/>
          <w:kern w:val="0"/>
          <w:sz w:val="24"/>
          <w:highlight w:val="none"/>
        </w:rPr>
        <w:t>；</w:t>
      </w:r>
    </w:p>
    <w:p w14:paraId="30C6D2D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4EA80F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22B370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585318AA">
      <w:pPr>
        <w:snapToGrid w:val="0"/>
        <w:spacing w:before="120" w:beforeLines="50" w:after="50" w:line="360" w:lineRule="exact"/>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50FB3D">
      <w:pPr>
        <w:pStyle w:val="14"/>
        <w:spacing w:line="400" w:lineRule="exact"/>
        <w:ind w:right="-754" w:rightChars="-359"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b/>
          <w:bCs/>
          <w:color w:val="auto"/>
          <w:sz w:val="24"/>
          <w:szCs w:val="24"/>
          <w:highlight w:val="none"/>
        </w:rPr>
        <w:t>（CA电子签章）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6737E3AB">
      <w:pPr>
        <w:pStyle w:val="14"/>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4D4EAC4">
      <w:pPr>
        <w:keepNext w:val="0"/>
        <w:keepLines w:val="0"/>
        <w:pageBreakBefore w:val="0"/>
        <w:widowControl w:val="0"/>
        <w:kinsoku/>
        <w:wordWrap/>
        <w:overflowPunct w:val="0"/>
        <w:topLinePunct w:val="0"/>
        <w:autoSpaceDE w:val="0"/>
        <w:autoSpaceDN w:val="0"/>
        <w:bidi w:val="0"/>
        <w:spacing w:line="270" w:lineRule="auto"/>
        <w:rPr>
          <w:rFonts w:ascii="Arial"/>
          <w:sz w:val="21"/>
        </w:rPr>
      </w:pPr>
    </w:p>
    <w:p w14:paraId="607EADAE">
      <w:pPr>
        <w:keepNext w:val="0"/>
        <w:keepLines w:val="0"/>
        <w:pageBreakBefore w:val="0"/>
        <w:widowControl w:val="0"/>
        <w:kinsoku/>
        <w:wordWrap/>
        <w:overflowPunct w:val="0"/>
        <w:topLinePunct w:val="0"/>
        <w:autoSpaceDE w:val="0"/>
        <w:autoSpaceDN w:val="0"/>
        <w:bidi w:val="0"/>
        <w:spacing w:before="65" w:line="393" w:lineRule="auto"/>
        <w:ind w:left="7" w:firstLine="444"/>
        <w:rPr>
          <w:rFonts w:ascii="宋体" w:hAnsi="宋体" w:eastAsia="宋体" w:cs="宋体"/>
          <w:spacing w:val="20"/>
          <w:sz w:val="20"/>
          <w:szCs w:val="20"/>
        </w:rPr>
      </w:pPr>
      <w:r>
        <w:rPr>
          <w:rFonts w:ascii="宋体" w:hAnsi="宋体" w:eastAsia="宋体" w:cs="宋体"/>
          <w:spacing w:val="20"/>
          <w:sz w:val="20"/>
          <w:szCs w:val="20"/>
        </w:rPr>
        <w:t>注：</w:t>
      </w:r>
    </w:p>
    <w:p w14:paraId="019C1AEE">
      <w:pPr>
        <w:keepNext w:val="0"/>
        <w:keepLines w:val="0"/>
        <w:pageBreakBefore w:val="0"/>
        <w:widowControl w:val="0"/>
        <w:kinsoku/>
        <w:wordWrap/>
        <w:overflowPunct w:val="0"/>
        <w:topLinePunct w:val="0"/>
        <w:autoSpaceDE w:val="0"/>
        <w:autoSpaceDN w:val="0"/>
        <w:bidi w:val="0"/>
        <w:spacing w:before="65" w:line="393" w:lineRule="auto"/>
        <w:ind w:left="7" w:firstLine="444"/>
        <w:rPr>
          <w:rFonts w:ascii="宋体" w:hAnsi="宋体" w:eastAsia="宋体" w:cs="宋体"/>
          <w:sz w:val="20"/>
          <w:szCs w:val="20"/>
        </w:rPr>
      </w:pPr>
      <w:r>
        <w:rPr>
          <w:rFonts w:hint="eastAsia" w:ascii="宋体" w:hAnsi="宋体" w:eastAsia="宋体" w:cs="宋体"/>
          <w:spacing w:val="20"/>
          <w:sz w:val="20"/>
          <w:szCs w:val="20"/>
          <w:lang w:val="en-US" w:eastAsia="zh-CN"/>
        </w:rPr>
        <w:t>1.</w:t>
      </w:r>
      <w:r>
        <w:rPr>
          <w:rFonts w:ascii="宋体" w:hAnsi="宋体" w:eastAsia="宋体" w:cs="宋体"/>
          <w:spacing w:val="20"/>
          <w:sz w:val="20"/>
          <w:szCs w:val="20"/>
        </w:rPr>
        <w:t>享</w:t>
      </w:r>
      <w:r>
        <w:rPr>
          <w:rFonts w:ascii="宋体" w:hAnsi="宋体" w:eastAsia="宋体" w:cs="宋体"/>
          <w:spacing w:val="15"/>
          <w:sz w:val="20"/>
          <w:szCs w:val="20"/>
        </w:rPr>
        <w:t>受</w:t>
      </w:r>
      <w:r>
        <w:rPr>
          <w:rFonts w:ascii="宋体" w:hAnsi="宋体" w:eastAsia="宋体" w:cs="宋体"/>
          <w:spacing w:val="10"/>
          <w:sz w:val="20"/>
          <w:szCs w:val="20"/>
        </w:rPr>
        <w:t>《政府采购促进中小企业发展管理办法》  (财库〔2020〕46 号) 规定的中小企业扶持</w:t>
      </w:r>
      <w:r>
        <w:rPr>
          <w:rFonts w:ascii="宋体" w:hAnsi="宋体" w:eastAsia="宋体" w:cs="宋体"/>
          <w:sz w:val="20"/>
          <w:szCs w:val="20"/>
        </w:rPr>
        <w:t xml:space="preserve"> </w:t>
      </w:r>
      <w:r>
        <w:rPr>
          <w:rFonts w:ascii="宋体" w:hAnsi="宋体" w:eastAsia="宋体" w:cs="宋体"/>
          <w:spacing w:val="13"/>
          <w:sz w:val="20"/>
          <w:szCs w:val="20"/>
        </w:rPr>
        <w:t>政策的，采购人、采购代理机构应当随成交结果公开成交供应商的《中小企业声明函》 。从业</w:t>
      </w:r>
      <w:r>
        <w:rPr>
          <w:rFonts w:ascii="宋体" w:hAnsi="宋体" w:eastAsia="宋体" w:cs="宋体"/>
          <w:spacing w:val="11"/>
          <w:sz w:val="20"/>
          <w:szCs w:val="20"/>
        </w:rPr>
        <w:t>人</w:t>
      </w:r>
      <w:r>
        <w:rPr>
          <w:rFonts w:ascii="宋体" w:hAnsi="宋体" w:eastAsia="宋体" w:cs="宋体"/>
          <w:sz w:val="20"/>
          <w:szCs w:val="20"/>
        </w:rPr>
        <w:t xml:space="preserve">   </w:t>
      </w:r>
      <w:r>
        <w:rPr>
          <w:rFonts w:ascii="宋体" w:hAnsi="宋体" w:eastAsia="宋体" w:cs="宋体"/>
          <w:spacing w:val="22"/>
          <w:sz w:val="20"/>
          <w:szCs w:val="20"/>
        </w:rPr>
        <w:t>员</w:t>
      </w:r>
      <w:r>
        <w:rPr>
          <w:rFonts w:ascii="宋体" w:hAnsi="宋体" w:eastAsia="宋体" w:cs="宋体"/>
          <w:spacing w:val="15"/>
          <w:sz w:val="20"/>
          <w:szCs w:val="20"/>
        </w:rPr>
        <w:t>、营业收入、资产总额填报上一年度数据，无上一年度数据的新成立企业可不填报。</w:t>
      </w:r>
    </w:p>
    <w:p w14:paraId="48EDE43F">
      <w:pPr>
        <w:keepNext w:val="0"/>
        <w:keepLines w:val="0"/>
        <w:pageBreakBefore w:val="0"/>
        <w:widowControl w:val="0"/>
        <w:kinsoku/>
        <w:wordWrap/>
        <w:overflowPunct w:val="0"/>
        <w:topLinePunct w:val="0"/>
        <w:autoSpaceDE w:val="0"/>
        <w:autoSpaceDN w:val="0"/>
        <w:bidi w:val="0"/>
      </w:pPr>
    </w:p>
    <w:p w14:paraId="157FE9A8">
      <w:pPr>
        <w:keepNext w:val="0"/>
        <w:keepLines w:val="0"/>
        <w:pageBreakBefore w:val="0"/>
        <w:widowControl w:val="0"/>
        <w:kinsoku/>
        <w:wordWrap/>
        <w:overflowPunct w:val="0"/>
        <w:topLinePunct w:val="0"/>
        <w:autoSpaceDE w:val="0"/>
        <w:autoSpaceDN w:val="0"/>
        <w:bidi w:val="0"/>
        <w:sectPr>
          <w:footerReference r:id="rId17" w:type="default"/>
          <w:pgSz w:w="11906" w:h="16838"/>
          <w:pgMar w:top="1304" w:right="1304" w:bottom="1304" w:left="1304" w:header="0" w:footer="675" w:gutter="0"/>
          <w:pgNumType w:fmt="decimal"/>
          <w:cols w:space="425" w:num="1"/>
          <w:rtlGutter w:val="0"/>
          <w:docGrid w:linePitch="0" w:charSpace="0"/>
        </w:sectPr>
      </w:pPr>
    </w:p>
    <w:p w14:paraId="0A8A3CCB">
      <w:pPr>
        <w:keepNext w:val="0"/>
        <w:keepLines w:val="0"/>
        <w:pageBreakBefore w:val="0"/>
        <w:widowControl w:val="0"/>
        <w:kinsoku/>
        <w:wordWrap/>
        <w:overflowPunct w:val="0"/>
        <w:topLinePunct w:val="0"/>
        <w:autoSpaceDE w:val="0"/>
        <w:autoSpaceDN w:val="0"/>
        <w:bidi w:val="0"/>
        <w:spacing w:before="65" w:line="227" w:lineRule="auto"/>
        <w:ind w:left="128"/>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附</w:t>
      </w:r>
      <w:r>
        <w:rPr>
          <w:rFonts w:ascii="宋体" w:hAnsi="宋体" w:eastAsia="宋体" w:cs="宋体"/>
          <w:spacing w:val="-2"/>
          <w:sz w:val="20"/>
          <w:szCs w:val="20"/>
          <w14:textOutline w14:w="3795" w14:cap="sq" w14:cmpd="sng">
            <w14:solidFill>
              <w14:srgbClr w14:val="000000"/>
            </w14:solidFill>
            <w14:prstDash w14:val="solid"/>
            <w14:bevel/>
          </w14:textOutline>
        </w:rPr>
        <w:t>表</w:t>
      </w:r>
    </w:p>
    <w:p w14:paraId="54C492C1">
      <w:pPr>
        <w:widowControl/>
        <w:spacing w:line="330" w:lineRule="atLeast"/>
        <w:jc w:val="cente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t>统计上大中小微型企业划分标准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F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50F854C9">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1FAE5A3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1A35E47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r>
              <w:rPr>
                <w:rFonts w:hint="eastAsia" w:ascii="宋体" w:hAnsi="宋体" w:eastAsia="宋体" w:cs="宋体"/>
                <w:b/>
                <w:bCs/>
                <w:color w:val="auto"/>
                <w:kern w:val="0"/>
                <w:sz w:val="18"/>
                <w:szCs w:val="18"/>
                <w:highlight w:val="none"/>
              </w:rPr>
              <w:br w:type="textWrapping"/>
            </w:r>
            <w:r>
              <w:rPr>
                <w:rFonts w:hint="eastAsia" w:ascii="宋体" w:hAnsi="宋体" w:eastAsia="宋体" w:cs="宋体"/>
                <w:b/>
                <w:bCs/>
                <w:color w:val="auto"/>
                <w:kern w:val="0"/>
                <w:sz w:val="18"/>
                <w:szCs w:val="18"/>
                <w:highlight w:val="none"/>
              </w:rPr>
              <w:t>单位</w:t>
            </w:r>
          </w:p>
        </w:tc>
        <w:tc>
          <w:tcPr>
            <w:tcW w:w="1125" w:type="dxa"/>
            <w:noWrap w:val="0"/>
            <w:vAlign w:val="center"/>
          </w:tcPr>
          <w:p w14:paraId="75578C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0B6FADD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10AA323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0CFA6D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E6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4FBC9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96FDD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F6F8D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CC1D7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F5F39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noWrap w:val="0"/>
            <w:vAlign w:val="center"/>
          </w:tcPr>
          <w:p w14:paraId="222663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50≤Y＜500</w:t>
            </w:r>
          </w:p>
        </w:tc>
        <w:tc>
          <w:tcPr>
            <w:tcW w:w="992" w:type="dxa"/>
            <w:noWrap w:val="0"/>
            <w:vAlign w:val="center"/>
          </w:tcPr>
          <w:p w14:paraId="32870F8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28A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122487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F6950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70B37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BDC4C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AE03D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C7A1F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6F3950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78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0CE289">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3C403209">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846C29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F0F5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059A22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43A03AD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300≤Y＜2000</w:t>
            </w:r>
          </w:p>
        </w:tc>
        <w:tc>
          <w:tcPr>
            <w:tcW w:w="992" w:type="dxa"/>
            <w:noWrap w:val="0"/>
            <w:vAlign w:val="center"/>
          </w:tcPr>
          <w:p w14:paraId="4D791A8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E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0525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26C553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3E6B7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C95F27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0AAF49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6C20EE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300≤Y＜6000</w:t>
            </w:r>
          </w:p>
        </w:tc>
        <w:tc>
          <w:tcPr>
            <w:tcW w:w="992" w:type="dxa"/>
            <w:noWrap w:val="0"/>
            <w:vAlign w:val="center"/>
          </w:tcPr>
          <w:p w14:paraId="197842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97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EEA95">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0846E33F">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30E7F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6C4F8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382F8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26BE26D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300≤Z＜5000</w:t>
            </w:r>
          </w:p>
        </w:tc>
        <w:tc>
          <w:tcPr>
            <w:tcW w:w="992" w:type="dxa"/>
            <w:noWrap w:val="0"/>
            <w:vAlign w:val="center"/>
          </w:tcPr>
          <w:p w14:paraId="0A5BBDD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65C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4FAB84">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33DFD0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839AD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C36F4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395F6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5160C84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5≤X＜20</w:t>
            </w:r>
          </w:p>
        </w:tc>
        <w:tc>
          <w:tcPr>
            <w:tcW w:w="992" w:type="dxa"/>
            <w:noWrap w:val="0"/>
            <w:vAlign w:val="center"/>
          </w:tcPr>
          <w:p w14:paraId="3BD8D4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2C2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BAD8143">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2E3C825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DE8F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94FA6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284B89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7AFE1612">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34345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647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24896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7026E4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9E4D7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F6565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7D829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3055E7C3">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69B445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5D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6F9EC5">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AA3836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24E29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61F0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B27D6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noWrap w:val="0"/>
            <w:vAlign w:val="center"/>
          </w:tcPr>
          <w:p w14:paraId="760AE364">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100≤Y＜500 </w:t>
            </w:r>
          </w:p>
        </w:tc>
        <w:tc>
          <w:tcPr>
            <w:tcW w:w="992" w:type="dxa"/>
            <w:noWrap w:val="0"/>
            <w:vAlign w:val="center"/>
          </w:tcPr>
          <w:p w14:paraId="596687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8F1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6C668C">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426705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B99C7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D391C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E305E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623216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6EADF81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D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8539401">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39592A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EEF46D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7751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40F36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9E4C8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200≤Y＜3000</w:t>
            </w:r>
          </w:p>
        </w:tc>
        <w:tc>
          <w:tcPr>
            <w:tcW w:w="992" w:type="dxa"/>
            <w:noWrap w:val="0"/>
            <w:vAlign w:val="center"/>
          </w:tcPr>
          <w:p w14:paraId="54606DF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993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8E2D49">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487F42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D4203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19F16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33F087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703DE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20≤X＜100</w:t>
            </w:r>
          </w:p>
        </w:tc>
        <w:tc>
          <w:tcPr>
            <w:tcW w:w="992" w:type="dxa"/>
            <w:noWrap w:val="0"/>
            <w:vAlign w:val="center"/>
          </w:tcPr>
          <w:p w14:paraId="5BFC925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436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3D2DEF">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036786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2C8C0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6E1F0F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3ADF6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2AC2C0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621CF7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7A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948D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2FA9207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82B33A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3C611B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7941B39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7BB76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4D17C6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47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5D7002E">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4C80BBA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913C57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92F2E3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152BF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F131C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57A9C67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7DB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678F45">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0E3A42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5449E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B6D9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6150B4">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F3924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48F4F7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99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B2A2B">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22FC5256">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206A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31A4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81476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044B32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2C65E6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BB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F35EB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56CBDCC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B934A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792A9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A5FA46">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49332AB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2111C92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D2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1E6FE6">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3EBF1D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E7B9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87288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BB8E5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D9519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38010E4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B6F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BBA95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786778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44562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5EA06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6BB24D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159FE7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3C01E8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948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B3B096">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2F4D4E0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4EF4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78E92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3EA82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1000≤Y＜100000</w:t>
            </w:r>
          </w:p>
        </w:tc>
        <w:tc>
          <w:tcPr>
            <w:tcW w:w="1426" w:type="dxa"/>
            <w:noWrap w:val="0"/>
            <w:vAlign w:val="center"/>
          </w:tcPr>
          <w:p w14:paraId="0F1638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55FA98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A6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A6D883C">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060E75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6B7FA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2742B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F94AC40">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58FF517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1CF3D1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73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582DBF">
            <w:pPr>
              <w:widowControl/>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1C3850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EA4F7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E3B92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70485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AA288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50≤Y＜1000</w:t>
            </w:r>
          </w:p>
        </w:tc>
        <w:tc>
          <w:tcPr>
            <w:tcW w:w="992" w:type="dxa"/>
            <w:noWrap w:val="0"/>
            <w:vAlign w:val="center"/>
          </w:tcPr>
          <w:p w14:paraId="6B02EB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C42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89A88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2B034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6FCF2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9A16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159F96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1000≤Y＜200000</w:t>
            </w:r>
          </w:p>
        </w:tc>
        <w:tc>
          <w:tcPr>
            <w:tcW w:w="1426" w:type="dxa"/>
            <w:noWrap w:val="0"/>
            <w:vAlign w:val="center"/>
          </w:tcPr>
          <w:p w14:paraId="4338C83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17D525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BB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897DF">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4719686">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ED78B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AE2F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5690E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382A97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2000≤Z＜5000   </w:t>
            </w:r>
          </w:p>
        </w:tc>
        <w:tc>
          <w:tcPr>
            <w:tcW w:w="992" w:type="dxa"/>
            <w:noWrap w:val="0"/>
            <w:vAlign w:val="center"/>
          </w:tcPr>
          <w:p w14:paraId="18037E2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5FD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F162BBA">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0D7AC9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75B5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3683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E3F451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B211A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992" w:type="dxa"/>
            <w:noWrap w:val="0"/>
            <w:vAlign w:val="center"/>
          </w:tcPr>
          <w:p w14:paraId="1C5BAA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91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6DB3CCF">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1AAB0947">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1A0E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B7892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DDCA6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1000≤Y＜5000 </w:t>
            </w:r>
          </w:p>
        </w:tc>
        <w:tc>
          <w:tcPr>
            <w:tcW w:w="1426" w:type="dxa"/>
            <w:noWrap w:val="0"/>
            <w:vAlign w:val="center"/>
          </w:tcPr>
          <w:p w14:paraId="112C45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500≤Y＜1000</w:t>
            </w:r>
          </w:p>
        </w:tc>
        <w:tc>
          <w:tcPr>
            <w:tcW w:w="992" w:type="dxa"/>
            <w:noWrap w:val="0"/>
            <w:vAlign w:val="center"/>
          </w:tcPr>
          <w:p w14:paraId="3CD44A6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A65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A1A9DFC">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633BCE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13128D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880C5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0499217">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471353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21C0FA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2F3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D382604">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40A362F1">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B338C1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20B7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1A4A5C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8000≤Z＜120000</w:t>
            </w:r>
          </w:p>
        </w:tc>
        <w:tc>
          <w:tcPr>
            <w:tcW w:w="1426" w:type="dxa"/>
            <w:noWrap w:val="0"/>
            <w:vAlign w:val="center"/>
          </w:tcPr>
          <w:p w14:paraId="7A741B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100≤Z＜8000</w:t>
            </w:r>
          </w:p>
        </w:tc>
        <w:tc>
          <w:tcPr>
            <w:tcW w:w="992" w:type="dxa"/>
            <w:noWrap w:val="0"/>
            <w:vAlign w:val="center"/>
          </w:tcPr>
          <w:p w14:paraId="7B4E4A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51D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3FD5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1EDCAC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CD18E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FCE13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CA774C">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533D86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336C12B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603C8C89">
      <w:pPr>
        <w:widowControl/>
        <w:spacing w:line="540" w:lineRule="exact"/>
        <w:rPr>
          <w:rFonts w:hint="eastAsia" w:ascii="宋体" w:hAnsi="宋体" w:eastAsia="宋体" w:cs="宋体"/>
          <w:color w:val="auto"/>
          <w:spacing w:val="8"/>
          <w:kern w:val="0"/>
          <w:sz w:val="32"/>
          <w:szCs w:val="32"/>
          <w:highlight w:val="none"/>
        </w:rPr>
      </w:pPr>
    </w:p>
    <w:p w14:paraId="4017DE54">
      <w:pPr>
        <w:keepNext w:val="0"/>
        <w:keepLines w:val="0"/>
        <w:pageBreakBefore w:val="0"/>
        <w:widowControl/>
        <w:kinsoku/>
        <w:wordWrap/>
        <w:overflowPunct/>
        <w:topLinePunct w:val="0"/>
        <w:autoSpaceDE/>
        <w:autoSpaceDN/>
        <w:bidi w:val="0"/>
        <w:adjustRightInd/>
        <w:spacing w:line="440" w:lineRule="exact"/>
        <w:textAlignment w:val="auto"/>
        <w:rPr>
          <w:rFonts w:hint="eastAsia" w:ascii="宋体" w:hAnsi="宋体" w:eastAsia="宋体" w:cs="宋体"/>
          <w:color w:val="auto"/>
          <w:spacing w:val="8"/>
          <w:kern w:val="0"/>
          <w:sz w:val="24"/>
          <w:szCs w:val="24"/>
          <w:highlight w:val="none"/>
        </w:rPr>
      </w:pPr>
    </w:p>
    <w:p w14:paraId="4B31408D">
      <w:pPr>
        <w:keepNext w:val="0"/>
        <w:keepLines w:val="0"/>
        <w:pageBreakBefore w:val="0"/>
        <w:widowControl/>
        <w:kinsoku/>
        <w:wordWrap/>
        <w:overflowPunct/>
        <w:topLinePunct w:val="0"/>
        <w:autoSpaceDE/>
        <w:autoSpaceDN/>
        <w:bidi w:val="0"/>
        <w:adjustRightInd/>
        <w:spacing w:line="440" w:lineRule="exact"/>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说明：</w:t>
      </w:r>
    </w:p>
    <w:p w14:paraId="34633E4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1.大型、中型和小型企业须同时满足所列指标的下限，否则下划一档；微型企业只须满足所列指标中的一项即可。</w:t>
      </w:r>
    </w:p>
    <w:p w14:paraId="2C7EDA5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CB36D8">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kern w:val="0"/>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E469D32">
      <w:pPr>
        <w:keepNext w:val="0"/>
        <w:keepLines w:val="0"/>
        <w:pageBreakBefore w:val="0"/>
        <w:widowControl w:val="0"/>
        <w:kinsoku/>
        <w:wordWrap/>
        <w:overflowPunct w:val="0"/>
        <w:topLinePunct w:val="0"/>
        <w:autoSpaceDE w:val="0"/>
        <w:autoSpaceDN w:val="0"/>
        <w:bidi w:val="0"/>
        <w:spacing w:line="389" w:lineRule="auto"/>
        <w:rPr>
          <w:rFonts w:ascii="Arial"/>
          <w:sz w:val="21"/>
        </w:rPr>
      </w:pPr>
    </w:p>
    <w:p w14:paraId="7FE7C368">
      <w:pPr>
        <w:keepNext w:val="0"/>
        <w:keepLines w:val="0"/>
        <w:pageBreakBefore w:val="0"/>
        <w:widowControl w:val="0"/>
        <w:kinsoku/>
        <w:wordWrap/>
        <w:overflowPunct w:val="0"/>
        <w:topLinePunct w:val="0"/>
        <w:autoSpaceDE w:val="0"/>
        <w:autoSpaceDN w:val="0"/>
        <w:bidi w:val="0"/>
        <w:spacing w:before="94" w:line="225" w:lineRule="auto"/>
        <w:ind w:left="1395"/>
        <w:rPr>
          <w:rFonts w:ascii="宋体" w:hAnsi="宋体" w:eastAsia="宋体" w:cs="宋体"/>
          <w:sz w:val="29"/>
          <w:szCs w:val="29"/>
        </w:rPr>
      </w:pPr>
      <w:r>
        <w:rPr>
          <w:rFonts w:ascii="宋体" w:hAnsi="宋体" w:eastAsia="宋体" w:cs="宋体"/>
          <w:spacing w:val="20"/>
          <w:sz w:val="29"/>
          <w:szCs w:val="29"/>
          <w14:textOutline w14:w="5448" w14:cap="sq" w14:cmpd="sng">
            <w14:solidFill>
              <w14:srgbClr w14:val="000000"/>
            </w14:solidFill>
            <w14:prstDash w14:val="solid"/>
            <w14:bevel/>
          </w14:textOutline>
        </w:rPr>
        <w:t>本</w:t>
      </w:r>
      <w:r>
        <w:rPr>
          <w:rFonts w:ascii="宋体" w:hAnsi="宋体" w:eastAsia="宋体" w:cs="宋体"/>
          <w:spacing w:val="11"/>
          <w:sz w:val="29"/>
          <w:szCs w:val="29"/>
          <w14:textOutline w14:w="5448" w14:cap="sq" w14:cmpd="sng">
            <w14:solidFill>
              <w14:srgbClr w14:val="000000"/>
            </w14:solidFill>
            <w14:prstDash w14:val="solid"/>
            <w14:bevel/>
          </w14:textOutline>
        </w:rPr>
        <w:t>项</w:t>
      </w:r>
      <w:r>
        <w:rPr>
          <w:rFonts w:ascii="宋体" w:hAnsi="宋体" w:eastAsia="宋体" w:cs="宋体"/>
          <w:spacing w:val="10"/>
          <w:sz w:val="29"/>
          <w:szCs w:val="29"/>
          <w14:textOutline w14:w="5448" w14:cap="sq" w14:cmpd="sng">
            <w14:solidFill>
              <w14:srgbClr w14:val="000000"/>
            </w14:solidFill>
            <w14:prstDash w14:val="solid"/>
            <w14:bevel/>
          </w14:textOutline>
        </w:rPr>
        <w:t>目对应的中小企业划分标准所属行业：建筑业</w:t>
      </w:r>
    </w:p>
    <w:p w14:paraId="45C81954">
      <w:pPr>
        <w:keepNext w:val="0"/>
        <w:keepLines w:val="0"/>
        <w:pageBreakBefore w:val="0"/>
        <w:widowControl w:val="0"/>
        <w:kinsoku/>
        <w:wordWrap/>
        <w:overflowPunct w:val="0"/>
        <w:topLinePunct w:val="0"/>
        <w:autoSpaceDE w:val="0"/>
        <w:autoSpaceDN w:val="0"/>
        <w:bidi w:val="0"/>
        <w:spacing w:line="281" w:lineRule="auto"/>
        <w:jc w:val="both"/>
        <w:rPr>
          <w:rFonts w:hint="eastAsia" w:ascii="宋体" w:hAnsi="宋体" w:eastAsia="宋体" w:cs="宋体"/>
          <w:sz w:val="24"/>
          <w:szCs w:val="24"/>
          <w:lang w:eastAsia="zh-CN"/>
        </w:rPr>
      </w:pPr>
    </w:p>
    <w:p w14:paraId="674DAA01">
      <w:pPr>
        <w:keepNext w:val="0"/>
        <w:keepLines w:val="0"/>
        <w:pageBreakBefore w:val="0"/>
        <w:widowControl w:val="0"/>
        <w:kinsoku/>
        <w:wordWrap/>
        <w:overflowPunct w:val="0"/>
        <w:topLinePunct w:val="0"/>
        <w:autoSpaceDE w:val="0"/>
        <w:autoSpaceDN w:val="0"/>
        <w:bidi w:val="0"/>
        <w:spacing w:line="281" w:lineRule="auto"/>
        <w:jc w:val="both"/>
        <w:rPr>
          <w:rFonts w:hint="eastAsia" w:ascii="宋体" w:hAnsi="宋体" w:eastAsia="宋体" w:cs="宋体"/>
          <w:sz w:val="24"/>
          <w:szCs w:val="24"/>
        </w:rPr>
      </w:pPr>
    </w:p>
    <w:p w14:paraId="104CF9D1">
      <w:pPr>
        <w:keepNext w:val="0"/>
        <w:keepLines w:val="0"/>
        <w:pageBreakBefore w:val="0"/>
        <w:widowControl w:val="0"/>
        <w:kinsoku/>
        <w:wordWrap/>
        <w:overflowPunct w:val="0"/>
        <w:topLinePunct w:val="0"/>
        <w:autoSpaceDE w:val="0"/>
        <w:autoSpaceDN w:val="0"/>
        <w:bidi w:val="0"/>
        <w:spacing w:line="265" w:lineRule="auto"/>
        <w:rPr>
          <w:rFonts w:ascii="Arial"/>
          <w:sz w:val="21"/>
        </w:rPr>
      </w:pPr>
    </w:p>
    <w:p w14:paraId="0CD88CF4">
      <w:pPr>
        <w:rPr>
          <w:rFonts w:hint="eastAsia" w:ascii="宋体" w:hAnsi="宋体" w:eastAsia="宋体" w:cs="宋体"/>
          <w:b/>
          <w:bCs/>
          <w:snapToGrid w:val="0"/>
          <w:color w:val="auto"/>
          <w:kern w:val="0"/>
          <w:sz w:val="28"/>
          <w:szCs w:val="28"/>
          <w:highlight w:val="none"/>
          <w:lang w:eastAsia="zh-CN"/>
        </w:rPr>
      </w:pPr>
      <w:r>
        <w:rPr>
          <w:rFonts w:hint="eastAsia" w:ascii="宋体" w:hAnsi="宋体" w:eastAsia="宋体" w:cs="宋体"/>
          <w:b/>
          <w:bCs/>
          <w:snapToGrid w:val="0"/>
          <w:color w:val="auto"/>
          <w:kern w:val="0"/>
          <w:sz w:val="28"/>
          <w:szCs w:val="28"/>
          <w:highlight w:val="none"/>
          <w:lang w:eastAsia="zh-CN"/>
        </w:rPr>
        <w:br w:type="page"/>
      </w:r>
    </w:p>
    <w:p w14:paraId="084BE070">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sz w:val="24"/>
          <w:szCs w:val="24"/>
        </w:rPr>
      </w:pPr>
      <w:bookmarkStart w:id="235" w:name="_Toc24507"/>
      <w:r>
        <w:rPr>
          <w:rFonts w:hint="eastAsia" w:ascii="宋体" w:hAnsi="宋体" w:eastAsia="宋体" w:cs="宋体"/>
          <w:b/>
          <w:bCs/>
          <w:snapToGrid w:val="0"/>
          <w:color w:val="auto"/>
          <w:kern w:val="0"/>
          <w:sz w:val="28"/>
          <w:szCs w:val="28"/>
          <w:highlight w:val="none"/>
          <w:lang w:val="en-US" w:eastAsia="zh-CN"/>
        </w:rPr>
        <w:t>(5)</w:t>
      </w:r>
      <w:r>
        <w:rPr>
          <w:rFonts w:hint="eastAsia" w:ascii="宋体" w:hAnsi="宋体" w:eastAsia="宋体" w:cs="宋体"/>
          <w:b/>
          <w:bCs/>
          <w:snapToGrid w:val="0"/>
          <w:color w:val="auto"/>
          <w:kern w:val="0"/>
          <w:sz w:val="28"/>
          <w:szCs w:val="28"/>
          <w:highlight w:val="none"/>
          <w:lang w:eastAsia="zh-CN"/>
        </w:rPr>
        <w:t>建设工程项目管理承诺书</w:t>
      </w:r>
      <w:bookmarkEnd w:id="235"/>
    </w:p>
    <w:p w14:paraId="57370001">
      <w:pPr>
        <w:keepNext w:val="0"/>
        <w:keepLines w:val="0"/>
        <w:pageBreakBefore w:val="0"/>
        <w:widowControl w:val="0"/>
        <w:kinsoku/>
        <w:wordWrap/>
        <w:overflowPunct w:val="0"/>
        <w:topLinePunct w:val="0"/>
        <w:autoSpaceDE w:val="0"/>
        <w:autoSpaceDN w:val="0"/>
        <w:bidi w:val="0"/>
        <w:spacing w:line="314" w:lineRule="auto"/>
        <w:rPr>
          <w:rFonts w:hint="eastAsia" w:ascii="宋体" w:hAnsi="宋体" w:eastAsia="宋体" w:cs="宋体"/>
          <w:sz w:val="24"/>
          <w:szCs w:val="24"/>
        </w:rPr>
      </w:pPr>
    </w:p>
    <w:p w14:paraId="67EC538A">
      <w:pPr>
        <w:keepNext w:val="0"/>
        <w:keepLines w:val="0"/>
        <w:pageBreakBefore w:val="0"/>
        <w:widowControl w:val="0"/>
        <w:kinsoku/>
        <w:wordWrap/>
        <w:overflowPunct w:val="0"/>
        <w:topLinePunct w:val="0"/>
        <w:autoSpaceDE w:val="0"/>
        <w:autoSpaceDN w:val="0"/>
        <w:bidi w:val="0"/>
        <w:spacing w:before="62" w:line="229" w:lineRule="auto"/>
        <w:ind w:left="10"/>
        <w:outlineLvl w:val="9"/>
        <w:rPr>
          <w:rFonts w:hint="eastAsia" w:ascii="宋体" w:hAnsi="宋体" w:eastAsia="宋体" w:cs="宋体"/>
          <w:sz w:val="24"/>
          <w:szCs w:val="24"/>
        </w:rPr>
      </w:pPr>
      <w:r>
        <w:rPr>
          <w:rFonts w:hint="eastAsia" w:ascii="宋体" w:hAnsi="宋体" w:eastAsia="宋体" w:cs="宋体"/>
          <w:spacing w:val="6"/>
          <w:sz w:val="24"/>
          <w:szCs w:val="24"/>
        </w:rPr>
        <w:t>致</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采购人</w:t>
      </w:r>
      <w:r>
        <w:rPr>
          <w:rFonts w:hint="eastAsia" w:ascii="宋体" w:hAnsi="宋体" w:eastAsia="宋体" w:cs="宋体"/>
          <w:spacing w:val="3"/>
          <w:sz w:val="24"/>
          <w:szCs w:val="24"/>
          <w:u w:val="single" w:color="auto"/>
        </w:rPr>
        <w:t xml:space="preserve">名称)      </w:t>
      </w:r>
      <w:r>
        <w:rPr>
          <w:rFonts w:hint="eastAsia" w:ascii="宋体" w:hAnsi="宋体" w:eastAsia="宋体" w:cs="宋体"/>
          <w:spacing w:val="3"/>
          <w:sz w:val="24"/>
          <w:szCs w:val="24"/>
        </w:rPr>
        <w:t>：</w:t>
      </w:r>
    </w:p>
    <w:p w14:paraId="2ADB65B8">
      <w:pPr>
        <w:keepNext w:val="0"/>
        <w:keepLines w:val="0"/>
        <w:pageBreakBefore w:val="0"/>
        <w:widowControl w:val="0"/>
        <w:kinsoku/>
        <w:wordWrap/>
        <w:overflowPunct w:val="0"/>
        <w:topLinePunct w:val="0"/>
        <w:autoSpaceDE w:val="0"/>
        <w:autoSpaceDN w:val="0"/>
        <w:bidi w:val="0"/>
        <w:spacing w:line="256" w:lineRule="auto"/>
        <w:rPr>
          <w:rFonts w:hint="eastAsia" w:ascii="宋体" w:hAnsi="宋体" w:eastAsia="宋体" w:cs="宋体"/>
          <w:sz w:val="24"/>
          <w:szCs w:val="24"/>
        </w:rPr>
      </w:pPr>
    </w:p>
    <w:p w14:paraId="5F4A510C">
      <w:pPr>
        <w:spacing w:line="52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作为参与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（工程名称）项目的投标方，根据国家、自治区相关文件规定，我方在此向招标人承诺：</w:t>
      </w:r>
    </w:p>
    <w:p w14:paraId="2F69A98D">
      <w:pPr>
        <w:spacing w:line="52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1、一旦中标，我方保证按照政府相关部门的规定，在中标后7个工作日内，按照《保障农民工工资支付条例》规定及广西壮族自治区有关规定开设农民工工资专用账户，并按</w:t>
      </w:r>
      <w:r>
        <w:rPr>
          <w:rFonts w:hint="eastAsia" w:ascii="宋体" w:hAnsi="宋体" w:eastAsia="宋体" w:cs="宋体"/>
          <w:color w:val="auto"/>
          <w:highlight w:val="none"/>
          <w:u w:val="single"/>
          <w:lang w:eastAsia="zh-CN"/>
        </w:rPr>
        <w:t>要求</w:t>
      </w:r>
      <w:r>
        <w:rPr>
          <w:rFonts w:hint="eastAsia" w:ascii="宋体" w:hAnsi="宋体" w:eastAsia="宋体" w:cs="宋体"/>
          <w:color w:val="auto"/>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EEDEB">
      <w:pPr>
        <w:spacing w:line="52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DC3A97C">
      <w:pPr>
        <w:spacing w:line="520" w:lineRule="exact"/>
        <w:ind w:left="-2" w:leftChars="-1" w:firstLine="449" w:firstLineChars="214"/>
        <w:jc w:val="left"/>
        <w:rPr>
          <w:rFonts w:hint="eastAsia" w:ascii="宋体" w:hAnsi="宋体" w:eastAsia="宋体" w:cs="宋体"/>
          <w:color w:val="auto"/>
          <w:highlight w:val="none"/>
        </w:rPr>
      </w:pPr>
      <w:r>
        <w:rPr>
          <w:rFonts w:hint="eastAsia" w:ascii="宋体" w:hAnsi="宋体" w:eastAsia="宋体" w:cs="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ADEB0B0">
      <w:pPr>
        <w:spacing w:line="52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58FA943">
      <w:pPr>
        <w:spacing w:line="52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3CBA2733">
      <w:pPr>
        <w:keepNext w:val="0"/>
        <w:keepLines w:val="0"/>
        <w:pageBreakBefore w:val="0"/>
        <w:widowControl w:val="0"/>
        <w:kinsoku/>
        <w:wordWrap/>
        <w:overflowPunct w:val="0"/>
        <w:topLinePunct w:val="0"/>
        <w:autoSpaceDE w:val="0"/>
        <w:autoSpaceDN w:val="0"/>
        <w:bidi w:val="0"/>
        <w:spacing w:before="72" w:line="227" w:lineRule="auto"/>
        <w:ind w:left="3907"/>
        <w:rPr>
          <w:rFonts w:hint="eastAsia" w:ascii="宋体" w:hAnsi="宋体" w:eastAsia="宋体" w:cs="宋体"/>
          <w:spacing w:val="10"/>
          <w:sz w:val="24"/>
          <w:szCs w:val="24"/>
          <w:lang w:eastAsia="zh-CN"/>
        </w:rPr>
      </w:pPr>
    </w:p>
    <w:p w14:paraId="3F630013">
      <w:pPr>
        <w:keepNext w:val="0"/>
        <w:keepLines w:val="0"/>
        <w:pageBreakBefore w:val="0"/>
        <w:widowControl w:val="0"/>
        <w:kinsoku/>
        <w:wordWrap/>
        <w:overflowPunct w:val="0"/>
        <w:topLinePunct w:val="0"/>
        <w:autoSpaceDE w:val="0"/>
        <w:autoSpaceDN w:val="0"/>
        <w:bidi w:val="0"/>
        <w:spacing w:before="72" w:line="227" w:lineRule="auto"/>
        <w:ind w:left="3907"/>
        <w:rPr>
          <w:rFonts w:hint="eastAsia" w:ascii="宋体" w:hAnsi="宋体" w:eastAsia="宋体" w:cs="宋体"/>
          <w:spacing w:val="10"/>
          <w:sz w:val="24"/>
          <w:szCs w:val="24"/>
          <w:lang w:eastAsia="zh-CN"/>
        </w:rPr>
      </w:pPr>
    </w:p>
    <w:p w14:paraId="3BBE3204">
      <w:pPr>
        <w:keepNext w:val="0"/>
        <w:keepLines w:val="0"/>
        <w:pageBreakBefore w:val="0"/>
        <w:widowControl w:val="0"/>
        <w:kinsoku/>
        <w:wordWrap/>
        <w:overflowPunct w:val="0"/>
        <w:topLinePunct w:val="0"/>
        <w:autoSpaceDE w:val="0"/>
        <w:autoSpaceDN w:val="0"/>
        <w:bidi w:val="0"/>
        <w:spacing w:before="72" w:line="227" w:lineRule="auto"/>
        <w:ind w:left="3907"/>
        <w:rPr>
          <w:rFonts w:hint="eastAsia" w:ascii="宋体" w:hAnsi="宋体" w:eastAsia="宋体" w:cs="宋体"/>
          <w:sz w:val="24"/>
          <w:szCs w:val="24"/>
        </w:rPr>
      </w:pPr>
      <w:r>
        <w:rPr>
          <w:rFonts w:hint="eastAsia" w:ascii="宋体" w:hAnsi="宋体" w:eastAsia="宋体" w:cs="宋体"/>
          <w:spacing w:val="10"/>
          <w:sz w:val="24"/>
          <w:szCs w:val="24"/>
          <w:lang w:eastAsia="zh-CN"/>
        </w:rPr>
        <w:t>供应商</w:t>
      </w:r>
      <w:r>
        <w:rPr>
          <w:rFonts w:hint="eastAsia" w:ascii="宋体" w:hAnsi="宋体" w:eastAsia="宋体" w:cs="宋体"/>
          <w:spacing w:val="5"/>
          <w:sz w:val="24"/>
          <w:szCs w:val="24"/>
        </w:rPr>
        <w:t>名称(</w:t>
      </w:r>
      <w:r>
        <w:rPr>
          <w:rFonts w:hint="eastAsia" w:ascii="宋体" w:hAnsi="宋体" w:eastAsia="宋体" w:cs="宋体"/>
          <w:b/>
          <w:bCs/>
          <w:color w:val="auto"/>
          <w:sz w:val="24"/>
          <w:szCs w:val="24"/>
          <w:highlight w:val="none"/>
        </w:rPr>
        <w:t>CA电子签章</w:t>
      </w:r>
      <w:r>
        <w:rPr>
          <w:rFonts w:hint="eastAsia" w:ascii="宋体" w:hAnsi="宋体" w:eastAsia="宋体" w:cs="宋体"/>
          <w:spacing w:val="5"/>
          <w:sz w:val="24"/>
          <w:szCs w:val="24"/>
        </w:rPr>
        <w:t>)：</w:t>
      </w:r>
      <w:r>
        <w:rPr>
          <w:rFonts w:hint="eastAsia" w:ascii="宋体" w:hAnsi="宋体" w:eastAsia="宋体" w:cs="宋体"/>
          <w:sz w:val="24"/>
          <w:szCs w:val="24"/>
          <w:u w:val="single" w:color="auto"/>
        </w:rPr>
        <w:t xml:space="preserve">                           </w:t>
      </w:r>
    </w:p>
    <w:p w14:paraId="09B74563">
      <w:pPr>
        <w:keepNext w:val="0"/>
        <w:keepLines w:val="0"/>
        <w:pageBreakBefore w:val="0"/>
        <w:widowControl w:val="0"/>
        <w:kinsoku/>
        <w:wordWrap/>
        <w:overflowPunct w:val="0"/>
        <w:topLinePunct w:val="0"/>
        <w:autoSpaceDE w:val="0"/>
        <w:autoSpaceDN w:val="0"/>
        <w:bidi w:val="0"/>
        <w:spacing w:before="254" w:line="441" w:lineRule="auto"/>
        <w:ind w:left="5475" w:right="58" w:rightChars="0" w:hanging="1643"/>
        <w:rPr>
          <w:rFonts w:hint="eastAsia" w:ascii="宋体" w:hAnsi="宋体" w:eastAsia="宋体" w:cs="宋体"/>
          <w:sz w:val="24"/>
          <w:szCs w:val="24"/>
          <w:lang w:val="en-US" w:eastAsia="zh-CN"/>
        </w:rPr>
        <w:sectPr>
          <w:footerReference r:id="rId18" w:type="default"/>
          <w:pgSz w:w="11906" w:h="16838"/>
          <w:pgMar w:top="1134" w:right="1304" w:bottom="1134" w:left="1304" w:header="0" w:footer="675" w:gutter="0"/>
          <w:pgNumType w:fmt="decimal"/>
          <w:cols w:space="0" w:num="1"/>
          <w:rtlGutter w:val="0"/>
          <w:docGrid w:linePitch="0" w:charSpace="0"/>
        </w:sectPr>
      </w:pPr>
      <w:r>
        <w:rPr>
          <w:rFonts w:hint="eastAsia" w:ascii="宋体" w:hAnsi="宋体" w:eastAsia="宋体" w:cs="宋体"/>
          <w:spacing w:val="12"/>
          <w:sz w:val="24"/>
          <w:szCs w:val="24"/>
        </w:rPr>
        <w:t>法定</w:t>
      </w:r>
      <w:r>
        <w:rPr>
          <w:rFonts w:hint="eastAsia" w:ascii="宋体" w:hAnsi="宋体" w:eastAsia="宋体" w:cs="宋体"/>
          <w:spacing w:val="9"/>
          <w:sz w:val="24"/>
          <w:szCs w:val="24"/>
        </w:rPr>
        <w:t>代</w:t>
      </w:r>
      <w:r>
        <w:rPr>
          <w:rFonts w:hint="eastAsia" w:ascii="宋体" w:hAnsi="宋体" w:eastAsia="宋体" w:cs="宋体"/>
          <w:spacing w:val="6"/>
          <w:sz w:val="24"/>
          <w:szCs w:val="24"/>
        </w:rPr>
        <w:t>表人或委托代理人 (签字或盖章)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日期：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none" w:color="auto"/>
          <w:lang w:val="en-US" w:eastAsia="zh-CN"/>
        </w:rPr>
        <w:t>日</w:t>
      </w:r>
    </w:p>
    <w:p w14:paraId="0CDCD50A">
      <w:pPr>
        <w:keepNext w:val="0"/>
        <w:keepLines w:val="0"/>
        <w:pageBreakBefore w:val="0"/>
        <w:widowControl w:val="0"/>
        <w:kinsoku/>
        <w:wordWrap/>
        <w:overflowPunct w:val="0"/>
        <w:topLinePunct w:val="0"/>
        <w:autoSpaceDE w:val="0"/>
        <w:autoSpaceDN w:val="0"/>
        <w:bidi w:val="0"/>
        <w:spacing w:line="348" w:lineRule="auto"/>
        <w:rPr>
          <w:rFonts w:hint="default" w:ascii="Arial"/>
          <w:sz w:val="21"/>
          <w:lang w:val="en-US"/>
        </w:rPr>
      </w:pPr>
      <w:r>
        <w:rPr>
          <w:rFonts w:hint="eastAsia" w:eastAsia="宋体"/>
          <w:sz w:val="21"/>
          <w:lang w:eastAsia="zh-CN"/>
        </w:rPr>
        <w:t>桂建质安</w:t>
      </w:r>
      <w:r>
        <w:rPr>
          <w:rFonts w:hint="eastAsia" w:eastAsia="宋体"/>
          <w:sz w:val="21"/>
          <w:lang w:val="en-US" w:eastAsia="zh-CN"/>
        </w:rPr>
        <w:t>[2016]16号文件</w:t>
      </w:r>
    </w:p>
    <w:p w14:paraId="0DA98D70">
      <w:pPr>
        <w:keepNext w:val="0"/>
        <w:keepLines w:val="0"/>
        <w:pageBreakBefore w:val="0"/>
        <w:widowControl w:val="0"/>
        <w:kinsoku/>
        <w:wordWrap/>
        <w:overflowPunct w:val="0"/>
        <w:topLinePunct w:val="0"/>
        <w:autoSpaceDE w:val="0"/>
        <w:autoSpaceDN w:val="0"/>
        <w:bidi w:val="0"/>
        <w:spacing w:line="295" w:lineRule="auto"/>
        <w:rPr>
          <w:rFonts w:ascii="Arial"/>
          <w:sz w:val="21"/>
        </w:rPr>
      </w:pPr>
    </w:p>
    <w:p w14:paraId="3A8BC383">
      <w:pPr>
        <w:keepNext w:val="0"/>
        <w:keepLines w:val="0"/>
        <w:pageBreakBefore w:val="0"/>
        <w:widowControl w:val="0"/>
        <w:kinsoku/>
        <w:wordWrap/>
        <w:overflowPunct w:val="0"/>
        <w:topLinePunct w:val="0"/>
        <w:autoSpaceDE w:val="0"/>
        <w:autoSpaceDN w:val="0"/>
        <w:bidi w:val="0"/>
        <w:spacing w:line="256" w:lineRule="exact"/>
        <w:ind w:firstLine="2397"/>
        <w:textAlignment w:val="center"/>
        <w:rPr>
          <w:rFonts w:hint="eastAsia" w:ascii="宋体" w:hAnsi="宋体" w:eastAsia="宋体" w:cs="宋体"/>
          <w:sz w:val="24"/>
          <w:szCs w:val="24"/>
        </w:rPr>
      </w:pPr>
      <w:r>
        <w:rPr>
          <w:rFonts w:hint="eastAsia" w:ascii="宋体" w:hAnsi="宋体" w:eastAsia="宋体" w:cs="宋体"/>
          <w:sz w:val="24"/>
          <w:szCs w:val="24"/>
        </w:rPr>
        <w:t>广西壮族自治区建设工程安全文明施工措施项目清单内容</w:t>
      </w:r>
    </w:p>
    <w:p w14:paraId="493EEA08">
      <w:pPr>
        <w:keepNext w:val="0"/>
        <w:keepLines w:val="0"/>
        <w:pageBreakBefore w:val="0"/>
        <w:widowControl w:val="0"/>
        <w:kinsoku/>
        <w:wordWrap/>
        <w:overflowPunct w:val="0"/>
        <w:topLinePunct w:val="0"/>
        <w:autoSpaceDE w:val="0"/>
        <w:autoSpaceDN w:val="0"/>
        <w:bidi w:val="0"/>
        <w:spacing w:line="256" w:lineRule="exact"/>
        <w:ind w:firstLine="2397"/>
        <w:textAlignment w:val="center"/>
        <w:rPr>
          <w:rFonts w:hint="eastAsia" w:ascii="宋体" w:hAnsi="宋体" w:eastAsia="宋体" w:cs="宋体"/>
          <w:sz w:val="24"/>
          <w:szCs w:val="24"/>
        </w:rPr>
      </w:pP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DEC1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7AC78854">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类别</w:t>
            </w:r>
          </w:p>
        </w:tc>
        <w:tc>
          <w:tcPr>
            <w:tcW w:w="2070" w:type="dxa"/>
            <w:gridSpan w:val="2"/>
            <w:tcBorders>
              <w:top w:val="single" w:color="auto" w:sz="12" w:space="0"/>
            </w:tcBorders>
            <w:noWrap w:val="0"/>
            <w:vAlign w:val="center"/>
          </w:tcPr>
          <w:p w14:paraId="053F70CB">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6645" w:type="dxa"/>
            <w:tcBorders>
              <w:top w:val="single" w:color="auto" w:sz="12" w:space="0"/>
            </w:tcBorders>
            <w:noWrap w:val="0"/>
            <w:vAlign w:val="center"/>
          </w:tcPr>
          <w:p w14:paraId="265D4ACE">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主要内容和要求</w:t>
            </w:r>
          </w:p>
        </w:tc>
      </w:tr>
      <w:tr w14:paraId="2152D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FE23714">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文明</w:t>
            </w:r>
          </w:p>
          <w:p w14:paraId="71FC2F36">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施工</w:t>
            </w:r>
          </w:p>
          <w:p w14:paraId="0E3FB767">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与</w:t>
            </w:r>
          </w:p>
          <w:p w14:paraId="443FA951">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环境</w:t>
            </w:r>
          </w:p>
          <w:p w14:paraId="0957C769">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保护</w:t>
            </w:r>
          </w:p>
        </w:tc>
        <w:tc>
          <w:tcPr>
            <w:tcW w:w="2070" w:type="dxa"/>
            <w:gridSpan w:val="2"/>
            <w:noWrap w:val="0"/>
            <w:vAlign w:val="center"/>
          </w:tcPr>
          <w:p w14:paraId="5B48CF46">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安全警示</w:t>
            </w:r>
          </w:p>
          <w:p w14:paraId="18874DDA">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标志牌</w:t>
            </w:r>
          </w:p>
        </w:tc>
        <w:tc>
          <w:tcPr>
            <w:tcW w:w="6645" w:type="dxa"/>
            <w:noWrap w:val="0"/>
            <w:vAlign w:val="center"/>
          </w:tcPr>
          <w:p w14:paraId="248B90C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在易发伤亡事故（或危险）处设置明显的、符合国家标准要求的安全警示标志牌。</w:t>
            </w:r>
          </w:p>
        </w:tc>
      </w:tr>
      <w:tr w14:paraId="5AED8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B3CCD05">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7738A718">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现场围挡</w:t>
            </w:r>
          </w:p>
        </w:tc>
        <w:tc>
          <w:tcPr>
            <w:tcW w:w="6645" w:type="dxa"/>
            <w:noWrap w:val="0"/>
            <w:vAlign w:val="center"/>
          </w:tcPr>
          <w:p w14:paraId="52B45765">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现场采用封闭围挡，高度不小于1.8m。</w:t>
            </w:r>
          </w:p>
          <w:p w14:paraId="0382EA41">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围挡材料可用彩色、定型钢板，砌块等墙体。</w:t>
            </w:r>
          </w:p>
        </w:tc>
      </w:tr>
      <w:tr w14:paraId="7B4D7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57BF99">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63021949">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七牌二图</w:t>
            </w:r>
          </w:p>
        </w:tc>
        <w:tc>
          <w:tcPr>
            <w:tcW w:w="6645" w:type="dxa"/>
            <w:noWrap w:val="0"/>
            <w:vAlign w:val="center"/>
          </w:tcPr>
          <w:p w14:paraId="6CCD33D0">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在进门处悬挂工程概况、现场出入制度、管理人员名单及监督电话、安全生产规定、文明施工、消防保卫、节能公示等七牌以及施工现场总平面图、工程效果图。</w:t>
            </w:r>
          </w:p>
        </w:tc>
      </w:tr>
      <w:tr w14:paraId="12CA7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6E86B00F">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3084D2F1">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企业标志</w:t>
            </w:r>
          </w:p>
        </w:tc>
        <w:tc>
          <w:tcPr>
            <w:tcW w:w="6645" w:type="dxa"/>
            <w:noWrap w:val="0"/>
            <w:vAlign w:val="center"/>
          </w:tcPr>
          <w:p w14:paraId="52FBCCA4">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现场出入的大门应设有本企业标志或企业标识。</w:t>
            </w:r>
          </w:p>
        </w:tc>
      </w:tr>
      <w:tr w14:paraId="0EB80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569368B">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3F528E29">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场容场貌</w:t>
            </w:r>
          </w:p>
        </w:tc>
        <w:tc>
          <w:tcPr>
            <w:tcW w:w="6645" w:type="dxa"/>
            <w:noWrap w:val="0"/>
            <w:vAlign w:val="center"/>
          </w:tcPr>
          <w:p w14:paraId="5E909177">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道路畅通。</w:t>
            </w:r>
          </w:p>
          <w:p w14:paraId="18F416B7">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排水设施齐全畅通。</w:t>
            </w:r>
          </w:p>
          <w:p w14:paraId="6C5CF8ED">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3. 工地地面硬化处理（办公区、生活区、现场道路、材料堆放、混凝土搅拌、砂浆搅拌、钢筋加工等场地和外脚手架基础等）。</w:t>
            </w:r>
          </w:p>
        </w:tc>
      </w:tr>
      <w:tr w14:paraId="5BF46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D96278F">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691BB222">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材料堆放</w:t>
            </w:r>
          </w:p>
        </w:tc>
        <w:tc>
          <w:tcPr>
            <w:tcW w:w="6645" w:type="dxa"/>
            <w:noWrap w:val="0"/>
            <w:vAlign w:val="center"/>
          </w:tcPr>
          <w:p w14:paraId="259A8816">
            <w:pPr>
              <w:pStyle w:val="37"/>
              <w:numPr>
                <w:ilvl w:val="0"/>
                <w:numId w:val="8"/>
              </w:numPr>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材料、构件、料具等堆放时，应有名称、品种、规格等标牌。</w:t>
            </w:r>
          </w:p>
          <w:p w14:paraId="507D8223">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水泥和其它易飞扬细颗粒建筑材料应封闭存放或采取覆盖等措施。</w:t>
            </w:r>
          </w:p>
          <w:p w14:paraId="0B49CBD6">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3. 易燃、易爆和有毒有害物品分类存放。</w:t>
            </w:r>
          </w:p>
        </w:tc>
      </w:tr>
      <w:tr w14:paraId="1111E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A462DB8">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0D9EA78E">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现场防火</w:t>
            </w:r>
          </w:p>
        </w:tc>
        <w:tc>
          <w:tcPr>
            <w:tcW w:w="6645" w:type="dxa"/>
            <w:noWrap w:val="0"/>
            <w:vAlign w:val="center"/>
          </w:tcPr>
          <w:p w14:paraId="6DE23A05">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消防器材配置合理，符合消防要求。</w:t>
            </w:r>
          </w:p>
        </w:tc>
      </w:tr>
      <w:tr w14:paraId="58061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E9E7811">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2CB79CF1">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垃圾清运</w:t>
            </w:r>
          </w:p>
        </w:tc>
        <w:tc>
          <w:tcPr>
            <w:tcW w:w="6645" w:type="dxa"/>
            <w:noWrap w:val="0"/>
            <w:vAlign w:val="center"/>
          </w:tcPr>
          <w:p w14:paraId="62CD16EE">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施工现场应设置密闭式垃圾站，施工垃圾、生活垃圾应分类存放。</w:t>
            </w:r>
          </w:p>
          <w:p w14:paraId="15EB8672">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施工垃圾必须采用相应容器或管道运输。</w:t>
            </w:r>
          </w:p>
        </w:tc>
      </w:tr>
      <w:tr w14:paraId="6FF7B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EC6FCA">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1B1F204C">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宣传栏、环保及不扰民措施</w:t>
            </w:r>
          </w:p>
        </w:tc>
        <w:tc>
          <w:tcPr>
            <w:tcW w:w="6645" w:type="dxa"/>
            <w:noWrap w:val="0"/>
            <w:vAlign w:val="center"/>
          </w:tcPr>
          <w:p w14:paraId="6E8BFF7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宣传栏、安全宣传标语等，洗车（防止污染市区道路）、粉尘、噪声控制和排污（污水、废气）措施等。</w:t>
            </w:r>
          </w:p>
        </w:tc>
      </w:tr>
      <w:tr w14:paraId="7B2F0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4D702E4">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临时设施</w:t>
            </w:r>
          </w:p>
        </w:tc>
        <w:tc>
          <w:tcPr>
            <w:tcW w:w="2070" w:type="dxa"/>
            <w:gridSpan w:val="2"/>
            <w:noWrap w:val="0"/>
            <w:vAlign w:val="center"/>
          </w:tcPr>
          <w:p w14:paraId="7ED365BD">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现场办公</w:t>
            </w:r>
          </w:p>
          <w:p w14:paraId="1DDBF218">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生活设施</w:t>
            </w:r>
          </w:p>
        </w:tc>
        <w:tc>
          <w:tcPr>
            <w:tcW w:w="6645" w:type="dxa"/>
            <w:noWrap w:val="0"/>
            <w:vAlign w:val="center"/>
          </w:tcPr>
          <w:p w14:paraId="78A06A98">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施工现场办公、生活区与作业区分开设置，保持安全距离。</w:t>
            </w:r>
          </w:p>
          <w:p w14:paraId="0063507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工地办公室、现场宿舍、食堂、厕所、饮水、沐浴、休息场所等符合卫生、消防安全要求。</w:t>
            </w:r>
          </w:p>
        </w:tc>
      </w:tr>
      <w:tr w14:paraId="13859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05E1583">
            <w:pPr>
              <w:pStyle w:val="37"/>
              <w:spacing w:line="300" w:lineRule="exact"/>
              <w:jc w:val="center"/>
              <w:rPr>
                <w:rFonts w:hint="eastAsia" w:ascii="宋体" w:hAnsi="宋体" w:eastAsia="宋体" w:cs="宋体"/>
                <w:color w:val="auto"/>
                <w:highlight w:val="none"/>
              </w:rPr>
            </w:pPr>
          </w:p>
        </w:tc>
        <w:tc>
          <w:tcPr>
            <w:tcW w:w="525" w:type="dxa"/>
            <w:vMerge w:val="restart"/>
            <w:noWrap w:val="0"/>
            <w:vAlign w:val="center"/>
          </w:tcPr>
          <w:p w14:paraId="25234884">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施工现场</w:t>
            </w:r>
          </w:p>
          <w:p w14:paraId="3125DD40">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临时用电</w:t>
            </w:r>
          </w:p>
        </w:tc>
        <w:tc>
          <w:tcPr>
            <w:tcW w:w="1545" w:type="dxa"/>
            <w:noWrap w:val="0"/>
            <w:vAlign w:val="center"/>
          </w:tcPr>
          <w:p w14:paraId="04C56145">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配电线路</w:t>
            </w:r>
          </w:p>
        </w:tc>
        <w:tc>
          <w:tcPr>
            <w:tcW w:w="6645" w:type="dxa"/>
            <w:noWrap w:val="0"/>
            <w:vAlign w:val="center"/>
          </w:tcPr>
          <w:p w14:paraId="3D99A6D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按照TN-S系统要求配备五芯电缆、四芯电缆和三芯电缆。</w:t>
            </w:r>
          </w:p>
          <w:p w14:paraId="01837A0A">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按要求架设临时用电线路的电杆、横担、瓷夹、瓷瓶等，或电缆埋地的地沟。</w:t>
            </w:r>
          </w:p>
          <w:p w14:paraId="5D0AB977">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3. 对靠近施工现场的外电线路，设置木质、塑料等绝缘体的防护设施。</w:t>
            </w:r>
          </w:p>
        </w:tc>
      </w:tr>
      <w:tr w14:paraId="17CA4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D94D7F8">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60D46E8D">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7B4CA7D2">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配电箱</w:t>
            </w:r>
          </w:p>
          <w:p w14:paraId="13B5CC53">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开关箱</w:t>
            </w:r>
          </w:p>
        </w:tc>
        <w:tc>
          <w:tcPr>
            <w:tcW w:w="6645" w:type="dxa"/>
            <w:noWrap w:val="0"/>
            <w:vAlign w:val="center"/>
          </w:tcPr>
          <w:p w14:paraId="33FE6B0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按三级配电要求，配备总配电箱、分配电箱、开关箱三类（铁质）标准电箱，开关箱应符合“一机、一箱、一闸、一漏”，三类电箱中的各类电器应是合格品。</w:t>
            </w:r>
          </w:p>
          <w:p w14:paraId="4D84CBB3">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按两级保护的要求，选取符合容量要求和质量合格的总配电箱和开关箱中的漏电保护器。</w:t>
            </w:r>
          </w:p>
          <w:p w14:paraId="7FEF46BA">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3. 对大型、落地式分配电箱、开关箱设置防护棚和通透式围挡。</w:t>
            </w:r>
          </w:p>
        </w:tc>
      </w:tr>
      <w:tr w14:paraId="59FA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30703BF">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7762B40E">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4C791132">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接地装置</w:t>
            </w:r>
          </w:p>
        </w:tc>
        <w:tc>
          <w:tcPr>
            <w:tcW w:w="6645" w:type="dxa"/>
            <w:noWrap w:val="0"/>
            <w:vAlign w:val="center"/>
          </w:tcPr>
          <w:p w14:paraId="7CF1DBA5">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施工现场应设置不少于三处的重复接地装置。</w:t>
            </w:r>
          </w:p>
        </w:tc>
      </w:tr>
      <w:tr w14:paraId="3755B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3C4E16C5">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4375DA1D">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5D265175">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现场变配电装置</w:t>
            </w:r>
          </w:p>
        </w:tc>
        <w:tc>
          <w:tcPr>
            <w:tcW w:w="6645" w:type="dxa"/>
            <w:noWrap w:val="0"/>
            <w:vAlign w:val="center"/>
          </w:tcPr>
          <w:p w14:paraId="23E4C421">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总配电房建筑材料必须达到消防防火要求，室内做硬地坪、电缆沟。</w:t>
            </w:r>
          </w:p>
        </w:tc>
      </w:tr>
      <w:tr w14:paraId="211DC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787BA7A4">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类别</w:t>
            </w:r>
          </w:p>
        </w:tc>
        <w:tc>
          <w:tcPr>
            <w:tcW w:w="2070" w:type="dxa"/>
            <w:gridSpan w:val="2"/>
            <w:noWrap w:val="0"/>
            <w:vAlign w:val="center"/>
          </w:tcPr>
          <w:p w14:paraId="4C7EBCF2">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6645" w:type="dxa"/>
            <w:noWrap w:val="0"/>
            <w:vAlign w:val="center"/>
          </w:tcPr>
          <w:p w14:paraId="59FA3422">
            <w:pPr>
              <w:pStyle w:val="37"/>
              <w:spacing w:line="3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主要内容和要求</w:t>
            </w:r>
          </w:p>
        </w:tc>
      </w:tr>
      <w:tr w14:paraId="693A1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EB35CC2">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安全施工</w:t>
            </w:r>
          </w:p>
        </w:tc>
        <w:tc>
          <w:tcPr>
            <w:tcW w:w="525" w:type="dxa"/>
            <w:vMerge w:val="restart"/>
            <w:noWrap w:val="0"/>
            <w:vAlign w:val="center"/>
          </w:tcPr>
          <w:p w14:paraId="6CE77393">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高处作业防护</w:t>
            </w:r>
          </w:p>
        </w:tc>
        <w:tc>
          <w:tcPr>
            <w:tcW w:w="1545" w:type="dxa"/>
            <w:noWrap w:val="0"/>
            <w:vAlign w:val="center"/>
          </w:tcPr>
          <w:p w14:paraId="70EA52EA">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楼层、屋面、阳台等临边</w:t>
            </w:r>
          </w:p>
        </w:tc>
        <w:tc>
          <w:tcPr>
            <w:tcW w:w="6645" w:type="dxa"/>
            <w:noWrap w:val="0"/>
            <w:vAlign w:val="center"/>
          </w:tcPr>
          <w:p w14:paraId="18396A76">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设两道防护栏杆和18cm高的踢脚板，用密目式安全立网全封闭。</w:t>
            </w:r>
          </w:p>
        </w:tc>
      </w:tr>
      <w:tr w14:paraId="19A2D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40A7DCF">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29876E17">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68F2FD7C">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通道口</w:t>
            </w:r>
          </w:p>
        </w:tc>
        <w:tc>
          <w:tcPr>
            <w:tcW w:w="6645" w:type="dxa"/>
            <w:noWrap w:val="0"/>
            <w:vAlign w:val="center"/>
          </w:tcPr>
          <w:p w14:paraId="6D46533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设防护棚，防护棚应为不小于5cm厚的木板或两道相距50cm的竹笆。两侧应沿栏杆架用密目式安全网封闭。</w:t>
            </w:r>
          </w:p>
        </w:tc>
      </w:tr>
      <w:tr w14:paraId="26659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DEC3EC">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76937D78">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6FA5F38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预留洞口</w:t>
            </w:r>
          </w:p>
        </w:tc>
        <w:tc>
          <w:tcPr>
            <w:tcW w:w="6645" w:type="dxa"/>
            <w:noWrap w:val="0"/>
            <w:vAlign w:val="center"/>
          </w:tcPr>
          <w:p w14:paraId="3CABAF6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用硬质材料全封闭，短边超过1.5m长的洞口，除封闭外四周还应设有防护栏杆。</w:t>
            </w:r>
          </w:p>
        </w:tc>
      </w:tr>
      <w:tr w14:paraId="0D425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1A6C786C">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2DD97E15">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34D52425">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电梯井口</w:t>
            </w:r>
          </w:p>
        </w:tc>
        <w:tc>
          <w:tcPr>
            <w:tcW w:w="6645" w:type="dxa"/>
            <w:noWrap w:val="0"/>
            <w:vAlign w:val="center"/>
          </w:tcPr>
          <w:p w14:paraId="4856FF3B">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设置定型化、工具化的防护门，在电梯井内每隔2层（不大于10m）设置一道水平防护。</w:t>
            </w:r>
          </w:p>
        </w:tc>
      </w:tr>
      <w:tr w14:paraId="158BA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9F182EA">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6C9190A3">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54B7A083">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楼梯边</w:t>
            </w:r>
          </w:p>
        </w:tc>
        <w:tc>
          <w:tcPr>
            <w:tcW w:w="6645" w:type="dxa"/>
            <w:noWrap w:val="0"/>
            <w:vAlign w:val="center"/>
          </w:tcPr>
          <w:p w14:paraId="13E380E2">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设1.2m高的定型化、工具化的防护栏，18cm高的踢脚板。</w:t>
            </w:r>
          </w:p>
        </w:tc>
      </w:tr>
      <w:tr w14:paraId="43BD2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A5C3A8D">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42ED5079">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53ECF402">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垂直方向交叉作业</w:t>
            </w:r>
          </w:p>
        </w:tc>
        <w:tc>
          <w:tcPr>
            <w:tcW w:w="6645" w:type="dxa"/>
            <w:noWrap w:val="0"/>
            <w:vAlign w:val="center"/>
          </w:tcPr>
          <w:p w14:paraId="61A12C17">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设置防护隔离棚或其它设施。</w:t>
            </w:r>
          </w:p>
        </w:tc>
      </w:tr>
      <w:tr w14:paraId="24BE5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360D92F">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16A9549C">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551FB44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高处作业</w:t>
            </w:r>
          </w:p>
        </w:tc>
        <w:tc>
          <w:tcPr>
            <w:tcW w:w="6645" w:type="dxa"/>
            <w:noWrap w:val="0"/>
            <w:vAlign w:val="center"/>
          </w:tcPr>
          <w:p w14:paraId="711D4A0C">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有悬挂安全带的悬索或其它设施，有操作平台，有上下的梯子或其它形式的通道。</w:t>
            </w:r>
          </w:p>
        </w:tc>
      </w:tr>
      <w:tr w14:paraId="7AC12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8782C85">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6ED499E2">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1CF797B7">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基坑、物料平台</w:t>
            </w:r>
          </w:p>
        </w:tc>
        <w:tc>
          <w:tcPr>
            <w:tcW w:w="6645" w:type="dxa"/>
            <w:noWrap w:val="0"/>
            <w:vAlign w:val="center"/>
          </w:tcPr>
          <w:p w14:paraId="1A2BD61A">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设1.2m高标准化的防护栏，用密目式安全立网封闭，悬挂标识。</w:t>
            </w:r>
          </w:p>
        </w:tc>
      </w:tr>
      <w:tr w14:paraId="2A58A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4125553">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1D8756A3">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安全防护用品</w:t>
            </w:r>
          </w:p>
        </w:tc>
        <w:tc>
          <w:tcPr>
            <w:tcW w:w="6645" w:type="dxa"/>
            <w:noWrap w:val="0"/>
            <w:vAlign w:val="center"/>
          </w:tcPr>
          <w:p w14:paraId="56F16F4C">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安全帽、安全带、特种作业人员（电工、焊工、架子工等）防护服装、用品等。</w:t>
            </w:r>
          </w:p>
        </w:tc>
      </w:tr>
      <w:tr w14:paraId="43F19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367D169E">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其它</w:t>
            </w:r>
          </w:p>
        </w:tc>
        <w:tc>
          <w:tcPr>
            <w:tcW w:w="525" w:type="dxa"/>
            <w:vMerge w:val="restart"/>
            <w:noWrap w:val="0"/>
            <w:vAlign w:val="center"/>
          </w:tcPr>
          <w:p w14:paraId="41EAE63D">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机械设备防护</w:t>
            </w:r>
          </w:p>
        </w:tc>
        <w:tc>
          <w:tcPr>
            <w:tcW w:w="1545" w:type="dxa"/>
            <w:noWrap w:val="0"/>
            <w:vAlign w:val="center"/>
          </w:tcPr>
          <w:p w14:paraId="26B409B5">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中小型机械</w:t>
            </w:r>
          </w:p>
        </w:tc>
        <w:tc>
          <w:tcPr>
            <w:tcW w:w="6645" w:type="dxa"/>
            <w:noWrap w:val="0"/>
            <w:vAlign w:val="center"/>
          </w:tcPr>
          <w:p w14:paraId="178B9B05">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设防护棚（同通道口防护并有防雨措施）。</w:t>
            </w:r>
          </w:p>
        </w:tc>
      </w:tr>
      <w:tr w14:paraId="4DE16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667C51C">
            <w:pPr>
              <w:pStyle w:val="37"/>
              <w:spacing w:line="300" w:lineRule="exact"/>
              <w:jc w:val="center"/>
              <w:rPr>
                <w:rFonts w:hint="eastAsia" w:ascii="宋体" w:hAnsi="宋体" w:eastAsia="宋体" w:cs="宋体"/>
                <w:color w:val="auto"/>
                <w:highlight w:val="none"/>
              </w:rPr>
            </w:pPr>
          </w:p>
        </w:tc>
        <w:tc>
          <w:tcPr>
            <w:tcW w:w="525" w:type="dxa"/>
            <w:vMerge w:val="continue"/>
            <w:noWrap w:val="0"/>
            <w:vAlign w:val="center"/>
          </w:tcPr>
          <w:p w14:paraId="358F4A29">
            <w:pPr>
              <w:pStyle w:val="37"/>
              <w:spacing w:line="300" w:lineRule="exact"/>
              <w:jc w:val="center"/>
              <w:rPr>
                <w:rFonts w:hint="eastAsia" w:ascii="宋体" w:hAnsi="宋体" w:eastAsia="宋体" w:cs="宋体"/>
                <w:color w:val="auto"/>
                <w:highlight w:val="none"/>
              </w:rPr>
            </w:pPr>
          </w:p>
        </w:tc>
        <w:tc>
          <w:tcPr>
            <w:tcW w:w="1545" w:type="dxa"/>
            <w:noWrap w:val="0"/>
            <w:vAlign w:val="center"/>
          </w:tcPr>
          <w:p w14:paraId="74C02FAC">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垂直运输设备</w:t>
            </w:r>
          </w:p>
        </w:tc>
        <w:tc>
          <w:tcPr>
            <w:tcW w:w="6645" w:type="dxa"/>
            <w:noWrap w:val="0"/>
            <w:vAlign w:val="center"/>
          </w:tcPr>
          <w:p w14:paraId="042217FF">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1. 垂直运输设备检测、检验、日常维护、保养等。</w:t>
            </w:r>
          </w:p>
          <w:p w14:paraId="4D002790">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2. 物料提升机、施工电梯等物料平台搭设、外侧用密目式安全立网全封闭，有安全通道、安全防护门、防护棚等。</w:t>
            </w:r>
          </w:p>
        </w:tc>
      </w:tr>
      <w:tr w14:paraId="5E657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6BCFD58">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44A35CBB">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专家论证审查</w:t>
            </w:r>
          </w:p>
        </w:tc>
        <w:tc>
          <w:tcPr>
            <w:tcW w:w="6645" w:type="dxa"/>
            <w:noWrap w:val="0"/>
            <w:vAlign w:val="center"/>
          </w:tcPr>
          <w:p w14:paraId="4CD63FEE">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超过一定规模的危险性较大分部分项工程专家论证审查。</w:t>
            </w:r>
          </w:p>
        </w:tc>
      </w:tr>
      <w:tr w14:paraId="7BE84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6BD7D8C4">
            <w:pPr>
              <w:pStyle w:val="37"/>
              <w:spacing w:line="300" w:lineRule="exact"/>
              <w:jc w:val="center"/>
              <w:rPr>
                <w:rFonts w:hint="eastAsia" w:ascii="宋体" w:hAnsi="宋体" w:eastAsia="宋体" w:cs="宋体"/>
                <w:color w:val="auto"/>
                <w:highlight w:val="none"/>
              </w:rPr>
            </w:pPr>
          </w:p>
        </w:tc>
        <w:tc>
          <w:tcPr>
            <w:tcW w:w="2070" w:type="dxa"/>
            <w:gridSpan w:val="2"/>
            <w:noWrap w:val="0"/>
            <w:vAlign w:val="center"/>
          </w:tcPr>
          <w:p w14:paraId="2753B22F">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应急救援预案</w:t>
            </w:r>
          </w:p>
        </w:tc>
        <w:tc>
          <w:tcPr>
            <w:tcW w:w="6645" w:type="dxa"/>
            <w:noWrap w:val="0"/>
            <w:vAlign w:val="center"/>
          </w:tcPr>
          <w:p w14:paraId="2328259B">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救援器材准备及演练等。</w:t>
            </w:r>
          </w:p>
        </w:tc>
      </w:tr>
      <w:tr w14:paraId="6081C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50694EC2">
            <w:pPr>
              <w:pStyle w:val="37"/>
              <w:spacing w:line="300" w:lineRule="exact"/>
              <w:jc w:val="center"/>
              <w:rPr>
                <w:rFonts w:hint="eastAsia" w:ascii="宋体" w:hAnsi="宋体" w:eastAsia="宋体" w:cs="宋体"/>
                <w:color w:val="auto"/>
                <w:highlight w:val="none"/>
              </w:rPr>
            </w:pPr>
          </w:p>
        </w:tc>
        <w:tc>
          <w:tcPr>
            <w:tcW w:w="2070" w:type="dxa"/>
            <w:gridSpan w:val="2"/>
            <w:tcBorders>
              <w:bottom w:val="single" w:color="auto" w:sz="12" w:space="0"/>
            </w:tcBorders>
            <w:noWrap w:val="0"/>
            <w:vAlign w:val="center"/>
          </w:tcPr>
          <w:p w14:paraId="6DB0F877">
            <w:pPr>
              <w:pStyle w:val="37"/>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非正常情况施工</w:t>
            </w:r>
          </w:p>
        </w:tc>
        <w:tc>
          <w:tcPr>
            <w:tcW w:w="6645" w:type="dxa"/>
            <w:tcBorders>
              <w:bottom w:val="single" w:color="auto" w:sz="12" w:space="0"/>
            </w:tcBorders>
            <w:noWrap w:val="0"/>
            <w:vAlign w:val="center"/>
          </w:tcPr>
          <w:p w14:paraId="03AC6F6E">
            <w:pPr>
              <w:pStyle w:val="37"/>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其它特殊情况下的防护费用，如：城市主干道、人流密集、河边等处施工及文物、古建筑、古树保护等。</w:t>
            </w:r>
          </w:p>
        </w:tc>
      </w:tr>
    </w:tbl>
    <w:p w14:paraId="07F41B60">
      <w:pPr>
        <w:keepNext w:val="0"/>
        <w:keepLines w:val="0"/>
        <w:pageBreakBefore w:val="0"/>
        <w:widowControl w:val="0"/>
        <w:kinsoku/>
        <w:wordWrap/>
        <w:overflowPunct w:val="0"/>
        <w:topLinePunct w:val="0"/>
        <w:autoSpaceDE w:val="0"/>
        <w:autoSpaceDN w:val="0"/>
        <w:bidi w:val="0"/>
        <w:spacing w:line="399" w:lineRule="auto"/>
        <w:rPr>
          <w:rFonts w:ascii="Arial"/>
          <w:sz w:val="21"/>
        </w:rPr>
      </w:pPr>
    </w:p>
    <w:p w14:paraId="673859D1">
      <w:pPr>
        <w:keepNext w:val="0"/>
        <w:keepLines w:val="0"/>
        <w:pageBreakBefore w:val="0"/>
        <w:widowControl w:val="0"/>
        <w:kinsoku/>
        <w:wordWrap/>
        <w:overflowPunct w:val="0"/>
        <w:topLinePunct w:val="0"/>
        <w:autoSpaceDE w:val="0"/>
        <w:autoSpaceDN w:val="0"/>
        <w:bidi w:val="0"/>
        <w:spacing w:before="62" w:line="295" w:lineRule="auto"/>
        <w:ind w:left="101" w:right="51"/>
        <w:rPr>
          <w:rFonts w:ascii="宋体" w:hAnsi="宋体" w:eastAsia="宋体" w:cs="宋体"/>
          <w:spacing w:val="18"/>
          <w:sz w:val="19"/>
          <w:szCs w:val="19"/>
        </w:rPr>
      </w:pPr>
      <w:r>
        <w:rPr>
          <w:rFonts w:ascii="宋体" w:hAnsi="宋体" w:eastAsia="宋体" w:cs="宋体"/>
          <w:spacing w:val="15"/>
          <w:sz w:val="19"/>
          <w:szCs w:val="19"/>
        </w:rPr>
        <w:t>注：本表所列建设工程安全文明施工费，是依据现行法律法规及标准、规范确定的。如法律法规和标准</w:t>
      </w:r>
      <w:r>
        <w:rPr>
          <w:rFonts w:ascii="宋体" w:hAnsi="宋体" w:eastAsia="宋体" w:cs="宋体"/>
          <w:spacing w:val="11"/>
          <w:sz w:val="19"/>
          <w:szCs w:val="19"/>
        </w:rPr>
        <w:t>、</w:t>
      </w:r>
      <w:r>
        <w:rPr>
          <w:rFonts w:ascii="宋体" w:hAnsi="宋体" w:eastAsia="宋体" w:cs="宋体"/>
          <w:sz w:val="19"/>
          <w:szCs w:val="19"/>
        </w:rPr>
        <w:t xml:space="preserve"> </w:t>
      </w:r>
      <w:r>
        <w:rPr>
          <w:rFonts w:ascii="宋体" w:hAnsi="宋体" w:eastAsia="宋体" w:cs="宋体"/>
          <w:spacing w:val="23"/>
          <w:sz w:val="19"/>
          <w:szCs w:val="19"/>
        </w:rPr>
        <w:t>规</w:t>
      </w:r>
      <w:r>
        <w:rPr>
          <w:rFonts w:ascii="宋体" w:hAnsi="宋体" w:eastAsia="宋体" w:cs="宋体"/>
          <w:spacing w:val="18"/>
          <w:sz w:val="19"/>
          <w:szCs w:val="19"/>
        </w:rPr>
        <w:t>范修订，本表所列项目应按照修订后的法律法规和标准规范进行调整。</w:t>
      </w:r>
    </w:p>
    <w:p w14:paraId="250227DD">
      <w:pPr>
        <w:rPr>
          <w:rFonts w:ascii="宋体" w:hAnsi="宋体" w:eastAsia="宋体" w:cs="宋体"/>
          <w:spacing w:val="18"/>
          <w:sz w:val="19"/>
          <w:szCs w:val="19"/>
        </w:rPr>
      </w:pPr>
      <w:r>
        <w:rPr>
          <w:rFonts w:ascii="宋体" w:hAnsi="宋体" w:eastAsia="宋体" w:cs="宋体"/>
          <w:spacing w:val="18"/>
          <w:sz w:val="19"/>
          <w:szCs w:val="19"/>
        </w:rPr>
        <w:br w:type="page"/>
      </w:r>
    </w:p>
    <w:p w14:paraId="51366FBD">
      <w:pPr>
        <w:keepNext w:val="0"/>
        <w:keepLines w:val="0"/>
        <w:pageBreakBefore w:val="0"/>
        <w:widowControl w:val="0"/>
        <w:kinsoku/>
        <w:wordWrap/>
        <w:overflowPunct w:val="0"/>
        <w:topLinePunct w:val="0"/>
        <w:autoSpaceDE w:val="0"/>
        <w:autoSpaceDN w:val="0"/>
        <w:bidi w:val="0"/>
        <w:spacing w:before="62" w:line="295" w:lineRule="auto"/>
        <w:ind w:left="101" w:right="51"/>
        <w:rPr>
          <w:rFonts w:ascii="宋体" w:hAnsi="宋体" w:eastAsia="宋体" w:cs="宋体"/>
          <w:spacing w:val="18"/>
          <w:sz w:val="19"/>
          <w:szCs w:val="19"/>
        </w:rPr>
      </w:pPr>
      <w:bookmarkStart w:id="236" w:name="_Toc15246"/>
      <w:r>
        <w:rPr>
          <w:rFonts w:hint="eastAsia" w:ascii="宋体" w:hAnsi="宋体" w:eastAsia="宋体" w:cs="宋体"/>
          <w:b/>
          <w:bCs/>
          <w:snapToGrid w:val="0"/>
          <w:color w:val="auto"/>
          <w:kern w:val="0"/>
          <w:sz w:val="28"/>
          <w:szCs w:val="28"/>
          <w:highlight w:val="none"/>
          <w:lang w:val="en-US" w:eastAsia="zh-CN"/>
        </w:rPr>
        <w:t>(6)</w:t>
      </w:r>
      <w:r>
        <w:rPr>
          <w:rFonts w:hint="eastAsia" w:ascii="宋体" w:hAnsi="宋体" w:eastAsia="宋体" w:cs="宋体"/>
          <w:b/>
          <w:bCs/>
          <w:sz w:val="28"/>
          <w:szCs w:val="28"/>
          <w:highlight w:val="none"/>
        </w:rPr>
        <w:t>供应商特定资格要求的资格证明材料</w:t>
      </w:r>
      <w:r>
        <w:rPr>
          <w:rFonts w:hint="eastAsia" w:ascii="宋体" w:hAnsi="宋体" w:eastAsia="宋体" w:cs="宋体"/>
          <w:b/>
          <w:bCs/>
          <w:sz w:val="28"/>
          <w:szCs w:val="28"/>
          <w:highlight w:val="none"/>
          <w:lang w:eastAsia="zh-CN"/>
        </w:rPr>
        <w:t>：</w:t>
      </w:r>
      <w:bookmarkEnd w:id="236"/>
      <w:r>
        <w:rPr>
          <w:rFonts w:hint="eastAsia" w:ascii="宋体" w:hAnsi="宋体" w:eastAsia="宋体" w:cs="宋体"/>
          <w:b/>
          <w:bCs/>
          <w:sz w:val="28"/>
          <w:szCs w:val="28"/>
          <w:highlight w:val="none"/>
          <w:lang w:val="en-US" w:eastAsia="zh-CN"/>
        </w:rPr>
        <w:t>①具有水利水电工程施工总承包叁级(含）以上资质，具有省级及以上建设行政主管部门颁发的安全生产许可证；并在人员、设备、资金等方面具备相应的施工能力。其中，供应商拟派项目经理须具备水利水电工程专业贰级(含)以上注册建造师执业资格、安全生产考核合格证书(B类)。专职安全员要求:拟派专职安全员须具备有效的安全生产考核合格证书(C类)；②本项目不接受有在建、已中标未开工或已列为其他项目中标候选人第一名的建造师作为项目经理）(符合桂建管〔 2013 〕17号文、桂建管﹝2014﹞25号文和桂建管﹝2016﹞70 除外。</w:t>
      </w:r>
    </w:p>
    <w:p w14:paraId="660C5E23">
      <w:pPr>
        <w:spacing w:line="400" w:lineRule="exact"/>
        <w:ind w:firstLine="281" w:firstLineChars="100"/>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①有效的资质证书复印件</w:t>
      </w:r>
    </w:p>
    <w:p w14:paraId="41A56A20">
      <w:pPr>
        <w:spacing w:line="400" w:lineRule="exact"/>
        <w:ind w:firstLine="241" w:firstLineChars="100"/>
        <w:outlineLvl w:val="9"/>
        <w:rPr>
          <w:rFonts w:hint="eastAsia" w:ascii="宋体" w:hAnsi="宋体" w:eastAsia="宋体" w:cs="宋体"/>
          <w:b/>
          <w:bCs/>
          <w:color w:val="auto"/>
          <w:sz w:val="24"/>
          <w:szCs w:val="24"/>
          <w:highlight w:val="none"/>
          <w:lang w:val="en-US" w:eastAsia="zh-CN"/>
        </w:rPr>
      </w:pPr>
    </w:p>
    <w:p w14:paraId="1BBFD13F">
      <w:pPr>
        <w:spacing w:line="400" w:lineRule="exact"/>
        <w:ind w:firstLine="241" w:firstLineChars="100"/>
        <w:outlineLvl w:val="9"/>
        <w:rPr>
          <w:rFonts w:hint="eastAsia" w:ascii="宋体" w:hAnsi="宋体" w:eastAsia="宋体" w:cs="宋体"/>
          <w:b/>
          <w:bCs/>
          <w:color w:val="auto"/>
          <w:sz w:val="24"/>
          <w:szCs w:val="24"/>
          <w:highlight w:val="none"/>
          <w:lang w:val="en-US" w:eastAsia="zh-CN"/>
        </w:rPr>
      </w:pPr>
    </w:p>
    <w:p w14:paraId="5C433F8D">
      <w:pPr>
        <w:spacing w:line="400" w:lineRule="exact"/>
        <w:ind w:firstLine="281" w:firstLineChars="100"/>
        <w:outlineLvl w:val="3"/>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②有效的安全生产许可证</w:t>
      </w:r>
    </w:p>
    <w:p w14:paraId="5FCEBC8F">
      <w:pPr>
        <w:spacing w:line="400" w:lineRule="exact"/>
        <w:ind w:firstLine="241" w:firstLineChars="100"/>
        <w:outlineLvl w:val="9"/>
        <w:rPr>
          <w:rFonts w:hint="eastAsia" w:ascii="宋体" w:hAnsi="宋体" w:eastAsia="宋体" w:cs="宋体"/>
          <w:b/>
          <w:bCs/>
          <w:snapToGrid/>
          <w:color w:val="auto"/>
          <w:kern w:val="2"/>
          <w:sz w:val="24"/>
          <w:szCs w:val="24"/>
          <w:highlight w:val="none"/>
          <w:lang w:val="en-US" w:eastAsia="zh-CN"/>
        </w:rPr>
      </w:pPr>
    </w:p>
    <w:p w14:paraId="764DFACD">
      <w:pPr>
        <w:spacing w:line="400" w:lineRule="exact"/>
        <w:ind w:firstLine="241" w:firstLineChars="100"/>
        <w:outlineLvl w:val="9"/>
        <w:rPr>
          <w:rFonts w:hint="eastAsia" w:ascii="宋体" w:hAnsi="宋体" w:eastAsia="宋体" w:cs="宋体"/>
          <w:b/>
          <w:bCs/>
          <w:snapToGrid/>
          <w:color w:val="auto"/>
          <w:kern w:val="2"/>
          <w:sz w:val="24"/>
          <w:szCs w:val="24"/>
          <w:highlight w:val="none"/>
          <w:lang w:val="en-US" w:eastAsia="zh-CN"/>
        </w:rPr>
      </w:pPr>
    </w:p>
    <w:p w14:paraId="3751331E">
      <w:pPr>
        <w:spacing w:line="400" w:lineRule="exact"/>
        <w:ind w:firstLine="241" w:firstLineChars="100"/>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8"/>
          <w:szCs w:val="28"/>
          <w:highlight w:val="none"/>
          <w:lang w:val="en-US" w:eastAsia="zh-CN"/>
        </w:rPr>
        <w:t>③</w:t>
      </w:r>
      <w:r>
        <w:rPr>
          <w:rFonts w:hint="eastAsia" w:ascii="宋体" w:hAnsi="宋体" w:eastAsia="宋体" w:cs="宋体"/>
          <w:b/>
          <w:bCs/>
          <w:kern w:val="2"/>
          <w:sz w:val="28"/>
          <w:szCs w:val="28"/>
          <w:highlight w:val="none"/>
          <w:lang w:val="en-US" w:eastAsia="zh-CN" w:bidi="ar-SA"/>
        </w:rPr>
        <w:t>项目经理简历表</w:t>
      </w:r>
    </w:p>
    <w:p w14:paraId="24E4BCB2">
      <w:pPr>
        <w:spacing w:before="120" w:beforeLines="50"/>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项目经理简历表</w:t>
      </w:r>
    </w:p>
    <w:p w14:paraId="47438BDE">
      <w:pPr>
        <w:pStyle w:val="51"/>
        <w:rPr>
          <w:rFonts w:hint="eastAsia" w:ascii="宋体" w:hAnsi="宋体" w:eastAsia="宋体" w:cs="宋体"/>
          <w:color w:val="auto"/>
          <w:highlight w:val="none"/>
          <w:u w:val="single"/>
        </w:rPr>
      </w:pPr>
    </w:p>
    <w:p w14:paraId="58F17D2E">
      <w:pPr>
        <w:pStyle w:val="5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238"/>
        <w:gridCol w:w="1102"/>
        <w:gridCol w:w="1289"/>
        <w:gridCol w:w="604"/>
        <w:gridCol w:w="467"/>
        <w:gridCol w:w="1118"/>
        <w:gridCol w:w="1108"/>
        <w:gridCol w:w="220"/>
        <w:gridCol w:w="1311"/>
      </w:tblGrid>
      <w:tr w14:paraId="58D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3C992F0E">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2"/>
            <w:noWrap w:val="0"/>
            <w:vAlign w:val="center"/>
          </w:tcPr>
          <w:p w14:paraId="68A8F993">
            <w:pPr>
              <w:jc w:val="center"/>
              <w:rPr>
                <w:rFonts w:hint="eastAsia" w:ascii="宋体" w:hAnsi="宋体" w:eastAsia="宋体" w:cs="宋体"/>
                <w:color w:val="auto"/>
                <w:highlight w:val="none"/>
              </w:rPr>
            </w:pPr>
          </w:p>
        </w:tc>
        <w:tc>
          <w:tcPr>
            <w:tcW w:w="1893" w:type="dxa"/>
            <w:gridSpan w:val="2"/>
            <w:noWrap w:val="0"/>
            <w:vAlign w:val="center"/>
          </w:tcPr>
          <w:p w14:paraId="751B22AF">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1717ABE8">
            <w:pPr>
              <w:jc w:val="center"/>
              <w:rPr>
                <w:rFonts w:hint="eastAsia" w:ascii="宋体" w:hAnsi="宋体" w:eastAsia="宋体" w:cs="宋体"/>
                <w:color w:val="auto"/>
                <w:highlight w:val="none"/>
              </w:rPr>
            </w:pPr>
          </w:p>
        </w:tc>
        <w:tc>
          <w:tcPr>
            <w:tcW w:w="1108" w:type="dxa"/>
            <w:noWrap w:val="0"/>
            <w:vAlign w:val="center"/>
          </w:tcPr>
          <w:p w14:paraId="0ED3D8F0">
            <w:pPr>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31" w:type="dxa"/>
            <w:gridSpan w:val="2"/>
            <w:noWrap w:val="0"/>
            <w:vAlign w:val="center"/>
          </w:tcPr>
          <w:p w14:paraId="6FEC428A">
            <w:pPr>
              <w:jc w:val="center"/>
              <w:rPr>
                <w:rFonts w:hint="eastAsia" w:ascii="宋体" w:hAnsi="宋体" w:eastAsia="宋体" w:cs="宋体"/>
                <w:color w:val="auto"/>
                <w:highlight w:val="none"/>
              </w:rPr>
            </w:pPr>
          </w:p>
        </w:tc>
      </w:tr>
      <w:tr w14:paraId="6813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5D7BEA38">
            <w:pPr>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340" w:type="dxa"/>
            <w:gridSpan w:val="2"/>
            <w:noWrap w:val="0"/>
            <w:vAlign w:val="center"/>
          </w:tcPr>
          <w:p w14:paraId="626176A7">
            <w:pPr>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1893" w:type="dxa"/>
            <w:gridSpan w:val="2"/>
            <w:noWrap w:val="0"/>
            <w:vAlign w:val="center"/>
          </w:tcPr>
          <w:p w14:paraId="5AA2B45B">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797BF1D3">
            <w:pPr>
              <w:jc w:val="center"/>
              <w:rPr>
                <w:rFonts w:hint="eastAsia" w:ascii="宋体" w:hAnsi="宋体" w:eastAsia="宋体" w:cs="宋体"/>
                <w:color w:val="auto"/>
                <w:highlight w:val="none"/>
              </w:rPr>
            </w:pPr>
          </w:p>
        </w:tc>
        <w:tc>
          <w:tcPr>
            <w:tcW w:w="1108" w:type="dxa"/>
            <w:noWrap w:val="0"/>
            <w:vAlign w:val="center"/>
          </w:tcPr>
          <w:p w14:paraId="5E70789D">
            <w:pPr>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31" w:type="dxa"/>
            <w:gridSpan w:val="2"/>
            <w:noWrap w:val="0"/>
            <w:vAlign w:val="center"/>
          </w:tcPr>
          <w:p w14:paraId="4DA16820">
            <w:pPr>
              <w:jc w:val="center"/>
              <w:rPr>
                <w:rFonts w:hint="eastAsia" w:ascii="宋体" w:hAnsi="宋体" w:eastAsia="宋体" w:cs="宋体"/>
                <w:color w:val="auto"/>
                <w:highlight w:val="none"/>
              </w:rPr>
            </w:pPr>
          </w:p>
        </w:tc>
      </w:tr>
      <w:tr w14:paraId="30DC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7DE50733">
            <w:pPr>
              <w:jc w:val="center"/>
              <w:rPr>
                <w:rFonts w:hint="eastAsia" w:ascii="宋体" w:hAnsi="宋体" w:eastAsia="宋体" w:cs="宋体"/>
                <w:color w:val="auto"/>
                <w:highlight w:val="none"/>
              </w:rPr>
            </w:pPr>
            <w:r>
              <w:rPr>
                <w:rFonts w:hint="eastAsia" w:ascii="宋体" w:hAnsi="宋体" w:eastAsia="宋体" w:cs="宋体"/>
                <w:color w:val="auto"/>
                <w:highlight w:val="none"/>
              </w:rPr>
              <w:t>从业开始时间</w:t>
            </w:r>
          </w:p>
        </w:tc>
        <w:tc>
          <w:tcPr>
            <w:tcW w:w="2340" w:type="dxa"/>
            <w:gridSpan w:val="2"/>
            <w:noWrap w:val="0"/>
            <w:vAlign w:val="center"/>
          </w:tcPr>
          <w:p w14:paraId="715FB745">
            <w:pPr>
              <w:jc w:val="center"/>
              <w:rPr>
                <w:rFonts w:hint="eastAsia" w:ascii="宋体" w:hAnsi="宋体" w:eastAsia="宋体" w:cs="宋体"/>
                <w:color w:val="auto"/>
                <w:highlight w:val="none"/>
              </w:rPr>
            </w:pPr>
          </w:p>
        </w:tc>
        <w:tc>
          <w:tcPr>
            <w:tcW w:w="1893" w:type="dxa"/>
            <w:gridSpan w:val="2"/>
            <w:noWrap w:val="0"/>
            <w:vAlign w:val="center"/>
          </w:tcPr>
          <w:p w14:paraId="22B830BA">
            <w:pPr>
              <w:jc w:val="center"/>
              <w:rPr>
                <w:rFonts w:hint="eastAsia" w:ascii="宋体" w:hAnsi="宋体" w:eastAsia="宋体" w:cs="宋体"/>
                <w:color w:val="auto"/>
                <w:highlight w:val="none"/>
              </w:rPr>
            </w:pPr>
            <w:r>
              <w:rPr>
                <w:rFonts w:hint="eastAsia" w:ascii="宋体" w:hAnsi="宋体" w:eastAsia="宋体" w:cs="宋体"/>
                <w:color w:val="auto"/>
                <w:highlight w:val="none"/>
              </w:rPr>
              <w:t>职称获得时间</w:t>
            </w:r>
          </w:p>
        </w:tc>
        <w:tc>
          <w:tcPr>
            <w:tcW w:w="1585" w:type="dxa"/>
            <w:gridSpan w:val="2"/>
            <w:noWrap w:val="0"/>
            <w:vAlign w:val="center"/>
          </w:tcPr>
          <w:p w14:paraId="51383935">
            <w:pPr>
              <w:jc w:val="center"/>
              <w:rPr>
                <w:rFonts w:hint="eastAsia" w:ascii="宋体" w:hAnsi="宋体" w:eastAsia="宋体" w:cs="宋体"/>
                <w:color w:val="auto"/>
                <w:highlight w:val="none"/>
              </w:rPr>
            </w:pPr>
          </w:p>
        </w:tc>
        <w:tc>
          <w:tcPr>
            <w:tcW w:w="1108" w:type="dxa"/>
            <w:noWrap w:val="0"/>
            <w:vAlign w:val="center"/>
          </w:tcPr>
          <w:p w14:paraId="15BE9C7F">
            <w:pPr>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31" w:type="dxa"/>
            <w:gridSpan w:val="2"/>
            <w:noWrap w:val="0"/>
            <w:vAlign w:val="center"/>
          </w:tcPr>
          <w:p w14:paraId="37B39740">
            <w:pPr>
              <w:jc w:val="center"/>
              <w:rPr>
                <w:rFonts w:hint="eastAsia" w:ascii="宋体" w:hAnsi="宋体" w:eastAsia="宋体" w:cs="宋体"/>
                <w:color w:val="auto"/>
                <w:highlight w:val="none"/>
              </w:rPr>
            </w:pPr>
          </w:p>
        </w:tc>
      </w:tr>
      <w:tr w14:paraId="597E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4F2BF3C9">
            <w:pPr>
              <w:jc w:val="center"/>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2340" w:type="dxa"/>
            <w:gridSpan w:val="2"/>
            <w:noWrap w:val="0"/>
            <w:vAlign w:val="center"/>
          </w:tcPr>
          <w:p w14:paraId="55262E42">
            <w:pPr>
              <w:jc w:val="center"/>
              <w:rPr>
                <w:rFonts w:hint="eastAsia" w:ascii="宋体" w:hAnsi="宋体" w:eastAsia="宋体" w:cs="宋体"/>
                <w:color w:val="auto"/>
                <w:highlight w:val="none"/>
              </w:rPr>
            </w:pPr>
          </w:p>
        </w:tc>
        <w:tc>
          <w:tcPr>
            <w:tcW w:w="1893" w:type="dxa"/>
            <w:gridSpan w:val="2"/>
            <w:noWrap w:val="0"/>
            <w:vAlign w:val="center"/>
          </w:tcPr>
          <w:p w14:paraId="155E3314">
            <w:pPr>
              <w:jc w:val="center"/>
              <w:rPr>
                <w:rFonts w:hint="eastAsia" w:ascii="宋体" w:hAnsi="宋体" w:eastAsia="宋体" w:cs="宋体"/>
                <w:color w:val="auto"/>
                <w:highlight w:val="none"/>
              </w:rPr>
            </w:pPr>
            <w:r>
              <w:rPr>
                <w:rFonts w:hint="eastAsia" w:ascii="宋体" w:hAnsi="宋体" w:eastAsia="宋体" w:cs="宋体"/>
                <w:color w:val="auto"/>
                <w:highlight w:val="none"/>
              </w:rPr>
              <w:t>身份证号码</w:t>
            </w:r>
          </w:p>
        </w:tc>
        <w:tc>
          <w:tcPr>
            <w:tcW w:w="4224" w:type="dxa"/>
            <w:gridSpan w:val="5"/>
            <w:noWrap w:val="0"/>
            <w:vAlign w:val="center"/>
          </w:tcPr>
          <w:p w14:paraId="6B20C842">
            <w:pPr>
              <w:jc w:val="center"/>
              <w:rPr>
                <w:rFonts w:hint="eastAsia" w:ascii="宋体" w:hAnsi="宋体" w:eastAsia="宋体" w:cs="宋体"/>
                <w:color w:val="auto"/>
                <w:highlight w:val="none"/>
              </w:rPr>
            </w:pPr>
          </w:p>
        </w:tc>
      </w:tr>
      <w:tr w14:paraId="6D63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5F76D5C3">
            <w:pPr>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238" w:type="dxa"/>
            <w:noWrap w:val="0"/>
            <w:vAlign w:val="center"/>
          </w:tcPr>
          <w:p w14:paraId="44DE14C5">
            <w:pPr>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1102" w:type="dxa"/>
            <w:noWrap w:val="0"/>
            <w:vAlign w:val="center"/>
          </w:tcPr>
          <w:p w14:paraId="3BD1CA3E">
            <w:pPr>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289" w:type="dxa"/>
            <w:noWrap w:val="0"/>
            <w:vAlign w:val="center"/>
          </w:tcPr>
          <w:p w14:paraId="316A81E4">
            <w:pPr>
              <w:jc w:val="center"/>
              <w:rPr>
                <w:rFonts w:hint="eastAsia" w:ascii="宋体" w:hAnsi="宋体" w:eastAsia="宋体" w:cs="宋体"/>
                <w:color w:val="auto"/>
                <w:highlight w:val="none"/>
              </w:rPr>
            </w:pPr>
            <w:r>
              <w:rPr>
                <w:rFonts w:hint="eastAsia" w:ascii="宋体" w:hAnsi="宋体" w:eastAsia="宋体" w:cs="宋体"/>
                <w:color w:val="auto"/>
                <w:highlight w:val="none"/>
              </w:rPr>
              <w:t>证书编号</w:t>
            </w:r>
          </w:p>
        </w:tc>
        <w:tc>
          <w:tcPr>
            <w:tcW w:w="1071" w:type="dxa"/>
            <w:gridSpan w:val="2"/>
            <w:noWrap w:val="0"/>
            <w:vAlign w:val="center"/>
          </w:tcPr>
          <w:p w14:paraId="62300214">
            <w:pPr>
              <w:jc w:val="center"/>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118" w:type="dxa"/>
            <w:noWrap w:val="0"/>
            <w:vAlign w:val="center"/>
          </w:tcPr>
          <w:p w14:paraId="7E9642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注册单位</w:t>
            </w:r>
          </w:p>
        </w:tc>
        <w:tc>
          <w:tcPr>
            <w:tcW w:w="1328" w:type="dxa"/>
            <w:gridSpan w:val="2"/>
            <w:noWrap w:val="0"/>
            <w:vAlign w:val="center"/>
          </w:tcPr>
          <w:p w14:paraId="7939B19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注册有效期</w:t>
            </w:r>
          </w:p>
        </w:tc>
        <w:tc>
          <w:tcPr>
            <w:tcW w:w="1311" w:type="dxa"/>
            <w:noWrap w:val="0"/>
            <w:vAlign w:val="center"/>
          </w:tcPr>
          <w:p w14:paraId="073CF9A3">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使用限期</w:t>
            </w:r>
          </w:p>
        </w:tc>
      </w:tr>
      <w:tr w14:paraId="46F6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3362562C">
            <w:pPr>
              <w:jc w:val="center"/>
              <w:rPr>
                <w:rFonts w:hint="eastAsia" w:ascii="宋体" w:hAnsi="宋体" w:eastAsia="宋体" w:cs="宋体"/>
                <w:color w:val="auto"/>
                <w:highlight w:val="none"/>
              </w:rPr>
            </w:pPr>
          </w:p>
        </w:tc>
        <w:tc>
          <w:tcPr>
            <w:tcW w:w="1238" w:type="dxa"/>
            <w:noWrap w:val="0"/>
            <w:vAlign w:val="center"/>
          </w:tcPr>
          <w:p w14:paraId="6114711D">
            <w:pPr>
              <w:jc w:val="center"/>
              <w:rPr>
                <w:rFonts w:hint="eastAsia" w:ascii="宋体" w:hAnsi="宋体" w:eastAsia="宋体" w:cs="宋体"/>
                <w:color w:val="auto"/>
                <w:highlight w:val="none"/>
              </w:rPr>
            </w:pPr>
          </w:p>
        </w:tc>
        <w:tc>
          <w:tcPr>
            <w:tcW w:w="1102" w:type="dxa"/>
            <w:noWrap w:val="0"/>
            <w:vAlign w:val="center"/>
          </w:tcPr>
          <w:p w14:paraId="0C63B46E">
            <w:pPr>
              <w:jc w:val="center"/>
              <w:rPr>
                <w:rFonts w:hint="eastAsia" w:ascii="宋体" w:hAnsi="宋体" w:eastAsia="宋体" w:cs="宋体"/>
                <w:color w:val="auto"/>
                <w:highlight w:val="none"/>
              </w:rPr>
            </w:pPr>
          </w:p>
        </w:tc>
        <w:tc>
          <w:tcPr>
            <w:tcW w:w="1289" w:type="dxa"/>
            <w:noWrap w:val="0"/>
            <w:vAlign w:val="center"/>
          </w:tcPr>
          <w:p w14:paraId="213C7BBC">
            <w:pPr>
              <w:jc w:val="center"/>
              <w:rPr>
                <w:rFonts w:hint="eastAsia" w:ascii="宋体" w:hAnsi="宋体" w:eastAsia="宋体" w:cs="宋体"/>
                <w:color w:val="auto"/>
                <w:highlight w:val="none"/>
              </w:rPr>
            </w:pPr>
          </w:p>
        </w:tc>
        <w:tc>
          <w:tcPr>
            <w:tcW w:w="1071" w:type="dxa"/>
            <w:gridSpan w:val="2"/>
            <w:noWrap w:val="0"/>
            <w:vAlign w:val="center"/>
          </w:tcPr>
          <w:p w14:paraId="1B14ADF4">
            <w:pPr>
              <w:jc w:val="center"/>
              <w:rPr>
                <w:rFonts w:hint="eastAsia" w:ascii="宋体" w:hAnsi="宋体" w:eastAsia="宋体" w:cs="宋体"/>
                <w:color w:val="auto"/>
                <w:highlight w:val="none"/>
              </w:rPr>
            </w:pPr>
          </w:p>
        </w:tc>
        <w:tc>
          <w:tcPr>
            <w:tcW w:w="1118" w:type="dxa"/>
            <w:noWrap w:val="0"/>
            <w:vAlign w:val="center"/>
          </w:tcPr>
          <w:p w14:paraId="4D94AD8E">
            <w:pPr>
              <w:jc w:val="center"/>
              <w:rPr>
                <w:rFonts w:hint="eastAsia" w:ascii="宋体" w:hAnsi="宋体" w:eastAsia="宋体" w:cs="宋体"/>
                <w:color w:val="auto"/>
                <w:highlight w:val="none"/>
              </w:rPr>
            </w:pPr>
          </w:p>
        </w:tc>
        <w:tc>
          <w:tcPr>
            <w:tcW w:w="1328" w:type="dxa"/>
            <w:gridSpan w:val="2"/>
            <w:noWrap w:val="0"/>
            <w:vAlign w:val="center"/>
          </w:tcPr>
          <w:p w14:paraId="7F7B3598">
            <w:pPr>
              <w:jc w:val="center"/>
              <w:rPr>
                <w:rFonts w:hint="eastAsia" w:ascii="宋体" w:hAnsi="宋体" w:eastAsia="宋体" w:cs="宋体"/>
                <w:color w:val="auto"/>
                <w:highlight w:val="none"/>
              </w:rPr>
            </w:pPr>
          </w:p>
        </w:tc>
        <w:tc>
          <w:tcPr>
            <w:tcW w:w="1311" w:type="dxa"/>
            <w:noWrap w:val="0"/>
            <w:vAlign w:val="center"/>
          </w:tcPr>
          <w:p w14:paraId="3A729BF6">
            <w:pPr>
              <w:jc w:val="center"/>
              <w:rPr>
                <w:rFonts w:hint="eastAsia" w:ascii="宋体" w:hAnsi="宋体" w:eastAsia="宋体" w:cs="宋体"/>
                <w:color w:val="auto"/>
                <w:highlight w:val="none"/>
              </w:rPr>
            </w:pPr>
          </w:p>
        </w:tc>
      </w:tr>
      <w:tr w14:paraId="41E4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35129DF0">
            <w:pPr>
              <w:jc w:val="center"/>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w:t>
            </w:r>
          </w:p>
        </w:tc>
        <w:tc>
          <w:tcPr>
            <w:tcW w:w="1238" w:type="dxa"/>
            <w:noWrap w:val="0"/>
            <w:vAlign w:val="center"/>
          </w:tcPr>
          <w:p w14:paraId="3A59206D">
            <w:pPr>
              <w:jc w:val="center"/>
              <w:rPr>
                <w:rFonts w:hint="eastAsia" w:ascii="宋体" w:hAnsi="宋体" w:eastAsia="宋体" w:cs="宋体"/>
                <w:color w:val="auto"/>
                <w:highlight w:val="none"/>
              </w:rPr>
            </w:pPr>
          </w:p>
        </w:tc>
        <w:tc>
          <w:tcPr>
            <w:tcW w:w="1102" w:type="dxa"/>
            <w:noWrap w:val="0"/>
            <w:vAlign w:val="center"/>
          </w:tcPr>
          <w:p w14:paraId="7F388FEE">
            <w:pPr>
              <w:jc w:val="center"/>
              <w:rPr>
                <w:rFonts w:hint="eastAsia" w:ascii="宋体" w:hAnsi="宋体" w:eastAsia="宋体" w:cs="宋体"/>
                <w:color w:val="auto"/>
                <w:highlight w:val="none"/>
              </w:rPr>
            </w:pPr>
            <w:r>
              <w:rPr>
                <w:rFonts w:hint="eastAsia" w:ascii="宋体" w:hAnsi="宋体" w:eastAsia="宋体" w:cs="宋体"/>
                <w:color w:val="auto"/>
                <w:highlight w:val="none"/>
              </w:rPr>
              <w:t>B类</w:t>
            </w:r>
          </w:p>
        </w:tc>
        <w:tc>
          <w:tcPr>
            <w:tcW w:w="1289" w:type="dxa"/>
            <w:noWrap w:val="0"/>
            <w:vAlign w:val="center"/>
          </w:tcPr>
          <w:p w14:paraId="55D0C12C">
            <w:pPr>
              <w:jc w:val="center"/>
              <w:rPr>
                <w:rFonts w:hint="eastAsia" w:ascii="宋体" w:hAnsi="宋体" w:eastAsia="宋体" w:cs="宋体"/>
                <w:color w:val="auto"/>
                <w:highlight w:val="none"/>
              </w:rPr>
            </w:pPr>
          </w:p>
        </w:tc>
        <w:tc>
          <w:tcPr>
            <w:tcW w:w="1071" w:type="dxa"/>
            <w:gridSpan w:val="2"/>
            <w:noWrap w:val="0"/>
            <w:vAlign w:val="center"/>
          </w:tcPr>
          <w:p w14:paraId="5928627A">
            <w:pPr>
              <w:jc w:val="center"/>
              <w:rPr>
                <w:rFonts w:hint="eastAsia" w:ascii="宋体" w:hAnsi="宋体" w:eastAsia="宋体" w:cs="宋体"/>
                <w:color w:val="auto"/>
                <w:highlight w:val="none"/>
              </w:rPr>
            </w:pPr>
          </w:p>
        </w:tc>
        <w:tc>
          <w:tcPr>
            <w:tcW w:w="1118" w:type="dxa"/>
            <w:noWrap w:val="0"/>
            <w:vAlign w:val="center"/>
          </w:tcPr>
          <w:p w14:paraId="275F1D81">
            <w:pPr>
              <w:jc w:val="center"/>
              <w:rPr>
                <w:rFonts w:hint="eastAsia" w:ascii="宋体" w:hAnsi="宋体" w:eastAsia="宋体" w:cs="宋体"/>
                <w:color w:val="auto"/>
                <w:highlight w:val="none"/>
              </w:rPr>
            </w:pPr>
          </w:p>
        </w:tc>
        <w:tc>
          <w:tcPr>
            <w:tcW w:w="1328" w:type="dxa"/>
            <w:gridSpan w:val="2"/>
            <w:noWrap w:val="0"/>
            <w:vAlign w:val="center"/>
          </w:tcPr>
          <w:p w14:paraId="65DD6596">
            <w:pPr>
              <w:jc w:val="center"/>
              <w:rPr>
                <w:rFonts w:hint="eastAsia" w:ascii="宋体" w:hAnsi="宋体" w:eastAsia="宋体" w:cs="宋体"/>
                <w:color w:val="auto"/>
                <w:highlight w:val="none"/>
              </w:rPr>
            </w:pPr>
          </w:p>
        </w:tc>
        <w:tc>
          <w:tcPr>
            <w:tcW w:w="1311" w:type="dxa"/>
            <w:noWrap w:val="0"/>
            <w:vAlign w:val="center"/>
          </w:tcPr>
          <w:p w14:paraId="79C4C09E">
            <w:pPr>
              <w:jc w:val="center"/>
              <w:rPr>
                <w:rFonts w:hint="eastAsia" w:ascii="宋体" w:hAnsi="宋体" w:eastAsia="宋体" w:cs="宋体"/>
                <w:color w:val="auto"/>
                <w:highlight w:val="none"/>
              </w:rPr>
            </w:pPr>
          </w:p>
        </w:tc>
      </w:tr>
    </w:tbl>
    <w:p w14:paraId="17121CF1">
      <w:pPr>
        <w:spacing w:line="360" w:lineRule="auto"/>
        <w:rPr>
          <w:rFonts w:hint="eastAsia" w:ascii="宋体" w:hAnsi="宋体" w:eastAsia="宋体" w:cs="宋体"/>
          <w:color w:val="auto"/>
          <w:highlight w:val="none"/>
        </w:rPr>
      </w:pPr>
    </w:p>
    <w:p w14:paraId="26EDC3A6">
      <w:pPr>
        <w:spacing w:line="360" w:lineRule="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备注：</w:t>
      </w:r>
    </w:p>
    <w:p w14:paraId="4FCDCA3B">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eastAsia="zh-CN"/>
        </w:rPr>
        <w:t>后附建造师注册证书复印件、安全生产考核合格证（B 类）复印件、身份证复印件</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未</w:t>
      </w:r>
      <w:r>
        <w:rPr>
          <w:rFonts w:hint="eastAsia" w:ascii="宋体" w:hAnsi="宋体" w:eastAsia="宋体" w:cs="宋体"/>
          <w:b/>
          <w:bCs/>
          <w:color w:val="auto"/>
          <w:szCs w:val="21"/>
          <w:highlight w:val="none"/>
          <w:lang w:eastAsia="zh-CN"/>
        </w:rPr>
        <w:t>提供以上材料的</w:t>
      </w:r>
      <w:r>
        <w:rPr>
          <w:rFonts w:hint="eastAsia" w:ascii="宋体" w:hAnsi="宋体" w:eastAsia="宋体" w:cs="宋体"/>
          <w:b/>
          <w:bCs/>
          <w:color w:val="auto"/>
          <w:szCs w:val="21"/>
          <w:highlight w:val="none"/>
        </w:rPr>
        <w:t>，在评审时不予承认。</w:t>
      </w:r>
    </w:p>
    <w:p w14:paraId="041404EE">
      <w:pPr>
        <w:spacing w:line="400" w:lineRule="exact"/>
        <w:outlineLvl w:val="9"/>
        <w:rPr>
          <w:rFonts w:hint="eastAsia" w:ascii="宋体" w:hAnsi="宋体" w:eastAsia="宋体" w:cs="宋体"/>
          <w:color w:val="auto"/>
          <w:highlight w:val="none"/>
        </w:rPr>
      </w:pPr>
    </w:p>
    <w:p w14:paraId="7CF46396">
      <w:pPr>
        <w:spacing w:line="400" w:lineRule="exact"/>
        <w:outlineLvl w:val="9"/>
        <w:rPr>
          <w:rFonts w:hint="eastAsia" w:ascii="宋体" w:hAnsi="宋体" w:eastAsia="宋体" w:cs="宋体"/>
          <w:color w:val="auto"/>
          <w:highlight w:val="none"/>
        </w:rPr>
      </w:pPr>
    </w:p>
    <w:p w14:paraId="08D372BD">
      <w:pPr>
        <w:pStyle w:val="14"/>
        <w:spacing w:line="400" w:lineRule="exact"/>
        <w:ind w:right="-754" w:rightChars="-359" w:firstLine="5040" w:firstLineChars="2400"/>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b/>
          <w:bCs/>
          <w:sz w:val="21"/>
          <w:szCs w:val="21"/>
          <w:highlight w:val="none"/>
        </w:rPr>
        <w:t>（CA电子签章）</w:t>
      </w:r>
      <w:r>
        <w:rPr>
          <w:rFonts w:hint="eastAsia" w:ascii="宋体" w:hAnsi="宋体" w:eastAsia="宋体" w:cs="宋体"/>
          <w:sz w:val="21"/>
          <w:szCs w:val="21"/>
          <w:highlight w:val="none"/>
        </w:rPr>
        <w:t>：</w:t>
      </w:r>
      <w:r>
        <w:rPr>
          <w:rFonts w:hint="eastAsia" w:ascii="宋体" w:hAnsi="宋体" w:eastAsia="宋体" w:cs="宋体"/>
          <w:sz w:val="21"/>
          <w:szCs w:val="18"/>
          <w:highlight w:val="none"/>
          <w:u w:val="single"/>
        </w:rPr>
        <w:t xml:space="preserve">                </w:t>
      </w:r>
      <w:r>
        <w:rPr>
          <w:rFonts w:hint="eastAsia" w:ascii="宋体" w:hAnsi="宋体" w:eastAsia="宋体" w:cs="宋体"/>
          <w:sz w:val="21"/>
          <w:szCs w:val="21"/>
          <w:highlight w:val="none"/>
        </w:rPr>
        <w:t xml:space="preserve">  </w:t>
      </w:r>
    </w:p>
    <w:p w14:paraId="6A80C4F6">
      <w:pPr>
        <w:spacing w:line="360" w:lineRule="exact"/>
        <w:ind w:firstLine="6300" w:firstLineChars="3000"/>
        <w:jc w:val="right"/>
        <w:rPr>
          <w:rFonts w:hint="eastAsia" w:ascii="宋体" w:hAnsi="宋体" w:eastAsia="宋体" w:cs="宋体"/>
          <w:szCs w:val="21"/>
          <w:highlight w:val="none"/>
        </w:rPr>
      </w:pPr>
      <w:r>
        <w:rPr>
          <w:rFonts w:hint="eastAsia" w:ascii="宋体" w:hAnsi="宋体" w:eastAsia="宋体" w:cs="宋体"/>
          <w:sz w:val="21"/>
          <w:szCs w:val="21"/>
          <w:highlight w:val="none"/>
        </w:rPr>
        <w:t xml:space="preserve">                                                  日期：       年   月   日</w:t>
      </w:r>
    </w:p>
    <w:p w14:paraId="47302459">
      <w:pPr>
        <w:spacing w:line="400" w:lineRule="exact"/>
        <w:outlineLvl w:val="9"/>
        <w:rPr>
          <w:rFonts w:hint="eastAsia" w:ascii="宋体" w:hAnsi="宋体" w:eastAsia="宋体" w:cs="宋体"/>
          <w:color w:val="auto"/>
          <w:highlight w:val="none"/>
        </w:rPr>
      </w:pPr>
    </w:p>
    <w:p w14:paraId="0B8386EE">
      <w:pPr>
        <w:spacing w:line="400" w:lineRule="exact"/>
        <w:ind w:firstLine="210" w:firstLineChars="100"/>
        <w:outlineLvl w:val="3"/>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b/>
          <w:bCs/>
          <w:snapToGrid/>
          <w:color w:val="auto"/>
          <w:kern w:val="2"/>
          <w:sz w:val="28"/>
          <w:szCs w:val="28"/>
          <w:highlight w:val="none"/>
          <w:lang w:val="en-US" w:eastAsia="zh-CN"/>
        </w:rPr>
        <w:t>④专职</w:t>
      </w:r>
      <w:r>
        <w:rPr>
          <w:rFonts w:hint="eastAsia" w:ascii="宋体" w:hAnsi="宋体" w:eastAsia="宋体" w:cs="宋体"/>
          <w:b/>
          <w:bCs/>
          <w:color w:val="auto"/>
          <w:sz w:val="28"/>
          <w:szCs w:val="28"/>
          <w:highlight w:val="none"/>
          <w:lang w:val="en-US" w:eastAsia="zh-CN"/>
        </w:rPr>
        <w:t>安全</w:t>
      </w:r>
      <w:r>
        <w:rPr>
          <w:rFonts w:hint="eastAsia" w:ascii="宋体" w:hAnsi="宋体" w:eastAsia="宋体" w:cs="宋体"/>
          <w:b/>
          <w:bCs/>
          <w:snapToGrid/>
          <w:color w:val="auto"/>
          <w:kern w:val="2"/>
          <w:sz w:val="28"/>
          <w:szCs w:val="28"/>
          <w:highlight w:val="none"/>
          <w:lang w:val="en-US" w:eastAsia="zh-CN"/>
        </w:rPr>
        <w:t>生产管理人员</w:t>
      </w:r>
    </w:p>
    <w:p w14:paraId="70A801FA">
      <w:pPr>
        <w:pStyle w:val="51"/>
        <w:jc w:val="center"/>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rPr>
        <w:t>专职安全生产管理人员</w:t>
      </w:r>
    </w:p>
    <w:p w14:paraId="21CEE976">
      <w:pPr>
        <w:pStyle w:val="51"/>
        <w:rPr>
          <w:rFonts w:hint="eastAsia" w:ascii="宋体" w:hAnsi="宋体" w:eastAsia="宋体" w:cs="宋体"/>
          <w:color w:val="auto"/>
          <w:highlight w:val="none"/>
          <w:u w:val="single"/>
        </w:rPr>
      </w:pPr>
    </w:p>
    <w:p w14:paraId="0177232F">
      <w:pPr>
        <w:pStyle w:val="5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352"/>
        <w:gridCol w:w="988"/>
        <w:gridCol w:w="234"/>
        <w:gridCol w:w="1417"/>
        <w:gridCol w:w="242"/>
        <w:gridCol w:w="1176"/>
        <w:gridCol w:w="409"/>
        <w:gridCol w:w="1108"/>
        <w:gridCol w:w="115"/>
        <w:gridCol w:w="1416"/>
      </w:tblGrid>
      <w:tr w14:paraId="676B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4A7C6B2C">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2"/>
            <w:noWrap w:val="0"/>
            <w:vAlign w:val="center"/>
          </w:tcPr>
          <w:p w14:paraId="544948E4">
            <w:pPr>
              <w:jc w:val="center"/>
              <w:rPr>
                <w:rFonts w:hint="eastAsia" w:ascii="宋体" w:hAnsi="宋体" w:eastAsia="宋体" w:cs="宋体"/>
                <w:color w:val="auto"/>
                <w:highlight w:val="none"/>
              </w:rPr>
            </w:pPr>
          </w:p>
        </w:tc>
        <w:tc>
          <w:tcPr>
            <w:tcW w:w="1893" w:type="dxa"/>
            <w:gridSpan w:val="3"/>
            <w:noWrap w:val="0"/>
            <w:vAlign w:val="center"/>
          </w:tcPr>
          <w:p w14:paraId="610DF81A">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7A27EA90">
            <w:pPr>
              <w:jc w:val="center"/>
              <w:rPr>
                <w:rFonts w:hint="eastAsia" w:ascii="宋体" w:hAnsi="宋体" w:eastAsia="宋体" w:cs="宋体"/>
                <w:color w:val="auto"/>
                <w:highlight w:val="none"/>
              </w:rPr>
            </w:pPr>
          </w:p>
        </w:tc>
        <w:tc>
          <w:tcPr>
            <w:tcW w:w="1108" w:type="dxa"/>
            <w:noWrap w:val="0"/>
            <w:vAlign w:val="center"/>
          </w:tcPr>
          <w:p w14:paraId="0BFBF66C">
            <w:pPr>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31" w:type="dxa"/>
            <w:gridSpan w:val="2"/>
            <w:noWrap w:val="0"/>
            <w:vAlign w:val="center"/>
          </w:tcPr>
          <w:p w14:paraId="3D21428E">
            <w:pPr>
              <w:jc w:val="center"/>
              <w:rPr>
                <w:rFonts w:hint="eastAsia" w:ascii="宋体" w:hAnsi="宋体" w:eastAsia="宋体" w:cs="宋体"/>
                <w:color w:val="auto"/>
                <w:highlight w:val="none"/>
              </w:rPr>
            </w:pPr>
          </w:p>
        </w:tc>
      </w:tr>
      <w:tr w14:paraId="20AA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0D0E2A2F">
            <w:pPr>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340" w:type="dxa"/>
            <w:gridSpan w:val="2"/>
            <w:noWrap w:val="0"/>
            <w:vAlign w:val="center"/>
          </w:tcPr>
          <w:p w14:paraId="07F7FFA8">
            <w:pPr>
              <w:jc w:val="center"/>
              <w:rPr>
                <w:rFonts w:hint="eastAsia" w:ascii="宋体" w:hAnsi="宋体" w:eastAsia="宋体" w:cs="宋体"/>
                <w:color w:val="auto"/>
                <w:highlight w:val="none"/>
              </w:rPr>
            </w:pPr>
            <w:r>
              <w:rPr>
                <w:rFonts w:hint="eastAsia" w:ascii="宋体" w:hAnsi="宋体" w:eastAsia="宋体" w:cs="宋体"/>
                <w:color w:val="auto"/>
                <w:highlight w:val="none"/>
              </w:rPr>
              <w:t>专职安全生产管理人员</w:t>
            </w:r>
          </w:p>
        </w:tc>
        <w:tc>
          <w:tcPr>
            <w:tcW w:w="1893" w:type="dxa"/>
            <w:gridSpan w:val="3"/>
            <w:noWrap w:val="0"/>
            <w:vAlign w:val="center"/>
          </w:tcPr>
          <w:p w14:paraId="753B1510">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13DCBD89">
            <w:pPr>
              <w:jc w:val="center"/>
              <w:rPr>
                <w:rFonts w:hint="eastAsia" w:ascii="宋体" w:hAnsi="宋体" w:eastAsia="宋体" w:cs="宋体"/>
                <w:color w:val="auto"/>
                <w:highlight w:val="none"/>
              </w:rPr>
            </w:pPr>
          </w:p>
        </w:tc>
        <w:tc>
          <w:tcPr>
            <w:tcW w:w="1108" w:type="dxa"/>
            <w:noWrap w:val="0"/>
            <w:vAlign w:val="center"/>
          </w:tcPr>
          <w:p w14:paraId="20506DD9">
            <w:pPr>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31" w:type="dxa"/>
            <w:gridSpan w:val="2"/>
            <w:noWrap w:val="0"/>
            <w:vAlign w:val="center"/>
          </w:tcPr>
          <w:p w14:paraId="3D0533AF">
            <w:pPr>
              <w:jc w:val="center"/>
              <w:rPr>
                <w:rFonts w:hint="eastAsia" w:ascii="宋体" w:hAnsi="宋体" w:eastAsia="宋体" w:cs="宋体"/>
                <w:color w:val="auto"/>
                <w:highlight w:val="none"/>
              </w:rPr>
            </w:pPr>
          </w:p>
        </w:tc>
      </w:tr>
      <w:tr w14:paraId="4303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5C35261B">
            <w:pPr>
              <w:jc w:val="center"/>
              <w:rPr>
                <w:rFonts w:hint="eastAsia" w:ascii="宋体" w:hAnsi="宋体" w:eastAsia="宋体" w:cs="宋体"/>
                <w:color w:val="auto"/>
                <w:highlight w:val="none"/>
              </w:rPr>
            </w:pPr>
            <w:r>
              <w:rPr>
                <w:rFonts w:hint="eastAsia" w:ascii="宋体" w:hAnsi="宋体" w:eastAsia="宋体" w:cs="宋体"/>
                <w:color w:val="auto"/>
                <w:highlight w:val="none"/>
              </w:rPr>
              <w:t>从业开始时间</w:t>
            </w:r>
          </w:p>
        </w:tc>
        <w:tc>
          <w:tcPr>
            <w:tcW w:w="2340" w:type="dxa"/>
            <w:gridSpan w:val="2"/>
            <w:noWrap w:val="0"/>
            <w:vAlign w:val="center"/>
          </w:tcPr>
          <w:p w14:paraId="00A71900">
            <w:pPr>
              <w:jc w:val="center"/>
              <w:rPr>
                <w:rFonts w:hint="eastAsia" w:ascii="宋体" w:hAnsi="宋体" w:eastAsia="宋体" w:cs="宋体"/>
                <w:color w:val="auto"/>
                <w:highlight w:val="none"/>
              </w:rPr>
            </w:pPr>
          </w:p>
        </w:tc>
        <w:tc>
          <w:tcPr>
            <w:tcW w:w="1893" w:type="dxa"/>
            <w:gridSpan w:val="3"/>
            <w:noWrap w:val="0"/>
            <w:vAlign w:val="center"/>
          </w:tcPr>
          <w:p w14:paraId="76BBA43B">
            <w:pPr>
              <w:jc w:val="center"/>
              <w:rPr>
                <w:rFonts w:hint="eastAsia" w:ascii="宋体" w:hAnsi="宋体" w:eastAsia="宋体" w:cs="宋体"/>
                <w:color w:val="auto"/>
                <w:highlight w:val="none"/>
              </w:rPr>
            </w:pPr>
            <w:r>
              <w:rPr>
                <w:rFonts w:hint="eastAsia" w:ascii="宋体" w:hAnsi="宋体" w:eastAsia="宋体" w:cs="宋体"/>
                <w:color w:val="auto"/>
                <w:highlight w:val="none"/>
              </w:rPr>
              <w:t>职称获得时间</w:t>
            </w:r>
          </w:p>
        </w:tc>
        <w:tc>
          <w:tcPr>
            <w:tcW w:w="1585" w:type="dxa"/>
            <w:gridSpan w:val="2"/>
            <w:noWrap w:val="0"/>
            <w:vAlign w:val="center"/>
          </w:tcPr>
          <w:p w14:paraId="288728BC">
            <w:pPr>
              <w:jc w:val="center"/>
              <w:rPr>
                <w:rFonts w:hint="eastAsia" w:ascii="宋体" w:hAnsi="宋体" w:eastAsia="宋体" w:cs="宋体"/>
                <w:color w:val="auto"/>
                <w:highlight w:val="none"/>
              </w:rPr>
            </w:pPr>
          </w:p>
        </w:tc>
        <w:tc>
          <w:tcPr>
            <w:tcW w:w="1108" w:type="dxa"/>
            <w:noWrap w:val="0"/>
            <w:vAlign w:val="center"/>
          </w:tcPr>
          <w:p w14:paraId="7B58DF81">
            <w:pPr>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31" w:type="dxa"/>
            <w:gridSpan w:val="2"/>
            <w:noWrap w:val="0"/>
            <w:vAlign w:val="center"/>
          </w:tcPr>
          <w:p w14:paraId="2567FD40">
            <w:pPr>
              <w:jc w:val="center"/>
              <w:rPr>
                <w:rFonts w:hint="eastAsia" w:ascii="宋体" w:hAnsi="宋体" w:eastAsia="宋体" w:cs="宋体"/>
                <w:color w:val="auto"/>
                <w:highlight w:val="none"/>
              </w:rPr>
            </w:pPr>
          </w:p>
        </w:tc>
      </w:tr>
      <w:tr w14:paraId="3CC5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1B36B248">
            <w:pPr>
              <w:jc w:val="center"/>
              <w:rPr>
                <w:rFonts w:hint="eastAsia" w:ascii="宋体" w:hAnsi="宋体" w:eastAsia="宋体" w:cs="宋体"/>
                <w:color w:val="auto"/>
                <w:highlight w:val="none"/>
              </w:rPr>
            </w:pPr>
            <w:r>
              <w:rPr>
                <w:rFonts w:hint="eastAsia" w:ascii="宋体" w:hAnsi="宋体" w:eastAsia="宋体" w:cs="宋体"/>
                <w:color w:val="auto"/>
                <w:highlight w:val="none"/>
              </w:rPr>
              <w:t>担任</w:t>
            </w:r>
            <w:r>
              <w:rPr>
                <w:rFonts w:hint="eastAsia" w:ascii="宋体" w:hAnsi="宋体" w:eastAsia="宋体" w:cs="宋体"/>
                <w:color w:val="auto"/>
                <w:highlight w:val="none"/>
                <w:lang w:eastAsia="zh-CN"/>
              </w:rPr>
              <w:t>安全员</w:t>
            </w:r>
            <w:r>
              <w:rPr>
                <w:rFonts w:hint="eastAsia" w:ascii="宋体" w:hAnsi="宋体" w:eastAsia="宋体" w:cs="宋体"/>
                <w:color w:val="auto"/>
                <w:highlight w:val="none"/>
              </w:rPr>
              <w:t>年限</w:t>
            </w:r>
          </w:p>
        </w:tc>
        <w:tc>
          <w:tcPr>
            <w:tcW w:w="2574" w:type="dxa"/>
            <w:gridSpan w:val="3"/>
            <w:noWrap w:val="0"/>
            <w:vAlign w:val="center"/>
          </w:tcPr>
          <w:p w14:paraId="146BBA77">
            <w:pPr>
              <w:jc w:val="center"/>
              <w:rPr>
                <w:rFonts w:hint="eastAsia" w:ascii="宋体" w:hAnsi="宋体" w:eastAsia="宋体" w:cs="宋体"/>
                <w:color w:val="auto"/>
                <w:highlight w:val="none"/>
              </w:rPr>
            </w:pPr>
          </w:p>
        </w:tc>
        <w:tc>
          <w:tcPr>
            <w:tcW w:w="1659" w:type="dxa"/>
            <w:gridSpan w:val="2"/>
            <w:noWrap w:val="0"/>
            <w:vAlign w:val="center"/>
          </w:tcPr>
          <w:p w14:paraId="4D5ECA99">
            <w:pPr>
              <w:jc w:val="center"/>
              <w:rPr>
                <w:rFonts w:hint="eastAsia" w:ascii="宋体" w:hAnsi="宋体" w:eastAsia="宋体" w:cs="宋体"/>
                <w:color w:val="auto"/>
                <w:highlight w:val="none"/>
              </w:rPr>
            </w:pPr>
            <w:r>
              <w:rPr>
                <w:rFonts w:hint="eastAsia" w:ascii="宋体" w:hAnsi="宋体" w:eastAsia="宋体" w:cs="宋体"/>
                <w:color w:val="auto"/>
                <w:highlight w:val="none"/>
              </w:rPr>
              <w:t>身份证号码</w:t>
            </w:r>
          </w:p>
        </w:tc>
        <w:tc>
          <w:tcPr>
            <w:tcW w:w="4224" w:type="dxa"/>
            <w:gridSpan w:val="5"/>
            <w:noWrap w:val="0"/>
            <w:vAlign w:val="center"/>
          </w:tcPr>
          <w:p w14:paraId="3D638F85">
            <w:pPr>
              <w:jc w:val="center"/>
              <w:rPr>
                <w:rFonts w:hint="eastAsia" w:ascii="宋体" w:hAnsi="宋体" w:eastAsia="宋体" w:cs="宋体"/>
                <w:color w:val="auto"/>
                <w:highlight w:val="none"/>
              </w:rPr>
            </w:pPr>
          </w:p>
        </w:tc>
      </w:tr>
      <w:tr w14:paraId="7B2D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3F752D9C">
            <w:pPr>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352" w:type="dxa"/>
            <w:noWrap w:val="0"/>
            <w:vAlign w:val="center"/>
          </w:tcPr>
          <w:p w14:paraId="3E6DA27E">
            <w:pPr>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1222" w:type="dxa"/>
            <w:gridSpan w:val="2"/>
            <w:noWrap w:val="0"/>
            <w:vAlign w:val="center"/>
          </w:tcPr>
          <w:p w14:paraId="45000192">
            <w:pPr>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417" w:type="dxa"/>
            <w:noWrap w:val="0"/>
            <w:vAlign w:val="center"/>
          </w:tcPr>
          <w:p w14:paraId="46C31EF5">
            <w:pPr>
              <w:jc w:val="center"/>
              <w:rPr>
                <w:rFonts w:hint="eastAsia" w:ascii="宋体" w:hAnsi="宋体" w:eastAsia="宋体" w:cs="宋体"/>
                <w:color w:val="auto"/>
                <w:highlight w:val="none"/>
              </w:rPr>
            </w:pPr>
            <w:r>
              <w:rPr>
                <w:rFonts w:hint="eastAsia" w:ascii="宋体" w:hAnsi="宋体" w:eastAsia="宋体" w:cs="宋体"/>
                <w:color w:val="auto"/>
                <w:highlight w:val="none"/>
              </w:rPr>
              <w:t>证书编号</w:t>
            </w:r>
          </w:p>
        </w:tc>
        <w:tc>
          <w:tcPr>
            <w:tcW w:w="1418" w:type="dxa"/>
            <w:gridSpan w:val="2"/>
            <w:noWrap w:val="0"/>
            <w:vAlign w:val="center"/>
          </w:tcPr>
          <w:p w14:paraId="5698CDCB">
            <w:pPr>
              <w:jc w:val="center"/>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632" w:type="dxa"/>
            <w:gridSpan w:val="3"/>
            <w:noWrap w:val="0"/>
            <w:vAlign w:val="center"/>
          </w:tcPr>
          <w:p w14:paraId="07274219">
            <w:pPr>
              <w:jc w:val="center"/>
              <w:rPr>
                <w:rFonts w:hint="eastAsia" w:ascii="宋体" w:hAnsi="宋体" w:eastAsia="宋体" w:cs="宋体"/>
                <w:color w:val="auto"/>
                <w:highlight w:val="none"/>
              </w:rPr>
            </w:pPr>
            <w:r>
              <w:rPr>
                <w:rFonts w:hint="eastAsia" w:ascii="宋体" w:hAnsi="宋体" w:eastAsia="宋体" w:cs="宋体"/>
                <w:color w:val="auto"/>
                <w:highlight w:val="none"/>
              </w:rPr>
              <w:t>注册单位</w:t>
            </w:r>
          </w:p>
        </w:tc>
        <w:tc>
          <w:tcPr>
            <w:tcW w:w="1416" w:type="dxa"/>
            <w:noWrap w:val="0"/>
            <w:vAlign w:val="center"/>
          </w:tcPr>
          <w:p w14:paraId="5102669C">
            <w:pPr>
              <w:jc w:val="center"/>
              <w:rPr>
                <w:rFonts w:hint="eastAsia" w:ascii="宋体" w:hAnsi="宋体" w:eastAsia="宋体" w:cs="宋体"/>
                <w:color w:val="auto"/>
                <w:highlight w:val="none"/>
              </w:rPr>
            </w:pPr>
            <w:r>
              <w:rPr>
                <w:rFonts w:hint="eastAsia" w:ascii="宋体" w:hAnsi="宋体" w:eastAsia="宋体" w:cs="宋体"/>
                <w:color w:val="auto"/>
                <w:highlight w:val="none"/>
              </w:rPr>
              <w:t>注册有效期</w:t>
            </w:r>
          </w:p>
        </w:tc>
      </w:tr>
      <w:tr w14:paraId="599C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4349F89C">
            <w:pPr>
              <w:jc w:val="center"/>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w:t>
            </w:r>
          </w:p>
        </w:tc>
        <w:tc>
          <w:tcPr>
            <w:tcW w:w="1352" w:type="dxa"/>
            <w:noWrap w:val="0"/>
            <w:vAlign w:val="center"/>
          </w:tcPr>
          <w:p w14:paraId="1F1624AF">
            <w:pPr>
              <w:jc w:val="center"/>
              <w:rPr>
                <w:rFonts w:hint="eastAsia" w:ascii="宋体" w:hAnsi="宋体" w:eastAsia="宋体" w:cs="宋体"/>
                <w:color w:val="auto"/>
                <w:highlight w:val="none"/>
                <w:lang w:val="en-US" w:eastAsia="zh-CN"/>
              </w:rPr>
            </w:pPr>
          </w:p>
        </w:tc>
        <w:tc>
          <w:tcPr>
            <w:tcW w:w="1222" w:type="dxa"/>
            <w:gridSpan w:val="2"/>
            <w:noWrap w:val="0"/>
            <w:vAlign w:val="center"/>
          </w:tcPr>
          <w:p w14:paraId="4C1D86FE">
            <w:pPr>
              <w:jc w:val="center"/>
              <w:rPr>
                <w:rFonts w:hint="eastAsia" w:ascii="宋体" w:hAnsi="宋体" w:eastAsia="宋体" w:cs="宋体"/>
                <w:color w:val="auto"/>
                <w:highlight w:val="none"/>
              </w:rPr>
            </w:pPr>
            <w:r>
              <w:rPr>
                <w:rFonts w:hint="eastAsia" w:ascii="宋体" w:hAnsi="宋体" w:eastAsia="宋体" w:cs="宋体"/>
                <w:color w:val="auto"/>
                <w:highlight w:val="none"/>
              </w:rPr>
              <w:t>C类</w:t>
            </w:r>
          </w:p>
        </w:tc>
        <w:tc>
          <w:tcPr>
            <w:tcW w:w="1417" w:type="dxa"/>
            <w:noWrap w:val="0"/>
            <w:vAlign w:val="center"/>
          </w:tcPr>
          <w:p w14:paraId="5AC27D62">
            <w:pPr>
              <w:jc w:val="center"/>
              <w:rPr>
                <w:rFonts w:hint="eastAsia" w:ascii="宋体" w:hAnsi="宋体" w:eastAsia="宋体" w:cs="宋体"/>
                <w:color w:val="auto"/>
                <w:highlight w:val="none"/>
              </w:rPr>
            </w:pPr>
          </w:p>
        </w:tc>
        <w:tc>
          <w:tcPr>
            <w:tcW w:w="1418" w:type="dxa"/>
            <w:gridSpan w:val="2"/>
            <w:noWrap w:val="0"/>
            <w:vAlign w:val="center"/>
          </w:tcPr>
          <w:p w14:paraId="6C17BD08">
            <w:pPr>
              <w:jc w:val="center"/>
              <w:rPr>
                <w:rFonts w:hint="eastAsia" w:ascii="宋体" w:hAnsi="宋体" w:eastAsia="宋体" w:cs="宋体"/>
                <w:color w:val="auto"/>
                <w:highlight w:val="none"/>
              </w:rPr>
            </w:pPr>
          </w:p>
        </w:tc>
        <w:tc>
          <w:tcPr>
            <w:tcW w:w="1632" w:type="dxa"/>
            <w:gridSpan w:val="3"/>
            <w:noWrap w:val="0"/>
            <w:vAlign w:val="center"/>
          </w:tcPr>
          <w:p w14:paraId="0A0F4A19">
            <w:pPr>
              <w:jc w:val="center"/>
              <w:rPr>
                <w:rFonts w:hint="eastAsia" w:ascii="宋体" w:hAnsi="宋体" w:eastAsia="宋体" w:cs="宋体"/>
                <w:color w:val="auto"/>
                <w:highlight w:val="none"/>
              </w:rPr>
            </w:pPr>
          </w:p>
        </w:tc>
        <w:tc>
          <w:tcPr>
            <w:tcW w:w="1416" w:type="dxa"/>
            <w:noWrap w:val="0"/>
            <w:vAlign w:val="center"/>
          </w:tcPr>
          <w:p w14:paraId="52F1DEE8">
            <w:pPr>
              <w:jc w:val="center"/>
              <w:rPr>
                <w:rFonts w:hint="eastAsia" w:ascii="宋体" w:hAnsi="宋体" w:eastAsia="宋体" w:cs="宋体"/>
                <w:color w:val="auto"/>
                <w:highlight w:val="none"/>
              </w:rPr>
            </w:pPr>
          </w:p>
        </w:tc>
      </w:tr>
      <w:tr w14:paraId="7C58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14F5216C">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352" w:type="dxa"/>
            <w:noWrap w:val="0"/>
            <w:vAlign w:val="center"/>
          </w:tcPr>
          <w:p w14:paraId="55245328">
            <w:pPr>
              <w:jc w:val="center"/>
              <w:rPr>
                <w:rFonts w:hint="eastAsia" w:ascii="宋体" w:hAnsi="宋体" w:eastAsia="宋体" w:cs="宋体"/>
                <w:color w:val="auto"/>
                <w:highlight w:val="none"/>
              </w:rPr>
            </w:pPr>
          </w:p>
        </w:tc>
        <w:tc>
          <w:tcPr>
            <w:tcW w:w="1222" w:type="dxa"/>
            <w:gridSpan w:val="2"/>
            <w:noWrap w:val="0"/>
            <w:vAlign w:val="center"/>
          </w:tcPr>
          <w:p w14:paraId="1F868677">
            <w:pPr>
              <w:jc w:val="center"/>
              <w:rPr>
                <w:rFonts w:hint="eastAsia" w:ascii="宋体" w:hAnsi="宋体" w:eastAsia="宋体" w:cs="宋体"/>
                <w:color w:val="auto"/>
                <w:highlight w:val="none"/>
              </w:rPr>
            </w:pPr>
          </w:p>
        </w:tc>
        <w:tc>
          <w:tcPr>
            <w:tcW w:w="1417" w:type="dxa"/>
            <w:noWrap w:val="0"/>
            <w:vAlign w:val="center"/>
          </w:tcPr>
          <w:p w14:paraId="3DC1E347">
            <w:pPr>
              <w:jc w:val="center"/>
              <w:rPr>
                <w:rFonts w:hint="eastAsia" w:ascii="宋体" w:hAnsi="宋体" w:eastAsia="宋体" w:cs="宋体"/>
                <w:color w:val="auto"/>
                <w:highlight w:val="none"/>
              </w:rPr>
            </w:pPr>
          </w:p>
        </w:tc>
        <w:tc>
          <w:tcPr>
            <w:tcW w:w="1418" w:type="dxa"/>
            <w:gridSpan w:val="2"/>
            <w:noWrap w:val="0"/>
            <w:vAlign w:val="center"/>
          </w:tcPr>
          <w:p w14:paraId="7FF794EC">
            <w:pPr>
              <w:jc w:val="center"/>
              <w:rPr>
                <w:rFonts w:hint="eastAsia" w:ascii="宋体" w:hAnsi="宋体" w:eastAsia="宋体" w:cs="宋体"/>
                <w:color w:val="auto"/>
                <w:highlight w:val="none"/>
              </w:rPr>
            </w:pPr>
          </w:p>
        </w:tc>
        <w:tc>
          <w:tcPr>
            <w:tcW w:w="1632" w:type="dxa"/>
            <w:gridSpan w:val="3"/>
            <w:noWrap w:val="0"/>
            <w:vAlign w:val="center"/>
          </w:tcPr>
          <w:p w14:paraId="3C51A47B">
            <w:pPr>
              <w:jc w:val="center"/>
              <w:rPr>
                <w:rFonts w:hint="eastAsia" w:ascii="宋体" w:hAnsi="宋体" w:eastAsia="宋体" w:cs="宋体"/>
                <w:color w:val="auto"/>
                <w:highlight w:val="none"/>
              </w:rPr>
            </w:pPr>
          </w:p>
        </w:tc>
        <w:tc>
          <w:tcPr>
            <w:tcW w:w="1416" w:type="dxa"/>
            <w:noWrap w:val="0"/>
            <w:vAlign w:val="center"/>
          </w:tcPr>
          <w:p w14:paraId="59D47B7F">
            <w:pPr>
              <w:jc w:val="center"/>
              <w:rPr>
                <w:rFonts w:hint="eastAsia" w:ascii="宋体" w:hAnsi="宋体" w:eastAsia="宋体" w:cs="宋体"/>
                <w:color w:val="auto"/>
                <w:highlight w:val="none"/>
              </w:rPr>
            </w:pPr>
          </w:p>
        </w:tc>
      </w:tr>
    </w:tbl>
    <w:p w14:paraId="301F5732">
      <w:pPr>
        <w:spacing w:line="360" w:lineRule="auto"/>
        <w:ind w:firstLine="420" w:firstLineChars="200"/>
        <w:rPr>
          <w:rFonts w:hint="eastAsia" w:ascii="宋体" w:hAnsi="宋体" w:eastAsia="宋体" w:cs="宋体"/>
          <w:color w:val="auto"/>
          <w:highlight w:val="none"/>
        </w:rPr>
      </w:pPr>
    </w:p>
    <w:p w14:paraId="38BF5BA7">
      <w:pPr>
        <w:spacing w:line="360" w:lineRule="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备注：</w:t>
      </w:r>
    </w:p>
    <w:p w14:paraId="4C0F5EA7">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eastAsia="zh-CN"/>
        </w:rPr>
        <w:t>后附专职安全员岗位证书复印件、安全生产考核合格证书（C类）复印件、身份证复印件</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未</w:t>
      </w:r>
      <w:r>
        <w:rPr>
          <w:rFonts w:hint="eastAsia" w:ascii="宋体" w:hAnsi="宋体" w:eastAsia="宋体" w:cs="宋体"/>
          <w:b/>
          <w:bCs/>
          <w:color w:val="auto"/>
          <w:szCs w:val="21"/>
          <w:highlight w:val="none"/>
          <w:lang w:eastAsia="zh-CN"/>
        </w:rPr>
        <w:t>提供以上材料的</w:t>
      </w:r>
      <w:r>
        <w:rPr>
          <w:rFonts w:hint="eastAsia" w:ascii="宋体" w:hAnsi="宋体" w:eastAsia="宋体" w:cs="宋体"/>
          <w:b/>
          <w:bCs/>
          <w:color w:val="auto"/>
          <w:szCs w:val="21"/>
          <w:highlight w:val="none"/>
        </w:rPr>
        <w:t>，在评审时不予承认。</w:t>
      </w:r>
    </w:p>
    <w:p w14:paraId="36535A2E">
      <w:pPr>
        <w:spacing w:line="360" w:lineRule="auto"/>
        <w:ind w:firstLine="420" w:firstLineChars="200"/>
        <w:rPr>
          <w:rFonts w:hint="eastAsia" w:ascii="宋体" w:hAnsi="宋体" w:eastAsia="宋体" w:cs="宋体"/>
          <w:color w:val="auto"/>
          <w:highlight w:val="none"/>
        </w:rPr>
      </w:pPr>
    </w:p>
    <w:p w14:paraId="492A5645">
      <w:pPr>
        <w:spacing w:line="360" w:lineRule="auto"/>
        <w:ind w:firstLine="420" w:firstLineChars="200"/>
        <w:rPr>
          <w:rFonts w:hint="eastAsia" w:ascii="宋体" w:hAnsi="宋体" w:eastAsia="宋体" w:cs="宋体"/>
          <w:color w:val="auto"/>
          <w:highlight w:val="none"/>
        </w:rPr>
      </w:pPr>
    </w:p>
    <w:p w14:paraId="0FEE339D">
      <w:pPr>
        <w:pStyle w:val="14"/>
        <w:spacing w:line="400" w:lineRule="exact"/>
        <w:ind w:right="-754" w:rightChars="-359" w:firstLine="5040" w:firstLineChars="2400"/>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b/>
          <w:bCs/>
          <w:sz w:val="21"/>
          <w:szCs w:val="21"/>
          <w:highlight w:val="none"/>
        </w:rPr>
        <w:t>（CA电子签章）</w:t>
      </w:r>
      <w:r>
        <w:rPr>
          <w:rFonts w:hint="eastAsia" w:ascii="宋体" w:hAnsi="宋体" w:eastAsia="宋体" w:cs="宋体"/>
          <w:sz w:val="21"/>
          <w:szCs w:val="21"/>
          <w:highlight w:val="none"/>
        </w:rPr>
        <w:t>：</w:t>
      </w:r>
      <w:r>
        <w:rPr>
          <w:rFonts w:hint="eastAsia" w:ascii="宋体" w:hAnsi="宋体" w:eastAsia="宋体" w:cs="宋体"/>
          <w:sz w:val="21"/>
          <w:szCs w:val="18"/>
          <w:highlight w:val="none"/>
          <w:u w:val="single"/>
        </w:rPr>
        <w:t xml:space="preserve">                </w:t>
      </w:r>
      <w:r>
        <w:rPr>
          <w:rFonts w:hint="eastAsia" w:ascii="宋体" w:hAnsi="宋体" w:eastAsia="宋体" w:cs="宋体"/>
          <w:sz w:val="21"/>
          <w:szCs w:val="21"/>
          <w:highlight w:val="none"/>
        </w:rPr>
        <w:t xml:space="preserve">  </w:t>
      </w:r>
    </w:p>
    <w:p w14:paraId="75C3422C">
      <w:pPr>
        <w:spacing w:line="360" w:lineRule="exact"/>
        <w:ind w:firstLine="6300" w:firstLineChars="3000"/>
        <w:jc w:val="right"/>
        <w:rPr>
          <w:rFonts w:hint="eastAsia" w:ascii="宋体" w:hAnsi="宋体" w:eastAsia="宋体" w:cs="宋体"/>
          <w:szCs w:val="21"/>
          <w:highlight w:val="none"/>
        </w:rPr>
      </w:pPr>
      <w:r>
        <w:rPr>
          <w:rFonts w:hint="eastAsia" w:ascii="宋体" w:hAnsi="宋体" w:eastAsia="宋体" w:cs="宋体"/>
          <w:sz w:val="21"/>
          <w:szCs w:val="21"/>
          <w:highlight w:val="none"/>
        </w:rPr>
        <w:t xml:space="preserve">                                                  日期：       年   月   日</w:t>
      </w:r>
    </w:p>
    <w:p w14:paraId="7F75C8C4">
      <w:pPr>
        <w:spacing w:line="400" w:lineRule="exact"/>
        <w:ind w:firstLine="211" w:firstLineChars="100"/>
        <w:outlineLvl w:val="3"/>
        <w:rPr>
          <w:rFonts w:hint="eastAsia" w:ascii="宋体" w:hAnsi="宋体" w:eastAsia="宋体" w:cs="宋体"/>
          <w:b/>
          <w:bCs/>
          <w:sz w:val="28"/>
          <w:szCs w:val="28"/>
          <w:highlight w:val="none"/>
        </w:rPr>
      </w:pPr>
      <w:r>
        <w:rPr>
          <w:rFonts w:hint="eastAsia" w:ascii="宋体" w:hAnsi="宋体" w:eastAsia="宋体" w:cs="宋体"/>
          <w:b/>
          <w:bCs/>
          <w:szCs w:val="21"/>
          <w:highlight w:val="none"/>
        </w:rPr>
        <w:br w:type="page"/>
      </w:r>
      <w:r>
        <w:rPr>
          <w:rFonts w:hint="eastAsia" w:ascii="宋体" w:hAnsi="宋体" w:eastAsia="宋体" w:cs="宋体"/>
          <w:b/>
          <w:bCs/>
          <w:color w:val="auto"/>
          <w:sz w:val="28"/>
          <w:szCs w:val="28"/>
          <w:highlight w:val="none"/>
          <w:lang w:val="en-US" w:eastAsia="zh-CN"/>
        </w:rPr>
        <w:t>⑤项目经理无在监项目承诺书</w:t>
      </w:r>
    </w:p>
    <w:p w14:paraId="5870AB35">
      <w:pPr>
        <w:spacing w:line="400" w:lineRule="exact"/>
        <w:outlineLvl w:val="9"/>
        <w:rPr>
          <w:rFonts w:hint="eastAsia" w:ascii="宋体" w:hAnsi="宋体" w:eastAsia="宋体" w:cs="宋体"/>
          <w:b/>
          <w:bCs/>
          <w:szCs w:val="21"/>
          <w:highlight w:val="none"/>
        </w:rPr>
      </w:pPr>
    </w:p>
    <w:p w14:paraId="5812B642">
      <w:pPr>
        <w:spacing w:line="400" w:lineRule="exact"/>
        <w:outlineLvl w:val="9"/>
        <w:rPr>
          <w:rFonts w:hint="eastAsia" w:ascii="宋体" w:hAnsi="宋体" w:eastAsia="宋体" w:cs="宋体"/>
          <w:b/>
          <w:bCs/>
          <w:szCs w:val="21"/>
          <w:highlight w:val="none"/>
        </w:rPr>
      </w:pPr>
    </w:p>
    <w:p w14:paraId="26D5A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Cs w:val="21"/>
          <w:highlight w:val="none"/>
        </w:rPr>
      </w:pPr>
      <w:r>
        <w:rPr>
          <w:rFonts w:hint="eastAsia" w:ascii="宋体" w:hAnsi="宋体" w:eastAsia="宋体"/>
          <w:b/>
          <w:color w:val="auto"/>
          <w:sz w:val="32"/>
          <w:szCs w:val="32"/>
          <w:highlight w:val="none"/>
        </w:rPr>
        <w:t>承诺书</w:t>
      </w:r>
    </w:p>
    <w:p w14:paraId="444BF42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现承诺我单位投入本工程的项目经理是本单位的在岗人员，且不在任何在建工程、已中标（成交）未开工或已列为其他项目中标（成交）候选人第一名的建造师担任项目经理。如我单位有不符合上述要求的，招标人有权依法依规取消我单位中标资格。</w:t>
      </w:r>
    </w:p>
    <w:p w14:paraId="54C8AB85">
      <w:pPr>
        <w:pStyle w:val="7"/>
        <w:rPr>
          <w:rFonts w:hint="eastAsia" w:ascii="宋体" w:hAnsi="宋体" w:eastAsia="宋体" w:cs="宋体"/>
          <w:color w:val="auto"/>
          <w:kern w:val="2"/>
          <w:sz w:val="24"/>
          <w:szCs w:val="32"/>
          <w:highlight w:val="none"/>
          <w:lang w:val="en-US" w:eastAsia="zh-CN" w:bidi="ar-SA"/>
        </w:rPr>
      </w:pPr>
    </w:p>
    <w:p w14:paraId="205D24FC">
      <w:pPr>
        <w:rPr>
          <w:rFonts w:hint="eastAsia" w:ascii="宋体" w:hAnsi="宋体" w:eastAsia="宋体" w:cs="宋体"/>
          <w:color w:val="auto"/>
          <w:kern w:val="2"/>
          <w:sz w:val="24"/>
          <w:szCs w:val="32"/>
          <w:highlight w:val="none"/>
          <w:lang w:val="en-US" w:eastAsia="zh-CN" w:bidi="ar-SA"/>
        </w:rPr>
      </w:pPr>
    </w:p>
    <w:p w14:paraId="292BAA34">
      <w:pPr>
        <w:rPr>
          <w:rFonts w:hint="eastAsia" w:ascii="宋体" w:hAnsi="宋体" w:eastAsia="宋体" w:cs="宋体"/>
          <w:color w:val="auto"/>
          <w:kern w:val="2"/>
          <w:sz w:val="24"/>
          <w:szCs w:val="32"/>
          <w:highlight w:val="none"/>
          <w:lang w:val="en-US" w:eastAsia="zh-CN" w:bidi="ar-SA"/>
        </w:rPr>
      </w:pPr>
    </w:p>
    <w:p w14:paraId="4023DBBC">
      <w:pPr>
        <w:snapToGrid w:val="0"/>
        <w:spacing w:before="50" w:after="50" w:line="400" w:lineRule="exact"/>
        <w:ind w:left="-2" w:leftChars="-1" w:right="57" w:rightChars="27" w:firstLine="440" w:firstLineChars="200"/>
        <w:jc w:val="left"/>
        <w:rPr>
          <w:rFonts w:hint="eastAsia" w:ascii="宋体" w:hAnsi="宋体" w:eastAsia="宋体" w:cs="宋体"/>
          <w:sz w:val="24"/>
          <w:szCs w:val="24"/>
          <w:highlight w:val="none"/>
        </w:rPr>
      </w:pPr>
      <w:r>
        <w:rPr>
          <w:rFonts w:hint="eastAsia" w:ascii="宋体" w:hAnsi="宋体" w:eastAsia="宋体" w:cs="宋体"/>
          <w:sz w:val="22"/>
          <w:szCs w:val="22"/>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法定代表人或委托代理人</w:t>
      </w:r>
      <w:r>
        <w:rPr>
          <w:rFonts w:hint="eastAsia" w:ascii="宋体" w:hAnsi="宋体" w:eastAsia="宋体" w:cs="宋体"/>
          <w:b/>
          <w:bCs/>
          <w:sz w:val="24"/>
          <w:szCs w:val="24"/>
          <w:highlight w:val="none"/>
        </w:rPr>
        <w:t>（签字或盖章）：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EE995D3">
      <w:pPr>
        <w:pStyle w:val="14"/>
        <w:spacing w:line="400" w:lineRule="exact"/>
        <w:ind w:left="0" w:leftChars="0" w:firstLine="3871" w:firstLineChars="1613"/>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b/>
          <w:bCs/>
          <w:sz w:val="24"/>
          <w:szCs w:val="24"/>
          <w:highlight w:val="none"/>
        </w:rPr>
        <w:t>（CA电子签章）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73232BF">
      <w:pPr>
        <w:snapToGrid w:val="0"/>
        <w:spacing w:before="50" w:after="50" w:line="400" w:lineRule="exact"/>
        <w:ind w:right="-817" w:rightChars="-389"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日期：       年   月   日</w:t>
      </w:r>
    </w:p>
    <w:p w14:paraId="66C051A3">
      <w:pPr>
        <w:rPr>
          <w:rFonts w:ascii="宋体" w:hAnsi="宋体" w:eastAsia="宋体" w:cs="宋体"/>
          <w:spacing w:val="18"/>
          <w:sz w:val="19"/>
          <w:szCs w:val="19"/>
        </w:rPr>
      </w:pPr>
      <w:r>
        <w:rPr>
          <w:rFonts w:ascii="宋体" w:hAnsi="宋体" w:eastAsia="宋体" w:cs="宋体"/>
          <w:spacing w:val="18"/>
          <w:sz w:val="19"/>
          <w:szCs w:val="19"/>
        </w:rPr>
        <w:br w:type="page"/>
      </w:r>
    </w:p>
    <w:p w14:paraId="648DC22A">
      <w:pPr>
        <w:rPr>
          <w:rFonts w:hint="eastAsia"/>
          <w:lang w:val="en-US" w:eastAsia="zh-CN"/>
        </w:rPr>
      </w:pPr>
    </w:p>
    <w:p w14:paraId="571086CD">
      <w:pPr>
        <w:rPr>
          <w:rFonts w:hint="eastAsia"/>
          <w:lang w:val="en-US" w:eastAsia="zh-CN"/>
        </w:rPr>
      </w:pPr>
    </w:p>
    <w:p w14:paraId="4922439A">
      <w:pPr>
        <w:rPr>
          <w:rFonts w:hint="eastAsia"/>
          <w:lang w:val="en-US" w:eastAsia="zh-CN"/>
        </w:rPr>
      </w:pPr>
    </w:p>
    <w:p w14:paraId="360BC3D7">
      <w:pPr>
        <w:keepNext w:val="0"/>
        <w:keepLines w:val="0"/>
        <w:pageBreakBefore w:val="0"/>
        <w:widowControl w:val="0"/>
        <w:kinsoku/>
        <w:wordWrap/>
        <w:overflowPunct w:val="0"/>
        <w:topLinePunct w:val="0"/>
        <w:autoSpaceDE w:val="0"/>
        <w:autoSpaceDN w:val="0"/>
        <w:bidi w:val="0"/>
        <w:adjustRightInd w:val="0"/>
        <w:snapToGrid w:val="0"/>
        <w:spacing w:before="154" w:line="228" w:lineRule="auto"/>
        <w:ind w:left="0"/>
        <w:jc w:val="center"/>
        <w:textAlignment w:val="baseline"/>
        <w:outlineLvl w:val="2"/>
        <w:rPr>
          <w:rFonts w:hint="eastAsia" w:ascii="宋体" w:hAnsi="宋体" w:eastAsia="宋体" w:cs="宋体"/>
          <w:b/>
          <w:bCs/>
          <w:sz w:val="28"/>
          <w:szCs w:val="28"/>
          <w:highlight w:val="none"/>
        </w:rPr>
      </w:pPr>
      <w:bookmarkStart w:id="237" w:name="_Toc4723"/>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除</w:t>
      </w: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文件规定必须提供以外，供应商认为需要提供的其他证明材料</w:t>
      </w:r>
      <w:bookmarkEnd w:id="237"/>
    </w:p>
    <w:p w14:paraId="17125AB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FF1DA06">
      <w:pPr>
        <w:keepNext w:val="0"/>
        <w:keepLines w:val="0"/>
        <w:pageBreakBefore w:val="0"/>
        <w:widowControl w:val="0"/>
        <w:kinsoku/>
        <w:wordWrap/>
        <w:overflowPunct w:val="0"/>
        <w:topLinePunct w:val="0"/>
        <w:autoSpaceDE w:val="0"/>
        <w:autoSpaceDN w:val="0"/>
        <w:bidi w:val="0"/>
        <w:spacing w:line="282" w:lineRule="auto"/>
        <w:outlineLvl w:val="2"/>
        <w:rPr>
          <w:rFonts w:hint="default" w:ascii="宋体" w:hAnsi="宋体" w:eastAsia="宋体" w:cs="宋体"/>
          <w:sz w:val="24"/>
          <w:szCs w:val="24"/>
          <w:lang w:val="en-US" w:eastAsia="zh-CN"/>
        </w:rPr>
      </w:pPr>
      <w:bookmarkStart w:id="238" w:name="_Toc8087"/>
      <w:r>
        <w:rPr>
          <w:rFonts w:hint="eastAsia" w:ascii="宋体" w:hAnsi="宋体" w:eastAsia="宋体" w:cs="宋体"/>
          <w:sz w:val="24"/>
          <w:szCs w:val="24"/>
          <w:lang w:val="en-US" w:eastAsia="zh-CN"/>
        </w:rPr>
        <w:t>2.报价文件</w:t>
      </w:r>
      <w:bookmarkEnd w:id="238"/>
    </w:p>
    <w:p w14:paraId="68E0D4EA">
      <w:pPr>
        <w:keepNext w:val="0"/>
        <w:keepLines w:val="0"/>
        <w:pageBreakBefore w:val="0"/>
        <w:widowControl w:val="0"/>
        <w:kinsoku/>
        <w:wordWrap/>
        <w:overflowPunct w:val="0"/>
        <w:topLinePunct w:val="0"/>
        <w:autoSpaceDE w:val="0"/>
        <w:autoSpaceDN w:val="0"/>
        <w:bidi w:val="0"/>
        <w:spacing w:line="283" w:lineRule="auto"/>
        <w:rPr>
          <w:rFonts w:hint="eastAsia" w:ascii="宋体" w:hAnsi="宋体" w:eastAsia="宋体" w:cs="宋体"/>
          <w:sz w:val="24"/>
          <w:szCs w:val="24"/>
        </w:rPr>
      </w:pPr>
    </w:p>
    <w:p w14:paraId="5BE8984E">
      <w:pPr>
        <w:keepNext w:val="0"/>
        <w:keepLines w:val="0"/>
        <w:pageBreakBefore w:val="0"/>
        <w:widowControl w:val="0"/>
        <w:kinsoku/>
        <w:wordWrap/>
        <w:overflowPunct w:val="0"/>
        <w:topLinePunct w:val="0"/>
        <w:autoSpaceDE w:val="0"/>
        <w:autoSpaceDN w:val="0"/>
        <w:bidi w:val="0"/>
        <w:spacing w:line="283" w:lineRule="auto"/>
        <w:rPr>
          <w:rFonts w:hint="eastAsia" w:ascii="宋体" w:hAnsi="宋体" w:eastAsia="宋体" w:cs="宋体"/>
          <w:sz w:val="24"/>
          <w:szCs w:val="24"/>
        </w:rPr>
      </w:pPr>
    </w:p>
    <w:p w14:paraId="7E8CE259">
      <w:pPr>
        <w:keepNext w:val="0"/>
        <w:keepLines w:val="0"/>
        <w:pageBreakBefore w:val="0"/>
        <w:widowControl w:val="0"/>
        <w:kinsoku/>
        <w:wordWrap/>
        <w:overflowPunct w:val="0"/>
        <w:topLinePunct w:val="0"/>
        <w:autoSpaceDE w:val="0"/>
        <w:autoSpaceDN w:val="0"/>
        <w:bidi w:val="0"/>
        <w:spacing w:line="277" w:lineRule="exact"/>
        <w:textAlignment w:val="center"/>
        <w:rPr>
          <w:rFonts w:hint="eastAsia" w:ascii="宋体" w:hAnsi="宋体" w:eastAsia="宋体" w:cs="宋体"/>
          <w:sz w:val="24"/>
          <w:szCs w:val="24"/>
        </w:rPr>
      </w:pPr>
    </w:p>
    <w:p w14:paraId="1248DEAC">
      <w:pPr>
        <w:keepNext w:val="0"/>
        <w:keepLines w:val="0"/>
        <w:pageBreakBefore w:val="0"/>
        <w:widowControl w:val="0"/>
        <w:kinsoku/>
        <w:wordWrap/>
        <w:overflowPunct w:val="0"/>
        <w:topLinePunct w:val="0"/>
        <w:autoSpaceDE w:val="0"/>
        <w:autoSpaceDN w:val="0"/>
        <w:bidi w:val="0"/>
        <w:spacing w:before="244" w:line="228" w:lineRule="auto"/>
        <w:ind w:right="155"/>
        <w:jc w:val="center"/>
        <w:rPr>
          <w:rFonts w:hint="eastAsia" w:ascii="宋体" w:hAnsi="宋体" w:eastAsia="宋体" w:cs="宋体"/>
          <w:spacing w:val="6"/>
          <w:sz w:val="24"/>
          <w:szCs w:val="24"/>
        </w:rPr>
      </w:pPr>
      <w:r>
        <w:rPr>
          <w:rFonts w:hint="eastAsia" w:ascii="宋体" w:hAnsi="宋体" w:eastAsia="宋体" w:cs="宋体"/>
          <w:spacing w:val="10"/>
          <w:sz w:val="24"/>
          <w:szCs w:val="24"/>
        </w:rPr>
        <w:t>电</w:t>
      </w:r>
      <w:r>
        <w:rPr>
          <w:rFonts w:hint="eastAsia" w:ascii="宋体" w:hAnsi="宋体" w:eastAsia="宋体" w:cs="宋体"/>
          <w:spacing w:val="6"/>
          <w:sz w:val="24"/>
          <w:szCs w:val="24"/>
        </w:rPr>
        <w:t>子投标文件</w:t>
      </w:r>
    </w:p>
    <w:p w14:paraId="33DF1FD4">
      <w:pPr>
        <w:keepNext w:val="0"/>
        <w:keepLines w:val="0"/>
        <w:pageBreakBefore w:val="0"/>
        <w:widowControl w:val="0"/>
        <w:kinsoku/>
        <w:wordWrap/>
        <w:overflowPunct w:val="0"/>
        <w:topLinePunct w:val="0"/>
        <w:autoSpaceDE w:val="0"/>
        <w:autoSpaceDN w:val="0"/>
        <w:bidi w:val="0"/>
        <w:outlineLvl w:val="9"/>
        <w:rPr>
          <w:rFonts w:hint="eastAsia"/>
        </w:rPr>
      </w:pPr>
    </w:p>
    <w:p w14:paraId="5F57CA4B">
      <w:pPr>
        <w:keepNext w:val="0"/>
        <w:keepLines w:val="0"/>
        <w:pageBreakBefore w:val="0"/>
        <w:widowControl w:val="0"/>
        <w:kinsoku/>
        <w:wordWrap/>
        <w:overflowPunct w:val="0"/>
        <w:topLinePunct w:val="0"/>
        <w:autoSpaceDE w:val="0"/>
        <w:autoSpaceDN w:val="0"/>
        <w:bidi w:val="0"/>
        <w:spacing w:before="98" w:line="225" w:lineRule="auto"/>
        <w:ind w:left="3849"/>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2"/>
          <w:sz w:val="24"/>
          <w:szCs w:val="24"/>
          <w:lang w:eastAsia="zh-CN"/>
        </w:rPr>
        <w:t>报价</w:t>
      </w:r>
      <w:r>
        <w:rPr>
          <w:rFonts w:hint="eastAsia" w:ascii="宋体" w:hAnsi="宋体" w:eastAsia="宋体" w:cs="宋体"/>
          <w:spacing w:val="22"/>
          <w:sz w:val="24"/>
          <w:szCs w:val="24"/>
        </w:rPr>
        <w:t>文件</w:t>
      </w:r>
      <w:r>
        <w:rPr>
          <w:rFonts w:hint="eastAsia" w:ascii="宋体" w:hAnsi="宋体" w:eastAsia="宋体" w:cs="宋体"/>
          <w:spacing w:val="21"/>
          <w:sz w:val="24"/>
          <w:szCs w:val="24"/>
        </w:rPr>
        <w:t>)</w:t>
      </w:r>
    </w:p>
    <w:p w14:paraId="77738E93">
      <w:pPr>
        <w:keepNext w:val="0"/>
        <w:keepLines w:val="0"/>
        <w:pageBreakBefore w:val="0"/>
        <w:widowControl w:val="0"/>
        <w:kinsoku/>
        <w:wordWrap/>
        <w:overflowPunct w:val="0"/>
        <w:topLinePunct w:val="0"/>
        <w:autoSpaceDE w:val="0"/>
        <w:autoSpaceDN w:val="0"/>
        <w:bidi w:val="0"/>
        <w:spacing w:before="216" w:line="228" w:lineRule="auto"/>
        <w:ind w:left="1107"/>
        <w:rPr>
          <w:rFonts w:hint="eastAsia" w:ascii="宋体" w:hAnsi="宋体" w:eastAsia="宋体" w:cs="宋体"/>
          <w:spacing w:val="10"/>
          <w:sz w:val="24"/>
          <w:szCs w:val="24"/>
        </w:rPr>
      </w:pPr>
    </w:p>
    <w:p w14:paraId="1AD8DB5A">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目名称：</w:t>
      </w:r>
      <w:r>
        <w:rPr>
          <w:rFonts w:hint="eastAsia" w:ascii="宋体" w:hAnsi="宋体" w:eastAsia="宋体" w:cs="宋体"/>
          <w:spacing w:val="8"/>
          <w:sz w:val="24"/>
          <w:szCs w:val="24"/>
          <w:u w:val="single"/>
          <w:lang w:val="en-US" w:eastAsia="zh-CN"/>
        </w:rPr>
        <w:t xml:space="preserve">                                         </w:t>
      </w:r>
    </w:p>
    <w:p w14:paraId="75BCA766">
      <w:pPr>
        <w:keepNext w:val="0"/>
        <w:keepLines w:val="0"/>
        <w:pageBreakBefore w:val="0"/>
        <w:widowControl w:val="0"/>
        <w:kinsoku/>
        <w:wordWrap/>
        <w:overflowPunct w:val="0"/>
        <w:topLinePunct w:val="0"/>
        <w:autoSpaceDE w:val="0"/>
        <w:autoSpaceDN w:val="0"/>
        <w:bidi w:val="0"/>
        <w:spacing w:line="258" w:lineRule="auto"/>
        <w:rPr>
          <w:rFonts w:hint="eastAsia" w:ascii="宋体" w:hAnsi="宋体" w:eastAsia="宋体" w:cs="宋体"/>
          <w:sz w:val="24"/>
          <w:szCs w:val="24"/>
        </w:rPr>
      </w:pPr>
    </w:p>
    <w:p w14:paraId="63EF15F4">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26B9ED51">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6651A517">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目编号：</w:t>
      </w:r>
      <w:r>
        <w:rPr>
          <w:rFonts w:hint="eastAsia" w:ascii="宋体" w:hAnsi="宋体" w:eastAsia="宋体" w:cs="宋体"/>
          <w:spacing w:val="8"/>
          <w:sz w:val="24"/>
          <w:szCs w:val="24"/>
          <w:u w:val="single"/>
          <w:lang w:val="en-US" w:eastAsia="zh-CN"/>
        </w:rPr>
        <w:t xml:space="preserve">                                         </w:t>
      </w:r>
    </w:p>
    <w:p w14:paraId="3BCA9CA6">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056C4E4E">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66495DB6">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5B759FB6">
      <w:pPr>
        <w:keepNext w:val="0"/>
        <w:keepLines w:val="0"/>
        <w:pageBreakBefore w:val="0"/>
        <w:widowControl w:val="0"/>
        <w:kinsoku/>
        <w:wordWrap/>
        <w:overflowPunct w:val="0"/>
        <w:topLinePunct w:val="0"/>
        <w:autoSpaceDE w:val="0"/>
        <w:autoSpaceDN w:val="0"/>
        <w:bidi w:val="0"/>
        <w:spacing w:before="72" w:line="228" w:lineRule="auto"/>
        <w:ind w:left="1101"/>
        <w:rPr>
          <w:rFonts w:hint="eastAsia" w:ascii="宋体" w:hAnsi="宋体" w:eastAsia="宋体" w:cs="宋体"/>
          <w:sz w:val="24"/>
          <w:szCs w:val="24"/>
        </w:rPr>
      </w:pPr>
      <w:r>
        <w:rPr>
          <w:rFonts w:hint="eastAsia" w:ascii="宋体" w:hAnsi="宋体" w:eastAsia="宋体" w:cs="宋体"/>
          <w:spacing w:val="8"/>
          <w:sz w:val="24"/>
          <w:szCs w:val="24"/>
        </w:rPr>
        <w:t xml:space="preserve">标  </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项：    (如有则填写，无分标时填写“无”或者留空)</w:t>
      </w:r>
    </w:p>
    <w:p w14:paraId="64D7205F">
      <w:pPr>
        <w:keepNext w:val="0"/>
        <w:keepLines w:val="0"/>
        <w:pageBreakBefore w:val="0"/>
        <w:widowControl w:val="0"/>
        <w:kinsoku/>
        <w:wordWrap/>
        <w:overflowPunct w:val="0"/>
        <w:topLinePunct w:val="0"/>
        <w:autoSpaceDE w:val="0"/>
        <w:autoSpaceDN w:val="0"/>
        <w:bidi w:val="0"/>
        <w:spacing w:line="291" w:lineRule="auto"/>
        <w:rPr>
          <w:rFonts w:hint="eastAsia" w:ascii="宋体" w:hAnsi="宋体" w:eastAsia="宋体" w:cs="宋体"/>
          <w:sz w:val="24"/>
          <w:szCs w:val="24"/>
        </w:rPr>
      </w:pPr>
    </w:p>
    <w:p w14:paraId="3E651166">
      <w:pPr>
        <w:keepNext w:val="0"/>
        <w:keepLines w:val="0"/>
        <w:pageBreakBefore w:val="0"/>
        <w:widowControl w:val="0"/>
        <w:kinsoku/>
        <w:wordWrap/>
        <w:overflowPunct w:val="0"/>
        <w:topLinePunct w:val="0"/>
        <w:autoSpaceDE w:val="0"/>
        <w:autoSpaceDN w:val="0"/>
        <w:bidi w:val="0"/>
        <w:spacing w:line="292" w:lineRule="auto"/>
        <w:rPr>
          <w:rFonts w:hint="eastAsia" w:ascii="宋体" w:hAnsi="宋体" w:eastAsia="宋体" w:cs="宋体"/>
          <w:sz w:val="24"/>
          <w:szCs w:val="24"/>
        </w:rPr>
      </w:pPr>
    </w:p>
    <w:p w14:paraId="59FC5BB2">
      <w:pPr>
        <w:keepNext w:val="0"/>
        <w:keepLines w:val="0"/>
        <w:pageBreakBefore w:val="0"/>
        <w:widowControl w:val="0"/>
        <w:kinsoku/>
        <w:wordWrap/>
        <w:overflowPunct w:val="0"/>
        <w:topLinePunct w:val="0"/>
        <w:autoSpaceDE w:val="0"/>
        <w:autoSpaceDN w:val="0"/>
        <w:bidi w:val="0"/>
        <w:spacing w:before="72" w:line="227" w:lineRule="auto"/>
        <w:ind w:left="1021"/>
        <w:rPr>
          <w:rFonts w:hint="eastAsia" w:ascii="宋体" w:hAnsi="宋体" w:eastAsia="宋体" w:cs="宋体"/>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(加盖单位电子</w:t>
      </w:r>
      <w:r>
        <w:rPr>
          <w:rFonts w:hint="eastAsia" w:ascii="宋体" w:hAnsi="宋体" w:eastAsia="宋体" w:cs="宋体"/>
          <w:sz w:val="24"/>
          <w:szCs w:val="24"/>
        </w:rPr>
        <w:t>公章)</w:t>
      </w:r>
    </w:p>
    <w:p w14:paraId="3F9C72A3">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23A10375">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1E8C1695">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1"/>
          <w:sz w:val="24"/>
          <w:szCs w:val="24"/>
          <w:lang w:eastAsia="zh-CN"/>
        </w:rPr>
        <w:t>供应商</w:t>
      </w:r>
      <w:r>
        <w:rPr>
          <w:rFonts w:hint="eastAsia" w:ascii="宋体" w:hAnsi="宋体" w:eastAsia="宋体" w:cs="宋体"/>
          <w:spacing w:val="10"/>
          <w:sz w:val="24"/>
          <w:szCs w:val="24"/>
        </w:rPr>
        <w:t>地址：</w:t>
      </w:r>
      <w:r>
        <w:rPr>
          <w:rFonts w:hint="eastAsia" w:ascii="宋体" w:hAnsi="宋体" w:eastAsia="宋体" w:cs="宋体"/>
          <w:spacing w:val="8"/>
          <w:sz w:val="24"/>
          <w:szCs w:val="24"/>
          <w:u w:val="single"/>
          <w:lang w:val="en-US" w:eastAsia="zh-CN"/>
        </w:rPr>
        <w:t xml:space="preserve">                                         </w:t>
      </w:r>
    </w:p>
    <w:p w14:paraId="56E5DFBB">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75F16199">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31F9ADBB">
      <w:pPr>
        <w:keepNext w:val="0"/>
        <w:keepLines w:val="0"/>
        <w:pageBreakBefore w:val="0"/>
        <w:widowControl w:val="0"/>
        <w:kinsoku/>
        <w:wordWrap/>
        <w:overflowPunct w:val="0"/>
        <w:topLinePunct w:val="0"/>
        <w:autoSpaceDE w:val="0"/>
        <w:autoSpaceDN w:val="0"/>
        <w:bidi w:val="0"/>
        <w:spacing w:before="71" w:line="228" w:lineRule="auto"/>
        <w:ind w:left="5889"/>
        <w:rPr>
          <w:rFonts w:hint="eastAsia" w:ascii="宋体" w:hAnsi="宋体" w:eastAsia="宋体" w:cs="宋体"/>
          <w:sz w:val="24"/>
          <w:szCs w:val="24"/>
        </w:rPr>
      </w:pPr>
      <w:r>
        <w:rPr>
          <w:rFonts w:hint="eastAsia" w:ascii="宋体" w:hAnsi="宋体" w:eastAsia="宋体" w:cs="宋体"/>
          <w:spacing w:val="21"/>
          <w:sz w:val="24"/>
          <w:szCs w:val="24"/>
        </w:rPr>
        <w:t>年  月  日</w:t>
      </w:r>
    </w:p>
    <w:p w14:paraId="116FF908">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19" w:type="default"/>
          <w:pgSz w:w="11906" w:h="16838"/>
          <w:pgMar w:top="1304" w:right="1304" w:bottom="1304" w:left="1304" w:header="0" w:footer="675" w:gutter="0"/>
          <w:pgNumType w:fmt="decimal"/>
          <w:cols w:space="425" w:num="1"/>
          <w:rtlGutter w:val="0"/>
          <w:docGrid w:linePitch="0" w:charSpace="0"/>
        </w:sectPr>
      </w:pPr>
    </w:p>
    <w:p w14:paraId="298A31DC">
      <w:pPr>
        <w:keepNext w:val="0"/>
        <w:keepLines w:val="0"/>
        <w:pageBreakBefore w:val="0"/>
        <w:widowControl w:val="0"/>
        <w:kinsoku/>
        <w:wordWrap/>
        <w:overflowPunct w:val="0"/>
        <w:topLinePunct w:val="0"/>
        <w:autoSpaceDE w:val="0"/>
        <w:autoSpaceDN w:val="0"/>
        <w:bidi w:val="0"/>
        <w:rPr>
          <w:rFonts w:hint="eastAsia" w:ascii="Arial" w:eastAsia="宋体"/>
          <w:sz w:val="21"/>
          <w:lang w:eastAsia="zh-CN"/>
        </w:rPr>
      </w:pPr>
    </w:p>
    <w:p w14:paraId="707F3B8E">
      <w:pPr>
        <w:keepNext w:val="0"/>
        <w:keepLines w:val="0"/>
        <w:pageBreakBefore w:val="0"/>
        <w:widowControl w:val="0"/>
        <w:kinsoku/>
        <w:wordWrap/>
        <w:overflowPunct w:val="0"/>
        <w:topLinePunct w:val="0"/>
        <w:autoSpaceDE w:val="0"/>
        <w:autoSpaceDN w:val="0"/>
        <w:bidi w:val="0"/>
        <w:rPr>
          <w:rFonts w:ascii="Arial"/>
          <w:sz w:val="24"/>
          <w:szCs w:val="24"/>
        </w:rPr>
      </w:pPr>
    </w:p>
    <w:p w14:paraId="040C3241">
      <w:pPr>
        <w:keepNext w:val="0"/>
        <w:keepLines w:val="0"/>
        <w:pageBreakBefore w:val="0"/>
        <w:widowControl w:val="0"/>
        <w:kinsoku/>
        <w:wordWrap/>
        <w:overflowPunct w:val="0"/>
        <w:topLinePunct w:val="0"/>
        <w:autoSpaceDE w:val="0"/>
        <w:autoSpaceDN w:val="0"/>
        <w:bidi w:val="0"/>
        <w:jc w:val="center"/>
        <w:rPr>
          <w:rFonts w:hint="eastAsia" w:ascii="Arial" w:eastAsia="宋体"/>
          <w:sz w:val="24"/>
          <w:szCs w:val="24"/>
          <w:lang w:eastAsia="zh-CN"/>
        </w:rPr>
      </w:pPr>
      <w:r>
        <w:rPr>
          <w:rFonts w:hint="eastAsia" w:eastAsia="宋体"/>
          <w:sz w:val="24"/>
          <w:szCs w:val="24"/>
          <w:lang w:eastAsia="zh-CN"/>
        </w:rPr>
        <w:t>目录</w:t>
      </w:r>
    </w:p>
    <w:p w14:paraId="3011AD0B">
      <w:pPr>
        <w:keepNext w:val="0"/>
        <w:keepLines w:val="0"/>
        <w:pageBreakBefore w:val="0"/>
        <w:widowControl w:val="0"/>
        <w:kinsoku/>
        <w:wordWrap/>
        <w:overflowPunct w:val="0"/>
        <w:topLinePunct w:val="0"/>
        <w:autoSpaceDE w:val="0"/>
        <w:autoSpaceDN w:val="0"/>
        <w:bidi w:val="0"/>
        <w:rPr>
          <w:rFonts w:ascii="Arial"/>
          <w:sz w:val="24"/>
          <w:szCs w:val="24"/>
        </w:rPr>
      </w:pPr>
    </w:p>
    <w:p w14:paraId="23D6E9A4">
      <w:pPr>
        <w:keepNext w:val="0"/>
        <w:keepLines w:val="0"/>
        <w:pageBreakBefore w:val="0"/>
        <w:widowControl w:val="0"/>
        <w:kinsoku/>
        <w:wordWrap/>
        <w:overflowPunct w:val="0"/>
        <w:topLinePunct w:val="0"/>
        <w:autoSpaceDE w:val="0"/>
        <w:autoSpaceDN w:val="0"/>
        <w:bidi w:val="0"/>
        <w:spacing w:line="331" w:lineRule="exact"/>
        <w:textAlignment w:val="center"/>
        <w:rPr>
          <w:sz w:val="24"/>
          <w:szCs w:val="24"/>
        </w:rPr>
      </w:pPr>
    </w:p>
    <w:p w14:paraId="5C8DD348">
      <w:pPr>
        <w:keepNext w:val="0"/>
        <w:keepLines w:val="0"/>
        <w:pageBreakBefore w:val="0"/>
        <w:widowControl w:val="0"/>
        <w:kinsoku/>
        <w:wordWrap/>
        <w:overflowPunct w:val="0"/>
        <w:topLinePunct w:val="0"/>
        <w:autoSpaceDE w:val="0"/>
        <w:autoSpaceDN w:val="0"/>
        <w:bidi w:val="0"/>
        <w:spacing w:line="474" w:lineRule="auto"/>
        <w:rPr>
          <w:rFonts w:ascii="Arial"/>
          <w:sz w:val="24"/>
          <w:szCs w:val="24"/>
        </w:rPr>
      </w:pPr>
    </w:p>
    <w:p w14:paraId="7DF1622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Arial"/>
          <w:sz w:val="24"/>
          <w:szCs w:val="24"/>
        </w:rPr>
      </w:pPr>
      <w:r>
        <w:rPr>
          <w:rFonts w:hint="eastAsia" w:asciiTheme="minorEastAsia" w:hAnsiTheme="minorEastAsia" w:eastAsiaTheme="minorEastAsia" w:cstheme="minorEastAsia"/>
          <w:snapToGrid/>
          <w:color w:val="auto"/>
          <w:kern w:val="2"/>
          <w:sz w:val="24"/>
          <w:szCs w:val="24"/>
          <w:lang w:val="en-US" w:eastAsia="zh-CN" w:bidi="ar-SA"/>
        </w:rPr>
        <w:t>(1)</w:t>
      </w:r>
      <w:r>
        <w:rPr>
          <w:rFonts w:hint="eastAsia" w:ascii="宋体" w:hAnsi="宋体" w:eastAsia="宋体" w:cs="宋体"/>
          <w:color w:val="auto"/>
          <w:kern w:val="0"/>
          <w:sz w:val="24"/>
          <w:szCs w:val="24"/>
          <w:highlight w:val="none"/>
          <w:lang w:eastAsia="zh-CN"/>
        </w:rPr>
        <w:t>报价表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（必须提供，否则响应文件按无效响应处理）</w:t>
      </w:r>
    </w:p>
    <w:p w14:paraId="23F9B0C9">
      <w:pPr>
        <w:keepNext w:val="0"/>
        <w:keepLines w:val="0"/>
        <w:pageBreakBefore w:val="0"/>
        <w:widowControl w:val="0"/>
        <w:tabs>
          <w:tab w:val="left" w:pos="1680"/>
        </w:tabs>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(2)投标函；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F9472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(3)投标函附录；</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EA386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(4)已标价工程量清单 ；</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1855BE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w:t>
      </w: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文件规定必须提供以外，供应商认为需要提供的其他证明材料；</w:t>
      </w:r>
    </w:p>
    <w:p w14:paraId="66EE97B7">
      <w:pPr>
        <w:rPr>
          <w:rFonts w:hint="eastAsia" w:ascii="宋体" w:hAnsi="宋体" w:eastAsia="宋体" w:cs="宋体"/>
          <w:sz w:val="24"/>
          <w:szCs w:val="24"/>
        </w:rPr>
      </w:pPr>
      <w:r>
        <w:rPr>
          <w:rFonts w:hint="eastAsia" w:ascii="宋体" w:hAnsi="宋体" w:eastAsia="宋体" w:cs="宋体"/>
          <w:sz w:val="24"/>
          <w:szCs w:val="24"/>
        </w:rPr>
        <w:br w:type="page"/>
      </w:r>
    </w:p>
    <w:p w14:paraId="390BF57E">
      <w:pPr>
        <w:keepNext w:val="0"/>
        <w:keepLines w:val="0"/>
        <w:pageBreakBefore w:val="0"/>
        <w:widowControl w:val="0"/>
        <w:kinsoku/>
        <w:wordWrap/>
        <w:overflowPunct w:val="0"/>
        <w:topLinePunct w:val="0"/>
        <w:autoSpaceDE w:val="0"/>
        <w:autoSpaceDN w:val="0"/>
        <w:bidi w:val="0"/>
        <w:spacing w:line="246" w:lineRule="auto"/>
        <w:rPr>
          <w:rFonts w:hint="eastAsia" w:ascii="宋体" w:hAnsi="宋体" w:eastAsia="宋体" w:cs="宋体"/>
          <w:sz w:val="24"/>
          <w:szCs w:val="24"/>
        </w:rPr>
      </w:pPr>
    </w:p>
    <w:p w14:paraId="28D6247D">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39" w:name="_Toc4069"/>
      <w:r>
        <w:rPr>
          <w:rFonts w:hint="eastAsia" w:ascii="宋体" w:hAnsi="宋体" w:eastAsia="宋体" w:cs="宋体"/>
          <w:b/>
          <w:bCs/>
          <w:snapToGrid w:val="0"/>
          <w:color w:val="auto"/>
          <w:kern w:val="0"/>
          <w:sz w:val="28"/>
          <w:szCs w:val="28"/>
          <w:highlight w:val="none"/>
          <w:lang w:val="en-US" w:eastAsia="zh-CN"/>
        </w:rPr>
        <w:t>(1) 报价表</w:t>
      </w:r>
    </w:p>
    <w:p w14:paraId="6E8DFF00">
      <w:pPr>
        <w:spacing w:line="276" w:lineRule="auto"/>
        <w:jc w:val="center"/>
        <w:rPr>
          <w:rFonts w:hint="eastAsia" w:ascii="宋体" w:hAnsi="宋体" w:eastAsia="宋体" w:cs="宋体"/>
          <w:b/>
          <w:sz w:val="32"/>
          <w:szCs w:val="32"/>
          <w:highlight w:val="none"/>
        </w:rPr>
      </w:pPr>
    </w:p>
    <w:p w14:paraId="2C7D95D3">
      <w:pPr>
        <w:pStyle w:val="9"/>
        <w:kinsoku w:val="0"/>
        <w:overflowPunct w:val="0"/>
        <w:spacing w:before="9" w:beforeLines="0" w:afterLines="0"/>
        <w:rPr>
          <w:rFonts w:hint="eastAsia" w:ascii="宋体" w:hAnsi="宋体" w:eastAsia="宋体" w:cs="宋体"/>
          <w:sz w:val="4"/>
          <w:szCs w:val="24"/>
          <w:highlight w:val="none"/>
        </w:rPr>
      </w:pPr>
    </w:p>
    <w:tbl>
      <w:tblPr>
        <w:tblStyle w:val="25"/>
        <w:tblW w:w="9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2718"/>
        <w:gridCol w:w="765"/>
        <w:gridCol w:w="2579"/>
        <w:gridCol w:w="1474"/>
        <w:gridCol w:w="994"/>
      </w:tblGrid>
      <w:tr w14:paraId="21FD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D4A99">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rPr>
            </w:pPr>
            <w:r>
              <w:rPr>
                <w:rFonts w:hint="eastAsia" w:ascii="宋体" w:hAnsi="宋体" w:eastAsia="宋体" w:cs="宋体"/>
                <w:b/>
                <w:sz w:val="24"/>
                <w:szCs w:val="24"/>
                <w:highlight w:val="none"/>
              </w:rPr>
              <w:t>序号</w:t>
            </w:r>
          </w:p>
        </w:tc>
        <w:tc>
          <w:tcPr>
            <w:tcW w:w="27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CC26B">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rPr>
            </w:pPr>
            <w:r>
              <w:rPr>
                <w:rFonts w:hint="eastAsia" w:ascii="宋体" w:hAnsi="宋体" w:eastAsia="宋体" w:cs="宋体"/>
                <w:b/>
                <w:sz w:val="24"/>
                <w:szCs w:val="24"/>
                <w:highlight w:val="none"/>
              </w:rPr>
              <w:t>项目名称</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2E784">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rPr>
            </w:pPr>
            <w:r>
              <w:rPr>
                <w:rFonts w:hint="eastAsia" w:ascii="宋体" w:hAnsi="宋体" w:eastAsia="宋体" w:cs="宋体"/>
                <w:b/>
                <w:sz w:val="24"/>
                <w:szCs w:val="24"/>
                <w:highlight w:val="none"/>
              </w:rPr>
              <w:t>数量单位</w:t>
            </w:r>
          </w:p>
        </w:tc>
        <w:tc>
          <w:tcPr>
            <w:tcW w:w="2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C3FDB">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w:t>
            </w:r>
            <w:r>
              <w:rPr>
                <w:rFonts w:hint="eastAsia" w:ascii="宋体" w:hAnsi="宋体" w:eastAsia="宋体" w:cs="宋体"/>
                <w:b/>
                <w:sz w:val="24"/>
                <w:szCs w:val="24"/>
                <w:highlight w:val="none"/>
                <w:lang w:eastAsia="zh-CN"/>
              </w:rPr>
              <w:t>总</w:t>
            </w:r>
            <w:r>
              <w:rPr>
                <w:rFonts w:hint="eastAsia" w:ascii="宋体" w:hAnsi="宋体" w:eastAsia="宋体" w:cs="宋体"/>
                <w:b/>
                <w:sz w:val="24"/>
                <w:szCs w:val="24"/>
                <w:highlight w:val="none"/>
              </w:rPr>
              <w:t>报价</w:t>
            </w:r>
          </w:p>
          <w:p w14:paraId="15EC6504">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rPr>
            </w:pPr>
            <w:r>
              <w:rPr>
                <w:rFonts w:hint="eastAsia" w:ascii="宋体" w:hAnsi="宋体" w:eastAsia="宋体" w:cs="宋体"/>
                <w:b/>
                <w:w w:val="95"/>
                <w:sz w:val="24"/>
                <w:szCs w:val="24"/>
                <w:highlight w:val="none"/>
              </w:rPr>
              <w:t>（元）</w:t>
            </w: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07E6D">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工期</w:t>
            </w:r>
          </w:p>
          <w:p w14:paraId="37FF5335">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rPr>
            </w:pPr>
            <w:r>
              <w:rPr>
                <w:rFonts w:hint="eastAsia" w:ascii="宋体" w:hAnsi="宋体" w:eastAsia="宋体" w:cs="宋体"/>
                <w:b/>
                <w:sz w:val="24"/>
                <w:szCs w:val="24"/>
                <w:highlight w:val="none"/>
              </w:rPr>
              <w:t>（日</w:t>
            </w:r>
            <w:r>
              <w:rPr>
                <w:rFonts w:hint="eastAsia" w:ascii="宋体" w:hAnsi="宋体" w:eastAsia="宋体" w:cs="宋体"/>
                <w:b/>
                <w:w w:val="95"/>
                <w:sz w:val="24"/>
                <w:szCs w:val="24"/>
                <w:highlight w:val="none"/>
              </w:rPr>
              <w:t>历天）</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431CF">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b/>
                <w:w w:val="99"/>
                <w:sz w:val="24"/>
                <w:szCs w:val="24"/>
                <w:highlight w:val="none"/>
                <w:lang w:eastAsia="zh-CN"/>
              </w:rPr>
            </w:pPr>
            <w:r>
              <w:rPr>
                <w:rFonts w:hint="eastAsia" w:ascii="宋体" w:hAnsi="宋体" w:eastAsia="宋体" w:cs="宋体"/>
                <w:b/>
                <w:sz w:val="24"/>
                <w:szCs w:val="24"/>
                <w:highlight w:val="none"/>
              </w:rPr>
              <w:t>工程质量</w:t>
            </w:r>
            <w:r>
              <w:rPr>
                <w:rFonts w:hint="eastAsia" w:ascii="宋体" w:hAnsi="宋体" w:eastAsia="宋体" w:cs="宋体"/>
                <w:b/>
                <w:sz w:val="24"/>
                <w:szCs w:val="24"/>
                <w:highlight w:val="none"/>
                <w:lang w:eastAsia="zh-CN"/>
              </w:rPr>
              <w:t>标准</w:t>
            </w:r>
          </w:p>
        </w:tc>
      </w:tr>
      <w:tr w14:paraId="4997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1B27B">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5AB29">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snapToGrid/>
                <w:color w:val="auto"/>
                <w:kern w:val="2"/>
                <w:sz w:val="24"/>
                <w:szCs w:val="24"/>
                <w:lang w:val="en-US" w:eastAsia="zh-CN" w:bidi="ar-SA"/>
              </w:rPr>
              <w:t>柳城县六塘镇三界村谷里屯片区糖料蔗基地灌溉建设项目</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0AEBD">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项</w:t>
            </w:r>
          </w:p>
        </w:tc>
        <w:tc>
          <w:tcPr>
            <w:tcW w:w="2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A3735">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557CD">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75E41">
            <w:pPr>
              <w:pStyle w:val="46"/>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4"/>
                <w:szCs w:val="24"/>
                <w:highlight w:val="none"/>
              </w:rPr>
            </w:pPr>
          </w:p>
        </w:tc>
      </w:tr>
    </w:tbl>
    <w:p w14:paraId="40D8DBE7">
      <w:pPr>
        <w:spacing w:line="360" w:lineRule="auto"/>
        <w:rPr>
          <w:rFonts w:hint="eastAsia" w:ascii="宋体" w:hAnsi="宋体" w:eastAsia="宋体" w:cs="宋体"/>
          <w:b/>
          <w:bCs/>
          <w:color w:val="auto"/>
          <w:kern w:val="0"/>
          <w:sz w:val="21"/>
          <w:szCs w:val="21"/>
          <w:highlight w:val="none"/>
          <w:lang w:eastAsia="zh-CN"/>
        </w:rPr>
      </w:pPr>
    </w:p>
    <w:p w14:paraId="18BDBC74">
      <w:pPr>
        <w:spacing w:line="360" w:lineRule="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备注：</w:t>
      </w:r>
    </w:p>
    <w:p w14:paraId="00E58FDD">
      <w:pPr>
        <w:spacing w:line="360" w:lineRule="auto"/>
        <w:ind w:firstLine="422" w:firstLineChars="2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1.供应商的报价表必须加盖供应商电子签章并由法定代表人或者委托代理人签字或者电子签名，</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kern w:val="0"/>
          <w:sz w:val="21"/>
          <w:szCs w:val="21"/>
          <w:highlight w:val="none"/>
          <w:lang w:eastAsia="zh-CN"/>
        </w:rPr>
        <w:t xml:space="preserve">。 </w:t>
      </w:r>
    </w:p>
    <w:p w14:paraId="30A14EF4">
      <w:pPr>
        <w:spacing w:line="360" w:lineRule="auto"/>
        <w:ind w:firstLine="422" w:firstLineChars="2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2.报价一经涂改，应在涂改处加盖供应商公章或者加盖电子签章或者由法定代表人或者委托代理人签字（或者电子签名），否则</w:t>
      </w:r>
      <w:r>
        <w:rPr>
          <w:rFonts w:hint="eastAsia" w:ascii="宋体" w:hAnsi="宋体" w:eastAsia="宋体" w:cs="宋体"/>
          <w:b/>
          <w:bCs/>
          <w:color w:val="auto"/>
          <w:sz w:val="21"/>
          <w:szCs w:val="21"/>
          <w:highlight w:val="none"/>
        </w:rPr>
        <w:t>响应文件按无效响应处理</w:t>
      </w:r>
      <w:r>
        <w:rPr>
          <w:rFonts w:hint="eastAsia" w:ascii="宋体" w:hAnsi="宋体" w:eastAsia="宋体" w:cs="宋体"/>
          <w:b/>
          <w:bCs/>
          <w:color w:val="auto"/>
          <w:kern w:val="0"/>
          <w:sz w:val="21"/>
          <w:szCs w:val="21"/>
          <w:highlight w:val="none"/>
          <w:lang w:eastAsia="zh-CN"/>
        </w:rPr>
        <w:t xml:space="preserve">。 </w:t>
      </w:r>
    </w:p>
    <w:p w14:paraId="51794104">
      <w:pPr>
        <w:spacing w:line="360" w:lineRule="auto"/>
        <w:ind w:firstLine="422" w:firstLineChars="2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 xml:space="preserve">.保留至小数点后 2 位。 </w:t>
      </w:r>
    </w:p>
    <w:p w14:paraId="5B421863">
      <w:pPr>
        <w:spacing w:line="276" w:lineRule="auto"/>
        <w:jc w:val="center"/>
        <w:rPr>
          <w:rFonts w:hint="eastAsia" w:ascii="宋体" w:hAnsi="宋体" w:eastAsia="宋体" w:cs="宋体"/>
          <w:b/>
          <w:sz w:val="32"/>
          <w:szCs w:val="32"/>
          <w:highlight w:val="none"/>
        </w:rPr>
      </w:pPr>
    </w:p>
    <w:p w14:paraId="13F1B13A">
      <w:pPr>
        <w:snapToGrid w:val="0"/>
        <w:spacing w:before="50" w:after="50" w:line="400" w:lineRule="exact"/>
        <w:ind w:right="-817" w:rightChars="-389"/>
        <w:rPr>
          <w:rFonts w:hint="eastAsia" w:ascii="宋体" w:hAnsi="宋体" w:eastAsia="宋体" w:cs="宋体"/>
          <w:b/>
          <w:sz w:val="24"/>
          <w:highlight w:val="none"/>
        </w:rPr>
      </w:pPr>
    </w:p>
    <w:p w14:paraId="42E9F7D2">
      <w:pPr>
        <w:snapToGrid w:val="0"/>
        <w:spacing w:before="50" w:after="50" w:line="400" w:lineRule="exact"/>
        <w:ind w:right="-817" w:rightChars="-389"/>
        <w:rPr>
          <w:rFonts w:hint="eastAsia" w:ascii="宋体" w:hAnsi="宋体" w:eastAsia="宋体" w:cs="宋体"/>
          <w:b/>
          <w:sz w:val="24"/>
          <w:highlight w:val="none"/>
        </w:rPr>
      </w:pPr>
    </w:p>
    <w:p w14:paraId="6D86EECD">
      <w:pPr>
        <w:snapToGrid w:val="0"/>
        <w:spacing w:before="50" w:after="50" w:line="400" w:lineRule="exact"/>
        <w:ind w:left="-2" w:leftChars="-1" w:right="57" w:rightChars="27" w:firstLine="480" w:firstLineChars="200"/>
        <w:jc w:val="left"/>
        <w:rPr>
          <w:rFonts w:hint="eastAsia" w:ascii="宋体" w:hAnsi="宋体" w:eastAsia="宋体" w:cs="宋体"/>
          <w:sz w:val="21"/>
          <w:szCs w:val="21"/>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法定代表人或委托代理人</w:t>
      </w:r>
      <w:r>
        <w:rPr>
          <w:rFonts w:hint="eastAsia" w:ascii="宋体" w:hAnsi="宋体" w:eastAsia="宋体" w:cs="宋体"/>
          <w:b/>
          <w:bCs/>
          <w:sz w:val="21"/>
          <w:szCs w:val="21"/>
          <w:highlight w:val="none"/>
        </w:rPr>
        <w:t>（签字</w:t>
      </w:r>
      <w:r>
        <w:rPr>
          <w:rFonts w:hint="eastAsia" w:ascii="宋体" w:hAnsi="宋体" w:eastAsia="宋体" w:cs="宋体"/>
          <w:b/>
          <w:bCs/>
          <w:sz w:val="21"/>
          <w:szCs w:val="21"/>
          <w:highlight w:val="none"/>
          <w:lang w:eastAsia="zh-CN"/>
        </w:rPr>
        <w:t>或盖章</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u w:val="single"/>
        </w:rPr>
        <w:t xml:space="preserve">                </w:t>
      </w:r>
    </w:p>
    <w:p w14:paraId="3EE4F818">
      <w:pPr>
        <w:pStyle w:val="14"/>
        <w:spacing w:line="400" w:lineRule="exact"/>
        <w:ind w:firstLine="4073" w:firstLineChars="194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w:t>
      </w:r>
      <w:r>
        <w:rPr>
          <w:rFonts w:hint="eastAsia" w:ascii="宋体" w:hAnsi="宋体" w:eastAsia="宋体" w:cs="宋体"/>
          <w:sz w:val="21"/>
          <w:szCs w:val="18"/>
          <w:highlight w:val="none"/>
        </w:rPr>
        <w:t>名称</w:t>
      </w:r>
      <w:r>
        <w:rPr>
          <w:rFonts w:hint="eastAsia" w:ascii="宋体" w:hAnsi="宋体" w:eastAsia="宋体" w:cs="宋体"/>
          <w:b/>
          <w:bCs/>
          <w:sz w:val="21"/>
          <w:szCs w:val="21"/>
          <w:highlight w:val="none"/>
        </w:rPr>
        <w:t>（CA电子签章）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3AA67292">
      <w:pPr>
        <w:snapToGrid w:val="0"/>
        <w:spacing w:before="50" w:after="50" w:line="400" w:lineRule="exact"/>
        <w:ind w:right="-817" w:rightChars="-389"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       年   月   日</w:t>
      </w:r>
    </w:p>
    <w:p w14:paraId="7DEFAABE">
      <w:pPr>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br w:type="page"/>
      </w:r>
    </w:p>
    <w:p w14:paraId="15A8E237">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t>(2) 投标函</w:t>
      </w:r>
      <w:bookmarkEnd w:id="239"/>
    </w:p>
    <w:p w14:paraId="775B07DC">
      <w:pPr>
        <w:keepNext w:val="0"/>
        <w:keepLines w:val="0"/>
        <w:pageBreakBefore w:val="0"/>
        <w:widowControl w:val="0"/>
        <w:tabs>
          <w:tab w:val="left" w:pos="1943"/>
        </w:tabs>
        <w:kinsoku/>
        <w:wordWrap/>
        <w:overflowPunct w:val="0"/>
        <w:topLinePunct w:val="0"/>
        <w:autoSpaceDE w:val="0"/>
        <w:autoSpaceDN w:val="0"/>
        <w:bidi w:val="0"/>
        <w:spacing w:before="62" w:line="227" w:lineRule="auto"/>
        <w:outlineLvl w:val="9"/>
        <w:rPr>
          <w:rFonts w:hint="eastAsia" w:ascii="宋体" w:hAnsi="宋体" w:eastAsia="宋体" w:cs="宋体"/>
          <w:sz w:val="24"/>
          <w:szCs w:val="24"/>
        </w:rPr>
      </w:pPr>
      <w:r>
        <w:rPr>
          <w:rFonts w:hint="eastAsia" w:ascii="宋体" w:hAnsi="宋体" w:eastAsia="宋体" w:cs="宋体"/>
          <w:sz w:val="24"/>
          <w:szCs w:val="24"/>
          <w:u w:val="single" w:color="auto"/>
        </w:rPr>
        <w:tab/>
      </w:r>
      <w:bookmarkStart w:id="240" w:name="_Toc19875"/>
      <w:r>
        <w:rPr>
          <w:rFonts w:hint="eastAsia" w:ascii="宋体" w:hAnsi="宋体" w:eastAsia="宋体" w:cs="宋体"/>
          <w:spacing w:val="8"/>
          <w:sz w:val="24"/>
          <w:szCs w:val="24"/>
        </w:rPr>
        <w:t xml:space="preserve">(采购人名称) </w:t>
      </w:r>
      <w:r>
        <w:rPr>
          <w:rFonts w:hint="eastAsia" w:ascii="宋体" w:hAnsi="宋体" w:eastAsia="宋体" w:cs="宋体"/>
          <w:spacing w:val="6"/>
          <w:sz w:val="24"/>
          <w:szCs w:val="24"/>
        </w:rPr>
        <w:t>：</w:t>
      </w:r>
      <w:bookmarkEnd w:id="240"/>
    </w:p>
    <w:p w14:paraId="4A282BE4">
      <w:pPr>
        <w:keepNext w:val="0"/>
        <w:keepLines w:val="0"/>
        <w:pageBreakBefore w:val="0"/>
        <w:widowControl w:val="0"/>
        <w:kinsoku/>
        <w:wordWrap/>
        <w:overflowPunct w:val="0"/>
        <w:topLinePunct w:val="0"/>
        <w:autoSpaceDE w:val="0"/>
        <w:autoSpaceDN w:val="0"/>
        <w:bidi w:val="0"/>
        <w:spacing w:before="214" w:line="427" w:lineRule="auto"/>
        <w:ind w:left="18" w:firstLine="445"/>
        <w:outlineLvl w:val="9"/>
        <w:rPr>
          <w:rFonts w:hint="eastAsia" w:ascii="宋体" w:hAnsi="宋体" w:eastAsia="宋体" w:cs="宋体"/>
          <w:sz w:val="24"/>
          <w:szCs w:val="24"/>
        </w:rPr>
      </w:pPr>
      <w:r>
        <w:rPr>
          <w:rFonts w:hint="eastAsia" w:ascii="宋体" w:hAnsi="宋体" w:eastAsia="宋体" w:cs="宋体"/>
          <w:spacing w:val="5"/>
          <w:sz w:val="24"/>
          <w:szCs w:val="24"/>
        </w:rPr>
        <w:t>1 ．我方已仔细研究了</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(项目名称) </w:t>
      </w:r>
      <w:r>
        <w:rPr>
          <w:rFonts w:hint="eastAsia" w:ascii="宋体" w:hAnsi="宋体" w:eastAsia="宋体" w:cs="宋体"/>
          <w:spacing w:val="5"/>
          <w:sz w:val="24"/>
          <w:szCs w:val="24"/>
          <w:lang w:eastAsia="zh-CN"/>
        </w:rPr>
        <w:t>磋商文件</w:t>
      </w:r>
      <w:r>
        <w:rPr>
          <w:rFonts w:hint="eastAsia" w:ascii="宋体" w:hAnsi="宋体" w:eastAsia="宋体" w:cs="宋体"/>
          <w:spacing w:val="5"/>
          <w:sz w:val="24"/>
          <w:szCs w:val="24"/>
        </w:rPr>
        <w:t>的全部内容，愿意</w:t>
      </w:r>
      <w:r>
        <w:rPr>
          <w:rFonts w:hint="eastAsia" w:ascii="宋体" w:hAnsi="宋体" w:eastAsia="宋体" w:cs="宋体"/>
          <w:spacing w:val="1"/>
          <w:sz w:val="24"/>
          <w:szCs w:val="24"/>
        </w:rPr>
        <w:t>以</w:t>
      </w:r>
      <w:r>
        <w:rPr>
          <w:rFonts w:hint="eastAsia" w:ascii="宋体" w:hAnsi="宋体" w:eastAsia="宋体" w:cs="宋体"/>
          <w:spacing w:val="20"/>
          <w:sz w:val="24"/>
          <w:szCs w:val="24"/>
        </w:rPr>
        <w:t>人民币</w:t>
      </w:r>
      <w:r>
        <w:rPr>
          <w:rFonts w:hint="eastAsia" w:ascii="宋体" w:hAnsi="宋体" w:eastAsia="宋体" w:cs="宋体"/>
          <w:spacing w:val="11"/>
          <w:sz w:val="24"/>
          <w:szCs w:val="24"/>
        </w:rPr>
        <w:t>(</w:t>
      </w:r>
      <w:r>
        <w:rPr>
          <w:rFonts w:hint="eastAsia" w:ascii="宋体" w:hAnsi="宋体" w:eastAsia="宋体" w:cs="宋体"/>
          <w:spacing w:val="10"/>
          <w:sz w:val="24"/>
          <w:szCs w:val="24"/>
        </w:rPr>
        <w:t>大写)</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 (¥</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 的投标总报价，工期</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日历天，按合同约定实施和完成</w:t>
      </w:r>
      <w:r>
        <w:rPr>
          <w:rFonts w:hint="eastAsia" w:ascii="宋体" w:hAnsi="宋体" w:eastAsia="宋体" w:cs="宋体"/>
          <w:spacing w:val="6"/>
          <w:sz w:val="24"/>
          <w:szCs w:val="24"/>
        </w:rPr>
        <w:t>全部工程，修补工程中的任何缺陷，工程质量达到</w:t>
      </w:r>
      <w:r>
        <w:rPr>
          <w:rFonts w:hint="eastAsia" w:ascii="宋体" w:hAnsi="宋体" w:eastAsia="宋体" w:cs="宋体"/>
          <w:spacing w:val="6"/>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rPr>
        <w:t>。</w:t>
      </w:r>
    </w:p>
    <w:p w14:paraId="3ABE1E02">
      <w:pPr>
        <w:keepNext w:val="0"/>
        <w:keepLines w:val="0"/>
        <w:pageBreakBefore w:val="0"/>
        <w:widowControl w:val="0"/>
        <w:kinsoku/>
        <w:wordWrap/>
        <w:overflowPunct w:val="0"/>
        <w:topLinePunct w:val="0"/>
        <w:autoSpaceDE w:val="0"/>
        <w:autoSpaceDN w:val="0"/>
        <w:bidi w:val="0"/>
        <w:spacing w:before="1" w:line="425" w:lineRule="auto"/>
        <w:ind w:left="18" w:right="48" w:firstLine="420"/>
        <w:outlineLvl w:val="9"/>
        <w:rPr>
          <w:rFonts w:hint="eastAsia" w:ascii="宋体" w:hAnsi="宋体" w:eastAsia="宋体" w:cs="宋体"/>
          <w:sz w:val="24"/>
          <w:szCs w:val="24"/>
        </w:rPr>
      </w:pPr>
      <w:r>
        <w:rPr>
          <w:rFonts w:hint="eastAsia" w:ascii="宋体" w:hAnsi="宋体" w:eastAsia="宋体" w:cs="宋体"/>
          <w:spacing w:val="18"/>
          <w:sz w:val="24"/>
          <w:szCs w:val="24"/>
        </w:rPr>
        <w:t>2 ．我方承诺按</w:t>
      </w:r>
      <w:r>
        <w:rPr>
          <w:rFonts w:hint="eastAsia" w:ascii="宋体" w:hAnsi="宋体" w:eastAsia="宋体" w:cs="宋体"/>
          <w:spacing w:val="18"/>
          <w:sz w:val="24"/>
          <w:szCs w:val="24"/>
          <w:lang w:eastAsia="zh-CN"/>
        </w:rPr>
        <w:t>磋商文件</w:t>
      </w:r>
      <w:r>
        <w:rPr>
          <w:rFonts w:hint="eastAsia" w:ascii="宋体" w:hAnsi="宋体" w:eastAsia="宋体" w:cs="宋体"/>
          <w:spacing w:val="18"/>
          <w:sz w:val="24"/>
          <w:szCs w:val="24"/>
        </w:rPr>
        <w:t>明确的“合同条款及格式”履行权利义务，执行</w:t>
      </w:r>
      <w:r>
        <w:rPr>
          <w:rFonts w:hint="eastAsia" w:ascii="宋体" w:hAnsi="宋体" w:eastAsia="宋体" w:cs="宋体"/>
          <w:spacing w:val="18"/>
          <w:sz w:val="24"/>
          <w:szCs w:val="24"/>
          <w:lang w:eastAsia="zh-CN"/>
        </w:rPr>
        <w:t>磋商文件</w:t>
      </w:r>
      <w:r>
        <w:rPr>
          <w:rFonts w:hint="eastAsia" w:ascii="宋体" w:hAnsi="宋体" w:eastAsia="宋体" w:cs="宋体"/>
          <w:spacing w:val="18"/>
          <w:sz w:val="24"/>
          <w:szCs w:val="24"/>
        </w:rPr>
        <w:t>提出的“技术</w:t>
      </w:r>
      <w:r>
        <w:rPr>
          <w:rFonts w:hint="eastAsia" w:ascii="宋体" w:hAnsi="宋体" w:eastAsia="宋体" w:cs="宋体"/>
          <w:spacing w:val="9"/>
          <w:sz w:val="24"/>
          <w:szCs w:val="24"/>
        </w:rPr>
        <w:t>标</w:t>
      </w:r>
      <w:r>
        <w:rPr>
          <w:rFonts w:hint="eastAsia" w:ascii="宋体" w:hAnsi="宋体" w:eastAsia="宋体" w:cs="宋体"/>
          <w:spacing w:val="15"/>
          <w:sz w:val="24"/>
          <w:szCs w:val="24"/>
        </w:rPr>
        <w:t>准和要求”以及其他内容</w:t>
      </w:r>
      <w:r>
        <w:rPr>
          <w:rFonts w:hint="eastAsia" w:ascii="宋体" w:hAnsi="宋体" w:eastAsia="宋体" w:cs="宋体"/>
          <w:spacing w:val="13"/>
          <w:sz w:val="24"/>
          <w:szCs w:val="24"/>
        </w:rPr>
        <w:t>。</w:t>
      </w:r>
    </w:p>
    <w:p w14:paraId="00B26B19">
      <w:pPr>
        <w:keepNext w:val="0"/>
        <w:keepLines w:val="0"/>
        <w:pageBreakBefore w:val="0"/>
        <w:widowControl w:val="0"/>
        <w:kinsoku/>
        <w:wordWrap/>
        <w:overflowPunct w:val="0"/>
        <w:topLinePunct w:val="0"/>
        <w:autoSpaceDE w:val="0"/>
        <w:autoSpaceDN w:val="0"/>
        <w:bidi w:val="0"/>
        <w:spacing w:before="1" w:line="420" w:lineRule="auto"/>
        <w:ind w:left="18" w:right="36" w:firstLine="424"/>
        <w:outlineLvl w:val="9"/>
        <w:rPr>
          <w:rFonts w:hint="eastAsia" w:ascii="宋体" w:hAnsi="宋体" w:eastAsia="宋体" w:cs="宋体"/>
          <w:sz w:val="24"/>
          <w:szCs w:val="24"/>
        </w:rPr>
      </w:pPr>
      <w:r>
        <w:rPr>
          <w:rFonts w:hint="eastAsia" w:ascii="宋体" w:hAnsi="宋体" w:eastAsia="宋体" w:cs="宋体"/>
          <w:spacing w:val="32"/>
          <w:sz w:val="24"/>
          <w:szCs w:val="24"/>
        </w:rPr>
        <w:t>3</w:t>
      </w:r>
      <w:r>
        <w:rPr>
          <w:rFonts w:hint="eastAsia" w:ascii="宋体" w:hAnsi="宋体" w:eastAsia="宋体" w:cs="宋体"/>
          <w:spacing w:val="23"/>
          <w:sz w:val="24"/>
          <w:szCs w:val="24"/>
        </w:rPr>
        <w:t>．</w:t>
      </w:r>
      <w:r>
        <w:rPr>
          <w:rFonts w:hint="eastAsia" w:ascii="宋体" w:hAnsi="宋体" w:eastAsia="宋体" w:cs="宋体"/>
          <w:spacing w:val="16"/>
          <w:sz w:val="24"/>
          <w:szCs w:val="24"/>
        </w:rPr>
        <w:t>我方承诺在投标有效期内 (投标截止时间后的</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6"/>
          <w:sz w:val="24"/>
          <w:szCs w:val="24"/>
        </w:rPr>
        <w:t>天内) 不补充、修改、替换或者撤回本投标</w:t>
      </w:r>
      <w:r>
        <w:rPr>
          <w:rFonts w:hint="eastAsia" w:ascii="宋体" w:hAnsi="宋体" w:eastAsia="宋体" w:cs="宋体"/>
          <w:spacing w:val="5"/>
          <w:sz w:val="24"/>
          <w:szCs w:val="24"/>
        </w:rPr>
        <w:t>文</w:t>
      </w:r>
      <w:r>
        <w:rPr>
          <w:rFonts w:hint="eastAsia" w:ascii="宋体" w:hAnsi="宋体" w:eastAsia="宋体" w:cs="宋体"/>
          <w:spacing w:val="3"/>
          <w:sz w:val="24"/>
          <w:szCs w:val="24"/>
        </w:rPr>
        <w:t>件。</w:t>
      </w:r>
    </w:p>
    <w:p w14:paraId="33312386">
      <w:pPr>
        <w:keepNext w:val="0"/>
        <w:keepLines w:val="0"/>
        <w:pageBreakBefore w:val="0"/>
        <w:widowControl w:val="0"/>
        <w:kinsoku/>
        <w:wordWrap/>
        <w:overflowPunct w:val="0"/>
        <w:topLinePunct w:val="0"/>
        <w:autoSpaceDE w:val="0"/>
        <w:autoSpaceDN w:val="0"/>
        <w:bidi w:val="0"/>
        <w:spacing w:before="1" w:line="420" w:lineRule="auto"/>
        <w:ind w:left="18" w:right="36" w:firstLine="424"/>
        <w:outlineLvl w:val="9"/>
        <w:rPr>
          <w:rFonts w:hint="eastAsia" w:ascii="宋体" w:hAnsi="宋体" w:eastAsia="宋体" w:cs="宋体"/>
          <w:sz w:val="24"/>
          <w:szCs w:val="24"/>
        </w:rPr>
      </w:pPr>
      <w:r>
        <w:rPr>
          <w:rFonts w:hint="eastAsia" w:ascii="宋体" w:hAnsi="宋体" w:eastAsia="宋体" w:cs="宋体"/>
          <w:spacing w:val="24"/>
          <w:sz w:val="24"/>
          <w:szCs w:val="24"/>
        </w:rPr>
        <w:t>4．随</w:t>
      </w:r>
      <w:r>
        <w:rPr>
          <w:rFonts w:hint="eastAsia" w:ascii="宋体" w:hAnsi="宋体" w:eastAsia="宋体" w:cs="宋体"/>
          <w:spacing w:val="12"/>
          <w:sz w:val="24"/>
          <w:szCs w:val="24"/>
        </w:rPr>
        <w:t>同本投标函递交投标保证金一份，金额为人民币 (大写)</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6"/>
          <w:sz w:val="24"/>
          <w:szCs w:val="24"/>
        </w:rPr>
        <w:t>元 (</w:t>
      </w:r>
      <w:r>
        <w:rPr>
          <w:rFonts w:hint="eastAsia" w:ascii="宋体" w:hAnsi="宋体" w:eastAsia="宋体" w:cs="宋体"/>
          <w:spacing w:val="12"/>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rPr>
        <w:t>元) 。</w:t>
      </w:r>
    </w:p>
    <w:p w14:paraId="7D49B378">
      <w:pPr>
        <w:keepNext w:val="0"/>
        <w:keepLines w:val="0"/>
        <w:pageBreakBefore w:val="0"/>
        <w:widowControl w:val="0"/>
        <w:kinsoku/>
        <w:wordWrap/>
        <w:overflowPunct w:val="0"/>
        <w:topLinePunct w:val="0"/>
        <w:autoSpaceDE w:val="0"/>
        <w:autoSpaceDN w:val="0"/>
        <w:bidi w:val="0"/>
        <w:spacing w:before="220" w:line="256" w:lineRule="exact"/>
        <w:ind w:left="443"/>
        <w:outlineLvl w:val="9"/>
        <w:rPr>
          <w:rFonts w:hint="eastAsia" w:ascii="宋体" w:hAnsi="宋体" w:eastAsia="宋体" w:cs="宋体"/>
          <w:sz w:val="24"/>
          <w:szCs w:val="24"/>
        </w:rPr>
      </w:pPr>
      <w:r>
        <w:rPr>
          <w:rFonts w:hint="eastAsia" w:ascii="宋体" w:hAnsi="宋体" w:eastAsia="宋体" w:cs="宋体"/>
          <w:spacing w:val="11"/>
          <w:position w:val="1"/>
          <w:sz w:val="24"/>
          <w:szCs w:val="24"/>
        </w:rPr>
        <w:t>5．如我方中标</w:t>
      </w:r>
      <w:r>
        <w:rPr>
          <w:rFonts w:hint="eastAsia" w:ascii="宋体" w:hAnsi="宋体" w:eastAsia="宋体" w:cs="宋体"/>
          <w:spacing w:val="10"/>
          <w:position w:val="1"/>
          <w:sz w:val="24"/>
          <w:szCs w:val="24"/>
        </w:rPr>
        <w:t>：</w:t>
      </w:r>
    </w:p>
    <w:p w14:paraId="6749F74F">
      <w:pPr>
        <w:keepNext w:val="0"/>
        <w:keepLines w:val="0"/>
        <w:pageBreakBefore w:val="0"/>
        <w:widowControl w:val="0"/>
        <w:kinsoku/>
        <w:wordWrap/>
        <w:overflowPunct w:val="0"/>
        <w:topLinePunct w:val="0"/>
        <w:autoSpaceDE w:val="0"/>
        <w:autoSpaceDN w:val="0"/>
        <w:bidi w:val="0"/>
        <w:spacing w:before="167" w:line="227" w:lineRule="auto"/>
        <w:ind w:left="479"/>
        <w:outlineLvl w:val="9"/>
        <w:rPr>
          <w:rFonts w:hint="eastAsia" w:ascii="宋体" w:hAnsi="宋体" w:eastAsia="宋体" w:cs="宋体"/>
          <w:sz w:val="24"/>
          <w:szCs w:val="24"/>
        </w:rPr>
      </w:pPr>
      <w:r>
        <w:rPr>
          <w:rFonts w:hint="eastAsia" w:ascii="宋体" w:hAnsi="宋体" w:eastAsia="宋体" w:cs="宋体"/>
          <w:spacing w:val="16"/>
          <w:sz w:val="24"/>
          <w:szCs w:val="24"/>
        </w:rPr>
        <w:t>(1) 我方承诺在收到中标通知书后，在中标通知书规定的期限内与你方签订合同</w:t>
      </w:r>
      <w:r>
        <w:rPr>
          <w:rFonts w:hint="eastAsia" w:ascii="宋体" w:hAnsi="宋体" w:eastAsia="宋体" w:cs="宋体"/>
          <w:spacing w:val="14"/>
          <w:sz w:val="24"/>
          <w:szCs w:val="24"/>
        </w:rPr>
        <w:t>。</w:t>
      </w:r>
    </w:p>
    <w:p w14:paraId="56939F47">
      <w:pPr>
        <w:keepNext w:val="0"/>
        <w:keepLines w:val="0"/>
        <w:pageBreakBefore w:val="0"/>
        <w:widowControl w:val="0"/>
        <w:kinsoku/>
        <w:wordWrap/>
        <w:overflowPunct w:val="0"/>
        <w:topLinePunct w:val="0"/>
        <w:autoSpaceDE w:val="0"/>
        <w:autoSpaceDN w:val="0"/>
        <w:bidi w:val="0"/>
        <w:spacing w:before="208" w:line="227" w:lineRule="auto"/>
        <w:ind w:left="479"/>
        <w:outlineLvl w:val="9"/>
        <w:rPr>
          <w:rFonts w:hint="eastAsia" w:ascii="宋体" w:hAnsi="宋体" w:eastAsia="宋体" w:cs="宋体"/>
          <w:sz w:val="24"/>
          <w:szCs w:val="24"/>
        </w:rPr>
      </w:pPr>
      <w:r>
        <w:rPr>
          <w:rFonts w:hint="eastAsia" w:ascii="宋体" w:hAnsi="宋体" w:eastAsia="宋体" w:cs="宋体"/>
          <w:spacing w:val="35"/>
          <w:sz w:val="24"/>
          <w:szCs w:val="24"/>
        </w:rPr>
        <w:t>(</w:t>
      </w:r>
      <w:r>
        <w:rPr>
          <w:rFonts w:hint="eastAsia" w:ascii="宋体" w:hAnsi="宋体" w:eastAsia="宋体" w:cs="宋体"/>
          <w:spacing w:val="18"/>
          <w:sz w:val="24"/>
          <w:szCs w:val="24"/>
        </w:rPr>
        <w:t>2) 随同本投标函递交的投标函附录属于合同文件的组成部分。</w:t>
      </w:r>
    </w:p>
    <w:p w14:paraId="0FF55915">
      <w:pPr>
        <w:keepNext w:val="0"/>
        <w:keepLines w:val="0"/>
        <w:pageBreakBefore w:val="0"/>
        <w:widowControl w:val="0"/>
        <w:kinsoku/>
        <w:wordWrap/>
        <w:overflowPunct w:val="0"/>
        <w:topLinePunct w:val="0"/>
        <w:autoSpaceDE w:val="0"/>
        <w:autoSpaceDN w:val="0"/>
        <w:bidi w:val="0"/>
        <w:spacing w:before="205" w:line="228" w:lineRule="auto"/>
        <w:ind w:left="479"/>
        <w:outlineLvl w:val="9"/>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8"/>
          <w:sz w:val="24"/>
          <w:szCs w:val="24"/>
        </w:rPr>
        <w:t>3) 我方承诺按照</w:t>
      </w:r>
      <w:r>
        <w:rPr>
          <w:rFonts w:hint="eastAsia" w:ascii="宋体" w:hAnsi="宋体" w:eastAsia="宋体" w:cs="宋体"/>
          <w:spacing w:val="18"/>
          <w:sz w:val="24"/>
          <w:szCs w:val="24"/>
          <w:lang w:eastAsia="zh-CN"/>
        </w:rPr>
        <w:t>磋商文件</w:t>
      </w:r>
      <w:r>
        <w:rPr>
          <w:rFonts w:hint="eastAsia" w:ascii="宋体" w:hAnsi="宋体" w:eastAsia="宋体" w:cs="宋体"/>
          <w:spacing w:val="18"/>
          <w:sz w:val="24"/>
          <w:szCs w:val="24"/>
        </w:rPr>
        <w:t>规定向你方递交履约担保。</w:t>
      </w:r>
    </w:p>
    <w:p w14:paraId="0CEEA903">
      <w:pPr>
        <w:keepNext w:val="0"/>
        <w:keepLines w:val="0"/>
        <w:pageBreakBefore w:val="0"/>
        <w:widowControl w:val="0"/>
        <w:kinsoku/>
        <w:wordWrap/>
        <w:overflowPunct w:val="0"/>
        <w:topLinePunct w:val="0"/>
        <w:autoSpaceDE w:val="0"/>
        <w:autoSpaceDN w:val="0"/>
        <w:bidi w:val="0"/>
        <w:spacing w:before="205" w:line="228" w:lineRule="auto"/>
        <w:ind w:left="479"/>
        <w:outlineLvl w:val="9"/>
        <w:rPr>
          <w:rFonts w:hint="eastAsia" w:ascii="宋体" w:hAnsi="宋体" w:eastAsia="宋体" w:cs="宋体"/>
          <w:sz w:val="24"/>
          <w:szCs w:val="24"/>
        </w:rPr>
      </w:pPr>
      <w:r>
        <w:rPr>
          <w:rFonts w:hint="eastAsia" w:ascii="宋体" w:hAnsi="宋体" w:eastAsia="宋体" w:cs="宋体"/>
          <w:spacing w:val="36"/>
          <w:sz w:val="24"/>
          <w:szCs w:val="24"/>
        </w:rPr>
        <w:t>(</w:t>
      </w:r>
      <w:r>
        <w:rPr>
          <w:rFonts w:hint="eastAsia" w:ascii="宋体" w:hAnsi="宋体" w:eastAsia="宋体" w:cs="宋体"/>
          <w:spacing w:val="19"/>
          <w:sz w:val="24"/>
          <w:szCs w:val="24"/>
        </w:rPr>
        <w:t>4</w:t>
      </w:r>
      <w:r>
        <w:rPr>
          <w:rFonts w:hint="eastAsia" w:ascii="宋体" w:hAnsi="宋体" w:eastAsia="宋体" w:cs="宋体"/>
          <w:spacing w:val="18"/>
          <w:sz w:val="24"/>
          <w:szCs w:val="24"/>
        </w:rPr>
        <w:t>) 我方承诺在合同约定的期限内完成并移交全部合同工程。</w:t>
      </w:r>
    </w:p>
    <w:p w14:paraId="26C34097">
      <w:pPr>
        <w:keepNext w:val="0"/>
        <w:keepLines w:val="0"/>
        <w:pageBreakBefore w:val="0"/>
        <w:widowControl w:val="0"/>
        <w:kinsoku/>
        <w:wordWrap/>
        <w:overflowPunct w:val="0"/>
        <w:topLinePunct w:val="0"/>
        <w:autoSpaceDE w:val="0"/>
        <w:autoSpaceDN w:val="0"/>
        <w:bidi w:val="0"/>
        <w:spacing w:before="214" w:line="422" w:lineRule="auto"/>
        <w:ind w:left="18" w:right="43" w:firstLine="420"/>
        <w:outlineLvl w:val="9"/>
        <w:rPr>
          <w:rFonts w:hint="eastAsia" w:ascii="宋体" w:hAnsi="宋体" w:eastAsia="宋体" w:cs="宋体"/>
          <w:sz w:val="24"/>
          <w:szCs w:val="24"/>
        </w:rPr>
      </w:pPr>
      <w:r>
        <w:rPr>
          <w:rFonts w:hint="eastAsia" w:ascii="宋体" w:hAnsi="宋体" w:eastAsia="宋体" w:cs="宋体"/>
          <w:spacing w:val="19"/>
          <w:sz w:val="24"/>
          <w:szCs w:val="24"/>
        </w:rPr>
        <w:t>6</w:t>
      </w:r>
      <w:r>
        <w:rPr>
          <w:rFonts w:hint="eastAsia" w:ascii="宋体" w:hAnsi="宋体" w:eastAsia="宋体" w:cs="宋体"/>
          <w:spacing w:val="15"/>
          <w:sz w:val="24"/>
          <w:szCs w:val="24"/>
        </w:rPr>
        <w:t xml:space="preserve"> ．我方在此声明，所递交的投标文件及有关资料内容完整、真实和准确</w:t>
      </w:r>
      <w:r>
        <w:rPr>
          <w:rFonts w:hint="eastAsia" w:ascii="宋体" w:hAnsi="宋体" w:eastAsia="宋体" w:cs="宋体"/>
          <w:spacing w:val="10"/>
          <w:sz w:val="24"/>
          <w:szCs w:val="24"/>
        </w:rPr>
        <w:t>。</w:t>
      </w:r>
    </w:p>
    <w:p w14:paraId="339F3631">
      <w:pPr>
        <w:keepNext w:val="0"/>
        <w:keepLines w:val="0"/>
        <w:pageBreakBefore w:val="0"/>
        <w:widowControl w:val="0"/>
        <w:kinsoku/>
        <w:wordWrap/>
        <w:overflowPunct w:val="0"/>
        <w:topLinePunct w:val="0"/>
        <w:autoSpaceDE w:val="0"/>
        <w:autoSpaceDN w:val="0"/>
        <w:bidi w:val="0"/>
        <w:spacing w:line="228" w:lineRule="auto"/>
        <w:ind w:left="444"/>
        <w:outlineLvl w:val="9"/>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(其他补充说明)               </w:t>
      </w:r>
      <w:r>
        <w:rPr>
          <w:rFonts w:hint="eastAsia" w:ascii="宋体" w:hAnsi="宋体" w:eastAsia="宋体" w:cs="宋体"/>
          <w:spacing w:val="4"/>
          <w:sz w:val="24"/>
          <w:szCs w:val="24"/>
        </w:rPr>
        <w:t>。</w:t>
      </w:r>
    </w:p>
    <w:p w14:paraId="72A9810C">
      <w:pPr>
        <w:keepNext w:val="0"/>
        <w:keepLines w:val="0"/>
        <w:pageBreakBefore w:val="0"/>
        <w:widowControl w:val="0"/>
        <w:kinsoku/>
        <w:wordWrap/>
        <w:overflowPunct w:val="0"/>
        <w:topLinePunct w:val="0"/>
        <w:autoSpaceDE w:val="0"/>
        <w:autoSpaceDN w:val="0"/>
        <w:bidi w:val="0"/>
        <w:spacing w:before="62" w:line="227" w:lineRule="auto"/>
        <w:ind w:left="19"/>
        <w:outlineLvl w:val="9"/>
        <w:rPr>
          <w:rFonts w:hint="eastAsia" w:ascii="宋体" w:hAnsi="宋体" w:eastAsia="宋体" w:cs="宋体"/>
          <w:spacing w:val="21"/>
          <w:sz w:val="24"/>
          <w:szCs w:val="24"/>
          <w:lang w:eastAsia="zh-CN"/>
        </w:rPr>
      </w:pPr>
    </w:p>
    <w:p w14:paraId="0C468A3D">
      <w:pPr>
        <w:keepNext w:val="0"/>
        <w:keepLines w:val="0"/>
        <w:pageBreakBefore w:val="0"/>
        <w:widowControl w:val="0"/>
        <w:kinsoku/>
        <w:wordWrap/>
        <w:overflowPunct w:val="0"/>
        <w:topLinePunct w:val="0"/>
        <w:autoSpaceDE w:val="0"/>
        <w:autoSpaceDN w:val="0"/>
        <w:bidi w:val="0"/>
        <w:spacing w:before="62" w:line="227" w:lineRule="auto"/>
        <w:ind w:left="19"/>
        <w:outlineLvl w:val="9"/>
        <w:rPr>
          <w:rFonts w:hint="eastAsia" w:ascii="宋体" w:hAnsi="宋体" w:eastAsia="宋体" w:cs="宋体"/>
          <w:sz w:val="24"/>
          <w:szCs w:val="24"/>
        </w:rPr>
      </w:pPr>
      <w:r>
        <w:rPr>
          <w:rFonts w:hint="eastAsia" w:ascii="宋体" w:hAnsi="宋体" w:eastAsia="宋体" w:cs="宋体"/>
          <w:spacing w:val="21"/>
          <w:sz w:val="24"/>
          <w:szCs w:val="24"/>
          <w:lang w:eastAsia="zh-CN"/>
        </w:rPr>
        <w:t>供应商</w:t>
      </w:r>
      <w:r>
        <w:rPr>
          <w:rFonts w:hint="eastAsia" w:ascii="宋体" w:hAnsi="宋体" w:eastAsia="宋体" w:cs="宋体"/>
          <w:spacing w:val="13"/>
          <w:sz w:val="24"/>
          <w:szCs w:val="24"/>
        </w:rPr>
        <w:t>名称(</w:t>
      </w:r>
      <w:r>
        <w:rPr>
          <w:rFonts w:hint="eastAsia" w:ascii="宋体" w:hAnsi="宋体" w:eastAsia="宋体" w:cs="宋体"/>
          <w:spacing w:val="13"/>
          <w:sz w:val="24"/>
          <w:szCs w:val="24"/>
          <w:lang w:val="en-US" w:eastAsia="zh-CN"/>
        </w:rPr>
        <w:t>CA</w:t>
      </w:r>
      <w:r>
        <w:rPr>
          <w:rFonts w:hint="eastAsia" w:ascii="宋体" w:hAnsi="宋体" w:eastAsia="宋体" w:cs="宋体"/>
          <w:spacing w:val="13"/>
          <w:sz w:val="24"/>
          <w:szCs w:val="24"/>
        </w:rPr>
        <w:t>电子签章)：</w:t>
      </w:r>
      <w:r>
        <w:rPr>
          <w:rFonts w:hint="eastAsia" w:ascii="宋体" w:hAnsi="宋体" w:eastAsia="宋体" w:cs="宋体"/>
          <w:sz w:val="24"/>
          <w:szCs w:val="24"/>
          <w:u w:val="single" w:color="auto"/>
        </w:rPr>
        <w:t xml:space="preserve">              </w:t>
      </w:r>
    </w:p>
    <w:p w14:paraId="309B5AC6">
      <w:pPr>
        <w:keepNext w:val="0"/>
        <w:keepLines w:val="0"/>
        <w:pageBreakBefore w:val="0"/>
        <w:widowControl w:val="0"/>
        <w:kinsoku/>
        <w:wordWrap/>
        <w:overflowPunct w:val="0"/>
        <w:topLinePunct w:val="0"/>
        <w:autoSpaceDE w:val="0"/>
        <w:autoSpaceDN w:val="0"/>
        <w:bidi w:val="0"/>
        <w:spacing w:before="215" w:line="228" w:lineRule="auto"/>
        <w:ind w:left="15"/>
        <w:outlineLvl w:val="9"/>
        <w:rPr>
          <w:rFonts w:hint="eastAsia" w:ascii="宋体" w:hAnsi="宋体" w:eastAsia="宋体" w:cs="宋体"/>
          <w:sz w:val="24"/>
          <w:szCs w:val="24"/>
        </w:rPr>
      </w:pPr>
      <w:r>
        <w:rPr>
          <w:rFonts w:hint="eastAsia" w:ascii="宋体" w:hAnsi="宋体" w:eastAsia="宋体" w:cs="宋体"/>
          <w:spacing w:val="2"/>
          <w:sz w:val="24"/>
          <w:szCs w:val="24"/>
        </w:rPr>
        <w:t>法定代表人或其委托代理人</w:t>
      </w:r>
      <w:r>
        <w:rPr>
          <w:rFonts w:hint="eastAsia" w:ascii="宋体" w:hAnsi="宋体" w:eastAsia="宋体" w:cs="宋体"/>
          <w:spacing w:val="1"/>
          <w:sz w:val="24"/>
          <w:szCs w:val="24"/>
        </w:rPr>
        <w:t>(签字</w:t>
      </w:r>
      <w:r>
        <w:rPr>
          <w:rFonts w:hint="eastAsia" w:ascii="宋体" w:hAnsi="宋体" w:eastAsia="宋体" w:cs="宋体"/>
          <w:spacing w:val="1"/>
          <w:sz w:val="24"/>
          <w:szCs w:val="24"/>
          <w:lang w:val="en-US" w:eastAsia="zh-CN"/>
        </w:rPr>
        <w:t>或</w:t>
      </w:r>
      <w:r>
        <w:rPr>
          <w:rFonts w:hint="eastAsia" w:ascii="宋体" w:hAnsi="宋体" w:eastAsia="宋体" w:cs="宋体"/>
          <w:spacing w:val="1"/>
          <w:sz w:val="24"/>
          <w:szCs w:val="24"/>
        </w:rPr>
        <w:t>盖章)</w:t>
      </w:r>
      <w:r>
        <w:rPr>
          <w:rFonts w:hint="eastAsia" w:ascii="宋体" w:hAnsi="宋体" w:eastAsia="宋体" w:cs="宋体"/>
          <w:spacing w:val="2"/>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p>
    <w:p w14:paraId="0BE8CDB8">
      <w:pPr>
        <w:keepNext w:val="0"/>
        <w:keepLines w:val="0"/>
        <w:pageBreakBefore w:val="0"/>
        <w:widowControl w:val="0"/>
        <w:kinsoku/>
        <w:wordWrap/>
        <w:overflowPunct w:val="0"/>
        <w:topLinePunct w:val="0"/>
        <w:autoSpaceDE w:val="0"/>
        <w:autoSpaceDN w:val="0"/>
        <w:bidi w:val="0"/>
        <w:spacing w:before="200" w:line="237" w:lineRule="auto"/>
        <w:ind w:left="14"/>
        <w:outlineLvl w:val="9"/>
        <w:rPr>
          <w:rFonts w:hint="eastAsia" w:ascii="宋体" w:hAnsi="宋体" w:eastAsia="宋体" w:cs="宋体"/>
          <w:sz w:val="24"/>
          <w:szCs w:val="24"/>
        </w:rPr>
      </w:pPr>
      <w:r>
        <w:rPr>
          <w:rFonts w:hint="eastAsia" w:ascii="宋体" w:hAnsi="宋体" w:eastAsia="宋体" w:cs="宋体"/>
          <w:spacing w:val="5"/>
          <w:sz w:val="24"/>
          <w:szCs w:val="24"/>
        </w:rPr>
        <w:t>地址：</w:t>
      </w:r>
      <w:r>
        <w:rPr>
          <w:rFonts w:hint="eastAsia" w:ascii="宋体" w:hAnsi="宋体" w:eastAsia="宋体" w:cs="宋体"/>
          <w:sz w:val="24"/>
          <w:szCs w:val="24"/>
          <w:u w:val="single" w:color="auto"/>
        </w:rPr>
        <w:t xml:space="preserve">                                     </w:t>
      </w:r>
    </w:p>
    <w:p w14:paraId="6C6F1115">
      <w:pPr>
        <w:keepNext w:val="0"/>
        <w:keepLines w:val="0"/>
        <w:pageBreakBefore w:val="0"/>
        <w:widowControl w:val="0"/>
        <w:kinsoku/>
        <w:wordWrap/>
        <w:overflowPunct w:val="0"/>
        <w:topLinePunct w:val="0"/>
        <w:autoSpaceDE w:val="0"/>
        <w:autoSpaceDN w:val="0"/>
        <w:bidi w:val="0"/>
        <w:spacing w:before="200" w:line="237" w:lineRule="auto"/>
        <w:ind w:left="14"/>
        <w:outlineLvl w:val="9"/>
        <w:rPr>
          <w:rFonts w:hint="eastAsia" w:ascii="宋体" w:hAnsi="宋体" w:eastAsia="宋体" w:cs="宋体"/>
          <w:sz w:val="24"/>
          <w:szCs w:val="24"/>
        </w:rPr>
      </w:pPr>
      <w:r>
        <w:rPr>
          <w:rFonts w:hint="eastAsia" w:ascii="宋体" w:hAnsi="宋体" w:eastAsia="宋体" w:cs="宋体"/>
          <w:spacing w:val="-8"/>
          <w:sz w:val="24"/>
          <w:szCs w:val="24"/>
        </w:rPr>
        <w:t>电</w:t>
      </w:r>
      <w:r>
        <w:rPr>
          <w:rFonts w:hint="eastAsia" w:ascii="宋体" w:hAnsi="宋体" w:eastAsia="宋体" w:cs="宋体"/>
          <w:spacing w:val="-6"/>
          <w:sz w:val="24"/>
          <w:szCs w:val="24"/>
        </w:rPr>
        <w:t>话：</w:t>
      </w:r>
      <w:r>
        <w:rPr>
          <w:rFonts w:hint="eastAsia" w:ascii="宋体" w:hAnsi="宋体" w:eastAsia="宋体" w:cs="宋体"/>
          <w:sz w:val="24"/>
          <w:szCs w:val="24"/>
          <w:u w:val="single" w:color="auto"/>
        </w:rPr>
        <w:t xml:space="preserve">                                     </w:t>
      </w:r>
    </w:p>
    <w:p w14:paraId="32BAB57A">
      <w:pPr>
        <w:keepNext w:val="0"/>
        <w:keepLines w:val="0"/>
        <w:pageBreakBefore w:val="0"/>
        <w:widowControl w:val="0"/>
        <w:kinsoku/>
        <w:wordWrap/>
        <w:overflowPunct w:val="0"/>
        <w:topLinePunct w:val="0"/>
        <w:autoSpaceDE w:val="0"/>
        <w:autoSpaceDN w:val="0"/>
        <w:bidi w:val="0"/>
        <w:spacing w:before="200" w:line="227" w:lineRule="auto"/>
        <w:ind w:left="10"/>
        <w:outlineLvl w:val="9"/>
        <w:rPr>
          <w:rFonts w:hint="eastAsia" w:ascii="宋体" w:hAnsi="宋体" w:eastAsia="宋体" w:cs="宋体"/>
          <w:sz w:val="24"/>
          <w:szCs w:val="24"/>
        </w:rPr>
      </w:pPr>
      <w:r>
        <w:rPr>
          <w:rFonts w:hint="eastAsia" w:ascii="宋体" w:hAnsi="宋体" w:eastAsia="宋体" w:cs="宋体"/>
          <w:spacing w:val="7"/>
          <w:sz w:val="24"/>
          <w:szCs w:val="24"/>
        </w:rPr>
        <w:t>传</w:t>
      </w:r>
      <w:r>
        <w:rPr>
          <w:rFonts w:hint="eastAsia" w:ascii="宋体" w:hAnsi="宋体" w:eastAsia="宋体" w:cs="宋体"/>
          <w:spacing w:val="6"/>
          <w:sz w:val="24"/>
          <w:szCs w:val="24"/>
        </w:rPr>
        <w:t>真：</w:t>
      </w:r>
      <w:r>
        <w:rPr>
          <w:rFonts w:hint="eastAsia" w:ascii="宋体" w:hAnsi="宋体" w:eastAsia="宋体" w:cs="宋体"/>
          <w:sz w:val="24"/>
          <w:szCs w:val="24"/>
          <w:u w:val="single" w:color="auto"/>
        </w:rPr>
        <w:t xml:space="preserve">                                     </w:t>
      </w:r>
    </w:p>
    <w:p w14:paraId="2A91E6ED">
      <w:pPr>
        <w:keepNext w:val="0"/>
        <w:keepLines w:val="0"/>
        <w:pageBreakBefore w:val="0"/>
        <w:widowControl w:val="0"/>
        <w:kinsoku/>
        <w:wordWrap/>
        <w:overflowPunct w:val="0"/>
        <w:topLinePunct w:val="0"/>
        <w:autoSpaceDE w:val="0"/>
        <w:autoSpaceDN w:val="0"/>
        <w:bidi w:val="0"/>
        <w:spacing w:before="208" w:line="228" w:lineRule="auto"/>
        <w:ind w:left="46"/>
        <w:outlineLvl w:val="9"/>
        <w:rPr>
          <w:rFonts w:hint="eastAsia" w:ascii="宋体" w:hAnsi="宋体" w:eastAsia="宋体" w:cs="宋体"/>
          <w:sz w:val="24"/>
          <w:szCs w:val="24"/>
        </w:rPr>
      </w:pPr>
      <w:r>
        <w:rPr>
          <w:rFonts w:hint="eastAsia" w:ascii="宋体" w:hAnsi="宋体" w:eastAsia="宋体" w:cs="宋体"/>
          <w:spacing w:val="6"/>
          <w:sz w:val="24"/>
          <w:szCs w:val="24"/>
        </w:rPr>
        <w:t>邮</w:t>
      </w:r>
      <w:r>
        <w:rPr>
          <w:rFonts w:hint="eastAsia" w:ascii="宋体" w:hAnsi="宋体" w:eastAsia="宋体" w:cs="宋体"/>
          <w:spacing w:val="5"/>
          <w:sz w:val="24"/>
          <w:szCs w:val="24"/>
        </w:rPr>
        <w:t>政编码：</w:t>
      </w:r>
      <w:r>
        <w:rPr>
          <w:rFonts w:hint="eastAsia" w:ascii="宋体" w:hAnsi="宋体" w:eastAsia="宋体" w:cs="宋体"/>
          <w:sz w:val="24"/>
          <w:szCs w:val="24"/>
          <w:u w:val="single" w:color="auto"/>
        </w:rPr>
        <w:t xml:space="preserve">                                </w:t>
      </w:r>
    </w:p>
    <w:p w14:paraId="161628A8">
      <w:pPr>
        <w:keepNext w:val="0"/>
        <w:keepLines w:val="0"/>
        <w:pageBreakBefore w:val="0"/>
        <w:widowControl w:val="0"/>
        <w:kinsoku/>
        <w:wordWrap/>
        <w:overflowPunct w:val="0"/>
        <w:topLinePunct w:val="0"/>
        <w:autoSpaceDE w:val="0"/>
        <w:autoSpaceDN w:val="0"/>
        <w:bidi w:val="0"/>
        <w:spacing w:line="241" w:lineRule="auto"/>
        <w:outlineLvl w:val="9"/>
        <w:rPr>
          <w:rFonts w:hint="eastAsia" w:ascii="宋体" w:hAnsi="宋体" w:eastAsia="宋体" w:cs="宋体"/>
          <w:sz w:val="24"/>
          <w:szCs w:val="24"/>
        </w:rPr>
      </w:pPr>
    </w:p>
    <w:p w14:paraId="50C05B56">
      <w:pPr>
        <w:keepNext w:val="0"/>
        <w:keepLines w:val="0"/>
        <w:pageBreakBefore w:val="0"/>
        <w:widowControl w:val="0"/>
        <w:tabs>
          <w:tab w:val="left" w:pos="6032"/>
        </w:tabs>
        <w:kinsoku/>
        <w:wordWrap/>
        <w:overflowPunct w:val="0"/>
        <w:topLinePunct w:val="0"/>
        <w:autoSpaceDE w:val="0"/>
        <w:autoSpaceDN w:val="0"/>
        <w:bidi w:val="0"/>
        <w:spacing w:before="63" w:line="228" w:lineRule="auto"/>
        <w:ind w:left="5176"/>
        <w:outlineLvl w:val="9"/>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6"/>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日</w:t>
      </w:r>
    </w:p>
    <w:p w14:paraId="35E57238">
      <w:pPr>
        <w:keepNext w:val="0"/>
        <w:keepLines w:val="0"/>
        <w:pageBreakBefore w:val="0"/>
        <w:widowControl w:val="0"/>
        <w:kinsoku/>
        <w:wordWrap/>
        <w:overflowPunct w:val="0"/>
        <w:topLinePunct w:val="0"/>
        <w:autoSpaceDE w:val="0"/>
        <w:autoSpaceDN w:val="0"/>
        <w:bidi w:val="0"/>
        <w:outlineLvl w:val="9"/>
        <w:rPr>
          <w:rFonts w:hint="eastAsia" w:ascii="宋体" w:hAnsi="宋体" w:eastAsia="宋体" w:cs="宋体"/>
          <w:sz w:val="24"/>
          <w:szCs w:val="24"/>
        </w:rPr>
        <w:sectPr>
          <w:footerReference r:id="rId20" w:type="default"/>
          <w:pgSz w:w="11906" w:h="16838"/>
          <w:pgMar w:top="1304" w:right="1304" w:bottom="1304" w:left="1304" w:header="0" w:footer="675" w:gutter="0"/>
          <w:pgNumType w:fmt="decimal"/>
          <w:cols w:space="425" w:num="1"/>
          <w:rtlGutter w:val="0"/>
          <w:docGrid w:linePitch="0" w:charSpace="0"/>
        </w:sectPr>
      </w:pPr>
    </w:p>
    <w:p w14:paraId="3330139F">
      <w:pPr>
        <w:keepNext w:val="0"/>
        <w:keepLines w:val="0"/>
        <w:pageBreakBefore w:val="0"/>
        <w:widowControl w:val="0"/>
        <w:kinsoku/>
        <w:wordWrap/>
        <w:overflowPunct w:val="0"/>
        <w:topLinePunct w:val="0"/>
        <w:autoSpaceDE w:val="0"/>
        <w:autoSpaceDN w:val="0"/>
        <w:bidi w:val="0"/>
        <w:spacing w:line="314" w:lineRule="auto"/>
        <w:rPr>
          <w:rFonts w:hint="eastAsia" w:ascii="宋体" w:hAnsi="宋体" w:eastAsia="宋体" w:cs="宋体"/>
          <w:sz w:val="24"/>
          <w:szCs w:val="24"/>
        </w:rPr>
      </w:pPr>
    </w:p>
    <w:p w14:paraId="334F45D8">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41" w:name="_Toc20538"/>
      <w:r>
        <w:rPr>
          <w:rFonts w:hint="eastAsia" w:ascii="宋体" w:hAnsi="宋体" w:eastAsia="宋体" w:cs="宋体"/>
          <w:b/>
          <w:bCs/>
          <w:snapToGrid w:val="0"/>
          <w:color w:val="auto"/>
          <w:kern w:val="0"/>
          <w:sz w:val="28"/>
          <w:szCs w:val="28"/>
          <w:highlight w:val="none"/>
          <w:lang w:val="en-US" w:eastAsia="zh-CN"/>
        </w:rPr>
        <w:t>(3) 投标函附录</w:t>
      </w:r>
      <w:bookmarkEnd w:id="241"/>
    </w:p>
    <w:p w14:paraId="7B48E58E">
      <w:pPr>
        <w:keepNext w:val="0"/>
        <w:keepLines w:val="0"/>
        <w:pageBreakBefore w:val="0"/>
        <w:widowControl w:val="0"/>
        <w:kinsoku/>
        <w:wordWrap/>
        <w:overflowPunct w:val="0"/>
        <w:topLinePunct w:val="0"/>
        <w:autoSpaceDE w:val="0"/>
        <w:autoSpaceDN w:val="0"/>
        <w:bidi w:val="0"/>
        <w:spacing w:line="315" w:lineRule="auto"/>
        <w:rPr>
          <w:rFonts w:hint="eastAsia" w:ascii="宋体" w:hAnsi="宋体" w:eastAsia="宋体" w:cs="宋体"/>
          <w:sz w:val="24"/>
          <w:szCs w:val="24"/>
        </w:rPr>
      </w:pPr>
    </w:p>
    <w:p w14:paraId="796A3AFD">
      <w:pPr>
        <w:keepNext w:val="0"/>
        <w:keepLines w:val="0"/>
        <w:pageBreakBefore w:val="0"/>
        <w:widowControl w:val="0"/>
        <w:kinsoku/>
        <w:wordWrap/>
        <w:overflowPunct w:val="0"/>
        <w:topLinePunct w:val="0"/>
        <w:autoSpaceDE w:val="0"/>
        <w:autoSpaceDN w:val="0"/>
        <w:bidi w:val="0"/>
        <w:spacing w:line="267" w:lineRule="exact"/>
        <w:ind w:firstLine="3502"/>
        <w:textAlignment w:val="center"/>
        <w:rPr>
          <w:rFonts w:hint="eastAsia" w:ascii="宋体" w:hAnsi="宋体" w:eastAsia="宋体" w:cs="宋体"/>
          <w:sz w:val="24"/>
          <w:szCs w:val="24"/>
        </w:rPr>
      </w:pPr>
    </w:p>
    <w:tbl>
      <w:tblPr>
        <w:tblStyle w:val="30"/>
        <w:tblW w:w="8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7869"/>
      </w:tblGrid>
      <w:tr w14:paraId="18BFE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76" w:type="dxa"/>
            <w:vAlign w:val="center"/>
          </w:tcPr>
          <w:p w14:paraId="28EF0A27">
            <w:pPr>
              <w:keepNext w:val="0"/>
              <w:keepLines w:val="0"/>
              <w:pageBreakBefore w:val="0"/>
              <w:widowControl w:val="0"/>
              <w:kinsoku/>
              <w:wordWrap/>
              <w:overflowPunct w:val="0"/>
              <w:topLinePunct w:val="0"/>
              <w:autoSpaceDE w:val="0"/>
              <w:autoSpaceDN w:val="0"/>
              <w:bidi w:val="0"/>
              <w:spacing w:before="61" w:line="230" w:lineRule="auto"/>
              <w:ind w:left="237"/>
              <w:jc w:val="left"/>
              <w:rPr>
                <w:rFonts w:hint="eastAsia" w:ascii="宋体" w:hAnsi="宋体" w:eastAsia="宋体" w:cs="宋体"/>
                <w:sz w:val="24"/>
                <w:szCs w:val="24"/>
              </w:rPr>
            </w:pPr>
            <w:r>
              <w:rPr>
                <w:rFonts w:hint="eastAsia" w:ascii="宋体" w:hAnsi="宋体" w:eastAsia="宋体" w:cs="宋体"/>
                <w:spacing w:val="8"/>
                <w:sz w:val="24"/>
                <w:szCs w:val="24"/>
              </w:rPr>
              <w:t>序号</w:t>
            </w:r>
          </w:p>
        </w:tc>
        <w:tc>
          <w:tcPr>
            <w:tcW w:w="7869" w:type="dxa"/>
            <w:vAlign w:val="center"/>
          </w:tcPr>
          <w:p w14:paraId="77B6EE4A">
            <w:pPr>
              <w:keepNext w:val="0"/>
              <w:keepLines w:val="0"/>
              <w:pageBreakBefore w:val="0"/>
              <w:widowControl w:val="0"/>
              <w:kinsoku/>
              <w:wordWrap/>
              <w:overflowPunct w:val="0"/>
              <w:topLinePunct w:val="0"/>
              <w:autoSpaceDE w:val="0"/>
              <w:autoSpaceDN w:val="0"/>
              <w:bidi w:val="0"/>
              <w:spacing w:before="62" w:line="228" w:lineRule="auto"/>
              <w:ind w:left="3413"/>
              <w:jc w:val="left"/>
              <w:rPr>
                <w:rFonts w:hint="eastAsia" w:ascii="宋体" w:hAnsi="宋体" w:eastAsia="宋体" w:cs="宋体"/>
                <w:sz w:val="24"/>
                <w:szCs w:val="24"/>
              </w:rPr>
            </w:pPr>
            <w:r>
              <w:rPr>
                <w:rFonts w:hint="eastAsia" w:ascii="宋体" w:hAnsi="宋体" w:eastAsia="宋体" w:cs="宋体"/>
                <w:spacing w:val="5"/>
                <w:sz w:val="24"/>
                <w:szCs w:val="24"/>
              </w:rPr>
              <w:t xml:space="preserve">内       </w:t>
            </w:r>
            <w:r>
              <w:rPr>
                <w:rFonts w:hint="eastAsia" w:ascii="宋体" w:hAnsi="宋体" w:eastAsia="宋体" w:cs="宋体"/>
                <w:spacing w:val="4"/>
                <w:sz w:val="24"/>
                <w:szCs w:val="24"/>
              </w:rPr>
              <w:t>容</w:t>
            </w:r>
          </w:p>
        </w:tc>
      </w:tr>
      <w:tr w14:paraId="4C04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76" w:type="dxa"/>
            <w:vAlign w:val="center"/>
          </w:tcPr>
          <w:p w14:paraId="19893A02">
            <w:pPr>
              <w:keepNext w:val="0"/>
              <w:keepLines w:val="0"/>
              <w:pageBreakBefore w:val="0"/>
              <w:widowControl w:val="0"/>
              <w:kinsoku/>
              <w:wordWrap/>
              <w:overflowPunct w:val="0"/>
              <w:topLinePunct w:val="0"/>
              <w:autoSpaceDE w:val="0"/>
              <w:autoSpaceDN w:val="0"/>
              <w:bidi w:val="0"/>
              <w:spacing w:before="274" w:line="193" w:lineRule="auto"/>
              <w:ind w:left="426"/>
              <w:jc w:val="left"/>
              <w:rPr>
                <w:rFonts w:hint="eastAsia" w:ascii="宋体" w:hAnsi="宋体" w:eastAsia="宋体" w:cs="宋体"/>
                <w:sz w:val="24"/>
                <w:szCs w:val="24"/>
              </w:rPr>
            </w:pPr>
            <w:r>
              <w:rPr>
                <w:rFonts w:hint="eastAsia" w:ascii="宋体" w:hAnsi="宋体" w:eastAsia="宋体" w:cs="宋体"/>
                <w:sz w:val="24"/>
                <w:szCs w:val="24"/>
              </w:rPr>
              <w:t>1</w:t>
            </w:r>
          </w:p>
        </w:tc>
        <w:tc>
          <w:tcPr>
            <w:tcW w:w="7869" w:type="dxa"/>
            <w:vAlign w:val="top"/>
          </w:tcPr>
          <w:p w14:paraId="1BA097CF">
            <w:pPr>
              <w:keepNext w:val="0"/>
              <w:keepLines w:val="0"/>
              <w:pageBreakBefore w:val="0"/>
              <w:widowControl w:val="0"/>
              <w:kinsoku/>
              <w:wordWrap/>
              <w:overflowPunct w:val="0"/>
              <w:topLinePunct w:val="0"/>
              <w:autoSpaceDE w:val="0"/>
              <w:autoSpaceDN w:val="0"/>
              <w:bidi w:val="0"/>
              <w:spacing w:before="244" w:line="228" w:lineRule="auto"/>
              <w:ind w:left="33"/>
              <w:rPr>
                <w:rFonts w:hint="eastAsia" w:ascii="宋体" w:hAnsi="宋体" w:eastAsia="宋体" w:cs="宋体"/>
                <w:sz w:val="24"/>
                <w:szCs w:val="24"/>
              </w:rPr>
            </w:pPr>
            <w:r>
              <w:rPr>
                <w:rFonts w:hint="eastAsia" w:ascii="宋体" w:hAnsi="宋体" w:eastAsia="宋体" w:cs="宋体"/>
                <w:spacing w:val="16"/>
                <w:sz w:val="24"/>
                <w:szCs w:val="24"/>
              </w:rPr>
              <w:t>施</w:t>
            </w:r>
            <w:r>
              <w:rPr>
                <w:rFonts w:hint="eastAsia" w:ascii="宋体" w:hAnsi="宋体" w:eastAsia="宋体" w:cs="宋体"/>
                <w:spacing w:val="14"/>
                <w:sz w:val="24"/>
                <w:szCs w:val="24"/>
              </w:rPr>
              <w:t>工企业资质等级：</w:t>
            </w:r>
            <w:r>
              <w:rPr>
                <w:rFonts w:hint="eastAsia" w:ascii="宋体" w:hAnsi="宋体" w:eastAsia="宋体" w:cs="宋体"/>
                <w:sz w:val="24"/>
                <w:szCs w:val="24"/>
                <w:u w:val="single" w:color="auto"/>
              </w:rPr>
              <w:t xml:space="preserve">                        </w:t>
            </w:r>
          </w:p>
        </w:tc>
      </w:tr>
      <w:tr w14:paraId="6AE8E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76" w:type="dxa"/>
            <w:vAlign w:val="center"/>
          </w:tcPr>
          <w:p w14:paraId="120DF60A">
            <w:pPr>
              <w:keepNext w:val="0"/>
              <w:keepLines w:val="0"/>
              <w:pageBreakBefore w:val="0"/>
              <w:widowControl w:val="0"/>
              <w:kinsoku/>
              <w:wordWrap/>
              <w:overflowPunct w:val="0"/>
              <w:topLinePunct w:val="0"/>
              <w:autoSpaceDE w:val="0"/>
              <w:autoSpaceDN w:val="0"/>
              <w:bidi w:val="0"/>
              <w:spacing w:before="62" w:line="192" w:lineRule="auto"/>
              <w:ind w:left="401"/>
              <w:jc w:val="left"/>
              <w:rPr>
                <w:rFonts w:hint="eastAsia" w:ascii="宋体" w:hAnsi="宋体" w:eastAsia="宋体" w:cs="宋体"/>
                <w:sz w:val="24"/>
                <w:szCs w:val="24"/>
              </w:rPr>
            </w:pPr>
            <w:r>
              <w:rPr>
                <w:rFonts w:hint="eastAsia" w:ascii="宋体" w:hAnsi="宋体" w:eastAsia="宋体" w:cs="宋体"/>
                <w:sz w:val="24"/>
                <w:szCs w:val="24"/>
              </w:rPr>
              <w:t>2</w:t>
            </w:r>
          </w:p>
        </w:tc>
        <w:tc>
          <w:tcPr>
            <w:tcW w:w="7869" w:type="dxa"/>
            <w:vAlign w:val="top"/>
          </w:tcPr>
          <w:p w14:paraId="1845941E">
            <w:pPr>
              <w:keepNext w:val="0"/>
              <w:keepLines w:val="0"/>
              <w:pageBreakBefore w:val="0"/>
              <w:widowControl w:val="0"/>
              <w:kinsoku/>
              <w:wordWrap/>
              <w:overflowPunct w:val="0"/>
              <w:topLinePunct w:val="0"/>
              <w:autoSpaceDE w:val="0"/>
              <w:autoSpaceDN w:val="0"/>
              <w:bidi w:val="0"/>
              <w:spacing w:before="182" w:line="518" w:lineRule="auto"/>
              <w:ind w:left="40"/>
              <w:rPr>
                <w:rFonts w:hint="eastAsia" w:ascii="宋体" w:hAnsi="宋体" w:eastAsia="宋体" w:cs="宋体"/>
                <w:sz w:val="24"/>
                <w:szCs w:val="24"/>
              </w:rPr>
            </w:pPr>
            <w:r>
              <w:rPr>
                <w:rFonts w:hint="eastAsia" w:ascii="宋体" w:hAnsi="宋体" w:eastAsia="宋体" w:cs="宋体"/>
                <w:spacing w:val="16"/>
                <w:sz w:val="24"/>
                <w:szCs w:val="24"/>
              </w:rPr>
              <w:t>项</w:t>
            </w:r>
            <w:r>
              <w:rPr>
                <w:rFonts w:hint="eastAsia" w:ascii="宋体" w:hAnsi="宋体" w:eastAsia="宋体" w:cs="宋体"/>
                <w:spacing w:val="11"/>
                <w:sz w:val="24"/>
                <w:szCs w:val="24"/>
              </w:rPr>
              <w:t>目经理姓名：</w:t>
            </w:r>
            <w:r>
              <w:rPr>
                <w:rFonts w:hint="eastAsia" w:ascii="宋体" w:hAnsi="宋体" w:eastAsia="宋体" w:cs="宋体"/>
                <w:sz w:val="24"/>
                <w:szCs w:val="24"/>
                <w:u w:val="single" w:color="auto"/>
              </w:rPr>
              <w:t xml:space="preserve">                                          </w:t>
            </w:r>
          </w:p>
          <w:p w14:paraId="0FC35BE3">
            <w:pPr>
              <w:keepNext w:val="0"/>
              <w:keepLines w:val="0"/>
              <w:pageBreakBefore w:val="0"/>
              <w:widowControl w:val="0"/>
              <w:kinsoku/>
              <w:wordWrap/>
              <w:overflowPunct w:val="0"/>
              <w:topLinePunct w:val="0"/>
              <w:autoSpaceDE w:val="0"/>
              <w:autoSpaceDN w:val="0"/>
              <w:bidi w:val="0"/>
              <w:spacing w:line="227" w:lineRule="auto"/>
              <w:ind w:left="34"/>
              <w:rPr>
                <w:rFonts w:hint="eastAsia" w:ascii="宋体" w:hAnsi="宋体" w:eastAsia="宋体" w:cs="宋体"/>
                <w:sz w:val="24"/>
                <w:szCs w:val="24"/>
              </w:rPr>
            </w:pPr>
            <w:r>
              <w:rPr>
                <w:rFonts w:hint="eastAsia" w:ascii="宋体" w:hAnsi="宋体" w:eastAsia="宋体" w:cs="宋体"/>
                <w:spacing w:val="16"/>
                <w:sz w:val="24"/>
                <w:szCs w:val="24"/>
              </w:rPr>
              <w:t>注册建造师证书专业、等级</w:t>
            </w:r>
            <w:r>
              <w:rPr>
                <w:rFonts w:hint="eastAsia" w:ascii="宋体" w:hAnsi="宋体" w:eastAsia="宋体" w:cs="宋体"/>
                <w:spacing w:val="13"/>
                <w:sz w:val="24"/>
                <w:szCs w:val="24"/>
              </w:rPr>
              <w:t>：</w:t>
            </w:r>
            <w:r>
              <w:rPr>
                <w:rFonts w:hint="eastAsia" w:ascii="宋体" w:hAnsi="宋体" w:eastAsia="宋体" w:cs="宋体"/>
                <w:sz w:val="24"/>
                <w:szCs w:val="24"/>
                <w:u w:val="single" w:color="auto"/>
              </w:rPr>
              <w:t xml:space="preserve">                            </w:t>
            </w:r>
          </w:p>
        </w:tc>
      </w:tr>
      <w:tr w14:paraId="7220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76" w:type="dxa"/>
            <w:vAlign w:val="center"/>
          </w:tcPr>
          <w:p w14:paraId="5CC56364">
            <w:pPr>
              <w:keepNext w:val="0"/>
              <w:keepLines w:val="0"/>
              <w:pageBreakBefore w:val="0"/>
              <w:widowControl w:val="0"/>
              <w:kinsoku/>
              <w:wordWrap/>
              <w:overflowPunct w:val="0"/>
              <w:topLinePunct w:val="0"/>
              <w:autoSpaceDE w:val="0"/>
              <w:autoSpaceDN w:val="0"/>
              <w:bidi w:val="0"/>
              <w:spacing w:before="278" w:line="191" w:lineRule="auto"/>
              <w:ind w:left="403"/>
              <w:jc w:val="left"/>
              <w:rPr>
                <w:rFonts w:hint="eastAsia" w:ascii="宋体" w:hAnsi="宋体" w:eastAsia="宋体" w:cs="宋体"/>
                <w:sz w:val="24"/>
                <w:szCs w:val="24"/>
              </w:rPr>
            </w:pPr>
            <w:r>
              <w:rPr>
                <w:rFonts w:hint="eastAsia" w:ascii="宋体" w:hAnsi="宋体" w:eastAsia="宋体" w:cs="宋体"/>
                <w:sz w:val="24"/>
                <w:szCs w:val="24"/>
              </w:rPr>
              <w:t>3</w:t>
            </w:r>
          </w:p>
        </w:tc>
        <w:tc>
          <w:tcPr>
            <w:tcW w:w="7869" w:type="dxa"/>
            <w:vAlign w:val="top"/>
          </w:tcPr>
          <w:p w14:paraId="4EFB3C03">
            <w:pPr>
              <w:keepNext w:val="0"/>
              <w:keepLines w:val="0"/>
              <w:pageBreakBefore w:val="0"/>
              <w:widowControl w:val="0"/>
              <w:kinsoku/>
              <w:wordWrap/>
              <w:overflowPunct w:val="0"/>
              <w:topLinePunct w:val="0"/>
              <w:autoSpaceDE w:val="0"/>
              <w:autoSpaceDN w:val="0"/>
              <w:bidi w:val="0"/>
              <w:spacing w:before="244" w:line="227" w:lineRule="auto"/>
              <w:ind w:left="39"/>
              <w:rPr>
                <w:rFonts w:hint="eastAsia" w:ascii="宋体" w:hAnsi="宋体" w:eastAsia="宋体" w:cs="宋体"/>
                <w:sz w:val="24"/>
                <w:szCs w:val="24"/>
              </w:rPr>
            </w:pPr>
            <w:r>
              <w:rPr>
                <w:rFonts w:hint="eastAsia" w:ascii="宋体" w:hAnsi="宋体" w:eastAsia="宋体" w:cs="宋体"/>
                <w:spacing w:val="10"/>
                <w:sz w:val="24"/>
                <w:szCs w:val="24"/>
              </w:rPr>
              <w:t>投标总报</w:t>
            </w:r>
            <w:r>
              <w:rPr>
                <w:rFonts w:hint="eastAsia" w:ascii="宋体" w:hAnsi="宋体" w:eastAsia="宋体" w:cs="宋体"/>
                <w:spacing w:val="6"/>
                <w:sz w:val="24"/>
                <w:szCs w:val="24"/>
              </w:rPr>
              <w:t>价</w:t>
            </w:r>
            <w:r>
              <w:rPr>
                <w:rFonts w:hint="eastAsia" w:ascii="宋体" w:hAnsi="宋体" w:eastAsia="宋体" w:cs="宋体"/>
                <w:spacing w:val="5"/>
                <w:sz w:val="24"/>
                <w:szCs w:val="24"/>
              </w:rPr>
              <w:t xml:space="preserve">  (大写人民币) ：</w:t>
            </w:r>
            <w:r>
              <w:rPr>
                <w:rFonts w:hint="eastAsia" w:ascii="宋体" w:hAnsi="宋体" w:eastAsia="宋体" w:cs="宋体"/>
                <w:spacing w:val="5"/>
                <w:sz w:val="24"/>
                <w:szCs w:val="24"/>
                <w:u w:val="single" w:color="auto"/>
              </w:rPr>
              <w:t xml:space="preserve">                (￥             元)</w:t>
            </w:r>
            <w:r>
              <w:rPr>
                <w:rFonts w:hint="eastAsia" w:ascii="宋体" w:hAnsi="宋体" w:eastAsia="宋体" w:cs="宋体"/>
                <w:sz w:val="24"/>
                <w:szCs w:val="24"/>
                <w:u w:val="single" w:color="auto"/>
              </w:rPr>
              <w:t xml:space="preserve"> </w:t>
            </w:r>
          </w:p>
        </w:tc>
      </w:tr>
      <w:tr w14:paraId="1EC5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76" w:type="dxa"/>
            <w:vAlign w:val="center"/>
          </w:tcPr>
          <w:p w14:paraId="53B8F161">
            <w:pPr>
              <w:keepNext w:val="0"/>
              <w:keepLines w:val="0"/>
              <w:pageBreakBefore w:val="0"/>
              <w:widowControl w:val="0"/>
              <w:kinsoku/>
              <w:wordWrap/>
              <w:overflowPunct w:val="0"/>
              <w:topLinePunct w:val="0"/>
              <w:autoSpaceDE w:val="0"/>
              <w:autoSpaceDN w:val="0"/>
              <w:bidi w:val="0"/>
              <w:spacing w:before="282" w:line="192" w:lineRule="auto"/>
              <w:ind w:left="393"/>
              <w:jc w:val="left"/>
              <w:rPr>
                <w:rFonts w:hint="eastAsia" w:ascii="宋体" w:hAnsi="宋体" w:eastAsia="宋体" w:cs="宋体"/>
                <w:sz w:val="24"/>
                <w:szCs w:val="24"/>
              </w:rPr>
            </w:pPr>
            <w:r>
              <w:rPr>
                <w:rFonts w:hint="eastAsia" w:ascii="宋体" w:hAnsi="宋体" w:eastAsia="宋体" w:cs="宋体"/>
                <w:sz w:val="24"/>
                <w:szCs w:val="24"/>
              </w:rPr>
              <w:t>4</w:t>
            </w:r>
          </w:p>
        </w:tc>
        <w:tc>
          <w:tcPr>
            <w:tcW w:w="7869" w:type="dxa"/>
            <w:vAlign w:val="top"/>
          </w:tcPr>
          <w:p w14:paraId="2BB52AD4">
            <w:pPr>
              <w:keepNext w:val="0"/>
              <w:keepLines w:val="0"/>
              <w:pageBreakBefore w:val="0"/>
              <w:widowControl w:val="0"/>
              <w:kinsoku/>
              <w:wordWrap/>
              <w:overflowPunct w:val="0"/>
              <w:topLinePunct w:val="0"/>
              <w:autoSpaceDE w:val="0"/>
              <w:autoSpaceDN w:val="0"/>
              <w:bidi w:val="0"/>
              <w:spacing w:before="251" w:line="229" w:lineRule="auto"/>
              <w:ind w:left="39"/>
              <w:rPr>
                <w:rFonts w:hint="eastAsia" w:ascii="宋体" w:hAnsi="宋体" w:eastAsia="宋体" w:cs="宋体"/>
                <w:sz w:val="24"/>
                <w:szCs w:val="24"/>
              </w:rPr>
            </w:pPr>
            <w:r>
              <w:rPr>
                <w:rFonts w:hint="eastAsia" w:ascii="宋体" w:hAnsi="宋体" w:eastAsia="宋体" w:cs="宋体"/>
                <w:spacing w:val="-8"/>
                <w:sz w:val="24"/>
                <w:szCs w:val="24"/>
              </w:rPr>
              <w:t>工期</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日历日</w:t>
            </w:r>
          </w:p>
        </w:tc>
      </w:tr>
      <w:tr w14:paraId="38D32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76" w:type="dxa"/>
            <w:vAlign w:val="center"/>
          </w:tcPr>
          <w:p w14:paraId="4889A048">
            <w:pPr>
              <w:keepNext w:val="0"/>
              <w:keepLines w:val="0"/>
              <w:pageBreakBefore w:val="0"/>
              <w:widowControl w:val="0"/>
              <w:kinsoku/>
              <w:wordWrap/>
              <w:overflowPunct w:val="0"/>
              <w:topLinePunct w:val="0"/>
              <w:autoSpaceDE w:val="0"/>
              <w:autoSpaceDN w:val="0"/>
              <w:bidi w:val="0"/>
              <w:spacing w:before="285" w:line="189" w:lineRule="auto"/>
              <w:ind w:left="403"/>
              <w:jc w:val="left"/>
              <w:rPr>
                <w:rFonts w:hint="eastAsia" w:ascii="宋体" w:hAnsi="宋体" w:eastAsia="宋体" w:cs="宋体"/>
                <w:sz w:val="24"/>
                <w:szCs w:val="24"/>
              </w:rPr>
            </w:pPr>
            <w:r>
              <w:rPr>
                <w:rFonts w:hint="eastAsia" w:ascii="宋体" w:hAnsi="宋体" w:eastAsia="宋体" w:cs="宋体"/>
                <w:sz w:val="24"/>
                <w:szCs w:val="24"/>
              </w:rPr>
              <w:t>5</w:t>
            </w:r>
          </w:p>
        </w:tc>
        <w:tc>
          <w:tcPr>
            <w:tcW w:w="7869" w:type="dxa"/>
            <w:vAlign w:val="top"/>
          </w:tcPr>
          <w:p w14:paraId="09FA49A4">
            <w:pPr>
              <w:keepNext w:val="0"/>
              <w:keepLines w:val="0"/>
              <w:pageBreakBefore w:val="0"/>
              <w:widowControl w:val="0"/>
              <w:kinsoku/>
              <w:wordWrap/>
              <w:overflowPunct w:val="0"/>
              <w:topLinePunct w:val="0"/>
              <w:autoSpaceDE w:val="0"/>
              <w:autoSpaceDN w:val="0"/>
              <w:bidi w:val="0"/>
              <w:spacing w:before="252" w:line="228" w:lineRule="auto"/>
              <w:ind w:left="35"/>
              <w:rPr>
                <w:rFonts w:hint="eastAsia" w:ascii="宋体" w:hAnsi="宋体" w:eastAsia="宋体" w:cs="宋体"/>
                <w:sz w:val="24"/>
                <w:szCs w:val="24"/>
              </w:rPr>
            </w:pPr>
            <w:r>
              <w:rPr>
                <w:rFonts w:hint="eastAsia" w:ascii="宋体" w:hAnsi="宋体" w:eastAsia="宋体" w:cs="宋体"/>
                <w:spacing w:val="10"/>
                <w:sz w:val="24"/>
                <w:szCs w:val="24"/>
              </w:rPr>
              <w:t>质量等级</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tc>
      </w:tr>
      <w:tr w14:paraId="4031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76" w:type="dxa"/>
            <w:vAlign w:val="center"/>
          </w:tcPr>
          <w:p w14:paraId="0094D08B">
            <w:pPr>
              <w:keepNext w:val="0"/>
              <w:keepLines w:val="0"/>
              <w:pageBreakBefore w:val="0"/>
              <w:widowControl w:val="0"/>
              <w:kinsoku/>
              <w:wordWrap/>
              <w:overflowPunct w:val="0"/>
              <w:topLinePunct w:val="0"/>
              <w:autoSpaceDE w:val="0"/>
              <w:autoSpaceDN w:val="0"/>
              <w:bidi w:val="0"/>
              <w:spacing w:before="284" w:line="191" w:lineRule="auto"/>
              <w:ind w:left="400"/>
              <w:jc w:val="left"/>
              <w:rPr>
                <w:rFonts w:hint="eastAsia" w:ascii="宋体" w:hAnsi="宋体" w:eastAsia="宋体" w:cs="宋体"/>
                <w:sz w:val="24"/>
                <w:szCs w:val="24"/>
              </w:rPr>
            </w:pPr>
            <w:r>
              <w:rPr>
                <w:rFonts w:hint="eastAsia" w:ascii="宋体" w:hAnsi="宋体" w:eastAsia="宋体" w:cs="宋体"/>
                <w:sz w:val="24"/>
                <w:szCs w:val="24"/>
              </w:rPr>
              <w:t>6</w:t>
            </w:r>
          </w:p>
        </w:tc>
        <w:tc>
          <w:tcPr>
            <w:tcW w:w="7869" w:type="dxa"/>
            <w:vAlign w:val="top"/>
          </w:tcPr>
          <w:p w14:paraId="0BF2C764">
            <w:pPr>
              <w:keepNext w:val="0"/>
              <w:keepLines w:val="0"/>
              <w:pageBreakBefore w:val="0"/>
              <w:widowControl w:val="0"/>
              <w:kinsoku/>
              <w:wordWrap/>
              <w:overflowPunct w:val="0"/>
              <w:topLinePunct w:val="0"/>
              <w:autoSpaceDE w:val="0"/>
              <w:autoSpaceDN w:val="0"/>
              <w:bidi w:val="0"/>
              <w:spacing w:before="253" w:line="229" w:lineRule="auto"/>
              <w:ind w:left="35"/>
              <w:rPr>
                <w:rFonts w:hint="eastAsia" w:ascii="宋体" w:hAnsi="宋体" w:eastAsia="宋体" w:cs="宋体"/>
                <w:sz w:val="24"/>
                <w:szCs w:val="24"/>
              </w:rPr>
            </w:pPr>
            <w:r>
              <w:rPr>
                <w:rFonts w:hint="eastAsia" w:ascii="宋体" w:hAnsi="宋体" w:eastAsia="宋体" w:cs="宋体"/>
                <w:spacing w:val="10"/>
                <w:sz w:val="24"/>
                <w:szCs w:val="24"/>
              </w:rPr>
              <w:t>缺陷责任期：</w:t>
            </w:r>
            <w:r>
              <w:rPr>
                <w:rFonts w:hint="eastAsia" w:ascii="宋体" w:hAnsi="宋体" w:eastAsia="宋体" w:cs="宋体"/>
                <w:sz w:val="24"/>
                <w:szCs w:val="24"/>
                <w:u w:val="single" w:color="auto"/>
              </w:rPr>
              <w:t xml:space="preserve">                        </w:t>
            </w:r>
          </w:p>
        </w:tc>
      </w:tr>
    </w:tbl>
    <w:p w14:paraId="7528AC5E">
      <w:pPr>
        <w:keepNext w:val="0"/>
        <w:keepLines w:val="0"/>
        <w:pageBreakBefore w:val="0"/>
        <w:widowControl w:val="0"/>
        <w:kinsoku/>
        <w:wordWrap/>
        <w:overflowPunct w:val="0"/>
        <w:topLinePunct w:val="0"/>
        <w:autoSpaceDE w:val="0"/>
        <w:autoSpaceDN w:val="0"/>
        <w:bidi w:val="0"/>
        <w:spacing w:line="254" w:lineRule="auto"/>
        <w:rPr>
          <w:rFonts w:hint="eastAsia" w:ascii="宋体" w:hAnsi="宋体" w:eastAsia="宋体" w:cs="宋体"/>
          <w:sz w:val="24"/>
          <w:szCs w:val="24"/>
        </w:rPr>
      </w:pPr>
    </w:p>
    <w:p w14:paraId="647C3EB0">
      <w:pPr>
        <w:keepNext w:val="0"/>
        <w:keepLines w:val="0"/>
        <w:pageBreakBefore w:val="0"/>
        <w:widowControl w:val="0"/>
        <w:kinsoku/>
        <w:wordWrap/>
        <w:overflowPunct w:val="0"/>
        <w:topLinePunct w:val="0"/>
        <w:autoSpaceDE w:val="0"/>
        <w:autoSpaceDN w:val="0"/>
        <w:bidi w:val="0"/>
        <w:spacing w:line="254" w:lineRule="auto"/>
        <w:rPr>
          <w:rFonts w:hint="eastAsia" w:ascii="宋体" w:hAnsi="宋体" w:eastAsia="宋体" w:cs="宋体"/>
          <w:sz w:val="24"/>
          <w:szCs w:val="24"/>
        </w:rPr>
      </w:pPr>
    </w:p>
    <w:p w14:paraId="1C2C4A1D">
      <w:pPr>
        <w:keepNext w:val="0"/>
        <w:keepLines w:val="0"/>
        <w:pageBreakBefore w:val="0"/>
        <w:widowControl w:val="0"/>
        <w:kinsoku/>
        <w:wordWrap/>
        <w:overflowPunct w:val="0"/>
        <w:topLinePunct w:val="0"/>
        <w:autoSpaceDE w:val="0"/>
        <w:autoSpaceDN w:val="0"/>
        <w:bidi w:val="0"/>
        <w:spacing w:line="255" w:lineRule="auto"/>
        <w:rPr>
          <w:rFonts w:hint="eastAsia" w:ascii="宋体" w:hAnsi="宋体" w:eastAsia="宋体" w:cs="宋体"/>
          <w:sz w:val="24"/>
          <w:szCs w:val="24"/>
        </w:rPr>
      </w:pPr>
    </w:p>
    <w:p w14:paraId="573CB324">
      <w:pPr>
        <w:keepNext w:val="0"/>
        <w:keepLines w:val="0"/>
        <w:pageBreakBefore w:val="0"/>
        <w:widowControl w:val="0"/>
        <w:kinsoku/>
        <w:wordWrap/>
        <w:overflowPunct w:val="0"/>
        <w:topLinePunct w:val="0"/>
        <w:autoSpaceDE w:val="0"/>
        <w:autoSpaceDN w:val="0"/>
        <w:bidi w:val="0"/>
        <w:spacing w:line="255" w:lineRule="auto"/>
        <w:rPr>
          <w:rFonts w:hint="eastAsia" w:ascii="宋体" w:hAnsi="宋体" w:eastAsia="宋体" w:cs="宋体"/>
          <w:sz w:val="24"/>
          <w:szCs w:val="24"/>
        </w:rPr>
      </w:pPr>
    </w:p>
    <w:p w14:paraId="0E89CA19">
      <w:pPr>
        <w:keepNext w:val="0"/>
        <w:keepLines w:val="0"/>
        <w:pageBreakBefore w:val="0"/>
        <w:widowControl w:val="0"/>
        <w:kinsoku/>
        <w:wordWrap/>
        <w:overflowPunct w:val="0"/>
        <w:topLinePunct w:val="0"/>
        <w:autoSpaceDE w:val="0"/>
        <w:autoSpaceDN w:val="0"/>
        <w:bidi w:val="0"/>
        <w:spacing w:line="255" w:lineRule="auto"/>
        <w:rPr>
          <w:rFonts w:hint="eastAsia" w:ascii="宋体" w:hAnsi="宋体" w:eastAsia="宋体" w:cs="宋体"/>
          <w:sz w:val="24"/>
          <w:szCs w:val="24"/>
        </w:rPr>
      </w:pPr>
    </w:p>
    <w:p w14:paraId="2D9CB58A">
      <w:pPr>
        <w:keepNext w:val="0"/>
        <w:keepLines w:val="0"/>
        <w:pageBreakBefore w:val="0"/>
        <w:widowControl w:val="0"/>
        <w:kinsoku/>
        <w:wordWrap/>
        <w:overflowPunct w:val="0"/>
        <w:topLinePunct w:val="0"/>
        <w:autoSpaceDE w:val="0"/>
        <w:autoSpaceDN w:val="0"/>
        <w:bidi w:val="0"/>
        <w:spacing w:before="61" w:line="227" w:lineRule="auto"/>
        <w:ind w:left="111"/>
        <w:rPr>
          <w:rFonts w:hint="eastAsia" w:ascii="宋体" w:hAnsi="宋体" w:eastAsia="宋体" w:cs="宋体"/>
          <w:sz w:val="24"/>
          <w:szCs w:val="24"/>
        </w:rPr>
      </w:pPr>
      <w:r>
        <w:rPr>
          <w:rFonts w:hint="eastAsia" w:ascii="宋体" w:hAnsi="宋体" w:eastAsia="宋体" w:cs="宋体"/>
          <w:spacing w:val="19"/>
          <w:sz w:val="24"/>
          <w:szCs w:val="24"/>
          <w:lang w:eastAsia="zh-CN"/>
        </w:rPr>
        <w:t>供应商</w:t>
      </w:r>
      <w:r>
        <w:rPr>
          <w:rFonts w:hint="eastAsia" w:ascii="宋体" w:hAnsi="宋体" w:eastAsia="宋体" w:cs="宋体"/>
          <w:spacing w:val="13"/>
          <w:sz w:val="24"/>
          <w:szCs w:val="24"/>
        </w:rPr>
        <w:t>名称(</w:t>
      </w:r>
      <w:r>
        <w:rPr>
          <w:rFonts w:hint="eastAsia" w:ascii="宋体" w:hAnsi="宋体" w:eastAsia="宋体" w:cs="宋体"/>
          <w:spacing w:val="13"/>
          <w:sz w:val="24"/>
          <w:szCs w:val="24"/>
          <w:lang w:val="en-US" w:eastAsia="zh-CN"/>
        </w:rPr>
        <w:t>CA</w:t>
      </w:r>
      <w:r>
        <w:rPr>
          <w:rFonts w:hint="eastAsia" w:ascii="宋体" w:hAnsi="宋体" w:eastAsia="宋体" w:cs="宋体"/>
          <w:spacing w:val="13"/>
          <w:sz w:val="24"/>
          <w:szCs w:val="24"/>
        </w:rPr>
        <w:t>电子签章)：</w:t>
      </w:r>
      <w:r>
        <w:rPr>
          <w:rFonts w:hint="eastAsia" w:ascii="宋体" w:hAnsi="宋体" w:eastAsia="宋体" w:cs="宋体"/>
          <w:sz w:val="24"/>
          <w:szCs w:val="24"/>
          <w:u w:val="single" w:color="auto"/>
        </w:rPr>
        <w:t xml:space="preserve">               </w:t>
      </w:r>
    </w:p>
    <w:p w14:paraId="68E06449">
      <w:pPr>
        <w:keepNext w:val="0"/>
        <w:keepLines w:val="0"/>
        <w:pageBreakBefore w:val="0"/>
        <w:widowControl w:val="0"/>
        <w:kinsoku/>
        <w:wordWrap/>
        <w:overflowPunct w:val="0"/>
        <w:topLinePunct w:val="0"/>
        <w:autoSpaceDE w:val="0"/>
        <w:autoSpaceDN w:val="0"/>
        <w:bidi w:val="0"/>
        <w:spacing w:line="262" w:lineRule="auto"/>
        <w:rPr>
          <w:rFonts w:hint="eastAsia" w:ascii="宋体" w:hAnsi="宋体" w:eastAsia="宋体" w:cs="宋体"/>
          <w:sz w:val="24"/>
          <w:szCs w:val="24"/>
        </w:rPr>
      </w:pPr>
    </w:p>
    <w:p w14:paraId="1C134773">
      <w:pPr>
        <w:keepNext w:val="0"/>
        <w:keepLines w:val="0"/>
        <w:pageBreakBefore w:val="0"/>
        <w:widowControl w:val="0"/>
        <w:kinsoku/>
        <w:wordWrap/>
        <w:overflowPunct w:val="0"/>
        <w:topLinePunct w:val="0"/>
        <w:autoSpaceDE w:val="0"/>
        <w:autoSpaceDN w:val="0"/>
        <w:bidi w:val="0"/>
        <w:spacing w:line="262" w:lineRule="auto"/>
        <w:rPr>
          <w:rFonts w:hint="eastAsia" w:ascii="宋体" w:hAnsi="宋体" w:eastAsia="宋体" w:cs="宋体"/>
          <w:sz w:val="24"/>
          <w:szCs w:val="24"/>
        </w:rPr>
      </w:pPr>
    </w:p>
    <w:p w14:paraId="0C118F59">
      <w:pPr>
        <w:keepNext w:val="0"/>
        <w:keepLines w:val="0"/>
        <w:pageBreakBefore w:val="0"/>
        <w:widowControl w:val="0"/>
        <w:kinsoku/>
        <w:wordWrap/>
        <w:overflowPunct w:val="0"/>
        <w:topLinePunct w:val="0"/>
        <w:autoSpaceDE w:val="0"/>
        <w:autoSpaceDN w:val="0"/>
        <w:bidi w:val="0"/>
        <w:spacing w:line="262" w:lineRule="auto"/>
        <w:rPr>
          <w:rFonts w:hint="eastAsia" w:ascii="宋体" w:hAnsi="宋体" w:eastAsia="宋体" w:cs="宋体"/>
          <w:sz w:val="24"/>
          <w:szCs w:val="24"/>
        </w:rPr>
      </w:pPr>
    </w:p>
    <w:p w14:paraId="3A4611A0">
      <w:pPr>
        <w:keepNext w:val="0"/>
        <w:keepLines w:val="0"/>
        <w:pageBreakBefore w:val="0"/>
        <w:widowControl w:val="0"/>
        <w:kinsoku/>
        <w:wordWrap/>
        <w:overflowPunct w:val="0"/>
        <w:topLinePunct w:val="0"/>
        <w:autoSpaceDE w:val="0"/>
        <w:autoSpaceDN w:val="0"/>
        <w:bidi w:val="0"/>
        <w:spacing w:before="62" w:line="228" w:lineRule="auto"/>
        <w:ind w:left="210"/>
        <w:rPr>
          <w:rFonts w:hint="eastAsia" w:ascii="宋体" w:hAnsi="宋体" w:eastAsia="宋体" w:cs="宋体"/>
          <w:sz w:val="24"/>
          <w:szCs w:val="24"/>
        </w:rPr>
      </w:pPr>
      <w:r>
        <w:rPr>
          <w:rFonts w:hint="eastAsia" w:ascii="宋体" w:hAnsi="宋体" w:eastAsia="宋体" w:cs="宋体"/>
          <w:spacing w:val="27"/>
          <w:sz w:val="24"/>
          <w:szCs w:val="24"/>
        </w:rPr>
        <w:t>法</w:t>
      </w:r>
      <w:r>
        <w:rPr>
          <w:rFonts w:hint="eastAsia" w:ascii="宋体" w:hAnsi="宋体" w:eastAsia="宋体" w:cs="宋体"/>
          <w:spacing w:val="16"/>
          <w:sz w:val="24"/>
          <w:szCs w:val="24"/>
        </w:rPr>
        <w:t>定代表人或授权委托代理人(签字</w:t>
      </w:r>
      <w:r>
        <w:rPr>
          <w:rFonts w:hint="eastAsia" w:ascii="宋体" w:hAnsi="宋体" w:eastAsia="宋体" w:cs="宋体"/>
          <w:spacing w:val="16"/>
          <w:sz w:val="24"/>
          <w:szCs w:val="24"/>
          <w:lang w:val="en-US" w:eastAsia="zh-CN"/>
        </w:rPr>
        <w:t>或</w:t>
      </w:r>
      <w:r>
        <w:rPr>
          <w:rFonts w:hint="eastAsia" w:ascii="宋体" w:hAnsi="宋体" w:eastAsia="宋体" w:cs="宋体"/>
          <w:spacing w:val="16"/>
          <w:sz w:val="24"/>
          <w:szCs w:val="24"/>
        </w:rPr>
        <w:t>盖章)：</w:t>
      </w:r>
      <w:r>
        <w:rPr>
          <w:rFonts w:hint="eastAsia" w:ascii="宋体" w:hAnsi="宋体" w:eastAsia="宋体" w:cs="宋体"/>
          <w:sz w:val="24"/>
          <w:szCs w:val="24"/>
          <w:u w:val="single" w:color="auto"/>
        </w:rPr>
        <w:t xml:space="preserve">                        </w:t>
      </w:r>
    </w:p>
    <w:p w14:paraId="210415D7">
      <w:pPr>
        <w:keepNext w:val="0"/>
        <w:keepLines w:val="0"/>
        <w:pageBreakBefore w:val="0"/>
        <w:widowControl w:val="0"/>
        <w:kinsoku/>
        <w:wordWrap/>
        <w:overflowPunct w:val="0"/>
        <w:topLinePunct w:val="0"/>
        <w:autoSpaceDE w:val="0"/>
        <w:autoSpaceDN w:val="0"/>
        <w:bidi w:val="0"/>
        <w:spacing w:line="262" w:lineRule="auto"/>
        <w:rPr>
          <w:rFonts w:hint="eastAsia" w:ascii="宋体" w:hAnsi="宋体" w:eastAsia="宋体" w:cs="宋体"/>
          <w:sz w:val="24"/>
          <w:szCs w:val="24"/>
        </w:rPr>
      </w:pPr>
    </w:p>
    <w:p w14:paraId="3CA29870">
      <w:pPr>
        <w:keepNext w:val="0"/>
        <w:keepLines w:val="0"/>
        <w:pageBreakBefore w:val="0"/>
        <w:widowControl w:val="0"/>
        <w:kinsoku/>
        <w:wordWrap/>
        <w:overflowPunct w:val="0"/>
        <w:topLinePunct w:val="0"/>
        <w:autoSpaceDE w:val="0"/>
        <w:autoSpaceDN w:val="0"/>
        <w:bidi w:val="0"/>
        <w:spacing w:line="263" w:lineRule="auto"/>
        <w:rPr>
          <w:rFonts w:hint="eastAsia" w:ascii="宋体" w:hAnsi="宋体" w:eastAsia="宋体" w:cs="宋体"/>
          <w:sz w:val="24"/>
          <w:szCs w:val="24"/>
        </w:rPr>
      </w:pPr>
    </w:p>
    <w:p w14:paraId="43B937CC">
      <w:pPr>
        <w:keepNext w:val="0"/>
        <w:keepLines w:val="0"/>
        <w:pageBreakBefore w:val="0"/>
        <w:widowControl w:val="0"/>
        <w:kinsoku/>
        <w:wordWrap/>
        <w:overflowPunct w:val="0"/>
        <w:topLinePunct w:val="0"/>
        <w:autoSpaceDE w:val="0"/>
        <w:autoSpaceDN w:val="0"/>
        <w:bidi w:val="0"/>
        <w:spacing w:line="263" w:lineRule="auto"/>
        <w:rPr>
          <w:rFonts w:hint="eastAsia" w:ascii="宋体" w:hAnsi="宋体" w:eastAsia="宋体" w:cs="宋体"/>
          <w:sz w:val="24"/>
          <w:szCs w:val="24"/>
        </w:rPr>
      </w:pPr>
    </w:p>
    <w:p w14:paraId="2BE8FBC1">
      <w:pPr>
        <w:keepNext w:val="0"/>
        <w:keepLines w:val="0"/>
        <w:pageBreakBefore w:val="0"/>
        <w:widowControl w:val="0"/>
        <w:kinsoku/>
        <w:wordWrap/>
        <w:overflowPunct w:val="0"/>
        <w:topLinePunct w:val="0"/>
        <w:autoSpaceDE w:val="0"/>
        <w:autoSpaceDN w:val="0"/>
        <w:bidi w:val="0"/>
        <w:spacing w:before="62" w:line="228" w:lineRule="auto"/>
        <w:ind w:left="280"/>
        <w:rPr>
          <w:rFonts w:hint="eastAsia" w:ascii="宋体" w:hAnsi="宋体" w:eastAsia="宋体" w:cs="宋体"/>
          <w:sz w:val="24"/>
          <w:szCs w:val="24"/>
        </w:rPr>
      </w:pPr>
      <w:r>
        <w:rPr>
          <w:rFonts w:hint="eastAsia" w:ascii="宋体" w:hAnsi="宋体" w:eastAsia="宋体" w:cs="宋体"/>
          <w:spacing w:val="3"/>
          <w:sz w:val="24"/>
          <w:szCs w:val="24"/>
        </w:rPr>
        <w:t>日</w:t>
      </w:r>
      <w:r>
        <w:rPr>
          <w:rFonts w:hint="eastAsia" w:ascii="宋体" w:hAnsi="宋体" w:eastAsia="宋体" w:cs="宋体"/>
          <w:spacing w:val="2"/>
          <w:sz w:val="24"/>
          <w:szCs w:val="24"/>
        </w:rPr>
        <w:t xml:space="preserve">    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日</w:t>
      </w:r>
    </w:p>
    <w:p w14:paraId="4DEB7CD6">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21" w:type="default"/>
          <w:pgSz w:w="11906" w:h="16838"/>
          <w:pgMar w:top="1304" w:right="1304" w:bottom="1304" w:left="1304" w:header="0" w:footer="675" w:gutter="0"/>
          <w:pgNumType w:fmt="decimal"/>
          <w:cols w:space="425" w:num="1"/>
          <w:rtlGutter w:val="0"/>
          <w:docGrid w:linePitch="0" w:charSpace="0"/>
        </w:sectPr>
      </w:pPr>
    </w:p>
    <w:p w14:paraId="23BA2EE6">
      <w:pPr>
        <w:rPr>
          <w:rFonts w:hint="eastAsia"/>
          <w:lang w:val="en-US" w:eastAsia="zh-CN"/>
        </w:rPr>
      </w:pPr>
    </w:p>
    <w:p w14:paraId="28B348A4">
      <w:pPr>
        <w:rPr>
          <w:rFonts w:hint="eastAsia"/>
          <w:lang w:val="en-US" w:eastAsia="zh-CN"/>
        </w:rPr>
      </w:pPr>
    </w:p>
    <w:p w14:paraId="4B941821">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42" w:name="_Toc4656"/>
      <w:bookmarkStart w:id="243" w:name="_Toc29530"/>
      <w:r>
        <w:rPr>
          <w:rFonts w:hint="eastAsia" w:ascii="宋体" w:hAnsi="宋体" w:eastAsia="宋体" w:cs="宋体"/>
          <w:b/>
          <w:bCs/>
          <w:snapToGrid w:val="0"/>
          <w:color w:val="auto"/>
          <w:kern w:val="0"/>
          <w:sz w:val="28"/>
          <w:szCs w:val="28"/>
          <w:highlight w:val="none"/>
          <w:lang w:val="en-US" w:eastAsia="zh-CN"/>
        </w:rPr>
        <w:t>(4) 已标价工程量清单</w:t>
      </w:r>
      <w:bookmarkEnd w:id="242"/>
      <w:bookmarkEnd w:id="243"/>
    </w:p>
    <w:p w14:paraId="09FF0362">
      <w:pPr>
        <w:keepNext w:val="0"/>
        <w:keepLines w:val="0"/>
        <w:pageBreakBefore w:val="0"/>
        <w:widowControl w:val="0"/>
        <w:kinsoku/>
        <w:wordWrap/>
        <w:overflowPunct w:val="0"/>
        <w:topLinePunct w:val="0"/>
        <w:autoSpaceDE w:val="0"/>
        <w:autoSpaceDN w:val="0"/>
        <w:bidi w:val="0"/>
        <w:spacing w:line="350" w:lineRule="auto"/>
        <w:rPr>
          <w:rFonts w:ascii="Arial"/>
          <w:sz w:val="24"/>
          <w:szCs w:val="24"/>
        </w:rPr>
      </w:pPr>
    </w:p>
    <w:p w14:paraId="2936026E">
      <w:pPr>
        <w:keepNext w:val="0"/>
        <w:keepLines w:val="0"/>
        <w:pageBreakBefore w:val="0"/>
        <w:widowControl w:val="0"/>
        <w:kinsoku/>
        <w:wordWrap/>
        <w:overflowPunct w:val="0"/>
        <w:topLinePunct w:val="0"/>
        <w:autoSpaceDE w:val="0"/>
        <w:autoSpaceDN w:val="0"/>
        <w:bidi w:val="0"/>
        <w:spacing w:before="98" w:line="224" w:lineRule="auto"/>
        <w:ind w:left="0" w:leftChars="0" w:firstLine="0" w:firstLineChars="0"/>
        <w:jc w:val="center"/>
        <w:rPr>
          <w:rFonts w:ascii="宋体" w:hAnsi="宋体" w:eastAsia="宋体" w:cs="宋体"/>
          <w:sz w:val="30"/>
          <w:szCs w:val="30"/>
        </w:rPr>
      </w:pPr>
      <w:r>
        <w:rPr>
          <w:rFonts w:ascii="宋体" w:hAnsi="宋体" w:eastAsia="宋体" w:cs="宋体"/>
          <w:spacing w:val="17"/>
          <w:sz w:val="24"/>
          <w:szCs w:val="24"/>
        </w:rPr>
        <w:t>【由计价软件生成】</w:t>
      </w:r>
    </w:p>
    <w:p w14:paraId="039FB0C3">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31DD26DA">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326F94A3">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4EC3B30D">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3E386782">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28013810">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6C6D9DAC">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20ABC5E4">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4BA6F1B3">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25BC8A3F">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66EF81AA">
      <w:pPr>
        <w:keepNext w:val="0"/>
        <w:keepLines w:val="0"/>
        <w:pageBreakBefore w:val="0"/>
        <w:widowControl w:val="0"/>
        <w:kinsoku/>
        <w:wordWrap/>
        <w:overflowPunct w:val="0"/>
        <w:topLinePunct w:val="0"/>
        <w:autoSpaceDE w:val="0"/>
        <w:autoSpaceDN w:val="0"/>
        <w:bidi w:val="0"/>
        <w:spacing w:line="287" w:lineRule="auto"/>
        <w:rPr>
          <w:rFonts w:ascii="Arial"/>
          <w:sz w:val="21"/>
        </w:rPr>
      </w:pPr>
    </w:p>
    <w:p w14:paraId="371B576A">
      <w:pPr>
        <w:keepNext w:val="0"/>
        <w:keepLines w:val="0"/>
        <w:pageBreakBefore w:val="0"/>
        <w:widowControl w:val="0"/>
        <w:kinsoku/>
        <w:wordWrap/>
        <w:overflowPunct w:val="0"/>
        <w:topLinePunct w:val="0"/>
        <w:autoSpaceDE w:val="0"/>
        <w:autoSpaceDN w:val="0"/>
        <w:bidi w:val="0"/>
        <w:spacing w:line="259" w:lineRule="auto"/>
        <w:rPr>
          <w:rFonts w:ascii="Arial"/>
          <w:sz w:val="21"/>
        </w:rPr>
      </w:pPr>
    </w:p>
    <w:p w14:paraId="68448DF3">
      <w:pPr>
        <w:keepNext w:val="0"/>
        <w:keepLines w:val="0"/>
        <w:pageBreakBefore w:val="0"/>
        <w:widowControl w:val="0"/>
        <w:kinsoku/>
        <w:wordWrap/>
        <w:overflowPunct w:val="0"/>
        <w:topLinePunct w:val="0"/>
        <w:autoSpaceDE w:val="0"/>
        <w:autoSpaceDN w:val="0"/>
        <w:bidi w:val="0"/>
        <w:spacing w:line="259" w:lineRule="auto"/>
        <w:rPr>
          <w:rFonts w:ascii="Arial"/>
          <w:sz w:val="21"/>
        </w:rPr>
      </w:pPr>
    </w:p>
    <w:p w14:paraId="39C11D45">
      <w:pPr>
        <w:keepNext w:val="0"/>
        <w:keepLines w:val="0"/>
        <w:pageBreakBefore w:val="0"/>
        <w:widowControl w:val="0"/>
        <w:kinsoku/>
        <w:wordWrap/>
        <w:overflowPunct w:val="0"/>
        <w:topLinePunct w:val="0"/>
        <w:autoSpaceDE w:val="0"/>
        <w:autoSpaceDN w:val="0"/>
        <w:bidi w:val="0"/>
        <w:spacing w:line="259" w:lineRule="auto"/>
        <w:rPr>
          <w:rFonts w:ascii="Arial"/>
          <w:sz w:val="21"/>
        </w:rPr>
      </w:pPr>
    </w:p>
    <w:p w14:paraId="0547DA0C">
      <w:pPr>
        <w:keepNext w:val="0"/>
        <w:keepLines w:val="0"/>
        <w:pageBreakBefore w:val="0"/>
        <w:widowControl w:val="0"/>
        <w:kinsoku/>
        <w:wordWrap/>
        <w:overflowPunct w:val="0"/>
        <w:topLinePunct w:val="0"/>
        <w:autoSpaceDE w:val="0"/>
        <w:autoSpaceDN w:val="0"/>
        <w:bidi w:val="0"/>
        <w:spacing w:line="260" w:lineRule="auto"/>
        <w:rPr>
          <w:rFonts w:ascii="Arial"/>
          <w:sz w:val="21"/>
        </w:rPr>
      </w:pPr>
    </w:p>
    <w:p w14:paraId="54816025">
      <w:pPr>
        <w:keepNext w:val="0"/>
        <w:keepLines w:val="0"/>
        <w:pageBreakBefore w:val="0"/>
        <w:widowControl w:val="0"/>
        <w:kinsoku/>
        <w:wordWrap/>
        <w:overflowPunct w:val="0"/>
        <w:topLinePunct w:val="0"/>
        <w:autoSpaceDE w:val="0"/>
        <w:autoSpaceDN w:val="0"/>
        <w:bidi w:val="0"/>
        <w:spacing w:line="260" w:lineRule="auto"/>
        <w:rPr>
          <w:rFonts w:ascii="Arial"/>
          <w:sz w:val="21"/>
        </w:rPr>
      </w:pPr>
    </w:p>
    <w:p w14:paraId="4C40E093">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44" w:name="_Toc24412"/>
      <w:bookmarkStart w:id="245" w:name="_Toc19677"/>
      <w:r>
        <w:rPr>
          <w:rFonts w:hint="eastAsia" w:ascii="宋体" w:hAnsi="宋体" w:eastAsia="宋体" w:cs="宋体"/>
          <w:b/>
          <w:bCs/>
          <w:snapToGrid w:val="0"/>
          <w:color w:val="auto"/>
          <w:kern w:val="0"/>
          <w:sz w:val="28"/>
          <w:szCs w:val="28"/>
          <w:highlight w:val="none"/>
          <w:lang w:val="en-US" w:eastAsia="zh-CN"/>
        </w:rPr>
        <w:t>(5) 磋商文件要求供应商提交的其他投标资料</w:t>
      </w:r>
      <w:bookmarkEnd w:id="244"/>
      <w:bookmarkEnd w:id="245"/>
    </w:p>
    <w:p w14:paraId="02DD2CE2">
      <w:pPr>
        <w:keepNext w:val="0"/>
        <w:keepLines w:val="0"/>
        <w:pageBreakBefore w:val="0"/>
        <w:widowControl w:val="0"/>
        <w:kinsoku/>
        <w:wordWrap/>
        <w:overflowPunct w:val="0"/>
        <w:topLinePunct w:val="0"/>
        <w:autoSpaceDE w:val="0"/>
        <w:autoSpaceDN w:val="0"/>
        <w:bidi w:val="0"/>
        <w:sectPr>
          <w:footerReference r:id="rId22" w:type="default"/>
          <w:pgSz w:w="11906" w:h="16838"/>
          <w:pgMar w:top="1304" w:right="1304" w:bottom="1304" w:left="1304" w:header="0" w:footer="675" w:gutter="0"/>
          <w:pgNumType w:fmt="decimal"/>
          <w:cols w:space="425" w:num="1"/>
          <w:rtlGutter w:val="0"/>
          <w:docGrid w:linePitch="0" w:charSpace="0"/>
        </w:sectPr>
      </w:pPr>
    </w:p>
    <w:p w14:paraId="072D3E64">
      <w:pPr>
        <w:keepNext w:val="0"/>
        <w:keepLines w:val="0"/>
        <w:pageBreakBefore w:val="0"/>
        <w:widowControl w:val="0"/>
        <w:kinsoku/>
        <w:wordWrap/>
        <w:overflowPunct w:val="0"/>
        <w:topLinePunct w:val="0"/>
        <w:autoSpaceDE w:val="0"/>
        <w:autoSpaceDN w:val="0"/>
        <w:bidi w:val="0"/>
        <w:spacing w:line="266" w:lineRule="auto"/>
        <w:rPr>
          <w:rFonts w:ascii="Arial"/>
          <w:sz w:val="21"/>
        </w:rPr>
      </w:pPr>
    </w:p>
    <w:p w14:paraId="53BF887B">
      <w:pPr>
        <w:keepNext w:val="0"/>
        <w:keepLines w:val="0"/>
        <w:pageBreakBefore w:val="0"/>
        <w:widowControl w:val="0"/>
        <w:kinsoku/>
        <w:wordWrap/>
        <w:overflowPunct w:val="0"/>
        <w:topLinePunct w:val="0"/>
        <w:autoSpaceDE w:val="0"/>
        <w:autoSpaceDN w:val="0"/>
        <w:bidi w:val="0"/>
        <w:spacing w:line="282" w:lineRule="auto"/>
        <w:outlineLvl w:val="2"/>
        <w:rPr>
          <w:rFonts w:hint="eastAsia" w:ascii="宋体" w:hAnsi="宋体" w:eastAsia="宋体" w:cs="宋体"/>
          <w:sz w:val="24"/>
          <w:szCs w:val="24"/>
          <w:lang w:val="en-US" w:eastAsia="zh-CN"/>
        </w:rPr>
      </w:pPr>
      <w:bookmarkStart w:id="246" w:name="_Toc10977"/>
      <w:r>
        <w:rPr>
          <w:rFonts w:hint="eastAsia" w:ascii="宋体" w:hAnsi="宋体" w:eastAsia="宋体" w:cs="宋体"/>
          <w:sz w:val="24"/>
          <w:szCs w:val="24"/>
          <w:lang w:val="en-US" w:eastAsia="zh-CN"/>
        </w:rPr>
        <w:t>3.商务技术文件格式：</w:t>
      </w:r>
      <w:bookmarkEnd w:id="246"/>
    </w:p>
    <w:p w14:paraId="42B35E04">
      <w:pPr>
        <w:keepNext w:val="0"/>
        <w:keepLines w:val="0"/>
        <w:pageBreakBefore w:val="0"/>
        <w:widowControl w:val="0"/>
        <w:kinsoku/>
        <w:wordWrap/>
        <w:overflowPunct w:val="0"/>
        <w:topLinePunct w:val="0"/>
        <w:autoSpaceDE w:val="0"/>
        <w:autoSpaceDN w:val="0"/>
        <w:bidi w:val="0"/>
        <w:spacing w:line="267" w:lineRule="auto"/>
        <w:rPr>
          <w:rFonts w:hint="eastAsia" w:ascii="宋体" w:hAnsi="宋体" w:eastAsia="宋体" w:cs="宋体"/>
          <w:sz w:val="24"/>
          <w:szCs w:val="24"/>
        </w:rPr>
      </w:pPr>
    </w:p>
    <w:p w14:paraId="0C0603BF">
      <w:pPr>
        <w:keepNext w:val="0"/>
        <w:keepLines w:val="0"/>
        <w:pageBreakBefore w:val="0"/>
        <w:widowControl w:val="0"/>
        <w:kinsoku/>
        <w:wordWrap/>
        <w:overflowPunct w:val="0"/>
        <w:topLinePunct w:val="0"/>
        <w:autoSpaceDE w:val="0"/>
        <w:autoSpaceDN w:val="0"/>
        <w:bidi w:val="0"/>
        <w:spacing w:before="231" w:line="228" w:lineRule="auto"/>
        <w:ind w:right="155"/>
        <w:jc w:val="center"/>
        <w:rPr>
          <w:rFonts w:hint="eastAsia" w:ascii="宋体" w:hAnsi="宋体" w:eastAsia="宋体" w:cs="宋体"/>
          <w:sz w:val="24"/>
          <w:szCs w:val="24"/>
        </w:rPr>
      </w:pPr>
      <w:r>
        <w:rPr>
          <w:rFonts w:hint="eastAsia" w:ascii="宋体" w:hAnsi="宋体" w:eastAsia="宋体" w:cs="宋体"/>
          <w:spacing w:val="10"/>
          <w:sz w:val="24"/>
          <w:szCs w:val="24"/>
        </w:rPr>
        <w:t>电</w:t>
      </w:r>
      <w:r>
        <w:rPr>
          <w:rFonts w:hint="eastAsia" w:ascii="宋体" w:hAnsi="宋体" w:eastAsia="宋体" w:cs="宋体"/>
          <w:spacing w:val="6"/>
          <w:sz w:val="24"/>
          <w:szCs w:val="24"/>
        </w:rPr>
        <w:t>子投标文件</w:t>
      </w:r>
    </w:p>
    <w:p w14:paraId="4A56445C">
      <w:pPr>
        <w:keepNext w:val="0"/>
        <w:keepLines w:val="0"/>
        <w:pageBreakBefore w:val="0"/>
        <w:widowControl w:val="0"/>
        <w:kinsoku/>
        <w:wordWrap/>
        <w:overflowPunct w:val="0"/>
        <w:topLinePunct w:val="0"/>
        <w:autoSpaceDE w:val="0"/>
        <w:autoSpaceDN w:val="0"/>
        <w:bidi w:val="0"/>
        <w:spacing w:line="337" w:lineRule="auto"/>
        <w:rPr>
          <w:rFonts w:hint="eastAsia" w:ascii="宋体" w:hAnsi="宋体" w:eastAsia="宋体" w:cs="宋体"/>
          <w:sz w:val="24"/>
          <w:szCs w:val="24"/>
        </w:rPr>
      </w:pPr>
    </w:p>
    <w:p w14:paraId="5BDB502C">
      <w:pPr>
        <w:keepNext w:val="0"/>
        <w:keepLines w:val="0"/>
        <w:pageBreakBefore w:val="0"/>
        <w:widowControl w:val="0"/>
        <w:kinsoku/>
        <w:wordWrap/>
        <w:overflowPunct w:val="0"/>
        <w:topLinePunct w:val="0"/>
        <w:autoSpaceDE w:val="0"/>
        <w:autoSpaceDN w:val="0"/>
        <w:bidi w:val="0"/>
        <w:spacing w:before="98" w:line="225" w:lineRule="auto"/>
        <w:ind w:left="3836"/>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2"/>
          <w:sz w:val="24"/>
          <w:szCs w:val="24"/>
          <w:lang w:eastAsia="zh-CN"/>
        </w:rPr>
        <w:t>商务</w:t>
      </w:r>
      <w:r>
        <w:rPr>
          <w:rFonts w:hint="eastAsia" w:ascii="宋体" w:hAnsi="宋体" w:eastAsia="宋体" w:cs="宋体"/>
          <w:spacing w:val="22"/>
          <w:sz w:val="24"/>
          <w:szCs w:val="24"/>
        </w:rPr>
        <w:t>技术文件</w:t>
      </w:r>
      <w:r>
        <w:rPr>
          <w:rFonts w:hint="eastAsia" w:ascii="宋体" w:hAnsi="宋体" w:eastAsia="宋体" w:cs="宋体"/>
          <w:spacing w:val="21"/>
          <w:sz w:val="24"/>
          <w:szCs w:val="24"/>
        </w:rPr>
        <w:t>)</w:t>
      </w:r>
    </w:p>
    <w:p w14:paraId="2573E502">
      <w:pPr>
        <w:keepNext w:val="0"/>
        <w:keepLines w:val="0"/>
        <w:pageBreakBefore w:val="0"/>
        <w:widowControl w:val="0"/>
        <w:kinsoku/>
        <w:wordWrap/>
        <w:overflowPunct w:val="0"/>
        <w:topLinePunct w:val="0"/>
        <w:autoSpaceDE w:val="0"/>
        <w:autoSpaceDN w:val="0"/>
        <w:bidi w:val="0"/>
        <w:spacing w:before="218" w:line="228" w:lineRule="auto"/>
        <w:ind w:left="1094"/>
        <w:rPr>
          <w:rFonts w:hint="eastAsia" w:ascii="宋体" w:hAnsi="宋体" w:eastAsia="宋体" w:cs="宋体"/>
          <w:spacing w:val="10"/>
          <w:sz w:val="24"/>
          <w:szCs w:val="24"/>
        </w:rPr>
      </w:pPr>
    </w:p>
    <w:p w14:paraId="2194D936">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目名称：</w:t>
      </w:r>
      <w:r>
        <w:rPr>
          <w:rFonts w:hint="eastAsia" w:ascii="宋体" w:hAnsi="宋体" w:eastAsia="宋体" w:cs="宋体"/>
          <w:spacing w:val="8"/>
          <w:sz w:val="24"/>
          <w:szCs w:val="24"/>
          <w:u w:val="single"/>
          <w:lang w:val="en-US" w:eastAsia="zh-CN"/>
        </w:rPr>
        <w:t xml:space="preserve">                                         </w:t>
      </w:r>
    </w:p>
    <w:p w14:paraId="4B2C6335">
      <w:pPr>
        <w:keepNext w:val="0"/>
        <w:keepLines w:val="0"/>
        <w:pageBreakBefore w:val="0"/>
        <w:widowControl w:val="0"/>
        <w:kinsoku/>
        <w:wordWrap/>
        <w:overflowPunct w:val="0"/>
        <w:topLinePunct w:val="0"/>
        <w:autoSpaceDE w:val="0"/>
        <w:autoSpaceDN w:val="0"/>
        <w:bidi w:val="0"/>
        <w:spacing w:line="258" w:lineRule="auto"/>
        <w:rPr>
          <w:rFonts w:hint="eastAsia" w:ascii="宋体" w:hAnsi="宋体" w:eastAsia="宋体" w:cs="宋体"/>
          <w:sz w:val="24"/>
          <w:szCs w:val="24"/>
        </w:rPr>
      </w:pPr>
    </w:p>
    <w:p w14:paraId="5EE249AA">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7E6A5ED6">
      <w:pPr>
        <w:keepNext w:val="0"/>
        <w:keepLines w:val="0"/>
        <w:pageBreakBefore w:val="0"/>
        <w:widowControl w:val="0"/>
        <w:kinsoku/>
        <w:wordWrap/>
        <w:overflowPunct w:val="0"/>
        <w:topLinePunct w:val="0"/>
        <w:autoSpaceDE w:val="0"/>
        <w:autoSpaceDN w:val="0"/>
        <w:bidi w:val="0"/>
        <w:spacing w:line="259" w:lineRule="auto"/>
        <w:rPr>
          <w:rFonts w:hint="eastAsia" w:ascii="宋体" w:hAnsi="宋体" w:eastAsia="宋体" w:cs="宋体"/>
          <w:sz w:val="24"/>
          <w:szCs w:val="24"/>
        </w:rPr>
      </w:pPr>
    </w:p>
    <w:p w14:paraId="0AF37B16">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0"/>
          <w:sz w:val="24"/>
          <w:szCs w:val="24"/>
        </w:rPr>
        <w:t>项</w:t>
      </w:r>
      <w:r>
        <w:rPr>
          <w:rFonts w:hint="eastAsia" w:ascii="宋体" w:hAnsi="宋体" w:eastAsia="宋体" w:cs="宋体"/>
          <w:spacing w:val="8"/>
          <w:sz w:val="24"/>
          <w:szCs w:val="24"/>
        </w:rPr>
        <w:t>目编号：</w:t>
      </w:r>
      <w:r>
        <w:rPr>
          <w:rFonts w:hint="eastAsia" w:ascii="宋体" w:hAnsi="宋体" w:eastAsia="宋体" w:cs="宋体"/>
          <w:spacing w:val="8"/>
          <w:sz w:val="24"/>
          <w:szCs w:val="24"/>
          <w:u w:val="single"/>
          <w:lang w:val="en-US" w:eastAsia="zh-CN"/>
        </w:rPr>
        <w:t xml:space="preserve">                                         </w:t>
      </w:r>
    </w:p>
    <w:p w14:paraId="0F2A4960">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78521515">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67974368">
      <w:pPr>
        <w:keepNext w:val="0"/>
        <w:keepLines w:val="0"/>
        <w:pageBreakBefore w:val="0"/>
        <w:widowControl w:val="0"/>
        <w:kinsoku/>
        <w:wordWrap/>
        <w:overflowPunct w:val="0"/>
        <w:topLinePunct w:val="0"/>
        <w:autoSpaceDE w:val="0"/>
        <w:autoSpaceDN w:val="0"/>
        <w:bidi w:val="0"/>
        <w:spacing w:line="260" w:lineRule="auto"/>
        <w:rPr>
          <w:rFonts w:hint="eastAsia" w:ascii="宋体" w:hAnsi="宋体" w:eastAsia="宋体" w:cs="宋体"/>
          <w:sz w:val="24"/>
          <w:szCs w:val="24"/>
        </w:rPr>
      </w:pPr>
    </w:p>
    <w:p w14:paraId="790DB14C">
      <w:pPr>
        <w:keepNext w:val="0"/>
        <w:keepLines w:val="0"/>
        <w:pageBreakBefore w:val="0"/>
        <w:widowControl w:val="0"/>
        <w:kinsoku/>
        <w:wordWrap/>
        <w:overflowPunct w:val="0"/>
        <w:topLinePunct w:val="0"/>
        <w:autoSpaceDE w:val="0"/>
        <w:autoSpaceDN w:val="0"/>
        <w:bidi w:val="0"/>
        <w:spacing w:before="72" w:line="228" w:lineRule="auto"/>
        <w:ind w:left="1101"/>
        <w:rPr>
          <w:rFonts w:hint="eastAsia" w:ascii="宋体" w:hAnsi="宋体" w:eastAsia="宋体" w:cs="宋体"/>
          <w:sz w:val="24"/>
          <w:szCs w:val="24"/>
        </w:rPr>
      </w:pPr>
      <w:r>
        <w:rPr>
          <w:rFonts w:hint="eastAsia" w:ascii="宋体" w:hAnsi="宋体" w:eastAsia="宋体" w:cs="宋体"/>
          <w:spacing w:val="8"/>
          <w:sz w:val="24"/>
          <w:szCs w:val="24"/>
        </w:rPr>
        <w:t xml:space="preserve">标  </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项：    (如有则填写，无分标时填写“无”或者留空)</w:t>
      </w:r>
    </w:p>
    <w:p w14:paraId="1F63F05D">
      <w:pPr>
        <w:keepNext w:val="0"/>
        <w:keepLines w:val="0"/>
        <w:pageBreakBefore w:val="0"/>
        <w:widowControl w:val="0"/>
        <w:kinsoku/>
        <w:wordWrap/>
        <w:overflowPunct w:val="0"/>
        <w:topLinePunct w:val="0"/>
        <w:autoSpaceDE w:val="0"/>
        <w:autoSpaceDN w:val="0"/>
        <w:bidi w:val="0"/>
        <w:spacing w:line="291" w:lineRule="auto"/>
        <w:rPr>
          <w:rFonts w:hint="eastAsia" w:ascii="宋体" w:hAnsi="宋体" w:eastAsia="宋体" w:cs="宋体"/>
          <w:sz w:val="24"/>
          <w:szCs w:val="24"/>
        </w:rPr>
      </w:pPr>
    </w:p>
    <w:p w14:paraId="3ADC28BD">
      <w:pPr>
        <w:keepNext w:val="0"/>
        <w:keepLines w:val="0"/>
        <w:pageBreakBefore w:val="0"/>
        <w:widowControl w:val="0"/>
        <w:kinsoku/>
        <w:wordWrap/>
        <w:overflowPunct w:val="0"/>
        <w:topLinePunct w:val="0"/>
        <w:autoSpaceDE w:val="0"/>
        <w:autoSpaceDN w:val="0"/>
        <w:bidi w:val="0"/>
        <w:spacing w:line="292" w:lineRule="auto"/>
        <w:rPr>
          <w:rFonts w:hint="eastAsia" w:ascii="宋体" w:hAnsi="宋体" w:eastAsia="宋体" w:cs="宋体"/>
          <w:sz w:val="24"/>
          <w:szCs w:val="24"/>
        </w:rPr>
      </w:pPr>
    </w:p>
    <w:p w14:paraId="2B693854">
      <w:pPr>
        <w:keepNext w:val="0"/>
        <w:keepLines w:val="0"/>
        <w:pageBreakBefore w:val="0"/>
        <w:widowControl w:val="0"/>
        <w:kinsoku/>
        <w:wordWrap/>
        <w:overflowPunct w:val="0"/>
        <w:topLinePunct w:val="0"/>
        <w:autoSpaceDE w:val="0"/>
        <w:autoSpaceDN w:val="0"/>
        <w:bidi w:val="0"/>
        <w:spacing w:before="72" w:line="227" w:lineRule="auto"/>
        <w:ind w:left="1021"/>
        <w:rPr>
          <w:rFonts w:hint="eastAsia" w:ascii="宋体" w:hAnsi="宋体" w:eastAsia="宋体" w:cs="宋体"/>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(加盖单位电子</w:t>
      </w:r>
      <w:r>
        <w:rPr>
          <w:rFonts w:hint="eastAsia" w:ascii="宋体" w:hAnsi="宋体" w:eastAsia="宋体" w:cs="宋体"/>
          <w:sz w:val="24"/>
          <w:szCs w:val="24"/>
        </w:rPr>
        <w:t>公章)</w:t>
      </w:r>
    </w:p>
    <w:p w14:paraId="64476FA2">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306CDB25">
      <w:pPr>
        <w:keepNext w:val="0"/>
        <w:keepLines w:val="0"/>
        <w:pageBreakBefore w:val="0"/>
        <w:widowControl w:val="0"/>
        <w:kinsoku/>
        <w:wordWrap/>
        <w:overflowPunct w:val="0"/>
        <w:topLinePunct w:val="0"/>
        <w:autoSpaceDE w:val="0"/>
        <w:autoSpaceDN w:val="0"/>
        <w:bidi w:val="0"/>
        <w:spacing w:line="307" w:lineRule="auto"/>
        <w:rPr>
          <w:rFonts w:hint="eastAsia" w:ascii="宋体" w:hAnsi="宋体" w:eastAsia="宋体" w:cs="宋体"/>
          <w:sz w:val="24"/>
          <w:szCs w:val="24"/>
        </w:rPr>
      </w:pPr>
    </w:p>
    <w:p w14:paraId="0E60515A">
      <w:pPr>
        <w:keepNext w:val="0"/>
        <w:keepLines w:val="0"/>
        <w:pageBreakBefore w:val="0"/>
        <w:widowControl w:val="0"/>
        <w:kinsoku/>
        <w:wordWrap/>
        <w:overflowPunct w:val="0"/>
        <w:topLinePunct w:val="0"/>
        <w:autoSpaceDE w:val="0"/>
        <w:autoSpaceDN w:val="0"/>
        <w:bidi w:val="0"/>
        <w:spacing w:before="218" w:line="228" w:lineRule="auto"/>
        <w:ind w:left="1094"/>
        <w:rPr>
          <w:rFonts w:hint="default" w:ascii="宋体" w:hAnsi="宋体" w:eastAsia="宋体" w:cs="宋体"/>
          <w:sz w:val="24"/>
          <w:szCs w:val="24"/>
          <w:u w:val="single"/>
          <w:lang w:val="en-US" w:eastAsia="zh-CN"/>
        </w:rPr>
      </w:pPr>
      <w:r>
        <w:rPr>
          <w:rFonts w:hint="eastAsia" w:ascii="宋体" w:hAnsi="宋体" w:eastAsia="宋体" w:cs="宋体"/>
          <w:spacing w:val="11"/>
          <w:sz w:val="24"/>
          <w:szCs w:val="24"/>
          <w:lang w:eastAsia="zh-CN"/>
        </w:rPr>
        <w:t>供应商</w:t>
      </w:r>
      <w:r>
        <w:rPr>
          <w:rFonts w:hint="eastAsia" w:ascii="宋体" w:hAnsi="宋体" w:eastAsia="宋体" w:cs="宋体"/>
          <w:spacing w:val="10"/>
          <w:sz w:val="24"/>
          <w:szCs w:val="24"/>
        </w:rPr>
        <w:t>地址：</w:t>
      </w:r>
      <w:r>
        <w:rPr>
          <w:rFonts w:hint="eastAsia" w:ascii="宋体" w:hAnsi="宋体" w:eastAsia="宋体" w:cs="宋体"/>
          <w:spacing w:val="8"/>
          <w:sz w:val="24"/>
          <w:szCs w:val="24"/>
          <w:u w:val="single"/>
          <w:lang w:val="en-US" w:eastAsia="zh-CN"/>
        </w:rPr>
        <w:t xml:space="preserve">                                         </w:t>
      </w:r>
    </w:p>
    <w:p w14:paraId="7F1A91D8">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200FFA57">
      <w:pPr>
        <w:keepNext w:val="0"/>
        <w:keepLines w:val="0"/>
        <w:pageBreakBefore w:val="0"/>
        <w:widowControl w:val="0"/>
        <w:kinsoku/>
        <w:wordWrap/>
        <w:overflowPunct w:val="0"/>
        <w:topLinePunct w:val="0"/>
        <w:autoSpaceDE w:val="0"/>
        <w:autoSpaceDN w:val="0"/>
        <w:bidi w:val="0"/>
        <w:spacing w:line="349" w:lineRule="auto"/>
        <w:rPr>
          <w:rFonts w:hint="eastAsia" w:ascii="宋体" w:hAnsi="宋体" w:eastAsia="宋体" w:cs="宋体"/>
          <w:sz w:val="24"/>
          <w:szCs w:val="24"/>
        </w:rPr>
      </w:pPr>
    </w:p>
    <w:p w14:paraId="456AE969">
      <w:pPr>
        <w:keepNext w:val="0"/>
        <w:keepLines w:val="0"/>
        <w:pageBreakBefore w:val="0"/>
        <w:widowControl w:val="0"/>
        <w:kinsoku/>
        <w:wordWrap/>
        <w:overflowPunct w:val="0"/>
        <w:topLinePunct w:val="0"/>
        <w:autoSpaceDE w:val="0"/>
        <w:autoSpaceDN w:val="0"/>
        <w:bidi w:val="0"/>
        <w:spacing w:before="71" w:line="228" w:lineRule="auto"/>
        <w:ind w:left="5889"/>
        <w:rPr>
          <w:rFonts w:hint="eastAsia" w:ascii="宋体" w:hAnsi="宋体" w:eastAsia="宋体" w:cs="宋体"/>
          <w:sz w:val="24"/>
          <w:szCs w:val="24"/>
        </w:rPr>
      </w:pPr>
      <w:r>
        <w:rPr>
          <w:rFonts w:hint="eastAsia" w:ascii="宋体" w:hAnsi="宋体" w:eastAsia="宋体" w:cs="宋体"/>
          <w:spacing w:val="21"/>
          <w:sz w:val="24"/>
          <w:szCs w:val="24"/>
        </w:rPr>
        <w:t>年  月  日</w:t>
      </w:r>
    </w:p>
    <w:p w14:paraId="3A95A2DF">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sectPr>
          <w:footerReference r:id="rId23" w:type="default"/>
          <w:pgSz w:w="11906" w:h="16838"/>
          <w:pgMar w:top="1304" w:right="1304" w:bottom="1304" w:left="1304" w:header="0" w:footer="675" w:gutter="0"/>
          <w:pgNumType w:fmt="decimal"/>
          <w:cols w:space="425" w:num="1"/>
          <w:rtlGutter w:val="0"/>
          <w:docGrid w:linePitch="0" w:charSpace="0"/>
        </w:sectPr>
      </w:pPr>
    </w:p>
    <w:p w14:paraId="2307D7C7">
      <w:pPr>
        <w:keepNext w:val="0"/>
        <w:keepLines w:val="0"/>
        <w:pageBreakBefore w:val="0"/>
        <w:widowControl w:val="0"/>
        <w:kinsoku/>
        <w:wordWrap/>
        <w:overflowPunct w:val="0"/>
        <w:topLinePunct w:val="0"/>
        <w:autoSpaceDE w:val="0"/>
        <w:autoSpaceDN w:val="0"/>
        <w:bidi w:val="0"/>
        <w:spacing w:line="274" w:lineRule="auto"/>
        <w:rPr>
          <w:rFonts w:ascii="Arial"/>
          <w:sz w:val="21"/>
        </w:rPr>
      </w:pPr>
    </w:p>
    <w:p w14:paraId="49511B8B">
      <w:pPr>
        <w:keepNext w:val="0"/>
        <w:keepLines w:val="0"/>
        <w:pageBreakBefore w:val="0"/>
        <w:widowControl w:val="0"/>
        <w:kinsoku/>
        <w:wordWrap/>
        <w:overflowPunct w:val="0"/>
        <w:topLinePunct w:val="0"/>
        <w:autoSpaceDE w:val="0"/>
        <w:autoSpaceDN w:val="0"/>
        <w:bidi w:val="0"/>
        <w:spacing w:line="274" w:lineRule="auto"/>
        <w:jc w:val="center"/>
        <w:rPr>
          <w:rFonts w:hint="eastAsia" w:ascii="Arial" w:eastAsia="宋体"/>
          <w:sz w:val="24"/>
          <w:szCs w:val="24"/>
          <w:lang w:eastAsia="zh-CN"/>
        </w:rPr>
      </w:pPr>
      <w:r>
        <w:rPr>
          <w:rFonts w:hint="eastAsia" w:eastAsia="宋体"/>
          <w:sz w:val="24"/>
          <w:szCs w:val="24"/>
          <w:lang w:eastAsia="zh-CN"/>
        </w:rPr>
        <w:t>目录</w:t>
      </w:r>
    </w:p>
    <w:p w14:paraId="01F17162">
      <w:pPr>
        <w:keepNext w:val="0"/>
        <w:keepLines w:val="0"/>
        <w:pageBreakBefore w:val="0"/>
        <w:widowControl w:val="0"/>
        <w:kinsoku/>
        <w:wordWrap/>
        <w:overflowPunct w:val="0"/>
        <w:topLinePunct w:val="0"/>
        <w:autoSpaceDE w:val="0"/>
        <w:autoSpaceDN w:val="0"/>
        <w:bidi w:val="0"/>
        <w:spacing w:line="275" w:lineRule="auto"/>
        <w:rPr>
          <w:rFonts w:ascii="Arial"/>
          <w:sz w:val="24"/>
          <w:szCs w:val="24"/>
        </w:rPr>
      </w:pPr>
    </w:p>
    <w:p w14:paraId="726D6D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 法定代表人身份证明书及法定代表人有效身份证正反面复印件；</w:t>
      </w:r>
      <w:r>
        <w:rPr>
          <w:rFonts w:hint="eastAsia" w:asciiTheme="minorEastAsia" w:hAnsiTheme="minorEastAsia" w:eastAsiaTheme="minorEastAsia" w:cstheme="minorEastAsia"/>
          <w:b/>
          <w:bCs/>
          <w:snapToGrid/>
          <w:color w:val="auto"/>
          <w:kern w:val="2"/>
          <w:sz w:val="24"/>
          <w:szCs w:val="24"/>
          <w:lang w:val="en-US" w:eastAsia="zh-CN" w:bidi="ar-SA"/>
        </w:rPr>
        <w:t>（除自然人竞标外必须提供，否则响应文件按无效响应处理）</w:t>
      </w:r>
    </w:p>
    <w:p w14:paraId="749FCCC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(2) 法定代表人授权委托书及委托代理人有效身份证正反面复印件；</w:t>
      </w:r>
      <w:r>
        <w:rPr>
          <w:rFonts w:hint="eastAsia" w:asciiTheme="minorEastAsia" w:hAnsiTheme="minorEastAsia" w:eastAsiaTheme="minorEastAsia" w:cstheme="minorEastAsia"/>
          <w:b/>
          <w:bCs/>
          <w:snapToGrid/>
          <w:color w:val="auto"/>
          <w:kern w:val="2"/>
          <w:sz w:val="24"/>
          <w:szCs w:val="24"/>
          <w:lang w:val="en-US" w:eastAsia="zh-CN" w:bidi="ar-SA"/>
        </w:rPr>
        <w:t>（委托时必须提供，否则响应文件按无效响应处理）</w:t>
      </w:r>
    </w:p>
    <w:p w14:paraId="5EB264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(3)</w:t>
      </w:r>
      <w:r>
        <w:rPr>
          <w:rFonts w:hint="eastAsia" w:asciiTheme="minorEastAsia" w:hAnsiTheme="minorEastAsia" w:eastAsiaTheme="minorEastAsia" w:cstheme="minorEastAsia"/>
          <w:snapToGrid/>
          <w:color w:val="auto"/>
          <w:kern w:val="2"/>
          <w:sz w:val="24"/>
          <w:szCs w:val="24"/>
          <w:highlight w:val="none"/>
          <w:lang w:val="en-US" w:eastAsia="zh-CN" w:bidi="ar-SA"/>
        </w:rPr>
        <w:t xml:space="preserve"> 供应商自2022年1月1日至投标截止日期止已完成且质量合格的类似工程项目业绩证明材料（提供施工合同和验收证明复印件）；</w:t>
      </w:r>
      <w:r>
        <w:rPr>
          <w:rFonts w:hint="eastAsia" w:asciiTheme="minorEastAsia" w:hAnsiTheme="minorEastAsia" w:eastAsiaTheme="minorEastAsia" w:cstheme="minorEastAsia"/>
          <w:b/>
          <w:bCs/>
          <w:snapToGrid/>
          <w:color w:val="auto"/>
          <w:kern w:val="2"/>
          <w:sz w:val="24"/>
          <w:szCs w:val="24"/>
          <w:highlight w:val="none"/>
          <w:lang w:val="en-US" w:eastAsia="zh-CN" w:bidi="ar-SA"/>
        </w:rPr>
        <w:t>（如有，请提供）</w:t>
      </w:r>
    </w:p>
    <w:p w14:paraId="3D3EC0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(4) 各分部分项工程的主要施工方法；</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5C2BAE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(5) 拟投入本工程的主要施工机械设备情况；</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29012D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(6) 劳动力安排计划；</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05FD273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(7) 确保工程质量的技术组织措施；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2FD7C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(8) 确保安全生产的技术组织措施；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6A6EC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(9) 拟配备的试验和检测仪器设备；</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8A905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(10) 确保文明施工的技术组织措施；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3D7704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(11) 确保工期的技术组织措施；</w:t>
      </w:r>
      <w:r>
        <w:rPr>
          <w:rFonts w:hint="eastAsia" w:asciiTheme="minorEastAsia" w:hAnsiTheme="minorEastAsia" w:eastAsiaTheme="minorEastAsia" w:cstheme="minorEastAsia"/>
          <w:b/>
          <w:bCs/>
          <w:color w:val="auto"/>
          <w:sz w:val="24"/>
          <w:szCs w:val="24"/>
          <w:highlight w:val="none"/>
        </w:rPr>
        <w:t>（必须提供，否则响应文件按无效响应处理）</w:t>
      </w:r>
    </w:p>
    <w:p w14:paraId="68677C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napToGrid/>
          <w:color w:val="auto"/>
          <w:kern w:val="2"/>
          <w:sz w:val="24"/>
          <w:szCs w:val="24"/>
          <w:lang w:val="en-US" w:eastAsia="zh-CN" w:bidi="ar-SA"/>
        </w:rPr>
        <w:t xml:space="preserve">(12) </w:t>
      </w:r>
      <w:r>
        <w:rPr>
          <w:rFonts w:hint="eastAsia" w:ascii="宋体" w:hAnsi="宋体" w:eastAsia="宋体" w:cs="宋体"/>
          <w:color w:val="auto"/>
          <w:sz w:val="24"/>
          <w:szCs w:val="24"/>
          <w:highlight w:val="none"/>
        </w:rPr>
        <w:t>项目管理机构配备情况表</w:t>
      </w:r>
      <w:r>
        <w:rPr>
          <w:rFonts w:hint="eastAsia" w:ascii="宋体" w:hAnsi="宋体" w:eastAsia="宋体" w:cs="宋体"/>
          <w:b/>
          <w:bCs/>
          <w:color w:val="auto"/>
          <w:sz w:val="24"/>
          <w:szCs w:val="24"/>
          <w:highlight w:val="none"/>
        </w:rPr>
        <w:t>（必须提供，否则响应文件按无效响应处理）</w:t>
      </w:r>
    </w:p>
    <w:p w14:paraId="668143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(13) 供应商</w:t>
      </w:r>
      <w:r>
        <w:rPr>
          <w:rFonts w:hint="eastAsia" w:ascii="宋体" w:hAnsi="宋体" w:eastAsia="宋体" w:cs="宋体"/>
          <w:color w:val="auto"/>
          <w:sz w:val="24"/>
          <w:szCs w:val="24"/>
          <w:highlight w:val="none"/>
        </w:rPr>
        <w:t>认为需要提供的其他有关资料。</w:t>
      </w:r>
    </w:p>
    <w:p w14:paraId="35938C0E">
      <w:pPr>
        <w:rPr>
          <w:rFonts w:ascii="宋体" w:hAnsi="宋体" w:eastAsia="宋体" w:cs="宋体"/>
          <w:sz w:val="24"/>
          <w:szCs w:val="24"/>
        </w:rPr>
      </w:pPr>
      <w:r>
        <w:rPr>
          <w:rFonts w:ascii="宋体" w:hAnsi="宋体" w:eastAsia="宋体" w:cs="宋体"/>
          <w:sz w:val="24"/>
          <w:szCs w:val="24"/>
        </w:rPr>
        <w:br w:type="page"/>
      </w:r>
    </w:p>
    <w:p w14:paraId="1BD0C75D">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47" w:name="_Toc10920"/>
      <w:r>
        <w:rPr>
          <w:rFonts w:hint="eastAsia" w:ascii="宋体" w:hAnsi="宋体" w:eastAsia="宋体" w:cs="宋体"/>
          <w:b/>
          <w:bCs/>
          <w:snapToGrid w:val="0"/>
          <w:color w:val="auto"/>
          <w:kern w:val="0"/>
          <w:sz w:val="28"/>
          <w:szCs w:val="28"/>
          <w:highlight w:val="none"/>
          <w:lang w:val="en-US" w:eastAsia="zh-CN"/>
        </w:rPr>
        <w:t>(1)法定代表人身份证明书</w:t>
      </w:r>
      <w:bookmarkEnd w:id="247"/>
    </w:p>
    <w:p w14:paraId="14E566CC">
      <w:pPr>
        <w:pStyle w:val="9"/>
        <w:keepNext w:val="0"/>
        <w:keepLines w:val="0"/>
        <w:pageBreakBefore w:val="0"/>
        <w:widowControl w:val="0"/>
        <w:kinsoku/>
        <w:wordWrap/>
        <w:overflowPunct w:val="0"/>
        <w:topLinePunct w:val="0"/>
        <w:autoSpaceDE w:val="0"/>
        <w:autoSpaceDN w:val="0"/>
        <w:bidi w:val="0"/>
        <w:spacing w:line="347" w:lineRule="auto"/>
        <w:rPr>
          <w:rFonts w:hint="default"/>
          <w:sz w:val="21"/>
          <w:szCs w:val="21"/>
        </w:rPr>
      </w:pPr>
    </w:p>
    <w:p w14:paraId="4DAB53D1">
      <w:pPr>
        <w:keepNext w:val="0"/>
        <w:keepLines w:val="0"/>
        <w:pageBreakBefore w:val="0"/>
        <w:widowControl w:val="0"/>
        <w:kinsoku/>
        <w:wordWrap/>
        <w:overflowPunct w:val="0"/>
        <w:topLinePunct w:val="0"/>
        <w:autoSpaceDE w:val="0"/>
        <w:autoSpaceDN w:val="0"/>
        <w:bidi w:val="0"/>
        <w:spacing w:before="66" w:line="228" w:lineRule="auto"/>
        <w:ind w:left="611"/>
        <w:rPr>
          <w:rFonts w:hint="eastAsia" w:ascii="宋体" w:hAnsi="宋体" w:eastAsia="宋体" w:cs="宋体"/>
          <w:sz w:val="24"/>
          <w:szCs w:val="24"/>
        </w:rPr>
      </w:pPr>
      <w:r>
        <w:rPr>
          <w:rFonts w:hint="eastAsia" w:ascii="宋体" w:hAnsi="宋体" w:eastAsia="宋体" w:cs="宋体"/>
          <w:spacing w:val="3"/>
          <w:sz w:val="24"/>
          <w:szCs w:val="24"/>
        </w:rPr>
        <w:t>单位名称：</w:t>
      </w:r>
      <w:r>
        <w:rPr>
          <w:rFonts w:hint="eastAsia" w:ascii="宋体" w:hAnsi="宋体" w:eastAsia="宋体" w:cs="宋体"/>
          <w:spacing w:val="3"/>
          <w:sz w:val="24"/>
          <w:szCs w:val="24"/>
          <w:u w:val="single" w:color="auto"/>
        </w:rPr>
        <w:t xml:space="preserve">                                     </w:t>
      </w:r>
    </w:p>
    <w:p w14:paraId="0531ADF5">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1A4627D2">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238EE49A">
      <w:pPr>
        <w:keepNext w:val="0"/>
        <w:keepLines w:val="0"/>
        <w:pageBreakBefore w:val="0"/>
        <w:widowControl w:val="0"/>
        <w:kinsoku/>
        <w:wordWrap/>
        <w:overflowPunct w:val="0"/>
        <w:topLinePunct w:val="0"/>
        <w:autoSpaceDE w:val="0"/>
        <w:autoSpaceDN w:val="0"/>
        <w:bidi w:val="0"/>
        <w:spacing w:before="66" w:line="228" w:lineRule="auto"/>
        <w:ind w:left="608"/>
        <w:rPr>
          <w:rFonts w:hint="eastAsia" w:ascii="宋体" w:hAnsi="宋体" w:eastAsia="宋体" w:cs="宋体"/>
          <w:sz w:val="24"/>
          <w:szCs w:val="24"/>
        </w:rPr>
      </w:pPr>
      <w:r>
        <w:rPr>
          <w:rFonts w:hint="eastAsia" w:ascii="宋体" w:hAnsi="宋体" w:eastAsia="宋体" w:cs="宋体"/>
          <w:spacing w:val="8"/>
          <w:sz w:val="24"/>
          <w:szCs w:val="24"/>
        </w:rPr>
        <w:t>单位性质：</w:t>
      </w:r>
      <w:r>
        <w:rPr>
          <w:rFonts w:hint="eastAsia" w:ascii="宋体" w:hAnsi="宋体" w:eastAsia="宋体" w:cs="宋体"/>
          <w:sz w:val="24"/>
          <w:szCs w:val="24"/>
          <w:u w:val="single" w:color="auto"/>
        </w:rPr>
        <w:t xml:space="preserve">                                      </w:t>
      </w:r>
    </w:p>
    <w:p w14:paraId="55ADDF28">
      <w:pPr>
        <w:pStyle w:val="9"/>
        <w:keepNext w:val="0"/>
        <w:keepLines w:val="0"/>
        <w:pageBreakBefore w:val="0"/>
        <w:widowControl w:val="0"/>
        <w:kinsoku/>
        <w:wordWrap/>
        <w:overflowPunct w:val="0"/>
        <w:topLinePunct w:val="0"/>
        <w:autoSpaceDE w:val="0"/>
        <w:autoSpaceDN w:val="0"/>
        <w:bidi w:val="0"/>
        <w:spacing w:line="251" w:lineRule="auto"/>
        <w:rPr>
          <w:rFonts w:hint="eastAsia" w:ascii="宋体" w:hAnsi="宋体" w:eastAsia="宋体" w:cs="宋体"/>
          <w:sz w:val="24"/>
          <w:szCs w:val="24"/>
        </w:rPr>
      </w:pPr>
    </w:p>
    <w:p w14:paraId="23C63684">
      <w:pPr>
        <w:pStyle w:val="9"/>
        <w:keepNext w:val="0"/>
        <w:keepLines w:val="0"/>
        <w:pageBreakBefore w:val="0"/>
        <w:widowControl w:val="0"/>
        <w:kinsoku/>
        <w:wordWrap/>
        <w:overflowPunct w:val="0"/>
        <w:topLinePunct w:val="0"/>
        <w:autoSpaceDE w:val="0"/>
        <w:autoSpaceDN w:val="0"/>
        <w:bidi w:val="0"/>
        <w:spacing w:line="251" w:lineRule="auto"/>
        <w:rPr>
          <w:rFonts w:hint="eastAsia" w:ascii="宋体" w:hAnsi="宋体" w:eastAsia="宋体" w:cs="宋体"/>
          <w:sz w:val="24"/>
          <w:szCs w:val="24"/>
        </w:rPr>
      </w:pPr>
    </w:p>
    <w:p w14:paraId="7893CF35">
      <w:pPr>
        <w:keepNext w:val="0"/>
        <w:keepLines w:val="0"/>
        <w:pageBreakBefore w:val="0"/>
        <w:widowControl w:val="0"/>
        <w:kinsoku/>
        <w:wordWrap/>
        <w:overflowPunct w:val="0"/>
        <w:topLinePunct w:val="0"/>
        <w:autoSpaceDE w:val="0"/>
        <w:autoSpaceDN w:val="0"/>
        <w:bidi w:val="0"/>
        <w:spacing w:before="66" w:line="237" w:lineRule="auto"/>
        <w:ind w:left="607"/>
        <w:rPr>
          <w:rFonts w:hint="eastAsia" w:ascii="宋体" w:hAnsi="宋体" w:eastAsia="宋体" w:cs="宋体"/>
          <w:sz w:val="24"/>
          <w:szCs w:val="24"/>
        </w:rPr>
      </w:pPr>
      <w:r>
        <w:rPr>
          <w:rFonts w:hint="eastAsia" w:ascii="宋体" w:hAnsi="宋体" w:eastAsia="宋体" w:cs="宋体"/>
          <w:spacing w:val="3"/>
          <w:sz w:val="24"/>
          <w:szCs w:val="24"/>
        </w:rPr>
        <w:t>地</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址：</w:t>
      </w:r>
      <w:r>
        <w:rPr>
          <w:rFonts w:hint="eastAsia" w:ascii="宋体" w:hAnsi="宋体" w:eastAsia="宋体" w:cs="宋体"/>
          <w:sz w:val="24"/>
          <w:szCs w:val="24"/>
          <w:u w:val="single" w:color="auto"/>
        </w:rPr>
        <w:t xml:space="preserve">                                      </w:t>
      </w:r>
    </w:p>
    <w:p w14:paraId="25DAB774">
      <w:pPr>
        <w:pStyle w:val="9"/>
        <w:keepNext w:val="0"/>
        <w:keepLines w:val="0"/>
        <w:pageBreakBefore w:val="0"/>
        <w:widowControl w:val="0"/>
        <w:kinsoku/>
        <w:wordWrap/>
        <w:overflowPunct w:val="0"/>
        <w:topLinePunct w:val="0"/>
        <w:autoSpaceDE w:val="0"/>
        <w:autoSpaceDN w:val="0"/>
        <w:bidi w:val="0"/>
        <w:spacing w:line="245" w:lineRule="auto"/>
        <w:rPr>
          <w:rFonts w:hint="eastAsia" w:ascii="宋体" w:hAnsi="宋体" w:eastAsia="宋体" w:cs="宋体"/>
          <w:sz w:val="24"/>
          <w:szCs w:val="24"/>
        </w:rPr>
      </w:pPr>
    </w:p>
    <w:p w14:paraId="604B83DF">
      <w:pPr>
        <w:pStyle w:val="9"/>
        <w:keepNext w:val="0"/>
        <w:keepLines w:val="0"/>
        <w:pageBreakBefore w:val="0"/>
        <w:widowControl w:val="0"/>
        <w:kinsoku/>
        <w:wordWrap/>
        <w:overflowPunct w:val="0"/>
        <w:topLinePunct w:val="0"/>
        <w:autoSpaceDE w:val="0"/>
        <w:autoSpaceDN w:val="0"/>
        <w:bidi w:val="0"/>
        <w:spacing w:line="245" w:lineRule="auto"/>
        <w:rPr>
          <w:rFonts w:hint="eastAsia" w:ascii="宋体" w:hAnsi="宋体" w:eastAsia="宋体" w:cs="宋体"/>
          <w:sz w:val="24"/>
          <w:szCs w:val="24"/>
        </w:rPr>
      </w:pPr>
    </w:p>
    <w:p w14:paraId="59AC02C7">
      <w:pPr>
        <w:keepNext w:val="0"/>
        <w:keepLines w:val="0"/>
        <w:pageBreakBefore w:val="0"/>
        <w:widowControl w:val="0"/>
        <w:kinsoku/>
        <w:wordWrap/>
        <w:overflowPunct w:val="0"/>
        <w:topLinePunct w:val="0"/>
        <w:autoSpaceDE w:val="0"/>
        <w:autoSpaceDN w:val="0"/>
        <w:bidi w:val="0"/>
        <w:spacing w:before="65" w:line="228" w:lineRule="auto"/>
        <w:ind w:left="608"/>
        <w:rPr>
          <w:rFonts w:hint="eastAsia" w:ascii="宋体" w:hAnsi="宋体" w:eastAsia="宋体" w:cs="宋体"/>
          <w:sz w:val="24"/>
          <w:szCs w:val="24"/>
        </w:rPr>
      </w:pPr>
      <w:r>
        <w:rPr>
          <w:rFonts w:hint="eastAsia" w:ascii="宋体" w:hAnsi="宋体" w:eastAsia="宋体" w:cs="宋体"/>
          <w:spacing w:val="4"/>
          <w:sz w:val="24"/>
          <w:szCs w:val="24"/>
        </w:rPr>
        <w:t>成立时间：</w:t>
      </w:r>
      <w:r>
        <w:rPr>
          <w:rFonts w:hint="eastAsia" w:ascii="宋体" w:hAnsi="宋体" w:eastAsia="宋体" w:cs="宋体"/>
          <w:spacing w:val="5"/>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rPr>
        <w:t>日</w:t>
      </w:r>
    </w:p>
    <w:p w14:paraId="22AC0CE0">
      <w:pPr>
        <w:pStyle w:val="9"/>
        <w:keepNext w:val="0"/>
        <w:keepLines w:val="0"/>
        <w:pageBreakBefore w:val="0"/>
        <w:widowControl w:val="0"/>
        <w:kinsoku/>
        <w:wordWrap/>
        <w:overflowPunct w:val="0"/>
        <w:topLinePunct w:val="0"/>
        <w:autoSpaceDE w:val="0"/>
        <w:autoSpaceDN w:val="0"/>
        <w:bidi w:val="0"/>
        <w:spacing w:line="303" w:lineRule="auto"/>
        <w:rPr>
          <w:rFonts w:hint="eastAsia" w:ascii="宋体" w:hAnsi="宋体" w:eastAsia="宋体" w:cs="宋体"/>
          <w:sz w:val="24"/>
          <w:szCs w:val="24"/>
        </w:rPr>
      </w:pPr>
    </w:p>
    <w:p w14:paraId="0BEE54CA">
      <w:pPr>
        <w:pStyle w:val="9"/>
        <w:keepNext w:val="0"/>
        <w:keepLines w:val="0"/>
        <w:pageBreakBefore w:val="0"/>
        <w:widowControl w:val="0"/>
        <w:kinsoku/>
        <w:wordWrap/>
        <w:overflowPunct w:val="0"/>
        <w:topLinePunct w:val="0"/>
        <w:autoSpaceDE w:val="0"/>
        <w:autoSpaceDN w:val="0"/>
        <w:bidi w:val="0"/>
        <w:spacing w:line="303" w:lineRule="auto"/>
        <w:rPr>
          <w:rFonts w:hint="eastAsia" w:ascii="宋体" w:hAnsi="宋体" w:eastAsia="宋体" w:cs="宋体"/>
          <w:sz w:val="24"/>
          <w:szCs w:val="24"/>
        </w:rPr>
      </w:pPr>
    </w:p>
    <w:p w14:paraId="5B80A683">
      <w:pPr>
        <w:keepNext w:val="0"/>
        <w:keepLines w:val="0"/>
        <w:pageBreakBefore w:val="0"/>
        <w:widowControl w:val="0"/>
        <w:kinsoku/>
        <w:wordWrap/>
        <w:overflowPunct w:val="0"/>
        <w:topLinePunct w:val="0"/>
        <w:autoSpaceDE w:val="0"/>
        <w:autoSpaceDN w:val="0"/>
        <w:bidi w:val="0"/>
        <w:spacing w:before="66" w:line="228" w:lineRule="auto"/>
        <w:ind w:left="607"/>
        <w:rPr>
          <w:rFonts w:hint="eastAsia" w:ascii="宋体" w:hAnsi="宋体" w:eastAsia="宋体" w:cs="宋体"/>
          <w:sz w:val="24"/>
          <w:szCs w:val="24"/>
        </w:rPr>
      </w:pPr>
      <w:r>
        <w:rPr>
          <w:rFonts w:hint="eastAsia" w:ascii="宋体" w:hAnsi="宋体" w:eastAsia="宋体" w:cs="宋体"/>
          <w:spacing w:val="6"/>
          <w:sz w:val="24"/>
          <w:szCs w:val="24"/>
        </w:rPr>
        <w:t>姓    名：</w:t>
      </w:r>
      <w:r>
        <w:rPr>
          <w:rFonts w:hint="eastAsia" w:ascii="宋体" w:hAnsi="宋体" w:eastAsia="宋体" w:cs="宋体"/>
          <w:spacing w:val="5"/>
          <w:sz w:val="24"/>
          <w:szCs w:val="24"/>
          <w:u w:val="single" w:color="auto"/>
        </w:rPr>
        <w:t xml:space="preserve">          </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性别：</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6"/>
          <w:sz w:val="24"/>
          <w:szCs w:val="24"/>
        </w:rPr>
        <w:t>年龄：</w:t>
      </w:r>
      <w:r>
        <w:rPr>
          <w:rFonts w:hint="eastAsia" w:ascii="宋体" w:hAnsi="宋体" w:eastAsia="宋体" w:cs="宋体"/>
          <w:spacing w:val="4"/>
          <w:sz w:val="24"/>
          <w:szCs w:val="24"/>
          <w:u w:val="single" w:color="auto"/>
        </w:rPr>
        <w:t xml:space="preserve">          </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职务：</w:t>
      </w:r>
      <w:r>
        <w:rPr>
          <w:rFonts w:hint="eastAsia" w:ascii="宋体" w:hAnsi="宋体" w:eastAsia="宋体" w:cs="宋体"/>
          <w:sz w:val="24"/>
          <w:szCs w:val="24"/>
          <w:u w:val="single" w:color="auto"/>
        </w:rPr>
        <w:t xml:space="preserve">       </w:t>
      </w:r>
    </w:p>
    <w:p w14:paraId="63644FDA">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41C2558F">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3A678BBB">
      <w:pPr>
        <w:keepNext w:val="0"/>
        <w:keepLines w:val="0"/>
        <w:pageBreakBefore w:val="0"/>
        <w:widowControl w:val="0"/>
        <w:kinsoku/>
        <w:wordWrap/>
        <w:overflowPunct w:val="0"/>
        <w:topLinePunct w:val="0"/>
        <w:autoSpaceDE w:val="0"/>
        <w:autoSpaceDN w:val="0"/>
        <w:bidi w:val="0"/>
        <w:spacing w:before="66" w:line="228" w:lineRule="auto"/>
        <w:ind w:left="632"/>
        <w:rPr>
          <w:rFonts w:hint="eastAsia" w:ascii="宋体" w:hAnsi="宋体" w:eastAsia="宋体" w:cs="宋体"/>
          <w:sz w:val="24"/>
          <w:szCs w:val="24"/>
        </w:rPr>
      </w:pPr>
      <w:r>
        <w:rPr>
          <w:rFonts w:hint="eastAsia" w:ascii="宋体" w:hAnsi="宋体" w:eastAsia="宋体" w:cs="宋体"/>
          <w:spacing w:val="7"/>
          <w:sz w:val="24"/>
          <w:szCs w:val="24"/>
        </w:rPr>
        <w:t>身份证号码：</w:t>
      </w:r>
      <w:r>
        <w:rPr>
          <w:rFonts w:hint="eastAsia" w:ascii="宋体" w:hAnsi="宋体" w:eastAsia="宋体" w:cs="宋体"/>
          <w:sz w:val="24"/>
          <w:szCs w:val="24"/>
          <w:u w:val="single" w:color="auto"/>
        </w:rPr>
        <w:t xml:space="preserve">                               </w:t>
      </w:r>
    </w:p>
    <w:p w14:paraId="234C65BF">
      <w:pPr>
        <w:pStyle w:val="9"/>
        <w:keepNext w:val="0"/>
        <w:keepLines w:val="0"/>
        <w:pageBreakBefore w:val="0"/>
        <w:widowControl w:val="0"/>
        <w:kinsoku/>
        <w:wordWrap/>
        <w:overflowPunct w:val="0"/>
        <w:topLinePunct w:val="0"/>
        <w:autoSpaceDE w:val="0"/>
        <w:autoSpaceDN w:val="0"/>
        <w:bidi w:val="0"/>
        <w:spacing w:line="251" w:lineRule="auto"/>
        <w:rPr>
          <w:rFonts w:hint="eastAsia" w:ascii="宋体" w:hAnsi="宋体" w:eastAsia="宋体" w:cs="宋体"/>
          <w:sz w:val="24"/>
          <w:szCs w:val="24"/>
        </w:rPr>
      </w:pPr>
    </w:p>
    <w:p w14:paraId="42FC290D">
      <w:pPr>
        <w:pStyle w:val="9"/>
        <w:keepNext w:val="0"/>
        <w:keepLines w:val="0"/>
        <w:pageBreakBefore w:val="0"/>
        <w:widowControl w:val="0"/>
        <w:kinsoku/>
        <w:wordWrap/>
        <w:overflowPunct w:val="0"/>
        <w:topLinePunct w:val="0"/>
        <w:autoSpaceDE w:val="0"/>
        <w:autoSpaceDN w:val="0"/>
        <w:bidi w:val="0"/>
        <w:spacing w:line="252" w:lineRule="auto"/>
        <w:rPr>
          <w:rFonts w:hint="eastAsia" w:ascii="宋体" w:hAnsi="宋体" w:eastAsia="宋体" w:cs="宋体"/>
          <w:sz w:val="24"/>
          <w:szCs w:val="24"/>
        </w:rPr>
      </w:pPr>
    </w:p>
    <w:p w14:paraId="11ABE99F">
      <w:pPr>
        <w:keepNext w:val="0"/>
        <w:keepLines w:val="0"/>
        <w:pageBreakBefore w:val="0"/>
        <w:widowControl w:val="0"/>
        <w:kinsoku/>
        <w:wordWrap/>
        <w:overflowPunct w:val="0"/>
        <w:topLinePunct w:val="0"/>
        <w:autoSpaceDE w:val="0"/>
        <w:autoSpaceDN w:val="0"/>
        <w:bidi w:val="0"/>
        <w:spacing w:before="66" w:line="227" w:lineRule="auto"/>
        <w:ind w:left="611"/>
        <w:rPr>
          <w:rFonts w:hint="eastAsia" w:ascii="宋体" w:hAnsi="宋体" w:eastAsia="宋体" w:cs="宋体"/>
          <w:sz w:val="24"/>
          <w:szCs w:val="24"/>
        </w:rPr>
      </w:pPr>
      <w:r>
        <w:rPr>
          <w:rFonts w:hint="eastAsia" w:ascii="宋体" w:hAnsi="宋体" w:eastAsia="宋体" w:cs="宋体"/>
          <w:spacing w:val="5"/>
          <w:sz w:val="24"/>
          <w:szCs w:val="24"/>
        </w:rPr>
        <w:t>系</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u w:val="single" w:color="auto"/>
          <w:lang w:eastAsia="zh-CN"/>
        </w:rPr>
        <w:t>供应商</w:t>
      </w:r>
      <w:r>
        <w:rPr>
          <w:rFonts w:hint="eastAsia" w:ascii="宋体" w:hAnsi="宋体" w:eastAsia="宋体" w:cs="宋体"/>
          <w:spacing w:val="11"/>
          <w:sz w:val="24"/>
          <w:szCs w:val="24"/>
          <w:u w:val="single" w:color="auto"/>
        </w:rPr>
        <w:t>名称)</w:t>
      </w:r>
      <w:r>
        <w:rPr>
          <w:rFonts w:hint="eastAsia" w:ascii="宋体" w:hAnsi="宋体" w:eastAsia="宋体" w:cs="宋体"/>
          <w:spacing w:val="7"/>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5"/>
          <w:sz w:val="24"/>
          <w:szCs w:val="24"/>
        </w:rPr>
        <w:t>的法定代表人。</w:t>
      </w:r>
    </w:p>
    <w:p w14:paraId="1E7EE91D">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5AD278A2">
      <w:pPr>
        <w:pStyle w:val="9"/>
        <w:keepNext w:val="0"/>
        <w:keepLines w:val="0"/>
        <w:pageBreakBefore w:val="0"/>
        <w:widowControl w:val="0"/>
        <w:kinsoku/>
        <w:wordWrap/>
        <w:overflowPunct w:val="0"/>
        <w:topLinePunct w:val="0"/>
        <w:autoSpaceDE w:val="0"/>
        <w:autoSpaceDN w:val="0"/>
        <w:bidi w:val="0"/>
        <w:spacing w:line="251" w:lineRule="auto"/>
        <w:rPr>
          <w:rFonts w:hint="eastAsia" w:ascii="宋体" w:hAnsi="宋体" w:eastAsia="宋体" w:cs="宋体"/>
          <w:sz w:val="24"/>
          <w:szCs w:val="24"/>
        </w:rPr>
      </w:pPr>
    </w:p>
    <w:p w14:paraId="41BD1FFD">
      <w:pPr>
        <w:keepNext w:val="0"/>
        <w:keepLines w:val="0"/>
        <w:pageBreakBefore w:val="0"/>
        <w:widowControl w:val="0"/>
        <w:kinsoku/>
        <w:wordWrap/>
        <w:overflowPunct w:val="0"/>
        <w:topLinePunct w:val="0"/>
        <w:autoSpaceDE w:val="0"/>
        <w:autoSpaceDN w:val="0"/>
        <w:bidi w:val="0"/>
        <w:spacing w:before="66" w:line="228" w:lineRule="auto"/>
        <w:ind w:left="607"/>
        <w:rPr>
          <w:rFonts w:hint="eastAsia" w:ascii="宋体" w:hAnsi="宋体" w:eastAsia="宋体" w:cs="宋体"/>
          <w:sz w:val="24"/>
          <w:szCs w:val="24"/>
        </w:rPr>
      </w:pPr>
      <w:r>
        <w:rPr>
          <w:rFonts w:hint="eastAsia" w:ascii="宋体" w:hAnsi="宋体" w:eastAsia="宋体" w:cs="宋体"/>
          <w:spacing w:val="5"/>
          <w:sz w:val="24"/>
          <w:szCs w:val="24"/>
        </w:rPr>
        <w:t>特此证明。</w:t>
      </w:r>
    </w:p>
    <w:p w14:paraId="50B02ABD">
      <w:pPr>
        <w:pStyle w:val="9"/>
        <w:keepNext w:val="0"/>
        <w:keepLines w:val="0"/>
        <w:pageBreakBefore w:val="0"/>
        <w:widowControl w:val="0"/>
        <w:kinsoku/>
        <w:wordWrap/>
        <w:overflowPunct w:val="0"/>
        <w:topLinePunct w:val="0"/>
        <w:autoSpaceDE w:val="0"/>
        <w:autoSpaceDN w:val="0"/>
        <w:bidi w:val="0"/>
        <w:spacing w:line="263" w:lineRule="auto"/>
        <w:rPr>
          <w:rFonts w:hint="eastAsia" w:ascii="宋体" w:hAnsi="宋体" w:eastAsia="宋体" w:cs="宋体"/>
          <w:sz w:val="24"/>
          <w:szCs w:val="24"/>
        </w:rPr>
      </w:pPr>
    </w:p>
    <w:tbl>
      <w:tblPr>
        <w:tblStyle w:val="26"/>
        <w:tblpPr w:leftFromText="180" w:rightFromText="180" w:vertAnchor="text" w:horzAnchor="page" w:tblpX="1661"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0"/>
      </w:tblGrid>
      <w:tr w14:paraId="6AE3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4220" w:type="dxa"/>
            <w:vAlign w:val="center"/>
          </w:tcPr>
          <w:p w14:paraId="559BF69D">
            <w:pPr>
              <w:keepNext w:val="0"/>
              <w:keepLines w:val="0"/>
              <w:pageBreakBefore w:val="0"/>
              <w:widowControl w:val="0"/>
              <w:kinsoku/>
              <w:wordWrap/>
              <w:overflowPunct w:val="0"/>
              <w:topLinePunct w:val="0"/>
              <w:autoSpaceDE w:val="0"/>
              <w:autoSpaceDN w:val="0"/>
              <w:bidi w:val="0"/>
              <w:spacing w:line="252"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法人身份证复印件</w:t>
            </w:r>
          </w:p>
        </w:tc>
      </w:tr>
    </w:tbl>
    <w:tbl>
      <w:tblPr>
        <w:tblStyle w:val="26"/>
        <w:tblpPr w:leftFromText="180" w:rightFromText="180" w:vertAnchor="text" w:horzAnchor="page" w:tblpX="6911" w:tblpY="1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5"/>
      </w:tblGrid>
      <w:tr w14:paraId="3A2A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3895" w:type="dxa"/>
            <w:vAlign w:val="center"/>
          </w:tcPr>
          <w:p w14:paraId="7DE2E61A">
            <w:pPr>
              <w:pStyle w:val="9"/>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法人身份证复印件</w:t>
            </w:r>
          </w:p>
        </w:tc>
      </w:tr>
    </w:tbl>
    <w:p w14:paraId="741C1076">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29FF34FB">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2DD22F4F">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33B85DFB">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337BA43E">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67B03D89">
      <w:pPr>
        <w:pStyle w:val="9"/>
        <w:keepNext w:val="0"/>
        <w:keepLines w:val="0"/>
        <w:pageBreakBefore w:val="0"/>
        <w:widowControl w:val="0"/>
        <w:kinsoku/>
        <w:wordWrap/>
        <w:overflowPunct w:val="0"/>
        <w:topLinePunct w:val="0"/>
        <w:autoSpaceDE w:val="0"/>
        <w:autoSpaceDN w:val="0"/>
        <w:bidi w:val="0"/>
        <w:spacing w:line="263" w:lineRule="auto"/>
        <w:rPr>
          <w:rFonts w:hint="eastAsia" w:ascii="宋体" w:hAnsi="宋体" w:eastAsia="宋体" w:cs="宋体"/>
          <w:sz w:val="24"/>
          <w:szCs w:val="24"/>
        </w:rPr>
      </w:pPr>
    </w:p>
    <w:p w14:paraId="6B9E702D">
      <w:pPr>
        <w:keepNext w:val="0"/>
        <w:keepLines w:val="0"/>
        <w:pageBreakBefore w:val="0"/>
        <w:widowControl w:val="0"/>
        <w:kinsoku/>
        <w:wordWrap/>
        <w:overflowPunct w:val="0"/>
        <w:topLinePunct w:val="0"/>
        <w:autoSpaceDE w:val="0"/>
        <w:autoSpaceDN w:val="0"/>
        <w:bidi w:val="0"/>
        <w:spacing w:before="65" w:line="227" w:lineRule="auto"/>
        <w:ind w:left="3566"/>
        <w:rPr>
          <w:rFonts w:hint="eastAsia" w:ascii="宋体" w:hAnsi="宋体" w:eastAsia="宋体" w:cs="宋体"/>
          <w:spacing w:val="8"/>
          <w:sz w:val="24"/>
          <w:szCs w:val="24"/>
        </w:rPr>
      </w:pPr>
    </w:p>
    <w:p w14:paraId="3C02FDE9">
      <w:pPr>
        <w:keepNext w:val="0"/>
        <w:keepLines w:val="0"/>
        <w:pageBreakBefore w:val="0"/>
        <w:widowControl w:val="0"/>
        <w:kinsoku/>
        <w:wordWrap/>
        <w:overflowPunct w:val="0"/>
        <w:topLinePunct w:val="0"/>
        <w:autoSpaceDE w:val="0"/>
        <w:autoSpaceDN w:val="0"/>
        <w:bidi w:val="0"/>
        <w:spacing w:before="65" w:line="227" w:lineRule="auto"/>
        <w:ind w:left="3566"/>
        <w:rPr>
          <w:rFonts w:hint="eastAsia" w:ascii="宋体" w:hAnsi="宋体" w:eastAsia="宋体" w:cs="宋体"/>
          <w:sz w:val="24"/>
          <w:szCs w:val="24"/>
        </w:rPr>
      </w:pPr>
      <w:r>
        <w:rPr>
          <w:rFonts w:hint="eastAsia" w:ascii="宋体" w:hAnsi="宋体" w:eastAsia="宋体" w:cs="宋体"/>
          <w:spacing w:val="8"/>
          <w:sz w:val="24"/>
          <w:szCs w:val="24"/>
        </w:rPr>
        <w:t>供应商名称（</w:t>
      </w:r>
      <w:r>
        <w:rPr>
          <w:rFonts w:hint="eastAsia" w:ascii="宋体" w:hAnsi="宋体" w:eastAsia="宋体" w:cs="宋体"/>
          <w:spacing w:val="8"/>
          <w:sz w:val="24"/>
          <w:szCs w:val="24"/>
          <w:lang w:val="en-US" w:eastAsia="zh-CN"/>
        </w:rPr>
        <w:t>CA</w:t>
      </w:r>
      <w:r>
        <w:rPr>
          <w:rFonts w:hint="eastAsia" w:ascii="宋体" w:hAnsi="宋体" w:eastAsia="宋体" w:cs="宋体"/>
          <w:spacing w:val="8"/>
          <w:sz w:val="24"/>
          <w:szCs w:val="24"/>
        </w:rPr>
        <w:t>电子签章</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p>
    <w:p w14:paraId="484F327D">
      <w:pPr>
        <w:pStyle w:val="9"/>
        <w:keepNext w:val="0"/>
        <w:keepLines w:val="0"/>
        <w:pageBreakBefore w:val="0"/>
        <w:widowControl w:val="0"/>
        <w:kinsoku/>
        <w:wordWrap/>
        <w:overflowPunct w:val="0"/>
        <w:topLinePunct w:val="0"/>
        <w:autoSpaceDE w:val="0"/>
        <w:autoSpaceDN w:val="0"/>
        <w:bidi w:val="0"/>
        <w:spacing w:line="250" w:lineRule="auto"/>
        <w:rPr>
          <w:rFonts w:hint="eastAsia" w:ascii="宋体" w:hAnsi="宋体" w:eastAsia="宋体" w:cs="宋体"/>
          <w:sz w:val="24"/>
          <w:szCs w:val="24"/>
        </w:rPr>
      </w:pPr>
    </w:p>
    <w:p w14:paraId="0305D28E">
      <w:pPr>
        <w:pStyle w:val="9"/>
        <w:keepNext w:val="0"/>
        <w:keepLines w:val="0"/>
        <w:pageBreakBefore w:val="0"/>
        <w:widowControl w:val="0"/>
        <w:kinsoku/>
        <w:wordWrap/>
        <w:overflowPunct w:val="0"/>
        <w:topLinePunct w:val="0"/>
        <w:autoSpaceDE w:val="0"/>
        <w:autoSpaceDN w:val="0"/>
        <w:bidi w:val="0"/>
        <w:spacing w:line="251" w:lineRule="auto"/>
        <w:rPr>
          <w:rFonts w:hint="eastAsia" w:ascii="宋体" w:hAnsi="宋体" w:eastAsia="宋体" w:cs="宋体"/>
          <w:sz w:val="24"/>
          <w:szCs w:val="24"/>
        </w:rPr>
      </w:pPr>
    </w:p>
    <w:p w14:paraId="7C582341">
      <w:pPr>
        <w:keepNext w:val="0"/>
        <w:keepLines w:val="0"/>
        <w:pageBreakBefore w:val="0"/>
        <w:widowControl w:val="0"/>
        <w:kinsoku/>
        <w:wordWrap/>
        <w:overflowPunct w:val="0"/>
        <w:topLinePunct w:val="0"/>
        <w:autoSpaceDE w:val="0"/>
        <w:autoSpaceDN w:val="0"/>
        <w:bidi w:val="0"/>
        <w:spacing w:before="66" w:line="228" w:lineRule="auto"/>
        <w:ind w:left="4442"/>
        <w:rPr>
          <w:rFonts w:hint="eastAsia" w:ascii="宋体" w:hAnsi="宋体" w:eastAsia="宋体" w:cs="宋体"/>
          <w:sz w:val="24"/>
          <w:szCs w:val="24"/>
        </w:rPr>
        <w:sectPr>
          <w:footerReference r:id="rId24" w:type="default"/>
          <w:pgSz w:w="11910" w:h="16840"/>
          <w:pgMar w:top="1324" w:right="1502" w:bottom="828" w:left="1690" w:header="0" w:footer="662" w:gutter="0"/>
          <w:lnNumType w:countBy="0" w:distance="360"/>
          <w:pgNumType w:fmt="decimal"/>
          <w:cols w:space="720" w:num="1"/>
        </w:sectPr>
      </w:pPr>
      <w:r>
        <w:rPr>
          <w:rFonts w:hint="eastAsia" w:ascii="宋体" w:hAnsi="宋体" w:eastAsia="宋体" w:cs="宋体"/>
          <w:spacing w:val="-6"/>
          <w:sz w:val="24"/>
          <w:szCs w:val="24"/>
        </w:rPr>
        <w:t>日</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日</w:t>
      </w:r>
    </w:p>
    <w:p w14:paraId="64192BA4">
      <w:pPr>
        <w:keepNext w:val="0"/>
        <w:keepLines w:val="0"/>
        <w:pageBreakBefore w:val="0"/>
        <w:widowControl w:val="0"/>
        <w:kinsoku/>
        <w:wordWrap/>
        <w:overflowPunct w:val="0"/>
        <w:topLinePunct w:val="0"/>
        <w:autoSpaceDE w:val="0"/>
        <w:autoSpaceDN w:val="0"/>
        <w:bidi w:val="0"/>
        <w:spacing w:before="154" w:line="228" w:lineRule="auto"/>
        <w:jc w:val="both"/>
        <w:rPr>
          <w:rFonts w:hint="eastAsia" w:ascii="宋体" w:hAnsi="宋体" w:eastAsia="宋体" w:cs="宋体"/>
          <w:b/>
          <w:bCs/>
          <w:snapToGrid w:val="0"/>
          <w:color w:val="auto"/>
          <w:kern w:val="0"/>
          <w:sz w:val="28"/>
          <w:szCs w:val="28"/>
          <w:highlight w:val="none"/>
          <w:lang w:eastAsia="zh-CN"/>
        </w:rPr>
      </w:pPr>
    </w:p>
    <w:p w14:paraId="26E784B3">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48" w:name="_Toc20988"/>
      <w:r>
        <w:rPr>
          <w:rFonts w:hint="eastAsia" w:ascii="宋体" w:hAnsi="宋体" w:eastAsia="宋体" w:cs="宋体"/>
          <w:b/>
          <w:bCs/>
          <w:snapToGrid w:val="0"/>
          <w:color w:val="auto"/>
          <w:kern w:val="0"/>
          <w:sz w:val="28"/>
          <w:szCs w:val="28"/>
          <w:highlight w:val="none"/>
          <w:lang w:val="en-US" w:eastAsia="zh-CN"/>
        </w:rPr>
        <w:t>(2)法定代表人授权委托书</w:t>
      </w:r>
      <w:bookmarkEnd w:id="248"/>
    </w:p>
    <w:p w14:paraId="56673994">
      <w:pPr>
        <w:keepNext w:val="0"/>
        <w:keepLines w:val="0"/>
        <w:pageBreakBefore w:val="0"/>
        <w:widowControl w:val="0"/>
        <w:kinsoku/>
        <w:wordWrap/>
        <w:overflowPunct w:val="0"/>
        <w:topLinePunct w:val="0"/>
        <w:autoSpaceDE w:val="0"/>
        <w:autoSpaceDN w:val="0"/>
        <w:bidi w:val="0"/>
        <w:spacing w:line="256" w:lineRule="auto"/>
        <w:jc w:val="center"/>
        <w:rPr>
          <w:rFonts w:hint="eastAsia" w:ascii="宋体" w:hAnsi="宋体" w:eastAsia="宋体" w:cs="宋体"/>
          <w:sz w:val="24"/>
          <w:szCs w:val="24"/>
        </w:rPr>
      </w:pPr>
    </w:p>
    <w:p w14:paraId="34FA661A">
      <w:pPr>
        <w:keepNext w:val="0"/>
        <w:keepLines w:val="0"/>
        <w:pageBreakBefore w:val="0"/>
        <w:widowControl w:val="0"/>
        <w:kinsoku/>
        <w:wordWrap/>
        <w:overflowPunct w:val="0"/>
        <w:topLinePunct w:val="0"/>
        <w:autoSpaceDE w:val="0"/>
        <w:autoSpaceDN w:val="0"/>
        <w:bidi w:val="0"/>
        <w:spacing w:line="278" w:lineRule="exact"/>
        <w:ind w:firstLine="2766"/>
        <w:textAlignment w:val="center"/>
        <w:outlineLvl w:val="9"/>
        <w:rPr>
          <w:rFonts w:hint="eastAsia" w:ascii="宋体" w:hAnsi="宋体" w:eastAsia="宋体" w:cs="宋体"/>
          <w:sz w:val="24"/>
          <w:szCs w:val="24"/>
        </w:rPr>
      </w:pPr>
    </w:p>
    <w:p w14:paraId="7F63E182">
      <w:pPr>
        <w:keepNext w:val="0"/>
        <w:keepLines w:val="0"/>
        <w:pageBreakBefore w:val="0"/>
        <w:widowControl w:val="0"/>
        <w:kinsoku/>
        <w:wordWrap/>
        <w:overflowPunct w:val="0"/>
        <w:topLinePunct w:val="0"/>
        <w:autoSpaceDE w:val="0"/>
        <w:autoSpaceDN w:val="0"/>
        <w:bidi w:val="0"/>
        <w:adjustRightInd w:val="0"/>
        <w:snapToGrid w:val="0"/>
        <w:spacing w:before="62" w:line="360" w:lineRule="auto"/>
        <w:ind w:left="0" w:leftChars="0" w:firstLine="524" w:firstLineChars="200"/>
        <w:textAlignment w:val="baseline"/>
        <w:outlineLvl w:val="9"/>
        <w:rPr>
          <w:rFonts w:hint="eastAsia" w:ascii="宋体" w:hAnsi="宋体" w:eastAsia="宋体" w:cs="宋体"/>
          <w:sz w:val="24"/>
          <w:szCs w:val="24"/>
        </w:rPr>
      </w:pPr>
      <w:bookmarkStart w:id="249" w:name="_Toc4504"/>
      <w:r>
        <w:rPr>
          <w:rFonts w:hint="eastAsia" w:ascii="宋体" w:hAnsi="宋体" w:eastAsia="宋体" w:cs="宋体"/>
          <w:spacing w:val="11"/>
          <w:sz w:val="24"/>
          <w:szCs w:val="24"/>
        </w:rPr>
        <w:t>本授权委托书声明：我公司</w:t>
      </w:r>
      <w:r>
        <w:rPr>
          <w:rFonts w:hint="eastAsia" w:ascii="宋体" w:hAnsi="宋体" w:eastAsia="宋体" w:cs="宋体"/>
          <w:spacing w:val="11"/>
          <w:sz w:val="24"/>
          <w:szCs w:val="24"/>
          <w:u w:val="single" w:color="auto"/>
        </w:rPr>
        <w:t xml:space="preserve">      </w:t>
      </w:r>
      <w:bookmarkStart w:id="250" w:name="OLE_LINK60"/>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u w:val="single" w:color="auto"/>
          <w:lang w:eastAsia="zh-CN"/>
        </w:rPr>
        <w:t>供应商</w:t>
      </w:r>
      <w:r>
        <w:rPr>
          <w:rFonts w:hint="eastAsia" w:ascii="宋体" w:hAnsi="宋体" w:eastAsia="宋体" w:cs="宋体"/>
          <w:spacing w:val="11"/>
          <w:sz w:val="24"/>
          <w:szCs w:val="24"/>
          <w:u w:val="single" w:color="auto"/>
        </w:rPr>
        <w:t>名称)</w:t>
      </w:r>
      <w:bookmarkEnd w:id="250"/>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rPr>
        <w:t>，授权委托</w:t>
      </w:r>
      <w:r>
        <w:rPr>
          <w:rFonts w:hint="eastAsia" w:ascii="宋体" w:hAnsi="宋体" w:eastAsia="宋体" w:cs="宋体"/>
          <w:spacing w:val="11"/>
          <w:sz w:val="24"/>
          <w:szCs w:val="24"/>
          <w:u w:val="none" w:color="auto"/>
          <w:lang w:eastAsia="zh-CN"/>
        </w:rPr>
        <w:t>本单位</w:t>
      </w:r>
      <w:r>
        <w:rPr>
          <w:rFonts w:hint="eastAsia" w:ascii="宋体" w:hAnsi="宋体" w:eastAsia="宋体" w:cs="宋体"/>
          <w:spacing w:val="11"/>
          <w:sz w:val="24"/>
          <w:szCs w:val="24"/>
        </w:rPr>
        <w:t>的</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(姓名) 为</w:t>
      </w:r>
      <w:r>
        <w:rPr>
          <w:rFonts w:hint="eastAsia" w:ascii="宋体" w:hAnsi="宋体" w:eastAsia="宋体" w:cs="宋体"/>
          <w:sz w:val="24"/>
          <w:szCs w:val="24"/>
        </w:rPr>
        <w:t>我</w:t>
      </w:r>
      <w:r>
        <w:rPr>
          <w:rFonts w:hint="eastAsia" w:ascii="宋体" w:hAnsi="宋体" w:eastAsia="宋体" w:cs="宋体"/>
          <w:spacing w:val="27"/>
          <w:sz w:val="24"/>
          <w:szCs w:val="24"/>
        </w:rPr>
        <w:t>公</w:t>
      </w:r>
      <w:r>
        <w:rPr>
          <w:rFonts w:hint="eastAsia" w:ascii="宋体" w:hAnsi="宋体" w:eastAsia="宋体" w:cs="宋体"/>
          <w:spacing w:val="18"/>
          <w:sz w:val="24"/>
          <w:szCs w:val="24"/>
        </w:rPr>
        <w:t>司签署本工程的</w:t>
      </w:r>
      <w:r>
        <w:rPr>
          <w:rFonts w:hint="eastAsia" w:ascii="宋体" w:hAnsi="宋体" w:eastAsia="宋体" w:cs="宋体"/>
          <w:spacing w:val="18"/>
          <w:sz w:val="24"/>
          <w:szCs w:val="24"/>
          <w:lang w:eastAsia="zh-CN"/>
        </w:rPr>
        <w:t>响应</w:t>
      </w:r>
      <w:r>
        <w:rPr>
          <w:rFonts w:hint="eastAsia" w:ascii="宋体" w:hAnsi="宋体" w:eastAsia="宋体" w:cs="宋体"/>
          <w:spacing w:val="18"/>
          <w:sz w:val="24"/>
          <w:szCs w:val="24"/>
        </w:rPr>
        <w:t>文件的法人授权委托代理人，我承认代理人全权代表我所签署的本工程的投标文</w:t>
      </w:r>
      <w:r>
        <w:rPr>
          <w:rFonts w:hint="eastAsia" w:ascii="宋体" w:hAnsi="宋体" w:eastAsia="宋体" w:cs="宋体"/>
          <w:sz w:val="24"/>
          <w:szCs w:val="24"/>
        </w:rPr>
        <w:t xml:space="preserve"> </w:t>
      </w:r>
      <w:r>
        <w:rPr>
          <w:rFonts w:hint="eastAsia" w:ascii="宋体" w:hAnsi="宋体" w:eastAsia="宋体" w:cs="宋体"/>
          <w:spacing w:val="12"/>
          <w:sz w:val="24"/>
          <w:szCs w:val="24"/>
        </w:rPr>
        <w:t>件</w:t>
      </w:r>
      <w:r>
        <w:rPr>
          <w:rFonts w:hint="eastAsia" w:ascii="宋体" w:hAnsi="宋体" w:eastAsia="宋体" w:cs="宋体"/>
          <w:spacing w:val="9"/>
          <w:sz w:val="24"/>
          <w:szCs w:val="24"/>
        </w:rPr>
        <w:t>的内容。</w:t>
      </w:r>
      <w:bookmarkEnd w:id="249"/>
    </w:p>
    <w:p w14:paraId="62010B33">
      <w:pPr>
        <w:keepNext w:val="0"/>
        <w:keepLines w:val="0"/>
        <w:pageBreakBefore w:val="0"/>
        <w:widowControl w:val="0"/>
        <w:kinsoku/>
        <w:wordWrap/>
        <w:overflowPunct w:val="0"/>
        <w:topLinePunct w:val="0"/>
        <w:autoSpaceDE w:val="0"/>
        <w:autoSpaceDN w:val="0"/>
        <w:bidi w:val="0"/>
        <w:spacing w:before="230" w:line="228" w:lineRule="auto"/>
        <w:ind w:left="523"/>
        <w:outlineLvl w:val="9"/>
        <w:rPr>
          <w:rFonts w:hint="eastAsia" w:ascii="宋体" w:hAnsi="宋体" w:eastAsia="宋体" w:cs="宋体"/>
          <w:sz w:val="24"/>
          <w:szCs w:val="24"/>
        </w:rPr>
      </w:pPr>
      <w:r>
        <w:rPr>
          <w:rFonts w:hint="eastAsia" w:ascii="宋体" w:hAnsi="宋体" w:eastAsia="宋体" w:cs="宋体"/>
          <w:spacing w:val="19"/>
          <w:sz w:val="24"/>
          <w:szCs w:val="24"/>
        </w:rPr>
        <w:t>代</w:t>
      </w:r>
      <w:r>
        <w:rPr>
          <w:rFonts w:hint="eastAsia" w:ascii="宋体" w:hAnsi="宋体" w:eastAsia="宋体" w:cs="宋体"/>
          <w:spacing w:val="16"/>
          <w:sz w:val="24"/>
          <w:szCs w:val="24"/>
        </w:rPr>
        <w:t>理人无转委托权，特此委托。</w:t>
      </w:r>
    </w:p>
    <w:p w14:paraId="307812D5">
      <w:pPr>
        <w:keepNext w:val="0"/>
        <w:keepLines w:val="0"/>
        <w:pageBreakBefore w:val="0"/>
        <w:widowControl w:val="0"/>
        <w:kinsoku/>
        <w:wordWrap/>
        <w:overflowPunct w:val="0"/>
        <w:topLinePunct w:val="0"/>
        <w:autoSpaceDE w:val="0"/>
        <w:autoSpaceDN w:val="0"/>
        <w:bidi w:val="0"/>
        <w:spacing w:line="304" w:lineRule="auto"/>
        <w:rPr>
          <w:rFonts w:hint="eastAsia" w:ascii="宋体" w:hAnsi="宋体" w:eastAsia="宋体" w:cs="宋体"/>
          <w:sz w:val="24"/>
          <w:szCs w:val="24"/>
        </w:rPr>
      </w:pPr>
    </w:p>
    <w:p w14:paraId="3669D8B3">
      <w:pPr>
        <w:keepNext w:val="0"/>
        <w:keepLines w:val="0"/>
        <w:pageBreakBefore w:val="0"/>
        <w:widowControl w:val="0"/>
        <w:kinsoku/>
        <w:wordWrap/>
        <w:overflowPunct w:val="0"/>
        <w:topLinePunct w:val="0"/>
        <w:autoSpaceDE w:val="0"/>
        <w:autoSpaceDN w:val="0"/>
        <w:bidi w:val="0"/>
        <w:spacing w:line="304" w:lineRule="auto"/>
        <w:rPr>
          <w:rFonts w:hint="eastAsia" w:ascii="宋体" w:hAnsi="宋体" w:eastAsia="宋体" w:cs="宋体"/>
          <w:sz w:val="24"/>
          <w:szCs w:val="24"/>
        </w:rPr>
      </w:pPr>
    </w:p>
    <w:p w14:paraId="28CEECEB">
      <w:pPr>
        <w:keepNext w:val="0"/>
        <w:keepLines w:val="0"/>
        <w:pageBreakBefore w:val="0"/>
        <w:widowControl w:val="0"/>
        <w:kinsoku/>
        <w:wordWrap/>
        <w:overflowPunct w:val="0"/>
        <w:topLinePunct w:val="0"/>
        <w:autoSpaceDE w:val="0"/>
        <w:autoSpaceDN w:val="0"/>
        <w:bidi w:val="0"/>
        <w:spacing w:line="304" w:lineRule="auto"/>
        <w:rPr>
          <w:rFonts w:hint="eastAsia" w:ascii="宋体" w:hAnsi="宋体" w:eastAsia="宋体" w:cs="宋体"/>
          <w:sz w:val="24"/>
          <w:szCs w:val="24"/>
        </w:rPr>
      </w:pPr>
    </w:p>
    <w:p w14:paraId="6D85A479">
      <w:pPr>
        <w:keepNext w:val="0"/>
        <w:keepLines w:val="0"/>
        <w:pageBreakBefore w:val="0"/>
        <w:widowControl w:val="0"/>
        <w:kinsoku/>
        <w:wordWrap/>
        <w:overflowPunct w:val="0"/>
        <w:topLinePunct w:val="0"/>
        <w:autoSpaceDE w:val="0"/>
        <w:autoSpaceDN w:val="0"/>
        <w:bidi w:val="0"/>
        <w:spacing w:before="62" w:line="228" w:lineRule="auto"/>
        <w:rPr>
          <w:rFonts w:hint="eastAsia" w:ascii="宋体" w:hAnsi="宋体" w:eastAsia="宋体" w:cs="宋体"/>
          <w:sz w:val="24"/>
          <w:szCs w:val="24"/>
        </w:rPr>
      </w:pPr>
      <w:r>
        <w:rPr>
          <w:rFonts w:hint="eastAsia" w:ascii="宋体" w:hAnsi="宋体" w:eastAsia="宋体" w:cs="宋体"/>
          <w:spacing w:val="1"/>
          <w:sz w:val="24"/>
          <w:szCs w:val="24"/>
        </w:rPr>
        <w:t>代理人：</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(签字) </w:t>
      </w:r>
      <w:r>
        <w:rPr>
          <w:rFonts w:hint="eastAsia" w:ascii="宋体" w:hAnsi="宋体" w:eastAsia="宋体" w:cs="宋体"/>
          <w:sz w:val="24"/>
          <w:szCs w:val="24"/>
        </w:rPr>
        <w:t xml:space="preserve">   性别：</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年龄：</w:t>
      </w:r>
      <w:r>
        <w:rPr>
          <w:rFonts w:hint="eastAsia" w:ascii="宋体" w:hAnsi="宋体" w:eastAsia="宋体" w:cs="宋体"/>
          <w:sz w:val="24"/>
          <w:szCs w:val="24"/>
          <w:u w:val="single" w:color="auto"/>
        </w:rPr>
        <w:t xml:space="preserve">                 </w:t>
      </w:r>
    </w:p>
    <w:p w14:paraId="1D021CF6">
      <w:pPr>
        <w:keepNext w:val="0"/>
        <w:keepLines w:val="0"/>
        <w:pageBreakBefore w:val="0"/>
        <w:widowControl w:val="0"/>
        <w:kinsoku/>
        <w:wordWrap/>
        <w:overflowPunct w:val="0"/>
        <w:topLinePunct w:val="0"/>
        <w:autoSpaceDE w:val="0"/>
        <w:autoSpaceDN w:val="0"/>
        <w:bidi w:val="0"/>
        <w:spacing w:before="298" w:line="529" w:lineRule="auto"/>
        <w:ind w:left="10"/>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职务：</w:t>
      </w:r>
      <w:r>
        <w:rPr>
          <w:rFonts w:hint="eastAsia" w:ascii="宋体" w:hAnsi="宋体" w:eastAsia="宋体" w:cs="宋体"/>
          <w:sz w:val="24"/>
          <w:szCs w:val="24"/>
          <w:u w:val="single" w:color="auto"/>
        </w:rPr>
        <w:t xml:space="preserve">                 </w:t>
      </w:r>
    </w:p>
    <w:p w14:paraId="149252DF">
      <w:pPr>
        <w:keepNext w:val="0"/>
        <w:keepLines w:val="0"/>
        <w:pageBreakBefore w:val="0"/>
        <w:widowControl w:val="0"/>
        <w:kinsoku/>
        <w:wordWrap/>
        <w:overflowPunct w:val="0"/>
        <w:topLinePunct w:val="0"/>
        <w:autoSpaceDE w:val="0"/>
        <w:autoSpaceDN w:val="0"/>
        <w:bidi w:val="0"/>
        <w:spacing w:line="228" w:lineRule="auto"/>
        <w:ind w:left="1"/>
        <w:rPr>
          <w:rFonts w:hint="eastAsia" w:ascii="宋体" w:hAnsi="宋体" w:eastAsia="宋体" w:cs="宋体"/>
          <w:sz w:val="24"/>
          <w:szCs w:val="24"/>
        </w:rPr>
      </w:pPr>
      <w:r>
        <w:rPr>
          <w:rFonts w:hint="eastAsia" w:ascii="宋体" w:hAnsi="宋体" w:eastAsia="宋体" w:cs="宋体"/>
          <w:spacing w:val="4"/>
          <w:sz w:val="24"/>
          <w:szCs w:val="24"/>
        </w:rPr>
        <w:t>法定代表人：</w:t>
      </w:r>
      <w:r>
        <w:rPr>
          <w:rFonts w:hint="eastAsia" w:ascii="宋体" w:hAnsi="宋体" w:eastAsia="宋体" w:cs="宋体"/>
          <w:spacing w:val="4"/>
          <w:sz w:val="24"/>
          <w:szCs w:val="24"/>
          <w:u w:val="single" w:color="auto"/>
        </w:rPr>
        <w:t xml:space="preserve">                           (签字</w:t>
      </w:r>
      <w:r>
        <w:rPr>
          <w:rFonts w:hint="eastAsia" w:ascii="宋体" w:hAnsi="宋体" w:eastAsia="宋体" w:cs="宋体"/>
          <w:spacing w:val="4"/>
          <w:sz w:val="24"/>
          <w:szCs w:val="24"/>
          <w:u w:val="single" w:color="auto"/>
          <w:lang w:val="en-US" w:eastAsia="zh-CN"/>
        </w:rPr>
        <w:t>或</w:t>
      </w:r>
      <w:r>
        <w:rPr>
          <w:rFonts w:hint="eastAsia" w:ascii="宋体" w:hAnsi="宋体" w:eastAsia="宋体" w:cs="宋体"/>
          <w:spacing w:val="4"/>
          <w:sz w:val="24"/>
          <w:szCs w:val="24"/>
          <w:u w:val="single" w:color="auto"/>
        </w:rPr>
        <w:t>盖章</w:t>
      </w:r>
      <w:r>
        <w:rPr>
          <w:rFonts w:hint="eastAsia" w:ascii="宋体" w:hAnsi="宋体" w:eastAsia="宋体" w:cs="宋体"/>
          <w:spacing w:val="2"/>
          <w:sz w:val="24"/>
          <w:szCs w:val="24"/>
          <w:u w:val="single" w:color="auto"/>
        </w:rPr>
        <w:t>)</w:t>
      </w:r>
      <w:r>
        <w:rPr>
          <w:rFonts w:hint="eastAsia" w:ascii="宋体" w:hAnsi="宋体" w:eastAsia="宋体" w:cs="宋体"/>
          <w:sz w:val="24"/>
          <w:szCs w:val="24"/>
          <w:u w:val="single" w:color="auto"/>
        </w:rPr>
        <w:t xml:space="preserve"> </w:t>
      </w:r>
    </w:p>
    <w:p w14:paraId="25EADBA3">
      <w:pPr>
        <w:keepNext w:val="0"/>
        <w:keepLines w:val="0"/>
        <w:pageBreakBefore w:val="0"/>
        <w:widowControl w:val="0"/>
        <w:kinsoku/>
        <w:wordWrap/>
        <w:overflowPunct w:val="0"/>
        <w:topLinePunct w:val="0"/>
        <w:autoSpaceDE w:val="0"/>
        <w:autoSpaceDN w:val="0"/>
        <w:bidi w:val="0"/>
        <w:spacing w:line="252" w:lineRule="auto"/>
        <w:rPr>
          <w:rFonts w:hint="eastAsia" w:ascii="宋体" w:hAnsi="宋体" w:eastAsia="宋体" w:cs="宋体"/>
          <w:sz w:val="24"/>
          <w:szCs w:val="24"/>
        </w:rPr>
      </w:pPr>
    </w:p>
    <w:p w14:paraId="061994DB">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pPr>
    </w:p>
    <w:p w14:paraId="39674CC9">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rPr>
      </w:pPr>
    </w:p>
    <w:p w14:paraId="4DC30EFE">
      <w:pPr>
        <w:keepNext w:val="0"/>
        <w:keepLines w:val="0"/>
        <w:pageBreakBefore w:val="0"/>
        <w:widowControl w:val="0"/>
        <w:kinsoku/>
        <w:wordWrap/>
        <w:overflowPunct w:val="0"/>
        <w:topLinePunct w:val="0"/>
        <w:autoSpaceDE w:val="0"/>
        <w:autoSpaceDN w:val="0"/>
        <w:bidi w:val="0"/>
        <w:rPr>
          <w:rFonts w:hint="eastAsia"/>
        </w:rPr>
      </w:pPr>
    </w:p>
    <w:tbl>
      <w:tblPr>
        <w:tblStyle w:val="26"/>
        <w:tblpPr w:leftFromText="180" w:rightFromText="180" w:vertAnchor="text" w:horzAnchor="page" w:tblpX="1661"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0"/>
      </w:tblGrid>
      <w:tr w14:paraId="18FE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4220" w:type="dxa"/>
            <w:vAlign w:val="center"/>
          </w:tcPr>
          <w:p w14:paraId="45C13E5F">
            <w:pPr>
              <w:keepNext w:val="0"/>
              <w:keepLines w:val="0"/>
              <w:pageBreakBefore w:val="0"/>
              <w:widowControl w:val="0"/>
              <w:kinsoku/>
              <w:wordWrap/>
              <w:overflowPunct w:val="0"/>
              <w:topLinePunct w:val="0"/>
              <w:autoSpaceDE w:val="0"/>
              <w:autoSpaceDN w:val="0"/>
              <w:bidi w:val="0"/>
              <w:spacing w:line="252" w:lineRule="auto"/>
              <w:jc w:val="center"/>
              <w:rPr>
                <w:rFonts w:hint="default" w:ascii="宋体" w:hAnsi="宋体" w:eastAsia="宋体" w:cs="宋体"/>
                <w:sz w:val="24"/>
                <w:szCs w:val="24"/>
                <w:vertAlign w:val="baseline"/>
                <w:lang w:val="en-US" w:eastAsia="zh-CN"/>
              </w:rPr>
            </w:pPr>
            <w:bookmarkStart w:id="251" w:name="OLE_LINK61"/>
            <w:bookmarkStart w:id="252" w:name="OLE_LINK62"/>
            <w:r>
              <w:rPr>
                <w:rFonts w:hint="eastAsia" w:ascii="宋体" w:hAnsi="宋体" w:eastAsia="宋体" w:cs="宋体"/>
                <w:sz w:val="24"/>
                <w:szCs w:val="24"/>
                <w:vertAlign w:val="baseline"/>
                <w:lang w:val="en-US" w:eastAsia="zh-CN"/>
              </w:rPr>
              <w:t>委托人身份证复印件</w:t>
            </w:r>
            <w:bookmarkEnd w:id="251"/>
          </w:p>
        </w:tc>
      </w:tr>
    </w:tbl>
    <w:tbl>
      <w:tblPr>
        <w:tblStyle w:val="26"/>
        <w:tblpPr w:leftFromText="180" w:rightFromText="180" w:vertAnchor="text" w:horzAnchor="page" w:tblpX="6911" w:tblpY="1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5"/>
      </w:tblGrid>
      <w:tr w14:paraId="65FB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3895" w:type="dxa"/>
            <w:vAlign w:val="center"/>
          </w:tcPr>
          <w:p w14:paraId="532F04C3">
            <w:pPr>
              <w:pStyle w:val="9"/>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委托人身份证复印件</w:t>
            </w:r>
          </w:p>
        </w:tc>
      </w:tr>
    </w:tbl>
    <w:p w14:paraId="45EE2AD7">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4E6A0D66">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369FB208">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567DAD90">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075053E2">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bookmarkEnd w:id="252"/>
    <w:p w14:paraId="7168894F">
      <w:pPr>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6D56D7EA">
      <w:pPr>
        <w:pStyle w:val="9"/>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36F20F57">
      <w:pPr>
        <w:pStyle w:val="12"/>
        <w:keepNext w:val="0"/>
        <w:keepLines w:val="0"/>
        <w:pageBreakBefore w:val="0"/>
        <w:widowControl w:val="0"/>
        <w:kinsoku/>
        <w:wordWrap/>
        <w:overflowPunct w:val="0"/>
        <w:topLinePunct w:val="0"/>
        <w:autoSpaceDE w:val="0"/>
        <w:autoSpaceDN w:val="0"/>
        <w:bidi w:val="0"/>
        <w:rPr>
          <w:rFonts w:hint="eastAsia" w:ascii="宋体" w:hAnsi="宋体" w:eastAsia="宋体" w:cs="宋体"/>
          <w:sz w:val="24"/>
          <w:szCs w:val="24"/>
          <w:lang w:val="en-US" w:eastAsia="zh-CN"/>
        </w:rPr>
      </w:pPr>
    </w:p>
    <w:p w14:paraId="418C5BB1">
      <w:pPr>
        <w:pStyle w:val="12"/>
        <w:keepNext w:val="0"/>
        <w:keepLines w:val="0"/>
        <w:pageBreakBefore w:val="0"/>
        <w:widowControl w:val="0"/>
        <w:kinsoku/>
        <w:wordWrap/>
        <w:overflowPunct w:val="0"/>
        <w:topLinePunct w:val="0"/>
        <w:autoSpaceDE w:val="0"/>
        <w:autoSpaceDN w:val="0"/>
        <w:bidi w:val="0"/>
        <w:rPr>
          <w:rFonts w:hint="default"/>
          <w:lang w:val="en-US" w:eastAsia="zh-CN"/>
        </w:rPr>
      </w:pPr>
    </w:p>
    <w:p w14:paraId="04009187">
      <w:pPr>
        <w:keepNext w:val="0"/>
        <w:keepLines w:val="0"/>
        <w:pageBreakBefore w:val="0"/>
        <w:widowControl w:val="0"/>
        <w:kinsoku/>
        <w:wordWrap/>
        <w:overflowPunct w:val="0"/>
        <w:topLinePunct w:val="0"/>
        <w:autoSpaceDE w:val="0"/>
        <w:autoSpaceDN w:val="0"/>
        <w:bidi w:val="0"/>
        <w:spacing w:line="253" w:lineRule="auto"/>
        <w:rPr>
          <w:rFonts w:hint="eastAsia" w:ascii="宋体" w:hAnsi="宋体" w:eastAsia="宋体" w:cs="宋体"/>
          <w:sz w:val="24"/>
          <w:szCs w:val="24"/>
        </w:rPr>
      </w:pPr>
    </w:p>
    <w:p w14:paraId="1DF77A38">
      <w:pPr>
        <w:keepNext w:val="0"/>
        <w:keepLines w:val="0"/>
        <w:pageBreakBefore w:val="0"/>
        <w:widowControl w:val="0"/>
        <w:kinsoku/>
        <w:wordWrap/>
        <w:overflowPunct w:val="0"/>
        <w:topLinePunct w:val="0"/>
        <w:autoSpaceDE w:val="0"/>
        <w:autoSpaceDN w:val="0"/>
        <w:bidi w:val="0"/>
        <w:spacing w:line="253" w:lineRule="auto"/>
        <w:rPr>
          <w:rFonts w:hint="eastAsia" w:ascii="宋体" w:hAnsi="宋体" w:eastAsia="宋体" w:cs="宋体"/>
          <w:sz w:val="24"/>
          <w:szCs w:val="24"/>
        </w:rPr>
      </w:pPr>
    </w:p>
    <w:p w14:paraId="3C10A890">
      <w:pPr>
        <w:keepNext w:val="0"/>
        <w:keepLines w:val="0"/>
        <w:pageBreakBefore w:val="0"/>
        <w:widowControl w:val="0"/>
        <w:kinsoku/>
        <w:wordWrap/>
        <w:overflowPunct w:val="0"/>
        <w:topLinePunct w:val="0"/>
        <w:autoSpaceDE w:val="0"/>
        <w:autoSpaceDN w:val="0"/>
        <w:bidi w:val="0"/>
        <w:spacing w:before="72" w:line="227" w:lineRule="auto"/>
        <w:ind w:left="9"/>
        <w:jc w:val="center"/>
        <w:rPr>
          <w:rFonts w:hint="default" w:ascii="宋体" w:hAnsi="宋体" w:eastAsia="宋体" w:cs="宋体"/>
          <w:sz w:val="24"/>
          <w:szCs w:val="24"/>
          <w:u w:val="single"/>
          <w:lang w:val="en-US" w:eastAsia="zh-CN"/>
        </w:rPr>
      </w:pP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lang w:eastAsia="zh-CN"/>
        </w:rPr>
        <w:t>供应商</w:t>
      </w:r>
      <w:r>
        <w:rPr>
          <w:rFonts w:hint="eastAsia" w:ascii="宋体" w:hAnsi="宋体" w:eastAsia="宋体" w:cs="宋体"/>
          <w:spacing w:val="13"/>
          <w:sz w:val="24"/>
          <w:szCs w:val="24"/>
        </w:rPr>
        <w:t>名称(</w:t>
      </w:r>
      <w:r>
        <w:rPr>
          <w:rFonts w:hint="eastAsia" w:ascii="宋体" w:hAnsi="宋体" w:eastAsia="宋体" w:cs="宋体"/>
          <w:spacing w:val="13"/>
          <w:sz w:val="24"/>
          <w:szCs w:val="24"/>
          <w:lang w:val="en-US" w:eastAsia="zh-CN"/>
        </w:rPr>
        <w:t>CA</w:t>
      </w:r>
      <w:r>
        <w:rPr>
          <w:rFonts w:hint="eastAsia" w:ascii="宋体" w:hAnsi="宋体" w:eastAsia="宋体" w:cs="宋体"/>
          <w:spacing w:val="13"/>
          <w:sz w:val="24"/>
          <w:szCs w:val="24"/>
        </w:rPr>
        <w:t>电子签章)：</w:t>
      </w:r>
      <w:r>
        <w:rPr>
          <w:rFonts w:hint="eastAsia" w:ascii="宋体" w:hAnsi="宋体" w:eastAsia="宋体" w:cs="宋体"/>
          <w:spacing w:val="13"/>
          <w:sz w:val="24"/>
          <w:szCs w:val="24"/>
          <w:u w:val="single"/>
          <w:lang w:val="en-US" w:eastAsia="zh-CN"/>
        </w:rPr>
        <w:t xml:space="preserve">          </w:t>
      </w:r>
    </w:p>
    <w:p w14:paraId="7457B3B5">
      <w:pPr>
        <w:keepNext w:val="0"/>
        <w:keepLines w:val="0"/>
        <w:pageBreakBefore w:val="0"/>
        <w:widowControl w:val="0"/>
        <w:kinsoku/>
        <w:wordWrap/>
        <w:overflowPunct w:val="0"/>
        <w:topLinePunct w:val="0"/>
        <w:autoSpaceDE w:val="0"/>
        <w:autoSpaceDN w:val="0"/>
        <w:bidi w:val="0"/>
        <w:spacing w:line="289" w:lineRule="auto"/>
        <w:jc w:val="right"/>
        <w:rPr>
          <w:rFonts w:hint="eastAsia" w:ascii="宋体" w:hAnsi="宋体" w:eastAsia="宋体" w:cs="宋体"/>
          <w:sz w:val="24"/>
          <w:szCs w:val="24"/>
        </w:rPr>
      </w:pPr>
    </w:p>
    <w:p w14:paraId="0DFA57AF">
      <w:pPr>
        <w:keepNext w:val="0"/>
        <w:keepLines w:val="0"/>
        <w:pageBreakBefore w:val="0"/>
        <w:widowControl w:val="0"/>
        <w:kinsoku/>
        <w:wordWrap/>
        <w:overflowPunct w:val="0"/>
        <w:topLinePunct w:val="0"/>
        <w:autoSpaceDE w:val="0"/>
        <w:autoSpaceDN w:val="0"/>
        <w:bidi w:val="0"/>
        <w:spacing w:before="72" w:line="228" w:lineRule="auto"/>
        <w:ind w:left="84"/>
        <w:jc w:val="right"/>
        <w:rPr>
          <w:rFonts w:hint="eastAsia" w:ascii="宋体" w:hAnsi="宋体" w:eastAsia="宋体" w:cs="宋体"/>
          <w:sz w:val="24"/>
          <w:szCs w:val="24"/>
        </w:rPr>
      </w:pPr>
      <w:r>
        <w:rPr>
          <w:rFonts w:hint="eastAsia" w:ascii="宋体" w:hAnsi="宋体" w:eastAsia="宋体" w:cs="宋体"/>
          <w:spacing w:val="-2"/>
          <w:sz w:val="24"/>
          <w:szCs w:val="24"/>
        </w:rPr>
        <w:t>日期：</w:t>
      </w:r>
      <w:r>
        <w:rPr>
          <w:rFonts w:hint="eastAsia" w:ascii="宋体" w:hAnsi="宋体" w:eastAsia="宋体" w:cs="宋体"/>
          <w:spacing w:val="-1"/>
          <w:sz w:val="24"/>
          <w:szCs w:val="24"/>
        </w:rPr>
        <w:t xml:space="preserve">      年   月   日</w:t>
      </w:r>
    </w:p>
    <w:p w14:paraId="1C8B7D4C">
      <w:pPr>
        <w:rPr>
          <w:rFonts w:hint="eastAsia" w:ascii="宋体" w:hAnsi="宋体" w:eastAsia="宋体" w:cs="宋体"/>
          <w:b/>
          <w:bCs/>
          <w:snapToGrid w:val="0"/>
          <w:color w:val="auto"/>
          <w:kern w:val="0"/>
          <w:sz w:val="28"/>
          <w:szCs w:val="28"/>
          <w:highlight w:val="none"/>
          <w:lang w:eastAsia="zh-CN"/>
        </w:rPr>
      </w:pPr>
      <w:r>
        <w:rPr>
          <w:rFonts w:hint="eastAsia" w:ascii="宋体" w:hAnsi="宋体" w:eastAsia="宋体" w:cs="宋体"/>
          <w:b/>
          <w:bCs/>
          <w:snapToGrid w:val="0"/>
          <w:color w:val="auto"/>
          <w:kern w:val="0"/>
          <w:sz w:val="28"/>
          <w:szCs w:val="28"/>
          <w:highlight w:val="none"/>
          <w:lang w:eastAsia="zh-CN"/>
        </w:rPr>
        <w:br w:type="page"/>
      </w:r>
    </w:p>
    <w:p w14:paraId="7266D781">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3" w:name="_Toc16119"/>
      <w:r>
        <w:rPr>
          <w:rFonts w:hint="eastAsia" w:ascii="宋体" w:hAnsi="宋体" w:eastAsia="宋体" w:cs="宋体"/>
          <w:b/>
          <w:bCs/>
          <w:snapToGrid w:val="0"/>
          <w:color w:val="auto"/>
          <w:kern w:val="0"/>
          <w:sz w:val="28"/>
          <w:szCs w:val="28"/>
          <w:highlight w:val="none"/>
          <w:lang w:val="en-US" w:eastAsia="zh-CN"/>
        </w:rPr>
        <w:t>(3)供应商自2022年1月1日至投标截止日期止已完成且质量合格的类似工程项目业绩证明材料（提供施工合同和验收证明复印件）</w:t>
      </w:r>
      <w:bookmarkEnd w:id="253"/>
    </w:p>
    <w:p w14:paraId="354FE806">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3A968000">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4D39124F">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4" w:name="_Toc2646"/>
      <w:r>
        <w:rPr>
          <w:rFonts w:hint="eastAsia" w:ascii="宋体" w:hAnsi="宋体" w:eastAsia="宋体" w:cs="宋体"/>
          <w:b/>
          <w:bCs/>
          <w:snapToGrid w:val="0"/>
          <w:color w:val="auto"/>
          <w:kern w:val="0"/>
          <w:sz w:val="28"/>
          <w:szCs w:val="28"/>
          <w:highlight w:val="none"/>
          <w:lang w:val="en-US" w:eastAsia="zh-CN"/>
        </w:rPr>
        <w:t>(4)各分部分项工程的主要施工方法</w:t>
      </w:r>
      <w:bookmarkEnd w:id="254"/>
    </w:p>
    <w:p w14:paraId="4F420101">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7AF3D1F5">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3BBE6BB5">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5" w:name="_Toc32694"/>
      <w:r>
        <w:rPr>
          <w:rFonts w:hint="eastAsia" w:ascii="宋体" w:hAnsi="宋体" w:eastAsia="宋体" w:cs="宋体"/>
          <w:b/>
          <w:bCs/>
          <w:snapToGrid w:val="0"/>
          <w:color w:val="auto"/>
          <w:kern w:val="0"/>
          <w:sz w:val="28"/>
          <w:szCs w:val="28"/>
          <w:highlight w:val="none"/>
          <w:lang w:val="en-US" w:eastAsia="zh-CN"/>
        </w:rPr>
        <w:t>(5)拟投入本工程的主要施工机械设备情况</w:t>
      </w:r>
      <w:bookmarkEnd w:id="255"/>
    </w:p>
    <w:p w14:paraId="1EC12D0F">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2CB559F5">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3FD33874">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6" w:name="_Toc11725"/>
      <w:r>
        <w:rPr>
          <w:rFonts w:hint="eastAsia" w:ascii="宋体" w:hAnsi="宋体" w:eastAsia="宋体" w:cs="宋体"/>
          <w:b/>
          <w:bCs/>
          <w:snapToGrid w:val="0"/>
          <w:color w:val="auto"/>
          <w:kern w:val="0"/>
          <w:sz w:val="28"/>
          <w:szCs w:val="28"/>
          <w:highlight w:val="none"/>
          <w:lang w:val="en-US" w:eastAsia="zh-CN"/>
        </w:rPr>
        <w:t>(6)劳动力安排计划</w:t>
      </w:r>
      <w:bookmarkEnd w:id="256"/>
    </w:p>
    <w:p w14:paraId="4EE08F55">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6468A68B">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4BB78DEA">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7" w:name="_Toc31441"/>
      <w:r>
        <w:rPr>
          <w:rFonts w:hint="eastAsia" w:ascii="宋体" w:hAnsi="宋体" w:eastAsia="宋体" w:cs="宋体"/>
          <w:b/>
          <w:bCs/>
          <w:snapToGrid w:val="0"/>
          <w:color w:val="auto"/>
          <w:kern w:val="0"/>
          <w:sz w:val="28"/>
          <w:szCs w:val="28"/>
          <w:highlight w:val="none"/>
          <w:lang w:val="en-US" w:eastAsia="zh-CN"/>
        </w:rPr>
        <w:t>(7)确保工程质量的技术组织措施</w:t>
      </w:r>
      <w:bookmarkEnd w:id="257"/>
    </w:p>
    <w:p w14:paraId="2CCAD27F">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4E706AEE">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26AB1553">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8" w:name="_Toc18458"/>
      <w:r>
        <w:rPr>
          <w:rFonts w:hint="eastAsia" w:ascii="宋体" w:hAnsi="宋体" w:eastAsia="宋体" w:cs="宋体"/>
          <w:b/>
          <w:bCs/>
          <w:snapToGrid w:val="0"/>
          <w:color w:val="auto"/>
          <w:kern w:val="0"/>
          <w:sz w:val="28"/>
          <w:szCs w:val="28"/>
          <w:highlight w:val="none"/>
          <w:lang w:val="en-US" w:eastAsia="zh-CN"/>
        </w:rPr>
        <w:t>(8)确保安全生产的技术组织措施</w:t>
      </w:r>
      <w:bookmarkEnd w:id="258"/>
    </w:p>
    <w:p w14:paraId="26EB98DE">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4E4B3203">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2DFF24EA">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59" w:name="_Toc21680"/>
      <w:r>
        <w:rPr>
          <w:rFonts w:hint="eastAsia" w:ascii="宋体" w:hAnsi="宋体" w:eastAsia="宋体" w:cs="宋体"/>
          <w:b/>
          <w:bCs/>
          <w:snapToGrid w:val="0"/>
          <w:color w:val="auto"/>
          <w:kern w:val="0"/>
          <w:sz w:val="28"/>
          <w:szCs w:val="28"/>
          <w:highlight w:val="none"/>
          <w:lang w:val="en-US" w:eastAsia="zh-CN"/>
        </w:rPr>
        <w:t>(9)拟配备的试验和检测仪器设备</w:t>
      </w:r>
      <w:bookmarkEnd w:id="259"/>
    </w:p>
    <w:p w14:paraId="1521814A">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693B669E">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386598B7">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60" w:name="_Toc23886"/>
      <w:r>
        <w:rPr>
          <w:rFonts w:hint="eastAsia" w:ascii="宋体" w:hAnsi="宋体" w:eastAsia="宋体" w:cs="宋体"/>
          <w:b/>
          <w:bCs/>
          <w:snapToGrid w:val="0"/>
          <w:color w:val="auto"/>
          <w:kern w:val="0"/>
          <w:sz w:val="28"/>
          <w:szCs w:val="28"/>
          <w:highlight w:val="none"/>
          <w:lang w:val="en-US" w:eastAsia="zh-CN"/>
        </w:rPr>
        <w:t>(10)确保文明施工的技术组织措施</w:t>
      </w:r>
      <w:bookmarkEnd w:id="260"/>
    </w:p>
    <w:p w14:paraId="3993D3D1">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34020AB6">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129FFE51">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61" w:name="_Toc21821"/>
      <w:r>
        <w:rPr>
          <w:rFonts w:hint="eastAsia" w:ascii="宋体" w:hAnsi="宋体" w:eastAsia="宋体" w:cs="宋体"/>
          <w:b/>
          <w:bCs/>
          <w:snapToGrid w:val="0"/>
          <w:color w:val="auto"/>
          <w:kern w:val="0"/>
          <w:sz w:val="28"/>
          <w:szCs w:val="28"/>
          <w:highlight w:val="none"/>
          <w:lang w:val="en-US" w:eastAsia="zh-CN"/>
        </w:rPr>
        <w:t>(11)确保工期的技术组织措施</w:t>
      </w:r>
      <w:bookmarkEnd w:id="261"/>
    </w:p>
    <w:p w14:paraId="30896ED3">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5B81C407">
      <w:pPr>
        <w:keepNext w:val="0"/>
        <w:keepLines w:val="0"/>
        <w:pageBreakBefore w:val="0"/>
        <w:widowControl w:val="0"/>
        <w:kinsoku/>
        <w:wordWrap/>
        <w:overflowPunct w:val="0"/>
        <w:topLinePunct w:val="0"/>
        <w:autoSpaceDE w:val="0"/>
        <w:autoSpaceDN w:val="0"/>
        <w:bidi w:val="0"/>
        <w:spacing w:before="154" w:line="228" w:lineRule="auto"/>
        <w:ind w:firstLine="2530" w:firstLineChars="900"/>
        <w:jc w:val="both"/>
        <w:rPr>
          <w:rFonts w:hint="eastAsia" w:ascii="宋体" w:hAnsi="宋体" w:eastAsia="宋体" w:cs="宋体"/>
          <w:b/>
          <w:bCs/>
          <w:snapToGrid w:val="0"/>
          <w:color w:val="auto"/>
          <w:kern w:val="0"/>
          <w:sz w:val="28"/>
          <w:szCs w:val="28"/>
          <w:highlight w:val="none"/>
          <w:lang w:eastAsia="zh-CN"/>
        </w:rPr>
      </w:pPr>
    </w:p>
    <w:p w14:paraId="78B2367F">
      <w:pPr>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br w:type="page"/>
      </w:r>
    </w:p>
    <w:p w14:paraId="5FE4A754">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62" w:name="_Toc8519"/>
      <w:r>
        <w:rPr>
          <w:rFonts w:hint="eastAsia" w:ascii="宋体" w:hAnsi="宋体" w:eastAsia="宋体" w:cs="宋体"/>
          <w:b/>
          <w:bCs/>
          <w:snapToGrid w:val="0"/>
          <w:color w:val="auto"/>
          <w:kern w:val="0"/>
          <w:sz w:val="28"/>
          <w:szCs w:val="28"/>
          <w:highlight w:val="none"/>
          <w:lang w:val="en-US" w:eastAsia="zh-CN"/>
        </w:rPr>
        <w:t>(12)项目管理机构配备情况表</w:t>
      </w:r>
      <w:bookmarkEnd w:id="262"/>
    </w:p>
    <w:p w14:paraId="3E0335E4">
      <w:pPr>
        <w:keepNext w:val="0"/>
        <w:keepLines w:val="0"/>
        <w:pageBreakBefore w:val="0"/>
        <w:widowControl w:val="0"/>
        <w:kinsoku/>
        <w:wordWrap/>
        <w:overflowPunct w:val="0"/>
        <w:topLinePunct w:val="0"/>
        <w:autoSpaceDE w:val="0"/>
        <w:autoSpaceDN w:val="0"/>
        <w:bidi w:val="0"/>
      </w:pPr>
    </w:p>
    <w:p w14:paraId="36C743DE">
      <w:pPr>
        <w:keepNext w:val="0"/>
        <w:keepLines w:val="0"/>
        <w:pageBreakBefore w:val="0"/>
        <w:widowControl w:val="0"/>
        <w:kinsoku/>
        <w:wordWrap/>
        <w:overflowPunct w:val="0"/>
        <w:topLinePunct w:val="0"/>
        <w:autoSpaceDE w:val="0"/>
        <w:autoSpaceDN w:val="0"/>
        <w:bidi w:val="0"/>
        <w:spacing w:line="167" w:lineRule="exact"/>
      </w:pPr>
    </w:p>
    <w:p w14:paraId="42F97709">
      <w:pPr>
        <w:jc w:val="center"/>
        <w:rPr>
          <w:rFonts w:hint="eastAsia" w:ascii="宋体" w:hAnsi="宋体" w:eastAsia="宋体" w:cs="宋体"/>
          <w:b/>
          <w:color w:val="auto"/>
          <w:highlight w:val="none"/>
        </w:rPr>
      </w:pPr>
      <w:r>
        <w:rPr>
          <w:rFonts w:hint="eastAsia" w:ascii="宋体" w:hAnsi="宋体" w:eastAsia="宋体" w:cs="宋体"/>
          <w:b/>
          <w:color w:val="auto"/>
          <w:highlight w:val="none"/>
        </w:rPr>
        <w:t>(含项目经理、技术负责人、专职安全生产管理人员和主要管理人员情况)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29"/>
        <w:gridCol w:w="816"/>
        <w:gridCol w:w="1148"/>
        <w:gridCol w:w="1148"/>
        <w:gridCol w:w="1148"/>
        <w:gridCol w:w="744"/>
        <w:gridCol w:w="870"/>
        <w:gridCol w:w="1170"/>
      </w:tblGrid>
      <w:tr w14:paraId="7D32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14:paraId="32532B3B">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829" w:type="dxa"/>
            <w:vMerge w:val="restart"/>
            <w:noWrap w:val="0"/>
            <w:vAlign w:val="center"/>
          </w:tcPr>
          <w:p w14:paraId="6BC437D0">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29" w:type="dxa"/>
            <w:vMerge w:val="restart"/>
            <w:noWrap w:val="0"/>
            <w:vAlign w:val="center"/>
          </w:tcPr>
          <w:p w14:paraId="1261F542">
            <w:pPr>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身份证号</w:t>
            </w:r>
          </w:p>
        </w:tc>
        <w:tc>
          <w:tcPr>
            <w:tcW w:w="816" w:type="dxa"/>
            <w:vMerge w:val="restart"/>
            <w:noWrap w:val="0"/>
            <w:vAlign w:val="center"/>
          </w:tcPr>
          <w:p w14:paraId="751147F3">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4188" w:type="dxa"/>
            <w:gridSpan w:val="4"/>
            <w:noWrap w:val="0"/>
            <w:vAlign w:val="center"/>
          </w:tcPr>
          <w:p w14:paraId="2945AEF1">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w:t>
            </w:r>
          </w:p>
        </w:tc>
        <w:tc>
          <w:tcPr>
            <w:tcW w:w="2040" w:type="dxa"/>
            <w:gridSpan w:val="2"/>
            <w:noWrap w:val="0"/>
            <w:vAlign w:val="center"/>
          </w:tcPr>
          <w:p w14:paraId="4089FC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承担完工、在建工程情况</w:t>
            </w:r>
          </w:p>
        </w:tc>
      </w:tr>
      <w:tr w14:paraId="2E70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14:paraId="7589EA9D">
            <w:pPr>
              <w:ind w:left="223" w:hanging="222" w:hangingChars="106"/>
              <w:jc w:val="center"/>
              <w:rPr>
                <w:rFonts w:hint="eastAsia" w:ascii="宋体" w:hAnsi="宋体" w:eastAsia="宋体" w:cs="宋体"/>
                <w:color w:val="auto"/>
                <w:sz w:val="21"/>
                <w:szCs w:val="21"/>
                <w:highlight w:val="none"/>
              </w:rPr>
            </w:pPr>
          </w:p>
        </w:tc>
        <w:tc>
          <w:tcPr>
            <w:tcW w:w="829" w:type="dxa"/>
            <w:vMerge w:val="continue"/>
            <w:noWrap w:val="0"/>
            <w:vAlign w:val="center"/>
          </w:tcPr>
          <w:p w14:paraId="5F6E4FBD">
            <w:pPr>
              <w:ind w:left="223" w:hanging="222" w:hangingChars="106"/>
              <w:jc w:val="center"/>
              <w:rPr>
                <w:rFonts w:hint="eastAsia" w:ascii="宋体" w:hAnsi="宋体" w:eastAsia="宋体" w:cs="宋体"/>
                <w:color w:val="auto"/>
                <w:sz w:val="21"/>
                <w:szCs w:val="21"/>
                <w:highlight w:val="none"/>
              </w:rPr>
            </w:pPr>
          </w:p>
        </w:tc>
        <w:tc>
          <w:tcPr>
            <w:tcW w:w="829" w:type="dxa"/>
            <w:vMerge w:val="continue"/>
            <w:noWrap w:val="0"/>
            <w:vAlign w:val="center"/>
          </w:tcPr>
          <w:p w14:paraId="3595A209">
            <w:pPr>
              <w:ind w:left="223" w:hanging="222" w:hangingChars="106"/>
              <w:jc w:val="center"/>
              <w:rPr>
                <w:rFonts w:hint="eastAsia" w:ascii="宋体" w:hAnsi="宋体" w:eastAsia="宋体" w:cs="宋体"/>
                <w:color w:val="auto"/>
                <w:sz w:val="21"/>
                <w:szCs w:val="21"/>
                <w:highlight w:val="none"/>
              </w:rPr>
            </w:pPr>
          </w:p>
        </w:tc>
        <w:tc>
          <w:tcPr>
            <w:tcW w:w="816" w:type="dxa"/>
            <w:vMerge w:val="continue"/>
            <w:noWrap w:val="0"/>
            <w:vAlign w:val="center"/>
          </w:tcPr>
          <w:p w14:paraId="53181F5E">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689775B3">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1148" w:type="dxa"/>
            <w:noWrap w:val="0"/>
            <w:vAlign w:val="center"/>
          </w:tcPr>
          <w:p w14:paraId="00F5A561">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1148" w:type="dxa"/>
            <w:noWrap w:val="0"/>
            <w:vAlign w:val="center"/>
          </w:tcPr>
          <w:p w14:paraId="140A4E24">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744" w:type="dxa"/>
            <w:noWrap w:val="0"/>
            <w:vAlign w:val="center"/>
          </w:tcPr>
          <w:p w14:paraId="2A5C77C9">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870" w:type="dxa"/>
            <w:noWrap w:val="0"/>
            <w:vAlign w:val="center"/>
          </w:tcPr>
          <w:p w14:paraId="0FCF91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完工/在建</w:t>
            </w:r>
          </w:p>
        </w:tc>
        <w:tc>
          <w:tcPr>
            <w:tcW w:w="1170" w:type="dxa"/>
            <w:noWrap w:val="0"/>
            <w:vAlign w:val="center"/>
          </w:tcPr>
          <w:p w14:paraId="644E8E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主要项目</w:t>
            </w:r>
          </w:p>
          <w:p w14:paraId="6FB451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r>
      <w:tr w14:paraId="1E48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0EB0A3FA">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656A896C">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68080256">
            <w:pPr>
              <w:ind w:left="223" w:hanging="222" w:hangingChars="106"/>
              <w:jc w:val="center"/>
              <w:rPr>
                <w:rFonts w:hint="eastAsia" w:ascii="宋体" w:hAnsi="宋体" w:eastAsia="宋体" w:cs="宋体"/>
                <w:color w:val="auto"/>
                <w:sz w:val="21"/>
                <w:szCs w:val="21"/>
                <w:highlight w:val="none"/>
              </w:rPr>
            </w:pPr>
          </w:p>
        </w:tc>
        <w:tc>
          <w:tcPr>
            <w:tcW w:w="816" w:type="dxa"/>
            <w:noWrap w:val="0"/>
            <w:vAlign w:val="center"/>
          </w:tcPr>
          <w:p w14:paraId="19264A66">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6348C1D8">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417710B5">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5159E323">
            <w:pPr>
              <w:ind w:left="223" w:hanging="222" w:hangingChars="106"/>
              <w:jc w:val="center"/>
              <w:rPr>
                <w:rFonts w:hint="eastAsia" w:ascii="宋体" w:hAnsi="宋体" w:eastAsia="宋体" w:cs="宋体"/>
                <w:color w:val="auto"/>
                <w:sz w:val="21"/>
                <w:szCs w:val="21"/>
                <w:highlight w:val="none"/>
              </w:rPr>
            </w:pPr>
          </w:p>
        </w:tc>
        <w:tc>
          <w:tcPr>
            <w:tcW w:w="744" w:type="dxa"/>
            <w:noWrap w:val="0"/>
            <w:vAlign w:val="center"/>
          </w:tcPr>
          <w:p w14:paraId="017A1969">
            <w:pPr>
              <w:ind w:left="223" w:hanging="222" w:hangingChars="106"/>
              <w:jc w:val="center"/>
              <w:rPr>
                <w:rFonts w:hint="eastAsia" w:ascii="宋体" w:hAnsi="宋体" w:eastAsia="宋体" w:cs="宋体"/>
                <w:color w:val="auto"/>
                <w:sz w:val="21"/>
                <w:szCs w:val="21"/>
                <w:highlight w:val="none"/>
              </w:rPr>
            </w:pPr>
          </w:p>
        </w:tc>
        <w:tc>
          <w:tcPr>
            <w:tcW w:w="870" w:type="dxa"/>
            <w:noWrap w:val="0"/>
            <w:vAlign w:val="center"/>
          </w:tcPr>
          <w:p w14:paraId="06D43432">
            <w:pPr>
              <w:ind w:left="223" w:hanging="222" w:hangingChars="106"/>
              <w:jc w:val="center"/>
              <w:rPr>
                <w:rFonts w:hint="eastAsia" w:ascii="宋体" w:hAnsi="宋体" w:eastAsia="宋体" w:cs="宋体"/>
                <w:color w:val="auto"/>
                <w:sz w:val="21"/>
                <w:szCs w:val="21"/>
                <w:highlight w:val="none"/>
              </w:rPr>
            </w:pPr>
          </w:p>
        </w:tc>
        <w:tc>
          <w:tcPr>
            <w:tcW w:w="1170" w:type="dxa"/>
            <w:noWrap w:val="0"/>
            <w:vAlign w:val="center"/>
          </w:tcPr>
          <w:p w14:paraId="7DABC227">
            <w:pPr>
              <w:ind w:left="223" w:hanging="222" w:hangingChars="106"/>
              <w:jc w:val="center"/>
              <w:rPr>
                <w:rFonts w:hint="eastAsia" w:ascii="宋体" w:hAnsi="宋体" w:eastAsia="宋体" w:cs="宋体"/>
                <w:color w:val="auto"/>
                <w:sz w:val="21"/>
                <w:szCs w:val="21"/>
                <w:highlight w:val="none"/>
              </w:rPr>
            </w:pPr>
          </w:p>
        </w:tc>
      </w:tr>
      <w:tr w14:paraId="7750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5ABC5527">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608DF47B">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3CBB4462">
            <w:pPr>
              <w:ind w:left="223" w:hanging="222" w:hangingChars="106"/>
              <w:jc w:val="center"/>
              <w:rPr>
                <w:rFonts w:hint="eastAsia" w:ascii="宋体" w:hAnsi="宋体" w:eastAsia="宋体" w:cs="宋体"/>
                <w:color w:val="auto"/>
                <w:sz w:val="21"/>
                <w:szCs w:val="21"/>
                <w:highlight w:val="none"/>
              </w:rPr>
            </w:pPr>
          </w:p>
        </w:tc>
        <w:tc>
          <w:tcPr>
            <w:tcW w:w="816" w:type="dxa"/>
            <w:noWrap w:val="0"/>
            <w:vAlign w:val="center"/>
          </w:tcPr>
          <w:p w14:paraId="47DF942B">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4A4E1A39">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17A8D319">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1272517D">
            <w:pPr>
              <w:ind w:left="223" w:hanging="222" w:hangingChars="106"/>
              <w:jc w:val="center"/>
              <w:rPr>
                <w:rFonts w:hint="eastAsia" w:ascii="宋体" w:hAnsi="宋体" w:eastAsia="宋体" w:cs="宋体"/>
                <w:color w:val="auto"/>
                <w:sz w:val="21"/>
                <w:szCs w:val="21"/>
                <w:highlight w:val="none"/>
              </w:rPr>
            </w:pPr>
          </w:p>
        </w:tc>
        <w:tc>
          <w:tcPr>
            <w:tcW w:w="744" w:type="dxa"/>
            <w:noWrap w:val="0"/>
            <w:vAlign w:val="center"/>
          </w:tcPr>
          <w:p w14:paraId="3DFEDEBE">
            <w:pPr>
              <w:ind w:left="223" w:hanging="222" w:hangingChars="106"/>
              <w:jc w:val="center"/>
              <w:rPr>
                <w:rFonts w:hint="eastAsia" w:ascii="宋体" w:hAnsi="宋体" w:eastAsia="宋体" w:cs="宋体"/>
                <w:color w:val="auto"/>
                <w:sz w:val="21"/>
                <w:szCs w:val="21"/>
                <w:highlight w:val="none"/>
              </w:rPr>
            </w:pPr>
          </w:p>
        </w:tc>
        <w:tc>
          <w:tcPr>
            <w:tcW w:w="870" w:type="dxa"/>
            <w:noWrap w:val="0"/>
            <w:vAlign w:val="center"/>
          </w:tcPr>
          <w:p w14:paraId="7080676C">
            <w:pPr>
              <w:ind w:left="223" w:hanging="222" w:hangingChars="106"/>
              <w:jc w:val="center"/>
              <w:rPr>
                <w:rFonts w:hint="eastAsia" w:ascii="宋体" w:hAnsi="宋体" w:eastAsia="宋体" w:cs="宋体"/>
                <w:color w:val="auto"/>
                <w:sz w:val="21"/>
                <w:szCs w:val="21"/>
                <w:highlight w:val="none"/>
              </w:rPr>
            </w:pPr>
          </w:p>
        </w:tc>
        <w:tc>
          <w:tcPr>
            <w:tcW w:w="1170" w:type="dxa"/>
            <w:noWrap w:val="0"/>
            <w:vAlign w:val="center"/>
          </w:tcPr>
          <w:p w14:paraId="31775708">
            <w:pPr>
              <w:ind w:left="223" w:hanging="222" w:hangingChars="106"/>
              <w:jc w:val="center"/>
              <w:rPr>
                <w:rFonts w:hint="eastAsia" w:ascii="宋体" w:hAnsi="宋体" w:eastAsia="宋体" w:cs="宋体"/>
                <w:color w:val="auto"/>
                <w:sz w:val="21"/>
                <w:szCs w:val="21"/>
                <w:highlight w:val="none"/>
              </w:rPr>
            </w:pPr>
          </w:p>
        </w:tc>
      </w:tr>
      <w:tr w14:paraId="7D2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0D6D314">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4CB8045C">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47BBB00A">
            <w:pPr>
              <w:ind w:left="223" w:hanging="222" w:hangingChars="106"/>
              <w:jc w:val="center"/>
              <w:rPr>
                <w:rFonts w:hint="eastAsia" w:ascii="宋体" w:hAnsi="宋体" w:eastAsia="宋体" w:cs="宋体"/>
                <w:color w:val="auto"/>
                <w:sz w:val="21"/>
                <w:szCs w:val="21"/>
                <w:highlight w:val="none"/>
              </w:rPr>
            </w:pPr>
          </w:p>
        </w:tc>
        <w:tc>
          <w:tcPr>
            <w:tcW w:w="816" w:type="dxa"/>
            <w:noWrap w:val="0"/>
            <w:vAlign w:val="center"/>
          </w:tcPr>
          <w:p w14:paraId="15E95A2F">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0A661010">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3688744C">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7FC15A2B">
            <w:pPr>
              <w:ind w:left="223" w:hanging="222" w:hangingChars="106"/>
              <w:jc w:val="center"/>
              <w:rPr>
                <w:rFonts w:hint="eastAsia" w:ascii="宋体" w:hAnsi="宋体" w:eastAsia="宋体" w:cs="宋体"/>
                <w:color w:val="auto"/>
                <w:sz w:val="21"/>
                <w:szCs w:val="21"/>
                <w:highlight w:val="none"/>
              </w:rPr>
            </w:pPr>
          </w:p>
        </w:tc>
        <w:tc>
          <w:tcPr>
            <w:tcW w:w="744" w:type="dxa"/>
            <w:noWrap w:val="0"/>
            <w:vAlign w:val="center"/>
          </w:tcPr>
          <w:p w14:paraId="20F133ED">
            <w:pPr>
              <w:ind w:left="223" w:hanging="222" w:hangingChars="106"/>
              <w:jc w:val="center"/>
              <w:rPr>
                <w:rFonts w:hint="eastAsia" w:ascii="宋体" w:hAnsi="宋体" w:eastAsia="宋体" w:cs="宋体"/>
                <w:color w:val="auto"/>
                <w:sz w:val="21"/>
                <w:szCs w:val="21"/>
                <w:highlight w:val="none"/>
              </w:rPr>
            </w:pPr>
          </w:p>
        </w:tc>
        <w:tc>
          <w:tcPr>
            <w:tcW w:w="870" w:type="dxa"/>
            <w:noWrap w:val="0"/>
            <w:vAlign w:val="center"/>
          </w:tcPr>
          <w:p w14:paraId="635D78AA">
            <w:pPr>
              <w:ind w:left="223" w:hanging="222" w:hangingChars="106"/>
              <w:jc w:val="center"/>
              <w:rPr>
                <w:rFonts w:hint="eastAsia" w:ascii="宋体" w:hAnsi="宋体" w:eastAsia="宋体" w:cs="宋体"/>
                <w:color w:val="auto"/>
                <w:sz w:val="21"/>
                <w:szCs w:val="21"/>
                <w:highlight w:val="none"/>
              </w:rPr>
            </w:pPr>
          </w:p>
        </w:tc>
        <w:tc>
          <w:tcPr>
            <w:tcW w:w="1170" w:type="dxa"/>
            <w:noWrap w:val="0"/>
            <w:vAlign w:val="center"/>
          </w:tcPr>
          <w:p w14:paraId="235341F0">
            <w:pPr>
              <w:ind w:left="223" w:hanging="222" w:hangingChars="106"/>
              <w:jc w:val="center"/>
              <w:rPr>
                <w:rFonts w:hint="eastAsia" w:ascii="宋体" w:hAnsi="宋体" w:eastAsia="宋体" w:cs="宋体"/>
                <w:color w:val="auto"/>
                <w:sz w:val="21"/>
                <w:szCs w:val="21"/>
                <w:highlight w:val="none"/>
              </w:rPr>
            </w:pPr>
          </w:p>
        </w:tc>
      </w:tr>
      <w:tr w14:paraId="2E38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C1B8731">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697144E5">
            <w:pPr>
              <w:ind w:left="223" w:hanging="222" w:hangingChars="106"/>
              <w:jc w:val="center"/>
              <w:rPr>
                <w:rFonts w:hint="eastAsia" w:ascii="宋体" w:hAnsi="宋体" w:eastAsia="宋体" w:cs="宋体"/>
                <w:color w:val="auto"/>
                <w:sz w:val="21"/>
                <w:szCs w:val="21"/>
                <w:highlight w:val="none"/>
              </w:rPr>
            </w:pPr>
          </w:p>
        </w:tc>
        <w:tc>
          <w:tcPr>
            <w:tcW w:w="829" w:type="dxa"/>
            <w:noWrap w:val="0"/>
            <w:vAlign w:val="center"/>
          </w:tcPr>
          <w:p w14:paraId="5C8EB2D6">
            <w:pPr>
              <w:ind w:left="223" w:hanging="222" w:hangingChars="106"/>
              <w:jc w:val="center"/>
              <w:rPr>
                <w:rFonts w:hint="eastAsia" w:ascii="宋体" w:hAnsi="宋体" w:eastAsia="宋体" w:cs="宋体"/>
                <w:color w:val="auto"/>
                <w:sz w:val="21"/>
                <w:szCs w:val="21"/>
                <w:highlight w:val="none"/>
              </w:rPr>
            </w:pPr>
          </w:p>
        </w:tc>
        <w:tc>
          <w:tcPr>
            <w:tcW w:w="816" w:type="dxa"/>
            <w:noWrap w:val="0"/>
            <w:vAlign w:val="center"/>
          </w:tcPr>
          <w:p w14:paraId="6B1A8D08">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7E98CEAB">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3EB88BC2">
            <w:pPr>
              <w:ind w:left="223" w:hanging="222" w:hangingChars="106"/>
              <w:jc w:val="center"/>
              <w:rPr>
                <w:rFonts w:hint="eastAsia" w:ascii="宋体" w:hAnsi="宋体" w:eastAsia="宋体" w:cs="宋体"/>
                <w:color w:val="auto"/>
                <w:sz w:val="21"/>
                <w:szCs w:val="21"/>
                <w:highlight w:val="none"/>
              </w:rPr>
            </w:pPr>
          </w:p>
        </w:tc>
        <w:tc>
          <w:tcPr>
            <w:tcW w:w="1148" w:type="dxa"/>
            <w:noWrap w:val="0"/>
            <w:vAlign w:val="center"/>
          </w:tcPr>
          <w:p w14:paraId="5B045F98">
            <w:pPr>
              <w:ind w:left="223" w:hanging="222" w:hangingChars="106"/>
              <w:jc w:val="center"/>
              <w:rPr>
                <w:rFonts w:hint="eastAsia" w:ascii="宋体" w:hAnsi="宋体" w:eastAsia="宋体" w:cs="宋体"/>
                <w:color w:val="auto"/>
                <w:sz w:val="21"/>
                <w:szCs w:val="21"/>
                <w:highlight w:val="none"/>
              </w:rPr>
            </w:pPr>
          </w:p>
        </w:tc>
        <w:tc>
          <w:tcPr>
            <w:tcW w:w="744" w:type="dxa"/>
            <w:noWrap w:val="0"/>
            <w:vAlign w:val="center"/>
          </w:tcPr>
          <w:p w14:paraId="66A0EC3A">
            <w:pPr>
              <w:ind w:left="223" w:hanging="222" w:hangingChars="106"/>
              <w:jc w:val="center"/>
              <w:rPr>
                <w:rFonts w:hint="eastAsia" w:ascii="宋体" w:hAnsi="宋体" w:eastAsia="宋体" w:cs="宋体"/>
                <w:color w:val="auto"/>
                <w:sz w:val="21"/>
                <w:szCs w:val="21"/>
                <w:highlight w:val="none"/>
              </w:rPr>
            </w:pPr>
          </w:p>
        </w:tc>
        <w:tc>
          <w:tcPr>
            <w:tcW w:w="870" w:type="dxa"/>
            <w:noWrap w:val="0"/>
            <w:vAlign w:val="center"/>
          </w:tcPr>
          <w:p w14:paraId="1581D9C5">
            <w:pPr>
              <w:ind w:left="223" w:hanging="222" w:hangingChars="106"/>
              <w:jc w:val="center"/>
              <w:rPr>
                <w:rFonts w:hint="eastAsia" w:ascii="宋体" w:hAnsi="宋体" w:eastAsia="宋体" w:cs="宋体"/>
                <w:color w:val="auto"/>
                <w:sz w:val="21"/>
                <w:szCs w:val="21"/>
                <w:highlight w:val="none"/>
              </w:rPr>
            </w:pPr>
          </w:p>
        </w:tc>
        <w:tc>
          <w:tcPr>
            <w:tcW w:w="1170" w:type="dxa"/>
            <w:noWrap w:val="0"/>
            <w:vAlign w:val="center"/>
          </w:tcPr>
          <w:p w14:paraId="77A5B23F">
            <w:pPr>
              <w:ind w:left="223" w:hanging="222" w:hangingChars="106"/>
              <w:jc w:val="center"/>
              <w:rPr>
                <w:rFonts w:hint="eastAsia" w:ascii="宋体" w:hAnsi="宋体" w:eastAsia="宋体" w:cs="宋体"/>
                <w:color w:val="auto"/>
                <w:sz w:val="21"/>
                <w:szCs w:val="21"/>
                <w:highlight w:val="none"/>
              </w:rPr>
            </w:pPr>
          </w:p>
        </w:tc>
      </w:tr>
    </w:tbl>
    <w:p w14:paraId="73667A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1A69BFD">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应如实填写，并对所填信息及提供材料的真实性负责，如有隐瞒或虚假，骗取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行为，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应自行承担由此产生的法律责任和后果。</w:t>
      </w:r>
    </w:p>
    <w:p w14:paraId="7EA02787">
      <w:pPr>
        <w:bidi w:val="0"/>
        <w:spacing w:line="360" w:lineRule="auto"/>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2、本表后可附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认为有必要提供并且与项目实施人员情况相关的其他资料</w:t>
      </w:r>
      <w:r>
        <w:rPr>
          <w:rFonts w:hint="eastAsia" w:ascii="宋体" w:hAnsi="宋体" w:eastAsia="宋体" w:cs="宋体"/>
          <w:color w:val="auto"/>
          <w:sz w:val="21"/>
          <w:szCs w:val="21"/>
          <w:highlight w:val="none"/>
          <w:lang w:eastAsia="zh-CN"/>
        </w:rPr>
        <w:t>。</w:t>
      </w:r>
    </w:p>
    <w:p w14:paraId="302092F2">
      <w:pPr>
        <w:keepNext w:val="0"/>
        <w:keepLines w:val="0"/>
        <w:pageBreakBefore w:val="0"/>
        <w:widowControl w:val="0"/>
        <w:kinsoku/>
        <w:wordWrap/>
        <w:overflowPunct w:val="0"/>
        <w:topLinePunct w:val="0"/>
        <w:autoSpaceDE w:val="0"/>
        <w:autoSpaceDN w:val="0"/>
        <w:bidi w:val="0"/>
        <w:spacing w:line="248" w:lineRule="auto"/>
        <w:rPr>
          <w:rFonts w:hint="eastAsia" w:ascii="宋体" w:hAnsi="宋体" w:eastAsia="宋体" w:cs="宋体"/>
          <w:sz w:val="24"/>
          <w:szCs w:val="24"/>
        </w:rPr>
      </w:pPr>
    </w:p>
    <w:p w14:paraId="744B356E">
      <w:pPr>
        <w:keepNext w:val="0"/>
        <w:keepLines w:val="0"/>
        <w:pageBreakBefore w:val="0"/>
        <w:widowControl w:val="0"/>
        <w:kinsoku/>
        <w:wordWrap/>
        <w:overflowPunct w:val="0"/>
        <w:topLinePunct w:val="0"/>
        <w:autoSpaceDE w:val="0"/>
        <w:autoSpaceDN w:val="0"/>
        <w:bidi w:val="0"/>
        <w:spacing w:line="248" w:lineRule="auto"/>
        <w:rPr>
          <w:rFonts w:hint="eastAsia" w:ascii="宋体" w:hAnsi="宋体" w:eastAsia="宋体" w:cs="宋体"/>
          <w:sz w:val="24"/>
          <w:szCs w:val="24"/>
        </w:rPr>
      </w:pPr>
    </w:p>
    <w:p w14:paraId="689F3180">
      <w:pPr>
        <w:keepNext w:val="0"/>
        <w:keepLines w:val="0"/>
        <w:pageBreakBefore w:val="0"/>
        <w:widowControl w:val="0"/>
        <w:kinsoku/>
        <w:wordWrap/>
        <w:overflowPunct w:val="0"/>
        <w:topLinePunct w:val="0"/>
        <w:autoSpaceDE w:val="0"/>
        <w:autoSpaceDN w:val="0"/>
        <w:bidi w:val="0"/>
        <w:spacing w:line="249" w:lineRule="auto"/>
        <w:rPr>
          <w:rFonts w:hint="eastAsia" w:ascii="宋体" w:hAnsi="宋体" w:eastAsia="宋体" w:cs="宋体"/>
          <w:sz w:val="24"/>
          <w:szCs w:val="24"/>
        </w:rPr>
      </w:pPr>
    </w:p>
    <w:p w14:paraId="089CB540">
      <w:pPr>
        <w:keepNext w:val="0"/>
        <w:keepLines w:val="0"/>
        <w:pageBreakBefore w:val="0"/>
        <w:widowControl w:val="0"/>
        <w:kinsoku/>
        <w:wordWrap/>
        <w:overflowPunct w:val="0"/>
        <w:topLinePunct w:val="0"/>
        <w:autoSpaceDE w:val="0"/>
        <w:autoSpaceDN w:val="0"/>
        <w:bidi w:val="0"/>
        <w:spacing w:line="249" w:lineRule="auto"/>
        <w:rPr>
          <w:rFonts w:hint="eastAsia" w:ascii="宋体" w:hAnsi="宋体" w:eastAsia="宋体" w:cs="宋体"/>
          <w:sz w:val="24"/>
          <w:szCs w:val="24"/>
        </w:rPr>
      </w:pPr>
    </w:p>
    <w:p w14:paraId="01C63A96">
      <w:pPr>
        <w:keepNext w:val="0"/>
        <w:keepLines w:val="0"/>
        <w:pageBreakBefore w:val="0"/>
        <w:widowControl w:val="0"/>
        <w:kinsoku/>
        <w:wordWrap/>
        <w:overflowPunct w:val="0"/>
        <w:topLinePunct w:val="0"/>
        <w:autoSpaceDE w:val="0"/>
        <w:autoSpaceDN w:val="0"/>
        <w:bidi w:val="0"/>
        <w:spacing w:line="249" w:lineRule="auto"/>
        <w:rPr>
          <w:rFonts w:hint="eastAsia" w:ascii="宋体" w:hAnsi="宋体" w:eastAsia="宋体" w:cs="宋体"/>
          <w:sz w:val="24"/>
          <w:szCs w:val="24"/>
        </w:rPr>
      </w:pPr>
    </w:p>
    <w:p w14:paraId="75CFD73F">
      <w:pPr>
        <w:keepNext w:val="0"/>
        <w:keepLines w:val="0"/>
        <w:pageBreakBefore w:val="0"/>
        <w:widowControl w:val="0"/>
        <w:kinsoku/>
        <w:wordWrap/>
        <w:overflowPunct w:val="0"/>
        <w:topLinePunct w:val="0"/>
        <w:autoSpaceDE w:val="0"/>
        <w:autoSpaceDN w:val="0"/>
        <w:bidi w:val="0"/>
        <w:spacing w:before="71" w:line="227" w:lineRule="auto"/>
        <w:ind w:left="208"/>
        <w:jc w:val="center"/>
        <w:rPr>
          <w:rFonts w:hint="default" w:ascii="宋体" w:hAnsi="宋体" w:eastAsia="宋体" w:cs="宋体"/>
          <w:sz w:val="24"/>
          <w:szCs w:val="24"/>
          <w:u w:val="single"/>
          <w:lang w:val="en-US" w:eastAsia="zh-CN"/>
        </w:rPr>
      </w:pP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8"/>
          <w:sz w:val="24"/>
          <w:szCs w:val="24"/>
          <w:lang w:eastAsia="zh-CN"/>
        </w:rPr>
        <w:t>供应商</w:t>
      </w:r>
      <w:r>
        <w:rPr>
          <w:rFonts w:hint="eastAsia" w:ascii="宋体" w:hAnsi="宋体" w:eastAsia="宋体" w:cs="宋体"/>
          <w:spacing w:val="13"/>
          <w:sz w:val="24"/>
          <w:szCs w:val="24"/>
        </w:rPr>
        <w:t>名称(</w:t>
      </w:r>
      <w:r>
        <w:rPr>
          <w:rFonts w:hint="eastAsia" w:ascii="宋体" w:hAnsi="宋体" w:eastAsia="宋体" w:cs="宋体"/>
          <w:spacing w:val="13"/>
          <w:sz w:val="24"/>
          <w:szCs w:val="24"/>
          <w:lang w:val="en-US" w:eastAsia="zh-CN"/>
        </w:rPr>
        <w:t>CA</w:t>
      </w:r>
      <w:r>
        <w:rPr>
          <w:rFonts w:hint="eastAsia" w:ascii="宋体" w:hAnsi="宋体" w:eastAsia="宋体" w:cs="宋体"/>
          <w:spacing w:val="13"/>
          <w:sz w:val="24"/>
          <w:szCs w:val="24"/>
        </w:rPr>
        <w:t>电子签章)：</w:t>
      </w:r>
      <w:r>
        <w:rPr>
          <w:rFonts w:hint="eastAsia" w:ascii="宋体" w:hAnsi="宋体" w:eastAsia="宋体" w:cs="宋体"/>
          <w:spacing w:val="13"/>
          <w:sz w:val="24"/>
          <w:szCs w:val="24"/>
          <w:u w:val="single"/>
          <w:lang w:val="en-US" w:eastAsia="zh-CN"/>
        </w:rPr>
        <w:t xml:space="preserve">         </w:t>
      </w:r>
    </w:p>
    <w:p w14:paraId="09BA18B3">
      <w:pPr>
        <w:keepNext w:val="0"/>
        <w:keepLines w:val="0"/>
        <w:pageBreakBefore w:val="0"/>
        <w:widowControl w:val="0"/>
        <w:kinsoku/>
        <w:wordWrap/>
        <w:overflowPunct w:val="0"/>
        <w:topLinePunct w:val="0"/>
        <w:autoSpaceDE w:val="0"/>
        <w:autoSpaceDN w:val="0"/>
        <w:bidi w:val="0"/>
        <w:spacing w:line="299" w:lineRule="auto"/>
        <w:jc w:val="right"/>
        <w:rPr>
          <w:rFonts w:hint="eastAsia" w:ascii="宋体" w:hAnsi="宋体" w:eastAsia="宋体" w:cs="宋体"/>
          <w:sz w:val="24"/>
          <w:szCs w:val="24"/>
        </w:rPr>
      </w:pPr>
    </w:p>
    <w:p w14:paraId="4529EE78">
      <w:pPr>
        <w:keepNext w:val="0"/>
        <w:keepLines w:val="0"/>
        <w:pageBreakBefore w:val="0"/>
        <w:widowControl w:val="0"/>
        <w:kinsoku/>
        <w:wordWrap/>
        <w:overflowPunct w:val="0"/>
        <w:topLinePunct w:val="0"/>
        <w:autoSpaceDE w:val="0"/>
        <w:autoSpaceDN w:val="0"/>
        <w:bidi w:val="0"/>
        <w:spacing w:before="71" w:line="228" w:lineRule="auto"/>
        <w:ind w:left="283"/>
        <w:jc w:val="right"/>
        <w:rPr>
          <w:rFonts w:hint="eastAsia" w:eastAsia="宋体"/>
          <w:lang w:val="en-US" w:eastAsia="zh-CN"/>
        </w:rPr>
        <w:sectPr>
          <w:footerReference r:id="rId25" w:type="default"/>
          <w:pgSz w:w="11906" w:h="16838"/>
          <w:pgMar w:top="1304" w:right="1304" w:bottom="1304" w:left="1304" w:header="0" w:footer="675" w:gutter="0"/>
          <w:pgNumType w:fmt="decimal"/>
          <w:cols w:space="425" w:num="1"/>
          <w:rtlGutter w:val="0"/>
          <w:docGrid w:linePitch="0" w:charSpace="0"/>
        </w:sectPr>
      </w:pPr>
      <w:r>
        <w:rPr>
          <w:rFonts w:hint="eastAsia" w:ascii="宋体" w:hAnsi="宋体" w:eastAsia="宋体" w:cs="宋体"/>
          <w:spacing w:val="-1"/>
          <w:sz w:val="24"/>
          <w:szCs w:val="24"/>
        </w:rPr>
        <w:t xml:space="preserve">日期：      年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日</w:t>
      </w:r>
    </w:p>
    <w:p w14:paraId="15E83E5C">
      <w:pPr>
        <w:keepNext w:val="0"/>
        <w:keepLines w:val="0"/>
        <w:pageBreakBefore w:val="0"/>
        <w:widowControl w:val="0"/>
        <w:kinsoku/>
        <w:wordWrap/>
        <w:overflowPunct w:val="0"/>
        <w:topLinePunct w:val="0"/>
        <w:autoSpaceDE w:val="0"/>
        <w:autoSpaceDN w:val="0"/>
        <w:bidi w:val="0"/>
        <w:spacing w:before="62" w:line="227" w:lineRule="auto"/>
        <w:rPr>
          <w:rFonts w:ascii="宋体" w:hAnsi="宋体" w:eastAsia="宋体" w:cs="宋体"/>
          <w:sz w:val="24"/>
          <w:szCs w:val="24"/>
        </w:rPr>
      </w:pPr>
    </w:p>
    <w:p w14:paraId="5D7B9F53">
      <w:pPr>
        <w:keepNext w:val="0"/>
        <w:keepLines w:val="0"/>
        <w:pageBreakBefore w:val="0"/>
        <w:widowControl w:val="0"/>
        <w:kinsoku/>
        <w:wordWrap/>
        <w:overflowPunct w:val="0"/>
        <w:topLinePunct w:val="0"/>
        <w:autoSpaceDE w:val="0"/>
        <w:autoSpaceDN w:val="0"/>
        <w:bidi w:val="0"/>
        <w:spacing w:before="62" w:line="227" w:lineRule="auto"/>
        <w:rPr>
          <w:rFonts w:ascii="宋体" w:hAnsi="宋体" w:eastAsia="宋体" w:cs="宋体"/>
          <w:sz w:val="24"/>
          <w:szCs w:val="24"/>
        </w:rPr>
      </w:pPr>
    </w:p>
    <w:p w14:paraId="068228C0">
      <w:pPr>
        <w:keepNext w:val="0"/>
        <w:keepLines w:val="0"/>
        <w:pageBreakBefore w:val="0"/>
        <w:widowControl w:val="0"/>
        <w:kinsoku/>
        <w:wordWrap/>
        <w:overflowPunct w:val="0"/>
        <w:topLinePunct w:val="0"/>
        <w:autoSpaceDE w:val="0"/>
        <w:autoSpaceDN w:val="0"/>
        <w:bidi w:val="0"/>
        <w:spacing w:before="62" w:line="227" w:lineRule="auto"/>
        <w:rPr>
          <w:rFonts w:ascii="宋体" w:hAnsi="宋体" w:eastAsia="宋体" w:cs="宋体"/>
          <w:sz w:val="24"/>
          <w:szCs w:val="24"/>
        </w:rPr>
      </w:pPr>
    </w:p>
    <w:p w14:paraId="04E97F6E">
      <w:pPr>
        <w:keepNext w:val="0"/>
        <w:keepLines w:val="0"/>
        <w:pageBreakBefore w:val="0"/>
        <w:widowControl w:val="0"/>
        <w:kinsoku/>
        <w:wordWrap/>
        <w:overflowPunct w:val="0"/>
        <w:topLinePunct w:val="0"/>
        <w:autoSpaceDE w:val="0"/>
        <w:autoSpaceDN w:val="0"/>
        <w:bidi w:val="0"/>
        <w:adjustRightInd w:val="0"/>
        <w:snapToGrid w:val="0"/>
        <w:spacing w:line="228" w:lineRule="auto"/>
        <w:ind w:left="0"/>
        <w:jc w:val="center"/>
        <w:textAlignment w:val="baseline"/>
        <w:outlineLvl w:val="2"/>
        <w:rPr>
          <w:rFonts w:hint="eastAsia" w:ascii="宋体" w:hAnsi="宋体" w:eastAsia="宋体" w:cs="宋体"/>
          <w:b/>
          <w:bCs/>
          <w:snapToGrid w:val="0"/>
          <w:color w:val="auto"/>
          <w:kern w:val="0"/>
          <w:sz w:val="28"/>
          <w:szCs w:val="28"/>
          <w:highlight w:val="none"/>
          <w:lang w:val="en-US" w:eastAsia="zh-CN"/>
        </w:rPr>
      </w:pPr>
      <w:bookmarkStart w:id="263" w:name="_Toc9751"/>
      <w:r>
        <w:rPr>
          <w:rFonts w:hint="eastAsia" w:ascii="宋体" w:hAnsi="宋体" w:eastAsia="宋体" w:cs="宋体"/>
          <w:b/>
          <w:bCs/>
          <w:snapToGrid w:val="0"/>
          <w:color w:val="auto"/>
          <w:kern w:val="0"/>
          <w:sz w:val="28"/>
          <w:szCs w:val="28"/>
          <w:highlight w:val="none"/>
          <w:lang w:val="en-US" w:eastAsia="zh-CN"/>
        </w:rPr>
        <w:t>(13)供应商认为需要提供的其他有关资料。</w:t>
      </w:r>
      <w:bookmarkEnd w:id="263"/>
    </w:p>
    <w:p w14:paraId="45144673">
      <w:pPr>
        <w:rPr>
          <w:rFonts w:hint="eastAsia"/>
          <w:lang w:val="en-US" w:eastAsia="zh-CN"/>
        </w:rPr>
      </w:pPr>
    </w:p>
    <w:sectPr>
      <w:footerReference r:id="rId26" w:type="default"/>
      <w:pgSz w:w="11906" w:h="16838"/>
      <w:pgMar w:top="1304" w:right="1304" w:bottom="1304" w:left="1304" w:header="0" w:footer="675" w:gutter="0"/>
      <w:pgNumType w:fmt="decimal"/>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6A51">
    <w:pPr>
      <w:pStyle w:val="16"/>
    </w:pPr>
  </w:p>
  <w:p w14:paraId="5419697F">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D35">
    <w:pPr>
      <w:spacing w:line="205" w:lineRule="auto"/>
      <w:ind w:left="4630"/>
      <w:rPr>
        <w:rFonts w:ascii="Arial" w:hAnsi="Arial" w:eastAsia="Arial" w:cs="Arial"/>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076F0">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5AC076F0">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E00E">
    <w:pPr>
      <w:spacing w:line="205" w:lineRule="auto"/>
      <w:ind w:left="4572"/>
      <w:rPr>
        <w:rFonts w:ascii="Arial" w:hAnsi="Arial" w:eastAsia="Arial" w:cs="Arial"/>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ED97">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640ED97">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4D0C">
    <w:pPr>
      <w:spacing w:line="205" w:lineRule="auto"/>
      <w:ind w:left="4567"/>
      <w:rPr>
        <w:rFonts w:ascii="Arial" w:hAnsi="Arial" w:eastAsia="Arial" w:cs="Arial"/>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916D0">
                          <w:pPr>
                            <w:pStyle w:val="1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DC916D0">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004A">
    <w:pPr>
      <w:spacing w:line="205" w:lineRule="auto"/>
      <w:ind w:left="4317"/>
      <w:rPr>
        <w:rFonts w:ascii="Arial" w:hAnsi="Arial" w:eastAsia="Arial" w:cs="Arial"/>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4594">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E44594">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06B9">
    <w:pPr>
      <w:spacing w:line="205" w:lineRule="auto"/>
      <w:ind w:left="4608"/>
      <w:rPr>
        <w:rFonts w:ascii="Arial" w:hAnsi="Arial" w:eastAsia="Arial" w:cs="Arial"/>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3F058">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073F058">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BDBA">
    <w:pPr>
      <w:spacing w:line="205" w:lineRule="auto"/>
      <w:ind w:left="4244"/>
      <w:rPr>
        <w:rFonts w:ascii="Arial" w:hAnsi="Arial" w:eastAsia="Arial" w:cs="Arial"/>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1B9FC">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9F1B9FC">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E443">
    <w:pPr>
      <w:spacing w:line="205" w:lineRule="auto"/>
      <w:ind w:left="4565"/>
      <w:rPr>
        <w:rFonts w:ascii="Arial" w:hAnsi="Arial" w:eastAsia="Arial" w:cs="Arial"/>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AE406">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4F7AE406">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C5E3">
    <w:pPr>
      <w:spacing w:line="205" w:lineRule="auto"/>
      <w:ind w:left="4317"/>
      <w:rPr>
        <w:rFonts w:ascii="Arial" w:hAnsi="Arial" w:eastAsia="Arial" w:cs="Arial"/>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A5CD">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CA5CD">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B6E4">
    <w:pPr>
      <w:spacing w:line="169" w:lineRule="auto"/>
      <w:ind w:left="4272"/>
      <w:rPr>
        <w:rFonts w:hint="default"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02EB1">
                          <w:pPr>
                            <w:pStyle w:val="16"/>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002EB1">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24C9">
    <w:pPr>
      <w:spacing w:line="205" w:lineRule="auto"/>
      <w:ind w:left="4778"/>
      <w:rPr>
        <w:rFonts w:ascii="Arial" w:hAnsi="Arial" w:eastAsia="Arial" w:cs="Arial"/>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C7A87">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33C7A87">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A77D">
    <w:pPr>
      <w:spacing w:line="202" w:lineRule="auto"/>
      <w:ind w:left="4125"/>
      <w:rPr>
        <w:rFonts w:ascii="Arial" w:hAnsi="Arial" w:eastAsia="Arial" w:cs="Arial"/>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828D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1B828D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6616">
    <w:pPr>
      <w:spacing w:line="205" w:lineRule="auto"/>
      <w:ind w:left="4044"/>
      <w:rPr>
        <w:rFonts w:ascii="Arial" w:hAnsi="Arial" w:eastAsia="Arial" w:cs="Arial"/>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A3195">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21A3195">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2D19">
    <w:pPr>
      <w:spacing w:line="205" w:lineRule="auto"/>
      <w:ind w:left="4590"/>
      <w:rPr>
        <w:rFonts w:ascii="Arial" w:hAnsi="Arial" w:eastAsia="Arial" w:cs="Arial"/>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5DB7E">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2C5DB7E">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FAC4">
    <w:pPr>
      <w:spacing w:line="205" w:lineRule="auto"/>
      <w:ind w:left="4072"/>
      <w:rPr>
        <w:rFonts w:ascii="Arial" w:hAnsi="Arial" w:eastAsia="Arial" w:cs="Arial"/>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C9D13">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DDC9D13">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F8B8">
    <w:pPr>
      <w:spacing w:line="205" w:lineRule="auto"/>
      <w:ind w:left="4598"/>
      <w:rPr>
        <w:rFonts w:ascii="Arial" w:hAnsi="Arial" w:eastAsia="Arial" w:cs="Arial"/>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4E88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CB4E88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9630">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A352B">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20A352B">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BDB6">
    <w:pPr>
      <w:spacing w:line="205" w:lineRule="auto"/>
      <w:ind w:left="4323"/>
      <w:rPr>
        <w:rFonts w:ascii="Arial" w:hAnsi="Arial" w:eastAsia="Arial" w:cs="Arial"/>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1C603">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001C603">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00F1">
    <w:pPr>
      <w:spacing w:line="205" w:lineRule="auto"/>
      <w:ind w:left="4317"/>
      <w:rPr>
        <w:rFonts w:ascii="Arial" w:hAnsi="Arial" w:eastAsia="Arial" w:cs="Arial"/>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B29A5">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B6B29A5">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6B74">
    <w:pPr>
      <w:spacing w:line="205" w:lineRule="auto"/>
      <w:ind w:left="4563"/>
      <w:rPr>
        <w:rFonts w:ascii="Arial" w:hAnsi="Arial" w:eastAsia="Arial" w:cs="Arial"/>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2F5EA">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62F5EA">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D89A">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813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FA59D"/>
    <w:multiLevelType w:val="singleLevel"/>
    <w:tmpl w:val="BEDFA59D"/>
    <w:lvl w:ilvl="0" w:tentative="0">
      <w:start w:val="3"/>
      <w:numFmt w:val="decimal"/>
      <w:suff w:val="nothing"/>
      <w:lvlText w:val="（%1）"/>
      <w:lvlJc w:val="left"/>
    </w:lvl>
  </w:abstractNum>
  <w:abstractNum w:abstractNumId="1">
    <w:nsid w:val="19058844"/>
    <w:multiLevelType w:val="singleLevel"/>
    <w:tmpl w:val="19058844"/>
    <w:lvl w:ilvl="0" w:tentative="0">
      <w:start w:val="1"/>
      <w:numFmt w:val="decimal"/>
      <w:lvlText w:val="%1)"/>
      <w:lvlJc w:val="left"/>
      <w:pPr>
        <w:ind w:left="425" w:hanging="425"/>
      </w:pPr>
      <w:rPr>
        <w:rFonts w:hint="default"/>
      </w:rPr>
    </w:lvl>
  </w:abstractNum>
  <w:abstractNum w:abstractNumId="2">
    <w:nsid w:val="19FD80FC"/>
    <w:multiLevelType w:val="singleLevel"/>
    <w:tmpl w:val="19FD80FC"/>
    <w:lvl w:ilvl="0" w:tentative="0">
      <w:start w:val="1"/>
      <w:numFmt w:val="decimal"/>
      <w:lvlText w:val="%1)"/>
      <w:lvlJc w:val="left"/>
      <w:pPr>
        <w:ind w:left="425" w:hanging="425"/>
      </w:pPr>
      <w:rPr>
        <w:rFonts w:hint="default"/>
      </w:rPr>
    </w:lvl>
  </w:abstractNum>
  <w:abstractNum w:abstractNumId="3">
    <w:nsid w:val="48A0FCF9"/>
    <w:multiLevelType w:val="singleLevel"/>
    <w:tmpl w:val="48A0FCF9"/>
    <w:lvl w:ilvl="0" w:tentative="0">
      <w:start w:val="1"/>
      <w:numFmt w:val="decimal"/>
      <w:lvlText w:val="%1."/>
      <w:lvlJc w:val="left"/>
      <w:pPr>
        <w:ind w:left="425" w:hanging="425"/>
      </w:pPr>
      <w:rPr>
        <w:rFonts w:hint="default"/>
      </w:rPr>
    </w:lvl>
  </w:abstractNum>
  <w:abstractNum w:abstractNumId="4">
    <w:nsid w:val="4E38A36F"/>
    <w:multiLevelType w:val="singleLevel"/>
    <w:tmpl w:val="4E38A36F"/>
    <w:lvl w:ilvl="0" w:tentative="0">
      <w:start w:val="3"/>
      <w:numFmt w:val="chineseCounting"/>
      <w:suff w:val="nothing"/>
      <w:lvlText w:val="%1、"/>
      <w:lvlJc w:val="left"/>
      <w:rPr>
        <w:rFonts w:hint="eastAsia"/>
      </w:rPr>
    </w:lvl>
  </w:abstractNum>
  <w:abstractNum w:abstractNumId="5">
    <w:nsid w:val="5A24A3B6"/>
    <w:multiLevelType w:val="singleLevel"/>
    <w:tmpl w:val="5A24A3B6"/>
    <w:lvl w:ilvl="0" w:tentative="0">
      <w:start w:val="1"/>
      <w:numFmt w:val="decimal"/>
      <w:suff w:val="nothing"/>
      <w:lvlText w:val="（%1）"/>
      <w:lvlJc w:val="left"/>
    </w:lvl>
  </w:abstractNum>
  <w:abstractNum w:abstractNumId="6">
    <w:nsid w:val="66E3325A"/>
    <w:multiLevelType w:val="singleLevel"/>
    <w:tmpl w:val="66E3325A"/>
    <w:lvl w:ilvl="0" w:tentative="0">
      <w:start w:val="12"/>
      <w:numFmt w:val="decimal"/>
      <w:lvlText w:val="%1."/>
      <w:lvlJc w:val="left"/>
      <w:pPr>
        <w:tabs>
          <w:tab w:val="left" w:pos="312"/>
        </w:tabs>
      </w:pPr>
    </w:lvl>
  </w:abstractNum>
  <w:abstractNum w:abstractNumId="7">
    <w:nsid w:val="6EDD6596"/>
    <w:multiLevelType w:val="singleLevel"/>
    <w:tmpl w:val="6EDD6596"/>
    <w:lvl w:ilvl="0" w:tentative="0">
      <w:start w:val="1"/>
      <w:numFmt w:val="decimal"/>
      <w:suff w:val="space"/>
      <w:lvlText w:val="%1."/>
      <w:lvlJc w:val="left"/>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4MmNlODgwOTU3YjNiZTFjNDQxOWE0YzY0YzQ3MzQifQ=="/>
  </w:docVars>
  <w:rsids>
    <w:rsidRoot w:val="00000000"/>
    <w:rsid w:val="001D4206"/>
    <w:rsid w:val="004C2B15"/>
    <w:rsid w:val="0058523E"/>
    <w:rsid w:val="005F65CD"/>
    <w:rsid w:val="00FE7B94"/>
    <w:rsid w:val="01543C57"/>
    <w:rsid w:val="015B4FE6"/>
    <w:rsid w:val="019329D2"/>
    <w:rsid w:val="01CF32DE"/>
    <w:rsid w:val="01F66ABD"/>
    <w:rsid w:val="02021905"/>
    <w:rsid w:val="024535A0"/>
    <w:rsid w:val="026779BA"/>
    <w:rsid w:val="028E77B6"/>
    <w:rsid w:val="02C543F3"/>
    <w:rsid w:val="02E35293"/>
    <w:rsid w:val="02E716E4"/>
    <w:rsid w:val="02F254D6"/>
    <w:rsid w:val="031F60BA"/>
    <w:rsid w:val="0327491A"/>
    <w:rsid w:val="039549DA"/>
    <w:rsid w:val="03B978B9"/>
    <w:rsid w:val="03FD7D1F"/>
    <w:rsid w:val="044E5C91"/>
    <w:rsid w:val="047C599F"/>
    <w:rsid w:val="04842AA6"/>
    <w:rsid w:val="048D3DEB"/>
    <w:rsid w:val="049031F8"/>
    <w:rsid w:val="04A22F2C"/>
    <w:rsid w:val="04BF3ADE"/>
    <w:rsid w:val="04C364F9"/>
    <w:rsid w:val="04CF626C"/>
    <w:rsid w:val="053A18A7"/>
    <w:rsid w:val="056A0983"/>
    <w:rsid w:val="058663AA"/>
    <w:rsid w:val="05A340E0"/>
    <w:rsid w:val="062067FE"/>
    <w:rsid w:val="062736E9"/>
    <w:rsid w:val="067A7CBC"/>
    <w:rsid w:val="06861AF8"/>
    <w:rsid w:val="06DF6D8C"/>
    <w:rsid w:val="06E60E44"/>
    <w:rsid w:val="06E96BF0"/>
    <w:rsid w:val="07434552"/>
    <w:rsid w:val="0749768F"/>
    <w:rsid w:val="075E75DE"/>
    <w:rsid w:val="077010BF"/>
    <w:rsid w:val="078E4F75"/>
    <w:rsid w:val="079254DA"/>
    <w:rsid w:val="07C12885"/>
    <w:rsid w:val="07C5765D"/>
    <w:rsid w:val="07C730C1"/>
    <w:rsid w:val="07D611D9"/>
    <w:rsid w:val="08166392"/>
    <w:rsid w:val="08346591"/>
    <w:rsid w:val="084C7436"/>
    <w:rsid w:val="08752E31"/>
    <w:rsid w:val="088F7E56"/>
    <w:rsid w:val="089715E3"/>
    <w:rsid w:val="08C70EA8"/>
    <w:rsid w:val="08D13DE0"/>
    <w:rsid w:val="08E66C30"/>
    <w:rsid w:val="08EC29C7"/>
    <w:rsid w:val="090E0B90"/>
    <w:rsid w:val="091037EA"/>
    <w:rsid w:val="091268D2"/>
    <w:rsid w:val="0968592A"/>
    <w:rsid w:val="09B47076"/>
    <w:rsid w:val="09C6142E"/>
    <w:rsid w:val="09CC5B4D"/>
    <w:rsid w:val="09CF2BC7"/>
    <w:rsid w:val="09D27E0F"/>
    <w:rsid w:val="09EC0FFA"/>
    <w:rsid w:val="0A3E69D1"/>
    <w:rsid w:val="0A642E4F"/>
    <w:rsid w:val="0A951337"/>
    <w:rsid w:val="0AB1211B"/>
    <w:rsid w:val="0ABD527B"/>
    <w:rsid w:val="0ACB4F8A"/>
    <w:rsid w:val="0AD100C7"/>
    <w:rsid w:val="0B071D3B"/>
    <w:rsid w:val="0B0F68F1"/>
    <w:rsid w:val="0B100BEF"/>
    <w:rsid w:val="0B275F39"/>
    <w:rsid w:val="0B696551"/>
    <w:rsid w:val="0B70168E"/>
    <w:rsid w:val="0BC77B8C"/>
    <w:rsid w:val="0BE41180"/>
    <w:rsid w:val="0BF978D5"/>
    <w:rsid w:val="0C320232"/>
    <w:rsid w:val="0C322DE7"/>
    <w:rsid w:val="0C430A06"/>
    <w:rsid w:val="0C8F3D96"/>
    <w:rsid w:val="0C9F66CF"/>
    <w:rsid w:val="0CF33EF8"/>
    <w:rsid w:val="0D0227BA"/>
    <w:rsid w:val="0D2B61B4"/>
    <w:rsid w:val="0D7F3E0A"/>
    <w:rsid w:val="0DA87583"/>
    <w:rsid w:val="0DC6653B"/>
    <w:rsid w:val="0E106B7D"/>
    <w:rsid w:val="0E2D1AB8"/>
    <w:rsid w:val="0E2F3A82"/>
    <w:rsid w:val="0E52151F"/>
    <w:rsid w:val="0E5434E9"/>
    <w:rsid w:val="0E8536A2"/>
    <w:rsid w:val="0E986E18"/>
    <w:rsid w:val="0EF60AA4"/>
    <w:rsid w:val="0F20786F"/>
    <w:rsid w:val="0F220EF1"/>
    <w:rsid w:val="0F2C4917"/>
    <w:rsid w:val="0F331350"/>
    <w:rsid w:val="0F900551"/>
    <w:rsid w:val="0F9F2542"/>
    <w:rsid w:val="0F9F29D2"/>
    <w:rsid w:val="100F3B6B"/>
    <w:rsid w:val="101C0036"/>
    <w:rsid w:val="103C4234"/>
    <w:rsid w:val="10401F77"/>
    <w:rsid w:val="105E6F6D"/>
    <w:rsid w:val="10645539"/>
    <w:rsid w:val="10972147"/>
    <w:rsid w:val="10996131"/>
    <w:rsid w:val="10C1473A"/>
    <w:rsid w:val="10D34B99"/>
    <w:rsid w:val="10E32902"/>
    <w:rsid w:val="11116EEA"/>
    <w:rsid w:val="111D4CDB"/>
    <w:rsid w:val="113413B0"/>
    <w:rsid w:val="11574F56"/>
    <w:rsid w:val="11651569"/>
    <w:rsid w:val="117A5014"/>
    <w:rsid w:val="118B255C"/>
    <w:rsid w:val="1198193E"/>
    <w:rsid w:val="119E3865"/>
    <w:rsid w:val="11A16A45"/>
    <w:rsid w:val="11AE2F10"/>
    <w:rsid w:val="11CC5BE7"/>
    <w:rsid w:val="11EA7AD9"/>
    <w:rsid w:val="120C7C36"/>
    <w:rsid w:val="12383755"/>
    <w:rsid w:val="126D5E48"/>
    <w:rsid w:val="12A44158"/>
    <w:rsid w:val="133874BD"/>
    <w:rsid w:val="133D3A0D"/>
    <w:rsid w:val="13474B62"/>
    <w:rsid w:val="138C741F"/>
    <w:rsid w:val="13B769DD"/>
    <w:rsid w:val="13F13588"/>
    <w:rsid w:val="13FE288D"/>
    <w:rsid w:val="144E09DA"/>
    <w:rsid w:val="146B158C"/>
    <w:rsid w:val="1481490C"/>
    <w:rsid w:val="148E0DD7"/>
    <w:rsid w:val="14C322A9"/>
    <w:rsid w:val="14F233D2"/>
    <w:rsid w:val="14FB646C"/>
    <w:rsid w:val="152D6842"/>
    <w:rsid w:val="15393438"/>
    <w:rsid w:val="15497848"/>
    <w:rsid w:val="157C0BF4"/>
    <w:rsid w:val="15B4486D"/>
    <w:rsid w:val="16133262"/>
    <w:rsid w:val="16774218"/>
    <w:rsid w:val="169107F8"/>
    <w:rsid w:val="16F3778F"/>
    <w:rsid w:val="170830C2"/>
    <w:rsid w:val="170D0A39"/>
    <w:rsid w:val="172E1407"/>
    <w:rsid w:val="172F064F"/>
    <w:rsid w:val="177331F8"/>
    <w:rsid w:val="17850AEA"/>
    <w:rsid w:val="179D7CAF"/>
    <w:rsid w:val="17B3300A"/>
    <w:rsid w:val="17D17958"/>
    <w:rsid w:val="17F65611"/>
    <w:rsid w:val="1816180F"/>
    <w:rsid w:val="18190952"/>
    <w:rsid w:val="182A7068"/>
    <w:rsid w:val="18370BC7"/>
    <w:rsid w:val="18550589"/>
    <w:rsid w:val="18584A67"/>
    <w:rsid w:val="18A1732B"/>
    <w:rsid w:val="18B36159"/>
    <w:rsid w:val="18E964FD"/>
    <w:rsid w:val="18EB5FD3"/>
    <w:rsid w:val="19614E92"/>
    <w:rsid w:val="19BD0194"/>
    <w:rsid w:val="1A400DC5"/>
    <w:rsid w:val="1A8F5627"/>
    <w:rsid w:val="1A95521C"/>
    <w:rsid w:val="1AC27A2C"/>
    <w:rsid w:val="1AC76DF0"/>
    <w:rsid w:val="1AC92B69"/>
    <w:rsid w:val="1AE6371B"/>
    <w:rsid w:val="1AF0705F"/>
    <w:rsid w:val="1B0D70EF"/>
    <w:rsid w:val="1B1D634E"/>
    <w:rsid w:val="1B2861C9"/>
    <w:rsid w:val="1B3C158C"/>
    <w:rsid w:val="1B5B2E6D"/>
    <w:rsid w:val="1B7927E1"/>
    <w:rsid w:val="1BAF58EF"/>
    <w:rsid w:val="1BCA4DEA"/>
    <w:rsid w:val="1C093B64"/>
    <w:rsid w:val="1C93342E"/>
    <w:rsid w:val="1C980A44"/>
    <w:rsid w:val="1CBC2C96"/>
    <w:rsid w:val="1CC7757C"/>
    <w:rsid w:val="1D450964"/>
    <w:rsid w:val="1D4806BC"/>
    <w:rsid w:val="1D5952DE"/>
    <w:rsid w:val="1D74500E"/>
    <w:rsid w:val="1DAF6291"/>
    <w:rsid w:val="1E067C30"/>
    <w:rsid w:val="1E0C793C"/>
    <w:rsid w:val="1E2702D2"/>
    <w:rsid w:val="1E3B1FCF"/>
    <w:rsid w:val="1E8219AC"/>
    <w:rsid w:val="1F3C7DAD"/>
    <w:rsid w:val="1F4924CA"/>
    <w:rsid w:val="1F7F5EEC"/>
    <w:rsid w:val="1F833C2E"/>
    <w:rsid w:val="1F83778A"/>
    <w:rsid w:val="1FA83694"/>
    <w:rsid w:val="1FCB60BF"/>
    <w:rsid w:val="20097125"/>
    <w:rsid w:val="201B3103"/>
    <w:rsid w:val="20250841"/>
    <w:rsid w:val="203B7E47"/>
    <w:rsid w:val="20816721"/>
    <w:rsid w:val="20935A34"/>
    <w:rsid w:val="20947775"/>
    <w:rsid w:val="20CB68DC"/>
    <w:rsid w:val="20E73D48"/>
    <w:rsid w:val="213A031C"/>
    <w:rsid w:val="21442F49"/>
    <w:rsid w:val="21976786"/>
    <w:rsid w:val="219A0DBB"/>
    <w:rsid w:val="21AB2FC8"/>
    <w:rsid w:val="21E5472C"/>
    <w:rsid w:val="22107AA5"/>
    <w:rsid w:val="22284219"/>
    <w:rsid w:val="223638FD"/>
    <w:rsid w:val="223C6316"/>
    <w:rsid w:val="227375B2"/>
    <w:rsid w:val="229E149E"/>
    <w:rsid w:val="22A57A2E"/>
    <w:rsid w:val="22B934C3"/>
    <w:rsid w:val="22F316B0"/>
    <w:rsid w:val="2329689A"/>
    <w:rsid w:val="233B65CE"/>
    <w:rsid w:val="234F5BD5"/>
    <w:rsid w:val="23977CA8"/>
    <w:rsid w:val="239B7879"/>
    <w:rsid w:val="23C44815"/>
    <w:rsid w:val="23C710C0"/>
    <w:rsid w:val="240F3CE2"/>
    <w:rsid w:val="24374FE7"/>
    <w:rsid w:val="244F7514"/>
    <w:rsid w:val="24B2466D"/>
    <w:rsid w:val="24C148B0"/>
    <w:rsid w:val="24D64172"/>
    <w:rsid w:val="24E16B6F"/>
    <w:rsid w:val="24F40A81"/>
    <w:rsid w:val="25007ACF"/>
    <w:rsid w:val="256F255E"/>
    <w:rsid w:val="25822292"/>
    <w:rsid w:val="25BA1768"/>
    <w:rsid w:val="25CA3B84"/>
    <w:rsid w:val="260F3EE8"/>
    <w:rsid w:val="26265313"/>
    <w:rsid w:val="262E36F4"/>
    <w:rsid w:val="26312D19"/>
    <w:rsid w:val="265F0334"/>
    <w:rsid w:val="26A10E3D"/>
    <w:rsid w:val="26E825C8"/>
    <w:rsid w:val="26FB22FC"/>
    <w:rsid w:val="272A0E33"/>
    <w:rsid w:val="27A961FC"/>
    <w:rsid w:val="27D8088F"/>
    <w:rsid w:val="27E17743"/>
    <w:rsid w:val="27FC27CF"/>
    <w:rsid w:val="280F57E8"/>
    <w:rsid w:val="28125B4F"/>
    <w:rsid w:val="28425D08"/>
    <w:rsid w:val="285C501C"/>
    <w:rsid w:val="287C56BE"/>
    <w:rsid w:val="28C86DD6"/>
    <w:rsid w:val="28CC03F4"/>
    <w:rsid w:val="28FF4425"/>
    <w:rsid w:val="29017971"/>
    <w:rsid w:val="29177195"/>
    <w:rsid w:val="29390F91"/>
    <w:rsid w:val="295B1778"/>
    <w:rsid w:val="29672968"/>
    <w:rsid w:val="29883BEF"/>
    <w:rsid w:val="298A5BB9"/>
    <w:rsid w:val="29A02082"/>
    <w:rsid w:val="29BA649E"/>
    <w:rsid w:val="29C37693"/>
    <w:rsid w:val="29D30566"/>
    <w:rsid w:val="29DF4157"/>
    <w:rsid w:val="29F574D6"/>
    <w:rsid w:val="2A310F21"/>
    <w:rsid w:val="2A8F58D5"/>
    <w:rsid w:val="2A952A67"/>
    <w:rsid w:val="2AD461A8"/>
    <w:rsid w:val="2AF7102C"/>
    <w:rsid w:val="2B367DA6"/>
    <w:rsid w:val="2B3B53BD"/>
    <w:rsid w:val="2B4329C2"/>
    <w:rsid w:val="2B4D4F30"/>
    <w:rsid w:val="2BD15D21"/>
    <w:rsid w:val="2BDF0FC6"/>
    <w:rsid w:val="2C083C71"/>
    <w:rsid w:val="2C1048AC"/>
    <w:rsid w:val="2C1A1476"/>
    <w:rsid w:val="2C2C73FB"/>
    <w:rsid w:val="2C365B84"/>
    <w:rsid w:val="2CC20116"/>
    <w:rsid w:val="2D8017AD"/>
    <w:rsid w:val="2DD11B41"/>
    <w:rsid w:val="2E0E500A"/>
    <w:rsid w:val="2E295745"/>
    <w:rsid w:val="2E492358"/>
    <w:rsid w:val="2E4B1DBB"/>
    <w:rsid w:val="2E5F5866"/>
    <w:rsid w:val="2E8C7464"/>
    <w:rsid w:val="2E953036"/>
    <w:rsid w:val="2EB711FE"/>
    <w:rsid w:val="2F0A3A24"/>
    <w:rsid w:val="2F3E36CD"/>
    <w:rsid w:val="2F3F2FA2"/>
    <w:rsid w:val="2F577816"/>
    <w:rsid w:val="2F6649D2"/>
    <w:rsid w:val="2F6A1DB5"/>
    <w:rsid w:val="2F7544C2"/>
    <w:rsid w:val="2FA74A2A"/>
    <w:rsid w:val="2FA86D99"/>
    <w:rsid w:val="2FB27C17"/>
    <w:rsid w:val="2FFB336C"/>
    <w:rsid w:val="301078EF"/>
    <w:rsid w:val="302947EB"/>
    <w:rsid w:val="302A5A00"/>
    <w:rsid w:val="306A22A0"/>
    <w:rsid w:val="307355F9"/>
    <w:rsid w:val="308B0B94"/>
    <w:rsid w:val="30AA743D"/>
    <w:rsid w:val="310C54A3"/>
    <w:rsid w:val="3126266B"/>
    <w:rsid w:val="31950407"/>
    <w:rsid w:val="31C61758"/>
    <w:rsid w:val="31E37C5F"/>
    <w:rsid w:val="31F167D5"/>
    <w:rsid w:val="32153C33"/>
    <w:rsid w:val="326F3B9E"/>
    <w:rsid w:val="32700042"/>
    <w:rsid w:val="32F6606D"/>
    <w:rsid w:val="33480024"/>
    <w:rsid w:val="335466F4"/>
    <w:rsid w:val="34000F51"/>
    <w:rsid w:val="342B12DF"/>
    <w:rsid w:val="343E1A7A"/>
    <w:rsid w:val="34503C55"/>
    <w:rsid w:val="34A57D4B"/>
    <w:rsid w:val="34C53F49"/>
    <w:rsid w:val="353B45DA"/>
    <w:rsid w:val="36054F45"/>
    <w:rsid w:val="36453593"/>
    <w:rsid w:val="36603F29"/>
    <w:rsid w:val="368C11C2"/>
    <w:rsid w:val="36963DEF"/>
    <w:rsid w:val="37A92245"/>
    <w:rsid w:val="37B3452D"/>
    <w:rsid w:val="37C4498C"/>
    <w:rsid w:val="3834566E"/>
    <w:rsid w:val="38412CF0"/>
    <w:rsid w:val="385555E4"/>
    <w:rsid w:val="3875059D"/>
    <w:rsid w:val="38A04AB1"/>
    <w:rsid w:val="38B13162"/>
    <w:rsid w:val="3902576C"/>
    <w:rsid w:val="390E4110"/>
    <w:rsid w:val="393C3D9C"/>
    <w:rsid w:val="396C111A"/>
    <w:rsid w:val="39D55D46"/>
    <w:rsid w:val="3A40479E"/>
    <w:rsid w:val="3A7D5BAE"/>
    <w:rsid w:val="3A810912"/>
    <w:rsid w:val="3A9717B8"/>
    <w:rsid w:val="3A995C5C"/>
    <w:rsid w:val="3AC23405"/>
    <w:rsid w:val="3B337E5E"/>
    <w:rsid w:val="3B3C0995"/>
    <w:rsid w:val="3B76481C"/>
    <w:rsid w:val="3BA65F3F"/>
    <w:rsid w:val="3BFA097C"/>
    <w:rsid w:val="3C093E5E"/>
    <w:rsid w:val="3C2854E9"/>
    <w:rsid w:val="3C3025F0"/>
    <w:rsid w:val="3C326368"/>
    <w:rsid w:val="3C4542ED"/>
    <w:rsid w:val="3C526A0A"/>
    <w:rsid w:val="3CA8662A"/>
    <w:rsid w:val="3CCB2319"/>
    <w:rsid w:val="3CD13DD3"/>
    <w:rsid w:val="3CF74EBC"/>
    <w:rsid w:val="3D121CF5"/>
    <w:rsid w:val="3D1B6DFC"/>
    <w:rsid w:val="3D3515F1"/>
    <w:rsid w:val="3D621F8B"/>
    <w:rsid w:val="3D670293"/>
    <w:rsid w:val="3D75621E"/>
    <w:rsid w:val="3D9372DA"/>
    <w:rsid w:val="3D9A1F38"/>
    <w:rsid w:val="3DAB63D2"/>
    <w:rsid w:val="3DC132D5"/>
    <w:rsid w:val="3DC456E6"/>
    <w:rsid w:val="3DE43692"/>
    <w:rsid w:val="3DE511B8"/>
    <w:rsid w:val="3DF67F84"/>
    <w:rsid w:val="3E210442"/>
    <w:rsid w:val="3E404D96"/>
    <w:rsid w:val="3E5D51F2"/>
    <w:rsid w:val="3E9A01F4"/>
    <w:rsid w:val="3EBA43F3"/>
    <w:rsid w:val="3EBB0897"/>
    <w:rsid w:val="3ED43706"/>
    <w:rsid w:val="3EE002FD"/>
    <w:rsid w:val="3EE32E3C"/>
    <w:rsid w:val="3EEF6792"/>
    <w:rsid w:val="3F161F71"/>
    <w:rsid w:val="3F3A3F3C"/>
    <w:rsid w:val="3F3E5FF1"/>
    <w:rsid w:val="3F520ACF"/>
    <w:rsid w:val="3FBD107E"/>
    <w:rsid w:val="3FEC4A80"/>
    <w:rsid w:val="3FFC6C4D"/>
    <w:rsid w:val="4031233A"/>
    <w:rsid w:val="40416B7A"/>
    <w:rsid w:val="405F48D3"/>
    <w:rsid w:val="406E36E7"/>
    <w:rsid w:val="40720BA9"/>
    <w:rsid w:val="407451A1"/>
    <w:rsid w:val="40864ED4"/>
    <w:rsid w:val="40C024EF"/>
    <w:rsid w:val="40EA4C6F"/>
    <w:rsid w:val="41111921"/>
    <w:rsid w:val="41161FAA"/>
    <w:rsid w:val="41344930"/>
    <w:rsid w:val="415D5C35"/>
    <w:rsid w:val="416C231C"/>
    <w:rsid w:val="41C91129"/>
    <w:rsid w:val="41DD28D2"/>
    <w:rsid w:val="41F63994"/>
    <w:rsid w:val="42022339"/>
    <w:rsid w:val="42024A2E"/>
    <w:rsid w:val="4214206C"/>
    <w:rsid w:val="42323768"/>
    <w:rsid w:val="424E557E"/>
    <w:rsid w:val="427D62F8"/>
    <w:rsid w:val="427E2307"/>
    <w:rsid w:val="427F607F"/>
    <w:rsid w:val="42A1213C"/>
    <w:rsid w:val="42BD6CF6"/>
    <w:rsid w:val="42DE16E9"/>
    <w:rsid w:val="42E076A6"/>
    <w:rsid w:val="43040332"/>
    <w:rsid w:val="43120CA1"/>
    <w:rsid w:val="435769DD"/>
    <w:rsid w:val="43792ACE"/>
    <w:rsid w:val="43943464"/>
    <w:rsid w:val="43A87A7C"/>
    <w:rsid w:val="43AC2EA4"/>
    <w:rsid w:val="43C33D49"/>
    <w:rsid w:val="43D45227"/>
    <w:rsid w:val="44093E52"/>
    <w:rsid w:val="442962A2"/>
    <w:rsid w:val="44337121"/>
    <w:rsid w:val="444B650B"/>
    <w:rsid w:val="446A2417"/>
    <w:rsid w:val="4489302D"/>
    <w:rsid w:val="44950AA5"/>
    <w:rsid w:val="44A41DCD"/>
    <w:rsid w:val="44A96EB8"/>
    <w:rsid w:val="44BC7116"/>
    <w:rsid w:val="44DC072C"/>
    <w:rsid w:val="452847AC"/>
    <w:rsid w:val="454D4212"/>
    <w:rsid w:val="457B4B5B"/>
    <w:rsid w:val="45927E77"/>
    <w:rsid w:val="45A81449"/>
    <w:rsid w:val="45B002FD"/>
    <w:rsid w:val="45CC15DB"/>
    <w:rsid w:val="45DE130F"/>
    <w:rsid w:val="46024FFD"/>
    <w:rsid w:val="46115240"/>
    <w:rsid w:val="46146ADE"/>
    <w:rsid w:val="46190447"/>
    <w:rsid w:val="46435FB5"/>
    <w:rsid w:val="467D0B27"/>
    <w:rsid w:val="46AE0CE1"/>
    <w:rsid w:val="46AE2FA6"/>
    <w:rsid w:val="46CE3131"/>
    <w:rsid w:val="46E64ADA"/>
    <w:rsid w:val="46EC54E6"/>
    <w:rsid w:val="472D50B5"/>
    <w:rsid w:val="47541888"/>
    <w:rsid w:val="476870E2"/>
    <w:rsid w:val="476D64A6"/>
    <w:rsid w:val="476E5BE8"/>
    <w:rsid w:val="479954ED"/>
    <w:rsid w:val="479C0FB2"/>
    <w:rsid w:val="47EC6126"/>
    <w:rsid w:val="47F22E4F"/>
    <w:rsid w:val="480A1F47"/>
    <w:rsid w:val="48174664"/>
    <w:rsid w:val="4884619D"/>
    <w:rsid w:val="48886157"/>
    <w:rsid w:val="488A12DA"/>
    <w:rsid w:val="48C7608A"/>
    <w:rsid w:val="48DD1946"/>
    <w:rsid w:val="48F04C46"/>
    <w:rsid w:val="48FD385A"/>
    <w:rsid w:val="49476478"/>
    <w:rsid w:val="494D3243"/>
    <w:rsid w:val="49520049"/>
    <w:rsid w:val="4956019F"/>
    <w:rsid w:val="4966471F"/>
    <w:rsid w:val="49884E58"/>
    <w:rsid w:val="498D5F2E"/>
    <w:rsid w:val="49BC7B8F"/>
    <w:rsid w:val="49C03205"/>
    <w:rsid w:val="4A3B6D2F"/>
    <w:rsid w:val="4A3D6B47"/>
    <w:rsid w:val="4A484FA8"/>
    <w:rsid w:val="4A597367"/>
    <w:rsid w:val="4A5C0173"/>
    <w:rsid w:val="4A6E5225"/>
    <w:rsid w:val="4A7D2EA4"/>
    <w:rsid w:val="4A9B340C"/>
    <w:rsid w:val="4AA85A47"/>
    <w:rsid w:val="4B1A7BD1"/>
    <w:rsid w:val="4B4E4840"/>
    <w:rsid w:val="4B5D4A84"/>
    <w:rsid w:val="4BA32DDE"/>
    <w:rsid w:val="4BA821A3"/>
    <w:rsid w:val="4BE8259F"/>
    <w:rsid w:val="4C03562B"/>
    <w:rsid w:val="4C7327B1"/>
    <w:rsid w:val="4CBA03DF"/>
    <w:rsid w:val="4D0A4797"/>
    <w:rsid w:val="4D6013DE"/>
    <w:rsid w:val="4D722A68"/>
    <w:rsid w:val="4DB36BDD"/>
    <w:rsid w:val="4DF249CF"/>
    <w:rsid w:val="4E4B2FDA"/>
    <w:rsid w:val="4E4F2DA9"/>
    <w:rsid w:val="4E971118"/>
    <w:rsid w:val="4EA330F5"/>
    <w:rsid w:val="4EC72940"/>
    <w:rsid w:val="4EC8796C"/>
    <w:rsid w:val="4EE302F0"/>
    <w:rsid w:val="4F251D5C"/>
    <w:rsid w:val="4F2558B8"/>
    <w:rsid w:val="4F587A3C"/>
    <w:rsid w:val="4F7D56F4"/>
    <w:rsid w:val="4F957F9B"/>
    <w:rsid w:val="4FAE1D52"/>
    <w:rsid w:val="500656EA"/>
    <w:rsid w:val="500A342C"/>
    <w:rsid w:val="501047BA"/>
    <w:rsid w:val="503264DF"/>
    <w:rsid w:val="50670742"/>
    <w:rsid w:val="506F14E1"/>
    <w:rsid w:val="50736BCF"/>
    <w:rsid w:val="5075461D"/>
    <w:rsid w:val="50930A77"/>
    <w:rsid w:val="50AD6D8B"/>
    <w:rsid w:val="50C35389"/>
    <w:rsid w:val="50CA2BBB"/>
    <w:rsid w:val="513F1A6B"/>
    <w:rsid w:val="517B2107"/>
    <w:rsid w:val="5196484B"/>
    <w:rsid w:val="51C31E52"/>
    <w:rsid w:val="51D00906"/>
    <w:rsid w:val="51E101BC"/>
    <w:rsid w:val="524349D3"/>
    <w:rsid w:val="5248765B"/>
    <w:rsid w:val="526F21C3"/>
    <w:rsid w:val="527460C2"/>
    <w:rsid w:val="52862B12"/>
    <w:rsid w:val="52943481"/>
    <w:rsid w:val="529E60AD"/>
    <w:rsid w:val="52B15DE1"/>
    <w:rsid w:val="52BF6D7B"/>
    <w:rsid w:val="52FA61D9"/>
    <w:rsid w:val="53265E90"/>
    <w:rsid w:val="53422EDD"/>
    <w:rsid w:val="53582700"/>
    <w:rsid w:val="5373753A"/>
    <w:rsid w:val="53BB4A3D"/>
    <w:rsid w:val="53C75E13"/>
    <w:rsid w:val="547277F2"/>
    <w:rsid w:val="548412D3"/>
    <w:rsid w:val="549C400B"/>
    <w:rsid w:val="54B20043"/>
    <w:rsid w:val="54CD2C7A"/>
    <w:rsid w:val="54E35E0B"/>
    <w:rsid w:val="54F2623D"/>
    <w:rsid w:val="55061CE8"/>
    <w:rsid w:val="55254864"/>
    <w:rsid w:val="554C1DE5"/>
    <w:rsid w:val="5579695E"/>
    <w:rsid w:val="55872E29"/>
    <w:rsid w:val="559F4616"/>
    <w:rsid w:val="55AE264A"/>
    <w:rsid w:val="55F52488"/>
    <w:rsid w:val="55F54236"/>
    <w:rsid w:val="560426CB"/>
    <w:rsid w:val="56177D3D"/>
    <w:rsid w:val="562E2C98"/>
    <w:rsid w:val="563551AF"/>
    <w:rsid w:val="56941CA1"/>
    <w:rsid w:val="56AB2B47"/>
    <w:rsid w:val="56CD51B3"/>
    <w:rsid w:val="56ED13B1"/>
    <w:rsid w:val="56F8211A"/>
    <w:rsid w:val="570404A9"/>
    <w:rsid w:val="57123B33"/>
    <w:rsid w:val="571903F8"/>
    <w:rsid w:val="571A1A7B"/>
    <w:rsid w:val="571B7CCD"/>
    <w:rsid w:val="57875362"/>
    <w:rsid w:val="57C809D7"/>
    <w:rsid w:val="57EE53E1"/>
    <w:rsid w:val="57F16C7F"/>
    <w:rsid w:val="583E5C4A"/>
    <w:rsid w:val="58464906"/>
    <w:rsid w:val="58564D34"/>
    <w:rsid w:val="585919D3"/>
    <w:rsid w:val="585F008D"/>
    <w:rsid w:val="58704048"/>
    <w:rsid w:val="58896C6A"/>
    <w:rsid w:val="58C46142"/>
    <w:rsid w:val="58DA7713"/>
    <w:rsid w:val="58EA204C"/>
    <w:rsid w:val="5996076E"/>
    <w:rsid w:val="599C0E6D"/>
    <w:rsid w:val="59AD4E28"/>
    <w:rsid w:val="59E7658C"/>
    <w:rsid w:val="5A393537"/>
    <w:rsid w:val="5A6215EA"/>
    <w:rsid w:val="5AA1498D"/>
    <w:rsid w:val="5AA61FA3"/>
    <w:rsid w:val="5AA8711E"/>
    <w:rsid w:val="5AAB12D4"/>
    <w:rsid w:val="5ACB7C5C"/>
    <w:rsid w:val="5AE1122D"/>
    <w:rsid w:val="5AE12FDB"/>
    <w:rsid w:val="5AFE1DDF"/>
    <w:rsid w:val="5B157129"/>
    <w:rsid w:val="5BB24978"/>
    <w:rsid w:val="5BCB17D5"/>
    <w:rsid w:val="5C190553"/>
    <w:rsid w:val="5C272C70"/>
    <w:rsid w:val="5C442B1B"/>
    <w:rsid w:val="5C8956D8"/>
    <w:rsid w:val="5CB70498"/>
    <w:rsid w:val="5CBD5382"/>
    <w:rsid w:val="5CCD4132"/>
    <w:rsid w:val="5CF300B5"/>
    <w:rsid w:val="5D192F00"/>
    <w:rsid w:val="5D1D22C5"/>
    <w:rsid w:val="5D327B1E"/>
    <w:rsid w:val="5D5F28DD"/>
    <w:rsid w:val="5D605B9F"/>
    <w:rsid w:val="5D6A375C"/>
    <w:rsid w:val="5D755C5D"/>
    <w:rsid w:val="5D79574D"/>
    <w:rsid w:val="5D7E2D63"/>
    <w:rsid w:val="5D9C58DF"/>
    <w:rsid w:val="5DB524FD"/>
    <w:rsid w:val="5DBA5079"/>
    <w:rsid w:val="5DE84681"/>
    <w:rsid w:val="5E2468B5"/>
    <w:rsid w:val="5E2A4C99"/>
    <w:rsid w:val="5E453881"/>
    <w:rsid w:val="5E5E2B95"/>
    <w:rsid w:val="5EBD1C54"/>
    <w:rsid w:val="5EEA61D6"/>
    <w:rsid w:val="5EEC1F4F"/>
    <w:rsid w:val="5F0D0843"/>
    <w:rsid w:val="5F950838"/>
    <w:rsid w:val="5FAD7930"/>
    <w:rsid w:val="5FFD4992"/>
    <w:rsid w:val="600A4D82"/>
    <w:rsid w:val="605B55DE"/>
    <w:rsid w:val="60A8690D"/>
    <w:rsid w:val="60AF76D8"/>
    <w:rsid w:val="60D158A0"/>
    <w:rsid w:val="60DF34A5"/>
    <w:rsid w:val="60F70150"/>
    <w:rsid w:val="60F90953"/>
    <w:rsid w:val="611F2AAF"/>
    <w:rsid w:val="617F1784"/>
    <w:rsid w:val="618E393A"/>
    <w:rsid w:val="624A137C"/>
    <w:rsid w:val="624D53FA"/>
    <w:rsid w:val="628232F6"/>
    <w:rsid w:val="628A21AA"/>
    <w:rsid w:val="628C5F22"/>
    <w:rsid w:val="62B07FC8"/>
    <w:rsid w:val="62F74DD5"/>
    <w:rsid w:val="62FE344F"/>
    <w:rsid w:val="63554566"/>
    <w:rsid w:val="635D1376"/>
    <w:rsid w:val="637F5049"/>
    <w:rsid w:val="63C33BC6"/>
    <w:rsid w:val="63FE792B"/>
    <w:rsid w:val="642A59F3"/>
    <w:rsid w:val="64370110"/>
    <w:rsid w:val="643B7C00"/>
    <w:rsid w:val="64833355"/>
    <w:rsid w:val="64915201"/>
    <w:rsid w:val="64970BAF"/>
    <w:rsid w:val="64AA6B34"/>
    <w:rsid w:val="64B8123A"/>
    <w:rsid w:val="64B82FFF"/>
    <w:rsid w:val="64FB113D"/>
    <w:rsid w:val="65363F24"/>
    <w:rsid w:val="65622F6B"/>
    <w:rsid w:val="65640A91"/>
    <w:rsid w:val="6569254B"/>
    <w:rsid w:val="659D21F5"/>
    <w:rsid w:val="65A90B99"/>
    <w:rsid w:val="65C07406"/>
    <w:rsid w:val="65C90E30"/>
    <w:rsid w:val="66150ABF"/>
    <w:rsid w:val="6635242D"/>
    <w:rsid w:val="6659436D"/>
    <w:rsid w:val="666377CE"/>
    <w:rsid w:val="6680057E"/>
    <w:rsid w:val="66A650D9"/>
    <w:rsid w:val="66D96719"/>
    <w:rsid w:val="66F2031E"/>
    <w:rsid w:val="671505CA"/>
    <w:rsid w:val="6740552D"/>
    <w:rsid w:val="678C0773"/>
    <w:rsid w:val="67C021CA"/>
    <w:rsid w:val="67F33B77"/>
    <w:rsid w:val="681A544A"/>
    <w:rsid w:val="683508F8"/>
    <w:rsid w:val="683F3E05"/>
    <w:rsid w:val="684150B9"/>
    <w:rsid w:val="6842639B"/>
    <w:rsid w:val="68582403"/>
    <w:rsid w:val="685A68BE"/>
    <w:rsid w:val="68A46A0F"/>
    <w:rsid w:val="68A613C0"/>
    <w:rsid w:val="68AA5354"/>
    <w:rsid w:val="68B47F81"/>
    <w:rsid w:val="68BC0BE4"/>
    <w:rsid w:val="68C61A62"/>
    <w:rsid w:val="68D66149"/>
    <w:rsid w:val="68DF65D9"/>
    <w:rsid w:val="690031C6"/>
    <w:rsid w:val="69132EFA"/>
    <w:rsid w:val="69313380"/>
    <w:rsid w:val="69610A45"/>
    <w:rsid w:val="69847953"/>
    <w:rsid w:val="69923B49"/>
    <w:rsid w:val="69A078F7"/>
    <w:rsid w:val="6A197BB4"/>
    <w:rsid w:val="6A507239"/>
    <w:rsid w:val="6A8C3A84"/>
    <w:rsid w:val="6A9A4F55"/>
    <w:rsid w:val="6AB05BF0"/>
    <w:rsid w:val="6AB26742"/>
    <w:rsid w:val="6B2C222E"/>
    <w:rsid w:val="6B347F11"/>
    <w:rsid w:val="6B685053"/>
    <w:rsid w:val="6B80239C"/>
    <w:rsid w:val="6BA86BDC"/>
    <w:rsid w:val="6BD415E4"/>
    <w:rsid w:val="6BFD39ED"/>
    <w:rsid w:val="6C5C6966"/>
    <w:rsid w:val="6C951461"/>
    <w:rsid w:val="6C9F2CF6"/>
    <w:rsid w:val="6D013069"/>
    <w:rsid w:val="6D021C79"/>
    <w:rsid w:val="6D1A412B"/>
    <w:rsid w:val="6D54763D"/>
    <w:rsid w:val="6D7B2170"/>
    <w:rsid w:val="6DB602F7"/>
    <w:rsid w:val="6DB74BDD"/>
    <w:rsid w:val="6DBD1686"/>
    <w:rsid w:val="6DCE5641"/>
    <w:rsid w:val="6DE9247B"/>
    <w:rsid w:val="6E1A24E3"/>
    <w:rsid w:val="6E386F5E"/>
    <w:rsid w:val="6EF72976"/>
    <w:rsid w:val="6F4162E7"/>
    <w:rsid w:val="6F5C0A2B"/>
    <w:rsid w:val="6F885CC3"/>
    <w:rsid w:val="701557A9"/>
    <w:rsid w:val="702459EC"/>
    <w:rsid w:val="705F07D2"/>
    <w:rsid w:val="7075449A"/>
    <w:rsid w:val="70790109"/>
    <w:rsid w:val="70B54896"/>
    <w:rsid w:val="70D43D18"/>
    <w:rsid w:val="70E4517B"/>
    <w:rsid w:val="70E6147E"/>
    <w:rsid w:val="716167CC"/>
    <w:rsid w:val="71BA5096"/>
    <w:rsid w:val="71F25676"/>
    <w:rsid w:val="720158B9"/>
    <w:rsid w:val="720727EC"/>
    <w:rsid w:val="72255A4C"/>
    <w:rsid w:val="722C13C8"/>
    <w:rsid w:val="72E6342D"/>
    <w:rsid w:val="732F6C9F"/>
    <w:rsid w:val="73AD5303"/>
    <w:rsid w:val="74132636"/>
    <w:rsid w:val="74526698"/>
    <w:rsid w:val="74821602"/>
    <w:rsid w:val="74BD01BD"/>
    <w:rsid w:val="74CF0067"/>
    <w:rsid w:val="750202C6"/>
    <w:rsid w:val="75157FF9"/>
    <w:rsid w:val="751F49D4"/>
    <w:rsid w:val="7557416E"/>
    <w:rsid w:val="756D1BE3"/>
    <w:rsid w:val="758D193E"/>
    <w:rsid w:val="7597634D"/>
    <w:rsid w:val="75C612F4"/>
    <w:rsid w:val="75DA08FB"/>
    <w:rsid w:val="7601232C"/>
    <w:rsid w:val="76B42C22"/>
    <w:rsid w:val="76BD299F"/>
    <w:rsid w:val="76CD020A"/>
    <w:rsid w:val="771A3742"/>
    <w:rsid w:val="774921DC"/>
    <w:rsid w:val="77685F9B"/>
    <w:rsid w:val="777A1683"/>
    <w:rsid w:val="77972F48"/>
    <w:rsid w:val="77F959B0"/>
    <w:rsid w:val="7851759A"/>
    <w:rsid w:val="787B63C5"/>
    <w:rsid w:val="788914E7"/>
    <w:rsid w:val="788F00C3"/>
    <w:rsid w:val="78C55892"/>
    <w:rsid w:val="793842B6"/>
    <w:rsid w:val="79445D02"/>
    <w:rsid w:val="797C0647"/>
    <w:rsid w:val="7992235B"/>
    <w:rsid w:val="79DC7338"/>
    <w:rsid w:val="79E63D12"/>
    <w:rsid w:val="7A1C7585"/>
    <w:rsid w:val="7A3233B8"/>
    <w:rsid w:val="7A3B22B0"/>
    <w:rsid w:val="7ABF4168"/>
    <w:rsid w:val="7ADB4981"/>
    <w:rsid w:val="7B3B008E"/>
    <w:rsid w:val="7B503B39"/>
    <w:rsid w:val="7B542EFE"/>
    <w:rsid w:val="7B75534E"/>
    <w:rsid w:val="7B762E74"/>
    <w:rsid w:val="7B9A23C6"/>
    <w:rsid w:val="7BB57E40"/>
    <w:rsid w:val="7BD126C5"/>
    <w:rsid w:val="7BD76009"/>
    <w:rsid w:val="7C155914"/>
    <w:rsid w:val="7C232FFC"/>
    <w:rsid w:val="7C3331A0"/>
    <w:rsid w:val="7C6D24C9"/>
    <w:rsid w:val="7C8D1E6C"/>
    <w:rsid w:val="7CE56503"/>
    <w:rsid w:val="7CF6426C"/>
    <w:rsid w:val="7CF77FE5"/>
    <w:rsid w:val="7D1F45B8"/>
    <w:rsid w:val="7D31799A"/>
    <w:rsid w:val="7D342FE7"/>
    <w:rsid w:val="7D4937F0"/>
    <w:rsid w:val="7DCC321F"/>
    <w:rsid w:val="7DD81BC4"/>
    <w:rsid w:val="7DE320FB"/>
    <w:rsid w:val="7DE81763"/>
    <w:rsid w:val="7DEA77B6"/>
    <w:rsid w:val="7E2951C8"/>
    <w:rsid w:val="7E2C3CBE"/>
    <w:rsid w:val="7E590F57"/>
    <w:rsid w:val="7E7A39CC"/>
    <w:rsid w:val="7E835FD4"/>
    <w:rsid w:val="7ED65D6E"/>
    <w:rsid w:val="7EE66563"/>
    <w:rsid w:val="7F58792B"/>
    <w:rsid w:val="7F630123"/>
    <w:rsid w:val="7FA206DC"/>
    <w:rsid w:val="7FC27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line="360" w:lineRule="auto"/>
      <w:outlineLvl w:val="0"/>
    </w:pPr>
    <w:rPr>
      <w:rFonts w:eastAsia="黑体"/>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qFormat/>
    <w:uiPriority w:val="0"/>
    <w:pPr>
      <w:keepNext/>
      <w:keepLines/>
      <w:widowControl/>
      <w:adjustRightInd/>
      <w:spacing w:before="120" w:beforeLines="0" w:after="120" w:afterLines="0" w:line="360" w:lineRule="auto"/>
      <w:textAlignment w:val="auto"/>
      <w:outlineLvl w:val="3"/>
    </w:pPr>
    <w:rPr>
      <w:rFonts w:ascii="Arial" w:hAnsi="Arial" w:eastAsia="黑体"/>
      <w:b/>
      <w:sz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7">
    <w:name w:val="index 8"/>
    <w:basedOn w:val="1"/>
    <w:next w:val="1"/>
    <w:unhideWhenUsed/>
    <w:qFormat/>
    <w:uiPriority w:val="0"/>
    <w:pPr>
      <w:ind w:left="2940"/>
    </w:pPr>
  </w:style>
  <w:style w:type="paragraph" w:styleId="8">
    <w:name w:val="Normal Indent"/>
    <w:basedOn w:val="1"/>
    <w:qFormat/>
    <w:uiPriority w:val="0"/>
    <w:pPr>
      <w:ind w:firstLine="420"/>
    </w:pPr>
    <w:rPr>
      <w:szCs w:val="20"/>
    </w:rPr>
  </w:style>
  <w:style w:type="paragraph" w:styleId="9">
    <w:name w:val="Body Text"/>
    <w:basedOn w:val="1"/>
    <w:next w:val="1"/>
    <w:unhideWhenUsed/>
    <w:qFormat/>
    <w:uiPriority w:val="99"/>
    <w:pPr>
      <w:spacing w:after="120"/>
    </w:p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customStyle="1" w:styleId="11">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2">
    <w:name w:val="toc 5"/>
    <w:basedOn w:val="1"/>
    <w:next w:val="1"/>
    <w:unhideWhenUsed/>
    <w:qFormat/>
    <w:uiPriority w:val="0"/>
    <w:pPr>
      <w:ind w:left="840"/>
      <w:jc w:val="left"/>
    </w:pPr>
    <w:rPr>
      <w:rFonts w:ascii="Calibri" w:hAnsi="Calibri"/>
      <w:sz w:val="18"/>
      <w:szCs w:val="18"/>
    </w:rPr>
  </w:style>
  <w:style w:type="paragraph" w:styleId="13">
    <w:name w:val="toc 3"/>
    <w:basedOn w:val="1"/>
    <w:next w:val="1"/>
    <w:qFormat/>
    <w:uiPriority w:val="0"/>
    <w:pPr>
      <w:ind w:left="840" w:leftChars="400"/>
    </w:pPr>
  </w:style>
  <w:style w:type="paragraph" w:styleId="14">
    <w:name w:val="Plain Text"/>
    <w:basedOn w:val="1"/>
    <w:next w:val="7"/>
    <w:qFormat/>
    <w:uiPriority w:val="0"/>
    <w:rPr>
      <w:rFonts w:ascii="宋体" w:hAnsi="Courier New"/>
      <w:kern w:val="0"/>
      <w:sz w:val="20"/>
      <w:szCs w:val="21"/>
    </w:rPr>
  </w:style>
  <w:style w:type="paragraph" w:styleId="15">
    <w:name w:val="Body Text Indent 2"/>
    <w:basedOn w:val="1"/>
    <w:qFormat/>
    <w:uiPriority w:val="0"/>
    <w:pPr>
      <w:ind w:firstLine="630"/>
    </w:pPr>
    <w:rPr>
      <w:kern w:val="0"/>
      <w:sz w:val="32"/>
      <w:szCs w:val="20"/>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0"/>
    <w:pPr>
      <w:snapToGrid w:val="0"/>
    </w:pPr>
    <w:rPr>
      <w:rFonts w:ascii="Arial" w:hAnsi="Arial"/>
      <w:sz w:val="21"/>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360" w:lineRule="auto"/>
    </w:pPr>
    <w:rPr>
      <w:rFonts w:ascii="Arial" w:hAnsi="Arial" w:eastAsia="Arial"/>
      <w:sz w:val="28"/>
    </w:rPr>
  </w:style>
  <w:style w:type="paragraph" w:styleId="20">
    <w:name w:val="toc 2"/>
    <w:basedOn w:val="1"/>
    <w:next w:val="1"/>
    <w:qFormat/>
    <w:uiPriority w:val="0"/>
    <w:pPr>
      <w:spacing w:line="360" w:lineRule="auto"/>
      <w:ind w:left="420" w:leftChars="200"/>
    </w:pPr>
    <w:rPr>
      <w:rFonts w:ascii="Arial" w:hAnsi="Arial" w:eastAsia="Arial"/>
      <w:sz w:val="28"/>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Body Text First Indent"/>
    <w:basedOn w:val="9"/>
    <w:next w:val="1"/>
    <w:qFormat/>
    <w:uiPriority w:val="0"/>
    <w:pPr>
      <w:spacing w:after="120" w:line="240" w:lineRule="auto"/>
      <w:ind w:firstLine="420" w:firstLineChars="100"/>
    </w:pPr>
  </w:style>
  <w:style w:type="paragraph" w:styleId="24">
    <w:name w:val="Body Text First Indent 2"/>
    <w:basedOn w:val="10"/>
    <w:next w:val="1"/>
    <w:qFormat/>
    <w:uiPriority w:val="0"/>
    <w:pPr>
      <w:spacing w:after="120"/>
      <w:ind w:left="420" w:leftChars="200" w:firstLine="420" w:firstLineChars="200"/>
    </w:pPr>
    <w:rPr>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qFormat/>
    <w:uiPriority w:val="0"/>
    <w:rPr>
      <w:color w:val="0000FF"/>
      <w:u w:val="single"/>
    </w:rPr>
  </w:style>
  <w:style w:type="paragraph" w:customStyle="1" w:styleId="29">
    <w:name w:val="_Style 50"/>
    <w:basedOn w:val="1"/>
    <w:next w:val="22"/>
    <w:qFormat/>
    <w:uiPriority w:val="0"/>
    <w:pPr>
      <w:widowControl/>
      <w:adjustRightInd/>
      <w:spacing w:before="100" w:beforeAutospacing="1" w:after="100" w:afterAutospacing="1"/>
    </w:pPr>
    <w:rPr>
      <w:rFonts w:ascii="宋体" w:hAnsi="宋体"/>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p17"/>
    <w:basedOn w:val="1"/>
    <w:qFormat/>
    <w:uiPriority w:val="0"/>
    <w:pPr>
      <w:widowControl/>
      <w:spacing w:line="360" w:lineRule="exact"/>
    </w:pPr>
    <w:rPr>
      <w:rFonts w:ascii="宋体" w:hAnsi="宋体" w:eastAsia="等线" w:cs="宋体"/>
      <w:kern w:val="0"/>
      <w:szCs w:val="21"/>
    </w:rPr>
  </w:style>
  <w:style w:type="paragraph" w:customStyle="1" w:styleId="32">
    <w:name w:val="p0"/>
    <w:basedOn w:val="1"/>
    <w:qFormat/>
    <w:uiPriority w:val="0"/>
    <w:pPr>
      <w:widowControl/>
      <w:spacing w:line="360" w:lineRule="exact"/>
    </w:pPr>
    <w:rPr>
      <w:rFonts w:ascii="Times New Roman" w:hAnsi="Times New Roman"/>
      <w:kern w:val="0"/>
      <w:szCs w:val="21"/>
    </w:rPr>
  </w:style>
  <w:style w:type="paragraph" w:customStyle="1" w:styleId="33">
    <w:name w:val="Table Text"/>
    <w:basedOn w:val="1"/>
    <w:unhideWhenUsed/>
    <w:qFormat/>
    <w:uiPriority w:val="0"/>
    <w:rPr>
      <w:rFonts w:hint="eastAsia" w:ascii="宋体" w:hAnsi="宋体" w:cs="宋体"/>
      <w:sz w:val="20"/>
      <w:szCs w:val="20"/>
    </w:rPr>
  </w:style>
  <w:style w:type="paragraph" w:customStyle="1" w:styleId="34">
    <w:name w:val="正文_0_0_0"/>
    <w:basedOn w:val="35"/>
    <w:qFormat/>
    <w:uiPriority w:val="0"/>
  </w:style>
  <w:style w:type="paragraph" w:customStyle="1" w:styleId="35">
    <w:name w:val="正文_1_0"/>
    <w:basedOn w:val="36"/>
    <w:qFormat/>
    <w:uiPriority w:val="0"/>
    <w:rPr>
      <w:rFonts w:ascii="Calibri" w:hAnsi="Calibri" w:cs="宋体"/>
    </w:rPr>
  </w:style>
  <w:style w:type="paragraph" w:customStyle="1" w:styleId="36">
    <w:name w:val="正文_0_1"/>
    <w:basedOn w:val="37"/>
    <w:qFormat/>
    <w:uiPriority w:val="0"/>
  </w:style>
  <w:style w:type="paragraph" w:customStyle="1" w:styleId="37">
    <w:name w:val="正文_1"/>
    <w:basedOn w:val="38"/>
    <w:qFormat/>
    <w:uiPriority w:val="0"/>
  </w:style>
  <w:style w:type="paragraph" w:customStyle="1" w:styleId="38">
    <w:name w:val="正文_0_2"/>
    <w:basedOn w:val="39"/>
    <w:qFormat/>
    <w:uiPriority w:val="0"/>
  </w:style>
  <w:style w:type="paragraph" w:customStyle="1" w:styleId="39">
    <w:name w:val="正文_0_3"/>
    <w:basedOn w:val="40"/>
    <w:qFormat/>
    <w:uiPriority w:val="0"/>
    <w:rPr>
      <w:szCs w:val="21"/>
    </w:rPr>
  </w:style>
  <w:style w:type="paragraph" w:customStyle="1" w:styleId="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15"/>
    <w:qFormat/>
    <w:uiPriority w:val="0"/>
    <w:rPr>
      <w:rFonts w:hint="default" w:ascii="Times New Roman" w:hAnsi="Times New Roman" w:cs="Times New Roman"/>
    </w:rPr>
  </w:style>
  <w:style w:type="character" w:customStyle="1" w:styleId="42">
    <w:name w:val="16"/>
    <w:qFormat/>
    <w:uiPriority w:val="0"/>
    <w:rPr>
      <w:rFonts w:hint="default" w:ascii="Times New Roman" w:hAnsi="Times New Roman" w:cs="Times New Roman"/>
    </w:rPr>
  </w:style>
  <w:style w:type="paragraph" w:customStyle="1" w:styleId="43">
    <w:name w:val="正文_0_0_0_0"/>
    <w:basedOn w:val="35"/>
    <w:qFormat/>
    <w:uiPriority w:val="0"/>
  </w:style>
  <w:style w:type="character" w:customStyle="1" w:styleId="44">
    <w:name w:val="10"/>
    <w:qFormat/>
    <w:uiPriority w:val="0"/>
    <w:rPr>
      <w:rFonts w:hint="default" w:ascii="Times New Roman" w:hAnsi="Times New Roman" w:cs="Times New Roman"/>
    </w:rPr>
  </w:style>
  <w:style w:type="paragraph" w:customStyle="1" w:styleId="45">
    <w:name w:val="Normal_0"/>
    <w:basedOn w:val="36"/>
    <w:qFormat/>
    <w:uiPriority w:val="0"/>
    <w:pPr>
      <w:widowControl/>
    </w:pPr>
  </w:style>
  <w:style w:type="paragraph" w:customStyle="1" w:styleId="46">
    <w:name w:val="Table Paragraph"/>
    <w:basedOn w:val="1"/>
    <w:qFormat/>
    <w:uiPriority w:val="1"/>
    <w:rPr>
      <w:rFonts w:ascii="仿宋" w:hAnsi="仿宋" w:eastAsia="仿宋" w:cs="仿宋"/>
      <w:lang w:val="zh-CN" w:bidi="zh-CN"/>
    </w:rPr>
  </w:style>
  <w:style w:type="paragraph" w:customStyle="1" w:styleId="47">
    <w:name w:val="正文_0_0"/>
    <w:basedOn w:val="40"/>
    <w:qFormat/>
    <w:uiPriority w:val="0"/>
  </w:style>
  <w:style w:type="paragraph" w:customStyle="1" w:styleId="48">
    <w:name w:val="无间隔_0"/>
    <w:basedOn w:val="37"/>
    <w:qFormat/>
    <w:uiPriority w:val="0"/>
    <w:rPr>
      <w:rFonts w:ascii="Calibri" w:hAnsi="Calibri" w:cs="宋体"/>
    </w:rPr>
  </w:style>
  <w:style w:type="character" w:customStyle="1" w:styleId="49">
    <w:name w:val="18"/>
    <w:qFormat/>
    <w:uiPriority w:val="0"/>
    <w:rPr>
      <w:rFonts w:hint="default" w:ascii="Times New Roman" w:hAnsi="Times New Roman" w:cs="Times New Roman"/>
    </w:rPr>
  </w:style>
  <w:style w:type="paragraph" w:customStyle="1" w:styleId="50">
    <w:name w:val="表格文字"/>
    <w:basedOn w:val="1"/>
    <w:qFormat/>
    <w:uiPriority w:val="0"/>
    <w:pPr>
      <w:jc w:val="left"/>
    </w:pPr>
    <w:rPr>
      <w:rFonts w:ascii="Calibri" w:hAnsi="Calibri"/>
      <w:bCs/>
      <w:spacing w:val="10"/>
      <w:kern w:val="0"/>
      <w:sz w:val="24"/>
    </w:rPr>
  </w:style>
  <w:style w:type="paragraph" w:customStyle="1" w:styleId="5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3"/>
    <w:basedOn w:val="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7"/>
    <w:basedOn w:val="55"/>
    <w:qFormat/>
    <w:uiPriority w:val="0"/>
  </w:style>
  <w:style w:type="paragraph" w:customStyle="1" w:styleId="55">
    <w:name w:val="正文_8"/>
    <w:basedOn w:val="56"/>
    <w:qFormat/>
    <w:uiPriority w:val="0"/>
    <w:rPr>
      <w:rFonts w:ascii="Calibri" w:hAnsi="Calibri"/>
    </w:rPr>
  </w:style>
  <w:style w:type="paragraph" w:customStyle="1" w:styleId="56">
    <w:name w:val="正文_9"/>
    <w:basedOn w:val="57"/>
    <w:qFormat/>
    <w:uiPriority w:val="0"/>
    <w:rPr>
      <w:rFonts w:cs="宋体"/>
      <w:szCs w:val="21"/>
    </w:rPr>
  </w:style>
  <w:style w:type="paragraph" w:customStyle="1" w:styleId="5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索引标题_0"/>
    <w:basedOn w:val="53"/>
    <w:next w:val="59"/>
    <w:qFormat/>
    <w:uiPriority w:val="0"/>
    <w:rPr>
      <w:rFonts w:ascii="Times New Roman" w:hAnsi="Times New Roman"/>
      <w:szCs w:val="20"/>
    </w:rPr>
  </w:style>
  <w:style w:type="paragraph" w:customStyle="1" w:styleId="59">
    <w:name w:val="索引 1_0"/>
    <w:basedOn w:val="53"/>
    <w:next w:val="53"/>
    <w:unhideWhenUsed/>
    <w:qFormat/>
    <w:uiPriority w:val="0"/>
  </w:style>
  <w:style w:type="paragraph" w:customStyle="1" w:styleId="60">
    <w:name w:val="纯文本_1"/>
    <w:basedOn w:val="53"/>
    <w:next w:val="53"/>
    <w:qFormat/>
    <w:uiPriority w:val="0"/>
    <w:rPr>
      <w:rFonts w:ascii="宋体" w:hAnsi="Courier New" w:cs="Courier New"/>
      <w:szCs w:val="21"/>
    </w:rPr>
  </w:style>
  <w:style w:type="paragraph" w:customStyle="1" w:styleId="61">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无间隔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
    <w:basedOn w:val="53"/>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页脚_1"/>
    <w:basedOn w:val="63"/>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4369</Words>
  <Characters>5011</Characters>
  <TotalTime>8</TotalTime>
  <ScaleCrop>false</ScaleCrop>
  <LinksUpToDate>false</LinksUpToDate>
  <CharactersWithSpaces>5150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2023-04-19T17:54:00Z</dcterms:created>
  <dc:creator>L600-03R</dc:creator>
  <cp:lastModifiedBy>5升大可乐</cp:lastModifiedBy>
  <cp:lastPrinted>2024-08-25T08:28:00Z</cp:lastPrinted>
  <dcterms:modified xsi:type="dcterms:W3CDTF">2025-10-16T01:21:51Z</dcterms:modified>
  <dc:title>广西德元工程项目管理有限责任公司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2023-05-16T21:40:04Z</vt:filetime>
  </property>
  <property fmtid="{D5CDD505-2E9C-101B-9397-08002B2CF9AE}" pid="4" name="KSOProductBuildVer">
    <vt:lpwstr>2052-12.1.0.23125</vt:lpwstr>
  </property>
  <property fmtid="{D5CDD505-2E9C-101B-9397-08002B2CF9AE}" pid="5" name="ICV">
    <vt:lpwstr>F77F36962F564517A45FC3D6A424CB80_13</vt:lpwstr>
  </property>
  <property fmtid="{D5CDD505-2E9C-101B-9397-08002B2CF9AE}" pid="6" name="KSOTemplateDocerSaveRecord">
    <vt:lpwstr>eyJoZGlkIjoiNTY2ZDVkMzYyYWE0ODAyMzU4MDg0MzJhZjQwNmE5MjUiLCJ1c2VySWQiOiIyMDU0NTQ0NjYifQ==</vt:lpwstr>
  </property>
</Properties>
</file>