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auto"/>
        <w:rPr>
          <w:rFonts w:hint="eastAsia" w:ascii="华文新魏" w:eastAsia="华文新魏"/>
          <w:b/>
          <w:bCs/>
          <w:spacing w:val="80"/>
          <w:sz w:val="64"/>
          <w:highlight w:val="none"/>
        </w:rPr>
      </w:pPr>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auto"/>
        <w:outlineLvl w:val="0"/>
        <w:rPr>
          <w:rFonts w:hint="eastAsia" w:ascii="宋体" w:hAnsi="宋体" w:eastAsia="宋体" w:cs="Times New Roman"/>
          <w:b/>
          <w:bCs/>
          <w:kern w:val="0"/>
          <w:sz w:val="60"/>
          <w:szCs w:val="60"/>
          <w:highlight w:val="none"/>
          <w:lang w:eastAsia="zh-CN"/>
        </w:rPr>
      </w:pPr>
      <w:bookmarkStart w:id="0" w:name="_Toc22387"/>
      <w:r>
        <w:rPr>
          <w:rFonts w:hint="eastAsia" w:ascii="宋体" w:hAnsi="宋体" w:eastAsia="宋体" w:cs="Times New Roman"/>
          <w:b/>
          <w:bCs/>
          <w:kern w:val="0"/>
          <w:sz w:val="60"/>
          <w:szCs w:val="60"/>
          <w:highlight w:val="none"/>
          <w:lang w:eastAsia="zh-CN"/>
        </w:rPr>
        <w:t>广西江之源项目管理有限公司</w:t>
      </w:r>
      <w:bookmarkEnd w:id="0"/>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auto"/>
        <w:rPr>
          <w:rFonts w:hint="eastAsia" w:ascii="文鼎中隶简" w:eastAsia="文鼎中隶简"/>
          <w:sz w:val="52"/>
          <w:highlight w:val="none"/>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eastAsia="宋体"/>
          <w:highlight w:val="none"/>
          <w:lang w:eastAsia="zh-CN"/>
        </w:rPr>
      </w:pPr>
      <w:r>
        <w:rPr>
          <w:rFonts w:hint="eastAsia" w:ascii="文鼎中隶简" w:hAnsi="Times New Roman" w:eastAsia="文鼎中隶简" w:cs="Times New Roman"/>
          <w:sz w:val="52"/>
          <w:highlight w:val="none"/>
        </w:rPr>
        <w:cr/>
      </w:r>
      <w:r>
        <w:rPr>
          <w:rFonts w:hint="eastAsia"/>
          <w:sz w:val="72"/>
          <w:highlight w:val="none"/>
        </w:rPr>
        <w:cr/>
      </w:r>
      <w:r>
        <w:rPr>
          <w:rFonts w:hint="eastAsia" w:ascii="宋体" w:hAnsi="宋体" w:cs="宋体"/>
          <w:b/>
          <w:spacing w:val="60"/>
          <w:sz w:val="112"/>
          <w:szCs w:val="112"/>
          <w:highlight w:val="none"/>
        </w:rPr>
        <w:t>招标文件</w:t>
      </w:r>
    </w:p>
    <w:p>
      <w:pPr>
        <w:keepNext w:val="0"/>
        <w:keepLines w:val="0"/>
        <w:pageBreakBefore w:val="0"/>
        <w:widowControl w:val="0"/>
        <w:kinsoku/>
        <w:wordWrap/>
        <w:overflowPunct/>
        <w:topLinePunct w:val="0"/>
        <w:autoSpaceDE/>
        <w:autoSpaceDN/>
        <w:bidi w:val="0"/>
        <w:snapToGrid/>
        <w:ind w:left="0" w:right="0" w:firstLine="0" w:firstLineChars="0"/>
        <w:jc w:val="both"/>
        <w:rPr>
          <w:rFonts w:hint="eastAsia"/>
          <w:highlight w:val="none"/>
        </w:rPr>
      </w:pPr>
    </w:p>
    <w:p>
      <w:pPr>
        <w:pStyle w:val="11"/>
        <w:keepNext w:val="0"/>
        <w:keepLines w:val="0"/>
        <w:pageBreakBefore w:val="0"/>
        <w:widowControl w:val="0"/>
        <w:kinsoku/>
        <w:wordWrap/>
        <w:overflowPunct/>
        <w:topLinePunct w:val="0"/>
        <w:autoSpaceDE/>
        <w:autoSpaceDN/>
        <w:bidi w:val="0"/>
        <w:snapToGrid/>
        <w:ind w:left="0" w:right="0" w:firstLine="0" w:firstLineChars="0"/>
        <w:jc w:val="both"/>
        <w:rPr>
          <w:rFonts w:hint="eastAsia"/>
          <w:highlight w:val="none"/>
        </w:rPr>
      </w:pPr>
    </w:p>
    <w:p>
      <w:pPr>
        <w:pStyle w:val="11"/>
        <w:keepNext w:val="0"/>
        <w:keepLines w:val="0"/>
        <w:pageBreakBefore w:val="0"/>
        <w:widowControl w:val="0"/>
        <w:kinsoku/>
        <w:wordWrap/>
        <w:overflowPunct/>
        <w:topLinePunct w:val="0"/>
        <w:autoSpaceDE/>
        <w:autoSpaceDN/>
        <w:bidi w:val="0"/>
        <w:snapToGrid/>
        <w:ind w:left="0" w:right="0" w:firstLine="0" w:firstLineChars="0"/>
        <w:jc w:val="both"/>
        <w:rPr>
          <w:rFonts w:hint="eastAsia"/>
          <w:highlight w:val="none"/>
        </w:rPr>
      </w:pPr>
    </w:p>
    <w:p>
      <w:pPr>
        <w:pStyle w:val="11"/>
        <w:keepNext w:val="0"/>
        <w:keepLines w:val="0"/>
        <w:pageBreakBefore w:val="0"/>
        <w:widowControl w:val="0"/>
        <w:kinsoku/>
        <w:wordWrap/>
        <w:overflowPunct/>
        <w:topLinePunct w:val="0"/>
        <w:autoSpaceDE/>
        <w:autoSpaceDN/>
        <w:bidi w:val="0"/>
        <w:snapToGrid/>
        <w:ind w:left="0" w:right="0" w:firstLine="0" w:firstLineChars="0"/>
        <w:jc w:val="both"/>
        <w:rPr>
          <w:rFonts w:hint="eastAsia" w:eastAsia="宋体"/>
          <w:highlight w:val="none"/>
          <w:lang w:eastAsia="zh-CN"/>
        </w:rPr>
      </w:pPr>
    </w:p>
    <w:p>
      <w:pPr>
        <w:pStyle w:val="11"/>
        <w:keepNext w:val="0"/>
        <w:keepLines w:val="0"/>
        <w:pageBreakBefore w:val="0"/>
        <w:widowControl w:val="0"/>
        <w:kinsoku/>
        <w:wordWrap/>
        <w:overflowPunct/>
        <w:topLinePunct w:val="0"/>
        <w:autoSpaceDE/>
        <w:autoSpaceDN/>
        <w:bidi w:val="0"/>
        <w:snapToGrid/>
        <w:ind w:left="0" w:right="0" w:firstLine="0" w:firstLineChars="0"/>
        <w:jc w:val="both"/>
        <w:rPr>
          <w:rFonts w:hint="eastAsia"/>
          <w:highlight w:val="none"/>
        </w:rPr>
      </w:pPr>
    </w:p>
    <w:p>
      <w:pPr>
        <w:pStyle w:val="11"/>
        <w:keepNext w:val="0"/>
        <w:keepLines w:val="0"/>
        <w:pageBreakBefore w:val="0"/>
        <w:widowControl w:val="0"/>
        <w:kinsoku/>
        <w:wordWrap/>
        <w:overflowPunct/>
        <w:topLinePunct w:val="0"/>
        <w:autoSpaceDE/>
        <w:autoSpaceDN/>
        <w:bidi w:val="0"/>
        <w:snapToGrid/>
        <w:ind w:left="0" w:leftChars="0" w:right="0" w:firstLine="0" w:firstLineChars="0"/>
        <w:jc w:val="both"/>
        <w:rPr>
          <w:rFonts w:hint="eastAsia"/>
          <w:highlight w:val="none"/>
        </w:rPr>
      </w:pPr>
    </w:p>
    <w:p>
      <w:pPr>
        <w:pStyle w:val="11"/>
        <w:keepNext w:val="0"/>
        <w:keepLines w:val="0"/>
        <w:pageBreakBefore w:val="0"/>
        <w:widowControl w:val="0"/>
        <w:kinsoku/>
        <w:wordWrap/>
        <w:overflowPunct/>
        <w:topLinePunct w:val="0"/>
        <w:autoSpaceDE/>
        <w:autoSpaceDN/>
        <w:bidi w:val="0"/>
        <w:snapToGrid/>
        <w:ind w:left="0" w:right="0" w:firstLine="0" w:firstLineChars="0"/>
        <w:jc w:val="both"/>
        <w:rPr>
          <w:rFonts w:hint="eastAsia"/>
          <w:highlight w:val="none"/>
        </w:rPr>
      </w:pPr>
    </w:p>
    <w:p>
      <w:pPr>
        <w:pStyle w:val="11"/>
        <w:keepNext w:val="0"/>
        <w:keepLines w:val="0"/>
        <w:pageBreakBefore w:val="0"/>
        <w:widowControl w:val="0"/>
        <w:kinsoku/>
        <w:wordWrap/>
        <w:overflowPunct/>
        <w:topLinePunct w:val="0"/>
        <w:autoSpaceDE/>
        <w:autoSpaceDN/>
        <w:bidi w:val="0"/>
        <w:snapToGrid/>
        <w:spacing w:line="360" w:lineRule="auto"/>
        <w:ind w:left="0" w:leftChars="0" w:firstLine="0" w:firstLineChars="0"/>
        <w:rPr>
          <w:rFonts w:hint="eastAsia"/>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1260" w:leftChars="600" w:firstLine="0" w:firstLineChars="0"/>
        <w:textAlignment w:val="auto"/>
        <w:outlineLvl w:val="0"/>
        <w:rPr>
          <w:rFonts w:hint="eastAsia" w:ascii="宋体" w:hAnsi="宋体" w:eastAsia="宋体" w:cs="宋体"/>
          <w:b/>
          <w:bCs/>
          <w:color w:val="auto"/>
          <w:sz w:val="32"/>
          <w:szCs w:val="32"/>
          <w:highlight w:val="none"/>
          <w:lang w:eastAsia="zh-CN"/>
        </w:rPr>
      </w:pPr>
      <w:bookmarkStart w:id="1" w:name="_Toc12053"/>
      <w:r>
        <w:rPr>
          <w:rFonts w:hint="eastAsia" w:ascii="宋体" w:hAnsi="宋体" w:cs="宋体"/>
          <w:b/>
          <w:bCs/>
          <w:color w:val="auto"/>
          <w:sz w:val="32"/>
          <w:szCs w:val="32"/>
          <w:highlight w:val="none"/>
        </w:rPr>
        <w:t>项目名称：</w:t>
      </w:r>
      <w:r>
        <w:rPr>
          <w:rFonts w:hint="eastAsia" w:ascii="宋体" w:hAnsi="宋体" w:cs="宋体"/>
          <w:b/>
          <w:bCs/>
          <w:color w:val="auto"/>
          <w:sz w:val="32"/>
          <w:szCs w:val="32"/>
          <w:highlight w:val="none"/>
          <w:lang w:eastAsia="zh-CN"/>
        </w:rPr>
        <w:t>桂林市老城区路灯节能改造项目</w:t>
      </w:r>
      <w:bookmarkEnd w:id="1"/>
    </w:p>
    <w:p>
      <w:pPr>
        <w:keepNext w:val="0"/>
        <w:keepLines w:val="0"/>
        <w:pageBreakBefore w:val="0"/>
        <w:widowControl w:val="0"/>
        <w:kinsoku/>
        <w:wordWrap/>
        <w:overflowPunct/>
        <w:topLinePunct w:val="0"/>
        <w:autoSpaceDE/>
        <w:autoSpaceDN/>
        <w:bidi w:val="0"/>
        <w:adjustRightInd/>
        <w:snapToGrid/>
        <w:spacing w:line="360" w:lineRule="auto"/>
        <w:ind w:left="1260" w:leftChars="600" w:firstLine="0" w:firstLineChars="0"/>
        <w:jc w:val="center"/>
        <w:textAlignment w:val="auto"/>
        <w:rPr>
          <w:rFonts w:hint="eastAsia" w:ascii="宋体" w:hAnsi="宋体" w:cs="宋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1260" w:leftChars="600" w:firstLine="0" w:firstLineChars="0"/>
        <w:textAlignment w:val="auto"/>
        <w:rPr>
          <w:rFonts w:hint="eastAsia" w:ascii="宋体" w:hAnsi="宋体" w:eastAsia="宋体" w:cs="宋体"/>
          <w:b/>
          <w:bCs/>
          <w:color w:val="auto"/>
          <w:sz w:val="32"/>
          <w:szCs w:val="32"/>
          <w:highlight w:val="none"/>
          <w:lang w:eastAsia="zh-CN"/>
        </w:rPr>
      </w:pPr>
      <w:r>
        <w:rPr>
          <w:rFonts w:hint="eastAsia" w:ascii="宋体" w:hAnsi="宋体" w:cs="宋体"/>
          <w:b/>
          <w:bCs/>
          <w:color w:val="auto"/>
          <w:sz w:val="32"/>
          <w:szCs w:val="32"/>
          <w:highlight w:val="none"/>
        </w:rPr>
        <w:t>项目编号：GLZC2024-G3-990433-GXJZ</w:t>
      </w:r>
    </w:p>
    <w:p>
      <w:pPr>
        <w:keepNext w:val="0"/>
        <w:keepLines w:val="0"/>
        <w:pageBreakBefore w:val="0"/>
        <w:widowControl w:val="0"/>
        <w:kinsoku/>
        <w:wordWrap/>
        <w:overflowPunct/>
        <w:topLinePunct w:val="0"/>
        <w:autoSpaceDE/>
        <w:autoSpaceDN/>
        <w:bidi w:val="0"/>
        <w:adjustRightInd/>
        <w:snapToGrid/>
        <w:spacing w:line="360" w:lineRule="auto"/>
        <w:ind w:left="1260" w:leftChars="600" w:firstLine="0" w:firstLineChars="0"/>
        <w:jc w:val="center"/>
        <w:textAlignment w:val="auto"/>
        <w:rPr>
          <w:rFonts w:ascii="宋体" w:hAnsi="宋体" w:cs="宋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1260" w:leftChars="600" w:firstLine="0" w:firstLineChars="0"/>
        <w:textAlignment w:val="auto"/>
        <w:rPr>
          <w:rFonts w:hint="eastAsia"/>
          <w:color w:val="auto"/>
          <w:sz w:val="32"/>
          <w:szCs w:val="32"/>
          <w:highlight w:val="none"/>
        </w:rPr>
      </w:pPr>
      <w:r>
        <w:rPr>
          <w:rStyle w:val="25"/>
          <w:rFonts w:ascii="宋体" w:hAnsi="宋体"/>
          <w:b/>
          <w:bCs/>
          <w:color w:val="auto"/>
          <w:sz w:val="32"/>
          <w:szCs w:val="32"/>
          <w:highlight w:val="none"/>
        </w:rPr>
        <w:t>采购人：</w:t>
      </w:r>
      <w:r>
        <w:rPr>
          <w:rStyle w:val="25"/>
          <w:rFonts w:hint="eastAsia" w:ascii="宋体" w:hAnsi="宋体"/>
          <w:b/>
          <w:bCs/>
          <w:color w:val="auto"/>
          <w:sz w:val="32"/>
          <w:szCs w:val="32"/>
          <w:highlight w:val="none"/>
          <w:lang w:eastAsia="zh-CN"/>
        </w:rPr>
        <w:t>桂林市城市照明管理处</w:t>
      </w:r>
    </w:p>
    <w:p>
      <w:pPr>
        <w:keepNext w:val="0"/>
        <w:keepLines w:val="0"/>
        <w:pageBreakBefore w:val="0"/>
        <w:widowControl w:val="0"/>
        <w:kinsoku/>
        <w:wordWrap/>
        <w:overflowPunct/>
        <w:topLinePunct w:val="0"/>
        <w:autoSpaceDE/>
        <w:autoSpaceDN/>
        <w:bidi w:val="0"/>
        <w:adjustRightInd/>
        <w:snapToGrid/>
        <w:spacing w:line="360" w:lineRule="auto"/>
        <w:ind w:left="1260" w:leftChars="600" w:firstLine="0" w:firstLineChars="0"/>
        <w:jc w:val="center"/>
        <w:textAlignment w:val="auto"/>
        <w:rPr>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1260" w:leftChars="600" w:firstLine="0" w:firstLineChars="0"/>
        <w:jc w:val="both"/>
        <w:textAlignment w:val="auto"/>
        <w:rPr>
          <w:rStyle w:val="25"/>
          <w:rFonts w:ascii="宋体" w:hAnsi="宋体"/>
          <w:b/>
          <w:bCs/>
          <w:color w:val="auto"/>
          <w:spacing w:val="40"/>
          <w:sz w:val="32"/>
          <w:szCs w:val="32"/>
          <w:highlight w:val="none"/>
        </w:rPr>
      </w:pPr>
      <w:r>
        <w:rPr>
          <w:rStyle w:val="25"/>
          <w:rFonts w:ascii="宋体" w:hAnsi="宋体"/>
          <w:b/>
          <w:bCs/>
          <w:color w:val="auto"/>
          <w:sz w:val="32"/>
          <w:szCs w:val="32"/>
          <w:highlight w:val="none"/>
        </w:rPr>
        <w:t>采购代理机构：广西江之源项目管理有限公司</w:t>
      </w:r>
    </w:p>
    <w:p>
      <w:pPr>
        <w:keepNext w:val="0"/>
        <w:keepLines w:val="0"/>
        <w:pageBreakBefore w:val="0"/>
        <w:widowControl w:val="0"/>
        <w:kinsoku/>
        <w:wordWrap/>
        <w:overflowPunct/>
        <w:topLinePunct w:val="0"/>
        <w:autoSpaceDE/>
        <w:autoSpaceDN/>
        <w:bidi w:val="0"/>
        <w:adjustRightInd/>
        <w:snapToGrid/>
        <w:spacing w:line="360" w:lineRule="auto"/>
        <w:ind w:left="1260" w:leftChars="600" w:firstLine="0" w:firstLineChars="0"/>
        <w:jc w:val="center"/>
        <w:textAlignment w:val="auto"/>
        <w:rPr>
          <w:rStyle w:val="25"/>
          <w:rFonts w:ascii="宋体" w:hAnsi="宋体"/>
          <w:b/>
          <w:bCs/>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1260" w:leftChars="600" w:firstLine="0" w:firstLineChars="0"/>
        <w:jc w:val="both"/>
        <w:textAlignment w:val="auto"/>
        <w:rPr>
          <w:rStyle w:val="25"/>
          <w:rFonts w:hint="eastAsia" w:ascii="宋体" w:hAnsi="宋体" w:eastAsia="宋体"/>
          <w:b/>
          <w:bCs/>
          <w:color w:val="auto"/>
          <w:sz w:val="32"/>
          <w:szCs w:val="32"/>
          <w:highlight w:val="none"/>
          <w:lang w:eastAsia="zh-CN"/>
        </w:rPr>
      </w:pPr>
      <w:r>
        <w:rPr>
          <w:rStyle w:val="25"/>
          <w:rFonts w:hint="eastAsia" w:ascii="宋体" w:hAnsi="宋体"/>
          <w:b/>
          <w:bCs/>
          <w:color w:val="auto"/>
          <w:sz w:val="32"/>
          <w:szCs w:val="32"/>
          <w:highlight w:val="none"/>
          <w:lang w:eastAsia="zh-CN"/>
        </w:rPr>
        <w:t>发布日期：</w:t>
      </w:r>
      <w:r>
        <w:rPr>
          <w:rStyle w:val="25"/>
          <w:rFonts w:hint="eastAsia" w:ascii="宋体" w:hAnsi="宋体"/>
          <w:b/>
          <w:bCs/>
          <w:color w:val="auto"/>
          <w:sz w:val="32"/>
          <w:szCs w:val="32"/>
          <w:highlight w:val="none"/>
          <w:lang w:val="en-US" w:eastAsia="zh-CN"/>
        </w:rPr>
        <w:t>2024</w:t>
      </w:r>
      <w:r>
        <w:rPr>
          <w:rStyle w:val="25"/>
          <w:rFonts w:hint="eastAsia" w:ascii="宋体" w:hAnsi="宋体"/>
          <w:b/>
          <w:bCs/>
          <w:color w:val="auto"/>
          <w:sz w:val="32"/>
          <w:szCs w:val="32"/>
          <w:highlight w:val="none"/>
          <w:lang w:eastAsia="zh-CN"/>
        </w:rPr>
        <w:t>年</w:t>
      </w:r>
      <w:r>
        <w:rPr>
          <w:rStyle w:val="25"/>
          <w:rFonts w:hint="eastAsia" w:ascii="宋体" w:hAnsi="宋体"/>
          <w:b/>
          <w:bCs/>
          <w:color w:val="auto"/>
          <w:sz w:val="32"/>
          <w:szCs w:val="32"/>
          <w:highlight w:val="none"/>
          <w:lang w:val="en-US" w:eastAsia="zh-CN"/>
        </w:rPr>
        <w:t>3</w:t>
      </w:r>
      <w:r>
        <w:rPr>
          <w:rStyle w:val="25"/>
          <w:rFonts w:hint="eastAsia" w:ascii="宋体" w:hAnsi="宋体"/>
          <w:b/>
          <w:bCs/>
          <w:color w:val="auto"/>
          <w:sz w:val="32"/>
          <w:szCs w:val="32"/>
          <w:highlight w:val="none"/>
          <w:lang w:eastAsia="zh-CN"/>
        </w:rPr>
        <w:t>月</w:t>
      </w:r>
      <w:r>
        <w:rPr>
          <w:rStyle w:val="25"/>
          <w:rFonts w:hint="eastAsia" w:ascii="宋体" w:hAnsi="宋体"/>
          <w:b/>
          <w:bCs/>
          <w:color w:val="auto"/>
          <w:sz w:val="32"/>
          <w:szCs w:val="32"/>
          <w:highlight w:val="none"/>
          <w:lang w:val="en-US" w:eastAsia="zh-CN"/>
        </w:rPr>
        <w:t>25</w:t>
      </w:r>
      <w:r>
        <w:rPr>
          <w:rStyle w:val="25"/>
          <w:rFonts w:hint="eastAsia" w:ascii="宋体" w:hAnsi="宋体"/>
          <w:b/>
          <w:bCs/>
          <w:color w:val="auto"/>
          <w:sz w:val="32"/>
          <w:szCs w:val="32"/>
          <w:highlight w:val="none"/>
          <w:lang w:eastAsia="zh-CN"/>
        </w:rPr>
        <w:t>日</w:t>
      </w:r>
    </w:p>
    <w:p>
      <w:pPr>
        <w:pStyle w:val="9"/>
        <w:rPr>
          <w:rStyle w:val="25"/>
          <w:rFonts w:hint="eastAsia" w:ascii="宋体" w:hAnsi="宋体"/>
          <w:b/>
          <w:bCs/>
          <w:color w:val="auto"/>
          <w:sz w:val="32"/>
          <w:highlight w:val="none"/>
          <w:lang w:eastAsia="zh-CN"/>
        </w:rPr>
      </w:pPr>
    </w:p>
    <w:p>
      <w:pPr>
        <w:pStyle w:val="9"/>
        <w:rPr>
          <w:rFonts w:hint="eastAsia" w:ascii="Times New Roman" w:hAnsi="Times New Roman" w:eastAsia="宋体" w:cs="Times New Roman"/>
          <w:highlight w:val="none"/>
          <w:lang w:eastAsia="zh-CN"/>
        </w:rPr>
      </w:pPr>
    </w:p>
    <w:sdt>
      <w:sdtPr>
        <w:rPr>
          <w:rFonts w:ascii="宋体" w:hAnsi="宋体" w:eastAsia="宋体" w:cs="Times New Roman"/>
          <w:b/>
          <w:bCs/>
          <w:kern w:val="2"/>
          <w:sz w:val="52"/>
          <w:szCs w:val="52"/>
          <w:highlight w:val="none"/>
          <w:lang w:val="en-US" w:eastAsia="zh-CN" w:bidi="ar-SA"/>
        </w:rPr>
        <w:id w:val="147480292"/>
        <w15:color w:val="DBDBDB"/>
        <w:docPartObj>
          <w:docPartGallery w:val="Table of Contents"/>
          <w:docPartUnique/>
        </w:docPartObj>
      </w:sdtPr>
      <w:sdtEndPr>
        <w:rPr>
          <w:rFonts w:hint="eastAsia" w:ascii="Times New Roman" w:hAnsi="Times New Roman" w:eastAsia="宋体" w:cs="Times New Roman"/>
          <w:b/>
          <w:bCs/>
          <w:kern w:val="2"/>
          <w:sz w:val="24"/>
          <w:szCs w:val="24"/>
          <w:highlight w:val="none"/>
          <w:lang w:val="en-US" w:eastAsia="zh-CN" w:bidi="ar-SA"/>
        </w:rPr>
      </w:sdtEndPr>
      <w:sdtContent>
        <w:p>
          <w:pPr>
            <w:spacing w:before="0" w:beforeLines="0" w:after="0" w:afterLines="0" w:line="240" w:lineRule="auto"/>
            <w:ind w:left="0" w:leftChars="0" w:right="0" w:rightChars="0" w:firstLine="0" w:firstLineChars="0"/>
            <w:jc w:val="center"/>
            <w:rPr>
              <w:b/>
              <w:bCs/>
              <w:sz w:val="52"/>
              <w:szCs w:val="52"/>
              <w:highlight w:val="none"/>
            </w:rPr>
          </w:pPr>
          <w:r>
            <w:rPr>
              <w:rFonts w:ascii="宋体" w:hAnsi="宋体" w:eastAsia="宋体"/>
              <w:b/>
              <w:bCs/>
              <w:sz w:val="52"/>
              <w:szCs w:val="52"/>
              <w:highlight w:val="none"/>
            </w:rPr>
            <w:t>目</w:t>
          </w:r>
          <w:r>
            <w:rPr>
              <w:rFonts w:hint="eastAsia" w:ascii="宋体" w:hAnsi="宋体" w:eastAsia="宋体"/>
              <w:b/>
              <w:bCs/>
              <w:sz w:val="52"/>
              <w:szCs w:val="52"/>
              <w:highlight w:val="none"/>
              <w:lang w:val="en-US" w:eastAsia="zh-CN"/>
            </w:rPr>
            <w:t xml:space="preserve">  </w:t>
          </w:r>
          <w:r>
            <w:rPr>
              <w:rFonts w:ascii="宋体" w:hAnsi="宋体" w:eastAsia="宋体"/>
              <w:b/>
              <w:bCs/>
              <w:sz w:val="52"/>
              <w:szCs w:val="52"/>
              <w:highlight w:val="none"/>
            </w:rPr>
            <w:t>录</w:t>
          </w:r>
        </w:p>
        <w:p>
          <w:pPr>
            <w:pStyle w:val="35"/>
            <w:keepNext w:val="0"/>
            <w:keepLines w:val="0"/>
            <w:pageBreakBefore w:val="0"/>
            <w:tabs>
              <w:tab w:val="right" w:leader="dot" w:pos="9750"/>
            </w:tabs>
            <w:kinsoku/>
            <w:wordWrap/>
            <w:overflowPunct/>
            <w:topLinePunct w:val="0"/>
            <w:autoSpaceDE/>
            <w:autoSpaceDN/>
            <w:bidi w:val="0"/>
            <w:adjustRightInd/>
            <w:snapToGrid/>
            <w:spacing w:line="360" w:lineRule="auto"/>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lang w:eastAsia="zh-CN"/>
            </w:rPr>
            <w:fldChar w:fldCharType="begin"/>
          </w:r>
          <w:r>
            <w:rPr>
              <w:rFonts w:hint="eastAsia" w:ascii="宋体" w:hAnsi="宋体" w:eastAsia="宋体" w:cs="宋体"/>
              <w:sz w:val="32"/>
              <w:szCs w:val="32"/>
              <w:highlight w:val="none"/>
              <w:lang w:eastAsia="zh-CN"/>
            </w:rPr>
            <w:instrText xml:space="preserve">TOC \o "1-1" \h \u </w:instrText>
          </w:r>
          <w:r>
            <w:rPr>
              <w:rFonts w:hint="eastAsia" w:ascii="宋体" w:hAnsi="宋体" w:eastAsia="宋体" w:cs="宋体"/>
              <w:sz w:val="32"/>
              <w:szCs w:val="32"/>
              <w:highlight w:val="none"/>
              <w:lang w:eastAsia="zh-CN"/>
            </w:rPr>
            <w:fldChar w:fldCharType="separate"/>
          </w:r>
          <w:r>
            <w:rPr>
              <w:rFonts w:hint="eastAsia" w:ascii="宋体" w:hAnsi="宋体" w:eastAsia="宋体" w:cs="宋体"/>
              <w:sz w:val="32"/>
              <w:szCs w:val="32"/>
              <w:highlight w:val="none"/>
              <w:lang w:eastAsia="zh-CN"/>
            </w:rPr>
            <w:fldChar w:fldCharType="begin"/>
          </w:r>
          <w:r>
            <w:rPr>
              <w:rFonts w:hint="eastAsia" w:ascii="宋体" w:hAnsi="宋体" w:eastAsia="宋体" w:cs="宋体"/>
              <w:sz w:val="32"/>
              <w:szCs w:val="32"/>
              <w:highlight w:val="none"/>
              <w:lang w:eastAsia="zh-CN"/>
            </w:rPr>
            <w:instrText xml:space="preserve"> HYPERLINK \l _Toc9157 </w:instrText>
          </w:r>
          <w:r>
            <w:rPr>
              <w:rFonts w:hint="eastAsia" w:ascii="宋体" w:hAnsi="宋体" w:eastAsia="宋体" w:cs="宋体"/>
              <w:sz w:val="32"/>
              <w:szCs w:val="32"/>
              <w:highlight w:val="none"/>
              <w:lang w:eastAsia="zh-CN"/>
            </w:rPr>
            <w:fldChar w:fldCharType="separate"/>
          </w:r>
          <w:r>
            <w:rPr>
              <w:rFonts w:hint="eastAsia" w:ascii="宋体" w:hAnsi="宋体" w:eastAsia="宋体" w:cs="宋体"/>
              <w:sz w:val="32"/>
              <w:szCs w:val="32"/>
              <w:highlight w:val="none"/>
              <w:lang w:eastAsia="zh-CN"/>
            </w:rPr>
            <w:t>第一章 公开招标公告</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_Toc9157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3</w:t>
          </w:r>
          <w:r>
            <w:rPr>
              <w:rFonts w:hint="eastAsia" w:ascii="宋体" w:hAnsi="宋体" w:eastAsia="宋体" w:cs="宋体"/>
              <w:sz w:val="32"/>
              <w:szCs w:val="32"/>
              <w:highlight w:val="none"/>
            </w:rPr>
            <w:fldChar w:fldCharType="end"/>
          </w:r>
          <w:r>
            <w:rPr>
              <w:rFonts w:hint="eastAsia" w:ascii="宋体" w:hAnsi="宋体" w:eastAsia="宋体" w:cs="宋体"/>
              <w:sz w:val="32"/>
              <w:szCs w:val="32"/>
              <w:highlight w:val="none"/>
              <w:lang w:eastAsia="zh-CN"/>
            </w:rPr>
            <w:fldChar w:fldCharType="end"/>
          </w:r>
        </w:p>
        <w:p>
          <w:pPr>
            <w:pStyle w:val="35"/>
            <w:keepNext w:val="0"/>
            <w:keepLines w:val="0"/>
            <w:pageBreakBefore w:val="0"/>
            <w:tabs>
              <w:tab w:val="right" w:leader="dot" w:pos="9750"/>
            </w:tabs>
            <w:kinsoku/>
            <w:wordWrap/>
            <w:overflowPunct/>
            <w:topLinePunct w:val="0"/>
            <w:autoSpaceDE/>
            <w:autoSpaceDN/>
            <w:bidi w:val="0"/>
            <w:adjustRightInd/>
            <w:snapToGrid/>
            <w:spacing w:line="360" w:lineRule="auto"/>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lang w:eastAsia="zh-CN"/>
            </w:rPr>
            <w:fldChar w:fldCharType="begin"/>
          </w:r>
          <w:r>
            <w:rPr>
              <w:rFonts w:hint="eastAsia" w:ascii="宋体" w:hAnsi="宋体" w:eastAsia="宋体" w:cs="宋体"/>
              <w:sz w:val="32"/>
              <w:szCs w:val="32"/>
              <w:highlight w:val="none"/>
              <w:lang w:eastAsia="zh-CN"/>
            </w:rPr>
            <w:instrText xml:space="preserve"> HYPERLINK \l _Toc29728 </w:instrText>
          </w:r>
          <w:r>
            <w:rPr>
              <w:rFonts w:hint="eastAsia" w:ascii="宋体" w:hAnsi="宋体" w:eastAsia="宋体" w:cs="宋体"/>
              <w:sz w:val="32"/>
              <w:szCs w:val="32"/>
              <w:highlight w:val="none"/>
              <w:lang w:eastAsia="zh-CN"/>
            </w:rPr>
            <w:fldChar w:fldCharType="separate"/>
          </w:r>
          <w:r>
            <w:rPr>
              <w:rFonts w:hint="eastAsia" w:ascii="宋体" w:hAnsi="宋体" w:eastAsia="宋体" w:cs="宋体"/>
              <w:sz w:val="32"/>
              <w:szCs w:val="32"/>
              <w:highlight w:val="none"/>
              <w:lang w:eastAsia="zh-CN"/>
            </w:rPr>
            <w:t>第二章 投标人须知</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_Toc29728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6</w:t>
          </w:r>
          <w:r>
            <w:rPr>
              <w:rFonts w:hint="eastAsia" w:ascii="宋体" w:hAnsi="宋体" w:eastAsia="宋体" w:cs="宋体"/>
              <w:sz w:val="32"/>
              <w:szCs w:val="32"/>
              <w:highlight w:val="none"/>
            </w:rPr>
            <w:fldChar w:fldCharType="end"/>
          </w:r>
          <w:r>
            <w:rPr>
              <w:rFonts w:hint="eastAsia" w:ascii="宋体" w:hAnsi="宋体" w:eastAsia="宋体" w:cs="宋体"/>
              <w:sz w:val="32"/>
              <w:szCs w:val="32"/>
              <w:highlight w:val="none"/>
              <w:lang w:eastAsia="zh-CN"/>
            </w:rPr>
            <w:fldChar w:fldCharType="end"/>
          </w:r>
        </w:p>
        <w:p>
          <w:pPr>
            <w:pStyle w:val="35"/>
            <w:keepNext w:val="0"/>
            <w:keepLines w:val="0"/>
            <w:pageBreakBefore w:val="0"/>
            <w:tabs>
              <w:tab w:val="right" w:leader="dot" w:pos="9750"/>
            </w:tabs>
            <w:kinsoku/>
            <w:wordWrap/>
            <w:overflowPunct/>
            <w:topLinePunct w:val="0"/>
            <w:autoSpaceDE/>
            <w:autoSpaceDN/>
            <w:bidi w:val="0"/>
            <w:adjustRightInd/>
            <w:snapToGrid/>
            <w:spacing w:line="360" w:lineRule="auto"/>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lang w:eastAsia="zh-CN"/>
            </w:rPr>
            <w:fldChar w:fldCharType="begin"/>
          </w:r>
          <w:r>
            <w:rPr>
              <w:rFonts w:hint="eastAsia" w:ascii="宋体" w:hAnsi="宋体" w:eastAsia="宋体" w:cs="宋体"/>
              <w:sz w:val="32"/>
              <w:szCs w:val="32"/>
              <w:highlight w:val="none"/>
              <w:lang w:eastAsia="zh-CN"/>
            </w:rPr>
            <w:instrText xml:space="preserve"> HYPERLINK \l _Toc27417 </w:instrText>
          </w:r>
          <w:r>
            <w:rPr>
              <w:rFonts w:hint="eastAsia" w:ascii="宋体" w:hAnsi="宋体" w:eastAsia="宋体" w:cs="宋体"/>
              <w:sz w:val="32"/>
              <w:szCs w:val="32"/>
              <w:highlight w:val="none"/>
              <w:lang w:eastAsia="zh-CN"/>
            </w:rPr>
            <w:fldChar w:fldCharType="separate"/>
          </w:r>
          <w:r>
            <w:rPr>
              <w:rFonts w:hint="eastAsia" w:ascii="宋体" w:hAnsi="宋体" w:eastAsia="宋体" w:cs="宋体"/>
              <w:sz w:val="32"/>
              <w:szCs w:val="32"/>
              <w:highlight w:val="none"/>
              <w:lang w:eastAsia="zh-CN"/>
            </w:rPr>
            <w:t>第三章 采购需求</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_Toc27417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27</w:t>
          </w:r>
          <w:r>
            <w:rPr>
              <w:rFonts w:hint="eastAsia" w:ascii="宋体" w:hAnsi="宋体" w:eastAsia="宋体" w:cs="宋体"/>
              <w:sz w:val="32"/>
              <w:szCs w:val="32"/>
              <w:highlight w:val="none"/>
            </w:rPr>
            <w:fldChar w:fldCharType="end"/>
          </w:r>
          <w:r>
            <w:rPr>
              <w:rFonts w:hint="eastAsia" w:ascii="宋体" w:hAnsi="宋体" w:eastAsia="宋体" w:cs="宋体"/>
              <w:sz w:val="32"/>
              <w:szCs w:val="32"/>
              <w:highlight w:val="none"/>
              <w:lang w:eastAsia="zh-CN"/>
            </w:rPr>
            <w:fldChar w:fldCharType="end"/>
          </w:r>
        </w:p>
        <w:p>
          <w:pPr>
            <w:pStyle w:val="35"/>
            <w:keepNext w:val="0"/>
            <w:keepLines w:val="0"/>
            <w:pageBreakBefore w:val="0"/>
            <w:tabs>
              <w:tab w:val="right" w:leader="dot" w:pos="9750"/>
            </w:tabs>
            <w:kinsoku/>
            <w:wordWrap/>
            <w:overflowPunct/>
            <w:topLinePunct w:val="0"/>
            <w:autoSpaceDE/>
            <w:autoSpaceDN/>
            <w:bidi w:val="0"/>
            <w:adjustRightInd/>
            <w:snapToGrid/>
            <w:spacing w:line="360" w:lineRule="auto"/>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lang w:eastAsia="zh-CN"/>
            </w:rPr>
            <w:fldChar w:fldCharType="begin"/>
          </w:r>
          <w:r>
            <w:rPr>
              <w:rFonts w:hint="eastAsia" w:ascii="宋体" w:hAnsi="宋体" w:eastAsia="宋体" w:cs="宋体"/>
              <w:sz w:val="32"/>
              <w:szCs w:val="32"/>
              <w:highlight w:val="none"/>
              <w:lang w:eastAsia="zh-CN"/>
            </w:rPr>
            <w:instrText xml:space="preserve"> HYPERLINK \l _Toc16610 </w:instrText>
          </w:r>
          <w:r>
            <w:rPr>
              <w:rFonts w:hint="eastAsia" w:ascii="宋体" w:hAnsi="宋体" w:eastAsia="宋体" w:cs="宋体"/>
              <w:sz w:val="32"/>
              <w:szCs w:val="32"/>
              <w:highlight w:val="none"/>
              <w:lang w:eastAsia="zh-CN"/>
            </w:rPr>
            <w:fldChar w:fldCharType="separate"/>
          </w:r>
          <w:r>
            <w:rPr>
              <w:rFonts w:hint="eastAsia" w:ascii="宋体" w:hAnsi="宋体" w:eastAsia="宋体" w:cs="宋体"/>
              <w:sz w:val="32"/>
              <w:szCs w:val="32"/>
              <w:highlight w:val="none"/>
              <w:lang w:eastAsia="zh-CN"/>
            </w:rPr>
            <w:t>第四章 评标办法</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_Toc16610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43</w:t>
          </w:r>
          <w:r>
            <w:rPr>
              <w:rFonts w:hint="eastAsia" w:ascii="宋体" w:hAnsi="宋体" w:eastAsia="宋体" w:cs="宋体"/>
              <w:sz w:val="32"/>
              <w:szCs w:val="32"/>
              <w:highlight w:val="none"/>
            </w:rPr>
            <w:fldChar w:fldCharType="end"/>
          </w:r>
          <w:r>
            <w:rPr>
              <w:rFonts w:hint="eastAsia" w:ascii="宋体" w:hAnsi="宋体" w:eastAsia="宋体" w:cs="宋体"/>
              <w:sz w:val="32"/>
              <w:szCs w:val="32"/>
              <w:highlight w:val="none"/>
              <w:lang w:eastAsia="zh-CN"/>
            </w:rPr>
            <w:fldChar w:fldCharType="end"/>
          </w:r>
        </w:p>
        <w:p>
          <w:pPr>
            <w:pStyle w:val="35"/>
            <w:keepNext w:val="0"/>
            <w:keepLines w:val="0"/>
            <w:pageBreakBefore w:val="0"/>
            <w:tabs>
              <w:tab w:val="right" w:leader="dot" w:pos="9750"/>
            </w:tabs>
            <w:kinsoku/>
            <w:wordWrap/>
            <w:overflowPunct/>
            <w:topLinePunct w:val="0"/>
            <w:autoSpaceDE/>
            <w:autoSpaceDN/>
            <w:bidi w:val="0"/>
            <w:adjustRightInd/>
            <w:snapToGrid/>
            <w:spacing w:line="360" w:lineRule="auto"/>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lang w:eastAsia="zh-CN"/>
            </w:rPr>
            <w:fldChar w:fldCharType="begin"/>
          </w:r>
          <w:r>
            <w:rPr>
              <w:rFonts w:hint="eastAsia" w:ascii="宋体" w:hAnsi="宋体" w:eastAsia="宋体" w:cs="宋体"/>
              <w:sz w:val="32"/>
              <w:szCs w:val="32"/>
              <w:highlight w:val="none"/>
              <w:lang w:eastAsia="zh-CN"/>
            </w:rPr>
            <w:instrText xml:space="preserve"> HYPERLINK \l _Toc3547 </w:instrText>
          </w:r>
          <w:r>
            <w:rPr>
              <w:rFonts w:hint="eastAsia" w:ascii="宋体" w:hAnsi="宋体" w:eastAsia="宋体" w:cs="宋体"/>
              <w:sz w:val="32"/>
              <w:szCs w:val="32"/>
              <w:highlight w:val="none"/>
              <w:lang w:eastAsia="zh-CN"/>
            </w:rPr>
            <w:fldChar w:fldCharType="separate"/>
          </w:r>
          <w:r>
            <w:rPr>
              <w:rFonts w:hint="eastAsia" w:ascii="宋体" w:hAnsi="宋体" w:eastAsia="宋体" w:cs="宋体"/>
              <w:sz w:val="32"/>
              <w:szCs w:val="32"/>
              <w:highlight w:val="none"/>
            </w:rPr>
            <w:t>第五章 采购合同（合同主要条款及格式）</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_Toc3547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50</w:t>
          </w:r>
          <w:r>
            <w:rPr>
              <w:rFonts w:hint="eastAsia" w:ascii="宋体" w:hAnsi="宋体" w:eastAsia="宋体" w:cs="宋体"/>
              <w:sz w:val="32"/>
              <w:szCs w:val="32"/>
              <w:highlight w:val="none"/>
            </w:rPr>
            <w:fldChar w:fldCharType="end"/>
          </w:r>
          <w:r>
            <w:rPr>
              <w:rFonts w:hint="eastAsia" w:ascii="宋体" w:hAnsi="宋体" w:eastAsia="宋体" w:cs="宋体"/>
              <w:sz w:val="32"/>
              <w:szCs w:val="32"/>
              <w:highlight w:val="none"/>
              <w:lang w:eastAsia="zh-CN"/>
            </w:rPr>
            <w:fldChar w:fldCharType="end"/>
          </w:r>
        </w:p>
        <w:p>
          <w:pPr>
            <w:pStyle w:val="35"/>
            <w:keepNext w:val="0"/>
            <w:keepLines w:val="0"/>
            <w:pageBreakBefore w:val="0"/>
            <w:tabs>
              <w:tab w:val="right" w:leader="dot" w:pos="9750"/>
            </w:tabs>
            <w:kinsoku/>
            <w:wordWrap/>
            <w:overflowPunct/>
            <w:topLinePunct w:val="0"/>
            <w:autoSpaceDE/>
            <w:autoSpaceDN/>
            <w:bidi w:val="0"/>
            <w:adjustRightInd/>
            <w:snapToGrid/>
            <w:spacing w:line="360" w:lineRule="auto"/>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lang w:eastAsia="zh-CN"/>
            </w:rPr>
            <w:fldChar w:fldCharType="begin"/>
          </w:r>
          <w:r>
            <w:rPr>
              <w:rFonts w:hint="eastAsia" w:ascii="宋体" w:hAnsi="宋体" w:eastAsia="宋体" w:cs="宋体"/>
              <w:sz w:val="32"/>
              <w:szCs w:val="32"/>
              <w:highlight w:val="none"/>
              <w:lang w:eastAsia="zh-CN"/>
            </w:rPr>
            <w:instrText xml:space="preserve"> HYPERLINK \l _Toc12971 </w:instrText>
          </w:r>
          <w:r>
            <w:rPr>
              <w:rFonts w:hint="eastAsia" w:ascii="宋体" w:hAnsi="宋体" w:eastAsia="宋体" w:cs="宋体"/>
              <w:sz w:val="32"/>
              <w:szCs w:val="32"/>
              <w:highlight w:val="none"/>
              <w:lang w:eastAsia="zh-CN"/>
            </w:rPr>
            <w:fldChar w:fldCharType="separate"/>
          </w:r>
          <w:r>
            <w:rPr>
              <w:rFonts w:hint="eastAsia" w:ascii="宋体" w:hAnsi="宋体" w:eastAsia="宋体" w:cs="宋体"/>
              <w:sz w:val="32"/>
              <w:szCs w:val="32"/>
              <w:highlight w:val="none"/>
            </w:rPr>
            <w:t>第六章 投标文件格式</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_Toc12971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70</w:t>
          </w:r>
          <w:r>
            <w:rPr>
              <w:rFonts w:hint="eastAsia" w:ascii="宋体" w:hAnsi="宋体" w:eastAsia="宋体" w:cs="宋体"/>
              <w:sz w:val="32"/>
              <w:szCs w:val="32"/>
              <w:highlight w:val="none"/>
            </w:rPr>
            <w:fldChar w:fldCharType="end"/>
          </w:r>
          <w:r>
            <w:rPr>
              <w:rFonts w:hint="eastAsia" w:ascii="宋体" w:hAnsi="宋体" w:eastAsia="宋体" w:cs="宋体"/>
              <w:sz w:val="32"/>
              <w:szCs w:val="32"/>
              <w:highlight w:val="none"/>
              <w:lang w:eastAsia="zh-CN"/>
            </w:rPr>
            <w:fldChar w:fldCharType="end"/>
          </w:r>
        </w:p>
        <w:p>
          <w:pPr>
            <w:pStyle w:val="9"/>
            <w:keepNext w:val="0"/>
            <w:keepLines w:val="0"/>
            <w:pageBreakBefore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highlight w:val="none"/>
              <w:lang w:eastAsia="zh-CN"/>
            </w:rPr>
          </w:pPr>
          <w:r>
            <w:rPr>
              <w:rFonts w:hint="eastAsia" w:ascii="宋体" w:hAnsi="宋体" w:eastAsia="宋体" w:cs="宋体"/>
              <w:sz w:val="32"/>
              <w:szCs w:val="32"/>
              <w:highlight w:val="none"/>
              <w:lang w:eastAsia="zh-CN"/>
            </w:rPr>
            <w:fldChar w:fldCharType="end"/>
          </w:r>
        </w:p>
      </w:sdtContent>
    </w:sdt>
    <w:p>
      <w:pPr>
        <w:pStyle w:val="9"/>
        <w:rPr>
          <w:rFonts w:hint="eastAsia" w:ascii="Times New Roman" w:hAnsi="Times New Roman" w:eastAsia="宋体" w:cs="Times New Roman"/>
          <w:highlight w:val="none"/>
          <w:lang w:eastAsia="zh-CN"/>
        </w:rPr>
      </w:pPr>
    </w:p>
    <w:p>
      <w:pPr>
        <w:pStyle w:val="9"/>
        <w:rPr>
          <w:rFonts w:hint="eastAsia" w:ascii="Times New Roman" w:hAnsi="Times New Roman" w:eastAsia="宋体" w:cs="Times New Roman"/>
          <w:highlight w:val="none"/>
          <w:lang w:eastAsia="zh-CN"/>
        </w:rPr>
      </w:pPr>
    </w:p>
    <w:p>
      <w:pPr>
        <w:pStyle w:val="9"/>
        <w:rPr>
          <w:rFonts w:hint="eastAsia" w:ascii="Times New Roman" w:hAnsi="Times New Roman" w:eastAsia="宋体" w:cs="Times New Roman"/>
          <w:highlight w:val="none"/>
          <w:lang w:eastAsia="zh-CN"/>
        </w:rPr>
      </w:pPr>
    </w:p>
    <w:p>
      <w:pPr>
        <w:pStyle w:val="9"/>
        <w:rPr>
          <w:rFonts w:hint="eastAsia" w:ascii="Times New Roman" w:hAnsi="Times New Roman" w:eastAsia="宋体" w:cs="Times New Roman"/>
          <w:highlight w:val="none"/>
          <w:lang w:eastAsia="zh-CN"/>
        </w:rPr>
      </w:pPr>
    </w:p>
    <w:p>
      <w:pPr>
        <w:pStyle w:val="9"/>
        <w:rPr>
          <w:rFonts w:ascii="Times New Roman" w:hAnsi="Times New Roman" w:eastAsia="宋体" w:cs="Times New Roman"/>
          <w:highlight w:val="none"/>
        </w:rPr>
      </w:pPr>
    </w:p>
    <w:p>
      <w:pPr>
        <w:pStyle w:val="9"/>
        <w:rPr>
          <w:rFonts w:ascii="Times New Roman" w:hAnsi="Times New Roman" w:eastAsia="宋体" w:cs="Times New Roman"/>
          <w:highlight w:val="none"/>
        </w:rPr>
      </w:pPr>
    </w:p>
    <w:p>
      <w:pPr>
        <w:pStyle w:val="9"/>
        <w:rPr>
          <w:rFonts w:ascii="Times New Roman" w:hAnsi="Times New Roman" w:eastAsia="宋体" w:cs="Times New Roman"/>
          <w:highlight w:val="none"/>
        </w:rPr>
      </w:pPr>
    </w:p>
    <w:p>
      <w:pPr>
        <w:pStyle w:val="9"/>
        <w:rPr>
          <w:rFonts w:ascii="Times New Roman" w:hAnsi="Times New Roman" w:eastAsia="宋体" w:cs="Times New Roman"/>
          <w:highlight w:val="none"/>
        </w:rPr>
      </w:pPr>
    </w:p>
    <w:p>
      <w:pPr>
        <w:pStyle w:val="9"/>
        <w:rPr>
          <w:rFonts w:ascii="Times New Roman" w:hAnsi="Times New Roman" w:eastAsia="宋体" w:cs="Times New Roman"/>
          <w:highlight w:val="none"/>
        </w:rPr>
      </w:pPr>
    </w:p>
    <w:p>
      <w:pPr>
        <w:pStyle w:val="9"/>
        <w:rPr>
          <w:rFonts w:ascii="Times New Roman" w:hAnsi="Times New Roman" w:eastAsia="宋体" w:cs="Times New Roman"/>
          <w:highlight w:val="none"/>
        </w:rPr>
      </w:pPr>
    </w:p>
    <w:p>
      <w:pPr>
        <w:pStyle w:val="9"/>
        <w:rPr>
          <w:rFonts w:ascii="Times New Roman" w:hAnsi="Times New Roman" w:eastAsia="宋体" w:cs="Times New Roman"/>
          <w:highlight w:val="none"/>
        </w:rPr>
      </w:pPr>
    </w:p>
    <w:p>
      <w:pPr>
        <w:pStyle w:val="9"/>
        <w:rPr>
          <w:rFonts w:ascii="Times New Roman" w:hAnsi="Times New Roman" w:eastAsia="宋体" w:cs="Times New Roman"/>
          <w:highlight w:val="none"/>
        </w:rPr>
      </w:pPr>
    </w:p>
    <w:p>
      <w:pPr>
        <w:pStyle w:val="9"/>
        <w:rPr>
          <w:rFonts w:ascii="Times New Roman" w:hAnsi="Times New Roman" w:eastAsia="宋体" w:cs="Times New Roman"/>
          <w:highlight w:val="none"/>
        </w:rPr>
      </w:pPr>
    </w:p>
    <w:p>
      <w:pPr>
        <w:pStyle w:val="9"/>
        <w:rPr>
          <w:rFonts w:ascii="Times New Roman" w:hAnsi="Times New Roman" w:eastAsia="宋体" w:cs="Times New Roman"/>
          <w:highlight w:val="none"/>
        </w:rPr>
      </w:pPr>
    </w:p>
    <w:p>
      <w:pPr>
        <w:pStyle w:val="9"/>
        <w:rPr>
          <w:rFonts w:ascii="Times New Roman" w:hAnsi="Times New Roman" w:eastAsia="宋体" w:cs="Times New Roman"/>
          <w:highlight w:val="none"/>
        </w:rPr>
      </w:pPr>
    </w:p>
    <w:p>
      <w:pPr>
        <w:pStyle w:val="9"/>
        <w:rPr>
          <w:rFonts w:ascii="Times New Roman" w:hAnsi="Times New Roman" w:eastAsia="宋体" w:cs="Times New Roman"/>
          <w:highlight w:val="none"/>
        </w:rPr>
      </w:pPr>
    </w:p>
    <w:p>
      <w:pPr>
        <w:pStyle w:val="9"/>
        <w:rPr>
          <w:rFonts w:ascii="Times New Roman" w:hAnsi="Times New Roman" w:eastAsia="宋体" w:cs="Times New Roman"/>
          <w:highlight w:val="none"/>
        </w:rPr>
      </w:pPr>
    </w:p>
    <w:p>
      <w:pPr>
        <w:pStyle w:val="9"/>
        <w:rPr>
          <w:rFonts w:ascii="Times New Roman" w:hAnsi="Times New Roman" w:eastAsia="宋体" w:cs="Times New Roman"/>
          <w:highlight w:val="none"/>
        </w:rPr>
      </w:pPr>
    </w:p>
    <w:p>
      <w:pPr>
        <w:pStyle w:val="9"/>
        <w:rPr>
          <w:rFonts w:ascii="Times New Roman" w:hAnsi="Times New Roman" w:eastAsia="宋体" w:cs="Times New Roman"/>
          <w:highlight w:val="none"/>
        </w:rPr>
      </w:pPr>
    </w:p>
    <w:p>
      <w:pPr>
        <w:pStyle w:val="9"/>
        <w:rPr>
          <w:rFonts w:ascii="Times New Roman" w:hAnsi="Times New Roman" w:eastAsia="宋体" w:cs="Times New Roman"/>
          <w:highlight w:val="none"/>
        </w:rPr>
      </w:pPr>
    </w:p>
    <w:p>
      <w:pPr>
        <w:pStyle w:val="9"/>
        <w:rPr>
          <w:rFonts w:ascii="Times New Roman" w:hAnsi="Times New Roman" w:eastAsia="宋体" w:cs="Times New Roman"/>
          <w:highlight w:val="none"/>
        </w:rPr>
      </w:pPr>
    </w:p>
    <w:p>
      <w:pPr>
        <w:pStyle w:val="9"/>
        <w:rPr>
          <w:rFonts w:ascii="Times New Roman" w:hAnsi="Times New Roman" w:eastAsia="宋体" w:cs="Times New Roman"/>
          <w:highlight w:val="none"/>
        </w:rPr>
      </w:pPr>
    </w:p>
    <w:p>
      <w:pPr>
        <w:pStyle w:val="22"/>
        <w:rPr>
          <w:highlight w:val="none"/>
        </w:rPr>
      </w:pPr>
    </w:p>
    <w:p>
      <w:pPr>
        <w:pStyle w:val="3"/>
        <w:numPr>
          <w:ilvl w:val="0"/>
          <w:numId w:val="0"/>
        </w:numPr>
        <w:tabs>
          <w:tab w:val="left" w:pos="0"/>
          <w:tab w:val="left" w:pos="3165"/>
          <w:tab w:val="center" w:pos="4153"/>
        </w:tabs>
        <w:autoSpaceDE w:val="0"/>
        <w:autoSpaceDN w:val="0"/>
        <w:adjustRightInd w:val="0"/>
        <w:spacing w:before="0" w:after="0" w:line="440" w:lineRule="exact"/>
        <w:jc w:val="center"/>
        <w:rPr>
          <w:rFonts w:hint="eastAsia" w:ascii="宋体" w:hAnsi="宋体" w:eastAsia="宋体" w:cs="宋体"/>
          <w:color w:val="000000"/>
          <w:sz w:val="32"/>
          <w:szCs w:val="32"/>
          <w:highlight w:val="none"/>
          <w:lang w:eastAsia="zh-CN"/>
        </w:rPr>
      </w:pPr>
      <w:bookmarkStart w:id="2" w:name="_Toc17383610"/>
      <w:bookmarkStart w:id="3" w:name="_Toc9157"/>
      <w:r>
        <w:rPr>
          <w:rFonts w:hint="eastAsia" w:ascii="宋体" w:hAnsi="宋体" w:cs="宋体"/>
          <w:color w:val="000000"/>
          <w:sz w:val="32"/>
          <w:szCs w:val="32"/>
          <w:highlight w:val="none"/>
          <w:lang w:eastAsia="zh-CN"/>
        </w:rPr>
        <w:t>第一章 公开招标公告</w:t>
      </w:r>
      <w:bookmarkEnd w:id="2"/>
      <w:bookmarkEnd w:id="3"/>
    </w:p>
    <w:tbl>
      <w:tblPr>
        <w:tblStyle w:val="15"/>
        <w:tblpPr w:leftFromText="180" w:rightFromText="180" w:vertAnchor="text" w:tblpXSpec="center" w:tblpY="13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9680" w:type="dxa"/>
            <w:noWrap w:val="0"/>
            <w:vAlign w:val="top"/>
          </w:tcPr>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rPr>
            </w:pPr>
            <w:bookmarkStart w:id="4" w:name="_Toc28359002"/>
            <w:bookmarkStart w:id="5" w:name="_Toc35393621"/>
            <w:bookmarkStart w:id="6" w:name="_Toc28359079"/>
            <w:bookmarkStart w:id="7" w:name="_Toc35393790"/>
            <w:bookmarkStart w:id="8" w:name="_Hlk24379207"/>
            <w:r>
              <w:rPr>
                <w:rFonts w:hint="eastAsia" w:ascii="宋体" w:hAnsi="宋体" w:eastAsia="宋体" w:cs="宋体"/>
                <w:color w:val="000000"/>
                <w:sz w:val="21"/>
                <w:szCs w:val="21"/>
                <w:highlight w:val="none"/>
              </w:rPr>
              <w:t>项目概况</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u w:val="single"/>
                <w:lang w:eastAsia="zh-CN"/>
              </w:rPr>
              <w:t>桂林市老城区路灯节能改造项目</w:t>
            </w:r>
            <w:r>
              <w:rPr>
                <w:rFonts w:hint="eastAsia" w:ascii="宋体" w:hAnsi="宋体" w:eastAsia="宋体" w:cs="宋体"/>
                <w:color w:val="000000"/>
                <w:sz w:val="21"/>
                <w:szCs w:val="21"/>
                <w:highlight w:val="none"/>
              </w:rPr>
              <w:t>招标项目的潜在投标人应在</w:t>
            </w:r>
            <w:r>
              <w:rPr>
                <w:rFonts w:hint="eastAsia" w:ascii="宋体" w:hAnsi="宋体" w:cs="宋体"/>
                <w:bCs/>
                <w:color w:val="000000"/>
                <w:sz w:val="21"/>
                <w:szCs w:val="21"/>
                <w:highlight w:val="none"/>
                <w:u w:val="single"/>
                <w:lang w:eastAsia="zh-CN"/>
              </w:rPr>
              <w:t>广西政府采购云平台</w:t>
            </w:r>
            <w:r>
              <w:rPr>
                <w:rFonts w:hint="eastAsia" w:ascii="宋体" w:hAnsi="宋体" w:eastAsia="宋体" w:cs="宋体"/>
                <w:bCs/>
                <w:color w:val="000000"/>
                <w:sz w:val="21"/>
                <w:szCs w:val="21"/>
                <w:highlight w:val="none"/>
                <w:u w:val="single"/>
              </w:rPr>
              <w:t>（</w:t>
            </w:r>
            <w:r>
              <w:rPr>
                <w:rFonts w:hint="eastAsia" w:ascii="宋体" w:hAnsi="宋体" w:eastAsia="宋体" w:cs="宋体"/>
                <w:bCs/>
                <w:color w:val="000000"/>
                <w:sz w:val="21"/>
                <w:szCs w:val="21"/>
                <w:highlight w:val="none"/>
                <w:u w:val="single"/>
              </w:rPr>
              <w:fldChar w:fldCharType="begin"/>
            </w:r>
            <w:r>
              <w:rPr>
                <w:rFonts w:hint="eastAsia" w:ascii="宋体" w:hAnsi="宋体" w:eastAsia="宋体" w:cs="宋体"/>
                <w:bCs/>
                <w:color w:val="000000"/>
                <w:sz w:val="21"/>
                <w:szCs w:val="21"/>
                <w:highlight w:val="none"/>
                <w:u w:val="single"/>
              </w:rPr>
              <w:instrText xml:space="preserve"> HYPERLINK "http://www.zcygov.cn）获取采购文件，并于2022年2月" </w:instrText>
            </w:r>
            <w:r>
              <w:rPr>
                <w:rFonts w:hint="eastAsia" w:ascii="宋体" w:hAnsi="宋体" w:eastAsia="宋体" w:cs="宋体"/>
                <w:bCs/>
                <w:color w:val="000000"/>
                <w:sz w:val="21"/>
                <w:szCs w:val="21"/>
                <w:highlight w:val="none"/>
                <w:u w:val="single"/>
              </w:rPr>
              <w:fldChar w:fldCharType="separate"/>
            </w:r>
            <w:r>
              <w:rPr>
                <w:rFonts w:hint="eastAsia" w:ascii="宋体" w:hAnsi="宋体" w:cs="宋体"/>
                <w:bCs/>
                <w:color w:val="000000"/>
                <w:sz w:val="21"/>
                <w:szCs w:val="21"/>
                <w:highlight w:val="none"/>
                <w:u w:val="single"/>
                <w:lang w:eastAsia="zh-CN"/>
              </w:rPr>
              <w:t>https://www.gcy.zfcg.gxzf.gov.cn/</w:t>
            </w:r>
            <w:r>
              <w:rPr>
                <w:rFonts w:hint="eastAsia" w:ascii="宋体" w:hAnsi="宋体" w:eastAsia="宋体" w:cs="宋体"/>
                <w:bCs/>
                <w:color w:val="000000"/>
                <w:sz w:val="21"/>
                <w:szCs w:val="21"/>
                <w:highlight w:val="none"/>
                <w:u w:val="single"/>
              </w:rPr>
              <w:t>）</w:t>
            </w:r>
            <w:r>
              <w:rPr>
                <w:rFonts w:hint="eastAsia" w:ascii="宋体" w:hAnsi="宋体" w:eastAsia="宋体" w:cs="宋体"/>
                <w:bCs/>
                <w:color w:val="000000"/>
                <w:sz w:val="21"/>
                <w:szCs w:val="21"/>
                <w:highlight w:val="none"/>
                <w:u w:val="single"/>
              </w:rPr>
              <w:fldChar w:fldCharType="end"/>
            </w:r>
            <w:r>
              <w:rPr>
                <w:rFonts w:hint="eastAsia" w:ascii="宋体" w:hAnsi="宋体" w:eastAsia="宋体" w:cs="宋体"/>
                <w:color w:val="000000"/>
                <w:sz w:val="21"/>
                <w:szCs w:val="21"/>
                <w:highlight w:val="none"/>
              </w:rPr>
              <w:t>获取招标文件，并于</w:t>
            </w:r>
            <w:r>
              <w:rPr>
                <w:rFonts w:hint="eastAsia" w:ascii="宋体" w:hAnsi="宋体" w:eastAsia="宋体" w:cs="宋体"/>
                <w:color w:val="auto"/>
                <w:sz w:val="21"/>
                <w:szCs w:val="21"/>
                <w:highlight w:val="none"/>
                <w:u w:val="single"/>
                <w:lang w:val="en-US" w:eastAsia="zh-CN"/>
              </w:rPr>
              <w:t>2024</w:t>
            </w:r>
            <w:r>
              <w:rPr>
                <w:rFonts w:hint="eastAsia" w:ascii="宋体" w:hAnsi="宋体" w:eastAsia="宋体" w:cs="宋体"/>
                <w:bCs/>
                <w:color w:val="auto"/>
                <w:sz w:val="21"/>
                <w:szCs w:val="21"/>
                <w:highlight w:val="none"/>
                <w:u w:val="single"/>
              </w:rPr>
              <w:t>年</w:t>
            </w:r>
            <w:r>
              <w:rPr>
                <w:rFonts w:hint="eastAsia" w:ascii="宋体" w:hAnsi="宋体" w:cs="宋体"/>
                <w:bCs/>
                <w:color w:val="auto"/>
                <w:sz w:val="21"/>
                <w:szCs w:val="21"/>
                <w:highlight w:val="none"/>
                <w:u w:val="single"/>
                <w:lang w:val="en-US" w:eastAsia="zh-CN"/>
              </w:rPr>
              <w:t>4</w:t>
            </w:r>
            <w:r>
              <w:rPr>
                <w:rFonts w:hint="eastAsia" w:ascii="宋体" w:hAnsi="宋体" w:eastAsia="宋体" w:cs="宋体"/>
                <w:bCs/>
                <w:color w:val="auto"/>
                <w:sz w:val="21"/>
                <w:szCs w:val="21"/>
                <w:highlight w:val="none"/>
                <w:u w:val="single"/>
              </w:rPr>
              <w:t>月</w:t>
            </w:r>
            <w:r>
              <w:rPr>
                <w:rFonts w:hint="eastAsia" w:ascii="宋体" w:hAnsi="宋体" w:cs="宋体"/>
                <w:bCs/>
                <w:color w:val="auto"/>
                <w:sz w:val="21"/>
                <w:szCs w:val="21"/>
                <w:highlight w:val="none"/>
                <w:u w:val="single"/>
                <w:lang w:val="en-US" w:eastAsia="zh-CN"/>
              </w:rPr>
              <w:t>15</w:t>
            </w:r>
            <w:r>
              <w:rPr>
                <w:rFonts w:hint="eastAsia" w:ascii="宋体" w:hAnsi="宋体" w:eastAsia="宋体" w:cs="宋体"/>
                <w:bCs/>
                <w:color w:val="auto"/>
                <w:sz w:val="21"/>
                <w:szCs w:val="21"/>
                <w:highlight w:val="none"/>
                <w:u w:val="single"/>
              </w:rPr>
              <w:t>日9时30分</w:t>
            </w:r>
            <w:r>
              <w:rPr>
                <w:rFonts w:hint="eastAsia" w:ascii="宋体" w:hAnsi="宋体" w:eastAsia="宋体" w:cs="宋体"/>
                <w:bCs/>
                <w:color w:val="000000"/>
                <w:sz w:val="21"/>
                <w:szCs w:val="21"/>
                <w:highlight w:val="none"/>
              </w:rPr>
              <w:t>（北京时间）前递交投标文件</w:t>
            </w:r>
            <w:r>
              <w:rPr>
                <w:rFonts w:hint="eastAsia" w:ascii="宋体" w:hAnsi="宋体" w:eastAsia="宋体" w:cs="宋体"/>
                <w:color w:val="000000"/>
                <w:sz w:val="21"/>
                <w:szCs w:val="21"/>
                <w:highlight w:val="none"/>
              </w:rPr>
              <w:t>。</w:t>
            </w:r>
          </w:p>
        </w:tc>
      </w:tr>
    </w:tbl>
    <w:p>
      <w:pPr>
        <w:keepNext w:val="0"/>
        <w:keepLines w:val="0"/>
        <w:pageBreakBefore w:val="0"/>
        <w:widowControl w:val="0"/>
        <w:kinsoku/>
        <w:wordWrap w:val="0"/>
        <w:overflowPunct/>
        <w:topLinePunct w:val="0"/>
        <w:autoSpaceDE/>
        <w:autoSpaceDN/>
        <w:bidi w:val="0"/>
        <w:adjustRightInd/>
        <w:snapToGrid/>
        <w:spacing w:line="400" w:lineRule="exact"/>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一、项目基本情况</w:t>
      </w:r>
      <w:bookmarkEnd w:id="4"/>
      <w:bookmarkEnd w:id="5"/>
      <w:bookmarkEnd w:id="6"/>
      <w:bookmarkEnd w:id="7"/>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FF0000"/>
          <w:sz w:val="21"/>
          <w:szCs w:val="21"/>
          <w:highlight w:val="none"/>
        </w:rPr>
      </w:pPr>
      <w:r>
        <w:rPr>
          <w:rFonts w:hint="eastAsia" w:ascii="宋体" w:hAnsi="宋体" w:eastAsia="宋体" w:cs="宋体"/>
          <w:sz w:val="21"/>
          <w:szCs w:val="21"/>
          <w:highlight w:val="none"/>
        </w:rPr>
        <w:t>项目编号：GLZC2024-G3-990433-GXJZ</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项目名称：</w:t>
      </w:r>
      <w:r>
        <w:rPr>
          <w:rFonts w:hint="eastAsia" w:ascii="宋体" w:hAnsi="宋体" w:eastAsia="宋体" w:cs="宋体"/>
          <w:sz w:val="21"/>
          <w:szCs w:val="21"/>
          <w:highlight w:val="none"/>
          <w:lang w:eastAsia="zh-CN"/>
        </w:rPr>
        <w:t>桂林市老城区路灯节能改造项目</w:t>
      </w:r>
      <w:bookmarkEnd w:id="8"/>
      <w:bookmarkStart w:id="69" w:name="_GoBack"/>
      <w:bookmarkEnd w:id="69"/>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采购需求：</w:t>
      </w:r>
    </w:p>
    <w:tbl>
      <w:tblPr>
        <w:tblStyle w:val="15"/>
        <w:tblpPr w:leftFromText="180" w:rightFromText="180" w:vertAnchor="text" w:horzAnchor="page" w:tblpXSpec="center" w:tblpY="6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686"/>
        <w:gridCol w:w="992"/>
        <w:gridCol w:w="992"/>
        <w:gridCol w:w="3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17" w:type="dxa"/>
            <w:shd w:val="clear" w:color="auto" w:fill="91ABDF" w:themeFill="accent1" w:themeFillTint="99"/>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bCs/>
                <w:sz w:val="21"/>
                <w:szCs w:val="21"/>
                <w:highlight w:val="none"/>
                <w:u w:val="none"/>
              </w:rPr>
            </w:pPr>
            <w:r>
              <w:rPr>
                <w:rFonts w:hint="eastAsia" w:ascii="宋体" w:hAnsi="宋体" w:eastAsia="宋体" w:cs="宋体"/>
                <w:b/>
                <w:bCs/>
                <w:sz w:val="21"/>
                <w:szCs w:val="21"/>
                <w:highlight w:val="none"/>
                <w:u w:val="none"/>
              </w:rPr>
              <w:t>项号</w:t>
            </w:r>
          </w:p>
        </w:tc>
        <w:tc>
          <w:tcPr>
            <w:tcW w:w="3686" w:type="dxa"/>
            <w:shd w:val="clear" w:color="auto" w:fill="91ABDF" w:themeFill="accent1" w:themeFillTint="99"/>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bCs/>
                <w:sz w:val="21"/>
                <w:szCs w:val="21"/>
                <w:highlight w:val="none"/>
                <w:u w:val="none"/>
              </w:rPr>
            </w:pPr>
            <w:r>
              <w:rPr>
                <w:rFonts w:hint="eastAsia" w:ascii="宋体" w:hAnsi="宋体" w:eastAsia="宋体" w:cs="宋体"/>
                <w:b/>
                <w:bCs/>
                <w:sz w:val="21"/>
                <w:szCs w:val="21"/>
                <w:highlight w:val="none"/>
                <w:u w:val="none"/>
              </w:rPr>
              <w:t>项目名称</w:t>
            </w:r>
          </w:p>
        </w:tc>
        <w:tc>
          <w:tcPr>
            <w:tcW w:w="992" w:type="dxa"/>
            <w:shd w:val="clear" w:color="auto" w:fill="91ABDF" w:themeFill="accent1" w:themeFillTint="99"/>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bCs/>
                <w:sz w:val="21"/>
                <w:szCs w:val="21"/>
                <w:highlight w:val="none"/>
                <w:u w:val="none"/>
              </w:rPr>
            </w:pPr>
            <w:r>
              <w:rPr>
                <w:rFonts w:hint="eastAsia" w:ascii="宋体" w:hAnsi="宋体" w:eastAsia="宋体" w:cs="宋体"/>
                <w:b/>
                <w:bCs/>
                <w:sz w:val="21"/>
                <w:szCs w:val="21"/>
                <w:highlight w:val="none"/>
                <w:u w:val="none"/>
              </w:rPr>
              <w:t>数量</w:t>
            </w:r>
          </w:p>
        </w:tc>
        <w:tc>
          <w:tcPr>
            <w:tcW w:w="992" w:type="dxa"/>
            <w:shd w:val="clear" w:color="auto" w:fill="91ABDF" w:themeFill="accent1" w:themeFillTint="99"/>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bCs/>
                <w:sz w:val="21"/>
                <w:szCs w:val="21"/>
                <w:highlight w:val="none"/>
                <w:u w:val="none"/>
              </w:rPr>
            </w:pPr>
            <w:r>
              <w:rPr>
                <w:rFonts w:hint="eastAsia" w:ascii="宋体" w:hAnsi="宋体" w:eastAsia="宋体" w:cs="宋体"/>
                <w:b/>
                <w:bCs/>
                <w:sz w:val="21"/>
                <w:szCs w:val="21"/>
                <w:highlight w:val="none"/>
                <w:u w:val="none"/>
              </w:rPr>
              <w:t>单位</w:t>
            </w:r>
          </w:p>
        </w:tc>
        <w:tc>
          <w:tcPr>
            <w:tcW w:w="3208" w:type="dxa"/>
            <w:shd w:val="clear" w:color="auto" w:fill="91ABDF" w:themeFill="accent1" w:themeFillTint="99"/>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bCs/>
                <w:sz w:val="21"/>
                <w:szCs w:val="21"/>
                <w:highlight w:val="none"/>
                <w:u w:val="none"/>
              </w:rPr>
            </w:pPr>
            <w:r>
              <w:rPr>
                <w:rFonts w:hint="eastAsia" w:ascii="宋体" w:hAnsi="宋体" w:eastAsia="宋体" w:cs="宋体"/>
                <w:b/>
                <w:bCs/>
                <w:sz w:val="21"/>
                <w:szCs w:val="21"/>
                <w:highlight w:val="none"/>
                <w:u w:val="none"/>
              </w:rPr>
              <w:t>项目基本概况介绍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17"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rPr>
              <w:t>1</w:t>
            </w:r>
          </w:p>
        </w:tc>
        <w:tc>
          <w:tcPr>
            <w:tcW w:w="3686"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lang w:eastAsia="zh-CN"/>
              </w:rPr>
              <w:t>桂林市老城区路灯节能改造项目</w:t>
            </w:r>
          </w:p>
        </w:tc>
        <w:tc>
          <w:tcPr>
            <w:tcW w:w="992"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rPr>
              <w:t>1</w:t>
            </w:r>
          </w:p>
        </w:tc>
        <w:tc>
          <w:tcPr>
            <w:tcW w:w="992"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rPr>
              <w:t>项</w:t>
            </w:r>
          </w:p>
        </w:tc>
        <w:tc>
          <w:tcPr>
            <w:tcW w:w="3208" w:type="dxa"/>
            <w:noWrap w:val="0"/>
            <w:vAlign w:val="center"/>
          </w:tcPr>
          <w:p>
            <w:pPr>
              <w:keepNext w:val="0"/>
              <w:keepLines w:val="0"/>
              <w:pageBreakBefore w:val="0"/>
              <w:widowControl w:val="0"/>
              <w:kinsoku/>
              <w:wordWrap w:val="0"/>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sz w:val="21"/>
                <w:szCs w:val="21"/>
                <w:highlight w:val="none"/>
                <w:u w:val="none"/>
              </w:rPr>
            </w:pPr>
            <w:r>
              <w:rPr>
                <w:rFonts w:hint="eastAsia" w:ascii="宋体" w:hAnsi="宋体" w:eastAsia="宋体" w:cs="宋体"/>
                <w:sz w:val="21"/>
                <w:szCs w:val="21"/>
                <w:highlight w:val="none"/>
                <w:u w:val="none"/>
              </w:rPr>
              <w:t>详见招标文件</w:t>
            </w:r>
          </w:p>
        </w:tc>
      </w:tr>
    </w:tbl>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合同履约期限：自合同签订次日起至项目运营期结束。</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本项目不接受联合体投标。</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备注：本项目为线上电子招标项目，有意向参与本项目的供应商应当做好参与全流程电子招投标交易的充分准备。</w:t>
      </w:r>
    </w:p>
    <w:p>
      <w:pPr>
        <w:keepNext w:val="0"/>
        <w:keepLines w:val="0"/>
        <w:pageBreakBefore w:val="0"/>
        <w:widowControl w:val="0"/>
        <w:kinsoku/>
        <w:wordWrap w:val="0"/>
        <w:overflowPunct/>
        <w:topLinePunct w:val="0"/>
        <w:autoSpaceDE/>
        <w:autoSpaceDN/>
        <w:bidi w:val="0"/>
        <w:adjustRightInd/>
        <w:snapToGrid/>
        <w:spacing w:line="400" w:lineRule="exact"/>
        <w:textAlignment w:val="auto"/>
        <w:rPr>
          <w:rFonts w:hint="eastAsia" w:ascii="宋体" w:hAnsi="宋体" w:eastAsia="宋体" w:cs="宋体"/>
          <w:b/>
          <w:sz w:val="21"/>
          <w:szCs w:val="21"/>
          <w:highlight w:val="none"/>
          <w:lang w:eastAsia="zh-CN"/>
        </w:rPr>
      </w:pPr>
      <w:r>
        <w:rPr>
          <w:rFonts w:hint="eastAsia" w:ascii="宋体" w:hAnsi="宋体" w:eastAsia="宋体" w:cs="宋体"/>
          <w:b/>
          <w:sz w:val="21"/>
          <w:szCs w:val="21"/>
          <w:highlight w:val="none"/>
        </w:rPr>
        <w:t>二、申请人的资格要求</w:t>
      </w:r>
      <w:r>
        <w:rPr>
          <w:rFonts w:hint="eastAsia" w:ascii="宋体" w:hAnsi="宋体" w:eastAsia="宋体" w:cs="宋体"/>
          <w:b/>
          <w:sz w:val="21"/>
          <w:szCs w:val="21"/>
          <w:highlight w:val="none"/>
          <w:lang w:eastAsia="zh-CN"/>
        </w:rPr>
        <w:t>：</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 w:val="21"/>
          <w:szCs w:val="21"/>
          <w:highlight w:val="none"/>
        </w:rPr>
      </w:pPr>
      <w:bookmarkStart w:id="9" w:name="_Toc28359081"/>
      <w:bookmarkStart w:id="10" w:name="_Toc28359004"/>
      <w:r>
        <w:rPr>
          <w:rFonts w:hint="eastAsia" w:ascii="宋体" w:hAnsi="宋体" w:eastAsia="宋体" w:cs="宋体"/>
          <w:bCs/>
          <w:sz w:val="21"/>
          <w:szCs w:val="21"/>
          <w:highlight w:val="none"/>
        </w:rPr>
        <w:t>1.满足《中华人民共和国政府采购法》第二十二条规定；</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2.落实政府采购政策需满足的资格要求：本项目专门面向中小微企业采购</w:t>
      </w:r>
      <w:r>
        <w:rPr>
          <w:rFonts w:hint="eastAsia" w:ascii="宋体" w:hAnsi="宋体" w:cs="宋体"/>
          <w:bCs/>
          <w:sz w:val="21"/>
          <w:szCs w:val="21"/>
          <w:highlight w:val="none"/>
          <w:lang w:val="en-US" w:eastAsia="zh-CN"/>
        </w:rPr>
        <w:t>,</w:t>
      </w:r>
      <w:r>
        <w:rPr>
          <w:rFonts w:hint="eastAsia" w:ascii="宋体" w:hAnsi="宋体" w:eastAsia="宋体" w:cs="宋体"/>
          <w:bCs/>
          <w:sz w:val="21"/>
          <w:szCs w:val="21"/>
          <w:highlight w:val="none"/>
        </w:rPr>
        <w:t>供应商须满足</w:t>
      </w:r>
      <w:r>
        <w:rPr>
          <w:rFonts w:hint="eastAsia" w:ascii="宋体" w:hAnsi="宋体" w:eastAsia="宋体" w:cs="宋体"/>
          <w:kern w:val="0"/>
          <w:sz w:val="21"/>
          <w:szCs w:val="21"/>
          <w:highlight w:val="none"/>
        </w:rPr>
        <w:t>《政府采购促进中小企业发展管理办法》（财库〔2020〕46号）</w:t>
      </w:r>
      <w:r>
        <w:rPr>
          <w:rFonts w:hint="eastAsia" w:ascii="宋体" w:hAnsi="宋体" w:eastAsia="宋体" w:cs="宋体"/>
          <w:bCs/>
          <w:sz w:val="21"/>
          <w:szCs w:val="21"/>
          <w:highlight w:val="none"/>
        </w:rPr>
        <w:t>第二条规定；根据</w:t>
      </w:r>
      <w:r>
        <w:rPr>
          <w:rFonts w:hint="eastAsia" w:ascii="宋体" w:hAnsi="宋体" w:eastAsia="宋体" w:cs="宋体"/>
          <w:kern w:val="0"/>
          <w:sz w:val="21"/>
          <w:szCs w:val="21"/>
          <w:highlight w:val="none"/>
        </w:rPr>
        <w:t>《关于政府采购支持监狱企业发展有关问题的通知》（财库〔2014〕68号）</w:t>
      </w:r>
      <w:r>
        <w:rPr>
          <w:rFonts w:hint="eastAsia" w:ascii="宋体" w:hAnsi="宋体" w:eastAsia="宋体" w:cs="宋体"/>
          <w:bCs/>
          <w:sz w:val="21"/>
          <w:szCs w:val="21"/>
          <w:highlight w:val="none"/>
        </w:rPr>
        <w:t>及</w:t>
      </w:r>
      <w:r>
        <w:rPr>
          <w:rFonts w:hint="eastAsia" w:ascii="宋体" w:hAnsi="宋体" w:eastAsia="宋体" w:cs="宋体"/>
          <w:kern w:val="0"/>
          <w:sz w:val="21"/>
          <w:szCs w:val="21"/>
          <w:highlight w:val="none"/>
        </w:rPr>
        <w:t>《关于促进残疾人就业政府采购政策的通知》（财库〔2017〕141号）</w:t>
      </w:r>
      <w:r>
        <w:rPr>
          <w:rFonts w:hint="eastAsia" w:ascii="宋体" w:hAnsi="宋体" w:eastAsia="宋体" w:cs="宋体"/>
          <w:bCs/>
          <w:sz w:val="21"/>
          <w:szCs w:val="21"/>
          <w:highlight w:val="none"/>
        </w:rPr>
        <w:t>的规定，监狱企业、残疾人福利单位视同小型、微型企业。</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3.本项目的特定资格要求：无</w:t>
      </w:r>
    </w:p>
    <w:bookmarkEnd w:id="9"/>
    <w:bookmarkEnd w:id="10"/>
    <w:p>
      <w:pPr>
        <w:keepNext w:val="0"/>
        <w:keepLines w:val="0"/>
        <w:pageBreakBefore w:val="0"/>
        <w:widowControl w:val="0"/>
        <w:kinsoku/>
        <w:wordWrap w:val="0"/>
        <w:overflowPunct/>
        <w:topLinePunct w:val="0"/>
        <w:autoSpaceDE/>
        <w:autoSpaceDN/>
        <w:bidi w:val="0"/>
        <w:adjustRightInd/>
        <w:snapToGrid/>
        <w:spacing w:line="400" w:lineRule="exact"/>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三、获取招标文件</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时间：</w:t>
      </w:r>
      <w:r>
        <w:rPr>
          <w:rFonts w:hint="eastAsia" w:ascii="宋体" w:hAnsi="宋体" w:eastAsia="宋体" w:cs="宋体"/>
          <w:sz w:val="21"/>
          <w:szCs w:val="21"/>
          <w:highlight w:val="none"/>
          <w:lang w:val="en-US" w:eastAsia="zh-CN"/>
        </w:rPr>
        <w:t>2024</w:t>
      </w:r>
      <w:r>
        <w:rPr>
          <w:rFonts w:hint="eastAsia" w:ascii="宋体" w:hAnsi="宋体" w:eastAsia="宋体" w:cs="宋体"/>
          <w:sz w:val="21"/>
          <w:szCs w:val="21"/>
          <w:highlight w:val="none"/>
        </w:rPr>
        <w:t>年</w:t>
      </w: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rPr>
        <w:t>月</w:t>
      </w:r>
      <w:r>
        <w:rPr>
          <w:rFonts w:hint="eastAsia" w:ascii="宋体" w:hAnsi="宋体" w:cs="宋体"/>
          <w:sz w:val="21"/>
          <w:szCs w:val="21"/>
          <w:highlight w:val="none"/>
          <w:lang w:val="en-US" w:eastAsia="zh-CN"/>
        </w:rPr>
        <w:t>25</w:t>
      </w:r>
      <w:r>
        <w:rPr>
          <w:rFonts w:hint="eastAsia" w:ascii="宋体" w:hAnsi="宋体" w:eastAsia="宋体" w:cs="宋体"/>
          <w:sz w:val="21"/>
          <w:szCs w:val="21"/>
          <w:highlight w:val="none"/>
        </w:rPr>
        <w:t>日至</w:t>
      </w:r>
      <w:r>
        <w:rPr>
          <w:rFonts w:hint="eastAsia" w:ascii="宋体" w:hAnsi="宋体" w:eastAsia="宋体" w:cs="宋体"/>
          <w:sz w:val="21"/>
          <w:szCs w:val="21"/>
          <w:highlight w:val="none"/>
          <w:lang w:val="en-US" w:eastAsia="zh-CN"/>
        </w:rPr>
        <w:t>2024</w:t>
      </w:r>
      <w:r>
        <w:rPr>
          <w:rFonts w:hint="eastAsia" w:ascii="宋体" w:hAnsi="宋体" w:eastAsia="宋体" w:cs="宋体"/>
          <w:sz w:val="21"/>
          <w:szCs w:val="21"/>
          <w:highlight w:val="none"/>
        </w:rPr>
        <w:t>年</w:t>
      </w: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rPr>
        <w:t>月</w:t>
      </w:r>
      <w:r>
        <w:rPr>
          <w:rFonts w:hint="eastAsia" w:ascii="宋体" w:hAnsi="宋体" w:cs="宋体"/>
          <w:sz w:val="21"/>
          <w:szCs w:val="21"/>
          <w:highlight w:val="none"/>
          <w:lang w:val="en-US" w:eastAsia="zh-CN"/>
        </w:rPr>
        <w:t>15</w:t>
      </w:r>
      <w:r>
        <w:rPr>
          <w:rFonts w:hint="eastAsia" w:ascii="宋体" w:hAnsi="宋体" w:eastAsia="宋体" w:cs="宋体"/>
          <w:sz w:val="21"/>
          <w:szCs w:val="21"/>
          <w:highlight w:val="none"/>
        </w:rPr>
        <w:t>日，每天上午00:00至12:00，下午12:00至23:59（北京时间，法定节假日除外）</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地点（网址）：</w:t>
      </w:r>
      <w:bookmarkStart w:id="11" w:name="_Hlk95554325"/>
      <w:r>
        <w:rPr>
          <w:rFonts w:hint="eastAsia" w:ascii="宋体" w:hAnsi="宋体" w:cs="宋体"/>
          <w:sz w:val="21"/>
          <w:szCs w:val="21"/>
          <w:highlight w:val="none"/>
          <w:lang w:eastAsia="zh-CN"/>
        </w:rPr>
        <w:t>广西政府采购云平台</w:t>
      </w:r>
      <w:r>
        <w:rPr>
          <w:rFonts w:hint="eastAsia" w:ascii="宋体" w:hAnsi="宋体" w:eastAsia="宋体" w:cs="宋体"/>
          <w:sz w:val="21"/>
          <w:szCs w:val="21"/>
          <w:highlight w:val="none"/>
        </w:rPr>
        <w:t>（</w:t>
      </w:r>
      <w:r>
        <w:rPr>
          <w:rFonts w:hint="eastAsia" w:ascii="宋体" w:hAnsi="宋体" w:cs="宋体"/>
          <w:sz w:val="21"/>
          <w:szCs w:val="21"/>
          <w:highlight w:val="none"/>
          <w:lang w:eastAsia="zh-CN"/>
        </w:rPr>
        <w:t>https://www.gcy.zfcg.gxzf.gov.cn/</w:t>
      </w:r>
      <w:r>
        <w:rPr>
          <w:rFonts w:hint="eastAsia" w:ascii="宋体" w:hAnsi="宋体" w:eastAsia="宋体" w:cs="宋体"/>
          <w:sz w:val="21"/>
          <w:szCs w:val="21"/>
          <w:highlight w:val="none"/>
        </w:rPr>
        <w:t>）</w:t>
      </w:r>
      <w:bookmarkEnd w:id="11"/>
      <w:r>
        <w:rPr>
          <w:rFonts w:hint="eastAsia" w:ascii="宋体" w:hAnsi="宋体" w:eastAsia="宋体" w:cs="宋体"/>
          <w:sz w:val="21"/>
          <w:szCs w:val="21"/>
          <w:highlight w:val="none"/>
        </w:rPr>
        <w:t>。</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方式：供应商登录</w:t>
      </w:r>
      <w:r>
        <w:rPr>
          <w:rFonts w:hint="eastAsia" w:ascii="宋体" w:hAnsi="宋体" w:cs="宋体"/>
          <w:sz w:val="21"/>
          <w:szCs w:val="21"/>
          <w:highlight w:val="none"/>
          <w:lang w:eastAsia="zh-CN"/>
        </w:rPr>
        <w:t>广西政府采购云平台</w:t>
      </w:r>
      <w:r>
        <w:rPr>
          <w:rFonts w:hint="eastAsia" w:ascii="宋体" w:hAnsi="宋体" w:eastAsia="宋体" w:cs="宋体"/>
          <w:sz w:val="21"/>
          <w:szCs w:val="21"/>
          <w:highlight w:val="none"/>
        </w:rPr>
        <w:t>（</w:t>
      </w:r>
      <w:r>
        <w:rPr>
          <w:rFonts w:hint="eastAsia" w:ascii="宋体" w:hAnsi="宋体" w:cs="宋体"/>
          <w:sz w:val="21"/>
          <w:szCs w:val="21"/>
          <w:highlight w:val="none"/>
          <w:lang w:eastAsia="zh-CN"/>
        </w:rPr>
        <w:t>https://www.gcy.zfcg.gxzf.gov.cn/</w:t>
      </w:r>
      <w:r>
        <w:rPr>
          <w:rFonts w:hint="eastAsia" w:ascii="宋体" w:hAnsi="宋体" w:eastAsia="宋体" w:cs="宋体"/>
          <w:sz w:val="21"/>
          <w:szCs w:val="21"/>
          <w:highlight w:val="none"/>
        </w:rPr>
        <w:t>）在线申请获取采购文件（进入“项目采购”应用，在获取采购文件菜单中选择项目，申请获取采购文件）</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售价（元）：0</w:t>
      </w:r>
    </w:p>
    <w:p>
      <w:pPr>
        <w:keepNext w:val="0"/>
        <w:keepLines w:val="0"/>
        <w:pageBreakBefore w:val="0"/>
        <w:widowControl w:val="0"/>
        <w:kinsoku/>
        <w:wordWrap w:val="0"/>
        <w:overflowPunct/>
        <w:topLinePunct w:val="0"/>
        <w:autoSpaceDE/>
        <w:autoSpaceDN/>
        <w:bidi w:val="0"/>
        <w:adjustRightInd/>
        <w:snapToGrid/>
        <w:spacing w:line="400" w:lineRule="exact"/>
        <w:textAlignment w:val="auto"/>
        <w:rPr>
          <w:rFonts w:hint="eastAsia" w:ascii="宋体" w:hAnsi="宋体" w:eastAsia="宋体" w:cs="宋体"/>
          <w:b/>
          <w:sz w:val="21"/>
          <w:szCs w:val="21"/>
          <w:highlight w:val="none"/>
        </w:rPr>
      </w:pPr>
      <w:bookmarkStart w:id="12" w:name="_Toc28359082"/>
      <w:bookmarkStart w:id="13" w:name="_Toc28359005"/>
      <w:bookmarkStart w:id="14" w:name="_Toc35393624"/>
      <w:bookmarkStart w:id="15" w:name="_Toc35393793"/>
      <w:r>
        <w:rPr>
          <w:rFonts w:hint="eastAsia" w:ascii="宋体" w:hAnsi="宋体" w:eastAsia="宋体" w:cs="宋体"/>
          <w:b/>
          <w:sz w:val="21"/>
          <w:szCs w:val="21"/>
          <w:highlight w:val="none"/>
        </w:rPr>
        <w:t>四、提交投标文件</w:t>
      </w:r>
      <w:bookmarkEnd w:id="12"/>
      <w:bookmarkEnd w:id="13"/>
      <w:r>
        <w:rPr>
          <w:rFonts w:hint="eastAsia" w:ascii="宋体" w:hAnsi="宋体" w:eastAsia="宋体" w:cs="宋体"/>
          <w:b/>
          <w:sz w:val="21"/>
          <w:szCs w:val="21"/>
          <w:highlight w:val="none"/>
        </w:rPr>
        <w:t>截止时间、开标时间和地点</w:t>
      </w:r>
      <w:bookmarkEnd w:id="14"/>
      <w:bookmarkEnd w:id="15"/>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提交投标文件截止时间：</w:t>
      </w:r>
      <w:r>
        <w:rPr>
          <w:rFonts w:hint="eastAsia" w:ascii="宋体" w:hAnsi="宋体" w:eastAsia="宋体" w:cs="宋体"/>
          <w:sz w:val="21"/>
          <w:szCs w:val="21"/>
          <w:highlight w:val="none"/>
          <w:lang w:val="en-US" w:eastAsia="zh-CN"/>
        </w:rPr>
        <w:t>2024</w:t>
      </w:r>
      <w:r>
        <w:rPr>
          <w:rFonts w:hint="eastAsia" w:ascii="宋体" w:hAnsi="宋体" w:eastAsia="宋体" w:cs="宋体"/>
          <w:sz w:val="21"/>
          <w:szCs w:val="21"/>
          <w:highlight w:val="none"/>
        </w:rPr>
        <w:t>年</w:t>
      </w: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rPr>
        <w:t>月</w:t>
      </w:r>
      <w:r>
        <w:rPr>
          <w:rFonts w:hint="eastAsia" w:ascii="宋体" w:hAnsi="宋体" w:cs="宋体"/>
          <w:sz w:val="21"/>
          <w:szCs w:val="21"/>
          <w:highlight w:val="none"/>
          <w:lang w:val="en-US" w:eastAsia="zh-CN"/>
        </w:rPr>
        <w:t>15</w:t>
      </w:r>
      <w:r>
        <w:rPr>
          <w:rFonts w:hint="eastAsia" w:ascii="宋体" w:hAnsi="宋体" w:eastAsia="宋体" w:cs="宋体"/>
          <w:sz w:val="21"/>
          <w:szCs w:val="21"/>
          <w:highlight w:val="none"/>
        </w:rPr>
        <w:t>日9时30分（北京时间）</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投标地点（网址）：通过</w:t>
      </w:r>
      <w:r>
        <w:rPr>
          <w:rFonts w:hint="eastAsia" w:ascii="宋体" w:hAnsi="宋体" w:cs="宋体"/>
          <w:sz w:val="21"/>
          <w:szCs w:val="21"/>
          <w:highlight w:val="none"/>
          <w:lang w:eastAsia="zh-CN"/>
        </w:rPr>
        <w:t>广西政府采购云平台</w:t>
      </w:r>
      <w:r>
        <w:rPr>
          <w:rFonts w:hint="eastAsia" w:ascii="宋体" w:hAnsi="宋体" w:eastAsia="宋体" w:cs="宋体"/>
          <w:sz w:val="21"/>
          <w:szCs w:val="21"/>
          <w:highlight w:val="none"/>
        </w:rPr>
        <w:t>在线投标。</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开标时间：</w:t>
      </w:r>
      <w:r>
        <w:rPr>
          <w:rFonts w:hint="eastAsia" w:ascii="宋体" w:hAnsi="宋体" w:eastAsia="宋体" w:cs="宋体"/>
          <w:sz w:val="21"/>
          <w:szCs w:val="21"/>
          <w:highlight w:val="none"/>
          <w:lang w:val="en-US" w:eastAsia="zh-CN"/>
        </w:rPr>
        <w:t>2024</w:t>
      </w:r>
      <w:r>
        <w:rPr>
          <w:rFonts w:hint="eastAsia" w:ascii="宋体" w:hAnsi="宋体" w:eastAsia="宋体" w:cs="宋体"/>
          <w:sz w:val="21"/>
          <w:szCs w:val="21"/>
          <w:highlight w:val="none"/>
        </w:rPr>
        <w:t>年</w:t>
      </w: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rPr>
        <w:t>月</w:t>
      </w:r>
      <w:r>
        <w:rPr>
          <w:rFonts w:hint="eastAsia" w:ascii="宋体" w:hAnsi="宋体" w:cs="宋体"/>
          <w:sz w:val="21"/>
          <w:szCs w:val="21"/>
          <w:highlight w:val="none"/>
          <w:lang w:val="en-US" w:eastAsia="zh-CN"/>
        </w:rPr>
        <w:t>15</w:t>
      </w:r>
      <w:r>
        <w:rPr>
          <w:rFonts w:hint="eastAsia" w:ascii="宋体" w:hAnsi="宋体" w:eastAsia="宋体" w:cs="宋体"/>
          <w:sz w:val="21"/>
          <w:szCs w:val="21"/>
          <w:highlight w:val="none"/>
        </w:rPr>
        <w:t>日9时30分</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开标地点：通过</w:t>
      </w:r>
      <w:r>
        <w:rPr>
          <w:rFonts w:hint="eastAsia" w:ascii="宋体" w:hAnsi="宋体" w:cs="宋体"/>
          <w:sz w:val="21"/>
          <w:szCs w:val="21"/>
          <w:highlight w:val="none"/>
          <w:lang w:eastAsia="zh-CN"/>
        </w:rPr>
        <w:t>广西政府采购云平台</w:t>
      </w:r>
      <w:r>
        <w:rPr>
          <w:rFonts w:hint="eastAsia" w:ascii="宋体" w:hAnsi="宋体" w:eastAsia="宋体" w:cs="宋体"/>
          <w:sz w:val="21"/>
          <w:szCs w:val="21"/>
          <w:highlight w:val="none"/>
        </w:rPr>
        <w:t>在线解密开启。</w:t>
      </w:r>
    </w:p>
    <w:p>
      <w:pPr>
        <w:keepNext w:val="0"/>
        <w:keepLines w:val="0"/>
        <w:pageBreakBefore w:val="0"/>
        <w:widowControl w:val="0"/>
        <w:kinsoku/>
        <w:wordWrap w:val="0"/>
        <w:overflowPunct/>
        <w:topLinePunct w:val="0"/>
        <w:autoSpaceDE/>
        <w:autoSpaceDN/>
        <w:bidi w:val="0"/>
        <w:adjustRightInd/>
        <w:snapToGrid/>
        <w:spacing w:line="400" w:lineRule="exact"/>
        <w:textAlignment w:val="auto"/>
        <w:rPr>
          <w:rFonts w:hint="eastAsia" w:ascii="宋体" w:hAnsi="宋体" w:eastAsia="宋体" w:cs="宋体"/>
          <w:b/>
          <w:sz w:val="21"/>
          <w:szCs w:val="21"/>
          <w:highlight w:val="none"/>
        </w:rPr>
      </w:pPr>
      <w:bookmarkStart w:id="16" w:name="_Toc35393794"/>
      <w:bookmarkStart w:id="17" w:name="_Toc35393625"/>
      <w:bookmarkStart w:id="18" w:name="_Toc28359007"/>
      <w:bookmarkStart w:id="19" w:name="_Toc28359084"/>
      <w:r>
        <w:rPr>
          <w:rFonts w:hint="eastAsia" w:ascii="宋体" w:hAnsi="宋体" w:eastAsia="宋体" w:cs="宋体"/>
          <w:b/>
          <w:sz w:val="21"/>
          <w:szCs w:val="21"/>
          <w:highlight w:val="none"/>
        </w:rPr>
        <w:t>五、公告期限</w:t>
      </w:r>
      <w:bookmarkEnd w:id="16"/>
      <w:bookmarkEnd w:id="17"/>
      <w:bookmarkEnd w:id="18"/>
      <w:bookmarkEnd w:id="19"/>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自本公告发布之日起5个工作日。</w:t>
      </w:r>
    </w:p>
    <w:p>
      <w:pPr>
        <w:keepNext w:val="0"/>
        <w:keepLines w:val="0"/>
        <w:pageBreakBefore w:val="0"/>
        <w:widowControl w:val="0"/>
        <w:kinsoku/>
        <w:wordWrap w:val="0"/>
        <w:overflowPunct/>
        <w:topLinePunct w:val="0"/>
        <w:autoSpaceDE/>
        <w:autoSpaceDN/>
        <w:bidi w:val="0"/>
        <w:adjustRightInd/>
        <w:snapToGrid/>
        <w:spacing w:line="400" w:lineRule="exact"/>
        <w:textAlignment w:val="auto"/>
        <w:rPr>
          <w:rFonts w:hint="eastAsia" w:ascii="宋体" w:hAnsi="宋体" w:eastAsia="宋体" w:cs="宋体"/>
          <w:b/>
          <w:sz w:val="21"/>
          <w:szCs w:val="21"/>
          <w:highlight w:val="none"/>
        </w:rPr>
      </w:pPr>
      <w:bookmarkStart w:id="20" w:name="_Toc35393626"/>
      <w:bookmarkStart w:id="21" w:name="_Toc35393795"/>
      <w:bookmarkStart w:id="22" w:name="_Toc28359085"/>
      <w:bookmarkStart w:id="23" w:name="_Toc35393627"/>
      <w:bookmarkStart w:id="24" w:name="_Toc35393796"/>
      <w:bookmarkStart w:id="25" w:name="_Toc28359008"/>
      <w:r>
        <w:rPr>
          <w:rFonts w:hint="eastAsia" w:ascii="宋体" w:hAnsi="宋体" w:eastAsia="宋体" w:cs="宋体"/>
          <w:b/>
          <w:sz w:val="21"/>
          <w:szCs w:val="21"/>
          <w:highlight w:val="none"/>
        </w:rPr>
        <w:t>六、其他补充事宜</w:t>
      </w:r>
      <w:bookmarkEnd w:id="20"/>
      <w:bookmarkEnd w:id="21"/>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2.</w:t>
      </w:r>
      <w:r>
        <w:rPr>
          <w:rFonts w:hint="eastAsia" w:ascii="宋体" w:hAnsi="宋体" w:eastAsia="宋体" w:cs="宋体"/>
          <w:kern w:val="0"/>
          <w:sz w:val="21"/>
          <w:szCs w:val="21"/>
          <w:highlight w:val="none"/>
        </w:rPr>
        <w:t>对在“信用中国”网站(www.creditchina.gov.cn) 、中国政府采购网(www.ccgp.gov.cn)被列入失信被执行人、重大税收违法失信主体、</w:t>
      </w:r>
      <w:r>
        <w:rPr>
          <w:rFonts w:hint="eastAsia" w:ascii="宋体" w:hAnsi="宋体" w:eastAsia="宋体" w:cs="宋体"/>
          <w:sz w:val="21"/>
          <w:szCs w:val="21"/>
          <w:highlight w:val="none"/>
        </w:rPr>
        <w:t>政府采购严重违法失信行为记录名单及其他不符合《中华人民共和国政府采购法》第二十二条规定条件的供应商，不得参与政府采购活动。</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3.</w:t>
      </w:r>
      <w:r>
        <w:rPr>
          <w:rFonts w:hint="eastAsia" w:ascii="宋体" w:hAnsi="宋体" w:eastAsia="宋体" w:cs="宋体"/>
          <w:kern w:val="0"/>
          <w:sz w:val="21"/>
          <w:szCs w:val="21"/>
          <w:highlight w:val="none"/>
        </w:rPr>
        <w:t>本项目需要落实的政府采购政策</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（1）《政府采购促进中小企业发展管理办法》（财库〔2020〕46号）。</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（2）《关于进一步加大政府采购支持中小企业力度的通知》（财库〔2022〕19号）。</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（3）《关于政府采购支持监狱企业发展有关问题的通知》（财库〔2014〕68号）。</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（4）《关于促进残疾人就业政府采购政策的通知》（财库〔2017〕141号）。</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w:t>
      </w:r>
      <w:r>
        <w:rPr>
          <w:rFonts w:hint="eastAsia" w:ascii="宋体" w:hAnsi="宋体" w:cs="宋体"/>
          <w:kern w:val="0"/>
          <w:sz w:val="21"/>
          <w:szCs w:val="21"/>
          <w:highlight w:val="none"/>
          <w:lang w:val="en-US" w:eastAsia="zh-CN"/>
        </w:rPr>
        <w:t>5</w:t>
      </w:r>
      <w:r>
        <w:rPr>
          <w:rFonts w:hint="eastAsia" w:ascii="宋体" w:hAnsi="宋体" w:eastAsia="宋体" w:cs="宋体"/>
          <w:kern w:val="0"/>
          <w:sz w:val="21"/>
          <w:szCs w:val="21"/>
          <w:highlight w:val="none"/>
        </w:rPr>
        <w:t>）本项目专门面向中小微企业采购。</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w:t>
      </w:r>
      <w:r>
        <w:rPr>
          <w:rFonts w:hint="eastAsia" w:ascii="宋体" w:hAnsi="宋体" w:cs="宋体"/>
          <w:kern w:val="0"/>
          <w:sz w:val="21"/>
          <w:szCs w:val="21"/>
          <w:highlight w:val="none"/>
          <w:lang w:val="en-US" w:eastAsia="zh-CN"/>
        </w:rPr>
        <w:t>6</w:t>
      </w:r>
      <w:r>
        <w:rPr>
          <w:rFonts w:hint="eastAsia" w:ascii="宋体" w:hAnsi="宋体" w:eastAsia="宋体" w:cs="宋体"/>
          <w:kern w:val="0"/>
          <w:sz w:val="21"/>
          <w:szCs w:val="21"/>
          <w:highlight w:val="none"/>
        </w:rPr>
        <w:t>）中小企业划分标准所属行业：“其他未列明行业”。</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4.</w:t>
      </w:r>
      <w:r>
        <w:rPr>
          <w:rFonts w:hint="eastAsia" w:ascii="宋体" w:hAnsi="宋体" w:eastAsia="宋体" w:cs="宋体"/>
          <w:kern w:val="0"/>
          <w:sz w:val="21"/>
          <w:szCs w:val="21"/>
          <w:highlight w:val="none"/>
        </w:rPr>
        <w:t>信息公告发布媒体：中国政府采购网（www.ccgp.gov.cn）、广西壮族自治区政府采购网（www.ccgp-guangxi.gov.cn）、桂林市政府采购网（zfcg.czj.guilin.gov.cn）。</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5.投标注意事项：</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（1）投标文件提交方式：本项目为全流程电子化政府采购项目，通过</w:t>
      </w:r>
      <w:r>
        <w:rPr>
          <w:rFonts w:hint="eastAsia" w:ascii="宋体" w:hAnsi="宋体" w:eastAsia="宋体" w:cs="宋体"/>
          <w:kern w:val="0"/>
          <w:sz w:val="21"/>
          <w:szCs w:val="21"/>
          <w:highlight w:val="none"/>
          <w:lang w:eastAsia="zh-CN"/>
        </w:rPr>
        <w:t>广西政府采购云平台</w:t>
      </w:r>
      <w:r>
        <w:rPr>
          <w:rFonts w:hint="eastAsia" w:ascii="宋体" w:hAnsi="宋体" w:eastAsia="宋体" w:cs="宋体"/>
          <w:kern w:val="0"/>
          <w:sz w:val="21"/>
          <w:szCs w:val="21"/>
          <w:highlight w:val="none"/>
        </w:rPr>
        <w:t>（</w:t>
      </w:r>
      <w:r>
        <w:rPr>
          <w:rFonts w:hint="eastAsia" w:ascii="宋体" w:hAnsi="宋体" w:eastAsia="宋体" w:cs="宋体"/>
          <w:kern w:val="0"/>
          <w:sz w:val="21"/>
          <w:szCs w:val="21"/>
          <w:highlight w:val="none"/>
          <w:lang w:eastAsia="zh-CN"/>
        </w:rPr>
        <w:t>https://www.gcy.zfcg.gxzf.gov.cn/</w:t>
      </w:r>
      <w:r>
        <w:rPr>
          <w:rFonts w:hint="eastAsia" w:ascii="宋体" w:hAnsi="宋体" w:eastAsia="宋体" w:cs="宋体"/>
          <w:kern w:val="0"/>
          <w:sz w:val="21"/>
          <w:szCs w:val="21"/>
          <w:highlight w:val="none"/>
        </w:rPr>
        <w:t>）实行在线电子投标，供应商应先安装“</w:t>
      </w:r>
      <w:r>
        <w:rPr>
          <w:rFonts w:hint="eastAsia" w:ascii="宋体" w:hAnsi="宋体" w:eastAsia="宋体" w:cs="宋体"/>
          <w:kern w:val="0"/>
          <w:sz w:val="21"/>
          <w:szCs w:val="21"/>
          <w:highlight w:val="none"/>
          <w:lang w:eastAsia="zh-CN"/>
        </w:rPr>
        <w:t>广西政府采购云</w:t>
      </w:r>
      <w:r>
        <w:rPr>
          <w:rFonts w:hint="eastAsia" w:ascii="宋体" w:hAnsi="宋体" w:eastAsia="宋体" w:cs="宋体"/>
          <w:kern w:val="0"/>
          <w:sz w:val="21"/>
          <w:szCs w:val="21"/>
          <w:highlight w:val="none"/>
        </w:rPr>
        <w:t>电子交易客户端”（请自行前往</w:t>
      </w:r>
      <w:r>
        <w:rPr>
          <w:rFonts w:hint="eastAsia" w:ascii="宋体" w:hAnsi="宋体" w:eastAsia="宋体" w:cs="宋体"/>
          <w:kern w:val="0"/>
          <w:sz w:val="21"/>
          <w:szCs w:val="21"/>
          <w:highlight w:val="none"/>
          <w:lang w:eastAsia="zh-CN"/>
        </w:rPr>
        <w:t>广西政府采购云平台</w:t>
      </w:r>
      <w:r>
        <w:rPr>
          <w:rFonts w:hint="eastAsia" w:ascii="宋体" w:hAnsi="宋体" w:eastAsia="宋体" w:cs="宋体"/>
          <w:kern w:val="0"/>
          <w:sz w:val="21"/>
          <w:szCs w:val="21"/>
          <w:highlight w:val="none"/>
        </w:rPr>
        <w:t>进行下载），并按照本项目招标文件和</w:t>
      </w:r>
      <w:r>
        <w:rPr>
          <w:rFonts w:hint="eastAsia" w:ascii="宋体" w:hAnsi="宋体" w:eastAsia="宋体" w:cs="宋体"/>
          <w:kern w:val="0"/>
          <w:sz w:val="21"/>
          <w:szCs w:val="21"/>
          <w:highlight w:val="none"/>
          <w:lang w:eastAsia="zh-CN"/>
        </w:rPr>
        <w:t>广西政府采购云平台</w:t>
      </w:r>
      <w:r>
        <w:rPr>
          <w:rFonts w:hint="eastAsia" w:ascii="宋体" w:hAnsi="宋体" w:eastAsia="宋体" w:cs="宋体"/>
          <w:kern w:val="0"/>
          <w:sz w:val="21"/>
          <w:szCs w:val="21"/>
          <w:highlight w:val="none"/>
        </w:rPr>
        <w:t>的要求编制、加密后在投标截止时间前通过网络上传至</w:t>
      </w:r>
      <w:r>
        <w:rPr>
          <w:rFonts w:hint="eastAsia" w:ascii="宋体" w:hAnsi="宋体" w:eastAsia="宋体" w:cs="宋体"/>
          <w:kern w:val="0"/>
          <w:sz w:val="21"/>
          <w:szCs w:val="21"/>
          <w:highlight w:val="none"/>
          <w:lang w:eastAsia="zh-CN"/>
        </w:rPr>
        <w:t>广西政府采购云平台</w:t>
      </w:r>
      <w:r>
        <w:rPr>
          <w:rFonts w:hint="eastAsia" w:ascii="宋体" w:hAnsi="宋体" w:eastAsia="宋体" w:cs="宋体"/>
          <w:kern w:val="0"/>
          <w:sz w:val="21"/>
          <w:szCs w:val="21"/>
          <w:highlight w:val="none"/>
        </w:rPr>
        <w:t>，供应商在</w:t>
      </w:r>
      <w:r>
        <w:rPr>
          <w:rFonts w:hint="eastAsia" w:ascii="宋体" w:hAnsi="宋体" w:eastAsia="宋体" w:cs="宋体"/>
          <w:kern w:val="0"/>
          <w:sz w:val="21"/>
          <w:szCs w:val="21"/>
          <w:highlight w:val="none"/>
          <w:lang w:eastAsia="zh-CN"/>
        </w:rPr>
        <w:t>广西政府采购云平台</w:t>
      </w:r>
      <w:r>
        <w:rPr>
          <w:rFonts w:hint="eastAsia" w:ascii="宋体" w:hAnsi="宋体" w:eastAsia="宋体" w:cs="宋体"/>
          <w:kern w:val="0"/>
          <w:sz w:val="21"/>
          <w:szCs w:val="21"/>
          <w:highlight w:val="none"/>
        </w:rPr>
        <w:t>提交电子版投标文件时，请填写参加远程开标活动经办人联系方式。</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（2）供应商应及时熟悉掌握电子标系统操作指南（见</w:t>
      </w:r>
      <w:r>
        <w:rPr>
          <w:rFonts w:hint="eastAsia" w:ascii="宋体" w:hAnsi="宋体" w:eastAsia="宋体" w:cs="宋体"/>
          <w:kern w:val="0"/>
          <w:sz w:val="21"/>
          <w:szCs w:val="21"/>
          <w:highlight w:val="none"/>
          <w:lang w:eastAsia="zh-CN"/>
        </w:rPr>
        <w:t>广西政府采购云</w:t>
      </w:r>
      <w:r>
        <w:rPr>
          <w:rFonts w:hint="eastAsia" w:ascii="宋体" w:hAnsi="宋体" w:eastAsia="宋体" w:cs="宋体"/>
          <w:kern w:val="0"/>
          <w:sz w:val="21"/>
          <w:szCs w:val="21"/>
          <w:highlight w:val="none"/>
        </w:rPr>
        <w:t>电子卖场首页右上角—服务中心—帮助文档—项目采购）：</w:t>
      </w:r>
      <w:r>
        <w:rPr>
          <w:rFonts w:hint="eastAsia" w:ascii="宋体" w:hAnsi="宋体" w:eastAsia="宋体" w:cs="宋体"/>
          <w:kern w:val="0"/>
          <w:sz w:val="21"/>
          <w:szCs w:val="21"/>
          <w:highlight w:val="none"/>
        </w:rPr>
        <w:fldChar w:fldCharType="begin"/>
      </w:r>
      <w:r>
        <w:rPr>
          <w:rFonts w:hint="eastAsia" w:ascii="宋体" w:hAnsi="宋体" w:eastAsia="宋体" w:cs="宋体"/>
          <w:kern w:val="0"/>
          <w:sz w:val="21"/>
          <w:szCs w:val="21"/>
          <w:highlight w:val="none"/>
        </w:rPr>
        <w:instrText xml:space="preserve"> HYPERLINK "https://service.zcygov.cn/#/knowledges/tree?tag=AG1DtGwBFdiHxlNdhY0r" </w:instrText>
      </w:r>
      <w:r>
        <w:rPr>
          <w:rFonts w:hint="eastAsia" w:ascii="宋体" w:hAnsi="宋体" w:eastAsia="宋体" w:cs="宋体"/>
          <w:kern w:val="0"/>
          <w:sz w:val="21"/>
          <w:szCs w:val="21"/>
          <w:highlight w:val="none"/>
        </w:rPr>
        <w:fldChar w:fldCharType="separate"/>
      </w:r>
      <w:r>
        <w:rPr>
          <w:rFonts w:hint="eastAsia" w:ascii="宋体" w:hAnsi="宋体" w:eastAsia="宋体" w:cs="宋体"/>
          <w:kern w:val="0"/>
          <w:sz w:val="21"/>
          <w:szCs w:val="21"/>
          <w:highlight w:val="none"/>
        </w:rPr>
        <w:t>https://service.zcygov.cn/#/knowledges/tree?tag=AG1DtGwBFdiHxlNdhY0r</w:t>
      </w:r>
      <w:r>
        <w:rPr>
          <w:rFonts w:hint="eastAsia" w:ascii="宋体" w:hAnsi="宋体" w:eastAsia="宋体" w:cs="宋体"/>
          <w:kern w:val="0"/>
          <w:sz w:val="21"/>
          <w:szCs w:val="21"/>
          <w:highlight w:val="none"/>
        </w:rPr>
        <w:fldChar w:fldCharType="end"/>
      </w:r>
      <w:r>
        <w:rPr>
          <w:rFonts w:hint="eastAsia" w:ascii="宋体" w:hAnsi="宋体" w:eastAsia="宋体" w:cs="宋体"/>
          <w:kern w:val="0"/>
          <w:sz w:val="21"/>
          <w:szCs w:val="21"/>
          <w:highlight w:val="none"/>
        </w:rPr>
        <w:t>；及时完成CA申领和绑定（见广西壮族自治区政府采购网—办事服务—下载专区-</w:t>
      </w:r>
      <w:r>
        <w:rPr>
          <w:rFonts w:hint="eastAsia" w:ascii="宋体" w:hAnsi="宋体" w:eastAsia="宋体" w:cs="宋体"/>
          <w:kern w:val="0"/>
          <w:sz w:val="21"/>
          <w:szCs w:val="21"/>
          <w:highlight w:val="none"/>
          <w:lang w:eastAsia="zh-CN"/>
        </w:rPr>
        <w:t>广西政府采购云</w:t>
      </w:r>
      <w:r>
        <w:rPr>
          <w:rFonts w:hint="eastAsia" w:ascii="宋体" w:hAnsi="宋体" w:eastAsia="宋体" w:cs="宋体"/>
          <w:kern w:val="0"/>
          <w:sz w:val="21"/>
          <w:szCs w:val="21"/>
          <w:highlight w:val="none"/>
        </w:rPr>
        <w:t>CA证书办理操作指南）。</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未进行网上注册并办理数字证书（CA认证）的供应商将无法参与本项目政府采购活动，潜在供应商应当在投标截止时间前，完成电子交易平台上的CA数字证书办理及投标文件的提交。完成CA数字证书办理预计7日左右，投标人只需办理其中一家CA数字证书及签章，建议各投标人抓紧时间办理。</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（4）为确保网上操作合法、有效和安全，请投标人确保在电子投标过程中能够对相关数据电文进行加密和使用电子签章，妥善保管CA数字证书并使用有效的CA数字证书参与整个采购活动。</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w:t>
      </w:r>
      <w:r>
        <w:rPr>
          <w:rFonts w:hint="eastAsia" w:ascii="宋体" w:hAnsi="宋体" w:eastAsia="宋体" w:cs="宋体"/>
          <w:kern w:val="0"/>
          <w:sz w:val="21"/>
          <w:szCs w:val="21"/>
          <w:highlight w:val="none"/>
          <w:lang w:eastAsia="zh-CN"/>
        </w:rPr>
        <w:t>广西政府采购云平台</w:t>
      </w:r>
      <w:r>
        <w:rPr>
          <w:rFonts w:hint="eastAsia" w:ascii="宋体" w:hAnsi="宋体" w:eastAsia="宋体" w:cs="宋体"/>
          <w:kern w:val="0"/>
          <w:sz w:val="21"/>
          <w:szCs w:val="21"/>
          <w:highlight w:val="none"/>
        </w:rPr>
        <w:t>将予以拒收。</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6.</w:t>
      </w:r>
      <w:r>
        <w:rPr>
          <w:rFonts w:hint="eastAsia" w:ascii="宋体" w:hAnsi="宋体" w:eastAsia="宋体" w:cs="宋体"/>
          <w:kern w:val="0"/>
          <w:sz w:val="21"/>
          <w:szCs w:val="21"/>
          <w:highlight w:val="none"/>
        </w:rPr>
        <w:t>CA证书在线解密：供应商投标时，需携带制作投标文件时用来加密的有效数字证书（CA认证）登录</w:t>
      </w:r>
      <w:r>
        <w:rPr>
          <w:rFonts w:hint="eastAsia" w:ascii="宋体" w:hAnsi="宋体" w:eastAsia="宋体" w:cs="宋体"/>
          <w:kern w:val="0"/>
          <w:sz w:val="21"/>
          <w:szCs w:val="21"/>
          <w:highlight w:val="none"/>
          <w:lang w:eastAsia="zh-CN"/>
        </w:rPr>
        <w:t>广西政府采购云平台</w:t>
      </w:r>
      <w:r>
        <w:rPr>
          <w:rFonts w:hint="eastAsia" w:ascii="宋体" w:hAnsi="宋体" w:eastAsia="宋体" w:cs="宋体"/>
          <w:kern w:val="0"/>
          <w:sz w:val="21"/>
          <w:szCs w:val="21"/>
          <w:highlight w:val="none"/>
        </w:rPr>
        <w:t>电子开标大厅现场按规定时间对加密的投标文件进行解密，否则后果自负。</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 w:val="21"/>
          <w:szCs w:val="21"/>
          <w:highlight w:val="none"/>
        </w:rPr>
      </w:pPr>
      <w:r>
        <w:rPr>
          <w:rFonts w:hint="eastAsia" w:ascii="宋体" w:hAnsi="宋体" w:cs="宋体"/>
          <w:kern w:val="0"/>
          <w:sz w:val="21"/>
          <w:szCs w:val="21"/>
          <w:highlight w:val="none"/>
          <w:lang w:val="en-US" w:eastAsia="zh-CN"/>
        </w:rPr>
        <w:t>7.</w:t>
      </w:r>
      <w:r>
        <w:rPr>
          <w:rFonts w:hint="eastAsia" w:ascii="宋体" w:hAnsi="宋体" w:eastAsia="宋体" w:cs="宋体"/>
          <w:kern w:val="0"/>
          <w:sz w:val="21"/>
          <w:szCs w:val="21"/>
          <w:highlight w:val="none"/>
        </w:rPr>
        <w:t>若对项目采购电子交易系统操作有疑问，可登录</w:t>
      </w:r>
      <w:r>
        <w:rPr>
          <w:rFonts w:hint="eastAsia" w:ascii="宋体" w:hAnsi="宋体" w:eastAsia="宋体" w:cs="宋体"/>
          <w:kern w:val="0"/>
          <w:sz w:val="21"/>
          <w:szCs w:val="21"/>
          <w:highlight w:val="none"/>
          <w:lang w:eastAsia="zh-CN"/>
        </w:rPr>
        <w:t>广西政府采购云平台</w:t>
      </w:r>
      <w:r>
        <w:rPr>
          <w:rFonts w:hint="eastAsia" w:ascii="宋体" w:hAnsi="宋体" w:eastAsia="宋体" w:cs="宋体"/>
          <w:kern w:val="0"/>
          <w:sz w:val="21"/>
          <w:szCs w:val="21"/>
          <w:highlight w:val="none"/>
        </w:rPr>
        <w:t>（</w:t>
      </w:r>
      <w:r>
        <w:rPr>
          <w:rFonts w:hint="eastAsia" w:ascii="宋体" w:hAnsi="宋体" w:eastAsia="宋体" w:cs="宋体"/>
          <w:kern w:val="0"/>
          <w:sz w:val="21"/>
          <w:szCs w:val="21"/>
          <w:highlight w:val="none"/>
          <w:lang w:eastAsia="zh-CN"/>
        </w:rPr>
        <w:t>https://www.gcy.zfcg.gxzf.gov.cn/</w:t>
      </w:r>
      <w:r>
        <w:rPr>
          <w:rFonts w:hint="eastAsia" w:ascii="宋体" w:hAnsi="宋体" w:eastAsia="宋体" w:cs="宋体"/>
          <w:kern w:val="0"/>
          <w:sz w:val="21"/>
          <w:szCs w:val="21"/>
          <w:highlight w:val="none"/>
        </w:rPr>
        <w:t>），点击右侧咨询小采，获取采小蜜智能服务管家帮助，或拨打</w:t>
      </w:r>
      <w:r>
        <w:rPr>
          <w:rFonts w:hint="eastAsia" w:ascii="宋体" w:hAnsi="宋体" w:eastAsia="宋体" w:cs="宋体"/>
          <w:kern w:val="0"/>
          <w:sz w:val="21"/>
          <w:szCs w:val="21"/>
          <w:highlight w:val="none"/>
          <w:lang w:eastAsia="zh-CN"/>
        </w:rPr>
        <w:t>广西政府采购云</w:t>
      </w:r>
      <w:r>
        <w:rPr>
          <w:rFonts w:hint="eastAsia" w:ascii="宋体" w:hAnsi="宋体" w:eastAsia="宋体" w:cs="宋体"/>
          <w:kern w:val="0"/>
          <w:sz w:val="21"/>
          <w:szCs w:val="21"/>
          <w:highlight w:val="none"/>
        </w:rPr>
        <w:t>服务热线</w:t>
      </w:r>
      <w:r>
        <w:rPr>
          <w:rFonts w:hint="eastAsia" w:ascii="宋体" w:hAnsi="宋体" w:eastAsia="宋体" w:cs="宋体"/>
          <w:kern w:val="0"/>
          <w:sz w:val="21"/>
          <w:szCs w:val="21"/>
          <w:highlight w:val="none"/>
          <w:lang w:eastAsia="zh-CN"/>
        </w:rPr>
        <w:t>95763</w:t>
      </w:r>
      <w:r>
        <w:rPr>
          <w:rFonts w:hint="eastAsia" w:ascii="宋体" w:hAnsi="宋体" w:eastAsia="宋体" w:cs="宋体"/>
          <w:kern w:val="0"/>
          <w:sz w:val="21"/>
          <w:szCs w:val="21"/>
          <w:highlight w:val="none"/>
        </w:rPr>
        <w:t>获取热线服务帮助。</w:t>
      </w:r>
    </w:p>
    <w:bookmarkEnd w:id="22"/>
    <w:bookmarkEnd w:id="23"/>
    <w:bookmarkEnd w:id="24"/>
    <w:bookmarkEnd w:id="25"/>
    <w:p>
      <w:pPr>
        <w:keepNext w:val="0"/>
        <w:keepLines w:val="0"/>
        <w:pageBreakBefore w:val="0"/>
        <w:widowControl w:val="0"/>
        <w:kinsoku/>
        <w:wordWrap w:val="0"/>
        <w:overflowPunct/>
        <w:topLinePunct w:val="0"/>
        <w:autoSpaceDE/>
        <w:autoSpaceDN/>
        <w:bidi w:val="0"/>
        <w:adjustRightInd/>
        <w:snapToGrid/>
        <w:spacing w:line="400" w:lineRule="exact"/>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七、对本次采购提出询问，请按以下方式联系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1.采购人信息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名    称：</w:t>
      </w:r>
      <w:r>
        <w:rPr>
          <w:rFonts w:hint="eastAsia" w:ascii="宋体" w:hAnsi="宋体" w:eastAsia="宋体" w:cs="宋体"/>
          <w:sz w:val="21"/>
          <w:szCs w:val="21"/>
          <w:highlight w:val="none"/>
          <w:lang w:eastAsia="zh-CN"/>
        </w:rPr>
        <w:t>桂林市城市照明管理处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地    址：环城北二路148号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项目联系人：</w:t>
      </w:r>
      <w:r>
        <w:rPr>
          <w:rFonts w:hint="eastAsia" w:ascii="宋体" w:hAnsi="宋体" w:cs="宋体"/>
          <w:sz w:val="21"/>
          <w:szCs w:val="21"/>
          <w:highlight w:val="none"/>
          <w:lang w:eastAsia="zh-CN"/>
        </w:rPr>
        <w:t>梁宇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项目联系方式：</w:t>
      </w:r>
      <w:bookmarkStart w:id="26" w:name="_Toc28359009"/>
      <w:bookmarkStart w:id="27" w:name="_Toc28359086"/>
      <w:r>
        <w:rPr>
          <w:rFonts w:hint="eastAsia" w:ascii="宋体" w:hAnsi="宋体" w:eastAsia="宋体" w:cs="宋体"/>
          <w:sz w:val="21"/>
          <w:szCs w:val="21"/>
          <w:highlight w:val="none"/>
        </w:rPr>
        <w:t>0773-5606382</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2.采购代理机构信息</w:t>
      </w:r>
      <w:bookmarkEnd w:id="26"/>
      <w:bookmarkEnd w:id="27"/>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名    称：</w:t>
      </w:r>
      <w:r>
        <w:rPr>
          <w:rFonts w:hint="eastAsia" w:ascii="宋体" w:hAnsi="宋体" w:eastAsia="宋体" w:cs="宋体"/>
          <w:sz w:val="21"/>
          <w:szCs w:val="21"/>
          <w:highlight w:val="none"/>
          <w:lang w:eastAsia="zh-CN"/>
        </w:rPr>
        <w:t>广西江之源项目管理有限公司</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地　  址：</w:t>
      </w:r>
      <w:r>
        <w:rPr>
          <w:rFonts w:hint="eastAsia" w:ascii="宋体" w:hAnsi="宋体" w:eastAsia="宋体" w:cs="宋体"/>
          <w:sz w:val="21"/>
          <w:szCs w:val="21"/>
          <w:highlight w:val="none"/>
          <w:lang w:eastAsia="zh-CN"/>
        </w:rPr>
        <w:t>桂林市临桂区临桂镇汇金·时代广场1幢32层15号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highlight w:val="none"/>
        </w:rPr>
      </w:pPr>
      <w:bookmarkStart w:id="28" w:name="_Toc28359010"/>
      <w:bookmarkStart w:id="29" w:name="_Toc28359087"/>
      <w:r>
        <w:rPr>
          <w:rFonts w:hint="eastAsia" w:ascii="宋体" w:hAnsi="宋体" w:eastAsia="宋体" w:cs="宋体"/>
          <w:sz w:val="21"/>
          <w:szCs w:val="21"/>
          <w:highlight w:val="none"/>
        </w:rPr>
        <w:t>项目联系人：周健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项目联系方式：0773-5368276</w:t>
      </w:r>
    </w:p>
    <w:bookmarkEnd w:id="28"/>
    <w:bookmarkEnd w:id="29"/>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jc w:val="right"/>
        <w:textAlignment w:val="auto"/>
        <w:rPr>
          <w:rFonts w:hint="eastAsia" w:ascii="宋体" w:hAnsi="宋体" w:eastAsia="宋体" w:cs="宋体"/>
          <w:sz w:val="21"/>
          <w:szCs w:val="21"/>
          <w:highlight w:val="none"/>
        </w:rPr>
      </w:pP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jc w:val="right"/>
        <w:textAlignment w:val="auto"/>
        <w:rPr>
          <w:rFonts w:hint="eastAsia" w:ascii="宋体" w:hAnsi="宋体" w:eastAsia="宋体" w:cs="宋体"/>
          <w:sz w:val="21"/>
          <w:szCs w:val="21"/>
          <w:highlight w:val="none"/>
        </w:rPr>
      </w:pPr>
    </w:p>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Fonts w:hint="eastAsia" w:ascii="宋体" w:hAnsi="宋体" w:eastAsia="宋体" w:cs="宋体"/>
          <w:sz w:val="21"/>
          <w:szCs w:val="21"/>
          <w:highlight w:val="none"/>
        </w:rPr>
      </w:pPr>
    </w:p>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2024</w:t>
      </w:r>
      <w:r>
        <w:rPr>
          <w:rFonts w:hint="eastAsia" w:ascii="宋体" w:hAnsi="宋体" w:eastAsia="宋体" w:cs="宋体"/>
          <w:sz w:val="21"/>
          <w:szCs w:val="21"/>
          <w:highlight w:val="none"/>
        </w:rPr>
        <w:t>年</w:t>
      </w: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rPr>
        <w:t>月</w:t>
      </w:r>
      <w:r>
        <w:rPr>
          <w:rFonts w:hint="eastAsia" w:ascii="宋体" w:hAnsi="宋体" w:cs="宋体"/>
          <w:sz w:val="21"/>
          <w:szCs w:val="21"/>
          <w:highlight w:val="none"/>
          <w:lang w:val="en-US" w:eastAsia="zh-CN"/>
        </w:rPr>
        <w:t>25</w:t>
      </w:r>
      <w:r>
        <w:rPr>
          <w:rFonts w:hint="eastAsia" w:ascii="宋体" w:hAnsi="宋体" w:eastAsia="宋体" w:cs="宋体"/>
          <w:sz w:val="21"/>
          <w:szCs w:val="21"/>
          <w:highlight w:val="none"/>
        </w:rPr>
        <w:t>日</w:t>
      </w:r>
    </w:p>
    <w:p>
      <w:pPr>
        <w:pStyle w:val="9"/>
        <w:rPr>
          <w:rFonts w:ascii="Times New Roman" w:hAnsi="Times New Roman" w:eastAsia="宋体" w:cs="Times New Roman"/>
          <w:highlight w:val="none"/>
        </w:rPr>
      </w:pPr>
    </w:p>
    <w:p>
      <w:pPr>
        <w:pStyle w:val="9"/>
        <w:rPr>
          <w:rFonts w:ascii="Times New Roman" w:hAnsi="Times New Roman" w:eastAsia="宋体" w:cs="Times New Roman"/>
          <w:highlight w:val="none"/>
        </w:rPr>
      </w:pPr>
    </w:p>
    <w:p>
      <w:pPr>
        <w:pStyle w:val="9"/>
        <w:rPr>
          <w:rFonts w:ascii="Times New Roman" w:hAnsi="Times New Roman" w:eastAsia="宋体" w:cs="Times New Roman"/>
          <w:highlight w:val="none"/>
        </w:rPr>
      </w:pPr>
    </w:p>
    <w:p>
      <w:pPr>
        <w:pStyle w:val="9"/>
        <w:rPr>
          <w:rFonts w:ascii="Times New Roman" w:hAnsi="Times New Roman" w:eastAsia="宋体" w:cs="Times New Roman"/>
          <w:highlight w:val="none"/>
        </w:rPr>
      </w:pPr>
    </w:p>
    <w:p>
      <w:pPr>
        <w:pStyle w:val="9"/>
        <w:rPr>
          <w:rFonts w:ascii="Times New Roman" w:hAnsi="Times New Roman" w:eastAsia="宋体" w:cs="Times New Roman"/>
          <w:highlight w:val="none"/>
        </w:rPr>
      </w:pPr>
    </w:p>
    <w:p>
      <w:pPr>
        <w:pStyle w:val="9"/>
        <w:rPr>
          <w:rFonts w:ascii="Times New Roman" w:hAnsi="Times New Roman" w:eastAsia="宋体" w:cs="Times New Roman"/>
          <w:highlight w:val="none"/>
        </w:rPr>
      </w:pPr>
    </w:p>
    <w:p>
      <w:pPr>
        <w:pStyle w:val="9"/>
        <w:rPr>
          <w:rFonts w:ascii="Times New Roman" w:hAnsi="Times New Roman" w:eastAsia="宋体" w:cs="Times New Roman"/>
          <w:highlight w:val="none"/>
        </w:rPr>
      </w:pPr>
    </w:p>
    <w:p>
      <w:pPr>
        <w:pStyle w:val="9"/>
        <w:rPr>
          <w:rFonts w:ascii="Times New Roman" w:hAnsi="Times New Roman" w:eastAsia="宋体" w:cs="Times New Roman"/>
          <w:highlight w:val="none"/>
        </w:rPr>
      </w:pPr>
    </w:p>
    <w:p>
      <w:pPr>
        <w:pStyle w:val="9"/>
        <w:rPr>
          <w:rFonts w:ascii="Times New Roman" w:hAnsi="Times New Roman" w:eastAsia="宋体" w:cs="Times New Roman"/>
          <w:highlight w:val="none"/>
        </w:rPr>
      </w:pPr>
    </w:p>
    <w:p>
      <w:pPr>
        <w:pStyle w:val="9"/>
        <w:rPr>
          <w:rFonts w:ascii="Times New Roman" w:hAnsi="Times New Roman" w:eastAsia="宋体" w:cs="Times New Roman"/>
          <w:highlight w:val="none"/>
        </w:rPr>
      </w:pPr>
    </w:p>
    <w:p>
      <w:pPr>
        <w:pStyle w:val="9"/>
        <w:rPr>
          <w:rFonts w:ascii="Times New Roman" w:hAnsi="Times New Roman" w:eastAsia="宋体" w:cs="Times New Roman"/>
          <w:highlight w:val="none"/>
        </w:rPr>
      </w:pPr>
    </w:p>
    <w:p>
      <w:pPr>
        <w:pStyle w:val="3"/>
        <w:numPr>
          <w:ilvl w:val="0"/>
          <w:numId w:val="0"/>
        </w:numPr>
        <w:tabs>
          <w:tab w:val="left" w:pos="0"/>
          <w:tab w:val="left" w:pos="3165"/>
          <w:tab w:val="center" w:pos="4153"/>
        </w:tabs>
        <w:autoSpaceDE w:val="0"/>
        <w:autoSpaceDN w:val="0"/>
        <w:adjustRightInd w:val="0"/>
        <w:spacing w:before="0" w:after="0" w:line="440" w:lineRule="exact"/>
        <w:jc w:val="center"/>
        <w:rPr>
          <w:rFonts w:hint="eastAsia" w:ascii="宋体" w:hAnsi="宋体" w:cs="宋体"/>
          <w:color w:val="000000"/>
          <w:sz w:val="32"/>
          <w:szCs w:val="32"/>
          <w:highlight w:val="none"/>
          <w:lang w:eastAsia="zh-CN"/>
        </w:rPr>
      </w:pPr>
      <w:bookmarkStart w:id="30" w:name="_Toc29728"/>
      <w:bookmarkStart w:id="31" w:name="_Toc17383611"/>
      <w:r>
        <w:rPr>
          <w:rFonts w:hint="eastAsia" w:ascii="宋体" w:hAnsi="宋体" w:cs="宋体"/>
          <w:color w:val="000000"/>
          <w:sz w:val="32"/>
          <w:szCs w:val="32"/>
          <w:highlight w:val="none"/>
          <w:lang w:eastAsia="zh-CN"/>
        </w:rPr>
        <w:t>第二章 投标人须知</w:t>
      </w:r>
      <w:bookmarkEnd w:id="30"/>
      <w:bookmarkEnd w:id="31"/>
    </w:p>
    <w:p>
      <w:pPr>
        <w:tabs>
          <w:tab w:val="left" w:pos="1065"/>
          <w:tab w:val="center" w:pos="4411"/>
        </w:tabs>
        <w:spacing w:line="440" w:lineRule="exact"/>
        <w:jc w:val="center"/>
        <w:outlineLvl w:val="1"/>
        <w:rPr>
          <w:rFonts w:hint="eastAsia" w:ascii="宋体" w:hAnsi="宋体" w:eastAsia="宋体" w:cs="宋体"/>
          <w:b/>
          <w:color w:val="000000"/>
          <w:sz w:val="28"/>
          <w:szCs w:val="28"/>
          <w:highlight w:val="none"/>
        </w:rPr>
      </w:pPr>
      <w:r>
        <w:rPr>
          <w:rFonts w:hint="eastAsia" w:ascii="宋体" w:hAnsi="宋体" w:eastAsia="宋体" w:cs="宋体"/>
          <w:b/>
          <w:color w:val="000000"/>
          <w:sz w:val="28"/>
          <w:szCs w:val="28"/>
          <w:highlight w:val="none"/>
        </w:rPr>
        <w:t>投标人须知前附表</w:t>
      </w:r>
    </w:p>
    <w:tbl>
      <w:tblPr>
        <w:tblStyle w:val="15"/>
        <w:tblW w:w="9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134"/>
        <w:gridCol w:w="1644"/>
        <w:gridCol w:w="6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jc w:val="center"/>
        </w:trPr>
        <w:tc>
          <w:tcPr>
            <w:tcW w:w="775" w:type="dxa"/>
            <w:shd w:val="clear" w:color="auto" w:fill="91ABDF" w:themeFill="accent1" w:themeFillTint="99"/>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序号</w:t>
            </w:r>
          </w:p>
        </w:tc>
        <w:tc>
          <w:tcPr>
            <w:tcW w:w="1134" w:type="dxa"/>
            <w:shd w:val="clear" w:color="auto" w:fill="91ABDF" w:themeFill="accent1" w:themeFillTint="99"/>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条款号</w:t>
            </w:r>
          </w:p>
        </w:tc>
        <w:tc>
          <w:tcPr>
            <w:tcW w:w="1644" w:type="dxa"/>
            <w:shd w:val="clear" w:color="auto" w:fill="91ABDF" w:themeFill="accent1" w:themeFillTint="99"/>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条款名称</w:t>
            </w:r>
          </w:p>
        </w:tc>
        <w:tc>
          <w:tcPr>
            <w:tcW w:w="6215" w:type="dxa"/>
            <w:shd w:val="clear" w:color="auto" w:fill="91ABDF" w:themeFill="accent1" w:themeFillTint="99"/>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775"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13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64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项目名称及项目编号</w:t>
            </w:r>
          </w:p>
        </w:tc>
        <w:tc>
          <w:tcPr>
            <w:tcW w:w="6215" w:type="dxa"/>
            <w:noWrap w:val="0"/>
            <w:vAlign w:val="center"/>
          </w:tcPr>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项目名称：</w:t>
            </w:r>
            <w:r>
              <w:rPr>
                <w:rFonts w:hint="eastAsia" w:ascii="宋体" w:hAnsi="宋体" w:eastAsia="宋体" w:cs="宋体"/>
                <w:sz w:val="21"/>
                <w:szCs w:val="21"/>
                <w:highlight w:val="none"/>
                <w:lang w:eastAsia="zh-CN"/>
              </w:rPr>
              <w:t>桂林市老城区路灯节能改造项目</w:t>
            </w:r>
          </w:p>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项目编号：GLZC2024-G3-990433-GXJZ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775"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13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164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投标人资格</w:t>
            </w:r>
          </w:p>
        </w:tc>
        <w:tc>
          <w:tcPr>
            <w:tcW w:w="6215" w:type="dxa"/>
            <w:noWrap w:val="0"/>
            <w:vAlign w:val="center"/>
          </w:tcPr>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5.1</w:t>
            </w:r>
            <w:r>
              <w:rPr>
                <w:rFonts w:hint="eastAsia" w:ascii="宋体" w:hAnsi="宋体" w:eastAsia="宋体" w:cs="宋体"/>
                <w:sz w:val="21"/>
                <w:szCs w:val="21"/>
                <w:highlight w:val="none"/>
              </w:rPr>
              <w:t>满足《中华人民共和国政府采购法》第二十二条规定；</w:t>
            </w:r>
          </w:p>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5.2</w:t>
            </w:r>
            <w:r>
              <w:rPr>
                <w:rFonts w:hint="eastAsia" w:ascii="宋体" w:hAnsi="宋体" w:eastAsia="宋体" w:cs="宋体"/>
                <w:sz w:val="21"/>
                <w:szCs w:val="21"/>
                <w:highlight w:val="none"/>
              </w:rPr>
              <w:t>落实政府采购政策需满足的资格要求：本项目专门面向中小微企业采购</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供应商须满足《政府采购促进中小企业发展管理办法》（财库〔2020〕46号）第二条规定；根据《关于政府采购支持监狱企业发展有关问题的通知》（财库〔2014〕68号）及《关于促进残疾人就业政府采购政策的通知》（财库〔2017〕141号）的规定，监狱企业、残疾人福利单位视同小型、微型企业。</w:t>
            </w:r>
          </w:p>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bCs/>
                <w:sz w:val="21"/>
                <w:szCs w:val="21"/>
                <w:highlight w:val="none"/>
              </w:rPr>
            </w:pPr>
            <w:r>
              <w:rPr>
                <w:rFonts w:hint="eastAsia" w:ascii="宋体" w:hAnsi="宋体" w:cs="宋体"/>
                <w:sz w:val="21"/>
                <w:szCs w:val="21"/>
                <w:highlight w:val="none"/>
                <w:lang w:val="en-US" w:eastAsia="zh-CN"/>
              </w:rPr>
              <w:t>5.3</w:t>
            </w:r>
            <w:r>
              <w:rPr>
                <w:rFonts w:hint="eastAsia" w:ascii="宋体" w:hAnsi="宋体" w:eastAsia="宋体" w:cs="宋体"/>
                <w:sz w:val="21"/>
                <w:szCs w:val="21"/>
                <w:highlight w:val="none"/>
              </w:rPr>
              <w:t>本项目的特定资格要求：无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75"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113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164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position w:val="-2"/>
                <w:sz w:val="21"/>
                <w:szCs w:val="21"/>
                <w:highlight w:val="none"/>
              </w:rPr>
            </w:pPr>
            <w:r>
              <w:rPr>
                <w:rFonts w:hint="eastAsia" w:ascii="宋体" w:hAnsi="宋体" w:eastAsia="宋体" w:cs="宋体"/>
                <w:sz w:val="21"/>
                <w:szCs w:val="21"/>
                <w:highlight w:val="none"/>
              </w:rPr>
              <w:t>投标费用</w:t>
            </w:r>
          </w:p>
        </w:tc>
        <w:tc>
          <w:tcPr>
            <w:tcW w:w="6215" w:type="dxa"/>
            <w:noWrap w:val="0"/>
            <w:vAlign w:val="center"/>
          </w:tcPr>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775"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113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position w:val="-2"/>
                <w:sz w:val="21"/>
                <w:szCs w:val="21"/>
                <w:highlight w:val="none"/>
              </w:rPr>
            </w:pPr>
            <w:r>
              <w:rPr>
                <w:rFonts w:hint="eastAsia" w:ascii="宋体" w:hAnsi="宋体" w:eastAsia="宋体" w:cs="宋体"/>
                <w:position w:val="-2"/>
                <w:sz w:val="21"/>
                <w:szCs w:val="21"/>
                <w:highlight w:val="none"/>
              </w:rPr>
              <w:t>15</w:t>
            </w:r>
          </w:p>
        </w:tc>
        <w:tc>
          <w:tcPr>
            <w:tcW w:w="164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投标报价</w:t>
            </w:r>
          </w:p>
        </w:tc>
        <w:tc>
          <w:tcPr>
            <w:tcW w:w="6215" w:type="dxa"/>
            <w:noWrap w:val="0"/>
            <w:vAlign w:val="center"/>
          </w:tcPr>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rPr>
              <w:t>15.1</w:t>
            </w:r>
            <w:r>
              <w:rPr>
                <w:rFonts w:hint="eastAsia" w:ascii="宋体" w:hAnsi="宋体" w:eastAsia="宋体" w:cs="宋体"/>
                <w:sz w:val="21"/>
                <w:szCs w:val="21"/>
                <w:highlight w:val="none"/>
              </w:rPr>
              <w:t>投标报价应按招标文件中第六章“</w:t>
            </w:r>
            <w:r>
              <w:rPr>
                <w:rFonts w:hint="eastAsia" w:ascii="宋体" w:hAnsi="宋体" w:cs="宋体"/>
                <w:sz w:val="21"/>
                <w:szCs w:val="21"/>
                <w:highlight w:val="none"/>
                <w:lang w:eastAsia="zh-CN"/>
              </w:rPr>
              <w:t>投标文件（格式）</w:t>
            </w:r>
            <w:r>
              <w:rPr>
                <w:rFonts w:hint="eastAsia" w:ascii="宋体" w:hAnsi="宋体" w:eastAsia="宋体" w:cs="宋体"/>
                <w:sz w:val="21"/>
                <w:szCs w:val="21"/>
                <w:highlight w:val="none"/>
              </w:rPr>
              <w:t>”填写，对采购人能源管理费用进行折扣率报价（详见能源管理服务费计算与支付方式）。采购人能源管理费用的折扣率必须＜100%，否则投标无效。</w:t>
            </w:r>
          </w:p>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15.2投标人必须就“采购需求”中的所有内容作完整唯一报价，否则，其投标将被拒绝。投标文件只允许有一个报价，有选择的或有条件的报价将不予接受。</w:t>
            </w:r>
          </w:p>
          <w:p>
            <w:pPr>
              <w:pStyle w:val="9"/>
              <w:keepNext w:val="0"/>
              <w:keepLines w:val="0"/>
              <w:pageBreakBefore w:val="0"/>
              <w:widowControl w:val="0"/>
              <w:kinsoku/>
              <w:overflowPunct/>
              <w:topLinePunct w:val="0"/>
              <w:bidi w:val="0"/>
              <w:adjustRightInd/>
              <w:snapToGrid/>
              <w:spacing w:line="400" w:lineRule="exact"/>
              <w:textAlignment w:val="auto"/>
              <w:rPr>
                <w:rFonts w:hint="eastAsia"/>
                <w:sz w:val="21"/>
                <w:szCs w:val="21"/>
                <w:highlight w:val="none"/>
              </w:rPr>
            </w:pPr>
            <w:r>
              <w:rPr>
                <w:rFonts w:hint="eastAsia" w:ascii="宋体" w:hAnsi="宋体" w:eastAsia="宋体" w:cs="宋体"/>
                <w:kern w:val="2"/>
                <w:sz w:val="21"/>
                <w:szCs w:val="21"/>
                <w:highlight w:val="none"/>
                <w:lang w:val="en-US" w:eastAsia="zh-CN" w:bidi="ar-SA"/>
              </w:rPr>
              <w:t>15.3投标人投标报价包含但不限于投标人完成本项目所需的一切服务工作内容而发生的所有直接费用、间接费用、其他费用、税金、项目验收等全部费用和投标人要求获得的利润以及应由投标人承担的义务、责任和风险所发生的一切费用，投标人应综合考虑在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775"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113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16.1</w:t>
            </w:r>
          </w:p>
        </w:tc>
        <w:tc>
          <w:tcPr>
            <w:tcW w:w="164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投标有效期</w:t>
            </w:r>
          </w:p>
        </w:tc>
        <w:tc>
          <w:tcPr>
            <w:tcW w:w="6215" w:type="dxa"/>
            <w:noWrap w:val="0"/>
            <w:vAlign w:val="center"/>
          </w:tcPr>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投标截止时间之日起90天</w:t>
            </w:r>
            <w:r>
              <w:rPr>
                <w:rFonts w:hint="eastAsia" w:ascii="宋体" w:hAnsi="宋体" w:eastAsia="宋体" w:cs="宋体"/>
                <w:sz w:val="21"/>
                <w:szCs w:val="21"/>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75"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113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17</w:t>
            </w:r>
          </w:p>
        </w:tc>
        <w:tc>
          <w:tcPr>
            <w:tcW w:w="164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投标文件的制作</w:t>
            </w:r>
          </w:p>
        </w:tc>
        <w:tc>
          <w:tcPr>
            <w:tcW w:w="6215" w:type="dxa"/>
            <w:noWrap w:val="0"/>
            <w:vAlign w:val="center"/>
          </w:tcPr>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17</w:t>
            </w: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1</w:t>
            </w:r>
            <w:r>
              <w:rPr>
                <w:rFonts w:hint="eastAsia" w:ascii="宋体" w:hAnsi="宋体" w:eastAsia="宋体" w:cs="宋体"/>
                <w:sz w:val="21"/>
                <w:szCs w:val="21"/>
                <w:highlight w:val="none"/>
              </w:rPr>
              <w:t>电子投标文件中须加盖供应商公章部分均采用 CA 签章，并根据“政府采购项目电子交易管理操作指南-供应商” 及本招标文件规定的格式和顺序编制电子投标文件并进行关联定位，以便评审小组在评审时，点击评分项可直接定位到该评分项内容。如对招标文件的某项要求，供应商的电子投标文件未能关联定位提供相应的内容与其对应，则评审小组在评审时如做出对供应商不利的评审由供应商自行承担。电子投标文件如内容不完整、编排混乱导致投标文件被误读、漏读，或者在按招标文件规定的部位查找不到相关内容的，由供应商自行承担。</w:t>
            </w:r>
          </w:p>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17</w:t>
            </w:r>
            <w:r>
              <w:rPr>
                <w:rFonts w:hint="eastAsia" w:ascii="宋体" w:hAnsi="宋体" w:eastAsia="宋体" w:cs="宋体"/>
                <w:sz w:val="21"/>
                <w:szCs w:val="21"/>
                <w:highlight w:val="none"/>
              </w:rPr>
              <w:t>.2供应商法人（负责人）或授权代表持有</w:t>
            </w:r>
            <w:r>
              <w:rPr>
                <w:rFonts w:hint="eastAsia" w:ascii="宋体" w:hAnsi="宋体" w:cs="宋体"/>
                <w:sz w:val="21"/>
                <w:szCs w:val="21"/>
                <w:highlight w:val="none"/>
                <w:lang w:eastAsia="zh-CN"/>
              </w:rPr>
              <w:t>广西政府采购云</w:t>
            </w:r>
            <w:r>
              <w:rPr>
                <w:rFonts w:hint="eastAsia" w:ascii="宋体" w:hAnsi="宋体" w:eastAsia="宋体" w:cs="宋体"/>
                <w:sz w:val="21"/>
                <w:szCs w:val="21"/>
                <w:highlight w:val="none"/>
              </w:rPr>
              <w:t>个人CA签章的，应在投标文件中涉及到签字的位置使用个人CA签章，没有办理</w:t>
            </w:r>
            <w:r>
              <w:rPr>
                <w:rFonts w:hint="eastAsia" w:ascii="宋体" w:hAnsi="宋体" w:cs="宋体"/>
                <w:sz w:val="21"/>
                <w:szCs w:val="21"/>
                <w:highlight w:val="none"/>
                <w:lang w:eastAsia="zh-CN"/>
              </w:rPr>
              <w:t>广西政府采购云</w:t>
            </w:r>
            <w:r>
              <w:rPr>
                <w:rFonts w:hint="eastAsia" w:ascii="宋体" w:hAnsi="宋体" w:eastAsia="宋体" w:cs="宋体"/>
                <w:sz w:val="21"/>
                <w:szCs w:val="21"/>
                <w:highlight w:val="none"/>
              </w:rPr>
              <w:t xml:space="preserve">个人CA签章的可在投标文件中涉及到签字的位置手写签字后扫描或者拍照做成 PDF 的格式上传即可。 </w:t>
            </w:r>
          </w:p>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17</w:t>
            </w:r>
            <w:r>
              <w:rPr>
                <w:rFonts w:hint="eastAsia" w:ascii="宋体" w:hAnsi="宋体" w:eastAsia="宋体" w:cs="宋体"/>
                <w:sz w:val="21"/>
                <w:szCs w:val="21"/>
                <w:highlight w:val="none"/>
              </w:rPr>
              <w:t>.3投标文件不得涂改，若有修改错漏处，须法定代表人（负责人）或授权委托人签字（或个人CA签章）。投标文件因字迹潦草或表达不清所引起的后果由供应商负责。</w:t>
            </w:r>
          </w:p>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17</w:t>
            </w:r>
            <w:r>
              <w:rPr>
                <w:rFonts w:hint="eastAsia" w:ascii="宋体" w:hAnsi="宋体" w:eastAsia="宋体" w:cs="宋体"/>
                <w:sz w:val="21"/>
                <w:szCs w:val="21"/>
                <w:highlight w:val="none"/>
              </w:rPr>
              <w:t xml:space="preserve">.4评审前准备 </w:t>
            </w:r>
          </w:p>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17</w:t>
            </w:r>
            <w:r>
              <w:rPr>
                <w:rFonts w:hint="eastAsia" w:ascii="宋体" w:hAnsi="宋体" w:eastAsia="宋体" w:cs="宋体"/>
                <w:sz w:val="21"/>
                <w:szCs w:val="21"/>
                <w:highlight w:val="none"/>
              </w:rPr>
              <w:t xml:space="preserve">.4.1本项目实行网上评审，采用电子投标文件；若供应商参与投标，自行承担投标一切费用。 </w:t>
            </w:r>
          </w:p>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17</w:t>
            </w:r>
            <w:r>
              <w:rPr>
                <w:rFonts w:hint="eastAsia" w:ascii="宋体" w:hAnsi="宋体" w:eastAsia="宋体" w:cs="宋体"/>
                <w:sz w:val="21"/>
                <w:szCs w:val="21"/>
                <w:highlight w:val="none"/>
              </w:rPr>
              <w:t>.4.2各供应商在截标前应确保成为</w:t>
            </w:r>
            <w:r>
              <w:rPr>
                <w:rFonts w:hint="eastAsia" w:ascii="宋体" w:hAnsi="宋体" w:cs="宋体"/>
                <w:sz w:val="21"/>
                <w:szCs w:val="21"/>
                <w:highlight w:val="none"/>
                <w:lang w:eastAsia="zh-CN"/>
              </w:rPr>
              <w:t>广西政府采购云</w:t>
            </w:r>
            <w:r>
              <w:rPr>
                <w:rFonts w:hint="eastAsia" w:ascii="宋体" w:hAnsi="宋体" w:eastAsia="宋体" w:cs="宋体"/>
                <w:sz w:val="21"/>
                <w:szCs w:val="21"/>
                <w:highlight w:val="none"/>
              </w:rPr>
              <w:t xml:space="preserve">平台正式注册入库供应商，并完成 CA 数字证书申领。因未注册入库、未办理 CA 数字证书等原因造成无法投标或投标失败等后果由供应商自行承担。 </w:t>
            </w:r>
          </w:p>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17</w:t>
            </w:r>
            <w:r>
              <w:rPr>
                <w:rFonts w:hint="eastAsia" w:ascii="宋体" w:hAnsi="宋体" w:eastAsia="宋体" w:cs="宋体"/>
                <w:sz w:val="21"/>
                <w:szCs w:val="21"/>
                <w:highlight w:val="none"/>
              </w:rPr>
              <w:t>.4.3供应商将</w:t>
            </w:r>
            <w:r>
              <w:rPr>
                <w:rFonts w:hint="eastAsia" w:ascii="宋体" w:hAnsi="宋体" w:cs="宋体"/>
                <w:sz w:val="21"/>
                <w:szCs w:val="21"/>
                <w:highlight w:val="none"/>
                <w:lang w:eastAsia="zh-CN"/>
              </w:rPr>
              <w:t>广西政府采购云</w:t>
            </w:r>
            <w:r>
              <w:rPr>
                <w:rFonts w:hint="eastAsia" w:ascii="宋体" w:hAnsi="宋体" w:eastAsia="宋体" w:cs="宋体"/>
                <w:sz w:val="21"/>
                <w:szCs w:val="21"/>
                <w:highlight w:val="none"/>
              </w:rPr>
              <w:t>电子交易客户端下载、安装完成后，可通过账号密码或 CA 登录客户端进行投标文件制作。客户端请至网站下载专区查看，如有问题可拨打</w:t>
            </w:r>
            <w:r>
              <w:rPr>
                <w:rFonts w:hint="eastAsia" w:ascii="宋体" w:hAnsi="宋体" w:cs="宋体"/>
                <w:sz w:val="21"/>
                <w:szCs w:val="21"/>
                <w:highlight w:val="none"/>
                <w:lang w:eastAsia="zh-CN"/>
              </w:rPr>
              <w:t>广西政府采购云</w:t>
            </w:r>
            <w:r>
              <w:rPr>
                <w:rFonts w:hint="eastAsia" w:ascii="宋体" w:hAnsi="宋体" w:eastAsia="宋体" w:cs="宋体"/>
                <w:sz w:val="21"/>
                <w:szCs w:val="21"/>
                <w:highlight w:val="none"/>
              </w:rPr>
              <w:t xml:space="preserve">客户服务热线 </w:t>
            </w:r>
            <w:r>
              <w:rPr>
                <w:rFonts w:hint="eastAsia" w:ascii="宋体" w:hAnsi="宋体" w:eastAsia="宋体" w:cs="宋体"/>
                <w:sz w:val="21"/>
                <w:szCs w:val="21"/>
                <w:highlight w:val="none"/>
                <w:lang w:eastAsia="zh-CN"/>
              </w:rPr>
              <w:t>95763</w:t>
            </w:r>
            <w:r>
              <w:rPr>
                <w:rFonts w:hint="eastAsia" w:ascii="宋体" w:hAnsi="宋体" w:eastAsia="宋体" w:cs="宋体"/>
                <w:sz w:val="21"/>
                <w:szCs w:val="21"/>
                <w:highlight w:val="none"/>
              </w:rPr>
              <w:t xml:space="preserve"> 进行咨询。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775"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113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position w:val="-2"/>
                <w:sz w:val="21"/>
                <w:szCs w:val="21"/>
                <w:highlight w:val="none"/>
              </w:rPr>
            </w:pPr>
            <w:r>
              <w:rPr>
                <w:rFonts w:hint="eastAsia" w:ascii="宋体" w:hAnsi="宋体" w:eastAsia="宋体" w:cs="宋体"/>
                <w:sz w:val="21"/>
                <w:szCs w:val="21"/>
                <w:highlight w:val="none"/>
              </w:rPr>
              <w:t>19.1</w:t>
            </w:r>
          </w:p>
        </w:tc>
        <w:tc>
          <w:tcPr>
            <w:tcW w:w="164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position w:val="-2"/>
                <w:sz w:val="21"/>
                <w:szCs w:val="21"/>
                <w:highlight w:val="none"/>
              </w:rPr>
            </w:pPr>
            <w:r>
              <w:rPr>
                <w:rFonts w:hint="eastAsia" w:ascii="宋体" w:hAnsi="宋体" w:eastAsia="宋体" w:cs="宋体"/>
                <w:position w:val="-2"/>
                <w:sz w:val="21"/>
                <w:szCs w:val="21"/>
                <w:highlight w:val="none"/>
              </w:rPr>
              <w:t>投标文件递交截止时间</w:t>
            </w:r>
          </w:p>
        </w:tc>
        <w:tc>
          <w:tcPr>
            <w:tcW w:w="6215" w:type="dxa"/>
            <w:noWrap w:val="0"/>
            <w:vAlign w:val="center"/>
          </w:tcPr>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投标人应</w:t>
            </w:r>
            <w:r>
              <w:rPr>
                <w:rFonts w:hint="eastAsia" w:ascii="宋体" w:hAnsi="宋体"/>
                <w:color w:val="000000"/>
                <w:sz w:val="21"/>
                <w:szCs w:val="21"/>
                <w:highlight w:val="none"/>
              </w:rPr>
              <w:t>于</w:t>
            </w:r>
            <w:r>
              <w:rPr>
                <w:rFonts w:hint="eastAsia" w:ascii="宋体" w:hAnsi="宋体"/>
                <w:color w:val="000000"/>
                <w:sz w:val="21"/>
                <w:szCs w:val="21"/>
                <w:highlight w:val="none"/>
                <w:u w:val="single"/>
                <w:lang w:val="en-US" w:eastAsia="zh-CN"/>
              </w:rPr>
              <w:t>2024</w:t>
            </w:r>
            <w:r>
              <w:rPr>
                <w:rFonts w:hint="eastAsia" w:ascii="宋体" w:hAnsi="宋体" w:cs="宋体"/>
                <w:color w:val="000000"/>
                <w:sz w:val="21"/>
                <w:szCs w:val="21"/>
                <w:highlight w:val="none"/>
                <w:u w:val="single"/>
              </w:rPr>
              <w:t>年</w:t>
            </w:r>
            <w:r>
              <w:rPr>
                <w:rFonts w:hint="eastAsia" w:ascii="宋体" w:hAnsi="宋体" w:cs="宋体"/>
                <w:color w:val="000000"/>
                <w:sz w:val="21"/>
                <w:szCs w:val="21"/>
                <w:highlight w:val="none"/>
                <w:u w:val="single"/>
                <w:lang w:val="en-US" w:eastAsia="zh-CN"/>
              </w:rPr>
              <w:t>4</w:t>
            </w:r>
            <w:r>
              <w:rPr>
                <w:rFonts w:hint="eastAsia" w:ascii="宋体" w:hAnsi="宋体" w:cs="宋体"/>
                <w:color w:val="000000"/>
                <w:sz w:val="21"/>
                <w:szCs w:val="21"/>
                <w:highlight w:val="none"/>
                <w:u w:val="single"/>
              </w:rPr>
              <w:t>月</w:t>
            </w:r>
            <w:r>
              <w:rPr>
                <w:rFonts w:hint="eastAsia" w:ascii="宋体" w:hAnsi="宋体" w:cs="宋体"/>
                <w:color w:val="000000"/>
                <w:sz w:val="21"/>
                <w:szCs w:val="21"/>
                <w:highlight w:val="none"/>
                <w:u w:val="single"/>
                <w:lang w:val="en-US" w:eastAsia="zh-CN"/>
              </w:rPr>
              <w:t>15</w:t>
            </w:r>
            <w:r>
              <w:rPr>
                <w:rFonts w:hint="eastAsia" w:ascii="宋体" w:hAnsi="宋体" w:cs="宋体"/>
                <w:color w:val="000000"/>
                <w:sz w:val="21"/>
                <w:szCs w:val="21"/>
                <w:highlight w:val="none"/>
                <w:u w:val="single"/>
              </w:rPr>
              <w:t>日上午9时30分</w:t>
            </w:r>
            <w:r>
              <w:rPr>
                <w:rFonts w:hint="eastAsia" w:ascii="宋体" w:hAnsi="宋体" w:cs="宋体"/>
                <w:color w:val="000000"/>
                <w:sz w:val="21"/>
                <w:szCs w:val="21"/>
                <w:highlight w:val="none"/>
              </w:rPr>
              <w:t>之前将电子投标文件上传到</w:t>
            </w:r>
            <w:r>
              <w:rPr>
                <w:rFonts w:hint="eastAsia" w:ascii="宋体" w:hAnsi="宋体" w:cs="宋体"/>
                <w:sz w:val="21"/>
                <w:szCs w:val="21"/>
                <w:highlight w:val="none"/>
                <w:lang w:eastAsia="zh-CN"/>
              </w:rPr>
              <w:t>广西政府采购云</w:t>
            </w:r>
            <w:r>
              <w:rPr>
                <w:rFonts w:hint="eastAsia" w:ascii="宋体" w:hAnsi="宋体" w:cs="宋体"/>
                <w:color w:val="000000"/>
                <w:sz w:val="21"/>
                <w:szCs w:val="21"/>
                <w:highlight w:val="none"/>
              </w:rPr>
              <w:t>平台。应按照本项目招标文件和</w:t>
            </w:r>
            <w:r>
              <w:rPr>
                <w:rFonts w:hint="eastAsia" w:ascii="宋体" w:hAnsi="宋体" w:cs="宋体"/>
                <w:sz w:val="21"/>
                <w:szCs w:val="21"/>
                <w:highlight w:val="none"/>
                <w:lang w:eastAsia="zh-CN"/>
              </w:rPr>
              <w:t>广西政府采购云</w:t>
            </w:r>
            <w:r>
              <w:rPr>
                <w:rFonts w:hint="eastAsia" w:ascii="宋体" w:hAnsi="宋体" w:cs="宋体"/>
                <w:color w:val="000000"/>
                <w:sz w:val="21"/>
                <w:szCs w:val="21"/>
                <w:highlight w:val="none"/>
              </w:rPr>
              <w:t>平台的要求编制、加密传输投标文件。供应商在使用系统进行投标的过程中遇到涉及平台使用的任何问题，可致电</w:t>
            </w:r>
            <w:r>
              <w:rPr>
                <w:rFonts w:hint="eastAsia" w:ascii="宋体" w:hAnsi="宋体" w:cs="宋体"/>
                <w:sz w:val="21"/>
                <w:szCs w:val="21"/>
                <w:highlight w:val="none"/>
                <w:lang w:eastAsia="zh-CN"/>
              </w:rPr>
              <w:t>广西政府采购云</w:t>
            </w:r>
            <w:r>
              <w:rPr>
                <w:rFonts w:hint="eastAsia" w:ascii="宋体" w:hAnsi="宋体" w:cs="宋体"/>
                <w:color w:val="000000"/>
                <w:sz w:val="21"/>
                <w:szCs w:val="21"/>
                <w:highlight w:val="none"/>
              </w:rPr>
              <w:t>平台技术支持热线咨询，联系方式：</w:t>
            </w:r>
            <w:r>
              <w:rPr>
                <w:rFonts w:hint="eastAsia" w:ascii="宋体" w:hAnsi="宋体" w:cs="宋体"/>
                <w:color w:val="000000"/>
                <w:sz w:val="21"/>
                <w:szCs w:val="21"/>
                <w:highlight w:val="none"/>
                <w:lang w:eastAsia="zh-CN"/>
              </w:rPr>
              <w:t>95763</w:t>
            </w:r>
            <w:r>
              <w:rPr>
                <w:rFonts w:hint="eastAsia" w:ascii="宋体" w:hAnsi="宋体" w:cs="宋体"/>
                <w:color w:val="00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75"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113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position w:val="-2"/>
                <w:sz w:val="21"/>
                <w:szCs w:val="21"/>
                <w:highlight w:val="none"/>
              </w:rPr>
            </w:pPr>
            <w:r>
              <w:rPr>
                <w:rFonts w:hint="eastAsia" w:ascii="宋体" w:hAnsi="宋体" w:eastAsia="宋体" w:cs="宋体"/>
                <w:sz w:val="21"/>
                <w:szCs w:val="21"/>
                <w:highlight w:val="none"/>
              </w:rPr>
              <w:t>19.2</w:t>
            </w:r>
          </w:p>
        </w:tc>
        <w:tc>
          <w:tcPr>
            <w:tcW w:w="164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投标文件解密时间</w:t>
            </w:r>
          </w:p>
        </w:tc>
        <w:tc>
          <w:tcPr>
            <w:tcW w:w="6215" w:type="dxa"/>
            <w:noWrap w:val="0"/>
            <w:vAlign w:val="center"/>
          </w:tcPr>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rPr>
              <w:t>投标文件提交截止时间后，采购代理机构开启解密投标文件操作，</w:t>
            </w:r>
            <w:r>
              <w:rPr>
                <w:rFonts w:hint="eastAsia" w:ascii="宋体" w:hAnsi="宋体" w:cs="宋体"/>
                <w:color w:val="000000"/>
                <w:sz w:val="21"/>
                <w:szCs w:val="21"/>
                <w:highlight w:val="none"/>
                <w:lang w:eastAsia="zh-CN"/>
              </w:rPr>
              <w:t>广西政府采购云平台</w:t>
            </w:r>
            <w:r>
              <w:rPr>
                <w:rFonts w:hint="eastAsia" w:ascii="宋体" w:hAnsi="宋体" w:cs="宋体"/>
                <w:color w:val="000000"/>
                <w:sz w:val="21"/>
                <w:szCs w:val="21"/>
                <w:highlight w:val="none"/>
              </w:rPr>
              <w:t>向各投标人发出电子加密投标文件解密通知，由投标人在系统发出解密通知后30分钟内自行使用加密时的CA通过“项目采购-开标评标”功能对投标文件进行解密。若投标人在上述规定的时间内无法解密或解密失败的，可以在投标文件解密截止时间后30分钟内向采购代理机构现场提交电子备份投标文件【现场提交电子投标文件地址：桂林市公共资源交易中心</w:t>
            </w:r>
            <w:r>
              <w:rPr>
                <w:rFonts w:hint="eastAsia" w:ascii="宋体" w:hAnsi="宋体" w:cs="宋体"/>
                <w:color w:val="000000"/>
                <w:sz w:val="21"/>
                <w:szCs w:val="21"/>
                <w:highlight w:val="none"/>
                <w:lang w:val="en-US" w:eastAsia="zh-CN"/>
              </w:rPr>
              <w:t>9</w:t>
            </w:r>
            <w:r>
              <w:rPr>
                <w:rFonts w:hint="eastAsia" w:ascii="宋体" w:hAnsi="宋体" w:cs="宋体"/>
                <w:color w:val="000000"/>
                <w:sz w:val="21"/>
                <w:szCs w:val="21"/>
                <w:highlight w:val="none"/>
              </w:rPr>
              <w:t>号开标室（广西桂林市临桂区西城中路69号创业大厦西辅楼4楼北区）】，或以电子邮件的形式提交电子备份投标文件</w:t>
            </w:r>
            <w:r>
              <w:rPr>
                <w:rFonts w:hint="eastAsia" w:ascii="宋体" w:hAnsi="宋体"/>
                <w:sz w:val="21"/>
                <w:szCs w:val="21"/>
                <w:highlight w:val="none"/>
                <w:lang w:val="en-US" w:eastAsia="zh-CN"/>
              </w:rPr>
              <w:t>（以通知时所告知的电子邮箱地址为准）</w:t>
            </w:r>
            <w:r>
              <w:rPr>
                <w:rFonts w:hint="eastAsia" w:ascii="宋体" w:hAnsi="宋体" w:cs="宋体"/>
                <w:color w:val="000000"/>
                <w:sz w:val="21"/>
                <w:szCs w:val="21"/>
                <w:highlight w:val="none"/>
              </w:rPr>
              <w:t>；投标人未在上述规定的时间、地点（电子邮箱）提交的电子备份投标文件，采购代理机构不予接收或承认。采购代理机构收到电子备份投标文件后按“政府采购云平台”操作规范上传至“政府采购云平台”，电子备份投标文件上传成功后，投标人原上传的“电子加密投标文件”自动失效。若投标人在规定时间内无法解密或解密失败且未在规定的时间内提供电子备份投标文件的（包含提供的电子备份投标文件无效或无法解密的情况），视为投标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75"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9</w:t>
            </w:r>
          </w:p>
        </w:tc>
        <w:tc>
          <w:tcPr>
            <w:tcW w:w="113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20.1</w:t>
            </w:r>
          </w:p>
        </w:tc>
        <w:tc>
          <w:tcPr>
            <w:tcW w:w="164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开标时间及地点</w:t>
            </w:r>
          </w:p>
        </w:tc>
        <w:tc>
          <w:tcPr>
            <w:tcW w:w="6215" w:type="dxa"/>
            <w:noWrap w:val="0"/>
            <w:vAlign w:val="top"/>
          </w:tcPr>
          <w:p>
            <w:pPr>
              <w:pStyle w:val="22"/>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开标时间：</w:t>
            </w:r>
            <w:r>
              <w:rPr>
                <w:rFonts w:hint="eastAsia" w:ascii="宋体" w:hAnsi="宋体" w:eastAsia="宋体" w:cs="宋体"/>
                <w:sz w:val="21"/>
                <w:szCs w:val="21"/>
                <w:highlight w:val="none"/>
                <w:lang w:val="en-US" w:eastAsia="zh-CN"/>
              </w:rPr>
              <w:t>2024</w:t>
            </w:r>
            <w:r>
              <w:rPr>
                <w:rFonts w:hint="eastAsia" w:ascii="宋体" w:hAnsi="宋体" w:eastAsia="宋体" w:cs="宋体"/>
                <w:sz w:val="21"/>
                <w:szCs w:val="21"/>
                <w:highlight w:val="none"/>
              </w:rPr>
              <w:t>年</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月</w:t>
            </w:r>
            <w:r>
              <w:rPr>
                <w:rFonts w:hint="eastAsia" w:ascii="宋体" w:hAnsi="宋体" w:eastAsia="宋体" w:cs="宋体"/>
                <w:sz w:val="21"/>
                <w:szCs w:val="21"/>
                <w:highlight w:val="none"/>
                <w:lang w:val="en-US" w:eastAsia="zh-CN"/>
              </w:rPr>
              <w:t>15</w:t>
            </w:r>
            <w:r>
              <w:rPr>
                <w:rFonts w:hint="eastAsia" w:ascii="宋体" w:hAnsi="宋体" w:eastAsia="宋体" w:cs="宋体"/>
                <w:sz w:val="21"/>
                <w:szCs w:val="21"/>
                <w:highlight w:val="none"/>
              </w:rPr>
              <w:t>日9时30分（北京时间）截标后。</w:t>
            </w:r>
          </w:p>
          <w:p>
            <w:pPr>
              <w:pStyle w:val="22"/>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地点：通过</w:t>
            </w:r>
            <w:r>
              <w:rPr>
                <w:rFonts w:hint="eastAsia" w:ascii="宋体" w:hAnsi="宋体" w:eastAsia="宋体" w:cs="宋体"/>
                <w:sz w:val="21"/>
                <w:szCs w:val="21"/>
                <w:highlight w:val="none"/>
                <w:lang w:eastAsia="zh-CN"/>
              </w:rPr>
              <w:t>广西政府采购云</w:t>
            </w:r>
            <w:r>
              <w:rPr>
                <w:rFonts w:hint="eastAsia" w:ascii="宋体" w:hAnsi="宋体" w:eastAsia="宋体" w:cs="宋体"/>
                <w:sz w:val="21"/>
                <w:szCs w:val="21"/>
                <w:highlight w:val="none"/>
              </w:rPr>
              <w:t>平台实行在线解密开启。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775"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w:t>
            </w:r>
          </w:p>
        </w:tc>
        <w:tc>
          <w:tcPr>
            <w:tcW w:w="113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23</w:t>
            </w:r>
          </w:p>
        </w:tc>
        <w:tc>
          <w:tcPr>
            <w:tcW w:w="164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评标委员会组成</w:t>
            </w:r>
          </w:p>
        </w:tc>
        <w:tc>
          <w:tcPr>
            <w:tcW w:w="6215" w:type="dxa"/>
            <w:noWrap w:val="0"/>
            <w:vAlign w:val="center"/>
          </w:tcPr>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评标委员会由采购人代表和评审专家组成，成员人数共</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人，其中采购人代表</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人，评审专家</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75"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w:t>
            </w:r>
          </w:p>
        </w:tc>
        <w:tc>
          <w:tcPr>
            <w:tcW w:w="113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24.1</w:t>
            </w:r>
          </w:p>
        </w:tc>
        <w:tc>
          <w:tcPr>
            <w:tcW w:w="164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评标办法</w:t>
            </w:r>
          </w:p>
        </w:tc>
        <w:tc>
          <w:tcPr>
            <w:tcW w:w="6215" w:type="dxa"/>
            <w:noWrap w:val="0"/>
            <w:vAlign w:val="center"/>
          </w:tcPr>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cs="宋体"/>
                <w:color w:val="000000"/>
                <w:sz w:val="21"/>
                <w:szCs w:val="21"/>
                <w:highlight w:val="none"/>
              </w:rPr>
              <w:t>综合评分法，具体评标内容及标准详见第四章。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75"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12</w:t>
            </w:r>
          </w:p>
        </w:tc>
        <w:tc>
          <w:tcPr>
            <w:tcW w:w="113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31</w:t>
            </w:r>
          </w:p>
        </w:tc>
        <w:tc>
          <w:tcPr>
            <w:tcW w:w="164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信用查询</w:t>
            </w:r>
          </w:p>
        </w:tc>
        <w:tc>
          <w:tcPr>
            <w:tcW w:w="6215" w:type="dxa"/>
            <w:noWrap w:val="0"/>
            <w:vAlign w:val="top"/>
          </w:tcPr>
          <w:p>
            <w:pPr>
              <w:keepNext w:val="0"/>
              <w:keepLines w:val="0"/>
              <w:pageBreakBefore w:val="0"/>
              <w:widowControl w:val="0"/>
              <w:kinsoku/>
              <w:wordWrap w:val="0"/>
              <w:overflowPunct/>
              <w:topLinePunct w:val="0"/>
              <w:autoSpaceDE w:val="0"/>
              <w:autoSpaceDN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根据《关于做好政府采购有关信用主体标识码登记及在政府采购活动中查询使用信用记录有关问题的通知》桂财采〔2016〕37号的通知，由采购代理机构对第一中标候选人进行信用查询：</w:t>
            </w:r>
          </w:p>
          <w:p>
            <w:pPr>
              <w:keepNext w:val="0"/>
              <w:keepLines w:val="0"/>
              <w:pageBreakBefore w:val="0"/>
              <w:widowControl w:val="0"/>
              <w:kinsoku/>
              <w:wordWrap w:val="0"/>
              <w:overflowPunct/>
              <w:topLinePunct w:val="0"/>
              <w:autoSpaceDE w:val="0"/>
              <w:autoSpaceDN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⑴查询渠道：“信用中国”网站(www.creditchina.gov.cn)、中国政府采购网(www.ccgp.gov.cn)等；</w:t>
            </w:r>
          </w:p>
          <w:p>
            <w:pPr>
              <w:keepNext w:val="0"/>
              <w:keepLines w:val="0"/>
              <w:pageBreakBefore w:val="0"/>
              <w:widowControl w:val="0"/>
              <w:kinsoku/>
              <w:wordWrap w:val="0"/>
              <w:overflowPunct/>
              <w:topLinePunct w:val="0"/>
              <w:autoSpaceDE w:val="0"/>
              <w:autoSpaceDN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⑵查询截止时点：中标通知书发出前；</w:t>
            </w:r>
          </w:p>
          <w:p>
            <w:pPr>
              <w:keepNext w:val="0"/>
              <w:keepLines w:val="0"/>
              <w:pageBreakBefore w:val="0"/>
              <w:widowControl w:val="0"/>
              <w:kinsoku/>
              <w:wordWrap w:val="0"/>
              <w:overflowPunct/>
              <w:topLinePunct w:val="0"/>
              <w:autoSpaceDE w:val="0"/>
              <w:autoSpaceDN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⑶信用信息查询记录和证据留存方式：在查询网站中直接打印查询记录，打印材料作为采购活动资料保存。</w:t>
            </w:r>
          </w:p>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75"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13</w:t>
            </w:r>
          </w:p>
        </w:tc>
        <w:tc>
          <w:tcPr>
            <w:tcW w:w="113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32</w:t>
            </w:r>
          </w:p>
        </w:tc>
        <w:tc>
          <w:tcPr>
            <w:tcW w:w="164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中标公告及中标通知书</w:t>
            </w:r>
          </w:p>
        </w:tc>
        <w:tc>
          <w:tcPr>
            <w:tcW w:w="6215" w:type="dxa"/>
            <w:noWrap w:val="0"/>
            <w:vAlign w:val="top"/>
          </w:tcPr>
          <w:p>
            <w:pPr>
              <w:keepNext w:val="0"/>
              <w:keepLines w:val="0"/>
              <w:pageBreakBefore w:val="0"/>
              <w:widowControl w:val="0"/>
              <w:tabs>
                <w:tab w:val="left" w:pos="455"/>
              </w:tabs>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32.1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一个工作日。</w:t>
            </w:r>
          </w:p>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32.2中标公告发布的同时，采购代理机构向中标供应商发出中标通知书，中标供应商应自接到通知之日起七个工作日内，办理中标通知书领取手续。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75"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14</w:t>
            </w:r>
          </w:p>
        </w:tc>
        <w:tc>
          <w:tcPr>
            <w:tcW w:w="113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33.1</w:t>
            </w:r>
          </w:p>
        </w:tc>
        <w:tc>
          <w:tcPr>
            <w:tcW w:w="164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履约保证金</w:t>
            </w:r>
          </w:p>
        </w:tc>
        <w:tc>
          <w:tcPr>
            <w:tcW w:w="6215" w:type="dxa"/>
            <w:noWrap w:val="0"/>
            <w:vAlign w:val="center"/>
          </w:tcPr>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履约保证金金额为贰佰万元整（¥2000000.00 元）。履约保证金的提交形式可以采用银行保函、现金、保证保险保函、工程担保保函等形式。中标人须在签订合同后20日内向采购人提交履约保证金，履约保证金的有效期必须涵盖项目建设期、节能服务期、最终移交期等合同全阶段。除现金形式外，其他提交形式应以1至3年为一个周期提交保证材料，在该周期结束前3个月内应提交下一周期的保证材料直至服务移交期结束。如未按要求提交履约保证金的，采购人可取消其中标资格或终止合同。</w:t>
            </w:r>
          </w:p>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根据《</w:t>
            </w:r>
            <w:r>
              <w:rPr>
                <w:rFonts w:hint="eastAsia" w:ascii="宋体" w:hAnsi="宋体" w:eastAsia="宋体" w:cs="宋体"/>
                <w:bCs/>
                <w:sz w:val="21"/>
                <w:szCs w:val="21"/>
                <w:highlight w:val="none"/>
              </w:rPr>
              <w:t>广西壮族自治区人民政府办公厅关于印发广西保障中小企业款项支付工作方案的通知》（桂政办发〔2020〕89号）文件要求，免收小微企业履约保证金。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75"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15</w:t>
            </w:r>
          </w:p>
        </w:tc>
        <w:tc>
          <w:tcPr>
            <w:tcW w:w="113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34.1</w:t>
            </w:r>
          </w:p>
        </w:tc>
        <w:tc>
          <w:tcPr>
            <w:tcW w:w="164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签订合同时间</w:t>
            </w:r>
          </w:p>
        </w:tc>
        <w:tc>
          <w:tcPr>
            <w:tcW w:w="6215" w:type="dxa"/>
            <w:noWrap w:val="0"/>
            <w:vAlign w:val="center"/>
          </w:tcPr>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中标通知书发出之日起8个工作日内。中标人领取中标通知书后，应按规定与采购人签订合同。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775"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16</w:t>
            </w:r>
          </w:p>
        </w:tc>
        <w:tc>
          <w:tcPr>
            <w:tcW w:w="113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34.3</w:t>
            </w:r>
          </w:p>
        </w:tc>
        <w:tc>
          <w:tcPr>
            <w:tcW w:w="164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合同备案存档</w:t>
            </w:r>
          </w:p>
        </w:tc>
        <w:tc>
          <w:tcPr>
            <w:tcW w:w="6215" w:type="dxa"/>
            <w:noWrap w:val="0"/>
            <w:vAlign w:val="center"/>
          </w:tcPr>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政府采购合同双方自签订之日起1个工作日内将合同原件</w:t>
            </w:r>
            <w:r>
              <w:rPr>
                <w:rFonts w:hint="eastAsia" w:ascii="宋体" w:hAnsi="宋体" w:cs="宋体"/>
                <w:sz w:val="21"/>
                <w:szCs w:val="21"/>
                <w:highlight w:val="none"/>
                <w:lang w:val="en-US" w:eastAsia="zh-CN"/>
              </w:rPr>
              <w:t>1</w:t>
            </w:r>
            <w:r>
              <w:rPr>
                <w:rFonts w:hint="eastAsia" w:ascii="宋体" w:hAnsi="宋体" w:eastAsia="宋体" w:cs="宋体"/>
                <w:sz w:val="21"/>
                <w:szCs w:val="21"/>
                <w:highlight w:val="none"/>
              </w:rPr>
              <w:t>份交采购代理机构，采购代理机构收到政府采购合同原件后在省级以上人民政府财政部门指定媒体上公告。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75"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17</w:t>
            </w:r>
          </w:p>
        </w:tc>
        <w:tc>
          <w:tcPr>
            <w:tcW w:w="113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35</w:t>
            </w:r>
          </w:p>
        </w:tc>
        <w:tc>
          <w:tcPr>
            <w:tcW w:w="164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招标代理服务费</w:t>
            </w:r>
          </w:p>
        </w:tc>
        <w:tc>
          <w:tcPr>
            <w:tcW w:w="6215" w:type="dxa"/>
            <w:noWrap w:val="0"/>
            <w:vAlign w:val="center"/>
          </w:tcPr>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cs="宋体"/>
                <w:color w:val="000000"/>
                <w:sz w:val="21"/>
                <w:szCs w:val="21"/>
                <w:highlight w:val="none"/>
              </w:rPr>
              <w:t>中标供应商领取中标通知书前，向</w:t>
            </w:r>
            <w:r>
              <w:rPr>
                <w:rFonts w:hint="eastAsia" w:ascii="宋体" w:hAnsi="宋体" w:cs="宋体"/>
                <w:color w:val="000000"/>
                <w:sz w:val="21"/>
                <w:szCs w:val="21"/>
                <w:highlight w:val="none"/>
                <w:lang w:eastAsia="zh-CN"/>
              </w:rPr>
              <w:t>广西江之源项目管理有限公司</w:t>
            </w:r>
            <w:r>
              <w:rPr>
                <w:rFonts w:hint="eastAsia" w:ascii="宋体" w:hAnsi="宋体" w:cs="宋体"/>
                <w:color w:val="000000"/>
                <w:sz w:val="21"/>
                <w:szCs w:val="21"/>
                <w:highlight w:val="none"/>
              </w:rPr>
              <w:t>一次性付清招标代理服务费，本项目的招标代理服务收费标准参照计价格〔2002〕1980号《招标代理服务收费管理暂行办法》</w:t>
            </w:r>
            <w:r>
              <w:rPr>
                <w:rFonts w:hint="eastAsia" w:ascii="宋体" w:hAnsi="宋体" w:cs="宋体"/>
                <w:color w:val="000000"/>
                <w:sz w:val="21"/>
                <w:szCs w:val="21"/>
                <w:highlight w:val="none"/>
                <w:lang w:eastAsia="zh-CN"/>
              </w:rPr>
              <w:t>服务</w:t>
            </w:r>
            <w:r>
              <w:rPr>
                <w:rFonts w:hint="eastAsia" w:ascii="宋体" w:hAnsi="宋体" w:cs="宋体"/>
                <w:color w:val="000000"/>
                <w:sz w:val="21"/>
                <w:szCs w:val="21"/>
                <w:highlight w:val="none"/>
              </w:rPr>
              <w:t>类收费标准</w:t>
            </w:r>
            <w:r>
              <w:rPr>
                <w:rFonts w:hint="eastAsia" w:ascii="宋体" w:hAnsi="宋体" w:cs="宋体"/>
                <w:sz w:val="21"/>
                <w:szCs w:val="21"/>
                <w:highlight w:val="none"/>
              </w:rPr>
              <w:t>（代理服务费不足人民币</w:t>
            </w:r>
            <w:r>
              <w:rPr>
                <w:rFonts w:hint="eastAsia" w:ascii="宋体" w:hAnsi="宋体" w:cs="宋体"/>
                <w:sz w:val="21"/>
                <w:szCs w:val="21"/>
                <w:highlight w:val="none"/>
                <w:lang w:eastAsia="zh-CN"/>
              </w:rPr>
              <w:t>伍</w:t>
            </w:r>
            <w:r>
              <w:rPr>
                <w:rFonts w:hint="eastAsia" w:ascii="宋体" w:hAnsi="宋体" w:cs="宋体"/>
                <w:sz w:val="21"/>
                <w:szCs w:val="21"/>
                <w:highlight w:val="none"/>
              </w:rPr>
              <w:t>仟元时，按</w:t>
            </w:r>
            <w:r>
              <w:rPr>
                <w:rFonts w:hint="eastAsia" w:ascii="宋体" w:hAnsi="宋体" w:cs="宋体"/>
                <w:sz w:val="21"/>
                <w:szCs w:val="21"/>
                <w:highlight w:val="none"/>
                <w:lang w:eastAsia="zh-CN"/>
              </w:rPr>
              <w:t>伍</w:t>
            </w:r>
            <w:r>
              <w:rPr>
                <w:rFonts w:hint="eastAsia" w:ascii="宋体" w:hAnsi="宋体" w:cs="宋体"/>
                <w:sz w:val="21"/>
                <w:szCs w:val="21"/>
                <w:highlight w:val="none"/>
              </w:rPr>
              <w:t>仟元收取）</w:t>
            </w:r>
            <w:r>
              <w:rPr>
                <w:rFonts w:hint="eastAsia" w:ascii="宋体" w:hAnsi="宋体" w:cs="宋体"/>
                <w:color w:val="000000"/>
                <w:sz w:val="21"/>
                <w:szCs w:val="21"/>
                <w:highlight w:val="none"/>
              </w:rPr>
              <w:t>向中标供应商收取。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775"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18</w:t>
            </w:r>
          </w:p>
        </w:tc>
        <w:tc>
          <w:tcPr>
            <w:tcW w:w="113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37</w:t>
            </w:r>
          </w:p>
        </w:tc>
        <w:tc>
          <w:tcPr>
            <w:tcW w:w="164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解释权</w:t>
            </w:r>
          </w:p>
        </w:tc>
        <w:tc>
          <w:tcPr>
            <w:tcW w:w="6215" w:type="dxa"/>
            <w:noWrap w:val="0"/>
            <w:vAlign w:val="center"/>
          </w:tcPr>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本招标文件是根据《中华人民共和国政府采购法》、《中华人民共和国政府采购法实施条例》及</w:t>
            </w:r>
            <w:r>
              <w:rPr>
                <w:rFonts w:hint="eastAsia" w:ascii="宋体" w:hAnsi="宋体" w:eastAsia="宋体" w:cs="宋体"/>
                <w:bCs/>
                <w:sz w:val="21"/>
                <w:szCs w:val="21"/>
                <w:highlight w:val="none"/>
              </w:rPr>
              <w:t>财政部令第87号</w:t>
            </w:r>
            <w:r>
              <w:rPr>
                <w:rFonts w:hint="eastAsia" w:ascii="宋体" w:hAnsi="宋体" w:eastAsia="宋体" w:cs="宋体"/>
                <w:sz w:val="21"/>
                <w:szCs w:val="21"/>
                <w:highlight w:val="none"/>
              </w:rPr>
              <w:t>《政府采购货物和服务招标投标管理办法》等相关规定编制，本招标文件的解释权属于采购代理机构。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775"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19</w:t>
            </w:r>
          </w:p>
        </w:tc>
        <w:tc>
          <w:tcPr>
            <w:tcW w:w="113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38</w:t>
            </w:r>
          </w:p>
        </w:tc>
        <w:tc>
          <w:tcPr>
            <w:tcW w:w="1644" w:type="dxa"/>
            <w:noWrap w:val="0"/>
            <w:vAlign w:val="center"/>
          </w:tcPr>
          <w:p>
            <w:pPr>
              <w:keepNext w:val="0"/>
              <w:keepLines w:val="0"/>
              <w:pageBreakBefore w:val="0"/>
              <w:widowControl w:val="0"/>
              <w:kinsoku/>
              <w:wordWrap w:val="0"/>
              <w:overflowPunct/>
              <w:topLinePunct w:val="0"/>
              <w:bidi w:val="0"/>
              <w:adjustRightInd/>
              <w:snapToGrid/>
              <w:spacing w:line="400" w:lineRule="exact"/>
              <w:jc w:val="center"/>
              <w:textAlignment w:val="auto"/>
              <w:rPr>
                <w:rFonts w:hint="eastAsia" w:ascii="宋体" w:hAnsi="宋体" w:eastAsia="宋体" w:cs="宋体"/>
                <w:position w:val="10"/>
                <w:sz w:val="21"/>
                <w:szCs w:val="21"/>
                <w:highlight w:val="none"/>
              </w:rPr>
            </w:pPr>
            <w:r>
              <w:rPr>
                <w:rFonts w:hint="eastAsia" w:ascii="宋体" w:hAnsi="宋体" w:eastAsia="宋体" w:cs="宋体"/>
                <w:sz w:val="21"/>
                <w:szCs w:val="21"/>
                <w:highlight w:val="none"/>
              </w:rPr>
              <w:t>监督管理部门</w:t>
            </w:r>
          </w:p>
        </w:tc>
        <w:tc>
          <w:tcPr>
            <w:tcW w:w="6215" w:type="dxa"/>
            <w:noWrap w:val="0"/>
            <w:vAlign w:val="center"/>
          </w:tcPr>
          <w:p>
            <w:pPr>
              <w:keepNext w:val="0"/>
              <w:keepLines w:val="0"/>
              <w:pageBreakBefore w:val="0"/>
              <w:widowControl w:val="0"/>
              <w:kinsoku/>
              <w:wordWrap w:val="0"/>
              <w:overflowPunct/>
              <w:topLinePunct w:val="0"/>
              <w:bidi w:val="0"/>
              <w:adjustRightInd/>
              <w:snapToGrid/>
              <w:spacing w:line="4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桂林市财政局    电话：0773-2862142</w:t>
            </w:r>
          </w:p>
        </w:tc>
      </w:tr>
    </w:tbl>
    <w:p>
      <w:pPr>
        <w:wordWrap w:val="0"/>
        <w:spacing w:line="360" w:lineRule="exact"/>
        <w:jc w:val="center"/>
        <w:rPr>
          <w:rFonts w:hint="eastAsia" w:ascii="宋体" w:hAnsi="宋体"/>
          <w:b/>
          <w:sz w:val="24"/>
          <w:highlight w:val="none"/>
        </w:rPr>
      </w:pPr>
    </w:p>
    <w:p>
      <w:pPr>
        <w:pStyle w:val="9"/>
        <w:rPr>
          <w:rFonts w:hint="eastAsia" w:ascii="Tahoma" w:hAnsi="Tahoma"/>
          <w:highlight w:val="none"/>
        </w:rPr>
      </w:pPr>
    </w:p>
    <w:p>
      <w:pPr>
        <w:wordWrap w:val="0"/>
        <w:spacing w:line="360" w:lineRule="exact"/>
        <w:jc w:val="center"/>
        <w:rPr>
          <w:rFonts w:hint="eastAsia" w:ascii="宋体" w:hAnsi="宋体"/>
          <w:b/>
          <w:sz w:val="28"/>
          <w:szCs w:val="28"/>
          <w:highlight w:val="none"/>
        </w:rPr>
      </w:pPr>
    </w:p>
    <w:p>
      <w:pPr>
        <w:wordWrap w:val="0"/>
        <w:spacing w:line="360" w:lineRule="exact"/>
        <w:jc w:val="center"/>
        <w:rPr>
          <w:rFonts w:hint="eastAsia" w:ascii="宋体" w:hAnsi="宋体"/>
          <w:b/>
          <w:sz w:val="28"/>
          <w:szCs w:val="28"/>
          <w:highlight w:val="none"/>
        </w:rPr>
      </w:pPr>
      <w:r>
        <w:rPr>
          <w:rFonts w:hint="eastAsia" w:ascii="宋体" w:hAnsi="宋体"/>
          <w:b/>
          <w:sz w:val="28"/>
          <w:szCs w:val="28"/>
          <w:highlight w:val="none"/>
        </w:rPr>
        <w:t>一、总则</w:t>
      </w:r>
    </w:p>
    <w:p>
      <w:pPr>
        <w:keepNext w:val="0"/>
        <w:keepLines w:val="0"/>
        <w:pageBreakBefore w:val="0"/>
        <w:widowControl w:val="0"/>
        <w:kinsoku/>
        <w:wordWrap w:val="0"/>
        <w:overflowPunct/>
        <w:topLinePunct w:val="0"/>
        <w:autoSpaceDE/>
        <w:autoSpaceDN/>
        <w:bidi w:val="0"/>
        <w:snapToGri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1. 项目名称及项目编号</w:t>
      </w:r>
    </w:p>
    <w:p>
      <w:pPr>
        <w:keepNext w:val="0"/>
        <w:keepLines w:val="0"/>
        <w:pageBreakBefore w:val="0"/>
        <w:widowControl w:val="0"/>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项目名称：</w:t>
      </w:r>
      <w:r>
        <w:rPr>
          <w:rFonts w:hint="eastAsia" w:ascii="宋体" w:hAnsi="宋体" w:eastAsia="宋体" w:cs="宋体"/>
          <w:sz w:val="21"/>
          <w:szCs w:val="21"/>
          <w:highlight w:val="none"/>
          <w:lang w:eastAsia="zh-CN"/>
        </w:rPr>
        <w:t>桂林市老城区路灯节能改造项目</w:t>
      </w:r>
    </w:p>
    <w:p>
      <w:pPr>
        <w:keepNext w:val="0"/>
        <w:keepLines w:val="0"/>
        <w:pageBreakBefore w:val="0"/>
        <w:widowControl w:val="0"/>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b/>
          <w:sz w:val="21"/>
          <w:szCs w:val="21"/>
          <w:highlight w:val="none"/>
        </w:rPr>
      </w:pPr>
      <w:r>
        <w:rPr>
          <w:rFonts w:hint="eastAsia" w:ascii="宋体" w:hAnsi="宋体" w:eastAsia="宋体" w:cs="宋体"/>
          <w:sz w:val="21"/>
          <w:szCs w:val="21"/>
          <w:highlight w:val="none"/>
        </w:rPr>
        <w:t>项目编号：GLZC2024-G3-990433-GXJZ</w:t>
      </w:r>
    </w:p>
    <w:p>
      <w:pPr>
        <w:keepNext w:val="0"/>
        <w:keepLines w:val="0"/>
        <w:pageBreakBefore w:val="0"/>
        <w:widowControl w:val="0"/>
        <w:kinsoku/>
        <w:wordWrap w:val="0"/>
        <w:overflowPunct/>
        <w:topLinePunct w:val="0"/>
        <w:autoSpaceDE/>
        <w:autoSpaceDN/>
        <w:bidi w:val="0"/>
        <w:snapToGri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2. 适应范围</w:t>
      </w:r>
    </w:p>
    <w:p>
      <w:pPr>
        <w:keepNext w:val="0"/>
        <w:keepLines w:val="0"/>
        <w:pageBreakBefore w:val="0"/>
        <w:widowControl w:val="0"/>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本招标文件适用本招标采购项目的招标、投标、评标、合同履约、验收、付款等行为（法律、法规另有规定的，从其规定）。</w:t>
      </w:r>
    </w:p>
    <w:p>
      <w:pPr>
        <w:keepNext w:val="0"/>
        <w:keepLines w:val="0"/>
        <w:pageBreakBefore w:val="0"/>
        <w:widowControl w:val="0"/>
        <w:kinsoku/>
        <w:wordWrap w:val="0"/>
        <w:overflowPunct/>
        <w:topLinePunct w:val="0"/>
        <w:autoSpaceDE/>
        <w:autoSpaceDN/>
        <w:bidi w:val="0"/>
        <w:snapToGri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3. 定义</w:t>
      </w:r>
    </w:p>
    <w:p>
      <w:pPr>
        <w:keepNext w:val="0"/>
        <w:keepLines w:val="0"/>
        <w:pageBreakBefore w:val="0"/>
        <w:widowControl w:val="0"/>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3.1“投标人”是指响应招标、参加投标竞争的法人、其他组织或者自然人。</w:t>
      </w:r>
    </w:p>
    <w:p>
      <w:pPr>
        <w:keepNext w:val="0"/>
        <w:keepLines w:val="0"/>
        <w:pageBreakBefore w:val="0"/>
        <w:widowControl w:val="0"/>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3.2“货物”系指按招标文件规定，投标人须向采购人提供的一切设备、保险、税金、备品备件、工具、手册及其他有关技术资料和材料。</w:t>
      </w:r>
    </w:p>
    <w:p>
      <w:pPr>
        <w:keepNext w:val="0"/>
        <w:keepLines w:val="0"/>
        <w:pageBreakBefore w:val="0"/>
        <w:widowControl w:val="0"/>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3.3“服务”系指按招标文件规定，投标人须承担的安装、调试、技术协助、校准、培训、技术指导以及其他类似的义务。</w:t>
      </w:r>
    </w:p>
    <w:p>
      <w:pPr>
        <w:keepNext w:val="0"/>
        <w:keepLines w:val="0"/>
        <w:pageBreakBefore w:val="0"/>
        <w:widowControl w:val="0"/>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3.4“项目”系指投标人按招标文件规定向采购人提供的货物和服务。</w:t>
      </w:r>
    </w:p>
    <w:p>
      <w:pPr>
        <w:keepNext w:val="0"/>
        <w:keepLines w:val="0"/>
        <w:pageBreakBefore w:val="0"/>
        <w:widowControl w:val="0"/>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3.5“书面形式”包括信函、传真、电报。</w:t>
      </w:r>
    </w:p>
    <w:p>
      <w:pPr>
        <w:keepNext w:val="0"/>
        <w:keepLines w:val="0"/>
        <w:pageBreakBefore w:val="0"/>
        <w:widowControl w:val="0"/>
        <w:kinsoku/>
        <w:wordWrap w:val="0"/>
        <w:overflowPunct/>
        <w:topLinePunct w:val="0"/>
        <w:autoSpaceDE/>
        <w:autoSpaceDN/>
        <w:bidi w:val="0"/>
        <w:snapToGrid/>
        <w:spacing w:line="360" w:lineRule="exact"/>
        <w:ind w:firstLine="422" w:firstLineChars="200"/>
        <w:textAlignment w:val="auto"/>
        <w:rPr>
          <w:rFonts w:hint="eastAsia" w:ascii="宋体" w:hAnsi="宋体" w:eastAsia="宋体" w:cs="宋体"/>
          <w:sz w:val="21"/>
          <w:szCs w:val="21"/>
          <w:highlight w:val="none"/>
        </w:rPr>
      </w:pPr>
      <w:r>
        <w:rPr>
          <w:rFonts w:hint="eastAsia" w:ascii="宋体" w:hAnsi="宋体" w:eastAsia="宋体" w:cs="宋体"/>
          <w:b/>
          <w:sz w:val="21"/>
          <w:szCs w:val="21"/>
          <w:highlight w:val="none"/>
        </w:rPr>
        <w:t>3.6</w:t>
      </w:r>
      <w:r>
        <w:rPr>
          <w:rFonts w:hint="eastAsia" w:ascii="宋体" w:hAnsi="宋体" w:cs="宋体"/>
          <w:b/>
          <w:sz w:val="21"/>
          <w:szCs w:val="21"/>
          <w:highlight w:val="none"/>
          <w:lang w:eastAsia="zh-CN"/>
        </w:rPr>
        <w:t>采购</w:t>
      </w:r>
      <w:r>
        <w:rPr>
          <w:rFonts w:hint="eastAsia" w:ascii="宋体" w:hAnsi="宋体" w:eastAsia="宋体" w:cs="宋体"/>
          <w:b/>
          <w:sz w:val="21"/>
          <w:szCs w:val="21"/>
          <w:highlight w:val="none"/>
        </w:rPr>
        <w:t>需求中所有条款均不能出现负偏离，其中带“★”的条款为加分项条款，带“▲”的条款为系统演示条款。</w:t>
      </w:r>
    </w:p>
    <w:p>
      <w:pPr>
        <w:keepNext w:val="0"/>
        <w:keepLines w:val="0"/>
        <w:pageBreakBefore w:val="0"/>
        <w:widowControl w:val="0"/>
        <w:kinsoku/>
        <w:wordWrap w:val="0"/>
        <w:overflowPunct/>
        <w:topLinePunct w:val="0"/>
        <w:autoSpaceDE/>
        <w:autoSpaceDN/>
        <w:bidi w:val="0"/>
        <w:snapToGri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4. 招标方式、评分办法</w:t>
      </w:r>
    </w:p>
    <w:p>
      <w:pPr>
        <w:keepNext w:val="0"/>
        <w:keepLines w:val="0"/>
        <w:pageBreakBefore w:val="0"/>
        <w:widowControl w:val="0"/>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公开招标、综合评分法</w:t>
      </w:r>
    </w:p>
    <w:p>
      <w:pPr>
        <w:keepNext w:val="0"/>
        <w:keepLines w:val="0"/>
        <w:pageBreakBefore w:val="0"/>
        <w:widowControl w:val="0"/>
        <w:kinsoku/>
        <w:wordWrap w:val="0"/>
        <w:overflowPunct/>
        <w:topLinePunct w:val="0"/>
        <w:autoSpaceDE/>
        <w:autoSpaceDN/>
        <w:bidi w:val="0"/>
        <w:snapToGri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5. 投标人资格</w:t>
      </w:r>
    </w:p>
    <w:p>
      <w:pPr>
        <w:keepNext w:val="0"/>
        <w:keepLines w:val="0"/>
        <w:pageBreakBefore w:val="0"/>
        <w:widowControl w:val="0"/>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5.1</w:t>
      </w:r>
      <w:r>
        <w:rPr>
          <w:rFonts w:hint="eastAsia" w:ascii="宋体" w:hAnsi="宋体" w:eastAsia="宋体" w:cs="宋体"/>
          <w:bCs/>
          <w:sz w:val="21"/>
          <w:szCs w:val="21"/>
          <w:highlight w:val="none"/>
        </w:rPr>
        <w:t>满足《中华人民共和国政府采购法》第二十二条规定；</w:t>
      </w:r>
    </w:p>
    <w:p>
      <w:pPr>
        <w:keepNext w:val="0"/>
        <w:keepLines w:val="0"/>
        <w:pageBreakBefore w:val="0"/>
        <w:widowControl w:val="0"/>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5.2</w:t>
      </w:r>
      <w:r>
        <w:rPr>
          <w:rFonts w:hint="eastAsia" w:ascii="宋体" w:hAnsi="宋体" w:eastAsia="宋体" w:cs="宋体"/>
          <w:bCs/>
          <w:sz w:val="21"/>
          <w:szCs w:val="21"/>
          <w:highlight w:val="none"/>
        </w:rPr>
        <w:t>落实政府采购政策需满足的资格要求：本项目专门面向中小微企业采购</w:t>
      </w:r>
      <w:r>
        <w:rPr>
          <w:rFonts w:hint="eastAsia" w:ascii="宋体" w:hAnsi="宋体" w:eastAsia="宋体" w:cs="宋体"/>
          <w:bCs/>
          <w:sz w:val="21"/>
          <w:szCs w:val="21"/>
          <w:highlight w:val="none"/>
          <w:lang w:val="en-US" w:eastAsia="zh-CN"/>
        </w:rPr>
        <w:t>,</w:t>
      </w:r>
      <w:r>
        <w:rPr>
          <w:rFonts w:hint="eastAsia" w:ascii="宋体" w:hAnsi="宋体" w:eastAsia="宋体" w:cs="宋体"/>
          <w:bCs/>
          <w:sz w:val="21"/>
          <w:szCs w:val="21"/>
          <w:highlight w:val="none"/>
        </w:rPr>
        <w:t>供应商须满足《政府采购促进中小企业发展管理办法》（财库〔2020〕46号）第二条规定；根据《关于政府采购支持监狱企业发展有关问题的通知》（财库〔2014〕68号）及《关于促进残疾人就业政府采购政策的通知》（财库〔2017〕141号）的规定，监狱企业、残疾人福利单位视同小型、微型企业。</w:t>
      </w:r>
    </w:p>
    <w:p>
      <w:pPr>
        <w:keepNext w:val="0"/>
        <w:keepLines w:val="0"/>
        <w:pageBreakBefore w:val="0"/>
        <w:widowControl w:val="0"/>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5.3</w:t>
      </w:r>
      <w:r>
        <w:rPr>
          <w:rFonts w:hint="eastAsia" w:ascii="宋体" w:hAnsi="宋体" w:eastAsia="宋体" w:cs="宋体"/>
          <w:bCs/>
          <w:sz w:val="21"/>
          <w:szCs w:val="21"/>
          <w:highlight w:val="none"/>
        </w:rPr>
        <w:t>本项目的特定资格要求：无</w:t>
      </w:r>
    </w:p>
    <w:p>
      <w:pPr>
        <w:keepNext w:val="0"/>
        <w:keepLines w:val="0"/>
        <w:pageBreakBefore w:val="0"/>
        <w:widowControl w:val="0"/>
        <w:kinsoku/>
        <w:wordWrap w:val="0"/>
        <w:overflowPunct/>
        <w:topLinePunct w:val="0"/>
        <w:autoSpaceDE/>
        <w:autoSpaceDN/>
        <w:bidi w:val="0"/>
        <w:snapToGri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6. 投标费用</w:t>
      </w:r>
    </w:p>
    <w:p>
      <w:pPr>
        <w:keepNext w:val="0"/>
        <w:keepLines w:val="0"/>
        <w:pageBreakBefore w:val="0"/>
        <w:widowControl w:val="0"/>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b w:val="0"/>
          <w:bCs/>
          <w:sz w:val="21"/>
          <w:szCs w:val="21"/>
          <w:highlight w:val="none"/>
        </w:rPr>
      </w:pPr>
      <w:r>
        <w:rPr>
          <w:rFonts w:hint="eastAsia" w:ascii="宋体" w:hAnsi="宋体" w:eastAsia="宋体" w:cs="宋体"/>
          <w:b w:val="0"/>
          <w:bCs/>
          <w:sz w:val="21"/>
          <w:szCs w:val="21"/>
          <w:highlight w:val="none"/>
        </w:rPr>
        <w:t>不论投标结果如何，投标人均应自行承担所有与投标有关的全部费用。</w:t>
      </w:r>
    </w:p>
    <w:p>
      <w:pPr>
        <w:keepNext w:val="0"/>
        <w:keepLines w:val="0"/>
        <w:pageBreakBefore w:val="0"/>
        <w:widowControl w:val="0"/>
        <w:tabs>
          <w:tab w:val="left" w:pos="1635"/>
        </w:tabs>
        <w:kinsoku/>
        <w:wordWrap w:val="0"/>
        <w:overflowPunct/>
        <w:topLinePunct w:val="0"/>
        <w:autoSpaceDE/>
        <w:autoSpaceDN/>
        <w:bidi w:val="0"/>
        <w:snapToGri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7. 联合体投标要求</w:t>
      </w:r>
    </w:p>
    <w:p>
      <w:pPr>
        <w:keepNext w:val="0"/>
        <w:keepLines w:val="0"/>
        <w:pageBreakBefore w:val="0"/>
        <w:widowControl w:val="0"/>
        <w:tabs>
          <w:tab w:val="left" w:pos="1635"/>
        </w:tabs>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b/>
          <w:sz w:val="21"/>
          <w:szCs w:val="21"/>
          <w:highlight w:val="none"/>
        </w:rPr>
      </w:pPr>
      <w:r>
        <w:rPr>
          <w:rFonts w:hint="eastAsia" w:ascii="宋体" w:hAnsi="宋体" w:eastAsia="宋体" w:cs="宋体"/>
          <w:sz w:val="21"/>
          <w:szCs w:val="21"/>
          <w:highlight w:val="none"/>
        </w:rPr>
        <w:t>本项目不接受联合体投标。</w:t>
      </w:r>
    </w:p>
    <w:p>
      <w:pPr>
        <w:keepNext w:val="0"/>
        <w:keepLines w:val="0"/>
        <w:pageBreakBefore w:val="0"/>
        <w:widowControl w:val="0"/>
        <w:tabs>
          <w:tab w:val="left" w:pos="1635"/>
        </w:tabs>
        <w:kinsoku/>
        <w:wordWrap w:val="0"/>
        <w:overflowPunct/>
        <w:topLinePunct w:val="0"/>
        <w:autoSpaceDE/>
        <w:autoSpaceDN/>
        <w:bidi w:val="0"/>
        <w:snapToGri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8. 转包与分包</w:t>
      </w:r>
    </w:p>
    <w:p>
      <w:pPr>
        <w:keepNext w:val="0"/>
        <w:keepLines w:val="0"/>
        <w:pageBreakBefore w:val="0"/>
        <w:widowControl w:val="0"/>
        <w:tabs>
          <w:tab w:val="left" w:pos="1635"/>
        </w:tabs>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8.1本项目不允许转包。</w:t>
      </w:r>
    </w:p>
    <w:p>
      <w:pPr>
        <w:keepNext w:val="0"/>
        <w:keepLines w:val="0"/>
        <w:pageBreakBefore w:val="0"/>
        <w:widowControl w:val="0"/>
        <w:tabs>
          <w:tab w:val="left" w:pos="1635"/>
        </w:tabs>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8.2本项目不可以分包。</w:t>
      </w:r>
    </w:p>
    <w:p>
      <w:pPr>
        <w:keepNext w:val="0"/>
        <w:keepLines w:val="0"/>
        <w:pageBreakBefore w:val="0"/>
        <w:widowControl w:val="0"/>
        <w:tabs>
          <w:tab w:val="left" w:pos="1635"/>
        </w:tabs>
        <w:kinsoku/>
        <w:wordWrap w:val="0"/>
        <w:overflowPunct/>
        <w:topLinePunct w:val="0"/>
        <w:autoSpaceDE/>
        <w:autoSpaceDN/>
        <w:bidi w:val="0"/>
        <w:snapToGri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9. 特别说明</w:t>
      </w:r>
    </w:p>
    <w:p>
      <w:pPr>
        <w:keepNext w:val="0"/>
        <w:keepLines w:val="0"/>
        <w:pageBreakBefore w:val="0"/>
        <w:widowControl w:val="0"/>
        <w:tabs>
          <w:tab w:val="left" w:pos="1635"/>
        </w:tabs>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9.1关联供应商不得参加同一合同项下政府采购活动，否则投标文件将被视为无效：</w:t>
      </w:r>
    </w:p>
    <w:p>
      <w:pPr>
        <w:keepNext w:val="0"/>
        <w:keepLines w:val="0"/>
        <w:pageBreakBefore w:val="0"/>
        <w:widowControl w:val="0"/>
        <w:tabs>
          <w:tab w:val="left" w:pos="1635"/>
        </w:tabs>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（1）单位负责人为同一人或者存在直接控股、管理关系的不同供应商，不得参加同一合同项下的政府采购活动。</w:t>
      </w:r>
    </w:p>
    <w:p>
      <w:pPr>
        <w:keepNext w:val="0"/>
        <w:keepLines w:val="0"/>
        <w:pageBreakBefore w:val="0"/>
        <w:widowControl w:val="0"/>
        <w:tabs>
          <w:tab w:val="left" w:pos="1635"/>
        </w:tabs>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（2）为本采购项目提供整体设计、规范编制或者项目管理、监理、检测等服务的供应商，不得再参加本次采购活动。</w:t>
      </w:r>
    </w:p>
    <w:p>
      <w:pPr>
        <w:keepNext w:val="0"/>
        <w:keepLines w:val="0"/>
        <w:pageBreakBefore w:val="0"/>
        <w:widowControl w:val="0"/>
        <w:tabs>
          <w:tab w:val="left" w:pos="1635"/>
        </w:tabs>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9.2投标人应仔细阅读招标文件的所有内容，按照招标文件的要求提交投标文件，并对所提供的全部资料的真实性承担法律责任。</w:t>
      </w:r>
    </w:p>
    <w:p>
      <w:pPr>
        <w:keepNext w:val="0"/>
        <w:keepLines w:val="0"/>
        <w:pageBreakBefore w:val="0"/>
        <w:widowControl w:val="0"/>
        <w:tabs>
          <w:tab w:val="left" w:pos="1635"/>
        </w:tabs>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b/>
          <w:sz w:val="21"/>
          <w:szCs w:val="21"/>
          <w:highlight w:val="none"/>
        </w:rPr>
      </w:pPr>
      <w:r>
        <w:rPr>
          <w:rFonts w:hint="eastAsia" w:ascii="宋体" w:hAnsi="宋体" w:eastAsia="宋体" w:cs="宋体"/>
          <w:sz w:val="21"/>
          <w:szCs w:val="21"/>
          <w:highlight w:val="none"/>
        </w:rPr>
        <w:t>9.3投标人在投标活动中提供任何虚假材料，其投标无效，并报监管部门查处；中标后发现的，中标人须依照《中华人民共和国消费者权益保护法》规定赔偿采购人，且民事赔偿并不免除违法投标人的行政与刑事责任。</w:t>
      </w:r>
    </w:p>
    <w:p>
      <w:pPr>
        <w:keepNext w:val="0"/>
        <w:keepLines w:val="0"/>
        <w:pageBreakBefore w:val="0"/>
        <w:widowControl w:val="0"/>
        <w:tabs>
          <w:tab w:val="left" w:pos="2190"/>
        </w:tabs>
        <w:kinsoku/>
        <w:wordWrap w:val="0"/>
        <w:overflowPunct/>
        <w:topLinePunct w:val="0"/>
        <w:autoSpaceDE/>
        <w:autoSpaceDN/>
        <w:bidi w:val="0"/>
        <w:snapToGri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10. 质疑和投诉</w:t>
      </w:r>
    </w:p>
    <w:p>
      <w:pPr>
        <w:pStyle w:val="22"/>
        <w:keepNext w:val="0"/>
        <w:keepLines w:val="0"/>
        <w:pageBreakBefore w:val="0"/>
        <w:widowControl w:val="0"/>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10.1投标人认为招标文件使自己的合法权益受到损害的，应当在本项目公告期限届满之日起七个工作日内以书面形式向采购代理机构提出质疑；投标人认为招标过程或中标结果使自己的合法权益受到损害的，应当在各采购程序环节结束之日或中标公告期限届满之日起七个工作日内，以书面形式向采购代理机构提出质疑</w:t>
      </w:r>
      <w:r>
        <w:rPr>
          <w:rFonts w:hint="eastAsia" w:ascii="宋体" w:hAnsi="宋体" w:eastAsia="宋体" w:cs="宋体"/>
          <w:b/>
          <w:bCs/>
          <w:sz w:val="21"/>
          <w:szCs w:val="21"/>
          <w:highlight w:val="none"/>
        </w:rPr>
        <w:t>（“质疑函”格式见附表1）</w:t>
      </w:r>
      <w:r>
        <w:rPr>
          <w:rFonts w:hint="eastAsia" w:ascii="宋体" w:hAnsi="宋体" w:eastAsia="宋体" w:cs="宋体"/>
          <w:sz w:val="21"/>
          <w:szCs w:val="21"/>
          <w:highlight w:val="none"/>
        </w:rPr>
        <w:t>。否则，采购代理机构有权拒收。</w:t>
      </w:r>
    </w:p>
    <w:p>
      <w:pPr>
        <w:pStyle w:val="22"/>
        <w:keepNext w:val="0"/>
        <w:keepLines w:val="0"/>
        <w:pageBreakBefore w:val="0"/>
        <w:widowControl w:val="0"/>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采购代理机构应认真做好质疑处理工作，对于质疑供应商在法定质疑期内提出的质疑函，应当在收到质疑函后7个工作日内作出答复，并以书面形式通知质疑供应商和其他有关供应商。</w:t>
      </w:r>
    </w:p>
    <w:p>
      <w:pPr>
        <w:pStyle w:val="22"/>
        <w:keepNext w:val="0"/>
        <w:keepLines w:val="0"/>
        <w:pageBreakBefore w:val="0"/>
        <w:widowControl w:val="0"/>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投标人在法定质疑期内应一次性提出与项目相关的质疑，投标人在提出与项目相关的质疑前应当做好全面且详细的工作，代理机构不再受理投标人针对同一采购程序环节的再次质疑。</w:t>
      </w:r>
    </w:p>
    <w:p>
      <w:pPr>
        <w:pStyle w:val="22"/>
        <w:keepNext w:val="0"/>
        <w:keepLines w:val="0"/>
        <w:pageBreakBefore w:val="0"/>
        <w:widowControl w:val="0"/>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10.2投标人对采购代理机构的答复不满意或者采购代理机构未在规定的时间内作出答复的，可以在答复期满后十五个工作日内向</w:t>
      </w:r>
      <w:r>
        <w:rPr>
          <w:rFonts w:hint="eastAsia" w:ascii="宋体" w:hAnsi="宋体" w:eastAsia="宋体" w:cs="宋体"/>
          <w:sz w:val="21"/>
          <w:szCs w:val="21"/>
          <w:highlight w:val="none"/>
          <w:lang w:eastAsia="zh-CN"/>
        </w:rPr>
        <w:t>桂林市</w:t>
      </w:r>
      <w:r>
        <w:rPr>
          <w:rFonts w:hint="eastAsia" w:ascii="宋体" w:hAnsi="宋体" w:eastAsia="宋体" w:cs="宋体"/>
          <w:sz w:val="21"/>
          <w:szCs w:val="21"/>
          <w:highlight w:val="none"/>
        </w:rPr>
        <w:t>政府采购监督管理部门投诉</w:t>
      </w:r>
      <w:r>
        <w:rPr>
          <w:rFonts w:hint="eastAsia" w:ascii="宋体" w:hAnsi="宋体" w:eastAsia="宋体" w:cs="宋体"/>
          <w:b/>
          <w:bCs/>
          <w:sz w:val="21"/>
          <w:szCs w:val="21"/>
          <w:highlight w:val="none"/>
        </w:rPr>
        <w:t>（“投诉书”格式见附表2）</w:t>
      </w:r>
      <w:r>
        <w:rPr>
          <w:rFonts w:hint="eastAsia" w:ascii="宋体" w:hAnsi="宋体" w:eastAsia="宋体" w:cs="宋体"/>
          <w:sz w:val="21"/>
          <w:szCs w:val="21"/>
          <w:highlight w:val="none"/>
        </w:rPr>
        <w:t>。</w:t>
      </w:r>
    </w:p>
    <w:p>
      <w:pPr>
        <w:pStyle w:val="22"/>
        <w:keepNext w:val="0"/>
        <w:keepLines w:val="0"/>
        <w:pageBreakBefore w:val="0"/>
        <w:widowControl w:val="0"/>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10.3质疑、投诉应当采用书面形式，质疑书、投诉书实行实名制，均应明确阐述招标文件、招标过程或中标结果中使自己合法权益受到损害的实质性内容，并提供必要的证明材料。</w:t>
      </w:r>
    </w:p>
    <w:p>
      <w:pPr>
        <w:pStyle w:val="22"/>
        <w:keepNext w:val="0"/>
        <w:keepLines w:val="0"/>
        <w:pageBreakBefore w:val="0"/>
        <w:widowControl w:val="0"/>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投标人提出质疑应当提交质疑函和必要的证明材料，针对同一采购程序环节的质疑必须在法定质疑期内一次性提出。质疑函应当包括下列内容：</w:t>
      </w:r>
    </w:p>
    <w:p>
      <w:pPr>
        <w:pStyle w:val="22"/>
        <w:keepNext w:val="0"/>
        <w:keepLines w:val="0"/>
        <w:pageBreakBefore w:val="0"/>
        <w:widowControl w:val="0"/>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（1）供应商的姓名或者名称、地址、邮编、联系人及联系电话；</w:t>
      </w:r>
    </w:p>
    <w:p>
      <w:pPr>
        <w:pStyle w:val="22"/>
        <w:keepNext w:val="0"/>
        <w:keepLines w:val="0"/>
        <w:pageBreakBefore w:val="0"/>
        <w:widowControl w:val="0"/>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（2）质疑项目的名称、编号；</w:t>
      </w:r>
    </w:p>
    <w:p>
      <w:pPr>
        <w:pStyle w:val="22"/>
        <w:keepNext w:val="0"/>
        <w:keepLines w:val="0"/>
        <w:pageBreakBefore w:val="0"/>
        <w:widowControl w:val="0"/>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（3）具体、明确的质疑事项和与质疑事项相关的请求；</w:t>
      </w:r>
    </w:p>
    <w:p>
      <w:pPr>
        <w:pStyle w:val="22"/>
        <w:keepNext w:val="0"/>
        <w:keepLines w:val="0"/>
        <w:pageBreakBefore w:val="0"/>
        <w:widowControl w:val="0"/>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（4）事实依据；</w:t>
      </w:r>
    </w:p>
    <w:p>
      <w:pPr>
        <w:pStyle w:val="22"/>
        <w:keepNext w:val="0"/>
        <w:keepLines w:val="0"/>
        <w:pageBreakBefore w:val="0"/>
        <w:widowControl w:val="0"/>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（5）必要的法律依据；</w:t>
      </w:r>
    </w:p>
    <w:p>
      <w:pPr>
        <w:pStyle w:val="22"/>
        <w:keepNext w:val="0"/>
        <w:keepLines w:val="0"/>
        <w:pageBreakBefore w:val="0"/>
        <w:widowControl w:val="0"/>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（6）提出质疑的日期。</w:t>
      </w:r>
    </w:p>
    <w:p>
      <w:pPr>
        <w:pStyle w:val="22"/>
        <w:keepNext w:val="0"/>
        <w:keepLines w:val="0"/>
        <w:pageBreakBefore w:val="0"/>
        <w:widowControl w:val="0"/>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供应商为自然人的，应当由本人签字；供应商为法人或者其他组织的，应当由法定代表人、主要负责人，或者其授权代表签字或者盖章，并加盖公章。</w:t>
      </w:r>
    </w:p>
    <w:p>
      <w:pPr>
        <w:pStyle w:val="22"/>
        <w:keepNext w:val="0"/>
        <w:keepLines w:val="0"/>
        <w:pageBreakBefore w:val="0"/>
        <w:widowControl w:val="0"/>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接收质疑函方式：以书面形式</w:t>
      </w:r>
    </w:p>
    <w:p>
      <w:pPr>
        <w:pStyle w:val="22"/>
        <w:keepNext w:val="0"/>
        <w:keepLines w:val="0"/>
        <w:pageBreakBefore w:val="0"/>
        <w:widowControl w:val="0"/>
        <w:kinsoku/>
        <w:wordWrap w:val="0"/>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质疑联系部门及联系方式：</w:t>
      </w:r>
      <w:r>
        <w:rPr>
          <w:rFonts w:hint="eastAsia" w:ascii="宋体" w:hAnsi="宋体" w:eastAsia="宋体" w:cs="宋体"/>
          <w:sz w:val="21"/>
          <w:szCs w:val="21"/>
          <w:highlight w:val="none"/>
          <w:lang w:eastAsia="zh-CN"/>
        </w:rPr>
        <w:t>广西江之源项目管理有限公司</w:t>
      </w:r>
      <w:r>
        <w:rPr>
          <w:rFonts w:hint="eastAsia" w:ascii="宋体" w:hAnsi="宋体" w:eastAsia="宋体" w:cs="宋体"/>
          <w:sz w:val="21"/>
          <w:szCs w:val="21"/>
          <w:highlight w:val="none"/>
        </w:rPr>
        <w:t>，联系人：周健，联系电话：0773-5368276，通讯地址：</w:t>
      </w:r>
      <w:r>
        <w:rPr>
          <w:rFonts w:hint="eastAsia" w:ascii="宋体" w:hAnsi="宋体" w:eastAsia="宋体" w:cs="宋体"/>
          <w:sz w:val="21"/>
          <w:szCs w:val="21"/>
          <w:highlight w:val="none"/>
          <w:lang w:eastAsia="zh-CN"/>
        </w:rPr>
        <w:t>桂林市临桂区临桂镇汇金·时代广场1幢32层15号</w:t>
      </w:r>
      <w:r>
        <w:rPr>
          <w:rFonts w:hint="eastAsia" w:ascii="宋体" w:hAnsi="宋体" w:eastAsia="宋体" w:cs="宋体"/>
          <w:sz w:val="21"/>
          <w:szCs w:val="21"/>
          <w:highlight w:val="none"/>
        </w:rPr>
        <w:t>。</w:t>
      </w:r>
    </w:p>
    <w:p>
      <w:pPr>
        <w:tabs>
          <w:tab w:val="left" w:pos="2190"/>
        </w:tabs>
        <w:wordWrap w:val="0"/>
        <w:spacing w:line="360" w:lineRule="exact"/>
        <w:jc w:val="center"/>
        <w:rPr>
          <w:rFonts w:ascii="宋体" w:hAnsi="宋体"/>
          <w:b/>
          <w:sz w:val="24"/>
          <w:highlight w:val="none"/>
        </w:rPr>
      </w:pPr>
    </w:p>
    <w:p>
      <w:pPr>
        <w:tabs>
          <w:tab w:val="left" w:pos="2190"/>
        </w:tabs>
        <w:wordWrap w:val="0"/>
        <w:spacing w:line="360" w:lineRule="exact"/>
        <w:jc w:val="center"/>
        <w:rPr>
          <w:rFonts w:hint="eastAsia" w:ascii="宋体" w:hAnsi="宋体"/>
          <w:b/>
          <w:sz w:val="28"/>
          <w:szCs w:val="28"/>
          <w:highlight w:val="none"/>
        </w:rPr>
      </w:pPr>
      <w:r>
        <w:rPr>
          <w:rFonts w:hint="eastAsia" w:ascii="宋体" w:hAnsi="宋体"/>
          <w:b/>
          <w:sz w:val="28"/>
          <w:szCs w:val="28"/>
          <w:highlight w:val="none"/>
        </w:rPr>
        <w:t>二、招标文件</w:t>
      </w:r>
    </w:p>
    <w:p>
      <w:pPr>
        <w:keepNext w:val="0"/>
        <w:keepLines w:val="0"/>
        <w:pageBreakBefore w:val="0"/>
        <w:widowControl w:val="0"/>
        <w:tabs>
          <w:tab w:val="left" w:pos="2190"/>
        </w:tabs>
        <w:kinsoku/>
        <w:wordWrap w:val="0"/>
        <w:overflowPunct/>
        <w:topLinePunct w:val="0"/>
        <w:autoSpaceDE/>
        <w:autoSpaceDN/>
        <w:bidi w:val="0"/>
        <w:adjustRightInd/>
        <w:snapToGrid/>
        <w:spacing w:line="360" w:lineRule="exact"/>
        <w:ind w:firstLine="422" w:firstLineChars="200"/>
        <w:textAlignment w:val="auto"/>
        <w:rPr>
          <w:rFonts w:hint="eastAsia" w:ascii="宋体" w:hAnsi="宋体"/>
          <w:b/>
          <w:sz w:val="21"/>
          <w:szCs w:val="21"/>
          <w:highlight w:val="none"/>
        </w:rPr>
      </w:pPr>
      <w:r>
        <w:rPr>
          <w:rFonts w:hint="eastAsia" w:ascii="宋体" w:hAnsi="宋体"/>
          <w:b/>
          <w:sz w:val="21"/>
          <w:szCs w:val="21"/>
          <w:highlight w:val="none"/>
        </w:rPr>
        <w:t>11. 招标文件的构成</w:t>
      </w:r>
    </w:p>
    <w:p>
      <w:pPr>
        <w:keepNext w:val="0"/>
        <w:keepLines w:val="0"/>
        <w:pageBreakBefore w:val="0"/>
        <w:widowControl w:val="0"/>
        <w:tabs>
          <w:tab w:val="left" w:pos="2190"/>
        </w:tabs>
        <w:kinsoku/>
        <w:wordWrap w:val="0"/>
        <w:overflowPunct/>
        <w:topLinePunct w:val="0"/>
        <w:autoSpaceDE/>
        <w:autoSpaceDN/>
        <w:bidi w:val="0"/>
        <w:adjustRightInd/>
        <w:snapToGrid/>
        <w:spacing w:line="360" w:lineRule="exact"/>
        <w:ind w:firstLine="420" w:firstLineChars="200"/>
        <w:textAlignment w:val="auto"/>
        <w:rPr>
          <w:rFonts w:hint="eastAsia" w:ascii="宋体" w:hAnsi="宋体"/>
          <w:sz w:val="21"/>
          <w:szCs w:val="21"/>
          <w:highlight w:val="none"/>
        </w:rPr>
      </w:pPr>
      <w:r>
        <w:rPr>
          <w:rFonts w:hint="eastAsia" w:ascii="宋体" w:hAnsi="宋体"/>
          <w:sz w:val="21"/>
          <w:szCs w:val="21"/>
          <w:highlight w:val="none"/>
        </w:rPr>
        <w:t>（1）公开招标公告；</w:t>
      </w:r>
    </w:p>
    <w:p>
      <w:pPr>
        <w:keepNext w:val="0"/>
        <w:keepLines w:val="0"/>
        <w:pageBreakBefore w:val="0"/>
        <w:widowControl w:val="0"/>
        <w:tabs>
          <w:tab w:val="left" w:pos="2190"/>
        </w:tabs>
        <w:kinsoku/>
        <w:wordWrap w:val="0"/>
        <w:overflowPunct/>
        <w:topLinePunct w:val="0"/>
        <w:autoSpaceDE/>
        <w:autoSpaceDN/>
        <w:bidi w:val="0"/>
        <w:adjustRightInd/>
        <w:snapToGrid/>
        <w:spacing w:line="360" w:lineRule="exact"/>
        <w:ind w:firstLine="420" w:firstLineChars="200"/>
        <w:textAlignment w:val="auto"/>
        <w:rPr>
          <w:rFonts w:hint="eastAsia" w:ascii="宋体" w:hAnsi="宋体"/>
          <w:sz w:val="21"/>
          <w:szCs w:val="21"/>
          <w:highlight w:val="none"/>
        </w:rPr>
      </w:pPr>
      <w:r>
        <w:rPr>
          <w:rFonts w:hint="eastAsia" w:ascii="宋体" w:hAnsi="宋体"/>
          <w:sz w:val="21"/>
          <w:szCs w:val="21"/>
          <w:highlight w:val="none"/>
        </w:rPr>
        <w:t>（2）投标人须知；</w:t>
      </w:r>
    </w:p>
    <w:p>
      <w:pPr>
        <w:keepNext w:val="0"/>
        <w:keepLines w:val="0"/>
        <w:pageBreakBefore w:val="0"/>
        <w:widowControl w:val="0"/>
        <w:tabs>
          <w:tab w:val="left" w:pos="2190"/>
        </w:tabs>
        <w:kinsoku/>
        <w:wordWrap w:val="0"/>
        <w:overflowPunct/>
        <w:topLinePunct w:val="0"/>
        <w:autoSpaceDE/>
        <w:autoSpaceDN/>
        <w:bidi w:val="0"/>
        <w:adjustRightInd/>
        <w:snapToGrid/>
        <w:spacing w:line="360" w:lineRule="exact"/>
        <w:ind w:firstLine="420" w:firstLineChars="200"/>
        <w:textAlignment w:val="auto"/>
        <w:rPr>
          <w:rFonts w:hint="eastAsia" w:ascii="宋体" w:hAnsi="宋体"/>
          <w:sz w:val="21"/>
          <w:szCs w:val="21"/>
          <w:highlight w:val="none"/>
        </w:rPr>
      </w:pPr>
      <w:r>
        <w:rPr>
          <w:rFonts w:hint="eastAsia" w:ascii="宋体" w:hAnsi="宋体"/>
          <w:sz w:val="21"/>
          <w:szCs w:val="21"/>
          <w:highlight w:val="none"/>
        </w:rPr>
        <w:t>（3）采购需求；</w:t>
      </w:r>
    </w:p>
    <w:p>
      <w:pPr>
        <w:keepNext w:val="0"/>
        <w:keepLines w:val="0"/>
        <w:pageBreakBefore w:val="0"/>
        <w:widowControl w:val="0"/>
        <w:tabs>
          <w:tab w:val="left" w:pos="2190"/>
        </w:tabs>
        <w:kinsoku/>
        <w:wordWrap w:val="0"/>
        <w:overflowPunct/>
        <w:topLinePunct w:val="0"/>
        <w:autoSpaceDE/>
        <w:autoSpaceDN/>
        <w:bidi w:val="0"/>
        <w:adjustRightInd/>
        <w:snapToGrid/>
        <w:spacing w:line="360" w:lineRule="exact"/>
        <w:ind w:firstLine="420" w:firstLineChars="200"/>
        <w:textAlignment w:val="auto"/>
        <w:rPr>
          <w:rFonts w:hint="eastAsia" w:ascii="宋体" w:hAnsi="宋体"/>
          <w:sz w:val="21"/>
          <w:szCs w:val="21"/>
          <w:highlight w:val="none"/>
        </w:rPr>
      </w:pPr>
      <w:r>
        <w:rPr>
          <w:rFonts w:hint="eastAsia" w:ascii="宋体" w:hAnsi="宋体"/>
          <w:sz w:val="21"/>
          <w:szCs w:val="21"/>
          <w:highlight w:val="none"/>
        </w:rPr>
        <w:t>（4）评标办法；</w:t>
      </w:r>
    </w:p>
    <w:p>
      <w:pPr>
        <w:keepNext w:val="0"/>
        <w:keepLines w:val="0"/>
        <w:pageBreakBefore w:val="0"/>
        <w:widowControl w:val="0"/>
        <w:tabs>
          <w:tab w:val="left" w:pos="2190"/>
        </w:tabs>
        <w:kinsoku/>
        <w:wordWrap w:val="0"/>
        <w:overflowPunct/>
        <w:topLinePunct w:val="0"/>
        <w:autoSpaceDE/>
        <w:autoSpaceDN/>
        <w:bidi w:val="0"/>
        <w:adjustRightInd/>
        <w:snapToGrid/>
        <w:spacing w:line="360" w:lineRule="exact"/>
        <w:ind w:firstLine="420" w:firstLineChars="200"/>
        <w:textAlignment w:val="auto"/>
        <w:rPr>
          <w:rFonts w:hint="eastAsia" w:ascii="宋体" w:hAnsi="宋体"/>
          <w:sz w:val="21"/>
          <w:szCs w:val="21"/>
          <w:highlight w:val="none"/>
        </w:rPr>
      </w:pPr>
      <w:r>
        <w:rPr>
          <w:rFonts w:hint="eastAsia" w:ascii="宋体" w:hAnsi="宋体"/>
          <w:sz w:val="21"/>
          <w:szCs w:val="21"/>
          <w:highlight w:val="none"/>
        </w:rPr>
        <w:t>（5）采购合同（合同主要条款及格式）；</w:t>
      </w:r>
    </w:p>
    <w:p>
      <w:pPr>
        <w:keepNext w:val="0"/>
        <w:keepLines w:val="0"/>
        <w:pageBreakBefore w:val="0"/>
        <w:widowControl w:val="0"/>
        <w:tabs>
          <w:tab w:val="left" w:pos="2190"/>
        </w:tabs>
        <w:kinsoku/>
        <w:wordWrap w:val="0"/>
        <w:overflowPunct/>
        <w:topLinePunct w:val="0"/>
        <w:autoSpaceDE/>
        <w:autoSpaceDN/>
        <w:bidi w:val="0"/>
        <w:adjustRightInd/>
        <w:snapToGrid/>
        <w:spacing w:line="360" w:lineRule="exact"/>
        <w:ind w:firstLine="420" w:firstLineChars="200"/>
        <w:textAlignment w:val="auto"/>
        <w:rPr>
          <w:rFonts w:hint="eastAsia" w:ascii="宋体" w:hAnsi="宋体"/>
          <w:sz w:val="21"/>
          <w:szCs w:val="21"/>
          <w:highlight w:val="none"/>
        </w:rPr>
      </w:pPr>
      <w:r>
        <w:rPr>
          <w:rFonts w:hint="eastAsia" w:ascii="宋体" w:hAnsi="宋体"/>
          <w:sz w:val="21"/>
          <w:szCs w:val="21"/>
          <w:highlight w:val="none"/>
        </w:rPr>
        <w:t>（6）</w:t>
      </w:r>
      <w:r>
        <w:rPr>
          <w:rFonts w:hint="eastAsia" w:ascii="宋体" w:hAnsi="宋体"/>
          <w:sz w:val="21"/>
          <w:szCs w:val="21"/>
          <w:highlight w:val="none"/>
          <w:lang w:eastAsia="zh-CN"/>
        </w:rPr>
        <w:t>投标文件（格式）</w:t>
      </w:r>
      <w:r>
        <w:rPr>
          <w:rFonts w:hint="eastAsia" w:ascii="宋体" w:hAnsi="宋体"/>
          <w:sz w:val="21"/>
          <w:szCs w:val="21"/>
          <w:highlight w:val="none"/>
        </w:rPr>
        <w:t>。</w:t>
      </w:r>
    </w:p>
    <w:p>
      <w:pPr>
        <w:keepNext w:val="0"/>
        <w:keepLines w:val="0"/>
        <w:pageBreakBefore w:val="0"/>
        <w:widowControl w:val="0"/>
        <w:tabs>
          <w:tab w:val="left" w:pos="2190"/>
        </w:tabs>
        <w:kinsoku/>
        <w:wordWrap w:val="0"/>
        <w:overflowPunct/>
        <w:topLinePunct w:val="0"/>
        <w:autoSpaceDE/>
        <w:autoSpaceDN/>
        <w:bidi w:val="0"/>
        <w:adjustRightInd/>
        <w:snapToGrid/>
        <w:spacing w:line="360" w:lineRule="exact"/>
        <w:ind w:firstLine="422" w:firstLineChars="200"/>
        <w:textAlignment w:val="auto"/>
        <w:rPr>
          <w:rFonts w:hint="eastAsia" w:ascii="宋体" w:hAnsi="宋体"/>
          <w:b/>
          <w:sz w:val="21"/>
          <w:szCs w:val="21"/>
          <w:highlight w:val="none"/>
        </w:rPr>
      </w:pPr>
      <w:r>
        <w:rPr>
          <w:rFonts w:hint="eastAsia" w:ascii="宋体" w:hAnsi="宋体"/>
          <w:b/>
          <w:sz w:val="21"/>
          <w:szCs w:val="21"/>
          <w:highlight w:val="none"/>
        </w:rPr>
        <w:t>12. 招标文件的澄清与修改</w:t>
      </w:r>
    </w:p>
    <w:p>
      <w:pPr>
        <w:keepNext w:val="0"/>
        <w:keepLines w:val="0"/>
        <w:pageBreakBefore w:val="0"/>
        <w:widowControl w:val="0"/>
        <w:tabs>
          <w:tab w:val="left" w:pos="2190"/>
        </w:tabs>
        <w:kinsoku/>
        <w:wordWrap w:val="0"/>
        <w:overflowPunct/>
        <w:topLinePunct w:val="0"/>
        <w:autoSpaceDE/>
        <w:autoSpaceDN/>
        <w:bidi w:val="0"/>
        <w:adjustRightInd/>
        <w:snapToGrid/>
        <w:spacing w:line="360" w:lineRule="exact"/>
        <w:ind w:firstLine="420" w:firstLineChars="200"/>
        <w:textAlignment w:val="auto"/>
        <w:rPr>
          <w:rFonts w:ascii="宋体" w:hAnsi="宋体"/>
          <w:sz w:val="21"/>
          <w:szCs w:val="21"/>
          <w:highlight w:val="none"/>
        </w:rPr>
      </w:pPr>
      <w:r>
        <w:rPr>
          <w:rFonts w:hint="eastAsia" w:ascii="宋体" w:hAnsi="宋体"/>
          <w:sz w:val="21"/>
          <w:szCs w:val="21"/>
          <w:highlight w:val="none"/>
        </w:rPr>
        <w:t>12.1投标人应认真阅读招标文件，发现其中有误或有不合理要求的，投标人必须在招标公告期限届满之日起七个工作日内以书面形式要求采购代理机构澄清。</w:t>
      </w:r>
    </w:p>
    <w:p>
      <w:pPr>
        <w:keepNext w:val="0"/>
        <w:keepLines w:val="0"/>
        <w:pageBreakBefore w:val="0"/>
        <w:widowControl w:val="0"/>
        <w:tabs>
          <w:tab w:val="left" w:pos="2190"/>
        </w:tabs>
        <w:kinsoku/>
        <w:wordWrap w:val="0"/>
        <w:overflowPunct/>
        <w:topLinePunct w:val="0"/>
        <w:autoSpaceDE/>
        <w:autoSpaceDN/>
        <w:bidi w:val="0"/>
        <w:adjustRightInd/>
        <w:snapToGrid/>
        <w:spacing w:line="360" w:lineRule="exact"/>
        <w:ind w:firstLine="420" w:firstLineChars="200"/>
        <w:textAlignment w:val="auto"/>
        <w:rPr>
          <w:rFonts w:ascii="宋体" w:hAnsi="宋体"/>
          <w:sz w:val="21"/>
          <w:szCs w:val="21"/>
          <w:highlight w:val="none"/>
        </w:rPr>
      </w:pPr>
      <w:r>
        <w:rPr>
          <w:rFonts w:hint="eastAsia" w:ascii="宋体" w:hAnsi="宋体"/>
          <w:sz w:val="21"/>
          <w:szCs w:val="21"/>
          <w:highlight w:val="none"/>
        </w:rPr>
        <w:t>12.2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15日前在本招标项目招标公告发布的同一媒体上发布更正公告；不足15日的，采购代理机构应当顺延提交投标文件的截止时间。</w:t>
      </w:r>
    </w:p>
    <w:p>
      <w:pPr>
        <w:keepNext w:val="0"/>
        <w:keepLines w:val="0"/>
        <w:pageBreakBefore w:val="0"/>
        <w:widowControl w:val="0"/>
        <w:tabs>
          <w:tab w:val="left" w:pos="2190"/>
        </w:tabs>
        <w:kinsoku/>
        <w:wordWrap w:val="0"/>
        <w:overflowPunct/>
        <w:topLinePunct w:val="0"/>
        <w:autoSpaceDE/>
        <w:autoSpaceDN/>
        <w:bidi w:val="0"/>
        <w:adjustRightInd/>
        <w:snapToGrid/>
        <w:spacing w:line="360" w:lineRule="exact"/>
        <w:ind w:firstLine="422" w:firstLineChars="200"/>
        <w:textAlignment w:val="auto"/>
        <w:rPr>
          <w:rFonts w:hint="eastAsia" w:ascii="宋体" w:hAnsi="宋体"/>
          <w:b/>
          <w:sz w:val="21"/>
          <w:szCs w:val="21"/>
          <w:highlight w:val="none"/>
        </w:rPr>
      </w:pPr>
      <w:r>
        <w:rPr>
          <w:rFonts w:hint="eastAsia" w:ascii="宋体" w:hAnsi="宋体"/>
          <w:b/>
          <w:sz w:val="21"/>
          <w:szCs w:val="21"/>
          <w:highlight w:val="none"/>
        </w:rPr>
        <w:t>12.3投标人应实时关注本项目公告相关网站了解澄清、修改等与项目有关的内容，如因投标人未及时登录本项目公告相关网站了解澄清、修改等与项目有关的内容，从而导致投标无效的，由投标人自行承担责任。</w:t>
      </w:r>
    </w:p>
    <w:p>
      <w:pPr>
        <w:keepNext w:val="0"/>
        <w:keepLines w:val="0"/>
        <w:pageBreakBefore w:val="0"/>
        <w:widowControl w:val="0"/>
        <w:tabs>
          <w:tab w:val="left" w:pos="2190"/>
        </w:tabs>
        <w:kinsoku/>
        <w:wordWrap w:val="0"/>
        <w:overflowPunct/>
        <w:topLinePunct w:val="0"/>
        <w:autoSpaceDE/>
        <w:autoSpaceDN/>
        <w:bidi w:val="0"/>
        <w:adjustRightInd/>
        <w:snapToGrid/>
        <w:spacing w:line="360" w:lineRule="exact"/>
        <w:ind w:firstLine="420" w:firstLineChars="200"/>
        <w:textAlignment w:val="auto"/>
        <w:rPr>
          <w:rFonts w:hint="eastAsia" w:ascii="宋体" w:hAnsi="宋体"/>
          <w:sz w:val="21"/>
          <w:szCs w:val="21"/>
          <w:highlight w:val="none"/>
        </w:rPr>
      </w:pPr>
      <w:r>
        <w:rPr>
          <w:rFonts w:hint="eastAsia" w:ascii="宋体" w:hAnsi="宋体"/>
          <w:sz w:val="21"/>
          <w:szCs w:val="21"/>
          <w:highlight w:val="none"/>
        </w:rPr>
        <w:t>12.4必要的澄清、修改的内容为招标文件的组成部分。当澄清、修改通知就同一内容的表述不一致时，以最后发出的书面文件为准。</w:t>
      </w:r>
    </w:p>
    <w:p>
      <w:pPr>
        <w:keepNext w:val="0"/>
        <w:keepLines w:val="0"/>
        <w:pageBreakBefore w:val="0"/>
        <w:widowControl w:val="0"/>
        <w:tabs>
          <w:tab w:val="left" w:pos="2190"/>
        </w:tabs>
        <w:kinsoku/>
        <w:wordWrap w:val="0"/>
        <w:overflowPunct/>
        <w:topLinePunct w:val="0"/>
        <w:autoSpaceDE/>
        <w:autoSpaceDN/>
        <w:bidi w:val="0"/>
        <w:adjustRightInd/>
        <w:snapToGrid/>
        <w:spacing w:line="360" w:lineRule="exact"/>
        <w:ind w:firstLine="420" w:firstLineChars="200"/>
        <w:textAlignment w:val="auto"/>
        <w:rPr>
          <w:rFonts w:hint="eastAsia" w:ascii="宋体" w:hAnsi="宋体"/>
          <w:sz w:val="21"/>
          <w:szCs w:val="21"/>
          <w:highlight w:val="none"/>
        </w:rPr>
      </w:pPr>
      <w:r>
        <w:rPr>
          <w:rFonts w:hint="eastAsia" w:ascii="宋体" w:hAnsi="宋体"/>
          <w:sz w:val="21"/>
          <w:szCs w:val="21"/>
          <w:highlight w:val="none"/>
        </w:rPr>
        <w:t>12.5招标文件的澄清、修改都应该通过采购代理机构以法定形式发布，采购人非通过本机构，不得擅自澄清、修改招标文件。</w:t>
      </w:r>
    </w:p>
    <w:p>
      <w:pPr>
        <w:keepNext w:val="0"/>
        <w:keepLines w:val="0"/>
        <w:pageBreakBefore w:val="0"/>
        <w:widowControl w:val="0"/>
        <w:tabs>
          <w:tab w:val="left" w:pos="2190"/>
        </w:tabs>
        <w:kinsoku/>
        <w:wordWrap w:val="0"/>
        <w:overflowPunct/>
        <w:topLinePunct w:val="0"/>
        <w:autoSpaceDE/>
        <w:autoSpaceDN/>
        <w:bidi w:val="0"/>
        <w:adjustRightInd/>
        <w:snapToGrid/>
        <w:spacing w:line="360" w:lineRule="exact"/>
        <w:ind w:firstLine="420" w:firstLineChars="200"/>
        <w:textAlignment w:val="auto"/>
        <w:rPr>
          <w:rFonts w:hint="eastAsia" w:ascii="宋体" w:hAnsi="宋体"/>
          <w:sz w:val="21"/>
          <w:szCs w:val="21"/>
          <w:highlight w:val="none"/>
        </w:rPr>
      </w:pPr>
      <w:r>
        <w:rPr>
          <w:rFonts w:hint="eastAsia" w:ascii="宋体" w:hAnsi="宋体"/>
          <w:sz w:val="21"/>
          <w:szCs w:val="21"/>
          <w:highlight w:val="none"/>
        </w:rPr>
        <w:t>12.6采购人或者采购代理机构可以视采购具体情况，延长投标截止时间和开标时间，并在本项目招标公告发布的同一媒体上发布变更公告。</w:t>
      </w:r>
    </w:p>
    <w:p>
      <w:pPr>
        <w:tabs>
          <w:tab w:val="left" w:pos="2190"/>
        </w:tabs>
        <w:wordWrap w:val="0"/>
        <w:spacing w:line="360" w:lineRule="exact"/>
        <w:ind w:firstLine="435"/>
        <w:jc w:val="center"/>
        <w:rPr>
          <w:rFonts w:ascii="宋体" w:hAnsi="宋体"/>
          <w:b/>
          <w:sz w:val="24"/>
          <w:highlight w:val="none"/>
        </w:rPr>
      </w:pPr>
    </w:p>
    <w:p>
      <w:pPr>
        <w:tabs>
          <w:tab w:val="left" w:pos="2190"/>
        </w:tabs>
        <w:wordWrap w:val="0"/>
        <w:spacing w:line="360" w:lineRule="exact"/>
        <w:jc w:val="center"/>
        <w:rPr>
          <w:rFonts w:hint="eastAsia" w:ascii="宋体" w:hAnsi="宋体"/>
          <w:b/>
          <w:sz w:val="28"/>
          <w:szCs w:val="28"/>
          <w:highlight w:val="none"/>
        </w:rPr>
      </w:pPr>
      <w:r>
        <w:rPr>
          <w:rFonts w:hint="eastAsia" w:ascii="宋体" w:hAnsi="宋体"/>
          <w:b/>
          <w:sz w:val="28"/>
          <w:szCs w:val="28"/>
          <w:highlight w:val="none"/>
        </w:rPr>
        <w:t>三、投标文件的编制</w:t>
      </w:r>
    </w:p>
    <w:p>
      <w:pPr>
        <w:tabs>
          <w:tab w:val="left" w:pos="1305"/>
        </w:tabs>
        <w:wordWrap w:val="0"/>
        <w:spacing w:line="360" w:lineRule="exact"/>
        <w:ind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13. 投标文件的组成及要求</w:t>
      </w:r>
    </w:p>
    <w:p>
      <w:pPr>
        <w:tabs>
          <w:tab w:val="left" w:pos="2190"/>
        </w:tabs>
        <w:wordWrap w:val="0"/>
        <w:spacing w:line="360" w:lineRule="exact"/>
        <w:ind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13.1投标文件的组成【格式见第六章“</w:t>
      </w:r>
      <w:r>
        <w:rPr>
          <w:rFonts w:hint="eastAsia" w:ascii="宋体" w:hAnsi="宋体" w:eastAsia="宋体" w:cs="宋体"/>
          <w:b/>
          <w:sz w:val="21"/>
          <w:szCs w:val="21"/>
          <w:highlight w:val="none"/>
          <w:lang w:eastAsia="zh-CN"/>
        </w:rPr>
        <w:t>投标文件（格式）</w:t>
      </w:r>
      <w:r>
        <w:rPr>
          <w:rFonts w:hint="eastAsia" w:ascii="宋体" w:hAnsi="宋体" w:eastAsia="宋体" w:cs="宋体"/>
          <w:b/>
          <w:sz w:val="21"/>
          <w:szCs w:val="21"/>
          <w:highlight w:val="none"/>
        </w:rPr>
        <w:t>”】</w:t>
      </w:r>
    </w:p>
    <w:p>
      <w:pPr>
        <w:tabs>
          <w:tab w:val="left" w:pos="2190"/>
        </w:tabs>
        <w:wordWrap w:val="0"/>
        <w:spacing w:line="360" w:lineRule="exact"/>
        <w:ind w:firstLine="422" w:firstLineChars="200"/>
        <w:rPr>
          <w:rFonts w:hint="eastAsia" w:ascii="宋体" w:hAnsi="宋体" w:eastAsia="宋体" w:cs="宋体"/>
          <w:sz w:val="21"/>
          <w:szCs w:val="21"/>
          <w:highlight w:val="none"/>
        </w:rPr>
      </w:pPr>
      <w:r>
        <w:rPr>
          <w:rFonts w:hint="eastAsia" w:ascii="宋体" w:hAnsi="宋体" w:eastAsia="宋体" w:cs="宋体"/>
          <w:b/>
          <w:sz w:val="21"/>
          <w:szCs w:val="21"/>
          <w:highlight w:val="none"/>
        </w:rPr>
        <w:t>13.1.1资格性响应证明材料：</w:t>
      </w:r>
    </w:p>
    <w:p>
      <w:pPr>
        <w:keepNext w:val="0"/>
        <w:keepLines w:val="0"/>
        <w:pageBreakBefore w:val="0"/>
        <w:widowControl w:val="0"/>
        <w:tabs>
          <w:tab w:val="left" w:pos="1305"/>
        </w:tabs>
        <w:kinsoku/>
        <w:wordWrap w:val="0"/>
        <w:overflowPunct/>
        <w:topLinePunct w:val="0"/>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）投标人相应的法定代表人、负责人、自然人身份证正反面复印件</w:t>
      </w:r>
      <w:r>
        <w:rPr>
          <w:rFonts w:hint="eastAsia" w:ascii="宋体" w:hAnsi="宋体" w:eastAsia="宋体" w:cs="宋体"/>
          <w:b/>
          <w:sz w:val="21"/>
          <w:szCs w:val="21"/>
          <w:highlight w:val="none"/>
        </w:rPr>
        <w:t>（必须提供）</w:t>
      </w:r>
      <w:r>
        <w:rPr>
          <w:rFonts w:hint="eastAsia" w:ascii="宋体" w:hAnsi="宋体" w:eastAsia="宋体" w:cs="宋体"/>
          <w:sz w:val="21"/>
          <w:szCs w:val="21"/>
          <w:highlight w:val="none"/>
        </w:rPr>
        <w:t>；</w:t>
      </w:r>
    </w:p>
    <w:p>
      <w:pPr>
        <w:keepNext w:val="0"/>
        <w:keepLines w:val="0"/>
        <w:pageBreakBefore w:val="0"/>
        <w:widowControl w:val="0"/>
        <w:kinsoku/>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投标人的授权委托书原件、委托代理人身份证正反面复印件以及由县级以上（含县级）社会养老保险经办机构出具的投标人为委托代理人交纳的开标截止时间前三个月内任意一个月养老保险证明复印件，除投标人为以下四种情形的：</w:t>
      </w:r>
    </w:p>
    <w:p>
      <w:pPr>
        <w:keepNext w:val="0"/>
        <w:keepLines w:val="0"/>
        <w:pageBreakBefore w:val="0"/>
        <w:widowControl w:val="0"/>
        <w:kinsoku/>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①如投标人为截标时间前60日以内成立的公司，可以提供投标人与委托代理人签订的劳动合同复印件代替养老保险证明复印件；</w:t>
      </w:r>
    </w:p>
    <w:p>
      <w:pPr>
        <w:keepNext w:val="0"/>
        <w:keepLines w:val="0"/>
        <w:pageBreakBefore w:val="0"/>
        <w:widowControl w:val="0"/>
        <w:kinsoku/>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②如投标人为事业单位，可以提供事业单位机构编制管理证复印件或事业单位机构为其发放工资的工资条复印件代替养老保险证明复印件；</w:t>
      </w:r>
    </w:p>
    <w:p>
      <w:pPr>
        <w:keepNext w:val="0"/>
        <w:keepLines w:val="0"/>
        <w:pageBreakBefore w:val="0"/>
        <w:widowControl w:val="0"/>
        <w:kinsoku/>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③如委托代理人为免缴纳养老保险人员，提供免缴纳养老保险的证明材料复印件及投标人与委托代理人签订的劳动合同复印件代替养老保险证明复印件。</w:t>
      </w:r>
    </w:p>
    <w:p>
      <w:pPr>
        <w:keepNext w:val="0"/>
        <w:keepLines w:val="0"/>
        <w:pageBreakBefore w:val="0"/>
        <w:widowControl w:val="0"/>
        <w:kinsoku/>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④如因社会养老保险经办机构系统升级等原因，暂时无法向供应商提供社会养老保险缴纳情况查询服务时，供应商可以提供已为委托代理人缴纳社会养老保险的承诺书。（须同时提供无法查询的相关证明材料，包括但不限于查询网站截图、公告等。）</w:t>
      </w:r>
    </w:p>
    <w:p>
      <w:pPr>
        <w:keepNext w:val="0"/>
        <w:keepLines w:val="0"/>
        <w:pageBreakBefore w:val="0"/>
        <w:widowControl w:val="0"/>
        <w:tabs>
          <w:tab w:val="left" w:pos="1305"/>
        </w:tabs>
        <w:kinsoku/>
        <w:wordWrap w:val="0"/>
        <w:overflowPunct/>
        <w:topLinePunct w:val="0"/>
        <w:autoSpaceDE/>
        <w:autoSpaceDN/>
        <w:bidi w:val="0"/>
        <w:adjustRightInd/>
        <w:snapToGrid/>
        <w:spacing w:line="360" w:lineRule="exact"/>
        <w:ind w:firstLine="422" w:firstLineChars="200"/>
        <w:textAlignment w:val="auto"/>
        <w:rPr>
          <w:rFonts w:hint="eastAsia" w:ascii="宋体" w:hAnsi="宋体" w:eastAsia="宋体" w:cs="宋体"/>
          <w:sz w:val="21"/>
          <w:szCs w:val="21"/>
          <w:highlight w:val="none"/>
        </w:rPr>
      </w:pPr>
      <w:r>
        <w:rPr>
          <w:rFonts w:hint="eastAsia" w:ascii="宋体" w:hAnsi="宋体" w:eastAsia="宋体" w:cs="宋体"/>
          <w:b/>
          <w:bCs/>
          <w:color w:val="000000"/>
          <w:sz w:val="21"/>
          <w:szCs w:val="21"/>
          <w:highlight w:val="none"/>
        </w:rPr>
        <w:t>【属自然人的应提供由县级以上（含县级）社会养老保险经办机构出具的自然人本人及委托代理人所交纳的</w:t>
      </w:r>
      <w:r>
        <w:rPr>
          <w:rFonts w:hint="eastAsia" w:ascii="宋体" w:hAnsi="宋体" w:eastAsia="宋体" w:cs="宋体"/>
          <w:b/>
          <w:bCs/>
          <w:color w:val="000000"/>
          <w:sz w:val="21"/>
          <w:szCs w:val="21"/>
          <w:highlight w:val="none"/>
          <w:lang w:eastAsia="zh-CN"/>
        </w:rPr>
        <w:t>投标</w:t>
      </w:r>
      <w:r>
        <w:rPr>
          <w:rFonts w:hint="eastAsia" w:ascii="宋体" w:hAnsi="宋体" w:eastAsia="宋体" w:cs="宋体"/>
          <w:b/>
          <w:bCs/>
          <w:color w:val="000000"/>
          <w:sz w:val="21"/>
          <w:szCs w:val="21"/>
          <w:highlight w:val="none"/>
        </w:rPr>
        <w:t>文件递交截止时间前三个月内任意一个月养老保险证明复印件，如因社会养老保险经办机构系统升级等原因，暂时无法向供应商提供社会养老保险缴纳情况查询服务时，供应商可以提供已为委托代理人缴纳社会养老保险的承诺书（须同时提供无法查询的相关证明材料，包括但不限于查询网站截图、公告等。）</w:t>
      </w:r>
      <w:r>
        <w:rPr>
          <w:rFonts w:hint="eastAsia" w:ascii="宋体" w:hAnsi="宋体" w:eastAsia="宋体" w:cs="宋体"/>
          <w:color w:val="000000"/>
          <w:sz w:val="21"/>
          <w:szCs w:val="21"/>
          <w:highlight w:val="none"/>
        </w:rPr>
        <w:t>】</w:t>
      </w:r>
      <w:r>
        <w:rPr>
          <w:rFonts w:hint="eastAsia" w:ascii="宋体" w:hAnsi="宋体" w:eastAsia="宋体" w:cs="宋体"/>
          <w:b/>
          <w:color w:val="000000"/>
          <w:sz w:val="21"/>
          <w:szCs w:val="21"/>
          <w:highlight w:val="none"/>
        </w:rPr>
        <w:t>（委托代理时必须提供）</w:t>
      </w:r>
      <w:r>
        <w:rPr>
          <w:rFonts w:hint="eastAsia" w:ascii="宋体" w:hAnsi="宋体" w:eastAsia="宋体" w:cs="宋体"/>
          <w:sz w:val="21"/>
          <w:szCs w:val="21"/>
          <w:highlight w:val="none"/>
        </w:rPr>
        <w:t>；</w:t>
      </w:r>
    </w:p>
    <w:p>
      <w:pPr>
        <w:keepNext w:val="0"/>
        <w:keepLines w:val="0"/>
        <w:pageBreakBefore w:val="0"/>
        <w:widowControl w:val="0"/>
        <w:tabs>
          <w:tab w:val="left" w:pos="1305"/>
        </w:tabs>
        <w:kinsoku/>
        <w:wordWrap w:val="0"/>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）投标人的法人或者其他组织营业执照等证明文件复印件</w:t>
      </w:r>
      <w:r>
        <w:rPr>
          <w:rFonts w:hint="eastAsia" w:ascii="宋体" w:hAnsi="宋体" w:eastAsia="宋体" w:cs="宋体"/>
          <w:b/>
          <w:bCs/>
          <w:color w:val="000000"/>
          <w:sz w:val="21"/>
          <w:szCs w:val="21"/>
          <w:highlight w:val="none"/>
        </w:rPr>
        <w:t>（必须提供，自然人除外）</w:t>
      </w:r>
      <w:r>
        <w:rPr>
          <w:rFonts w:hint="eastAsia" w:ascii="宋体" w:hAnsi="宋体" w:eastAsia="宋体" w:cs="宋体"/>
          <w:color w:val="000000"/>
          <w:sz w:val="21"/>
          <w:szCs w:val="21"/>
          <w:highlight w:val="none"/>
        </w:rPr>
        <w:t>；</w:t>
      </w:r>
    </w:p>
    <w:p>
      <w:pPr>
        <w:keepNext w:val="0"/>
        <w:keepLines w:val="0"/>
        <w:pageBreakBefore w:val="0"/>
        <w:widowControl w:val="0"/>
        <w:tabs>
          <w:tab w:val="left" w:pos="1305"/>
        </w:tabs>
        <w:kinsoku/>
        <w:wordWrap w:val="0"/>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 xml:space="preserve">注：①法人包括企业法人、机关法人、事业单位法人和社会团体法人；其他组织主要包括合伙企业、非企业专业服务机构、个体工商户、农村承包经营户。②如供应商为企业（包括合伙企业），应提供市场监督管理部门（或行政审批部门）注册的有效“企业法人营业执照”或“营业执照；供应商为事业单位，应提供有效的“事业单位法人证书”；供应商为非企业专业服务机构的，应提供执业许可证等证明文件；供应商为个体工商户，应提供有效的“个体工商户营业执照”。 </w:t>
      </w:r>
    </w:p>
    <w:p>
      <w:pPr>
        <w:pStyle w:val="9"/>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val="0"/>
          <w:bCs/>
          <w:color w:val="000000"/>
          <w:sz w:val="21"/>
          <w:szCs w:val="21"/>
          <w:highlight w:val="none"/>
          <w:lang w:eastAsia="zh-CN"/>
        </w:rPr>
      </w:pPr>
      <w:r>
        <w:rPr>
          <w:rFonts w:hint="eastAsia" w:ascii="宋体" w:hAnsi="宋体" w:eastAsia="宋体" w:cs="宋体"/>
          <w:b w:val="0"/>
          <w:bCs/>
          <w:color w:val="000000"/>
          <w:sz w:val="21"/>
          <w:szCs w:val="21"/>
          <w:highlight w:val="none"/>
          <w:lang w:eastAsia="zh-CN"/>
        </w:rPr>
        <w:t>（</w:t>
      </w:r>
      <w:r>
        <w:rPr>
          <w:rFonts w:hint="eastAsia" w:ascii="宋体" w:hAnsi="宋体" w:eastAsia="宋体" w:cs="宋体"/>
          <w:b w:val="0"/>
          <w:bCs/>
          <w:color w:val="000000"/>
          <w:sz w:val="21"/>
          <w:szCs w:val="21"/>
          <w:highlight w:val="none"/>
          <w:lang w:val="en-US" w:eastAsia="zh-CN"/>
        </w:rPr>
        <w:t>4</w:t>
      </w:r>
      <w:r>
        <w:rPr>
          <w:rFonts w:hint="eastAsia" w:ascii="宋体" w:hAnsi="宋体" w:eastAsia="宋体" w:cs="宋体"/>
          <w:b w:val="0"/>
          <w:bCs/>
          <w:color w:val="000000"/>
          <w:sz w:val="21"/>
          <w:szCs w:val="21"/>
          <w:highlight w:val="none"/>
          <w:lang w:eastAsia="zh-CN"/>
        </w:rPr>
        <w:t>）投标人2022年以来任意年度内的财务状况报告复印件(或2023年以来由银行出具的资信证明复印件)(供应商成立不满一年的需提供成立之日起至投标截止时间前的月报表或银行出具的资信证明)</w:t>
      </w:r>
      <w:r>
        <w:rPr>
          <w:rFonts w:hint="eastAsia" w:ascii="宋体" w:hAnsi="宋体" w:eastAsia="宋体" w:cs="宋体"/>
          <w:b/>
          <w:color w:val="000000"/>
          <w:sz w:val="21"/>
          <w:szCs w:val="21"/>
          <w:highlight w:val="none"/>
          <w:lang w:eastAsia="zh-CN"/>
        </w:rPr>
        <w:t>（必须提供）</w:t>
      </w:r>
      <w:r>
        <w:rPr>
          <w:rFonts w:hint="eastAsia" w:ascii="宋体" w:hAnsi="宋体" w:eastAsia="宋体" w:cs="宋体"/>
          <w:b w:val="0"/>
          <w:bCs/>
          <w:color w:val="000000"/>
          <w:sz w:val="21"/>
          <w:szCs w:val="21"/>
          <w:highlight w:val="none"/>
          <w:lang w:eastAsia="zh-CN"/>
        </w:rPr>
        <w:t>；</w:t>
      </w:r>
    </w:p>
    <w:p>
      <w:pPr>
        <w:pStyle w:val="22"/>
        <w:keepNext w:val="0"/>
        <w:keepLines w:val="0"/>
        <w:pageBreakBefore w:val="0"/>
        <w:widowControl w:val="0"/>
        <w:kinsoku/>
        <w:wordWrap/>
        <w:overflowPunct/>
        <w:topLinePunct w:val="0"/>
        <w:autoSpaceDE w:val="0"/>
        <w:autoSpaceDN w:val="0"/>
        <w:bidi w:val="0"/>
        <w:adjustRightInd w:val="0"/>
        <w:snapToGrid/>
        <w:spacing w:line="360" w:lineRule="exact"/>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lang w:eastAsia="zh-CN"/>
        </w:rPr>
        <w:t>）投标人截止开标时间前近半年内任意一个月或任一季度依法缴纳税收的证明材料【增值税发票(税收完税证明)或企业所得税完税证明或税务部门出具的免税证明】复印件</w:t>
      </w:r>
      <w:r>
        <w:rPr>
          <w:rFonts w:hint="eastAsia" w:ascii="宋体" w:hAnsi="宋体" w:eastAsia="宋体" w:cs="宋体"/>
          <w:b/>
          <w:bCs/>
          <w:sz w:val="21"/>
          <w:szCs w:val="21"/>
          <w:highlight w:val="none"/>
          <w:lang w:eastAsia="zh-CN"/>
        </w:rPr>
        <w:t>（必须提供）</w:t>
      </w:r>
      <w:r>
        <w:rPr>
          <w:rFonts w:hint="eastAsia" w:ascii="宋体" w:hAnsi="宋体" w:eastAsia="宋体" w:cs="宋体"/>
          <w:sz w:val="21"/>
          <w:szCs w:val="21"/>
          <w:highlight w:val="none"/>
          <w:lang w:eastAsia="zh-CN"/>
        </w:rPr>
        <w:t>；</w:t>
      </w:r>
    </w:p>
    <w:p>
      <w:pPr>
        <w:pStyle w:val="22"/>
        <w:keepNext w:val="0"/>
        <w:keepLines w:val="0"/>
        <w:pageBreakBefore w:val="0"/>
        <w:widowControl w:val="0"/>
        <w:kinsoku/>
        <w:wordWrap/>
        <w:overflowPunct/>
        <w:topLinePunct w:val="0"/>
        <w:autoSpaceDE w:val="0"/>
        <w:autoSpaceDN w:val="0"/>
        <w:bidi w:val="0"/>
        <w:adjustRightInd w:val="0"/>
        <w:snapToGrid/>
        <w:spacing w:line="360" w:lineRule="exact"/>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lang w:eastAsia="zh-CN"/>
        </w:rPr>
        <w:t>）投标人参加政府采购活动前3年内在经营活动中没有重大违法记录及有关信用信息的书面声明</w:t>
      </w:r>
      <w:r>
        <w:rPr>
          <w:rFonts w:hint="eastAsia" w:ascii="宋体" w:hAnsi="宋体" w:eastAsia="宋体" w:cs="宋体"/>
          <w:b/>
          <w:bCs/>
          <w:sz w:val="21"/>
          <w:szCs w:val="21"/>
          <w:highlight w:val="none"/>
          <w:lang w:eastAsia="zh-CN"/>
        </w:rPr>
        <w:t>（必须提供）</w:t>
      </w:r>
      <w:r>
        <w:rPr>
          <w:rFonts w:hint="eastAsia" w:ascii="宋体" w:hAnsi="宋体" w:eastAsia="宋体" w:cs="宋体"/>
          <w:sz w:val="21"/>
          <w:szCs w:val="21"/>
          <w:highlight w:val="none"/>
          <w:lang w:eastAsia="zh-CN"/>
        </w:rPr>
        <w:t>；</w:t>
      </w:r>
    </w:p>
    <w:p>
      <w:pPr>
        <w:pStyle w:val="22"/>
        <w:keepNext w:val="0"/>
        <w:keepLines w:val="0"/>
        <w:pageBreakBefore w:val="0"/>
        <w:widowControl w:val="0"/>
        <w:kinsoku/>
        <w:wordWrap/>
        <w:overflowPunct/>
        <w:topLinePunct w:val="0"/>
        <w:autoSpaceDE w:val="0"/>
        <w:autoSpaceDN w:val="0"/>
        <w:bidi w:val="0"/>
        <w:adjustRightInd w:val="0"/>
        <w:snapToGrid/>
        <w:spacing w:line="36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《中小企业声明函》（见附件）</w:t>
      </w:r>
      <w:r>
        <w:rPr>
          <w:rFonts w:hint="eastAsia" w:ascii="宋体" w:hAnsi="宋体" w:eastAsia="宋体" w:cs="宋体"/>
          <w:b/>
          <w:bCs/>
          <w:sz w:val="21"/>
          <w:szCs w:val="21"/>
          <w:highlight w:val="none"/>
          <w:lang w:val="en-US" w:eastAsia="zh-CN"/>
        </w:rPr>
        <w:t>（除监狱企业及残疾人福利性单位外，必须提供）</w:t>
      </w:r>
      <w:r>
        <w:rPr>
          <w:rFonts w:hint="eastAsia" w:ascii="宋体" w:hAnsi="宋体" w:eastAsia="宋体" w:cs="宋体"/>
          <w:sz w:val="21"/>
          <w:szCs w:val="21"/>
          <w:highlight w:val="none"/>
          <w:lang w:val="en-US" w:eastAsia="zh-CN"/>
        </w:rPr>
        <w:t>；</w:t>
      </w:r>
    </w:p>
    <w:p>
      <w:pPr>
        <w:pStyle w:val="22"/>
        <w:keepNext w:val="0"/>
        <w:keepLines w:val="0"/>
        <w:pageBreakBefore w:val="0"/>
        <w:widowControl w:val="0"/>
        <w:kinsoku/>
        <w:wordWrap/>
        <w:overflowPunct/>
        <w:topLinePunct w:val="0"/>
        <w:autoSpaceDE w:val="0"/>
        <w:autoSpaceDN w:val="0"/>
        <w:bidi w:val="0"/>
        <w:adjustRightInd w:val="0"/>
        <w:snapToGrid/>
        <w:spacing w:line="36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（8）如提供服务的供应商属于监狱企业的，应当提供由省级以上监狱管理局、戒毒管理局等（含新疆生产建设兵团）出具的属于监狱企业的证明文件</w:t>
      </w:r>
      <w:r>
        <w:rPr>
          <w:rFonts w:hint="eastAsia" w:ascii="宋体" w:hAnsi="宋体" w:eastAsia="宋体" w:cs="宋体"/>
          <w:b/>
          <w:bCs/>
          <w:sz w:val="21"/>
          <w:szCs w:val="21"/>
          <w:highlight w:val="none"/>
          <w:lang w:val="en-US" w:eastAsia="zh-CN"/>
        </w:rPr>
        <w:t>（如供应商属于监狱企业的，则必须提供）</w:t>
      </w:r>
      <w:r>
        <w:rPr>
          <w:rFonts w:hint="eastAsia" w:ascii="宋体" w:hAnsi="宋体" w:eastAsia="宋体" w:cs="宋体"/>
          <w:sz w:val="21"/>
          <w:szCs w:val="21"/>
          <w:highlight w:val="none"/>
          <w:lang w:val="en-US" w:eastAsia="zh-CN"/>
        </w:rPr>
        <w:t>；</w:t>
      </w:r>
    </w:p>
    <w:p>
      <w:pPr>
        <w:pStyle w:val="22"/>
        <w:keepNext w:val="0"/>
        <w:keepLines w:val="0"/>
        <w:pageBreakBefore w:val="0"/>
        <w:widowControl w:val="0"/>
        <w:kinsoku/>
        <w:wordWrap/>
        <w:overflowPunct/>
        <w:topLinePunct w:val="0"/>
        <w:autoSpaceDE w:val="0"/>
        <w:autoSpaceDN w:val="0"/>
        <w:bidi w:val="0"/>
        <w:adjustRightInd w:val="0"/>
        <w:snapToGrid/>
        <w:spacing w:line="360" w:lineRule="exact"/>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（9）符合条件的残疾人福利性单位在参加政府采购活动时，应当提供《残疾人福利性单位声明函》（见附件），并对声明的真实性负责</w:t>
      </w:r>
      <w:r>
        <w:rPr>
          <w:rFonts w:hint="eastAsia" w:ascii="宋体" w:hAnsi="宋体" w:eastAsia="宋体" w:cs="宋体"/>
          <w:b/>
          <w:bCs/>
          <w:sz w:val="21"/>
          <w:szCs w:val="21"/>
          <w:highlight w:val="none"/>
          <w:lang w:val="en-US" w:eastAsia="zh-CN"/>
        </w:rPr>
        <w:t>（如供应商属于残疾人福利性单位的，则必须提供）</w:t>
      </w:r>
      <w:r>
        <w:rPr>
          <w:rFonts w:hint="eastAsia" w:ascii="宋体" w:hAnsi="宋体" w:eastAsia="宋体" w:cs="宋体"/>
          <w:sz w:val="21"/>
          <w:szCs w:val="21"/>
          <w:highlight w:val="none"/>
          <w:lang w:val="en-US" w:eastAsia="zh-CN"/>
        </w:rPr>
        <w:t>。</w:t>
      </w:r>
    </w:p>
    <w:p>
      <w:pPr>
        <w:tabs>
          <w:tab w:val="left" w:pos="1305"/>
        </w:tabs>
        <w:wordWrap w:val="0"/>
        <w:spacing w:line="360" w:lineRule="exact"/>
        <w:ind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13.1.2商务、技术性响应及其他有效证明材料：</w:t>
      </w:r>
    </w:p>
    <w:p>
      <w:pPr>
        <w:tabs>
          <w:tab w:val="left" w:pos="1305"/>
        </w:tabs>
        <w:wordWrap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（1）投标报价表</w:t>
      </w:r>
      <w:r>
        <w:rPr>
          <w:rFonts w:hint="eastAsia" w:ascii="宋体" w:hAnsi="宋体" w:eastAsia="宋体" w:cs="宋体"/>
          <w:b/>
          <w:sz w:val="21"/>
          <w:szCs w:val="21"/>
          <w:highlight w:val="none"/>
        </w:rPr>
        <w:t>（必须提供）</w:t>
      </w:r>
      <w:r>
        <w:rPr>
          <w:rFonts w:hint="eastAsia" w:ascii="宋体" w:hAnsi="宋体" w:eastAsia="宋体" w:cs="宋体"/>
          <w:sz w:val="21"/>
          <w:szCs w:val="21"/>
          <w:highlight w:val="none"/>
        </w:rPr>
        <w:t>；</w:t>
      </w:r>
    </w:p>
    <w:p>
      <w:pPr>
        <w:tabs>
          <w:tab w:val="left" w:pos="1305"/>
        </w:tabs>
        <w:wordWrap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（2）技术需求及商务要求承诺响应表</w:t>
      </w:r>
      <w:r>
        <w:rPr>
          <w:rFonts w:hint="eastAsia" w:ascii="宋体" w:hAnsi="宋体" w:eastAsia="宋体" w:cs="宋体"/>
          <w:b/>
          <w:bCs/>
          <w:sz w:val="21"/>
          <w:szCs w:val="21"/>
          <w:highlight w:val="none"/>
        </w:rPr>
        <w:t>（必须提供）</w:t>
      </w:r>
      <w:r>
        <w:rPr>
          <w:rFonts w:hint="eastAsia" w:ascii="宋体" w:hAnsi="宋体" w:eastAsia="宋体" w:cs="宋体"/>
          <w:bCs/>
          <w:sz w:val="21"/>
          <w:szCs w:val="21"/>
          <w:highlight w:val="none"/>
        </w:rPr>
        <w:t>；</w:t>
      </w:r>
    </w:p>
    <w:p>
      <w:pPr>
        <w:tabs>
          <w:tab w:val="left" w:pos="1305"/>
        </w:tabs>
        <w:wordWrap w:val="0"/>
        <w:spacing w:line="360" w:lineRule="exact"/>
        <w:ind w:firstLine="420" w:firstLineChars="200"/>
        <w:rPr>
          <w:rFonts w:hint="eastAsia" w:ascii="宋体" w:hAnsi="宋体" w:eastAsia="宋体" w:cs="宋体"/>
          <w:b/>
          <w:sz w:val="21"/>
          <w:szCs w:val="21"/>
          <w:highlight w:val="none"/>
        </w:rPr>
      </w:pPr>
      <w:r>
        <w:rPr>
          <w:rFonts w:hint="eastAsia" w:ascii="宋体" w:hAnsi="宋体" w:eastAsia="宋体" w:cs="宋体"/>
          <w:sz w:val="21"/>
          <w:szCs w:val="21"/>
          <w:highlight w:val="none"/>
        </w:rPr>
        <w:t>（3）投标人的项目实施方案</w:t>
      </w:r>
      <w:r>
        <w:rPr>
          <w:rFonts w:hint="eastAsia" w:ascii="宋体" w:hAnsi="宋体" w:eastAsia="宋体" w:cs="宋体"/>
          <w:b/>
          <w:bCs/>
          <w:sz w:val="21"/>
          <w:szCs w:val="21"/>
          <w:highlight w:val="none"/>
        </w:rPr>
        <w:t>（如有，请提供）</w:t>
      </w:r>
      <w:r>
        <w:rPr>
          <w:rFonts w:hint="eastAsia" w:ascii="宋体" w:hAnsi="宋体" w:eastAsia="宋体" w:cs="宋体"/>
          <w:sz w:val="21"/>
          <w:szCs w:val="21"/>
          <w:highlight w:val="none"/>
        </w:rPr>
        <w:t>；</w:t>
      </w:r>
    </w:p>
    <w:p>
      <w:pPr>
        <w:wordWrap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）项目实施人员一览表</w:t>
      </w:r>
      <w:r>
        <w:rPr>
          <w:rFonts w:hint="eastAsia" w:ascii="宋体" w:hAnsi="宋体" w:eastAsia="宋体" w:cs="宋体"/>
          <w:b/>
          <w:bCs/>
          <w:sz w:val="21"/>
          <w:szCs w:val="21"/>
          <w:highlight w:val="none"/>
        </w:rPr>
        <w:t>（如有，请提供）</w:t>
      </w:r>
      <w:r>
        <w:rPr>
          <w:rFonts w:hint="eastAsia" w:ascii="宋体" w:hAnsi="宋体" w:eastAsia="宋体" w:cs="宋体"/>
          <w:sz w:val="21"/>
          <w:szCs w:val="21"/>
          <w:highlight w:val="none"/>
        </w:rPr>
        <w:t>；</w:t>
      </w:r>
    </w:p>
    <w:p>
      <w:pPr>
        <w:tabs>
          <w:tab w:val="left" w:pos="1305"/>
        </w:tabs>
        <w:wordWrap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）投标人类似项目业绩的相关证明材料</w:t>
      </w:r>
      <w:r>
        <w:rPr>
          <w:rFonts w:hint="eastAsia" w:ascii="宋体" w:hAnsi="宋体" w:eastAsia="宋体" w:cs="宋体"/>
          <w:b/>
          <w:sz w:val="21"/>
          <w:szCs w:val="21"/>
          <w:highlight w:val="none"/>
        </w:rPr>
        <w:t>（如有，请提供）</w:t>
      </w:r>
      <w:r>
        <w:rPr>
          <w:rFonts w:hint="eastAsia" w:ascii="宋体" w:hAnsi="宋体" w:eastAsia="宋体" w:cs="宋体"/>
          <w:sz w:val="21"/>
          <w:szCs w:val="21"/>
          <w:highlight w:val="none"/>
        </w:rPr>
        <w:t>；</w:t>
      </w:r>
    </w:p>
    <w:p>
      <w:pPr>
        <w:tabs>
          <w:tab w:val="left" w:pos="1305"/>
        </w:tabs>
        <w:wordWrap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）投标人相关获奖证书、认证证书等复印件</w:t>
      </w:r>
      <w:r>
        <w:rPr>
          <w:rFonts w:hint="eastAsia" w:ascii="宋体" w:hAnsi="宋体" w:eastAsia="宋体" w:cs="宋体"/>
          <w:b/>
          <w:sz w:val="21"/>
          <w:szCs w:val="21"/>
          <w:highlight w:val="none"/>
        </w:rPr>
        <w:t>（如有，请提供）</w:t>
      </w:r>
      <w:r>
        <w:rPr>
          <w:rFonts w:hint="eastAsia" w:ascii="宋体" w:hAnsi="宋体" w:eastAsia="宋体" w:cs="宋体"/>
          <w:sz w:val="21"/>
          <w:szCs w:val="21"/>
          <w:highlight w:val="none"/>
        </w:rPr>
        <w:t>；</w:t>
      </w:r>
    </w:p>
    <w:p>
      <w:pPr>
        <w:tabs>
          <w:tab w:val="left" w:pos="1305"/>
        </w:tabs>
        <w:wordWrap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7</w:t>
      </w:r>
      <w:r>
        <w:rPr>
          <w:rFonts w:hint="eastAsia" w:ascii="宋体" w:hAnsi="宋体" w:eastAsia="宋体" w:cs="宋体"/>
          <w:sz w:val="21"/>
          <w:szCs w:val="21"/>
          <w:highlight w:val="none"/>
        </w:rPr>
        <w:t>）投标人可结合本项目的评标办法视自身情况自行提交相关证明材料</w:t>
      </w:r>
      <w:r>
        <w:rPr>
          <w:rFonts w:hint="eastAsia" w:ascii="宋体" w:hAnsi="宋体" w:eastAsia="宋体" w:cs="宋体"/>
          <w:b/>
          <w:sz w:val="21"/>
          <w:szCs w:val="21"/>
          <w:highlight w:val="none"/>
        </w:rPr>
        <w:t>（如有，请提供）</w:t>
      </w:r>
      <w:r>
        <w:rPr>
          <w:rFonts w:hint="eastAsia" w:ascii="宋体" w:hAnsi="宋体" w:eastAsia="宋体" w:cs="宋体"/>
          <w:sz w:val="21"/>
          <w:szCs w:val="21"/>
          <w:highlight w:val="none"/>
        </w:rPr>
        <w:t>。</w:t>
      </w:r>
    </w:p>
    <w:p>
      <w:pPr>
        <w:tabs>
          <w:tab w:val="left" w:pos="1305"/>
        </w:tabs>
        <w:wordWrap w:val="0"/>
        <w:spacing w:line="360" w:lineRule="exact"/>
        <w:ind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投标人提供的以上相关证明材料属于“必须提供”的文件应加盖投标人公章（CA签章）/自然人签字或加盖个人CA签章，否则投标无效。</w:t>
      </w:r>
    </w:p>
    <w:p>
      <w:pPr>
        <w:wordWrap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13.2投标人应按招标文件第六章“</w:t>
      </w:r>
      <w:r>
        <w:rPr>
          <w:rFonts w:hint="eastAsia" w:ascii="宋体" w:hAnsi="宋体" w:eastAsia="宋体" w:cs="宋体"/>
          <w:sz w:val="21"/>
          <w:szCs w:val="21"/>
          <w:highlight w:val="none"/>
          <w:lang w:eastAsia="zh-CN"/>
        </w:rPr>
        <w:t>投标文件（格式）</w:t>
      </w:r>
      <w:r>
        <w:rPr>
          <w:rFonts w:hint="eastAsia" w:ascii="宋体" w:hAnsi="宋体" w:eastAsia="宋体" w:cs="宋体"/>
          <w:sz w:val="21"/>
          <w:szCs w:val="21"/>
          <w:highlight w:val="none"/>
        </w:rPr>
        <w:t>”编制投标文件。</w:t>
      </w:r>
    </w:p>
    <w:p>
      <w:pPr>
        <w:tabs>
          <w:tab w:val="left" w:pos="1305"/>
        </w:tabs>
        <w:wordWrap w:val="0"/>
        <w:spacing w:line="360" w:lineRule="exact"/>
        <w:ind w:firstLine="420" w:firstLineChars="200"/>
        <w:rPr>
          <w:rFonts w:hint="eastAsia" w:ascii="宋体" w:hAnsi="宋体" w:eastAsia="宋体" w:cs="宋体"/>
          <w:b/>
          <w:sz w:val="21"/>
          <w:szCs w:val="21"/>
          <w:highlight w:val="none"/>
        </w:rPr>
      </w:pPr>
      <w:r>
        <w:rPr>
          <w:rFonts w:hint="eastAsia" w:ascii="宋体" w:hAnsi="宋体" w:eastAsia="宋体" w:cs="宋体"/>
          <w:sz w:val="21"/>
          <w:szCs w:val="21"/>
          <w:highlight w:val="none"/>
        </w:rPr>
        <w:t>13.3投标文件应当对招标文件提出的要求和条件作出明确响应。</w:t>
      </w:r>
    </w:p>
    <w:p>
      <w:pPr>
        <w:tabs>
          <w:tab w:val="left" w:pos="1305"/>
        </w:tabs>
        <w:wordWrap w:val="0"/>
        <w:spacing w:line="360" w:lineRule="exact"/>
        <w:ind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14. 投标文件的语言及计量</w:t>
      </w:r>
    </w:p>
    <w:p>
      <w:pPr>
        <w:tabs>
          <w:tab w:val="left" w:pos="1305"/>
        </w:tabs>
        <w:wordWrap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14.1投标文件以及投标人与采购单位就有关投标事宜的所有来往函电，均应以中文汉语书写。投标人提交的支持文件和印刷的文献可以使用别的语言，但其相应内容必须附有中文翻译文本，在解释投标文件时以中文翻译文本为主。</w:t>
      </w:r>
    </w:p>
    <w:p>
      <w:pPr>
        <w:tabs>
          <w:tab w:val="left" w:pos="1305"/>
        </w:tabs>
        <w:wordWrap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14.2投标计量单位，招标文件已有明确规定的，使用招标文件规定的计量单位；招标文件没有规定的，必须采用中华人民共和国法定计量单位（货币单位：元人民币），否则视同未响应。</w:t>
      </w:r>
    </w:p>
    <w:p>
      <w:pPr>
        <w:tabs>
          <w:tab w:val="left" w:pos="1305"/>
        </w:tabs>
        <w:wordWrap w:val="0"/>
        <w:spacing w:line="360" w:lineRule="exact"/>
        <w:ind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15. 投标报价</w:t>
      </w:r>
    </w:p>
    <w:p>
      <w:pPr>
        <w:tabs>
          <w:tab w:val="left" w:pos="1305"/>
        </w:tabs>
        <w:wordWrap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kern w:val="0"/>
          <w:sz w:val="21"/>
          <w:szCs w:val="21"/>
          <w:highlight w:val="none"/>
        </w:rPr>
        <w:t>15.1</w:t>
      </w:r>
      <w:r>
        <w:rPr>
          <w:rFonts w:hint="eastAsia" w:ascii="宋体" w:hAnsi="宋体" w:eastAsia="宋体" w:cs="宋体"/>
          <w:sz w:val="21"/>
          <w:szCs w:val="21"/>
          <w:highlight w:val="none"/>
        </w:rPr>
        <w:t>投标报价应按招标文件中第六章“</w:t>
      </w:r>
      <w:r>
        <w:rPr>
          <w:rFonts w:hint="eastAsia" w:ascii="宋体" w:hAnsi="宋体" w:cs="宋体"/>
          <w:sz w:val="21"/>
          <w:szCs w:val="21"/>
          <w:highlight w:val="none"/>
          <w:lang w:eastAsia="zh-CN"/>
        </w:rPr>
        <w:t>投标文件（格式）</w:t>
      </w:r>
      <w:r>
        <w:rPr>
          <w:rFonts w:hint="eastAsia" w:ascii="宋体" w:hAnsi="宋体" w:eastAsia="宋体" w:cs="宋体"/>
          <w:sz w:val="21"/>
          <w:szCs w:val="21"/>
          <w:highlight w:val="none"/>
        </w:rPr>
        <w:t>”填写，对采购人能源管理费用进行折扣率报价（详见能源管理服务费计算与支付方式）。采购人能源管理费用的折扣率必须＜100%，否则投标无效。</w:t>
      </w:r>
    </w:p>
    <w:p>
      <w:pPr>
        <w:tabs>
          <w:tab w:val="left" w:pos="1305"/>
        </w:tabs>
        <w:wordWrap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15.2投标人必须就“采购需求”中的所有内容作完整唯一报价，否则，其投标将被拒绝。投标文件只允许有一个报价，有选择的或有条件的报价将不予接受。</w:t>
      </w:r>
    </w:p>
    <w:p>
      <w:pPr>
        <w:wordWrap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15.3投标人投标报价包含但不限于投标人完成本项目所需的一切服务工作内容而发生的所有直接费用、间接费用、其他费用、税金、项目验收等全部费用和投标人要求获得的利润以及应由投标人承担的义务、责任和风险所发生的一切费用，投标人应综合考虑在报价中。</w:t>
      </w:r>
    </w:p>
    <w:p>
      <w:pPr>
        <w:wordWrap w:val="0"/>
        <w:spacing w:line="360" w:lineRule="exact"/>
        <w:ind w:firstLine="422" w:firstLineChars="200"/>
        <w:rPr>
          <w:rFonts w:hint="eastAsia" w:ascii="宋体" w:hAnsi="宋体" w:eastAsia="宋体" w:cs="宋体"/>
          <w:sz w:val="21"/>
          <w:szCs w:val="21"/>
          <w:highlight w:val="none"/>
        </w:rPr>
      </w:pPr>
      <w:r>
        <w:rPr>
          <w:rFonts w:hint="eastAsia" w:ascii="宋体" w:hAnsi="宋体" w:eastAsia="宋体" w:cs="宋体"/>
          <w:b/>
          <w:sz w:val="21"/>
          <w:szCs w:val="21"/>
          <w:highlight w:val="none"/>
        </w:rPr>
        <w:t>16. 投标有效期</w:t>
      </w:r>
    </w:p>
    <w:p>
      <w:pPr>
        <w:tabs>
          <w:tab w:val="left" w:pos="1305"/>
        </w:tabs>
        <w:wordWrap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16.1投标有效期：投标截止时间之日起90天。</w:t>
      </w:r>
    </w:p>
    <w:p>
      <w:pPr>
        <w:tabs>
          <w:tab w:val="left" w:pos="1305"/>
        </w:tabs>
        <w:wordWrap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16.2出现特殊情况，需要延长投标有效期的，采购代理机构以书面形式通知投标人延长投标有效期。投标人同意延长的，</w:t>
      </w:r>
      <w:r>
        <w:rPr>
          <w:rFonts w:hint="eastAsia" w:ascii="宋体" w:hAnsi="宋体" w:eastAsia="宋体" w:cs="宋体"/>
          <w:kern w:val="0"/>
          <w:sz w:val="21"/>
          <w:szCs w:val="21"/>
          <w:highlight w:val="none"/>
        </w:rPr>
        <w:t>原投标文件继续有效</w:t>
      </w:r>
      <w:r>
        <w:rPr>
          <w:rFonts w:hint="eastAsia" w:ascii="宋体" w:hAnsi="宋体" w:eastAsia="宋体" w:cs="宋体"/>
          <w:sz w:val="21"/>
          <w:szCs w:val="21"/>
          <w:highlight w:val="none"/>
        </w:rPr>
        <w:t>，但不能修改投标文件。投标人拒绝延长的，其投标无效。</w:t>
      </w:r>
    </w:p>
    <w:p>
      <w:pPr>
        <w:tabs>
          <w:tab w:val="left" w:pos="1305"/>
        </w:tabs>
        <w:wordWrap w:val="0"/>
        <w:spacing w:line="360" w:lineRule="exact"/>
        <w:ind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17.</w:t>
      </w:r>
      <w:r>
        <w:rPr>
          <w:rFonts w:hint="eastAsia" w:ascii="宋体" w:hAnsi="宋体" w:eastAsia="宋体" w:cs="宋体"/>
          <w:sz w:val="21"/>
          <w:szCs w:val="21"/>
          <w:highlight w:val="none"/>
        </w:rPr>
        <w:t xml:space="preserve"> </w:t>
      </w:r>
      <w:r>
        <w:rPr>
          <w:rFonts w:hint="eastAsia" w:ascii="宋体" w:hAnsi="宋体" w:eastAsia="宋体" w:cs="宋体"/>
          <w:b/>
          <w:sz w:val="21"/>
          <w:szCs w:val="21"/>
          <w:highlight w:val="none"/>
        </w:rPr>
        <w:t>投标文件的制作</w:t>
      </w:r>
    </w:p>
    <w:p>
      <w:pPr>
        <w:tabs>
          <w:tab w:val="left" w:pos="1305"/>
        </w:tabs>
        <w:wordWrap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17</w:t>
      </w:r>
      <w:r>
        <w:rPr>
          <w:rFonts w:hint="eastAsia" w:ascii="宋体" w:hAnsi="宋体" w:eastAsia="宋体" w:cs="宋体"/>
          <w:sz w:val="21"/>
          <w:szCs w:val="21"/>
          <w:highlight w:val="none"/>
        </w:rPr>
        <w:t>.1电子投标文件中须加盖供应商公章部分均采用 CA 签章，并根据“政府采购项目电子交易管理操作指南-供应商” 及本招标文件规定的格式和顺序编制电子投标文件并进行关联定位，以便评审小组在评审时，点击评分项可直接定位到该评分项内容。如对招标文件的某项要求，供应商的电子投标文件未能关联定位提供相应的内容与其对应，则评审小组在评审时如做出对供应商不利的评审由供应商自行承担。电子投标文件如内容不完整、编排混乱导致投标文件被误读、漏读，或者在按招标文件规定的部位查找不到相关内容的，由供应商自行承担。</w:t>
      </w:r>
    </w:p>
    <w:p>
      <w:pPr>
        <w:tabs>
          <w:tab w:val="left" w:pos="1305"/>
        </w:tabs>
        <w:wordWrap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17</w:t>
      </w:r>
      <w:r>
        <w:rPr>
          <w:rFonts w:hint="eastAsia" w:ascii="宋体" w:hAnsi="宋体" w:eastAsia="宋体" w:cs="宋体"/>
          <w:sz w:val="21"/>
          <w:szCs w:val="21"/>
          <w:highlight w:val="none"/>
        </w:rPr>
        <w:t>.2供应商法人（负责人）或授权代表持有</w:t>
      </w:r>
      <w:r>
        <w:rPr>
          <w:rFonts w:hint="eastAsia" w:ascii="宋体" w:hAnsi="宋体" w:cs="宋体"/>
          <w:sz w:val="21"/>
          <w:szCs w:val="21"/>
          <w:highlight w:val="none"/>
          <w:lang w:eastAsia="zh-CN"/>
        </w:rPr>
        <w:t>广西政府采购云</w:t>
      </w:r>
      <w:r>
        <w:rPr>
          <w:rFonts w:hint="eastAsia" w:ascii="宋体" w:hAnsi="宋体" w:eastAsia="宋体" w:cs="宋体"/>
          <w:sz w:val="21"/>
          <w:szCs w:val="21"/>
          <w:highlight w:val="none"/>
        </w:rPr>
        <w:t>个人CA签章的，应在投标文件中涉及到签字的位置使用个人CA签章，没有办理</w:t>
      </w:r>
      <w:r>
        <w:rPr>
          <w:rFonts w:hint="eastAsia" w:ascii="宋体" w:hAnsi="宋体" w:cs="宋体"/>
          <w:sz w:val="21"/>
          <w:szCs w:val="21"/>
          <w:highlight w:val="none"/>
          <w:lang w:eastAsia="zh-CN"/>
        </w:rPr>
        <w:t>广西政府采购云</w:t>
      </w:r>
      <w:r>
        <w:rPr>
          <w:rFonts w:hint="eastAsia" w:ascii="宋体" w:hAnsi="宋体" w:eastAsia="宋体" w:cs="宋体"/>
          <w:sz w:val="21"/>
          <w:szCs w:val="21"/>
          <w:highlight w:val="none"/>
        </w:rPr>
        <w:t xml:space="preserve">个人CA签章的可在投标文件中涉及到签字的位置手写签字后扫描或者拍照做成 PDF 的格式上传即可。 </w:t>
      </w:r>
    </w:p>
    <w:p>
      <w:pPr>
        <w:tabs>
          <w:tab w:val="left" w:pos="1305"/>
        </w:tabs>
        <w:wordWrap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17</w:t>
      </w:r>
      <w:r>
        <w:rPr>
          <w:rFonts w:hint="eastAsia" w:ascii="宋体" w:hAnsi="宋体" w:eastAsia="宋体" w:cs="宋体"/>
          <w:sz w:val="21"/>
          <w:szCs w:val="21"/>
          <w:highlight w:val="none"/>
        </w:rPr>
        <w:t>.3投标文件不得涂改，若有修改错漏处，须法定代表人（负责人）或授权委托人签字（或个人CA签章）。投标文件因字迹潦草或表达不清所引起的后果由供应商负责。</w:t>
      </w:r>
    </w:p>
    <w:p>
      <w:pPr>
        <w:tabs>
          <w:tab w:val="left" w:pos="1305"/>
        </w:tabs>
        <w:wordWrap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17</w:t>
      </w:r>
      <w:r>
        <w:rPr>
          <w:rFonts w:hint="eastAsia" w:ascii="宋体" w:hAnsi="宋体" w:eastAsia="宋体" w:cs="宋体"/>
          <w:sz w:val="21"/>
          <w:szCs w:val="21"/>
          <w:highlight w:val="none"/>
        </w:rPr>
        <w:t xml:space="preserve">.4评审前准备 </w:t>
      </w:r>
    </w:p>
    <w:p>
      <w:pPr>
        <w:tabs>
          <w:tab w:val="left" w:pos="1305"/>
        </w:tabs>
        <w:wordWrap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17</w:t>
      </w:r>
      <w:r>
        <w:rPr>
          <w:rFonts w:hint="eastAsia" w:ascii="宋体" w:hAnsi="宋体" w:eastAsia="宋体" w:cs="宋体"/>
          <w:sz w:val="21"/>
          <w:szCs w:val="21"/>
          <w:highlight w:val="none"/>
        </w:rPr>
        <w:t xml:space="preserve">.4.1本项目实行网上评审，采用电子投标文件；若供应商参与投标，自行承担投标一切费用。 </w:t>
      </w:r>
    </w:p>
    <w:p>
      <w:pPr>
        <w:tabs>
          <w:tab w:val="left" w:pos="1305"/>
        </w:tabs>
        <w:wordWrap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17</w:t>
      </w:r>
      <w:r>
        <w:rPr>
          <w:rFonts w:hint="eastAsia" w:ascii="宋体" w:hAnsi="宋体" w:eastAsia="宋体" w:cs="宋体"/>
          <w:sz w:val="21"/>
          <w:szCs w:val="21"/>
          <w:highlight w:val="none"/>
        </w:rPr>
        <w:t>.4.2各供应商在截标前应确保成为</w:t>
      </w:r>
      <w:r>
        <w:rPr>
          <w:rFonts w:hint="eastAsia" w:ascii="宋体" w:hAnsi="宋体" w:cs="宋体"/>
          <w:sz w:val="21"/>
          <w:szCs w:val="21"/>
          <w:highlight w:val="none"/>
          <w:lang w:eastAsia="zh-CN"/>
        </w:rPr>
        <w:t>广西政府采购云</w:t>
      </w:r>
      <w:r>
        <w:rPr>
          <w:rFonts w:hint="eastAsia" w:ascii="宋体" w:hAnsi="宋体" w:eastAsia="宋体" w:cs="宋体"/>
          <w:sz w:val="21"/>
          <w:szCs w:val="21"/>
          <w:highlight w:val="none"/>
        </w:rPr>
        <w:t xml:space="preserve">平台正式注册入库供应商，并完成 CA 数字证书申领。因未注册入库、未办理 CA 数字证书等原因造成无法投标或投标失败等后果由供应商自行承担。 </w:t>
      </w:r>
    </w:p>
    <w:p>
      <w:pPr>
        <w:tabs>
          <w:tab w:val="left" w:pos="1305"/>
        </w:tabs>
        <w:wordWrap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17</w:t>
      </w:r>
      <w:r>
        <w:rPr>
          <w:rFonts w:hint="eastAsia" w:ascii="宋体" w:hAnsi="宋体" w:eastAsia="宋体" w:cs="宋体"/>
          <w:sz w:val="21"/>
          <w:szCs w:val="21"/>
          <w:highlight w:val="none"/>
        </w:rPr>
        <w:t>.4.3供应商将</w:t>
      </w:r>
      <w:r>
        <w:rPr>
          <w:rFonts w:hint="eastAsia" w:ascii="宋体" w:hAnsi="宋体" w:cs="宋体"/>
          <w:sz w:val="21"/>
          <w:szCs w:val="21"/>
          <w:highlight w:val="none"/>
          <w:lang w:eastAsia="zh-CN"/>
        </w:rPr>
        <w:t>广西政府采购云</w:t>
      </w:r>
      <w:r>
        <w:rPr>
          <w:rFonts w:hint="eastAsia" w:ascii="宋体" w:hAnsi="宋体" w:eastAsia="宋体" w:cs="宋体"/>
          <w:sz w:val="21"/>
          <w:szCs w:val="21"/>
          <w:highlight w:val="none"/>
        </w:rPr>
        <w:t>电子交易客户端下载、安装完成后，可通过账号密码或 CA 登录客户端进行投标文件制作。客户端请至网站下载专区查看，如有问题可拨打</w:t>
      </w:r>
      <w:r>
        <w:rPr>
          <w:rFonts w:hint="eastAsia" w:ascii="宋体" w:hAnsi="宋体" w:cs="宋体"/>
          <w:sz w:val="21"/>
          <w:szCs w:val="21"/>
          <w:highlight w:val="none"/>
          <w:lang w:eastAsia="zh-CN"/>
        </w:rPr>
        <w:t>广西政府采购云</w:t>
      </w:r>
      <w:r>
        <w:rPr>
          <w:rFonts w:hint="eastAsia" w:ascii="宋体" w:hAnsi="宋体" w:eastAsia="宋体" w:cs="宋体"/>
          <w:sz w:val="21"/>
          <w:szCs w:val="21"/>
          <w:highlight w:val="none"/>
        </w:rPr>
        <w:t xml:space="preserve">客户服务热线 </w:t>
      </w:r>
      <w:r>
        <w:rPr>
          <w:rFonts w:hint="eastAsia" w:ascii="宋体" w:hAnsi="宋体" w:eastAsia="宋体" w:cs="宋体"/>
          <w:sz w:val="21"/>
          <w:szCs w:val="21"/>
          <w:highlight w:val="none"/>
          <w:lang w:eastAsia="zh-CN"/>
        </w:rPr>
        <w:t>95763</w:t>
      </w:r>
      <w:r>
        <w:rPr>
          <w:rFonts w:hint="eastAsia" w:ascii="宋体" w:hAnsi="宋体" w:eastAsia="宋体" w:cs="宋体"/>
          <w:sz w:val="21"/>
          <w:szCs w:val="21"/>
          <w:highlight w:val="none"/>
        </w:rPr>
        <w:t xml:space="preserve"> 进行咨询。</w:t>
      </w:r>
    </w:p>
    <w:p>
      <w:pPr>
        <w:tabs>
          <w:tab w:val="left" w:pos="1305"/>
        </w:tabs>
        <w:wordWrap w:val="0"/>
        <w:spacing w:line="360" w:lineRule="exact"/>
        <w:ind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18. 投标文件的补充、修改和撤回</w:t>
      </w:r>
    </w:p>
    <w:p>
      <w:pPr>
        <w:pStyle w:val="22"/>
        <w:wordWrap w:val="0"/>
        <w:spacing w:line="360" w:lineRule="exact"/>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18.1 投标文件递交截止时间前可以撤回电子投标文件。补充或者修改电子投标文件的，应当先行撤回原文件，补充、修改后重新传输递交，投标文件递交截止时间前未完成传输的，视为撤回电子投标文件。</w:t>
      </w:r>
    </w:p>
    <w:p>
      <w:pPr>
        <w:pStyle w:val="22"/>
        <w:wordWrap w:val="0"/>
        <w:spacing w:line="360" w:lineRule="exact"/>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18.2 在投标文件递交截止时间后的投标文件有效期内，供应商不得撤回其投标文件。</w:t>
      </w:r>
    </w:p>
    <w:p>
      <w:pPr>
        <w:tabs>
          <w:tab w:val="left" w:pos="1305"/>
        </w:tabs>
        <w:wordWrap w:val="0"/>
        <w:spacing w:line="360" w:lineRule="exact"/>
        <w:ind w:firstLine="422"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19. 投标文件的递交和解密</w:t>
      </w:r>
    </w:p>
    <w:p>
      <w:pPr>
        <w:wordWrap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19.1投标文件递交截止时间：投标人应</w:t>
      </w:r>
      <w:r>
        <w:rPr>
          <w:rFonts w:hint="eastAsia" w:ascii="宋体" w:hAnsi="宋体" w:eastAsia="宋体" w:cs="宋体"/>
          <w:color w:val="000000"/>
          <w:sz w:val="21"/>
          <w:szCs w:val="21"/>
          <w:highlight w:val="none"/>
        </w:rPr>
        <w:t>于</w:t>
      </w:r>
      <w:r>
        <w:rPr>
          <w:rFonts w:hint="eastAsia" w:ascii="宋体" w:hAnsi="宋体" w:eastAsia="宋体" w:cs="宋体"/>
          <w:color w:val="000000"/>
          <w:sz w:val="21"/>
          <w:szCs w:val="21"/>
          <w:highlight w:val="none"/>
          <w:u w:val="single"/>
          <w:lang w:val="en-US" w:eastAsia="zh-CN"/>
        </w:rPr>
        <w:t>2024</w:t>
      </w:r>
      <w:r>
        <w:rPr>
          <w:rFonts w:hint="eastAsia" w:ascii="宋体" w:hAnsi="宋体" w:eastAsia="宋体" w:cs="宋体"/>
          <w:color w:val="000000"/>
          <w:sz w:val="21"/>
          <w:szCs w:val="21"/>
          <w:highlight w:val="none"/>
          <w:u w:val="single"/>
        </w:rPr>
        <w:t>年</w:t>
      </w:r>
      <w:r>
        <w:rPr>
          <w:rFonts w:hint="eastAsia" w:ascii="宋体" w:hAnsi="宋体" w:cs="宋体"/>
          <w:color w:val="000000"/>
          <w:sz w:val="21"/>
          <w:szCs w:val="21"/>
          <w:highlight w:val="none"/>
          <w:u w:val="single"/>
          <w:lang w:val="en-US" w:eastAsia="zh-CN"/>
        </w:rPr>
        <w:t>4</w:t>
      </w:r>
      <w:r>
        <w:rPr>
          <w:rFonts w:hint="eastAsia" w:ascii="宋体" w:hAnsi="宋体" w:eastAsia="宋体" w:cs="宋体"/>
          <w:color w:val="000000"/>
          <w:sz w:val="21"/>
          <w:szCs w:val="21"/>
          <w:highlight w:val="none"/>
          <w:u w:val="single"/>
        </w:rPr>
        <w:t>月</w:t>
      </w:r>
      <w:r>
        <w:rPr>
          <w:rFonts w:hint="eastAsia" w:ascii="宋体" w:hAnsi="宋体" w:cs="宋体"/>
          <w:color w:val="000000"/>
          <w:sz w:val="21"/>
          <w:szCs w:val="21"/>
          <w:highlight w:val="none"/>
          <w:u w:val="single"/>
          <w:lang w:val="en-US" w:eastAsia="zh-CN"/>
        </w:rPr>
        <w:t>15</w:t>
      </w:r>
      <w:r>
        <w:rPr>
          <w:rFonts w:hint="eastAsia" w:ascii="宋体" w:hAnsi="宋体" w:eastAsia="宋体" w:cs="宋体"/>
          <w:color w:val="000000"/>
          <w:sz w:val="21"/>
          <w:szCs w:val="21"/>
          <w:highlight w:val="none"/>
          <w:u w:val="single"/>
        </w:rPr>
        <w:t>日上午9时30分</w:t>
      </w:r>
      <w:r>
        <w:rPr>
          <w:rFonts w:hint="eastAsia" w:ascii="宋体" w:hAnsi="宋体" w:eastAsia="宋体" w:cs="宋体"/>
          <w:color w:val="000000"/>
          <w:sz w:val="21"/>
          <w:szCs w:val="21"/>
          <w:highlight w:val="none"/>
        </w:rPr>
        <w:t>之前将电子投标文件上传到</w:t>
      </w:r>
      <w:r>
        <w:rPr>
          <w:rFonts w:hint="eastAsia" w:ascii="宋体" w:hAnsi="宋体" w:cs="宋体"/>
          <w:sz w:val="21"/>
          <w:szCs w:val="21"/>
          <w:highlight w:val="none"/>
          <w:lang w:eastAsia="zh-CN"/>
        </w:rPr>
        <w:t>广西政府采购云</w:t>
      </w:r>
      <w:r>
        <w:rPr>
          <w:rFonts w:hint="eastAsia" w:ascii="宋体" w:hAnsi="宋体" w:eastAsia="宋体" w:cs="宋体"/>
          <w:color w:val="000000"/>
          <w:sz w:val="21"/>
          <w:szCs w:val="21"/>
          <w:highlight w:val="none"/>
        </w:rPr>
        <w:t>平台。应按照本项目招标文件和</w:t>
      </w:r>
      <w:r>
        <w:rPr>
          <w:rFonts w:hint="eastAsia" w:ascii="宋体" w:hAnsi="宋体" w:cs="宋体"/>
          <w:sz w:val="21"/>
          <w:szCs w:val="21"/>
          <w:highlight w:val="none"/>
          <w:lang w:eastAsia="zh-CN"/>
        </w:rPr>
        <w:t>广西政府采购云</w:t>
      </w:r>
      <w:r>
        <w:rPr>
          <w:rFonts w:hint="eastAsia" w:ascii="宋体" w:hAnsi="宋体" w:eastAsia="宋体" w:cs="宋体"/>
          <w:color w:val="000000"/>
          <w:sz w:val="21"/>
          <w:szCs w:val="21"/>
          <w:highlight w:val="none"/>
        </w:rPr>
        <w:t>平台的要求编制、加密传输投标文件。供应商在使用系统进行投标的过程中遇到涉及平台使用的任何问题，可致电</w:t>
      </w:r>
      <w:r>
        <w:rPr>
          <w:rFonts w:hint="eastAsia" w:ascii="宋体" w:hAnsi="宋体" w:cs="宋体"/>
          <w:sz w:val="21"/>
          <w:szCs w:val="21"/>
          <w:highlight w:val="none"/>
          <w:lang w:eastAsia="zh-CN"/>
        </w:rPr>
        <w:t>广西政府采购云</w:t>
      </w:r>
      <w:r>
        <w:rPr>
          <w:rFonts w:hint="eastAsia" w:ascii="宋体" w:hAnsi="宋体" w:eastAsia="宋体" w:cs="宋体"/>
          <w:color w:val="000000"/>
          <w:sz w:val="21"/>
          <w:szCs w:val="21"/>
          <w:highlight w:val="none"/>
        </w:rPr>
        <w:t>平台技术支持热线咨询，联系方式：</w:t>
      </w:r>
      <w:r>
        <w:rPr>
          <w:rFonts w:hint="eastAsia" w:ascii="宋体" w:hAnsi="宋体" w:eastAsia="宋体" w:cs="宋体"/>
          <w:color w:val="000000"/>
          <w:sz w:val="21"/>
          <w:szCs w:val="21"/>
          <w:highlight w:val="none"/>
          <w:lang w:eastAsia="zh-CN"/>
        </w:rPr>
        <w:t>95763</w:t>
      </w:r>
      <w:r>
        <w:rPr>
          <w:rFonts w:hint="eastAsia" w:ascii="宋体" w:hAnsi="宋体" w:eastAsia="宋体" w:cs="宋体"/>
          <w:color w:val="000000"/>
          <w:sz w:val="21"/>
          <w:szCs w:val="21"/>
          <w:highlight w:val="none"/>
        </w:rPr>
        <w:t>。</w:t>
      </w:r>
    </w:p>
    <w:p>
      <w:pPr>
        <w:wordWrap w:val="0"/>
        <w:spacing w:line="360" w:lineRule="exact"/>
        <w:ind w:firstLine="420" w:firstLineChars="200"/>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rPr>
        <w:t>19.2投标文件解密时间：投标文件提交截止时间后，采购代理机构开启解密投标文件操作，</w:t>
      </w:r>
      <w:r>
        <w:rPr>
          <w:rFonts w:hint="eastAsia" w:ascii="宋体" w:hAnsi="宋体" w:cs="宋体"/>
          <w:color w:val="000000"/>
          <w:sz w:val="21"/>
          <w:szCs w:val="21"/>
          <w:highlight w:val="none"/>
          <w:lang w:eastAsia="zh-CN"/>
        </w:rPr>
        <w:t>广西政府采购云平台</w:t>
      </w:r>
      <w:r>
        <w:rPr>
          <w:rFonts w:hint="eastAsia" w:ascii="宋体" w:hAnsi="宋体" w:eastAsia="宋体" w:cs="宋体"/>
          <w:color w:val="000000"/>
          <w:sz w:val="21"/>
          <w:szCs w:val="21"/>
          <w:highlight w:val="none"/>
        </w:rPr>
        <w:t>向各投标人发出电子加密投标文件解密通知，由投标人在系统发出解密通知后30分钟内自行使用加密时的CA通过“项目采购-开标评标”功能对投标文件进行解密。若投标人在上述规定的时间内无法解密或解密失败的，可以在投标文件解密截止时间后30分钟内向采购代理机构现场提交电子备份投标文件【现场提交电子投标文件地址：桂林市公共资源交易中心</w:t>
      </w:r>
      <w:r>
        <w:rPr>
          <w:rFonts w:hint="eastAsia" w:ascii="宋体" w:hAnsi="宋体" w:cs="宋体"/>
          <w:color w:val="000000"/>
          <w:sz w:val="21"/>
          <w:szCs w:val="21"/>
          <w:highlight w:val="none"/>
          <w:lang w:val="en-US" w:eastAsia="zh-CN"/>
        </w:rPr>
        <w:t>9</w:t>
      </w:r>
      <w:r>
        <w:rPr>
          <w:rFonts w:hint="eastAsia" w:ascii="宋体" w:hAnsi="宋体" w:eastAsia="宋体" w:cs="宋体"/>
          <w:color w:val="000000"/>
          <w:sz w:val="21"/>
          <w:szCs w:val="21"/>
          <w:highlight w:val="none"/>
        </w:rPr>
        <w:t>号开标室（广西桂林市临桂区西城中路69号创业大厦西辅楼4楼北区）】，或以电子邮件的形式提交电子备份投标文件</w:t>
      </w:r>
      <w:r>
        <w:rPr>
          <w:rFonts w:hint="eastAsia" w:ascii="宋体" w:hAnsi="宋体" w:eastAsia="宋体" w:cs="宋体"/>
          <w:sz w:val="21"/>
          <w:szCs w:val="21"/>
          <w:highlight w:val="none"/>
          <w:lang w:val="en-US" w:eastAsia="zh-CN"/>
        </w:rPr>
        <w:t>（以通知时所告知的电子邮箱地址为准）</w:t>
      </w:r>
      <w:r>
        <w:rPr>
          <w:rFonts w:hint="eastAsia" w:ascii="宋体" w:hAnsi="宋体" w:eastAsia="宋体" w:cs="宋体"/>
          <w:color w:val="000000"/>
          <w:sz w:val="21"/>
          <w:szCs w:val="21"/>
          <w:highlight w:val="none"/>
        </w:rPr>
        <w:t>；投标人未在上述规定的时间、地点（电子邮箱）提交的电子备份投标文件，采购代理机构不予接收或承认。采购代理机构收到电子备份投标文件后按“政府采购云平台”操作规范上传至“政府采购云平台”，电子备份投标文件上传成功后，投标人原上传的“电子加密投标文件”自动失效。若投标人在规定时间内无法解密或解密失败且未在规定的时间内提供电子备份投标文件的（包含提供的电子备份投标文件无效或无法解密的情况），视为投标人放弃投标。</w:t>
      </w:r>
    </w:p>
    <w:p>
      <w:pPr>
        <w:wordWrap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19.3除招标文件另有规定外，供应商所递交的投标文件不予退还。</w:t>
      </w:r>
    </w:p>
    <w:p>
      <w:pPr>
        <w:wordWrap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19.4电子投标文件的相关说明</w:t>
      </w:r>
    </w:p>
    <w:p>
      <w:pPr>
        <w:wordWrap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1）供应商进行电子投标应安装客户端软件，并按照采购文件和电子交易平台的要求编制并加密投标文件。供应商未按规定加密的投标文件，电子交易平台将拒收。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 </w:t>
      </w:r>
    </w:p>
    <w:p>
      <w:pPr>
        <w:wordWrap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（2）如有特殊情况，采购代理机构延长截止时间和开标时间，采购代理机构和供应商的权利和义务将受到新的截止时间和开标时间的约束。</w:t>
      </w:r>
    </w:p>
    <w:p>
      <w:pPr>
        <w:wordWrap w:val="0"/>
        <w:spacing w:line="360" w:lineRule="exact"/>
        <w:ind w:firstLine="480" w:firstLineChars="200"/>
        <w:rPr>
          <w:rFonts w:hint="eastAsia" w:ascii="宋体" w:hAnsi="宋体"/>
          <w:sz w:val="24"/>
          <w:highlight w:val="none"/>
        </w:rPr>
      </w:pPr>
    </w:p>
    <w:p>
      <w:pPr>
        <w:keepNext w:val="0"/>
        <w:keepLines w:val="0"/>
        <w:pageBreakBefore w:val="0"/>
        <w:widowControl w:val="0"/>
        <w:tabs>
          <w:tab w:val="left" w:pos="1305"/>
        </w:tabs>
        <w:kinsoku/>
        <w:wordWrap w:val="0"/>
        <w:overflowPunct/>
        <w:topLinePunct w:val="0"/>
        <w:bidi w:val="0"/>
        <w:snapToGrid/>
        <w:spacing w:line="360" w:lineRule="exact"/>
        <w:jc w:val="center"/>
        <w:textAlignment w:val="auto"/>
        <w:rPr>
          <w:rFonts w:hint="eastAsia" w:ascii="宋体" w:hAnsi="宋体"/>
          <w:b/>
          <w:sz w:val="28"/>
          <w:szCs w:val="28"/>
          <w:highlight w:val="none"/>
        </w:rPr>
      </w:pPr>
      <w:r>
        <w:rPr>
          <w:rFonts w:hint="eastAsia" w:ascii="宋体" w:hAnsi="宋体"/>
          <w:b/>
          <w:sz w:val="28"/>
          <w:szCs w:val="28"/>
          <w:highlight w:val="none"/>
        </w:rPr>
        <w:t>四、开标</w:t>
      </w:r>
    </w:p>
    <w:p>
      <w:pPr>
        <w:keepNext w:val="0"/>
        <w:keepLines w:val="0"/>
        <w:pageBreakBefore w:val="0"/>
        <w:widowControl w:val="0"/>
        <w:tabs>
          <w:tab w:val="left" w:pos="1305"/>
        </w:tabs>
        <w:kinsoku/>
        <w:wordWrap w:val="0"/>
        <w:overflowPunct/>
        <w:topLinePunct w:val="0"/>
        <w:bidi w:val="0"/>
        <w:snapToGri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20. 开标时间及地点</w:t>
      </w:r>
    </w:p>
    <w:p>
      <w:pPr>
        <w:keepNext w:val="0"/>
        <w:keepLines w:val="0"/>
        <w:pageBreakBefore w:val="0"/>
        <w:widowControl w:val="0"/>
        <w:kinsoku/>
        <w:wordWrap w:val="0"/>
        <w:overflowPunct/>
        <w:topLinePunct w:val="0"/>
        <w:bidi w:val="0"/>
        <w:snapToGrid/>
        <w:spacing w:line="36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sz w:val="21"/>
          <w:szCs w:val="21"/>
          <w:highlight w:val="none"/>
        </w:rPr>
        <w:t>20.1开标时间及地点：</w:t>
      </w:r>
    </w:p>
    <w:p>
      <w:pPr>
        <w:keepNext w:val="0"/>
        <w:keepLines w:val="0"/>
        <w:pageBreakBefore w:val="0"/>
        <w:widowControl w:val="0"/>
        <w:kinsoku/>
        <w:overflowPunct/>
        <w:topLinePunct w:val="0"/>
        <w:bidi w:val="0"/>
        <w:snapToGrid/>
        <w:spacing w:line="36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开标时间：</w:t>
      </w:r>
      <w:r>
        <w:rPr>
          <w:rFonts w:hint="eastAsia" w:ascii="宋体" w:hAnsi="宋体" w:eastAsia="宋体" w:cs="宋体"/>
          <w:color w:val="000000"/>
          <w:sz w:val="21"/>
          <w:szCs w:val="21"/>
          <w:highlight w:val="none"/>
          <w:lang w:val="en-US" w:eastAsia="zh-CN"/>
        </w:rPr>
        <w:t>2024</w:t>
      </w:r>
      <w:r>
        <w:rPr>
          <w:rFonts w:hint="eastAsia" w:ascii="宋体" w:hAnsi="宋体" w:eastAsia="宋体" w:cs="宋体"/>
          <w:color w:val="000000"/>
          <w:sz w:val="21"/>
          <w:szCs w:val="21"/>
          <w:highlight w:val="none"/>
        </w:rPr>
        <w:t>年</w:t>
      </w:r>
      <w:r>
        <w:rPr>
          <w:rFonts w:hint="eastAsia" w:ascii="宋体" w:hAnsi="宋体" w:cs="宋体"/>
          <w:color w:val="000000"/>
          <w:sz w:val="21"/>
          <w:szCs w:val="21"/>
          <w:highlight w:val="none"/>
          <w:lang w:val="en-US" w:eastAsia="zh-CN"/>
        </w:rPr>
        <w:t>4</w:t>
      </w:r>
      <w:r>
        <w:rPr>
          <w:rFonts w:hint="eastAsia" w:ascii="宋体" w:hAnsi="宋体" w:eastAsia="宋体" w:cs="宋体"/>
          <w:color w:val="000000"/>
          <w:sz w:val="21"/>
          <w:szCs w:val="21"/>
          <w:highlight w:val="none"/>
        </w:rPr>
        <w:t>月</w:t>
      </w:r>
      <w:r>
        <w:rPr>
          <w:rFonts w:hint="eastAsia" w:ascii="宋体" w:hAnsi="宋体" w:cs="宋体"/>
          <w:color w:val="000000"/>
          <w:sz w:val="21"/>
          <w:szCs w:val="21"/>
          <w:highlight w:val="none"/>
          <w:lang w:val="en-US" w:eastAsia="zh-CN"/>
        </w:rPr>
        <w:t>15</w:t>
      </w:r>
      <w:r>
        <w:rPr>
          <w:rFonts w:hint="eastAsia" w:ascii="宋体" w:hAnsi="宋体" w:eastAsia="宋体" w:cs="宋体"/>
          <w:color w:val="000000"/>
          <w:sz w:val="21"/>
          <w:szCs w:val="21"/>
          <w:highlight w:val="none"/>
        </w:rPr>
        <w:t>日9时30分（北京时间）截标后。</w:t>
      </w:r>
    </w:p>
    <w:p>
      <w:pPr>
        <w:pStyle w:val="22"/>
        <w:keepNext w:val="0"/>
        <w:keepLines w:val="0"/>
        <w:pageBreakBefore w:val="0"/>
        <w:widowControl w:val="0"/>
        <w:kinsoku/>
        <w:wordWrap w:val="0"/>
        <w:overflowPunct/>
        <w:topLinePunct w:val="0"/>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地    点：通过</w:t>
      </w:r>
      <w:r>
        <w:rPr>
          <w:rFonts w:hint="eastAsia" w:ascii="宋体" w:hAnsi="宋体" w:eastAsia="宋体" w:cs="宋体"/>
          <w:color w:val="000000"/>
          <w:sz w:val="21"/>
          <w:szCs w:val="21"/>
          <w:highlight w:val="none"/>
          <w:lang w:eastAsia="zh-CN"/>
        </w:rPr>
        <w:t>广西政府采购云</w:t>
      </w:r>
      <w:r>
        <w:rPr>
          <w:rFonts w:hint="eastAsia" w:ascii="宋体" w:hAnsi="宋体" w:eastAsia="宋体" w:cs="宋体"/>
          <w:color w:val="000000"/>
          <w:sz w:val="21"/>
          <w:szCs w:val="21"/>
          <w:highlight w:val="none"/>
        </w:rPr>
        <w:t>平台实行在线解密开启。</w:t>
      </w:r>
    </w:p>
    <w:p>
      <w:pPr>
        <w:keepNext w:val="0"/>
        <w:keepLines w:val="0"/>
        <w:pageBreakBefore w:val="0"/>
        <w:widowControl w:val="0"/>
        <w:tabs>
          <w:tab w:val="left" w:pos="1305"/>
        </w:tabs>
        <w:kinsoku/>
        <w:wordWrap w:val="0"/>
        <w:overflowPunct/>
        <w:topLinePunct w:val="0"/>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20.2</w:t>
      </w:r>
      <w:r>
        <w:rPr>
          <w:rFonts w:hint="eastAsia" w:ascii="宋体" w:hAnsi="宋体" w:eastAsia="宋体" w:cs="宋体"/>
          <w:color w:val="000000"/>
          <w:sz w:val="21"/>
          <w:szCs w:val="21"/>
          <w:highlight w:val="none"/>
        </w:rPr>
        <w:t>投标人不足3家的，不得开标，采购人或者采购代理机构应当重新组织采购。</w:t>
      </w:r>
    </w:p>
    <w:p>
      <w:pPr>
        <w:keepNext w:val="0"/>
        <w:keepLines w:val="0"/>
        <w:pageBreakBefore w:val="0"/>
        <w:widowControl w:val="0"/>
        <w:tabs>
          <w:tab w:val="left" w:pos="1305"/>
        </w:tabs>
        <w:kinsoku/>
        <w:wordWrap w:val="0"/>
        <w:overflowPunct/>
        <w:topLinePunct w:val="0"/>
        <w:bidi w:val="0"/>
        <w:snapToGri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21. 开标程序</w:t>
      </w:r>
    </w:p>
    <w:p>
      <w:pPr>
        <w:keepNext w:val="0"/>
        <w:keepLines w:val="0"/>
        <w:pageBreakBefore w:val="0"/>
        <w:widowControl w:val="0"/>
        <w:tabs>
          <w:tab w:val="left" w:pos="1305"/>
        </w:tabs>
        <w:kinsoku/>
        <w:wordWrap w:val="0"/>
        <w:overflowPunct/>
        <w:topLinePunct w:val="0"/>
        <w:bidi w:val="0"/>
        <w:snapToGrid/>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1）向各投标人发出电子加密投标文件【开始解密】通知，由投标人按招标文件规定的时间内自行进行投标文件解密。投标人在规定的时间内无法完成已递交的“电子加密投标文件”解密的，如已按规定递交了电子备份投标文件的，将由采购代理机构按“政府采购云平台”操作规范将备份投标文件上传至“政府采购云平台”，上传成功后，“电子加密投标文件”自动失效。如未提供备份电子投标文件，将不进行再次解密程序。无法在线解密视为投标人放弃投标。在线解密时间为 30 分钟。</w:t>
      </w:r>
    </w:p>
    <w:p>
      <w:pPr>
        <w:keepNext w:val="0"/>
        <w:keepLines w:val="0"/>
        <w:pageBreakBefore w:val="0"/>
        <w:widowControl w:val="0"/>
        <w:tabs>
          <w:tab w:val="left" w:pos="1305"/>
        </w:tabs>
        <w:kinsoku/>
        <w:wordWrap w:val="0"/>
        <w:overflowPunct/>
        <w:topLinePunct w:val="0"/>
        <w:bidi w:val="0"/>
        <w:snapToGrid/>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（2）投标文件解密结束后，开标活动组织人员在线开启投标文件。</w:t>
      </w:r>
    </w:p>
    <w:p>
      <w:pPr>
        <w:keepNext w:val="0"/>
        <w:keepLines w:val="0"/>
        <w:pageBreakBefore w:val="0"/>
        <w:widowControl w:val="0"/>
        <w:tabs>
          <w:tab w:val="left" w:pos="1305"/>
        </w:tabs>
        <w:kinsoku/>
        <w:wordWrap w:val="0"/>
        <w:overflowPunct/>
        <w:topLinePunct w:val="0"/>
        <w:bidi w:val="0"/>
        <w:snapToGrid/>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（3）开启投标人报价文件，开标活动组织人员宣读开标（报价）一览表有关内容，投标人代表如果认为宣读有误，可以当场提出异议。</w:t>
      </w:r>
    </w:p>
    <w:p>
      <w:pPr>
        <w:keepNext w:val="0"/>
        <w:keepLines w:val="0"/>
        <w:pageBreakBefore w:val="0"/>
        <w:widowControl w:val="0"/>
        <w:tabs>
          <w:tab w:val="left" w:pos="1305"/>
        </w:tabs>
        <w:kinsoku/>
        <w:wordWrap w:val="0"/>
        <w:overflowPunct/>
        <w:topLinePunct w:val="0"/>
        <w:bidi w:val="0"/>
        <w:snapToGrid/>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开标结束后，如发现开标结果与报价文件不一致者，由评标委员会根据报价文件内容进行修正。</w:t>
      </w:r>
    </w:p>
    <w:p>
      <w:pPr>
        <w:pStyle w:val="22"/>
        <w:keepNext w:val="0"/>
        <w:keepLines w:val="0"/>
        <w:pageBreakBefore w:val="0"/>
        <w:widowControl w:val="0"/>
        <w:kinsoku/>
        <w:wordWrap w:val="0"/>
        <w:overflowPunct/>
        <w:topLinePunct w:val="0"/>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bCs/>
          <w:color w:val="auto"/>
          <w:kern w:val="2"/>
          <w:sz w:val="21"/>
          <w:szCs w:val="21"/>
          <w:highlight w:val="none"/>
        </w:rPr>
        <w:t>采购代理机构将按照招标文件规定的时间通过“政府采购云平台”组织开标、开启投标文件，所有投标人均应当准时在线参加。投标人如不参加开标会的，视同认可开标结果。投标人因未在线参加开标而导致投标文件无法按时解密等一切后果由投标人自行承担。</w:t>
      </w:r>
    </w:p>
    <w:p>
      <w:pPr>
        <w:tabs>
          <w:tab w:val="left" w:pos="1305"/>
        </w:tabs>
        <w:wordWrap w:val="0"/>
        <w:spacing w:line="360" w:lineRule="exact"/>
        <w:ind w:firstLine="482" w:firstLineChars="200"/>
        <w:jc w:val="center"/>
        <w:rPr>
          <w:rFonts w:ascii="宋体" w:hAnsi="宋体"/>
          <w:b/>
          <w:sz w:val="24"/>
          <w:highlight w:val="none"/>
        </w:rPr>
      </w:pPr>
    </w:p>
    <w:p>
      <w:pPr>
        <w:tabs>
          <w:tab w:val="left" w:pos="1305"/>
        </w:tabs>
        <w:wordWrap w:val="0"/>
        <w:spacing w:line="360" w:lineRule="exact"/>
        <w:jc w:val="center"/>
        <w:rPr>
          <w:rFonts w:hint="eastAsia" w:ascii="宋体" w:hAnsi="宋体"/>
          <w:b/>
          <w:sz w:val="28"/>
          <w:szCs w:val="28"/>
          <w:highlight w:val="none"/>
        </w:rPr>
      </w:pPr>
      <w:r>
        <w:rPr>
          <w:rFonts w:hint="eastAsia" w:ascii="宋体" w:hAnsi="宋体"/>
          <w:b/>
          <w:sz w:val="28"/>
          <w:szCs w:val="28"/>
          <w:highlight w:val="none"/>
        </w:rPr>
        <w:t>五、资格性审查</w:t>
      </w:r>
    </w:p>
    <w:p>
      <w:pPr>
        <w:keepNext w:val="0"/>
        <w:keepLines w:val="0"/>
        <w:pageBreakBefore w:val="0"/>
        <w:widowControl w:val="0"/>
        <w:tabs>
          <w:tab w:val="left" w:pos="1305"/>
        </w:tabs>
        <w:kinsoku/>
        <w:wordWrap w:val="0"/>
        <w:overflowPunct/>
        <w:topLinePunct w:val="0"/>
        <w:autoSpaceDE/>
        <w:autoSpaceDN/>
        <w:bidi w:val="0"/>
        <w:adjustRightInd/>
        <w:spacing w:line="360" w:lineRule="exact"/>
        <w:ind w:firstLine="422" w:firstLineChars="200"/>
        <w:textAlignment w:val="auto"/>
        <w:rPr>
          <w:rFonts w:hint="eastAsia" w:ascii="宋体" w:hAnsi="宋体"/>
          <w:b/>
          <w:sz w:val="21"/>
          <w:szCs w:val="21"/>
          <w:highlight w:val="none"/>
        </w:rPr>
      </w:pPr>
      <w:r>
        <w:rPr>
          <w:rFonts w:hint="eastAsia" w:ascii="宋体" w:hAnsi="宋体"/>
          <w:b/>
          <w:sz w:val="21"/>
          <w:szCs w:val="21"/>
          <w:highlight w:val="none"/>
        </w:rPr>
        <w:t>22. 资格性审查</w:t>
      </w:r>
    </w:p>
    <w:p>
      <w:pPr>
        <w:keepNext w:val="0"/>
        <w:keepLines w:val="0"/>
        <w:pageBreakBefore w:val="0"/>
        <w:widowControl w:val="0"/>
        <w:tabs>
          <w:tab w:val="left" w:pos="1305"/>
        </w:tabs>
        <w:kinsoku/>
        <w:wordWrap w:val="0"/>
        <w:overflowPunct/>
        <w:topLinePunct w:val="0"/>
        <w:autoSpaceDE/>
        <w:autoSpaceDN/>
        <w:bidi w:val="0"/>
        <w:adjustRightInd/>
        <w:spacing w:line="360" w:lineRule="exact"/>
        <w:ind w:firstLine="420" w:firstLineChars="200"/>
        <w:textAlignment w:val="auto"/>
        <w:rPr>
          <w:rFonts w:hint="eastAsia" w:ascii="宋体" w:hAnsi="宋体"/>
          <w:sz w:val="21"/>
          <w:szCs w:val="21"/>
          <w:highlight w:val="none"/>
        </w:rPr>
      </w:pPr>
      <w:r>
        <w:rPr>
          <w:rFonts w:hint="eastAsia" w:ascii="宋体" w:hAnsi="宋体"/>
          <w:sz w:val="21"/>
          <w:szCs w:val="21"/>
          <w:highlight w:val="none"/>
        </w:rPr>
        <w:t>22.1</w:t>
      </w:r>
      <w:r>
        <w:rPr>
          <w:rFonts w:ascii="宋体" w:hAnsi="宋体"/>
          <w:sz w:val="21"/>
          <w:szCs w:val="21"/>
          <w:highlight w:val="none"/>
        </w:rPr>
        <w:t>公开招标采购项目开标结束后，</w:t>
      </w:r>
      <w:r>
        <w:rPr>
          <w:rFonts w:ascii="宋体" w:hAnsi="宋体"/>
          <w:sz w:val="21"/>
          <w:szCs w:val="21"/>
          <w:highlight w:val="none"/>
          <w:shd w:val="clear" w:color="auto" w:fill="FFFFFF"/>
        </w:rPr>
        <w:t>采购人或者采购代理机构</w:t>
      </w:r>
      <w:r>
        <w:rPr>
          <w:rFonts w:ascii="宋体" w:hAnsi="宋体"/>
          <w:sz w:val="21"/>
          <w:szCs w:val="21"/>
          <w:highlight w:val="none"/>
        </w:rPr>
        <w:t>应当依法对投标人的资格进行审查。合格投标人不足3家的，不得评标。</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ascii="宋体" w:hAnsi="宋体"/>
          <w:sz w:val="21"/>
          <w:szCs w:val="21"/>
          <w:highlight w:val="none"/>
        </w:rPr>
      </w:pPr>
      <w:r>
        <w:rPr>
          <w:rFonts w:hint="eastAsia" w:ascii="宋体" w:hAnsi="宋体"/>
          <w:sz w:val="21"/>
          <w:szCs w:val="21"/>
          <w:highlight w:val="none"/>
        </w:rPr>
        <w:t>22.2</w:t>
      </w:r>
      <w:r>
        <w:rPr>
          <w:rFonts w:ascii="宋体" w:hAnsi="宋体"/>
          <w:sz w:val="21"/>
          <w:szCs w:val="21"/>
          <w:highlight w:val="none"/>
          <w:shd w:val="clear" w:color="auto" w:fill="FFFFFF"/>
        </w:rPr>
        <w:t>采购人或者采购代理机构</w:t>
      </w:r>
      <w:r>
        <w:rPr>
          <w:rFonts w:hint="eastAsia" w:ascii="宋体" w:hAnsi="宋体"/>
          <w:sz w:val="21"/>
          <w:szCs w:val="21"/>
          <w:highlight w:val="none"/>
        </w:rPr>
        <w:t>在对投标人进行资格性审查时，将对投标人企业股东及出资等信息进行查询。根据《中华人民共和国政府采购法实施条例》第十八条第一款规定，审查中如发现投标人存在单位负责人为同一人或者存在直接控股、管理关系的不同供应商参加同一合同项下的政府采购活动的，按投标无效处理。</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hint="eastAsia" w:ascii="宋体" w:hAnsi="宋体"/>
          <w:sz w:val="21"/>
          <w:szCs w:val="21"/>
          <w:highlight w:val="none"/>
        </w:rPr>
      </w:pPr>
      <w:r>
        <w:rPr>
          <w:rFonts w:hint="eastAsia" w:ascii="宋体" w:hAnsi="宋体"/>
          <w:sz w:val="21"/>
          <w:szCs w:val="21"/>
          <w:highlight w:val="none"/>
        </w:rPr>
        <w:t>查询渠道：《国家企业信用信息公示系统》（网址：</w:t>
      </w:r>
      <w:r>
        <w:rPr>
          <w:rFonts w:ascii="宋体" w:hAnsi="宋体"/>
          <w:sz w:val="21"/>
          <w:szCs w:val="21"/>
          <w:highlight w:val="none"/>
        </w:rPr>
        <w:fldChar w:fldCharType="begin"/>
      </w:r>
      <w:r>
        <w:rPr>
          <w:rFonts w:ascii="宋体" w:hAnsi="宋体"/>
          <w:sz w:val="21"/>
          <w:szCs w:val="21"/>
          <w:highlight w:val="none"/>
        </w:rPr>
        <w:instrText xml:space="preserve"> HYPERLINK "http://www.gsxt.gov.cn/index.html" </w:instrText>
      </w:r>
      <w:r>
        <w:rPr>
          <w:rFonts w:ascii="宋体" w:hAnsi="宋体"/>
          <w:sz w:val="21"/>
          <w:szCs w:val="21"/>
          <w:highlight w:val="none"/>
        </w:rPr>
        <w:fldChar w:fldCharType="separate"/>
      </w:r>
      <w:r>
        <w:rPr>
          <w:rFonts w:ascii="宋体" w:hAnsi="宋体"/>
          <w:sz w:val="21"/>
          <w:szCs w:val="21"/>
          <w:highlight w:val="none"/>
        </w:rPr>
        <w:t>http://www.gsxt.gov.cn/index.html</w:t>
      </w:r>
      <w:r>
        <w:rPr>
          <w:rFonts w:ascii="宋体" w:hAnsi="宋体"/>
          <w:sz w:val="21"/>
          <w:szCs w:val="21"/>
          <w:highlight w:val="none"/>
        </w:rPr>
        <w:fldChar w:fldCharType="end"/>
      </w:r>
      <w:r>
        <w:rPr>
          <w:rFonts w:hint="eastAsia" w:ascii="宋体" w:hAnsi="宋体"/>
          <w:sz w:val="21"/>
          <w:szCs w:val="21"/>
          <w:highlight w:val="none"/>
        </w:rPr>
        <w:t>）</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hint="eastAsia" w:ascii="宋体" w:hAnsi="宋体"/>
          <w:sz w:val="21"/>
          <w:szCs w:val="21"/>
          <w:highlight w:val="none"/>
        </w:rPr>
      </w:pPr>
      <w:r>
        <w:rPr>
          <w:rFonts w:hint="eastAsia" w:ascii="宋体" w:hAnsi="宋体"/>
          <w:sz w:val="21"/>
          <w:szCs w:val="21"/>
          <w:highlight w:val="none"/>
        </w:rPr>
        <w:t>审查流程：</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ascii="宋体" w:hAnsi="宋体"/>
          <w:sz w:val="21"/>
          <w:szCs w:val="21"/>
          <w:highlight w:val="none"/>
        </w:rPr>
      </w:pPr>
      <w:r>
        <w:rPr>
          <w:rFonts w:hint="eastAsia" w:ascii="宋体" w:hAnsi="宋体"/>
          <w:sz w:val="21"/>
          <w:szCs w:val="21"/>
          <w:highlight w:val="none"/>
        </w:rPr>
        <w:t>（1）进入《国家企业信用信息公示系统》（网址：</w:t>
      </w:r>
      <w:r>
        <w:rPr>
          <w:rFonts w:ascii="宋体" w:hAnsi="宋体"/>
          <w:sz w:val="21"/>
          <w:szCs w:val="21"/>
          <w:highlight w:val="none"/>
        </w:rPr>
        <w:t>http://www.gsxt.gov.cn/index.html</w:t>
      </w:r>
      <w:r>
        <w:rPr>
          <w:rFonts w:hint="eastAsia" w:ascii="宋体" w:hAnsi="宋体"/>
          <w:sz w:val="21"/>
          <w:szCs w:val="21"/>
          <w:highlight w:val="none"/>
        </w:rPr>
        <w:t>），输入企业名称，进入企业信息主页面；</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ascii="宋体" w:hAnsi="宋体"/>
          <w:sz w:val="21"/>
          <w:szCs w:val="21"/>
          <w:highlight w:val="none"/>
        </w:rPr>
      </w:pPr>
      <w:r>
        <w:rPr>
          <w:rFonts w:hint="eastAsia" w:ascii="宋体" w:hAnsi="宋体"/>
          <w:sz w:val="21"/>
          <w:szCs w:val="21"/>
          <w:highlight w:val="none"/>
        </w:rPr>
        <w:t>（2）查看主页“股东及出资信息”栏，或年报中的“股东及出资信息”栏信息；</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hint="eastAsia" w:ascii="宋体" w:hAnsi="宋体"/>
          <w:sz w:val="21"/>
          <w:szCs w:val="21"/>
          <w:highlight w:val="none"/>
        </w:rPr>
      </w:pPr>
      <w:r>
        <w:rPr>
          <w:rFonts w:hint="eastAsia" w:ascii="宋体" w:hAnsi="宋体"/>
          <w:sz w:val="21"/>
          <w:szCs w:val="21"/>
          <w:highlight w:val="none"/>
        </w:rPr>
        <w:t>（3）将各投标人的股东及出资信息进行比对，得出审查结论；</w:t>
      </w:r>
    </w:p>
    <w:p>
      <w:pPr>
        <w:keepNext w:val="0"/>
        <w:keepLines w:val="0"/>
        <w:pageBreakBefore w:val="0"/>
        <w:widowControl w:val="0"/>
        <w:kinsoku/>
        <w:wordWrap w:val="0"/>
        <w:overflowPunct/>
        <w:topLinePunct w:val="0"/>
        <w:autoSpaceDE/>
        <w:autoSpaceDN/>
        <w:bidi w:val="0"/>
        <w:adjustRightInd/>
        <w:snapToGrid w:val="0"/>
        <w:spacing w:line="360" w:lineRule="exact"/>
        <w:ind w:firstLine="420" w:firstLineChars="200"/>
        <w:textAlignment w:val="auto"/>
        <w:rPr>
          <w:rFonts w:hint="eastAsia" w:ascii="宋体" w:hAnsi="宋体"/>
          <w:sz w:val="21"/>
          <w:szCs w:val="21"/>
          <w:highlight w:val="none"/>
        </w:rPr>
      </w:pPr>
      <w:r>
        <w:rPr>
          <w:rFonts w:hint="eastAsia" w:ascii="宋体" w:hAnsi="宋体"/>
          <w:sz w:val="21"/>
          <w:szCs w:val="21"/>
          <w:highlight w:val="none"/>
        </w:rPr>
        <w:t>（4）将相关资料作为评审资料打印存档。</w:t>
      </w:r>
    </w:p>
    <w:p>
      <w:pPr>
        <w:keepNext w:val="0"/>
        <w:keepLines w:val="0"/>
        <w:pageBreakBefore w:val="0"/>
        <w:widowControl w:val="0"/>
        <w:kinsoku/>
        <w:wordWrap w:val="0"/>
        <w:overflowPunct/>
        <w:topLinePunct w:val="0"/>
        <w:autoSpaceDE/>
        <w:autoSpaceDN/>
        <w:bidi w:val="0"/>
        <w:adjustRightInd/>
        <w:snapToGrid w:val="0"/>
        <w:spacing w:line="360" w:lineRule="exact"/>
        <w:ind w:firstLine="422" w:firstLineChars="200"/>
        <w:textAlignment w:val="auto"/>
        <w:rPr>
          <w:rFonts w:hint="eastAsia" w:ascii="宋体" w:hAnsi="宋体"/>
          <w:sz w:val="21"/>
          <w:szCs w:val="21"/>
          <w:highlight w:val="none"/>
        </w:rPr>
      </w:pPr>
      <w:r>
        <w:rPr>
          <w:rFonts w:hint="eastAsia" w:ascii="宋体" w:hAnsi="宋体"/>
          <w:b/>
          <w:sz w:val="21"/>
          <w:szCs w:val="21"/>
          <w:highlight w:val="none"/>
        </w:rPr>
        <w:t>注：以上审查过程中，如出现查询企业网页主页面无法显示股东及出资信息的或仅以主页面信息内容无法认定投标人之间存在单位负责人为同一人或者存在直接控股、管理关系的，当时审查程序可继续进行，待评审结束后将对以上投标人作进一步核实确认，如确认投标人之间存在有上述关联供应商情形的，关联供应商均按投标无效处理。</w:t>
      </w:r>
    </w:p>
    <w:p>
      <w:pPr>
        <w:tabs>
          <w:tab w:val="center" w:pos="4411"/>
          <w:tab w:val="left" w:pos="5475"/>
        </w:tabs>
        <w:wordWrap w:val="0"/>
        <w:spacing w:line="360" w:lineRule="exact"/>
        <w:jc w:val="left"/>
        <w:rPr>
          <w:rFonts w:ascii="宋体" w:hAnsi="宋体"/>
          <w:b/>
          <w:sz w:val="24"/>
          <w:highlight w:val="none"/>
        </w:rPr>
      </w:pPr>
      <w:r>
        <w:rPr>
          <w:rFonts w:ascii="宋体" w:hAnsi="宋体"/>
          <w:b/>
          <w:sz w:val="24"/>
          <w:highlight w:val="none"/>
        </w:rPr>
        <w:tab/>
      </w:r>
    </w:p>
    <w:p>
      <w:pPr>
        <w:tabs>
          <w:tab w:val="center" w:pos="4411"/>
          <w:tab w:val="left" w:pos="5475"/>
        </w:tabs>
        <w:wordWrap w:val="0"/>
        <w:spacing w:line="360" w:lineRule="exact"/>
        <w:jc w:val="center"/>
        <w:rPr>
          <w:rFonts w:hint="eastAsia" w:ascii="宋体" w:hAnsi="宋体"/>
          <w:b/>
          <w:sz w:val="28"/>
          <w:szCs w:val="28"/>
          <w:highlight w:val="none"/>
        </w:rPr>
      </w:pPr>
      <w:r>
        <w:rPr>
          <w:rFonts w:hint="eastAsia" w:ascii="宋体" w:hAnsi="宋体"/>
          <w:b/>
          <w:sz w:val="28"/>
          <w:szCs w:val="28"/>
          <w:highlight w:val="none"/>
        </w:rPr>
        <w:t>六、评标</w:t>
      </w:r>
    </w:p>
    <w:p>
      <w:pPr>
        <w:keepNext w:val="0"/>
        <w:keepLines w:val="0"/>
        <w:pageBreakBefore w:val="0"/>
        <w:widowControl w:val="0"/>
        <w:tabs>
          <w:tab w:val="center" w:pos="4411"/>
          <w:tab w:val="left" w:pos="5475"/>
        </w:tabs>
        <w:kinsoku/>
        <w:wordWrap w:val="0"/>
        <w:overflowPunct/>
        <w:topLinePunct w:val="0"/>
        <w:autoSpaceDE/>
        <w:autoSpaceDN/>
        <w:bidi w:val="0"/>
        <w:adjustRightInd/>
        <w:spacing w:line="360" w:lineRule="exact"/>
        <w:ind w:firstLine="422" w:firstLineChars="200"/>
        <w:jc w:val="left"/>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23. 评标委员会组成</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评标委员会由采购人代表和评审专家组成，成员人数共</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人，其中采购人代表</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人，评审专家</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人。</w:t>
      </w:r>
    </w:p>
    <w:p>
      <w:pPr>
        <w:keepNext w:val="0"/>
        <w:keepLines w:val="0"/>
        <w:pageBreakBefore w:val="0"/>
        <w:widowControl w:val="0"/>
        <w:kinsoku/>
        <w:wordWrap w:val="0"/>
        <w:overflowPunct/>
        <w:topLinePunct w:val="0"/>
        <w:autoSpaceDE/>
        <w:autoSpaceDN/>
        <w:bidi w:val="0"/>
        <w:adjustRightInd/>
        <w:spacing w:line="360" w:lineRule="exact"/>
        <w:ind w:firstLine="422" w:firstLineChars="200"/>
        <w:textAlignment w:val="auto"/>
        <w:rPr>
          <w:rFonts w:hint="eastAsia" w:ascii="宋体" w:hAnsi="宋体" w:eastAsia="宋体" w:cs="宋体"/>
          <w:sz w:val="21"/>
          <w:szCs w:val="21"/>
          <w:highlight w:val="none"/>
        </w:rPr>
      </w:pPr>
      <w:r>
        <w:rPr>
          <w:rFonts w:hint="eastAsia" w:ascii="宋体" w:hAnsi="宋体" w:eastAsia="宋体" w:cs="宋体"/>
          <w:b/>
          <w:sz w:val="21"/>
          <w:szCs w:val="21"/>
          <w:highlight w:val="none"/>
        </w:rPr>
        <w:t>24. 评标办法</w:t>
      </w:r>
    </w:p>
    <w:p>
      <w:pPr>
        <w:keepNext w:val="0"/>
        <w:keepLines w:val="0"/>
        <w:pageBreakBefore w:val="0"/>
        <w:widowControl w:val="0"/>
        <w:tabs>
          <w:tab w:val="left" w:pos="1140"/>
        </w:tabs>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24.1评标办法：综合评分法，具体评标内容及标准详见第四章。</w:t>
      </w:r>
    </w:p>
    <w:p>
      <w:pPr>
        <w:keepNext w:val="0"/>
        <w:keepLines w:val="0"/>
        <w:pageBreakBefore w:val="0"/>
        <w:widowControl w:val="0"/>
        <w:tabs>
          <w:tab w:val="left" w:pos="1140"/>
        </w:tabs>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24.2评标委员会应按招标文件进行评标，不得擅自更改评标办法。</w:t>
      </w:r>
    </w:p>
    <w:p>
      <w:pPr>
        <w:keepNext w:val="0"/>
        <w:keepLines w:val="0"/>
        <w:pageBreakBefore w:val="0"/>
        <w:widowControl w:val="0"/>
        <w:tabs>
          <w:tab w:val="left" w:pos="1140"/>
        </w:tabs>
        <w:kinsoku/>
        <w:wordWrap w:val="0"/>
        <w:overflowPunct/>
        <w:topLinePunct w:val="0"/>
        <w:autoSpaceDE/>
        <w:autoSpaceDN/>
        <w:bidi w:val="0"/>
        <w:adjustRightIn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25. 评标</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25.1采购代理机构负责组织评标工作，宣布评标工作纪律，公布投标人名单，告知评审专家应当回避的情形，组织评标委员会推选评标组长，采购人代表不得担任组长。在评标期间由桂林市公共资源交易中心采取必要的通讯管理措施并保证评标活动不受外界干扰。采购代理机构根据评标委员会的要求介绍政府采购相关政策法规、招标文件；维护评标秩序，监督评标委员会依照招标文件规定的评标程序、方法和标准进行独立评审，及时制止和纠正采购人代表、评审专家的倾向性言论或者违法违规行为；核对评标结果，有投标无效情形的，要求评标委员会复核或者书面说明理由，评标委员会拒绝的，应予记录并向本级财政部门报告；评审工作完成后，按照规定向评审专家支付劳务报酬和异地评审差旅费，不得向评审专家以外的其他人员支付评审劳务报酬。</w:t>
      </w:r>
    </w:p>
    <w:p>
      <w:pPr>
        <w:keepNext w:val="0"/>
        <w:keepLines w:val="0"/>
        <w:pageBreakBefore w:val="0"/>
        <w:widowControl w:val="0"/>
        <w:shd w:val="clear" w:color="auto" w:fill="FFFFFF"/>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25.2评标委员会负责具体评标事务；审查、评价投标文件是否符合招标文件的商务、技术等实质性要求；要求投标人对投标文件有关事项作出澄清或者说明；对投标文件进行比较和评价；确定中标候选人名单，以及根据采购人委托直接确定中标人；向采购人、采购代理机构或者有关部门报告评标中发现的违法行为。</w:t>
      </w:r>
    </w:p>
    <w:p>
      <w:pPr>
        <w:keepNext w:val="0"/>
        <w:keepLines w:val="0"/>
        <w:pageBreakBefore w:val="0"/>
        <w:widowControl w:val="0"/>
        <w:shd w:val="clear" w:color="auto" w:fill="FFFFFF"/>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25.3在评标过程中，评标委员会任何人不得对某个投标人发表任何倾向性意见，不得向其他专家评委明示或者暗示自己的评审意见。</w:t>
      </w:r>
    </w:p>
    <w:p>
      <w:pPr>
        <w:keepNext w:val="0"/>
        <w:keepLines w:val="0"/>
        <w:pageBreakBefore w:val="0"/>
        <w:widowControl w:val="0"/>
        <w:tabs>
          <w:tab w:val="left" w:pos="1140"/>
        </w:tabs>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25.4</w:t>
      </w:r>
      <w:r>
        <w:rPr>
          <w:rFonts w:ascii="宋体" w:hAnsi="宋体"/>
          <w:szCs w:val="21"/>
          <w:highlight w:val="none"/>
        </w:rPr>
        <w:t>评标委员会应当对符合资格的投标人的投标文件进行符合性审查</w:t>
      </w:r>
      <w:r>
        <w:rPr>
          <w:rFonts w:hint="eastAsia" w:ascii="宋体" w:hAnsi="宋体"/>
          <w:szCs w:val="21"/>
          <w:highlight w:val="none"/>
        </w:rPr>
        <w:t>，</w:t>
      </w:r>
      <w:r>
        <w:rPr>
          <w:rFonts w:ascii="宋体" w:hAnsi="宋体"/>
          <w:szCs w:val="21"/>
          <w:highlight w:val="none"/>
        </w:rPr>
        <w:t>以确定其是否满足招标文件的实质性要求。</w:t>
      </w:r>
    </w:p>
    <w:p>
      <w:pPr>
        <w:keepNext w:val="0"/>
        <w:keepLines w:val="0"/>
        <w:pageBreakBefore w:val="0"/>
        <w:widowControl w:val="0"/>
        <w:tabs>
          <w:tab w:val="left" w:pos="1140"/>
        </w:tabs>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25.5</w:t>
      </w:r>
      <w:r>
        <w:rPr>
          <w:rFonts w:ascii="宋体" w:hAnsi="宋体"/>
          <w:szCs w:val="21"/>
          <w:highlight w:val="none"/>
        </w:rPr>
        <w:t>对于投标文件中含义不明确、同类问题表述不一致或者有明显文字和计算错误的内容</w:t>
      </w:r>
      <w:r>
        <w:rPr>
          <w:rFonts w:hint="eastAsia" w:ascii="宋体" w:hAnsi="宋体"/>
          <w:szCs w:val="21"/>
          <w:highlight w:val="none"/>
        </w:rPr>
        <w:t>，</w:t>
      </w:r>
      <w:r>
        <w:rPr>
          <w:rFonts w:ascii="宋体" w:hAnsi="宋体"/>
          <w:szCs w:val="21"/>
          <w:highlight w:val="none"/>
        </w:rPr>
        <w:t>评标委员会应当以书面形式要求投标人作出必要的澄清、说明或者补正。</w:t>
      </w:r>
    </w:p>
    <w:p>
      <w:pPr>
        <w:keepNext w:val="0"/>
        <w:keepLines w:val="0"/>
        <w:pageBreakBefore w:val="0"/>
        <w:widowControl w:val="0"/>
        <w:tabs>
          <w:tab w:val="left" w:pos="1140"/>
        </w:tabs>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投标人的澄清、说明或者补正应当通过</w:t>
      </w:r>
      <w:r>
        <w:rPr>
          <w:rFonts w:hint="eastAsia" w:ascii="宋体" w:hAnsi="宋体" w:cs="宋体"/>
          <w:sz w:val="21"/>
          <w:szCs w:val="21"/>
          <w:highlight w:val="none"/>
          <w:lang w:eastAsia="zh-CN"/>
        </w:rPr>
        <w:t>广西政府采购云平台</w:t>
      </w:r>
      <w:r>
        <w:rPr>
          <w:rFonts w:hint="eastAsia" w:ascii="宋体" w:hAnsi="宋体" w:eastAsia="宋体" w:cs="宋体"/>
          <w:sz w:val="21"/>
          <w:szCs w:val="21"/>
          <w:highlight w:val="none"/>
        </w:rPr>
        <w:t>采用在线书面形式，澄清、说明或者补正应当签字或者电子签名【法定代表人或相应的授权委托代理人签字（或者电子签名）均可】或加盖投标人公章(或电子签章)，投标人的澄清、说明或者补正不得超出投标文件的范围或者改变投标文件的实质性内容。</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25.6评标委员会应当按照招标文件中规定的评标方法和标准，对符合性审查合格的投标文件进行商务和技术评估，综合比较与评价。</w:t>
      </w:r>
    </w:p>
    <w:p>
      <w:pPr>
        <w:keepNext w:val="0"/>
        <w:keepLines w:val="0"/>
        <w:pageBreakBefore w:val="0"/>
        <w:widowControl w:val="0"/>
        <w:shd w:val="clear" w:color="auto" w:fill="FFFFFF"/>
        <w:kinsoku/>
        <w:wordWrap w:val="0"/>
        <w:overflowPunct/>
        <w:topLinePunct w:val="0"/>
        <w:autoSpaceDE/>
        <w:autoSpaceDN/>
        <w:bidi w:val="0"/>
        <w:adjustRightInd/>
        <w:spacing w:line="360" w:lineRule="exact"/>
        <w:ind w:firstLine="422" w:firstLineChars="200"/>
        <w:textAlignment w:val="auto"/>
        <w:rPr>
          <w:rFonts w:hint="eastAsia" w:ascii="宋体" w:hAnsi="宋体" w:eastAsia="宋体" w:cs="宋体"/>
          <w:sz w:val="21"/>
          <w:szCs w:val="21"/>
          <w:highlight w:val="none"/>
        </w:rPr>
      </w:pPr>
      <w:r>
        <w:rPr>
          <w:rFonts w:hint="eastAsia" w:ascii="宋体" w:hAnsi="宋体" w:eastAsia="宋体" w:cs="宋体"/>
          <w:b/>
          <w:sz w:val="21"/>
          <w:szCs w:val="21"/>
          <w:highlight w:val="none"/>
        </w:rPr>
        <w:t>25.7投标文件报价出现前后不一致的，除招标文件另有规定外，按照下列规定修正：</w:t>
      </w:r>
    </w:p>
    <w:p>
      <w:pPr>
        <w:keepNext w:val="0"/>
        <w:keepLines w:val="0"/>
        <w:pageBreakBefore w:val="0"/>
        <w:widowControl w:val="0"/>
        <w:shd w:val="clear" w:color="auto" w:fill="FFFFFF"/>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（1）投标文件中投标报价表内容与投标文件中相应内容不一致的，以投标报价表为准；</w:t>
      </w:r>
    </w:p>
    <w:p>
      <w:pPr>
        <w:keepNext w:val="0"/>
        <w:keepLines w:val="0"/>
        <w:pageBreakBefore w:val="0"/>
        <w:widowControl w:val="0"/>
        <w:shd w:val="clear" w:color="auto" w:fill="FFFFFF"/>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（2）大写金额和小写金额不一致的，以大写金额为准；</w:t>
      </w:r>
    </w:p>
    <w:p>
      <w:pPr>
        <w:keepNext w:val="0"/>
        <w:keepLines w:val="0"/>
        <w:pageBreakBefore w:val="0"/>
        <w:widowControl w:val="0"/>
        <w:shd w:val="clear" w:color="auto" w:fill="FFFFFF"/>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（3）单价金额小数点或者百分比有明显错位的，以投标报价表的总价为准，并修改单价；</w:t>
      </w:r>
    </w:p>
    <w:p>
      <w:pPr>
        <w:keepNext w:val="0"/>
        <w:keepLines w:val="0"/>
        <w:pageBreakBefore w:val="0"/>
        <w:widowControl w:val="0"/>
        <w:shd w:val="clear" w:color="auto" w:fill="FFFFFF"/>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（4）总价金额与按单价汇总金额不一致的，以单价金额计算结果为准。</w:t>
      </w:r>
    </w:p>
    <w:p>
      <w:pPr>
        <w:keepNext w:val="0"/>
        <w:keepLines w:val="0"/>
        <w:pageBreakBefore w:val="0"/>
        <w:widowControl w:val="0"/>
        <w:shd w:val="clear" w:color="auto" w:fill="FFFFFF"/>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同时出现两种以上不一致的，按照前款规定的顺序修正。修正后的报价（不得超出投标文件的范围或者改变投标文件的实质性内容）经投标人确认后产生约束力，投标人不确认的，其投标无效。</w:t>
      </w:r>
    </w:p>
    <w:p>
      <w:pPr>
        <w:keepNext w:val="0"/>
        <w:keepLines w:val="0"/>
        <w:pageBreakBefore w:val="0"/>
        <w:widowControl w:val="0"/>
        <w:kinsoku/>
        <w:wordWrap w:val="0"/>
        <w:overflowPunct/>
        <w:topLinePunct w:val="0"/>
        <w:autoSpaceDE/>
        <w:autoSpaceDN/>
        <w:bidi w:val="0"/>
        <w:adjustRightIn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25.8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25.9评标委员会成员对需要共同认定的事项存在争议的，应当按照少数服从多数的原则作出结论。持不同意见的评标委员会成员应当在评标报告上签署不同意见及理由，否则视为同意评标报告。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widowControl w:val="0"/>
        <w:kinsoku/>
        <w:wordWrap w:val="0"/>
        <w:overflowPunct/>
        <w:topLinePunct w:val="0"/>
        <w:autoSpaceDE/>
        <w:autoSpaceDN/>
        <w:bidi w:val="0"/>
        <w:adjustRightInd/>
        <w:snapToGrid w:val="0"/>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25.10评标结果汇总完成后，除下列情形外，任何人不得修改评标结果：</w:t>
      </w:r>
    </w:p>
    <w:p>
      <w:pPr>
        <w:keepNext w:val="0"/>
        <w:keepLines w:val="0"/>
        <w:pageBreakBefore w:val="0"/>
        <w:widowControl w:val="0"/>
        <w:kinsoku/>
        <w:wordWrap w:val="0"/>
        <w:overflowPunct/>
        <w:topLinePunct w:val="0"/>
        <w:autoSpaceDE/>
        <w:autoSpaceDN/>
        <w:bidi w:val="0"/>
        <w:adjustRightInd/>
        <w:snapToGrid w:val="0"/>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（一）分值汇总计算错误的；</w:t>
      </w:r>
    </w:p>
    <w:p>
      <w:pPr>
        <w:keepNext w:val="0"/>
        <w:keepLines w:val="0"/>
        <w:pageBreakBefore w:val="0"/>
        <w:widowControl w:val="0"/>
        <w:kinsoku/>
        <w:wordWrap w:val="0"/>
        <w:overflowPunct/>
        <w:topLinePunct w:val="0"/>
        <w:autoSpaceDE/>
        <w:autoSpaceDN/>
        <w:bidi w:val="0"/>
        <w:adjustRightInd/>
        <w:snapToGrid w:val="0"/>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（二）分项评分超出评分标准范围的；</w:t>
      </w:r>
    </w:p>
    <w:p>
      <w:pPr>
        <w:keepNext w:val="0"/>
        <w:keepLines w:val="0"/>
        <w:pageBreakBefore w:val="0"/>
        <w:widowControl w:val="0"/>
        <w:kinsoku/>
        <w:wordWrap w:val="0"/>
        <w:overflowPunct/>
        <w:topLinePunct w:val="0"/>
        <w:autoSpaceDE/>
        <w:autoSpaceDN/>
        <w:bidi w:val="0"/>
        <w:adjustRightInd/>
        <w:snapToGrid w:val="0"/>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（三）评标委员会成员对客观评审因素评分不一致的；</w:t>
      </w:r>
    </w:p>
    <w:p>
      <w:pPr>
        <w:keepNext w:val="0"/>
        <w:keepLines w:val="0"/>
        <w:pageBreakBefore w:val="0"/>
        <w:widowControl w:val="0"/>
        <w:kinsoku/>
        <w:wordWrap w:val="0"/>
        <w:overflowPunct/>
        <w:topLinePunct w:val="0"/>
        <w:autoSpaceDE/>
        <w:autoSpaceDN/>
        <w:bidi w:val="0"/>
        <w:adjustRightInd/>
        <w:snapToGrid w:val="0"/>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（四）经评标委员会认定评分畸高、畸低的。</w:t>
      </w:r>
    </w:p>
    <w:p>
      <w:pPr>
        <w:keepNext w:val="0"/>
        <w:keepLines w:val="0"/>
        <w:pageBreakBefore w:val="0"/>
        <w:widowControl w:val="0"/>
        <w:kinsoku/>
        <w:wordWrap w:val="0"/>
        <w:overflowPunct/>
        <w:topLinePunct w:val="0"/>
        <w:autoSpaceDE/>
        <w:autoSpaceDN/>
        <w:bidi w:val="0"/>
        <w:adjustRightInd/>
        <w:snapToGrid w:val="0"/>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keepNext w:val="0"/>
        <w:keepLines w:val="0"/>
        <w:pageBreakBefore w:val="0"/>
        <w:widowControl w:val="0"/>
        <w:kinsoku/>
        <w:wordWrap w:val="0"/>
        <w:overflowPunct/>
        <w:topLinePunct w:val="0"/>
        <w:autoSpaceDE/>
        <w:autoSpaceDN/>
        <w:bidi w:val="0"/>
        <w:adjustRightInd/>
        <w:snapToGrid w:val="0"/>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投标人对本条第一款情形提出质疑的，采购人或者采购代理机构可以组织原评标委员会进行重新评审，重新评审改变评标结果的，应当书面报告本级财政部门。</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25.11采购代理机构发现评标委员会有明显的违规倾向或歧视现象，或不按评标办法进行，或其他不正常行为的，应当及时制止。如制止无效，应及时向桂林市财政局政府采购监督管理机构报告。</w:t>
      </w:r>
    </w:p>
    <w:p>
      <w:pPr>
        <w:keepNext w:val="0"/>
        <w:keepLines w:val="0"/>
        <w:pageBreakBefore w:val="0"/>
        <w:widowControl w:val="0"/>
        <w:tabs>
          <w:tab w:val="left" w:pos="4214"/>
        </w:tabs>
        <w:kinsoku/>
        <w:wordWrap w:val="0"/>
        <w:overflowPunct/>
        <w:topLinePunct w:val="0"/>
        <w:autoSpaceDE/>
        <w:autoSpaceDN/>
        <w:bidi w:val="0"/>
        <w:adjustRightIn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26</w:t>
      </w:r>
      <w:r>
        <w:rPr>
          <w:rFonts w:hint="eastAsia" w:ascii="宋体" w:hAnsi="宋体" w:eastAsia="宋体" w:cs="宋体"/>
          <w:sz w:val="21"/>
          <w:szCs w:val="21"/>
          <w:highlight w:val="none"/>
        </w:rPr>
        <w:t xml:space="preserve">. </w:t>
      </w:r>
      <w:r>
        <w:rPr>
          <w:rFonts w:hint="eastAsia" w:ascii="宋体" w:hAnsi="宋体" w:eastAsia="宋体" w:cs="宋体"/>
          <w:b/>
          <w:sz w:val="21"/>
          <w:szCs w:val="21"/>
          <w:highlight w:val="none"/>
        </w:rPr>
        <w:t>推荐及确定中标候选供应商原则</w:t>
      </w:r>
    </w:p>
    <w:p>
      <w:pPr>
        <w:keepNext w:val="0"/>
        <w:keepLines w:val="0"/>
        <w:pageBreakBefore w:val="0"/>
        <w:widowControl w:val="0"/>
        <w:tabs>
          <w:tab w:val="left" w:pos="4214"/>
        </w:tabs>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（1）评标委员会根据综合得分由高到低排列次序，若得分相同时，按评标价由低到高顺序排列；得分相同且评标价也相同的由评标委员会按照抽签的方式决定排次次序。</w:t>
      </w:r>
    </w:p>
    <w:p>
      <w:pPr>
        <w:keepNext w:val="0"/>
        <w:keepLines w:val="0"/>
        <w:pageBreakBefore w:val="0"/>
        <w:widowControl w:val="0"/>
        <w:tabs>
          <w:tab w:val="left" w:pos="4214"/>
        </w:tabs>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shd w:val="clear" w:color="auto" w:fill="FFFFFF"/>
        </w:rPr>
        <w:t>评标委员会</w:t>
      </w:r>
      <w:r>
        <w:rPr>
          <w:rFonts w:hint="eastAsia" w:ascii="宋体" w:hAnsi="宋体" w:eastAsia="宋体" w:cs="宋体"/>
          <w:sz w:val="21"/>
          <w:szCs w:val="21"/>
          <w:highlight w:val="none"/>
        </w:rPr>
        <w:t>可推荐前三名为中标候选人，采购人应当确定评标委员会推荐排名第一的中标候选人为中标人。</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排名第一的中标候选人放弃中标、因不可抗力提出不能履行合同，或者招标文件规定应当提交履约保证金而在规定的期限内未能提交的，或因失信行为被取消中标候选人资格的，采购人可以确定排名第二的中标候选人为中标人，并依此类推。</w:t>
      </w:r>
    </w:p>
    <w:p>
      <w:pPr>
        <w:keepNext w:val="0"/>
        <w:keepLines w:val="0"/>
        <w:pageBreakBefore w:val="0"/>
        <w:widowControl w:val="0"/>
        <w:kinsoku/>
        <w:wordWrap w:val="0"/>
        <w:overflowPunct/>
        <w:topLinePunct w:val="0"/>
        <w:autoSpaceDE/>
        <w:autoSpaceDN/>
        <w:bidi w:val="0"/>
        <w:adjustRightInd/>
        <w:snapToGrid w:val="0"/>
        <w:spacing w:line="360" w:lineRule="exact"/>
        <w:ind w:firstLine="422" w:firstLineChars="200"/>
        <w:textAlignment w:val="auto"/>
        <w:outlineLvl w:val="4"/>
        <w:rPr>
          <w:rFonts w:hint="eastAsia" w:ascii="宋体" w:hAnsi="宋体" w:eastAsia="宋体" w:cs="宋体"/>
          <w:b/>
          <w:sz w:val="21"/>
          <w:szCs w:val="21"/>
          <w:highlight w:val="none"/>
        </w:rPr>
      </w:pPr>
      <w:r>
        <w:rPr>
          <w:rFonts w:hint="eastAsia" w:ascii="宋体" w:hAnsi="宋体" w:eastAsia="宋体" w:cs="宋体"/>
          <w:b/>
          <w:bCs/>
          <w:sz w:val="21"/>
          <w:szCs w:val="21"/>
          <w:highlight w:val="none"/>
        </w:rPr>
        <w:t>27</w:t>
      </w:r>
      <w:r>
        <w:rPr>
          <w:rFonts w:hint="eastAsia" w:ascii="宋体" w:hAnsi="宋体" w:eastAsia="宋体" w:cs="宋体"/>
          <w:b/>
          <w:sz w:val="21"/>
          <w:szCs w:val="21"/>
          <w:highlight w:val="none"/>
        </w:rPr>
        <w:t>. 属于下列情况之一者，投标无效：</w:t>
      </w:r>
    </w:p>
    <w:p>
      <w:pPr>
        <w:snapToGrid w:val="0"/>
        <w:spacing w:line="360" w:lineRule="exact"/>
        <w:ind w:firstLine="411" w:firstLineChars="196"/>
        <w:rPr>
          <w:rFonts w:ascii="宋体" w:hAnsi="宋体" w:cs="宋体"/>
          <w:color w:val="000000"/>
          <w:szCs w:val="21"/>
          <w:highlight w:val="none"/>
        </w:rPr>
      </w:pPr>
      <w:r>
        <w:rPr>
          <w:rFonts w:hint="eastAsia" w:ascii="宋体" w:hAnsi="宋体" w:cs="宋体"/>
          <w:color w:val="000000"/>
          <w:szCs w:val="21"/>
          <w:highlight w:val="none"/>
        </w:rPr>
        <w:t>（1）未按照招标文件规定要求签字、盖章的；</w:t>
      </w:r>
    </w:p>
    <w:p>
      <w:pPr>
        <w:snapToGrid w:val="0"/>
        <w:spacing w:line="360" w:lineRule="exact"/>
        <w:ind w:firstLine="420" w:firstLineChars="200"/>
        <w:rPr>
          <w:rFonts w:ascii="宋体" w:hAnsi="宋体" w:cs="宋体"/>
          <w:color w:val="000000"/>
          <w:szCs w:val="21"/>
          <w:highlight w:val="none"/>
        </w:rPr>
      </w:pPr>
      <w:r>
        <w:rPr>
          <w:rFonts w:hint="eastAsia" w:ascii="宋体" w:hAnsi="宋体" w:cs="宋体"/>
          <w:color w:val="000000"/>
          <w:szCs w:val="21"/>
          <w:highlight w:val="none"/>
        </w:rPr>
        <w:t>（2）报价超过招标文件中规定的预算金额的；</w:t>
      </w:r>
    </w:p>
    <w:p>
      <w:pPr>
        <w:snapToGrid w:val="0"/>
        <w:spacing w:line="360" w:lineRule="exact"/>
        <w:ind w:firstLine="411" w:firstLineChars="196"/>
        <w:rPr>
          <w:rFonts w:ascii="宋体" w:hAnsi="宋体" w:cs="宋体"/>
          <w:color w:val="000000"/>
          <w:szCs w:val="21"/>
          <w:highlight w:val="none"/>
        </w:rPr>
      </w:pPr>
      <w:r>
        <w:rPr>
          <w:rFonts w:hint="eastAsia" w:ascii="宋体" w:hAnsi="宋体" w:cs="宋体"/>
          <w:color w:val="000000"/>
          <w:szCs w:val="21"/>
          <w:highlight w:val="none"/>
        </w:rPr>
        <w:t>（3）不具备招标文件中规定的资格要求的</w:t>
      </w:r>
      <w:r>
        <w:rPr>
          <w:rFonts w:hint="eastAsia" w:ascii="宋体" w:hAnsi="宋体" w:cs="宋体"/>
          <w:color w:val="000000"/>
          <w:highlight w:val="none"/>
        </w:rPr>
        <w:t>；</w:t>
      </w:r>
    </w:p>
    <w:p>
      <w:pPr>
        <w:snapToGrid w:val="0"/>
        <w:spacing w:line="360" w:lineRule="exact"/>
        <w:ind w:firstLine="411" w:firstLineChars="196"/>
        <w:rPr>
          <w:rFonts w:ascii="宋体" w:hAnsi="宋体" w:cs="宋体"/>
          <w:color w:val="000000"/>
          <w:szCs w:val="21"/>
          <w:highlight w:val="none"/>
        </w:rPr>
      </w:pPr>
      <w:r>
        <w:rPr>
          <w:rFonts w:hint="eastAsia" w:ascii="宋体" w:hAnsi="宋体" w:cs="宋体"/>
          <w:color w:val="000000"/>
          <w:szCs w:val="21"/>
          <w:highlight w:val="none"/>
        </w:rPr>
        <w:t>（4）投标文件含有采购人不能接受的附加条件的；</w:t>
      </w:r>
    </w:p>
    <w:p>
      <w:pPr>
        <w:snapToGrid w:val="0"/>
        <w:spacing w:line="360" w:lineRule="exact"/>
        <w:ind w:firstLine="411" w:firstLineChars="196"/>
        <w:rPr>
          <w:rFonts w:ascii="宋体" w:hAnsi="宋体" w:cs="宋体"/>
          <w:color w:val="000000"/>
          <w:szCs w:val="21"/>
          <w:highlight w:val="none"/>
        </w:rPr>
      </w:pPr>
      <w:r>
        <w:rPr>
          <w:rFonts w:hint="eastAsia" w:ascii="宋体" w:hAnsi="宋体" w:cs="宋体"/>
          <w:color w:val="000000"/>
          <w:szCs w:val="21"/>
          <w:highlight w:val="none"/>
        </w:rPr>
        <w:t>（5）投标文件未按招标文件的内容和要求编制，或提供虚假材料的；</w:t>
      </w:r>
    </w:p>
    <w:p>
      <w:pPr>
        <w:keepNext w:val="0"/>
        <w:keepLines w:val="0"/>
        <w:pageBreakBefore w:val="0"/>
        <w:widowControl w:val="0"/>
        <w:kinsoku/>
        <w:wordWrap w:val="0"/>
        <w:overflowPunct/>
        <w:topLinePunct w:val="0"/>
        <w:autoSpaceDE/>
        <w:autoSpaceDN/>
        <w:bidi w:val="0"/>
        <w:adjustRightInd/>
        <w:snapToGrid w:val="0"/>
        <w:spacing w:line="360" w:lineRule="exact"/>
        <w:ind w:firstLine="420" w:firstLineChars="200"/>
        <w:textAlignment w:val="auto"/>
        <w:outlineLvl w:val="4"/>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）投标人未就“采购需求”</w:t>
      </w:r>
      <w:r>
        <w:rPr>
          <w:rFonts w:hint="eastAsia" w:ascii="宋体" w:hAnsi="宋体" w:cs="宋体"/>
          <w:color w:val="000000"/>
          <w:szCs w:val="21"/>
          <w:highlight w:val="none"/>
        </w:rPr>
        <w:t>中的所有内容作完整唯一报价的</w:t>
      </w:r>
      <w:r>
        <w:rPr>
          <w:rFonts w:hint="eastAsia" w:ascii="宋体" w:hAnsi="宋体" w:cs="宋体"/>
          <w:color w:val="000000"/>
          <w:highlight w:val="none"/>
        </w:rPr>
        <w:t>；</w:t>
      </w:r>
    </w:p>
    <w:p>
      <w:pPr>
        <w:snapToGrid w:val="0"/>
        <w:spacing w:line="360" w:lineRule="exact"/>
        <w:ind w:firstLine="411" w:firstLineChars="196"/>
        <w:rPr>
          <w:rFonts w:ascii="宋体" w:hAnsi="宋体" w:cs="宋体"/>
          <w:color w:val="000000"/>
          <w:szCs w:val="21"/>
          <w:highlight w:val="none"/>
        </w:rPr>
      </w:pPr>
      <w:r>
        <w:rPr>
          <w:rFonts w:hint="eastAsia" w:ascii="宋体" w:hAnsi="宋体" w:cs="宋体"/>
          <w:color w:val="000000"/>
          <w:szCs w:val="21"/>
          <w:highlight w:val="none"/>
        </w:rPr>
        <w:t>（7）未完全响应招标文件实质性要求的；</w:t>
      </w:r>
    </w:p>
    <w:p>
      <w:pPr>
        <w:spacing w:line="360" w:lineRule="exact"/>
        <w:ind w:firstLine="420" w:firstLineChars="200"/>
        <w:rPr>
          <w:rFonts w:ascii="宋体" w:hAnsi="宋体" w:cs="宋体"/>
          <w:color w:val="000000"/>
          <w:szCs w:val="21"/>
          <w:highlight w:val="none"/>
        </w:rPr>
      </w:pPr>
      <w:r>
        <w:rPr>
          <w:rFonts w:hint="eastAsia" w:ascii="宋体" w:hAnsi="宋体" w:cs="宋体"/>
          <w:color w:val="000000"/>
          <w:szCs w:val="21"/>
          <w:highlight w:val="none"/>
        </w:rPr>
        <w:t>（8）法律、法规和招标文件规定的其他无效情形。</w:t>
      </w:r>
    </w:p>
    <w:p>
      <w:pPr>
        <w:keepNext w:val="0"/>
        <w:keepLines w:val="0"/>
        <w:pageBreakBefore w:val="0"/>
        <w:widowControl w:val="0"/>
        <w:kinsoku/>
        <w:wordWrap w:val="0"/>
        <w:overflowPunct/>
        <w:topLinePunct w:val="0"/>
        <w:autoSpaceDE/>
        <w:autoSpaceDN/>
        <w:bidi w:val="0"/>
        <w:adjustRightIn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28.</w:t>
      </w:r>
      <w:r>
        <w:rPr>
          <w:rFonts w:hint="eastAsia" w:ascii="宋体" w:hAnsi="宋体" w:eastAsia="宋体" w:cs="宋体"/>
          <w:b/>
          <w:sz w:val="21"/>
          <w:szCs w:val="21"/>
          <w:highlight w:val="none"/>
          <w:lang w:val="en-US" w:eastAsia="zh-CN"/>
        </w:rPr>
        <w:t xml:space="preserve"> 投标人有下列情形之一的，视为串通投标，投标文件将被视为无效</w:t>
      </w:r>
      <w:r>
        <w:rPr>
          <w:rFonts w:hint="eastAsia" w:ascii="宋体" w:hAnsi="宋体" w:eastAsia="宋体" w:cs="宋体"/>
          <w:b/>
          <w:sz w:val="21"/>
          <w:szCs w:val="21"/>
          <w:highlight w:val="none"/>
        </w:rPr>
        <w:t>：</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（1）不同投标人的投标文件由同一单位或者个人编制；</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（2）不同投标人委托同一单位或者个人办理投标事宜；</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（3）不同的投标人的投标文件载明的项目管理员或者联系人员为同一个人；</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（4）不同投标人的投标文件异常一致或投标报价呈规律性差异； </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（5）不同投标人的投标文件相互混编。</w:t>
      </w:r>
    </w:p>
    <w:p>
      <w:pPr>
        <w:keepNext w:val="0"/>
        <w:keepLines w:val="0"/>
        <w:pageBreakBefore w:val="0"/>
        <w:widowControl w:val="0"/>
        <w:kinsoku/>
        <w:wordWrap w:val="0"/>
        <w:overflowPunct/>
        <w:topLinePunct w:val="0"/>
        <w:autoSpaceDE/>
        <w:autoSpaceDN/>
        <w:bidi w:val="0"/>
        <w:adjustRightIn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29. 属于下列情形之一的，应予废标：</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（1）符合专业条件的供应商或者对招标文件作实质响应的供应商不足3家的；</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（2）出现影响采购公正的违法、违规行为的；</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（3）采购文件内容违反国家有关强制性规定的；</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（4）因重大变故，采购任务取消的。</w:t>
      </w:r>
    </w:p>
    <w:p>
      <w:pPr>
        <w:keepNext w:val="0"/>
        <w:keepLines w:val="0"/>
        <w:pageBreakBefore w:val="0"/>
        <w:widowControl w:val="0"/>
        <w:kinsoku/>
        <w:wordWrap w:val="0"/>
        <w:overflowPunct/>
        <w:topLinePunct w:val="0"/>
        <w:autoSpaceDE/>
        <w:autoSpaceDN/>
        <w:bidi w:val="0"/>
        <w:adjustRightInd/>
        <w:spacing w:line="360" w:lineRule="exact"/>
        <w:ind w:firstLine="422" w:firstLineChars="200"/>
        <w:textAlignment w:val="auto"/>
        <w:rPr>
          <w:rFonts w:hint="eastAsia" w:ascii="宋体" w:hAnsi="宋体" w:eastAsia="宋体" w:cs="宋体"/>
          <w:sz w:val="21"/>
          <w:szCs w:val="21"/>
          <w:highlight w:val="none"/>
        </w:rPr>
      </w:pPr>
      <w:r>
        <w:rPr>
          <w:rFonts w:hint="eastAsia" w:ascii="宋体" w:hAnsi="宋体" w:eastAsia="宋体" w:cs="宋体"/>
          <w:b/>
          <w:sz w:val="21"/>
          <w:szCs w:val="21"/>
          <w:highlight w:val="none"/>
        </w:rPr>
        <w:t>30. 开标、评标过程的监控</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本项目开标、评标过程实行全程录音、录像监控，投标人在评标过程中所进行的试图影响评标结果的不公正活动，可能导致其投标被拒绝。</w:t>
      </w:r>
    </w:p>
    <w:p>
      <w:pPr>
        <w:keepNext w:val="0"/>
        <w:keepLines w:val="0"/>
        <w:pageBreakBefore w:val="0"/>
        <w:widowControl w:val="0"/>
        <w:kinsoku/>
        <w:wordWrap w:val="0"/>
        <w:overflowPunct/>
        <w:topLinePunct w:val="0"/>
        <w:autoSpaceDE/>
        <w:autoSpaceDN/>
        <w:bidi w:val="0"/>
        <w:adjustRightIn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31. 信用查询</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根据《关于做好政府采购有关信用主体标识码登记及在政府采购活动中查询使用信用记录有关问题的通知》桂财采〔2016〕37号的通知，中标通知书发出前，由采购代理机构对第一中标候选供应商进行信用查询：</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⑴查询渠道：“信用中国”网站(www.creditchina.gov.cn)、中国政府采购网(www.ccgp.gov.cn)等；</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⑵查询截止时间：中标通知书发出前；</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⑶信用信息查询记录和证据留存方式：在查询网站中直接打印查询记录，打印材料作为采购活动资料保存；</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中标候选供应商资格。</w:t>
      </w:r>
    </w:p>
    <w:p>
      <w:pPr>
        <w:keepNext w:val="0"/>
        <w:keepLines w:val="0"/>
        <w:pageBreakBefore w:val="0"/>
        <w:widowControl w:val="0"/>
        <w:kinsoku/>
        <w:wordWrap w:val="0"/>
        <w:overflowPunct/>
        <w:topLinePunct w:val="0"/>
        <w:autoSpaceDE/>
        <w:autoSpaceDN/>
        <w:bidi w:val="0"/>
        <w:adjustRightIn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32. 中标公告及中标通知书</w:t>
      </w:r>
    </w:p>
    <w:p>
      <w:pPr>
        <w:keepNext w:val="0"/>
        <w:keepLines w:val="0"/>
        <w:pageBreakBefore w:val="0"/>
        <w:widowControl w:val="0"/>
        <w:tabs>
          <w:tab w:val="left" w:pos="455"/>
        </w:tabs>
        <w:kinsoku/>
        <w:wordWrap w:val="0"/>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32.1采购代理机构于评标结束后两个工作日内将评标报告送交采购人，采购人应当自收到评标报告五个工作日内在评标报告推荐的中标候选供应商中按顺序确定中标供应商；采购代理机构在中标供应商确定之日起两个工作日内在指定媒体上公告中标结果，中标公告期限为一个工作日。</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32.2中标公告发布的同时，采购代理机构向中标供应商发出中标通知书，中标供应商应自接到通知之日起七个工作日内，办理中标通知书领取手续。</w:t>
      </w:r>
    </w:p>
    <w:p>
      <w:pPr>
        <w:tabs>
          <w:tab w:val="left" w:pos="1140"/>
        </w:tabs>
        <w:wordWrap w:val="0"/>
        <w:spacing w:line="360" w:lineRule="exact"/>
        <w:ind w:left="420" w:leftChars="200"/>
        <w:jc w:val="center"/>
        <w:rPr>
          <w:rFonts w:ascii="宋体" w:hAnsi="宋体"/>
          <w:b/>
          <w:sz w:val="24"/>
          <w:highlight w:val="none"/>
        </w:rPr>
      </w:pPr>
    </w:p>
    <w:p>
      <w:pPr>
        <w:tabs>
          <w:tab w:val="left" w:pos="1140"/>
        </w:tabs>
        <w:wordWrap w:val="0"/>
        <w:spacing w:line="360" w:lineRule="exact"/>
        <w:jc w:val="center"/>
        <w:rPr>
          <w:rFonts w:hint="eastAsia" w:ascii="宋体" w:hAnsi="宋体"/>
          <w:b/>
          <w:sz w:val="28"/>
          <w:szCs w:val="28"/>
          <w:highlight w:val="none"/>
        </w:rPr>
      </w:pPr>
      <w:r>
        <w:rPr>
          <w:rFonts w:hint="eastAsia" w:ascii="宋体" w:hAnsi="宋体"/>
          <w:b/>
          <w:sz w:val="28"/>
          <w:szCs w:val="28"/>
          <w:highlight w:val="none"/>
        </w:rPr>
        <w:t>七、履约保证金及签订合同</w:t>
      </w:r>
    </w:p>
    <w:p>
      <w:pPr>
        <w:keepNext w:val="0"/>
        <w:keepLines w:val="0"/>
        <w:pageBreakBefore w:val="0"/>
        <w:widowControl w:val="0"/>
        <w:tabs>
          <w:tab w:val="left" w:pos="1305"/>
        </w:tabs>
        <w:kinsoku/>
        <w:wordWrap w:val="0"/>
        <w:overflowPunct/>
        <w:topLinePunct w:val="0"/>
        <w:autoSpaceDE/>
        <w:autoSpaceDN/>
        <w:bidi w:val="0"/>
        <w:adjustRightInd/>
        <w:spacing w:line="360" w:lineRule="exact"/>
        <w:ind w:left="0" w:leftChars="0" w:firstLine="422" w:firstLineChars="200"/>
        <w:textAlignment w:val="auto"/>
        <w:rPr>
          <w:rFonts w:hint="eastAsia" w:ascii="宋体" w:hAnsi="宋体" w:eastAsia="宋体" w:cs="宋体"/>
          <w:sz w:val="21"/>
          <w:szCs w:val="21"/>
          <w:highlight w:val="none"/>
        </w:rPr>
      </w:pPr>
      <w:r>
        <w:rPr>
          <w:rFonts w:hint="eastAsia" w:ascii="宋体" w:hAnsi="宋体" w:eastAsia="宋体" w:cs="宋体"/>
          <w:b/>
          <w:sz w:val="21"/>
          <w:szCs w:val="21"/>
          <w:highlight w:val="none"/>
        </w:rPr>
        <w:t>33. 履约保证金</w:t>
      </w:r>
    </w:p>
    <w:p>
      <w:pPr>
        <w:keepNext w:val="0"/>
        <w:keepLines w:val="0"/>
        <w:pageBreakBefore w:val="0"/>
        <w:widowControl w:val="0"/>
        <w:kinsoku/>
        <w:wordWrap w:val="0"/>
        <w:overflowPunct/>
        <w:topLinePunct w:val="0"/>
        <w:autoSpaceDE/>
        <w:autoSpaceDN/>
        <w:bidi w:val="0"/>
        <w:adjustRightInd/>
        <w:snapToGrid w:val="0"/>
        <w:spacing w:line="360" w:lineRule="exact"/>
        <w:ind w:left="0" w:leftChars="0" w:firstLine="420" w:firstLineChars="200"/>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33.1</w:t>
      </w:r>
      <w:r>
        <w:rPr>
          <w:rFonts w:hint="eastAsia" w:ascii="宋体" w:hAnsi="宋体" w:eastAsia="宋体" w:cs="宋体"/>
          <w:sz w:val="21"/>
          <w:szCs w:val="21"/>
          <w:highlight w:val="none"/>
        </w:rPr>
        <w:t>履约保证金金额为贰佰万元整（¥2000000.00元）。履约保证金的提交形式可以采用银行保函、现金、保证保险保函、工程担保保函等形式。中标人须在签订合同后20日内向采购人提交履约保证金，履约保证金的有效期必须涵盖项目建设期、节能服务期、最终移交期等合同全阶段。除现金形式外，其他提交形式应以1至3年为一个周期提交保证材料，在该周期结束前3个月内应提交下一周期的保证材料直至服务移交期结束。如未按要求提交履约保证金的，采购人可取消其中标资格或终止合同。</w:t>
      </w:r>
    </w:p>
    <w:p>
      <w:pPr>
        <w:keepNext w:val="0"/>
        <w:keepLines w:val="0"/>
        <w:pageBreakBefore w:val="0"/>
        <w:widowControl w:val="0"/>
        <w:kinsoku/>
        <w:wordWrap w:val="0"/>
        <w:overflowPunct/>
        <w:topLinePunct w:val="0"/>
        <w:autoSpaceDE/>
        <w:autoSpaceDN/>
        <w:bidi w:val="0"/>
        <w:adjustRightInd/>
        <w:snapToGrid w:val="0"/>
        <w:spacing w:line="360" w:lineRule="exact"/>
        <w:ind w:left="0"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根据《广西壮族自治区人民政府办公厅关于印发广西保障中小企业款项支付工作方案的通知》（桂政办发〔2020〕89号）文件要求，免收小微企业履约保证金。</w:t>
      </w:r>
    </w:p>
    <w:p>
      <w:pPr>
        <w:keepNext w:val="0"/>
        <w:keepLines w:val="0"/>
        <w:pageBreakBefore w:val="0"/>
        <w:widowControl w:val="0"/>
        <w:kinsoku/>
        <w:wordWrap w:val="0"/>
        <w:overflowPunct/>
        <w:topLinePunct w:val="0"/>
        <w:autoSpaceDE/>
        <w:autoSpaceDN/>
        <w:bidi w:val="0"/>
        <w:adjustRightInd/>
        <w:spacing w:line="360" w:lineRule="exact"/>
        <w:ind w:left="0"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33.2如果中标供应商没能按上述第33.1款规定执行，采购人将上报同级政府采购监督管理机构，取消该中标资格，并有权授予第二中标候选供应商为中标供应商资格或重新组织招标。</w:t>
      </w:r>
    </w:p>
    <w:p>
      <w:pPr>
        <w:keepNext w:val="0"/>
        <w:keepLines w:val="0"/>
        <w:pageBreakBefore w:val="0"/>
        <w:widowControl w:val="0"/>
        <w:kinsoku/>
        <w:wordWrap w:val="0"/>
        <w:overflowPunct/>
        <w:topLinePunct w:val="0"/>
        <w:autoSpaceDE/>
        <w:autoSpaceDN/>
        <w:bidi w:val="0"/>
        <w:adjustRightInd/>
        <w:spacing w:line="360" w:lineRule="exact"/>
        <w:ind w:left="0"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33.3项目验收合格后，中标供应商《政府采购项目合同验收报告》（附表3）、《政府采购项目履约保证金退付意见书》（附表4）和履约保证金凭证向采购人申请办理退还手续，采购人不得额外要求供应商提交其他证明材料，并应当自收到退还资料之日起5个工作日内退还其履约保证金（无息）。如中标供应商不按双方签订的合同规定履约，则没收其全部履约保证金，履约保证金不足以赔偿损失的，按实际损失赔偿。</w:t>
      </w:r>
    </w:p>
    <w:p>
      <w:pPr>
        <w:keepNext w:val="0"/>
        <w:keepLines w:val="0"/>
        <w:pageBreakBefore w:val="0"/>
        <w:widowControl w:val="0"/>
        <w:kinsoku/>
        <w:wordWrap w:val="0"/>
        <w:overflowPunct/>
        <w:topLinePunct w:val="0"/>
        <w:autoSpaceDE/>
        <w:autoSpaceDN/>
        <w:bidi w:val="0"/>
        <w:adjustRightInd/>
        <w:spacing w:line="360" w:lineRule="exact"/>
        <w:ind w:left="0"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33.4在履约保证金到期退还前，若中标供应商的开户名称、开户银行、账号有变动的，以书面形式通知采购人，否则由此产生的后果由中标供应商自负。</w:t>
      </w:r>
    </w:p>
    <w:p>
      <w:pPr>
        <w:keepNext w:val="0"/>
        <w:keepLines w:val="0"/>
        <w:pageBreakBefore w:val="0"/>
        <w:widowControl w:val="0"/>
        <w:tabs>
          <w:tab w:val="left" w:pos="1140"/>
        </w:tabs>
        <w:kinsoku/>
        <w:wordWrap w:val="0"/>
        <w:overflowPunct/>
        <w:topLinePunct w:val="0"/>
        <w:autoSpaceDE/>
        <w:autoSpaceDN/>
        <w:bidi w:val="0"/>
        <w:adjustRightInd/>
        <w:spacing w:line="360" w:lineRule="exact"/>
        <w:ind w:left="0" w:leftChars="0"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34. 签订合同</w:t>
      </w:r>
    </w:p>
    <w:p>
      <w:pPr>
        <w:keepNext w:val="0"/>
        <w:keepLines w:val="0"/>
        <w:pageBreakBefore w:val="0"/>
        <w:widowControl w:val="0"/>
        <w:kinsoku/>
        <w:wordWrap w:val="0"/>
        <w:overflowPunct/>
        <w:topLinePunct w:val="0"/>
        <w:autoSpaceDE/>
        <w:autoSpaceDN/>
        <w:bidi w:val="0"/>
        <w:adjustRightInd/>
        <w:spacing w:line="360" w:lineRule="exact"/>
        <w:ind w:left="0"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34.1签订合同时间：中标通知书发出之日起8个工作日内。中标人领取中标通知书后，应按规定与采购人签订合同。</w:t>
      </w:r>
    </w:p>
    <w:p>
      <w:pPr>
        <w:keepNext w:val="0"/>
        <w:keepLines w:val="0"/>
        <w:pageBreakBefore w:val="0"/>
        <w:widowControl w:val="0"/>
        <w:kinsoku/>
        <w:wordWrap w:val="0"/>
        <w:overflowPunct/>
        <w:topLinePunct w:val="0"/>
        <w:autoSpaceDE/>
        <w:autoSpaceDN/>
        <w:bidi w:val="0"/>
        <w:adjustRightInd/>
        <w:spacing w:line="360" w:lineRule="exact"/>
        <w:ind w:left="0"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34.2如中标供应商有下列情形之一的，情节严重的，由财政部门将其列入不良行为记录名单，在一至三年内禁止参加政府采购活动，并予以通报。采购人可从评标委员会推荐的中标候选供应商中按顺序重新确定中标供应商或重新组织招标。</w:t>
      </w:r>
    </w:p>
    <w:p>
      <w:pPr>
        <w:keepNext w:val="0"/>
        <w:keepLines w:val="0"/>
        <w:pageBreakBefore w:val="0"/>
        <w:widowControl w:val="0"/>
        <w:kinsoku/>
        <w:wordWrap w:val="0"/>
        <w:overflowPunct/>
        <w:topLinePunct w:val="0"/>
        <w:autoSpaceDE/>
        <w:autoSpaceDN/>
        <w:bidi w:val="0"/>
        <w:adjustRightInd/>
        <w:spacing w:line="360" w:lineRule="exact"/>
        <w:ind w:left="0"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（1）中标后不与采购人签订合同的（不可抗力除外）；</w:t>
      </w:r>
    </w:p>
    <w:p>
      <w:pPr>
        <w:keepNext w:val="0"/>
        <w:keepLines w:val="0"/>
        <w:pageBreakBefore w:val="0"/>
        <w:widowControl w:val="0"/>
        <w:kinsoku/>
        <w:wordWrap w:val="0"/>
        <w:overflowPunct/>
        <w:topLinePunct w:val="0"/>
        <w:autoSpaceDE/>
        <w:autoSpaceDN/>
        <w:bidi w:val="0"/>
        <w:adjustRightInd/>
        <w:spacing w:line="360" w:lineRule="exact"/>
        <w:ind w:left="0"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（2）将中标项目转让给他人，或者在投标文件中未说明，且未经采购人同意，将中标项目分包给他人的；</w:t>
      </w:r>
    </w:p>
    <w:p>
      <w:pPr>
        <w:keepNext w:val="0"/>
        <w:keepLines w:val="0"/>
        <w:pageBreakBefore w:val="0"/>
        <w:widowControl w:val="0"/>
        <w:kinsoku/>
        <w:wordWrap w:val="0"/>
        <w:overflowPunct/>
        <w:topLinePunct w:val="0"/>
        <w:autoSpaceDE/>
        <w:autoSpaceDN/>
        <w:bidi w:val="0"/>
        <w:adjustRightInd/>
        <w:spacing w:line="360" w:lineRule="exact"/>
        <w:ind w:left="0"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（3）拒绝履行合同义务的。</w:t>
      </w:r>
    </w:p>
    <w:p>
      <w:pPr>
        <w:keepNext w:val="0"/>
        <w:keepLines w:val="0"/>
        <w:pageBreakBefore w:val="0"/>
        <w:widowControl w:val="0"/>
        <w:kinsoku/>
        <w:wordWrap w:val="0"/>
        <w:overflowPunct/>
        <w:topLinePunct w:val="0"/>
        <w:autoSpaceDE/>
        <w:autoSpaceDN/>
        <w:bidi w:val="0"/>
        <w:adjustRightInd/>
        <w:spacing w:line="360" w:lineRule="exact"/>
        <w:ind w:left="0" w:lef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34.3合同备案存档：政府采购合同双方自签订之日起1个工作日内将合同原件</w:t>
      </w:r>
      <w:r>
        <w:rPr>
          <w:rFonts w:hint="eastAsia" w:ascii="宋体" w:hAnsi="宋体" w:cs="宋体"/>
          <w:sz w:val="21"/>
          <w:szCs w:val="21"/>
          <w:highlight w:val="none"/>
          <w:lang w:val="en-US" w:eastAsia="zh-CN"/>
        </w:rPr>
        <w:t>1</w:t>
      </w:r>
      <w:r>
        <w:rPr>
          <w:rFonts w:hint="eastAsia" w:ascii="宋体" w:hAnsi="宋体" w:eastAsia="宋体" w:cs="宋体"/>
          <w:sz w:val="21"/>
          <w:szCs w:val="21"/>
          <w:highlight w:val="none"/>
        </w:rPr>
        <w:t>份交采购代理机构，采购代理机构收到政府采购合同原件后在省级以上人民政府财政部门指定媒体上公告。</w:t>
      </w:r>
    </w:p>
    <w:p>
      <w:pPr>
        <w:wordWrap w:val="0"/>
        <w:spacing w:line="360" w:lineRule="exact"/>
        <w:ind w:left="3"/>
        <w:jc w:val="center"/>
        <w:rPr>
          <w:rFonts w:ascii="宋体" w:hAnsi="宋体"/>
          <w:b/>
          <w:sz w:val="24"/>
          <w:highlight w:val="none"/>
        </w:rPr>
      </w:pPr>
    </w:p>
    <w:p>
      <w:pPr>
        <w:wordWrap w:val="0"/>
        <w:spacing w:line="360" w:lineRule="exact"/>
        <w:jc w:val="center"/>
        <w:rPr>
          <w:rFonts w:hint="eastAsia" w:ascii="宋体" w:hAnsi="宋体"/>
          <w:b/>
          <w:sz w:val="28"/>
          <w:szCs w:val="28"/>
          <w:highlight w:val="none"/>
        </w:rPr>
      </w:pPr>
      <w:r>
        <w:rPr>
          <w:rFonts w:hint="eastAsia" w:ascii="宋体" w:hAnsi="宋体"/>
          <w:b/>
          <w:sz w:val="28"/>
          <w:szCs w:val="28"/>
          <w:highlight w:val="none"/>
        </w:rPr>
        <w:t>八、其他事项</w:t>
      </w:r>
    </w:p>
    <w:p>
      <w:pPr>
        <w:keepNext w:val="0"/>
        <w:keepLines w:val="0"/>
        <w:pageBreakBefore w:val="0"/>
        <w:widowControl w:val="0"/>
        <w:kinsoku/>
        <w:wordWrap w:val="0"/>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35. 招标代理服务费</w:t>
      </w:r>
    </w:p>
    <w:p>
      <w:pPr>
        <w:keepNext w:val="0"/>
        <w:keepLines w:val="0"/>
        <w:pageBreakBefore w:val="0"/>
        <w:widowControl w:val="0"/>
        <w:kinsoku/>
        <w:wordWrap w:val="0"/>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中标供应商领取中标通知书前，向</w:t>
      </w:r>
      <w:r>
        <w:rPr>
          <w:rFonts w:hint="eastAsia" w:ascii="宋体" w:hAnsi="宋体" w:eastAsia="宋体" w:cs="宋体"/>
          <w:color w:val="000000"/>
          <w:sz w:val="21"/>
          <w:szCs w:val="21"/>
          <w:highlight w:val="none"/>
          <w:lang w:eastAsia="zh-CN"/>
        </w:rPr>
        <w:t>广西江之源项目管理有限公司</w:t>
      </w:r>
      <w:r>
        <w:rPr>
          <w:rFonts w:hint="eastAsia" w:ascii="宋体" w:hAnsi="宋体" w:eastAsia="宋体" w:cs="宋体"/>
          <w:color w:val="000000"/>
          <w:sz w:val="21"/>
          <w:szCs w:val="21"/>
          <w:highlight w:val="none"/>
        </w:rPr>
        <w:t>一次性付清招标代理服务费，本项目的招标代理服务收费标准参照计价格〔2002〕1980号《招标代理服务收费管理暂行办法》</w:t>
      </w:r>
      <w:r>
        <w:rPr>
          <w:rFonts w:hint="eastAsia" w:ascii="宋体" w:hAnsi="宋体" w:eastAsia="宋体" w:cs="宋体"/>
          <w:color w:val="000000"/>
          <w:sz w:val="21"/>
          <w:szCs w:val="21"/>
          <w:highlight w:val="none"/>
          <w:lang w:eastAsia="zh-CN"/>
        </w:rPr>
        <w:t>服务</w:t>
      </w:r>
      <w:r>
        <w:rPr>
          <w:rFonts w:hint="eastAsia" w:ascii="宋体" w:hAnsi="宋体" w:eastAsia="宋体" w:cs="宋体"/>
          <w:color w:val="000000"/>
          <w:sz w:val="21"/>
          <w:szCs w:val="21"/>
          <w:highlight w:val="none"/>
        </w:rPr>
        <w:t>类收费标准</w:t>
      </w:r>
      <w:r>
        <w:rPr>
          <w:rFonts w:hint="eastAsia" w:ascii="宋体" w:hAnsi="宋体" w:eastAsia="宋体" w:cs="宋体"/>
          <w:sz w:val="21"/>
          <w:szCs w:val="21"/>
          <w:highlight w:val="none"/>
        </w:rPr>
        <w:t>（代理服务费不足人民币</w:t>
      </w:r>
      <w:r>
        <w:rPr>
          <w:rFonts w:hint="eastAsia" w:ascii="宋体" w:hAnsi="宋体" w:eastAsia="宋体" w:cs="宋体"/>
          <w:sz w:val="21"/>
          <w:szCs w:val="21"/>
          <w:highlight w:val="none"/>
          <w:lang w:eastAsia="zh-CN"/>
        </w:rPr>
        <w:t>伍</w:t>
      </w:r>
      <w:r>
        <w:rPr>
          <w:rFonts w:hint="eastAsia" w:ascii="宋体" w:hAnsi="宋体" w:eastAsia="宋体" w:cs="宋体"/>
          <w:sz w:val="21"/>
          <w:szCs w:val="21"/>
          <w:highlight w:val="none"/>
        </w:rPr>
        <w:t>仟元时，按</w:t>
      </w:r>
      <w:r>
        <w:rPr>
          <w:rFonts w:hint="eastAsia" w:ascii="宋体" w:hAnsi="宋体" w:eastAsia="宋体" w:cs="宋体"/>
          <w:sz w:val="21"/>
          <w:szCs w:val="21"/>
          <w:highlight w:val="none"/>
          <w:lang w:eastAsia="zh-CN"/>
        </w:rPr>
        <w:t>伍</w:t>
      </w:r>
      <w:r>
        <w:rPr>
          <w:rFonts w:hint="eastAsia" w:ascii="宋体" w:hAnsi="宋体" w:eastAsia="宋体" w:cs="宋体"/>
          <w:sz w:val="21"/>
          <w:szCs w:val="21"/>
          <w:highlight w:val="none"/>
        </w:rPr>
        <w:t>仟元收取）</w:t>
      </w:r>
      <w:r>
        <w:rPr>
          <w:rFonts w:hint="eastAsia" w:ascii="宋体" w:hAnsi="宋体" w:eastAsia="宋体" w:cs="宋体"/>
          <w:color w:val="000000"/>
          <w:sz w:val="21"/>
          <w:szCs w:val="21"/>
          <w:highlight w:val="none"/>
        </w:rPr>
        <w:t>向中标供应商收取。</w:t>
      </w:r>
    </w:p>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招标代理服务收费标准</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7"/>
        <w:gridCol w:w="198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2647" w:type="dxa"/>
            <w:noWrap w:val="0"/>
            <w:vAlign w:val="top"/>
          </w:tcPr>
          <w:p>
            <w:pPr>
              <w:keepNext w:val="0"/>
              <w:keepLines w:val="0"/>
              <w:pageBreakBefore w:val="0"/>
              <w:widowControl w:val="0"/>
              <w:kinsoku/>
              <w:wordWrap w:val="0"/>
              <w:overflowPunct/>
              <w:topLinePunct w:val="0"/>
              <w:autoSpaceDE/>
              <w:autoSpaceDN/>
              <w:bidi w:val="0"/>
              <w:adjustRightInd/>
              <w:spacing w:line="360" w:lineRule="exact"/>
              <w:ind w:firstLine="1484" w:firstLineChars="707"/>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-6350</wp:posOffset>
                      </wp:positionV>
                      <wp:extent cx="1262380" cy="1377315"/>
                      <wp:effectExtent l="3810" t="3175" r="10160" b="10160"/>
                      <wp:wrapNone/>
                      <wp:docPr id="2" name="直接连接符 2"/>
                      <wp:cNvGraphicFramePr/>
                      <a:graphic xmlns:a="http://schemas.openxmlformats.org/drawingml/2006/main">
                        <a:graphicData uri="http://schemas.microsoft.com/office/word/2010/wordprocessingShape">
                          <wps:wsp>
                            <wps:cNvCnPr/>
                            <wps:spPr>
                              <a:xfrm flipH="1" flipV="1">
                                <a:off x="0" y="0"/>
                                <a:ext cx="1262380" cy="13773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27pt;margin-top:-0.5pt;height:108.45pt;width:99.4pt;z-index:251662336;mso-width-relative:page;mso-height-relative:page;" filled="f" stroked="t" coordsize="21600,21600" o:gfxdata="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aRZjb1QAAAAkBAAAPAAAAAAAAAAEAIAAAACIAAABkcnMv&#10;ZG93bnJldi54bWxQSwECFAAUAAAACACHTuJAza6aHgYCAAD+AwAADgAAAAAAAAABACAAAAAkAQAA&#10;ZHJzL2Uyb0RvYy54bWxQSwUGAAAAAAYABgBZAQAAnAUAAAAA&#10;">
                      <v:fill on="f" focussize="0,0"/>
                      <v:stroke color="#000000" joinstyle="round"/>
                      <v:imagedata o:title=""/>
                      <o:lock v:ext="edit" aspectratio="f"/>
                    </v:line>
                  </w:pict>
                </mc:Fallback>
              </mc:AlternateContent>
            </w:r>
            <w:r>
              <w:rPr>
                <w:rFonts w:hint="eastAsia" w:ascii="宋体" w:hAnsi="宋体" w:eastAsia="宋体" w:cs="宋体"/>
                <w:bCs/>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-6350</wp:posOffset>
                      </wp:positionV>
                      <wp:extent cx="635" cy="0"/>
                      <wp:effectExtent l="0" t="4445" r="0" b="508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0.5pt;height:0pt;width:0.05pt;z-index:251660288;mso-width-relative:page;mso-height-relative:page;" filled="f" stroked="t" coordsize="21600,21600"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uR037VAAAACQEAAA8AAAAAAAAAAQAgAAAAIgAAAGRycy9kb3ducmV2LnhtbFBLAQIUABQAAAAI&#10;AIdO4kB4327X8AEAAOADAAAOAAAAAAAAAAEAIAAAACQBAABkcnMvZTJvRG9jLnhtbFBLBQYAAAAA&#10;BgAGAFkBAACGBQAAAAA=&#10;">
                      <v:fill on="f" focussize="0,0"/>
                      <v:stroke color="#000000" joinstyle="round"/>
                      <v:imagedata o:title=""/>
                      <o:lock v:ext="edit" aspectratio="f"/>
                    </v:line>
                  </w:pict>
                </mc:Fallback>
              </mc:AlternateContent>
            </w:r>
            <w:r>
              <w:rPr>
                <w:rFonts w:hint="eastAsia" w:ascii="宋体" w:hAnsi="宋体" w:eastAsia="宋体" w:cs="宋体"/>
                <w:bCs/>
                <w:sz w:val="21"/>
                <w:szCs w:val="21"/>
                <w:highlight w:val="none"/>
              </w:rPr>
              <w:t>服</w:t>
            </w:r>
          </w:p>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费　　　　　务</w:t>
            </w:r>
          </w:p>
          <w:p>
            <w:pPr>
              <w:keepNext w:val="0"/>
              <w:keepLines w:val="0"/>
              <w:pageBreakBefore w:val="0"/>
              <w:widowControl w:val="0"/>
              <w:kinsoku/>
              <w:wordWrap w:val="0"/>
              <w:overflowPunct/>
              <w:topLinePunct w:val="0"/>
              <w:autoSpaceDE/>
              <w:autoSpaceDN/>
              <w:bidi w:val="0"/>
              <w:adjustRightInd/>
              <w:spacing w:line="360" w:lineRule="exact"/>
              <w:ind w:firstLine="1050" w:firstLineChars="5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mc:AlternateContent>
                <mc:Choice Requires="wps">
                  <w:drawing>
                    <wp:anchor distT="0" distB="0" distL="114300" distR="114300" simplePos="0" relativeHeight="251661312" behindDoc="0" locked="0" layoutInCell="1" allowOverlap="1">
                      <wp:simplePos x="0" y="0"/>
                      <wp:positionH relativeFrom="column">
                        <wp:posOffset>-84455</wp:posOffset>
                      </wp:positionH>
                      <wp:positionV relativeFrom="paragraph">
                        <wp:posOffset>90805</wp:posOffset>
                      </wp:positionV>
                      <wp:extent cx="1689735" cy="822960"/>
                      <wp:effectExtent l="1905" t="4445" r="3810" b="10795"/>
                      <wp:wrapNone/>
                      <wp:docPr id="3" name="直接连接符 3"/>
                      <wp:cNvGraphicFramePr/>
                      <a:graphic xmlns:a="http://schemas.openxmlformats.org/drawingml/2006/main">
                        <a:graphicData uri="http://schemas.microsoft.com/office/word/2010/wordprocessingShape">
                          <wps:wsp>
                            <wps:cNvCnPr/>
                            <wps:spPr>
                              <a:xfrm flipH="1" flipV="1">
                                <a:off x="0" y="0"/>
                                <a:ext cx="1689735" cy="8229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6.65pt;margin-top:7.15pt;height:64.8pt;width:133.05pt;z-index:251661312;mso-width-relative:page;mso-height-relative:page;" filled="f" stroked="t" coordsize="21600,21600" o:gfxdata="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Rsp1tQAAAAKAQAADwAAAAAAAAABACAAAAAiAAAAZHJz&#10;L2Rvd25yZXYueG1sUEsBAhQAFAAAAAgAh07iQHlnaR8IAgAA/QMAAA4AAAAAAAAAAQAgAAAAIwEA&#10;AGRycy9lMm9Eb2MueG1sUEsFBgAAAAAGAAYAWQEAAJ0FAAAAAA==&#10;">
                      <v:fill on="f" focussize="0,0"/>
                      <v:stroke color="#000000" joinstyle="round"/>
                      <v:imagedata o:title=""/>
                      <o:lock v:ext="edit" aspectratio="f"/>
                    </v:line>
                  </w:pict>
                </mc:Fallback>
              </mc:AlternateContent>
            </w:r>
            <w:r>
              <w:rPr>
                <w:rFonts w:hint="eastAsia" w:ascii="宋体" w:hAnsi="宋体" w:eastAsia="宋体" w:cs="宋体"/>
                <w:bCs/>
                <w:sz w:val="21"/>
                <w:szCs w:val="21"/>
                <w:highlight w:val="none"/>
              </w:rPr>
              <w:t>　　　</w:t>
            </w:r>
            <w:r>
              <w:rPr>
                <w:rFonts w:hint="eastAsia" w:ascii="宋体" w:hAnsi="宋体" w:eastAsia="宋体" w:cs="宋体"/>
                <w:bCs/>
                <w:sz w:val="21"/>
                <w:szCs w:val="21"/>
                <w:highlight w:val="none"/>
                <w:lang w:val="en-US" w:eastAsia="zh-CN"/>
              </w:rPr>
              <w:t xml:space="preserve">  </w:t>
            </w:r>
            <w:r>
              <w:rPr>
                <w:rFonts w:hint="eastAsia" w:ascii="宋体" w:hAnsi="宋体" w:eastAsia="宋体" w:cs="宋体"/>
                <w:bCs/>
                <w:sz w:val="21"/>
                <w:szCs w:val="21"/>
                <w:highlight w:val="none"/>
              </w:rPr>
              <w:t>类</w:t>
            </w:r>
          </w:p>
          <w:p>
            <w:pPr>
              <w:keepNext w:val="0"/>
              <w:keepLines w:val="0"/>
              <w:pageBreakBefore w:val="0"/>
              <w:widowControl w:val="0"/>
              <w:kinsoku/>
              <w:wordWrap w:val="0"/>
              <w:overflowPunct/>
              <w:topLinePunct w:val="0"/>
              <w:autoSpaceDE/>
              <w:autoSpaceDN/>
              <w:bidi w:val="0"/>
              <w:adjustRightInd/>
              <w:spacing w:line="360" w:lineRule="exact"/>
              <w:ind w:firstLine="1260" w:firstLineChars="6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率　　　型</w:t>
            </w:r>
          </w:p>
          <w:p>
            <w:pPr>
              <w:keepNext w:val="0"/>
              <w:keepLines w:val="0"/>
              <w:pageBreakBefore w:val="0"/>
              <w:widowControl w:val="0"/>
              <w:kinsoku/>
              <w:wordWrap w:val="0"/>
              <w:overflowPunct/>
              <w:topLinePunct w:val="0"/>
              <w:autoSpaceDE/>
              <w:autoSpaceDN/>
              <w:bidi w:val="0"/>
              <w:adjustRightInd/>
              <w:spacing w:line="360" w:lineRule="exact"/>
              <w:ind w:firstLine="1050" w:firstLineChars="5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　　　　</w:t>
            </w:r>
          </w:p>
          <w:p>
            <w:pPr>
              <w:keepNext w:val="0"/>
              <w:keepLines w:val="0"/>
              <w:pageBreakBefore w:val="0"/>
              <w:widowControl w:val="0"/>
              <w:kinsoku/>
              <w:wordWrap w:val="0"/>
              <w:overflowPunct/>
              <w:topLinePunct w:val="0"/>
              <w:autoSpaceDE/>
              <w:autoSpaceDN/>
              <w:bidi w:val="0"/>
              <w:adjustRightInd/>
              <w:spacing w:line="360" w:lineRule="exac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中标金额（万元）</w:t>
            </w:r>
          </w:p>
        </w:tc>
        <w:tc>
          <w:tcPr>
            <w:tcW w:w="1980" w:type="dxa"/>
            <w:noWrap w:val="0"/>
            <w:vAlign w:val="center"/>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货物招标</w:t>
            </w:r>
          </w:p>
        </w:tc>
        <w:tc>
          <w:tcPr>
            <w:tcW w:w="1980" w:type="dxa"/>
            <w:noWrap w:val="0"/>
            <w:vAlign w:val="center"/>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服务招标</w:t>
            </w:r>
          </w:p>
        </w:tc>
        <w:tc>
          <w:tcPr>
            <w:tcW w:w="1980" w:type="dxa"/>
            <w:noWrap w:val="0"/>
            <w:vAlign w:val="center"/>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7" w:type="dxa"/>
            <w:noWrap w:val="0"/>
            <w:vAlign w:val="top"/>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100以下</w:t>
            </w:r>
          </w:p>
        </w:tc>
        <w:tc>
          <w:tcPr>
            <w:tcW w:w="1980" w:type="dxa"/>
            <w:noWrap w:val="0"/>
            <w:vAlign w:val="top"/>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1.5%</w:t>
            </w:r>
          </w:p>
        </w:tc>
        <w:tc>
          <w:tcPr>
            <w:tcW w:w="1980" w:type="dxa"/>
            <w:noWrap w:val="0"/>
            <w:vAlign w:val="top"/>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1.5%</w:t>
            </w:r>
          </w:p>
        </w:tc>
        <w:tc>
          <w:tcPr>
            <w:tcW w:w="1980" w:type="dxa"/>
            <w:noWrap w:val="0"/>
            <w:vAlign w:val="top"/>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7" w:type="dxa"/>
            <w:noWrap w:val="0"/>
            <w:vAlign w:val="top"/>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100-500</w:t>
            </w:r>
          </w:p>
        </w:tc>
        <w:tc>
          <w:tcPr>
            <w:tcW w:w="1980" w:type="dxa"/>
            <w:noWrap w:val="0"/>
            <w:vAlign w:val="top"/>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w:t>
            </w:r>
          </w:p>
        </w:tc>
        <w:tc>
          <w:tcPr>
            <w:tcW w:w="1980" w:type="dxa"/>
            <w:noWrap w:val="0"/>
            <w:vAlign w:val="top"/>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0.8%</w:t>
            </w:r>
          </w:p>
        </w:tc>
        <w:tc>
          <w:tcPr>
            <w:tcW w:w="1980" w:type="dxa"/>
            <w:noWrap w:val="0"/>
            <w:vAlign w:val="top"/>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7" w:type="dxa"/>
            <w:noWrap w:val="0"/>
            <w:vAlign w:val="top"/>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500-1000</w:t>
            </w:r>
          </w:p>
        </w:tc>
        <w:tc>
          <w:tcPr>
            <w:tcW w:w="1980" w:type="dxa"/>
            <w:noWrap w:val="0"/>
            <w:vAlign w:val="top"/>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0.8%</w:t>
            </w:r>
          </w:p>
        </w:tc>
        <w:tc>
          <w:tcPr>
            <w:tcW w:w="1980" w:type="dxa"/>
            <w:noWrap w:val="0"/>
            <w:vAlign w:val="top"/>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0.45%</w:t>
            </w:r>
          </w:p>
        </w:tc>
        <w:tc>
          <w:tcPr>
            <w:tcW w:w="1980" w:type="dxa"/>
            <w:noWrap w:val="0"/>
            <w:vAlign w:val="top"/>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7" w:type="dxa"/>
            <w:noWrap w:val="0"/>
            <w:vAlign w:val="top"/>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1000-5000</w:t>
            </w:r>
          </w:p>
        </w:tc>
        <w:tc>
          <w:tcPr>
            <w:tcW w:w="1980" w:type="dxa"/>
            <w:noWrap w:val="0"/>
            <w:vAlign w:val="top"/>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0.5%</w:t>
            </w:r>
          </w:p>
        </w:tc>
        <w:tc>
          <w:tcPr>
            <w:tcW w:w="1980" w:type="dxa"/>
            <w:noWrap w:val="0"/>
            <w:vAlign w:val="top"/>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0.25%</w:t>
            </w:r>
          </w:p>
        </w:tc>
        <w:tc>
          <w:tcPr>
            <w:tcW w:w="1980" w:type="dxa"/>
            <w:noWrap w:val="0"/>
            <w:vAlign w:val="top"/>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7" w:type="dxa"/>
            <w:noWrap w:val="0"/>
            <w:vAlign w:val="top"/>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5000-10000</w:t>
            </w:r>
          </w:p>
        </w:tc>
        <w:tc>
          <w:tcPr>
            <w:tcW w:w="1980" w:type="dxa"/>
            <w:noWrap w:val="0"/>
            <w:vAlign w:val="top"/>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0.25%</w:t>
            </w:r>
          </w:p>
        </w:tc>
        <w:tc>
          <w:tcPr>
            <w:tcW w:w="1980" w:type="dxa"/>
            <w:noWrap w:val="0"/>
            <w:vAlign w:val="top"/>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0.1%</w:t>
            </w:r>
          </w:p>
        </w:tc>
        <w:tc>
          <w:tcPr>
            <w:tcW w:w="1980" w:type="dxa"/>
            <w:noWrap w:val="0"/>
            <w:vAlign w:val="top"/>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7" w:type="dxa"/>
            <w:noWrap w:val="0"/>
            <w:vAlign w:val="top"/>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10000-100000</w:t>
            </w:r>
          </w:p>
        </w:tc>
        <w:tc>
          <w:tcPr>
            <w:tcW w:w="1980" w:type="dxa"/>
            <w:noWrap w:val="0"/>
            <w:vAlign w:val="top"/>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0.05%</w:t>
            </w:r>
          </w:p>
        </w:tc>
        <w:tc>
          <w:tcPr>
            <w:tcW w:w="1980" w:type="dxa"/>
            <w:noWrap w:val="0"/>
            <w:vAlign w:val="top"/>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0.05%</w:t>
            </w:r>
          </w:p>
        </w:tc>
        <w:tc>
          <w:tcPr>
            <w:tcW w:w="1980" w:type="dxa"/>
            <w:noWrap w:val="0"/>
            <w:vAlign w:val="top"/>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7" w:type="dxa"/>
            <w:noWrap w:val="0"/>
            <w:vAlign w:val="top"/>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1000000以上</w:t>
            </w:r>
          </w:p>
        </w:tc>
        <w:tc>
          <w:tcPr>
            <w:tcW w:w="1980" w:type="dxa"/>
            <w:noWrap w:val="0"/>
            <w:vAlign w:val="top"/>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0.01%</w:t>
            </w:r>
          </w:p>
        </w:tc>
        <w:tc>
          <w:tcPr>
            <w:tcW w:w="1980" w:type="dxa"/>
            <w:noWrap w:val="0"/>
            <w:vAlign w:val="top"/>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0.01%</w:t>
            </w:r>
          </w:p>
        </w:tc>
        <w:tc>
          <w:tcPr>
            <w:tcW w:w="1980" w:type="dxa"/>
            <w:noWrap w:val="0"/>
            <w:vAlign w:val="top"/>
          </w:tcPr>
          <w:p>
            <w:pPr>
              <w:keepNext w:val="0"/>
              <w:keepLines w:val="0"/>
              <w:pageBreakBefore w:val="0"/>
              <w:widowControl w:val="0"/>
              <w:kinsoku/>
              <w:wordWrap w:val="0"/>
              <w:overflowPunct/>
              <w:topLinePunct w:val="0"/>
              <w:autoSpaceDE/>
              <w:autoSpaceDN/>
              <w:bidi w:val="0"/>
              <w:adjustRightIn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0.01%</w:t>
            </w:r>
          </w:p>
        </w:tc>
      </w:tr>
    </w:tbl>
    <w:p>
      <w:pPr>
        <w:keepNext w:val="0"/>
        <w:keepLines w:val="0"/>
        <w:pageBreakBefore w:val="0"/>
        <w:widowControl w:val="0"/>
        <w:kinsoku/>
        <w:wordWrap w:val="0"/>
        <w:overflowPunct/>
        <w:topLinePunct w:val="0"/>
        <w:autoSpaceDE/>
        <w:autoSpaceDN/>
        <w:bidi w:val="0"/>
        <w:adjustRightIn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注：招标代理服务收费按差额定率累进法计算。</w:t>
      </w:r>
    </w:p>
    <w:p>
      <w:pPr>
        <w:keepNext w:val="0"/>
        <w:keepLines w:val="0"/>
        <w:pageBreakBefore w:val="0"/>
        <w:widowControl w:val="0"/>
        <w:kinsoku/>
        <w:wordWrap w:val="0"/>
        <w:overflowPunct/>
        <w:topLinePunct w:val="0"/>
        <w:autoSpaceDE/>
        <w:autoSpaceDN/>
        <w:bidi w:val="0"/>
        <w:adjustRightIn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36．招标代理服务费缴纳账户：</w:t>
      </w:r>
    </w:p>
    <w:p>
      <w:pPr>
        <w:keepNext w:val="0"/>
        <w:keepLines w:val="0"/>
        <w:pageBreakBefore w:val="0"/>
        <w:widowControl w:val="0"/>
        <w:kinsoku/>
        <w:overflowPunct/>
        <w:topLinePunct w:val="0"/>
        <w:autoSpaceDE/>
        <w:autoSpaceDN/>
        <w:bidi w:val="0"/>
        <w:adjustRightInd/>
        <w:spacing w:line="36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账户名称：广西江之源项目管理有限公司</w:t>
      </w:r>
    </w:p>
    <w:p>
      <w:pPr>
        <w:keepNext w:val="0"/>
        <w:keepLines w:val="0"/>
        <w:pageBreakBefore w:val="0"/>
        <w:widowControl w:val="0"/>
        <w:kinsoku/>
        <w:overflowPunct/>
        <w:topLinePunct w:val="0"/>
        <w:autoSpaceDE/>
        <w:autoSpaceDN/>
        <w:bidi w:val="0"/>
        <w:adjustRightInd/>
        <w:spacing w:line="36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开户银行：桂林银行股份有限公司临桂支行</w:t>
      </w:r>
    </w:p>
    <w:p>
      <w:pPr>
        <w:keepNext w:val="0"/>
        <w:keepLines w:val="0"/>
        <w:pageBreakBefore w:val="0"/>
        <w:widowControl w:val="0"/>
        <w:kinsoku/>
        <w:overflowPunct/>
        <w:topLinePunct w:val="0"/>
        <w:autoSpaceDE/>
        <w:autoSpaceDN/>
        <w:bidi w:val="0"/>
        <w:adjustRightInd/>
        <w:spacing w:line="36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银行账号：6600 0001 1908 2000 15</w:t>
      </w:r>
    </w:p>
    <w:p>
      <w:pPr>
        <w:keepNext w:val="0"/>
        <w:keepLines w:val="0"/>
        <w:pageBreakBefore w:val="0"/>
        <w:widowControl w:val="0"/>
        <w:kinsoku/>
        <w:wordWrap w:val="0"/>
        <w:overflowPunct/>
        <w:topLinePunct w:val="0"/>
        <w:autoSpaceDE/>
        <w:autoSpaceDN/>
        <w:bidi w:val="0"/>
        <w:adjustRightInd/>
        <w:snapToGrid w:val="0"/>
        <w:spacing w:line="360" w:lineRule="exact"/>
        <w:ind w:firstLine="422" w:firstLineChars="200"/>
        <w:textAlignment w:val="auto"/>
        <w:rPr>
          <w:rFonts w:hint="eastAsia" w:ascii="宋体" w:hAnsi="宋体" w:eastAsia="宋体" w:cs="宋体"/>
          <w:sz w:val="21"/>
          <w:szCs w:val="21"/>
          <w:highlight w:val="none"/>
        </w:rPr>
      </w:pPr>
      <w:r>
        <w:rPr>
          <w:rFonts w:hint="eastAsia" w:ascii="宋体" w:hAnsi="宋体" w:eastAsia="宋体" w:cs="宋体"/>
          <w:b/>
          <w:sz w:val="21"/>
          <w:szCs w:val="21"/>
          <w:highlight w:val="none"/>
        </w:rPr>
        <w:t>37. 解释权：</w:t>
      </w:r>
      <w:r>
        <w:rPr>
          <w:rFonts w:hint="eastAsia" w:ascii="宋体" w:hAnsi="宋体" w:eastAsia="宋体" w:cs="宋体"/>
          <w:sz w:val="21"/>
          <w:szCs w:val="21"/>
          <w:highlight w:val="none"/>
        </w:rPr>
        <w:t>本招标文件是根据《中华人民共和国政府采购法》、《中华人民共和国政府采购法实施条例》及</w:t>
      </w:r>
      <w:r>
        <w:rPr>
          <w:rFonts w:hint="eastAsia" w:ascii="宋体" w:hAnsi="宋体" w:eastAsia="宋体" w:cs="宋体"/>
          <w:bCs/>
          <w:sz w:val="21"/>
          <w:szCs w:val="21"/>
          <w:highlight w:val="none"/>
        </w:rPr>
        <w:t>财政部令第87号</w:t>
      </w:r>
      <w:r>
        <w:rPr>
          <w:rFonts w:hint="eastAsia" w:ascii="宋体" w:hAnsi="宋体" w:eastAsia="宋体" w:cs="宋体"/>
          <w:sz w:val="21"/>
          <w:szCs w:val="21"/>
          <w:highlight w:val="none"/>
        </w:rPr>
        <w:t>《政府采购货物和服务招标投标管理办法》等相关规定编制，本招标文件的解释权属于采购代理机构。</w:t>
      </w:r>
    </w:p>
    <w:p>
      <w:pPr>
        <w:pStyle w:val="9"/>
        <w:keepNext w:val="0"/>
        <w:keepLines w:val="0"/>
        <w:pageBreakBefore w:val="0"/>
        <w:widowControl w:val="0"/>
        <w:kinsoku/>
        <w:overflowPunct/>
        <w:topLinePunct w:val="0"/>
        <w:autoSpaceDE/>
        <w:autoSpaceDN/>
        <w:bidi w:val="0"/>
        <w:adjustRightInd/>
        <w:spacing w:line="360" w:lineRule="exact"/>
        <w:ind w:firstLine="422" w:firstLineChars="200"/>
        <w:textAlignment w:val="auto"/>
        <w:rPr>
          <w:rFonts w:hint="eastAsia" w:ascii="宋体" w:hAnsi="宋体" w:eastAsia="宋体" w:cs="宋体"/>
          <w:sz w:val="21"/>
          <w:szCs w:val="21"/>
          <w:highlight w:val="none"/>
        </w:rPr>
      </w:pPr>
      <w:r>
        <w:rPr>
          <w:rFonts w:hint="eastAsia" w:ascii="宋体" w:hAnsi="宋体" w:eastAsia="宋体" w:cs="宋体"/>
          <w:b/>
          <w:sz w:val="21"/>
          <w:szCs w:val="21"/>
          <w:highlight w:val="none"/>
        </w:rPr>
        <w:t>38. 监督管理机构：</w:t>
      </w:r>
      <w:r>
        <w:rPr>
          <w:rFonts w:hint="eastAsia" w:ascii="宋体" w:hAnsi="宋体" w:eastAsia="宋体" w:cs="宋体"/>
          <w:sz w:val="21"/>
          <w:szCs w:val="21"/>
          <w:highlight w:val="none"/>
        </w:rPr>
        <w:t>桂林市财政局      电话：0773-2862142</w:t>
      </w:r>
    </w:p>
    <w:p>
      <w:pPr>
        <w:snapToGrid w:val="0"/>
        <w:rPr>
          <w:rFonts w:hint="eastAsia" w:ascii="宋体" w:hAnsi="Courier New"/>
          <w:b/>
          <w:sz w:val="24"/>
          <w:highlight w:val="none"/>
        </w:rPr>
      </w:pPr>
    </w:p>
    <w:p>
      <w:pPr>
        <w:snapToGrid w:val="0"/>
        <w:rPr>
          <w:rFonts w:ascii="宋体" w:hAnsi="宋体"/>
          <w:b/>
          <w:sz w:val="24"/>
          <w:highlight w:val="none"/>
        </w:rPr>
      </w:pPr>
      <w:r>
        <w:rPr>
          <w:rFonts w:hint="eastAsia" w:ascii="宋体" w:hAnsi="Courier New"/>
          <w:b/>
          <w:sz w:val="24"/>
          <w:highlight w:val="none"/>
        </w:rPr>
        <w:t>附表1：</w:t>
      </w:r>
    </w:p>
    <w:p>
      <w:pPr>
        <w:spacing w:line="460" w:lineRule="exact"/>
        <w:jc w:val="center"/>
        <w:rPr>
          <w:rFonts w:hint="eastAsia" w:ascii="宋体" w:hAnsi="宋体"/>
          <w:sz w:val="32"/>
          <w:szCs w:val="32"/>
          <w:highlight w:val="none"/>
        </w:rPr>
      </w:pPr>
      <w:r>
        <w:rPr>
          <w:rFonts w:hint="eastAsia" w:ascii="宋体" w:hAnsi="宋体" w:cs="仿宋"/>
          <w:b/>
          <w:bCs/>
          <w:sz w:val="32"/>
          <w:szCs w:val="32"/>
          <w:highlight w:val="none"/>
        </w:rPr>
        <w:t>质疑函（格式）</w:t>
      </w:r>
    </w:p>
    <w:p>
      <w:pPr>
        <w:snapToGrid w:val="0"/>
        <w:spacing w:line="360" w:lineRule="exact"/>
        <w:ind w:firstLine="422" w:firstLineChars="200"/>
        <w:rPr>
          <w:rFonts w:hint="eastAsia" w:ascii="宋体" w:hAnsi="宋体"/>
          <w:b/>
          <w:bCs/>
          <w:szCs w:val="20"/>
          <w:highlight w:val="none"/>
        </w:rPr>
      </w:pPr>
      <w:r>
        <w:rPr>
          <w:rFonts w:hint="eastAsia" w:ascii="宋体" w:hAnsi="宋体"/>
          <w:b/>
          <w:bCs/>
          <w:szCs w:val="20"/>
          <w:highlight w:val="none"/>
        </w:rPr>
        <w:t>一、质疑供应商基本信息：</w:t>
      </w:r>
    </w:p>
    <w:p>
      <w:pPr>
        <w:snapToGrid w:val="0"/>
        <w:spacing w:line="360" w:lineRule="exact"/>
        <w:ind w:firstLine="420" w:firstLineChars="200"/>
        <w:rPr>
          <w:rFonts w:hint="eastAsia" w:ascii="宋体" w:hAnsi="宋体"/>
          <w:bCs/>
          <w:szCs w:val="20"/>
          <w:highlight w:val="none"/>
          <w:u w:val="single"/>
        </w:rPr>
      </w:pPr>
      <w:r>
        <w:rPr>
          <w:rFonts w:hint="eastAsia" w:ascii="宋体" w:hAnsi="宋体"/>
          <w:bCs/>
          <w:szCs w:val="20"/>
          <w:highlight w:val="none"/>
        </w:rPr>
        <w:t>质疑供应商：</w:t>
      </w:r>
      <w:r>
        <w:rPr>
          <w:rFonts w:hint="eastAsia" w:ascii="宋体" w:hAnsi="宋体"/>
          <w:bCs/>
          <w:szCs w:val="20"/>
          <w:highlight w:val="none"/>
          <w:u w:val="single"/>
        </w:rPr>
        <w:t xml:space="preserve">                                       </w:t>
      </w:r>
    </w:p>
    <w:p>
      <w:pPr>
        <w:snapToGrid w:val="0"/>
        <w:spacing w:line="360" w:lineRule="exact"/>
        <w:ind w:firstLine="420" w:firstLineChars="200"/>
        <w:rPr>
          <w:rFonts w:hint="eastAsia" w:ascii="宋体" w:hAnsi="宋体"/>
          <w:bCs/>
          <w:szCs w:val="20"/>
          <w:highlight w:val="none"/>
        </w:rPr>
      </w:pPr>
      <w:r>
        <w:rPr>
          <w:rFonts w:hint="eastAsia" w:ascii="宋体" w:hAnsi="宋体"/>
          <w:bCs/>
          <w:szCs w:val="20"/>
          <w:highlight w:val="none"/>
        </w:rPr>
        <w:t>地址：</w:t>
      </w:r>
      <w:r>
        <w:rPr>
          <w:rFonts w:hint="eastAsia" w:ascii="宋体" w:hAnsi="宋体"/>
          <w:bCs/>
          <w:szCs w:val="20"/>
          <w:highlight w:val="none"/>
          <w:u w:val="single"/>
        </w:rPr>
        <w:t xml:space="preserve">                                          </w:t>
      </w:r>
      <w:r>
        <w:rPr>
          <w:rFonts w:hint="eastAsia" w:ascii="宋体" w:hAnsi="宋体"/>
          <w:bCs/>
          <w:szCs w:val="20"/>
          <w:highlight w:val="none"/>
        </w:rPr>
        <w:t>邮编：</w:t>
      </w:r>
      <w:r>
        <w:rPr>
          <w:rFonts w:hint="eastAsia" w:ascii="宋体" w:hAnsi="宋体"/>
          <w:bCs/>
          <w:szCs w:val="20"/>
          <w:highlight w:val="none"/>
          <w:u w:val="single"/>
        </w:rPr>
        <w:t xml:space="preserve">                  </w:t>
      </w:r>
    </w:p>
    <w:p>
      <w:pPr>
        <w:snapToGrid w:val="0"/>
        <w:spacing w:line="360" w:lineRule="exact"/>
        <w:ind w:firstLine="420" w:firstLineChars="200"/>
        <w:rPr>
          <w:rFonts w:hint="eastAsia" w:ascii="宋体" w:hAnsi="宋体"/>
          <w:bCs/>
          <w:szCs w:val="20"/>
          <w:highlight w:val="none"/>
        </w:rPr>
      </w:pPr>
      <w:r>
        <w:rPr>
          <w:rFonts w:hint="eastAsia" w:ascii="宋体" w:hAnsi="宋体"/>
          <w:bCs/>
          <w:szCs w:val="20"/>
          <w:highlight w:val="none"/>
        </w:rPr>
        <w:t>联系人：</w:t>
      </w:r>
      <w:r>
        <w:rPr>
          <w:rFonts w:hint="eastAsia" w:ascii="宋体" w:hAnsi="宋体"/>
          <w:bCs/>
          <w:szCs w:val="20"/>
          <w:highlight w:val="none"/>
          <w:u w:val="single"/>
        </w:rPr>
        <w:t xml:space="preserve">                     </w:t>
      </w:r>
      <w:r>
        <w:rPr>
          <w:rFonts w:hint="eastAsia" w:ascii="宋体" w:hAnsi="宋体"/>
          <w:bCs/>
          <w:szCs w:val="20"/>
          <w:highlight w:val="none"/>
        </w:rPr>
        <w:t>联系电话：</w:t>
      </w:r>
      <w:r>
        <w:rPr>
          <w:rFonts w:hint="eastAsia" w:ascii="宋体" w:hAnsi="宋体"/>
          <w:bCs/>
          <w:szCs w:val="20"/>
          <w:highlight w:val="none"/>
          <w:u w:val="single"/>
        </w:rPr>
        <w:t xml:space="preserve">                 </w:t>
      </w:r>
    </w:p>
    <w:p>
      <w:pPr>
        <w:snapToGrid w:val="0"/>
        <w:spacing w:line="360" w:lineRule="exact"/>
        <w:ind w:firstLine="420" w:firstLineChars="200"/>
        <w:rPr>
          <w:rFonts w:hint="eastAsia" w:ascii="宋体" w:hAnsi="宋体"/>
          <w:bCs/>
          <w:szCs w:val="20"/>
          <w:highlight w:val="none"/>
        </w:rPr>
      </w:pPr>
      <w:r>
        <w:rPr>
          <w:rFonts w:hint="eastAsia" w:ascii="宋体" w:hAnsi="宋体"/>
          <w:bCs/>
          <w:szCs w:val="20"/>
          <w:highlight w:val="none"/>
        </w:rPr>
        <w:t>授权代表：</w:t>
      </w:r>
      <w:r>
        <w:rPr>
          <w:rFonts w:hint="eastAsia" w:ascii="宋体" w:hAnsi="宋体"/>
          <w:bCs/>
          <w:szCs w:val="20"/>
          <w:highlight w:val="none"/>
          <w:u w:val="single"/>
        </w:rPr>
        <w:t xml:space="preserve">                      </w:t>
      </w:r>
    </w:p>
    <w:p>
      <w:pPr>
        <w:snapToGrid w:val="0"/>
        <w:spacing w:line="360" w:lineRule="exact"/>
        <w:ind w:firstLine="420" w:firstLineChars="200"/>
        <w:rPr>
          <w:rFonts w:hint="eastAsia" w:ascii="宋体" w:hAnsi="宋体"/>
          <w:bCs/>
          <w:szCs w:val="20"/>
          <w:highlight w:val="none"/>
          <w:u w:val="single"/>
        </w:rPr>
      </w:pPr>
      <w:r>
        <w:rPr>
          <w:rFonts w:hint="eastAsia" w:ascii="宋体" w:hAnsi="宋体"/>
          <w:bCs/>
          <w:szCs w:val="20"/>
          <w:highlight w:val="none"/>
        </w:rPr>
        <w:t>联系电话：</w:t>
      </w:r>
      <w:r>
        <w:rPr>
          <w:rFonts w:hint="eastAsia" w:ascii="宋体" w:hAnsi="宋体"/>
          <w:bCs/>
          <w:szCs w:val="20"/>
          <w:highlight w:val="none"/>
          <w:u w:val="single"/>
        </w:rPr>
        <w:t xml:space="preserve">                      </w:t>
      </w:r>
    </w:p>
    <w:p>
      <w:pPr>
        <w:snapToGrid w:val="0"/>
        <w:spacing w:line="360" w:lineRule="exact"/>
        <w:ind w:firstLine="420" w:firstLineChars="200"/>
        <w:rPr>
          <w:rFonts w:hint="eastAsia" w:ascii="宋体" w:hAnsi="宋体"/>
          <w:bCs/>
          <w:szCs w:val="20"/>
          <w:highlight w:val="none"/>
        </w:rPr>
      </w:pPr>
      <w:r>
        <w:rPr>
          <w:rFonts w:hint="eastAsia" w:ascii="宋体" w:hAnsi="宋体"/>
          <w:bCs/>
          <w:szCs w:val="20"/>
          <w:highlight w:val="none"/>
        </w:rPr>
        <w:t>地址：</w:t>
      </w:r>
      <w:r>
        <w:rPr>
          <w:rFonts w:hint="eastAsia" w:ascii="宋体" w:hAnsi="宋体"/>
          <w:bCs/>
          <w:szCs w:val="20"/>
          <w:highlight w:val="none"/>
          <w:u w:val="single"/>
        </w:rPr>
        <w:t xml:space="preserve">                 </w:t>
      </w:r>
      <w:r>
        <w:rPr>
          <w:rFonts w:hint="eastAsia" w:ascii="宋体" w:hAnsi="宋体"/>
          <w:bCs/>
          <w:szCs w:val="20"/>
          <w:highlight w:val="none"/>
        </w:rPr>
        <w:t>邮编：</w:t>
      </w:r>
      <w:r>
        <w:rPr>
          <w:rFonts w:hint="eastAsia" w:ascii="宋体" w:hAnsi="宋体"/>
          <w:bCs/>
          <w:szCs w:val="20"/>
          <w:highlight w:val="none"/>
          <w:u w:val="single"/>
        </w:rPr>
        <w:t xml:space="preserve">                  </w:t>
      </w:r>
    </w:p>
    <w:p>
      <w:pPr>
        <w:snapToGrid w:val="0"/>
        <w:spacing w:line="360" w:lineRule="exact"/>
        <w:ind w:firstLine="422" w:firstLineChars="200"/>
        <w:rPr>
          <w:rFonts w:hint="eastAsia" w:ascii="宋体" w:hAnsi="宋体"/>
          <w:b/>
          <w:bCs/>
          <w:szCs w:val="20"/>
          <w:highlight w:val="none"/>
        </w:rPr>
      </w:pPr>
      <w:r>
        <w:rPr>
          <w:rFonts w:hint="eastAsia" w:ascii="宋体" w:hAnsi="宋体"/>
          <w:b/>
          <w:bCs/>
          <w:szCs w:val="20"/>
          <w:highlight w:val="none"/>
        </w:rPr>
        <w:t>二、质疑项目基本情况：</w:t>
      </w:r>
    </w:p>
    <w:p>
      <w:pPr>
        <w:spacing w:line="360" w:lineRule="exact"/>
        <w:ind w:left="25" w:leftChars="12" w:firstLine="413" w:firstLineChars="197"/>
        <w:rPr>
          <w:rFonts w:hint="eastAsia" w:ascii="宋体" w:hAnsi="宋体"/>
          <w:szCs w:val="21"/>
          <w:highlight w:val="none"/>
        </w:rPr>
      </w:pPr>
      <w:r>
        <w:rPr>
          <w:rFonts w:hint="eastAsia" w:ascii="宋体" w:hAnsi="宋体"/>
          <w:bCs/>
          <w:szCs w:val="20"/>
          <w:highlight w:val="none"/>
        </w:rPr>
        <w:t>质疑</w:t>
      </w:r>
      <w:r>
        <w:rPr>
          <w:rFonts w:hint="eastAsia" w:ascii="宋体" w:hAnsi="宋体"/>
          <w:szCs w:val="21"/>
          <w:highlight w:val="none"/>
        </w:rPr>
        <w:t>项目的名称：</w:t>
      </w:r>
      <w:r>
        <w:rPr>
          <w:rFonts w:hint="eastAsia" w:ascii="宋体" w:hAnsi="宋体"/>
          <w:bCs/>
          <w:szCs w:val="20"/>
          <w:highlight w:val="none"/>
          <w:u w:val="single"/>
        </w:rPr>
        <w:t xml:space="preserve">                                     </w:t>
      </w:r>
    </w:p>
    <w:p>
      <w:pPr>
        <w:spacing w:line="360" w:lineRule="exact"/>
        <w:ind w:left="25" w:leftChars="12" w:firstLine="413" w:firstLineChars="197"/>
        <w:rPr>
          <w:rFonts w:hint="eastAsia" w:ascii="宋体" w:hAnsi="宋体"/>
          <w:szCs w:val="21"/>
          <w:highlight w:val="none"/>
        </w:rPr>
      </w:pPr>
      <w:r>
        <w:rPr>
          <w:rFonts w:hint="eastAsia" w:ascii="宋体" w:hAnsi="宋体"/>
          <w:bCs/>
          <w:szCs w:val="20"/>
          <w:highlight w:val="none"/>
        </w:rPr>
        <w:t>质疑</w:t>
      </w:r>
      <w:r>
        <w:rPr>
          <w:rFonts w:hint="eastAsia" w:ascii="宋体" w:hAnsi="宋体"/>
          <w:szCs w:val="21"/>
          <w:highlight w:val="none"/>
        </w:rPr>
        <w:t>项目的编号：</w:t>
      </w:r>
      <w:r>
        <w:rPr>
          <w:rFonts w:hint="eastAsia" w:ascii="宋体" w:hAnsi="宋体"/>
          <w:bCs/>
          <w:szCs w:val="20"/>
          <w:highlight w:val="none"/>
          <w:u w:val="single"/>
        </w:rPr>
        <w:t xml:space="preserve">                               </w:t>
      </w:r>
      <w:r>
        <w:rPr>
          <w:rFonts w:hint="eastAsia" w:ascii="宋体" w:hAnsi="宋体"/>
          <w:bCs/>
          <w:szCs w:val="20"/>
          <w:highlight w:val="none"/>
        </w:rPr>
        <w:t>包号：</w:t>
      </w:r>
      <w:r>
        <w:rPr>
          <w:rFonts w:hint="eastAsia" w:ascii="宋体" w:hAnsi="宋体"/>
          <w:bCs/>
          <w:szCs w:val="20"/>
          <w:highlight w:val="none"/>
          <w:u w:val="single"/>
        </w:rPr>
        <w:t xml:space="preserve">                            </w:t>
      </w:r>
    </w:p>
    <w:p>
      <w:pPr>
        <w:spacing w:line="360" w:lineRule="exact"/>
        <w:ind w:left="25" w:leftChars="12" w:firstLine="413" w:firstLineChars="197"/>
        <w:rPr>
          <w:rFonts w:hint="eastAsia" w:ascii="宋体" w:hAnsi="宋体"/>
          <w:bCs/>
          <w:szCs w:val="20"/>
          <w:highlight w:val="none"/>
          <w:u w:val="single"/>
        </w:rPr>
      </w:pPr>
      <w:r>
        <w:rPr>
          <w:rFonts w:hint="eastAsia" w:ascii="宋体" w:hAnsi="宋体"/>
          <w:szCs w:val="21"/>
          <w:highlight w:val="none"/>
        </w:rPr>
        <w:t>采购人名称：</w:t>
      </w:r>
      <w:r>
        <w:rPr>
          <w:rFonts w:hint="eastAsia" w:ascii="宋体" w:hAnsi="宋体"/>
          <w:bCs/>
          <w:szCs w:val="20"/>
          <w:highlight w:val="none"/>
          <w:u w:val="single"/>
        </w:rPr>
        <w:t xml:space="preserve">                                         </w:t>
      </w:r>
    </w:p>
    <w:p>
      <w:pPr>
        <w:spacing w:line="360" w:lineRule="exact"/>
        <w:ind w:left="25" w:leftChars="12" w:firstLine="413" w:firstLineChars="197"/>
        <w:rPr>
          <w:rFonts w:hint="eastAsia" w:ascii="宋体" w:hAnsi="宋体"/>
          <w:szCs w:val="21"/>
          <w:highlight w:val="none"/>
          <w:u w:val="single"/>
        </w:rPr>
      </w:pPr>
      <w:r>
        <w:rPr>
          <w:rFonts w:hint="eastAsia" w:ascii="宋体" w:hAnsi="宋体"/>
          <w:szCs w:val="21"/>
          <w:highlight w:val="none"/>
        </w:rPr>
        <w:t>采购文件获取日期：</w:t>
      </w:r>
      <w:r>
        <w:rPr>
          <w:rFonts w:hint="eastAsia" w:ascii="宋体" w:hAnsi="宋体"/>
          <w:szCs w:val="21"/>
          <w:highlight w:val="none"/>
          <w:u w:val="single"/>
        </w:rPr>
        <w:t xml:space="preserve">                                   </w:t>
      </w:r>
    </w:p>
    <w:p>
      <w:pPr>
        <w:spacing w:line="360" w:lineRule="exact"/>
        <w:ind w:left="25" w:leftChars="12" w:firstLine="413" w:firstLineChars="196"/>
        <w:rPr>
          <w:rFonts w:hint="eastAsia" w:ascii="宋体" w:hAnsi="宋体"/>
          <w:b/>
          <w:szCs w:val="21"/>
          <w:highlight w:val="none"/>
        </w:rPr>
      </w:pPr>
      <w:r>
        <w:rPr>
          <w:rFonts w:hint="eastAsia" w:ascii="宋体" w:hAnsi="宋体"/>
          <w:b/>
          <w:szCs w:val="21"/>
          <w:highlight w:val="none"/>
        </w:rPr>
        <w:t>三、质疑事项具体内容</w:t>
      </w:r>
    </w:p>
    <w:p>
      <w:pPr>
        <w:spacing w:line="360" w:lineRule="exact"/>
        <w:ind w:left="25" w:leftChars="12" w:firstLine="413" w:firstLineChars="197"/>
        <w:rPr>
          <w:rFonts w:hint="eastAsia" w:ascii="宋体" w:hAnsi="宋体"/>
          <w:szCs w:val="21"/>
          <w:highlight w:val="none"/>
        </w:rPr>
      </w:pPr>
      <w:r>
        <w:rPr>
          <w:rFonts w:hint="eastAsia" w:ascii="宋体" w:hAnsi="宋体"/>
          <w:szCs w:val="21"/>
          <w:highlight w:val="none"/>
        </w:rPr>
        <w:t>质疑事项1：</w:t>
      </w:r>
      <w:r>
        <w:rPr>
          <w:rFonts w:hint="eastAsia" w:ascii="宋体" w:hAnsi="宋体"/>
          <w:bCs/>
          <w:szCs w:val="20"/>
          <w:highlight w:val="none"/>
          <w:u w:val="single"/>
        </w:rPr>
        <w:t xml:space="preserve">                                                                    </w:t>
      </w:r>
    </w:p>
    <w:p>
      <w:pPr>
        <w:spacing w:line="360" w:lineRule="exact"/>
        <w:ind w:left="25" w:leftChars="12" w:firstLine="413" w:firstLineChars="197"/>
        <w:rPr>
          <w:rFonts w:hint="eastAsia" w:ascii="宋体" w:hAnsi="宋体"/>
          <w:szCs w:val="21"/>
          <w:highlight w:val="none"/>
        </w:rPr>
      </w:pPr>
      <w:r>
        <w:rPr>
          <w:rFonts w:hint="eastAsia" w:ascii="宋体" w:hAnsi="宋体"/>
          <w:szCs w:val="21"/>
          <w:highlight w:val="none"/>
        </w:rPr>
        <w:t>事实依据：</w:t>
      </w:r>
      <w:r>
        <w:rPr>
          <w:rFonts w:hint="eastAsia" w:ascii="宋体" w:hAnsi="宋体"/>
          <w:bCs/>
          <w:szCs w:val="20"/>
          <w:highlight w:val="none"/>
          <w:u w:val="single"/>
        </w:rPr>
        <w:t xml:space="preserve">                                                                      </w:t>
      </w:r>
    </w:p>
    <w:p>
      <w:pPr>
        <w:spacing w:line="360" w:lineRule="exact"/>
        <w:ind w:left="25" w:leftChars="12" w:firstLine="413" w:firstLineChars="197"/>
        <w:rPr>
          <w:rFonts w:hint="eastAsia" w:ascii="宋体" w:hAnsi="宋体"/>
          <w:szCs w:val="21"/>
          <w:highlight w:val="none"/>
        </w:rPr>
      </w:pPr>
      <w:r>
        <w:rPr>
          <w:rFonts w:hint="eastAsia" w:ascii="宋体" w:hAnsi="宋体"/>
          <w:szCs w:val="21"/>
          <w:highlight w:val="none"/>
        </w:rPr>
        <w:t>法律依据：</w:t>
      </w:r>
      <w:r>
        <w:rPr>
          <w:rFonts w:hint="eastAsia" w:ascii="宋体" w:hAnsi="宋体"/>
          <w:szCs w:val="21"/>
          <w:highlight w:val="none"/>
          <w:u w:val="single"/>
        </w:rPr>
        <w:t xml:space="preserve">                                                        </w:t>
      </w:r>
      <w:r>
        <w:rPr>
          <w:rFonts w:hint="eastAsia" w:ascii="宋体" w:hAnsi="宋体"/>
          <w:bCs/>
          <w:szCs w:val="20"/>
          <w:highlight w:val="none"/>
          <w:u w:val="single"/>
        </w:rPr>
        <w:t xml:space="preserve">              </w:t>
      </w:r>
    </w:p>
    <w:p>
      <w:pPr>
        <w:spacing w:line="360" w:lineRule="exact"/>
        <w:ind w:left="25" w:leftChars="12" w:firstLine="413" w:firstLineChars="197"/>
        <w:rPr>
          <w:rFonts w:hint="eastAsia" w:ascii="宋体" w:hAnsi="宋体"/>
          <w:szCs w:val="21"/>
          <w:highlight w:val="none"/>
        </w:rPr>
      </w:pPr>
      <w:r>
        <w:rPr>
          <w:rFonts w:hint="eastAsia" w:ascii="宋体" w:hAnsi="宋体"/>
          <w:szCs w:val="21"/>
          <w:highlight w:val="none"/>
        </w:rPr>
        <w:t>质疑事项2</w:t>
      </w:r>
    </w:p>
    <w:p>
      <w:pPr>
        <w:spacing w:line="360" w:lineRule="exact"/>
        <w:ind w:left="25" w:leftChars="12" w:firstLine="413" w:firstLineChars="197"/>
        <w:rPr>
          <w:rFonts w:hint="eastAsia" w:ascii="宋体" w:hAnsi="宋体"/>
          <w:szCs w:val="21"/>
          <w:highlight w:val="none"/>
        </w:rPr>
      </w:pPr>
      <w:r>
        <w:rPr>
          <w:rFonts w:hint="eastAsia" w:ascii="宋体" w:hAnsi="宋体"/>
          <w:szCs w:val="21"/>
          <w:highlight w:val="none"/>
        </w:rPr>
        <w:t>……</w:t>
      </w:r>
    </w:p>
    <w:p>
      <w:pPr>
        <w:spacing w:line="360" w:lineRule="exact"/>
        <w:ind w:left="25" w:leftChars="12" w:firstLine="413" w:firstLineChars="197"/>
        <w:rPr>
          <w:rFonts w:hint="eastAsia" w:ascii="宋体" w:hAnsi="宋体"/>
          <w:szCs w:val="21"/>
          <w:highlight w:val="none"/>
        </w:rPr>
      </w:pPr>
      <w:r>
        <w:rPr>
          <w:rFonts w:hint="eastAsia" w:ascii="宋体" w:hAnsi="宋体"/>
          <w:szCs w:val="21"/>
          <w:highlight w:val="none"/>
        </w:rPr>
        <w:t>四、与质疑事项相关的质疑请求：</w:t>
      </w:r>
    </w:p>
    <w:p>
      <w:pPr>
        <w:spacing w:line="360" w:lineRule="exact"/>
        <w:ind w:left="25" w:leftChars="12" w:firstLine="413" w:firstLineChars="197"/>
        <w:rPr>
          <w:rFonts w:hint="eastAsia" w:ascii="宋体" w:hAnsi="宋体"/>
          <w:szCs w:val="21"/>
          <w:highlight w:val="none"/>
        </w:rPr>
      </w:pPr>
      <w:r>
        <w:rPr>
          <w:rFonts w:hint="eastAsia" w:ascii="宋体" w:hAnsi="宋体"/>
          <w:szCs w:val="21"/>
          <w:highlight w:val="none"/>
        </w:rPr>
        <w:t>请求：</w:t>
      </w:r>
      <w:r>
        <w:rPr>
          <w:rFonts w:hint="eastAsia" w:ascii="宋体" w:hAnsi="宋体"/>
          <w:bCs/>
          <w:szCs w:val="20"/>
          <w:highlight w:val="none"/>
          <w:u w:val="single"/>
        </w:rPr>
        <w:t xml:space="preserve">                                                                </w:t>
      </w:r>
    </w:p>
    <w:p>
      <w:pPr>
        <w:spacing w:line="360" w:lineRule="exact"/>
        <w:ind w:left="25" w:leftChars="12" w:firstLine="308" w:firstLineChars="147"/>
        <w:rPr>
          <w:rFonts w:hint="eastAsia" w:ascii="宋体" w:hAnsi="宋体"/>
          <w:szCs w:val="21"/>
          <w:highlight w:val="none"/>
        </w:rPr>
      </w:pPr>
    </w:p>
    <w:p>
      <w:pPr>
        <w:spacing w:line="360" w:lineRule="exact"/>
        <w:ind w:left="25" w:leftChars="12" w:firstLine="413" w:firstLineChars="197"/>
        <w:rPr>
          <w:rFonts w:hint="eastAsia" w:ascii="宋体" w:hAnsi="宋体"/>
          <w:szCs w:val="21"/>
          <w:highlight w:val="none"/>
        </w:rPr>
      </w:pPr>
      <w:r>
        <w:rPr>
          <w:rFonts w:hint="eastAsia" w:ascii="宋体" w:hAnsi="宋体"/>
          <w:szCs w:val="21"/>
          <w:highlight w:val="none"/>
        </w:rPr>
        <w:t>签字（签章）：                                       公章：</w:t>
      </w:r>
    </w:p>
    <w:p>
      <w:pPr>
        <w:spacing w:line="360" w:lineRule="exact"/>
        <w:ind w:left="25" w:leftChars="12" w:firstLine="308" w:firstLineChars="147"/>
        <w:rPr>
          <w:rFonts w:hint="eastAsia" w:ascii="宋体" w:hAnsi="宋体"/>
          <w:szCs w:val="21"/>
          <w:highlight w:val="none"/>
        </w:rPr>
      </w:pPr>
    </w:p>
    <w:p>
      <w:pPr>
        <w:spacing w:line="360" w:lineRule="exact"/>
        <w:ind w:left="25" w:leftChars="12" w:firstLine="413" w:firstLineChars="197"/>
        <w:rPr>
          <w:rFonts w:hint="eastAsia" w:ascii="宋体" w:hAnsi="宋体"/>
          <w:szCs w:val="21"/>
          <w:highlight w:val="none"/>
        </w:rPr>
      </w:pPr>
      <w:r>
        <w:rPr>
          <w:rFonts w:hint="eastAsia" w:ascii="宋体" w:hAnsi="宋体"/>
          <w:szCs w:val="21"/>
          <w:highlight w:val="none"/>
        </w:rPr>
        <w:t>日期：</w:t>
      </w:r>
    </w:p>
    <w:p>
      <w:pPr>
        <w:snapToGrid w:val="0"/>
        <w:spacing w:line="340" w:lineRule="exact"/>
        <w:rPr>
          <w:rFonts w:hint="eastAsia" w:ascii="宋体" w:hAnsi="宋体"/>
          <w:b/>
          <w:szCs w:val="21"/>
          <w:highlight w:val="none"/>
        </w:rPr>
      </w:pPr>
    </w:p>
    <w:p>
      <w:pPr>
        <w:snapToGrid w:val="0"/>
        <w:spacing w:line="340" w:lineRule="exact"/>
        <w:rPr>
          <w:rFonts w:hint="eastAsia" w:ascii="宋体" w:hAnsi="宋体"/>
          <w:b/>
          <w:szCs w:val="21"/>
          <w:highlight w:val="none"/>
        </w:rPr>
      </w:pPr>
      <w:r>
        <w:rPr>
          <w:rFonts w:hint="eastAsia" w:ascii="宋体" w:hAnsi="宋体"/>
          <w:b/>
          <w:szCs w:val="21"/>
          <w:highlight w:val="none"/>
        </w:rPr>
        <w:t>说明：</w:t>
      </w:r>
    </w:p>
    <w:p>
      <w:pPr>
        <w:spacing w:line="340" w:lineRule="exact"/>
        <w:ind w:left="25" w:leftChars="12" w:firstLine="310" w:firstLineChars="147"/>
        <w:rPr>
          <w:rFonts w:hint="eastAsia" w:ascii="宋体" w:hAnsi="宋体"/>
          <w:b/>
          <w:bCs/>
          <w:szCs w:val="20"/>
          <w:highlight w:val="none"/>
        </w:rPr>
      </w:pPr>
      <w:r>
        <w:rPr>
          <w:rFonts w:hint="eastAsia" w:ascii="宋体" w:hAnsi="宋体"/>
          <w:b/>
          <w:szCs w:val="21"/>
          <w:highlight w:val="none"/>
        </w:rPr>
        <w:t>1.供应商提出质疑时，应提交质疑函和必要的证明材料</w:t>
      </w:r>
      <w:r>
        <w:rPr>
          <w:rFonts w:hint="eastAsia" w:ascii="宋体" w:hAnsi="宋体"/>
          <w:b/>
          <w:bCs/>
          <w:szCs w:val="20"/>
          <w:highlight w:val="none"/>
        </w:rPr>
        <w:t>。</w:t>
      </w:r>
    </w:p>
    <w:p>
      <w:pPr>
        <w:spacing w:line="340" w:lineRule="exact"/>
        <w:ind w:left="25" w:leftChars="12" w:firstLine="310" w:firstLineChars="147"/>
        <w:rPr>
          <w:rFonts w:hint="eastAsia" w:ascii="宋体" w:hAnsi="宋体"/>
          <w:b/>
          <w:szCs w:val="21"/>
          <w:highlight w:val="none"/>
        </w:rPr>
      </w:pPr>
      <w:r>
        <w:rPr>
          <w:rFonts w:hint="eastAsia" w:ascii="宋体" w:hAnsi="宋体"/>
          <w:b/>
          <w:szCs w:val="21"/>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40" w:lineRule="exact"/>
        <w:ind w:left="25" w:leftChars="12" w:firstLine="310" w:firstLineChars="147"/>
        <w:rPr>
          <w:rFonts w:hint="eastAsia" w:ascii="宋体" w:hAnsi="宋体"/>
          <w:b/>
          <w:szCs w:val="21"/>
          <w:highlight w:val="none"/>
        </w:rPr>
      </w:pPr>
      <w:r>
        <w:rPr>
          <w:rFonts w:hint="eastAsia" w:ascii="宋体" w:hAnsi="宋体"/>
          <w:b/>
          <w:szCs w:val="21"/>
          <w:highlight w:val="none"/>
        </w:rPr>
        <w:t>3.质疑供应商若对项目的某一分包进行质疑，质疑函中应列明具体分包号。</w:t>
      </w:r>
    </w:p>
    <w:p>
      <w:pPr>
        <w:spacing w:line="340" w:lineRule="exact"/>
        <w:ind w:left="25" w:leftChars="12" w:firstLine="310" w:firstLineChars="147"/>
        <w:rPr>
          <w:rFonts w:hint="eastAsia" w:ascii="宋体" w:hAnsi="宋体"/>
          <w:b/>
          <w:szCs w:val="21"/>
          <w:highlight w:val="none"/>
        </w:rPr>
      </w:pPr>
      <w:r>
        <w:rPr>
          <w:rFonts w:hint="eastAsia" w:ascii="宋体" w:hAnsi="宋体"/>
          <w:b/>
          <w:szCs w:val="21"/>
          <w:highlight w:val="none"/>
        </w:rPr>
        <w:t>4.质疑函的质疑事项应具体、明确，并有必要的事实依据和法律依据。</w:t>
      </w:r>
    </w:p>
    <w:p>
      <w:pPr>
        <w:spacing w:line="340" w:lineRule="exact"/>
        <w:ind w:left="25" w:leftChars="12" w:firstLine="310" w:firstLineChars="147"/>
        <w:rPr>
          <w:rFonts w:hint="eastAsia" w:ascii="宋体" w:hAnsi="宋体"/>
          <w:b/>
          <w:szCs w:val="21"/>
          <w:highlight w:val="none"/>
        </w:rPr>
      </w:pPr>
      <w:r>
        <w:rPr>
          <w:rFonts w:hint="eastAsia" w:ascii="宋体" w:hAnsi="宋体"/>
          <w:b/>
          <w:szCs w:val="21"/>
          <w:highlight w:val="none"/>
        </w:rPr>
        <w:t>5.质疑函的质疑请求应与质疑事项相关。</w:t>
      </w:r>
    </w:p>
    <w:p>
      <w:pPr>
        <w:spacing w:line="340" w:lineRule="exact"/>
        <w:ind w:left="25" w:leftChars="12" w:firstLine="310" w:firstLineChars="147"/>
        <w:rPr>
          <w:rFonts w:hint="eastAsia" w:ascii="宋体" w:hAnsi="宋体"/>
          <w:b/>
          <w:szCs w:val="21"/>
          <w:highlight w:val="none"/>
        </w:rPr>
      </w:pPr>
      <w:r>
        <w:rPr>
          <w:rFonts w:hint="eastAsia" w:ascii="宋体" w:hAnsi="宋体"/>
          <w:b/>
          <w:szCs w:val="21"/>
          <w:highlight w:val="none"/>
        </w:rPr>
        <w:t>6.质疑供应商为自然人的，质疑函应由本人签字；质疑供应商为法人或者其他组织的，质疑函应由法定代表人、主要负责人，或者其授权代表签字或者盖章，并加盖公章。</w:t>
      </w:r>
    </w:p>
    <w:p>
      <w:pPr>
        <w:snapToGrid w:val="0"/>
        <w:rPr>
          <w:rFonts w:hint="eastAsia" w:ascii="宋体" w:hAnsi="Courier New"/>
          <w:b/>
          <w:sz w:val="24"/>
          <w:highlight w:val="none"/>
        </w:rPr>
      </w:pPr>
    </w:p>
    <w:p>
      <w:pPr>
        <w:snapToGrid w:val="0"/>
        <w:rPr>
          <w:rFonts w:hint="eastAsia" w:ascii="宋体" w:hAnsi="Courier New"/>
          <w:b/>
          <w:sz w:val="24"/>
          <w:highlight w:val="none"/>
        </w:rPr>
      </w:pPr>
    </w:p>
    <w:p>
      <w:pPr>
        <w:snapToGrid w:val="0"/>
        <w:rPr>
          <w:rFonts w:hint="eastAsia" w:ascii="宋体" w:hAnsi="宋体"/>
          <w:b/>
          <w:sz w:val="24"/>
          <w:highlight w:val="none"/>
        </w:rPr>
      </w:pPr>
      <w:r>
        <w:rPr>
          <w:rFonts w:hint="eastAsia" w:ascii="宋体" w:hAnsi="Courier New"/>
          <w:b/>
          <w:sz w:val="24"/>
          <w:highlight w:val="none"/>
        </w:rPr>
        <w:t>附表2：</w:t>
      </w:r>
    </w:p>
    <w:p>
      <w:pPr>
        <w:spacing w:line="460" w:lineRule="exact"/>
        <w:jc w:val="center"/>
        <w:rPr>
          <w:rFonts w:hint="eastAsia" w:ascii="宋体" w:hAnsi="宋体"/>
          <w:b/>
          <w:sz w:val="32"/>
          <w:szCs w:val="32"/>
          <w:highlight w:val="none"/>
        </w:rPr>
      </w:pPr>
      <w:r>
        <w:rPr>
          <w:rFonts w:hint="eastAsia" w:ascii="宋体" w:hAnsi="宋体"/>
          <w:b/>
          <w:sz w:val="32"/>
          <w:szCs w:val="32"/>
          <w:highlight w:val="none"/>
        </w:rPr>
        <w:t>投诉书（格式）</w:t>
      </w:r>
    </w:p>
    <w:p>
      <w:pPr>
        <w:snapToGrid w:val="0"/>
        <w:spacing w:line="400" w:lineRule="exact"/>
        <w:ind w:firstLine="422" w:firstLineChars="200"/>
        <w:rPr>
          <w:rFonts w:hint="eastAsia" w:ascii="宋体" w:hAnsi="宋体"/>
          <w:b/>
          <w:bCs/>
          <w:szCs w:val="20"/>
          <w:highlight w:val="none"/>
        </w:rPr>
      </w:pPr>
      <w:r>
        <w:rPr>
          <w:rFonts w:hint="eastAsia" w:ascii="宋体" w:hAnsi="宋体"/>
          <w:b/>
          <w:bCs/>
          <w:szCs w:val="20"/>
          <w:highlight w:val="none"/>
        </w:rPr>
        <w:t>一、投诉相关主体基本情况：</w:t>
      </w:r>
    </w:p>
    <w:p>
      <w:pPr>
        <w:snapToGrid w:val="0"/>
        <w:spacing w:line="400" w:lineRule="exact"/>
        <w:ind w:firstLine="420" w:firstLineChars="200"/>
        <w:rPr>
          <w:rFonts w:hint="eastAsia" w:ascii="宋体" w:hAnsi="宋体"/>
          <w:bCs/>
          <w:szCs w:val="20"/>
          <w:highlight w:val="none"/>
          <w:u w:val="single"/>
        </w:rPr>
      </w:pPr>
      <w:r>
        <w:rPr>
          <w:rFonts w:hint="eastAsia" w:ascii="宋体" w:hAnsi="宋体"/>
          <w:bCs/>
          <w:szCs w:val="20"/>
          <w:highlight w:val="none"/>
        </w:rPr>
        <w:t>投标人：</w:t>
      </w:r>
      <w:r>
        <w:rPr>
          <w:rFonts w:hint="eastAsia" w:ascii="宋体" w:hAnsi="宋体"/>
          <w:bCs/>
          <w:szCs w:val="20"/>
          <w:highlight w:val="none"/>
          <w:u w:val="single"/>
        </w:rPr>
        <w:t xml:space="preserve">                                                                          </w:t>
      </w:r>
    </w:p>
    <w:p>
      <w:pPr>
        <w:snapToGrid w:val="0"/>
        <w:spacing w:line="400" w:lineRule="exact"/>
        <w:ind w:firstLine="420" w:firstLineChars="200"/>
        <w:rPr>
          <w:rFonts w:hint="eastAsia" w:ascii="宋体" w:hAnsi="宋体"/>
          <w:bCs/>
          <w:szCs w:val="20"/>
          <w:highlight w:val="none"/>
        </w:rPr>
      </w:pPr>
      <w:r>
        <w:rPr>
          <w:rFonts w:hint="eastAsia" w:ascii="宋体" w:hAnsi="宋体"/>
          <w:bCs/>
          <w:szCs w:val="20"/>
          <w:highlight w:val="none"/>
        </w:rPr>
        <w:t>地址：</w:t>
      </w:r>
      <w:r>
        <w:rPr>
          <w:rFonts w:hint="eastAsia" w:ascii="宋体" w:hAnsi="宋体"/>
          <w:bCs/>
          <w:szCs w:val="20"/>
          <w:highlight w:val="none"/>
          <w:u w:val="single"/>
        </w:rPr>
        <w:t xml:space="preserve">                                          </w:t>
      </w:r>
      <w:r>
        <w:rPr>
          <w:rFonts w:hint="eastAsia" w:ascii="宋体" w:hAnsi="宋体"/>
          <w:bCs/>
          <w:szCs w:val="20"/>
          <w:highlight w:val="none"/>
        </w:rPr>
        <w:t>邮编：</w:t>
      </w:r>
      <w:r>
        <w:rPr>
          <w:rFonts w:hint="eastAsia" w:ascii="宋体" w:hAnsi="宋体"/>
          <w:bCs/>
          <w:szCs w:val="20"/>
          <w:highlight w:val="none"/>
          <w:u w:val="single"/>
        </w:rPr>
        <w:t xml:space="preserve">                            </w:t>
      </w:r>
    </w:p>
    <w:p>
      <w:pPr>
        <w:snapToGrid w:val="0"/>
        <w:spacing w:line="400" w:lineRule="exact"/>
        <w:ind w:firstLine="420" w:firstLineChars="200"/>
        <w:rPr>
          <w:rFonts w:hint="eastAsia" w:ascii="宋体" w:hAnsi="宋体"/>
          <w:bCs/>
          <w:szCs w:val="20"/>
          <w:highlight w:val="none"/>
          <w:u w:val="single"/>
        </w:rPr>
      </w:pPr>
      <w:r>
        <w:rPr>
          <w:rFonts w:hint="eastAsia" w:ascii="宋体" w:hAnsi="宋体"/>
          <w:bCs/>
          <w:szCs w:val="20"/>
          <w:highlight w:val="none"/>
        </w:rPr>
        <w:t>法定代表人/主要负责人：</w:t>
      </w:r>
      <w:r>
        <w:rPr>
          <w:rFonts w:hint="eastAsia" w:ascii="宋体" w:hAnsi="宋体"/>
          <w:bCs/>
          <w:szCs w:val="20"/>
          <w:highlight w:val="none"/>
          <w:u w:val="single"/>
        </w:rPr>
        <w:t xml:space="preserve">                                                           </w:t>
      </w:r>
    </w:p>
    <w:p>
      <w:pPr>
        <w:snapToGrid w:val="0"/>
        <w:spacing w:line="400" w:lineRule="exact"/>
        <w:ind w:firstLine="420" w:firstLineChars="200"/>
        <w:rPr>
          <w:rFonts w:hint="eastAsia" w:ascii="宋体" w:hAnsi="宋体"/>
          <w:bCs/>
          <w:szCs w:val="20"/>
          <w:highlight w:val="none"/>
        </w:rPr>
      </w:pPr>
      <w:r>
        <w:rPr>
          <w:rFonts w:hint="eastAsia" w:ascii="宋体" w:hAnsi="宋体"/>
          <w:bCs/>
          <w:szCs w:val="20"/>
          <w:highlight w:val="none"/>
        </w:rPr>
        <w:t>联系电话：</w:t>
      </w:r>
      <w:r>
        <w:rPr>
          <w:rFonts w:hint="eastAsia" w:ascii="宋体" w:hAnsi="宋体"/>
          <w:bCs/>
          <w:szCs w:val="20"/>
          <w:highlight w:val="none"/>
          <w:u w:val="single"/>
        </w:rPr>
        <w:t xml:space="preserve">                                         </w:t>
      </w:r>
    </w:p>
    <w:p>
      <w:pPr>
        <w:snapToGrid w:val="0"/>
        <w:spacing w:line="400" w:lineRule="exact"/>
        <w:ind w:firstLine="420" w:firstLineChars="200"/>
        <w:rPr>
          <w:rFonts w:hint="eastAsia" w:ascii="宋体" w:hAnsi="宋体"/>
          <w:bCs/>
          <w:szCs w:val="20"/>
          <w:highlight w:val="none"/>
          <w:u w:val="single"/>
        </w:rPr>
      </w:pPr>
      <w:r>
        <w:rPr>
          <w:rFonts w:hint="eastAsia" w:ascii="宋体" w:hAnsi="宋体"/>
          <w:bCs/>
          <w:szCs w:val="20"/>
          <w:highlight w:val="none"/>
        </w:rPr>
        <w:t>授权代表：</w:t>
      </w:r>
      <w:r>
        <w:rPr>
          <w:rFonts w:hint="eastAsia" w:ascii="宋体" w:hAnsi="宋体"/>
          <w:bCs/>
          <w:szCs w:val="20"/>
          <w:highlight w:val="none"/>
          <w:u w:val="single"/>
        </w:rPr>
        <w:t xml:space="preserve">                                         </w:t>
      </w:r>
      <w:r>
        <w:rPr>
          <w:rFonts w:hint="eastAsia" w:ascii="宋体" w:hAnsi="宋体"/>
          <w:bCs/>
          <w:szCs w:val="20"/>
          <w:highlight w:val="none"/>
        </w:rPr>
        <w:t>联系电话：</w:t>
      </w:r>
      <w:r>
        <w:rPr>
          <w:rFonts w:hint="eastAsia" w:ascii="宋体" w:hAnsi="宋体"/>
          <w:bCs/>
          <w:szCs w:val="20"/>
          <w:highlight w:val="none"/>
          <w:u w:val="single"/>
        </w:rPr>
        <w:t xml:space="preserve">                     </w:t>
      </w:r>
    </w:p>
    <w:p>
      <w:pPr>
        <w:snapToGrid w:val="0"/>
        <w:spacing w:line="400" w:lineRule="exact"/>
        <w:ind w:firstLine="420" w:firstLineChars="200"/>
        <w:rPr>
          <w:rFonts w:hint="eastAsia" w:ascii="宋体" w:hAnsi="宋体"/>
          <w:bCs/>
          <w:szCs w:val="20"/>
          <w:highlight w:val="none"/>
        </w:rPr>
      </w:pPr>
      <w:r>
        <w:rPr>
          <w:rFonts w:hint="eastAsia" w:ascii="宋体" w:hAnsi="宋体"/>
          <w:bCs/>
          <w:szCs w:val="20"/>
          <w:highlight w:val="none"/>
        </w:rPr>
        <w:t>地址：</w:t>
      </w:r>
      <w:r>
        <w:rPr>
          <w:rFonts w:hint="eastAsia" w:ascii="宋体" w:hAnsi="宋体"/>
          <w:bCs/>
          <w:szCs w:val="20"/>
          <w:highlight w:val="none"/>
          <w:u w:val="single"/>
        </w:rPr>
        <w:t xml:space="preserve">                                                            </w:t>
      </w:r>
      <w:r>
        <w:rPr>
          <w:rFonts w:hint="eastAsia" w:ascii="宋体" w:hAnsi="宋体"/>
          <w:bCs/>
          <w:szCs w:val="20"/>
          <w:highlight w:val="none"/>
        </w:rPr>
        <w:t>邮编：</w:t>
      </w:r>
      <w:r>
        <w:rPr>
          <w:rFonts w:hint="eastAsia" w:ascii="宋体" w:hAnsi="宋体"/>
          <w:bCs/>
          <w:szCs w:val="20"/>
          <w:highlight w:val="none"/>
          <w:u w:val="single"/>
        </w:rPr>
        <w:t xml:space="preserve">          </w:t>
      </w:r>
    </w:p>
    <w:p>
      <w:pPr>
        <w:snapToGrid w:val="0"/>
        <w:spacing w:line="400" w:lineRule="exact"/>
        <w:ind w:firstLine="420" w:firstLineChars="200"/>
        <w:rPr>
          <w:rFonts w:hint="eastAsia" w:ascii="宋体" w:hAnsi="宋体"/>
          <w:bCs/>
          <w:szCs w:val="20"/>
          <w:highlight w:val="none"/>
          <w:u w:val="single"/>
        </w:rPr>
      </w:pPr>
      <w:r>
        <w:rPr>
          <w:rFonts w:hint="eastAsia" w:ascii="宋体" w:hAnsi="宋体"/>
          <w:bCs/>
          <w:szCs w:val="20"/>
          <w:highlight w:val="none"/>
        </w:rPr>
        <w:t>被投诉人1：</w:t>
      </w:r>
      <w:r>
        <w:rPr>
          <w:rFonts w:hint="eastAsia" w:ascii="宋体" w:hAnsi="宋体"/>
          <w:bCs/>
          <w:szCs w:val="20"/>
          <w:highlight w:val="none"/>
          <w:u w:val="single"/>
        </w:rPr>
        <w:t xml:space="preserve">                                       </w:t>
      </w:r>
    </w:p>
    <w:p>
      <w:pPr>
        <w:snapToGrid w:val="0"/>
        <w:spacing w:line="400" w:lineRule="exact"/>
        <w:ind w:firstLine="420" w:firstLineChars="200"/>
        <w:rPr>
          <w:rFonts w:hint="eastAsia" w:ascii="宋体" w:hAnsi="宋体"/>
          <w:bCs/>
          <w:szCs w:val="20"/>
          <w:highlight w:val="none"/>
        </w:rPr>
      </w:pPr>
      <w:r>
        <w:rPr>
          <w:rFonts w:hint="eastAsia" w:ascii="宋体" w:hAnsi="宋体"/>
          <w:bCs/>
          <w:szCs w:val="20"/>
          <w:highlight w:val="none"/>
        </w:rPr>
        <w:t>地址：</w:t>
      </w:r>
      <w:r>
        <w:rPr>
          <w:rFonts w:hint="eastAsia" w:ascii="宋体" w:hAnsi="宋体"/>
          <w:bCs/>
          <w:szCs w:val="20"/>
          <w:highlight w:val="none"/>
          <w:u w:val="single"/>
        </w:rPr>
        <w:t xml:space="preserve">                                                            </w:t>
      </w:r>
      <w:r>
        <w:rPr>
          <w:rFonts w:hint="eastAsia" w:ascii="宋体" w:hAnsi="宋体"/>
          <w:bCs/>
          <w:szCs w:val="20"/>
          <w:highlight w:val="none"/>
        </w:rPr>
        <w:t>邮编：</w:t>
      </w:r>
      <w:r>
        <w:rPr>
          <w:rFonts w:hint="eastAsia" w:ascii="宋体" w:hAnsi="宋体"/>
          <w:bCs/>
          <w:szCs w:val="20"/>
          <w:highlight w:val="none"/>
          <w:u w:val="single"/>
        </w:rPr>
        <w:t xml:space="preserve">          </w:t>
      </w:r>
    </w:p>
    <w:p>
      <w:pPr>
        <w:snapToGrid w:val="0"/>
        <w:spacing w:line="400" w:lineRule="exact"/>
        <w:ind w:firstLine="420" w:firstLineChars="200"/>
        <w:rPr>
          <w:rFonts w:hint="eastAsia" w:ascii="宋体" w:hAnsi="宋体"/>
          <w:bCs/>
          <w:szCs w:val="20"/>
          <w:highlight w:val="none"/>
          <w:u w:val="single"/>
        </w:rPr>
      </w:pPr>
      <w:r>
        <w:rPr>
          <w:rFonts w:hint="eastAsia" w:ascii="宋体" w:hAnsi="宋体"/>
          <w:bCs/>
          <w:szCs w:val="20"/>
          <w:highlight w:val="none"/>
        </w:rPr>
        <w:t>联系人：</w:t>
      </w:r>
      <w:r>
        <w:rPr>
          <w:rFonts w:hint="eastAsia" w:ascii="宋体" w:hAnsi="宋体"/>
          <w:bCs/>
          <w:szCs w:val="20"/>
          <w:highlight w:val="none"/>
          <w:u w:val="single"/>
        </w:rPr>
        <w:t xml:space="preserve">                                                </w:t>
      </w:r>
      <w:r>
        <w:rPr>
          <w:rFonts w:hint="eastAsia" w:ascii="宋体" w:hAnsi="宋体"/>
          <w:bCs/>
          <w:szCs w:val="20"/>
          <w:highlight w:val="none"/>
        </w:rPr>
        <w:t>联系电话：</w:t>
      </w:r>
      <w:r>
        <w:rPr>
          <w:rFonts w:hint="eastAsia" w:ascii="宋体" w:hAnsi="宋体"/>
          <w:bCs/>
          <w:szCs w:val="20"/>
          <w:highlight w:val="none"/>
          <w:u w:val="single"/>
        </w:rPr>
        <w:t xml:space="preserve">                </w:t>
      </w:r>
    </w:p>
    <w:p>
      <w:pPr>
        <w:snapToGrid w:val="0"/>
        <w:spacing w:line="400" w:lineRule="exact"/>
        <w:ind w:firstLine="420" w:firstLineChars="200"/>
        <w:rPr>
          <w:rFonts w:hint="eastAsia" w:ascii="宋体" w:hAnsi="宋体"/>
          <w:bCs/>
          <w:szCs w:val="20"/>
          <w:highlight w:val="none"/>
        </w:rPr>
      </w:pPr>
      <w:r>
        <w:rPr>
          <w:rFonts w:hint="eastAsia" w:ascii="宋体" w:hAnsi="宋体"/>
          <w:bCs/>
          <w:szCs w:val="20"/>
          <w:highlight w:val="none"/>
        </w:rPr>
        <w:t>被投诉人2：</w:t>
      </w:r>
    </w:p>
    <w:p>
      <w:pPr>
        <w:snapToGrid w:val="0"/>
        <w:spacing w:line="400" w:lineRule="exact"/>
        <w:ind w:firstLine="420" w:firstLineChars="200"/>
        <w:rPr>
          <w:rFonts w:hint="eastAsia" w:ascii="宋体" w:hAnsi="宋体"/>
          <w:bCs/>
          <w:szCs w:val="20"/>
          <w:highlight w:val="none"/>
        </w:rPr>
      </w:pPr>
      <w:r>
        <w:rPr>
          <w:rFonts w:hint="eastAsia" w:ascii="宋体" w:hAnsi="宋体"/>
          <w:bCs/>
          <w:szCs w:val="20"/>
          <w:highlight w:val="none"/>
        </w:rPr>
        <w:t>……</w:t>
      </w:r>
    </w:p>
    <w:p>
      <w:pPr>
        <w:snapToGrid w:val="0"/>
        <w:spacing w:line="400" w:lineRule="exact"/>
        <w:ind w:firstLine="420" w:firstLineChars="200"/>
        <w:rPr>
          <w:rFonts w:hint="eastAsia" w:ascii="宋体" w:hAnsi="宋体"/>
          <w:bCs/>
          <w:szCs w:val="20"/>
          <w:highlight w:val="none"/>
          <w:u w:val="single"/>
        </w:rPr>
      </w:pPr>
      <w:r>
        <w:rPr>
          <w:rFonts w:hint="eastAsia" w:ascii="宋体" w:hAnsi="宋体"/>
          <w:bCs/>
          <w:szCs w:val="20"/>
          <w:highlight w:val="none"/>
        </w:rPr>
        <w:t>相关供应商：</w:t>
      </w:r>
      <w:r>
        <w:rPr>
          <w:rFonts w:hint="eastAsia" w:ascii="宋体" w:hAnsi="宋体"/>
          <w:bCs/>
          <w:szCs w:val="20"/>
          <w:highlight w:val="none"/>
          <w:u w:val="single"/>
        </w:rPr>
        <w:t xml:space="preserve">                                                                      </w:t>
      </w:r>
    </w:p>
    <w:p>
      <w:pPr>
        <w:snapToGrid w:val="0"/>
        <w:spacing w:line="400" w:lineRule="exact"/>
        <w:ind w:firstLine="420" w:firstLineChars="200"/>
        <w:rPr>
          <w:rFonts w:hint="eastAsia" w:ascii="宋体" w:hAnsi="宋体"/>
          <w:bCs/>
          <w:szCs w:val="20"/>
          <w:highlight w:val="none"/>
          <w:u w:val="single"/>
        </w:rPr>
      </w:pPr>
      <w:r>
        <w:rPr>
          <w:rFonts w:hint="eastAsia" w:ascii="宋体" w:hAnsi="宋体"/>
          <w:bCs/>
          <w:szCs w:val="20"/>
          <w:highlight w:val="none"/>
        </w:rPr>
        <w:t>地址：</w:t>
      </w:r>
      <w:r>
        <w:rPr>
          <w:rFonts w:hint="eastAsia" w:ascii="宋体" w:hAnsi="宋体"/>
          <w:bCs/>
          <w:szCs w:val="20"/>
          <w:highlight w:val="none"/>
          <w:u w:val="single"/>
        </w:rPr>
        <w:t xml:space="preserve">                                              </w:t>
      </w:r>
      <w:r>
        <w:rPr>
          <w:rFonts w:hint="eastAsia" w:ascii="宋体" w:hAnsi="宋体"/>
          <w:bCs/>
          <w:szCs w:val="20"/>
          <w:highlight w:val="none"/>
        </w:rPr>
        <w:t>邮编：</w:t>
      </w:r>
      <w:r>
        <w:rPr>
          <w:rFonts w:hint="eastAsia" w:ascii="宋体" w:hAnsi="宋体"/>
          <w:bCs/>
          <w:szCs w:val="20"/>
          <w:highlight w:val="none"/>
          <w:u w:val="single"/>
        </w:rPr>
        <w:t xml:space="preserve">                        </w:t>
      </w:r>
    </w:p>
    <w:p>
      <w:pPr>
        <w:snapToGrid w:val="0"/>
        <w:spacing w:line="400" w:lineRule="exact"/>
        <w:ind w:firstLine="420" w:firstLineChars="200"/>
        <w:rPr>
          <w:rFonts w:hint="eastAsia" w:ascii="宋体" w:hAnsi="宋体"/>
          <w:bCs/>
          <w:szCs w:val="20"/>
          <w:highlight w:val="none"/>
        </w:rPr>
      </w:pPr>
      <w:r>
        <w:rPr>
          <w:rFonts w:hint="eastAsia" w:ascii="宋体" w:hAnsi="宋体"/>
          <w:bCs/>
          <w:szCs w:val="20"/>
          <w:highlight w:val="none"/>
        </w:rPr>
        <w:t>联系人：</w:t>
      </w:r>
      <w:r>
        <w:rPr>
          <w:rFonts w:hint="eastAsia" w:ascii="宋体" w:hAnsi="宋体"/>
          <w:bCs/>
          <w:szCs w:val="20"/>
          <w:highlight w:val="none"/>
          <w:u w:val="single"/>
        </w:rPr>
        <w:t xml:space="preserve">                                            </w:t>
      </w:r>
      <w:r>
        <w:rPr>
          <w:rFonts w:hint="eastAsia" w:ascii="宋体" w:hAnsi="宋体"/>
          <w:bCs/>
          <w:szCs w:val="20"/>
          <w:highlight w:val="none"/>
        </w:rPr>
        <w:t>联系电话：</w:t>
      </w:r>
      <w:r>
        <w:rPr>
          <w:rFonts w:hint="eastAsia" w:ascii="宋体" w:hAnsi="宋体"/>
          <w:bCs/>
          <w:szCs w:val="20"/>
          <w:highlight w:val="none"/>
          <w:u w:val="single"/>
        </w:rPr>
        <w:t xml:space="preserve">                    </w:t>
      </w:r>
    </w:p>
    <w:p>
      <w:pPr>
        <w:snapToGrid w:val="0"/>
        <w:spacing w:line="400" w:lineRule="exact"/>
        <w:ind w:firstLine="422" w:firstLineChars="200"/>
        <w:rPr>
          <w:rFonts w:hint="eastAsia" w:ascii="宋体" w:hAnsi="宋体"/>
          <w:b/>
          <w:bCs/>
          <w:szCs w:val="20"/>
          <w:highlight w:val="none"/>
        </w:rPr>
      </w:pPr>
      <w:r>
        <w:rPr>
          <w:rFonts w:hint="eastAsia" w:ascii="宋体" w:hAnsi="宋体"/>
          <w:b/>
          <w:bCs/>
          <w:szCs w:val="20"/>
          <w:highlight w:val="none"/>
        </w:rPr>
        <w:t>二、投诉项目基本情况：</w:t>
      </w:r>
    </w:p>
    <w:p>
      <w:pPr>
        <w:spacing w:line="400" w:lineRule="exact"/>
        <w:ind w:left="25" w:leftChars="12" w:firstLine="413" w:firstLineChars="197"/>
        <w:rPr>
          <w:rFonts w:hint="eastAsia" w:ascii="宋体" w:hAnsi="宋体"/>
          <w:szCs w:val="21"/>
          <w:highlight w:val="none"/>
        </w:rPr>
      </w:pPr>
      <w:r>
        <w:rPr>
          <w:rFonts w:hint="eastAsia" w:ascii="宋体" w:hAnsi="宋体"/>
          <w:bCs/>
          <w:szCs w:val="20"/>
          <w:highlight w:val="none"/>
        </w:rPr>
        <w:t>采购</w:t>
      </w:r>
      <w:r>
        <w:rPr>
          <w:rFonts w:hint="eastAsia" w:ascii="宋体" w:hAnsi="宋体"/>
          <w:szCs w:val="21"/>
          <w:highlight w:val="none"/>
        </w:rPr>
        <w:t>项目的名称：</w:t>
      </w:r>
      <w:r>
        <w:rPr>
          <w:rFonts w:hint="eastAsia" w:ascii="宋体" w:hAnsi="宋体"/>
          <w:bCs/>
          <w:szCs w:val="20"/>
          <w:highlight w:val="none"/>
          <w:u w:val="single"/>
        </w:rPr>
        <w:t xml:space="preserve">                                                                  </w:t>
      </w:r>
    </w:p>
    <w:p>
      <w:pPr>
        <w:spacing w:line="400" w:lineRule="exact"/>
        <w:ind w:left="25" w:leftChars="12" w:firstLine="413" w:firstLineChars="197"/>
        <w:rPr>
          <w:rFonts w:hint="eastAsia" w:ascii="宋体" w:hAnsi="宋体"/>
          <w:szCs w:val="21"/>
          <w:highlight w:val="none"/>
        </w:rPr>
      </w:pPr>
      <w:r>
        <w:rPr>
          <w:rFonts w:hint="eastAsia" w:ascii="宋体" w:hAnsi="宋体"/>
          <w:bCs/>
          <w:szCs w:val="20"/>
          <w:highlight w:val="none"/>
        </w:rPr>
        <w:t>采购</w:t>
      </w:r>
      <w:r>
        <w:rPr>
          <w:rFonts w:hint="eastAsia" w:ascii="宋体" w:hAnsi="宋体"/>
          <w:szCs w:val="21"/>
          <w:highlight w:val="none"/>
        </w:rPr>
        <w:t>项目的编号：</w:t>
      </w:r>
      <w:r>
        <w:rPr>
          <w:rFonts w:hint="eastAsia" w:ascii="宋体" w:hAnsi="宋体"/>
          <w:bCs/>
          <w:szCs w:val="20"/>
          <w:highlight w:val="none"/>
          <w:u w:val="single"/>
        </w:rPr>
        <w:t xml:space="preserve">                                    </w:t>
      </w:r>
      <w:r>
        <w:rPr>
          <w:rFonts w:hint="eastAsia" w:ascii="宋体" w:hAnsi="宋体"/>
          <w:bCs/>
          <w:szCs w:val="20"/>
          <w:highlight w:val="none"/>
        </w:rPr>
        <w:t>包号：</w:t>
      </w:r>
      <w:r>
        <w:rPr>
          <w:rFonts w:hint="eastAsia" w:ascii="宋体" w:hAnsi="宋体"/>
          <w:bCs/>
          <w:szCs w:val="20"/>
          <w:highlight w:val="none"/>
          <w:u w:val="single"/>
        </w:rPr>
        <w:t xml:space="preserve">                        </w:t>
      </w:r>
    </w:p>
    <w:p>
      <w:pPr>
        <w:spacing w:line="400" w:lineRule="exact"/>
        <w:ind w:left="25" w:leftChars="12" w:firstLine="413" w:firstLineChars="197"/>
        <w:rPr>
          <w:rFonts w:hint="eastAsia" w:ascii="宋体" w:hAnsi="宋体"/>
          <w:bCs/>
          <w:szCs w:val="20"/>
          <w:highlight w:val="none"/>
          <w:u w:val="single"/>
        </w:rPr>
      </w:pPr>
      <w:r>
        <w:rPr>
          <w:rFonts w:hint="eastAsia" w:ascii="宋体" w:hAnsi="宋体"/>
          <w:szCs w:val="21"/>
          <w:highlight w:val="none"/>
        </w:rPr>
        <w:t>采购人名称：</w:t>
      </w:r>
      <w:r>
        <w:rPr>
          <w:rFonts w:hint="eastAsia" w:ascii="宋体" w:hAnsi="宋体"/>
          <w:bCs/>
          <w:szCs w:val="20"/>
          <w:highlight w:val="none"/>
          <w:u w:val="single"/>
        </w:rPr>
        <w:t xml:space="preserve">                                                                      </w:t>
      </w:r>
    </w:p>
    <w:p>
      <w:pPr>
        <w:spacing w:line="400" w:lineRule="exact"/>
        <w:ind w:left="25" w:leftChars="12" w:firstLine="413" w:firstLineChars="197"/>
        <w:rPr>
          <w:rFonts w:hint="eastAsia" w:ascii="宋体" w:hAnsi="宋体"/>
          <w:bCs/>
          <w:szCs w:val="20"/>
          <w:highlight w:val="none"/>
          <w:u w:val="single"/>
        </w:rPr>
      </w:pPr>
      <w:r>
        <w:rPr>
          <w:rFonts w:hint="eastAsia" w:ascii="宋体" w:hAnsi="宋体"/>
          <w:szCs w:val="21"/>
          <w:highlight w:val="none"/>
        </w:rPr>
        <w:t>代理机构名称：</w:t>
      </w:r>
      <w:r>
        <w:rPr>
          <w:rFonts w:hint="eastAsia" w:ascii="宋体" w:hAnsi="宋体"/>
          <w:bCs/>
          <w:szCs w:val="20"/>
          <w:highlight w:val="none"/>
          <w:u w:val="single"/>
        </w:rPr>
        <w:t xml:space="preserve">                                                                    </w:t>
      </w:r>
    </w:p>
    <w:p>
      <w:pPr>
        <w:spacing w:line="400" w:lineRule="exact"/>
        <w:ind w:left="25" w:leftChars="12" w:firstLine="413" w:firstLineChars="197"/>
        <w:rPr>
          <w:rFonts w:hint="eastAsia" w:ascii="宋体" w:hAnsi="宋体"/>
          <w:bCs/>
          <w:szCs w:val="20"/>
          <w:highlight w:val="none"/>
          <w:u w:val="single"/>
        </w:rPr>
      </w:pPr>
      <w:r>
        <w:rPr>
          <w:rFonts w:hint="eastAsia" w:ascii="宋体" w:hAnsi="宋体"/>
          <w:bCs/>
          <w:szCs w:val="20"/>
          <w:highlight w:val="none"/>
        </w:rPr>
        <w:t>采购文件公告：</w:t>
      </w:r>
      <w:r>
        <w:rPr>
          <w:rFonts w:hint="eastAsia" w:ascii="宋体" w:hAnsi="宋体"/>
          <w:bCs/>
          <w:szCs w:val="20"/>
          <w:highlight w:val="none"/>
          <w:u w:val="single"/>
        </w:rPr>
        <w:t>是/否</w:t>
      </w:r>
      <w:r>
        <w:rPr>
          <w:rFonts w:hint="eastAsia" w:ascii="宋体" w:hAnsi="宋体"/>
          <w:bCs/>
          <w:szCs w:val="20"/>
          <w:highlight w:val="none"/>
        </w:rPr>
        <w:t>公告期限：</w:t>
      </w:r>
      <w:r>
        <w:rPr>
          <w:rFonts w:hint="eastAsia" w:ascii="宋体" w:hAnsi="宋体"/>
          <w:bCs/>
          <w:szCs w:val="20"/>
          <w:highlight w:val="none"/>
          <w:u w:val="single"/>
        </w:rPr>
        <w:t xml:space="preserve">                                                     </w:t>
      </w:r>
    </w:p>
    <w:p>
      <w:pPr>
        <w:spacing w:line="400" w:lineRule="exact"/>
        <w:ind w:left="25" w:leftChars="12" w:firstLine="413" w:firstLineChars="197"/>
        <w:rPr>
          <w:rFonts w:hint="eastAsia" w:ascii="宋体" w:hAnsi="宋体"/>
          <w:b/>
          <w:szCs w:val="21"/>
          <w:highlight w:val="none"/>
        </w:rPr>
      </w:pPr>
      <w:r>
        <w:rPr>
          <w:rFonts w:hint="eastAsia" w:ascii="宋体" w:hAnsi="宋体"/>
          <w:bCs/>
          <w:szCs w:val="20"/>
          <w:highlight w:val="none"/>
        </w:rPr>
        <w:t>采购结果公告：</w:t>
      </w:r>
      <w:r>
        <w:rPr>
          <w:rFonts w:hint="eastAsia" w:ascii="宋体" w:hAnsi="宋体"/>
          <w:bCs/>
          <w:szCs w:val="20"/>
          <w:highlight w:val="none"/>
          <w:u w:val="single"/>
        </w:rPr>
        <w:t>是/否</w:t>
      </w:r>
      <w:r>
        <w:rPr>
          <w:rFonts w:hint="eastAsia" w:ascii="宋体" w:hAnsi="宋体"/>
          <w:bCs/>
          <w:szCs w:val="20"/>
          <w:highlight w:val="none"/>
        </w:rPr>
        <w:t>公告期限：</w:t>
      </w:r>
      <w:r>
        <w:rPr>
          <w:rFonts w:hint="eastAsia" w:ascii="宋体" w:hAnsi="宋体"/>
          <w:bCs/>
          <w:szCs w:val="20"/>
          <w:highlight w:val="none"/>
          <w:u w:val="single"/>
        </w:rPr>
        <w:t xml:space="preserve">                                                     </w:t>
      </w:r>
    </w:p>
    <w:p>
      <w:pPr>
        <w:spacing w:line="400" w:lineRule="exact"/>
        <w:ind w:left="25" w:leftChars="12" w:firstLine="413" w:firstLineChars="196"/>
        <w:rPr>
          <w:rFonts w:hint="eastAsia" w:ascii="宋体" w:hAnsi="宋体"/>
          <w:b/>
          <w:szCs w:val="21"/>
          <w:highlight w:val="none"/>
        </w:rPr>
      </w:pPr>
      <w:r>
        <w:rPr>
          <w:rFonts w:hint="eastAsia" w:ascii="宋体" w:hAnsi="宋体"/>
          <w:b/>
          <w:szCs w:val="21"/>
          <w:highlight w:val="none"/>
        </w:rPr>
        <w:t>三、质疑基本情况</w:t>
      </w:r>
    </w:p>
    <w:p>
      <w:pPr>
        <w:spacing w:line="400" w:lineRule="exact"/>
        <w:ind w:left="25" w:leftChars="12" w:firstLine="833" w:firstLineChars="397"/>
        <w:rPr>
          <w:rFonts w:hint="eastAsia" w:ascii="宋体" w:hAnsi="宋体"/>
          <w:szCs w:val="21"/>
          <w:highlight w:val="none"/>
        </w:rPr>
      </w:pPr>
      <w:r>
        <w:rPr>
          <w:rFonts w:hint="eastAsia" w:ascii="宋体" w:hAnsi="宋体"/>
          <w:szCs w:val="21"/>
          <w:highlight w:val="none"/>
        </w:rPr>
        <w:t>投诉人于</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日，向</w:t>
      </w:r>
      <w:r>
        <w:rPr>
          <w:rFonts w:hint="eastAsia" w:ascii="宋体" w:hAnsi="宋体"/>
          <w:szCs w:val="21"/>
          <w:highlight w:val="none"/>
          <w:u w:val="single"/>
        </w:rPr>
        <w:t xml:space="preserve">                                </w:t>
      </w:r>
      <w:r>
        <w:rPr>
          <w:rFonts w:hint="eastAsia" w:ascii="宋体" w:hAnsi="宋体"/>
          <w:szCs w:val="21"/>
          <w:highlight w:val="none"/>
        </w:rPr>
        <w:t>提出质疑，质疑事项为：</w:t>
      </w:r>
    </w:p>
    <w:p>
      <w:pPr>
        <w:spacing w:line="400" w:lineRule="exact"/>
        <w:rPr>
          <w:rFonts w:hint="eastAsia" w:ascii="宋体" w:hAnsi="宋体"/>
          <w:bCs/>
          <w:szCs w:val="20"/>
          <w:highlight w:val="none"/>
          <w:u w:val="single"/>
        </w:rPr>
      </w:pPr>
      <w:r>
        <w:rPr>
          <w:rFonts w:hint="eastAsia" w:ascii="宋体" w:hAnsi="宋体"/>
          <w:szCs w:val="21"/>
          <w:highlight w:val="none"/>
        </w:rPr>
        <w:t xml:space="preserve">    </w:t>
      </w:r>
      <w:r>
        <w:rPr>
          <w:rFonts w:hint="eastAsia" w:ascii="宋体" w:hAnsi="宋体"/>
          <w:bCs/>
          <w:szCs w:val="20"/>
          <w:highlight w:val="none"/>
          <w:u w:val="single"/>
        </w:rPr>
        <w:t xml:space="preserve">                                                                                  </w:t>
      </w:r>
    </w:p>
    <w:p>
      <w:pPr>
        <w:spacing w:line="400" w:lineRule="exact"/>
        <w:rPr>
          <w:rFonts w:hint="eastAsia" w:ascii="宋体" w:hAnsi="宋体"/>
          <w:bCs/>
          <w:szCs w:val="20"/>
          <w:highlight w:val="none"/>
          <w:u w:val="single"/>
        </w:rPr>
      </w:pPr>
      <w:r>
        <w:rPr>
          <w:rFonts w:hint="eastAsia" w:ascii="宋体" w:hAnsi="宋体"/>
          <w:bCs/>
          <w:szCs w:val="20"/>
          <w:highlight w:val="none"/>
        </w:rPr>
        <w:t xml:space="preserve">    </w:t>
      </w:r>
      <w:r>
        <w:rPr>
          <w:rFonts w:hint="eastAsia" w:ascii="宋体" w:hAnsi="宋体"/>
          <w:bCs/>
          <w:szCs w:val="20"/>
          <w:highlight w:val="none"/>
          <w:u w:val="single"/>
        </w:rPr>
        <w:t xml:space="preserve">                                                                                  </w:t>
      </w:r>
    </w:p>
    <w:p>
      <w:pPr>
        <w:spacing w:line="400" w:lineRule="exact"/>
        <w:rPr>
          <w:rFonts w:hint="eastAsia" w:ascii="宋体" w:hAnsi="宋体"/>
          <w:szCs w:val="21"/>
          <w:highlight w:val="none"/>
        </w:rPr>
      </w:pPr>
      <w:r>
        <w:rPr>
          <w:rFonts w:hint="eastAsia" w:ascii="宋体" w:hAnsi="宋体"/>
          <w:bCs/>
          <w:szCs w:val="20"/>
          <w:highlight w:val="none"/>
        </w:rPr>
        <w:t xml:space="preserve">        </w:t>
      </w:r>
      <w:r>
        <w:rPr>
          <w:rFonts w:hint="eastAsia" w:ascii="宋体" w:hAnsi="宋体"/>
          <w:bCs/>
          <w:szCs w:val="20"/>
          <w:highlight w:val="none"/>
          <w:u w:val="single"/>
        </w:rPr>
        <w:t>采购人/代理机构</w:t>
      </w:r>
      <w:r>
        <w:rPr>
          <w:rFonts w:hint="eastAsia" w:ascii="宋体" w:hAnsi="宋体"/>
          <w:bCs/>
          <w:szCs w:val="20"/>
          <w:highlight w:val="none"/>
        </w:rPr>
        <w:t>于</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w:t>
      </w:r>
      <w:r>
        <w:rPr>
          <w:rFonts w:hint="eastAsia" w:ascii="宋体" w:hAnsi="宋体"/>
          <w:bCs/>
          <w:szCs w:val="20"/>
          <w:highlight w:val="none"/>
        </w:rPr>
        <w:t xml:space="preserve">就质疑事项作出了答复/没有在法定期限内作出答复。                                                                                             </w:t>
      </w:r>
    </w:p>
    <w:p>
      <w:pPr>
        <w:spacing w:line="400" w:lineRule="exact"/>
        <w:ind w:left="25" w:leftChars="12" w:firstLine="413" w:firstLineChars="196"/>
        <w:rPr>
          <w:rFonts w:hint="eastAsia" w:ascii="宋体" w:hAnsi="宋体"/>
          <w:b/>
          <w:szCs w:val="21"/>
          <w:highlight w:val="none"/>
        </w:rPr>
      </w:pPr>
      <w:r>
        <w:rPr>
          <w:rFonts w:hint="eastAsia" w:ascii="宋体" w:hAnsi="宋体"/>
          <w:b/>
          <w:szCs w:val="21"/>
          <w:highlight w:val="none"/>
        </w:rPr>
        <w:t>四、投诉事项具体内容</w:t>
      </w:r>
    </w:p>
    <w:p>
      <w:pPr>
        <w:spacing w:line="400" w:lineRule="exact"/>
        <w:ind w:left="25" w:leftChars="12" w:firstLine="413" w:firstLineChars="197"/>
        <w:rPr>
          <w:rFonts w:hint="eastAsia" w:ascii="宋体" w:hAnsi="宋体"/>
          <w:bCs/>
          <w:szCs w:val="20"/>
          <w:highlight w:val="none"/>
          <w:u w:val="single"/>
        </w:rPr>
      </w:pPr>
      <w:r>
        <w:rPr>
          <w:rFonts w:hint="eastAsia" w:ascii="宋体" w:hAnsi="宋体"/>
          <w:szCs w:val="21"/>
          <w:highlight w:val="none"/>
        </w:rPr>
        <w:t>投诉事项1：</w:t>
      </w:r>
      <w:r>
        <w:rPr>
          <w:rFonts w:hint="eastAsia" w:ascii="宋体" w:hAnsi="宋体"/>
          <w:bCs/>
          <w:szCs w:val="20"/>
          <w:highlight w:val="none"/>
          <w:u w:val="single"/>
        </w:rPr>
        <w:t xml:space="preserve">                                                                      </w:t>
      </w:r>
    </w:p>
    <w:p>
      <w:pPr>
        <w:spacing w:line="400" w:lineRule="exact"/>
        <w:ind w:firstLine="420" w:firstLineChars="200"/>
        <w:rPr>
          <w:rFonts w:hint="eastAsia" w:ascii="宋体" w:hAnsi="宋体"/>
          <w:bCs/>
          <w:szCs w:val="20"/>
          <w:highlight w:val="none"/>
          <w:u w:val="single"/>
        </w:rPr>
      </w:pPr>
      <w:r>
        <w:rPr>
          <w:rFonts w:hint="eastAsia" w:ascii="宋体" w:hAnsi="宋体"/>
          <w:bCs/>
          <w:szCs w:val="20"/>
          <w:highlight w:val="none"/>
        </w:rPr>
        <w:t>事实依据：</w:t>
      </w:r>
      <w:r>
        <w:rPr>
          <w:rFonts w:hint="eastAsia" w:ascii="宋体" w:hAnsi="宋体"/>
          <w:szCs w:val="21"/>
          <w:highlight w:val="none"/>
        </w:rPr>
        <w:t xml:space="preserve"> </w:t>
      </w:r>
      <w:r>
        <w:rPr>
          <w:rFonts w:hint="eastAsia" w:ascii="宋体" w:hAnsi="宋体"/>
          <w:bCs/>
          <w:szCs w:val="20"/>
          <w:highlight w:val="none"/>
          <w:u w:val="single"/>
        </w:rPr>
        <w:t xml:space="preserve">                                                                       </w:t>
      </w:r>
    </w:p>
    <w:p>
      <w:pPr>
        <w:spacing w:line="400" w:lineRule="exact"/>
        <w:ind w:left="25" w:leftChars="12" w:firstLine="413" w:firstLineChars="197"/>
        <w:rPr>
          <w:rFonts w:hint="eastAsia" w:ascii="宋体" w:hAnsi="宋体"/>
          <w:szCs w:val="21"/>
          <w:highlight w:val="none"/>
        </w:rPr>
      </w:pPr>
      <w:r>
        <w:rPr>
          <w:rFonts w:hint="eastAsia" w:ascii="宋体" w:hAnsi="宋体"/>
          <w:bCs/>
          <w:szCs w:val="20"/>
          <w:highlight w:val="none"/>
          <w:u w:val="single"/>
        </w:rPr>
        <w:t xml:space="preserve">                                                                                  </w:t>
      </w:r>
    </w:p>
    <w:p>
      <w:pPr>
        <w:spacing w:line="400" w:lineRule="exact"/>
        <w:ind w:firstLine="420" w:firstLineChars="200"/>
        <w:rPr>
          <w:rFonts w:hint="eastAsia" w:ascii="宋体" w:hAnsi="宋体"/>
          <w:bCs/>
          <w:szCs w:val="20"/>
          <w:highlight w:val="none"/>
          <w:u w:val="single"/>
        </w:rPr>
      </w:pPr>
      <w:r>
        <w:rPr>
          <w:rFonts w:hint="eastAsia" w:ascii="宋体" w:hAnsi="宋体"/>
          <w:bCs/>
          <w:szCs w:val="20"/>
          <w:highlight w:val="none"/>
        </w:rPr>
        <w:t>法律依据：</w:t>
      </w:r>
      <w:r>
        <w:rPr>
          <w:rFonts w:hint="eastAsia" w:ascii="宋体" w:hAnsi="宋体"/>
          <w:szCs w:val="21"/>
          <w:highlight w:val="none"/>
        </w:rPr>
        <w:t xml:space="preserve"> </w:t>
      </w:r>
      <w:r>
        <w:rPr>
          <w:rFonts w:hint="eastAsia" w:ascii="宋体" w:hAnsi="宋体"/>
          <w:bCs/>
          <w:szCs w:val="20"/>
          <w:highlight w:val="none"/>
          <w:u w:val="single"/>
        </w:rPr>
        <w:t xml:space="preserve">                                                                       </w:t>
      </w:r>
    </w:p>
    <w:p>
      <w:pPr>
        <w:spacing w:line="400" w:lineRule="exact"/>
        <w:ind w:left="25" w:leftChars="12" w:firstLine="308" w:firstLineChars="147"/>
        <w:rPr>
          <w:rFonts w:hint="eastAsia" w:ascii="宋体" w:hAnsi="宋体"/>
          <w:bCs/>
          <w:szCs w:val="20"/>
          <w:highlight w:val="none"/>
          <w:u w:val="single"/>
        </w:rPr>
      </w:pPr>
      <w:r>
        <w:rPr>
          <w:rFonts w:hint="eastAsia" w:ascii="宋体" w:hAnsi="宋体"/>
          <w:bCs/>
          <w:szCs w:val="20"/>
          <w:highlight w:val="none"/>
        </w:rPr>
        <w:t xml:space="preserve"> </w:t>
      </w:r>
      <w:r>
        <w:rPr>
          <w:rFonts w:hint="eastAsia" w:ascii="宋体" w:hAnsi="宋体"/>
          <w:bCs/>
          <w:szCs w:val="20"/>
          <w:highlight w:val="none"/>
          <w:u w:val="single"/>
        </w:rPr>
        <w:t xml:space="preserve">                                                                                  </w:t>
      </w:r>
    </w:p>
    <w:p>
      <w:pPr>
        <w:spacing w:line="400" w:lineRule="exact"/>
        <w:ind w:left="25" w:leftChars="12" w:firstLine="413" w:firstLineChars="197"/>
        <w:rPr>
          <w:rFonts w:hint="eastAsia" w:ascii="宋体" w:hAnsi="宋体"/>
          <w:bCs/>
          <w:szCs w:val="20"/>
          <w:highlight w:val="none"/>
        </w:rPr>
      </w:pPr>
      <w:r>
        <w:rPr>
          <w:rFonts w:hint="eastAsia" w:ascii="宋体" w:hAnsi="宋体"/>
          <w:szCs w:val="21"/>
          <w:highlight w:val="none"/>
        </w:rPr>
        <w:t xml:space="preserve">投诉事项2 </w:t>
      </w:r>
    </w:p>
    <w:p>
      <w:pPr>
        <w:spacing w:line="400" w:lineRule="exact"/>
        <w:ind w:left="25" w:leftChars="12" w:firstLine="413" w:firstLineChars="197"/>
        <w:rPr>
          <w:rFonts w:hint="eastAsia" w:ascii="宋体" w:hAnsi="宋体"/>
          <w:bCs/>
          <w:szCs w:val="20"/>
          <w:highlight w:val="none"/>
        </w:rPr>
      </w:pPr>
      <w:r>
        <w:rPr>
          <w:rFonts w:hint="eastAsia" w:ascii="宋体" w:hAnsi="宋体"/>
          <w:bCs/>
          <w:szCs w:val="20"/>
          <w:highlight w:val="none"/>
        </w:rPr>
        <w:t>……</w:t>
      </w:r>
    </w:p>
    <w:p>
      <w:pPr>
        <w:spacing w:line="400" w:lineRule="exact"/>
        <w:ind w:left="25" w:leftChars="12" w:firstLine="413" w:firstLineChars="196"/>
        <w:rPr>
          <w:rFonts w:hint="eastAsia" w:ascii="宋体" w:hAnsi="宋体"/>
          <w:b/>
          <w:szCs w:val="21"/>
          <w:highlight w:val="none"/>
        </w:rPr>
      </w:pPr>
      <w:r>
        <w:rPr>
          <w:rFonts w:hint="eastAsia" w:ascii="宋体" w:hAnsi="宋体"/>
          <w:b/>
          <w:szCs w:val="21"/>
          <w:highlight w:val="none"/>
        </w:rPr>
        <w:t>五、与投诉事项相关的投诉请求：</w:t>
      </w:r>
    </w:p>
    <w:p>
      <w:pPr>
        <w:spacing w:line="400" w:lineRule="exact"/>
        <w:ind w:left="25" w:leftChars="12" w:firstLine="413" w:firstLineChars="197"/>
        <w:rPr>
          <w:rFonts w:hint="eastAsia" w:ascii="宋体" w:hAnsi="宋体"/>
          <w:szCs w:val="21"/>
          <w:highlight w:val="none"/>
        </w:rPr>
      </w:pPr>
      <w:r>
        <w:rPr>
          <w:rFonts w:hint="eastAsia" w:ascii="宋体" w:hAnsi="宋体"/>
          <w:szCs w:val="21"/>
          <w:highlight w:val="none"/>
        </w:rPr>
        <w:t>请求：</w:t>
      </w:r>
      <w:r>
        <w:rPr>
          <w:rFonts w:hint="eastAsia" w:ascii="宋体" w:hAnsi="宋体"/>
          <w:bCs/>
          <w:szCs w:val="20"/>
          <w:highlight w:val="none"/>
          <w:u w:val="single"/>
        </w:rPr>
        <w:t xml:space="preserve">                                                                            </w:t>
      </w:r>
    </w:p>
    <w:p>
      <w:pPr>
        <w:spacing w:line="400" w:lineRule="exact"/>
        <w:ind w:left="25" w:leftChars="12" w:firstLine="308" w:firstLineChars="147"/>
        <w:rPr>
          <w:rFonts w:hint="eastAsia" w:ascii="宋体" w:hAnsi="宋体"/>
          <w:szCs w:val="21"/>
          <w:highlight w:val="none"/>
        </w:rPr>
      </w:pPr>
    </w:p>
    <w:p>
      <w:pPr>
        <w:spacing w:line="400" w:lineRule="exact"/>
        <w:ind w:left="25" w:leftChars="12" w:firstLine="413" w:firstLineChars="197"/>
        <w:rPr>
          <w:rFonts w:hint="eastAsia" w:ascii="宋体" w:hAnsi="宋体"/>
          <w:szCs w:val="21"/>
          <w:highlight w:val="none"/>
        </w:rPr>
      </w:pPr>
      <w:r>
        <w:rPr>
          <w:rFonts w:hint="eastAsia" w:ascii="宋体" w:hAnsi="宋体"/>
          <w:szCs w:val="21"/>
          <w:highlight w:val="none"/>
        </w:rPr>
        <w:t>签字（签章）：                                       公章：</w:t>
      </w:r>
    </w:p>
    <w:p>
      <w:pPr>
        <w:spacing w:line="400" w:lineRule="exact"/>
        <w:ind w:left="25" w:leftChars="12" w:firstLine="308" w:firstLineChars="147"/>
        <w:rPr>
          <w:rFonts w:hint="eastAsia" w:ascii="宋体" w:hAnsi="宋体"/>
          <w:szCs w:val="21"/>
          <w:highlight w:val="none"/>
        </w:rPr>
      </w:pPr>
    </w:p>
    <w:p>
      <w:pPr>
        <w:spacing w:line="400" w:lineRule="exact"/>
        <w:ind w:left="25" w:leftChars="12" w:firstLine="413" w:firstLineChars="197"/>
        <w:rPr>
          <w:rFonts w:hint="eastAsia" w:ascii="宋体" w:hAnsi="宋体"/>
          <w:szCs w:val="21"/>
          <w:highlight w:val="none"/>
        </w:rPr>
      </w:pPr>
      <w:r>
        <w:rPr>
          <w:rFonts w:hint="eastAsia" w:ascii="宋体" w:hAnsi="宋体"/>
          <w:szCs w:val="21"/>
          <w:highlight w:val="none"/>
        </w:rPr>
        <w:t>日期：</w:t>
      </w:r>
    </w:p>
    <w:p>
      <w:pPr>
        <w:spacing w:line="360" w:lineRule="exact"/>
        <w:ind w:left="25" w:leftChars="12" w:firstLine="413" w:firstLineChars="197"/>
        <w:rPr>
          <w:rFonts w:hint="eastAsia" w:ascii="宋体" w:hAnsi="宋体"/>
          <w:szCs w:val="21"/>
          <w:highlight w:val="none"/>
        </w:rPr>
      </w:pPr>
      <w:r>
        <w:rPr>
          <w:rFonts w:hint="eastAsia" w:ascii="宋体" w:hAnsi="宋体"/>
          <w:bCs/>
          <w:szCs w:val="20"/>
          <w:highlight w:val="none"/>
        </w:rPr>
        <w:t xml:space="preserve">                                                                                 </w:t>
      </w:r>
    </w:p>
    <w:p>
      <w:pPr>
        <w:snapToGrid w:val="0"/>
        <w:spacing w:line="340" w:lineRule="exact"/>
        <w:rPr>
          <w:rFonts w:hint="eastAsia" w:ascii="宋体" w:hAnsi="宋体"/>
          <w:b/>
          <w:szCs w:val="21"/>
          <w:highlight w:val="none"/>
        </w:rPr>
      </w:pPr>
      <w:r>
        <w:rPr>
          <w:rFonts w:hint="eastAsia" w:ascii="宋体" w:hAnsi="宋体"/>
          <w:b/>
          <w:szCs w:val="21"/>
          <w:highlight w:val="none"/>
        </w:rPr>
        <w:t>说明：</w:t>
      </w:r>
    </w:p>
    <w:p>
      <w:pPr>
        <w:spacing w:line="340" w:lineRule="exact"/>
        <w:ind w:left="25" w:leftChars="12" w:firstLine="310" w:firstLineChars="147"/>
        <w:rPr>
          <w:rFonts w:hint="eastAsia" w:ascii="宋体" w:hAnsi="宋体"/>
          <w:b/>
          <w:bCs/>
          <w:szCs w:val="20"/>
          <w:highlight w:val="none"/>
        </w:rPr>
      </w:pPr>
      <w:r>
        <w:rPr>
          <w:rFonts w:hint="eastAsia" w:ascii="宋体" w:hAnsi="宋体"/>
          <w:b/>
          <w:szCs w:val="21"/>
          <w:highlight w:val="none"/>
        </w:rPr>
        <w:t>1.投诉人提起投诉时，应当提交投诉书和必要的证明材料，并按照被投诉人和与投诉事项有关的供应商数量提供投诉书副本。</w:t>
      </w:r>
    </w:p>
    <w:p>
      <w:pPr>
        <w:spacing w:line="340" w:lineRule="exact"/>
        <w:ind w:left="25" w:leftChars="12" w:firstLine="310" w:firstLineChars="147"/>
        <w:rPr>
          <w:rFonts w:hint="eastAsia" w:ascii="宋体" w:hAnsi="宋体"/>
          <w:b/>
          <w:szCs w:val="21"/>
          <w:highlight w:val="none"/>
        </w:rPr>
      </w:pPr>
      <w:r>
        <w:rPr>
          <w:rFonts w:hint="eastAsia" w:ascii="宋体" w:hAnsi="宋体"/>
          <w:b/>
          <w:szCs w:val="21"/>
          <w:highlight w:val="none"/>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spacing w:line="340" w:lineRule="exact"/>
        <w:ind w:left="25" w:leftChars="12" w:firstLine="310" w:firstLineChars="147"/>
        <w:rPr>
          <w:rFonts w:hint="eastAsia" w:ascii="宋体" w:hAnsi="宋体"/>
          <w:b/>
          <w:szCs w:val="21"/>
          <w:highlight w:val="none"/>
        </w:rPr>
      </w:pPr>
      <w:r>
        <w:rPr>
          <w:rFonts w:hint="eastAsia" w:ascii="宋体" w:hAnsi="宋体"/>
          <w:b/>
          <w:szCs w:val="21"/>
          <w:highlight w:val="none"/>
        </w:rPr>
        <w:t>3.投诉人若对项目的某一分包进行投诉，投诉书应列明具体分包号。</w:t>
      </w:r>
    </w:p>
    <w:p>
      <w:pPr>
        <w:spacing w:line="340" w:lineRule="exact"/>
        <w:ind w:left="25" w:leftChars="12" w:firstLine="310" w:firstLineChars="147"/>
        <w:rPr>
          <w:rFonts w:hint="eastAsia" w:ascii="宋体" w:hAnsi="宋体"/>
          <w:b/>
          <w:szCs w:val="21"/>
          <w:highlight w:val="none"/>
        </w:rPr>
      </w:pPr>
      <w:r>
        <w:rPr>
          <w:rFonts w:hint="eastAsia" w:ascii="宋体" w:hAnsi="宋体"/>
          <w:b/>
          <w:szCs w:val="21"/>
          <w:highlight w:val="none"/>
        </w:rPr>
        <w:t>4.投诉书应简要列明质疑事项，质疑函、质疑答复等作为附件材料提供。</w:t>
      </w:r>
    </w:p>
    <w:p>
      <w:pPr>
        <w:spacing w:line="340" w:lineRule="exact"/>
        <w:ind w:left="25" w:leftChars="12" w:firstLine="310" w:firstLineChars="147"/>
        <w:rPr>
          <w:rFonts w:hint="eastAsia" w:ascii="宋体" w:hAnsi="宋体"/>
          <w:b/>
          <w:szCs w:val="21"/>
          <w:highlight w:val="none"/>
        </w:rPr>
      </w:pPr>
      <w:r>
        <w:rPr>
          <w:rFonts w:hint="eastAsia" w:ascii="宋体" w:hAnsi="宋体"/>
          <w:b/>
          <w:szCs w:val="21"/>
          <w:highlight w:val="none"/>
        </w:rPr>
        <w:t>5.投诉书的投诉事项应具体、明确，并有必要的事实依据和法律依据。</w:t>
      </w:r>
    </w:p>
    <w:p>
      <w:pPr>
        <w:spacing w:line="340" w:lineRule="exact"/>
        <w:ind w:left="25" w:leftChars="12" w:firstLine="310" w:firstLineChars="147"/>
        <w:rPr>
          <w:rFonts w:hint="eastAsia" w:ascii="宋体" w:hAnsi="宋体"/>
          <w:b/>
          <w:szCs w:val="21"/>
          <w:highlight w:val="none"/>
        </w:rPr>
      </w:pPr>
      <w:r>
        <w:rPr>
          <w:rFonts w:hint="eastAsia" w:ascii="宋体" w:hAnsi="宋体"/>
          <w:b/>
          <w:szCs w:val="21"/>
          <w:highlight w:val="none"/>
        </w:rPr>
        <w:t>6.投诉书的投诉请求应与投诉事项相关。</w:t>
      </w:r>
    </w:p>
    <w:p>
      <w:pPr>
        <w:spacing w:line="340" w:lineRule="exact"/>
        <w:ind w:left="25" w:leftChars="12" w:firstLine="310" w:firstLineChars="147"/>
        <w:rPr>
          <w:rFonts w:hint="eastAsia" w:ascii="宋体" w:hAnsi="宋体"/>
          <w:b/>
          <w:szCs w:val="21"/>
          <w:highlight w:val="none"/>
        </w:rPr>
      </w:pPr>
      <w:r>
        <w:rPr>
          <w:rFonts w:hint="eastAsia" w:ascii="宋体" w:hAnsi="宋体"/>
          <w:b/>
          <w:szCs w:val="21"/>
          <w:highlight w:val="none"/>
        </w:rPr>
        <w:t>7.投诉人为自然人的，投诉书应当由本人签字；投诉人为法人或者其他组织的，投诉书应当由法定代表人、主要负责人，或者其授权代表签字或者盖章，并加盖公章。</w:t>
      </w:r>
    </w:p>
    <w:p>
      <w:pPr>
        <w:spacing w:line="500" w:lineRule="exact"/>
        <w:rPr>
          <w:rFonts w:hint="eastAsia" w:ascii="宋体" w:hAnsi="宋体"/>
          <w:b/>
          <w:sz w:val="32"/>
          <w:szCs w:val="32"/>
          <w:highlight w:val="none"/>
        </w:rPr>
      </w:pPr>
    </w:p>
    <w:p>
      <w:pPr>
        <w:spacing w:line="500" w:lineRule="exact"/>
        <w:jc w:val="center"/>
        <w:rPr>
          <w:rFonts w:hint="eastAsia" w:ascii="宋体" w:hAnsi="宋体"/>
          <w:b/>
          <w:sz w:val="32"/>
          <w:szCs w:val="32"/>
          <w:highlight w:val="none"/>
        </w:rPr>
      </w:pPr>
    </w:p>
    <w:p>
      <w:pPr>
        <w:spacing w:line="500" w:lineRule="exact"/>
        <w:jc w:val="center"/>
        <w:rPr>
          <w:rFonts w:hint="eastAsia" w:ascii="宋体" w:hAnsi="宋体"/>
          <w:b/>
          <w:sz w:val="32"/>
          <w:szCs w:val="32"/>
          <w:highlight w:val="none"/>
        </w:rPr>
      </w:pPr>
    </w:p>
    <w:p>
      <w:pPr>
        <w:spacing w:line="500" w:lineRule="exact"/>
        <w:jc w:val="center"/>
        <w:rPr>
          <w:rFonts w:hint="eastAsia" w:ascii="宋体" w:hAnsi="宋体"/>
          <w:b/>
          <w:sz w:val="32"/>
          <w:szCs w:val="32"/>
          <w:highlight w:val="none"/>
        </w:rPr>
      </w:pPr>
    </w:p>
    <w:p>
      <w:pPr>
        <w:spacing w:line="500" w:lineRule="exact"/>
        <w:jc w:val="center"/>
        <w:rPr>
          <w:rFonts w:hint="eastAsia" w:ascii="宋体" w:hAnsi="宋体"/>
          <w:b/>
          <w:sz w:val="32"/>
          <w:szCs w:val="32"/>
          <w:highlight w:val="none"/>
        </w:rPr>
      </w:pPr>
    </w:p>
    <w:p>
      <w:pPr>
        <w:spacing w:line="500" w:lineRule="exact"/>
        <w:jc w:val="center"/>
        <w:rPr>
          <w:rFonts w:hint="eastAsia" w:ascii="宋体" w:hAnsi="宋体"/>
          <w:b/>
          <w:sz w:val="32"/>
          <w:szCs w:val="32"/>
          <w:highlight w:val="none"/>
        </w:rPr>
      </w:pPr>
    </w:p>
    <w:p>
      <w:pPr>
        <w:spacing w:line="500" w:lineRule="exact"/>
        <w:jc w:val="center"/>
        <w:rPr>
          <w:rFonts w:hint="eastAsia" w:ascii="宋体" w:hAnsi="宋体"/>
          <w:b/>
          <w:sz w:val="32"/>
          <w:szCs w:val="32"/>
          <w:highlight w:val="none"/>
        </w:rPr>
      </w:pPr>
    </w:p>
    <w:p>
      <w:pPr>
        <w:spacing w:line="500" w:lineRule="exact"/>
        <w:jc w:val="center"/>
        <w:rPr>
          <w:rFonts w:hint="eastAsia" w:ascii="宋体" w:hAnsi="宋体"/>
          <w:b/>
          <w:sz w:val="32"/>
          <w:szCs w:val="32"/>
          <w:highlight w:val="none"/>
        </w:rPr>
      </w:pPr>
    </w:p>
    <w:p>
      <w:pPr>
        <w:spacing w:line="500" w:lineRule="exact"/>
        <w:jc w:val="center"/>
        <w:rPr>
          <w:rFonts w:hint="eastAsia" w:ascii="宋体" w:hAnsi="宋体"/>
          <w:b/>
          <w:sz w:val="32"/>
          <w:szCs w:val="32"/>
          <w:highlight w:val="none"/>
        </w:rPr>
      </w:pPr>
    </w:p>
    <w:p>
      <w:pPr>
        <w:spacing w:line="500" w:lineRule="exact"/>
        <w:jc w:val="center"/>
        <w:rPr>
          <w:rFonts w:hint="eastAsia" w:ascii="宋体" w:hAnsi="宋体"/>
          <w:b/>
          <w:sz w:val="32"/>
          <w:szCs w:val="32"/>
          <w:highlight w:val="none"/>
        </w:rPr>
      </w:pPr>
    </w:p>
    <w:p>
      <w:pPr>
        <w:widowControl/>
        <w:shd w:val="clear" w:color="auto" w:fill="FFFFFF"/>
        <w:spacing w:line="480" w:lineRule="atLeast"/>
        <w:rPr>
          <w:rFonts w:hint="eastAsia" w:hAnsi="宋体"/>
          <w:b/>
          <w:bCs/>
          <w:sz w:val="24"/>
          <w:highlight w:val="none"/>
        </w:rPr>
      </w:pPr>
    </w:p>
    <w:p>
      <w:pPr>
        <w:widowControl/>
        <w:shd w:val="clear" w:color="auto" w:fill="FFFFFF"/>
        <w:spacing w:line="480" w:lineRule="atLeast"/>
        <w:rPr>
          <w:rFonts w:hint="eastAsia" w:hAnsi="宋体"/>
          <w:b/>
          <w:bCs/>
          <w:sz w:val="24"/>
          <w:highlight w:val="none"/>
        </w:rPr>
      </w:pPr>
      <w:r>
        <w:rPr>
          <w:rFonts w:hint="eastAsia" w:hAnsi="宋体"/>
          <w:b/>
          <w:bCs/>
          <w:sz w:val="24"/>
          <w:highlight w:val="none"/>
        </w:rPr>
        <w:t>附表</w:t>
      </w:r>
      <w:r>
        <w:rPr>
          <w:rFonts w:hAnsi="宋体"/>
          <w:b/>
          <w:bCs/>
          <w:sz w:val="24"/>
          <w:highlight w:val="none"/>
        </w:rPr>
        <w:t>3:</w:t>
      </w:r>
    </w:p>
    <w:p>
      <w:pPr>
        <w:widowControl/>
        <w:shd w:val="clear" w:color="auto" w:fill="FFFFFF"/>
        <w:spacing w:line="480" w:lineRule="atLeast"/>
        <w:jc w:val="center"/>
        <w:outlineLvl w:val="0"/>
        <w:rPr>
          <w:rFonts w:ascii="宋体" w:hAnsi="宋体" w:cs="宋体"/>
          <w:b/>
          <w:kern w:val="0"/>
          <w:sz w:val="32"/>
          <w:szCs w:val="32"/>
          <w:highlight w:val="none"/>
        </w:rPr>
      </w:pPr>
      <w:bookmarkStart w:id="32" w:name="_Toc21563"/>
      <w:r>
        <w:rPr>
          <w:rFonts w:hint="eastAsia" w:ascii="宋体" w:hAnsi="宋体" w:cs="黑体"/>
          <w:b/>
          <w:kern w:val="0"/>
          <w:sz w:val="32"/>
          <w:szCs w:val="32"/>
          <w:highlight w:val="none"/>
        </w:rPr>
        <w:t>政府采购项目合同验收报告（格式）</w:t>
      </w:r>
      <w:bookmarkEnd w:id="32"/>
    </w:p>
    <w:p>
      <w:pPr>
        <w:widowControl/>
        <w:shd w:val="clear" w:color="auto" w:fill="FFFFFF"/>
        <w:spacing w:line="480" w:lineRule="atLeast"/>
        <w:jc w:val="center"/>
        <w:rPr>
          <w:rFonts w:hint="eastAsia" w:ascii="仿宋" w:hAnsi="仿宋" w:eastAsia="仿宋" w:cs="宋体"/>
          <w:kern w:val="0"/>
          <w:sz w:val="32"/>
          <w:szCs w:val="32"/>
          <w:highlight w:val="none"/>
        </w:rPr>
      </w:pPr>
    </w:p>
    <w:p>
      <w:pPr>
        <w:widowControl/>
        <w:shd w:val="clear" w:color="auto" w:fill="FFFFFF"/>
        <w:snapToGrid w:val="0"/>
        <w:spacing w:line="320" w:lineRule="atLeast"/>
        <w:ind w:firstLine="480"/>
        <w:jc w:val="left"/>
        <w:rPr>
          <w:rFonts w:hint="eastAsia" w:ascii="仿宋" w:hAnsi="仿宋" w:eastAsia="仿宋" w:cs="宋体"/>
          <w:kern w:val="0"/>
          <w:highlight w:val="none"/>
        </w:rPr>
      </w:pPr>
      <w:r>
        <w:rPr>
          <w:rFonts w:hint="eastAsia" w:ascii="仿宋" w:hAnsi="仿宋" w:eastAsia="仿宋" w:cs="宋体"/>
          <w:kern w:val="0"/>
          <w:highlight w:val="none"/>
        </w:rPr>
        <w:t>根据政府采购项目（</w:t>
      </w:r>
      <w:r>
        <w:rPr>
          <w:rFonts w:hint="eastAsia" w:ascii="仿宋" w:hAnsi="仿宋" w:eastAsia="仿宋" w:cs="宋体"/>
          <w:kern w:val="0"/>
          <w:highlight w:val="none"/>
          <w:u w:val="single"/>
        </w:rPr>
        <w:t>采购合同编号：</w:t>
      </w:r>
      <w:r>
        <w:rPr>
          <w:rFonts w:hint="eastAsia" w:ascii="仿宋" w:hAnsi="仿宋" w:eastAsia="仿宋" w:cs="宋体"/>
          <w:kern w:val="0"/>
          <w:highlight w:val="none"/>
          <w:u w:val="single"/>
        </w:rPr>
        <w:softHyphen/>
      </w:r>
      <w:r>
        <w:rPr>
          <w:rFonts w:hint="eastAsia" w:ascii="仿宋" w:hAnsi="仿宋" w:eastAsia="仿宋" w:cs="宋体"/>
          <w:kern w:val="0"/>
          <w:highlight w:val="none"/>
          <w:u w:val="single"/>
        </w:rPr>
        <w:t xml:space="preserve"> </w:t>
      </w:r>
      <w:r>
        <w:rPr>
          <w:rFonts w:hint="eastAsia" w:ascii="仿宋" w:hAnsi="仿宋" w:eastAsia="仿宋" w:cs="宋体"/>
          <w:kern w:val="0"/>
          <w:highlight w:val="none"/>
        </w:rPr>
        <w:t>）的约定，我单位对（</w:t>
      </w:r>
      <w:r>
        <w:rPr>
          <w:rFonts w:hint="eastAsia" w:ascii="仿宋" w:hAnsi="仿宋" w:eastAsia="仿宋" w:cs="宋体"/>
          <w:kern w:val="0"/>
          <w:highlight w:val="none"/>
          <w:u w:val="single"/>
        </w:rPr>
        <w:t xml:space="preserve"> 项目名称 </w:t>
      </w:r>
      <w:r>
        <w:rPr>
          <w:rFonts w:hint="eastAsia" w:ascii="仿宋" w:hAnsi="仿宋" w:eastAsia="仿宋" w:cs="宋体"/>
          <w:kern w:val="0"/>
          <w:highlight w:val="none"/>
        </w:rPr>
        <w:t>）政府采购项目中标（或成交）供应商</w:t>
      </w:r>
      <w:r>
        <w:rPr>
          <w:rFonts w:hint="eastAsia" w:ascii="仿宋" w:hAnsi="仿宋" w:eastAsia="仿宋" w:cs="宋体"/>
          <w:kern w:val="0"/>
          <w:highlight w:val="none"/>
          <w:u w:val="single"/>
        </w:rPr>
        <w:t xml:space="preserve">（ 公司名称 ） </w:t>
      </w:r>
      <w:r>
        <w:rPr>
          <w:rFonts w:hint="eastAsia" w:ascii="仿宋" w:hAnsi="仿宋" w:eastAsia="仿宋" w:cs="宋体"/>
          <w:kern w:val="0"/>
          <w:highlight w:val="none"/>
        </w:rPr>
        <w:t>提供的货物（或工程、服务）进行了验收，验收情况如下：</w:t>
      </w:r>
    </w:p>
    <w:tbl>
      <w:tblPr>
        <w:tblStyle w:val="15"/>
        <w:tblW w:w="0" w:type="auto"/>
        <w:jc w:val="center"/>
        <w:tblLayout w:type="fixed"/>
        <w:tblCellMar>
          <w:top w:w="0" w:type="dxa"/>
          <w:left w:w="0" w:type="dxa"/>
          <w:bottom w:w="0" w:type="dxa"/>
          <w:right w:w="0" w:type="dxa"/>
        </w:tblCellMar>
      </w:tblPr>
      <w:tblGrid>
        <w:gridCol w:w="1331"/>
        <w:gridCol w:w="1921"/>
        <w:gridCol w:w="696"/>
        <w:gridCol w:w="102"/>
        <w:gridCol w:w="102"/>
        <w:gridCol w:w="2002"/>
        <w:gridCol w:w="178"/>
        <w:gridCol w:w="685"/>
        <w:gridCol w:w="1428"/>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5"/>
              <w:jc w:val="center"/>
              <w:rPr>
                <w:rFonts w:hint="eastAsia" w:ascii="Verdana" w:hAnsi="Verdana" w:cs="宋体"/>
                <w:kern w:val="0"/>
                <w:highlight w:val="none"/>
              </w:rPr>
            </w:pPr>
            <w:r>
              <w:rPr>
                <w:rFonts w:hint="eastAsia" w:ascii="Verdana" w:hAnsi="Verdana" w:cs="宋体"/>
                <w:kern w:val="0"/>
                <w:highlight w:val="none"/>
              </w:rPr>
              <w:t>验收方式：</w:t>
            </w:r>
          </w:p>
        </w:tc>
        <w:tc>
          <w:tcPr>
            <w:tcW w:w="5193" w:type="dxa"/>
            <w:gridSpan w:val="7"/>
            <w:tcBorders>
              <w:top w:val="single" w:color="auto" w:sz="8" w:space="0"/>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480"/>
              <w:jc w:val="center"/>
              <w:rPr>
                <w:rFonts w:ascii="Verdana" w:hAnsi="Verdana" w:cs="宋体"/>
                <w:kern w:val="0"/>
                <w:highlight w:val="none"/>
              </w:rPr>
            </w:pPr>
            <w:r>
              <w:rPr>
                <w:rFonts w:ascii="Verdana" w:hAnsi="Verdana" w:cs="宋体"/>
                <w:kern w:val="0"/>
                <w:highlight w:val="none"/>
              </w:rPr>
              <w:t>□</w:t>
            </w:r>
            <w:r>
              <w:rPr>
                <w:rFonts w:hint="eastAsia" w:ascii="Verdana" w:hAnsi="Verdana" w:cs="宋体"/>
                <w:kern w:val="0"/>
                <w:highlight w:val="none"/>
              </w:rPr>
              <w:t>自行验收</w:t>
            </w:r>
            <w:r>
              <w:rPr>
                <w:rFonts w:ascii="Verdana" w:hAnsi="Verdana" w:cs="宋体"/>
                <w:kern w:val="0"/>
                <w:highlight w:val="none"/>
              </w:rPr>
              <w:t xml:space="preserve"> □</w:t>
            </w:r>
            <w:r>
              <w:rPr>
                <w:rFonts w:hint="eastAsia" w:ascii="Verdana" w:hAnsi="Verdana" w:cs="宋体"/>
                <w:kern w:val="0"/>
                <w:highlight w:val="none"/>
              </w:rPr>
              <w:t>委托验收</w:t>
            </w:r>
          </w:p>
        </w:tc>
      </w:tr>
      <w:tr>
        <w:tblPrEx>
          <w:tblCellMar>
            <w:top w:w="0" w:type="dxa"/>
            <w:left w:w="0" w:type="dxa"/>
            <w:bottom w:w="0" w:type="dxa"/>
            <w:right w:w="0" w:type="dxa"/>
          </w:tblCellMar>
        </w:tblPrEx>
        <w:trPr>
          <w:trHeight w:val="622" w:hRule="atLeast"/>
          <w:jc w:val="center"/>
        </w:trPr>
        <w:tc>
          <w:tcPr>
            <w:tcW w:w="1331" w:type="dxa"/>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ascii="Verdana" w:hAnsi="Verdana" w:cs="宋体"/>
                <w:kern w:val="0"/>
                <w:highlight w:val="none"/>
              </w:rPr>
            </w:pPr>
            <w:r>
              <w:rPr>
                <w:rFonts w:hint="eastAsia" w:ascii="Verdana" w:hAnsi="Verdana" w:cs="宋体"/>
                <w:kern w:val="0"/>
                <w:highlight w:val="none"/>
              </w:rPr>
              <w:t>序号</w:t>
            </w:r>
          </w:p>
        </w:tc>
        <w:tc>
          <w:tcPr>
            <w:tcW w:w="1921" w:type="dxa"/>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ascii="Verdana" w:hAnsi="Verdana" w:cs="宋体"/>
                <w:kern w:val="0"/>
                <w:highlight w:val="none"/>
              </w:rPr>
            </w:pPr>
            <w:r>
              <w:rPr>
                <w:rFonts w:hint="eastAsia" w:ascii="Verdana" w:hAnsi="Verdana" w:cs="宋体"/>
                <w:kern w:val="0"/>
                <w:highlight w:val="none"/>
              </w:rPr>
              <w:t>名</w:t>
            </w:r>
            <w:r>
              <w:rPr>
                <w:rFonts w:ascii="Verdana" w:hAnsi="Verdana" w:cs="宋体"/>
                <w:kern w:val="0"/>
                <w:highlight w:val="none"/>
              </w:rPr>
              <w:t xml:space="preserve"> </w:t>
            </w:r>
            <w:r>
              <w:rPr>
                <w:rFonts w:hint="eastAsia" w:ascii="Verdana" w:hAnsi="Verdana" w:cs="宋体"/>
                <w:kern w:val="0"/>
                <w:highlight w:val="none"/>
              </w:rPr>
              <w:t>称</w:t>
            </w:r>
          </w:p>
        </w:tc>
        <w:tc>
          <w:tcPr>
            <w:tcW w:w="2902" w:type="dxa"/>
            <w:gridSpan w:val="4"/>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ascii="Verdana" w:hAnsi="Verdana" w:cs="宋体"/>
                <w:kern w:val="0"/>
                <w:highlight w:val="none"/>
              </w:rPr>
            </w:pPr>
            <w:r>
              <w:rPr>
                <w:rFonts w:hint="eastAsia" w:ascii="Verdana" w:hAnsi="Verdana" w:cs="宋体"/>
                <w:kern w:val="0"/>
                <w:highlight w:val="none"/>
              </w:rPr>
              <w:t>货物型号规格、标准及配置等（或服务内容、标准）</w:t>
            </w:r>
          </w:p>
        </w:tc>
        <w:tc>
          <w:tcPr>
            <w:tcW w:w="863" w:type="dxa"/>
            <w:gridSpan w:val="2"/>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jc w:val="center"/>
              <w:rPr>
                <w:rFonts w:ascii="Verdana" w:hAnsi="Verdana" w:cs="宋体"/>
                <w:kern w:val="0"/>
                <w:highlight w:val="none"/>
              </w:rPr>
            </w:pPr>
            <w:r>
              <w:rPr>
                <w:rFonts w:hint="eastAsia" w:ascii="Verdana" w:hAnsi="Verdana" w:cs="宋体"/>
                <w:kern w:val="0"/>
                <w:highlight w:val="none"/>
              </w:rPr>
              <w:t>数量</w:t>
            </w:r>
          </w:p>
        </w:tc>
        <w:tc>
          <w:tcPr>
            <w:tcW w:w="1428" w:type="dxa"/>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ascii="Verdana" w:hAnsi="Verdana" w:cs="宋体"/>
                <w:kern w:val="0"/>
                <w:highlight w:val="none"/>
              </w:rPr>
            </w:pPr>
            <w:r>
              <w:rPr>
                <w:rFonts w:hint="eastAsia" w:ascii="Verdana" w:hAnsi="Verdana" w:cs="宋体"/>
                <w:kern w:val="0"/>
                <w:highlight w:val="none"/>
              </w:rPr>
              <w:t>金</w:t>
            </w:r>
            <w:r>
              <w:rPr>
                <w:rFonts w:ascii="Verdana" w:hAnsi="Verdana" w:cs="宋体"/>
                <w:kern w:val="0"/>
                <w:highlight w:val="none"/>
              </w:rPr>
              <w:t xml:space="preserve"> </w:t>
            </w:r>
            <w:r>
              <w:rPr>
                <w:rFonts w:hint="eastAsia" w:ascii="Verdana" w:hAnsi="Verdana" w:cs="宋体"/>
                <w:kern w:val="0"/>
                <w:highlight w:val="none"/>
              </w:rPr>
              <w:t>额</w:t>
            </w: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kern w:val="0"/>
                <w:highlight w:val="none"/>
              </w:rPr>
            </w:pPr>
          </w:p>
        </w:tc>
        <w:tc>
          <w:tcPr>
            <w:tcW w:w="1921"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kern w:val="0"/>
                <w:highlight w:val="none"/>
              </w:rPr>
            </w:pPr>
          </w:p>
        </w:tc>
        <w:tc>
          <w:tcPr>
            <w:tcW w:w="2902" w:type="dxa"/>
            <w:gridSpan w:val="4"/>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kern w:val="0"/>
                <w:highlight w:val="none"/>
              </w:rPr>
            </w:pPr>
          </w:p>
        </w:tc>
        <w:tc>
          <w:tcPr>
            <w:tcW w:w="86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kern w:val="0"/>
                <w:highlight w:val="none"/>
              </w:rPr>
            </w:pPr>
          </w:p>
        </w:tc>
        <w:tc>
          <w:tcPr>
            <w:tcW w:w="1428"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kern w:val="0"/>
                <w:highlight w:val="none"/>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kern w:val="0"/>
                <w:highlight w:val="none"/>
              </w:rPr>
            </w:pPr>
          </w:p>
        </w:tc>
        <w:tc>
          <w:tcPr>
            <w:tcW w:w="1921"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kern w:val="0"/>
                <w:highlight w:val="none"/>
              </w:rPr>
            </w:pPr>
          </w:p>
        </w:tc>
        <w:tc>
          <w:tcPr>
            <w:tcW w:w="2902" w:type="dxa"/>
            <w:gridSpan w:val="4"/>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kern w:val="0"/>
                <w:highlight w:val="none"/>
              </w:rPr>
            </w:pPr>
          </w:p>
        </w:tc>
        <w:tc>
          <w:tcPr>
            <w:tcW w:w="86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kern w:val="0"/>
                <w:highlight w:val="none"/>
              </w:rPr>
            </w:pPr>
          </w:p>
        </w:tc>
        <w:tc>
          <w:tcPr>
            <w:tcW w:w="1428"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kern w:val="0"/>
                <w:highlight w:val="none"/>
              </w:rPr>
            </w:pPr>
          </w:p>
        </w:tc>
      </w:tr>
      <w:tr>
        <w:tblPrEx>
          <w:tblCellMar>
            <w:top w:w="0" w:type="dxa"/>
            <w:left w:w="0" w:type="dxa"/>
            <w:bottom w:w="0" w:type="dxa"/>
            <w:right w:w="0" w:type="dxa"/>
          </w:tblCellMar>
        </w:tblPrEx>
        <w:trPr>
          <w:trHeight w:val="487" w:hRule="atLeast"/>
          <w:jc w:val="center"/>
        </w:trPr>
        <w:tc>
          <w:tcPr>
            <w:tcW w:w="1331"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kern w:val="0"/>
                <w:highlight w:val="none"/>
              </w:rPr>
            </w:pPr>
          </w:p>
        </w:tc>
        <w:tc>
          <w:tcPr>
            <w:tcW w:w="1921"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kern w:val="0"/>
                <w:highlight w:val="none"/>
              </w:rPr>
            </w:pPr>
          </w:p>
        </w:tc>
        <w:tc>
          <w:tcPr>
            <w:tcW w:w="2902" w:type="dxa"/>
            <w:gridSpan w:val="4"/>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kern w:val="0"/>
                <w:highlight w:val="none"/>
              </w:rPr>
            </w:pPr>
          </w:p>
        </w:tc>
        <w:tc>
          <w:tcPr>
            <w:tcW w:w="86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kern w:val="0"/>
                <w:highlight w:val="none"/>
              </w:rPr>
            </w:pPr>
          </w:p>
        </w:tc>
        <w:tc>
          <w:tcPr>
            <w:tcW w:w="1428"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kern w:val="0"/>
                <w:highlight w:val="none"/>
              </w:rPr>
            </w:pPr>
          </w:p>
        </w:tc>
      </w:tr>
      <w:tr>
        <w:tblPrEx>
          <w:tblCellMar>
            <w:top w:w="0" w:type="dxa"/>
            <w:left w:w="0" w:type="dxa"/>
            <w:bottom w:w="0" w:type="dxa"/>
            <w:right w:w="0" w:type="dxa"/>
          </w:tblCellMar>
        </w:tblPrEx>
        <w:trPr>
          <w:trHeight w:val="487" w:hRule="atLeast"/>
          <w:jc w:val="center"/>
        </w:trPr>
        <w:tc>
          <w:tcPr>
            <w:tcW w:w="6154" w:type="dxa"/>
            <w:gridSpan w:val="6"/>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5"/>
              <w:jc w:val="center"/>
              <w:rPr>
                <w:rFonts w:ascii="Verdana" w:hAnsi="Verdana" w:cs="宋体"/>
                <w:kern w:val="0"/>
                <w:highlight w:val="none"/>
              </w:rPr>
            </w:pPr>
            <w:r>
              <w:rPr>
                <w:rFonts w:hint="eastAsia" w:ascii="Verdana" w:hAnsi="Verdana" w:cs="宋体"/>
                <w:kern w:val="0"/>
                <w:highlight w:val="none"/>
              </w:rPr>
              <w:t>合</w:t>
            </w:r>
            <w:r>
              <w:rPr>
                <w:rFonts w:ascii="Verdana" w:hAnsi="Verdana" w:cs="宋体"/>
                <w:kern w:val="0"/>
                <w:highlight w:val="none"/>
              </w:rPr>
              <w:t xml:space="preserve"> </w:t>
            </w:r>
            <w:r>
              <w:rPr>
                <w:rFonts w:hint="eastAsia" w:ascii="Verdana" w:hAnsi="Verdana" w:cs="宋体"/>
                <w:kern w:val="0"/>
                <w:highlight w:val="none"/>
              </w:rPr>
              <w:t>计</w:t>
            </w:r>
          </w:p>
        </w:tc>
        <w:tc>
          <w:tcPr>
            <w:tcW w:w="86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kern w:val="0"/>
                <w:highlight w:val="none"/>
              </w:rPr>
            </w:pPr>
          </w:p>
        </w:tc>
        <w:tc>
          <w:tcPr>
            <w:tcW w:w="1428" w:type="dxa"/>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kern w:val="0"/>
                <w:highlight w:val="none"/>
              </w:rPr>
            </w:pPr>
          </w:p>
        </w:tc>
      </w:tr>
      <w:tr>
        <w:tblPrEx>
          <w:tblCellMar>
            <w:top w:w="0" w:type="dxa"/>
            <w:left w:w="0" w:type="dxa"/>
            <w:bottom w:w="0" w:type="dxa"/>
            <w:right w:w="0" w:type="dxa"/>
          </w:tblCellMar>
        </w:tblPrEx>
        <w:trPr>
          <w:trHeight w:val="641" w:hRule="atLeast"/>
          <w:jc w:val="center"/>
        </w:trPr>
        <w:tc>
          <w:tcPr>
            <w:tcW w:w="8445" w:type="dxa"/>
            <w:gridSpan w:val="9"/>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left"/>
              <w:rPr>
                <w:rFonts w:ascii="Verdana" w:hAnsi="Verdana" w:cs="宋体"/>
                <w:kern w:val="0"/>
                <w:highlight w:val="none"/>
              </w:rPr>
            </w:pPr>
            <w:r>
              <w:rPr>
                <w:rFonts w:hint="eastAsia" w:ascii="Verdana" w:hAnsi="Verdana" w:cs="宋体"/>
                <w:kern w:val="0"/>
                <w:highlight w:val="none"/>
              </w:rPr>
              <w:t>合计大写金额：</w:t>
            </w:r>
            <w:r>
              <w:rPr>
                <w:rFonts w:ascii="Verdana" w:hAnsi="Verdana" w:cs="宋体"/>
                <w:kern w:val="0"/>
                <w:highlight w:val="none"/>
              </w:rPr>
              <w:t xml:space="preserve"> </w:t>
            </w:r>
          </w:p>
        </w:tc>
      </w:tr>
      <w:tr>
        <w:tblPrEx>
          <w:tblCellMar>
            <w:top w:w="0" w:type="dxa"/>
            <w:left w:w="0" w:type="dxa"/>
            <w:bottom w:w="0" w:type="dxa"/>
            <w:right w:w="0" w:type="dxa"/>
          </w:tblCellMar>
        </w:tblPrEx>
        <w:trPr>
          <w:trHeight w:val="641" w:hRule="atLeast"/>
          <w:jc w:val="center"/>
        </w:trPr>
        <w:tc>
          <w:tcPr>
            <w:tcW w:w="1331" w:type="dxa"/>
            <w:tcBorders>
              <w:top w:val="nil"/>
              <w:left w:val="single" w:color="auto" w:sz="8" w:space="0"/>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2"/>
              <w:jc w:val="center"/>
              <w:rPr>
                <w:rFonts w:ascii="Verdana" w:hAnsi="Verdana" w:cs="宋体"/>
                <w:kern w:val="0"/>
                <w:highlight w:val="none"/>
              </w:rPr>
            </w:pPr>
            <w:r>
              <w:rPr>
                <w:rFonts w:hint="eastAsia" w:ascii="Verdana" w:hAnsi="Verdana" w:cs="宋体"/>
                <w:kern w:val="0"/>
                <w:highlight w:val="none"/>
              </w:rPr>
              <w:t>实际供货日期</w:t>
            </w:r>
          </w:p>
        </w:tc>
        <w:tc>
          <w:tcPr>
            <w:tcW w:w="2719" w:type="dxa"/>
            <w:gridSpan w:val="3"/>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kern w:val="0"/>
                <w:highlight w:val="none"/>
              </w:rPr>
            </w:pPr>
          </w:p>
        </w:tc>
        <w:tc>
          <w:tcPr>
            <w:tcW w:w="2282" w:type="dxa"/>
            <w:gridSpan w:val="3"/>
            <w:tcBorders>
              <w:top w:val="nil"/>
              <w:left w:val="nil"/>
              <w:bottom w:val="single" w:color="auto" w:sz="8" w:space="0"/>
              <w:right w:val="single" w:color="auto" w:sz="8" w:space="0"/>
            </w:tcBorders>
            <w:noWrap w:val="0"/>
            <w:vAlign w:val="center"/>
          </w:tcPr>
          <w:p>
            <w:pPr>
              <w:widowControl/>
              <w:snapToGrid w:val="0"/>
              <w:spacing w:before="100" w:beforeAutospacing="1" w:after="100" w:afterAutospacing="1" w:line="320" w:lineRule="atLeast"/>
              <w:ind w:firstLine="46"/>
              <w:jc w:val="center"/>
              <w:rPr>
                <w:rFonts w:ascii="Verdana" w:hAnsi="Verdana" w:cs="宋体"/>
                <w:kern w:val="0"/>
                <w:highlight w:val="none"/>
              </w:rPr>
            </w:pPr>
            <w:r>
              <w:rPr>
                <w:rFonts w:hint="eastAsia" w:ascii="Verdana" w:hAnsi="Verdana" w:cs="宋体"/>
                <w:kern w:val="0"/>
                <w:highlight w:val="none"/>
              </w:rPr>
              <w:t>合同交货验收日期</w:t>
            </w:r>
          </w:p>
        </w:tc>
        <w:tc>
          <w:tcPr>
            <w:tcW w:w="211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kern w:val="0"/>
                <w:highlight w:val="none"/>
              </w:rPr>
            </w:pPr>
          </w:p>
        </w:tc>
      </w:tr>
      <w:tr>
        <w:tblPrEx>
          <w:tblCellMar>
            <w:top w:w="0" w:type="dxa"/>
            <w:left w:w="0" w:type="dxa"/>
            <w:bottom w:w="0" w:type="dxa"/>
            <w:right w:w="0" w:type="dxa"/>
          </w:tblCellMar>
        </w:tblPrEx>
        <w:trPr>
          <w:trHeight w:val="394" w:hRule="atLeast"/>
          <w:jc w:val="center"/>
        </w:trPr>
        <w:tc>
          <w:tcPr>
            <w:tcW w:w="1331" w:type="dxa"/>
            <w:tcBorders>
              <w:top w:val="nil"/>
              <w:left w:val="single" w:color="auto" w:sz="8" w:space="0"/>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kern w:val="0"/>
                <w:highlight w:val="none"/>
              </w:rPr>
            </w:pPr>
          </w:p>
        </w:tc>
        <w:tc>
          <w:tcPr>
            <w:tcW w:w="2719" w:type="dxa"/>
            <w:gridSpan w:val="3"/>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kern w:val="0"/>
                <w:highlight w:val="none"/>
              </w:rPr>
            </w:pPr>
          </w:p>
        </w:tc>
        <w:tc>
          <w:tcPr>
            <w:tcW w:w="2282" w:type="dxa"/>
            <w:gridSpan w:val="3"/>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kern w:val="0"/>
                <w:highlight w:val="none"/>
              </w:rPr>
            </w:pPr>
          </w:p>
        </w:tc>
        <w:tc>
          <w:tcPr>
            <w:tcW w:w="2113" w:type="dxa"/>
            <w:gridSpan w:val="2"/>
            <w:tcBorders>
              <w:top w:val="nil"/>
              <w:left w:val="nil"/>
              <w:bottom w:val="single" w:color="auto" w:sz="8" w:space="0"/>
              <w:right w:val="single" w:color="auto" w:sz="8" w:space="0"/>
            </w:tcBorders>
            <w:noWrap w:val="0"/>
            <w:vAlign w:val="center"/>
          </w:tcPr>
          <w:p>
            <w:pPr>
              <w:widowControl/>
              <w:spacing w:before="100" w:beforeAutospacing="1" w:after="100" w:afterAutospacing="1" w:line="240" w:lineRule="atLeast"/>
              <w:jc w:val="center"/>
              <w:rPr>
                <w:rFonts w:ascii="Verdana" w:hAnsi="Verdana" w:cs="宋体"/>
                <w:kern w:val="0"/>
                <w:highlight w:val="none"/>
              </w:rPr>
            </w:pPr>
          </w:p>
        </w:tc>
      </w:tr>
      <w:tr>
        <w:tblPrEx>
          <w:tblCellMar>
            <w:top w:w="0" w:type="dxa"/>
            <w:left w:w="0" w:type="dxa"/>
            <w:bottom w:w="0" w:type="dxa"/>
            <w:right w:w="0" w:type="dxa"/>
          </w:tblCellMar>
        </w:tblPrEx>
        <w:trPr>
          <w:trHeight w:val="693" w:hRule="atLeast"/>
          <w:jc w:val="center"/>
        </w:trPr>
        <w:tc>
          <w:tcPr>
            <w:tcW w:w="133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kern w:val="0"/>
                <w:highlight w:val="none"/>
              </w:rPr>
            </w:pPr>
            <w:r>
              <w:rPr>
                <w:rFonts w:hint="eastAsia" w:ascii="Verdana" w:hAnsi="Verdana" w:cs="宋体"/>
                <w:kern w:val="0"/>
                <w:highlight w:val="none"/>
              </w:rPr>
              <w:t>验收具体内容</w:t>
            </w:r>
          </w:p>
        </w:tc>
        <w:tc>
          <w:tcPr>
            <w:tcW w:w="7114" w:type="dxa"/>
            <w:gridSpan w:val="8"/>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napToGrid w:val="0"/>
              <w:spacing w:before="100" w:beforeAutospacing="1" w:after="100" w:afterAutospacing="1" w:line="320" w:lineRule="atLeast"/>
              <w:jc w:val="left"/>
              <w:rPr>
                <w:rFonts w:ascii="Verdana" w:hAnsi="Verdana" w:cs="宋体"/>
                <w:kern w:val="0"/>
                <w:highlight w:val="none"/>
              </w:rPr>
            </w:pPr>
            <w:r>
              <w:rPr>
                <w:rFonts w:hint="eastAsia" w:ascii="Verdana" w:hAnsi="Verdana" w:cs="宋体"/>
                <w:kern w:val="0"/>
                <w:highlight w:val="none"/>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r>
              <w:rPr>
                <w:rFonts w:ascii="Verdana" w:hAnsi="Verdana" w:cs="宋体"/>
                <w:kern w:val="0"/>
                <w:highlight w:val="none"/>
              </w:rPr>
              <w:t>)</w:t>
            </w:r>
          </w:p>
        </w:tc>
      </w:tr>
      <w:tr>
        <w:tblPrEx>
          <w:tblCellMar>
            <w:top w:w="0" w:type="dxa"/>
            <w:left w:w="0" w:type="dxa"/>
            <w:bottom w:w="0" w:type="dxa"/>
            <w:right w:w="0" w:type="dxa"/>
          </w:tblCellMar>
        </w:tblPrEx>
        <w:trPr>
          <w:trHeight w:val="1281" w:hRule="atLeast"/>
          <w:jc w:val="center"/>
        </w:trPr>
        <w:tc>
          <w:tcPr>
            <w:tcW w:w="1331"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kern w:val="0"/>
                <w:highlight w:val="none"/>
              </w:rPr>
            </w:pPr>
            <w:r>
              <w:rPr>
                <w:rFonts w:hint="eastAsia" w:ascii="Verdana" w:hAnsi="Verdana" w:cs="宋体"/>
                <w:kern w:val="0"/>
                <w:highlight w:val="none"/>
              </w:rPr>
              <w:t>验收小组意见</w:t>
            </w:r>
          </w:p>
        </w:tc>
        <w:tc>
          <w:tcPr>
            <w:tcW w:w="7114" w:type="dxa"/>
            <w:gridSpan w:val="8"/>
            <w:tcBorders>
              <w:top w:val="nil"/>
              <w:left w:val="nil"/>
              <w:bottom w:val="single" w:color="auto" w:sz="8" w:space="0"/>
              <w:right w:val="single" w:color="auto" w:sz="8" w:space="0"/>
            </w:tcBorders>
            <w:noWrap w:val="0"/>
            <w:vAlign w:val="center"/>
          </w:tcPr>
          <w:p>
            <w:pPr>
              <w:widowControl/>
              <w:spacing w:before="100" w:beforeAutospacing="1" w:after="100" w:afterAutospacing="1" w:line="320" w:lineRule="atLeast"/>
              <w:jc w:val="left"/>
              <w:rPr>
                <w:rFonts w:ascii="Verdana" w:hAnsi="Verdana" w:cs="宋体"/>
                <w:kern w:val="0"/>
                <w:highlight w:val="none"/>
              </w:rPr>
            </w:pPr>
            <w:r>
              <w:rPr>
                <w:rFonts w:hint="eastAsia" w:ascii="Verdana" w:hAnsi="Verdana" w:cs="宋体"/>
                <w:kern w:val="0"/>
                <w:highlight w:val="none"/>
              </w:rPr>
              <w:t>验收结论性意见：</w:t>
            </w:r>
          </w:p>
        </w:tc>
      </w:tr>
      <w:tr>
        <w:tblPrEx>
          <w:tblCellMar>
            <w:top w:w="0" w:type="dxa"/>
            <w:left w:w="0" w:type="dxa"/>
            <w:bottom w:w="0" w:type="dxa"/>
            <w:right w:w="0" w:type="dxa"/>
          </w:tblCellMar>
        </w:tblPrEx>
        <w:trPr>
          <w:trHeight w:val="607" w:hRule="atLeast"/>
          <w:jc w:val="center"/>
        </w:trPr>
        <w:tc>
          <w:tcPr>
            <w:tcW w:w="300"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Verdana" w:hAnsi="Verdana" w:cs="宋体"/>
                <w:kern w:val="0"/>
                <w:highlight w:val="none"/>
              </w:rPr>
            </w:pPr>
          </w:p>
        </w:tc>
        <w:tc>
          <w:tcPr>
            <w:tcW w:w="7114" w:type="dxa"/>
            <w:gridSpan w:val="8"/>
            <w:tcBorders>
              <w:top w:val="nil"/>
              <w:left w:val="nil"/>
              <w:bottom w:val="single" w:color="auto" w:sz="8" w:space="0"/>
              <w:right w:val="single" w:color="auto" w:sz="8" w:space="0"/>
            </w:tcBorders>
            <w:noWrap w:val="0"/>
            <w:vAlign w:val="center"/>
          </w:tcPr>
          <w:p>
            <w:pPr>
              <w:widowControl/>
              <w:spacing w:before="100" w:beforeAutospacing="1" w:after="100" w:afterAutospacing="1" w:line="320" w:lineRule="atLeast"/>
              <w:jc w:val="left"/>
              <w:rPr>
                <w:rFonts w:ascii="Verdana" w:hAnsi="Verdana" w:cs="宋体"/>
                <w:kern w:val="0"/>
                <w:highlight w:val="none"/>
              </w:rPr>
            </w:pPr>
            <w:r>
              <w:rPr>
                <w:rFonts w:hint="eastAsia" w:ascii="Verdana" w:hAnsi="Verdana" w:cs="宋体"/>
                <w:kern w:val="0"/>
                <w:highlight w:val="none"/>
              </w:rPr>
              <w:t>有异议的意见和说明理由：</w:t>
            </w:r>
          </w:p>
          <w:p>
            <w:pPr>
              <w:widowControl/>
              <w:spacing w:before="100" w:beforeAutospacing="1" w:after="100" w:afterAutospacing="1" w:line="320" w:lineRule="atLeast"/>
              <w:jc w:val="left"/>
              <w:rPr>
                <w:rFonts w:ascii="Verdana" w:hAnsi="Verdana" w:cs="宋体"/>
                <w:kern w:val="0"/>
                <w:highlight w:val="none"/>
              </w:rPr>
            </w:pPr>
            <w:r>
              <w:rPr>
                <w:rFonts w:hint="eastAsia" w:ascii="Verdana" w:hAnsi="Verdana" w:cs="宋体"/>
                <w:kern w:val="0"/>
                <w:highlight w:val="none"/>
              </w:rPr>
              <w:t>签字：</w:t>
            </w:r>
          </w:p>
        </w:tc>
      </w:tr>
      <w:tr>
        <w:tblPrEx>
          <w:tblCellMar>
            <w:top w:w="0" w:type="dxa"/>
            <w:left w:w="0" w:type="dxa"/>
            <w:bottom w:w="0" w:type="dxa"/>
            <w:right w:w="0" w:type="dxa"/>
          </w:tblCellMar>
        </w:tblPrEx>
        <w:trPr>
          <w:trHeight w:val="507" w:hRule="atLeast"/>
          <w:jc w:val="center"/>
        </w:trPr>
        <w:tc>
          <w:tcPr>
            <w:tcW w:w="8445" w:type="dxa"/>
            <w:gridSpan w:val="9"/>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kern w:val="0"/>
                <w:highlight w:val="none"/>
              </w:rPr>
            </w:pPr>
            <w:r>
              <w:rPr>
                <w:rFonts w:hint="eastAsia" w:ascii="Verdana" w:hAnsi="Verdana" w:cs="宋体"/>
                <w:kern w:val="0"/>
                <w:highlight w:val="none"/>
              </w:rPr>
              <w:t>验收小组成员签字：</w:t>
            </w:r>
          </w:p>
        </w:tc>
      </w:tr>
      <w:tr>
        <w:tblPrEx>
          <w:tblCellMar>
            <w:top w:w="0" w:type="dxa"/>
            <w:left w:w="0" w:type="dxa"/>
            <w:bottom w:w="0" w:type="dxa"/>
            <w:right w:w="0" w:type="dxa"/>
          </w:tblCellMar>
        </w:tblPrEx>
        <w:trPr>
          <w:trHeight w:val="736" w:hRule="atLeast"/>
          <w:jc w:val="center"/>
        </w:trPr>
        <w:tc>
          <w:tcPr>
            <w:tcW w:w="8445" w:type="dxa"/>
            <w:gridSpan w:val="9"/>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kern w:val="0"/>
                <w:highlight w:val="none"/>
              </w:rPr>
            </w:pPr>
            <w:r>
              <w:rPr>
                <w:rFonts w:hint="eastAsia" w:ascii="Verdana" w:hAnsi="Verdana" w:cs="宋体"/>
                <w:kern w:val="0"/>
                <w:highlight w:val="none"/>
              </w:rPr>
              <w:t>监督人员或其他相关人员签字：</w:t>
            </w:r>
          </w:p>
          <w:p>
            <w:pPr>
              <w:widowControl/>
              <w:spacing w:before="100" w:beforeAutospacing="1" w:after="100" w:afterAutospacing="1" w:line="320" w:lineRule="atLeast"/>
              <w:jc w:val="left"/>
              <w:rPr>
                <w:rFonts w:ascii="Verdana" w:hAnsi="Verdana" w:cs="宋体"/>
                <w:kern w:val="0"/>
                <w:highlight w:val="none"/>
              </w:rPr>
            </w:pPr>
            <w:r>
              <w:rPr>
                <w:rFonts w:hint="eastAsia" w:ascii="Verdana" w:hAnsi="Verdana" w:cs="宋体"/>
                <w:kern w:val="0"/>
                <w:highlight w:val="none"/>
              </w:rPr>
              <w:t>或受邀机构的意见（盖章）：</w:t>
            </w:r>
          </w:p>
        </w:tc>
      </w:tr>
      <w:tr>
        <w:tblPrEx>
          <w:tblCellMar>
            <w:top w:w="0" w:type="dxa"/>
            <w:left w:w="0" w:type="dxa"/>
            <w:bottom w:w="0" w:type="dxa"/>
            <w:right w:w="0" w:type="dxa"/>
          </w:tblCellMar>
        </w:tblPrEx>
        <w:trPr>
          <w:trHeight w:val="758" w:hRule="atLeast"/>
          <w:jc w:val="center"/>
        </w:trPr>
        <w:tc>
          <w:tcPr>
            <w:tcW w:w="3948" w:type="dxa"/>
            <w:gridSpan w:val="3"/>
            <w:tcBorders>
              <w:top w:val="nil"/>
              <w:left w:val="single" w:color="auto" w:sz="8" w:space="0"/>
              <w:bottom w:val="single" w:color="auto" w:sz="8" w:space="0"/>
              <w:right w:val="single" w:color="auto" w:sz="4" w:space="0"/>
            </w:tcBorders>
            <w:noWrap w:val="0"/>
            <w:tcMar>
              <w:top w:w="0" w:type="dxa"/>
              <w:left w:w="108" w:type="dxa"/>
              <w:bottom w:w="0" w:type="dxa"/>
              <w:right w:w="108" w:type="dxa"/>
            </w:tcMar>
            <w:vAlign w:val="center"/>
          </w:tcPr>
          <w:p>
            <w:pPr>
              <w:widowControl/>
              <w:spacing w:before="100" w:beforeAutospacing="1" w:after="100" w:afterAutospacing="1" w:line="320" w:lineRule="atLeast"/>
              <w:jc w:val="left"/>
              <w:rPr>
                <w:rFonts w:ascii="Verdana" w:hAnsi="Verdana" w:cs="宋体"/>
                <w:kern w:val="0"/>
                <w:highlight w:val="none"/>
              </w:rPr>
            </w:pPr>
            <w:r>
              <w:rPr>
                <w:rFonts w:hint="eastAsia" w:ascii="Verdana" w:hAnsi="Verdana" w:cs="宋体"/>
                <w:kern w:val="0"/>
                <w:highlight w:val="none"/>
              </w:rPr>
              <w:t>中标或者成交供应商负责人签字或盖章：</w:t>
            </w:r>
          </w:p>
          <w:p>
            <w:pPr>
              <w:widowControl/>
              <w:spacing w:before="100" w:beforeAutospacing="1" w:after="100" w:afterAutospacing="1" w:line="320" w:lineRule="atLeast"/>
              <w:jc w:val="left"/>
              <w:rPr>
                <w:rFonts w:ascii="Verdana" w:hAnsi="Verdana" w:cs="宋体"/>
                <w:kern w:val="0"/>
                <w:highlight w:val="none"/>
              </w:rPr>
            </w:pPr>
            <w:r>
              <w:rPr>
                <w:rFonts w:hint="eastAsia" w:ascii="Verdana" w:hAnsi="Verdana" w:cs="宋体"/>
                <w:kern w:val="0"/>
                <w:highlight w:val="none"/>
              </w:rPr>
              <w:t>联系电话：</w:t>
            </w:r>
            <w:r>
              <w:rPr>
                <w:rFonts w:ascii="Verdana" w:hAnsi="Verdana" w:cs="宋体"/>
                <w:kern w:val="0"/>
                <w:highlight w:val="none"/>
              </w:rPr>
              <w:t xml:space="preserve"> </w:t>
            </w:r>
            <w:r>
              <w:rPr>
                <w:rFonts w:hint="eastAsia" w:ascii="Verdana" w:hAnsi="Verdana" w:cs="宋体"/>
                <w:kern w:val="0"/>
                <w:highlight w:val="none"/>
              </w:rPr>
              <w:t>年</w:t>
            </w:r>
            <w:r>
              <w:rPr>
                <w:rFonts w:ascii="Verdana" w:hAnsi="Verdana" w:cs="宋体"/>
                <w:kern w:val="0"/>
                <w:highlight w:val="none"/>
              </w:rPr>
              <w:t xml:space="preserve">  </w:t>
            </w:r>
            <w:r>
              <w:rPr>
                <w:rFonts w:hint="eastAsia" w:ascii="Verdana" w:hAnsi="Verdana" w:cs="宋体"/>
                <w:kern w:val="0"/>
                <w:highlight w:val="none"/>
              </w:rPr>
              <w:t>月</w:t>
            </w:r>
            <w:r>
              <w:rPr>
                <w:rFonts w:ascii="Verdana" w:hAnsi="Verdana" w:cs="宋体"/>
                <w:kern w:val="0"/>
                <w:highlight w:val="none"/>
              </w:rPr>
              <w:t xml:space="preserve">  </w:t>
            </w:r>
            <w:r>
              <w:rPr>
                <w:rFonts w:hint="eastAsia" w:ascii="Verdana" w:hAnsi="Verdana" w:cs="宋体"/>
                <w:kern w:val="0"/>
                <w:highlight w:val="none"/>
              </w:rPr>
              <w:t>日</w:t>
            </w:r>
          </w:p>
        </w:tc>
        <w:tc>
          <w:tcPr>
            <w:tcW w:w="204" w:type="dxa"/>
            <w:gridSpan w:val="2"/>
            <w:tcBorders>
              <w:top w:val="nil"/>
              <w:left w:val="single" w:color="auto" w:sz="4" w:space="0"/>
              <w:bottom w:val="single" w:color="auto" w:sz="8" w:space="0"/>
              <w:right w:val="nil"/>
            </w:tcBorders>
            <w:noWrap w:val="0"/>
            <w:vAlign w:val="center"/>
          </w:tcPr>
          <w:p>
            <w:pPr>
              <w:widowControl/>
              <w:jc w:val="left"/>
              <w:rPr>
                <w:rFonts w:ascii="Verdana" w:hAnsi="Verdana" w:cs="宋体"/>
                <w:kern w:val="0"/>
                <w:highlight w:val="none"/>
              </w:rPr>
            </w:pPr>
          </w:p>
          <w:p>
            <w:pPr>
              <w:widowControl/>
              <w:spacing w:before="100" w:beforeAutospacing="1" w:after="100" w:afterAutospacing="1" w:line="320" w:lineRule="atLeast"/>
              <w:jc w:val="left"/>
              <w:rPr>
                <w:rFonts w:ascii="Verdana" w:hAnsi="Verdana" w:cs="宋体"/>
                <w:kern w:val="0"/>
                <w:highlight w:val="none"/>
              </w:rPr>
            </w:pPr>
          </w:p>
        </w:tc>
        <w:tc>
          <w:tcPr>
            <w:tcW w:w="4293" w:type="dxa"/>
            <w:gridSpan w:val="4"/>
            <w:tcBorders>
              <w:top w:val="nil"/>
              <w:left w:val="nil"/>
              <w:bottom w:val="single" w:color="auto" w:sz="8" w:space="0"/>
              <w:right w:val="single" w:color="auto" w:sz="8" w:space="0"/>
            </w:tcBorders>
            <w:noWrap w:val="0"/>
            <w:vAlign w:val="center"/>
          </w:tcPr>
          <w:p>
            <w:pPr>
              <w:widowControl/>
              <w:spacing w:before="100" w:beforeAutospacing="1" w:after="100" w:afterAutospacing="1" w:line="320" w:lineRule="atLeast"/>
              <w:jc w:val="left"/>
              <w:rPr>
                <w:rFonts w:ascii="Verdana" w:hAnsi="Verdana" w:cs="宋体"/>
                <w:kern w:val="0"/>
                <w:highlight w:val="none"/>
              </w:rPr>
            </w:pPr>
            <w:r>
              <w:rPr>
                <w:rFonts w:hint="eastAsia" w:ascii="Verdana" w:hAnsi="Verdana" w:cs="宋体"/>
                <w:kern w:val="0"/>
                <w:highlight w:val="none"/>
              </w:rPr>
              <w:t>采购人或受托机构的意见（盖章）：</w:t>
            </w:r>
          </w:p>
          <w:p>
            <w:pPr>
              <w:widowControl/>
              <w:spacing w:before="100" w:beforeAutospacing="1" w:after="100" w:afterAutospacing="1" w:line="320" w:lineRule="atLeast"/>
              <w:jc w:val="left"/>
              <w:rPr>
                <w:rFonts w:ascii="Verdana" w:hAnsi="Verdana" w:cs="宋体"/>
                <w:kern w:val="0"/>
                <w:highlight w:val="none"/>
              </w:rPr>
            </w:pPr>
            <w:r>
              <w:rPr>
                <w:rFonts w:hint="eastAsia" w:ascii="Verdana" w:hAnsi="Verdana" w:cs="宋体"/>
                <w:kern w:val="0"/>
                <w:highlight w:val="none"/>
              </w:rPr>
              <w:t>联系电话：</w:t>
            </w:r>
            <w:r>
              <w:rPr>
                <w:rFonts w:ascii="Verdana" w:hAnsi="Verdana" w:cs="宋体"/>
                <w:kern w:val="0"/>
                <w:highlight w:val="none"/>
              </w:rPr>
              <w:t xml:space="preserve"> </w:t>
            </w:r>
            <w:r>
              <w:rPr>
                <w:rFonts w:hint="eastAsia" w:ascii="Verdana" w:hAnsi="Verdana" w:cs="宋体"/>
                <w:kern w:val="0"/>
                <w:highlight w:val="none"/>
              </w:rPr>
              <w:t>年</w:t>
            </w:r>
            <w:r>
              <w:rPr>
                <w:rFonts w:ascii="Verdana" w:hAnsi="Verdana" w:cs="宋体"/>
                <w:kern w:val="0"/>
                <w:highlight w:val="none"/>
              </w:rPr>
              <w:t xml:space="preserve">  </w:t>
            </w:r>
            <w:r>
              <w:rPr>
                <w:rFonts w:hint="eastAsia" w:ascii="Verdana" w:hAnsi="Verdana" w:cs="宋体"/>
                <w:kern w:val="0"/>
                <w:highlight w:val="none"/>
              </w:rPr>
              <w:t>月</w:t>
            </w:r>
            <w:r>
              <w:rPr>
                <w:rFonts w:ascii="Verdana" w:hAnsi="Verdana" w:cs="宋体"/>
                <w:kern w:val="0"/>
                <w:highlight w:val="none"/>
              </w:rPr>
              <w:t xml:space="preserve">  </w:t>
            </w:r>
            <w:r>
              <w:rPr>
                <w:rFonts w:hint="eastAsia" w:ascii="Verdana" w:hAnsi="Verdana" w:cs="宋体"/>
                <w:kern w:val="0"/>
                <w:highlight w:val="none"/>
              </w:rPr>
              <w:t>日</w:t>
            </w:r>
          </w:p>
        </w:tc>
      </w:tr>
    </w:tbl>
    <w:p>
      <w:pPr>
        <w:tabs>
          <w:tab w:val="center" w:pos="4410"/>
          <w:tab w:val="left" w:pos="6735"/>
        </w:tabs>
        <w:spacing w:line="480" w:lineRule="auto"/>
        <w:rPr>
          <w:rFonts w:hint="eastAsia" w:hAnsi="宋体"/>
          <w:b/>
          <w:bCs/>
          <w:sz w:val="24"/>
          <w:highlight w:val="none"/>
        </w:rPr>
      </w:pPr>
    </w:p>
    <w:p>
      <w:pPr>
        <w:tabs>
          <w:tab w:val="center" w:pos="4410"/>
          <w:tab w:val="left" w:pos="6735"/>
        </w:tabs>
        <w:spacing w:line="480" w:lineRule="auto"/>
        <w:rPr>
          <w:rFonts w:hint="eastAsia" w:hAnsi="宋体"/>
          <w:b/>
          <w:bCs/>
          <w:sz w:val="24"/>
          <w:highlight w:val="none"/>
        </w:rPr>
      </w:pPr>
    </w:p>
    <w:p>
      <w:pPr>
        <w:tabs>
          <w:tab w:val="center" w:pos="4410"/>
          <w:tab w:val="left" w:pos="6735"/>
        </w:tabs>
        <w:spacing w:line="480" w:lineRule="auto"/>
        <w:rPr>
          <w:rFonts w:hint="eastAsia" w:ascii="宋体" w:eastAsia="宋体"/>
          <w:b/>
          <w:sz w:val="32"/>
          <w:szCs w:val="32"/>
          <w:highlight w:val="none"/>
          <w:lang w:eastAsia="zh-CN"/>
        </w:rPr>
      </w:pPr>
      <w:r>
        <w:rPr>
          <w:rFonts w:hint="eastAsia" w:hAnsi="宋体"/>
          <w:b/>
          <w:bCs/>
          <w:sz w:val="24"/>
          <w:highlight w:val="none"/>
        </w:rPr>
        <w:t>附表</w:t>
      </w:r>
      <w:r>
        <w:rPr>
          <w:rFonts w:hAnsi="宋体"/>
          <w:b/>
          <w:bCs/>
          <w:sz w:val="24"/>
          <w:highlight w:val="none"/>
        </w:rPr>
        <w:t>4</w:t>
      </w:r>
      <w:r>
        <w:rPr>
          <w:rFonts w:hint="eastAsia" w:hAnsi="宋体"/>
          <w:b/>
          <w:bCs/>
          <w:sz w:val="24"/>
          <w:highlight w:val="none"/>
          <w:lang w:eastAsia="zh-CN"/>
        </w:rPr>
        <w:t>：</w:t>
      </w:r>
    </w:p>
    <w:p>
      <w:pPr>
        <w:spacing w:line="460" w:lineRule="exact"/>
        <w:jc w:val="center"/>
        <w:rPr>
          <w:rFonts w:hint="eastAsia" w:ascii="宋体" w:hAnsi="宋体"/>
          <w:b/>
          <w:sz w:val="32"/>
          <w:szCs w:val="32"/>
          <w:highlight w:val="none"/>
        </w:rPr>
      </w:pPr>
      <w:r>
        <w:rPr>
          <w:rFonts w:hint="eastAsia" w:ascii="宋体" w:hAnsi="宋体"/>
          <w:b/>
          <w:sz w:val="32"/>
          <w:szCs w:val="32"/>
          <w:highlight w:val="none"/>
        </w:rPr>
        <w:t>政府采购项目履约保证金退付意见书（格式）</w:t>
      </w:r>
    </w:p>
    <w:p>
      <w:pPr>
        <w:spacing w:line="460" w:lineRule="exact"/>
        <w:jc w:val="center"/>
        <w:rPr>
          <w:rFonts w:hint="eastAsia" w:ascii="宋体" w:hAnsi="宋体"/>
          <w:b/>
          <w:sz w:val="48"/>
          <w:highlight w:val="none"/>
        </w:rPr>
      </w:pPr>
    </w:p>
    <w:tbl>
      <w:tblPr>
        <w:tblStyle w:val="15"/>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8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jc w:val="center"/>
        </w:trPr>
        <w:tc>
          <w:tcPr>
            <w:tcW w:w="99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highlight w:val="none"/>
              </w:rPr>
            </w:pPr>
            <w:r>
              <w:rPr>
                <w:rFonts w:hint="eastAsia"/>
                <w:sz w:val="24"/>
                <w:highlight w:val="none"/>
              </w:rPr>
              <w:t>供</w:t>
            </w:r>
          </w:p>
          <w:p>
            <w:pPr>
              <w:jc w:val="center"/>
              <w:rPr>
                <w:sz w:val="24"/>
                <w:highlight w:val="none"/>
              </w:rPr>
            </w:pPr>
            <w:r>
              <w:rPr>
                <w:rFonts w:hint="eastAsia"/>
                <w:sz w:val="24"/>
                <w:highlight w:val="none"/>
              </w:rPr>
              <w:t>应</w:t>
            </w:r>
          </w:p>
          <w:p>
            <w:pPr>
              <w:jc w:val="center"/>
              <w:rPr>
                <w:sz w:val="24"/>
                <w:highlight w:val="none"/>
              </w:rPr>
            </w:pPr>
            <w:r>
              <w:rPr>
                <w:rFonts w:hint="eastAsia"/>
                <w:sz w:val="24"/>
                <w:highlight w:val="none"/>
              </w:rPr>
              <w:t>商</w:t>
            </w:r>
          </w:p>
          <w:p>
            <w:pPr>
              <w:jc w:val="center"/>
              <w:rPr>
                <w:sz w:val="24"/>
                <w:highlight w:val="none"/>
              </w:rPr>
            </w:pPr>
            <w:r>
              <w:rPr>
                <w:rFonts w:hint="eastAsia"/>
                <w:sz w:val="24"/>
                <w:highlight w:val="none"/>
              </w:rPr>
              <w:t>申</w:t>
            </w:r>
          </w:p>
          <w:p>
            <w:pPr>
              <w:jc w:val="center"/>
              <w:rPr>
                <w:sz w:val="24"/>
                <w:highlight w:val="none"/>
              </w:rPr>
            </w:pPr>
            <w:r>
              <w:rPr>
                <w:rFonts w:hint="eastAsia"/>
                <w:sz w:val="24"/>
                <w:highlight w:val="none"/>
              </w:rPr>
              <w:t>请</w:t>
            </w:r>
          </w:p>
        </w:tc>
        <w:tc>
          <w:tcPr>
            <w:tcW w:w="8304" w:type="dxa"/>
            <w:tcBorders>
              <w:top w:val="single" w:color="auto" w:sz="4" w:space="0"/>
              <w:left w:val="single" w:color="auto" w:sz="4" w:space="0"/>
              <w:bottom w:val="single" w:color="auto" w:sz="4" w:space="0"/>
              <w:right w:val="single" w:color="auto" w:sz="4" w:space="0"/>
            </w:tcBorders>
            <w:noWrap w:val="0"/>
            <w:vAlign w:val="center"/>
          </w:tcPr>
          <w:p>
            <w:pPr>
              <w:rPr>
                <w:sz w:val="24"/>
                <w:highlight w:val="none"/>
              </w:rPr>
            </w:pPr>
            <w:r>
              <w:rPr>
                <w:rFonts w:hint="eastAsia"/>
                <w:sz w:val="24"/>
                <w:highlight w:val="none"/>
              </w:rPr>
              <w:t>采购编号：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9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highlight w:val="none"/>
              </w:rPr>
            </w:pPr>
          </w:p>
        </w:tc>
        <w:tc>
          <w:tcPr>
            <w:tcW w:w="8304" w:type="dxa"/>
            <w:tcBorders>
              <w:top w:val="single" w:color="auto" w:sz="4" w:space="0"/>
              <w:left w:val="single" w:color="auto" w:sz="4" w:space="0"/>
              <w:bottom w:val="single" w:color="auto" w:sz="4" w:space="0"/>
              <w:right w:val="single" w:color="auto" w:sz="4" w:space="0"/>
            </w:tcBorders>
            <w:noWrap w:val="0"/>
            <w:vAlign w:val="center"/>
          </w:tcPr>
          <w:p>
            <w:pPr>
              <w:rPr>
                <w:sz w:val="24"/>
                <w:highlight w:val="none"/>
              </w:rPr>
            </w:pPr>
            <w:r>
              <w:rPr>
                <w:rFonts w:hint="eastAsia"/>
                <w:sz w:val="24"/>
                <w:highlight w:val="none"/>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9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highlight w:val="none"/>
              </w:rPr>
            </w:pPr>
          </w:p>
        </w:tc>
        <w:tc>
          <w:tcPr>
            <w:tcW w:w="8304" w:type="dxa"/>
            <w:tcBorders>
              <w:top w:val="single" w:color="auto" w:sz="4" w:space="0"/>
              <w:left w:val="single" w:color="auto" w:sz="4" w:space="0"/>
              <w:bottom w:val="single" w:color="auto" w:sz="4" w:space="0"/>
              <w:right w:val="single" w:color="auto" w:sz="4" w:space="0"/>
            </w:tcBorders>
            <w:noWrap w:val="0"/>
            <w:vAlign w:val="top"/>
          </w:tcPr>
          <w:p>
            <w:pPr>
              <w:rPr>
                <w:sz w:val="24"/>
                <w:highlight w:val="none"/>
              </w:rPr>
            </w:pPr>
            <w:r>
              <w:rPr>
                <w:sz w:val="24"/>
                <w:highlight w:val="none"/>
              </w:rPr>
              <w:t xml:space="preserve">  </w:t>
            </w:r>
          </w:p>
          <w:p>
            <w:pPr>
              <w:spacing w:line="300" w:lineRule="exact"/>
              <w:ind w:firstLine="480" w:firstLineChars="200"/>
              <w:rPr>
                <w:sz w:val="24"/>
                <w:highlight w:val="none"/>
              </w:rPr>
            </w:pPr>
            <w:r>
              <w:rPr>
                <w:rFonts w:hint="eastAsia"/>
                <w:sz w:val="24"/>
                <w:highlight w:val="none"/>
              </w:rPr>
              <w:t>该项目已于</w:t>
            </w:r>
            <w:r>
              <w:rPr>
                <w:sz w:val="24"/>
                <w:highlight w:val="none"/>
                <w:u w:val="single"/>
              </w:rPr>
              <w:t xml:space="preserve">       </w:t>
            </w:r>
            <w:r>
              <w:rPr>
                <w:rFonts w:hint="eastAsia"/>
                <w:sz w:val="24"/>
                <w:highlight w:val="none"/>
              </w:rPr>
              <w:t>年</w:t>
            </w:r>
            <w:r>
              <w:rPr>
                <w:sz w:val="24"/>
                <w:highlight w:val="none"/>
                <w:u w:val="single"/>
              </w:rPr>
              <w:t xml:space="preserve">     </w:t>
            </w:r>
            <w:r>
              <w:rPr>
                <w:rFonts w:hint="eastAsia"/>
                <w:sz w:val="24"/>
                <w:highlight w:val="none"/>
              </w:rPr>
              <w:t>月</w:t>
            </w:r>
            <w:r>
              <w:rPr>
                <w:sz w:val="24"/>
                <w:highlight w:val="none"/>
                <w:u w:val="single"/>
              </w:rPr>
              <w:t xml:space="preserve">     </w:t>
            </w:r>
            <w:r>
              <w:rPr>
                <w:rFonts w:hint="eastAsia"/>
                <w:sz w:val="24"/>
                <w:highlight w:val="none"/>
              </w:rPr>
              <w:t>日验收并交付使用。根据合同规定，该项目的履约担保金期限于</w:t>
            </w:r>
            <w:r>
              <w:rPr>
                <w:sz w:val="24"/>
                <w:highlight w:val="none"/>
                <w:u w:val="single"/>
              </w:rPr>
              <w:t xml:space="preserve">        </w:t>
            </w:r>
            <w:r>
              <w:rPr>
                <w:rFonts w:hint="eastAsia"/>
                <w:sz w:val="24"/>
                <w:highlight w:val="none"/>
              </w:rPr>
              <w:t>年</w:t>
            </w:r>
            <w:r>
              <w:rPr>
                <w:sz w:val="24"/>
                <w:highlight w:val="none"/>
                <w:u w:val="single"/>
              </w:rPr>
              <w:t xml:space="preserve">      </w:t>
            </w:r>
            <w:r>
              <w:rPr>
                <w:rFonts w:hint="eastAsia"/>
                <w:sz w:val="24"/>
                <w:highlight w:val="none"/>
              </w:rPr>
              <w:t>月</w:t>
            </w:r>
            <w:r>
              <w:rPr>
                <w:sz w:val="24"/>
                <w:highlight w:val="none"/>
                <w:u w:val="single"/>
              </w:rPr>
              <w:t xml:space="preserve">      </w:t>
            </w:r>
            <w:r>
              <w:rPr>
                <w:rFonts w:hint="eastAsia"/>
                <w:sz w:val="24"/>
                <w:highlight w:val="none"/>
              </w:rPr>
              <w:t>日已满，请将履约担保金</w:t>
            </w:r>
            <w:r>
              <w:rPr>
                <w:sz w:val="24"/>
                <w:highlight w:val="none"/>
                <w:u w:val="single"/>
              </w:rPr>
              <w:t xml:space="preserve">                                 </w:t>
            </w:r>
            <w:r>
              <w:rPr>
                <w:rFonts w:hint="eastAsia"/>
                <w:sz w:val="24"/>
                <w:highlight w:val="none"/>
              </w:rPr>
              <w:t>（大写）￥</w:t>
            </w:r>
            <w:r>
              <w:rPr>
                <w:sz w:val="24"/>
                <w:highlight w:val="none"/>
                <w:u w:val="single"/>
              </w:rPr>
              <w:t xml:space="preserve">          </w:t>
            </w:r>
            <w:r>
              <w:rPr>
                <w:rFonts w:hint="eastAsia"/>
                <w:sz w:val="24"/>
                <w:highlight w:val="none"/>
              </w:rPr>
              <w:t>（小写）退付到达以下账户。</w:t>
            </w:r>
          </w:p>
          <w:p>
            <w:pPr>
              <w:spacing w:line="300" w:lineRule="exact"/>
              <w:ind w:firstLine="705"/>
              <w:rPr>
                <w:sz w:val="24"/>
                <w:highlight w:val="none"/>
              </w:rPr>
            </w:pPr>
          </w:p>
          <w:p>
            <w:pPr>
              <w:spacing w:line="300" w:lineRule="exact"/>
              <w:rPr>
                <w:sz w:val="24"/>
                <w:highlight w:val="none"/>
              </w:rPr>
            </w:pPr>
            <w:r>
              <w:rPr>
                <w:rFonts w:hint="eastAsia"/>
                <w:sz w:val="24"/>
                <w:highlight w:val="none"/>
              </w:rPr>
              <w:t>单位名称：</w:t>
            </w:r>
          </w:p>
          <w:p>
            <w:pPr>
              <w:spacing w:line="300" w:lineRule="exact"/>
              <w:rPr>
                <w:sz w:val="24"/>
                <w:highlight w:val="none"/>
              </w:rPr>
            </w:pPr>
            <w:r>
              <w:rPr>
                <w:rFonts w:hint="eastAsia"/>
                <w:sz w:val="24"/>
                <w:highlight w:val="none"/>
              </w:rPr>
              <w:t>开户银行：</w:t>
            </w:r>
          </w:p>
          <w:p>
            <w:pPr>
              <w:spacing w:line="300" w:lineRule="exact"/>
              <w:rPr>
                <w:sz w:val="24"/>
                <w:highlight w:val="none"/>
              </w:rPr>
            </w:pPr>
            <w:r>
              <w:rPr>
                <w:rFonts w:hint="eastAsia"/>
                <w:sz w:val="24"/>
                <w:highlight w:val="none"/>
              </w:rPr>
              <w:t>账</w:t>
            </w:r>
            <w:r>
              <w:rPr>
                <w:sz w:val="24"/>
                <w:highlight w:val="none"/>
              </w:rPr>
              <w:t xml:space="preserve">    </w:t>
            </w:r>
            <w:r>
              <w:rPr>
                <w:rFonts w:hint="eastAsia"/>
                <w:sz w:val="24"/>
                <w:highlight w:val="none"/>
              </w:rPr>
              <w:t>号：</w:t>
            </w:r>
          </w:p>
          <w:p>
            <w:pPr>
              <w:spacing w:line="300" w:lineRule="exact"/>
              <w:rPr>
                <w:sz w:val="24"/>
                <w:highlight w:val="none"/>
              </w:rPr>
            </w:pPr>
          </w:p>
          <w:p>
            <w:pPr>
              <w:spacing w:line="300" w:lineRule="exact"/>
              <w:rPr>
                <w:sz w:val="24"/>
                <w:highlight w:val="none"/>
              </w:rPr>
            </w:pPr>
            <w:r>
              <w:rPr>
                <w:rFonts w:hint="eastAsia"/>
                <w:sz w:val="24"/>
                <w:highlight w:val="none"/>
              </w:rPr>
              <w:t>联系人及电话：</w:t>
            </w:r>
          </w:p>
          <w:p>
            <w:pPr>
              <w:spacing w:line="520" w:lineRule="exact"/>
              <w:jc w:val="center"/>
              <w:rPr>
                <w:sz w:val="24"/>
                <w:highlight w:val="none"/>
              </w:rPr>
            </w:pPr>
            <w:r>
              <w:rPr>
                <w:sz w:val="24"/>
                <w:highlight w:val="none"/>
              </w:rPr>
              <w:t xml:space="preserve">                                    </w:t>
            </w:r>
            <w:r>
              <w:rPr>
                <w:rFonts w:hint="eastAsia"/>
                <w:sz w:val="24"/>
                <w:highlight w:val="none"/>
              </w:rPr>
              <w:t>供应商签章：</w:t>
            </w:r>
          </w:p>
          <w:p>
            <w:pPr>
              <w:spacing w:line="520" w:lineRule="exact"/>
              <w:jc w:val="center"/>
              <w:rPr>
                <w:sz w:val="24"/>
                <w:highlight w:val="none"/>
              </w:rPr>
            </w:pPr>
            <w:r>
              <w:rPr>
                <w:sz w:val="24"/>
                <w:highlight w:val="none"/>
              </w:rPr>
              <w:t xml:space="preserve">                                     </w:t>
            </w:r>
            <w:r>
              <w:rPr>
                <w:rFonts w:hint="eastAsia"/>
                <w:sz w:val="24"/>
                <w:highlight w:val="none"/>
              </w:rPr>
              <w:t>年</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9" w:hRule="atLeast"/>
          <w:jc w:val="center"/>
        </w:trPr>
        <w:tc>
          <w:tcPr>
            <w:tcW w:w="996" w:type="dxa"/>
            <w:tcBorders>
              <w:top w:val="single" w:color="auto" w:sz="4" w:space="0"/>
              <w:left w:val="single" w:color="auto" w:sz="4" w:space="0"/>
              <w:bottom w:val="single" w:color="auto" w:sz="4" w:space="0"/>
              <w:right w:val="single" w:color="auto" w:sz="4" w:space="0"/>
            </w:tcBorders>
            <w:noWrap w:val="0"/>
            <w:vAlign w:val="center"/>
          </w:tcPr>
          <w:p>
            <w:pPr>
              <w:jc w:val="center"/>
              <w:rPr>
                <w:sz w:val="24"/>
                <w:highlight w:val="none"/>
              </w:rPr>
            </w:pPr>
            <w:r>
              <w:rPr>
                <w:rFonts w:hint="eastAsia"/>
                <w:sz w:val="24"/>
                <w:highlight w:val="none"/>
              </w:rPr>
              <w:t>采</w:t>
            </w:r>
          </w:p>
          <w:p>
            <w:pPr>
              <w:jc w:val="center"/>
              <w:rPr>
                <w:sz w:val="24"/>
                <w:highlight w:val="none"/>
              </w:rPr>
            </w:pPr>
            <w:r>
              <w:rPr>
                <w:rFonts w:hint="eastAsia"/>
                <w:sz w:val="24"/>
                <w:highlight w:val="none"/>
              </w:rPr>
              <w:t>购</w:t>
            </w:r>
          </w:p>
          <w:p>
            <w:pPr>
              <w:jc w:val="center"/>
              <w:rPr>
                <w:sz w:val="24"/>
                <w:highlight w:val="none"/>
              </w:rPr>
            </w:pPr>
            <w:r>
              <w:rPr>
                <w:rFonts w:hint="eastAsia"/>
                <w:sz w:val="24"/>
                <w:highlight w:val="none"/>
              </w:rPr>
              <w:t>单</w:t>
            </w:r>
          </w:p>
          <w:p>
            <w:pPr>
              <w:jc w:val="center"/>
              <w:rPr>
                <w:sz w:val="24"/>
                <w:highlight w:val="none"/>
              </w:rPr>
            </w:pPr>
            <w:r>
              <w:rPr>
                <w:rFonts w:hint="eastAsia"/>
                <w:sz w:val="24"/>
                <w:highlight w:val="none"/>
              </w:rPr>
              <w:t>位</w:t>
            </w:r>
          </w:p>
          <w:p>
            <w:pPr>
              <w:jc w:val="center"/>
              <w:rPr>
                <w:sz w:val="24"/>
                <w:highlight w:val="none"/>
              </w:rPr>
            </w:pPr>
            <w:r>
              <w:rPr>
                <w:rFonts w:hint="eastAsia"/>
                <w:sz w:val="24"/>
                <w:highlight w:val="none"/>
              </w:rPr>
              <w:t>意</w:t>
            </w:r>
          </w:p>
          <w:p>
            <w:pPr>
              <w:jc w:val="center"/>
              <w:rPr>
                <w:sz w:val="24"/>
                <w:highlight w:val="none"/>
              </w:rPr>
            </w:pPr>
            <w:r>
              <w:rPr>
                <w:rFonts w:hint="eastAsia"/>
                <w:sz w:val="24"/>
                <w:highlight w:val="none"/>
              </w:rPr>
              <w:t>见</w:t>
            </w:r>
          </w:p>
        </w:tc>
        <w:tc>
          <w:tcPr>
            <w:tcW w:w="8304" w:type="dxa"/>
            <w:tcBorders>
              <w:top w:val="single" w:color="auto" w:sz="4" w:space="0"/>
              <w:left w:val="single" w:color="auto" w:sz="4" w:space="0"/>
              <w:bottom w:val="single" w:color="auto" w:sz="4" w:space="0"/>
              <w:right w:val="single" w:color="auto" w:sz="4" w:space="0"/>
            </w:tcBorders>
            <w:noWrap w:val="0"/>
            <w:vAlign w:val="top"/>
          </w:tcPr>
          <w:p>
            <w:pPr>
              <w:rPr>
                <w:sz w:val="24"/>
                <w:highlight w:val="none"/>
              </w:rPr>
            </w:pPr>
          </w:p>
          <w:p>
            <w:pPr>
              <w:rPr>
                <w:sz w:val="24"/>
                <w:highlight w:val="none"/>
              </w:rPr>
            </w:pPr>
            <w:r>
              <w:rPr>
                <w:rFonts w:hint="eastAsia"/>
                <w:sz w:val="24"/>
                <w:highlight w:val="none"/>
              </w:rPr>
              <w:t>退付意见：是否同意退付履约担保金及退付金额：</w:t>
            </w:r>
          </w:p>
          <w:p>
            <w:pPr>
              <w:rPr>
                <w:sz w:val="24"/>
                <w:highlight w:val="none"/>
              </w:rPr>
            </w:pPr>
          </w:p>
          <w:p>
            <w:pPr>
              <w:rPr>
                <w:sz w:val="24"/>
                <w:highlight w:val="none"/>
              </w:rPr>
            </w:pPr>
          </w:p>
          <w:p>
            <w:pPr>
              <w:spacing w:line="520" w:lineRule="exact"/>
              <w:rPr>
                <w:sz w:val="24"/>
                <w:highlight w:val="none"/>
              </w:rPr>
            </w:pPr>
            <w:r>
              <w:rPr>
                <w:rFonts w:hint="eastAsia"/>
                <w:sz w:val="24"/>
                <w:highlight w:val="none"/>
              </w:rPr>
              <w:t>联系人及电话：</w:t>
            </w:r>
            <w:r>
              <w:rPr>
                <w:sz w:val="24"/>
                <w:highlight w:val="none"/>
              </w:rPr>
              <w:t xml:space="preserve">                               </w:t>
            </w:r>
          </w:p>
          <w:p>
            <w:pPr>
              <w:spacing w:line="520" w:lineRule="exact"/>
              <w:rPr>
                <w:sz w:val="24"/>
                <w:highlight w:val="none"/>
              </w:rPr>
            </w:pPr>
          </w:p>
          <w:p>
            <w:pPr>
              <w:spacing w:line="520" w:lineRule="exact"/>
              <w:rPr>
                <w:sz w:val="24"/>
                <w:highlight w:val="none"/>
              </w:rPr>
            </w:pPr>
            <w:r>
              <w:rPr>
                <w:sz w:val="24"/>
                <w:highlight w:val="none"/>
              </w:rPr>
              <w:t xml:space="preserve">                                              </w:t>
            </w:r>
            <w:r>
              <w:rPr>
                <w:rFonts w:hint="eastAsia"/>
                <w:sz w:val="24"/>
                <w:highlight w:val="none"/>
              </w:rPr>
              <w:t>采购单位签章：</w:t>
            </w:r>
          </w:p>
          <w:p>
            <w:pPr>
              <w:spacing w:line="520" w:lineRule="exact"/>
              <w:jc w:val="center"/>
              <w:rPr>
                <w:sz w:val="24"/>
                <w:highlight w:val="none"/>
              </w:rPr>
            </w:pPr>
            <w:r>
              <w:rPr>
                <w:sz w:val="24"/>
                <w:highlight w:val="none"/>
              </w:rPr>
              <w:t xml:space="preserve">                                        </w:t>
            </w:r>
            <w:r>
              <w:rPr>
                <w:rFonts w:hint="eastAsia"/>
                <w:sz w:val="24"/>
                <w:highlight w:val="none"/>
              </w:rPr>
              <w:t>年</w:t>
            </w:r>
            <w:r>
              <w:rPr>
                <w:sz w:val="24"/>
                <w:highlight w:val="none"/>
              </w:rPr>
              <w:t xml:space="preserve">    </w:t>
            </w:r>
            <w:r>
              <w:rPr>
                <w:rFonts w:hint="eastAsia"/>
                <w:sz w:val="24"/>
                <w:highlight w:val="none"/>
              </w:rPr>
              <w:t>月</w:t>
            </w:r>
            <w:r>
              <w:rPr>
                <w:sz w:val="24"/>
                <w:highlight w:val="none"/>
              </w:rPr>
              <w:t xml:space="preserve">     </w:t>
            </w:r>
            <w:r>
              <w:rPr>
                <w:rFonts w:hint="eastAsia"/>
                <w:sz w:val="24"/>
                <w:highlight w:val="none"/>
              </w:rPr>
              <w:t>日</w:t>
            </w:r>
          </w:p>
        </w:tc>
      </w:tr>
    </w:tbl>
    <w:p>
      <w:pPr>
        <w:spacing w:line="500" w:lineRule="exact"/>
        <w:jc w:val="center"/>
        <w:rPr>
          <w:rFonts w:ascii="宋体" w:hAnsi="宋体"/>
          <w:b/>
          <w:sz w:val="32"/>
          <w:szCs w:val="32"/>
          <w:highlight w:val="none"/>
        </w:rPr>
      </w:pPr>
    </w:p>
    <w:p>
      <w:pPr>
        <w:spacing w:line="500" w:lineRule="exact"/>
        <w:jc w:val="center"/>
        <w:rPr>
          <w:rFonts w:hint="eastAsia" w:ascii="宋体" w:hAnsi="宋体"/>
          <w:b/>
          <w:sz w:val="32"/>
          <w:szCs w:val="32"/>
          <w:highlight w:val="none"/>
        </w:rPr>
      </w:pPr>
    </w:p>
    <w:p>
      <w:pPr>
        <w:widowControl/>
        <w:spacing w:line="720" w:lineRule="exact"/>
        <w:jc w:val="left"/>
        <w:rPr>
          <w:rFonts w:hint="eastAsia" w:ascii="黑体" w:hAnsi="黑体" w:eastAsia="黑体" w:cs="黑体"/>
          <w:sz w:val="32"/>
          <w:szCs w:val="32"/>
          <w:highlight w:val="none"/>
          <w:lang w:val="zh-CN"/>
        </w:rPr>
      </w:pPr>
    </w:p>
    <w:p>
      <w:pPr>
        <w:widowControl/>
        <w:spacing w:line="720" w:lineRule="exact"/>
        <w:jc w:val="left"/>
        <w:rPr>
          <w:rFonts w:hint="eastAsia" w:ascii="黑体" w:hAnsi="黑体" w:eastAsia="黑体" w:cs="黑体"/>
          <w:sz w:val="32"/>
          <w:szCs w:val="32"/>
          <w:highlight w:val="none"/>
        </w:rPr>
      </w:pPr>
      <w:r>
        <w:rPr>
          <w:rFonts w:hint="eastAsia" w:ascii="黑体" w:hAnsi="黑体" w:eastAsia="黑体" w:cs="黑体"/>
          <w:sz w:val="32"/>
          <w:szCs w:val="32"/>
          <w:highlight w:val="none"/>
          <w:lang w:val="zh-CN"/>
        </w:rPr>
        <w:t>附件</w:t>
      </w:r>
    </w:p>
    <w:p>
      <w:pPr>
        <w:widowControl/>
        <w:spacing w:line="720" w:lineRule="exact"/>
        <w:jc w:val="left"/>
        <w:rPr>
          <w:rFonts w:hint="eastAsia" w:ascii="黑体" w:hAnsi="黑体" w:eastAsia="黑体" w:cs="黑体"/>
          <w:sz w:val="32"/>
          <w:szCs w:val="32"/>
          <w:highlight w:val="none"/>
          <w:lang w:val="zh-CN"/>
        </w:rPr>
      </w:pPr>
    </w:p>
    <w:p>
      <w:pPr>
        <w:widowControl/>
        <w:spacing w:line="580" w:lineRule="exact"/>
        <w:jc w:val="center"/>
        <w:rPr>
          <w:rFonts w:hint="eastAsia" w:ascii="方正小标宋_GBK" w:eastAsia="方正小标宋_GBK"/>
          <w:sz w:val="44"/>
          <w:szCs w:val="44"/>
          <w:highlight w:val="none"/>
        </w:rPr>
      </w:pPr>
      <w:r>
        <w:rPr>
          <w:rFonts w:hint="eastAsia" w:ascii="方正小标宋_GBK" w:eastAsia="方正小标宋_GBK"/>
          <w:sz w:val="44"/>
          <w:szCs w:val="44"/>
          <w:highlight w:val="none"/>
        </w:rPr>
        <w:t>广西线上“政采贷”政策告知函</w:t>
      </w:r>
    </w:p>
    <w:p>
      <w:pPr>
        <w:widowControl/>
        <w:spacing w:line="580" w:lineRule="exact"/>
        <w:ind w:firstLine="640" w:firstLineChars="200"/>
        <w:rPr>
          <w:rFonts w:hint="eastAsia" w:eastAsia="仿宋_GB2312"/>
          <w:sz w:val="32"/>
          <w:szCs w:val="32"/>
          <w:highlight w:val="none"/>
        </w:rPr>
      </w:pPr>
    </w:p>
    <w:p>
      <w:pPr>
        <w:widowControl/>
        <w:spacing w:line="580" w:lineRule="exac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各供应商：</w:t>
      </w:r>
    </w:p>
    <w:p>
      <w:pPr>
        <w:widowControl/>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欢迎贵公司参与广西政府采购活动！</w:t>
      </w:r>
    </w:p>
    <w:p>
      <w:pPr>
        <w:widowControl/>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线上“政采贷”是人民银行南宁中心支行和自治区财政厅共同支持企业发展，针对参与政府采购活动的企业融资难、融资贵、融资慢、融资繁问题推出的一项融资政策。贵公司若成为本次政府采购项目的中标（成交）供应商，可持政府采购合同在线向银行业金融机构申请贷款，融资机构将根据《中国人民银行南宁中心支行 广西壮族自治区财政厅关于推广线上“政采贷”融资模式的通知》（南宁银发〔2021〕258号），按照双方自愿的原则提供便捷、优惠的贷款服务。</w:t>
      </w:r>
    </w:p>
    <w:p>
      <w:pPr>
        <w:widowControl/>
        <w:spacing w:line="58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相关金融产品和银行业金融机构联系方式，可在中征应收账款融资服务平台查询（网址：</w:t>
      </w:r>
      <w:r>
        <w:rPr>
          <w:rFonts w:eastAsia="仿宋_GB2312"/>
          <w:sz w:val="32"/>
          <w:szCs w:val="32"/>
          <w:highlight w:val="none"/>
        </w:rPr>
        <w:fldChar w:fldCharType="begin"/>
      </w:r>
      <w:r>
        <w:rPr>
          <w:rFonts w:eastAsia="仿宋_GB2312"/>
          <w:sz w:val="32"/>
          <w:szCs w:val="32"/>
          <w:highlight w:val="none"/>
        </w:rPr>
        <w:instrText xml:space="preserve"> HYPERLINK "https://www.crcrfsp.com/" </w:instrText>
      </w:r>
      <w:r>
        <w:rPr>
          <w:rFonts w:eastAsia="仿宋_GB2312"/>
          <w:sz w:val="32"/>
          <w:szCs w:val="32"/>
          <w:highlight w:val="none"/>
        </w:rPr>
        <w:fldChar w:fldCharType="separate"/>
      </w:r>
      <w:r>
        <w:rPr>
          <w:rFonts w:eastAsia="仿宋_GB2312"/>
          <w:sz w:val="32"/>
          <w:highlight w:val="none"/>
          <w:u w:val="single"/>
        </w:rPr>
        <w:t>https://www.crcrfsp.com/</w:t>
      </w:r>
      <w:r>
        <w:rPr>
          <w:rFonts w:eastAsia="仿宋_GB2312"/>
          <w:sz w:val="32"/>
          <w:szCs w:val="32"/>
          <w:highlight w:val="none"/>
        </w:rPr>
        <w:fldChar w:fldCharType="end"/>
      </w:r>
      <w:r>
        <w:rPr>
          <w:rFonts w:hint="eastAsia" w:eastAsia="仿宋_GB2312"/>
          <w:sz w:val="32"/>
          <w:szCs w:val="32"/>
          <w:highlight w:val="none"/>
        </w:rPr>
        <w:t>，客服电话：</w:t>
      </w:r>
      <w:r>
        <w:rPr>
          <w:rFonts w:hint="eastAsia" w:ascii="仿宋_GB2312" w:hAnsi="仿宋_GB2312" w:eastAsia="仿宋_GB2312" w:cs="仿宋_GB2312"/>
          <w:sz w:val="32"/>
          <w:szCs w:val="32"/>
          <w:highlight w:val="none"/>
        </w:rPr>
        <w:t>400-009-0001）。</w:t>
      </w:r>
    </w:p>
    <w:p>
      <w:pPr>
        <w:rPr>
          <w:rFonts w:hint="eastAsia" w:hAnsi="宋体" w:cs="宋体"/>
          <w:b/>
          <w:bCs/>
          <w:sz w:val="30"/>
          <w:szCs w:val="30"/>
          <w:highlight w:val="none"/>
        </w:rPr>
      </w:pPr>
    </w:p>
    <w:p>
      <w:pPr>
        <w:rPr>
          <w:rFonts w:hAnsi="宋体" w:cs="宋体"/>
          <w:b/>
          <w:bCs/>
          <w:sz w:val="30"/>
          <w:szCs w:val="30"/>
          <w:highlight w:val="none"/>
        </w:rPr>
      </w:pPr>
    </w:p>
    <w:p>
      <w:pPr>
        <w:rPr>
          <w:rFonts w:hAnsi="宋体" w:cs="宋体"/>
          <w:b/>
          <w:bCs/>
          <w:sz w:val="30"/>
          <w:szCs w:val="30"/>
          <w:highlight w:val="none"/>
        </w:rPr>
      </w:pPr>
    </w:p>
    <w:p>
      <w:pPr>
        <w:rPr>
          <w:rFonts w:hAnsi="宋体" w:cs="宋体"/>
          <w:b/>
          <w:bCs/>
          <w:sz w:val="30"/>
          <w:szCs w:val="30"/>
          <w:highlight w:val="none"/>
        </w:rPr>
      </w:pPr>
    </w:p>
    <w:p>
      <w:pPr>
        <w:rPr>
          <w:rFonts w:hAnsi="宋体" w:cs="宋体"/>
          <w:b/>
          <w:bCs/>
          <w:sz w:val="30"/>
          <w:szCs w:val="30"/>
          <w:highlight w:val="none"/>
        </w:rPr>
      </w:pPr>
    </w:p>
    <w:p>
      <w:pPr>
        <w:rPr>
          <w:rFonts w:hAnsi="宋体" w:cs="宋体"/>
          <w:b/>
          <w:bCs/>
          <w:sz w:val="30"/>
          <w:szCs w:val="30"/>
          <w:highlight w:val="none"/>
        </w:rPr>
      </w:pPr>
    </w:p>
    <w:p>
      <w:pPr>
        <w:rPr>
          <w:rFonts w:hint="eastAsia"/>
          <w:color w:val="000000"/>
          <w:highlight w:val="none"/>
        </w:rPr>
      </w:pPr>
    </w:p>
    <w:p>
      <w:pPr>
        <w:pStyle w:val="9"/>
        <w:rPr>
          <w:rFonts w:hint="eastAsia"/>
          <w:color w:val="000000"/>
          <w:highlight w:val="none"/>
        </w:rPr>
      </w:pPr>
    </w:p>
    <w:p>
      <w:pPr>
        <w:pStyle w:val="22"/>
        <w:rPr>
          <w:rFonts w:hint="eastAsia"/>
          <w:color w:val="000000"/>
          <w:highlight w:val="none"/>
        </w:rPr>
      </w:pPr>
    </w:p>
    <w:p>
      <w:pPr>
        <w:pStyle w:val="23"/>
        <w:rPr>
          <w:rFonts w:hint="eastAsia"/>
          <w:highlight w:val="none"/>
        </w:rPr>
      </w:pPr>
    </w:p>
    <w:p>
      <w:pPr>
        <w:pStyle w:val="22"/>
        <w:rPr>
          <w:rFonts w:hint="eastAsia"/>
          <w:highlight w:val="none"/>
        </w:rPr>
      </w:pPr>
    </w:p>
    <w:p>
      <w:pPr>
        <w:pStyle w:val="3"/>
        <w:numPr>
          <w:ilvl w:val="0"/>
          <w:numId w:val="0"/>
        </w:numPr>
        <w:tabs>
          <w:tab w:val="left" w:pos="0"/>
          <w:tab w:val="left" w:pos="3165"/>
          <w:tab w:val="center" w:pos="4153"/>
        </w:tabs>
        <w:autoSpaceDE w:val="0"/>
        <w:autoSpaceDN w:val="0"/>
        <w:adjustRightInd w:val="0"/>
        <w:spacing w:before="0" w:after="0" w:line="440" w:lineRule="exact"/>
        <w:jc w:val="center"/>
        <w:rPr>
          <w:rFonts w:hint="eastAsia" w:ascii="宋体" w:hAnsi="宋体" w:cs="宋体"/>
          <w:color w:val="000000"/>
          <w:sz w:val="32"/>
          <w:szCs w:val="32"/>
          <w:highlight w:val="none"/>
          <w:lang w:eastAsia="zh-CN"/>
        </w:rPr>
      </w:pPr>
      <w:bookmarkStart w:id="33" w:name="_Toc27417"/>
      <w:bookmarkStart w:id="34" w:name="_Toc17383612"/>
      <w:r>
        <w:rPr>
          <w:rFonts w:hint="eastAsia" w:ascii="宋体" w:hAnsi="宋体" w:cs="宋体"/>
          <w:color w:val="000000"/>
          <w:sz w:val="32"/>
          <w:szCs w:val="32"/>
          <w:highlight w:val="none"/>
          <w:lang w:eastAsia="zh-CN"/>
        </w:rPr>
        <w:t>第三章 采购需求</w:t>
      </w:r>
      <w:bookmarkEnd w:id="33"/>
      <w:bookmarkEnd w:id="34"/>
    </w:p>
    <w:p>
      <w:pPr>
        <w:keepNext w:val="0"/>
        <w:keepLines w:val="0"/>
        <w:pageBreakBefore w:val="0"/>
        <w:widowControl w:val="0"/>
        <w:kinsoku/>
        <w:wordWrap/>
        <w:overflowPunct/>
        <w:topLinePunct w:val="0"/>
        <w:autoSpaceDE/>
        <w:autoSpaceDN/>
        <w:bidi w:val="0"/>
        <w:adjustRightInd w:val="0"/>
        <w:snapToGrid/>
        <w:spacing w:line="360" w:lineRule="exact"/>
        <w:ind w:firstLine="422"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一、本项目所要执行的政府采购政策：</w:t>
      </w:r>
    </w:p>
    <w:p>
      <w:pPr>
        <w:keepNext w:val="0"/>
        <w:keepLines w:val="0"/>
        <w:pageBreakBefore w:val="0"/>
        <w:widowControl w:val="0"/>
        <w:tabs>
          <w:tab w:val="center" w:pos="4410"/>
          <w:tab w:val="left" w:pos="6735"/>
        </w:tabs>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bCs/>
          <w:sz w:val="21"/>
          <w:szCs w:val="21"/>
          <w:highlight w:val="none"/>
          <w:shd w:val="clear" w:color="auto" w:fill="FFFFFF"/>
        </w:rPr>
      </w:pPr>
      <w:r>
        <w:rPr>
          <w:rFonts w:hint="eastAsia" w:ascii="宋体" w:hAnsi="宋体" w:eastAsia="宋体" w:cs="宋体"/>
          <w:bCs/>
          <w:sz w:val="21"/>
          <w:szCs w:val="21"/>
          <w:highlight w:val="none"/>
          <w:shd w:val="clear" w:color="auto" w:fill="FFFFFF"/>
        </w:rPr>
        <w:t>1.本项目专门面向中小微企业采购</w:t>
      </w:r>
      <w:r>
        <w:rPr>
          <w:rFonts w:hint="eastAsia" w:ascii="宋体" w:hAnsi="宋体" w:eastAsia="宋体" w:cs="宋体"/>
          <w:bCs/>
          <w:sz w:val="21"/>
          <w:szCs w:val="21"/>
          <w:highlight w:val="none"/>
          <w:shd w:val="clear" w:color="auto" w:fill="FFFFFF"/>
          <w:lang w:val="en-US" w:eastAsia="zh-CN"/>
        </w:rPr>
        <w:t>,</w:t>
      </w:r>
      <w:r>
        <w:rPr>
          <w:rFonts w:hint="eastAsia" w:ascii="宋体" w:hAnsi="宋体" w:eastAsia="宋体" w:cs="宋体"/>
          <w:bCs/>
          <w:sz w:val="21"/>
          <w:szCs w:val="21"/>
          <w:highlight w:val="none"/>
          <w:shd w:val="clear" w:color="auto" w:fill="FFFFFF"/>
        </w:rPr>
        <w:t>供应商须满足《政府采购促进中小企业发展管理办法》（财库〔2020〕46号）第二条规定；根据《关于政府采购支持监狱企业发展有关问题的通知》（财库〔2014〕68号）及《关于促进残疾人就业政府采购政策的通知》（财库〔2017〕141号）的规定，监狱企业、残疾人福利单位视同小型、微型企业。</w:t>
      </w:r>
    </w:p>
    <w:p>
      <w:pPr>
        <w:keepNext w:val="0"/>
        <w:keepLines w:val="0"/>
        <w:pageBreakBefore w:val="0"/>
        <w:widowControl w:val="0"/>
        <w:tabs>
          <w:tab w:val="center" w:pos="4410"/>
          <w:tab w:val="left" w:pos="6735"/>
        </w:tabs>
        <w:kinsoku/>
        <w:wordWrap/>
        <w:overflowPunct/>
        <w:topLinePunct w:val="0"/>
        <w:autoSpaceDE/>
        <w:autoSpaceDN/>
        <w:bidi w:val="0"/>
        <w:snapToGrid/>
        <w:spacing w:line="360" w:lineRule="exact"/>
        <w:ind w:firstLine="422" w:firstLineChars="200"/>
        <w:textAlignment w:val="auto"/>
        <w:rPr>
          <w:rFonts w:hint="eastAsia" w:ascii="宋体" w:hAnsi="宋体" w:eastAsia="宋体" w:cs="宋体"/>
          <w:b/>
          <w:bCs w:val="0"/>
          <w:sz w:val="21"/>
          <w:szCs w:val="21"/>
          <w:highlight w:val="none"/>
          <w:shd w:val="clear" w:color="auto" w:fill="FFFFFF"/>
        </w:rPr>
      </w:pPr>
      <w:r>
        <w:rPr>
          <w:rFonts w:hint="eastAsia" w:ascii="宋体" w:hAnsi="宋体" w:cs="宋体"/>
          <w:b/>
          <w:bCs w:val="0"/>
          <w:sz w:val="21"/>
          <w:szCs w:val="21"/>
          <w:highlight w:val="none"/>
          <w:shd w:val="clear" w:color="auto" w:fill="FFFFFF"/>
          <w:lang w:val="en-US" w:eastAsia="zh-CN"/>
        </w:rPr>
        <w:t>2.采购需求</w:t>
      </w:r>
      <w:r>
        <w:rPr>
          <w:rFonts w:hint="eastAsia" w:ascii="宋体" w:hAnsi="宋体" w:eastAsia="宋体" w:cs="宋体"/>
          <w:b/>
          <w:bCs w:val="0"/>
          <w:sz w:val="21"/>
          <w:szCs w:val="21"/>
          <w:highlight w:val="none"/>
          <w:shd w:val="clear" w:color="auto" w:fill="FFFFFF"/>
        </w:rPr>
        <w:t>中所有条款均不能出现负偏离，其中带“</w:t>
      </w:r>
      <w:r>
        <w:rPr>
          <w:rFonts w:hint="eastAsia" w:ascii="宋体" w:hAnsi="宋体" w:eastAsia="宋体" w:cs="宋体"/>
          <w:b/>
          <w:bCs w:val="0"/>
          <w:sz w:val="21"/>
          <w:szCs w:val="21"/>
          <w:highlight w:val="none"/>
        </w:rPr>
        <w:t>★</w:t>
      </w:r>
      <w:r>
        <w:rPr>
          <w:rFonts w:hint="eastAsia" w:ascii="宋体" w:hAnsi="宋体" w:eastAsia="宋体" w:cs="宋体"/>
          <w:b/>
          <w:bCs w:val="0"/>
          <w:sz w:val="21"/>
          <w:szCs w:val="21"/>
          <w:highlight w:val="none"/>
          <w:shd w:val="clear" w:color="auto" w:fill="FFFFFF"/>
        </w:rPr>
        <w:t>”的条款为加分项条款，带“</w:t>
      </w:r>
      <w:r>
        <w:rPr>
          <w:rFonts w:hint="eastAsia" w:ascii="宋体" w:hAnsi="宋体" w:eastAsia="宋体" w:cs="宋体"/>
          <w:b/>
          <w:bCs w:val="0"/>
          <w:sz w:val="21"/>
          <w:szCs w:val="21"/>
          <w:highlight w:val="none"/>
        </w:rPr>
        <w:t>▲</w:t>
      </w:r>
      <w:r>
        <w:rPr>
          <w:rFonts w:hint="eastAsia" w:ascii="宋体" w:hAnsi="宋体" w:eastAsia="宋体" w:cs="宋体"/>
          <w:b/>
          <w:bCs w:val="0"/>
          <w:sz w:val="21"/>
          <w:szCs w:val="21"/>
          <w:highlight w:val="none"/>
          <w:shd w:val="clear" w:color="auto" w:fill="FFFFFF"/>
        </w:rPr>
        <w:t>”的条款为系统演示条款。</w:t>
      </w:r>
    </w:p>
    <w:p>
      <w:pPr>
        <w:keepNext w:val="0"/>
        <w:keepLines w:val="0"/>
        <w:pageBreakBefore w:val="0"/>
        <w:widowControl w:val="0"/>
        <w:kinsoku/>
        <w:wordWrap/>
        <w:overflowPunct/>
        <w:topLinePunct w:val="0"/>
        <w:autoSpaceDE/>
        <w:autoSpaceDN/>
        <w:bidi w:val="0"/>
        <w:snapToGrid/>
        <w:spacing w:line="360" w:lineRule="exact"/>
        <w:ind w:firstLine="422" w:firstLineChars="200"/>
        <w:jc w:val="left"/>
        <w:textAlignment w:val="auto"/>
        <w:rPr>
          <w:rFonts w:hint="eastAsia" w:ascii="宋体" w:hAnsi="宋体" w:eastAsia="宋体" w:cs="宋体"/>
          <w:sz w:val="21"/>
          <w:szCs w:val="21"/>
          <w:highlight w:val="none"/>
        </w:rPr>
      </w:pPr>
      <w:r>
        <w:rPr>
          <w:rFonts w:hint="eastAsia" w:ascii="宋体" w:hAnsi="宋体" w:cs="宋体"/>
          <w:b/>
          <w:sz w:val="21"/>
          <w:szCs w:val="21"/>
          <w:highlight w:val="none"/>
          <w:lang w:val="en-US" w:eastAsia="zh-CN"/>
        </w:rPr>
        <w:t>3.</w:t>
      </w:r>
      <w:r>
        <w:rPr>
          <w:rFonts w:hint="eastAsia" w:ascii="宋体" w:hAnsi="宋体" w:eastAsia="宋体" w:cs="宋体"/>
          <w:b/>
          <w:sz w:val="21"/>
          <w:szCs w:val="21"/>
          <w:highlight w:val="none"/>
        </w:rPr>
        <w:t>投标人必须根据自身实际情况如实响应招标文件，不得将招标文件内容简单复制粘贴作为投标响应，否则按无效投标处理</w:t>
      </w:r>
      <w:r>
        <w:rPr>
          <w:rFonts w:hint="eastAsia" w:ascii="宋体" w:hAnsi="宋体" w:eastAsia="宋体" w:cs="宋体"/>
          <w:sz w:val="21"/>
          <w:szCs w:val="21"/>
          <w:highlight w:val="none"/>
        </w:rPr>
        <w:t>。对于重要技术条款或技术参数应当在投标文件中提供技术支持资料，技术支持资料以招标文件中规定的形式为准。凡不符合上述要求的，将视为无效技术支持资料。</w:t>
      </w:r>
    </w:p>
    <w:p>
      <w:pPr>
        <w:pStyle w:val="9"/>
        <w:keepNext w:val="0"/>
        <w:keepLines w:val="0"/>
        <w:pageBreakBefore w:val="0"/>
        <w:widowControl w:val="0"/>
        <w:kinsoku/>
        <w:wordWrap/>
        <w:overflowPunct/>
        <w:topLinePunct w:val="0"/>
        <w:autoSpaceDE/>
        <w:autoSpaceDN/>
        <w:bidi w:val="0"/>
        <w:snapToGrid/>
        <w:spacing w:after="0" w:line="360" w:lineRule="exact"/>
        <w:ind w:firstLine="420" w:firstLineChars="200"/>
        <w:textAlignment w:val="auto"/>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rPr>
        <w:t>投标人必须自行为其投标产品侵犯他人的知识产权或者专利成果的行为承担相应法律责任。</w:t>
      </w:r>
    </w:p>
    <w:p>
      <w:pPr>
        <w:keepNext w:val="0"/>
        <w:keepLines w:val="0"/>
        <w:pageBreakBefore w:val="0"/>
        <w:widowControl w:val="0"/>
        <w:kinsoku/>
        <w:wordWrap/>
        <w:overflowPunct/>
        <w:topLinePunct w:val="0"/>
        <w:autoSpaceDE/>
        <w:autoSpaceDN/>
        <w:bidi w:val="0"/>
        <w:snapToGrid/>
        <w:spacing w:line="360" w:lineRule="exact"/>
        <w:ind w:firstLine="422" w:firstLineChars="200"/>
        <w:jc w:val="left"/>
        <w:textAlignment w:val="auto"/>
        <w:rPr>
          <w:rFonts w:hint="eastAsia" w:ascii="宋体" w:hAnsi="宋体" w:eastAsia="宋体" w:cs="宋体"/>
          <w:b/>
          <w:sz w:val="21"/>
          <w:szCs w:val="21"/>
          <w:highlight w:val="none"/>
        </w:rPr>
      </w:pPr>
      <w:r>
        <w:rPr>
          <w:rFonts w:hint="eastAsia" w:ascii="宋体" w:hAnsi="宋体" w:cs="宋体"/>
          <w:b/>
          <w:sz w:val="21"/>
          <w:szCs w:val="21"/>
          <w:highlight w:val="none"/>
          <w:lang w:val="en-US" w:eastAsia="zh-CN"/>
        </w:rPr>
        <w:t>5.</w:t>
      </w:r>
      <w:r>
        <w:rPr>
          <w:rFonts w:hint="eastAsia" w:ascii="宋体" w:hAnsi="宋体" w:eastAsia="宋体" w:cs="宋体"/>
          <w:b/>
          <w:sz w:val="21"/>
          <w:szCs w:val="21"/>
          <w:highlight w:val="none"/>
        </w:rPr>
        <w:t>本项目所属行业为“其他未列明行业”，中小企业划分标准是指国务院有关部门根据企业从业人员、营业收入、资产总额等指标制定的中小企业划型标准，详见《关于印发中小企业划型标准规定的通知》（工信部联企业〔2011〕300号）。</w:t>
      </w:r>
    </w:p>
    <w:p>
      <w:pPr>
        <w:keepNext w:val="0"/>
        <w:keepLines w:val="0"/>
        <w:pageBreakBefore w:val="0"/>
        <w:widowControl w:val="0"/>
        <w:kinsoku/>
        <w:wordWrap/>
        <w:overflowPunct/>
        <w:topLinePunct w:val="0"/>
        <w:autoSpaceDE/>
        <w:autoSpaceDN/>
        <w:bidi w:val="0"/>
        <w:snapToGrid/>
        <w:spacing w:line="360" w:lineRule="exact"/>
        <w:ind w:firstLine="422" w:firstLineChars="200"/>
        <w:textAlignment w:val="auto"/>
        <w:rPr>
          <w:rFonts w:hint="eastAsia" w:ascii="宋体" w:hAnsi="宋体" w:eastAsia="宋体" w:cs="宋体"/>
          <w:sz w:val="21"/>
          <w:szCs w:val="21"/>
          <w:highlight w:val="none"/>
        </w:rPr>
      </w:pPr>
      <w:r>
        <w:rPr>
          <w:rFonts w:hint="eastAsia" w:ascii="宋体" w:hAnsi="宋体" w:cs="宋体"/>
          <w:b/>
          <w:sz w:val="21"/>
          <w:szCs w:val="21"/>
          <w:highlight w:val="none"/>
          <w:lang w:val="en-US" w:eastAsia="zh-CN"/>
        </w:rPr>
        <w:t>6.</w:t>
      </w:r>
      <w:r>
        <w:rPr>
          <w:rFonts w:hint="eastAsia" w:ascii="宋体" w:hAnsi="宋体" w:eastAsia="宋体" w:cs="宋体"/>
          <w:b/>
          <w:sz w:val="21"/>
          <w:szCs w:val="21"/>
          <w:highlight w:val="none"/>
        </w:rPr>
        <w:t>本项目拟采用路灯合同能源管理（EMC）进行运作。具体操作为：通过政府采购确定项目中标人，由项目中标人筹资分两期完成项目建设，并在合同期内承担项目第一期建设内容的运行维护及相关的费用支出，项目第二期建设内容质保一年期满后移交至采购人管护；政府以采购人、项目中标人、第三方节能审核机构共同认定项目改造前平均用电量为依据，根据固定电价和折扣率，计算能源管理费用，在扣除当月项目范围内实际电费支出后，将能源管理应付款（详细计算方式见下文）支付给项目中标人，作为项目中标人的投资回报。</w:t>
      </w:r>
    </w:p>
    <w:p>
      <w:pPr>
        <w:keepNext w:val="0"/>
        <w:keepLines w:val="0"/>
        <w:pageBreakBefore w:val="0"/>
        <w:widowControl w:val="0"/>
        <w:kinsoku/>
        <w:wordWrap/>
        <w:overflowPunct/>
        <w:topLinePunct w:val="0"/>
        <w:autoSpaceDE/>
        <w:autoSpaceDN/>
        <w:bidi w:val="0"/>
        <w:snapToGrid/>
        <w:spacing w:line="360" w:lineRule="exact"/>
        <w:ind w:firstLine="422" w:firstLineChars="200"/>
        <w:jc w:val="left"/>
        <w:textAlignment w:val="auto"/>
        <w:rPr>
          <w:rFonts w:hint="eastAsia" w:ascii="宋体" w:hAnsi="宋体" w:eastAsia="宋体" w:cs="宋体"/>
          <w:sz w:val="21"/>
          <w:szCs w:val="21"/>
          <w:highlight w:val="none"/>
        </w:rPr>
      </w:pPr>
      <w:r>
        <w:rPr>
          <w:rFonts w:hint="eastAsia" w:ascii="宋体" w:hAnsi="宋体" w:eastAsia="宋体" w:cs="宋体"/>
          <w:b/>
          <w:sz w:val="21"/>
          <w:szCs w:val="21"/>
          <w:highlight w:val="none"/>
        </w:rPr>
        <w:t>二、采购需求：</w:t>
      </w:r>
      <w:r>
        <w:rPr>
          <w:rFonts w:hint="eastAsia" w:ascii="宋体" w:hAnsi="宋体" w:eastAsia="宋体" w:cs="宋体"/>
          <w:sz w:val="21"/>
          <w:szCs w:val="21"/>
          <w:highlight w:val="none"/>
        </w:rPr>
        <w:t>桂林市老城区路灯节能改造服务项目的建设需求如下：</w:t>
      </w:r>
    </w:p>
    <w:p>
      <w:pPr>
        <w:ind w:firstLine="424" w:firstLineChars="202"/>
        <w:jc w:val="left"/>
        <w:rPr>
          <w:rFonts w:hint="eastAsia" w:ascii="宋体" w:hAnsi="宋体" w:eastAsia="宋体" w:cs="宋体"/>
          <w:sz w:val="21"/>
          <w:szCs w:val="21"/>
          <w:highlight w:val="none"/>
        </w:rPr>
      </w:pPr>
    </w:p>
    <w:tbl>
      <w:tblPr>
        <w:tblStyle w:val="15"/>
        <w:tblW w:w="9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
        <w:gridCol w:w="1276"/>
        <w:gridCol w:w="426"/>
        <w:gridCol w:w="7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9314" w:type="dxa"/>
            <w:gridSpan w:val="4"/>
            <w:tcBorders>
              <w:top w:val="single" w:color="auto" w:sz="4" w:space="0"/>
              <w:left w:val="single" w:color="auto" w:sz="4" w:space="0"/>
              <w:bottom w:val="single" w:color="auto" w:sz="4" w:space="0"/>
              <w:right w:val="single" w:color="auto" w:sz="4" w:space="0"/>
            </w:tcBorders>
          </w:tcPr>
          <w:p>
            <w:pPr>
              <w:spacing w:line="300" w:lineRule="exact"/>
              <w:rPr>
                <w:rFonts w:hint="eastAsia" w:ascii="宋体" w:hAnsi="宋体" w:eastAsia="宋体" w:cs="宋体"/>
                <w:b/>
                <w:sz w:val="21"/>
                <w:szCs w:val="21"/>
                <w:highlight w:val="none"/>
              </w:rPr>
            </w:pPr>
            <w:r>
              <w:rPr>
                <w:rFonts w:hint="eastAsia" w:ascii="宋体" w:hAnsi="宋体" w:cs="宋体"/>
                <w:b/>
                <w:color w:val="000000"/>
                <w:sz w:val="21"/>
                <w:szCs w:val="21"/>
                <w:highlight w:val="none"/>
                <w:lang w:eastAsia="zh-CN"/>
              </w:rPr>
              <w:t>一、</w:t>
            </w:r>
            <w:r>
              <w:rPr>
                <w:rFonts w:hint="eastAsia" w:ascii="宋体" w:hAnsi="宋体" w:eastAsia="宋体" w:cs="宋体"/>
                <w:b/>
                <w:color w:val="000000"/>
                <w:sz w:val="21"/>
                <w:szCs w:val="21"/>
                <w:highlight w:val="none"/>
              </w:rPr>
              <w:t>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项号</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采购项目</w:t>
            </w:r>
          </w:p>
        </w:tc>
        <w:tc>
          <w:tcPr>
            <w:tcW w:w="4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数量</w:t>
            </w:r>
          </w:p>
        </w:tc>
        <w:tc>
          <w:tcPr>
            <w:tcW w:w="72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桂林市老城区路灯节能改造项目（第一期）-LED路灯及相关改造、运营期维护等</w:t>
            </w:r>
          </w:p>
        </w:tc>
        <w:tc>
          <w:tcPr>
            <w:tcW w:w="4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1项</w:t>
            </w:r>
          </w:p>
        </w:tc>
        <w:tc>
          <w:tcPr>
            <w:tcW w:w="7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一、项目第一期建设内容及要求（中标人提供的相关服务）</w:t>
            </w:r>
          </w:p>
          <w:p>
            <w:pPr>
              <w:keepNext w:val="0"/>
              <w:keepLines w:val="0"/>
              <w:pageBreakBefore w:val="0"/>
              <w:widowControl w:val="0"/>
              <w:kinsoku/>
              <w:wordWrap/>
              <w:overflowPunct/>
              <w:topLinePunct w:val="0"/>
              <w:autoSpaceDE/>
              <w:autoSpaceDN/>
              <w:bidi w:val="0"/>
              <w:snapToGri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（一）合同建设期要求</w:t>
            </w:r>
          </w:p>
          <w:p>
            <w:pPr>
              <w:keepNext w:val="0"/>
              <w:keepLines w:val="0"/>
              <w:pageBreakBefore w:val="0"/>
              <w:widowControl w:val="0"/>
              <w:kinsoku/>
              <w:wordWrap/>
              <w:overflowPunct/>
              <w:topLinePunct w:val="0"/>
              <w:autoSpaceDE/>
              <w:autoSpaceDN/>
              <w:bidi w:val="0"/>
              <w:snapToGrid/>
              <w:spacing w:line="360" w:lineRule="exact"/>
              <w:ind w:firstLine="422" w:firstLineChars="200"/>
              <w:textAlignment w:val="auto"/>
              <w:rPr>
                <w:rFonts w:hint="eastAsia" w:ascii="宋体" w:hAnsi="宋体" w:eastAsia="宋体" w:cs="宋体"/>
                <w:sz w:val="21"/>
                <w:szCs w:val="21"/>
                <w:highlight w:val="none"/>
              </w:rPr>
            </w:pPr>
            <w:r>
              <w:rPr>
                <w:rFonts w:hint="eastAsia" w:ascii="宋体" w:hAnsi="宋体" w:eastAsia="宋体" w:cs="宋体"/>
                <w:b/>
                <w:sz w:val="21"/>
                <w:szCs w:val="21"/>
                <w:highlight w:val="none"/>
              </w:rPr>
              <w:t>1.合同建设期限：</w:t>
            </w:r>
            <w:r>
              <w:rPr>
                <w:rFonts w:hint="eastAsia" w:ascii="宋体" w:hAnsi="宋体" w:eastAsia="宋体" w:cs="宋体"/>
                <w:sz w:val="21"/>
                <w:szCs w:val="21"/>
                <w:highlight w:val="none"/>
              </w:rPr>
              <w:t>基准能耗认定后180个日历日（如遇不可抗拒原因导致不能施工则项目建设期顺延）</w:t>
            </w:r>
          </w:p>
          <w:p>
            <w:pPr>
              <w:keepNext w:val="0"/>
              <w:keepLines w:val="0"/>
              <w:pageBreakBefore w:val="0"/>
              <w:widowControl w:val="0"/>
              <w:kinsoku/>
              <w:wordWrap/>
              <w:overflowPunct/>
              <w:topLinePunct w:val="0"/>
              <w:autoSpaceDE/>
              <w:autoSpaceDN/>
              <w:bidi w:val="0"/>
              <w:snapToGrid/>
              <w:spacing w:line="360" w:lineRule="exact"/>
              <w:ind w:firstLine="422" w:firstLineChars="200"/>
              <w:textAlignment w:val="auto"/>
              <w:rPr>
                <w:rFonts w:hint="eastAsia" w:ascii="宋体" w:hAnsi="宋体" w:eastAsia="宋体" w:cs="宋体"/>
                <w:sz w:val="21"/>
                <w:szCs w:val="21"/>
                <w:highlight w:val="none"/>
              </w:rPr>
            </w:pPr>
            <w:r>
              <w:rPr>
                <w:rFonts w:hint="eastAsia" w:ascii="宋体" w:hAnsi="宋体" w:eastAsia="宋体" w:cs="宋体"/>
                <w:b/>
                <w:sz w:val="21"/>
                <w:szCs w:val="21"/>
                <w:highlight w:val="none"/>
              </w:rPr>
              <w:t>2.建设内容：</w:t>
            </w:r>
            <w:r>
              <w:rPr>
                <w:rFonts w:hint="eastAsia" w:ascii="宋体" w:hAnsi="宋体" w:eastAsia="宋体" w:cs="宋体"/>
                <w:sz w:val="21"/>
                <w:szCs w:val="21"/>
                <w:highlight w:val="none"/>
              </w:rPr>
              <w:t>对桂林市老城区约149条（具体以实际实施数量为准）市政道路主路、交汇处等进行①约21453盏（具体以实施安装数量为准）高压钠灯、光衰严重的LED灯等LED路灯改造；②与灯杆、灯具配套的单灯控制器安装；③LED大屏安装、信息设备及硬件采购升级等信息中心升级服务（以采购人需求为准）等LED路灯及相关改造内容。</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具体路段、数量及内容详见《桂林市老城区路灯节能改造项目——LED节能相关改造明细表》，</w:t>
            </w:r>
            <w:r>
              <w:rPr>
                <w:rFonts w:hint="eastAsia" w:ascii="宋体" w:hAnsi="宋体" w:eastAsia="宋体" w:cs="宋体"/>
                <w:b/>
                <w:sz w:val="21"/>
                <w:szCs w:val="21"/>
                <w:highlight w:val="none"/>
              </w:rPr>
              <w:t>路段和数量为暂定，实际改造路段和数量最终以改造完成竣工验收时采购人与中标人确认的路段和数量为准。</w:t>
            </w:r>
          </w:p>
          <w:p>
            <w:pPr>
              <w:keepNext w:val="0"/>
              <w:keepLines w:val="0"/>
              <w:pageBreakBefore w:val="0"/>
              <w:widowControl w:val="0"/>
              <w:kinsoku/>
              <w:wordWrap/>
              <w:overflowPunct/>
              <w:topLinePunct w:val="0"/>
              <w:autoSpaceDE/>
              <w:autoSpaceDN/>
              <w:bidi w:val="0"/>
              <w:snapToGri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3.新型LED节能路灯技术参数要求：</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（1）新型LED节能路灯的品牌、生产厂家、型号；</w:t>
            </w:r>
            <w:r>
              <w:rPr>
                <w:rFonts w:hint="eastAsia" w:ascii="宋体" w:hAnsi="宋体" w:eastAsia="宋体" w:cs="宋体"/>
                <w:b/>
                <w:bCs/>
                <w:kern w:val="0"/>
                <w:sz w:val="21"/>
                <w:szCs w:val="21"/>
                <w:highlight w:val="none"/>
              </w:rPr>
              <w:t>（</w:t>
            </w:r>
            <w:r>
              <w:rPr>
                <w:rFonts w:hint="eastAsia" w:ascii="宋体" w:hAnsi="宋体" w:eastAsia="宋体" w:cs="宋体"/>
                <w:b/>
                <w:bCs/>
                <w:kern w:val="0"/>
                <w:sz w:val="21"/>
                <w:szCs w:val="21"/>
                <w:highlight w:val="none"/>
                <w:lang w:eastAsia="zh-CN"/>
              </w:rPr>
              <w:t>本</w:t>
            </w:r>
            <w:r>
              <w:rPr>
                <w:rFonts w:hint="eastAsia" w:ascii="宋体" w:hAnsi="宋体" w:eastAsia="宋体" w:cs="宋体"/>
                <w:b/>
                <w:bCs/>
                <w:kern w:val="0"/>
                <w:sz w:val="21"/>
                <w:szCs w:val="21"/>
                <w:highlight w:val="none"/>
              </w:rPr>
              <w:t>项由投标人在响应表中进行响应，若投标人提供多种功率的产品，应一一列明该产品对应产品品牌、生产厂家及型号）</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（2）驱动电源需满足CCC认证要求，应能与单灯控制器等相匹配，满足正常工作及调光需求等（在供货阶段须提供原厂供货证明）。</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bCs/>
                <w:kern w:val="0"/>
                <w:sz w:val="21"/>
                <w:szCs w:val="21"/>
                <w:highlight w:val="none"/>
              </w:rPr>
            </w:pPr>
            <w:r>
              <w:rPr>
                <w:rFonts w:hint="eastAsia" w:ascii="宋体" w:hAnsi="宋体" w:eastAsia="宋体" w:cs="宋体"/>
                <w:sz w:val="21"/>
                <w:szCs w:val="21"/>
                <w:highlight w:val="none"/>
              </w:rPr>
              <w:t>★</w:t>
            </w:r>
            <w:r>
              <w:rPr>
                <w:rFonts w:hint="eastAsia" w:ascii="宋体" w:hAnsi="宋体" w:eastAsia="宋体" w:cs="宋体"/>
                <w:bCs/>
                <w:kern w:val="0"/>
                <w:sz w:val="21"/>
                <w:szCs w:val="21"/>
                <w:highlight w:val="none"/>
              </w:rPr>
              <w:t>（3）LED灯具初始光效≥150Lm/w。</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（4）初始光通量：1W≥150 lm。</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bCs/>
                <w:kern w:val="0"/>
                <w:sz w:val="21"/>
                <w:szCs w:val="21"/>
                <w:highlight w:val="none"/>
              </w:rPr>
            </w:pPr>
            <w:r>
              <w:rPr>
                <w:rFonts w:hint="eastAsia" w:ascii="宋体" w:hAnsi="宋体" w:eastAsia="宋体" w:cs="宋体"/>
                <w:sz w:val="21"/>
                <w:szCs w:val="21"/>
                <w:highlight w:val="none"/>
              </w:rPr>
              <w:t>★</w:t>
            </w:r>
            <w:r>
              <w:rPr>
                <w:rFonts w:hint="eastAsia" w:ascii="宋体" w:hAnsi="宋体" w:eastAsia="宋体" w:cs="宋体"/>
                <w:bCs/>
                <w:kern w:val="0"/>
                <w:sz w:val="21"/>
                <w:szCs w:val="21"/>
                <w:highlight w:val="none"/>
              </w:rPr>
              <w:t>（5）电源功率因数：≥0.95。</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（6）配光曲线：蝙蝠翼形。</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bCs/>
                <w:kern w:val="0"/>
                <w:sz w:val="21"/>
                <w:szCs w:val="21"/>
                <w:highlight w:val="none"/>
              </w:rPr>
            </w:pPr>
            <w:r>
              <w:rPr>
                <w:rFonts w:hint="eastAsia" w:ascii="宋体" w:hAnsi="宋体" w:eastAsia="宋体" w:cs="宋体"/>
                <w:sz w:val="21"/>
                <w:szCs w:val="21"/>
                <w:highlight w:val="none"/>
              </w:rPr>
              <w:t>★</w:t>
            </w:r>
            <w:r>
              <w:rPr>
                <w:rFonts w:hint="eastAsia" w:ascii="宋体" w:hAnsi="宋体" w:eastAsia="宋体" w:cs="宋体"/>
                <w:bCs/>
                <w:kern w:val="0"/>
                <w:sz w:val="21"/>
                <w:szCs w:val="21"/>
                <w:highlight w:val="none"/>
              </w:rPr>
              <w:t>（7）显色指数 ：Ra≥70。</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（8）色温：3500～4500K。</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（9）光通维持率：工作 12000h 后，光通维持率≥92%。</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（10）光源（使用）寿命：≥50000h。</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（11）工作环境温度：-40℃~+60℃。</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（12）光束角：项目中标人应根据道路实际情况进行调整，避免光斑。</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（13）灯具内需密封的部位使用耐高温防老化的硅胶防护。</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bCs/>
                <w:kern w:val="0"/>
                <w:sz w:val="21"/>
                <w:szCs w:val="21"/>
                <w:highlight w:val="none"/>
              </w:rPr>
            </w:pPr>
            <w:r>
              <w:rPr>
                <w:rFonts w:hint="eastAsia" w:ascii="宋体" w:hAnsi="宋体" w:eastAsia="宋体" w:cs="宋体"/>
                <w:sz w:val="21"/>
                <w:szCs w:val="21"/>
                <w:highlight w:val="none"/>
              </w:rPr>
              <w:t>（14）防护等级≥</w:t>
            </w:r>
            <w:r>
              <w:rPr>
                <w:rFonts w:hint="eastAsia" w:ascii="宋体" w:hAnsi="宋体" w:eastAsia="宋体" w:cs="宋体"/>
                <w:bCs/>
                <w:kern w:val="0"/>
                <w:sz w:val="21"/>
                <w:szCs w:val="21"/>
                <w:highlight w:val="none"/>
              </w:rPr>
              <w:t>IP65。</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（15）灯具样式应为统一样式，更换前交采购人审定。</w:t>
            </w:r>
          </w:p>
          <w:p>
            <w:pPr>
              <w:keepNext w:val="0"/>
              <w:keepLines w:val="0"/>
              <w:pageBreakBefore w:val="0"/>
              <w:widowControl w:val="0"/>
              <w:kinsoku/>
              <w:wordWrap/>
              <w:overflowPunct/>
              <w:topLinePunct w:val="0"/>
              <w:autoSpaceDE/>
              <w:autoSpaceDN/>
              <w:bidi w:val="0"/>
              <w:snapToGri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4.道路照明标准值测量要求：</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bCs/>
                <w:kern w:val="0"/>
                <w:sz w:val="21"/>
                <w:szCs w:val="21"/>
                <w:highlight w:val="none"/>
              </w:rPr>
            </w:pPr>
            <w:r>
              <w:rPr>
                <w:rFonts w:hint="eastAsia" w:ascii="宋体" w:hAnsi="宋体" w:eastAsia="宋体" w:cs="宋体"/>
                <w:sz w:val="21"/>
                <w:szCs w:val="21"/>
                <w:highlight w:val="none"/>
              </w:rPr>
              <w:t>在次干道，道路宽度16m，4车道，灯具安装高度10m，灯杆安装间距30m，灯具</w:t>
            </w:r>
            <w:r>
              <w:rPr>
                <w:rFonts w:hint="eastAsia" w:ascii="宋体" w:hAnsi="宋体" w:eastAsia="宋体" w:cs="宋体"/>
                <w:bCs/>
                <w:kern w:val="0"/>
                <w:sz w:val="21"/>
                <w:szCs w:val="21"/>
                <w:highlight w:val="none"/>
              </w:rPr>
              <w:t>功率100W（±5%）的条件下：</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（1）路面亮度方面：</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bCs/>
                <w:kern w:val="0"/>
                <w:sz w:val="21"/>
                <w:szCs w:val="21"/>
                <w:highlight w:val="none"/>
              </w:rPr>
            </w:pPr>
            <w:r>
              <w:rPr>
                <w:rFonts w:hint="eastAsia" w:ascii="宋体" w:hAnsi="宋体" w:eastAsia="宋体" w:cs="宋体"/>
                <w:sz w:val="21"/>
                <w:szCs w:val="21"/>
                <w:highlight w:val="none"/>
              </w:rPr>
              <w:t>★</w:t>
            </w:r>
            <w:r>
              <w:rPr>
                <w:rFonts w:hint="eastAsia" w:ascii="宋体" w:hAnsi="宋体" w:eastAsia="宋体" w:cs="宋体"/>
                <w:bCs/>
                <w:kern w:val="0"/>
                <w:sz w:val="21"/>
                <w:szCs w:val="21"/>
                <w:highlight w:val="none"/>
              </w:rPr>
              <w:t>①平均亮度L</w:t>
            </w:r>
            <w:r>
              <w:rPr>
                <w:rFonts w:hint="eastAsia" w:ascii="宋体" w:hAnsi="宋体" w:eastAsia="宋体" w:cs="宋体"/>
                <w:bCs/>
                <w:kern w:val="0"/>
                <w:sz w:val="21"/>
                <w:szCs w:val="21"/>
                <w:highlight w:val="none"/>
                <w:vertAlign w:val="subscript"/>
              </w:rPr>
              <w:t>av</w:t>
            </w:r>
            <w:r>
              <w:rPr>
                <w:rFonts w:hint="eastAsia" w:ascii="宋体" w:hAnsi="宋体" w:eastAsia="宋体" w:cs="宋体"/>
                <w:bCs/>
                <w:kern w:val="0"/>
                <w:sz w:val="21"/>
                <w:szCs w:val="21"/>
                <w:highlight w:val="none"/>
              </w:rPr>
              <w:t>维持值≥1.5（cd/m2）；</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②总均匀度U</w:t>
            </w:r>
            <w:r>
              <w:rPr>
                <w:rFonts w:hint="eastAsia" w:ascii="宋体" w:hAnsi="宋体" w:eastAsia="宋体" w:cs="宋体"/>
                <w:bCs/>
                <w:kern w:val="0"/>
                <w:sz w:val="21"/>
                <w:szCs w:val="21"/>
                <w:highlight w:val="none"/>
                <w:vertAlign w:val="subscript"/>
              </w:rPr>
              <w:t>O</w:t>
            </w:r>
            <w:r>
              <w:rPr>
                <w:rFonts w:hint="eastAsia" w:ascii="宋体" w:hAnsi="宋体" w:eastAsia="宋体" w:cs="宋体"/>
                <w:bCs/>
                <w:kern w:val="0"/>
                <w:sz w:val="21"/>
                <w:szCs w:val="21"/>
                <w:highlight w:val="none"/>
              </w:rPr>
              <w:t>≥0.5；</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③纵向均匀度U</w:t>
            </w:r>
            <w:r>
              <w:rPr>
                <w:rFonts w:hint="eastAsia" w:ascii="宋体" w:hAnsi="宋体" w:eastAsia="宋体" w:cs="宋体"/>
                <w:bCs/>
                <w:kern w:val="0"/>
                <w:sz w:val="21"/>
                <w:szCs w:val="21"/>
                <w:highlight w:val="none"/>
                <w:vertAlign w:val="subscript"/>
              </w:rPr>
              <w:t>L</w:t>
            </w:r>
            <w:r>
              <w:rPr>
                <w:rFonts w:hint="eastAsia" w:ascii="宋体" w:hAnsi="宋体" w:eastAsia="宋体" w:cs="宋体"/>
                <w:bCs/>
                <w:kern w:val="0"/>
                <w:sz w:val="21"/>
                <w:szCs w:val="21"/>
                <w:highlight w:val="none"/>
              </w:rPr>
              <w:t>≥0.6。</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（2）路面照度方面：</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bCs/>
                <w:kern w:val="0"/>
                <w:sz w:val="21"/>
                <w:szCs w:val="21"/>
                <w:highlight w:val="none"/>
              </w:rPr>
              <w:t>①</w:t>
            </w:r>
            <w:bookmarkStart w:id="35" w:name="OLE_LINK3"/>
            <w:bookmarkStart w:id="36" w:name="OLE_LINK4"/>
            <w:r>
              <w:rPr>
                <w:rFonts w:hint="eastAsia" w:ascii="宋体" w:hAnsi="宋体" w:eastAsia="宋体" w:cs="宋体"/>
                <w:bCs/>
                <w:kern w:val="0"/>
                <w:sz w:val="21"/>
                <w:szCs w:val="21"/>
                <w:highlight w:val="none"/>
              </w:rPr>
              <w:t>平均照</w:t>
            </w:r>
            <w:r>
              <w:rPr>
                <w:rFonts w:hint="eastAsia" w:ascii="宋体" w:hAnsi="宋体" w:eastAsia="宋体" w:cs="宋体"/>
                <w:sz w:val="21"/>
                <w:szCs w:val="21"/>
                <w:highlight w:val="none"/>
              </w:rPr>
              <w:t>度E</w:t>
            </w:r>
            <w:r>
              <w:rPr>
                <w:rFonts w:hint="eastAsia" w:ascii="宋体" w:hAnsi="宋体" w:eastAsia="宋体" w:cs="宋体"/>
                <w:sz w:val="21"/>
                <w:szCs w:val="21"/>
                <w:highlight w:val="none"/>
                <w:vertAlign w:val="subscript"/>
              </w:rPr>
              <w:t>h,av</w:t>
            </w:r>
            <w:r>
              <w:rPr>
                <w:rFonts w:hint="eastAsia" w:ascii="宋体" w:hAnsi="宋体" w:eastAsia="宋体" w:cs="宋体"/>
                <w:sz w:val="21"/>
                <w:szCs w:val="21"/>
                <w:highlight w:val="none"/>
              </w:rPr>
              <w:t xml:space="preserve"> </w:t>
            </w:r>
            <w:r>
              <w:rPr>
                <w:rFonts w:hint="eastAsia" w:ascii="宋体" w:hAnsi="宋体" w:eastAsia="宋体" w:cs="宋体"/>
                <w:bCs/>
                <w:kern w:val="0"/>
                <w:sz w:val="21"/>
                <w:szCs w:val="21"/>
                <w:highlight w:val="none"/>
              </w:rPr>
              <w:t>维持值</w:t>
            </w:r>
            <w:r>
              <w:rPr>
                <w:rFonts w:hint="eastAsia" w:ascii="宋体" w:hAnsi="宋体" w:eastAsia="宋体" w:cs="宋体"/>
                <w:sz w:val="21"/>
                <w:szCs w:val="21"/>
                <w:highlight w:val="none"/>
              </w:rPr>
              <w:t>≥ 20（lx）</w:t>
            </w:r>
            <w:bookmarkEnd w:id="35"/>
            <w:bookmarkEnd w:id="36"/>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②均匀度U</w:t>
            </w:r>
            <w:r>
              <w:rPr>
                <w:rFonts w:hint="eastAsia" w:ascii="宋体" w:hAnsi="宋体" w:eastAsia="宋体" w:cs="宋体"/>
                <w:sz w:val="21"/>
                <w:szCs w:val="21"/>
                <w:highlight w:val="none"/>
                <w:vertAlign w:val="subscript"/>
              </w:rPr>
              <w:t>E</w:t>
            </w:r>
            <w:r>
              <w:rPr>
                <w:rFonts w:hint="eastAsia" w:ascii="宋体" w:hAnsi="宋体" w:eastAsia="宋体" w:cs="宋体"/>
                <w:sz w:val="21"/>
                <w:szCs w:val="21"/>
                <w:highlight w:val="none"/>
              </w:rPr>
              <w:t>≥0.5。</w:t>
            </w:r>
          </w:p>
          <w:p>
            <w:pPr>
              <w:keepNext w:val="0"/>
              <w:keepLines w:val="0"/>
              <w:pageBreakBefore w:val="0"/>
              <w:widowControl w:val="0"/>
              <w:kinsoku/>
              <w:wordWrap/>
              <w:overflowPunct/>
              <w:topLinePunct w:val="0"/>
              <w:autoSpaceDE/>
              <w:autoSpaceDN/>
              <w:bidi w:val="0"/>
              <w:snapToGri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5.LED节能路灯单灯控制器技术参数要求：</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（1）安装方式：既可安装在灯杆的检修口内，也可安装在灯具上；</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bCs/>
                <w:kern w:val="0"/>
                <w:sz w:val="21"/>
                <w:szCs w:val="21"/>
                <w:highlight w:val="none"/>
              </w:rPr>
            </w:pPr>
            <w:r>
              <w:rPr>
                <w:rFonts w:hint="eastAsia" w:ascii="宋体" w:hAnsi="宋体" w:eastAsia="宋体" w:cs="宋体"/>
                <w:sz w:val="21"/>
                <w:szCs w:val="21"/>
                <w:highlight w:val="none"/>
              </w:rPr>
              <w:t>（2）</w:t>
            </w:r>
            <w:r>
              <w:rPr>
                <w:rFonts w:hint="eastAsia" w:ascii="宋体" w:hAnsi="宋体" w:eastAsia="宋体" w:cs="宋体"/>
                <w:bCs/>
                <w:kern w:val="0"/>
                <w:sz w:val="21"/>
                <w:szCs w:val="21"/>
                <w:highlight w:val="none"/>
              </w:rPr>
              <w:t>通讯协议：采用4G /5G Cat.1或 NB-IoT等通讯；</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bCs/>
                <w:kern w:val="0"/>
                <w:sz w:val="21"/>
                <w:szCs w:val="21"/>
                <w:highlight w:val="none"/>
              </w:rPr>
              <w:t>（3）实现功能：①支持1路1-10V/PWM无极调光输出的功能；②实现电流/电压、有功功率、视在功率、电量、功率因子等多功能检测；③支持控制器温度检测，实时监控使用环境温度；④过流保护、短路保护功能、灯具状况检测；⑤具备本地定时、经纬度、光照度控制、缺省亮灯多种策略结合控制功能；⑥各种故障主动上报，包含灯、驱动器，线路故障等；⑦具有信息远程查询功能；⑧具备远程升级功能；⑨支持定时策略的脱机运行；⑩支持定时、</w:t>
            </w:r>
            <w:r>
              <w:rPr>
                <w:rFonts w:hint="eastAsia" w:ascii="宋体" w:hAnsi="宋体" w:eastAsia="宋体" w:cs="宋体"/>
                <w:sz w:val="21"/>
                <w:szCs w:val="21"/>
                <w:highlight w:val="none"/>
              </w:rPr>
              <w:t>经纬度、光照度调光策略。</w:t>
            </w:r>
          </w:p>
          <w:p>
            <w:pPr>
              <w:keepNext w:val="0"/>
              <w:keepLines w:val="0"/>
              <w:pageBreakBefore w:val="0"/>
              <w:widowControl w:val="0"/>
              <w:kinsoku/>
              <w:wordWrap/>
              <w:overflowPunct/>
              <w:topLinePunct w:val="0"/>
              <w:autoSpaceDE/>
              <w:autoSpaceDN/>
              <w:bidi w:val="0"/>
              <w:snapToGri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6.二次节能和单灯控制系统软件参数要求：</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（1）投标人须在响应表中列明二次节能和单灯控制系统软件名称、生产厂家、版本等内容；</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▲（2）具备远程对管辖区内路灯进行实时监控，能在同一界面查看设备灯具的实时信息；界面实时展示电压、电流、功率、用电量、调光值、开关状态详情、负载等数据；</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bCs/>
                <w:sz w:val="21"/>
                <w:szCs w:val="21"/>
                <w:highlight w:val="none"/>
              </w:rPr>
              <w:t>▲</w:t>
            </w:r>
            <w:r>
              <w:rPr>
                <w:rFonts w:hint="eastAsia" w:ascii="宋体" w:hAnsi="宋体" w:eastAsia="宋体" w:cs="宋体"/>
                <w:sz w:val="21"/>
                <w:szCs w:val="21"/>
                <w:highlight w:val="none"/>
              </w:rPr>
              <w:t>（3）具备批量新增路灯、包含灯控制器、灯头等数据信息，界面使用拟物化界面，能迅速知道每一杆灯的挂载的硬件信息、可以后台查看生产厂家、额定功率、控制方式等；</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bCs/>
                <w:sz w:val="21"/>
                <w:szCs w:val="21"/>
                <w:highlight w:val="none"/>
              </w:rPr>
              <w:t>▲</w:t>
            </w:r>
            <w:r>
              <w:rPr>
                <w:rFonts w:hint="eastAsia" w:ascii="宋体" w:hAnsi="宋体" w:eastAsia="宋体" w:cs="宋体"/>
                <w:sz w:val="21"/>
                <w:szCs w:val="21"/>
                <w:highlight w:val="none"/>
              </w:rPr>
              <w:t>（4）具备控制器离线、非策略亮灯、策略内意外熄灯、线路过流、线路过压、线路欠压、线路缺相、线路欠流、水浸、灯具故障、控制器倾斜等故障报警功能；</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bCs/>
                <w:sz w:val="21"/>
                <w:szCs w:val="21"/>
                <w:highlight w:val="none"/>
              </w:rPr>
              <w:t>▲</w:t>
            </w:r>
            <w:r>
              <w:rPr>
                <w:rFonts w:hint="eastAsia" w:ascii="宋体" w:hAnsi="宋体" w:eastAsia="宋体" w:cs="宋体"/>
                <w:sz w:val="21"/>
                <w:szCs w:val="21"/>
                <w:highlight w:val="none"/>
              </w:rPr>
              <w:t>（5）具备对话语义模型控制、可对输入的文字指令进行精准分析，理解并调用对应设备实现灯具控制、状态结果查询；</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bCs/>
                <w:sz w:val="21"/>
                <w:szCs w:val="21"/>
                <w:highlight w:val="none"/>
              </w:rPr>
              <w:t>▲</w:t>
            </w:r>
            <w:r>
              <w:rPr>
                <w:rFonts w:hint="eastAsia" w:ascii="宋体" w:hAnsi="宋体" w:eastAsia="宋体" w:cs="宋体"/>
                <w:sz w:val="21"/>
                <w:szCs w:val="21"/>
                <w:highlight w:val="none"/>
              </w:rPr>
              <w:t>（6）具备无极调光、智能调光、语义调光、混合调光，自定义或批量配置亮灯模式等亮灯策略管理；</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（7）具备智能巡检和数据分析功能，每日进行相关的数据巡检，获取当日的故障数据，形成巡检报告；</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bCs/>
                <w:sz w:val="21"/>
                <w:szCs w:val="21"/>
                <w:highlight w:val="none"/>
              </w:rPr>
              <w:t>▲</w:t>
            </w:r>
            <w:r>
              <w:rPr>
                <w:rFonts w:hint="eastAsia" w:ascii="宋体" w:hAnsi="宋体" w:eastAsia="宋体" w:cs="宋体"/>
                <w:sz w:val="21"/>
                <w:szCs w:val="21"/>
                <w:highlight w:val="none"/>
              </w:rPr>
              <w:t>（8）具备利用设备运行情况、正常开启情况、负载平稳度、安装使用年限、漏电、故障情况等数据对设备进行健康度评估打分；</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bCs/>
                <w:sz w:val="21"/>
                <w:szCs w:val="21"/>
                <w:highlight w:val="none"/>
              </w:rPr>
              <w:t>▲</w:t>
            </w:r>
            <w:r>
              <w:rPr>
                <w:rFonts w:hint="eastAsia" w:ascii="宋体" w:hAnsi="宋体" w:eastAsia="宋体" w:cs="宋体"/>
                <w:sz w:val="21"/>
                <w:szCs w:val="21"/>
                <w:highlight w:val="none"/>
              </w:rPr>
              <w:t>（9）具备对单灯、双灯、项目运行产生的能耗及其碳排放指标进行计算和展示。并利用机器学习算法根据需求的节电百分比进行智能计算，建议项目中设备的符合要求的运行策略；</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（10）具备移动管理功能，具备手机端控制功能，须满足通过手机 APP 对路灯进行开灯、关灯、调光、地图定位等操作</w:t>
            </w:r>
            <w:r>
              <w:rPr>
                <w:rFonts w:hint="eastAsia" w:ascii="宋体" w:hAnsi="宋体" w:eastAsia="宋体" w:cs="宋体"/>
                <w:sz w:val="21"/>
                <w:szCs w:val="21"/>
                <w:highlight w:val="none"/>
                <w:lang w:eastAsia="zh-CN"/>
              </w:rPr>
              <w:t>。</w:t>
            </w:r>
          </w:p>
          <w:p>
            <w:pPr>
              <w:keepNext w:val="0"/>
              <w:keepLines w:val="0"/>
              <w:pageBreakBefore w:val="0"/>
              <w:widowControl w:val="0"/>
              <w:kinsoku/>
              <w:wordWrap/>
              <w:overflowPunct/>
              <w:topLinePunct w:val="0"/>
              <w:autoSpaceDE/>
              <w:autoSpaceDN/>
              <w:bidi w:val="0"/>
              <w:snapToGri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7.信息中心硬件升级相关参数：</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（1）P1.53全彩高清显示屏：Ｐ1.53屏幕净尺寸： 宽2.56米*高1.6米=4.096㎡，模组尺寸320mm*160mm，模组分辨率208*104点，屏体分辨率： 1664*1040，像素间距≤1.53mm，模组尺寸320mm*160mm，像素密度度≥420000点/㎡，色温：2000K－10000K可调，换帧频率：≥60Hz，支持120Hz等3D显示技术，最高对比度：10000：1，色域≥120%NTSC，平整度：≤0.1mm，亮度均匀性：≥99%，像素失控率：≤1*10-6，无连续失控点，支持单点(逐点)亮度/色度校正,支持出厂校正及现场校正，钢结构内框和专用边框包边，配套控制软件。</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（2）视频处理器：4网口，帯载260万；单画面；横向最大3840，纵向最大1940；U盘脱机播放；支持无线投屏，鼠标控制输入： 3×HDMI，1×Audio；输出：4×网口，1×Audio；4网口输出。</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（3）其他升级服务：主要包含办公电脑、打印机等设备采购，服务器硬件扩容，机房简单改造等，签订合同后由中标人勘查过现场后向采购人提供升级方案。</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（4）信息中心升级相关货物和施工总市场价约为15万元（±5%）左右。</w:t>
            </w:r>
          </w:p>
          <w:p>
            <w:pPr>
              <w:keepNext w:val="0"/>
              <w:keepLines w:val="0"/>
              <w:pageBreakBefore w:val="0"/>
              <w:widowControl w:val="0"/>
              <w:kinsoku/>
              <w:wordWrap/>
              <w:overflowPunct/>
              <w:topLinePunct w:val="0"/>
              <w:autoSpaceDE/>
              <w:autoSpaceDN/>
              <w:bidi w:val="0"/>
              <w:snapToGri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 xml:space="preserve">8.合同建设期施工要求： </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（1）施工标准：符合国家有关技术规范要求和技术标准；</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（2）施工费用：项目中标人负责现场灯具拆除、安装、调试等所需的全部费用，机械设备、人员由其自行解决；</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（3）施工安全：施工过程中产生的一切安全问题由项目中标人负责；</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现存照明设施产权：现存照明设施产权仍属采购人所有，项目中标人在施工过程中，应正确拆除、合理堆放（堆放地点由项目中标人解决）现存照明设施，并汇总运输至采购人指定地点，按照采购人要求存放入库。在拆除与运输过程中项目中标人应确保现存照明设施完好，损坏部分按原价赔偿。</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（5）中标人应在投标文件中说明其安装调试过程中用户需配合的工作内容（包括货物存放、保管、配合、调试、验收等）和具体要求；</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采购人有权对项目中标人新换的LED灯具委托专业机构进行随机抽检（数量不超过总更换数的1.5%，具体由采购人根据实际情况确定），抽检费用由项目中标人承担。若中标人新换的LED灯具、提供的服务不符合招标文件、投标文件或双方所签订合同规定的，采购人方有权拒收且终止合同，并保留要求中标人赔偿采购人方损失的权利。</w:t>
            </w:r>
          </w:p>
          <w:p>
            <w:pPr>
              <w:keepNext w:val="0"/>
              <w:keepLines w:val="0"/>
              <w:pageBreakBefore w:val="0"/>
              <w:widowControl w:val="0"/>
              <w:kinsoku/>
              <w:wordWrap/>
              <w:overflowPunct/>
              <w:topLinePunct w:val="0"/>
              <w:autoSpaceDE/>
              <w:autoSpaceDN/>
              <w:bidi w:val="0"/>
              <w:snapToGri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（二）合同运营期要求</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1.合同运营期限：第一期建设验收合格时间起12年内</w:t>
            </w:r>
            <w:r>
              <w:rPr>
                <w:rFonts w:hint="eastAsia" w:ascii="宋体" w:hAnsi="宋体" w:eastAsia="宋体" w:cs="宋体"/>
                <w:b/>
                <w:sz w:val="21"/>
                <w:szCs w:val="21"/>
                <w:highlight w:val="none"/>
              </w:rPr>
              <w:t>（该条款由投标人根据自己的实际情况在投标文件中以“年”为单位进行响应，但不能大于12年，否则投标无效）</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2.合同运营期维护内容和要求： </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（1）合同运营期内改造路灯电费缴纳：由采购人缴纳，相关费用从财政拨付的能源托管费用中扣除。</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在合同运营期内，中标人应按照采购人制定的专项考核标准文件建立每日巡查制度，派专人对实施路段进行值班、巡查，对监控系统进行监控，发现问题及时进行保养和维护，中标人保养和维护原则上在夜间亮灯时段进行，如需白天亮灯维修，应经采购人同意后才能操作。</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（3）在合同运营期内，中标人应确保灯具整洁，确保设施完好率为100%、亮灯率保持在98%以上；黑灯自熄灭起36小时内修复，所需的人员、机械设备、维修工具由中标人自行解决。</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整个合同服务期内的道路照明质量均要满足《城市道路照明设计标准》（CJJ45-2015），若达到以下三个条件之一，中标人应免费对项目改造范围的整套灯具（包括电源、单灯控制器等）进行二次更换，灯具性能应等于或优于中标人投标的技术参数（以第三方节能审核机构每年提供的平均照度报告为依据）：</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①当年平均照度与上年平均照度相比下降率超过4%；</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②当年平均照度与初始平均照度相比下降率超过30%；</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③</w:t>
            </w:r>
            <w:r>
              <w:rPr>
                <w:rFonts w:hint="eastAsia" w:ascii="宋体" w:hAnsi="宋体" w:eastAsia="宋体" w:cs="宋体"/>
                <w:color w:val="auto"/>
                <w:sz w:val="21"/>
                <w:szCs w:val="21"/>
                <w:highlight w:val="none"/>
              </w:rPr>
              <w:t>未调光节能时，</w:t>
            </w:r>
            <w:r>
              <w:rPr>
                <w:rFonts w:hint="eastAsia" w:ascii="宋体" w:hAnsi="宋体" w:eastAsia="宋体" w:cs="宋体"/>
                <w:sz w:val="21"/>
                <w:szCs w:val="21"/>
                <w:highlight w:val="none"/>
              </w:rPr>
              <w:t>当年平均照度达不到《城市道路照明设计标准》（CJJ45-2015）中高标准值。</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（5）运营期结束后，项目中标人应提供一定数量，性能等于或优于中标人投标的技术参数的整套灯具至采购人仓库作为维修备件，数量按以下原则确定：</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从运营期第8年开始计至运营期结束，项目中标人按照第（4）点内容二次更换的灯具数量若①小于原改造灯具数量的50%，备件数量=原改造灯具数量*50%-二次更换灯具数量；②大于等于原改造灯具数量的50%，项目中标人应在运营期结束后对项目每条改造道路的照度、亮度进行全面检测，对检测结果达不到《城市道路照明设计标准》（CJJ45-2015）中高标准值的道路灯具进行整改，相关费用由项目中标人承担。</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因气象条件、自身瑕疵、产品寿命、电压波动（下称“正常原因”）造成设施损坏、损毁，由中标人承担费用；因交通事故或其他人为因素造成的项目设施损坏、损毁，也由中标人承担。事件发生后中标人在接到采购人《项目设施维护通知单》48小时内必须无条件先行恢复受损设施，并确保重置设施与原设施外型一致。在合同运营期间内，中标人对项目设施（灯具及单灯控制器）必须预留一定的备品备件，以应对各类突发事件，确保设施外型一致。</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7）中标人应根据采购人要求提供及时保修和维护工作，项目中标人应在接到采购人通知（包括微信通知、电话通知、书面通知等）后，一般情况下应在3日内修复；市长热线投诉或新闻媒体曝光的灯具故障，要求1天内修复；市政服务热线和甲方照明热线等报修的灯具故障，要求2天内修复；特殊时期采购人有其他修复要求的，按照采购人要求执行。维修和维护工作结束后及时反馈（微信反馈、电话反馈、书面反馈等）采购人，并配合采购人进行后续流程处理。</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（8）采购人和中标人双方所属设施均应符合国家相关安全标准，各负其责，不得擅自开启、更改对方设施，如有违反，由此造成的责任、经济损失由违反方负责。</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9）维修维护及责任范围：灯具（含开关电源）和单灯控制器部分由中标人负责维修维护。中标人日常维修需要拆开检修口盖板的，需向采购人审批，维修完成后需原样恢复盖板，并向采购人报备。若因灯具导致的漏电等安全事故，责任由中标人承担。</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（10）合同期间，因项目设施（灯具及单灯控制器）发生安全事故原因致使第三方人身、财产损害的，中标人应承担损害赔偿责任。</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（11）项目中标人配合第三方节能审核机构每年对重要路段道路照度、亮度检测一次，检测报告原件交由采购人存档。检测费用从采购人付给项目中标人的能源管理应付款中扣除。</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（12）运营期内，中标人有义务利用多种方式（例如利用二次节能和单灯控制系统智能反馈等方式）帮助采购人查找短路、断路等路灯线路问题，并指导采购人相关人员进行修复。</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（13）对于改造范围内树荫遮挡路灯严重的路段，项目中标人应及时采取措施进行修剪，采购人协助配合中标人办理修枝相关手续。</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合同运营期内，中标人不能牺牲照明质量而盲目追求节电率，整个合同服务期内的照明质量均要满足《城市道路照明设计标准》（CJJ45-2015）：未调光节能时要满足该标准高标准值以上，调光节能后要满足该标准低标准值以上。若改造道路出现的交通、安全等事故，由相关部门认定原因为道路照明质量未满足相关国家标准、行业规范导致的，项目中标人应承担所有赔偿责任。</w:t>
            </w:r>
          </w:p>
          <w:p>
            <w:pPr>
              <w:keepNext w:val="0"/>
              <w:keepLines w:val="0"/>
              <w:pageBreakBefore w:val="0"/>
              <w:widowControl w:val="0"/>
              <w:kinsoku/>
              <w:wordWrap/>
              <w:overflowPunct/>
              <w:topLinePunct w:val="0"/>
              <w:autoSpaceDE/>
              <w:autoSpaceDN/>
              <w:bidi w:val="0"/>
              <w:snapToGri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（三）项目移交</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项目合同期满或项目合同提前终止后，项目中标人将全部项目设施及相关权益按照合同约定的条件和程序移交给采购人，项目中标人必须确保项目符合合同能源管理项目合同中约定项目移交的条件和标准，由采购人、项目中标人和第三方节能审核机构共同组建移交工作组对项目的资产状况进行测算，达到移交条件后，办理手续。</w:t>
            </w:r>
          </w:p>
          <w:p>
            <w:pPr>
              <w:keepNext w:val="0"/>
              <w:keepLines w:val="0"/>
              <w:pageBreakBefore w:val="0"/>
              <w:widowControl w:val="0"/>
              <w:kinsoku/>
              <w:wordWrap/>
              <w:overflowPunct/>
              <w:topLinePunct w:val="0"/>
              <w:autoSpaceDE/>
              <w:autoSpaceDN/>
              <w:bidi w:val="0"/>
              <w:snapToGri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二、第三方节能审核机构委托</w:t>
            </w:r>
          </w:p>
          <w:p>
            <w:pPr>
              <w:keepNext w:val="0"/>
              <w:keepLines w:val="0"/>
              <w:pageBreakBefore w:val="0"/>
              <w:widowControl w:val="0"/>
              <w:kinsoku/>
              <w:wordWrap/>
              <w:overflowPunct/>
              <w:topLinePunct w:val="0"/>
              <w:autoSpaceDE/>
              <w:autoSpaceDN/>
              <w:bidi w:val="0"/>
              <w:snapToGrid/>
              <w:spacing w:line="360" w:lineRule="exact"/>
              <w:ind w:firstLine="422" w:firstLineChars="200"/>
              <w:textAlignment w:val="auto"/>
              <w:rPr>
                <w:rFonts w:hint="eastAsia" w:ascii="宋体" w:hAnsi="宋体" w:eastAsia="宋体" w:cs="宋体"/>
                <w:sz w:val="21"/>
                <w:szCs w:val="21"/>
                <w:highlight w:val="none"/>
              </w:rPr>
            </w:pPr>
            <w:r>
              <w:rPr>
                <w:rFonts w:hint="eastAsia" w:ascii="宋体" w:hAnsi="宋体" w:eastAsia="宋体" w:cs="宋体"/>
                <w:b/>
                <w:sz w:val="21"/>
                <w:szCs w:val="21"/>
                <w:highlight w:val="none"/>
              </w:rPr>
              <w:t>（一）委托方式：</w:t>
            </w:r>
            <w:r>
              <w:rPr>
                <w:rFonts w:hint="eastAsia" w:ascii="宋体" w:hAnsi="宋体" w:eastAsia="宋体" w:cs="宋体"/>
                <w:sz w:val="21"/>
                <w:szCs w:val="21"/>
                <w:highlight w:val="none"/>
              </w:rPr>
              <w:t>桂林市老城区路灯节能改造服务项目合同签订后，采购人通过政府采购流程确定第三方节能审核机构。一般情况下，第三方节能审核机构的服务委托期限应与桂林市老城区路灯节能改造服务项目合同期一致。</w:t>
            </w:r>
          </w:p>
          <w:p>
            <w:pPr>
              <w:keepNext w:val="0"/>
              <w:keepLines w:val="0"/>
              <w:pageBreakBefore w:val="0"/>
              <w:widowControl w:val="0"/>
              <w:kinsoku/>
              <w:wordWrap/>
              <w:overflowPunct/>
              <w:topLinePunct w:val="0"/>
              <w:autoSpaceDE/>
              <w:autoSpaceDN/>
              <w:bidi w:val="0"/>
              <w:snapToGrid/>
              <w:spacing w:line="360" w:lineRule="exact"/>
              <w:ind w:firstLine="422" w:firstLineChars="200"/>
              <w:textAlignment w:val="auto"/>
              <w:rPr>
                <w:rFonts w:hint="eastAsia" w:ascii="宋体" w:hAnsi="宋体" w:eastAsia="宋体" w:cs="宋体"/>
                <w:sz w:val="21"/>
                <w:szCs w:val="21"/>
                <w:highlight w:val="none"/>
              </w:rPr>
            </w:pPr>
            <w:r>
              <w:rPr>
                <w:rFonts w:hint="eastAsia" w:ascii="宋体" w:hAnsi="宋体" w:eastAsia="宋体" w:cs="宋体"/>
                <w:b/>
                <w:sz w:val="21"/>
                <w:szCs w:val="21"/>
                <w:highlight w:val="none"/>
              </w:rPr>
              <w:t>（二）委托内容：</w:t>
            </w:r>
            <w:r>
              <w:rPr>
                <w:rFonts w:hint="eastAsia" w:ascii="宋体" w:hAnsi="宋体" w:eastAsia="宋体" w:cs="宋体"/>
                <w:sz w:val="21"/>
                <w:szCs w:val="21"/>
                <w:highlight w:val="none"/>
              </w:rPr>
              <w:t>包括但不限于：1. 项目改造前平均用电量认定；2.参与项目合同建设期验收；3.进行每条改造道路初始照度、亮度检测；4.进行重要改造道路（具体道路和数量由采购人根据项目运营实际情况确定，数量不大于改造道路数量的1/5）年度照度、亮度检测； 5.参与项目终期移交等</w:t>
            </w:r>
          </w:p>
          <w:p>
            <w:pPr>
              <w:keepNext w:val="0"/>
              <w:keepLines w:val="0"/>
              <w:pageBreakBefore w:val="0"/>
              <w:widowControl w:val="0"/>
              <w:kinsoku/>
              <w:wordWrap/>
              <w:overflowPunct/>
              <w:topLinePunct w:val="0"/>
              <w:autoSpaceDE/>
              <w:autoSpaceDN/>
              <w:bidi w:val="0"/>
              <w:snapToGrid/>
              <w:spacing w:line="360" w:lineRule="exact"/>
              <w:ind w:firstLine="422" w:firstLineChars="200"/>
              <w:textAlignment w:val="auto"/>
              <w:rPr>
                <w:rFonts w:hint="eastAsia" w:ascii="宋体" w:hAnsi="宋体" w:eastAsia="宋体" w:cs="宋体"/>
                <w:sz w:val="21"/>
                <w:szCs w:val="21"/>
                <w:highlight w:val="none"/>
              </w:rPr>
            </w:pPr>
            <w:r>
              <w:rPr>
                <w:rFonts w:hint="eastAsia" w:ascii="宋体" w:hAnsi="宋体" w:eastAsia="宋体" w:cs="宋体"/>
                <w:b/>
                <w:sz w:val="21"/>
                <w:szCs w:val="21"/>
                <w:highlight w:val="none"/>
              </w:rPr>
              <w:t>（三）委托费用：</w:t>
            </w:r>
            <w:r>
              <w:rPr>
                <w:rFonts w:hint="eastAsia" w:ascii="宋体" w:hAnsi="宋体" w:eastAsia="宋体" w:cs="宋体"/>
                <w:sz w:val="21"/>
                <w:szCs w:val="21"/>
                <w:highlight w:val="none"/>
              </w:rPr>
              <w:t>第三方节能审核机构委托费用从</w:t>
            </w:r>
            <w:bookmarkStart w:id="37" w:name="OLE_LINK1"/>
            <w:bookmarkStart w:id="38" w:name="OLE_LINK2"/>
            <w:r>
              <w:rPr>
                <w:rFonts w:hint="eastAsia" w:ascii="宋体" w:hAnsi="宋体" w:eastAsia="宋体" w:cs="宋体"/>
                <w:sz w:val="21"/>
                <w:szCs w:val="21"/>
                <w:highlight w:val="none"/>
              </w:rPr>
              <w:t>采购人付给项目中标人的能源托管费用里扣除。</w:t>
            </w:r>
            <w:bookmarkEnd w:id="37"/>
            <w:bookmarkEnd w:id="38"/>
          </w:p>
          <w:p>
            <w:pPr>
              <w:keepNext w:val="0"/>
              <w:keepLines w:val="0"/>
              <w:pageBreakBefore w:val="0"/>
              <w:widowControl w:val="0"/>
              <w:kinsoku/>
              <w:wordWrap/>
              <w:overflowPunct/>
              <w:topLinePunct w:val="0"/>
              <w:autoSpaceDE/>
              <w:autoSpaceDN/>
              <w:bidi w:val="0"/>
              <w:adjustRightInd w:val="0"/>
              <w:snapToGrid/>
              <w:spacing w:line="360" w:lineRule="exact"/>
              <w:ind w:firstLine="422" w:firstLineChars="200"/>
              <w:textAlignment w:val="auto"/>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三、产权归属</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（一）</w:t>
            </w:r>
            <w:r>
              <w:rPr>
                <w:rFonts w:hint="eastAsia" w:ascii="宋体" w:hAnsi="宋体" w:eastAsia="宋体" w:cs="宋体"/>
                <w:sz w:val="21"/>
                <w:szCs w:val="21"/>
                <w:highlight w:val="none"/>
              </w:rPr>
              <w:t>项目下的所有由中标人采购并安装的能正常使用的产品（设备）、设施和仪器等财产（简称“项目财产”）的所有权属于甲方，本合同运营期结束前甲方不应随意处置项目财产，运营期内中标人更换下来的确定损坏无法使用或达不到使用要求的LED灯具及单灯控制器所有权属中标人，中标人可自行处置。</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（二）合同期满且约定的能源</w:t>
            </w:r>
            <w:r>
              <w:rPr>
                <w:rFonts w:hint="eastAsia" w:ascii="宋体" w:hAnsi="宋体" w:eastAsia="宋体" w:cs="宋体"/>
                <w:sz w:val="21"/>
                <w:szCs w:val="21"/>
                <w:highlight w:val="none"/>
              </w:rPr>
              <w:t>管理费用支付完毕后，乙方有义务将项目财产清单提供给甲方，管护移交前乙方应保证该等项目财产正常运行。</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（三）项目建设期改造更换下来的权属采购人的旧灯具、旧灯杆、旧线缆等设施，由采购人自行处置。</w:t>
            </w:r>
          </w:p>
          <w:p>
            <w:pPr>
              <w:keepNext w:val="0"/>
              <w:keepLines w:val="0"/>
              <w:pageBreakBefore w:val="0"/>
              <w:widowControl w:val="0"/>
              <w:kinsoku/>
              <w:wordWrap/>
              <w:overflowPunct/>
              <w:topLinePunct w:val="0"/>
              <w:autoSpaceDE/>
              <w:autoSpaceDN/>
              <w:bidi w:val="0"/>
              <w:adjustRightInd w:val="0"/>
              <w:snapToGrid/>
              <w:spacing w:line="360" w:lineRule="exact"/>
              <w:ind w:firstLine="422" w:firstLineChars="200"/>
              <w:textAlignment w:val="auto"/>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四、采购人因城市建设或大型活动的需要，对项目涉及路段进行照明改造时，中标人应积极配合：</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（一）</w:t>
            </w:r>
            <w:r>
              <w:rPr>
                <w:rFonts w:hint="eastAsia" w:ascii="宋体" w:hAnsi="宋体" w:eastAsia="宋体" w:cs="宋体"/>
                <w:sz w:val="21"/>
                <w:szCs w:val="21"/>
                <w:highlight w:val="none"/>
              </w:rPr>
              <w:t>改造范围内照明负荷现状改变后，用电负荷累积增减不超过30KW时，应按当前合同约定计算能源管理应付款；用电负荷累积增减超过30KW时，采购人与中标人应重新约定补充协议调整能源管理应付款计算。</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（二）因道路改造需拆除照明设施的，中标人应配合包括对灯具及单灯控制器进行拆卸、保管、重新安装，且保证改变后的照明质量要符合照明规范要求。</w:t>
            </w:r>
          </w:p>
          <w:p>
            <w:pPr>
              <w:keepNext w:val="0"/>
              <w:keepLines w:val="0"/>
              <w:pageBreakBefore w:val="0"/>
              <w:widowControl w:val="0"/>
              <w:kinsoku/>
              <w:wordWrap/>
              <w:overflowPunct/>
              <w:topLinePunct w:val="0"/>
              <w:autoSpaceDE/>
              <w:autoSpaceDN/>
              <w:bidi w:val="0"/>
              <w:snapToGri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五、项目日常管理及考核</w:t>
            </w:r>
          </w:p>
          <w:p>
            <w:pPr>
              <w:keepNext w:val="0"/>
              <w:keepLines w:val="0"/>
              <w:pageBreakBefore w:val="0"/>
              <w:widowControl w:val="0"/>
              <w:kinsoku/>
              <w:wordWrap/>
              <w:overflowPunct/>
              <w:topLinePunct w:val="0"/>
              <w:autoSpaceDE/>
              <w:autoSpaceDN/>
              <w:bidi w:val="0"/>
              <w:snapToGri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（一）节能灯具运营期管护</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改造后的灯具及单灯控制器以及二次节能及单灯控制系统的运行管理和硬件升级、维护维修及所需费用由中标人承担，路灯损坏至亮灯率低于98%或设施完好率低于100%或路面平均照度低于国家标准（CJJ45-2015）高标准值的均由中标人负责整改维修。</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灯具光衰减或相关照明设施（含灯具、灯杆检修孔与灯具之间的保险装置及护套线等）损坏的以及二次节能系统软硬件故障的，中标人需在专项考核标准文件（由采购人根据实际情况制定）规定的时间内进行维护。</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3.在满足使用需求的前提下，改造范围内的路灯试行调光节能，由中标人向采购人提交道路调光方案，经采购人审核通过后方可实施。</w:t>
            </w:r>
          </w:p>
          <w:p>
            <w:pPr>
              <w:keepNext w:val="0"/>
              <w:keepLines w:val="0"/>
              <w:pageBreakBefore w:val="0"/>
              <w:widowControl w:val="0"/>
              <w:kinsoku/>
              <w:wordWrap/>
              <w:overflowPunct/>
              <w:topLinePunct w:val="0"/>
              <w:autoSpaceDE/>
              <w:autoSpaceDN/>
              <w:bidi w:val="0"/>
              <w:snapToGrid/>
              <w:spacing w:line="360" w:lineRule="exact"/>
              <w:ind w:firstLine="422"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（二）运维考核</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采购人按照专项考核标准文件（由采购人根据实际情况制定）对中标人进行考评，由中标人每月提交《项目运行情况报告》，交采购人复核、检查和监督，《项目运行情况报告》作为采购人每月支付能源托管应付款的依据。</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2.《项目运行情况报告》内容包括故障总数和维修情况、提供备品情况报告、工作量报表、佐证照片等。</w:t>
            </w:r>
          </w:p>
          <w:p>
            <w:pPr>
              <w:pStyle w:val="9"/>
              <w:keepNext w:val="0"/>
              <w:keepLines w:val="0"/>
              <w:pageBreakBefore w:val="0"/>
              <w:widowControl w:val="0"/>
              <w:kinsoku/>
              <w:wordWrap/>
              <w:overflowPunct/>
              <w:topLinePunct w:val="0"/>
              <w:autoSpaceDE/>
              <w:autoSpaceDN/>
              <w:bidi w:val="0"/>
              <w:snapToGrid/>
              <w:spacing w:after="0" w:line="360" w:lineRule="exact"/>
              <w:ind w:firstLine="422" w:firstLineChars="200"/>
              <w:textAlignment w:val="auto"/>
              <w:rPr>
                <w:rFonts w:hint="eastAsia" w:ascii="宋体" w:hAnsi="宋体" w:eastAsia="宋体" w:cs="宋体"/>
                <w:sz w:val="21"/>
                <w:szCs w:val="21"/>
                <w:highlight w:val="none"/>
              </w:rPr>
            </w:pPr>
            <w:r>
              <w:rPr>
                <w:rFonts w:hint="eastAsia" w:ascii="宋体" w:hAnsi="宋体" w:eastAsia="宋体" w:cs="宋体"/>
                <w:b/>
                <w:sz w:val="21"/>
                <w:szCs w:val="21"/>
                <w:highlight w:val="none"/>
              </w:rPr>
              <w:t>六、不尽事宜，在合同中有要求的，按照合同约定执行。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桂林市老城区路灯节能改造项目（第二期）-照明设施安全整改</w:t>
            </w:r>
          </w:p>
        </w:tc>
        <w:tc>
          <w:tcPr>
            <w:tcW w:w="42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1项</w:t>
            </w:r>
          </w:p>
        </w:tc>
        <w:tc>
          <w:tcPr>
            <w:tcW w:w="72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一、项目第二期建设内容及要求：</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（一）建设期限：项目第一期建设验收合格后365个日历日内</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（二）建设内容：更换路灯灯杆约387杆，更换路灯地埋管线约38800米，更换路灯灯杆小线约18000米以及配电设施整改等其他建设内容（暂定，以采购人最终需求为准）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（三）灯杆、线缆等货物规格参数：</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1.灯杆规格参数：</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（1）杆高6-10米（由采购人根据具体路段的实际情况确定），含灯杆、铜芯软线BVVR3*2.5、法兰等；</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（2）灯杆要求采用Q235优质钢板,灯壁厚度≥3mm，灯杆内壁平滑无毛刺；</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（3）灯杆要求整体热镀锌(锌层厚度大于86μm),表面静电喷塑(塑层厚度大于65μm),要求表面光洁圆滑,无针孔、蜂窝、流挂、剥落等现象；</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（4）含路灯基础；</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（5）灯杆样式应符合世界级旅游城市定位，改造前由采购人审核</w:t>
            </w:r>
            <w:r>
              <w:rPr>
                <w:rFonts w:hint="eastAsia" w:ascii="宋体" w:hAnsi="宋体" w:cs="宋体"/>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2.管线规格参数：</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（1）电缆套管：PVC-Cφ75（根据改造路段实际情况确定更换规格和数量，暂定按20%损坏需更换统计）；</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（2）地埋线缆：YJHLV-0.6/1kV-5x35mm2；</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（3）灯杆小线：BVVR3*2.5。</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（四）建设要求：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项目第二期建设为路灯灯杆、管线、配电设施等改造工程，项目中标人应编制工程施工图和工程预算，工程预算由采购人指定第三方机构进行评审，评审费用由中标人承担。经评审的工程预算应在400万元±5%以内，否则采购人与中标人协商增加或减少工程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项目中标人施工质量应满足《城市道路照明工程施工及验收规程》（CJJ89-2012）、《城市道路照明设计标准》（CJJ45-2015）等国家规范标准要求，并在施工前充分估计施工难度，提前办理各项施工手续，采购人予以配合。若因非乙方原因，导致有关项目的各项施工手续未及时办理延误工期，工期顺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3.竣工验收后项目中标人应编制竣工图和工程结算，相关材料（纸质版和电子版等）交由采购人备案。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4.工程保修期为一年，灯杆质保期为10年，保修期内项目中标人应按国家相关“三包”规定对工程建设内容进行保修，保修期过后及时与采购人办理移交手续。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314" w:type="dxa"/>
            <w:gridSpan w:val="4"/>
            <w:tcBorders>
              <w:top w:val="single" w:color="auto" w:sz="4" w:space="0"/>
              <w:left w:val="single" w:color="auto" w:sz="4" w:space="0"/>
              <w:bottom w:val="single" w:color="auto" w:sz="4" w:space="0"/>
              <w:right w:val="single" w:color="auto" w:sz="4" w:space="0"/>
            </w:tcBorders>
            <w:shd w:val="clear" w:color="auto" w:fill="FFFFFF"/>
          </w:tcPr>
          <w:p>
            <w:pPr>
              <w:widowControl/>
              <w:spacing w:line="300" w:lineRule="exact"/>
              <w:jc w:val="left"/>
              <w:rPr>
                <w:rFonts w:hint="eastAsia" w:ascii="宋体" w:hAnsi="宋体" w:eastAsia="宋体" w:cs="宋体"/>
                <w:kern w:val="0"/>
                <w:sz w:val="21"/>
                <w:szCs w:val="21"/>
                <w:highlight w:val="none"/>
              </w:rPr>
            </w:pPr>
            <w:r>
              <w:rPr>
                <w:rFonts w:hint="eastAsia" w:ascii="宋体" w:hAnsi="宋体" w:eastAsia="宋体" w:cs="宋体"/>
                <w:b/>
                <w:color w:val="000000"/>
                <w:sz w:val="21"/>
                <w:szCs w:val="21"/>
                <w:highlight w:val="none"/>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63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报价要求</w:t>
            </w:r>
          </w:p>
        </w:tc>
        <w:tc>
          <w:tcPr>
            <w:tcW w:w="7676"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对采购人能源管理费用进行折扣率报价（详见能源管理服务费计算与支付方式）。采购人能源管理费用的折扣率必须＜100%，否则投标无效。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63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能源管理服务费计算与支付方式</w:t>
            </w:r>
          </w:p>
        </w:tc>
        <w:tc>
          <w:tcPr>
            <w:tcW w:w="7676"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（一）计算公式</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路灯能耗基准认定：改造前采购人、项目中标人、第三方节能审核机构①通过实地核查共同确认涉及改造范围的城市照明专用电表数量和户号；②通过南方电网官网或APP、与桂林供电局直接沟通等方式，查询确认核算改造范围电表户号改造前近年实时用电量；③综合考虑项目改造前亮灯率情况通过三方认可的方式最终确定该月项目改造前平均用电量。</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2.固定电价：</w:t>
            </w:r>
            <w:r>
              <w:rPr>
                <w:rFonts w:hint="eastAsia" w:ascii="宋体" w:hAnsi="宋体" w:eastAsia="宋体" w:cs="宋体"/>
                <w:color w:val="auto"/>
                <w:sz w:val="21"/>
                <w:szCs w:val="21"/>
                <w:highlight w:val="none"/>
              </w:rPr>
              <w:t>以项目合同签订之月为时间节点，核准拟改造范围该时间节点前12个月的总电费和总用电量，固定电价=总电费/总用电量。（固定电价一经确定，服务期内原则上不得更改，如遇电价改革或其他不可预知的情况，采购人报市财政部门同意后，双方协商补充协议，按补充协议执行。）</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3.折扣率：由项目中标人在项目投标时进行的报价，并根据换算公式计入项目招标商务评分。</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4.月度能源管理费用：指市财政根据项目改造前电费支出情况，在项目进入运营期后，每月固定拨付至市照明处的项目经费，用于市照明处缴纳电费和履行合同义务。</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月度能源管理费用=该月项目改造前平均用电量×固定电价×折扣率</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5.月度能源管理应付款：指月度能源管理费用扣除项目范围实际电费支出，该月实际支付给项目中标人的款项。</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月度能源管理应付款=该月项目改造前平均用电量×固定电价×折扣率-该月项目范围实际电费支出</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（二）支付方式</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1.第一期项目建设验收合格后第二个月起，市财政每月将固定的能源管理费用拨付至采购人，采购人完成改造范围内电费支出后，将能源管理应付款支付至项目中标人。</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2.每月的前十个工作日内，项目中标人根据有效的服务考核文件书面向市照明处申请上月应得的能源管理应付款，在市财政资金到位的情况下，采购人应在十五个工作日内办理支付款项。</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sz w:val="21"/>
                <w:szCs w:val="21"/>
                <w:highlight w:val="none"/>
              </w:rPr>
            </w:pPr>
            <w:r>
              <w:rPr>
                <w:rFonts w:hint="eastAsia" w:ascii="宋体" w:hAnsi="宋体" w:eastAsia="宋体" w:cs="宋体"/>
                <w:sz w:val="21"/>
                <w:szCs w:val="21"/>
                <w:highlight w:val="none"/>
              </w:rPr>
              <w:t>3.项目中标人凭以下文件申请支付款项:①支付申请书；②合同约定的《项目运行情况报告》；③项目中标人开具的节能服务发票；④合同。采购人审核后，按照流程和合同约定办理项目款项支付。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63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履约保证金</w:t>
            </w:r>
          </w:p>
        </w:tc>
        <w:tc>
          <w:tcPr>
            <w:tcW w:w="7676"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履约保证金金额为贰佰万元整（¥2000000.00 元）。履约保证金的提交形式可以采用银行保函、现金、保证保险保函、工程担保保函等形式。中标人须在签订合同后20日内向采购人提交履约保证金，履约保证金的有效期必须涵盖项目建设期、节能服务期、最终移交期等合同全阶段。除现金形式外，其他提交形式应以1至3年为一个周期提交保证材料，在该周期结束前3个月内应提交下一周期的保证材料直至服务移交期结束。如未按要求提交履约保证金的，采购人可取消其中标资格或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63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项目质保要求</w:t>
            </w:r>
          </w:p>
        </w:tc>
        <w:tc>
          <w:tcPr>
            <w:tcW w:w="7676"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一）第一期建设的二次节能系统的软硬件设备，项目中标人在合同运营期届满后应提供①两年免费更换服务；②单灯控制器终身成本价采购；③二次节能系统终身成本价升级服务。确保运营期届满移交后项目节能率不降低。</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（二）第二期建设保修期为一年，灯杆质保期10年，保修期内项目中标人应按国家相关“三包”规定对工程建设内容进行保修，保修期过后及时与采购人办理移交手续。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63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服务期限及地点</w:t>
            </w:r>
          </w:p>
        </w:tc>
        <w:tc>
          <w:tcPr>
            <w:tcW w:w="7676"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1.服务期限：</w:t>
            </w:r>
            <w:r>
              <w:rPr>
                <w:rFonts w:hint="eastAsia" w:ascii="宋体" w:hAnsi="宋体" w:eastAsia="宋体" w:cs="宋体"/>
                <w:spacing w:val="-6"/>
                <w:sz w:val="21"/>
                <w:szCs w:val="21"/>
                <w:highlight w:val="none"/>
              </w:rPr>
              <w:t>自合同签订次日起至项目运营期结束。</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2.服务地点：桂林市。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3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合同签订时间</w:t>
            </w:r>
          </w:p>
        </w:tc>
        <w:tc>
          <w:tcPr>
            <w:tcW w:w="7676" w:type="dxa"/>
            <w:gridSpan w:val="2"/>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kern w:val="2"/>
                <w:sz w:val="21"/>
                <w:szCs w:val="21"/>
                <w:highlight w:val="none"/>
                <w:lang w:val="en-US" w:eastAsia="zh-CN" w:bidi="ar-SA"/>
              </w:rPr>
              <w:t>自中标通知书发出之日起 8日内。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3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服务要求</w:t>
            </w:r>
          </w:p>
        </w:tc>
        <w:tc>
          <w:tcPr>
            <w:tcW w:w="7676" w:type="dxa"/>
            <w:gridSpan w:val="2"/>
            <w:tcBorders>
              <w:top w:val="single" w:color="auto" w:sz="4" w:space="0"/>
              <w:left w:val="single" w:color="auto" w:sz="4" w:space="0"/>
              <w:bottom w:val="single" w:color="auto" w:sz="4" w:space="0"/>
              <w:right w:val="single" w:color="auto" w:sz="4" w:space="0"/>
            </w:tcBorders>
            <w:vAlign w:val="center"/>
          </w:tcPr>
          <w:p>
            <w:pPr>
              <w:pStyle w:val="34"/>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中标人中标后必须在桂林市区内设有固定的运维服务机构及人员、车辆，并向采购人备案。如人员及车辆变更需提前15个工作日书面报备，变更的人员根据职务对于资格或资质的要求须等同或优于投标人对投入团队配置的承诺，变更的车辆须满足投标人投标文件对车辆配置的承诺。</w:t>
            </w:r>
          </w:p>
          <w:p>
            <w:pPr>
              <w:pStyle w:val="34"/>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合同运营期内项目中标人应按照采购人制定的专项考核标准文件提供全年故障维修服务：中标人自己发现的故障应在72小时内修复；市政服务热线和甲方照明热线等报修的灯具故障，要求48小时内修复；市长热线投诉或新闻媒体曝光的灯具故障，要求24小时内修复；特殊情况，中标人应按照采购人要求时间修复。承诺日常维护服务质量</w:t>
            </w:r>
            <w:r>
              <w:rPr>
                <w:rFonts w:hint="eastAsia" w:ascii="宋体" w:hAnsi="宋体" w:eastAsia="宋体" w:cs="宋体"/>
                <w:b/>
                <w:bCs/>
                <w:sz w:val="21"/>
                <w:szCs w:val="21"/>
                <w:highlight w:val="none"/>
              </w:rPr>
              <w:t>（投标文件中提交项目合同运营期内维修服务方案）</w:t>
            </w:r>
            <w:r>
              <w:rPr>
                <w:rFonts w:hint="eastAsia" w:ascii="宋体" w:hAnsi="宋体" w:eastAsia="宋体" w:cs="宋体"/>
                <w:sz w:val="21"/>
                <w:szCs w:val="21"/>
                <w:highlight w:val="none"/>
              </w:rPr>
              <w:t>，确保照明设施安全、可靠、正常运行。</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合同运营期内LED照明产品光衰必须满足国家及省相关的规范要求，改造后的城市道路照度必须满足采购人及《城市道路照明设计标准》（CJJ45-2015）高标准值等规范要求（树荫遮挡、灯杆间距过大等原因导致不满足《城市道路照明设计标准》（CJJ45-2015）的除外）。属于产品质量问题的，中标人须免费提供同类型号的产品更换。运营期结束后，项目中标人应提供一定数量，性能等于或优于中标人投标的技术参数的整套灯具至采购人仓库作为维修备件（具体详见技术要求）。</w:t>
            </w:r>
          </w:p>
          <w:p>
            <w:pPr>
              <w:pStyle w:val="8"/>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4.二次节能和单灯控制系统软件应随着技术发展并保证系统正常运行的情况下，进行版本升级且不应收取任何费用。当采购人要求对照明监控系统进行资源整合时，中标人负责提供本项目二次节能系统软件相应数据接口，配合第三方软件的对接工作,并无偿对二次节能系统进行调整。二次节能系统采集的各类数据应无偿开放给采购人使用，不能设置技术壁垒，运营期内中标人应维持信息管理系统和信息中心正常运作，必要时无偿进行硬件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63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验收标准</w:t>
            </w:r>
          </w:p>
        </w:tc>
        <w:tc>
          <w:tcPr>
            <w:tcW w:w="767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通过采购人及相关部门的最终验收。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63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其他要求</w:t>
            </w:r>
          </w:p>
        </w:tc>
        <w:tc>
          <w:tcPr>
            <w:tcW w:w="7676" w:type="dxa"/>
            <w:gridSpan w:val="2"/>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val="en-US" w:eastAsia="zh-CN"/>
              </w:rPr>
              <w:t>1.</w:t>
            </w:r>
            <w:r>
              <w:rPr>
                <w:rFonts w:hint="eastAsia" w:ascii="宋体" w:hAnsi="宋体" w:eastAsia="宋体" w:cs="宋体"/>
                <w:color w:val="000000"/>
                <w:sz w:val="21"/>
                <w:szCs w:val="21"/>
                <w:highlight w:val="none"/>
              </w:rPr>
              <w:t>以上“技术需求”和 “商务要求”不允许负偏离，否则投标无效。</w:t>
            </w:r>
          </w:p>
          <w:p>
            <w:pPr>
              <w:pStyle w:val="8"/>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cs="宋体"/>
                <w:color w:val="000000"/>
                <w:sz w:val="21"/>
                <w:szCs w:val="21"/>
                <w:highlight w:val="none"/>
                <w:lang w:val="en-US" w:eastAsia="zh-CN"/>
              </w:rPr>
              <w:t>2.</w:t>
            </w:r>
            <w:r>
              <w:rPr>
                <w:rFonts w:hint="eastAsia" w:ascii="宋体" w:hAnsi="宋体" w:eastAsia="宋体" w:cs="宋体"/>
                <w:color w:val="000000"/>
                <w:sz w:val="21"/>
                <w:szCs w:val="21"/>
                <w:highlight w:val="none"/>
              </w:rPr>
              <w:t>本项目为服务类项目，无进口产品，不设核心产品。</w:t>
            </w:r>
          </w:p>
        </w:tc>
      </w:tr>
    </w:tbl>
    <w:p>
      <w:pPr>
        <w:keepNext w:val="0"/>
        <w:keepLines w:val="0"/>
        <w:pageBreakBefore w:val="0"/>
        <w:kinsoku/>
        <w:wordWrap/>
        <w:overflowPunct/>
        <w:topLinePunct w:val="0"/>
        <w:autoSpaceDE/>
        <w:autoSpaceDN/>
        <w:bidi w:val="0"/>
        <w:snapToGrid/>
        <w:spacing w:line="360" w:lineRule="exact"/>
        <w:ind w:firstLine="424" w:firstLineChars="202"/>
        <w:jc w:val="left"/>
        <w:textAlignment w:val="auto"/>
        <w:rPr>
          <w:rFonts w:hint="eastAsia" w:ascii="宋体" w:hAnsi="宋体" w:eastAsia="宋体" w:cs="宋体"/>
          <w:sz w:val="21"/>
          <w:szCs w:val="21"/>
          <w:highlight w:val="none"/>
        </w:rPr>
      </w:pPr>
    </w:p>
    <w:p>
      <w:pPr>
        <w:pStyle w:val="9"/>
        <w:jc w:val="center"/>
        <w:rPr>
          <w:rFonts w:ascii="方正小标宋_GBK" w:eastAsia="方正小标宋_GBK"/>
          <w:sz w:val="32"/>
          <w:szCs w:val="32"/>
          <w:highlight w:val="none"/>
        </w:rPr>
      </w:pPr>
    </w:p>
    <w:p>
      <w:pPr>
        <w:pStyle w:val="22"/>
        <w:rPr>
          <w:rFonts w:hint="eastAsia"/>
          <w:highlight w:val="none"/>
        </w:rPr>
      </w:pPr>
    </w:p>
    <w:p>
      <w:pPr>
        <w:pStyle w:val="23"/>
        <w:rPr>
          <w:rFonts w:hint="eastAsia"/>
          <w:highlight w:val="none"/>
        </w:rPr>
      </w:pPr>
    </w:p>
    <w:p>
      <w:pPr>
        <w:rPr>
          <w:rFonts w:hint="eastAsia"/>
          <w:highlight w:val="none"/>
        </w:rPr>
      </w:pPr>
    </w:p>
    <w:p>
      <w:pPr>
        <w:pStyle w:val="9"/>
        <w:rPr>
          <w:rFonts w:hint="eastAsia"/>
          <w:highlight w:val="none"/>
        </w:rPr>
      </w:pPr>
    </w:p>
    <w:p>
      <w:pPr>
        <w:pStyle w:val="9"/>
        <w:rPr>
          <w:rFonts w:hint="eastAsia"/>
          <w:highlight w:val="none"/>
        </w:rPr>
      </w:pPr>
    </w:p>
    <w:p>
      <w:pPr>
        <w:pStyle w:val="22"/>
        <w:rPr>
          <w:rFonts w:hint="eastAsia"/>
          <w:highlight w:val="none"/>
        </w:rPr>
      </w:pPr>
    </w:p>
    <w:p>
      <w:pPr>
        <w:pStyle w:val="22"/>
        <w:rPr>
          <w:rFonts w:hint="eastAsia"/>
          <w:highlight w:val="none"/>
        </w:rPr>
      </w:pPr>
    </w:p>
    <w:tbl>
      <w:tblPr>
        <w:tblStyle w:val="15"/>
        <w:tblW w:w="88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0"/>
        <w:gridCol w:w="3000"/>
        <w:gridCol w:w="975"/>
        <w:gridCol w:w="1035"/>
        <w:gridCol w:w="1050"/>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5" w:hRule="atLeast"/>
          <w:jc w:val="center"/>
        </w:trPr>
        <w:tc>
          <w:tcPr>
            <w:tcW w:w="8805"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方正小标宋简体" w:hAnsi="方正小标宋简体" w:eastAsia="方正小标宋简体" w:cs="方正小标宋简体"/>
                <w:i w:val="0"/>
                <w:iCs w:val="0"/>
                <w:color w:val="000000"/>
                <w:sz w:val="56"/>
                <w:szCs w:val="56"/>
                <w:highlight w:val="none"/>
                <w:u w:val="none"/>
              </w:rPr>
            </w:pPr>
            <w:r>
              <w:rPr>
                <w:rFonts w:hint="eastAsia" w:asciiTheme="majorEastAsia" w:hAnsiTheme="majorEastAsia" w:eastAsiaTheme="majorEastAsia" w:cstheme="majorEastAsia"/>
                <w:b/>
                <w:bCs/>
                <w:i w:val="0"/>
                <w:iCs w:val="0"/>
                <w:color w:val="000000"/>
                <w:kern w:val="0"/>
                <w:sz w:val="32"/>
                <w:szCs w:val="32"/>
                <w:highlight w:val="none"/>
                <w:u w:val="none"/>
                <w:lang w:val="en-US" w:eastAsia="zh-CN" w:bidi="ar"/>
              </w:rPr>
              <w:t>桂林市老城区路灯节能改造项目</w:t>
            </w:r>
            <w:r>
              <w:rPr>
                <w:rFonts w:hint="eastAsia" w:asciiTheme="majorEastAsia" w:hAnsiTheme="majorEastAsia" w:eastAsiaTheme="majorEastAsia" w:cstheme="majorEastAsia"/>
                <w:b/>
                <w:bCs/>
                <w:i w:val="0"/>
                <w:iCs w:val="0"/>
                <w:color w:val="000000"/>
                <w:kern w:val="0"/>
                <w:sz w:val="32"/>
                <w:szCs w:val="32"/>
                <w:highlight w:val="none"/>
                <w:u w:val="none"/>
                <w:lang w:val="en-US" w:eastAsia="zh-CN" w:bidi="ar"/>
              </w:rPr>
              <w:br w:type="textWrapping"/>
            </w:r>
            <w:r>
              <w:rPr>
                <w:rFonts w:hint="eastAsia" w:asciiTheme="majorEastAsia" w:hAnsiTheme="majorEastAsia" w:eastAsiaTheme="majorEastAsia" w:cstheme="majorEastAsia"/>
                <w:b/>
                <w:bCs/>
                <w:i w:val="0"/>
                <w:iCs w:val="0"/>
                <w:color w:val="000000"/>
                <w:kern w:val="0"/>
                <w:sz w:val="32"/>
                <w:szCs w:val="32"/>
                <w:highlight w:val="none"/>
                <w:u w:val="none"/>
                <w:lang w:val="en-US" w:eastAsia="zh-CN" w:bidi="ar"/>
              </w:rPr>
              <w:t>—LED节能相关改造明细表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序</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号</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路段</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灯杆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数量</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改造</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盏数</w:t>
            </w:r>
          </w:p>
        </w:tc>
        <w:tc>
          <w:tcPr>
            <w:tcW w:w="29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现状情况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光源</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种类</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单杆</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功率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北辰路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250+2*150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中山北路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250+2*150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气象路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新建路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北仓路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抗战路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环城北一路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虞山路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复兴里</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圣隆路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九华路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九华路西一里</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芦笛路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376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南洲大桥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南洲桥匝道</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北辰立交桥（桥面）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北辰立交桥（匝道）</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金河路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北贸道</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北彩道</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北河路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东二环（全段）</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540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1080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芳华路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滨北路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站前路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春江北路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清秀路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福利路（圣隆路尾-高速收费站口）</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377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754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水塔路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老福利路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西二环路</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（全段）</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1196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2392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站前南路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33</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广发路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34</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始发站片区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宁远桥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36</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稚山桥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37</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雉山桥匝道</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38</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安新南区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39</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安新北路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象山南路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41</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民族路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42</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民族路南巷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43</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银锭路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44</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朱紫巷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45</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苍松路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46</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铁西路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47</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铁西小区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48</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翠竹路南巷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49</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黑山路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翠竹路北巷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51</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苗圃路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52</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上海南路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53</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建安路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54</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上海路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55</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龙船坪路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56</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将军路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57</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同心园路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58</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瓦窑路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59</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北斗商区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净瓶路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61</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瓦窑东路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62</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茶店路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63</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环城西一路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170+120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64</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遇龙路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65</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环城南三路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170+120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66</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环城南二路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67</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相人山路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68</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万福路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665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1330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69</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环城西二路（香江饭店-蜈蚣山隧道）</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70</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桃花江桥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71</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瓦窑西路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2*250+150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72</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崇信路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2*250+150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73</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中山南路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2*250+150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74</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长湾路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75</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香江立交桥（桥面）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76</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香江立交桥（匝道）</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77</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西凤路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78</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东安路（含阳江路与东安路交叉口往南小巷）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79</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红岭路（含红头岭维护基地门前小巷）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80</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东安路北二巷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81</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中隐路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418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82</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巾山路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83</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西山路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84</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篦子园路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85</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桃花江路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86</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长海路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87</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飞凤路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88</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丽君路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89</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信义路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90</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九岗岭路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91</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四会路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92</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太平路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93</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解放西路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400+150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94</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三多路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95</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湖光路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96</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南环路一段（南门桥-西门桥）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97</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文明路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98</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交通路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99</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五美路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解放桥面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400+250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101</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中隐路延长线</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（青禾美邦路口至耀和荣裕旁）</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102</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阳江路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130+70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103</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桃花江北路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104</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文采路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105</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巫山路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106</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虞山桥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107</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东环路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303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909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250+2*150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108</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建干北路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109</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东城路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110</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建干路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111</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六合路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112</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朝阳路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113</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信息产业园</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114</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育才路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115</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会仙路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116</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导航路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117</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将军塘片区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118</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七星路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242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119</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田心里路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毅峰路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121</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桂磨路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336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672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200+140+50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122</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五里店路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123</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青岭路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124</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骖鸾路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125</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骖鸾路西二巷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126</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毛塘路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127</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毛塘西路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128</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宜祥路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129</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一机大院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130</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环城南一路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131</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毅峰南路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132</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漓江路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133</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辅星路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134</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施家园路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135</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会展道</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136</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漓江路北一巷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137</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穿山小街</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138</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穿山路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139</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穿山桥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穿山桥匝道</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141</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龙隐路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142</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自由路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143</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东江路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170+100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144</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栖霞路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LED</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150+100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145</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金鸡路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氙气灯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146</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青柳路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147</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英才路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148</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中山中路（钠灯段）</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360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149</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解放东路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400+150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主要路口补光灯</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192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184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495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钠灯</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38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功能性照明</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11585</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21453</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3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bl>
    <w:p>
      <w:pPr>
        <w:pStyle w:val="22"/>
        <w:rPr>
          <w:rFonts w:hint="eastAsia"/>
          <w:highlight w:val="none"/>
        </w:rPr>
      </w:pPr>
    </w:p>
    <w:p>
      <w:pPr>
        <w:pStyle w:val="22"/>
        <w:rPr>
          <w:rFonts w:hint="eastAsia"/>
          <w:highlight w:val="none"/>
        </w:rPr>
      </w:pPr>
    </w:p>
    <w:p>
      <w:pPr>
        <w:pStyle w:val="22"/>
        <w:rPr>
          <w:rFonts w:hint="eastAsia"/>
          <w:highlight w:val="none"/>
        </w:rPr>
      </w:pPr>
    </w:p>
    <w:p>
      <w:pPr>
        <w:pStyle w:val="22"/>
        <w:rPr>
          <w:rFonts w:hint="eastAsia"/>
          <w:highlight w:val="none"/>
        </w:rPr>
      </w:pPr>
    </w:p>
    <w:p>
      <w:pPr>
        <w:pStyle w:val="22"/>
        <w:rPr>
          <w:rFonts w:hint="eastAsia"/>
          <w:highlight w:val="none"/>
        </w:rPr>
      </w:pPr>
    </w:p>
    <w:p>
      <w:pPr>
        <w:pStyle w:val="3"/>
        <w:numPr>
          <w:ilvl w:val="0"/>
          <w:numId w:val="0"/>
        </w:numPr>
        <w:tabs>
          <w:tab w:val="left" w:pos="0"/>
          <w:tab w:val="left" w:pos="3165"/>
          <w:tab w:val="center" w:pos="4153"/>
        </w:tabs>
        <w:autoSpaceDE w:val="0"/>
        <w:autoSpaceDN w:val="0"/>
        <w:adjustRightInd w:val="0"/>
        <w:spacing w:before="0" w:after="0" w:line="440" w:lineRule="exact"/>
        <w:jc w:val="center"/>
        <w:rPr>
          <w:rFonts w:hint="eastAsia" w:ascii="宋体" w:hAnsi="宋体" w:eastAsia="宋体" w:cs="宋体"/>
          <w:color w:val="000000"/>
          <w:sz w:val="32"/>
          <w:szCs w:val="32"/>
          <w:highlight w:val="none"/>
          <w:lang w:eastAsia="zh-CN"/>
        </w:rPr>
      </w:pPr>
      <w:bookmarkStart w:id="39" w:name="_Toc16610"/>
      <w:bookmarkStart w:id="40" w:name="_Toc18788"/>
      <w:r>
        <w:rPr>
          <w:rFonts w:hint="eastAsia" w:ascii="宋体" w:hAnsi="宋体" w:eastAsia="宋体" w:cs="宋体"/>
          <w:color w:val="000000"/>
          <w:sz w:val="32"/>
          <w:szCs w:val="32"/>
          <w:highlight w:val="none"/>
          <w:lang w:eastAsia="zh-CN"/>
        </w:rPr>
        <w:t>第四章 评标办法</w:t>
      </w:r>
      <w:bookmarkEnd w:id="39"/>
      <w:bookmarkEnd w:id="40"/>
    </w:p>
    <w:p>
      <w:pPr>
        <w:pStyle w:val="12"/>
        <w:keepNext w:val="0"/>
        <w:keepLines w:val="0"/>
        <w:pageBreakBefore w:val="0"/>
        <w:widowControl w:val="0"/>
        <w:kinsoku/>
        <w:wordWrap/>
        <w:overflowPunct/>
        <w:topLinePunct w:val="0"/>
        <w:autoSpaceDE/>
        <w:autoSpaceDN/>
        <w:bidi w:val="0"/>
        <w:adjustRightInd w:val="0"/>
        <w:snapToGrid/>
        <w:spacing w:line="360" w:lineRule="exact"/>
        <w:ind w:firstLine="420" w:firstLineChars="200"/>
        <w:contextualSpacing/>
        <w:textAlignment w:val="auto"/>
        <w:rPr>
          <w:rFonts w:hint="eastAsia" w:hAnsi="宋体" w:cs="宋体"/>
          <w:bCs/>
          <w:szCs w:val="21"/>
          <w:highlight w:val="none"/>
        </w:rPr>
      </w:pPr>
      <w:r>
        <w:rPr>
          <w:rFonts w:hint="eastAsia" w:hAnsi="宋体" w:cs="宋体"/>
          <w:bCs/>
          <w:szCs w:val="21"/>
          <w:highlight w:val="none"/>
        </w:rPr>
        <w:t>一、评标原则</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ascii="宋体" w:hAnsi="宋体" w:cs="宋体"/>
          <w:bCs/>
          <w:szCs w:val="21"/>
          <w:highlight w:val="none"/>
        </w:rPr>
      </w:pPr>
      <w:r>
        <w:rPr>
          <w:rFonts w:hint="eastAsia" w:ascii="宋体" w:hAnsi="宋体" w:cs="宋体"/>
          <w:bCs/>
          <w:szCs w:val="21"/>
          <w:highlight w:val="none"/>
        </w:rPr>
        <w:t>（一）评委会组成：本招标采购项目的评标委员会由采购人代表、技术和经济等方面的专家组成。其中，专家评委不得少于成员总数的三分之二。</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ascii="宋体" w:hAnsi="宋体" w:cs="宋体"/>
          <w:bCs/>
          <w:szCs w:val="21"/>
          <w:highlight w:val="none"/>
        </w:rPr>
      </w:pPr>
      <w:r>
        <w:rPr>
          <w:rFonts w:hint="eastAsia" w:ascii="宋体" w:hAnsi="宋体" w:cs="宋体"/>
          <w:bCs/>
          <w:szCs w:val="21"/>
          <w:highlight w:val="none"/>
        </w:rPr>
        <w:t>（二）评标依据：评委将以招投标文件为评标依据，对投标人的报价、技术、第一期路灯改造实施方案、第二期安全整改实施方案</w:t>
      </w:r>
      <w:r>
        <w:rPr>
          <w:rFonts w:hint="eastAsia" w:ascii="宋体" w:hAnsi="宋体" w:cs="宋体"/>
          <w:bCs/>
          <w:szCs w:val="21"/>
          <w:highlight w:val="none"/>
          <w:lang w:eastAsia="zh-CN"/>
        </w:rPr>
        <w:t>、合同期内项目运维管理方案、项目服务团队配备、信誉业绩</w:t>
      </w:r>
      <w:r>
        <w:rPr>
          <w:rFonts w:hint="eastAsia" w:ascii="宋体" w:hAnsi="宋体" w:cs="宋体"/>
          <w:bCs/>
          <w:szCs w:val="21"/>
          <w:highlight w:val="none"/>
        </w:rPr>
        <w:t>等方面内容按百分制打分。</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ascii="宋体" w:hAnsi="宋体" w:cs="宋体"/>
          <w:bCs/>
          <w:szCs w:val="21"/>
          <w:highlight w:val="none"/>
        </w:rPr>
      </w:pPr>
      <w:r>
        <w:rPr>
          <w:rFonts w:hint="eastAsia" w:ascii="宋体" w:hAnsi="宋体" w:cs="宋体"/>
          <w:bCs/>
          <w:szCs w:val="21"/>
          <w:highlight w:val="none"/>
        </w:rPr>
        <w:t>（三）评标方式：以封闭方式进行。</w:t>
      </w:r>
    </w:p>
    <w:p>
      <w:pPr>
        <w:keepNext w:val="0"/>
        <w:keepLines w:val="0"/>
        <w:pageBreakBefore w:val="0"/>
        <w:widowControl w:val="0"/>
        <w:kinsoku/>
        <w:wordWrap/>
        <w:overflowPunct/>
        <w:topLinePunct w:val="0"/>
        <w:autoSpaceDE/>
        <w:autoSpaceDN/>
        <w:bidi w:val="0"/>
        <w:snapToGrid/>
        <w:spacing w:line="360" w:lineRule="exact"/>
        <w:ind w:firstLine="420" w:firstLineChars="200"/>
        <w:textAlignment w:val="auto"/>
        <w:rPr>
          <w:rFonts w:ascii="宋体" w:hAnsi="宋体" w:cs="宋体"/>
          <w:bCs/>
          <w:szCs w:val="21"/>
          <w:highlight w:val="none"/>
        </w:rPr>
      </w:pPr>
      <w:r>
        <w:rPr>
          <w:rFonts w:hint="eastAsia" w:ascii="宋体" w:hAnsi="宋体" w:cs="宋体"/>
          <w:bCs/>
          <w:szCs w:val="21"/>
          <w:highlight w:val="none"/>
        </w:rPr>
        <w:t>（四）采购人和采购代理机构、评标委员会成员要严格遵守相关法律制度，依法履行各自职责，公正、客观、审慎地组织和参与评审工作。</w:t>
      </w:r>
    </w:p>
    <w:p>
      <w:pPr>
        <w:pStyle w:val="12"/>
        <w:keepNext w:val="0"/>
        <w:keepLines w:val="0"/>
        <w:pageBreakBefore w:val="0"/>
        <w:widowControl w:val="0"/>
        <w:kinsoku/>
        <w:wordWrap/>
        <w:overflowPunct/>
        <w:topLinePunct w:val="0"/>
        <w:autoSpaceDE/>
        <w:autoSpaceDN/>
        <w:bidi w:val="0"/>
        <w:adjustRightInd w:val="0"/>
        <w:snapToGrid/>
        <w:spacing w:line="360" w:lineRule="exact"/>
        <w:ind w:firstLine="420" w:firstLineChars="200"/>
        <w:contextualSpacing/>
        <w:textAlignment w:val="auto"/>
        <w:rPr>
          <w:rFonts w:hint="eastAsia" w:hAnsi="宋体" w:cs="宋体"/>
          <w:bCs/>
          <w:szCs w:val="21"/>
          <w:highlight w:val="none"/>
        </w:rPr>
      </w:pPr>
      <w:r>
        <w:rPr>
          <w:rFonts w:hint="eastAsia" w:hAnsi="宋体" w:cs="宋体"/>
          <w:bCs/>
          <w:szCs w:val="21"/>
          <w:highlight w:val="none"/>
        </w:rPr>
        <w:t>二、评定方法</w:t>
      </w:r>
    </w:p>
    <w:p>
      <w:pPr>
        <w:pStyle w:val="12"/>
        <w:keepNext w:val="0"/>
        <w:keepLines w:val="0"/>
        <w:pageBreakBefore w:val="0"/>
        <w:widowControl w:val="0"/>
        <w:kinsoku/>
        <w:wordWrap/>
        <w:overflowPunct/>
        <w:topLinePunct w:val="0"/>
        <w:autoSpaceDE/>
        <w:autoSpaceDN/>
        <w:bidi w:val="0"/>
        <w:adjustRightInd w:val="0"/>
        <w:snapToGrid/>
        <w:spacing w:line="360" w:lineRule="exact"/>
        <w:ind w:firstLine="420" w:firstLineChars="200"/>
        <w:contextualSpacing/>
        <w:textAlignment w:val="auto"/>
        <w:rPr>
          <w:rFonts w:hAnsi="宋体" w:cs="宋体"/>
          <w:bCs/>
          <w:szCs w:val="21"/>
          <w:highlight w:val="none"/>
        </w:rPr>
      </w:pPr>
      <w:r>
        <w:rPr>
          <w:rFonts w:hint="eastAsia" w:hAnsi="宋体" w:cs="宋体"/>
          <w:bCs/>
          <w:szCs w:val="21"/>
          <w:highlight w:val="none"/>
        </w:rPr>
        <w:t>（一）对进入详评的，采用百分制综合评分法。</w:t>
      </w:r>
    </w:p>
    <w:p>
      <w:pPr>
        <w:pStyle w:val="12"/>
        <w:keepNext w:val="0"/>
        <w:keepLines w:val="0"/>
        <w:pageBreakBefore w:val="0"/>
        <w:widowControl w:val="0"/>
        <w:kinsoku/>
        <w:wordWrap/>
        <w:overflowPunct/>
        <w:topLinePunct w:val="0"/>
        <w:autoSpaceDE/>
        <w:autoSpaceDN/>
        <w:bidi w:val="0"/>
        <w:adjustRightInd w:val="0"/>
        <w:snapToGrid/>
        <w:spacing w:line="360" w:lineRule="exact"/>
        <w:ind w:firstLine="420" w:firstLineChars="200"/>
        <w:contextualSpacing/>
        <w:textAlignment w:val="auto"/>
        <w:rPr>
          <w:rFonts w:hAnsi="宋体" w:cs="宋体"/>
          <w:bCs/>
          <w:szCs w:val="21"/>
          <w:highlight w:val="none"/>
        </w:rPr>
      </w:pPr>
      <w:r>
        <w:rPr>
          <w:rFonts w:hint="eastAsia" w:hAnsi="宋体" w:cs="宋体"/>
          <w:bCs/>
          <w:szCs w:val="21"/>
          <w:highlight w:val="none"/>
        </w:rPr>
        <w:t>（二）计分办法（按四舍五入取至百分位）：</w:t>
      </w:r>
    </w:p>
    <w:p>
      <w:pPr>
        <w:pStyle w:val="6"/>
        <w:ind w:left="2940"/>
        <w:rPr>
          <w:highlight w:val="none"/>
        </w:rPr>
      </w:pPr>
    </w:p>
    <w:tbl>
      <w:tblPr>
        <w:tblStyle w:val="15"/>
        <w:tblW w:w="9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343"/>
        <w:gridCol w:w="7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baseline"/>
              <w:rPr>
                <w:rFonts w:ascii="宋体" w:hAnsi="宋体" w:cs="宋体"/>
                <w:b/>
                <w:szCs w:val="21"/>
                <w:highlight w:val="none"/>
              </w:rPr>
            </w:pPr>
            <w:bookmarkStart w:id="41" w:name="_Toc26870"/>
            <w:r>
              <w:rPr>
                <w:rFonts w:hint="eastAsia" w:ascii="宋体" w:hAnsi="宋体" w:cs="宋体"/>
                <w:b/>
                <w:szCs w:val="21"/>
                <w:highlight w:val="none"/>
              </w:rPr>
              <w:t>序号</w:t>
            </w: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baseline"/>
              <w:rPr>
                <w:rFonts w:ascii="宋体" w:hAnsi="宋体" w:cs="宋体"/>
                <w:szCs w:val="21"/>
                <w:highlight w:val="none"/>
              </w:rPr>
            </w:pPr>
            <w:r>
              <w:rPr>
                <w:rFonts w:hint="eastAsia" w:ascii="宋体" w:hAnsi="宋体" w:cs="宋体"/>
                <w:b/>
                <w:szCs w:val="21"/>
                <w:highlight w:val="none"/>
              </w:rPr>
              <w:t>评审因素</w:t>
            </w:r>
          </w:p>
        </w:tc>
        <w:tc>
          <w:tcPr>
            <w:tcW w:w="7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textAlignment w:val="baseline"/>
              <w:rPr>
                <w:rFonts w:ascii="宋体" w:hAnsi="宋体" w:cs="宋体"/>
                <w:b/>
                <w:szCs w:val="21"/>
                <w:highlight w:val="none"/>
              </w:rPr>
            </w:pPr>
            <w:r>
              <w:rPr>
                <w:rFonts w:hint="eastAsia" w:ascii="宋体" w:hAnsi="宋体" w:cs="宋体"/>
                <w:b/>
                <w:szCs w:val="21"/>
                <w:highlight w:val="none"/>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1</w:t>
            </w:r>
          </w:p>
        </w:tc>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商务报价分（满分10分）</w:t>
            </w:r>
          </w:p>
        </w:tc>
        <w:tc>
          <w:tcPr>
            <w:tcW w:w="73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（1）价格分采用低价优先法计算，即满足招标文件要求且评标报价最低的评标报价为评标基准价，其价格分为</w:t>
            </w:r>
            <w:r>
              <w:rPr>
                <w:rFonts w:hint="eastAsia" w:ascii="宋体" w:hAnsi="宋体" w:cs="宋体"/>
                <w:bCs/>
                <w:sz w:val="21"/>
                <w:szCs w:val="21"/>
                <w:highlight w:val="none"/>
                <w:lang w:val="en-US" w:eastAsia="zh-CN"/>
              </w:rPr>
              <w:t>10</w:t>
            </w:r>
            <w:r>
              <w:rPr>
                <w:rFonts w:hint="eastAsia" w:ascii="宋体" w:hAnsi="宋体" w:eastAsia="宋体" w:cs="宋体"/>
                <w:bCs/>
                <w:sz w:val="21"/>
                <w:szCs w:val="21"/>
                <w:highlight w:val="none"/>
              </w:rPr>
              <w:t>分。</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w:t>
            </w:r>
            <w:r>
              <w:rPr>
                <w:rFonts w:hint="eastAsia" w:ascii="宋体" w:hAnsi="宋体" w:cs="宋体"/>
                <w:bCs/>
                <w:sz w:val="21"/>
                <w:szCs w:val="21"/>
                <w:highlight w:val="none"/>
                <w:lang w:val="en-US" w:eastAsia="zh-CN"/>
              </w:rPr>
              <w:t>2</w:t>
            </w:r>
            <w:r>
              <w:rPr>
                <w:rFonts w:hint="eastAsia" w:ascii="宋体" w:hAnsi="宋体" w:eastAsia="宋体" w:cs="宋体"/>
                <w:bCs/>
                <w:sz w:val="21"/>
                <w:szCs w:val="21"/>
                <w:highlight w:val="none"/>
              </w:rPr>
              <w:t>）价格分计算公式：</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textAlignment w:val="auto"/>
              <w:rPr>
                <w:rFonts w:hint="eastAsia" w:ascii="宋体" w:hAnsi="宋体" w:eastAsia="宋体" w:cs="宋体"/>
                <w:b/>
                <w:sz w:val="21"/>
                <w:szCs w:val="21"/>
                <w:highlight w:val="none"/>
                <w:lang w:eastAsia="zh-CN"/>
              </w:rPr>
            </w:pPr>
            <w:r>
              <w:rPr>
                <w:rFonts w:hint="eastAsia" w:ascii="宋体" w:hAnsi="宋体" w:eastAsia="宋体" w:cs="宋体"/>
                <w:bCs/>
                <w:sz w:val="21"/>
                <w:szCs w:val="21"/>
                <w:highlight w:val="none"/>
              </w:rPr>
              <w:t>价格分=</w:t>
            </w:r>
            <w:r>
              <w:rPr>
                <w:rFonts w:hint="eastAsia" w:ascii="宋体" w:hAnsi="宋体" w:cs="宋体"/>
                <w:bCs/>
                <w:sz w:val="21"/>
                <w:szCs w:val="21"/>
                <w:highlight w:val="none"/>
                <w:lang w:eastAsia="zh-CN"/>
              </w:rPr>
              <w:t>（</w:t>
            </w:r>
            <w:r>
              <w:rPr>
                <w:rFonts w:hint="eastAsia" w:ascii="宋体" w:hAnsi="宋体" w:eastAsia="宋体" w:cs="宋体"/>
                <w:bCs/>
                <w:sz w:val="21"/>
                <w:szCs w:val="21"/>
                <w:highlight w:val="none"/>
              </w:rPr>
              <w:t>评标基准价／评标报价</w:t>
            </w:r>
            <w:r>
              <w:rPr>
                <w:rFonts w:hint="eastAsia" w:ascii="宋体" w:hAnsi="宋体" w:cs="宋体"/>
                <w:bCs/>
                <w:sz w:val="21"/>
                <w:szCs w:val="21"/>
                <w:highlight w:val="none"/>
                <w:lang w:eastAsia="zh-CN"/>
              </w:rPr>
              <w:t>）</w:t>
            </w:r>
            <w:r>
              <w:rPr>
                <w:rFonts w:hint="eastAsia" w:ascii="宋体" w:hAnsi="宋体" w:eastAsia="宋体" w:cs="宋体"/>
                <w:bCs/>
                <w:sz w:val="21"/>
                <w:szCs w:val="21"/>
                <w:highlight w:val="none"/>
              </w:rPr>
              <w:t>×10分</w:t>
            </w:r>
            <w:r>
              <w:rPr>
                <w:rFonts w:hint="eastAsia" w:ascii="宋体" w:hAnsi="宋体" w:cs="宋体"/>
                <w:bCs/>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2</w:t>
            </w:r>
          </w:p>
        </w:tc>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技术分（满分23分）</w:t>
            </w:r>
          </w:p>
        </w:tc>
        <w:tc>
          <w:tcPr>
            <w:tcW w:w="73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360" w:lineRule="exact"/>
              <w:ind w:firstLine="42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（1）基本分（满分12.5分）</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评委根据招标文件要求，对通过资格性和符合性审查进入详评的各投标人投标文件情况进行评审，并按如下计分方式确定得分：</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招标文件中标注“</w:t>
            </w:r>
            <w:r>
              <w:rPr>
                <w:rFonts w:hint="eastAsia" w:ascii="宋体" w:hAnsi="宋体" w:eastAsia="宋体" w:cs="宋体"/>
                <w:sz w:val="21"/>
                <w:szCs w:val="21"/>
                <w:highlight w:val="none"/>
              </w:rPr>
              <w:t>★</w:t>
            </w:r>
            <w:r>
              <w:rPr>
                <w:rFonts w:hint="eastAsia" w:ascii="宋体" w:hAnsi="宋体" w:eastAsia="宋体" w:cs="宋体"/>
                <w:bCs/>
                <w:sz w:val="21"/>
                <w:szCs w:val="21"/>
                <w:highlight w:val="none"/>
              </w:rPr>
              <w:t>”的技术参数，每满足以下条件一项得2.5分，满分12.5分：</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①</w:t>
            </w:r>
            <w:r>
              <w:rPr>
                <w:rFonts w:hint="eastAsia" w:ascii="宋体" w:hAnsi="宋体" w:eastAsia="宋体" w:cs="宋体"/>
                <w:bCs/>
                <w:kern w:val="0"/>
                <w:sz w:val="21"/>
                <w:szCs w:val="21"/>
                <w:highlight w:val="none"/>
              </w:rPr>
              <w:t>LED灯具初始光效＞170Lm/w；②电源功率因数：＞0.98；③显色指数： Ra＞80；④平均亮度L</w:t>
            </w:r>
            <w:r>
              <w:rPr>
                <w:rFonts w:hint="eastAsia" w:ascii="宋体" w:hAnsi="宋体" w:eastAsia="宋体" w:cs="宋体"/>
                <w:bCs/>
                <w:kern w:val="0"/>
                <w:sz w:val="21"/>
                <w:szCs w:val="21"/>
                <w:highlight w:val="none"/>
                <w:vertAlign w:val="subscript"/>
              </w:rPr>
              <w:t>av</w:t>
            </w:r>
            <w:r>
              <w:rPr>
                <w:rFonts w:hint="eastAsia" w:ascii="宋体" w:hAnsi="宋体" w:eastAsia="宋体" w:cs="宋体"/>
                <w:bCs/>
                <w:kern w:val="0"/>
                <w:sz w:val="21"/>
                <w:szCs w:val="21"/>
                <w:highlight w:val="none"/>
              </w:rPr>
              <w:t>维持值＞2（cd/m2）；⑤平均照</w:t>
            </w:r>
            <w:r>
              <w:rPr>
                <w:rFonts w:hint="eastAsia" w:ascii="宋体" w:hAnsi="宋体" w:eastAsia="宋体" w:cs="宋体"/>
                <w:sz w:val="21"/>
                <w:szCs w:val="21"/>
                <w:highlight w:val="none"/>
              </w:rPr>
              <w:t>度E</w:t>
            </w:r>
            <w:r>
              <w:rPr>
                <w:rFonts w:hint="eastAsia" w:ascii="宋体" w:hAnsi="宋体" w:eastAsia="宋体" w:cs="宋体"/>
                <w:sz w:val="21"/>
                <w:szCs w:val="21"/>
                <w:highlight w:val="none"/>
                <w:vertAlign w:val="subscript"/>
              </w:rPr>
              <w:t>h,av</w:t>
            </w:r>
            <w:r>
              <w:rPr>
                <w:rFonts w:hint="eastAsia" w:ascii="宋体" w:hAnsi="宋体" w:eastAsia="宋体" w:cs="宋体"/>
                <w:sz w:val="21"/>
                <w:szCs w:val="21"/>
                <w:highlight w:val="none"/>
              </w:rPr>
              <w:t xml:space="preserve"> </w:t>
            </w:r>
            <w:r>
              <w:rPr>
                <w:rFonts w:hint="eastAsia" w:ascii="宋体" w:hAnsi="宋体" w:eastAsia="宋体" w:cs="宋体"/>
                <w:bCs/>
                <w:kern w:val="0"/>
                <w:sz w:val="21"/>
                <w:szCs w:val="21"/>
                <w:highlight w:val="none"/>
              </w:rPr>
              <w:t>维持值</w:t>
            </w:r>
            <w:r>
              <w:rPr>
                <w:rFonts w:hint="eastAsia" w:ascii="宋体" w:hAnsi="宋体" w:eastAsia="宋体" w:cs="宋体"/>
                <w:sz w:val="21"/>
                <w:szCs w:val="21"/>
                <w:highlight w:val="none"/>
              </w:rPr>
              <w:t>＞ 30（lx）（第④、⑤项的证明材料应体现“在次干道，道路宽度16m，4车道，灯具安装高度10m，灯杆安装间距30m，灯具功率100W（±5%）的条件”）</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（须提供国家认可的第三方检验（检测）机构出具的检验（检测）报告</w:t>
            </w:r>
            <w:r>
              <w:rPr>
                <w:rFonts w:hint="eastAsia" w:ascii="宋体" w:hAnsi="宋体" w:cs="宋体"/>
                <w:bCs/>
                <w:sz w:val="21"/>
                <w:szCs w:val="21"/>
                <w:highlight w:val="none"/>
                <w:lang w:eastAsia="zh-CN"/>
              </w:rPr>
              <w:t>扫描</w:t>
            </w:r>
            <w:r>
              <w:rPr>
                <w:rFonts w:hint="eastAsia" w:ascii="宋体" w:hAnsi="宋体" w:eastAsia="宋体" w:cs="宋体"/>
                <w:bCs/>
                <w:sz w:val="21"/>
                <w:szCs w:val="21"/>
                <w:highlight w:val="none"/>
              </w:rPr>
              <w:t>件作为证明材料）</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备注：项目中标后，采购人有权要求中标人提供检验（检测）原件进行审查，如有发现弄虚作假，采购人有权报监督管理部门处理，所造成的一切后果由投标人自行承担。</w:t>
            </w:r>
          </w:p>
          <w:p>
            <w:pPr>
              <w:keepNext w:val="0"/>
              <w:keepLines w:val="0"/>
              <w:pageBreakBefore w:val="0"/>
              <w:widowControl w:val="0"/>
              <w:kinsoku/>
              <w:wordWrap/>
              <w:overflowPunct/>
              <w:topLinePunct w:val="0"/>
              <w:autoSpaceDE/>
              <w:autoSpaceDN/>
              <w:bidi w:val="0"/>
              <w:snapToGrid w:val="0"/>
              <w:spacing w:line="360" w:lineRule="exact"/>
              <w:ind w:firstLine="42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（2）系统演示（满分10.5分）</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二次节能和单灯控制系统软件参数要求中标注“▲”的需求项为重要技术指标、功能项，为保证投标人所投产品质量的稳定和可靠性，从而保证本项目服务质量，投标时需进行效果演示，每满足一项“▲”需求得1.5分，满分10.5分，不演示的得0分。</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投标人可以选择以下其中一种方式进行功能操作演示：</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（1）广西政府采购云平台线上演示：投标人在广西政府采购云平台进行在线功能操作演示（投标人自行准备演示相关设备及网络等演示工具）；</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bCs/>
                <w:sz w:val="21"/>
                <w:szCs w:val="21"/>
                <w:highlight w:val="none"/>
              </w:rPr>
              <w:t>（2）桂林市公共资源交易中心评标现场演示：投标人到达桂林市公共资源交易中心（广西桂林市临桂区西城中路69号创业大厦西辅楼4楼北区）现场进行演示（具体演示场地以桂林市公共资源交易中心安排的评标场地为准。评标场地只提供电源，投标人自行准备演示相关设备及网络等演示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3</w:t>
            </w:r>
          </w:p>
        </w:tc>
        <w:tc>
          <w:tcPr>
            <w:tcW w:w="13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第一期路灯改造实施方案（满分12分）</w:t>
            </w:r>
          </w:p>
        </w:tc>
        <w:tc>
          <w:tcPr>
            <w:tcW w:w="73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根据投标人提供的路灯改造实施方案，包括但不限于本次路灯整体改造工作总体思路、实施计划与组织、质量控制与进度管理、安全保障与应急预案的科学性、完整性、合理性以及对本项目的响应程度和对项目实施最有利为原则按项进行综合评定其档次（未提供不得分）：</w:t>
            </w:r>
          </w:p>
          <w:p>
            <w:pPr>
              <w:keepNext w:val="0"/>
              <w:keepLines w:val="0"/>
              <w:pageBreakBefore w:val="0"/>
              <w:widowControl w:val="0"/>
              <w:kinsoku/>
              <w:wordWrap/>
              <w:overflowPunct/>
              <w:topLinePunct w:val="0"/>
              <w:autoSpaceDE/>
              <w:autoSpaceDN/>
              <w:bidi w:val="0"/>
              <w:snapToGrid w:val="0"/>
              <w:spacing w:line="360" w:lineRule="exact"/>
              <w:ind w:firstLine="422" w:firstLineChars="200"/>
              <w:textAlignment w:val="auto"/>
              <w:rPr>
                <w:rFonts w:hint="eastAsia" w:ascii="宋体" w:hAnsi="宋体" w:eastAsia="宋体" w:cs="宋体"/>
                <w:bCs/>
                <w:sz w:val="21"/>
                <w:szCs w:val="21"/>
                <w:highlight w:val="none"/>
              </w:rPr>
            </w:pPr>
            <w:r>
              <w:rPr>
                <w:rFonts w:hint="eastAsia" w:ascii="宋体" w:hAnsi="宋体" w:eastAsia="宋体" w:cs="宋体"/>
                <w:b/>
                <w:bCs/>
                <w:sz w:val="21"/>
                <w:szCs w:val="21"/>
                <w:highlight w:val="none"/>
              </w:rPr>
              <w:t>一档（4分）：</w:t>
            </w:r>
            <w:r>
              <w:rPr>
                <w:rFonts w:hint="eastAsia" w:ascii="宋体" w:hAnsi="宋体" w:eastAsia="宋体" w:cs="宋体"/>
                <w:b w:val="0"/>
                <w:bCs w:val="0"/>
                <w:sz w:val="21"/>
                <w:szCs w:val="21"/>
                <w:highlight w:val="none"/>
              </w:rPr>
              <w:t>①</w:t>
            </w:r>
            <w:r>
              <w:rPr>
                <w:rFonts w:hint="eastAsia" w:ascii="宋体" w:hAnsi="宋体" w:eastAsia="宋体" w:cs="宋体"/>
                <w:bCs/>
                <w:sz w:val="21"/>
                <w:szCs w:val="21"/>
                <w:highlight w:val="none"/>
              </w:rPr>
              <w:t>有路灯改造实施方案，但内容笼统，没有针对本项目细化制订，对项目分析未结合实际情况且针对性差（虽响应采购人要求改造道路数量要求，但未根据每条道路实际情况编制每条道路的照明改造方案，或编制的道路照明改造方案数量＜70个）；②项目实施计划流程差、组织机构不完整，管理运行机制不健全，质量控制与进度管理措施不完备；③未为本项目的安全保障、应急预案而专门制订措施或制订的措施差。</w:t>
            </w:r>
          </w:p>
          <w:p>
            <w:pPr>
              <w:keepNext w:val="0"/>
              <w:keepLines w:val="0"/>
              <w:pageBreakBefore w:val="0"/>
              <w:widowControl w:val="0"/>
              <w:kinsoku/>
              <w:wordWrap/>
              <w:overflowPunct/>
              <w:topLinePunct w:val="0"/>
              <w:autoSpaceDE/>
              <w:autoSpaceDN/>
              <w:bidi w:val="0"/>
              <w:snapToGrid w:val="0"/>
              <w:spacing w:line="360" w:lineRule="exact"/>
              <w:ind w:firstLine="422" w:firstLineChars="200"/>
              <w:textAlignment w:val="auto"/>
              <w:rPr>
                <w:rFonts w:hint="eastAsia" w:ascii="宋体" w:hAnsi="宋体" w:eastAsia="宋体" w:cs="宋体"/>
                <w:bCs/>
                <w:sz w:val="21"/>
                <w:szCs w:val="21"/>
                <w:highlight w:val="none"/>
              </w:rPr>
            </w:pPr>
            <w:r>
              <w:rPr>
                <w:rFonts w:hint="eastAsia" w:ascii="宋体" w:hAnsi="宋体" w:eastAsia="宋体" w:cs="宋体"/>
                <w:b/>
                <w:bCs/>
                <w:sz w:val="21"/>
                <w:szCs w:val="21"/>
                <w:highlight w:val="none"/>
              </w:rPr>
              <w:t>二档（8分）：</w:t>
            </w:r>
            <w:r>
              <w:rPr>
                <w:rFonts w:hint="eastAsia" w:ascii="宋体" w:hAnsi="宋体" w:eastAsia="宋体" w:cs="宋体"/>
                <w:b w:val="0"/>
                <w:bCs w:val="0"/>
                <w:sz w:val="21"/>
                <w:szCs w:val="21"/>
                <w:highlight w:val="none"/>
              </w:rPr>
              <w:t>①</w:t>
            </w:r>
            <w:r>
              <w:rPr>
                <w:rFonts w:hint="eastAsia" w:ascii="宋体" w:hAnsi="宋体" w:eastAsia="宋体" w:cs="宋体"/>
                <w:bCs/>
                <w:sz w:val="21"/>
                <w:szCs w:val="21"/>
                <w:highlight w:val="none"/>
              </w:rPr>
              <w:t>路灯改造实施方案相对规范合理，内容相对完整，有少量资料，对项目分析能抓住重点，有一定的针对性（在响应采购人要求改造道路数量要求的基础上，能针对本项目照明现状进行实地调研，根据每条道路实际情况编制每条道路的照明改造方案，方案包含现状分析、根据自身所投LED灯具技术参数分析和建议替换灯具的功率等，编制的道路照明改造方案数量≥70个）；②项目实施计划流程相对清晰，组织与运行机制完备，有一定的项目管理能力，质量控制与进度管理措施有一定合理性；③为本项目制订的安全保障、应急预案制订措施较齐全。</w:t>
            </w:r>
          </w:p>
          <w:p>
            <w:pPr>
              <w:keepNext w:val="0"/>
              <w:keepLines w:val="0"/>
              <w:pageBreakBefore w:val="0"/>
              <w:widowControl w:val="0"/>
              <w:kinsoku/>
              <w:wordWrap/>
              <w:overflowPunct/>
              <w:topLinePunct w:val="0"/>
              <w:autoSpaceDE/>
              <w:autoSpaceDN/>
              <w:bidi w:val="0"/>
              <w:snapToGrid w:val="0"/>
              <w:spacing w:line="360" w:lineRule="exact"/>
              <w:ind w:firstLine="422" w:firstLineChars="200"/>
              <w:textAlignment w:val="auto"/>
              <w:rPr>
                <w:rFonts w:hint="eastAsia" w:ascii="宋体" w:hAnsi="宋体" w:eastAsia="宋体" w:cs="宋体"/>
                <w:bCs/>
                <w:sz w:val="21"/>
                <w:szCs w:val="21"/>
                <w:highlight w:val="none"/>
              </w:rPr>
            </w:pPr>
            <w:r>
              <w:rPr>
                <w:rFonts w:hint="eastAsia" w:ascii="宋体" w:hAnsi="宋体" w:eastAsia="宋体" w:cs="宋体"/>
                <w:b/>
                <w:bCs/>
                <w:sz w:val="21"/>
                <w:szCs w:val="21"/>
                <w:highlight w:val="none"/>
              </w:rPr>
              <w:t>三档（12分）：</w:t>
            </w:r>
            <w:r>
              <w:rPr>
                <w:rFonts w:hint="eastAsia" w:ascii="宋体" w:hAnsi="宋体" w:eastAsia="宋体" w:cs="宋体"/>
                <w:b w:val="0"/>
                <w:bCs w:val="0"/>
                <w:sz w:val="21"/>
                <w:szCs w:val="21"/>
                <w:highlight w:val="none"/>
              </w:rPr>
              <w:t>①</w:t>
            </w:r>
            <w:r>
              <w:rPr>
                <w:rFonts w:hint="eastAsia" w:ascii="宋体" w:hAnsi="宋体" w:eastAsia="宋体" w:cs="宋体"/>
                <w:bCs/>
                <w:sz w:val="21"/>
                <w:szCs w:val="21"/>
                <w:highlight w:val="none"/>
              </w:rPr>
              <w:t>路灯改造实施方案结构严谨、图文并茂，对项目分析结合实际且针对性强，内容完整翔实（在响应采购人要求改造道路数量要求的基础上，能针对本项目照明现状进行实地调研，根据每条道路实际情况编制每条道路的照明改造方案，方案包含现状分析、根据自身所投LED灯具技术参数分析和建议替换灯具的功率、改造后道路模拟照明效果等，编制的道路照明改造方案数量≥120个）；②实施计划流程清晰，配备的项目组织机构完整、管理运行机制健全，项目管理能力强，针对本项目服务要求制订的质量控制与进度管理措施科学、合理，符合行业技术规范；③为本项目的安全保障、应急预案而专门制订的措施科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59"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4</w:t>
            </w:r>
          </w:p>
        </w:tc>
        <w:tc>
          <w:tcPr>
            <w:tcW w:w="1343"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val="0"/>
              <w:kinsoku/>
              <w:wordWrap/>
              <w:overflowPunct/>
              <w:topLinePunct w:val="0"/>
              <w:autoSpaceDE/>
              <w:autoSpaceDN/>
              <w:bidi w:val="0"/>
              <w:adjustRightInd w:val="0"/>
              <w:snapToGrid w:val="0"/>
              <w:spacing w:beforeAutospacing="0" w:afterAutospacing="0" w:line="360" w:lineRule="exact"/>
              <w:jc w:val="center"/>
              <w:textAlignment w:val="auto"/>
              <w:rPr>
                <w:rFonts w:hint="eastAsia" w:ascii="宋体" w:hAnsi="宋体" w:eastAsia="宋体" w:cs="宋体"/>
                <w:b/>
                <w:kern w:val="2"/>
                <w:sz w:val="21"/>
                <w:szCs w:val="21"/>
                <w:highlight w:val="none"/>
              </w:rPr>
            </w:pPr>
            <w:r>
              <w:rPr>
                <w:rFonts w:hint="eastAsia" w:ascii="宋体" w:hAnsi="宋体" w:eastAsia="宋体" w:cs="宋体"/>
                <w:b/>
                <w:sz w:val="21"/>
                <w:szCs w:val="21"/>
                <w:highlight w:val="none"/>
              </w:rPr>
              <w:t>第二期安全整改实施方案分（满分6分）</w:t>
            </w:r>
          </w:p>
        </w:tc>
        <w:tc>
          <w:tcPr>
            <w:tcW w:w="73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360" w:lineRule="exact"/>
              <w:ind w:firstLine="42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根据投标人提供的安全整改实施方案，包括但不限于安全整改工作总体思路、实施计划与组织、质量控制与进度管理、安全保障与应急预案的科学性、完整性、合理性以及对本项目的响应程度和对项目实施最有利为原则按项进行综合评定其档次（未提供不得分）：</w:t>
            </w:r>
          </w:p>
          <w:p>
            <w:pPr>
              <w:keepNext w:val="0"/>
              <w:keepLines w:val="0"/>
              <w:pageBreakBefore w:val="0"/>
              <w:widowControl w:val="0"/>
              <w:kinsoku/>
              <w:wordWrap/>
              <w:overflowPunct/>
              <w:topLinePunct w:val="0"/>
              <w:autoSpaceDE/>
              <w:autoSpaceDN/>
              <w:bidi w:val="0"/>
              <w:snapToGrid w:val="0"/>
              <w:spacing w:line="360" w:lineRule="exact"/>
              <w:ind w:firstLine="422" w:firstLineChars="200"/>
              <w:textAlignment w:val="auto"/>
              <w:rPr>
                <w:rFonts w:hint="eastAsia" w:ascii="宋体" w:hAnsi="宋体" w:eastAsia="宋体" w:cs="宋体"/>
                <w:bCs/>
                <w:sz w:val="21"/>
                <w:szCs w:val="21"/>
                <w:highlight w:val="none"/>
              </w:rPr>
            </w:pPr>
            <w:r>
              <w:rPr>
                <w:rFonts w:hint="eastAsia" w:ascii="宋体" w:hAnsi="宋体" w:eastAsia="宋体" w:cs="宋体"/>
                <w:b/>
                <w:bCs/>
                <w:sz w:val="21"/>
                <w:szCs w:val="21"/>
                <w:highlight w:val="none"/>
              </w:rPr>
              <w:t>一档（2分）：</w:t>
            </w:r>
            <w:r>
              <w:rPr>
                <w:rFonts w:hint="eastAsia" w:ascii="宋体" w:hAnsi="宋体" w:eastAsia="宋体" w:cs="宋体"/>
                <w:bCs/>
                <w:sz w:val="21"/>
                <w:szCs w:val="21"/>
                <w:highlight w:val="none"/>
              </w:rPr>
              <w:t>项目实施方案简单，能提供对接方案；基本满足项目实施的技术力量和人力资源安排要求，保证技术服务、技术培训的服务内容和措施较简单的。</w:t>
            </w:r>
          </w:p>
          <w:p>
            <w:pPr>
              <w:keepNext w:val="0"/>
              <w:keepLines w:val="0"/>
              <w:pageBreakBefore w:val="0"/>
              <w:widowControl w:val="0"/>
              <w:kinsoku/>
              <w:wordWrap/>
              <w:overflowPunct/>
              <w:topLinePunct w:val="0"/>
              <w:autoSpaceDE/>
              <w:autoSpaceDN/>
              <w:bidi w:val="0"/>
              <w:snapToGrid w:val="0"/>
              <w:spacing w:line="360" w:lineRule="exact"/>
              <w:ind w:firstLine="422" w:firstLineChars="200"/>
              <w:textAlignment w:val="auto"/>
              <w:rPr>
                <w:rFonts w:hint="eastAsia" w:ascii="宋体" w:hAnsi="宋体" w:eastAsia="宋体" w:cs="宋体"/>
                <w:bCs/>
                <w:sz w:val="21"/>
                <w:szCs w:val="21"/>
                <w:highlight w:val="none"/>
              </w:rPr>
            </w:pPr>
            <w:r>
              <w:rPr>
                <w:rFonts w:hint="eastAsia" w:ascii="宋体" w:hAnsi="宋体" w:eastAsia="宋体" w:cs="宋体"/>
                <w:b/>
                <w:bCs/>
                <w:sz w:val="21"/>
                <w:szCs w:val="21"/>
                <w:highlight w:val="none"/>
              </w:rPr>
              <w:t>二档（4分）：</w:t>
            </w:r>
            <w:r>
              <w:rPr>
                <w:rFonts w:hint="eastAsia" w:ascii="宋体" w:hAnsi="宋体" w:eastAsia="宋体" w:cs="宋体"/>
                <w:bCs/>
                <w:sz w:val="21"/>
                <w:szCs w:val="21"/>
                <w:highlight w:val="none"/>
              </w:rPr>
              <w:t>项目实施方案较详细，能针对需求的安全整改内容提供对接方案，有施工组织计划和困难分析；满足项目实施的技术力量和人力资源安排的所有要求，保证技术服务、技术培训的服务内容和措施较完善的。</w:t>
            </w:r>
          </w:p>
          <w:p>
            <w:pPr>
              <w:keepNext w:val="0"/>
              <w:keepLines w:val="0"/>
              <w:pageBreakBefore w:val="0"/>
              <w:widowControl w:val="0"/>
              <w:kinsoku/>
              <w:wordWrap/>
              <w:overflowPunct/>
              <w:topLinePunct w:val="0"/>
              <w:autoSpaceDE/>
              <w:autoSpaceDN/>
              <w:bidi w:val="0"/>
              <w:snapToGrid w:val="0"/>
              <w:spacing w:line="360" w:lineRule="exact"/>
              <w:ind w:firstLine="422" w:firstLineChars="200"/>
              <w:textAlignment w:val="auto"/>
              <w:rPr>
                <w:rFonts w:hint="eastAsia" w:ascii="宋体" w:hAnsi="宋体" w:eastAsia="宋体" w:cs="宋体"/>
                <w:sz w:val="21"/>
                <w:szCs w:val="21"/>
                <w:highlight w:val="none"/>
              </w:rPr>
            </w:pPr>
            <w:r>
              <w:rPr>
                <w:rFonts w:hint="eastAsia" w:ascii="宋体" w:hAnsi="宋体" w:eastAsia="宋体" w:cs="宋体"/>
                <w:b/>
                <w:bCs/>
                <w:sz w:val="21"/>
                <w:szCs w:val="21"/>
                <w:highlight w:val="none"/>
              </w:rPr>
              <w:t>三档（6分)：</w:t>
            </w:r>
            <w:r>
              <w:rPr>
                <w:rFonts w:hint="eastAsia" w:ascii="宋体" w:hAnsi="宋体" w:eastAsia="宋体" w:cs="宋体"/>
                <w:bCs/>
                <w:sz w:val="21"/>
                <w:szCs w:val="21"/>
                <w:highlight w:val="none"/>
              </w:rPr>
              <w:t>项目实施方案详实，能切合本项目针对需求的安全整改内容提供实际的对接方案，有针对性的施工组织计划，对施工难度有针对性的困难分析，方案能清楚的表明对本项目的熟悉程度，设计方案优良，技术路线清晰可信；满足项目实施的技术力量和人力资源安排的所有要求并安排充足，技术服务、技术培训的服务内容和措施具体完善，安装、调试、验收的方案完善有效且更优化、切实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5</w:t>
            </w:r>
          </w:p>
        </w:tc>
        <w:tc>
          <w:tcPr>
            <w:tcW w:w="134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sz w:val="21"/>
                <w:szCs w:val="21"/>
                <w:highlight w:val="none"/>
              </w:rPr>
            </w:pPr>
            <w:r>
              <w:rPr>
                <w:rFonts w:hint="eastAsia" w:ascii="宋体" w:hAnsi="宋体" w:eastAsia="宋体" w:cs="宋体"/>
                <w:b/>
                <w:bCs/>
                <w:sz w:val="21"/>
                <w:szCs w:val="21"/>
                <w:highlight w:val="none"/>
              </w:rPr>
              <w:t>合同期内项目运维管理方案</w:t>
            </w:r>
            <w:r>
              <w:rPr>
                <w:rFonts w:hint="eastAsia" w:ascii="宋体" w:hAnsi="宋体" w:eastAsia="宋体" w:cs="宋体"/>
                <w:b/>
                <w:sz w:val="21"/>
                <w:szCs w:val="21"/>
                <w:highlight w:val="none"/>
              </w:rPr>
              <w:t>（满分15分）</w:t>
            </w:r>
          </w:p>
        </w:tc>
        <w:tc>
          <w:tcPr>
            <w:tcW w:w="73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1）根据投标人提供的运维管理方案，包括但不限于针对本项目在运维期内的亮灯率保障措施、备品备件措施、故障响应措施、安全应急措施、设备配备等方案内容的科学性、完整性、合理性以及对本项目的项目实施最有利为原则按项进行综合评定其档次（未满足最低档要求的得0分）：</w:t>
            </w:r>
          </w:p>
          <w:p>
            <w:pPr>
              <w:keepNext w:val="0"/>
              <w:keepLines w:val="0"/>
              <w:pageBreakBefore w:val="0"/>
              <w:widowControl w:val="0"/>
              <w:kinsoku/>
              <w:wordWrap/>
              <w:overflowPunct/>
              <w:topLinePunct w:val="0"/>
              <w:autoSpaceDE/>
              <w:autoSpaceDN/>
              <w:bidi w:val="0"/>
              <w:snapToGrid w:val="0"/>
              <w:spacing w:line="360" w:lineRule="exact"/>
              <w:ind w:firstLine="422" w:firstLineChars="200"/>
              <w:textAlignment w:val="auto"/>
              <w:rPr>
                <w:rFonts w:hint="eastAsia" w:ascii="宋体" w:hAnsi="宋体" w:eastAsia="宋体" w:cs="宋体"/>
                <w:bCs/>
                <w:sz w:val="21"/>
                <w:szCs w:val="21"/>
                <w:highlight w:val="none"/>
              </w:rPr>
            </w:pPr>
            <w:r>
              <w:rPr>
                <w:rFonts w:hint="eastAsia" w:ascii="宋体" w:hAnsi="宋体" w:eastAsia="宋体" w:cs="宋体"/>
                <w:b/>
                <w:bCs/>
                <w:sz w:val="21"/>
                <w:szCs w:val="21"/>
                <w:highlight w:val="none"/>
              </w:rPr>
              <w:t>一档（4分）：</w:t>
            </w:r>
            <w:r>
              <w:rPr>
                <w:rFonts w:hint="eastAsia" w:ascii="宋体" w:hAnsi="宋体" w:eastAsia="宋体" w:cs="宋体"/>
                <w:b w:val="0"/>
                <w:bCs w:val="0"/>
                <w:sz w:val="21"/>
                <w:szCs w:val="21"/>
                <w:highlight w:val="none"/>
              </w:rPr>
              <w:t>①</w:t>
            </w:r>
            <w:r>
              <w:rPr>
                <w:rFonts w:hint="eastAsia" w:ascii="宋体" w:hAnsi="宋体" w:eastAsia="宋体" w:cs="宋体"/>
                <w:bCs/>
                <w:sz w:val="21"/>
                <w:szCs w:val="21"/>
                <w:highlight w:val="none"/>
              </w:rPr>
              <w:t>运维管理方案内容简单、可实施性和针对性一般。②承诺可提供7*24小时运营服务；承诺按照采购人制定的专项考核标准文件提供全年故障维修服务；承诺中标人自己发现的故障在72小时内修复，市政服务热线和甲方照明热线等报修的灯具故障在48小时内修复，市长热线投诉或新闻媒体曝光的灯具故障在24小时内修复，特殊情况按照采购人要求时间修复。③中标后设置的运维服务机构场地区划简单。</w:t>
            </w:r>
          </w:p>
          <w:p>
            <w:pPr>
              <w:keepNext w:val="0"/>
              <w:keepLines w:val="0"/>
              <w:pageBreakBefore w:val="0"/>
              <w:widowControl w:val="0"/>
              <w:kinsoku/>
              <w:wordWrap/>
              <w:overflowPunct/>
              <w:topLinePunct w:val="0"/>
              <w:autoSpaceDE/>
              <w:autoSpaceDN/>
              <w:bidi w:val="0"/>
              <w:snapToGrid w:val="0"/>
              <w:spacing w:line="360" w:lineRule="exact"/>
              <w:ind w:firstLine="422" w:firstLineChars="200"/>
              <w:textAlignment w:val="auto"/>
              <w:rPr>
                <w:rFonts w:hint="eastAsia" w:ascii="宋体" w:hAnsi="宋体" w:eastAsia="宋体" w:cs="宋体"/>
                <w:bCs/>
                <w:sz w:val="21"/>
                <w:szCs w:val="21"/>
                <w:highlight w:val="none"/>
              </w:rPr>
            </w:pPr>
            <w:r>
              <w:rPr>
                <w:rFonts w:hint="eastAsia" w:ascii="宋体" w:hAnsi="宋体" w:eastAsia="宋体" w:cs="宋体"/>
                <w:b/>
                <w:bCs/>
                <w:sz w:val="21"/>
                <w:szCs w:val="21"/>
                <w:highlight w:val="none"/>
              </w:rPr>
              <w:t>二档（9分）：</w:t>
            </w:r>
            <w:r>
              <w:rPr>
                <w:rFonts w:hint="eastAsia" w:ascii="宋体" w:hAnsi="宋体" w:eastAsia="宋体" w:cs="宋体"/>
                <w:b w:val="0"/>
                <w:bCs w:val="0"/>
                <w:sz w:val="21"/>
                <w:szCs w:val="21"/>
                <w:highlight w:val="none"/>
              </w:rPr>
              <w:t>①</w:t>
            </w:r>
            <w:r>
              <w:rPr>
                <w:rFonts w:hint="eastAsia" w:ascii="宋体" w:hAnsi="宋体" w:eastAsia="宋体" w:cs="宋体"/>
                <w:bCs/>
                <w:sz w:val="21"/>
                <w:szCs w:val="21"/>
                <w:highlight w:val="none"/>
              </w:rPr>
              <w:t>运维管理方案内容比较完整、合理,可实施性和针对性较强。②承诺可提供7*24小时运营服务；承诺按照采购人制定的专项考核标准文件提供全年故障维修服务；承诺中标人自己发现的故障在72小时内修复；市政服务热线和甲方照明热线等报修的灯具故障，4小时内现场响应，并在48小时内修复；市长热线投诉或新闻媒体曝光的灯具故障，2小时内响应，并在24小时内修复；特殊情况按照采购人要求时间响应和修复。③中标后设置的运维服务机构场地区划合理，有办公区、车库等区域。</w:t>
            </w:r>
          </w:p>
          <w:p>
            <w:pPr>
              <w:keepNext w:val="0"/>
              <w:keepLines w:val="0"/>
              <w:pageBreakBefore w:val="0"/>
              <w:widowControl w:val="0"/>
              <w:kinsoku/>
              <w:wordWrap/>
              <w:overflowPunct/>
              <w:topLinePunct w:val="0"/>
              <w:autoSpaceDE/>
              <w:autoSpaceDN/>
              <w:bidi w:val="0"/>
              <w:snapToGrid w:val="0"/>
              <w:spacing w:line="360" w:lineRule="exact"/>
              <w:ind w:firstLine="422" w:firstLineChars="200"/>
              <w:textAlignment w:val="auto"/>
              <w:rPr>
                <w:rFonts w:hint="eastAsia" w:ascii="宋体" w:hAnsi="宋体" w:eastAsia="宋体" w:cs="宋体"/>
                <w:bCs/>
                <w:sz w:val="21"/>
                <w:szCs w:val="21"/>
                <w:highlight w:val="none"/>
              </w:rPr>
            </w:pPr>
            <w:r>
              <w:rPr>
                <w:rFonts w:hint="eastAsia" w:ascii="宋体" w:hAnsi="宋体" w:eastAsia="宋体" w:cs="宋体"/>
                <w:b/>
                <w:bCs/>
                <w:sz w:val="21"/>
                <w:szCs w:val="21"/>
                <w:highlight w:val="none"/>
              </w:rPr>
              <w:t>三档（14分）：</w:t>
            </w:r>
            <w:r>
              <w:rPr>
                <w:rFonts w:hint="eastAsia" w:ascii="宋体" w:hAnsi="宋体" w:eastAsia="宋体" w:cs="宋体"/>
                <w:b w:val="0"/>
                <w:bCs w:val="0"/>
                <w:sz w:val="21"/>
                <w:szCs w:val="21"/>
                <w:highlight w:val="none"/>
              </w:rPr>
              <w:t>①</w:t>
            </w:r>
            <w:r>
              <w:rPr>
                <w:rFonts w:hint="eastAsia" w:ascii="宋体" w:hAnsi="宋体" w:eastAsia="宋体" w:cs="宋体"/>
                <w:bCs/>
                <w:sz w:val="21"/>
                <w:szCs w:val="21"/>
                <w:highlight w:val="none"/>
              </w:rPr>
              <w:t>运维管理方案内容完整、合理,可实施性强。②可提供7*24小时运营服务和免费400热线电话服务；承诺按照采购人制定的专项考核标准文件提供全年故障维修服务；承诺中标人自己发现的故障在72小时内修复；市政服务热线和甲方照明热线等报修的灯具故障，3小时内现场响应，并在36小时内修复；市长热线投诉或新闻媒体曝光的灯具故障，1小时内现场响应，并在18小时内修复；特殊情况按照采购人要求时间响应和修复。③中标后设置的运维服务机构场地区划完善，有办公区、仓库、车库、灯具维修区等区域。</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bCs/>
                <w:sz w:val="21"/>
                <w:szCs w:val="21"/>
                <w:highlight w:val="none"/>
              </w:rPr>
              <w:t>（2）根据投标人对合同运营期限的响应情况进行打分，初始12年，每减1年得0.5分，满分1分。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6</w:t>
            </w:r>
          </w:p>
        </w:tc>
        <w:tc>
          <w:tcPr>
            <w:tcW w:w="134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项目服务团队配备分（满分20分）</w:t>
            </w:r>
          </w:p>
        </w:tc>
        <w:tc>
          <w:tcPr>
            <w:tcW w:w="73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（1）拟投入的项目负责人具有市政公用工程或机电工程或电气工程专业二级及以上注册建造师且具有高级工程师职称（市政公用工程或机电工程或电气工程专业）的得4分</w:t>
            </w:r>
            <w:r>
              <w:rPr>
                <w:rFonts w:hint="eastAsia" w:ascii="宋体" w:hAnsi="宋体" w:cs="宋体"/>
                <w:bCs/>
                <w:sz w:val="21"/>
                <w:szCs w:val="21"/>
                <w:highlight w:val="none"/>
                <w:lang w:eastAsia="zh-CN"/>
              </w:rPr>
              <w:t>；</w:t>
            </w:r>
            <w:r>
              <w:rPr>
                <w:rFonts w:hint="eastAsia" w:ascii="宋体" w:hAnsi="宋体" w:eastAsia="宋体" w:cs="宋体"/>
                <w:bCs/>
                <w:sz w:val="21"/>
                <w:szCs w:val="21"/>
                <w:highlight w:val="none"/>
              </w:rPr>
              <w:t>拟投入的项目负责人具有市政公用工程或机电工程或电气工程专业或机电工程专业二级及以上注册建造师且具有中级工程师职称（市政公用工程或机电工程或电气工程专业）的得2分。</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（2）拟投入的项目技术负责人具有注册电气工程师（供配电）资格证书的得4分。</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（3）拟投入的运营维护人员中，每提供一名同时具有高处作业特种作业操作证和低压电工作业特种作业操作证的运营维护人员的得0.5分，最多得2分。</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（4）路灯改造施工中，拟投入的施工人员少于10人，拟投入的现有施工作业车辆小于2辆，得0分；10人≤拟投入的施工人员＜20人，拟投入的现有施工作业车辆（必须同时包含高空作业车、</w:t>
            </w:r>
            <w:r>
              <w:rPr>
                <w:rFonts w:hint="eastAsia" w:ascii="宋体" w:hAnsi="宋体" w:cs="宋体"/>
                <w:bCs/>
                <w:sz w:val="21"/>
                <w:szCs w:val="21"/>
                <w:highlight w:val="none"/>
                <w:lang w:eastAsia="zh-CN"/>
              </w:rPr>
              <w:t>厢式运输车</w:t>
            </w:r>
            <w:r>
              <w:rPr>
                <w:rFonts w:hint="eastAsia" w:ascii="宋体" w:hAnsi="宋体" w:eastAsia="宋体" w:cs="宋体"/>
                <w:bCs/>
                <w:sz w:val="21"/>
                <w:szCs w:val="21"/>
                <w:highlight w:val="none"/>
              </w:rPr>
              <w:t>、</w:t>
            </w:r>
            <w:r>
              <w:rPr>
                <w:rFonts w:hint="eastAsia" w:ascii="宋体" w:hAnsi="宋体" w:cs="宋体"/>
                <w:bCs/>
                <w:sz w:val="21"/>
                <w:szCs w:val="21"/>
                <w:highlight w:val="none"/>
                <w:lang w:eastAsia="zh-CN"/>
              </w:rPr>
              <w:t>多用途乘用车</w:t>
            </w:r>
            <w:r>
              <w:rPr>
                <w:rFonts w:hint="eastAsia" w:ascii="宋体" w:hAnsi="宋体" w:eastAsia="宋体" w:cs="宋体"/>
                <w:bCs/>
                <w:sz w:val="21"/>
                <w:szCs w:val="21"/>
                <w:highlight w:val="none"/>
              </w:rPr>
              <w:t>）≥3辆，得1.5分；拟投入的施工人员≥20人，拟投入的现有施工作业车辆（必须同时包含高空作业车、</w:t>
            </w:r>
            <w:r>
              <w:rPr>
                <w:rFonts w:hint="eastAsia" w:ascii="宋体" w:hAnsi="宋体" w:cs="宋体"/>
                <w:bCs/>
                <w:sz w:val="21"/>
                <w:szCs w:val="21"/>
                <w:highlight w:val="none"/>
                <w:lang w:eastAsia="zh-CN"/>
              </w:rPr>
              <w:t>厢式运输车</w:t>
            </w:r>
            <w:r>
              <w:rPr>
                <w:rFonts w:hint="eastAsia" w:ascii="宋体" w:hAnsi="宋体" w:eastAsia="宋体" w:cs="宋体"/>
                <w:bCs/>
                <w:sz w:val="21"/>
                <w:szCs w:val="21"/>
                <w:highlight w:val="none"/>
              </w:rPr>
              <w:t>、</w:t>
            </w:r>
            <w:r>
              <w:rPr>
                <w:rFonts w:hint="eastAsia" w:ascii="宋体" w:hAnsi="宋体" w:cs="宋体"/>
                <w:bCs/>
                <w:sz w:val="21"/>
                <w:szCs w:val="21"/>
                <w:highlight w:val="none"/>
                <w:lang w:eastAsia="zh-CN"/>
              </w:rPr>
              <w:t>多用途乘用车</w:t>
            </w:r>
            <w:r>
              <w:rPr>
                <w:rFonts w:hint="eastAsia" w:ascii="宋体" w:hAnsi="宋体" w:eastAsia="宋体" w:cs="宋体"/>
                <w:bCs/>
                <w:sz w:val="21"/>
                <w:szCs w:val="21"/>
                <w:highlight w:val="none"/>
              </w:rPr>
              <w:t>）≥7辆，得3分。</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（5）项目运营服务期间，常驻服务人员＜5人、常驻服务作业车辆＜2台，得0分；5人≤常驻服务人员＜8人、2≤常驻服务作业车辆（须同时包含高空作业车、</w:t>
            </w:r>
            <w:r>
              <w:rPr>
                <w:rFonts w:hint="eastAsia" w:ascii="宋体" w:hAnsi="宋体" w:eastAsia="宋体" w:cs="宋体"/>
                <w:bCs/>
                <w:sz w:val="21"/>
                <w:szCs w:val="21"/>
                <w:highlight w:val="none"/>
                <w:lang w:eastAsia="zh-CN"/>
              </w:rPr>
              <w:t>多用途乘用车</w:t>
            </w:r>
            <w:r>
              <w:rPr>
                <w:rFonts w:hint="eastAsia" w:ascii="宋体" w:hAnsi="宋体" w:eastAsia="宋体" w:cs="宋体"/>
                <w:bCs/>
                <w:sz w:val="21"/>
                <w:szCs w:val="21"/>
                <w:highlight w:val="none"/>
              </w:rPr>
              <w:t>）＜4，得2分；常驻服务人员≥8人、常驻服务作业车辆（须同时包含高空作业车、</w:t>
            </w:r>
            <w:r>
              <w:rPr>
                <w:rFonts w:hint="eastAsia" w:ascii="宋体" w:hAnsi="宋体" w:cs="宋体"/>
                <w:bCs/>
                <w:sz w:val="21"/>
                <w:szCs w:val="21"/>
                <w:highlight w:val="none"/>
                <w:lang w:eastAsia="zh-CN"/>
              </w:rPr>
              <w:t>多用途乘用车</w:t>
            </w:r>
            <w:r>
              <w:rPr>
                <w:rFonts w:hint="eastAsia" w:ascii="宋体" w:hAnsi="宋体" w:eastAsia="宋体" w:cs="宋体"/>
                <w:bCs/>
                <w:sz w:val="21"/>
                <w:szCs w:val="21"/>
                <w:highlight w:val="none"/>
              </w:rPr>
              <w:t>）≥4台，得5分；常驻服务作业车辆（高空作业车和</w:t>
            </w:r>
            <w:r>
              <w:rPr>
                <w:rFonts w:hint="eastAsia" w:ascii="宋体" w:hAnsi="宋体" w:cs="宋体"/>
                <w:bCs/>
                <w:sz w:val="21"/>
                <w:szCs w:val="21"/>
                <w:highlight w:val="none"/>
                <w:lang w:eastAsia="zh-CN"/>
              </w:rPr>
              <w:t>多用途乘用车</w:t>
            </w:r>
            <w:r>
              <w:rPr>
                <w:rFonts w:hint="eastAsia" w:ascii="宋体" w:hAnsi="宋体" w:eastAsia="宋体" w:cs="宋体"/>
                <w:bCs/>
                <w:sz w:val="21"/>
                <w:szCs w:val="21"/>
                <w:highlight w:val="none"/>
              </w:rPr>
              <w:t>）全为现有的加2分；满分7分。</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注：以上人员的专业以提供的职称证或资格证或注册证书为准；以上人员均需提供投标截止时间前半年内任意连续三个月投标人为其交纳的社保证明材料和完整有效的证书扫描件并加盖投标人公章（CA签章）；投标人现有的施工和服务作业车辆需提供车辆照片、行驶证扫描件、购置发票或租赁合同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7</w:t>
            </w:r>
          </w:p>
        </w:tc>
        <w:tc>
          <w:tcPr>
            <w:tcW w:w="1343"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信誉业绩分（满分14分）</w:t>
            </w:r>
          </w:p>
        </w:tc>
        <w:tc>
          <w:tcPr>
            <w:tcW w:w="73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1）投标人自2020年1月1日至投标截止日（以合同签订时间为准），①具有同时包含LED路灯改造和维护业绩的每个得2分；②具有路灯合同能源管理模式（EMC）节能改造项目业绩的每个得3分。（附清晰可辨的合同扫描件加盖投标人公章(CA签章)）（满分6分）</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2）为体现投标人质量管理能力等核心竞争力，投标人自2020年1月1日至投标截止日（以获得证书时间为准）实施的城市照明工程项目获得国家部门或者行业协会颁发的国家级质量奖项或评价，提供相关证书扫描件并加盖投标人公章(CA签章)的，得5分；投标人实施的城市照明工程项目获得省级部门或者行业协会颁发的省级质量奖项或评价，提供相关证书扫描件并加盖投标人公章(CA签章)的，得3分；投标人实施的城市照明工程项目获得市级部门或者行业协会颁发的市级质量奖项或评价，提供相关证书扫描件并加盖投标人公章(CA签章)的，得1分（不重复计分，满分5分）</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（3）投标人拟投入的LED路灯通过HJ2518-2012《环境标志产品技术要求-照明光源（国家环境保护标准）》认证，提供中国环境标志产品认证扫描件并加盖投标人公章(CA签章)，得2分</w:t>
            </w:r>
            <w:r>
              <w:rPr>
                <w:rFonts w:hint="eastAsia" w:ascii="宋体" w:hAnsi="宋体" w:cs="宋体"/>
                <w:bCs/>
                <w:sz w:val="21"/>
                <w:szCs w:val="21"/>
                <w:highlight w:val="none"/>
                <w:lang w:eastAsia="zh-CN"/>
              </w:rPr>
              <w:t>。</w:t>
            </w:r>
            <w:r>
              <w:rPr>
                <w:rFonts w:hint="eastAsia" w:ascii="宋体" w:hAnsi="宋体" w:eastAsia="宋体" w:cs="宋体"/>
                <w:bCs/>
                <w:sz w:val="21"/>
                <w:szCs w:val="21"/>
                <w:highlight w:val="none"/>
              </w:rPr>
              <w:t>（满分2分）</w:t>
            </w:r>
          </w:p>
          <w:p>
            <w:pPr>
              <w:keepNext w:val="0"/>
              <w:keepLines w:val="0"/>
              <w:pageBreakBefore w:val="0"/>
              <w:widowControl w:val="0"/>
              <w:kinsoku/>
              <w:wordWrap/>
              <w:overflowPunct/>
              <w:topLinePunct w:val="0"/>
              <w:autoSpaceDE/>
              <w:autoSpaceDN/>
              <w:bidi w:val="0"/>
              <w:snapToGrid w:val="0"/>
              <w:spacing w:line="360" w:lineRule="exact"/>
              <w:ind w:firstLine="420" w:firstLineChars="200"/>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（4）投标人同时具有有效的ISO 9001质量管理体系、 ISO 45001职业健康安全管理体系、ISO 14001环境管理体系认证、ISO/IEC 27001信息安全管理体系认证证书的得1分</w:t>
            </w:r>
            <w:r>
              <w:rPr>
                <w:rFonts w:hint="eastAsia" w:ascii="宋体" w:hAnsi="宋体" w:cs="宋体"/>
                <w:bCs/>
                <w:sz w:val="21"/>
                <w:szCs w:val="21"/>
                <w:highlight w:val="none"/>
                <w:lang w:eastAsia="zh-CN"/>
              </w:rPr>
              <w:t>。</w:t>
            </w:r>
            <w:r>
              <w:rPr>
                <w:rFonts w:hint="eastAsia" w:ascii="宋体" w:hAnsi="宋体" w:eastAsia="宋体" w:cs="宋体"/>
                <w:bCs/>
                <w:sz w:val="21"/>
                <w:szCs w:val="21"/>
                <w:highlight w:val="none"/>
              </w:rPr>
              <w:t>（满分1分）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425" w:type="dxa"/>
            <w:gridSpan w:val="3"/>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val="0"/>
              <w:kinsoku/>
              <w:wordWrap/>
              <w:overflowPunct/>
              <w:topLinePunct w:val="0"/>
              <w:autoSpaceDE/>
              <w:autoSpaceDN/>
              <w:bidi w:val="0"/>
              <w:adjustRightInd w:val="0"/>
              <w:snapToGrid w:val="0"/>
              <w:spacing w:beforeAutospacing="0" w:afterAutospacing="0" w:line="360" w:lineRule="exact"/>
              <w:jc w:val="both"/>
              <w:textAlignment w:val="auto"/>
              <w:rPr>
                <w:rFonts w:hint="eastAsia" w:ascii="宋体" w:hAnsi="宋体" w:eastAsia="宋体" w:cs="宋体"/>
                <w:bCs/>
                <w:kern w:val="2"/>
                <w:sz w:val="21"/>
                <w:szCs w:val="21"/>
                <w:highlight w:val="none"/>
              </w:rPr>
            </w:pPr>
            <w:r>
              <w:rPr>
                <w:rFonts w:hint="eastAsia" w:ascii="宋体" w:hAnsi="宋体" w:eastAsia="宋体" w:cs="宋体"/>
                <w:b/>
                <w:bCs/>
                <w:kern w:val="2"/>
                <w:sz w:val="21"/>
                <w:szCs w:val="21"/>
                <w:highlight w:val="none"/>
              </w:rPr>
              <w:t>总得分=1＋2＋3+4+5+6</w:t>
            </w:r>
            <w:r>
              <w:rPr>
                <w:rFonts w:hint="eastAsia" w:ascii="宋体" w:hAnsi="宋体" w:eastAsia="宋体" w:cs="宋体"/>
                <w:b/>
                <w:bCs/>
                <w:kern w:val="2"/>
                <w:sz w:val="21"/>
                <w:szCs w:val="21"/>
                <w:highlight w:val="none"/>
                <w:lang w:val="en-US" w:eastAsia="zh-CN"/>
              </w:rPr>
              <w:t>+7</w:t>
            </w:r>
            <w:r>
              <w:rPr>
                <w:rFonts w:hint="eastAsia" w:ascii="宋体" w:hAnsi="宋体" w:eastAsia="宋体" w:cs="宋体"/>
                <w:b/>
                <w:bCs/>
                <w:kern w:val="2"/>
                <w:sz w:val="21"/>
                <w:szCs w:val="21"/>
                <w:highlight w:val="none"/>
              </w:rPr>
              <w:t>。</w:t>
            </w:r>
          </w:p>
        </w:tc>
      </w:tr>
      <w:bookmarkEnd w:id="41"/>
    </w:tbl>
    <w:p>
      <w:pPr>
        <w:pStyle w:val="12"/>
        <w:keepNext w:val="0"/>
        <w:keepLines w:val="0"/>
        <w:pageBreakBefore w:val="0"/>
        <w:widowControl w:val="0"/>
        <w:tabs>
          <w:tab w:val="left" w:pos="4214"/>
        </w:tabs>
        <w:kinsoku/>
        <w:wordWrap/>
        <w:overflowPunct/>
        <w:topLinePunct w:val="0"/>
        <w:autoSpaceDE/>
        <w:autoSpaceDN/>
        <w:bidi w:val="0"/>
        <w:adjustRightInd/>
        <w:snapToGrid/>
        <w:spacing w:line="360" w:lineRule="exact"/>
        <w:ind w:firstLine="422" w:firstLineChars="200"/>
        <w:textAlignment w:val="auto"/>
        <w:rPr>
          <w:rFonts w:hint="eastAsia" w:hAnsi="宋体" w:cs="宋体"/>
          <w:b/>
          <w:color w:val="000000"/>
          <w:szCs w:val="21"/>
          <w:highlight w:val="none"/>
        </w:rPr>
      </w:pPr>
    </w:p>
    <w:p>
      <w:pPr>
        <w:pStyle w:val="12"/>
        <w:keepNext w:val="0"/>
        <w:keepLines w:val="0"/>
        <w:pageBreakBefore w:val="0"/>
        <w:widowControl w:val="0"/>
        <w:tabs>
          <w:tab w:val="left" w:pos="4214"/>
        </w:tabs>
        <w:kinsoku/>
        <w:wordWrap/>
        <w:overflowPunct/>
        <w:topLinePunct w:val="0"/>
        <w:autoSpaceDE/>
        <w:autoSpaceDN/>
        <w:bidi w:val="0"/>
        <w:adjustRightInd/>
        <w:snapToGrid/>
        <w:spacing w:line="360" w:lineRule="exact"/>
        <w:ind w:firstLine="422" w:firstLineChars="200"/>
        <w:textAlignment w:val="auto"/>
        <w:rPr>
          <w:rFonts w:hAnsi="宋体" w:cs="宋体"/>
          <w:b/>
          <w:color w:val="000000"/>
          <w:szCs w:val="21"/>
          <w:highlight w:val="none"/>
        </w:rPr>
      </w:pPr>
      <w:r>
        <w:rPr>
          <w:rFonts w:hint="eastAsia" w:hAnsi="宋体" w:cs="宋体"/>
          <w:b/>
          <w:color w:val="000000"/>
          <w:szCs w:val="21"/>
          <w:highlight w:val="none"/>
        </w:rPr>
        <w:t>三、推荐及确定中标候选供应商原则</w:t>
      </w:r>
    </w:p>
    <w:p>
      <w:pPr>
        <w:pStyle w:val="12"/>
        <w:keepNext w:val="0"/>
        <w:keepLines w:val="0"/>
        <w:pageBreakBefore w:val="0"/>
        <w:widowControl w:val="0"/>
        <w:tabs>
          <w:tab w:val="left" w:pos="4214"/>
        </w:tabs>
        <w:kinsoku/>
        <w:wordWrap/>
        <w:overflowPunct/>
        <w:topLinePunct w:val="0"/>
        <w:autoSpaceDE/>
        <w:autoSpaceDN/>
        <w:bidi w:val="0"/>
        <w:adjustRightInd/>
        <w:snapToGrid/>
        <w:spacing w:line="360" w:lineRule="exact"/>
        <w:ind w:firstLine="420" w:firstLineChars="200"/>
        <w:textAlignment w:val="auto"/>
        <w:rPr>
          <w:rFonts w:hint="eastAsia" w:hAnsi="宋体" w:cs="宋体"/>
          <w:color w:val="000000"/>
          <w:szCs w:val="21"/>
          <w:highlight w:val="none"/>
        </w:rPr>
      </w:pPr>
      <w:r>
        <w:rPr>
          <w:rFonts w:hint="eastAsia" w:hAnsi="宋体" w:cs="宋体"/>
          <w:color w:val="000000"/>
          <w:szCs w:val="21"/>
          <w:highlight w:val="none"/>
        </w:rPr>
        <w:t>（1）评标委员会根据综合得分由高到低排列次序，若得分相同时，按评标价由低到高顺序排列；得分相同且评标价也相同的由评标委员会按照抽签的方式决定排次次序。</w:t>
      </w:r>
    </w:p>
    <w:p>
      <w:pPr>
        <w:pStyle w:val="12"/>
        <w:keepNext w:val="0"/>
        <w:keepLines w:val="0"/>
        <w:pageBreakBefore w:val="0"/>
        <w:widowControl w:val="0"/>
        <w:tabs>
          <w:tab w:val="left" w:pos="4214"/>
        </w:tabs>
        <w:kinsoku/>
        <w:wordWrap/>
        <w:overflowPunct/>
        <w:topLinePunct w:val="0"/>
        <w:autoSpaceDE/>
        <w:autoSpaceDN/>
        <w:bidi w:val="0"/>
        <w:adjustRightInd/>
        <w:snapToGrid/>
        <w:spacing w:line="360" w:lineRule="exact"/>
        <w:ind w:firstLine="420" w:firstLineChars="200"/>
        <w:textAlignment w:val="auto"/>
        <w:rPr>
          <w:rFonts w:hint="eastAsia" w:hAnsi="宋体" w:cs="宋体"/>
          <w:color w:val="000000"/>
          <w:szCs w:val="21"/>
          <w:highlight w:val="none"/>
        </w:rPr>
      </w:pPr>
      <w:r>
        <w:rPr>
          <w:rFonts w:hint="eastAsia" w:hAnsi="宋体" w:cs="宋体"/>
          <w:color w:val="000000"/>
          <w:szCs w:val="21"/>
          <w:highlight w:val="none"/>
        </w:rPr>
        <w:t>（2）评标委员会可推荐前三名为中标候选人，采购人应当确定评标委员会推荐排名第一的中标候选人为中标人。</w:t>
      </w:r>
    </w:p>
    <w:p>
      <w:pPr>
        <w:pStyle w:val="12"/>
        <w:keepNext w:val="0"/>
        <w:keepLines w:val="0"/>
        <w:pageBreakBefore w:val="0"/>
        <w:widowControl w:val="0"/>
        <w:tabs>
          <w:tab w:val="left" w:pos="4214"/>
        </w:tabs>
        <w:kinsoku/>
        <w:wordWrap/>
        <w:overflowPunct/>
        <w:topLinePunct w:val="0"/>
        <w:autoSpaceDE/>
        <w:autoSpaceDN/>
        <w:bidi w:val="0"/>
        <w:adjustRightInd/>
        <w:snapToGrid/>
        <w:spacing w:line="360" w:lineRule="exact"/>
        <w:ind w:firstLine="420" w:firstLineChars="200"/>
        <w:textAlignment w:val="auto"/>
        <w:rPr>
          <w:rFonts w:hint="eastAsia" w:hAnsi="宋体" w:cs="宋体"/>
          <w:color w:val="000000"/>
          <w:szCs w:val="21"/>
          <w:highlight w:val="none"/>
        </w:rPr>
      </w:pPr>
      <w:r>
        <w:rPr>
          <w:rFonts w:hint="eastAsia" w:hAnsi="宋体" w:cs="宋体"/>
          <w:color w:val="000000"/>
          <w:szCs w:val="21"/>
          <w:highlight w:val="none"/>
        </w:rPr>
        <w:t>（3）排名第一的中标候选人放弃中标、因不可抗力提出不能履行合同，或者招标文件规定应当提交履约保证金而在规定的期限内未能提交的，或因失信行为被取消中标候选人资格的，采购人可以确定排名第二的中标候选人为中标人，并依此类推。</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jc w:val="left"/>
        <w:textAlignment w:val="auto"/>
        <w:rPr>
          <w:rFonts w:ascii="宋体" w:hAnsi="宋体" w:cs="宋体"/>
          <w:b/>
          <w:color w:val="000000"/>
          <w:szCs w:val="21"/>
          <w:highlight w:val="none"/>
        </w:rPr>
      </w:pPr>
      <w:r>
        <w:rPr>
          <w:rFonts w:hint="eastAsia" w:ascii="宋体" w:hAnsi="宋体" w:cs="宋体"/>
          <w:b/>
          <w:color w:val="000000"/>
          <w:szCs w:val="21"/>
          <w:highlight w:val="none"/>
        </w:rPr>
        <w:t>四、特别说明</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highlight w:val="none"/>
        </w:rPr>
      </w:pPr>
      <w:r>
        <w:rPr>
          <w:rFonts w:hint="eastAsia" w:ascii="宋体" w:hAnsi="宋体" w:cs="宋体"/>
          <w:b/>
          <w:bCs/>
          <w:color w:val="000000"/>
          <w:szCs w:val="21"/>
          <w:highlight w:val="none"/>
          <w:u w:val="double"/>
        </w:rPr>
        <w:t>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2"/>
        <w:adjustRightInd w:val="0"/>
        <w:spacing w:line="390" w:lineRule="exact"/>
        <w:contextualSpacing/>
        <w:rPr>
          <w:rFonts w:hint="eastAsia"/>
          <w:b/>
          <w:bCs/>
          <w:color w:val="000000"/>
          <w:highlight w:val="none"/>
        </w:rPr>
      </w:pPr>
    </w:p>
    <w:p>
      <w:pPr>
        <w:pStyle w:val="12"/>
        <w:adjustRightInd w:val="0"/>
        <w:spacing w:line="390" w:lineRule="exact"/>
        <w:contextualSpacing/>
        <w:rPr>
          <w:rFonts w:hAnsi="宋体" w:cs="宋体"/>
          <w:b/>
          <w:bCs/>
          <w:color w:val="000000"/>
          <w:highlight w:val="none"/>
        </w:rPr>
      </w:pPr>
      <w:r>
        <w:rPr>
          <w:rFonts w:hint="eastAsia"/>
          <w:b/>
          <w:bCs/>
          <w:color w:val="000000"/>
          <w:highlight w:val="none"/>
        </w:rPr>
        <w:t>附表</w:t>
      </w:r>
    </w:p>
    <w:p>
      <w:pPr>
        <w:widowControl/>
        <w:spacing w:before="156" w:beforeLines="50" w:after="156" w:afterLines="50" w:line="400" w:lineRule="exact"/>
        <w:jc w:val="center"/>
        <w:outlineLvl w:val="0"/>
        <w:rPr>
          <w:rFonts w:ascii="宋体" w:hAnsi="宋体" w:cs="宋体"/>
          <w:b/>
          <w:bCs/>
          <w:color w:val="000000"/>
          <w:kern w:val="0"/>
          <w:sz w:val="30"/>
          <w:szCs w:val="30"/>
          <w:highlight w:val="none"/>
        </w:rPr>
      </w:pPr>
      <w:bookmarkStart w:id="42" w:name="_Toc28361_WPSOffice_Level2"/>
      <w:bookmarkStart w:id="43" w:name="_Toc28816"/>
      <w:r>
        <w:rPr>
          <w:rFonts w:hint="eastAsia" w:ascii="宋体" w:hAnsi="宋体" w:cs="宋体"/>
          <w:b/>
          <w:bCs/>
          <w:color w:val="000000"/>
          <w:kern w:val="0"/>
          <w:sz w:val="30"/>
          <w:szCs w:val="30"/>
          <w:highlight w:val="none"/>
        </w:rPr>
        <w:t>统计上大中小微型企业划分标准</w:t>
      </w:r>
      <w:bookmarkEnd w:id="42"/>
      <w:bookmarkEnd w:id="43"/>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1"/>
        <w:gridCol w:w="1445"/>
        <w:gridCol w:w="748"/>
        <w:gridCol w:w="1188"/>
        <w:gridCol w:w="1796"/>
        <w:gridCol w:w="1505"/>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trPr>
        <w:tc>
          <w:tcPr>
            <w:tcW w:w="2231" w:type="dxa"/>
            <w:shd w:val="clear" w:color="auto" w:fill="8DB3E2"/>
            <w:noWrap w:val="0"/>
            <w:vAlign w:val="center"/>
          </w:tcPr>
          <w:p>
            <w:pPr>
              <w:widowControl/>
              <w:spacing w:line="240" w:lineRule="exact"/>
              <w:jc w:val="center"/>
              <w:rPr>
                <w:rFonts w:ascii="宋体" w:hAnsi="宋体" w:cs="宋体"/>
                <w:b/>
                <w:bCs/>
                <w:color w:val="000000"/>
                <w:kern w:val="0"/>
                <w:sz w:val="18"/>
                <w:szCs w:val="21"/>
                <w:highlight w:val="none"/>
              </w:rPr>
            </w:pPr>
            <w:r>
              <w:rPr>
                <w:rFonts w:hint="eastAsia" w:ascii="宋体" w:hAnsi="宋体" w:cs="宋体"/>
                <w:b/>
                <w:bCs/>
                <w:color w:val="000000"/>
                <w:kern w:val="0"/>
                <w:sz w:val="18"/>
                <w:szCs w:val="21"/>
                <w:highlight w:val="none"/>
              </w:rPr>
              <w:t>行业名称</w:t>
            </w:r>
          </w:p>
        </w:tc>
        <w:tc>
          <w:tcPr>
            <w:tcW w:w="1445" w:type="dxa"/>
            <w:shd w:val="clear" w:color="auto" w:fill="8DB3E2"/>
            <w:noWrap w:val="0"/>
            <w:vAlign w:val="center"/>
          </w:tcPr>
          <w:p>
            <w:pPr>
              <w:widowControl/>
              <w:jc w:val="center"/>
              <w:rPr>
                <w:rFonts w:ascii="宋体" w:hAnsi="宋体" w:cs="宋体"/>
                <w:b/>
                <w:bCs/>
                <w:color w:val="000000"/>
                <w:kern w:val="0"/>
                <w:sz w:val="18"/>
                <w:szCs w:val="18"/>
                <w:highlight w:val="none"/>
              </w:rPr>
            </w:pPr>
            <w:r>
              <w:rPr>
                <w:rFonts w:hint="eastAsia" w:ascii="宋体" w:hAnsi="宋体" w:cs="宋体"/>
                <w:b/>
                <w:bCs/>
                <w:color w:val="000000"/>
                <w:kern w:val="0"/>
                <w:sz w:val="18"/>
                <w:szCs w:val="18"/>
                <w:highlight w:val="none"/>
              </w:rPr>
              <w:t>指标名称</w:t>
            </w:r>
          </w:p>
        </w:tc>
        <w:tc>
          <w:tcPr>
            <w:tcW w:w="748" w:type="dxa"/>
            <w:shd w:val="clear" w:color="auto" w:fill="8DB3E2"/>
            <w:noWrap w:val="0"/>
            <w:vAlign w:val="center"/>
          </w:tcPr>
          <w:p>
            <w:pPr>
              <w:widowControl/>
              <w:jc w:val="center"/>
              <w:rPr>
                <w:rFonts w:ascii="宋体" w:hAnsi="宋体" w:cs="宋体"/>
                <w:b/>
                <w:bCs/>
                <w:color w:val="000000"/>
                <w:kern w:val="0"/>
                <w:sz w:val="18"/>
                <w:szCs w:val="18"/>
                <w:highlight w:val="none"/>
              </w:rPr>
            </w:pPr>
            <w:r>
              <w:rPr>
                <w:rFonts w:hint="eastAsia" w:ascii="宋体" w:hAnsi="宋体" w:cs="宋体"/>
                <w:b/>
                <w:bCs/>
                <w:color w:val="000000"/>
                <w:kern w:val="0"/>
                <w:sz w:val="18"/>
                <w:szCs w:val="18"/>
                <w:highlight w:val="none"/>
              </w:rPr>
              <w:t>计量</w:t>
            </w:r>
            <w:r>
              <w:rPr>
                <w:rFonts w:hint="eastAsia" w:ascii="宋体" w:hAnsi="宋体" w:cs="宋体"/>
                <w:b/>
                <w:bCs/>
                <w:color w:val="000000"/>
                <w:kern w:val="0"/>
                <w:sz w:val="18"/>
                <w:szCs w:val="18"/>
                <w:highlight w:val="none"/>
              </w:rPr>
              <w:br w:type="textWrapping"/>
            </w:r>
            <w:r>
              <w:rPr>
                <w:rFonts w:hint="eastAsia" w:ascii="宋体" w:hAnsi="宋体" w:cs="宋体"/>
                <w:b/>
                <w:bCs/>
                <w:color w:val="000000"/>
                <w:kern w:val="0"/>
                <w:sz w:val="18"/>
                <w:szCs w:val="18"/>
                <w:highlight w:val="none"/>
              </w:rPr>
              <w:t>单位</w:t>
            </w:r>
          </w:p>
        </w:tc>
        <w:tc>
          <w:tcPr>
            <w:tcW w:w="1188" w:type="dxa"/>
            <w:shd w:val="clear" w:color="auto" w:fill="8DB3E2"/>
            <w:noWrap w:val="0"/>
            <w:vAlign w:val="center"/>
          </w:tcPr>
          <w:p>
            <w:pPr>
              <w:widowControl/>
              <w:jc w:val="center"/>
              <w:rPr>
                <w:rFonts w:ascii="宋体" w:hAnsi="宋体" w:cs="宋体"/>
                <w:b/>
                <w:bCs/>
                <w:color w:val="000000"/>
                <w:kern w:val="0"/>
                <w:sz w:val="18"/>
                <w:szCs w:val="18"/>
                <w:highlight w:val="none"/>
              </w:rPr>
            </w:pPr>
            <w:r>
              <w:rPr>
                <w:rFonts w:hint="eastAsia" w:ascii="宋体" w:hAnsi="宋体" w:cs="宋体"/>
                <w:b/>
                <w:bCs/>
                <w:color w:val="000000"/>
                <w:kern w:val="0"/>
                <w:sz w:val="18"/>
                <w:szCs w:val="18"/>
                <w:highlight w:val="none"/>
              </w:rPr>
              <w:t>大型</w:t>
            </w:r>
          </w:p>
        </w:tc>
        <w:tc>
          <w:tcPr>
            <w:tcW w:w="1796" w:type="dxa"/>
            <w:shd w:val="clear" w:color="auto" w:fill="8DB3E2"/>
            <w:noWrap w:val="0"/>
            <w:vAlign w:val="center"/>
          </w:tcPr>
          <w:p>
            <w:pPr>
              <w:widowControl/>
              <w:jc w:val="center"/>
              <w:rPr>
                <w:rFonts w:ascii="宋体" w:hAnsi="宋体" w:cs="宋体"/>
                <w:b/>
                <w:bCs/>
                <w:color w:val="000000"/>
                <w:kern w:val="0"/>
                <w:sz w:val="18"/>
                <w:szCs w:val="18"/>
                <w:highlight w:val="none"/>
              </w:rPr>
            </w:pPr>
            <w:r>
              <w:rPr>
                <w:rFonts w:hint="eastAsia" w:ascii="宋体" w:hAnsi="宋体" w:cs="宋体"/>
                <w:b/>
                <w:bCs/>
                <w:color w:val="000000"/>
                <w:kern w:val="0"/>
                <w:sz w:val="18"/>
                <w:szCs w:val="18"/>
                <w:highlight w:val="none"/>
              </w:rPr>
              <w:t>中型</w:t>
            </w:r>
          </w:p>
        </w:tc>
        <w:tc>
          <w:tcPr>
            <w:tcW w:w="1505" w:type="dxa"/>
            <w:shd w:val="clear" w:color="auto" w:fill="8DB3E2"/>
            <w:noWrap w:val="0"/>
            <w:vAlign w:val="center"/>
          </w:tcPr>
          <w:p>
            <w:pPr>
              <w:widowControl/>
              <w:jc w:val="center"/>
              <w:rPr>
                <w:rFonts w:ascii="宋体" w:hAnsi="宋体" w:cs="宋体"/>
                <w:b/>
                <w:bCs/>
                <w:color w:val="000000"/>
                <w:kern w:val="0"/>
                <w:sz w:val="18"/>
                <w:szCs w:val="18"/>
                <w:highlight w:val="none"/>
              </w:rPr>
            </w:pPr>
            <w:r>
              <w:rPr>
                <w:rFonts w:hint="eastAsia" w:ascii="宋体" w:hAnsi="宋体" w:cs="宋体"/>
                <w:b/>
                <w:bCs/>
                <w:color w:val="000000"/>
                <w:kern w:val="0"/>
                <w:sz w:val="18"/>
                <w:szCs w:val="18"/>
                <w:highlight w:val="none"/>
              </w:rPr>
              <w:t>小型</w:t>
            </w:r>
          </w:p>
        </w:tc>
        <w:tc>
          <w:tcPr>
            <w:tcW w:w="1047" w:type="dxa"/>
            <w:shd w:val="clear" w:color="auto" w:fill="8DB3E2"/>
            <w:noWrap w:val="0"/>
            <w:vAlign w:val="center"/>
          </w:tcPr>
          <w:p>
            <w:pPr>
              <w:widowControl/>
              <w:jc w:val="center"/>
              <w:rPr>
                <w:rFonts w:ascii="宋体" w:hAnsi="宋体" w:cs="宋体"/>
                <w:b/>
                <w:bCs/>
                <w:color w:val="000000"/>
                <w:kern w:val="0"/>
                <w:sz w:val="18"/>
                <w:szCs w:val="18"/>
                <w:highlight w:val="none"/>
              </w:rPr>
            </w:pPr>
            <w:r>
              <w:rPr>
                <w:rFonts w:hint="eastAsia" w:ascii="宋体" w:hAnsi="宋体" w:cs="宋体"/>
                <w:b/>
                <w:bCs/>
                <w:color w:val="000000"/>
                <w:kern w:val="0"/>
                <w:sz w:val="18"/>
                <w:szCs w:val="18"/>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noWrap w:val="0"/>
            <w:vAlign w:val="center"/>
          </w:tcPr>
          <w:p>
            <w:pPr>
              <w:widowControl/>
              <w:spacing w:line="240" w:lineRule="exact"/>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农、林、牧、渔业</w:t>
            </w:r>
          </w:p>
        </w:tc>
        <w:tc>
          <w:tcPr>
            <w:tcW w:w="144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Y≥20000</w:t>
            </w:r>
          </w:p>
        </w:tc>
        <w:tc>
          <w:tcPr>
            <w:tcW w:w="1796"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500≤Y＜20000</w:t>
            </w:r>
          </w:p>
        </w:tc>
        <w:tc>
          <w:tcPr>
            <w:tcW w:w="150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50≤Y＜500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noWrap w:val="0"/>
            <w:vAlign w:val="center"/>
          </w:tcPr>
          <w:p>
            <w:pPr>
              <w:widowControl/>
              <w:spacing w:line="240" w:lineRule="exact"/>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工业 *</w:t>
            </w:r>
          </w:p>
        </w:tc>
        <w:tc>
          <w:tcPr>
            <w:tcW w:w="144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从业人员(X)</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人</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X≥1000</w:t>
            </w:r>
          </w:p>
        </w:tc>
        <w:tc>
          <w:tcPr>
            <w:tcW w:w="1796"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300≤X＜1000</w:t>
            </w:r>
          </w:p>
        </w:tc>
        <w:tc>
          <w:tcPr>
            <w:tcW w:w="150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20≤X＜300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noWrap w:val="0"/>
            <w:vAlign w:val="center"/>
          </w:tcPr>
          <w:p>
            <w:pPr>
              <w:widowControl/>
              <w:jc w:val="left"/>
              <w:rPr>
                <w:rFonts w:ascii="宋体" w:hAnsi="宋体" w:cs="宋体"/>
                <w:color w:val="000000"/>
                <w:kern w:val="0"/>
                <w:sz w:val="18"/>
                <w:szCs w:val="18"/>
                <w:highlight w:val="none"/>
              </w:rPr>
            </w:pPr>
          </w:p>
        </w:tc>
        <w:tc>
          <w:tcPr>
            <w:tcW w:w="1445" w:type="dxa"/>
            <w:noWrap w:val="0"/>
            <w:vAlign w:val="center"/>
          </w:tcPr>
          <w:p>
            <w:pPr>
              <w:widowControl/>
              <w:spacing w:line="240" w:lineRule="exact"/>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Y≥40000</w:t>
            </w:r>
          </w:p>
        </w:tc>
        <w:tc>
          <w:tcPr>
            <w:tcW w:w="1796"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2000≤Y＜40000</w:t>
            </w:r>
          </w:p>
        </w:tc>
        <w:tc>
          <w:tcPr>
            <w:tcW w:w="150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300≤Y＜2000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noWrap w:val="0"/>
            <w:vAlign w:val="center"/>
          </w:tcPr>
          <w:p>
            <w:pPr>
              <w:widowControl/>
              <w:spacing w:line="240" w:lineRule="exact"/>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建筑业</w:t>
            </w:r>
          </w:p>
        </w:tc>
        <w:tc>
          <w:tcPr>
            <w:tcW w:w="144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Y≥80000</w:t>
            </w:r>
          </w:p>
        </w:tc>
        <w:tc>
          <w:tcPr>
            <w:tcW w:w="1796"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6000≤Y＜80000</w:t>
            </w:r>
          </w:p>
        </w:tc>
        <w:tc>
          <w:tcPr>
            <w:tcW w:w="150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300≤Y＜6000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noWrap w:val="0"/>
            <w:vAlign w:val="center"/>
          </w:tcPr>
          <w:p>
            <w:pPr>
              <w:widowControl/>
              <w:jc w:val="left"/>
              <w:rPr>
                <w:rFonts w:ascii="宋体" w:hAnsi="宋体" w:cs="宋体"/>
                <w:color w:val="000000"/>
                <w:kern w:val="0"/>
                <w:sz w:val="18"/>
                <w:szCs w:val="18"/>
                <w:highlight w:val="none"/>
              </w:rPr>
            </w:pPr>
          </w:p>
        </w:tc>
        <w:tc>
          <w:tcPr>
            <w:tcW w:w="1445" w:type="dxa"/>
            <w:noWrap w:val="0"/>
            <w:vAlign w:val="center"/>
          </w:tcPr>
          <w:p>
            <w:pPr>
              <w:widowControl/>
              <w:spacing w:line="240" w:lineRule="exact"/>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资产总额(Z)</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Z≥80000</w:t>
            </w:r>
          </w:p>
        </w:tc>
        <w:tc>
          <w:tcPr>
            <w:tcW w:w="1796"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5000≤Z＜80000</w:t>
            </w:r>
          </w:p>
        </w:tc>
        <w:tc>
          <w:tcPr>
            <w:tcW w:w="150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300≤Z＜5000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noWrap w:val="0"/>
            <w:vAlign w:val="center"/>
          </w:tcPr>
          <w:p>
            <w:pPr>
              <w:widowControl/>
              <w:spacing w:line="240" w:lineRule="exact"/>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批发业</w:t>
            </w:r>
          </w:p>
        </w:tc>
        <w:tc>
          <w:tcPr>
            <w:tcW w:w="144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从业人员(X)</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人</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X≥200</w:t>
            </w:r>
          </w:p>
        </w:tc>
        <w:tc>
          <w:tcPr>
            <w:tcW w:w="1796"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20≤X＜200</w:t>
            </w:r>
          </w:p>
        </w:tc>
        <w:tc>
          <w:tcPr>
            <w:tcW w:w="150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5≤X＜20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noWrap w:val="0"/>
            <w:vAlign w:val="center"/>
          </w:tcPr>
          <w:p>
            <w:pPr>
              <w:widowControl/>
              <w:jc w:val="left"/>
              <w:rPr>
                <w:rFonts w:ascii="宋体" w:hAnsi="宋体" w:cs="宋体"/>
                <w:color w:val="000000"/>
                <w:kern w:val="0"/>
                <w:sz w:val="18"/>
                <w:szCs w:val="18"/>
                <w:highlight w:val="none"/>
              </w:rPr>
            </w:pPr>
          </w:p>
        </w:tc>
        <w:tc>
          <w:tcPr>
            <w:tcW w:w="1445" w:type="dxa"/>
            <w:noWrap w:val="0"/>
            <w:vAlign w:val="center"/>
          </w:tcPr>
          <w:p>
            <w:pPr>
              <w:widowControl/>
              <w:spacing w:line="240" w:lineRule="exact"/>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Y≥40000</w:t>
            </w:r>
          </w:p>
        </w:tc>
        <w:tc>
          <w:tcPr>
            <w:tcW w:w="1796"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5000≤Y＜40000</w:t>
            </w:r>
          </w:p>
        </w:tc>
        <w:tc>
          <w:tcPr>
            <w:tcW w:w="1505" w:type="dxa"/>
            <w:noWrap w:val="0"/>
            <w:vAlign w:val="center"/>
          </w:tcPr>
          <w:p>
            <w:pPr>
              <w:widowControl/>
              <w:ind w:left="-1" w:leftChars="-1" w:hanging="1"/>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1000≤Y＜5000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noWrap w:val="0"/>
            <w:vAlign w:val="center"/>
          </w:tcPr>
          <w:p>
            <w:pPr>
              <w:widowControl/>
              <w:spacing w:line="240" w:lineRule="exact"/>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零售业</w:t>
            </w:r>
          </w:p>
        </w:tc>
        <w:tc>
          <w:tcPr>
            <w:tcW w:w="144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从业人员(X)</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人</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X≥300</w:t>
            </w:r>
          </w:p>
        </w:tc>
        <w:tc>
          <w:tcPr>
            <w:tcW w:w="1796"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50≤X＜300</w:t>
            </w:r>
          </w:p>
        </w:tc>
        <w:tc>
          <w:tcPr>
            <w:tcW w:w="1505" w:type="dxa"/>
            <w:noWrap w:val="0"/>
            <w:vAlign w:val="center"/>
          </w:tcPr>
          <w:p>
            <w:pPr>
              <w:widowControl/>
              <w:ind w:left="-1" w:leftChars="-1" w:hanging="1"/>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10≤X＜50 </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noWrap w:val="0"/>
            <w:vAlign w:val="center"/>
          </w:tcPr>
          <w:p>
            <w:pPr>
              <w:widowControl/>
              <w:jc w:val="left"/>
              <w:rPr>
                <w:rFonts w:ascii="宋体" w:hAnsi="宋体" w:cs="宋体"/>
                <w:color w:val="000000"/>
                <w:kern w:val="0"/>
                <w:sz w:val="18"/>
                <w:szCs w:val="18"/>
                <w:highlight w:val="none"/>
              </w:rPr>
            </w:pPr>
          </w:p>
        </w:tc>
        <w:tc>
          <w:tcPr>
            <w:tcW w:w="1445" w:type="dxa"/>
            <w:noWrap w:val="0"/>
            <w:vAlign w:val="center"/>
          </w:tcPr>
          <w:p>
            <w:pPr>
              <w:widowControl/>
              <w:spacing w:line="240" w:lineRule="exact"/>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Y≥20000</w:t>
            </w:r>
          </w:p>
        </w:tc>
        <w:tc>
          <w:tcPr>
            <w:tcW w:w="1796"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500≤Y＜20000</w:t>
            </w:r>
          </w:p>
        </w:tc>
        <w:tc>
          <w:tcPr>
            <w:tcW w:w="1505" w:type="dxa"/>
            <w:noWrap w:val="0"/>
            <w:vAlign w:val="center"/>
          </w:tcPr>
          <w:p>
            <w:pPr>
              <w:widowControl/>
              <w:ind w:left="-1" w:leftChars="-1" w:hanging="1"/>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100≤Y＜500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noWrap w:val="0"/>
            <w:vAlign w:val="center"/>
          </w:tcPr>
          <w:p>
            <w:pPr>
              <w:widowControl/>
              <w:spacing w:line="240" w:lineRule="exact"/>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交通运输业 *</w:t>
            </w:r>
          </w:p>
        </w:tc>
        <w:tc>
          <w:tcPr>
            <w:tcW w:w="144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从业人员(X)</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人</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X≥1000</w:t>
            </w:r>
          </w:p>
        </w:tc>
        <w:tc>
          <w:tcPr>
            <w:tcW w:w="1796"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300≤X＜1000</w:t>
            </w:r>
          </w:p>
        </w:tc>
        <w:tc>
          <w:tcPr>
            <w:tcW w:w="150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20≤X＜300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noWrap w:val="0"/>
            <w:vAlign w:val="center"/>
          </w:tcPr>
          <w:p>
            <w:pPr>
              <w:widowControl/>
              <w:jc w:val="left"/>
              <w:rPr>
                <w:rFonts w:ascii="宋体" w:hAnsi="宋体" w:cs="宋体"/>
                <w:color w:val="000000"/>
                <w:kern w:val="0"/>
                <w:sz w:val="18"/>
                <w:szCs w:val="18"/>
                <w:highlight w:val="none"/>
              </w:rPr>
            </w:pPr>
          </w:p>
        </w:tc>
        <w:tc>
          <w:tcPr>
            <w:tcW w:w="1445" w:type="dxa"/>
            <w:noWrap w:val="0"/>
            <w:vAlign w:val="center"/>
          </w:tcPr>
          <w:p>
            <w:pPr>
              <w:widowControl/>
              <w:spacing w:line="240" w:lineRule="exact"/>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Y≥30000</w:t>
            </w:r>
          </w:p>
        </w:tc>
        <w:tc>
          <w:tcPr>
            <w:tcW w:w="1796"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3000≤Y＜30000</w:t>
            </w:r>
          </w:p>
        </w:tc>
        <w:tc>
          <w:tcPr>
            <w:tcW w:w="150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200≤Y＜3000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noWrap w:val="0"/>
            <w:vAlign w:val="center"/>
          </w:tcPr>
          <w:p>
            <w:pPr>
              <w:widowControl/>
              <w:spacing w:line="240" w:lineRule="exact"/>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仓储业*</w:t>
            </w:r>
          </w:p>
        </w:tc>
        <w:tc>
          <w:tcPr>
            <w:tcW w:w="144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从业人员(X)</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人</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X≥200</w:t>
            </w:r>
          </w:p>
        </w:tc>
        <w:tc>
          <w:tcPr>
            <w:tcW w:w="1796" w:type="dxa"/>
            <w:noWrap w:val="0"/>
            <w:vAlign w:val="center"/>
          </w:tcPr>
          <w:p>
            <w:pPr>
              <w:widowControl/>
              <w:ind w:left="1" w:leftChars="-51" w:hanging="108" w:hangingChars="60"/>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100≤X＜200</w:t>
            </w:r>
          </w:p>
        </w:tc>
        <w:tc>
          <w:tcPr>
            <w:tcW w:w="150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20≤X＜100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noWrap w:val="0"/>
            <w:vAlign w:val="center"/>
          </w:tcPr>
          <w:p>
            <w:pPr>
              <w:widowControl/>
              <w:jc w:val="left"/>
              <w:rPr>
                <w:rFonts w:ascii="宋体" w:hAnsi="宋体" w:cs="宋体"/>
                <w:color w:val="000000"/>
                <w:kern w:val="0"/>
                <w:sz w:val="18"/>
                <w:szCs w:val="18"/>
                <w:highlight w:val="none"/>
              </w:rPr>
            </w:pPr>
          </w:p>
        </w:tc>
        <w:tc>
          <w:tcPr>
            <w:tcW w:w="1445" w:type="dxa"/>
            <w:noWrap w:val="0"/>
            <w:vAlign w:val="center"/>
          </w:tcPr>
          <w:p>
            <w:pPr>
              <w:widowControl/>
              <w:spacing w:line="240" w:lineRule="exact"/>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Y≥30000</w:t>
            </w:r>
          </w:p>
        </w:tc>
        <w:tc>
          <w:tcPr>
            <w:tcW w:w="1796"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1000≤Y＜30000</w:t>
            </w:r>
          </w:p>
        </w:tc>
        <w:tc>
          <w:tcPr>
            <w:tcW w:w="150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100≤Y＜1000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noWrap w:val="0"/>
            <w:vAlign w:val="center"/>
          </w:tcPr>
          <w:p>
            <w:pPr>
              <w:widowControl/>
              <w:spacing w:line="240" w:lineRule="exact"/>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邮政业</w:t>
            </w:r>
          </w:p>
        </w:tc>
        <w:tc>
          <w:tcPr>
            <w:tcW w:w="144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从业人员(X)</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人</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X≥1000</w:t>
            </w:r>
          </w:p>
        </w:tc>
        <w:tc>
          <w:tcPr>
            <w:tcW w:w="1796"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300≤X＜1000</w:t>
            </w:r>
          </w:p>
        </w:tc>
        <w:tc>
          <w:tcPr>
            <w:tcW w:w="150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20≤X＜300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noWrap w:val="0"/>
            <w:vAlign w:val="center"/>
          </w:tcPr>
          <w:p>
            <w:pPr>
              <w:widowControl/>
              <w:jc w:val="left"/>
              <w:rPr>
                <w:rFonts w:ascii="宋体" w:hAnsi="宋体" w:cs="宋体"/>
                <w:color w:val="000000"/>
                <w:kern w:val="0"/>
                <w:sz w:val="18"/>
                <w:szCs w:val="18"/>
                <w:highlight w:val="none"/>
              </w:rPr>
            </w:pPr>
          </w:p>
        </w:tc>
        <w:tc>
          <w:tcPr>
            <w:tcW w:w="1445" w:type="dxa"/>
            <w:noWrap w:val="0"/>
            <w:vAlign w:val="center"/>
          </w:tcPr>
          <w:p>
            <w:pPr>
              <w:widowControl/>
              <w:spacing w:line="240" w:lineRule="exact"/>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Y≥30000</w:t>
            </w:r>
          </w:p>
        </w:tc>
        <w:tc>
          <w:tcPr>
            <w:tcW w:w="1796"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2000≤Y＜30000</w:t>
            </w:r>
          </w:p>
        </w:tc>
        <w:tc>
          <w:tcPr>
            <w:tcW w:w="150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100≤Y＜2000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noWrap w:val="0"/>
            <w:vAlign w:val="center"/>
          </w:tcPr>
          <w:p>
            <w:pPr>
              <w:widowControl/>
              <w:spacing w:line="240" w:lineRule="exact"/>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住宿业</w:t>
            </w:r>
          </w:p>
        </w:tc>
        <w:tc>
          <w:tcPr>
            <w:tcW w:w="144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从业人员(X)</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人</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X≥300</w:t>
            </w:r>
          </w:p>
        </w:tc>
        <w:tc>
          <w:tcPr>
            <w:tcW w:w="1796" w:type="dxa"/>
            <w:noWrap w:val="0"/>
            <w:vAlign w:val="center"/>
          </w:tcPr>
          <w:p>
            <w:pPr>
              <w:widowControl/>
              <w:ind w:left="1" w:leftChars="-51" w:hanging="108" w:hangingChars="60"/>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100≤X＜300</w:t>
            </w:r>
          </w:p>
        </w:tc>
        <w:tc>
          <w:tcPr>
            <w:tcW w:w="150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10≤X＜100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noWrap w:val="0"/>
            <w:vAlign w:val="center"/>
          </w:tcPr>
          <w:p>
            <w:pPr>
              <w:widowControl/>
              <w:jc w:val="left"/>
              <w:rPr>
                <w:rFonts w:ascii="宋体" w:hAnsi="宋体" w:cs="宋体"/>
                <w:color w:val="000000"/>
                <w:kern w:val="0"/>
                <w:sz w:val="18"/>
                <w:szCs w:val="18"/>
                <w:highlight w:val="none"/>
              </w:rPr>
            </w:pPr>
          </w:p>
        </w:tc>
        <w:tc>
          <w:tcPr>
            <w:tcW w:w="1445" w:type="dxa"/>
            <w:noWrap w:val="0"/>
            <w:vAlign w:val="center"/>
          </w:tcPr>
          <w:p>
            <w:pPr>
              <w:widowControl/>
              <w:spacing w:line="240" w:lineRule="exact"/>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Y≥10000</w:t>
            </w:r>
          </w:p>
        </w:tc>
        <w:tc>
          <w:tcPr>
            <w:tcW w:w="1796"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2000≤Y＜10000</w:t>
            </w:r>
          </w:p>
        </w:tc>
        <w:tc>
          <w:tcPr>
            <w:tcW w:w="150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100≤Y＜2000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noWrap w:val="0"/>
            <w:vAlign w:val="center"/>
          </w:tcPr>
          <w:p>
            <w:pPr>
              <w:widowControl/>
              <w:spacing w:line="240" w:lineRule="exact"/>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餐饮业</w:t>
            </w:r>
          </w:p>
        </w:tc>
        <w:tc>
          <w:tcPr>
            <w:tcW w:w="144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从业人员(X)</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人</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X≥300</w:t>
            </w:r>
          </w:p>
        </w:tc>
        <w:tc>
          <w:tcPr>
            <w:tcW w:w="1796" w:type="dxa"/>
            <w:noWrap w:val="0"/>
            <w:vAlign w:val="center"/>
          </w:tcPr>
          <w:p>
            <w:pPr>
              <w:widowControl/>
              <w:ind w:left="1" w:leftChars="-51" w:hanging="108" w:hangingChars="60"/>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100≤X＜300 </w:t>
            </w:r>
          </w:p>
        </w:tc>
        <w:tc>
          <w:tcPr>
            <w:tcW w:w="150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10≤X＜100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noWrap w:val="0"/>
            <w:vAlign w:val="center"/>
          </w:tcPr>
          <w:p>
            <w:pPr>
              <w:widowControl/>
              <w:jc w:val="left"/>
              <w:rPr>
                <w:rFonts w:ascii="宋体" w:hAnsi="宋体" w:cs="宋体"/>
                <w:color w:val="000000"/>
                <w:kern w:val="0"/>
                <w:sz w:val="18"/>
                <w:szCs w:val="18"/>
                <w:highlight w:val="none"/>
              </w:rPr>
            </w:pPr>
          </w:p>
        </w:tc>
        <w:tc>
          <w:tcPr>
            <w:tcW w:w="1445" w:type="dxa"/>
            <w:noWrap w:val="0"/>
            <w:vAlign w:val="center"/>
          </w:tcPr>
          <w:p>
            <w:pPr>
              <w:widowControl/>
              <w:spacing w:line="240" w:lineRule="exact"/>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Y≥10000</w:t>
            </w:r>
          </w:p>
        </w:tc>
        <w:tc>
          <w:tcPr>
            <w:tcW w:w="1796"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2000≤Y＜10000</w:t>
            </w:r>
          </w:p>
        </w:tc>
        <w:tc>
          <w:tcPr>
            <w:tcW w:w="150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100≤Y＜2000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restart"/>
            <w:noWrap w:val="0"/>
            <w:vAlign w:val="center"/>
          </w:tcPr>
          <w:p>
            <w:pPr>
              <w:widowControl/>
              <w:spacing w:line="240" w:lineRule="exact"/>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信息传输业 *</w:t>
            </w:r>
          </w:p>
        </w:tc>
        <w:tc>
          <w:tcPr>
            <w:tcW w:w="144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从业人员(X)</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人</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X≥2000</w:t>
            </w:r>
          </w:p>
        </w:tc>
        <w:tc>
          <w:tcPr>
            <w:tcW w:w="1796"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100≤X＜2000</w:t>
            </w:r>
          </w:p>
        </w:tc>
        <w:tc>
          <w:tcPr>
            <w:tcW w:w="150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10≤X＜100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vMerge w:val="continue"/>
            <w:noWrap w:val="0"/>
            <w:vAlign w:val="center"/>
          </w:tcPr>
          <w:p>
            <w:pPr>
              <w:widowControl/>
              <w:jc w:val="left"/>
              <w:rPr>
                <w:rFonts w:ascii="宋体" w:hAnsi="宋体" w:cs="宋体"/>
                <w:color w:val="000000"/>
                <w:kern w:val="0"/>
                <w:sz w:val="18"/>
                <w:szCs w:val="18"/>
                <w:highlight w:val="none"/>
              </w:rPr>
            </w:pPr>
          </w:p>
        </w:tc>
        <w:tc>
          <w:tcPr>
            <w:tcW w:w="1445" w:type="dxa"/>
            <w:noWrap w:val="0"/>
            <w:vAlign w:val="center"/>
          </w:tcPr>
          <w:p>
            <w:pPr>
              <w:widowControl/>
              <w:spacing w:line="240" w:lineRule="exact"/>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Y≥100000</w:t>
            </w:r>
          </w:p>
        </w:tc>
        <w:tc>
          <w:tcPr>
            <w:tcW w:w="1796"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1000≤Y＜100000</w:t>
            </w:r>
          </w:p>
        </w:tc>
        <w:tc>
          <w:tcPr>
            <w:tcW w:w="150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100≤Y＜1000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restart"/>
            <w:noWrap w:val="0"/>
            <w:vAlign w:val="center"/>
          </w:tcPr>
          <w:p>
            <w:pPr>
              <w:widowControl/>
              <w:spacing w:line="240" w:lineRule="exact"/>
              <w:jc w:val="left"/>
              <w:rPr>
                <w:rFonts w:ascii="宋体" w:hAnsi="宋体" w:cs="宋体"/>
                <w:color w:val="000000"/>
                <w:spacing w:val="-12"/>
                <w:kern w:val="0"/>
                <w:sz w:val="18"/>
                <w:szCs w:val="18"/>
                <w:highlight w:val="none"/>
              </w:rPr>
            </w:pPr>
            <w:r>
              <w:rPr>
                <w:rFonts w:hint="eastAsia" w:ascii="宋体" w:hAnsi="宋体" w:cs="宋体"/>
                <w:color w:val="000000"/>
                <w:spacing w:val="-12"/>
                <w:kern w:val="0"/>
                <w:sz w:val="18"/>
                <w:szCs w:val="18"/>
                <w:highlight w:val="none"/>
              </w:rPr>
              <w:t>软件和信息技术服</w:t>
            </w:r>
            <w:r>
              <w:rPr>
                <w:rFonts w:hint="eastAsia" w:ascii="宋体" w:hAnsi="宋体" w:cs="宋体"/>
                <w:color w:val="000000"/>
                <w:kern w:val="0"/>
                <w:sz w:val="18"/>
                <w:szCs w:val="18"/>
                <w:highlight w:val="none"/>
              </w:rPr>
              <w:t>务业</w:t>
            </w:r>
          </w:p>
        </w:tc>
        <w:tc>
          <w:tcPr>
            <w:tcW w:w="144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从业人员(X)</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人</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X≥300</w:t>
            </w:r>
          </w:p>
        </w:tc>
        <w:tc>
          <w:tcPr>
            <w:tcW w:w="1796" w:type="dxa"/>
            <w:noWrap w:val="0"/>
            <w:vAlign w:val="center"/>
          </w:tcPr>
          <w:p>
            <w:pPr>
              <w:widowControl/>
              <w:ind w:left="1" w:leftChars="-51" w:hanging="108" w:hangingChars="60"/>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100≤X＜300 </w:t>
            </w:r>
          </w:p>
        </w:tc>
        <w:tc>
          <w:tcPr>
            <w:tcW w:w="150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10≤X＜100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continue"/>
            <w:noWrap w:val="0"/>
            <w:vAlign w:val="center"/>
          </w:tcPr>
          <w:p>
            <w:pPr>
              <w:widowControl/>
              <w:jc w:val="left"/>
              <w:rPr>
                <w:rFonts w:ascii="宋体" w:hAnsi="宋体" w:cs="宋体"/>
                <w:color w:val="000000"/>
                <w:spacing w:val="-12"/>
                <w:kern w:val="0"/>
                <w:sz w:val="18"/>
                <w:szCs w:val="18"/>
                <w:highlight w:val="none"/>
              </w:rPr>
            </w:pPr>
          </w:p>
        </w:tc>
        <w:tc>
          <w:tcPr>
            <w:tcW w:w="144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Y≥10000</w:t>
            </w:r>
          </w:p>
        </w:tc>
        <w:tc>
          <w:tcPr>
            <w:tcW w:w="1796"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1000≤Y＜10000</w:t>
            </w:r>
          </w:p>
        </w:tc>
        <w:tc>
          <w:tcPr>
            <w:tcW w:w="150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50≤Y＜1000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restart"/>
            <w:noWrap w:val="0"/>
            <w:vAlign w:val="center"/>
          </w:tcPr>
          <w:p>
            <w:pPr>
              <w:widowControl/>
              <w:spacing w:line="240" w:lineRule="exact"/>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房地产开发经营</w:t>
            </w:r>
          </w:p>
        </w:tc>
        <w:tc>
          <w:tcPr>
            <w:tcW w:w="144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Y≥200000</w:t>
            </w:r>
          </w:p>
        </w:tc>
        <w:tc>
          <w:tcPr>
            <w:tcW w:w="1796"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1000≤Y＜200000</w:t>
            </w:r>
          </w:p>
        </w:tc>
        <w:tc>
          <w:tcPr>
            <w:tcW w:w="150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100≤Y＜1000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continue"/>
            <w:noWrap w:val="0"/>
            <w:vAlign w:val="center"/>
          </w:tcPr>
          <w:p>
            <w:pPr>
              <w:widowControl/>
              <w:jc w:val="left"/>
              <w:rPr>
                <w:rFonts w:ascii="宋体" w:hAnsi="宋体" w:cs="宋体"/>
                <w:color w:val="000000"/>
                <w:kern w:val="0"/>
                <w:sz w:val="18"/>
                <w:szCs w:val="18"/>
                <w:highlight w:val="none"/>
              </w:rPr>
            </w:pPr>
          </w:p>
        </w:tc>
        <w:tc>
          <w:tcPr>
            <w:tcW w:w="1445" w:type="dxa"/>
            <w:noWrap w:val="0"/>
            <w:vAlign w:val="center"/>
          </w:tcPr>
          <w:p>
            <w:pPr>
              <w:widowControl/>
              <w:spacing w:line="240" w:lineRule="exact"/>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资产总额(Z)</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Z≥10000</w:t>
            </w:r>
          </w:p>
        </w:tc>
        <w:tc>
          <w:tcPr>
            <w:tcW w:w="1796"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5000≤Z＜10000</w:t>
            </w:r>
          </w:p>
        </w:tc>
        <w:tc>
          <w:tcPr>
            <w:tcW w:w="150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2000≤Z＜5000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restart"/>
            <w:noWrap w:val="0"/>
            <w:vAlign w:val="center"/>
          </w:tcPr>
          <w:p>
            <w:pPr>
              <w:widowControl/>
              <w:spacing w:line="240" w:lineRule="exact"/>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物业管理</w:t>
            </w:r>
          </w:p>
        </w:tc>
        <w:tc>
          <w:tcPr>
            <w:tcW w:w="144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从业人员(X)</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人</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X≥1000</w:t>
            </w:r>
          </w:p>
        </w:tc>
        <w:tc>
          <w:tcPr>
            <w:tcW w:w="1796"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300≤X＜1000</w:t>
            </w:r>
          </w:p>
        </w:tc>
        <w:tc>
          <w:tcPr>
            <w:tcW w:w="150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100≤X＜300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continue"/>
            <w:noWrap w:val="0"/>
            <w:vAlign w:val="center"/>
          </w:tcPr>
          <w:p>
            <w:pPr>
              <w:widowControl/>
              <w:jc w:val="left"/>
              <w:rPr>
                <w:rFonts w:ascii="宋体" w:hAnsi="宋体" w:cs="宋体"/>
                <w:color w:val="000000"/>
                <w:kern w:val="0"/>
                <w:sz w:val="18"/>
                <w:szCs w:val="18"/>
                <w:highlight w:val="none"/>
              </w:rPr>
            </w:pPr>
          </w:p>
        </w:tc>
        <w:tc>
          <w:tcPr>
            <w:tcW w:w="1445" w:type="dxa"/>
            <w:noWrap w:val="0"/>
            <w:vAlign w:val="center"/>
          </w:tcPr>
          <w:p>
            <w:pPr>
              <w:widowControl/>
              <w:spacing w:line="240" w:lineRule="exact"/>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营业收入(Y)</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Y≥5000</w:t>
            </w:r>
          </w:p>
        </w:tc>
        <w:tc>
          <w:tcPr>
            <w:tcW w:w="1796" w:type="dxa"/>
            <w:noWrap w:val="0"/>
            <w:vAlign w:val="center"/>
          </w:tcPr>
          <w:p>
            <w:pPr>
              <w:widowControl/>
              <w:ind w:left="1" w:leftChars="-51" w:hanging="108" w:hangingChars="60"/>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1000≤Y＜5000</w:t>
            </w:r>
          </w:p>
        </w:tc>
        <w:tc>
          <w:tcPr>
            <w:tcW w:w="150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500≤Y＜1000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restart"/>
            <w:noWrap w:val="0"/>
            <w:vAlign w:val="center"/>
          </w:tcPr>
          <w:p>
            <w:pPr>
              <w:widowControl/>
              <w:spacing w:line="240" w:lineRule="exact"/>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租赁和商务服务业</w:t>
            </w:r>
          </w:p>
        </w:tc>
        <w:tc>
          <w:tcPr>
            <w:tcW w:w="144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从业人员(X)</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人</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X≥300</w:t>
            </w:r>
          </w:p>
        </w:tc>
        <w:tc>
          <w:tcPr>
            <w:tcW w:w="1796" w:type="dxa"/>
            <w:noWrap w:val="0"/>
            <w:vAlign w:val="center"/>
          </w:tcPr>
          <w:p>
            <w:pPr>
              <w:widowControl/>
              <w:ind w:left="1" w:leftChars="-51" w:hanging="108" w:hangingChars="60"/>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100≤X＜300</w:t>
            </w:r>
          </w:p>
        </w:tc>
        <w:tc>
          <w:tcPr>
            <w:tcW w:w="150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10≤X＜100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1" w:type="dxa"/>
            <w:vMerge w:val="continue"/>
            <w:noWrap w:val="0"/>
            <w:vAlign w:val="center"/>
          </w:tcPr>
          <w:p>
            <w:pPr>
              <w:widowControl/>
              <w:jc w:val="left"/>
              <w:rPr>
                <w:rFonts w:ascii="宋体" w:hAnsi="宋体" w:cs="宋体"/>
                <w:color w:val="000000"/>
                <w:kern w:val="0"/>
                <w:sz w:val="18"/>
                <w:szCs w:val="18"/>
                <w:highlight w:val="none"/>
              </w:rPr>
            </w:pPr>
          </w:p>
        </w:tc>
        <w:tc>
          <w:tcPr>
            <w:tcW w:w="1445" w:type="dxa"/>
            <w:noWrap w:val="0"/>
            <w:vAlign w:val="center"/>
          </w:tcPr>
          <w:p>
            <w:pPr>
              <w:widowControl/>
              <w:spacing w:line="240" w:lineRule="exact"/>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资产总额(Z)</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万元</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Z≥120000</w:t>
            </w:r>
          </w:p>
        </w:tc>
        <w:tc>
          <w:tcPr>
            <w:tcW w:w="1796"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8000≤Z＜120000</w:t>
            </w:r>
          </w:p>
        </w:tc>
        <w:tc>
          <w:tcPr>
            <w:tcW w:w="150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100≤Z＜8000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1" w:type="dxa"/>
            <w:noWrap w:val="0"/>
            <w:vAlign w:val="center"/>
          </w:tcPr>
          <w:p>
            <w:pPr>
              <w:widowControl/>
              <w:spacing w:line="240" w:lineRule="exact"/>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其他未列明行业 *</w:t>
            </w:r>
          </w:p>
        </w:tc>
        <w:tc>
          <w:tcPr>
            <w:tcW w:w="144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从业人员(X)</w:t>
            </w:r>
          </w:p>
        </w:tc>
        <w:tc>
          <w:tcPr>
            <w:tcW w:w="74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人</w:t>
            </w:r>
          </w:p>
        </w:tc>
        <w:tc>
          <w:tcPr>
            <w:tcW w:w="1188"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X≥300</w:t>
            </w:r>
          </w:p>
        </w:tc>
        <w:tc>
          <w:tcPr>
            <w:tcW w:w="1796" w:type="dxa"/>
            <w:noWrap w:val="0"/>
            <w:vAlign w:val="center"/>
          </w:tcPr>
          <w:p>
            <w:pPr>
              <w:widowControl/>
              <w:ind w:left="1" w:leftChars="-51" w:hanging="108" w:hangingChars="60"/>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100≤X＜300</w:t>
            </w:r>
          </w:p>
        </w:tc>
        <w:tc>
          <w:tcPr>
            <w:tcW w:w="1505"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10≤X＜100</w:t>
            </w:r>
          </w:p>
        </w:tc>
        <w:tc>
          <w:tcPr>
            <w:tcW w:w="1047" w:type="dxa"/>
            <w:noWrap w:val="0"/>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X＜10</w:t>
            </w:r>
          </w:p>
        </w:tc>
      </w:tr>
    </w:tbl>
    <w:p>
      <w:pPr>
        <w:widowControl/>
        <w:spacing w:line="540" w:lineRule="exact"/>
        <w:rPr>
          <w:rFonts w:ascii="宋体" w:hAnsi="宋体" w:cs="宋体"/>
          <w:color w:val="000000"/>
          <w:spacing w:val="8"/>
          <w:kern w:val="0"/>
          <w:sz w:val="24"/>
          <w:highlight w:val="none"/>
        </w:rPr>
      </w:pPr>
    </w:p>
    <w:p>
      <w:pPr>
        <w:widowControl/>
        <w:spacing w:line="540" w:lineRule="exact"/>
        <w:rPr>
          <w:rFonts w:ascii="宋体" w:hAnsi="宋体" w:cs="宋体"/>
          <w:color w:val="000000"/>
          <w:spacing w:val="8"/>
          <w:kern w:val="0"/>
          <w:sz w:val="24"/>
          <w:highlight w:val="none"/>
        </w:rPr>
      </w:pPr>
      <w:r>
        <w:rPr>
          <w:rFonts w:hint="eastAsia" w:ascii="宋体" w:hAnsi="宋体" w:cs="宋体"/>
          <w:color w:val="000000"/>
          <w:spacing w:val="8"/>
          <w:kern w:val="0"/>
          <w:sz w:val="24"/>
          <w:highlight w:val="none"/>
        </w:rPr>
        <w:t>说明：</w:t>
      </w:r>
    </w:p>
    <w:p>
      <w:pPr>
        <w:pStyle w:val="12"/>
        <w:adjustRightInd w:val="0"/>
        <w:spacing w:line="380" w:lineRule="exact"/>
        <w:ind w:firstLine="512" w:firstLineChars="200"/>
        <w:contextualSpacing/>
        <w:rPr>
          <w:rFonts w:hAnsi="宋体" w:cs="宋体"/>
          <w:color w:val="000000"/>
          <w:spacing w:val="8"/>
          <w:kern w:val="0"/>
          <w:sz w:val="24"/>
          <w:szCs w:val="24"/>
          <w:highlight w:val="none"/>
        </w:rPr>
      </w:pPr>
      <w:r>
        <w:rPr>
          <w:rFonts w:hint="eastAsia" w:hAnsi="宋体" w:cs="宋体"/>
          <w:color w:val="000000"/>
          <w:spacing w:val="8"/>
          <w:kern w:val="0"/>
          <w:sz w:val="24"/>
          <w:szCs w:val="24"/>
          <w:highlight w:val="none"/>
        </w:rPr>
        <w:t>1.大型、中型和小型企业须同时满足所列指标的下限，否则下划一档；微型企业只须满足所列指标中的一项即可。</w:t>
      </w:r>
    </w:p>
    <w:p>
      <w:pPr>
        <w:pStyle w:val="12"/>
        <w:adjustRightInd w:val="0"/>
        <w:spacing w:line="380" w:lineRule="exact"/>
        <w:ind w:firstLine="512" w:firstLineChars="200"/>
        <w:contextualSpacing/>
        <w:rPr>
          <w:rFonts w:hAnsi="宋体" w:cs="宋体"/>
          <w:color w:val="000000"/>
          <w:spacing w:val="8"/>
          <w:kern w:val="0"/>
          <w:sz w:val="24"/>
          <w:szCs w:val="24"/>
          <w:highlight w:val="none"/>
        </w:rPr>
      </w:pPr>
      <w:r>
        <w:rPr>
          <w:rFonts w:hint="eastAsia" w:hAnsi="宋体" w:cs="宋体"/>
          <w:color w:val="000000"/>
          <w:spacing w:val="8"/>
          <w:kern w:val="0"/>
          <w:sz w:val="24"/>
          <w:szCs w:val="24"/>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2"/>
        <w:adjustRightInd w:val="0"/>
        <w:spacing w:line="380" w:lineRule="exact"/>
        <w:ind w:firstLine="512" w:firstLineChars="200"/>
        <w:contextualSpacing/>
        <w:rPr>
          <w:rFonts w:hAnsi="宋体" w:cs="宋体"/>
          <w:bCs/>
          <w:color w:val="000000"/>
          <w:highlight w:val="none"/>
        </w:rPr>
      </w:pPr>
      <w:r>
        <w:rPr>
          <w:rFonts w:hint="eastAsia" w:hAnsi="宋体" w:cs="宋体"/>
          <w:color w:val="000000"/>
          <w:spacing w:val="8"/>
          <w:kern w:val="0"/>
          <w:sz w:val="24"/>
          <w:szCs w:val="24"/>
          <w:highlight w:val="none"/>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pStyle w:val="22"/>
        <w:rPr>
          <w:rFonts w:hint="eastAsia"/>
          <w:highlight w:val="none"/>
        </w:rPr>
      </w:pPr>
    </w:p>
    <w:p>
      <w:pPr>
        <w:pStyle w:val="23"/>
        <w:rPr>
          <w:rFonts w:hint="eastAsia"/>
          <w:highlight w:val="none"/>
        </w:rPr>
      </w:pPr>
    </w:p>
    <w:p>
      <w:pPr>
        <w:rPr>
          <w:rFonts w:hint="eastAsia"/>
          <w:highlight w:val="none"/>
        </w:rPr>
      </w:pPr>
    </w:p>
    <w:p>
      <w:pPr>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pStyle w:val="2"/>
        <w:rPr>
          <w:rFonts w:hint="eastAsia"/>
          <w:highlight w:val="none"/>
        </w:rPr>
      </w:pPr>
    </w:p>
    <w:p>
      <w:pPr>
        <w:rPr>
          <w:rFonts w:hint="eastAsia"/>
          <w:highlight w:val="none"/>
        </w:rPr>
      </w:pPr>
    </w:p>
    <w:p>
      <w:pPr>
        <w:pStyle w:val="3"/>
        <w:spacing w:before="0" w:after="0" w:line="360" w:lineRule="exact"/>
        <w:jc w:val="center"/>
        <w:rPr>
          <w:rFonts w:hint="eastAsia"/>
          <w:sz w:val="32"/>
          <w:szCs w:val="32"/>
          <w:highlight w:val="none"/>
        </w:rPr>
      </w:pPr>
      <w:bookmarkStart w:id="44" w:name="_Toc3547"/>
      <w:bookmarkStart w:id="45" w:name="_Toc17383614"/>
      <w:r>
        <w:rPr>
          <w:rFonts w:hint="eastAsia"/>
          <w:sz w:val="32"/>
          <w:szCs w:val="32"/>
          <w:highlight w:val="none"/>
        </w:rPr>
        <w:t>第五章 采购合同（合同主要条款及格式）</w:t>
      </w:r>
      <w:bookmarkEnd w:id="44"/>
      <w:bookmarkEnd w:id="45"/>
    </w:p>
    <w:p>
      <w:pPr>
        <w:pStyle w:val="9"/>
        <w:tabs>
          <w:tab w:val="left" w:pos="3949"/>
        </w:tabs>
        <w:spacing w:line="360" w:lineRule="auto"/>
        <w:rPr>
          <w:rFonts w:ascii="黑体" w:hAnsi="黑体" w:eastAsia="黑体" w:cstheme="minorEastAsia"/>
          <w:color w:val="auto"/>
          <w:w w:val="95"/>
          <w:sz w:val="44"/>
          <w:szCs w:val="44"/>
          <w:highlight w:val="none"/>
        </w:rPr>
      </w:pPr>
    </w:p>
    <w:p>
      <w:pPr>
        <w:pStyle w:val="9"/>
        <w:tabs>
          <w:tab w:val="left" w:pos="3949"/>
        </w:tabs>
        <w:spacing w:line="360" w:lineRule="auto"/>
        <w:ind w:left="538"/>
        <w:rPr>
          <w:rFonts w:asciiTheme="minorEastAsia" w:hAnsiTheme="minorEastAsia" w:eastAsiaTheme="minorEastAsia" w:cstheme="minorEastAsia"/>
          <w:color w:val="auto"/>
          <w:w w:val="95"/>
          <w:sz w:val="28"/>
          <w:szCs w:val="28"/>
          <w:highlight w:val="none"/>
        </w:rPr>
      </w:pPr>
    </w:p>
    <w:p>
      <w:pPr>
        <w:pStyle w:val="9"/>
        <w:tabs>
          <w:tab w:val="left" w:pos="3949"/>
        </w:tabs>
        <w:spacing w:line="360" w:lineRule="auto"/>
        <w:ind w:left="538"/>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w w:val="95"/>
          <w:sz w:val="28"/>
          <w:szCs w:val="28"/>
          <w:highlight w:val="none"/>
        </w:rPr>
        <w:t>合同编号：</w:t>
      </w:r>
      <w:r>
        <w:rPr>
          <w:rFonts w:hint="eastAsia" w:asciiTheme="minorEastAsia" w:hAnsiTheme="minorEastAsia" w:eastAsiaTheme="minorEastAsia" w:cstheme="minorEastAsia"/>
          <w:color w:val="auto"/>
          <w:sz w:val="28"/>
          <w:szCs w:val="28"/>
          <w:highlight w:val="none"/>
          <w:u w:val="single"/>
        </w:rPr>
        <w:tab/>
      </w:r>
    </w:p>
    <w:p>
      <w:pPr>
        <w:pStyle w:val="9"/>
        <w:spacing w:line="360" w:lineRule="auto"/>
        <w:rPr>
          <w:rFonts w:asciiTheme="minorEastAsia" w:hAnsiTheme="minorEastAsia" w:eastAsiaTheme="minorEastAsia" w:cstheme="minorEastAsia"/>
          <w:color w:val="auto"/>
          <w:sz w:val="36"/>
          <w:szCs w:val="36"/>
          <w:highlight w:val="none"/>
        </w:rPr>
      </w:pPr>
    </w:p>
    <w:p>
      <w:pPr>
        <w:pStyle w:val="9"/>
        <w:spacing w:line="360" w:lineRule="auto"/>
        <w:rPr>
          <w:rFonts w:asciiTheme="minorEastAsia" w:hAnsiTheme="minorEastAsia" w:eastAsiaTheme="minorEastAsia" w:cstheme="minorEastAsia"/>
          <w:color w:val="auto"/>
          <w:sz w:val="36"/>
          <w:szCs w:val="36"/>
          <w:highlight w:val="none"/>
        </w:rPr>
      </w:pPr>
    </w:p>
    <w:p>
      <w:pPr>
        <w:pStyle w:val="9"/>
        <w:spacing w:line="360" w:lineRule="auto"/>
        <w:rPr>
          <w:rFonts w:asciiTheme="minorEastAsia" w:hAnsiTheme="minorEastAsia" w:eastAsiaTheme="minorEastAsia" w:cstheme="minorEastAsia"/>
          <w:color w:val="auto"/>
          <w:sz w:val="36"/>
          <w:szCs w:val="36"/>
          <w:highlight w:val="none"/>
        </w:rPr>
      </w:pPr>
    </w:p>
    <w:p>
      <w:pPr>
        <w:pStyle w:val="9"/>
        <w:spacing w:line="360" w:lineRule="auto"/>
        <w:rPr>
          <w:rFonts w:asciiTheme="minorEastAsia" w:hAnsiTheme="minorEastAsia" w:eastAsiaTheme="minorEastAsia" w:cstheme="minorEastAsia"/>
          <w:color w:val="auto"/>
          <w:sz w:val="36"/>
          <w:szCs w:val="36"/>
          <w:highlight w:val="none"/>
        </w:rPr>
      </w:pPr>
    </w:p>
    <w:p>
      <w:pPr>
        <w:pStyle w:val="9"/>
        <w:spacing w:line="360" w:lineRule="auto"/>
        <w:rPr>
          <w:rFonts w:asciiTheme="minorEastAsia" w:hAnsiTheme="minorEastAsia" w:eastAsiaTheme="minorEastAsia" w:cstheme="minorEastAsia"/>
          <w:color w:val="auto"/>
          <w:sz w:val="36"/>
          <w:szCs w:val="36"/>
          <w:highlight w:val="none"/>
        </w:rPr>
      </w:pPr>
    </w:p>
    <w:p>
      <w:pPr>
        <w:pStyle w:val="9"/>
        <w:spacing w:line="240" w:lineRule="exact"/>
        <w:jc w:val="center"/>
        <w:rPr>
          <w:rFonts w:asciiTheme="minorEastAsia" w:hAnsiTheme="minorEastAsia" w:eastAsiaTheme="minorEastAsia" w:cstheme="minorEastAsia"/>
          <w:color w:val="auto"/>
          <w:highlight w:val="none"/>
        </w:rPr>
      </w:pPr>
    </w:p>
    <w:p>
      <w:pPr>
        <w:spacing w:before="37" w:line="360" w:lineRule="auto"/>
        <w:ind w:right="117"/>
        <w:jc w:val="center"/>
        <w:rPr>
          <w:rFonts w:ascii="方正小标宋_GBK" w:eastAsia="方正小标宋_GBK" w:hAnsiTheme="minorEastAsia" w:cstheme="minorEastAsia"/>
          <w:b/>
          <w:color w:val="auto"/>
          <w:sz w:val="52"/>
          <w:szCs w:val="52"/>
          <w:highlight w:val="none"/>
        </w:rPr>
      </w:pPr>
      <w:r>
        <w:rPr>
          <w:rFonts w:hint="eastAsia" w:ascii="方正小标宋_GBK" w:hAnsi="宋体" w:eastAsia="方正小标宋_GBK" w:cs="宋体"/>
          <w:b/>
          <w:color w:val="auto"/>
          <w:sz w:val="52"/>
          <w:szCs w:val="52"/>
          <w:highlight w:val="none"/>
        </w:rPr>
        <w:t>桂林市老城区路灯节能改造项目</w:t>
      </w:r>
    </w:p>
    <w:p>
      <w:pPr>
        <w:spacing w:before="61" w:line="360" w:lineRule="auto"/>
        <w:ind w:right="125"/>
        <w:jc w:val="center"/>
        <w:rPr>
          <w:rFonts w:asciiTheme="minorEastAsia" w:hAnsiTheme="minorEastAsia" w:eastAsiaTheme="minorEastAsia" w:cstheme="minorEastAsia"/>
          <w:b/>
          <w:color w:val="auto"/>
          <w:sz w:val="52"/>
          <w:szCs w:val="52"/>
          <w:highlight w:val="none"/>
        </w:rPr>
      </w:pPr>
      <w:r>
        <w:rPr>
          <w:rFonts w:hint="eastAsia" w:ascii="方正小标宋_GBK" w:eastAsia="方正小标宋_GBK" w:hAnsiTheme="minorEastAsia" w:cstheme="minorEastAsia"/>
          <w:b/>
          <w:color w:val="auto"/>
          <w:sz w:val="52"/>
          <w:szCs w:val="52"/>
          <w:highlight w:val="none"/>
        </w:rPr>
        <w:t>合同能源管理合同</w:t>
      </w:r>
    </w:p>
    <w:p>
      <w:pPr>
        <w:spacing w:line="360" w:lineRule="auto"/>
        <w:rPr>
          <w:rFonts w:asciiTheme="minorEastAsia" w:hAnsiTheme="minorEastAsia" w:eastAsiaTheme="minorEastAsia" w:cstheme="minorEastAsia"/>
          <w:color w:val="auto"/>
          <w:sz w:val="28"/>
          <w:szCs w:val="28"/>
          <w:highlight w:val="none"/>
        </w:rPr>
        <w:sectPr>
          <w:footerReference r:id="rId3" w:type="default"/>
          <w:pgSz w:w="11910" w:h="16840"/>
          <w:pgMar w:top="1440" w:right="1080" w:bottom="1440" w:left="1080" w:header="858" w:footer="1017" w:gutter="0"/>
          <w:cols w:space="720" w:num="1"/>
        </w:sectPr>
      </w:pPr>
    </w:p>
    <w:tbl>
      <w:tblPr>
        <w:tblStyle w:val="15"/>
        <w:tblW w:w="92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4"/>
        <w:gridCol w:w="1709"/>
        <w:gridCol w:w="2071"/>
        <w:gridCol w:w="1680"/>
        <w:gridCol w:w="22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1564" w:type="dxa"/>
            <w:vMerge w:val="restart"/>
          </w:tcPr>
          <w:p>
            <w:pPr>
              <w:pStyle w:val="29"/>
              <w:spacing w:line="360" w:lineRule="auto"/>
              <w:rPr>
                <w:rFonts w:asciiTheme="minorEastAsia" w:hAnsiTheme="minorEastAsia" w:eastAsiaTheme="minorEastAsia" w:cstheme="minorEastAsia"/>
                <w:b/>
                <w:color w:val="auto"/>
                <w:szCs w:val="21"/>
                <w:highlight w:val="none"/>
              </w:rPr>
            </w:pPr>
          </w:p>
          <w:p>
            <w:pPr>
              <w:pStyle w:val="29"/>
              <w:spacing w:line="360" w:lineRule="auto"/>
              <w:rPr>
                <w:rFonts w:asciiTheme="minorEastAsia" w:hAnsiTheme="minorEastAsia" w:eastAsiaTheme="minorEastAsia" w:cstheme="minorEastAsia"/>
                <w:b/>
                <w:color w:val="auto"/>
                <w:szCs w:val="21"/>
                <w:highlight w:val="none"/>
              </w:rPr>
            </w:pPr>
          </w:p>
          <w:p>
            <w:pPr>
              <w:pStyle w:val="29"/>
              <w:spacing w:line="360" w:lineRule="auto"/>
              <w:rPr>
                <w:rFonts w:asciiTheme="minorEastAsia" w:hAnsiTheme="minorEastAsia" w:eastAsiaTheme="minorEastAsia" w:cstheme="minorEastAsia"/>
                <w:b/>
                <w:color w:val="auto"/>
                <w:szCs w:val="21"/>
                <w:highlight w:val="none"/>
              </w:rPr>
            </w:pPr>
          </w:p>
          <w:p>
            <w:pPr>
              <w:pStyle w:val="29"/>
              <w:spacing w:before="8" w:line="360" w:lineRule="auto"/>
              <w:rPr>
                <w:rFonts w:asciiTheme="minorEastAsia" w:hAnsiTheme="minorEastAsia" w:eastAsiaTheme="minorEastAsia" w:cstheme="minorEastAsia"/>
                <w:b/>
                <w:color w:val="auto"/>
                <w:szCs w:val="21"/>
                <w:highlight w:val="none"/>
              </w:rPr>
            </w:pPr>
          </w:p>
          <w:p>
            <w:pPr>
              <w:pStyle w:val="29"/>
              <w:spacing w:before="43" w:line="360" w:lineRule="auto"/>
              <w:ind w:left="131" w:right="123"/>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甲方</w:t>
            </w:r>
          </w:p>
        </w:tc>
        <w:tc>
          <w:tcPr>
            <w:tcW w:w="1709" w:type="dxa"/>
          </w:tcPr>
          <w:p>
            <w:pPr>
              <w:pStyle w:val="29"/>
              <w:spacing w:before="92" w:line="360" w:lineRule="auto"/>
              <w:ind w:left="308" w:right="301"/>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单位名称</w:t>
            </w:r>
          </w:p>
        </w:tc>
        <w:tc>
          <w:tcPr>
            <w:tcW w:w="5956" w:type="dxa"/>
            <w:gridSpan w:val="3"/>
          </w:tcPr>
          <w:p>
            <w:pPr>
              <w:pStyle w:val="29"/>
              <w:spacing w:line="360" w:lineRule="auto"/>
              <w:rPr>
                <w:rFonts w:asciiTheme="minorEastAsia" w:hAnsiTheme="minorEastAsia" w:eastAsiaTheme="minorEastAsia" w:cstheme="minorEastAsia"/>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564" w:type="dxa"/>
            <w:vMerge w:val="continue"/>
            <w:tcBorders>
              <w:top w:val="nil"/>
            </w:tcBorders>
          </w:tcPr>
          <w:p>
            <w:pPr>
              <w:spacing w:line="360" w:lineRule="auto"/>
              <w:rPr>
                <w:rFonts w:asciiTheme="minorEastAsia" w:hAnsiTheme="minorEastAsia" w:eastAsiaTheme="minorEastAsia" w:cstheme="minorEastAsia"/>
                <w:color w:val="auto"/>
                <w:szCs w:val="21"/>
                <w:highlight w:val="none"/>
              </w:rPr>
            </w:pPr>
          </w:p>
        </w:tc>
        <w:tc>
          <w:tcPr>
            <w:tcW w:w="1709" w:type="dxa"/>
          </w:tcPr>
          <w:p>
            <w:pPr>
              <w:pStyle w:val="29"/>
              <w:spacing w:before="91" w:line="360" w:lineRule="auto"/>
              <w:ind w:left="308" w:right="301"/>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法定代表人</w:t>
            </w:r>
          </w:p>
        </w:tc>
        <w:tc>
          <w:tcPr>
            <w:tcW w:w="2071" w:type="dxa"/>
          </w:tcPr>
          <w:p>
            <w:pPr>
              <w:pStyle w:val="29"/>
              <w:spacing w:line="360" w:lineRule="auto"/>
              <w:rPr>
                <w:rFonts w:asciiTheme="minorEastAsia" w:hAnsiTheme="minorEastAsia" w:eastAsiaTheme="minorEastAsia" w:cstheme="minorEastAsia"/>
                <w:color w:val="auto"/>
                <w:szCs w:val="21"/>
                <w:highlight w:val="none"/>
              </w:rPr>
            </w:pPr>
          </w:p>
        </w:tc>
        <w:tc>
          <w:tcPr>
            <w:tcW w:w="1680" w:type="dxa"/>
          </w:tcPr>
          <w:p>
            <w:pPr>
              <w:pStyle w:val="29"/>
              <w:spacing w:before="91" w:line="360" w:lineRule="auto"/>
              <w:ind w:left="293" w:right="286"/>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授权委托人</w:t>
            </w:r>
          </w:p>
        </w:tc>
        <w:tc>
          <w:tcPr>
            <w:tcW w:w="2205" w:type="dxa"/>
          </w:tcPr>
          <w:p>
            <w:pPr>
              <w:pStyle w:val="29"/>
              <w:spacing w:line="360" w:lineRule="auto"/>
              <w:rPr>
                <w:rFonts w:asciiTheme="minorEastAsia" w:hAnsiTheme="minorEastAsia" w:eastAsiaTheme="minorEastAsia" w:cstheme="minorEastAsia"/>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1564" w:type="dxa"/>
            <w:vMerge w:val="continue"/>
            <w:tcBorders>
              <w:top w:val="nil"/>
            </w:tcBorders>
          </w:tcPr>
          <w:p>
            <w:pPr>
              <w:spacing w:line="360" w:lineRule="auto"/>
              <w:rPr>
                <w:rFonts w:asciiTheme="minorEastAsia" w:hAnsiTheme="minorEastAsia" w:eastAsiaTheme="minorEastAsia" w:cstheme="minorEastAsia"/>
                <w:color w:val="auto"/>
                <w:szCs w:val="21"/>
                <w:highlight w:val="none"/>
              </w:rPr>
            </w:pPr>
          </w:p>
        </w:tc>
        <w:tc>
          <w:tcPr>
            <w:tcW w:w="1709" w:type="dxa"/>
          </w:tcPr>
          <w:p>
            <w:pPr>
              <w:pStyle w:val="29"/>
              <w:spacing w:before="91" w:line="360" w:lineRule="auto"/>
              <w:ind w:left="308" w:right="299"/>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联系人</w:t>
            </w:r>
          </w:p>
        </w:tc>
        <w:tc>
          <w:tcPr>
            <w:tcW w:w="2071" w:type="dxa"/>
          </w:tcPr>
          <w:p>
            <w:pPr>
              <w:pStyle w:val="29"/>
              <w:spacing w:line="360" w:lineRule="auto"/>
              <w:rPr>
                <w:rFonts w:asciiTheme="minorEastAsia" w:hAnsiTheme="minorEastAsia" w:eastAsiaTheme="minorEastAsia" w:cstheme="minorEastAsia"/>
                <w:color w:val="auto"/>
                <w:szCs w:val="21"/>
                <w:highlight w:val="none"/>
              </w:rPr>
            </w:pPr>
          </w:p>
        </w:tc>
        <w:tc>
          <w:tcPr>
            <w:tcW w:w="1680" w:type="dxa"/>
          </w:tcPr>
          <w:p>
            <w:pPr>
              <w:pStyle w:val="29"/>
              <w:spacing w:line="360" w:lineRule="auto"/>
              <w:rPr>
                <w:rFonts w:asciiTheme="minorEastAsia" w:hAnsiTheme="minorEastAsia" w:eastAsiaTheme="minorEastAsia" w:cstheme="minorEastAsia"/>
                <w:color w:val="auto"/>
                <w:szCs w:val="21"/>
                <w:highlight w:val="none"/>
              </w:rPr>
            </w:pPr>
          </w:p>
        </w:tc>
        <w:tc>
          <w:tcPr>
            <w:tcW w:w="2205" w:type="dxa"/>
          </w:tcPr>
          <w:p>
            <w:pPr>
              <w:pStyle w:val="29"/>
              <w:spacing w:line="360" w:lineRule="auto"/>
              <w:rPr>
                <w:rFonts w:asciiTheme="minorEastAsia" w:hAnsiTheme="minorEastAsia" w:eastAsiaTheme="minorEastAsia" w:cstheme="minorEastAsia"/>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564" w:type="dxa"/>
            <w:vMerge w:val="continue"/>
            <w:tcBorders>
              <w:top w:val="nil"/>
            </w:tcBorders>
          </w:tcPr>
          <w:p>
            <w:pPr>
              <w:spacing w:line="360" w:lineRule="auto"/>
              <w:rPr>
                <w:rFonts w:asciiTheme="minorEastAsia" w:hAnsiTheme="minorEastAsia" w:eastAsiaTheme="minorEastAsia" w:cstheme="minorEastAsia"/>
                <w:color w:val="auto"/>
                <w:szCs w:val="21"/>
                <w:highlight w:val="none"/>
              </w:rPr>
            </w:pPr>
          </w:p>
        </w:tc>
        <w:tc>
          <w:tcPr>
            <w:tcW w:w="1709" w:type="dxa"/>
          </w:tcPr>
          <w:p>
            <w:pPr>
              <w:pStyle w:val="29"/>
              <w:spacing w:before="92" w:line="360" w:lineRule="auto"/>
              <w:ind w:left="308" w:right="301"/>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通讯地址</w:t>
            </w:r>
          </w:p>
        </w:tc>
        <w:tc>
          <w:tcPr>
            <w:tcW w:w="5956" w:type="dxa"/>
            <w:gridSpan w:val="3"/>
          </w:tcPr>
          <w:p>
            <w:pPr>
              <w:pStyle w:val="29"/>
              <w:spacing w:line="360" w:lineRule="auto"/>
              <w:rPr>
                <w:rFonts w:asciiTheme="minorEastAsia" w:hAnsiTheme="minorEastAsia" w:eastAsiaTheme="minorEastAsia" w:cstheme="minorEastAsia"/>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564" w:type="dxa"/>
            <w:vMerge w:val="continue"/>
            <w:tcBorders>
              <w:top w:val="nil"/>
            </w:tcBorders>
          </w:tcPr>
          <w:p>
            <w:pPr>
              <w:spacing w:line="360" w:lineRule="auto"/>
              <w:rPr>
                <w:rFonts w:asciiTheme="minorEastAsia" w:hAnsiTheme="minorEastAsia" w:eastAsiaTheme="minorEastAsia" w:cstheme="minorEastAsia"/>
                <w:color w:val="auto"/>
                <w:szCs w:val="21"/>
                <w:highlight w:val="none"/>
              </w:rPr>
            </w:pPr>
          </w:p>
        </w:tc>
        <w:tc>
          <w:tcPr>
            <w:tcW w:w="1709" w:type="dxa"/>
          </w:tcPr>
          <w:p>
            <w:pPr>
              <w:pStyle w:val="29"/>
              <w:spacing w:before="92" w:line="360" w:lineRule="auto"/>
              <w:ind w:left="305" w:right="301"/>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电话</w:t>
            </w:r>
          </w:p>
        </w:tc>
        <w:tc>
          <w:tcPr>
            <w:tcW w:w="2071" w:type="dxa"/>
            <w:vAlign w:val="center"/>
          </w:tcPr>
          <w:p>
            <w:pPr>
              <w:pStyle w:val="29"/>
              <w:spacing w:line="360" w:lineRule="auto"/>
              <w:jc w:val="center"/>
              <w:rPr>
                <w:rFonts w:asciiTheme="minorEastAsia" w:hAnsiTheme="minorEastAsia" w:eastAsiaTheme="minorEastAsia" w:cstheme="minorEastAsia"/>
                <w:color w:val="auto"/>
                <w:szCs w:val="21"/>
                <w:highlight w:val="none"/>
              </w:rPr>
            </w:pPr>
          </w:p>
        </w:tc>
        <w:tc>
          <w:tcPr>
            <w:tcW w:w="1680" w:type="dxa"/>
          </w:tcPr>
          <w:p>
            <w:pPr>
              <w:pStyle w:val="29"/>
              <w:spacing w:before="92" w:line="360" w:lineRule="auto"/>
              <w:ind w:left="290" w:right="286"/>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传真</w:t>
            </w:r>
          </w:p>
        </w:tc>
        <w:tc>
          <w:tcPr>
            <w:tcW w:w="2205" w:type="dxa"/>
            <w:vAlign w:val="center"/>
          </w:tcPr>
          <w:p>
            <w:pPr>
              <w:pStyle w:val="29"/>
              <w:spacing w:line="360" w:lineRule="auto"/>
              <w:jc w:val="center"/>
              <w:rPr>
                <w:rFonts w:asciiTheme="minorEastAsia" w:hAnsiTheme="minorEastAsia" w:eastAsiaTheme="minorEastAsia" w:cstheme="minorEastAsia"/>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1564" w:type="dxa"/>
            <w:vMerge w:val="continue"/>
            <w:tcBorders>
              <w:top w:val="nil"/>
            </w:tcBorders>
          </w:tcPr>
          <w:p>
            <w:pPr>
              <w:spacing w:line="360" w:lineRule="auto"/>
              <w:rPr>
                <w:rFonts w:asciiTheme="minorEastAsia" w:hAnsiTheme="minorEastAsia" w:eastAsiaTheme="minorEastAsia" w:cstheme="minorEastAsia"/>
                <w:color w:val="auto"/>
                <w:szCs w:val="21"/>
                <w:highlight w:val="none"/>
              </w:rPr>
            </w:pPr>
          </w:p>
        </w:tc>
        <w:tc>
          <w:tcPr>
            <w:tcW w:w="1709" w:type="dxa"/>
          </w:tcPr>
          <w:p>
            <w:pPr>
              <w:pStyle w:val="29"/>
              <w:spacing w:before="91" w:line="360" w:lineRule="auto"/>
              <w:ind w:left="308" w:right="301"/>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电子邮箱</w:t>
            </w:r>
          </w:p>
        </w:tc>
        <w:tc>
          <w:tcPr>
            <w:tcW w:w="5956" w:type="dxa"/>
            <w:gridSpan w:val="3"/>
          </w:tcPr>
          <w:p>
            <w:pPr>
              <w:pStyle w:val="29"/>
              <w:spacing w:line="360" w:lineRule="auto"/>
              <w:rPr>
                <w:rFonts w:asciiTheme="minorEastAsia" w:hAnsiTheme="minorEastAsia" w:eastAsiaTheme="minorEastAsia" w:cstheme="minorEastAsia"/>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564" w:type="dxa"/>
            <w:vMerge w:val="continue"/>
            <w:tcBorders>
              <w:top w:val="nil"/>
            </w:tcBorders>
          </w:tcPr>
          <w:p>
            <w:pPr>
              <w:spacing w:line="360" w:lineRule="auto"/>
              <w:rPr>
                <w:rFonts w:asciiTheme="minorEastAsia" w:hAnsiTheme="minorEastAsia" w:eastAsiaTheme="minorEastAsia" w:cstheme="minorEastAsia"/>
                <w:color w:val="auto"/>
                <w:szCs w:val="21"/>
                <w:highlight w:val="none"/>
              </w:rPr>
            </w:pPr>
          </w:p>
        </w:tc>
        <w:tc>
          <w:tcPr>
            <w:tcW w:w="1709" w:type="dxa"/>
          </w:tcPr>
          <w:p>
            <w:pPr>
              <w:pStyle w:val="29"/>
              <w:spacing w:before="92" w:line="360" w:lineRule="auto"/>
              <w:ind w:left="308" w:right="301"/>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开户银行</w:t>
            </w:r>
          </w:p>
        </w:tc>
        <w:tc>
          <w:tcPr>
            <w:tcW w:w="5956" w:type="dxa"/>
            <w:gridSpan w:val="3"/>
          </w:tcPr>
          <w:p>
            <w:pPr>
              <w:pStyle w:val="29"/>
              <w:spacing w:line="360" w:lineRule="auto"/>
              <w:rPr>
                <w:rFonts w:asciiTheme="minorEastAsia" w:hAnsiTheme="minorEastAsia" w:eastAsiaTheme="minorEastAsia" w:cstheme="minorEastAsia"/>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1564" w:type="dxa"/>
            <w:vMerge w:val="continue"/>
            <w:tcBorders>
              <w:top w:val="nil"/>
            </w:tcBorders>
          </w:tcPr>
          <w:p>
            <w:pPr>
              <w:spacing w:line="360" w:lineRule="auto"/>
              <w:rPr>
                <w:rFonts w:asciiTheme="minorEastAsia" w:hAnsiTheme="minorEastAsia" w:eastAsiaTheme="minorEastAsia" w:cstheme="minorEastAsia"/>
                <w:color w:val="auto"/>
                <w:szCs w:val="21"/>
                <w:highlight w:val="none"/>
              </w:rPr>
            </w:pPr>
          </w:p>
        </w:tc>
        <w:tc>
          <w:tcPr>
            <w:tcW w:w="1709" w:type="dxa"/>
          </w:tcPr>
          <w:p>
            <w:pPr>
              <w:pStyle w:val="29"/>
              <w:spacing w:before="91" w:line="360" w:lineRule="auto"/>
              <w:ind w:left="305" w:right="301"/>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账号</w:t>
            </w:r>
          </w:p>
        </w:tc>
        <w:tc>
          <w:tcPr>
            <w:tcW w:w="5956" w:type="dxa"/>
            <w:gridSpan w:val="3"/>
          </w:tcPr>
          <w:p>
            <w:pPr>
              <w:pStyle w:val="29"/>
              <w:spacing w:line="360" w:lineRule="auto"/>
              <w:rPr>
                <w:rFonts w:asciiTheme="minorEastAsia" w:hAnsiTheme="minorEastAsia" w:eastAsiaTheme="minorEastAsia" w:cstheme="minorEastAsia"/>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564" w:type="dxa"/>
            <w:vMerge w:val="restart"/>
          </w:tcPr>
          <w:p>
            <w:pPr>
              <w:pStyle w:val="29"/>
              <w:spacing w:line="360" w:lineRule="auto"/>
              <w:rPr>
                <w:rFonts w:asciiTheme="minorEastAsia" w:hAnsiTheme="minorEastAsia" w:eastAsiaTheme="minorEastAsia" w:cstheme="minorEastAsia"/>
                <w:b/>
                <w:color w:val="auto"/>
                <w:szCs w:val="21"/>
                <w:highlight w:val="none"/>
              </w:rPr>
            </w:pPr>
          </w:p>
          <w:p>
            <w:pPr>
              <w:pStyle w:val="29"/>
              <w:spacing w:line="360" w:lineRule="auto"/>
              <w:rPr>
                <w:rFonts w:asciiTheme="minorEastAsia" w:hAnsiTheme="minorEastAsia" w:eastAsiaTheme="minorEastAsia" w:cstheme="minorEastAsia"/>
                <w:b/>
                <w:color w:val="auto"/>
                <w:szCs w:val="21"/>
                <w:highlight w:val="none"/>
              </w:rPr>
            </w:pPr>
          </w:p>
          <w:p>
            <w:pPr>
              <w:pStyle w:val="29"/>
              <w:spacing w:before="7" w:line="360" w:lineRule="auto"/>
              <w:rPr>
                <w:rFonts w:asciiTheme="minorEastAsia" w:hAnsiTheme="minorEastAsia" w:eastAsiaTheme="minorEastAsia" w:cstheme="minorEastAsia"/>
                <w:b/>
                <w:color w:val="auto"/>
                <w:szCs w:val="21"/>
                <w:highlight w:val="none"/>
              </w:rPr>
            </w:pPr>
          </w:p>
          <w:p>
            <w:pPr>
              <w:pStyle w:val="29"/>
              <w:spacing w:before="43" w:line="360" w:lineRule="auto"/>
              <w:ind w:left="152" w:right="141"/>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乙方</w:t>
            </w:r>
          </w:p>
        </w:tc>
        <w:tc>
          <w:tcPr>
            <w:tcW w:w="1709" w:type="dxa"/>
          </w:tcPr>
          <w:p>
            <w:pPr>
              <w:pStyle w:val="29"/>
              <w:spacing w:before="91" w:line="360" w:lineRule="auto"/>
              <w:ind w:left="308" w:right="301"/>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单位名称</w:t>
            </w:r>
          </w:p>
        </w:tc>
        <w:tc>
          <w:tcPr>
            <w:tcW w:w="5956" w:type="dxa"/>
            <w:gridSpan w:val="3"/>
            <w:vAlign w:val="center"/>
          </w:tcPr>
          <w:p>
            <w:pPr>
              <w:pStyle w:val="29"/>
              <w:spacing w:line="360" w:lineRule="auto"/>
              <w:jc w:val="left"/>
              <w:rPr>
                <w:rFonts w:asciiTheme="minorEastAsia" w:hAnsiTheme="minorEastAsia" w:eastAsiaTheme="minorEastAsia" w:cstheme="minorEastAsia"/>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564" w:type="dxa"/>
            <w:vMerge w:val="continue"/>
            <w:tcBorders>
              <w:top w:val="nil"/>
            </w:tcBorders>
          </w:tcPr>
          <w:p>
            <w:pPr>
              <w:spacing w:line="360" w:lineRule="auto"/>
              <w:rPr>
                <w:rFonts w:asciiTheme="minorEastAsia" w:hAnsiTheme="minorEastAsia" w:eastAsiaTheme="minorEastAsia" w:cstheme="minorEastAsia"/>
                <w:color w:val="auto"/>
                <w:szCs w:val="21"/>
                <w:highlight w:val="none"/>
              </w:rPr>
            </w:pPr>
          </w:p>
        </w:tc>
        <w:tc>
          <w:tcPr>
            <w:tcW w:w="1709" w:type="dxa"/>
          </w:tcPr>
          <w:p>
            <w:pPr>
              <w:pStyle w:val="29"/>
              <w:spacing w:before="92" w:line="360" w:lineRule="auto"/>
              <w:ind w:left="308" w:right="301"/>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法定代表人</w:t>
            </w:r>
          </w:p>
        </w:tc>
        <w:tc>
          <w:tcPr>
            <w:tcW w:w="2071" w:type="dxa"/>
            <w:vAlign w:val="center"/>
          </w:tcPr>
          <w:p>
            <w:pPr>
              <w:pStyle w:val="29"/>
              <w:spacing w:before="91" w:line="360" w:lineRule="auto"/>
              <w:ind w:left="308" w:right="299"/>
              <w:jc w:val="center"/>
              <w:rPr>
                <w:rFonts w:asciiTheme="minorEastAsia" w:hAnsiTheme="minorEastAsia" w:eastAsiaTheme="minorEastAsia" w:cstheme="minorEastAsia"/>
                <w:color w:val="auto"/>
                <w:szCs w:val="21"/>
                <w:highlight w:val="none"/>
              </w:rPr>
            </w:pPr>
          </w:p>
        </w:tc>
        <w:tc>
          <w:tcPr>
            <w:tcW w:w="1680" w:type="dxa"/>
            <w:vAlign w:val="center"/>
          </w:tcPr>
          <w:p>
            <w:pPr>
              <w:pStyle w:val="29"/>
              <w:spacing w:before="92" w:line="360" w:lineRule="auto"/>
              <w:ind w:left="293" w:right="286"/>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授权委托人</w:t>
            </w:r>
          </w:p>
        </w:tc>
        <w:tc>
          <w:tcPr>
            <w:tcW w:w="2205" w:type="dxa"/>
            <w:vAlign w:val="center"/>
          </w:tcPr>
          <w:p>
            <w:pPr>
              <w:pStyle w:val="29"/>
              <w:spacing w:before="91" w:line="360" w:lineRule="auto"/>
              <w:ind w:left="308" w:right="299"/>
              <w:jc w:val="center"/>
              <w:rPr>
                <w:rFonts w:asciiTheme="minorEastAsia" w:hAnsiTheme="minorEastAsia" w:eastAsiaTheme="minorEastAsia" w:cstheme="minorEastAsia"/>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1564" w:type="dxa"/>
            <w:vMerge w:val="continue"/>
            <w:tcBorders>
              <w:top w:val="nil"/>
            </w:tcBorders>
          </w:tcPr>
          <w:p>
            <w:pPr>
              <w:spacing w:line="360" w:lineRule="auto"/>
              <w:rPr>
                <w:rFonts w:asciiTheme="minorEastAsia" w:hAnsiTheme="minorEastAsia" w:eastAsiaTheme="minorEastAsia" w:cstheme="minorEastAsia"/>
                <w:color w:val="auto"/>
                <w:szCs w:val="21"/>
                <w:highlight w:val="none"/>
              </w:rPr>
            </w:pPr>
          </w:p>
        </w:tc>
        <w:tc>
          <w:tcPr>
            <w:tcW w:w="1709" w:type="dxa"/>
          </w:tcPr>
          <w:p>
            <w:pPr>
              <w:pStyle w:val="29"/>
              <w:spacing w:before="91" w:line="360" w:lineRule="auto"/>
              <w:ind w:left="308" w:right="299"/>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联系人</w:t>
            </w:r>
          </w:p>
        </w:tc>
        <w:tc>
          <w:tcPr>
            <w:tcW w:w="2071" w:type="dxa"/>
            <w:vAlign w:val="center"/>
          </w:tcPr>
          <w:p>
            <w:pPr>
              <w:pStyle w:val="29"/>
              <w:spacing w:before="91" w:line="360" w:lineRule="auto"/>
              <w:ind w:left="308" w:right="299"/>
              <w:jc w:val="center"/>
              <w:rPr>
                <w:rFonts w:asciiTheme="minorEastAsia" w:hAnsiTheme="minorEastAsia" w:eastAsiaTheme="minorEastAsia" w:cstheme="minorEastAsia"/>
                <w:color w:val="auto"/>
                <w:szCs w:val="21"/>
                <w:highlight w:val="none"/>
              </w:rPr>
            </w:pPr>
          </w:p>
        </w:tc>
        <w:tc>
          <w:tcPr>
            <w:tcW w:w="1680" w:type="dxa"/>
            <w:vAlign w:val="center"/>
          </w:tcPr>
          <w:p>
            <w:pPr>
              <w:pStyle w:val="29"/>
              <w:spacing w:line="360" w:lineRule="auto"/>
              <w:jc w:val="center"/>
              <w:rPr>
                <w:rFonts w:asciiTheme="minorEastAsia" w:hAnsiTheme="minorEastAsia" w:eastAsiaTheme="minorEastAsia" w:cstheme="minorEastAsia"/>
                <w:color w:val="auto"/>
                <w:szCs w:val="21"/>
                <w:highlight w:val="none"/>
              </w:rPr>
            </w:pPr>
          </w:p>
        </w:tc>
        <w:tc>
          <w:tcPr>
            <w:tcW w:w="2205" w:type="dxa"/>
            <w:vAlign w:val="center"/>
          </w:tcPr>
          <w:p>
            <w:pPr>
              <w:pStyle w:val="29"/>
              <w:spacing w:line="360" w:lineRule="auto"/>
              <w:jc w:val="center"/>
              <w:rPr>
                <w:rFonts w:asciiTheme="minorEastAsia" w:hAnsiTheme="minorEastAsia" w:eastAsiaTheme="minorEastAsia" w:cstheme="minorEastAsia"/>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1564" w:type="dxa"/>
            <w:vMerge w:val="continue"/>
            <w:tcBorders>
              <w:top w:val="nil"/>
            </w:tcBorders>
          </w:tcPr>
          <w:p>
            <w:pPr>
              <w:spacing w:line="360" w:lineRule="auto"/>
              <w:rPr>
                <w:rFonts w:asciiTheme="minorEastAsia" w:hAnsiTheme="minorEastAsia" w:eastAsiaTheme="minorEastAsia" w:cstheme="minorEastAsia"/>
                <w:color w:val="auto"/>
                <w:szCs w:val="21"/>
                <w:highlight w:val="none"/>
              </w:rPr>
            </w:pPr>
          </w:p>
        </w:tc>
        <w:tc>
          <w:tcPr>
            <w:tcW w:w="1709" w:type="dxa"/>
          </w:tcPr>
          <w:p>
            <w:pPr>
              <w:pStyle w:val="29"/>
              <w:spacing w:before="91" w:line="360" w:lineRule="auto"/>
              <w:ind w:left="308" w:right="301"/>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通讯地址</w:t>
            </w:r>
          </w:p>
        </w:tc>
        <w:tc>
          <w:tcPr>
            <w:tcW w:w="5956" w:type="dxa"/>
            <w:gridSpan w:val="3"/>
            <w:vAlign w:val="center"/>
          </w:tcPr>
          <w:p>
            <w:pPr>
              <w:pStyle w:val="29"/>
              <w:spacing w:before="91" w:line="360" w:lineRule="auto"/>
              <w:ind w:right="299"/>
              <w:jc w:val="left"/>
              <w:rPr>
                <w:rFonts w:asciiTheme="minorEastAsia" w:hAnsiTheme="minorEastAsia" w:eastAsiaTheme="minorEastAsia" w:cstheme="minorEastAsia"/>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1564" w:type="dxa"/>
            <w:vMerge w:val="continue"/>
            <w:tcBorders>
              <w:top w:val="nil"/>
            </w:tcBorders>
          </w:tcPr>
          <w:p>
            <w:pPr>
              <w:spacing w:line="360" w:lineRule="auto"/>
              <w:rPr>
                <w:rFonts w:asciiTheme="minorEastAsia" w:hAnsiTheme="minorEastAsia" w:eastAsiaTheme="minorEastAsia" w:cstheme="minorEastAsia"/>
                <w:color w:val="auto"/>
                <w:szCs w:val="21"/>
                <w:highlight w:val="none"/>
              </w:rPr>
            </w:pPr>
          </w:p>
        </w:tc>
        <w:tc>
          <w:tcPr>
            <w:tcW w:w="1709" w:type="dxa"/>
          </w:tcPr>
          <w:p>
            <w:pPr>
              <w:pStyle w:val="29"/>
              <w:spacing w:before="92" w:line="360" w:lineRule="auto"/>
              <w:ind w:left="305" w:right="301"/>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电话</w:t>
            </w:r>
          </w:p>
        </w:tc>
        <w:tc>
          <w:tcPr>
            <w:tcW w:w="2071" w:type="dxa"/>
            <w:vAlign w:val="center"/>
          </w:tcPr>
          <w:p>
            <w:pPr>
              <w:pStyle w:val="29"/>
              <w:spacing w:before="91" w:line="360" w:lineRule="auto"/>
              <w:ind w:left="308" w:right="299"/>
              <w:jc w:val="center"/>
              <w:rPr>
                <w:rFonts w:asciiTheme="minorEastAsia" w:hAnsiTheme="minorEastAsia" w:eastAsiaTheme="minorEastAsia" w:cstheme="minorEastAsia"/>
                <w:color w:val="auto"/>
                <w:szCs w:val="21"/>
                <w:highlight w:val="none"/>
              </w:rPr>
            </w:pPr>
          </w:p>
        </w:tc>
        <w:tc>
          <w:tcPr>
            <w:tcW w:w="1680" w:type="dxa"/>
            <w:vAlign w:val="center"/>
          </w:tcPr>
          <w:p>
            <w:pPr>
              <w:pStyle w:val="29"/>
              <w:spacing w:before="92" w:line="360" w:lineRule="auto"/>
              <w:ind w:left="290" w:right="286"/>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传真</w:t>
            </w:r>
          </w:p>
        </w:tc>
        <w:tc>
          <w:tcPr>
            <w:tcW w:w="2205" w:type="dxa"/>
            <w:vAlign w:val="center"/>
          </w:tcPr>
          <w:p>
            <w:pPr>
              <w:pStyle w:val="29"/>
              <w:spacing w:before="91" w:line="360" w:lineRule="auto"/>
              <w:ind w:left="308" w:right="299"/>
              <w:jc w:val="center"/>
              <w:rPr>
                <w:rFonts w:asciiTheme="minorEastAsia" w:hAnsiTheme="minorEastAsia" w:eastAsiaTheme="minorEastAsia" w:cstheme="minorEastAsia"/>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1564" w:type="dxa"/>
            <w:vMerge w:val="continue"/>
            <w:tcBorders>
              <w:top w:val="nil"/>
            </w:tcBorders>
          </w:tcPr>
          <w:p>
            <w:pPr>
              <w:spacing w:line="360" w:lineRule="auto"/>
              <w:rPr>
                <w:rFonts w:asciiTheme="minorEastAsia" w:hAnsiTheme="minorEastAsia" w:eastAsiaTheme="minorEastAsia" w:cstheme="minorEastAsia"/>
                <w:color w:val="auto"/>
                <w:szCs w:val="21"/>
                <w:highlight w:val="none"/>
              </w:rPr>
            </w:pPr>
          </w:p>
        </w:tc>
        <w:tc>
          <w:tcPr>
            <w:tcW w:w="1709" w:type="dxa"/>
          </w:tcPr>
          <w:p>
            <w:pPr>
              <w:pStyle w:val="29"/>
              <w:spacing w:before="92" w:line="360" w:lineRule="auto"/>
              <w:ind w:left="308" w:right="301"/>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电子邮箱</w:t>
            </w:r>
          </w:p>
        </w:tc>
        <w:tc>
          <w:tcPr>
            <w:tcW w:w="5956" w:type="dxa"/>
            <w:gridSpan w:val="3"/>
            <w:vAlign w:val="center"/>
          </w:tcPr>
          <w:p>
            <w:pPr>
              <w:pStyle w:val="29"/>
              <w:spacing w:before="91" w:line="360" w:lineRule="auto"/>
              <w:ind w:left="308" w:right="299"/>
              <w:rPr>
                <w:rFonts w:asciiTheme="minorEastAsia" w:hAnsiTheme="minorEastAsia" w:eastAsiaTheme="minorEastAsia" w:cstheme="minorEastAsia"/>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1564" w:type="dxa"/>
            <w:vMerge w:val="continue"/>
            <w:tcBorders>
              <w:top w:val="nil"/>
            </w:tcBorders>
          </w:tcPr>
          <w:p>
            <w:pPr>
              <w:spacing w:line="360" w:lineRule="auto"/>
              <w:rPr>
                <w:rFonts w:asciiTheme="minorEastAsia" w:hAnsiTheme="minorEastAsia" w:eastAsiaTheme="minorEastAsia" w:cstheme="minorEastAsia"/>
                <w:color w:val="auto"/>
                <w:szCs w:val="21"/>
                <w:highlight w:val="none"/>
              </w:rPr>
            </w:pPr>
          </w:p>
        </w:tc>
        <w:tc>
          <w:tcPr>
            <w:tcW w:w="1709" w:type="dxa"/>
          </w:tcPr>
          <w:p>
            <w:pPr>
              <w:pStyle w:val="29"/>
              <w:spacing w:before="91" w:line="360" w:lineRule="auto"/>
              <w:ind w:left="308" w:right="301"/>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开户银行</w:t>
            </w:r>
          </w:p>
        </w:tc>
        <w:tc>
          <w:tcPr>
            <w:tcW w:w="5956" w:type="dxa"/>
            <w:gridSpan w:val="3"/>
            <w:vAlign w:val="center"/>
          </w:tcPr>
          <w:p>
            <w:pPr>
              <w:pStyle w:val="29"/>
              <w:spacing w:before="91" w:line="360" w:lineRule="auto"/>
              <w:ind w:left="308" w:right="299"/>
              <w:jc w:val="center"/>
              <w:rPr>
                <w:rFonts w:asciiTheme="minorEastAsia" w:hAnsiTheme="minorEastAsia" w:eastAsiaTheme="minorEastAsia" w:cstheme="minorEastAsia"/>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564" w:type="dxa"/>
            <w:vMerge w:val="continue"/>
            <w:tcBorders>
              <w:top w:val="nil"/>
            </w:tcBorders>
          </w:tcPr>
          <w:p>
            <w:pPr>
              <w:spacing w:line="360" w:lineRule="auto"/>
              <w:rPr>
                <w:rFonts w:asciiTheme="minorEastAsia" w:hAnsiTheme="minorEastAsia" w:eastAsiaTheme="minorEastAsia" w:cstheme="minorEastAsia"/>
                <w:color w:val="auto"/>
                <w:szCs w:val="21"/>
                <w:highlight w:val="none"/>
              </w:rPr>
            </w:pPr>
          </w:p>
        </w:tc>
        <w:tc>
          <w:tcPr>
            <w:tcW w:w="1709" w:type="dxa"/>
          </w:tcPr>
          <w:p>
            <w:pPr>
              <w:pStyle w:val="29"/>
              <w:spacing w:before="92" w:line="360" w:lineRule="auto"/>
              <w:ind w:left="305" w:right="301"/>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账号</w:t>
            </w:r>
          </w:p>
        </w:tc>
        <w:tc>
          <w:tcPr>
            <w:tcW w:w="5956" w:type="dxa"/>
            <w:gridSpan w:val="3"/>
            <w:vAlign w:val="center"/>
          </w:tcPr>
          <w:p>
            <w:pPr>
              <w:pStyle w:val="29"/>
              <w:spacing w:before="91" w:line="360" w:lineRule="auto"/>
              <w:ind w:left="308" w:right="299"/>
              <w:jc w:val="center"/>
              <w:rPr>
                <w:rFonts w:asciiTheme="minorEastAsia" w:hAnsiTheme="minorEastAsia" w:eastAsiaTheme="minorEastAsia" w:cstheme="minorEastAsia"/>
                <w:color w:val="auto"/>
                <w:szCs w:val="21"/>
                <w:highlight w:val="none"/>
              </w:rPr>
            </w:pPr>
          </w:p>
        </w:tc>
      </w:tr>
    </w:tbl>
    <w:p>
      <w:pPr>
        <w:pStyle w:val="9"/>
        <w:spacing w:line="360" w:lineRule="auto"/>
        <w:ind w:firstLine="480" w:firstLineChars="200"/>
        <w:rPr>
          <w:rFonts w:asciiTheme="minorEastAsia" w:hAnsiTheme="minorEastAsia" w:eastAsiaTheme="minorEastAsia" w:cstheme="minorEastAsia"/>
          <w:color w:val="auto"/>
          <w:highlight w:val="none"/>
          <w:lang w:val="zh-CN"/>
        </w:rPr>
      </w:pPr>
    </w:p>
    <w:p>
      <w:pPr>
        <w:pStyle w:val="9"/>
        <w:spacing w:line="360" w:lineRule="auto"/>
        <w:ind w:firstLine="480" w:firstLineChars="200"/>
        <w:rPr>
          <w:rFonts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lang w:val="zh-CN"/>
        </w:rPr>
        <w:t>鉴于本合同双方同意按“合同能源管理”模式就“桂林市老城区路灯节能改造项目”（以下简称“项目”或“本项目”）进行 LED 节能改造专项节能服务，并支付相应的费用。双方经过平等协商，在真实、充分地表达各自意愿的基础上，根据《中华人民共和国</w:t>
      </w:r>
      <w:r>
        <w:rPr>
          <w:rFonts w:hint="eastAsia" w:asciiTheme="minorEastAsia" w:hAnsiTheme="minorEastAsia" w:eastAsiaTheme="minorEastAsia" w:cstheme="minorEastAsia"/>
          <w:color w:val="auto"/>
          <w:highlight w:val="none"/>
        </w:rPr>
        <w:t>民法典</w:t>
      </w:r>
      <w:r>
        <w:rPr>
          <w:rFonts w:hint="eastAsia" w:asciiTheme="minorEastAsia" w:hAnsiTheme="minorEastAsia" w:eastAsiaTheme="minorEastAsia" w:cstheme="minorEastAsia"/>
          <w:color w:val="auto"/>
          <w:highlight w:val="none"/>
          <w:lang w:val="zh-CN"/>
        </w:rPr>
        <w:t>》及其他相关法律法规的规定，达成如下协议，并由双方共同恪守。</w:t>
      </w:r>
    </w:p>
    <w:p>
      <w:pPr>
        <w:pStyle w:val="9"/>
        <w:spacing w:before="111" w:line="360" w:lineRule="auto"/>
        <w:ind w:right="665"/>
        <w:rPr>
          <w:rFonts w:asciiTheme="minorEastAsia" w:hAnsiTheme="minorEastAsia" w:eastAsiaTheme="minorEastAsia" w:cstheme="minorEastAsia"/>
          <w:color w:val="auto"/>
          <w:sz w:val="28"/>
          <w:szCs w:val="28"/>
          <w:highlight w:val="none"/>
        </w:rPr>
      </w:pPr>
    </w:p>
    <w:p>
      <w:pPr>
        <w:spacing w:line="360" w:lineRule="auto"/>
        <w:rPr>
          <w:rFonts w:asciiTheme="minorEastAsia" w:hAnsiTheme="minorEastAsia" w:eastAsiaTheme="minorEastAsia" w:cstheme="minorEastAsia"/>
          <w:color w:val="auto"/>
          <w:sz w:val="28"/>
          <w:szCs w:val="28"/>
          <w:highlight w:val="none"/>
        </w:rPr>
        <w:sectPr>
          <w:pgSz w:w="11910" w:h="16840"/>
          <w:pgMar w:top="1091" w:right="1080" w:bottom="779" w:left="1080" w:header="856" w:footer="1015" w:gutter="0"/>
          <w:cols w:space="720" w:num="1"/>
        </w:sectPr>
      </w:pPr>
    </w:p>
    <w:p>
      <w:pPr>
        <w:pStyle w:val="5"/>
        <w:keepNext w:val="0"/>
        <w:keepLines w:val="0"/>
        <w:tabs>
          <w:tab w:val="left" w:pos="1380"/>
        </w:tabs>
        <w:spacing w:before="0" w:line="380" w:lineRule="exact"/>
        <w:rPr>
          <w:rFonts w:asciiTheme="minorEastAsia" w:hAnsiTheme="minorEastAsia" w:eastAsiaTheme="minorEastAsia" w:cstheme="minorEastAsia"/>
          <w:color w:val="auto"/>
          <w:sz w:val="21"/>
          <w:szCs w:val="21"/>
          <w:highlight w:val="none"/>
          <w:lang w:eastAsia="zh-CN"/>
        </w:rPr>
      </w:pPr>
      <w:bookmarkStart w:id="46" w:name="第五章_评标办法及评分标准"/>
      <w:bookmarkEnd w:id="46"/>
      <w:r>
        <w:rPr>
          <w:rFonts w:hint="eastAsia" w:asciiTheme="minorEastAsia" w:hAnsiTheme="minorEastAsia" w:eastAsiaTheme="minorEastAsia" w:cstheme="minorEastAsia"/>
          <w:color w:val="auto"/>
          <w:sz w:val="21"/>
          <w:szCs w:val="21"/>
          <w:highlight w:val="none"/>
          <w:lang w:eastAsia="zh-CN"/>
        </w:rPr>
        <w:t>第1节</w:t>
      </w:r>
      <w:r>
        <w:rPr>
          <w:rFonts w:hint="eastAsia" w:asciiTheme="minorEastAsia" w:hAnsiTheme="minorEastAsia" w:eastAsiaTheme="minorEastAsia" w:cstheme="minorEastAsia"/>
          <w:color w:val="auto"/>
          <w:sz w:val="21"/>
          <w:szCs w:val="21"/>
          <w:highlight w:val="none"/>
          <w:lang w:eastAsia="zh-CN"/>
        </w:rPr>
        <w:tab/>
      </w:r>
      <w:r>
        <w:rPr>
          <w:rFonts w:hint="eastAsia" w:asciiTheme="minorEastAsia" w:hAnsiTheme="minorEastAsia" w:eastAsiaTheme="minorEastAsia" w:cstheme="minorEastAsia"/>
          <w:color w:val="auto"/>
          <w:sz w:val="21"/>
          <w:szCs w:val="21"/>
          <w:highlight w:val="none"/>
          <w:lang w:eastAsia="zh-CN"/>
        </w:rPr>
        <w:t>术语和定义</w:t>
      </w:r>
    </w:p>
    <w:p>
      <w:pPr>
        <w:pStyle w:val="30"/>
        <w:tabs>
          <w:tab w:val="left" w:pos="1379"/>
        </w:tabs>
        <w:spacing w:line="380" w:lineRule="exact"/>
        <w:ind w:left="0" w:firstLine="315" w:firstLineChars="15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  双方确定：本合同及相关附件中所涉及的有关名词和技术术语，其定义和解释如下：</w:t>
      </w:r>
    </w:p>
    <w:p>
      <w:pPr>
        <w:pStyle w:val="30"/>
        <w:tabs>
          <w:tab w:val="left" w:pos="1379"/>
        </w:tabs>
        <w:spacing w:line="380" w:lineRule="exact"/>
        <w:ind w:left="0" w:firstLine="315" w:firstLineChars="15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  合同能源管理：用能单位（</w:t>
      </w:r>
      <w:r>
        <w:rPr>
          <w:rFonts w:hint="eastAsia" w:asciiTheme="minorEastAsia" w:hAnsiTheme="minorEastAsia" w:eastAsiaTheme="minorEastAsia" w:cstheme="minorEastAsia"/>
          <w:color w:val="auto"/>
          <w:szCs w:val="21"/>
          <w:highlight w:val="none"/>
          <w:u w:val="single"/>
        </w:rPr>
        <w:t>甲方</w:t>
      </w:r>
      <w:r>
        <w:rPr>
          <w:rFonts w:hint="eastAsia" w:asciiTheme="minorEastAsia" w:hAnsiTheme="minorEastAsia" w:eastAsiaTheme="minorEastAsia" w:cstheme="minorEastAsia"/>
          <w:color w:val="auto"/>
          <w:szCs w:val="21"/>
          <w:highlight w:val="none"/>
        </w:rPr>
        <w:t>）与中标企业（</w:t>
      </w:r>
      <w:r>
        <w:rPr>
          <w:rFonts w:hint="eastAsia" w:asciiTheme="minorEastAsia" w:hAnsiTheme="minorEastAsia" w:eastAsiaTheme="minorEastAsia" w:cstheme="minorEastAsia"/>
          <w:color w:val="auto"/>
          <w:szCs w:val="21"/>
          <w:highlight w:val="none"/>
          <w:u w:val="single"/>
        </w:rPr>
        <w:t>乙方</w:t>
      </w:r>
      <w:r>
        <w:rPr>
          <w:rFonts w:hint="eastAsia" w:asciiTheme="minorEastAsia" w:hAnsiTheme="minorEastAsia" w:eastAsiaTheme="minorEastAsia" w:cstheme="minorEastAsia"/>
          <w:color w:val="auto"/>
          <w:szCs w:val="21"/>
          <w:highlight w:val="none"/>
        </w:rPr>
        <w:t>）以契约形式约定节能项目的节能目标，中标企业为实现节能目标向用能单位提供必要的</w:t>
      </w:r>
      <w:r>
        <w:rPr>
          <w:rFonts w:hint="eastAsia" w:asciiTheme="minorEastAsia" w:hAnsiTheme="minorEastAsia" w:eastAsiaTheme="minorEastAsia" w:cstheme="minorEastAsia"/>
          <w:color w:val="auto"/>
          <w:szCs w:val="21"/>
          <w:highlight w:val="none"/>
          <w:lang w:val="en-US"/>
        </w:rPr>
        <w:t>及合同约定的</w:t>
      </w:r>
      <w:r>
        <w:rPr>
          <w:rFonts w:hint="eastAsia" w:asciiTheme="minorEastAsia" w:hAnsiTheme="minorEastAsia" w:eastAsiaTheme="minorEastAsia" w:cstheme="minorEastAsia"/>
          <w:color w:val="auto"/>
          <w:szCs w:val="21"/>
          <w:highlight w:val="none"/>
        </w:rPr>
        <w:t>服务，用能单位以节能效益支付中标企业的投入及其合理利润的节能服务机制。</w:t>
      </w:r>
    </w:p>
    <w:p>
      <w:pPr>
        <w:pStyle w:val="30"/>
        <w:tabs>
          <w:tab w:val="left" w:pos="1379"/>
        </w:tabs>
        <w:spacing w:line="380" w:lineRule="exact"/>
        <w:ind w:left="0" w:firstLine="315" w:firstLineChars="15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  能耗基准：参照CJJT261-2017《城市照明合同能源管理技术规程》等行业规范，并由用能单位和中标企业双方共同确认的，用能单位或用能设备、环节在实施合同能源管理项目前某一时间段内的能源消耗状况。</w:t>
      </w:r>
    </w:p>
    <w:p>
      <w:pPr>
        <w:pStyle w:val="5"/>
        <w:keepNext w:val="0"/>
        <w:keepLines w:val="0"/>
        <w:tabs>
          <w:tab w:val="left" w:pos="1380"/>
        </w:tabs>
        <w:spacing w:before="0" w:line="380" w:lineRule="exact"/>
        <w:rPr>
          <w:rFonts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第2节</w:t>
      </w:r>
      <w:r>
        <w:rPr>
          <w:rFonts w:hint="eastAsia" w:asciiTheme="minorEastAsia" w:hAnsiTheme="minorEastAsia" w:eastAsiaTheme="minorEastAsia" w:cstheme="minorEastAsia"/>
          <w:color w:val="auto"/>
          <w:sz w:val="21"/>
          <w:szCs w:val="21"/>
          <w:highlight w:val="none"/>
          <w:lang w:eastAsia="zh-CN"/>
        </w:rPr>
        <w:tab/>
      </w:r>
      <w:r>
        <w:rPr>
          <w:rFonts w:hint="eastAsia" w:asciiTheme="minorEastAsia" w:hAnsiTheme="minorEastAsia" w:eastAsiaTheme="minorEastAsia" w:cstheme="minorEastAsia"/>
          <w:color w:val="auto"/>
          <w:sz w:val="21"/>
          <w:szCs w:val="21"/>
          <w:highlight w:val="none"/>
          <w:lang w:eastAsia="zh-CN"/>
        </w:rPr>
        <w:t>项目期限</w:t>
      </w:r>
    </w:p>
    <w:p>
      <w:pPr>
        <w:spacing w:line="380" w:lineRule="exac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highlight w:val="none"/>
        </w:rPr>
        <w:t xml:space="preserve">   2.1  本项目的合同期限为</w:t>
      </w:r>
      <w:r>
        <w:rPr>
          <w:rFonts w:hint="eastAsia" w:asciiTheme="minorEastAsia" w:hAnsiTheme="minorEastAsia" w:eastAsiaTheme="minorEastAsia" w:cstheme="minorEastAsia"/>
          <w:color w:val="auto"/>
          <w:highlight w:val="none"/>
          <w:u w:val="single"/>
        </w:rPr>
        <w:t xml:space="preserve">  年，自    年  月  日至    年  月  日。</w:t>
      </w:r>
    </w:p>
    <w:p>
      <w:pPr>
        <w:pStyle w:val="30"/>
        <w:tabs>
          <w:tab w:val="left" w:pos="1379"/>
        </w:tabs>
        <w:spacing w:line="380" w:lineRule="exact"/>
        <w:ind w:left="0" w:firstLine="315" w:firstLineChars="15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2.2  本项目第一期的建设期为</w:t>
      </w:r>
      <w:r>
        <w:rPr>
          <w:rFonts w:hint="eastAsia" w:asciiTheme="minorEastAsia" w:hAnsiTheme="minorEastAsia" w:eastAsiaTheme="minorEastAsia" w:cstheme="minorEastAsia"/>
          <w:color w:val="auto"/>
          <w:szCs w:val="21"/>
          <w:highlight w:val="none"/>
          <w:u w:val="single"/>
        </w:rPr>
        <w:t xml:space="preserve">    天 </w:t>
      </w:r>
      <w:r>
        <w:rPr>
          <w:rFonts w:hint="eastAsia" w:asciiTheme="minorEastAsia" w:hAnsiTheme="minorEastAsia" w:eastAsiaTheme="minorEastAsia" w:cstheme="minorEastAsia"/>
          <w:color w:val="auto"/>
          <w:szCs w:val="21"/>
          <w:highlight w:val="none"/>
        </w:rPr>
        <w:t>，自</w:t>
      </w:r>
      <w:r>
        <w:rPr>
          <w:rFonts w:hint="eastAsia" w:asciiTheme="minorEastAsia" w:hAnsiTheme="minorEastAsia" w:eastAsiaTheme="minorEastAsia" w:cstheme="minorEastAsia"/>
          <w:color w:val="auto"/>
          <w:szCs w:val="21"/>
          <w:highlight w:val="none"/>
          <w:u w:val="single"/>
        </w:rPr>
        <w:t xml:space="preserve">    年  月  日</w:t>
      </w:r>
      <w:r>
        <w:rPr>
          <w:rFonts w:hint="eastAsia" w:asciiTheme="minorEastAsia" w:hAnsiTheme="minorEastAsia" w:eastAsiaTheme="minorEastAsia" w:cstheme="minorEastAsia"/>
          <w:color w:val="auto"/>
          <w:szCs w:val="21"/>
          <w:highlight w:val="none"/>
        </w:rPr>
        <w:t>至</w:t>
      </w:r>
      <w:r>
        <w:rPr>
          <w:rFonts w:hint="eastAsia" w:asciiTheme="minorEastAsia" w:hAnsiTheme="minorEastAsia" w:eastAsiaTheme="minorEastAsia" w:cstheme="minorEastAsia"/>
          <w:color w:val="auto"/>
          <w:szCs w:val="21"/>
          <w:highlight w:val="none"/>
          <w:u w:val="single"/>
        </w:rPr>
        <w:t xml:space="preserve">    年  月  日</w:t>
      </w:r>
      <w:r>
        <w:rPr>
          <w:rFonts w:hint="eastAsia" w:asciiTheme="minorEastAsia" w:hAnsiTheme="minorEastAsia" w:eastAsiaTheme="minorEastAsia" w:cstheme="minorEastAsia"/>
          <w:color w:val="auto"/>
          <w:szCs w:val="21"/>
          <w:highlight w:val="none"/>
        </w:rPr>
        <w:t>；</w:t>
      </w:r>
    </w:p>
    <w:p>
      <w:pPr>
        <w:pStyle w:val="30"/>
        <w:tabs>
          <w:tab w:val="left" w:pos="1379"/>
        </w:tabs>
        <w:spacing w:line="380" w:lineRule="exact"/>
        <w:ind w:left="0" w:firstLine="315" w:firstLineChars="15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本项目第二期的建设期为</w:t>
      </w:r>
      <w:r>
        <w:rPr>
          <w:rFonts w:hint="eastAsia" w:asciiTheme="minorEastAsia" w:hAnsiTheme="minorEastAsia" w:eastAsiaTheme="minorEastAsia" w:cstheme="minorEastAsia"/>
          <w:color w:val="auto"/>
          <w:szCs w:val="21"/>
          <w:highlight w:val="none"/>
          <w:u w:val="single"/>
        </w:rPr>
        <w:t xml:space="preserve">    天 </w:t>
      </w:r>
      <w:r>
        <w:rPr>
          <w:rFonts w:hint="eastAsia" w:asciiTheme="minorEastAsia" w:hAnsiTheme="minorEastAsia" w:eastAsiaTheme="minorEastAsia" w:cstheme="minorEastAsia"/>
          <w:color w:val="auto"/>
          <w:szCs w:val="21"/>
          <w:highlight w:val="none"/>
        </w:rPr>
        <w:t>，自</w:t>
      </w:r>
      <w:r>
        <w:rPr>
          <w:rFonts w:hint="eastAsia" w:asciiTheme="minorEastAsia" w:hAnsiTheme="minorEastAsia" w:eastAsiaTheme="minorEastAsia" w:cstheme="minorEastAsia"/>
          <w:color w:val="auto"/>
          <w:szCs w:val="21"/>
          <w:highlight w:val="none"/>
          <w:u w:val="single"/>
        </w:rPr>
        <w:t xml:space="preserve">    年  月  日</w:t>
      </w:r>
      <w:r>
        <w:rPr>
          <w:rFonts w:hint="eastAsia" w:asciiTheme="minorEastAsia" w:hAnsiTheme="minorEastAsia" w:eastAsiaTheme="minorEastAsia" w:cstheme="minorEastAsia"/>
          <w:color w:val="auto"/>
          <w:szCs w:val="21"/>
          <w:highlight w:val="none"/>
        </w:rPr>
        <w:t>至</w:t>
      </w:r>
      <w:r>
        <w:rPr>
          <w:rFonts w:hint="eastAsia" w:asciiTheme="minorEastAsia" w:hAnsiTheme="minorEastAsia" w:eastAsiaTheme="minorEastAsia" w:cstheme="minorEastAsia"/>
          <w:color w:val="auto"/>
          <w:szCs w:val="21"/>
          <w:highlight w:val="none"/>
          <w:u w:val="single"/>
        </w:rPr>
        <w:t xml:space="preserve">    年  月  日</w:t>
      </w:r>
      <w:r>
        <w:rPr>
          <w:rFonts w:hint="eastAsia" w:asciiTheme="minorEastAsia" w:hAnsiTheme="minorEastAsia" w:eastAsiaTheme="minorEastAsia" w:cstheme="minorEastAsia"/>
          <w:color w:val="auto"/>
          <w:szCs w:val="21"/>
          <w:highlight w:val="none"/>
        </w:rPr>
        <w:t>。</w:t>
      </w:r>
    </w:p>
    <w:p>
      <w:pPr>
        <w:pStyle w:val="30"/>
        <w:tabs>
          <w:tab w:val="left" w:pos="1380"/>
        </w:tabs>
        <w:spacing w:line="380" w:lineRule="exact"/>
        <w:ind w:left="0" w:firstLine="315" w:firstLineChars="15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2.3  本项目的能源管理款项支付期为</w:t>
      </w:r>
      <w:r>
        <w:rPr>
          <w:rFonts w:hint="eastAsia" w:asciiTheme="minorEastAsia" w:hAnsiTheme="minorEastAsia" w:eastAsiaTheme="minorEastAsia" w:cstheme="minorEastAsia"/>
          <w:color w:val="auto"/>
          <w:szCs w:val="21"/>
          <w:highlight w:val="none"/>
          <w:u w:val="single"/>
        </w:rPr>
        <w:t xml:space="preserve">  年共  个月</w:t>
      </w:r>
      <w:r>
        <w:rPr>
          <w:rFonts w:hint="eastAsia" w:asciiTheme="minorEastAsia" w:hAnsiTheme="minorEastAsia" w:eastAsiaTheme="minorEastAsia" w:cstheme="minorEastAsia"/>
          <w:color w:val="auto"/>
          <w:szCs w:val="21"/>
          <w:highlight w:val="none"/>
        </w:rPr>
        <w:t>，自</w:t>
      </w:r>
      <w:r>
        <w:rPr>
          <w:rFonts w:hint="eastAsia" w:asciiTheme="minorEastAsia" w:hAnsiTheme="minorEastAsia" w:eastAsiaTheme="minorEastAsia" w:cstheme="minorEastAsia"/>
          <w:color w:val="auto"/>
          <w:szCs w:val="21"/>
          <w:highlight w:val="none"/>
          <w:u w:val="single"/>
        </w:rPr>
        <w:t xml:space="preserve">    年</w:t>
      </w:r>
      <w:r>
        <w:rPr>
          <w:rFonts w:hint="eastAsia" w:asciiTheme="minorEastAsia" w:hAnsiTheme="minorEastAsia" w:eastAsiaTheme="minorEastAsia" w:cstheme="minorEastAsia"/>
          <w:color w:val="auto"/>
          <w:szCs w:val="21"/>
          <w:highlight w:val="none"/>
          <w:u w:val="single"/>
          <w:lang w:val="en-US"/>
        </w:rPr>
        <w:t xml:space="preserve">  </w:t>
      </w:r>
      <w:r>
        <w:rPr>
          <w:rFonts w:hint="eastAsia" w:asciiTheme="minorEastAsia" w:hAnsiTheme="minorEastAsia" w:eastAsiaTheme="minorEastAsia" w:cstheme="minorEastAsia"/>
          <w:color w:val="auto"/>
          <w:szCs w:val="21"/>
          <w:highlight w:val="none"/>
          <w:u w:val="single"/>
        </w:rPr>
        <w:t>月</w:t>
      </w:r>
      <w:r>
        <w:rPr>
          <w:rFonts w:hint="eastAsia" w:asciiTheme="minorEastAsia" w:hAnsiTheme="minorEastAsia" w:eastAsiaTheme="minorEastAsia" w:cstheme="minorEastAsia"/>
          <w:color w:val="auto"/>
          <w:szCs w:val="21"/>
          <w:highlight w:val="none"/>
          <w:u w:val="single"/>
          <w:lang w:val="en-US"/>
        </w:rPr>
        <w:t xml:space="preserve">  </w:t>
      </w:r>
      <w:r>
        <w:rPr>
          <w:rFonts w:hint="eastAsia" w:asciiTheme="minorEastAsia" w:hAnsiTheme="minorEastAsia" w:eastAsiaTheme="minorEastAsia" w:cstheme="minorEastAsia"/>
          <w:color w:val="auto"/>
          <w:szCs w:val="21"/>
          <w:highlight w:val="none"/>
          <w:u w:val="single"/>
        </w:rPr>
        <w:t>日至    年</w:t>
      </w:r>
      <w:r>
        <w:rPr>
          <w:rFonts w:hint="eastAsia" w:asciiTheme="minorEastAsia" w:hAnsiTheme="minorEastAsia" w:eastAsiaTheme="minorEastAsia" w:cstheme="minorEastAsia"/>
          <w:color w:val="auto"/>
          <w:szCs w:val="21"/>
          <w:highlight w:val="none"/>
          <w:u w:val="single"/>
          <w:lang w:val="en-US"/>
        </w:rPr>
        <w:t xml:space="preserve">  </w:t>
      </w:r>
      <w:r>
        <w:rPr>
          <w:rFonts w:hint="eastAsia" w:asciiTheme="minorEastAsia" w:hAnsiTheme="minorEastAsia" w:eastAsiaTheme="minorEastAsia" w:cstheme="minorEastAsia"/>
          <w:color w:val="auto"/>
          <w:szCs w:val="21"/>
          <w:highlight w:val="none"/>
          <w:u w:val="single"/>
        </w:rPr>
        <w:t>月</w:t>
      </w:r>
      <w:r>
        <w:rPr>
          <w:rFonts w:hint="eastAsia" w:asciiTheme="minorEastAsia" w:hAnsiTheme="minorEastAsia" w:eastAsiaTheme="minorEastAsia" w:cstheme="minorEastAsia"/>
          <w:color w:val="auto"/>
          <w:szCs w:val="21"/>
          <w:highlight w:val="none"/>
          <w:u w:val="single"/>
          <w:lang w:val="en-US"/>
        </w:rPr>
        <w:t xml:space="preserve">  </w:t>
      </w:r>
      <w:r>
        <w:rPr>
          <w:rFonts w:hint="eastAsia" w:asciiTheme="minorEastAsia" w:hAnsiTheme="minorEastAsia" w:eastAsiaTheme="minorEastAsia" w:cstheme="minorEastAsia"/>
          <w:color w:val="auto"/>
          <w:szCs w:val="21"/>
          <w:highlight w:val="none"/>
          <w:u w:val="single"/>
        </w:rPr>
        <w:t>日</w:t>
      </w:r>
      <w:r>
        <w:rPr>
          <w:rFonts w:hint="eastAsia" w:asciiTheme="minorEastAsia" w:hAnsiTheme="minorEastAsia" w:eastAsiaTheme="minorEastAsia" w:cstheme="minorEastAsia"/>
          <w:color w:val="auto"/>
          <w:szCs w:val="21"/>
          <w:highlight w:val="none"/>
        </w:rPr>
        <w:t>。</w:t>
      </w:r>
    </w:p>
    <w:p>
      <w:pPr>
        <w:pStyle w:val="30"/>
        <w:tabs>
          <w:tab w:val="left" w:pos="1380"/>
        </w:tabs>
        <w:spacing w:line="380" w:lineRule="exact"/>
        <w:ind w:left="0" w:firstLine="315" w:firstLineChars="150"/>
        <w:rPr>
          <w:rFonts w:asciiTheme="minorEastAsia" w:hAnsiTheme="minorEastAsia" w:eastAsiaTheme="minorEastAsia" w:cstheme="minorEastAsia"/>
          <w:color w:val="auto"/>
          <w:szCs w:val="21"/>
          <w:highlight w:val="none"/>
          <w:lang w:val="en-US"/>
        </w:rPr>
      </w:pPr>
      <w:r>
        <w:rPr>
          <w:rFonts w:hint="eastAsia" w:asciiTheme="minorEastAsia" w:hAnsiTheme="minorEastAsia" w:eastAsiaTheme="minorEastAsia" w:cstheme="minorEastAsia"/>
          <w:color w:val="auto"/>
          <w:szCs w:val="21"/>
          <w:highlight w:val="none"/>
          <w:lang w:val="en-US"/>
        </w:rPr>
        <w:t>2.4  本项目的节能服务期为   年，自        至        止。</w:t>
      </w:r>
    </w:p>
    <w:p>
      <w:pPr>
        <w:pStyle w:val="30"/>
        <w:tabs>
          <w:tab w:val="left" w:pos="1380"/>
          <w:tab w:val="left" w:pos="5314"/>
          <w:tab w:val="left" w:pos="7414"/>
        </w:tabs>
        <w:spacing w:line="380" w:lineRule="exact"/>
        <w:ind w:left="0" w:firstLine="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第3节</w:t>
      </w:r>
      <w:r>
        <w:rPr>
          <w:rFonts w:hint="eastAsia" w:asciiTheme="minorEastAsia" w:hAnsiTheme="minorEastAsia" w:eastAsiaTheme="minorEastAsia" w:cstheme="minorEastAsia"/>
          <w:b/>
          <w:color w:val="auto"/>
          <w:szCs w:val="21"/>
          <w:highlight w:val="none"/>
        </w:rPr>
        <w:tab/>
      </w:r>
      <w:r>
        <w:rPr>
          <w:rFonts w:hint="eastAsia" w:asciiTheme="minorEastAsia" w:hAnsiTheme="minorEastAsia" w:eastAsiaTheme="minorEastAsia" w:cstheme="minorEastAsia"/>
          <w:b/>
          <w:color w:val="auto"/>
          <w:szCs w:val="21"/>
          <w:highlight w:val="none"/>
        </w:rPr>
        <w:t>项目方案设计、实施和项目的验收</w:t>
      </w:r>
    </w:p>
    <w:p>
      <w:pPr>
        <w:pStyle w:val="30"/>
        <w:tabs>
          <w:tab w:val="left" w:pos="1379"/>
        </w:tabs>
        <w:spacing w:line="380" w:lineRule="exact"/>
        <w:ind w:left="42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3.1</w:t>
      </w:r>
      <w:r>
        <w:rPr>
          <w:rFonts w:hint="eastAsia" w:asciiTheme="minorEastAsia" w:hAnsiTheme="minorEastAsia" w:eastAsiaTheme="minorEastAsia" w:cstheme="minorEastAsia"/>
          <w:color w:val="auto"/>
          <w:szCs w:val="21"/>
          <w:highlight w:val="none"/>
        </w:rPr>
        <w:t>甲乙双方应当按照本合同的要求以及本合同的规定进行本项目的实施。</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3.2项目设计、施工、验收、运营等方案经甲方批准同意后方可实施，除非双方另行同意，或者依照相关法律法规规定及本合同第 7 节的规定修改之外，不得修改。</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3.3乙方应当依照第2节规定的时间根据项目方案的规定开始项目的建设、实施和运行。</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3.4乙方所提供的改造方案需与现场实际情况相符，在签订协议后20 天内，乙方提供的改造方案仍不能满足招标文件和合同条件规定的要求，则甲方有权解除本合同，并邀请其他中标候选人重新签订合约。</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3.5履约保证金：履约保证金金额为贰佰万元整（</w:t>
      </w:r>
      <w:r>
        <w:rPr>
          <w:rFonts w:asciiTheme="minorEastAsia" w:hAnsiTheme="minorEastAsia" w:eastAsiaTheme="minorEastAsia" w:cstheme="minorEastAsia"/>
          <w:color w:val="auto"/>
          <w:szCs w:val="21"/>
          <w:highlight w:val="none"/>
        </w:rPr>
        <w:t xml:space="preserve">¥2000000.00 </w:t>
      </w:r>
      <w:r>
        <w:rPr>
          <w:rFonts w:hint="eastAsia" w:asciiTheme="minorEastAsia" w:hAnsiTheme="minorEastAsia" w:eastAsiaTheme="minorEastAsia" w:cstheme="minorEastAsia"/>
          <w:color w:val="auto"/>
          <w:szCs w:val="21"/>
          <w:highlight w:val="none"/>
        </w:rPr>
        <w:t>元）。履约保证金</w:t>
      </w:r>
      <w:r>
        <w:rPr>
          <w:rFonts w:hint="eastAsia" w:ascii="宋体" w:hAnsi="宋体" w:cs="宋体"/>
          <w:color w:val="auto"/>
          <w:szCs w:val="21"/>
          <w:highlight w:val="none"/>
        </w:rPr>
        <w:t>的提交形式可以采用银行保函、现金、保证保</w:t>
      </w:r>
      <w:r>
        <w:rPr>
          <w:rFonts w:hint="eastAsia" w:asciiTheme="minorEastAsia" w:hAnsiTheme="minorEastAsia" w:eastAsiaTheme="minorEastAsia" w:cstheme="minorEastAsia"/>
          <w:color w:val="auto"/>
          <w:szCs w:val="21"/>
          <w:highlight w:val="none"/>
        </w:rPr>
        <w:t>险保函、工程担保保函等形式。乙方须在签订合同后</w:t>
      </w:r>
      <w:r>
        <w:rPr>
          <w:rFonts w:asciiTheme="minorEastAsia" w:hAnsiTheme="minorEastAsia" w:eastAsiaTheme="minorEastAsia" w:cstheme="minorEastAsia"/>
          <w:color w:val="auto"/>
          <w:szCs w:val="21"/>
          <w:highlight w:val="none"/>
        </w:rPr>
        <w:t>20日内</w:t>
      </w:r>
      <w:r>
        <w:rPr>
          <w:rFonts w:hint="eastAsia" w:asciiTheme="minorEastAsia" w:hAnsiTheme="minorEastAsia" w:eastAsiaTheme="minorEastAsia" w:cstheme="minorEastAsia"/>
          <w:color w:val="auto"/>
          <w:szCs w:val="21"/>
          <w:highlight w:val="none"/>
        </w:rPr>
        <w:t>向甲方提交履约保证金，履约保证金的有效期必须涵盖项目建设期、节能服务期、最终移交期等合同全阶段，除现金形式外，其他提交形式应以1至3年为一个周期提交保证材料，在该周期结束前3个月内应提交下一周期的保证材料直至服务移交期结束。如未按要求提交履约保证金的，甲方可取消其中标资格或终止合同。</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3.5签订合同后60 日内乙方完成未达到项目第一期建设规模 30%的，视为违约，甲方有权解除本合同，并没收全部履约保证金。因不可抗力因素造成的项目进度延缓，乙方施工期限应相应增加。因不可抗力因素及非乙方原因造成的，不属于乙方违约，乙方不承担相应责任。不可抗力因素见合同第10节，10.1条款。</w:t>
      </w:r>
    </w:p>
    <w:p>
      <w:pPr>
        <w:pStyle w:val="30"/>
        <w:tabs>
          <w:tab w:val="left" w:pos="1379"/>
        </w:tabs>
        <w:spacing w:line="380" w:lineRule="exact"/>
        <w:ind w:left="42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3.6</w:t>
      </w:r>
      <w:r>
        <w:rPr>
          <w:rFonts w:hint="eastAsia" w:asciiTheme="minorEastAsia" w:hAnsiTheme="minorEastAsia" w:eastAsiaTheme="minorEastAsia" w:cstheme="minorEastAsia"/>
          <w:color w:val="auto"/>
          <w:szCs w:val="21"/>
          <w:highlight w:val="none"/>
        </w:rPr>
        <w:t>工程验收：项目按两期施工内容，分两期分别进行一次性工程整体验收方式。</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3.7甲方收到乙方验收申请的7个工作日内进行项目建设验收。</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3.8甲乙双方应当按照附件一的规定以及乙方投标文件中对招标文件每一项技术和商务要求的响应情况进行项目验收。其中包括：灯具和控制装置的验收按照</w:t>
      </w:r>
      <w:r>
        <w:rPr>
          <w:rFonts w:asciiTheme="minorEastAsia" w:hAnsiTheme="minorEastAsia" w:eastAsiaTheme="minorEastAsia" w:cstheme="minorEastAsia"/>
          <w:color w:val="auto"/>
          <w:szCs w:val="21"/>
          <w:highlight w:val="none"/>
        </w:rPr>
        <w:t>GB7000.1-2015</w:t>
      </w:r>
      <w:r>
        <w:rPr>
          <w:rFonts w:hint="eastAsia" w:asciiTheme="minorEastAsia" w:hAnsiTheme="minorEastAsia" w:eastAsiaTheme="minorEastAsia" w:cstheme="minorEastAsia"/>
          <w:color w:val="auto"/>
          <w:szCs w:val="21"/>
          <w:highlight w:val="none"/>
        </w:rPr>
        <w:t>《灯具</w:t>
      </w:r>
      <w:r>
        <w:rPr>
          <w:rFonts w:asciiTheme="minorEastAsia" w:hAnsiTheme="minorEastAsia" w:eastAsiaTheme="minorEastAsia" w:cstheme="minorEastAsia"/>
          <w:color w:val="auto"/>
          <w:szCs w:val="21"/>
          <w:highlight w:val="none"/>
        </w:rPr>
        <w:t xml:space="preserve"> </w:t>
      </w:r>
      <w:r>
        <w:rPr>
          <w:rFonts w:hint="eastAsia" w:asciiTheme="minorEastAsia" w:hAnsiTheme="minorEastAsia" w:eastAsiaTheme="minorEastAsia" w:cstheme="minorEastAsia"/>
          <w:color w:val="auto"/>
          <w:szCs w:val="21"/>
          <w:highlight w:val="none"/>
        </w:rPr>
        <w:t>第</w:t>
      </w:r>
      <w:r>
        <w:rPr>
          <w:rFonts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rPr>
        <w:t>部分：一般要求与试验》、</w:t>
      </w:r>
      <w:r>
        <w:rPr>
          <w:rFonts w:asciiTheme="minorEastAsia" w:hAnsiTheme="minorEastAsia" w:eastAsiaTheme="minorEastAsia" w:cstheme="minorEastAsia"/>
          <w:color w:val="auto"/>
          <w:szCs w:val="21"/>
          <w:highlight w:val="none"/>
        </w:rPr>
        <w:t>GB 7000.203-2013</w:t>
      </w:r>
      <w:r>
        <w:rPr>
          <w:rFonts w:hint="eastAsia" w:asciiTheme="minorEastAsia" w:hAnsiTheme="minorEastAsia" w:eastAsiaTheme="minorEastAsia" w:cstheme="minorEastAsia"/>
          <w:color w:val="auto"/>
          <w:szCs w:val="21"/>
          <w:highlight w:val="none"/>
        </w:rPr>
        <w:t>《灯具</w:t>
      </w:r>
      <w:r>
        <w:rPr>
          <w:rFonts w:asciiTheme="minorEastAsia" w:hAnsiTheme="minorEastAsia" w:eastAsiaTheme="minorEastAsia" w:cstheme="minorEastAsia"/>
          <w:color w:val="auto"/>
          <w:szCs w:val="21"/>
          <w:highlight w:val="none"/>
        </w:rPr>
        <w:t xml:space="preserve"> </w:t>
      </w:r>
      <w:r>
        <w:rPr>
          <w:rFonts w:hint="eastAsia" w:asciiTheme="minorEastAsia" w:hAnsiTheme="minorEastAsia" w:eastAsiaTheme="minorEastAsia" w:cstheme="minorEastAsia"/>
          <w:color w:val="auto"/>
          <w:szCs w:val="21"/>
          <w:highlight w:val="none"/>
        </w:rPr>
        <w:t>第</w:t>
      </w:r>
      <w:r>
        <w:rPr>
          <w:rFonts w:asciiTheme="minorEastAsia" w:hAnsiTheme="minorEastAsia" w:eastAsiaTheme="minorEastAsia" w:cstheme="minorEastAsia"/>
          <w:color w:val="auto"/>
          <w:szCs w:val="21"/>
          <w:highlight w:val="none"/>
        </w:rPr>
        <w:t>2-3</w:t>
      </w:r>
      <w:r>
        <w:rPr>
          <w:rFonts w:hint="eastAsia" w:asciiTheme="minorEastAsia" w:hAnsiTheme="minorEastAsia" w:eastAsiaTheme="minorEastAsia" w:cstheme="minorEastAsia"/>
          <w:color w:val="auto"/>
          <w:szCs w:val="21"/>
          <w:highlight w:val="none"/>
        </w:rPr>
        <w:t>部分</w:t>
      </w:r>
      <w:r>
        <w:rPr>
          <w:rFonts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rPr>
        <w:t>特殊要求</w:t>
      </w:r>
      <w:r>
        <w:rPr>
          <w:rFonts w:asciiTheme="minorEastAsia" w:hAnsiTheme="minorEastAsia" w:eastAsiaTheme="minorEastAsia" w:cstheme="minorEastAsia"/>
          <w:color w:val="auto"/>
          <w:szCs w:val="21"/>
          <w:highlight w:val="none"/>
        </w:rPr>
        <w:t xml:space="preserve"> </w:t>
      </w:r>
      <w:r>
        <w:rPr>
          <w:rFonts w:hint="eastAsia" w:asciiTheme="minorEastAsia" w:hAnsiTheme="minorEastAsia" w:eastAsiaTheme="minorEastAsia" w:cstheme="minorEastAsia"/>
          <w:color w:val="auto"/>
          <w:szCs w:val="21"/>
          <w:highlight w:val="none"/>
        </w:rPr>
        <w:t>道路与街路照明灯具》、</w:t>
      </w:r>
      <w:r>
        <w:rPr>
          <w:rFonts w:asciiTheme="minorEastAsia" w:hAnsiTheme="minorEastAsia" w:eastAsiaTheme="minorEastAsia" w:cstheme="minorEastAsia"/>
          <w:color w:val="auto"/>
          <w:szCs w:val="21"/>
          <w:highlight w:val="none"/>
        </w:rPr>
        <w:t>GBT 31832-2015</w:t>
      </w:r>
      <w:r>
        <w:rPr>
          <w:rFonts w:hint="eastAsia" w:asciiTheme="minorEastAsia" w:hAnsiTheme="minorEastAsia" w:eastAsiaTheme="minorEastAsia" w:cstheme="minorEastAsia"/>
          <w:color w:val="auto"/>
          <w:szCs w:val="21"/>
          <w:highlight w:val="none"/>
        </w:rPr>
        <w:t>《</w:t>
      </w:r>
      <w:r>
        <w:rPr>
          <w:rFonts w:asciiTheme="minorEastAsia" w:hAnsiTheme="minorEastAsia" w:eastAsiaTheme="minorEastAsia" w:cstheme="minorEastAsia"/>
          <w:color w:val="auto"/>
          <w:szCs w:val="21"/>
          <w:highlight w:val="none"/>
        </w:rPr>
        <w:t xml:space="preserve"> LED</w:t>
      </w:r>
      <w:r>
        <w:rPr>
          <w:rFonts w:hint="eastAsia" w:asciiTheme="minorEastAsia" w:hAnsiTheme="minorEastAsia" w:eastAsiaTheme="minorEastAsia" w:cstheme="minorEastAsia"/>
          <w:color w:val="auto"/>
          <w:szCs w:val="21"/>
          <w:highlight w:val="none"/>
        </w:rPr>
        <w:t>城市道路照明应用技术要求》、</w:t>
      </w:r>
      <w:r>
        <w:rPr>
          <w:rFonts w:asciiTheme="minorEastAsia" w:hAnsiTheme="minorEastAsia" w:eastAsiaTheme="minorEastAsia" w:cstheme="minorEastAsia"/>
          <w:color w:val="auto"/>
          <w:szCs w:val="21"/>
          <w:highlight w:val="none"/>
        </w:rPr>
        <w:t>GB/T 24907-2010</w:t>
      </w:r>
      <w:r>
        <w:rPr>
          <w:rFonts w:hint="eastAsia" w:asciiTheme="minorEastAsia" w:hAnsiTheme="minorEastAsia" w:eastAsiaTheme="minorEastAsia" w:cstheme="minorEastAsia"/>
          <w:color w:val="auto"/>
          <w:szCs w:val="21"/>
          <w:highlight w:val="none"/>
        </w:rPr>
        <w:t>《道路照明</w:t>
      </w:r>
      <w:r>
        <w:rPr>
          <w:rFonts w:asciiTheme="minorEastAsia" w:hAnsiTheme="minorEastAsia" w:eastAsiaTheme="minorEastAsia" w:cstheme="minorEastAsia"/>
          <w:color w:val="auto"/>
          <w:szCs w:val="21"/>
          <w:highlight w:val="none"/>
        </w:rPr>
        <w:t>LED</w:t>
      </w:r>
      <w:r>
        <w:rPr>
          <w:rFonts w:hint="eastAsia" w:asciiTheme="minorEastAsia" w:hAnsiTheme="minorEastAsia" w:eastAsiaTheme="minorEastAsia" w:cstheme="minorEastAsia"/>
          <w:color w:val="auto"/>
          <w:szCs w:val="21"/>
          <w:highlight w:val="none"/>
        </w:rPr>
        <w:t>灯性能要求》。项目所有道路的设计、施工等改造方案必须严格按照甲方要求和现行行业标准</w:t>
      </w:r>
      <w:r>
        <w:rPr>
          <w:rFonts w:asciiTheme="minorEastAsia" w:hAnsiTheme="minorEastAsia" w:eastAsiaTheme="minorEastAsia" w:cstheme="minorEastAsia"/>
          <w:color w:val="auto"/>
          <w:szCs w:val="21"/>
          <w:highlight w:val="none"/>
        </w:rPr>
        <w:t>CJJ 45-2015</w:t>
      </w:r>
      <w:r>
        <w:rPr>
          <w:rFonts w:hint="eastAsia" w:asciiTheme="minorEastAsia" w:hAnsiTheme="minorEastAsia" w:eastAsiaTheme="minorEastAsia" w:cstheme="minorEastAsia"/>
          <w:color w:val="auto"/>
          <w:szCs w:val="21"/>
          <w:highlight w:val="none"/>
        </w:rPr>
        <w:t>《城市道路照明设计标准》的要求，并且每一级道路、非机动车道、人行道等的平均亮度、平均照度均取高档值（树荫遮挡、灯杆间距过大等原因导致不满足《城市道路照明设计标准》（CJJ45-2015）的除外）。灯具、控制装置和电线电缆等设备的安装施工质量和验收按照</w:t>
      </w:r>
      <w:r>
        <w:rPr>
          <w:rFonts w:asciiTheme="minorEastAsia" w:hAnsiTheme="minorEastAsia" w:eastAsiaTheme="minorEastAsia" w:cstheme="minorEastAsia"/>
          <w:color w:val="auto"/>
          <w:szCs w:val="21"/>
          <w:highlight w:val="none"/>
        </w:rPr>
        <w:t>CJJ 89-2012</w:t>
      </w:r>
      <w:r>
        <w:rPr>
          <w:rFonts w:hint="eastAsia" w:asciiTheme="minorEastAsia" w:hAnsiTheme="minorEastAsia" w:eastAsiaTheme="minorEastAsia" w:cstheme="minorEastAsia"/>
          <w:color w:val="auto"/>
          <w:szCs w:val="21"/>
          <w:highlight w:val="none"/>
        </w:rPr>
        <w:t>《城市道路照明工程施工及验收规程》，竣工后的整体照明质量和功率密度的验收按照</w:t>
      </w:r>
      <w:r>
        <w:rPr>
          <w:rFonts w:asciiTheme="minorEastAsia" w:hAnsiTheme="minorEastAsia" w:eastAsiaTheme="minorEastAsia" w:cstheme="minorEastAsia"/>
          <w:color w:val="auto"/>
          <w:szCs w:val="21"/>
          <w:highlight w:val="none"/>
        </w:rPr>
        <w:t>CJJ45-2015</w:t>
      </w:r>
      <w:r>
        <w:rPr>
          <w:rFonts w:hint="eastAsia" w:asciiTheme="minorEastAsia" w:hAnsiTheme="minorEastAsia" w:eastAsiaTheme="minorEastAsia" w:cstheme="minorEastAsia"/>
          <w:color w:val="auto"/>
          <w:szCs w:val="21"/>
          <w:highlight w:val="none"/>
        </w:rPr>
        <w:t>《城市道路照明设计标准》。甲方出具《路灯节能改造工程验收单》给乙方。</w:t>
      </w:r>
    </w:p>
    <w:p>
      <w:pPr>
        <w:pStyle w:val="2"/>
        <w:spacing w:line="380" w:lineRule="exact"/>
        <w:ind w:firstLine="420" w:firstLineChars="200"/>
        <w:rPr>
          <w:rFonts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3.9为了实现系统化二次节能，在满足使用需求的前提下，本项目改造范围内的所有道路路灯实行调光节能，由乙方提供道路调光方案，经甲方审核通过后实施。乙方提供的道路调光方案应满足国家标准、行业规范，若改造道路出现的</w:t>
      </w:r>
      <w:r>
        <w:rPr>
          <w:rFonts w:hint="eastAsia" w:asciiTheme="minorEastAsia" w:hAnsiTheme="minorEastAsia" w:eastAsiaTheme="minorEastAsia" w:cstheme="minorEastAsia"/>
          <w:color w:val="auto"/>
          <w:sz w:val="21"/>
          <w:szCs w:val="21"/>
          <w:highlight w:val="none"/>
        </w:rPr>
        <w:t>交通、安全等事故，由相关部门认定原因为道路照明质量未满足相关国家标准、行业规范导致的，乙方应承担所有赔偿责任。</w:t>
      </w:r>
    </w:p>
    <w:p>
      <w:pPr>
        <w:pStyle w:val="5"/>
        <w:keepNext w:val="0"/>
        <w:keepLines w:val="0"/>
        <w:tabs>
          <w:tab w:val="left" w:pos="1380"/>
        </w:tabs>
        <w:spacing w:before="0" w:line="380" w:lineRule="exact"/>
        <w:rPr>
          <w:rFonts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第4节</w:t>
      </w:r>
      <w:r>
        <w:rPr>
          <w:rFonts w:hint="eastAsia" w:asciiTheme="minorEastAsia" w:hAnsiTheme="minorEastAsia" w:eastAsiaTheme="minorEastAsia" w:cstheme="minorEastAsia"/>
          <w:color w:val="auto"/>
          <w:sz w:val="21"/>
          <w:szCs w:val="21"/>
          <w:highlight w:val="none"/>
          <w:lang w:eastAsia="zh-CN"/>
        </w:rPr>
        <w:tab/>
      </w:r>
      <w:r>
        <w:rPr>
          <w:rFonts w:hint="eastAsia" w:asciiTheme="minorEastAsia" w:hAnsiTheme="minorEastAsia" w:eastAsiaTheme="minorEastAsia" w:cstheme="minorEastAsia"/>
          <w:color w:val="auto"/>
          <w:sz w:val="21"/>
          <w:szCs w:val="21"/>
          <w:highlight w:val="none"/>
          <w:lang w:eastAsia="zh-CN"/>
        </w:rPr>
        <w:t>能源管理款项支付方式</w:t>
      </w:r>
    </w:p>
    <w:p>
      <w:pPr>
        <w:tabs>
          <w:tab w:val="left" w:pos="1326"/>
        </w:tabs>
        <w:spacing w:line="380" w:lineRule="exact"/>
        <w:ind w:firstLine="420"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4.1能源管理款项按月支付。支付时甲方按照4.2内容计算能源管理款项，甲方扣除改造范围实际电费支出后，将乙方应得的能源管理款项按月支付至乙方。第三方检测费用由</w:t>
      </w:r>
      <w:r>
        <w:rPr>
          <w:rFonts w:hint="eastAsia" w:asciiTheme="minorEastAsia" w:hAnsiTheme="minorEastAsia" w:eastAsiaTheme="minorEastAsia" w:cstheme="minorEastAsia"/>
          <w:color w:val="auto"/>
          <w:szCs w:val="21"/>
          <w:highlight w:val="none"/>
          <w:u w:val="single"/>
        </w:rPr>
        <w:t xml:space="preserve"> 乙方承担并从乙方应得</w:t>
      </w:r>
      <w:r>
        <w:rPr>
          <w:rFonts w:hint="eastAsia" w:asciiTheme="minorEastAsia" w:hAnsiTheme="minorEastAsia" w:eastAsiaTheme="minorEastAsia" w:cstheme="minorEastAsia"/>
          <w:color w:val="auto"/>
          <w:szCs w:val="21"/>
          <w:highlight w:val="none"/>
        </w:rPr>
        <w:t>的能源管理款项中扣出并支付给第三方检测机构。</w:t>
      </w:r>
    </w:p>
    <w:p>
      <w:pPr>
        <w:pStyle w:val="30"/>
        <w:tabs>
          <w:tab w:val="left" w:pos="1326"/>
          <w:tab w:val="left" w:pos="4920"/>
          <w:tab w:val="left" w:pos="6505"/>
        </w:tabs>
        <w:spacing w:line="380" w:lineRule="exact"/>
        <w:ind w:left="420" w:firstLine="0"/>
        <w:rPr>
          <w:rFonts w:asciiTheme="minorEastAsia" w:hAnsiTheme="minorEastAsia" w:eastAsiaTheme="minorEastAsia" w:cstheme="minorEastAsia"/>
          <w:color w:val="auto"/>
          <w:szCs w:val="21"/>
          <w:highlight w:val="none"/>
          <w:lang w:val="en-US"/>
        </w:rPr>
      </w:pPr>
      <w:r>
        <w:rPr>
          <w:rFonts w:hint="eastAsia" w:asciiTheme="minorEastAsia" w:hAnsiTheme="minorEastAsia" w:eastAsiaTheme="minorEastAsia" w:cstheme="minorEastAsia"/>
          <w:color w:val="auto"/>
          <w:szCs w:val="21"/>
          <w:highlight w:val="none"/>
          <w:lang w:val="en-US"/>
        </w:rPr>
        <w:t>4.2</w:t>
      </w:r>
      <w:r>
        <w:rPr>
          <w:rFonts w:hint="eastAsia" w:asciiTheme="minorEastAsia" w:hAnsiTheme="minorEastAsia" w:eastAsiaTheme="minorEastAsia" w:cstheme="minorEastAsia"/>
          <w:color w:val="auto"/>
          <w:szCs w:val="21"/>
          <w:highlight w:val="none"/>
        </w:rPr>
        <w:t>节能计算</w:t>
      </w:r>
      <w:r>
        <w:rPr>
          <w:rFonts w:hint="eastAsia" w:asciiTheme="minorEastAsia" w:hAnsiTheme="minorEastAsia" w:eastAsiaTheme="minorEastAsia" w:cstheme="minorEastAsia"/>
          <w:color w:val="auto"/>
          <w:szCs w:val="21"/>
          <w:highlight w:val="none"/>
          <w:lang w:val="en-US"/>
        </w:rPr>
        <w:t>方式</w:t>
      </w:r>
    </w:p>
    <w:p>
      <w:pPr>
        <w:pStyle w:val="2"/>
        <w:spacing w:line="380" w:lineRule="exact"/>
        <w:ind w:firstLine="420" w:firstLineChars="200"/>
        <w:rPr>
          <w:rFonts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4.2.1当月能源管理应付款=该月改造前项目范围平均用电量×</w:t>
      </w:r>
      <w:r>
        <w:rPr>
          <w:rFonts w:asciiTheme="minorEastAsia" w:hAnsiTheme="minorEastAsia" w:eastAsiaTheme="minorEastAsia" w:cstheme="minorEastAsia"/>
          <w:color w:val="auto"/>
          <w:kern w:val="2"/>
          <w:sz w:val="21"/>
          <w:szCs w:val="21"/>
          <w:highlight w:val="none"/>
        </w:rPr>
        <w:t>固定</w:t>
      </w:r>
      <w:r>
        <w:rPr>
          <w:rFonts w:hint="eastAsia" w:asciiTheme="minorEastAsia" w:hAnsiTheme="minorEastAsia" w:eastAsiaTheme="minorEastAsia" w:cstheme="minorEastAsia"/>
          <w:color w:val="auto"/>
          <w:kern w:val="2"/>
          <w:sz w:val="21"/>
          <w:szCs w:val="21"/>
          <w:highlight w:val="none"/>
        </w:rPr>
        <w:t>电价×折扣率-该月项目范围实际电费支出</w:t>
      </w:r>
    </w:p>
    <w:p>
      <w:pPr>
        <w:pStyle w:val="2"/>
        <w:spacing w:line="380" w:lineRule="exact"/>
        <w:ind w:firstLine="420" w:firstLineChars="200"/>
        <w:rPr>
          <w:rFonts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1）该月改造前平均用电量由甲方、乙方、第三方检测机构共同认定，认定流程是：甲方、乙方、第三方检测机构①通过实地核查共同确认涉及改造范围的城市照明专用电表数量和户号；②通过南方电网官网或APP、与桂林供电局直接沟通等方式，查询确认核算改造范围电表户号改造前近年实时用电量；③综合考虑项目改造前亮灯率情况通过三方认可的方式最终确定该月改造前平均用电量。该月改造前平均用电量</w:t>
      </w:r>
      <w:bookmarkStart w:id="47" w:name="OLE_LINK5"/>
      <w:bookmarkStart w:id="48" w:name="OLE_LINK6"/>
      <w:r>
        <w:rPr>
          <w:rFonts w:hint="eastAsia" w:asciiTheme="minorEastAsia" w:hAnsiTheme="minorEastAsia" w:eastAsiaTheme="minorEastAsia" w:cstheme="minorEastAsia"/>
          <w:color w:val="auto"/>
          <w:kern w:val="2"/>
          <w:sz w:val="21"/>
          <w:szCs w:val="21"/>
          <w:highlight w:val="none"/>
        </w:rPr>
        <w:t>一经确定，服务期内不得更改。</w:t>
      </w:r>
      <w:bookmarkEnd w:id="47"/>
      <w:bookmarkEnd w:id="48"/>
    </w:p>
    <w:p>
      <w:pPr>
        <w:pStyle w:val="30"/>
        <w:tabs>
          <w:tab w:val="left" w:pos="1326"/>
          <w:tab w:val="left" w:pos="4920"/>
          <w:tab w:val="left" w:pos="6505"/>
        </w:tabs>
        <w:spacing w:line="380" w:lineRule="exact"/>
        <w:ind w:left="0" w:firstLineChars="200"/>
        <w:rPr>
          <w:rFonts w:asciiTheme="minorEastAsia" w:hAnsiTheme="minorEastAsia" w:eastAsiaTheme="minorEastAsia" w:cstheme="minorEastAsia"/>
          <w:color w:val="auto"/>
          <w:szCs w:val="21"/>
          <w:highlight w:val="none"/>
          <w:lang w:val="en-US"/>
        </w:rPr>
      </w:pPr>
      <w:r>
        <w:rPr>
          <w:rFonts w:hint="eastAsia" w:asciiTheme="minorEastAsia" w:hAnsiTheme="minorEastAsia" w:eastAsiaTheme="minorEastAsia" w:cstheme="minorEastAsia"/>
          <w:color w:val="auto"/>
          <w:szCs w:val="21"/>
          <w:highlight w:val="none"/>
          <w:lang w:val="en-US"/>
        </w:rPr>
        <w:t>（2）固定电价经双方确认为</w:t>
      </w:r>
      <w:r>
        <w:rPr>
          <w:rFonts w:hint="eastAsia" w:asciiTheme="minorEastAsia" w:hAnsiTheme="minorEastAsia" w:eastAsiaTheme="minorEastAsia" w:cstheme="minorEastAsia"/>
          <w:color w:val="auto"/>
          <w:szCs w:val="21"/>
          <w:highlight w:val="none"/>
          <w:u w:val="single"/>
          <w:lang w:val="en-US"/>
        </w:rPr>
        <w:t xml:space="preserve">    </w:t>
      </w:r>
      <w:r>
        <w:rPr>
          <w:rFonts w:hint="eastAsia" w:asciiTheme="minorEastAsia" w:hAnsiTheme="minorEastAsia" w:eastAsiaTheme="minorEastAsia" w:cstheme="minorEastAsia"/>
          <w:color w:val="auto"/>
          <w:szCs w:val="21"/>
          <w:highlight w:val="none"/>
          <w:lang w:val="en-US"/>
        </w:rPr>
        <w:t>元/度。计算过程为以项目</w:t>
      </w:r>
      <w:r>
        <w:rPr>
          <w:rFonts w:asciiTheme="minorEastAsia" w:hAnsiTheme="minorEastAsia" w:eastAsiaTheme="minorEastAsia" w:cstheme="minorEastAsia"/>
          <w:color w:val="auto"/>
          <w:szCs w:val="21"/>
          <w:highlight w:val="none"/>
          <w:lang w:val="en-US"/>
        </w:rPr>
        <w:t>合同签订之</w:t>
      </w:r>
      <w:r>
        <w:rPr>
          <w:rFonts w:hint="eastAsia" w:asciiTheme="minorEastAsia" w:hAnsiTheme="minorEastAsia" w:eastAsiaTheme="minorEastAsia" w:cstheme="minorEastAsia"/>
          <w:color w:val="auto"/>
          <w:szCs w:val="21"/>
          <w:highlight w:val="none"/>
          <w:lang w:val="en-US"/>
        </w:rPr>
        <w:t>月为时间节点，核准</w:t>
      </w:r>
      <w:r>
        <w:rPr>
          <w:rFonts w:asciiTheme="minorEastAsia" w:hAnsiTheme="minorEastAsia" w:eastAsiaTheme="minorEastAsia" w:cstheme="minorEastAsia"/>
          <w:color w:val="auto"/>
          <w:szCs w:val="21"/>
          <w:highlight w:val="none"/>
          <w:lang w:val="en-US"/>
        </w:rPr>
        <w:t>拟</w:t>
      </w:r>
      <w:r>
        <w:rPr>
          <w:rFonts w:hint="eastAsia" w:asciiTheme="minorEastAsia" w:hAnsiTheme="minorEastAsia" w:eastAsiaTheme="minorEastAsia" w:cstheme="minorEastAsia"/>
          <w:color w:val="auto"/>
          <w:szCs w:val="21"/>
          <w:highlight w:val="none"/>
          <w:lang w:val="en-US"/>
        </w:rPr>
        <w:t>改造范围该时间节点</w:t>
      </w:r>
      <w:r>
        <w:rPr>
          <w:rFonts w:asciiTheme="minorEastAsia" w:hAnsiTheme="minorEastAsia" w:eastAsiaTheme="minorEastAsia" w:cstheme="minorEastAsia"/>
          <w:color w:val="auto"/>
          <w:szCs w:val="21"/>
          <w:highlight w:val="none"/>
          <w:lang w:val="en-US"/>
        </w:rPr>
        <w:t>前</w:t>
      </w:r>
      <w:r>
        <w:rPr>
          <w:rFonts w:hint="eastAsia" w:asciiTheme="minorEastAsia" w:hAnsiTheme="minorEastAsia" w:eastAsiaTheme="minorEastAsia" w:cstheme="minorEastAsia"/>
          <w:color w:val="auto"/>
          <w:szCs w:val="21"/>
          <w:highlight w:val="none"/>
          <w:lang w:val="en-US"/>
        </w:rPr>
        <w:t>12个月的总电费和总用电量，固定电价=总电费/总用电量。固定电价一经确定，服务期内原则上不得更改，如遇电价改革或其他不可预知的情况，采购人报市财政部门同意后，双方协商补充协议，按补充协议执行。</w:t>
      </w:r>
    </w:p>
    <w:p>
      <w:pPr>
        <w:pStyle w:val="30"/>
        <w:tabs>
          <w:tab w:val="left" w:pos="1326"/>
          <w:tab w:val="left" w:pos="4920"/>
          <w:tab w:val="left" w:pos="6505"/>
        </w:tabs>
        <w:spacing w:line="380" w:lineRule="exact"/>
        <w:ind w:left="0" w:firstLineChars="200"/>
        <w:rPr>
          <w:rFonts w:asciiTheme="minorEastAsia" w:hAnsiTheme="minorEastAsia" w:eastAsiaTheme="minorEastAsia" w:cstheme="minorEastAsia"/>
          <w:color w:val="auto"/>
          <w:szCs w:val="21"/>
          <w:highlight w:val="none"/>
          <w:lang w:val="en-US"/>
        </w:rPr>
      </w:pPr>
      <w:r>
        <w:rPr>
          <w:rFonts w:hint="eastAsia" w:asciiTheme="minorEastAsia" w:hAnsiTheme="minorEastAsia" w:eastAsiaTheme="minorEastAsia" w:cstheme="minorEastAsia"/>
          <w:color w:val="auto"/>
          <w:szCs w:val="21"/>
          <w:highlight w:val="none"/>
          <w:lang w:val="en-US"/>
        </w:rPr>
        <w:t>（3）</w:t>
      </w:r>
      <w:r>
        <w:rPr>
          <w:rFonts w:hint="eastAsia" w:asciiTheme="minorEastAsia" w:hAnsiTheme="minorEastAsia" w:eastAsiaTheme="minorEastAsia" w:cstheme="minorEastAsia"/>
          <w:color w:val="auto"/>
          <w:szCs w:val="21"/>
          <w:highlight w:val="none"/>
        </w:rPr>
        <w:t>折扣率</w:t>
      </w:r>
      <w:r>
        <w:rPr>
          <w:rFonts w:hint="eastAsia" w:asciiTheme="minorEastAsia" w:hAnsiTheme="minorEastAsia" w:eastAsiaTheme="minorEastAsia" w:cstheme="minorEastAsia"/>
          <w:color w:val="auto"/>
          <w:szCs w:val="21"/>
          <w:highlight w:val="none"/>
          <w:lang w:val="en-US"/>
        </w:rPr>
        <w:t>为</w:t>
      </w:r>
      <w:r>
        <w:rPr>
          <w:rFonts w:hint="eastAsia" w:asciiTheme="minorEastAsia" w:hAnsiTheme="minorEastAsia" w:eastAsiaTheme="minorEastAsia" w:cstheme="minorEastAsia"/>
          <w:color w:val="auto"/>
          <w:szCs w:val="21"/>
          <w:highlight w:val="none"/>
          <w:u w:val="single"/>
          <w:lang w:val="en-US"/>
        </w:rPr>
        <w:t xml:space="preserve">    </w:t>
      </w:r>
      <w:r>
        <w:rPr>
          <w:rFonts w:hint="eastAsia" w:asciiTheme="minorEastAsia" w:hAnsiTheme="minorEastAsia" w:eastAsiaTheme="minorEastAsia" w:cstheme="minorEastAsia"/>
          <w:color w:val="auto"/>
          <w:szCs w:val="21"/>
          <w:highlight w:val="none"/>
          <w:lang w:val="en-US"/>
        </w:rPr>
        <w:t>%。</w:t>
      </w:r>
      <w:r>
        <w:rPr>
          <w:rFonts w:hint="eastAsia" w:asciiTheme="minorEastAsia" w:hAnsiTheme="minorEastAsia" w:eastAsiaTheme="minorEastAsia" w:cstheme="minorEastAsia"/>
          <w:color w:val="auto"/>
          <w:szCs w:val="21"/>
          <w:highlight w:val="none"/>
        </w:rPr>
        <w:t>折扣率</w:t>
      </w:r>
      <w:r>
        <w:rPr>
          <w:rFonts w:hint="eastAsia" w:asciiTheme="minorEastAsia" w:hAnsiTheme="minorEastAsia" w:eastAsiaTheme="minorEastAsia" w:cstheme="minorEastAsia"/>
          <w:color w:val="auto"/>
          <w:szCs w:val="21"/>
          <w:highlight w:val="none"/>
          <w:lang w:val="en-US"/>
        </w:rPr>
        <w:t>为中标通知书中乙方中标报价，</w:t>
      </w:r>
      <w:r>
        <w:rPr>
          <w:rFonts w:hint="eastAsia" w:asciiTheme="minorEastAsia" w:hAnsiTheme="minorEastAsia" w:eastAsiaTheme="minorEastAsia" w:cstheme="minorEastAsia"/>
          <w:color w:val="auto"/>
          <w:szCs w:val="21"/>
          <w:highlight w:val="none"/>
        </w:rPr>
        <w:t>服务期内不得更改</w:t>
      </w:r>
      <w:r>
        <w:rPr>
          <w:rFonts w:hint="eastAsia" w:asciiTheme="minorEastAsia" w:hAnsiTheme="minorEastAsia" w:eastAsiaTheme="minorEastAsia" w:cstheme="minorEastAsia"/>
          <w:color w:val="auto"/>
          <w:szCs w:val="21"/>
          <w:highlight w:val="none"/>
          <w:lang w:val="en-US"/>
        </w:rPr>
        <w:t>。</w:t>
      </w:r>
    </w:p>
    <w:p>
      <w:pPr>
        <w:pStyle w:val="30"/>
        <w:tabs>
          <w:tab w:val="left" w:pos="1326"/>
          <w:tab w:val="left" w:pos="4920"/>
          <w:tab w:val="left" w:pos="6505"/>
        </w:tabs>
        <w:spacing w:line="380" w:lineRule="exact"/>
        <w:ind w:left="0" w:firstLineChars="200"/>
        <w:rPr>
          <w:rFonts w:asciiTheme="minorEastAsia" w:hAnsiTheme="minorEastAsia" w:eastAsiaTheme="minorEastAsia" w:cstheme="minorEastAsia"/>
          <w:color w:val="auto"/>
          <w:szCs w:val="21"/>
          <w:highlight w:val="none"/>
          <w:lang w:val="en-US"/>
        </w:rPr>
      </w:pPr>
      <w:r>
        <w:rPr>
          <w:rFonts w:hint="eastAsia" w:asciiTheme="minorEastAsia" w:hAnsiTheme="minorEastAsia" w:eastAsiaTheme="minorEastAsia" w:cstheme="minorEastAsia"/>
          <w:color w:val="auto"/>
          <w:szCs w:val="21"/>
          <w:highlight w:val="none"/>
          <w:lang w:val="en-US"/>
        </w:rPr>
        <w:t>（4）</w:t>
      </w:r>
      <w:r>
        <w:rPr>
          <w:rFonts w:hint="eastAsia" w:asciiTheme="minorEastAsia" w:hAnsiTheme="minorEastAsia" w:eastAsiaTheme="minorEastAsia" w:cstheme="minorEastAsia"/>
          <w:color w:val="auto"/>
          <w:szCs w:val="21"/>
          <w:highlight w:val="none"/>
        </w:rPr>
        <w:t>该月改造范围实际电费支</w:t>
      </w:r>
      <w:r>
        <w:rPr>
          <w:rFonts w:hint="eastAsia" w:asciiTheme="minorEastAsia" w:hAnsiTheme="minorEastAsia" w:eastAsiaTheme="minorEastAsia" w:cstheme="minorEastAsia"/>
          <w:color w:val="auto"/>
          <w:szCs w:val="21"/>
          <w:highlight w:val="none"/>
          <w:lang w:val="en-US"/>
        </w:rPr>
        <w:t>出以桂林供电局实际征收的经甲方、乙方、第三方检测机构共同确认的涉及改造范围城市照明专用电表户号用电费用为准。</w:t>
      </w:r>
    </w:p>
    <w:p>
      <w:pPr>
        <w:pStyle w:val="30"/>
        <w:tabs>
          <w:tab w:val="left" w:pos="1326"/>
          <w:tab w:val="left" w:pos="4920"/>
          <w:tab w:val="left" w:pos="6505"/>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4.2.2</w:t>
      </w:r>
      <w:r>
        <w:rPr>
          <w:rFonts w:hint="eastAsia" w:asciiTheme="minorEastAsia" w:hAnsiTheme="minorEastAsia" w:eastAsiaTheme="minorEastAsia" w:cstheme="minorEastAsia"/>
          <w:color w:val="auto"/>
          <w:szCs w:val="21"/>
          <w:highlight w:val="none"/>
        </w:rPr>
        <w:t>当月能源管理</w:t>
      </w:r>
      <w:r>
        <w:rPr>
          <w:rFonts w:hint="eastAsia" w:asciiTheme="minorEastAsia" w:hAnsiTheme="minorEastAsia" w:eastAsiaTheme="minorEastAsia" w:cstheme="minorEastAsia"/>
          <w:color w:val="auto"/>
          <w:szCs w:val="21"/>
          <w:highlight w:val="none"/>
          <w:lang w:val="en-US"/>
        </w:rPr>
        <w:t>实际支付额须根</w:t>
      </w:r>
      <w:r>
        <w:rPr>
          <w:rFonts w:hint="eastAsia" w:asciiTheme="minorEastAsia" w:hAnsiTheme="minorEastAsia" w:eastAsiaTheme="minorEastAsia" w:cstheme="minorEastAsia"/>
          <w:color w:val="auto"/>
          <w:szCs w:val="21"/>
          <w:highlight w:val="none"/>
        </w:rPr>
        <w:t>据</w:t>
      </w:r>
      <w:bookmarkStart w:id="49" w:name="_Hlk67523730"/>
      <w:r>
        <w:rPr>
          <w:rFonts w:hint="eastAsia" w:asciiTheme="minorEastAsia" w:hAnsiTheme="minorEastAsia" w:eastAsiaTheme="minorEastAsia" w:cstheme="minorEastAsia"/>
          <w:color w:val="auto"/>
          <w:szCs w:val="21"/>
          <w:highlight w:val="none"/>
        </w:rPr>
        <w:t>《桂林市合同能源管理道路照明设施维护考核细则(试行)》</w:t>
      </w:r>
      <w:bookmarkEnd w:id="49"/>
      <w:r>
        <w:rPr>
          <w:rFonts w:hint="eastAsia" w:asciiTheme="minorEastAsia" w:hAnsiTheme="minorEastAsia" w:eastAsiaTheme="minorEastAsia" w:cstheme="minorEastAsia"/>
          <w:color w:val="auto"/>
          <w:szCs w:val="21"/>
          <w:highlight w:val="none"/>
        </w:rPr>
        <w:t>中“六、考核结果应用”内容，如有扣款则进行扣款后实际支付，如无扣款则按应付款支付。</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4.3能源管理款项按照第 4.1、4.2 条的规定，由甲方协助乙方办理每次的请款支付手续，具体内容包括：</w:t>
      </w:r>
    </w:p>
    <w:p>
      <w:pPr>
        <w:pStyle w:val="30"/>
        <w:tabs>
          <w:tab w:val="left" w:pos="1379"/>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rPr>
        <w:t>1</w:t>
      </w:r>
      <w:r>
        <w:rPr>
          <w:rFonts w:hint="eastAsia" w:asciiTheme="minorEastAsia" w:hAnsiTheme="minorEastAsia" w:eastAsiaTheme="minorEastAsia" w:cstheme="minorEastAsia"/>
          <w:color w:val="auto"/>
          <w:szCs w:val="21"/>
          <w:highlight w:val="none"/>
        </w:rPr>
        <w:t>）项目第一期整体验收合格后的第二个月起开始按合约规定的支付方式进行能源管理款项支付。</w:t>
      </w:r>
    </w:p>
    <w:p>
      <w:pPr>
        <w:pStyle w:val="30"/>
        <w:tabs>
          <w:tab w:val="left" w:pos="1326"/>
          <w:tab w:val="left" w:pos="4920"/>
          <w:tab w:val="left" w:pos="6505"/>
        </w:tabs>
        <w:spacing w:line="380" w:lineRule="exact"/>
        <w:ind w:left="0" w:firstLineChars="200"/>
        <w:rPr>
          <w:rFonts w:asciiTheme="minorEastAsia" w:hAnsiTheme="minorEastAsia" w:eastAsiaTheme="minorEastAsia" w:cstheme="minorEastAsia"/>
          <w:color w:val="auto"/>
          <w:szCs w:val="21"/>
          <w:highlight w:val="none"/>
          <w:lang w:val="en-US"/>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rPr>
        <w:t>2</w:t>
      </w:r>
      <w:r>
        <w:rPr>
          <w:rFonts w:hint="eastAsia" w:asciiTheme="minorEastAsia" w:hAnsiTheme="minorEastAsia" w:eastAsiaTheme="minorEastAsia" w:cstheme="minorEastAsia"/>
          <w:color w:val="auto"/>
          <w:szCs w:val="21"/>
          <w:highlight w:val="none"/>
        </w:rPr>
        <w:t>）节能服务期内在充分保证整个项目的照明质量和安全性能的前提下，相关款项按本项目“</w:t>
      </w:r>
      <w:r>
        <w:rPr>
          <w:rFonts w:hint="eastAsia" w:asciiTheme="minorEastAsia" w:hAnsiTheme="minorEastAsia" w:eastAsiaTheme="minorEastAsia" w:cstheme="minorEastAsia"/>
          <w:color w:val="auto"/>
          <w:szCs w:val="21"/>
          <w:highlight w:val="none"/>
          <w:lang w:val="en-US"/>
        </w:rPr>
        <w:t>4.2</w:t>
      </w:r>
      <w:r>
        <w:rPr>
          <w:rFonts w:hint="eastAsia" w:asciiTheme="minorEastAsia" w:hAnsiTheme="minorEastAsia" w:eastAsiaTheme="minorEastAsia" w:cstheme="minorEastAsia"/>
          <w:color w:val="auto"/>
          <w:szCs w:val="21"/>
          <w:highlight w:val="none"/>
        </w:rPr>
        <w:t>节能计算</w:t>
      </w:r>
      <w:r>
        <w:rPr>
          <w:rFonts w:hint="eastAsia" w:asciiTheme="minorEastAsia" w:hAnsiTheme="minorEastAsia" w:eastAsiaTheme="minorEastAsia" w:cstheme="minorEastAsia"/>
          <w:color w:val="auto"/>
          <w:szCs w:val="21"/>
          <w:highlight w:val="none"/>
          <w:lang w:val="en-US"/>
        </w:rPr>
        <w:t>方式</w:t>
      </w:r>
      <w:r>
        <w:rPr>
          <w:rFonts w:hint="eastAsia" w:asciiTheme="minorEastAsia" w:hAnsiTheme="minorEastAsia" w:eastAsiaTheme="minorEastAsia" w:cstheme="minorEastAsia"/>
          <w:color w:val="auto"/>
          <w:szCs w:val="21"/>
          <w:highlight w:val="none"/>
        </w:rPr>
        <w:t xml:space="preserve">”执行。 </w:t>
      </w:r>
    </w:p>
    <w:p>
      <w:pPr>
        <w:pStyle w:val="30"/>
        <w:tabs>
          <w:tab w:val="left" w:pos="127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rPr>
        <w:t>3</w:t>
      </w:r>
      <w:r>
        <w:rPr>
          <w:rFonts w:hint="eastAsia" w:asciiTheme="minorEastAsia" w:hAnsiTheme="minorEastAsia" w:eastAsiaTheme="minorEastAsia" w:cstheme="minorEastAsia"/>
          <w:color w:val="auto"/>
          <w:szCs w:val="21"/>
          <w:highlight w:val="none"/>
        </w:rPr>
        <w:t>）能源管理应付款</w:t>
      </w:r>
      <w:r>
        <w:rPr>
          <w:rFonts w:hint="eastAsia" w:asciiTheme="minorEastAsia" w:hAnsiTheme="minorEastAsia" w:eastAsiaTheme="minorEastAsia" w:cstheme="minorEastAsia"/>
          <w:color w:val="auto"/>
          <w:szCs w:val="21"/>
          <w:highlight w:val="none"/>
          <w:u w:val="single"/>
        </w:rPr>
        <w:t>每月</w:t>
      </w:r>
      <w:r>
        <w:rPr>
          <w:rFonts w:hint="eastAsia" w:asciiTheme="minorEastAsia" w:hAnsiTheme="minorEastAsia" w:eastAsiaTheme="minorEastAsia" w:cstheme="minorEastAsia"/>
          <w:color w:val="auto"/>
          <w:szCs w:val="21"/>
          <w:highlight w:val="none"/>
        </w:rPr>
        <w:t>结算一次，在节能服务期内每月的头10个工作日内，乙方根据有效的双方签字确认的服务考核文件向甲方发出书面申请</w:t>
      </w:r>
      <w:r>
        <w:rPr>
          <w:rFonts w:hint="eastAsia" w:asciiTheme="minorEastAsia" w:hAnsiTheme="minorEastAsia" w:eastAsiaTheme="minorEastAsia" w:cstheme="minorEastAsia"/>
          <w:color w:val="auto"/>
          <w:szCs w:val="21"/>
          <w:highlight w:val="none"/>
          <w:u w:val="single"/>
        </w:rPr>
        <w:t>上月</w:t>
      </w:r>
      <w:r>
        <w:rPr>
          <w:rFonts w:hint="eastAsia" w:asciiTheme="minorEastAsia" w:hAnsiTheme="minorEastAsia" w:eastAsiaTheme="minorEastAsia" w:cstheme="minorEastAsia"/>
          <w:color w:val="auto"/>
          <w:szCs w:val="21"/>
          <w:highlight w:val="none"/>
        </w:rPr>
        <w:t>的能源管理</w:t>
      </w:r>
      <w:r>
        <w:rPr>
          <w:rFonts w:hint="eastAsia" w:asciiTheme="minorEastAsia" w:hAnsiTheme="minorEastAsia" w:eastAsiaTheme="minorEastAsia" w:cstheme="minorEastAsia"/>
          <w:color w:val="auto"/>
          <w:szCs w:val="21"/>
          <w:highlight w:val="none"/>
          <w:lang w:val="en-US"/>
        </w:rPr>
        <w:t>实际支付额</w:t>
      </w:r>
      <w:r>
        <w:rPr>
          <w:rFonts w:hint="eastAsia" w:asciiTheme="minorEastAsia" w:hAnsiTheme="minorEastAsia" w:eastAsiaTheme="minorEastAsia" w:cstheme="minorEastAsia"/>
          <w:color w:val="auto"/>
          <w:szCs w:val="21"/>
          <w:highlight w:val="none"/>
        </w:rPr>
        <w:t>，须注明付款的金额、方式等。甲方应在收到乙方申请后的三十个工作日内完成相关款项支付。</w:t>
      </w:r>
    </w:p>
    <w:p>
      <w:pPr>
        <w:pStyle w:val="30"/>
        <w:tabs>
          <w:tab w:val="left" w:pos="1276"/>
        </w:tabs>
        <w:spacing w:line="380" w:lineRule="exact"/>
        <w:ind w:hanging="78"/>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（4）乙方凭以下文件申请支付款项:</w:t>
      </w:r>
    </w:p>
    <w:p>
      <w:pPr>
        <w:pStyle w:val="30"/>
        <w:tabs>
          <w:tab w:val="left" w:pos="127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①支付申请书；</w:t>
      </w:r>
    </w:p>
    <w:p>
      <w:pPr>
        <w:pStyle w:val="30"/>
        <w:tabs>
          <w:tab w:val="left" w:pos="127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②合同；</w:t>
      </w:r>
    </w:p>
    <w:p>
      <w:pPr>
        <w:pStyle w:val="30"/>
        <w:tabs>
          <w:tab w:val="left" w:pos="127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③乙方开具的增值税普通发票；（由乙方开具项目所在地节能服务发票）</w:t>
      </w:r>
    </w:p>
    <w:p>
      <w:pPr>
        <w:pStyle w:val="30"/>
        <w:tabs>
          <w:tab w:val="left" w:pos="127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④甲乙双方共同签字确认的《项目运行情况报告》，内容包括但不限于故障总数和维修情况、提供备品情况报告、工作量报表、佐证照片等；</w:t>
      </w:r>
    </w:p>
    <w:p>
      <w:pPr>
        <w:pStyle w:val="30"/>
        <w:tabs>
          <w:tab w:val="left" w:pos="127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⑤</w:t>
      </w:r>
      <w:r>
        <w:rPr>
          <w:rFonts w:hint="eastAsia" w:asciiTheme="minorEastAsia" w:hAnsiTheme="minorEastAsia" w:eastAsiaTheme="minorEastAsia" w:cstheme="minorEastAsia"/>
          <w:color w:val="auto"/>
          <w:szCs w:val="21"/>
          <w:highlight w:val="none"/>
          <w:lang w:val="en-US"/>
        </w:rPr>
        <w:t>甲乙双</w:t>
      </w:r>
      <w:r>
        <w:rPr>
          <w:rFonts w:hint="eastAsia" w:asciiTheme="minorEastAsia" w:hAnsiTheme="minorEastAsia" w:eastAsiaTheme="minorEastAsia" w:cstheme="minorEastAsia"/>
          <w:color w:val="auto"/>
          <w:szCs w:val="21"/>
          <w:highlight w:val="none"/>
        </w:rPr>
        <w:t>方共同签字确认的《该月改造后项目范围实际电费支出</w:t>
      </w:r>
      <w:r>
        <w:rPr>
          <w:rFonts w:hint="eastAsia" w:asciiTheme="minorEastAsia" w:hAnsiTheme="minorEastAsia" w:eastAsiaTheme="minorEastAsia" w:cstheme="minorEastAsia"/>
          <w:color w:val="auto"/>
          <w:szCs w:val="21"/>
          <w:highlight w:val="none"/>
          <w:lang w:val="en-US"/>
        </w:rPr>
        <w:t>明细表</w:t>
      </w:r>
      <w:r>
        <w:rPr>
          <w:rFonts w:hint="eastAsia" w:asciiTheme="minorEastAsia" w:hAnsiTheme="minorEastAsia" w:eastAsiaTheme="minorEastAsia" w:cstheme="minorEastAsia"/>
          <w:color w:val="auto"/>
          <w:szCs w:val="21"/>
          <w:highlight w:val="none"/>
        </w:rPr>
        <w:t>》；</w:t>
      </w:r>
    </w:p>
    <w:p>
      <w:pPr>
        <w:pStyle w:val="30"/>
        <w:tabs>
          <w:tab w:val="left" w:pos="127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⑥</w:t>
      </w:r>
      <w:r>
        <w:rPr>
          <w:rFonts w:hint="eastAsia" w:asciiTheme="minorEastAsia" w:hAnsiTheme="minorEastAsia" w:eastAsiaTheme="minorEastAsia" w:cstheme="minorEastAsia"/>
          <w:color w:val="auto"/>
          <w:szCs w:val="21"/>
          <w:highlight w:val="none"/>
          <w:lang w:val="en-US"/>
        </w:rPr>
        <w:t>第三方检测机构出具的《</w:t>
      </w:r>
      <w:r>
        <w:rPr>
          <w:rFonts w:hint="eastAsia" w:asciiTheme="minorEastAsia" w:hAnsiTheme="minorEastAsia" w:eastAsiaTheme="minorEastAsia" w:cstheme="minorEastAsia"/>
          <w:color w:val="auto"/>
          <w:szCs w:val="21"/>
          <w:highlight w:val="none"/>
        </w:rPr>
        <w:t>道路照明质量检测报告》和《路灯节能改造工程节能量报告》。</w:t>
      </w:r>
      <w:r>
        <w:rPr>
          <w:rFonts w:hint="eastAsia" w:asciiTheme="minorEastAsia" w:hAnsiTheme="minorEastAsia" w:eastAsiaTheme="minorEastAsia" w:cstheme="minorEastAsia"/>
          <w:color w:val="auto"/>
          <w:szCs w:val="21"/>
          <w:highlight w:val="none"/>
          <w:lang w:val="en-US"/>
        </w:rPr>
        <w:t>第一年付款时以竣工验收时出具的《</w:t>
      </w:r>
      <w:r>
        <w:rPr>
          <w:rFonts w:hint="eastAsia" w:asciiTheme="minorEastAsia" w:hAnsiTheme="minorEastAsia" w:eastAsiaTheme="minorEastAsia" w:cstheme="minorEastAsia"/>
          <w:color w:val="auto"/>
          <w:szCs w:val="21"/>
          <w:highlight w:val="none"/>
        </w:rPr>
        <w:t>道路照明质量检测报告》和《路灯节能改造工程节能量报告》</w:t>
      </w:r>
      <w:r>
        <w:rPr>
          <w:rFonts w:hint="eastAsia" w:asciiTheme="minorEastAsia" w:hAnsiTheme="minorEastAsia" w:eastAsiaTheme="minorEastAsia" w:cstheme="minorEastAsia"/>
          <w:color w:val="auto"/>
          <w:szCs w:val="21"/>
          <w:highlight w:val="none"/>
          <w:lang w:val="en-US"/>
        </w:rPr>
        <w:t>为依据。第二年开始以上一年出具的《</w:t>
      </w:r>
      <w:r>
        <w:rPr>
          <w:rFonts w:hint="eastAsia" w:asciiTheme="minorEastAsia" w:hAnsiTheme="minorEastAsia" w:eastAsiaTheme="minorEastAsia" w:cstheme="minorEastAsia"/>
          <w:color w:val="auto"/>
          <w:szCs w:val="21"/>
          <w:highlight w:val="none"/>
        </w:rPr>
        <w:t>道路照明质量检测报告》和《路灯节能改造工程节能量报告》</w:t>
      </w:r>
      <w:r>
        <w:rPr>
          <w:rFonts w:hint="eastAsia" w:asciiTheme="minorEastAsia" w:hAnsiTheme="minorEastAsia" w:eastAsiaTheme="minorEastAsia" w:cstheme="minorEastAsia"/>
          <w:color w:val="auto"/>
          <w:szCs w:val="21"/>
          <w:highlight w:val="none"/>
          <w:lang w:val="en-US"/>
        </w:rPr>
        <w:t>为依据。</w:t>
      </w:r>
      <w:r>
        <w:rPr>
          <w:rFonts w:hint="eastAsia" w:asciiTheme="minorEastAsia" w:hAnsiTheme="minorEastAsia" w:eastAsiaTheme="minorEastAsia" w:cstheme="minorEastAsia"/>
          <w:color w:val="auto"/>
          <w:szCs w:val="21"/>
          <w:highlight w:val="none"/>
        </w:rPr>
        <w:t>。</w:t>
      </w:r>
    </w:p>
    <w:p>
      <w:pPr>
        <w:pStyle w:val="30"/>
        <w:tabs>
          <w:tab w:val="left" w:pos="1326"/>
        </w:tabs>
        <w:spacing w:line="380" w:lineRule="exact"/>
        <w:ind w:left="0" w:firstLine="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第 5 节</w:t>
      </w:r>
      <w:r>
        <w:rPr>
          <w:rFonts w:hint="eastAsia" w:asciiTheme="minorEastAsia" w:hAnsiTheme="minorEastAsia" w:eastAsiaTheme="minorEastAsia" w:cstheme="minorEastAsia"/>
          <w:b/>
          <w:bCs/>
          <w:color w:val="auto"/>
          <w:szCs w:val="21"/>
          <w:highlight w:val="none"/>
        </w:rPr>
        <w:tab/>
      </w:r>
      <w:r>
        <w:rPr>
          <w:rFonts w:hint="eastAsia" w:asciiTheme="minorEastAsia" w:hAnsiTheme="minorEastAsia" w:eastAsiaTheme="minorEastAsia" w:cstheme="minorEastAsia"/>
          <w:b/>
          <w:bCs/>
          <w:color w:val="auto"/>
          <w:szCs w:val="21"/>
          <w:highlight w:val="none"/>
        </w:rPr>
        <w:t>甲方的权利和义务</w:t>
      </w:r>
    </w:p>
    <w:p>
      <w:pPr>
        <w:pStyle w:val="30"/>
        <w:tabs>
          <w:tab w:val="left" w:pos="1326"/>
        </w:tabs>
        <w:spacing w:line="380" w:lineRule="exact"/>
        <w:ind w:left="0" w:firstLineChars="200"/>
        <w:rPr>
          <w:rFonts w:asciiTheme="minorEastAsia" w:hAnsiTheme="minorEastAsia" w:eastAsiaTheme="minorEastAsia" w:cstheme="minorEastAsia"/>
          <w:color w:val="auto"/>
          <w:szCs w:val="21"/>
          <w:highlight w:val="none"/>
          <w:lang w:val="en-US"/>
        </w:rPr>
      </w:pPr>
      <w:r>
        <w:rPr>
          <w:rFonts w:hint="eastAsia" w:asciiTheme="minorEastAsia" w:hAnsiTheme="minorEastAsia" w:eastAsiaTheme="minorEastAsia" w:cstheme="minorEastAsia"/>
          <w:color w:val="auto"/>
          <w:szCs w:val="21"/>
          <w:highlight w:val="none"/>
          <w:lang w:val="en-US"/>
        </w:rPr>
        <w:t>5.1 为了严把产品质量关，甲方有权对</w:t>
      </w:r>
      <w:r>
        <w:rPr>
          <w:rFonts w:hint="eastAsia" w:asciiTheme="minorEastAsia" w:hAnsiTheme="minorEastAsia" w:eastAsiaTheme="minorEastAsia" w:cstheme="minorEastAsia"/>
          <w:color w:val="auto"/>
          <w:szCs w:val="21"/>
          <w:highlight w:val="none"/>
        </w:rPr>
        <w:t>乙方所提供的</w:t>
      </w:r>
      <w:r>
        <w:rPr>
          <w:rFonts w:hint="eastAsia" w:asciiTheme="minorEastAsia" w:hAnsiTheme="minorEastAsia" w:eastAsiaTheme="minorEastAsia" w:cstheme="minorEastAsia"/>
          <w:color w:val="auto"/>
          <w:szCs w:val="21"/>
          <w:highlight w:val="none"/>
          <w:lang w:val="en-US"/>
        </w:rPr>
        <w:t>灯具产品进行核查，包括资料审查和对照</w:t>
      </w:r>
      <w:r>
        <w:rPr>
          <w:rFonts w:hint="eastAsia" w:asciiTheme="minorEastAsia" w:hAnsiTheme="minorEastAsia" w:eastAsiaTheme="minorEastAsia" w:cstheme="minorEastAsia"/>
          <w:color w:val="auto"/>
          <w:szCs w:val="21"/>
          <w:highlight w:val="none"/>
        </w:rPr>
        <w:t>乙方投标文件所承诺性能参数等逐一核对、抽样送检等。任何不经甲方质量审查认可的产品，乙方都不能在本项目</w:t>
      </w:r>
      <w:r>
        <w:rPr>
          <w:rFonts w:hint="eastAsia" w:asciiTheme="minorEastAsia" w:hAnsiTheme="minorEastAsia" w:eastAsiaTheme="minorEastAsia" w:cstheme="minorEastAsia"/>
          <w:color w:val="auto"/>
          <w:szCs w:val="21"/>
          <w:highlight w:val="none"/>
          <w:lang w:val="en-US"/>
        </w:rPr>
        <w:t>中安装使用。</w:t>
      </w:r>
    </w:p>
    <w:p>
      <w:pPr>
        <w:pStyle w:val="30"/>
        <w:tabs>
          <w:tab w:val="left" w:pos="132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5.2</w:t>
      </w:r>
      <w:r>
        <w:rPr>
          <w:rFonts w:hint="eastAsia" w:asciiTheme="minorEastAsia" w:hAnsiTheme="minorEastAsia" w:eastAsiaTheme="minorEastAsia" w:cstheme="minorEastAsia"/>
          <w:color w:val="auto"/>
          <w:szCs w:val="21"/>
          <w:highlight w:val="none"/>
        </w:rPr>
        <w:t>甲方应当根据乙方的合理要求，协助其获得其他为实施本项目所必需的许可、同意或者是批准。甲方应将与项目有关的内部规章制度和特殊安全规定要求及时提前告知乙方或乙方相关的工作人员。</w:t>
      </w:r>
    </w:p>
    <w:p>
      <w:pPr>
        <w:pStyle w:val="30"/>
        <w:tabs>
          <w:tab w:val="left" w:pos="132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5.3</w:t>
      </w:r>
      <w:r>
        <w:rPr>
          <w:rFonts w:hint="eastAsia" w:asciiTheme="minorEastAsia" w:hAnsiTheme="minorEastAsia" w:eastAsiaTheme="minorEastAsia" w:cstheme="minorEastAsia"/>
          <w:color w:val="auto"/>
          <w:szCs w:val="21"/>
          <w:highlight w:val="none"/>
        </w:rPr>
        <w:t>甲方应当根据乙方的合理要求，提供甲方所掌握的桂林市老城区改造范围城市照明基本数据。甲方应当根据乙方的合理要求，及时提供节能项目设计和实施所必须的资料和数据，并确保其真实、准确、完整。</w:t>
      </w:r>
    </w:p>
    <w:p>
      <w:pPr>
        <w:pStyle w:val="30"/>
        <w:tabs>
          <w:tab w:val="left" w:pos="132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5.4甲方</w:t>
      </w:r>
      <w:r>
        <w:rPr>
          <w:rFonts w:hint="eastAsia" w:asciiTheme="minorEastAsia" w:hAnsiTheme="minorEastAsia" w:eastAsiaTheme="minorEastAsia" w:cstheme="minorEastAsia"/>
          <w:color w:val="auto"/>
          <w:szCs w:val="21"/>
          <w:highlight w:val="none"/>
        </w:rPr>
        <w:t>提供节能项目实施所需要的现场条件和必要的协助，如清理施工现场、合理调整道路安排进行试运行等。</w:t>
      </w:r>
    </w:p>
    <w:p>
      <w:pPr>
        <w:pStyle w:val="30"/>
        <w:tabs>
          <w:tab w:val="left" w:pos="132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5.5</w:t>
      </w:r>
      <w:r>
        <w:rPr>
          <w:rFonts w:hint="eastAsia" w:asciiTheme="minorEastAsia" w:hAnsiTheme="minorEastAsia" w:eastAsiaTheme="minorEastAsia" w:cstheme="minorEastAsia"/>
          <w:color w:val="auto"/>
          <w:szCs w:val="21"/>
          <w:highlight w:val="none"/>
        </w:rPr>
        <w:t>甲方应指派有条件的操作人员参加乙方</w:t>
      </w:r>
      <w:r>
        <w:rPr>
          <w:rFonts w:hint="eastAsia" w:asciiTheme="minorEastAsia" w:hAnsiTheme="minorEastAsia" w:eastAsiaTheme="minorEastAsia" w:cstheme="minorEastAsia"/>
          <w:color w:val="auto"/>
          <w:szCs w:val="21"/>
          <w:highlight w:val="none"/>
          <w:lang w:val="en-US"/>
        </w:rPr>
        <w:t>组织的技能</w:t>
      </w:r>
      <w:r>
        <w:rPr>
          <w:rFonts w:hint="eastAsia" w:asciiTheme="minorEastAsia" w:hAnsiTheme="minorEastAsia" w:eastAsiaTheme="minorEastAsia" w:cstheme="minorEastAsia"/>
          <w:color w:val="auto"/>
          <w:szCs w:val="21"/>
          <w:highlight w:val="none"/>
        </w:rPr>
        <w:t>培训。</w:t>
      </w:r>
    </w:p>
    <w:p>
      <w:pPr>
        <w:pStyle w:val="30"/>
        <w:tabs>
          <w:tab w:val="left" w:pos="132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5.6</w:t>
      </w:r>
      <w:r>
        <w:rPr>
          <w:rFonts w:hint="eastAsia" w:asciiTheme="minorEastAsia" w:hAnsiTheme="minorEastAsia" w:eastAsiaTheme="minorEastAsia" w:cstheme="minorEastAsia"/>
          <w:color w:val="auto"/>
          <w:szCs w:val="21"/>
          <w:highlight w:val="none"/>
        </w:rPr>
        <w:t>甲方配合并参与乙方开展节能量测量和验证。</w:t>
      </w:r>
    </w:p>
    <w:p>
      <w:pPr>
        <w:pStyle w:val="30"/>
        <w:tabs>
          <w:tab w:val="left" w:pos="132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5.7对于乙方新换的灯具，甲方有权随机选取若干（数量不超过总更换数的1.5%，具体由甲方根据实际情况确定）新换灯具进行实验室质量检测。检测单位由甲乙双方共同委托，且应具备相关检测资质，检测费用由乙方承担。该检测结果作为项目验收和服务期考核的重要依据。</w:t>
      </w:r>
    </w:p>
    <w:p>
      <w:pPr>
        <w:pStyle w:val="30"/>
        <w:tabs>
          <w:tab w:val="left" w:pos="132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5.8</w:t>
      </w:r>
      <w:r>
        <w:rPr>
          <w:rFonts w:hint="eastAsia" w:asciiTheme="minorEastAsia" w:hAnsiTheme="minorEastAsia" w:eastAsiaTheme="minorEastAsia" w:cstheme="minorEastAsia"/>
          <w:color w:val="auto"/>
          <w:szCs w:val="21"/>
          <w:highlight w:val="none"/>
        </w:rPr>
        <w:t>甲方应根据项目方案的相关规定，协助并参与乙方完成项目的试运行和验收，并提供确认安装完成和试运行正常的验收文件。</w:t>
      </w:r>
    </w:p>
    <w:p>
      <w:pPr>
        <w:pStyle w:val="30"/>
        <w:tabs>
          <w:tab w:val="left" w:pos="132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5.9</w:t>
      </w:r>
      <w:r>
        <w:rPr>
          <w:rFonts w:hint="eastAsia" w:asciiTheme="minorEastAsia" w:hAnsiTheme="minorEastAsia" w:eastAsiaTheme="minorEastAsia" w:cstheme="minorEastAsia"/>
          <w:color w:val="auto"/>
          <w:szCs w:val="21"/>
          <w:highlight w:val="none"/>
        </w:rPr>
        <w:t>甲方应当根据项目方案的规定，配合乙方进行项目的建设、维护、运营、修理项目设施和产品（设备），配合乙方可合理地接近与本项目有关的设施和产品（设备）。</w:t>
      </w:r>
    </w:p>
    <w:p>
      <w:pPr>
        <w:pStyle w:val="30"/>
        <w:tabs>
          <w:tab w:val="left" w:pos="1326"/>
        </w:tabs>
        <w:spacing w:line="380" w:lineRule="exact"/>
        <w:ind w:left="0" w:firstLineChars="200"/>
        <w:rPr>
          <w:rFonts w:asciiTheme="minorEastAsia" w:hAnsiTheme="minorEastAsia" w:eastAsiaTheme="minorEastAsia" w:cstheme="minorEastAsia"/>
          <w:color w:val="auto"/>
          <w:szCs w:val="21"/>
          <w:highlight w:val="none"/>
          <w:lang w:val="en-US"/>
        </w:rPr>
      </w:pPr>
      <w:r>
        <w:rPr>
          <w:rFonts w:asciiTheme="minorEastAsia" w:hAnsiTheme="minorEastAsia" w:eastAsiaTheme="minorEastAsia" w:cstheme="minorEastAsia"/>
          <w:color w:val="auto"/>
          <w:szCs w:val="21"/>
          <w:highlight w:val="none"/>
        </w:rPr>
        <w:t>5.</w:t>
      </w:r>
      <w:r>
        <w:rPr>
          <w:rFonts w:hint="eastAsia" w:asciiTheme="minorEastAsia" w:hAnsiTheme="minorEastAsia" w:eastAsiaTheme="minorEastAsia" w:cstheme="minorEastAsia"/>
          <w:color w:val="auto"/>
          <w:szCs w:val="21"/>
          <w:highlight w:val="none"/>
        </w:rPr>
        <w:t>10由甲乙双方共同确认并委托有资质的近年有大型市政照明合同能源管理项目（</w:t>
      </w:r>
      <w:r>
        <w:rPr>
          <w:rFonts w:asciiTheme="minorEastAsia" w:hAnsiTheme="minorEastAsia" w:eastAsiaTheme="minorEastAsia" w:cstheme="minorEastAsia"/>
          <w:color w:val="auto"/>
          <w:szCs w:val="21"/>
          <w:highlight w:val="none"/>
        </w:rPr>
        <w:t>EMC</w:t>
      </w:r>
      <w:r>
        <w:rPr>
          <w:rFonts w:hint="eastAsia" w:asciiTheme="minorEastAsia" w:hAnsiTheme="minorEastAsia" w:eastAsiaTheme="minorEastAsia" w:cstheme="minorEastAsia"/>
          <w:color w:val="auto"/>
          <w:szCs w:val="21"/>
          <w:highlight w:val="none"/>
        </w:rPr>
        <w:t>）实际运营案例和实操经验的国家级或省级第三方照明检测机构对项目开展照明质量、安全性能、节能量测量和验证，对整个项目的产品生命周期进行全程跟踪服务。</w:t>
      </w:r>
      <w:r>
        <w:rPr>
          <w:rFonts w:hint="eastAsia" w:asciiTheme="minorEastAsia" w:hAnsiTheme="minorEastAsia" w:eastAsiaTheme="minorEastAsia" w:cstheme="minorEastAsia"/>
          <w:color w:val="auto"/>
          <w:szCs w:val="21"/>
          <w:highlight w:val="none"/>
          <w:lang w:val="en-US"/>
        </w:rPr>
        <w:t>双方共同委托的第三方检测机构必须由甲乙双方共同协商进行选择。双方在第三方检测机构的选择上存在意见分歧的</w:t>
      </w:r>
      <w:r>
        <w:rPr>
          <w:rFonts w:asciiTheme="minorEastAsia" w:hAnsiTheme="minorEastAsia" w:eastAsiaTheme="minorEastAsia" w:cstheme="minorEastAsia"/>
          <w:color w:val="auto"/>
          <w:szCs w:val="21"/>
          <w:highlight w:val="none"/>
          <w:lang w:val="en-US"/>
        </w:rPr>
        <w:t>,</w:t>
      </w:r>
      <w:r>
        <w:rPr>
          <w:rFonts w:hint="eastAsia" w:asciiTheme="minorEastAsia" w:hAnsiTheme="minorEastAsia" w:eastAsiaTheme="minorEastAsia" w:cstheme="minorEastAsia"/>
          <w:color w:val="auto"/>
          <w:szCs w:val="21"/>
          <w:highlight w:val="none"/>
          <w:lang w:val="en-US"/>
        </w:rPr>
        <w:t>以甲方意见为准。</w:t>
      </w:r>
    </w:p>
    <w:p>
      <w:pPr>
        <w:pStyle w:val="30"/>
        <w:tabs>
          <w:tab w:val="left" w:pos="132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5.11灯杆、</w:t>
      </w:r>
      <w:r>
        <w:rPr>
          <w:rFonts w:hint="eastAsia" w:asciiTheme="minorEastAsia" w:hAnsiTheme="minorEastAsia" w:eastAsiaTheme="minorEastAsia" w:cstheme="minorEastAsia"/>
          <w:color w:val="auto"/>
          <w:szCs w:val="21"/>
          <w:highlight w:val="none"/>
        </w:rPr>
        <w:t>专用变压器和供电电缆</w:t>
      </w:r>
      <w:r>
        <w:rPr>
          <w:rFonts w:hint="eastAsia" w:asciiTheme="minorEastAsia" w:hAnsiTheme="minorEastAsia" w:eastAsiaTheme="minorEastAsia" w:cstheme="minorEastAsia"/>
          <w:color w:val="auto"/>
          <w:szCs w:val="21"/>
          <w:highlight w:val="none"/>
          <w:lang w:val="en-US"/>
        </w:rPr>
        <w:t>等所有非本项目改造范围内的设备设施</w:t>
      </w:r>
      <w:r>
        <w:rPr>
          <w:rFonts w:hint="eastAsia" w:asciiTheme="minorEastAsia" w:hAnsiTheme="minorEastAsia" w:eastAsiaTheme="minorEastAsia" w:cstheme="minorEastAsia"/>
          <w:color w:val="auto"/>
          <w:szCs w:val="21"/>
          <w:highlight w:val="none"/>
        </w:rPr>
        <w:t>的日常巡检、维护由甲方负责。新装专用变压器和供电电缆及已有专用变压器、供电电缆的大修由甲方负责。</w:t>
      </w:r>
    </w:p>
    <w:p>
      <w:pPr>
        <w:pStyle w:val="30"/>
        <w:tabs>
          <w:tab w:val="left" w:pos="132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5.12</w:t>
      </w:r>
      <w:r>
        <w:rPr>
          <w:rFonts w:hint="eastAsia" w:asciiTheme="minorEastAsia" w:hAnsiTheme="minorEastAsia" w:eastAsiaTheme="minorEastAsia" w:cstheme="minorEastAsia"/>
          <w:color w:val="auto"/>
          <w:szCs w:val="21"/>
          <w:highlight w:val="none"/>
        </w:rPr>
        <w:t>节能服务期间，产品（设备）发生故障、损坏和丢失的，甲方应在得知此情况后及时书面通知乙方，配合乙方对产品（设备）进行维修和监管。</w:t>
      </w:r>
    </w:p>
    <w:p>
      <w:pPr>
        <w:pStyle w:val="30"/>
        <w:tabs>
          <w:tab w:val="left" w:pos="132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5.13</w:t>
      </w:r>
      <w:r>
        <w:rPr>
          <w:rFonts w:hint="eastAsia" w:asciiTheme="minorEastAsia" w:hAnsiTheme="minorEastAsia" w:eastAsiaTheme="minorEastAsia" w:cstheme="minorEastAsia"/>
          <w:color w:val="auto"/>
          <w:szCs w:val="21"/>
          <w:highlight w:val="none"/>
        </w:rPr>
        <w:t>甲方应保证与项目相关的产品（设备）、设施的运行符合国家法律法规及产业政策要求。</w:t>
      </w:r>
    </w:p>
    <w:p>
      <w:pPr>
        <w:pStyle w:val="30"/>
        <w:tabs>
          <w:tab w:val="left" w:pos="132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5.14</w:t>
      </w:r>
      <w:r>
        <w:rPr>
          <w:rFonts w:hint="eastAsia" w:asciiTheme="minorEastAsia" w:hAnsiTheme="minorEastAsia" w:eastAsiaTheme="minorEastAsia" w:cstheme="minorEastAsia"/>
          <w:color w:val="auto"/>
          <w:szCs w:val="21"/>
          <w:highlight w:val="none"/>
        </w:rPr>
        <w:t>甲方应保证与该项目相关的产品（设备）、设施连续稳定运行且运行状况良好，出现故障应及时修复。</w:t>
      </w:r>
    </w:p>
    <w:p>
      <w:pPr>
        <w:pStyle w:val="30"/>
        <w:tabs>
          <w:tab w:val="left" w:pos="132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5.15</w:t>
      </w:r>
      <w:r>
        <w:rPr>
          <w:rFonts w:hint="eastAsia" w:asciiTheme="minorEastAsia" w:hAnsiTheme="minorEastAsia" w:eastAsiaTheme="minorEastAsia" w:cstheme="minorEastAsia"/>
          <w:b/>
          <w:color w:val="auto"/>
          <w:szCs w:val="21"/>
          <w:highlight w:val="none"/>
        </w:rPr>
        <w:t>节能服务期内，因城市建设或大型活动的需要，出现在改造范围内新增或者拆除用电负荷的情况，甲方有权按照城市建设或大型活动的需要执行，乙方应积极配合对灯具及单灯控制器进行拆卸、保管、重新安装，且保证改变后的照明质量要符合照明规范要求。</w:t>
      </w:r>
      <w:r>
        <w:rPr>
          <w:rFonts w:hint="eastAsia" w:asciiTheme="minorEastAsia" w:hAnsiTheme="minorEastAsia" w:eastAsiaTheme="minorEastAsia" w:cstheme="minorEastAsia"/>
          <w:b/>
          <w:color w:val="auto"/>
          <w:szCs w:val="21"/>
          <w:highlight w:val="none"/>
          <w:lang w:val="en-US"/>
        </w:rPr>
        <w:t>因甲方需要导致本项目能源管理款项变动参照第7.4条款执行。</w:t>
      </w:r>
    </w:p>
    <w:p>
      <w:pPr>
        <w:pStyle w:val="30"/>
        <w:tabs>
          <w:tab w:val="left" w:pos="132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5.16</w:t>
      </w:r>
      <w:r>
        <w:rPr>
          <w:rFonts w:hint="eastAsia" w:asciiTheme="minorEastAsia" w:hAnsiTheme="minorEastAsia" w:eastAsiaTheme="minorEastAsia" w:cstheme="minorEastAsia"/>
          <w:color w:val="auto"/>
          <w:szCs w:val="21"/>
          <w:highlight w:val="none"/>
        </w:rPr>
        <w:t>甲乙双方应互相配合向有关政府机构或者组织申请与项目相关的补助、奖励或其他可适用的优惠政策，所获奖励、补助双方共享。</w:t>
      </w:r>
    </w:p>
    <w:p>
      <w:pPr>
        <w:pStyle w:val="30"/>
        <w:tabs>
          <w:tab w:val="left" w:pos="132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5.17甲方应按照本合同的规定，及时向乙方付款。</w:t>
      </w:r>
    </w:p>
    <w:p>
      <w:pPr>
        <w:pStyle w:val="30"/>
        <w:tabs>
          <w:tab w:val="left" w:pos="1326"/>
        </w:tabs>
        <w:spacing w:line="380" w:lineRule="exact"/>
        <w:ind w:left="0"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lang w:val="en-US"/>
        </w:rPr>
        <w:t>5.18</w:t>
      </w:r>
      <w:r>
        <w:rPr>
          <w:rFonts w:hint="eastAsia" w:asciiTheme="minorEastAsia" w:hAnsiTheme="minorEastAsia" w:eastAsiaTheme="minorEastAsia" w:cstheme="minorEastAsia"/>
          <w:color w:val="auto"/>
          <w:szCs w:val="21"/>
          <w:highlight w:val="none"/>
        </w:rPr>
        <w:t>其他：</w:t>
      </w:r>
      <w:r>
        <w:rPr>
          <w:rFonts w:hint="eastAsia" w:asciiTheme="minorEastAsia" w:hAnsiTheme="minorEastAsia" w:eastAsiaTheme="minorEastAsia" w:cstheme="minorEastAsia"/>
          <w:color w:val="auto"/>
          <w:w w:val="99"/>
          <w:szCs w:val="21"/>
          <w:highlight w:val="none"/>
          <w:u w:val="single"/>
        </w:rPr>
        <w:t xml:space="preserve">   / </w:t>
      </w:r>
      <w:r>
        <w:rPr>
          <w:rFonts w:hint="eastAsia" w:asciiTheme="minorEastAsia" w:hAnsiTheme="minorEastAsia" w:eastAsiaTheme="minorEastAsia" w:cstheme="minorEastAsia"/>
          <w:color w:val="auto"/>
          <w:szCs w:val="21"/>
          <w:highlight w:val="none"/>
          <w:u w:val="single"/>
        </w:rPr>
        <w:tab/>
      </w:r>
    </w:p>
    <w:p>
      <w:pPr>
        <w:tabs>
          <w:tab w:val="left" w:pos="1326"/>
        </w:tabs>
        <w:spacing w:line="380" w:lineRule="exact"/>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第6节</w:t>
      </w:r>
      <w:r>
        <w:rPr>
          <w:rFonts w:hint="eastAsia" w:asciiTheme="minorEastAsia" w:hAnsiTheme="minorEastAsia" w:eastAsiaTheme="minorEastAsia" w:cstheme="minorEastAsia"/>
          <w:b/>
          <w:color w:val="auto"/>
          <w:szCs w:val="21"/>
          <w:highlight w:val="none"/>
        </w:rPr>
        <w:tab/>
      </w:r>
      <w:r>
        <w:rPr>
          <w:rFonts w:hint="eastAsia" w:asciiTheme="minorEastAsia" w:hAnsiTheme="minorEastAsia" w:eastAsiaTheme="minorEastAsia" w:cstheme="minorEastAsia"/>
          <w:b/>
          <w:color w:val="auto"/>
          <w:szCs w:val="21"/>
          <w:highlight w:val="none"/>
        </w:rPr>
        <w:t>乙方的义务</w:t>
      </w:r>
    </w:p>
    <w:p>
      <w:pPr>
        <w:pStyle w:val="30"/>
        <w:tabs>
          <w:tab w:val="left" w:pos="132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6.1</w:t>
      </w:r>
      <w:r>
        <w:rPr>
          <w:rFonts w:hint="eastAsia" w:asciiTheme="minorEastAsia" w:hAnsiTheme="minorEastAsia" w:eastAsiaTheme="minorEastAsia" w:cstheme="minorEastAsia"/>
          <w:color w:val="auto"/>
          <w:szCs w:val="21"/>
          <w:highlight w:val="none"/>
        </w:rPr>
        <w:t>乙方应当严格按照GB7000.1-2015《灯具 第1部分：一般要求与试验》、GB 7000.203-2013《灯具 第2-3部分:特殊要求 道路与街路照明灯具》、GBT31832-2015《 LED城市道路照明应用技术要求》、GBT24823-2009 《普通照明用LED模块 性能要求》、CJJ45-2015《城市道路照明设计标准》、CJJ89-2012《城市道路照明工程施工及验收规程》，自行按时完成本项目的方案设计、建设、运营以及维护，拟改造的灯具灯杆样式应先由甲方审核，才能施工。</w:t>
      </w:r>
    </w:p>
    <w:p>
      <w:pPr>
        <w:pStyle w:val="30"/>
        <w:tabs>
          <w:tab w:val="left" w:pos="132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6.2</w:t>
      </w:r>
      <w:r>
        <w:rPr>
          <w:rFonts w:hint="eastAsia" w:asciiTheme="minorEastAsia" w:hAnsiTheme="minorEastAsia" w:eastAsiaTheme="minorEastAsia" w:cstheme="minorEastAsia"/>
          <w:color w:val="auto"/>
          <w:szCs w:val="21"/>
          <w:highlight w:val="none"/>
        </w:rPr>
        <w:t>乙方应当确保其工作人员和其聘请人员严格遵守甲方有关施工场地安全和卫生等方面的规定。在整个合同期内，乙方的施工、维护都应严格按电力安全操作规程规范,施工、维护中，造成的一切事故均由乙方全部负责，与甲方无关。</w:t>
      </w:r>
    </w:p>
    <w:p>
      <w:pPr>
        <w:pStyle w:val="30"/>
        <w:tabs>
          <w:tab w:val="left" w:pos="132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6.3</w:t>
      </w:r>
      <w:r>
        <w:rPr>
          <w:rFonts w:hint="eastAsia" w:asciiTheme="minorEastAsia" w:hAnsiTheme="minorEastAsia" w:eastAsiaTheme="minorEastAsia" w:cstheme="minorEastAsia"/>
          <w:color w:val="auto"/>
          <w:szCs w:val="21"/>
          <w:highlight w:val="none"/>
        </w:rPr>
        <w:t>乙方应当根据相应的法律法规的要求，申请除必须由甲方申请之外的有关项目的许可、批准和同意。</w:t>
      </w:r>
      <w:r>
        <w:rPr>
          <w:rFonts w:hint="eastAsia" w:asciiTheme="minorEastAsia" w:hAnsiTheme="minorEastAsia" w:eastAsiaTheme="minorEastAsia" w:cstheme="minorEastAsia"/>
          <w:color w:val="auto"/>
          <w:szCs w:val="21"/>
          <w:highlight w:val="none"/>
          <w:lang w:val="en-US"/>
        </w:rPr>
        <w:t>甲方有义务协助乙方完成相关手续的申办工作。若因非乙方原因，导致</w:t>
      </w:r>
      <w:r>
        <w:rPr>
          <w:rFonts w:hint="eastAsia" w:asciiTheme="minorEastAsia" w:hAnsiTheme="minorEastAsia" w:eastAsiaTheme="minorEastAsia" w:cstheme="minorEastAsia"/>
          <w:color w:val="auto"/>
          <w:szCs w:val="21"/>
          <w:highlight w:val="none"/>
        </w:rPr>
        <w:t>有关项目的许可、批准和同意</w:t>
      </w:r>
      <w:r>
        <w:rPr>
          <w:rFonts w:hint="eastAsia" w:asciiTheme="minorEastAsia" w:hAnsiTheme="minorEastAsia" w:eastAsiaTheme="minorEastAsia" w:cstheme="minorEastAsia"/>
          <w:color w:val="auto"/>
          <w:szCs w:val="21"/>
          <w:highlight w:val="none"/>
          <w:lang w:val="en-US"/>
        </w:rPr>
        <w:t>未及时申办延误工期，工期顺延。</w:t>
      </w:r>
    </w:p>
    <w:p>
      <w:pPr>
        <w:pStyle w:val="30"/>
        <w:tabs>
          <w:tab w:val="left" w:pos="132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6.4</w:t>
      </w:r>
      <w:r>
        <w:rPr>
          <w:rFonts w:hint="eastAsia" w:asciiTheme="minorEastAsia" w:hAnsiTheme="minorEastAsia" w:eastAsiaTheme="minorEastAsia" w:cstheme="minorEastAsia"/>
          <w:color w:val="auto"/>
          <w:szCs w:val="21"/>
          <w:highlight w:val="none"/>
        </w:rPr>
        <w:t>乙方安装和调试相关产品（设备）、设施应符合国家、行业有关施工管理法律法规和与项目相对应的技术标准规范要求（详见附件一），以及甲方合理的施工、管理要求。</w:t>
      </w:r>
    </w:p>
    <w:p>
      <w:pPr>
        <w:pStyle w:val="30"/>
        <w:tabs>
          <w:tab w:val="left" w:pos="132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6.5</w:t>
      </w:r>
      <w:r>
        <w:rPr>
          <w:rFonts w:hint="eastAsia" w:asciiTheme="minorEastAsia" w:hAnsiTheme="minorEastAsia" w:eastAsiaTheme="minorEastAsia" w:cstheme="minorEastAsia"/>
          <w:color w:val="auto"/>
          <w:szCs w:val="21"/>
          <w:highlight w:val="none"/>
        </w:rPr>
        <w:t>在乙方发现故障或接到甲方的故障通知后，乙方应根据相关规定和要求，及时完成相关维修或产品（设备）更换。</w:t>
      </w:r>
    </w:p>
    <w:p>
      <w:pPr>
        <w:pStyle w:val="30"/>
        <w:tabs>
          <w:tab w:val="left" w:pos="132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6.6</w:t>
      </w:r>
      <w:r>
        <w:rPr>
          <w:rFonts w:hint="eastAsia" w:asciiTheme="minorEastAsia" w:hAnsiTheme="minorEastAsia" w:eastAsiaTheme="minorEastAsia" w:cstheme="minorEastAsia"/>
          <w:color w:val="auto"/>
          <w:szCs w:val="21"/>
          <w:highlight w:val="none"/>
        </w:rPr>
        <w:t>乙方应当确保其工作人员或者其聘请人员在项目实施、运行的整个过程中遵守相关法律法规，以及项目有关的甲方内部规章制度和特殊安全规定要求，对乙方的工作人员或其聘请的第三方人员提供防护用品。</w:t>
      </w:r>
    </w:p>
    <w:p>
      <w:pPr>
        <w:pStyle w:val="30"/>
        <w:tabs>
          <w:tab w:val="left" w:pos="132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6.7</w:t>
      </w:r>
      <w:r>
        <w:rPr>
          <w:rFonts w:hint="eastAsia" w:asciiTheme="minorEastAsia" w:hAnsiTheme="minorEastAsia" w:eastAsiaTheme="minorEastAsia" w:cstheme="minorEastAsia"/>
          <w:color w:val="auto"/>
          <w:szCs w:val="21"/>
          <w:highlight w:val="none"/>
        </w:rPr>
        <w:t>乙方负责现场采集该项目所需的资料和数据，并确保其真实、准确。乙方现场采集的方式和结果必须由甲方签字确认后方能在项目中使用。</w:t>
      </w:r>
    </w:p>
    <w:p>
      <w:pPr>
        <w:pStyle w:val="30"/>
        <w:tabs>
          <w:tab w:val="left" w:pos="132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6.8</w:t>
      </w:r>
      <w:r>
        <w:rPr>
          <w:rFonts w:hint="eastAsia" w:asciiTheme="minorEastAsia" w:hAnsiTheme="minorEastAsia" w:eastAsiaTheme="minorEastAsia" w:cstheme="minorEastAsia"/>
          <w:color w:val="auto"/>
          <w:szCs w:val="21"/>
          <w:highlight w:val="none"/>
        </w:rPr>
        <w:t>乙方日常时期需按照附件一规定的时间或特殊时间时按甲方要求的时间进行开关灯，乙方不得延迟开灯及提前关灯。</w:t>
      </w:r>
    </w:p>
    <w:p>
      <w:pPr>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6.9乙方投入的灯具因其他第三方人为造成损坏的，乙方有权进行索赔，所得赔偿款归乙方所有。</w:t>
      </w:r>
    </w:p>
    <w:p>
      <w:pPr>
        <w:pStyle w:val="30"/>
        <w:tabs>
          <w:tab w:val="left" w:pos="1326"/>
        </w:tabs>
        <w:spacing w:line="380" w:lineRule="exact"/>
        <w:ind w:left="0" w:firstLineChars="200"/>
        <w:rPr>
          <w:rFonts w:asciiTheme="minorEastAsia" w:hAnsiTheme="minorEastAsia" w:eastAsiaTheme="minorEastAsia" w:cstheme="minorEastAsia"/>
          <w:color w:val="auto"/>
          <w:szCs w:val="21"/>
          <w:highlight w:val="none"/>
          <w:lang w:val="en-US"/>
        </w:rPr>
      </w:pPr>
      <w:r>
        <w:rPr>
          <w:rFonts w:hint="eastAsia" w:asciiTheme="minorEastAsia" w:hAnsiTheme="minorEastAsia" w:eastAsiaTheme="minorEastAsia" w:cstheme="minorEastAsia"/>
          <w:color w:val="auto"/>
          <w:szCs w:val="21"/>
          <w:highlight w:val="none"/>
          <w:lang w:val="en-US"/>
        </w:rPr>
        <w:t>6.10节能服务期内，乙方应在桂林市区内设有固定的运维服务机构及人员、车辆，并向甲方备案，如人员及车辆变更需提前</w:t>
      </w:r>
      <w:r>
        <w:rPr>
          <w:rFonts w:asciiTheme="minorEastAsia" w:hAnsiTheme="minorEastAsia" w:eastAsiaTheme="minorEastAsia" w:cstheme="minorEastAsia"/>
          <w:color w:val="auto"/>
          <w:szCs w:val="21"/>
          <w:highlight w:val="none"/>
          <w:lang w:val="en-US"/>
        </w:rPr>
        <w:t>15个工作日书面</w:t>
      </w:r>
      <w:r>
        <w:rPr>
          <w:rFonts w:hint="eastAsia" w:asciiTheme="minorEastAsia" w:hAnsiTheme="minorEastAsia" w:eastAsiaTheme="minorEastAsia" w:cstheme="minorEastAsia"/>
          <w:color w:val="auto"/>
          <w:szCs w:val="21"/>
          <w:highlight w:val="none"/>
          <w:lang w:val="en-US"/>
        </w:rPr>
        <w:t>报备，变更的人员根据职务对于资格或资质的要求须等同或优于投标人对投入团队配置的承诺，变更的车辆须满足投标人投标文件对车辆配置的承诺，如甲方有异议的乙方应按甲方的意见整改</w:t>
      </w:r>
      <w:r>
        <w:rPr>
          <w:rFonts w:asciiTheme="minorEastAsia" w:hAnsiTheme="minorEastAsia" w:eastAsiaTheme="minorEastAsia" w:cstheme="minorEastAsia"/>
          <w:color w:val="auto"/>
          <w:szCs w:val="21"/>
          <w:highlight w:val="none"/>
          <w:lang w:val="en-US"/>
        </w:rPr>
        <w:t>。</w:t>
      </w:r>
      <w:r>
        <w:rPr>
          <w:rFonts w:hint="eastAsia" w:asciiTheme="minorEastAsia" w:hAnsiTheme="minorEastAsia" w:eastAsiaTheme="minorEastAsia" w:cstheme="minorEastAsia"/>
          <w:color w:val="auto"/>
          <w:szCs w:val="21"/>
          <w:highlight w:val="none"/>
          <w:lang w:val="en-US"/>
        </w:rPr>
        <w:t>乙方应根据《桂林市合同能源管理道路照明设施维护考核细则》和投标文件承诺做好</w:t>
      </w:r>
      <w:r>
        <w:rPr>
          <w:rFonts w:hint="eastAsia" w:asciiTheme="minorEastAsia" w:hAnsiTheme="minorEastAsia" w:eastAsiaTheme="minorEastAsia" w:cstheme="minorEastAsia"/>
          <w:color w:val="auto"/>
          <w:szCs w:val="21"/>
          <w:highlight w:val="none"/>
        </w:rPr>
        <w:t>所有灯具正常使用的维护、保养、更换工作。</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6.11 乙方在竞标时所作出的产品技术参数、施工和服务承诺都要不折不扣的执行。签定合同后一个月内，乙方需在桂林市城区内设立办事处或成立分公司，并按投标文书所承诺的条款配备相应的人员和设备。</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6.12 乙方应无条件配合甲方对乙方所提供的产品进行质量评估、评定和核查等工作。</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6.13乙方不能使用和安装未经甲方质量审查认可、查验的产品。</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6.14乙方要保证整个合同服务期内的道路照明质量均要满足《城市道路照明设计标准》（CJJ45-2015），若达到以下三个条件之一，乙方应免费对项目改造范围的整套灯具（包括电源、单灯控制器等）进行二次更换，灯具性能应等于或优于乙方投标的技术参数（以第三方节能审核机构每年提供的平均照度报告为依据）：</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①当年平均照度与上年平均照度相比下降率超过4%；</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②当年平均照度与初始平均照度相比下降率超过30%；</w:t>
      </w:r>
    </w:p>
    <w:p>
      <w:pPr>
        <w:tabs>
          <w:tab w:val="left" w:pos="1326"/>
        </w:tabs>
        <w:spacing w:line="380" w:lineRule="exact"/>
        <w:ind w:firstLine="420"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③当年平均照度达不到《城市道路照明设计标准》（CJJ45-2015）中高标准值。</w:t>
      </w:r>
    </w:p>
    <w:p>
      <w:pPr>
        <w:tabs>
          <w:tab w:val="left" w:pos="1326"/>
        </w:tabs>
        <w:spacing w:line="380" w:lineRule="exact"/>
        <w:ind w:firstLine="422"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6.15运营期结束后，项目中标人应提供一定数量，性能等于或优于中标人投标的技术参数的整套灯具至采购人仓库作为维修备件，数量按以下原则确定：</w:t>
      </w:r>
    </w:p>
    <w:p>
      <w:pPr>
        <w:tabs>
          <w:tab w:val="left" w:pos="1326"/>
        </w:tabs>
        <w:spacing w:line="380" w:lineRule="exact"/>
        <w:ind w:firstLine="422"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从运营期第8年开始计至运营期结束，项目中标人按照第</w:t>
      </w:r>
      <w:r>
        <w:rPr>
          <w:rFonts w:asciiTheme="minorEastAsia" w:hAnsiTheme="minorEastAsia" w:eastAsiaTheme="minorEastAsia" w:cstheme="minorEastAsia"/>
          <w:b/>
          <w:color w:val="auto"/>
          <w:szCs w:val="21"/>
          <w:highlight w:val="none"/>
        </w:rPr>
        <w:t>6.14</w:t>
      </w:r>
      <w:r>
        <w:rPr>
          <w:rFonts w:hint="eastAsia" w:asciiTheme="minorEastAsia" w:hAnsiTheme="minorEastAsia" w:eastAsiaTheme="minorEastAsia" w:cstheme="minorEastAsia"/>
          <w:b/>
          <w:color w:val="auto"/>
          <w:szCs w:val="21"/>
          <w:highlight w:val="none"/>
        </w:rPr>
        <w:t xml:space="preserve">点内容二次更换的灯具数量若①小于原改造灯具数量的50%，备件数量=原改造灯具数量*50%-二次更换灯具数量；②大于等于原改造灯具数量的50%，项目中标人应在运营期结束后对项目每条改造道路的照度、亮度进行全面检测，对检测结果达不到《城市道路照明设计标准》（CJJ45-2015）中高标准值的道路灯具进行整改，相关费用由项目中标人承担。 </w:t>
      </w:r>
    </w:p>
    <w:p>
      <w:pPr>
        <w:tabs>
          <w:tab w:val="left" w:pos="1326"/>
        </w:tabs>
        <w:spacing w:line="380" w:lineRule="exact"/>
        <w:ind w:firstLine="420"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6.15</w:t>
      </w:r>
      <w:r>
        <w:rPr>
          <w:rFonts w:hint="eastAsia" w:asciiTheme="minorEastAsia" w:hAnsiTheme="minorEastAsia" w:eastAsiaTheme="minorEastAsia" w:cstheme="minorEastAsia"/>
          <w:b/>
          <w:color w:val="auto"/>
          <w:szCs w:val="21"/>
          <w:highlight w:val="none"/>
        </w:rPr>
        <w:t>对于第一期建设的二次节能系统的软硬件设备，项目中标人在合同运营期届满后应提供①两年免费更换服务；②单灯控制器终身成本价采购；③二次节能系统终身成本价升级服务。确保运营期届满移交后项目节能率不降低。</w:t>
      </w:r>
    </w:p>
    <w:p>
      <w:pPr>
        <w:pStyle w:val="2"/>
        <w:spacing w:line="380" w:lineRule="exact"/>
        <w:ind w:firstLine="420" w:firstLineChars="200"/>
        <w:rPr>
          <w:rFonts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6.16 节能服务期内，乙方有义务利用各种先进设备帮助甲方查找短路、断路等路灯线路问题，并指导甲方人员进行修复。</w:t>
      </w:r>
    </w:p>
    <w:p>
      <w:pPr>
        <w:pStyle w:val="2"/>
        <w:spacing w:line="380" w:lineRule="exact"/>
        <w:ind w:firstLine="420" w:firstLineChars="200"/>
        <w:rPr>
          <w:rFonts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6.17 本项目第一期改造范围内的灯具及二次节能系统软硬件的日常维护由乙方负责；第二期建设竣工验收合格乙方质保一年后移交甲方管理和维护。</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6.18其他：乙方特别注意本项目实施过程中的施工单位资质和相关安全措施的合法、合规。合同期内乙方安装的所有设施、设备引起的一切事故均由乙方负责。</w:t>
      </w:r>
    </w:p>
    <w:p>
      <w:pPr>
        <w:tabs>
          <w:tab w:val="left" w:pos="1326"/>
          <w:tab w:val="left" w:pos="1380"/>
        </w:tabs>
        <w:spacing w:line="380" w:lineRule="exact"/>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第7节</w:t>
      </w:r>
      <w:r>
        <w:rPr>
          <w:rFonts w:hint="eastAsia" w:asciiTheme="minorEastAsia" w:hAnsiTheme="minorEastAsia" w:eastAsiaTheme="minorEastAsia" w:cstheme="minorEastAsia"/>
          <w:b/>
          <w:color w:val="auto"/>
          <w:szCs w:val="21"/>
          <w:highlight w:val="none"/>
        </w:rPr>
        <w:tab/>
      </w:r>
      <w:r>
        <w:rPr>
          <w:rFonts w:hint="eastAsia" w:asciiTheme="minorEastAsia" w:hAnsiTheme="minorEastAsia" w:eastAsiaTheme="minorEastAsia" w:cstheme="minorEastAsia"/>
          <w:b/>
          <w:color w:val="auto"/>
          <w:szCs w:val="21"/>
          <w:highlight w:val="none"/>
        </w:rPr>
        <w:t xml:space="preserve"> 项目的更改</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7.1项目开始运行之后，甲方和乙方的项目负责人应当至少每一个季度进行一次工作会议，讨论与项目运行和维护有关的事宜。</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7.2在项目的建设期间出现乙方作为专业的服务提供者能够提供的合理预料之外的情况，从而导致原有项目方案需要修改，乙方在书面报甲方同意的情况下有权对原有项目方案进行修改并实施修改的方案，但前提是不会对原有项目方案所设定的主要节能要求、照明质量和安全性能等指标（详见附件一）造成大的改动或不利影响。除非该情况的出现是由甲方的过错造成，否则，所有由此产生的费用由乙方承担。</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7.3在本项目运行期间，乙方有权为了优化项目方案、提高节能效益而对项目进行改造，包括但不限于对相关产品（设备）或设施进行添加、替换、去除、改造，或者是对相关操作、维护程序和方法进行修改。乙方应当预先将项目改造方案提交甲方审核，所有的改造费用由乙方承担，并不能负面影响项目功能。</w:t>
      </w:r>
    </w:p>
    <w:p>
      <w:pPr>
        <w:pStyle w:val="30"/>
        <w:tabs>
          <w:tab w:val="left" w:pos="1326"/>
        </w:tabs>
        <w:spacing w:line="380" w:lineRule="exact"/>
        <w:ind w:left="0" w:firstLine="422"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7.4当出现第5.15条所述情形，改造范围内照明负荷现状改变后，用电负荷累积增减不超过30KW时，应按当前合同约定计算能源管理应付款；用电负荷累积增减超过30KW时，甲乙双方应重新约定补充协议调整能源管理应付款计算。</w:t>
      </w:r>
    </w:p>
    <w:p>
      <w:pPr>
        <w:pStyle w:val="5"/>
        <w:keepNext w:val="0"/>
        <w:keepLines w:val="0"/>
        <w:tabs>
          <w:tab w:val="left" w:pos="1380"/>
        </w:tabs>
        <w:spacing w:before="0" w:line="380" w:lineRule="exact"/>
        <w:rPr>
          <w:rFonts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第8节</w:t>
      </w:r>
      <w:r>
        <w:rPr>
          <w:rFonts w:hint="eastAsia" w:asciiTheme="minorEastAsia" w:hAnsiTheme="minorEastAsia" w:eastAsiaTheme="minorEastAsia" w:cstheme="minorEastAsia"/>
          <w:color w:val="auto"/>
          <w:sz w:val="21"/>
          <w:szCs w:val="21"/>
          <w:highlight w:val="none"/>
          <w:lang w:eastAsia="zh-CN"/>
        </w:rPr>
        <w:tab/>
      </w:r>
      <w:r>
        <w:rPr>
          <w:rFonts w:hint="eastAsia" w:asciiTheme="minorEastAsia" w:hAnsiTheme="minorEastAsia" w:eastAsiaTheme="minorEastAsia" w:cstheme="minorEastAsia"/>
          <w:color w:val="auto"/>
          <w:sz w:val="21"/>
          <w:szCs w:val="21"/>
          <w:highlight w:val="none"/>
          <w:lang w:eastAsia="zh-CN"/>
        </w:rPr>
        <w:t>所有权和风险分担</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8.1本项目下的所有由乙方采购并安装的能正常使用的产品（设备）、设施和仪器等财产（简称“项目财产”）的所有权属于甲方，本合同节能服务期结束前甲方不应随意处置项目财产，节能服务期内乙方更换下来的确定损坏无法使用或达不到使用要求的LED灯具及单灯控制器所有权属乙方，乙方可自行处置。节能服务期结束后，乙方有义务将项目财产清单无偿提供给甲方，管护移交前乙方应保证该等项目财产正常运行。</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8.2项目财产的管护由乙方移交给甲方时，应同时移交本项目继续运行所必需的资料。该项目财产的继续使用需要乙方的相关技术和／或相关知识产权的授权的，乙方应当无偿向甲方提供该等授权。该项目财产的继续使用涉及第三方的服务和／或相关知识产权授权的，该等服务和授权的费用由乙方承担。</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8.3</w:t>
      </w:r>
      <w:r>
        <w:rPr>
          <w:rFonts w:hint="eastAsia" w:asciiTheme="minorEastAsia" w:hAnsiTheme="minorEastAsia" w:eastAsiaTheme="minorEastAsia" w:cstheme="minorEastAsia"/>
          <w:color w:val="auto"/>
          <w:szCs w:val="21"/>
          <w:highlight w:val="none"/>
        </w:rPr>
        <w:t>项目建设期改造更换下来的权属甲方的旧灯具、旧灯杆、旧线缆等设施，由甲方自行处置。</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8.4在本合同提前解除时，项目财产依照第 11.5（c） 条的规定处理。</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8.5本合同期间除发生不可抗力因素外，项目财产毁坏、灭失、被窃等和人为损坏的风险由</w:t>
      </w:r>
      <w:r>
        <w:rPr>
          <w:rFonts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u w:val="single"/>
        </w:rPr>
        <w:t>乙</w:t>
      </w:r>
      <w:r>
        <w:rPr>
          <w:rFonts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方承担，甲方有义务给乙方追偿提供相应的证据及帮助。</w:t>
      </w:r>
    </w:p>
    <w:p>
      <w:pPr>
        <w:pStyle w:val="5"/>
        <w:keepNext w:val="0"/>
        <w:keepLines w:val="0"/>
        <w:tabs>
          <w:tab w:val="left" w:pos="1800"/>
        </w:tabs>
        <w:spacing w:before="0" w:line="380" w:lineRule="exact"/>
        <w:rPr>
          <w:rFonts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第 9 节</w:t>
      </w:r>
      <w:r>
        <w:rPr>
          <w:rFonts w:hint="eastAsia" w:asciiTheme="minorEastAsia" w:hAnsiTheme="minorEastAsia" w:eastAsiaTheme="minorEastAsia" w:cstheme="minorEastAsia"/>
          <w:color w:val="auto"/>
          <w:sz w:val="21"/>
          <w:szCs w:val="21"/>
          <w:highlight w:val="none"/>
          <w:lang w:eastAsia="zh-CN"/>
        </w:rPr>
        <w:tab/>
      </w:r>
      <w:r>
        <w:rPr>
          <w:rFonts w:hint="eastAsia" w:asciiTheme="minorEastAsia" w:hAnsiTheme="minorEastAsia" w:eastAsiaTheme="minorEastAsia" w:cstheme="minorEastAsia"/>
          <w:color w:val="auto"/>
          <w:sz w:val="21"/>
          <w:szCs w:val="21"/>
          <w:highlight w:val="none"/>
          <w:lang w:eastAsia="zh-CN"/>
        </w:rPr>
        <w:t>违约责任</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9.1甲方无正当理由未按照本合同的规定及时向乙方办理支付手续，则应当每日按照当月乙方应得的能源管理款项 </w:t>
      </w:r>
      <w:r>
        <w:rPr>
          <w:rFonts w:hint="eastAsia" w:asciiTheme="minorEastAsia" w:hAnsiTheme="minorEastAsia" w:eastAsiaTheme="minorEastAsia" w:cstheme="minorEastAsia"/>
          <w:color w:val="auto"/>
          <w:szCs w:val="21"/>
          <w:highlight w:val="none"/>
          <w:u w:val="single"/>
        </w:rPr>
        <w:t>万分之一</w:t>
      </w:r>
      <w:r>
        <w:rPr>
          <w:rFonts w:hint="eastAsia" w:asciiTheme="minorEastAsia" w:hAnsiTheme="minorEastAsia" w:eastAsiaTheme="minorEastAsia" w:cstheme="minorEastAsia"/>
          <w:color w:val="auto"/>
          <w:szCs w:val="21"/>
          <w:highlight w:val="none"/>
        </w:rPr>
        <w:t>的比率向乙方支付违约金。</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9.2如甲方违反除第 9.1 条外的其他义务，乙方对由此而造成的损失按</w:t>
      </w:r>
      <w:r>
        <w:rPr>
          <w:rFonts w:hint="eastAsia" w:asciiTheme="minorEastAsia" w:hAnsiTheme="minorEastAsia" w:eastAsiaTheme="minorEastAsia" w:cstheme="minorEastAsia"/>
          <w:color w:val="auto"/>
          <w:szCs w:val="21"/>
          <w:highlight w:val="none"/>
          <w:u w:val="single"/>
        </w:rPr>
        <w:t>(c)</w:t>
      </w:r>
      <w:r>
        <w:rPr>
          <w:rFonts w:hint="eastAsia" w:asciiTheme="minorEastAsia" w:hAnsiTheme="minorEastAsia" w:eastAsiaTheme="minorEastAsia" w:cstheme="minorEastAsia"/>
          <w:color w:val="auto"/>
          <w:szCs w:val="21"/>
          <w:highlight w:val="none"/>
        </w:rPr>
        <w:t>方式要求甲方承担相应的违约赔偿责任：</w:t>
      </w:r>
    </w:p>
    <w:p>
      <w:pPr>
        <w:pStyle w:val="30"/>
        <w:tabs>
          <w:tab w:val="left" w:pos="1276"/>
          <w:tab w:val="left" w:pos="7152"/>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(a)适当</w:t>
      </w:r>
      <w:r>
        <w:rPr>
          <w:rFonts w:hint="eastAsia" w:asciiTheme="minorEastAsia" w:hAnsiTheme="minorEastAsia" w:eastAsiaTheme="minorEastAsia" w:cstheme="minorEastAsia"/>
          <w:color w:val="auto"/>
          <w:szCs w:val="21"/>
          <w:highlight w:val="none"/>
        </w:rPr>
        <w:t>延长能源管理款项支付的时间。</w:t>
      </w:r>
    </w:p>
    <w:p>
      <w:pPr>
        <w:pStyle w:val="30"/>
        <w:tabs>
          <w:tab w:val="left" w:pos="1276"/>
          <w:tab w:val="left" w:pos="7518"/>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(b)</w:t>
      </w:r>
      <w:r>
        <w:rPr>
          <w:rFonts w:hint="eastAsia" w:asciiTheme="minorEastAsia" w:hAnsiTheme="minorEastAsia" w:eastAsiaTheme="minorEastAsia" w:cstheme="minorEastAsia"/>
          <w:color w:val="auto"/>
          <w:szCs w:val="21"/>
          <w:highlight w:val="none"/>
        </w:rPr>
        <w:t>按照以下标准调整乙方折扣率：</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u w:val="single"/>
        </w:rPr>
        <w:tab/>
      </w:r>
    </w:p>
    <w:p>
      <w:pPr>
        <w:pStyle w:val="30"/>
        <w:tabs>
          <w:tab w:val="left" w:pos="1276"/>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(c)</w:t>
      </w:r>
      <w:r>
        <w:rPr>
          <w:rFonts w:hint="eastAsia" w:asciiTheme="minorEastAsia" w:hAnsiTheme="minorEastAsia" w:eastAsiaTheme="minorEastAsia" w:cstheme="minorEastAsia"/>
          <w:color w:val="auto"/>
          <w:szCs w:val="21"/>
          <w:highlight w:val="none"/>
        </w:rPr>
        <w:t>直接要求甲方赔偿损失；</w:t>
      </w:r>
    </w:p>
    <w:p>
      <w:pPr>
        <w:pStyle w:val="30"/>
        <w:tabs>
          <w:tab w:val="left" w:pos="1276"/>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(d)</w:t>
      </w:r>
      <w:r>
        <w:rPr>
          <w:rFonts w:hint="eastAsia" w:asciiTheme="minorEastAsia" w:hAnsiTheme="minorEastAsia" w:eastAsiaTheme="minorEastAsia" w:cstheme="minorEastAsia"/>
          <w:color w:val="auto"/>
          <w:szCs w:val="21"/>
          <w:highlight w:val="none"/>
        </w:rPr>
        <w:t>依照第 11.5 条的规定解除合同，并要求甲方赔偿全部损失。</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9.3甲方对乙方承担的改造范围内 LED 路灯的各项维护工作每月进行检查、监督。凡乙方达不到管理标准的，扣减乙方当月能源管理应付款项，部分标准如下，未尽事宜按《桂林市合同能源管理道路照明设施维护考核细则》执行：</w:t>
      </w:r>
    </w:p>
    <w:p>
      <w:pPr>
        <w:pStyle w:val="9"/>
        <w:spacing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亮灯率方面：乙方保证改造后所有的LED节能灯具亮灯率必须大于98%、设施完好率为100%，检查中凡发现改造后的LED 节能灯具月平均亮灯率低于98%或设施完好率低于100%的，甲方可书面通知、电话、短信等方式通知乙方进行修复，如乙方24小时内不及时进行故障处理，甲方暂缓支付乙方的当月能源管理应付款，直至问题整改合格为止。连续三次不能整改合格，甲方有权不向乙方支付亮灯率不合格月份的能源管理应付款；乙方连续六次不能整改合格，甲方有权终止合约的执行，并没收其履约保证金。</w:t>
      </w:r>
    </w:p>
    <w:p>
      <w:pPr>
        <w:pStyle w:val="9"/>
        <w:spacing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单灯灭灯故障方面：乙方须按要求检修：一般情况下应在3日内修复；市长热线投诉或新闻媒体曝光的灯具故障，要求24小时内修复；市政服务热线和甲方照明热线等报修的灯具故障，要求2日内修复。乙方没能按要求时限修复故障，甲方按每盏灯每天扣除乙方当月能源管理应付款的1‰，以超时天数盏数累计计算，直至故障修复为止。</w:t>
      </w:r>
    </w:p>
    <w:p>
      <w:pPr>
        <w:pStyle w:val="9"/>
        <w:spacing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节电率方面：乙方不能牺牲照明质量而盲目追求节电率。整个合同服务期内的照明质量均要满足《城市道路照明设计标准》（CJJ45-2015）：未调光节能时要满足该标准高标准值以上，调光节能后要满足该标准低标准值以上。</w:t>
      </w:r>
    </w:p>
    <w:p>
      <w:pPr>
        <w:pStyle w:val="9"/>
        <w:spacing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照度、亮度等照明质量评价指标方面：项目运行过程中，若发现改造路灯后的道路亮度、照度、光通维持率等指标不满足CJJ 45-2015《城市道路照明设计标准》高标准值或未达到改造前设计照度的，不达标率超过15%的，甲方书面通知乙方进行整改，如不能在甲方要求的期限内完成整改，扣减乙方当月能源管理应付款的1%，同时甲方可暂缓支付乙方的当月能源管理应付款，直至问题整改合格为止。连续三次不能按时完成整改的，甲方有权不向乙方支付亮灯率不合格月份的能源管理应付款。</w:t>
      </w:r>
    </w:p>
    <w:p>
      <w:pPr>
        <w:pStyle w:val="9"/>
        <w:spacing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9.4乙方未能按照项目方案规定的时间和要求完成项目的建设的，甲方则有权按每日万分之一从乙方应得的</w:t>
      </w:r>
      <w:r>
        <w:rPr>
          <w:rFonts w:hint="eastAsia" w:asciiTheme="minorEastAsia" w:hAnsiTheme="minorEastAsia" w:eastAsiaTheme="minorEastAsia" w:cstheme="minorEastAsia"/>
          <w:color w:val="auto"/>
          <w:szCs w:val="21"/>
          <w:highlight w:val="none"/>
        </w:rPr>
        <w:t>能源管理款项</w:t>
      </w:r>
      <w:r>
        <w:rPr>
          <w:rFonts w:hint="eastAsia" w:asciiTheme="minorEastAsia" w:hAnsiTheme="minorEastAsia" w:eastAsiaTheme="minorEastAsia" w:cstheme="minorEastAsia"/>
          <w:color w:val="auto"/>
          <w:sz w:val="21"/>
          <w:szCs w:val="21"/>
          <w:highlight w:val="none"/>
        </w:rPr>
        <w:t>中扣除。除非该等延误是由于不可抗力或者是甲方的过错造成。</w:t>
      </w:r>
    </w:p>
    <w:p>
      <w:pPr>
        <w:pStyle w:val="9"/>
        <w:spacing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9.5 乙方在改造灯具二次更换事项上未按第6.14条执行的，甲方可暂缓支付乙方后续能源管理应付款，若乙方未按第6.14条执行超过1年，甲方有权终止合约的执行，并没收其履约保证金。</w:t>
      </w:r>
    </w:p>
    <w:p>
      <w:pPr>
        <w:pStyle w:val="9"/>
        <w:spacing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9.6乙方违反除 9.3、9.4 条外的其他义务的，甲方有权对由此造成的损失选择（d）方式要求乙方承担相应的违约赔偿责任。</w:t>
      </w:r>
    </w:p>
    <w:p>
      <w:pPr>
        <w:pStyle w:val="9"/>
        <w:spacing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(a)按照以下标准降低乙方应得</w:t>
      </w:r>
      <w:r>
        <w:rPr>
          <w:rFonts w:hint="eastAsia" w:asciiTheme="minorEastAsia" w:hAnsiTheme="minorEastAsia" w:eastAsiaTheme="minorEastAsia" w:cstheme="minorEastAsia"/>
          <w:color w:val="auto"/>
          <w:szCs w:val="21"/>
          <w:highlight w:val="none"/>
        </w:rPr>
        <w:t>能源管理款项</w:t>
      </w:r>
      <w:r>
        <w:rPr>
          <w:rFonts w:hint="eastAsia" w:asciiTheme="minorEastAsia" w:hAnsiTheme="minorEastAsia" w:eastAsiaTheme="minorEastAsia" w:cstheme="minorEastAsia"/>
          <w:color w:val="auto"/>
          <w:sz w:val="21"/>
          <w:szCs w:val="21"/>
          <w:highlight w:val="none"/>
        </w:rPr>
        <w:t>的比例： /</w:t>
      </w:r>
      <w:r>
        <w:rPr>
          <w:rFonts w:hint="eastAsia" w:asciiTheme="minorEastAsia" w:hAnsiTheme="minorEastAsia" w:eastAsiaTheme="minorEastAsia" w:cstheme="minorEastAsia"/>
          <w:color w:val="auto"/>
          <w:sz w:val="21"/>
          <w:szCs w:val="21"/>
          <w:highlight w:val="none"/>
        </w:rPr>
        <w:tab/>
      </w:r>
      <w:r>
        <w:rPr>
          <w:rFonts w:hint="eastAsia" w:asciiTheme="minorEastAsia" w:hAnsiTheme="minorEastAsia" w:eastAsiaTheme="minorEastAsia" w:cstheme="minorEastAsia"/>
          <w:color w:val="auto"/>
          <w:sz w:val="21"/>
          <w:szCs w:val="21"/>
          <w:highlight w:val="none"/>
        </w:rPr>
        <w:t>。</w:t>
      </w:r>
    </w:p>
    <w:p>
      <w:pPr>
        <w:pStyle w:val="9"/>
        <w:spacing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(b)按照以下标准缩短乙方应得</w:t>
      </w:r>
      <w:r>
        <w:rPr>
          <w:rFonts w:hint="eastAsia" w:asciiTheme="minorEastAsia" w:hAnsiTheme="minorEastAsia" w:eastAsiaTheme="minorEastAsia" w:cstheme="minorEastAsia"/>
          <w:color w:val="auto"/>
          <w:szCs w:val="21"/>
          <w:highlight w:val="none"/>
        </w:rPr>
        <w:t>能源管理款项</w:t>
      </w:r>
      <w:r>
        <w:rPr>
          <w:rFonts w:hint="eastAsia" w:asciiTheme="minorEastAsia" w:hAnsiTheme="minorEastAsia" w:eastAsiaTheme="minorEastAsia" w:cstheme="minorEastAsia"/>
          <w:color w:val="auto"/>
          <w:sz w:val="21"/>
          <w:szCs w:val="21"/>
          <w:highlight w:val="none"/>
        </w:rPr>
        <w:t>的时间： /</w:t>
      </w:r>
      <w:r>
        <w:rPr>
          <w:rFonts w:hint="eastAsia" w:asciiTheme="minorEastAsia" w:hAnsiTheme="minorEastAsia" w:eastAsiaTheme="minorEastAsia" w:cstheme="minorEastAsia"/>
          <w:color w:val="auto"/>
          <w:sz w:val="21"/>
          <w:szCs w:val="21"/>
          <w:highlight w:val="none"/>
        </w:rPr>
        <w:tab/>
      </w:r>
      <w:r>
        <w:rPr>
          <w:rFonts w:hint="eastAsia" w:asciiTheme="minorEastAsia" w:hAnsiTheme="minorEastAsia" w:eastAsiaTheme="minorEastAsia" w:cstheme="minorEastAsia"/>
          <w:color w:val="auto"/>
          <w:sz w:val="21"/>
          <w:szCs w:val="21"/>
          <w:highlight w:val="none"/>
        </w:rPr>
        <w:t>。</w:t>
      </w:r>
    </w:p>
    <w:p>
      <w:pPr>
        <w:pStyle w:val="9"/>
        <w:spacing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(c)直接要求乙方赔偿损失；</w:t>
      </w:r>
    </w:p>
    <w:p>
      <w:pPr>
        <w:pStyle w:val="30"/>
        <w:tabs>
          <w:tab w:val="left" w:pos="1276"/>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(d)</w:t>
      </w:r>
      <w:r>
        <w:rPr>
          <w:rFonts w:hint="eastAsia" w:asciiTheme="minorEastAsia" w:hAnsiTheme="minorEastAsia" w:eastAsiaTheme="minorEastAsia" w:cstheme="minorEastAsia"/>
          <w:color w:val="auto"/>
          <w:szCs w:val="21"/>
          <w:highlight w:val="none"/>
        </w:rPr>
        <w:t>依照第 11.5 （</w:t>
      </w:r>
      <w:r>
        <w:rPr>
          <w:rFonts w:hint="eastAsia" w:asciiTheme="minorEastAsia" w:hAnsiTheme="minorEastAsia" w:eastAsiaTheme="minorEastAsia" w:cstheme="minorEastAsia"/>
          <w:color w:val="auto"/>
          <w:szCs w:val="21"/>
          <w:highlight w:val="none"/>
          <w:lang w:val="en-US"/>
        </w:rPr>
        <w:t>c</w:t>
      </w:r>
      <w:r>
        <w:rPr>
          <w:rFonts w:hint="eastAsia" w:asciiTheme="minorEastAsia" w:hAnsiTheme="minorEastAsia" w:eastAsiaTheme="minorEastAsia" w:cstheme="minorEastAsia"/>
          <w:color w:val="auto"/>
          <w:szCs w:val="21"/>
          <w:highlight w:val="none"/>
        </w:rPr>
        <w:t>）条的规定，解除合同，并要求乙方赔偿损失。</w:t>
      </w:r>
    </w:p>
    <w:p>
      <w:pPr>
        <w:pStyle w:val="30"/>
        <w:tabs>
          <w:tab w:val="left" w:pos="1326"/>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9.7</w:t>
      </w:r>
      <w:r>
        <w:rPr>
          <w:rFonts w:hint="eastAsia" w:asciiTheme="minorEastAsia" w:hAnsiTheme="minorEastAsia" w:eastAsiaTheme="minorEastAsia" w:cstheme="minorEastAsia"/>
          <w:color w:val="auto"/>
          <w:szCs w:val="21"/>
          <w:highlight w:val="none"/>
        </w:rPr>
        <w:t>本条规定的违约责任方式不影响甲乙双方依照法律法规可获得的其他救济手段。</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9.8一方违约后，另一方应采取适当措施，防止损失的扩大，否则不能就扩大部分的损失要求赔偿。</w:t>
      </w:r>
    </w:p>
    <w:p>
      <w:pPr>
        <w:pStyle w:val="5"/>
        <w:keepNext w:val="0"/>
        <w:keepLines w:val="0"/>
        <w:tabs>
          <w:tab w:val="left" w:pos="1486"/>
        </w:tabs>
        <w:spacing w:before="0" w:line="380" w:lineRule="exact"/>
        <w:rPr>
          <w:rFonts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第 10 节</w:t>
      </w:r>
      <w:r>
        <w:rPr>
          <w:rFonts w:hint="eastAsia" w:asciiTheme="minorEastAsia" w:hAnsiTheme="minorEastAsia" w:eastAsiaTheme="minorEastAsia" w:cstheme="minorEastAsia"/>
          <w:color w:val="auto"/>
          <w:sz w:val="21"/>
          <w:szCs w:val="21"/>
          <w:highlight w:val="none"/>
          <w:lang w:eastAsia="zh-CN"/>
        </w:rPr>
        <w:tab/>
      </w:r>
      <w:r>
        <w:rPr>
          <w:rFonts w:hint="eastAsia" w:asciiTheme="minorEastAsia" w:hAnsiTheme="minorEastAsia" w:eastAsiaTheme="minorEastAsia" w:cstheme="minorEastAsia"/>
          <w:color w:val="auto"/>
          <w:sz w:val="21"/>
          <w:szCs w:val="21"/>
          <w:highlight w:val="none"/>
          <w:lang w:eastAsia="zh-CN"/>
        </w:rPr>
        <w:t>不可抗力</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10.1本合同下的不可抗力是指超出了相关方合理控制范围的任何行为、事件或原因，包括但不限于：</w:t>
      </w:r>
    </w:p>
    <w:p>
      <w:pPr>
        <w:pStyle w:val="30"/>
        <w:tabs>
          <w:tab w:val="left" w:pos="127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雷电、洪水、风暴、地震、滑坡、暴雨等自然灾害、海上危险、航行事故、战争、骚乱、暴动、全国紧急状态（无论是实际情况或法律规定的情况）、戒严令、火灾或劳工纠纷（无论是否涉及相关方的雇员）、流行病、隔离、辐射或放射性污染；</w:t>
      </w:r>
    </w:p>
    <w:p>
      <w:pPr>
        <w:pStyle w:val="30"/>
        <w:tabs>
          <w:tab w:val="left" w:pos="127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任何政府单位或其它主管部门（包括任何有管辖权的法院或仲裁庭以及国际机构）的行动，包括但不限于法律、法规、规章或其他有法律强制约束力的法案所规定的没收、约束、禁止、干预、征用、要求、指示或禁运。但不得包括一方资金短缺的事实。</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10.2一方（“受影响方”）由于不可抗力事件的发生，无法或预计无法履行合同下的义务，受影响方就必须在知晓不可抗力的有关事件的 5 日内向另一方（“非影响方”）提交书面通知，提供不可抗力事件的细节。</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10.3受影响方必须采取一切合理的措施，以消除或减轻不可抗力事件有关的影响。</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10.4在不可抗力事件持续期间，受影响方的履行义务暂时中止，相应的义务履行期限相应顺延，并将不会对由此造成的损失或损坏对非影响方承担责任。在不可抗力事件结束后，受影响方应该尽快恢复履行本合同下的义务。</w:t>
      </w:r>
    </w:p>
    <w:p>
      <w:pPr>
        <w:tabs>
          <w:tab w:val="left" w:pos="1326"/>
        </w:tabs>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10.5如果因为不可抗力事件的影响，受影响方不能履行本合同项下的任何义务，而且非影响方在收到不可抗力通知后，受影响方的不能履行义务持续时间达 90 个连续日，且在此期间，双方没有能够谈判达成一项彼此可以接受的替代方式来执行本合同下的项目，任何一方可向另一方提供书面通知，解除本协议，按本合同 11.6 条规定处理。</w:t>
      </w:r>
    </w:p>
    <w:p>
      <w:pPr>
        <w:pStyle w:val="5"/>
        <w:keepNext w:val="0"/>
        <w:keepLines w:val="0"/>
        <w:tabs>
          <w:tab w:val="left" w:pos="1486"/>
        </w:tabs>
        <w:spacing w:before="0" w:line="380" w:lineRule="exact"/>
        <w:rPr>
          <w:rFonts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第 11 节</w:t>
      </w:r>
      <w:r>
        <w:rPr>
          <w:rFonts w:hint="eastAsia" w:asciiTheme="minorEastAsia" w:hAnsiTheme="minorEastAsia" w:eastAsiaTheme="minorEastAsia" w:cstheme="minorEastAsia"/>
          <w:color w:val="auto"/>
          <w:sz w:val="21"/>
          <w:szCs w:val="21"/>
          <w:highlight w:val="none"/>
          <w:lang w:eastAsia="zh-CN"/>
        </w:rPr>
        <w:tab/>
      </w:r>
      <w:r>
        <w:rPr>
          <w:rFonts w:hint="eastAsia" w:asciiTheme="minorEastAsia" w:hAnsiTheme="minorEastAsia" w:eastAsiaTheme="minorEastAsia" w:cstheme="minorEastAsia"/>
          <w:color w:val="auto"/>
          <w:sz w:val="21"/>
          <w:szCs w:val="21"/>
          <w:highlight w:val="none"/>
          <w:lang w:eastAsia="zh-CN"/>
        </w:rPr>
        <w:t>合同解除</w:t>
      </w:r>
    </w:p>
    <w:p>
      <w:pPr>
        <w:pStyle w:val="30"/>
        <w:tabs>
          <w:tab w:val="left" w:pos="1429"/>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11.1</w:t>
      </w:r>
      <w:r>
        <w:rPr>
          <w:rFonts w:hint="eastAsia" w:asciiTheme="minorEastAsia" w:hAnsiTheme="minorEastAsia" w:eastAsiaTheme="minorEastAsia" w:cstheme="minorEastAsia"/>
          <w:color w:val="auto"/>
          <w:szCs w:val="21"/>
          <w:highlight w:val="none"/>
        </w:rPr>
        <w:t>本合同可经由甲乙双方协商一致后书面解除。</w:t>
      </w:r>
    </w:p>
    <w:p>
      <w:pPr>
        <w:pStyle w:val="30"/>
        <w:tabs>
          <w:tab w:val="left" w:pos="1429"/>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11.2</w:t>
      </w:r>
      <w:r>
        <w:rPr>
          <w:rFonts w:hint="eastAsia" w:asciiTheme="minorEastAsia" w:hAnsiTheme="minorEastAsia" w:eastAsiaTheme="minorEastAsia" w:cstheme="minorEastAsia"/>
          <w:color w:val="auto"/>
          <w:szCs w:val="21"/>
          <w:highlight w:val="none"/>
        </w:rPr>
        <w:t>本合同可依照第 10.5 条（不可抗力）的规定解除。</w:t>
      </w:r>
    </w:p>
    <w:p>
      <w:pPr>
        <w:pStyle w:val="30"/>
        <w:tabs>
          <w:tab w:val="left" w:pos="1429"/>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11.3</w:t>
      </w:r>
      <w:r>
        <w:rPr>
          <w:rFonts w:hint="eastAsia" w:asciiTheme="minorEastAsia" w:hAnsiTheme="minorEastAsia" w:eastAsiaTheme="minorEastAsia" w:cstheme="minorEastAsia"/>
          <w:color w:val="auto"/>
          <w:szCs w:val="21"/>
          <w:highlight w:val="none"/>
        </w:rPr>
        <w:t xml:space="preserve">当甲方迟延履行付款义务达 </w:t>
      </w:r>
      <w:r>
        <w:rPr>
          <w:rFonts w:hint="eastAsia" w:asciiTheme="minorEastAsia" w:hAnsiTheme="minorEastAsia" w:eastAsiaTheme="minorEastAsia" w:cstheme="minorEastAsia"/>
          <w:color w:val="auto"/>
          <w:szCs w:val="21"/>
          <w:highlight w:val="none"/>
          <w:u w:val="single"/>
        </w:rPr>
        <w:t>60 日</w:t>
      </w:r>
      <w:r>
        <w:rPr>
          <w:rFonts w:hint="eastAsia" w:asciiTheme="minorEastAsia" w:hAnsiTheme="minorEastAsia" w:eastAsiaTheme="minorEastAsia" w:cstheme="minorEastAsia"/>
          <w:color w:val="auto"/>
          <w:szCs w:val="21"/>
          <w:highlight w:val="none"/>
        </w:rPr>
        <w:t>时，乙方有权书面通知甲方后解除本合同。</w:t>
      </w:r>
    </w:p>
    <w:p>
      <w:pPr>
        <w:pStyle w:val="30"/>
        <w:tabs>
          <w:tab w:val="left" w:pos="1429"/>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11.4</w:t>
      </w:r>
      <w:r>
        <w:rPr>
          <w:rFonts w:hint="eastAsia" w:asciiTheme="minorEastAsia" w:hAnsiTheme="minorEastAsia" w:eastAsiaTheme="minorEastAsia" w:cstheme="minorEastAsia"/>
          <w:color w:val="auto"/>
          <w:szCs w:val="21"/>
          <w:highlight w:val="none"/>
        </w:rPr>
        <w:t xml:space="preserve">当乙方延误项目建设期限达 </w:t>
      </w:r>
      <w:r>
        <w:rPr>
          <w:rFonts w:hint="eastAsia" w:asciiTheme="minorEastAsia" w:hAnsiTheme="minorEastAsia" w:eastAsiaTheme="minorEastAsia" w:cstheme="minorEastAsia"/>
          <w:color w:val="auto"/>
          <w:szCs w:val="21"/>
          <w:highlight w:val="none"/>
          <w:u w:val="single"/>
        </w:rPr>
        <w:t>60 日</w:t>
      </w:r>
      <w:r>
        <w:rPr>
          <w:rFonts w:hint="eastAsia" w:asciiTheme="minorEastAsia" w:hAnsiTheme="minorEastAsia" w:eastAsiaTheme="minorEastAsia" w:cstheme="minorEastAsia"/>
          <w:color w:val="auto"/>
          <w:szCs w:val="21"/>
          <w:highlight w:val="none"/>
        </w:rPr>
        <w:t>时，甲方有权书面通知乙方后解除本合同。</w:t>
      </w:r>
    </w:p>
    <w:p>
      <w:pPr>
        <w:pStyle w:val="30"/>
        <w:tabs>
          <w:tab w:val="left" w:pos="1429"/>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11.5</w:t>
      </w:r>
      <w:r>
        <w:rPr>
          <w:rFonts w:hint="eastAsia" w:asciiTheme="minorEastAsia" w:hAnsiTheme="minorEastAsia" w:eastAsiaTheme="minorEastAsia" w:cstheme="minorEastAsia"/>
          <w:color w:val="auto"/>
          <w:szCs w:val="21"/>
          <w:highlight w:val="none"/>
        </w:rPr>
        <w:t>当本合同的一方发生以下任一情况时，另一方可书面通知对方解除本合同：</w:t>
      </w:r>
    </w:p>
    <w:p>
      <w:pPr>
        <w:pStyle w:val="30"/>
        <w:tabs>
          <w:tab w:val="left" w:pos="1379"/>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(a)</w:t>
      </w:r>
      <w:r>
        <w:rPr>
          <w:rFonts w:hint="eastAsia" w:asciiTheme="minorEastAsia" w:hAnsiTheme="minorEastAsia" w:eastAsiaTheme="minorEastAsia" w:cstheme="minorEastAsia"/>
          <w:color w:val="auto"/>
          <w:szCs w:val="21"/>
          <w:highlight w:val="none"/>
        </w:rPr>
        <w:t>一方进入破产程序；</w:t>
      </w:r>
    </w:p>
    <w:p>
      <w:pPr>
        <w:pStyle w:val="30"/>
        <w:tabs>
          <w:tab w:val="left" w:pos="148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(b)</w:t>
      </w:r>
      <w:r>
        <w:rPr>
          <w:rFonts w:hint="eastAsia" w:asciiTheme="minorEastAsia" w:hAnsiTheme="minorEastAsia" w:eastAsiaTheme="minorEastAsia" w:cstheme="minorEastAsia"/>
          <w:color w:val="auto"/>
          <w:szCs w:val="21"/>
          <w:highlight w:val="none"/>
        </w:rPr>
        <w:t>一方的控股股东或者是实际控制人发生变化，而且该变化将严重影响到该方履行本合同下主要义务的能力；</w:t>
      </w:r>
    </w:p>
    <w:p>
      <w:pPr>
        <w:pStyle w:val="30"/>
        <w:tabs>
          <w:tab w:val="left" w:pos="1379"/>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2"/>
          <w:szCs w:val="21"/>
          <w:highlight w:val="none"/>
          <w:lang w:val="en-US"/>
        </w:rPr>
        <w:t>(c)</w:t>
      </w:r>
      <w:r>
        <w:rPr>
          <w:rFonts w:hint="eastAsia" w:asciiTheme="minorEastAsia" w:hAnsiTheme="minorEastAsia" w:eastAsiaTheme="minorEastAsia" w:cstheme="minorEastAsia"/>
          <w:color w:val="auto"/>
          <w:spacing w:val="-2"/>
          <w:szCs w:val="21"/>
          <w:highlight w:val="none"/>
        </w:rPr>
        <w:t xml:space="preserve">一方违反本合同下的主要义务，且该行为在另一方书面通知后 </w:t>
      </w:r>
      <w:r>
        <w:rPr>
          <w:rFonts w:hint="eastAsia" w:asciiTheme="minorEastAsia" w:hAnsiTheme="minorEastAsia" w:eastAsiaTheme="minorEastAsia" w:cstheme="minorEastAsia"/>
          <w:color w:val="auto"/>
          <w:szCs w:val="21"/>
          <w:highlight w:val="none"/>
          <w:u w:val="single"/>
        </w:rPr>
        <w:t>60</w:t>
      </w:r>
      <w:r>
        <w:rPr>
          <w:rFonts w:hint="eastAsia" w:asciiTheme="minorEastAsia" w:hAnsiTheme="minorEastAsia" w:eastAsiaTheme="minorEastAsia" w:cstheme="minorEastAsia"/>
          <w:color w:val="auto"/>
          <w:spacing w:val="-27"/>
          <w:szCs w:val="21"/>
          <w:highlight w:val="none"/>
          <w:u w:val="single"/>
        </w:rPr>
        <w:t xml:space="preserve"> 日</w:t>
      </w:r>
      <w:r>
        <w:rPr>
          <w:rFonts w:hint="eastAsia" w:asciiTheme="minorEastAsia" w:hAnsiTheme="minorEastAsia" w:eastAsiaTheme="minorEastAsia" w:cstheme="minorEastAsia"/>
          <w:color w:val="auto"/>
          <w:szCs w:val="21"/>
          <w:highlight w:val="none"/>
        </w:rPr>
        <w:t>内未得到纠正。</w:t>
      </w:r>
    </w:p>
    <w:p>
      <w:pPr>
        <w:pStyle w:val="9"/>
        <w:spacing w:line="380" w:lineRule="exact"/>
        <w:ind w:firstLine="404" w:firstLineChars="200"/>
        <w:rPr>
          <w:rFonts w:asciiTheme="minorEastAsia" w:hAnsiTheme="minorEastAsia" w:eastAsiaTheme="minorEastAsia" w:cstheme="minorEastAsia"/>
          <w:color w:val="auto"/>
          <w:spacing w:val="-4"/>
          <w:sz w:val="21"/>
          <w:szCs w:val="21"/>
          <w:highlight w:val="none"/>
        </w:rPr>
      </w:pPr>
      <w:r>
        <w:rPr>
          <w:rFonts w:hint="eastAsia" w:asciiTheme="minorEastAsia" w:hAnsiTheme="minorEastAsia" w:eastAsiaTheme="minorEastAsia" w:cstheme="minorEastAsia"/>
          <w:color w:val="auto"/>
          <w:spacing w:val="-4"/>
          <w:sz w:val="21"/>
          <w:szCs w:val="21"/>
          <w:highlight w:val="none"/>
        </w:rPr>
        <w:t>因乙方原因造成本合同解除后，本项目应当终止实施，已经安装并正常使用的灯具须在不影响市政照明前提下，按照双方如下约定的程序处理，项目财产由乙方负责拆除、取回，并根据甲方的合理要求，将项目现场恢复原状，费用由乙方承担。如乙方经甲方合理提前通知后拒绝履行前述义务，则甲方有权自行拆除相关产品（设备）并进行处置，相关费用（包括但不限于拆除费、运费、仓储费、处置费等）由乙方承担，并就因此产生的费用和损失向乙方追偿，乙方同时应按照此项目总</w:t>
      </w:r>
      <w:r>
        <w:rPr>
          <w:rFonts w:hint="eastAsia" w:asciiTheme="minorEastAsia" w:hAnsiTheme="minorEastAsia" w:eastAsiaTheme="minorEastAsia" w:cstheme="minorEastAsia"/>
          <w:color w:val="auto"/>
          <w:szCs w:val="21"/>
          <w:highlight w:val="none"/>
        </w:rPr>
        <w:t>能源管理应付款</w:t>
      </w:r>
      <w:r>
        <w:rPr>
          <w:rFonts w:hint="eastAsia" w:asciiTheme="minorEastAsia" w:hAnsiTheme="minorEastAsia" w:eastAsiaTheme="minorEastAsia" w:cstheme="minorEastAsia"/>
          <w:color w:val="auto"/>
          <w:spacing w:val="-4"/>
          <w:sz w:val="21"/>
          <w:szCs w:val="21"/>
          <w:highlight w:val="none"/>
        </w:rPr>
        <w:t>为基数的20%向甲方支付违约金。</w:t>
      </w:r>
    </w:p>
    <w:p>
      <w:pPr>
        <w:pStyle w:val="9"/>
        <w:spacing w:line="380" w:lineRule="exact"/>
        <w:ind w:firstLine="404" w:firstLineChars="200"/>
        <w:rPr>
          <w:rFonts w:asciiTheme="minorEastAsia" w:hAnsiTheme="minorEastAsia" w:eastAsiaTheme="minorEastAsia" w:cstheme="minorEastAsia"/>
          <w:color w:val="auto"/>
          <w:spacing w:val="-4"/>
          <w:sz w:val="21"/>
          <w:szCs w:val="21"/>
          <w:highlight w:val="none"/>
        </w:rPr>
      </w:pPr>
      <w:r>
        <w:rPr>
          <w:rFonts w:hint="eastAsia" w:asciiTheme="minorEastAsia" w:hAnsiTheme="minorEastAsia" w:eastAsiaTheme="minorEastAsia" w:cstheme="minorEastAsia"/>
          <w:color w:val="auto"/>
          <w:spacing w:val="-4"/>
          <w:sz w:val="21"/>
          <w:szCs w:val="21"/>
          <w:highlight w:val="none"/>
        </w:rPr>
        <w:t>因甲方原因造成本合同解除后，本项目应当终止实施，项目财产由乙方负责拆除、取回。甲方应承担乙方为此项目所支出的全部费用（包括但不仅限于设备购置费、运费、安装费、设计费等），按照此项目总</w:t>
      </w:r>
      <w:r>
        <w:rPr>
          <w:rFonts w:hint="eastAsia" w:asciiTheme="minorEastAsia" w:hAnsiTheme="minorEastAsia" w:eastAsiaTheme="minorEastAsia" w:cstheme="minorEastAsia"/>
          <w:color w:val="auto"/>
          <w:szCs w:val="21"/>
          <w:highlight w:val="none"/>
        </w:rPr>
        <w:t>能源管理应付款</w:t>
      </w:r>
      <w:r>
        <w:rPr>
          <w:rFonts w:hint="eastAsia" w:asciiTheme="minorEastAsia" w:hAnsiTheme="minorEastAsia" w:eastAsiaTheme="minorEastAsia" w:cstheme="minorEastAsia"/>
          <w:color w:val="auto"/>
          <w:spacing w:val="-4"/>
          <w:sz w:val="21"/>
          <w:szCs w:val="21"/>
          <w:highlight w:val="none"/>
        </w:rPr>
        <w:t>为基数的20%向乙方支付违约金。</w:t>
      </w:r>
    </w:p>
    <w:p>
      <w:pPr>
        <w:pStyle w:val="30"/>
        <w:tabs>
          <w:tab w:val="left" w:pos="1429"/>
        </w:tabs>
        <w:spacing w:line="380" w:lineRule="exact"/>
        <w:ind w:left="0" w:firstLineChars="200"/>
        <w:rPr>
          <w:rFonts w:asciiTheme="minorEastAsia" w:hAnsiTheme="minorEastAsia" w:eastAsiaTheme="minorEastAsia" w:cstheme="minorEastAsia"/>
          <w:color w:val="auto"/>
          <w:szCs w:val="21"/>
          <w:highlight w:val="none"/>
          <w:lang w:val="en-US"/>
        </w:rPr>
      </w:pPr>
      <w:r>
        <w:rPr>
          <w:rFonts w:hint="eastAsia" w:asciiTheme="minorEastAsia" w:hAnsiTheme="minorEastAsia" w:eastAsiaTheme="minorEastAsia" w:cstheme="minorEastAsia"/>
          <w:color w:val="auto"/>
          <w:szCs w:val="21"/>
          <w:highlight w:val="none"/>
          <w:lang w:val="en-US"/>
        </w:rPr>
        <w:t>11.6本合同的解除不影响任意一方根据本合同或者相关的法律法规向对方寻求赔偿的权利，也不影响一方在合同解除前到期的付款义务的履行。</w:t>
      </w:r>
    </w:p>
    <w:p>
      <w:pPr>
        <w:pStyle w:val="5"/>
        <w:keepNext w:val="0"/>
        <w:keepLines w:val="0"/>
        <w:tabs>
          <w:tab w:val="left" w:pos="1486"/>
        </w:tabs>
        <w:spacing w:before="0" w:line="380" w:lineRule="exact"/>
        <w:rPr>
          <w:rFonts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第 12 节</w:t>
      </w:r>
      <w:r>
        <w:rPr>
          <w:rFonts w:hint="eastAsia" w:asciiTheme="minorEastAsia" w:hAnsiTheme="minorEastAsia" w:eastAsiaTheme="minorEastAsia" w:cstheme="minorEastAsia"/>
          <w:color w:val="auto"/>
          <w:sz w:val="21"/>
          <w:szCs w:val="21"/>
          <w:highlight w:val="none"/>
          <w:lang w:eastAsia="zh-CN"/>
        </w:rPr>
        <w:tab/>
      </w:r>
      <w:r>
        <w:rPr>
          <w:rFonts w:hint="eastAsia" w:asciiTheme="minorEastAsia" w:hAnsiTheme="minorEastAsia" w:eastAsiaTheme="minorEastAsia" w:cstheme="minorEastAsia"/>
          <w:color w:val="auto"/>
          <w:sz w:val="21"/>
          <w:szCs w:val="21"/>
          <w:highlight w:val="none"/>
          <w:lang w:eastAsia="zh-CN"/>
        </w:rPr>
        <w:t>合同项下的权利、义务的转让</w:t>
      </w:r>
    </w:p>
    <w:p>
      <w:pPr>
        <w:pStyle w:val="9"/>
        <w:spacing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双方约定，合同项下权利、义务的转让按照以下方式进行：</w:t>
      </w:r>
    </w:p>
    <w:p>
      <w:pPr>
        <w:pStyle w:val="30"/>
        <w:tabs>
          <w:tab w:val="left" w:pos="1484"/>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12.1</w:t>
      </w:r>
      <w:r>
        <w:rPr>
          <w:rFonts w:hint="eastAsia" w:asciiTheme="minorEastAsia" w:hAnsiTheme="minorEastAsia" w:eastAsiaTheme="minorEastAsia" w:cstheme="minorEastAsia"/>
          <w:color w:val="auto"/>
          <w:szCs w:val="21"/>
          <w:highlight w:val="none"/>
        </w:rPr>
        <w:t>本合同项下的权利、义务的转让需要经过双方书面的同意，方可实施。</w:t>
      </w:r>
    </w:p>
    <w:p>
      <w:pPr>
        <w:pStyle w:val="30"/>
        <w:tabs>
          <w:tab w:val="left" w:pos="148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12.2</w:t>
      </w:r>
      <w:r>
        <w:rPr>
          <w:rFonts w:hint="eastAsia" w:asciiTheme="minorEastAsia" w:hAnsiTheme="minorEastAsia" w:eastAsiaTheme="minorEastAsia" w:cstheme="minorEastAsia"/>
          <w:color w:val="auto"/>
          <w:szCs w:val="21"/>
          <w:highlight w:val="none"/>
        </w:rPr>
        <w:t>乙方的相关权利、义务未经甲方书面同意而转让，视为违约行为，甲方有权利解除本合约。另外停止支付能源管理应付款。</w:t>
      </w:r>
    </w:p>
    <w:p>
      <w:pPr>
        <w:pStyle w:val="5"/>
        <w:keepNext w:val="0"/>
        <w:keepLines w:val="0"/>
        <w:tabs>
          <w:tab w:val="left" w:pos="1486"/>
        </w:tabs>
        <w:spacing w:before="0" w:line="380" w:lineRule="exact"/>
        <w:rPr>
          <w:rFonts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第 13 节  人身和财产损害和赔偿</w:t>
      </w:r>
    </w:p>
    <w:p>
      <w:pPr>
        <w:pStyle w:val="30"/>
        <w:tabs>
          <w:tab w:val="left" w:pos="148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本合同履行过程中，乙方工作人员或受乙方指派的其他人员故意或者过失致人人身或财产损害的，均由乙方负责赔偿。受损害一方有过错的，应当根据其过错程度承担相应责任，并适当减轻乙方赔偿责任。</w:t>
      </w:r>
    </w:p>
    <w:p>
      <w:pPr>
        <w:pStyle w:val="5"/>
        <w:keepNext w:val="0"/>
        <w:keepLines w:val="0"/>
        <w:tabs>
          <w:tab w:val="left" w:pos="1486"/>
        </w:tabs>
        <w:spacing w:before="0" w:line="380" w:lineRule="exact"/>
        <w:rPr>
          <w:rFonts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第 14 节</w:t>
      </w:r>
      <w:r>
        <w:rPr>
          <w:rFonts w:hint="eastAsia" w:asciiTheme="minorEastAsia" w:hAnsiTheme="minorEastAsia" w:eastAsiaTheme="minorEastAsia" w:cstheme="minorEastAsia"/>
          <w:color w:val="auto"/>
          <w:sz w:val="21"/>
          <w:szCs w:val="21"/>
          <w:highlight w:val="none"/>
          <w:lang w:eastAsia="zh-CN"/>
        </w:rPr>
        <w:tab/>
      </w:r>
      <w:r>
        <w:rPr>
          <w:rFonts w:hint="eastAsia" w:asciiTheme="minorEastAsia" w:hAnsiTheme="minorEastAsia" w:eastAsiaTheme="minorEastAsia" w:cstheme="minorEastAsia"/>
          <w:color w:val="auto"/>
          <w:sz w:val="21"/>
          <w:szCs w:val="21"/>
          <w:highlight w:val="none"/>
          <w:lang w:eastAsia="zh-CN"/>
        </w:rPr>
        <w:t>保密条款</w:t>
      </w:r>
    </w:p>
    <w:p>
      <w:pPr>
        <w:pStyle w:val="9"/>
        <w:spacing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双方确定因履行本合同应遵守的保密义务如下：</w:t>
      </w:r>
    </w:p>
    <w:p>
      <w:pPr>
        <w:pStyle w:val="30"/>
        <w:tabs>
          <w:tab w:val="left" w:pos="1429"/>
        </w:tabs>
        <w:spacing w:line="380" w:lineRule="exact"/>
        <w:ind w:left="420" w:leftChars="200" w:firstLine="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lang w:val="en-US"/>
        </w:rPr>
        <w:t>14.1</w:t>
      </w:r>
      <w:r>
        <w:rPr>
          <w:rFonts w:hint="eastAsia" w:asciiTheme="minorEastAsia" w:hAnsiTheme="minorEastAsia" w:eastAsiaTheme="minorEastAsia" w:cstheme="minorEastAsia"/>
          <w:b/>
          <w:bCs/>
          <w:color w:val="auto"/>
          <w:szCs w:val="21"/>
          <w:highlight w:val="none"/>
        </w:rPr>
        <w:t>甲方：</w:t>
      </w:r>
    </w:p>
    <w:p>
      <w:pPr>
        <w:pStyle w:val="30"/>
        <w:tabs>
          <w:tab w:val="left" w:pos="1640"/>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14.1.1</w:t>
      </w:r>
      <w:r>
        <w:rPr>
          <w:rFonts w:hint="eastAsia" w:asciiTheme="minorEastAsia" w:hAnsiTheme="minorEastAsia" w:eastAsiaTheme="minorEastAsia" w:cstheme="minorEastAsia"/>
          <w:color w:val="auto"/>
          <w:szCs w:val="21"/>
          <w:highlight w:val="none"/>
        </w:rPr>
        <w:t>保密内容：</w:t>
      </w:r>
      <w:r>
        <w:rPr>
          <w:rFonts w:hint="eastAsia" w:asciiTheme="minorEastAsia" w:hAnsiTheme="minorEastAsia" w:eastAsiaTheme="minorEastAsia" w:cstheme="minorEastAsia"/>
          <w:color w:val="auto"/>
          <w:szCs w:val="21"/>
          <w:highlight w:val="none"/>
          <w:u w:val="single"/>
        </w:rPr>
        <w:t>乙方声明需要保密的技术信息和经营信息</w:t>
      </w:r>
      <w:r>
        <w:rPr>
          <w:rFonts w:hint="eastAsia" w:asciiTheme="minorEastAsia" w:hAnsiTheme="minorEastAsia" w:eastAsiaTheme="minorEastAsia" w:cstheme="minorEastAsia"/>
          <w:color w:val="auto"/>
          <w:szCs w:val="21"/>
          <w:highlight w:val="none"/>
        </w:rPr>
        <w:t>。</w:t>
      </w:r>
    </w:p>
    <w:p>
      <w:pPr>
        <w:pStyle w:val="30"/>
        <w:tabs>
          <w:tab w:val="left" w:pos="1640"/>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14.1.2</w:t>
      </w:r>
      <w:r>
        <w:rPr>
          <w:rFonts w:hint="eastAsia" w:asciiTheme="minorEastAsia" w:hAnsiTheme="minorEastAsia" w:eastAsiaTheme="minorEastAsia" w:cstheme="minorEastAsia"/>
          <w:color w:val="auto"/>
          <w:szCs w:val="21"/>
          <w:highlight w:val="none"/>
        </w:rPr>
        <w:t>负有保密义务的人员范围：涉及乙方上述资料的人员。</w:t>
      </w:r>
    </w:p>
    <w:p>
      <w:pPr>
        <w:pStyle w:val="30"/>
        <w:tabs>
          <w:tab w:val="left" w:pos="1640"/>
          <w:tab w:val="left" w:pos="3897"/>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14.1.3</w:t>
      </w:r>
      <w:r>
        <w:rPr>
          <w:rFonts w:hint="eastAsia" w:asciiTheme="minorEastAsia" w:hAnsiTheme="minorEastAsia" w:eastAsiaTheme="minorEastAsia" w:cstheme="minorEastAsia"/>
          <w:color w:val="auto"/>
          <w:szCs w:val="21"/>
          <w:highlight w:val="none"/>
        </w:rPr>
        <w:t>保密期限：</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u w:val="single"/>
          <w:lang w:val="en-US"/>
        </w:rPr>
        <w:t>本合同履行期内以及合同终止后</w:t>
      </w:r>
      <w:r>
        <w:rPr>
          <w:rFonts w:hint="eastAsia" w:asciiTheme="minorEastAsia" w:hAnsiTheme="minorEastAsia" w:eastAsiaTheme="minorEastAsia" w:cstheme="minorEastAsia"/>
          <w:color w:val="auto"/>
          <w:szCs w:val="21"/>
          <w:highlight w:val="none"/>
          <w:u w:val="single"/>
        </w:rPr>
        <w:t>2 年</w:t>
      </w:r>
      <w:r>
        <w:rPr>
          <w:rFonts w:hint="eastAsia" w:asciiTheme="minorEastAsia" w:hAnsiTheme="minorEastAsia" w:eastAsiaTheme="minorEastAsia" w:cstheme="minorEastAsia"/>
          <w:color w:val="auto"/>
          <w:szCs w:val="21"/>
          <w:highlight w:val="none"/>
          <w:u w:val="single"/>
        </w:rPr>
        <w:tab/>
      </w:r>
    </w:p>
    <w:p>
      <w:pPr>
        <w:pStyle w:val="30"/>
        <w:tabs>
          <w:tab w:val="left" w:pos="1640"/>
          <w:tab w:val="left" w:pos="3999"/>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14.1.4</w:t>
      </w:r>
      <w:r>
        <w:rPr>
          <w:rFonts w:hint="eastAsia" w:asciiTheme="minorEastAsia" w:hAnsiTheme="minorEastAsia" w:eastAsiaTheme="minorEastAsia" w:cstheme="minorEastAsia"/>
          <w:color w:val="auto"/>
          <w:szCs w:val="21"/>
          <w:highlight w:val="none"/>
        </w:rPr>
        <w:t>泄密责任：</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u w:val="single"/>
        </w:rPr>
        <w:tab/>
      </w:r>
    </w:p>
    <w:p>
      <w:pPr>
        <w:pStyle w:val="30"/>
        <w:tabs>
          <w:tab w:val="left" w:pos="1429"/>
        </w:tabs>
        <w:spacing w:line="380" w:lineRule="exact"/>
        <w:ind w:left="420" w:leftChars="200" w:firstLine="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lang w:val="en-US"/>
        </w:rPr>
        <w:t>14.2</w:t>
      </w:r>
      <w:r>
        <w:rPr>
          <w:rFonts w:hint="eastAsia" w:asciiTheme="minorEastAsia" w:hAnsiTheme="minorEastAsia" w:eastAsiaTheme="minorEastAsia" w:cstheme="minorEastAsia"/>
          <w:b/>
          <w:bCs/>
          <w:color w:val="auto"/>
          <w:szCs w:val="21"/>
          <w:highlight w:val="none"/>
        </w:rPr>
        <w:t>乙方：</w:t>
      </w:r>
    </w:p>
    <w:p>
      <w:pPr>
        <w:pStyle w:val="30"/>
        <w:tabs>
          <w:tab w:val="left" w:pos="1640"/>
          <w:tab w:val="left" w:pos="6153"/>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14.2.1</w:t>
      </w:r>
      <w:r>
        <w:rPr>
          <w:rFonts w:hint="eastAsia" w:asciiTheme="minorEastAsia" w:hAnsiTheme="minorEastAsia" w:eastAsiaTheme="minorEastAsia" w:cstheme="minorEastAsia"/>
          <w:color w:val="auto"/>
          <w:szCs w:val="21"/>
          <w:highlight w:val="none"/>
        </w:rPr>
        <w:t>保密内容：</w:t>
      </w:r>
      <w:r>
        <w:rPr>
          <w:rFonts w:hint="eastAsia" w:asciiTheme="minorEastAsia" w:hAnsiTheme="minorEastAsia" w:eastAsiaTheme="minorEastAsia" w:cstheme="minorEastAsia"/>
          <w:color w:val="auto"/>
          <w:szCs w:val="21"/>
          <w:highlight w:val="none"/>
          <w:u w:val="single"/>
        </w:rPr>
        <w:t xml:space="preserve"> 甲方要求保密的相关信息。</w:t>
      </w:r>
      <w:r>
        <w:rPr>
          <w:rFonts w:hint="eastAsia" w:asciiTheme="minorEastAsia" w:hAnsiTheme="minorEastAsia" w:eastAsiaTheme="minorEastAsia" w:cstheme="minorEastAsia"/>
          <w:color w:val="auto"/>
          <w:szCs w:val="21"/>
          <w:highlight w:val="none"/>
          <w:u w:val="single"/>
        </w:rPr>
        <w:tab/>
      </w:r>
    </w:p>
    <w:p>
      <w:pPr>
        <w:pStyle w:val="30"/>
        <w:tabs>
          <w:tab w:val="left" w:pos="1640"/>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14.2.2</w:t>
      </w:r>
      <w:r>
        <w:rPr>
          <w:rFonts w:hint="eastAsia" w:asciiTheme="minorEastAsia" w:hAnsiTheme="minorEastAsia" w:eastAsiaTheme="minorEastAsia" w:cstheme="minorEastAsia"/>
          <w:color w:val="auto"/>
          <w:szCs w:val="21"/>
          <w:highlight w:val="none"/>
        </w:rPr>
        <w:t>负有保密义务的人员范围：</w:t>
      </w:r>
      <w:r>
        <w:rPr>
          <w:rFonts w:hint="eastAsia" w:asciiTheme="minorEastAsia" w:hAnsiTheme="minorEastAsia" w:eastAsiaTheme="minorEastAsia" w:cstheme="minorEastAsia"/>
          <w:color w:val="auto"/>
          <w:szCs w:val="21"/>
          <w:highlight w:val="none"/>
          <w:u w:val="single"/>
        </w:rPr>
        <w:t xml:space="preserve"> 涉及甲方要求保密资料的人员</w:t>
      </w:r>
      <w:r>
        <w:rPr>
          <w:rFonts w:hint="eastAsia" w:asciiTheme="minorEastAsia" w:hAnsiTheme="minorEastAsia" w:eastAsiaTheme="minorEastAsia" w:cstheme="minorEastAsia"/>
          <w:color w:val="auto"/>
          <w:szCs w:val="21"/>
          <w:highlight w:val="none"/>
        </w:rPr>
        <w:t>。</w:t>
      </w:r>
    </w:p>
    <w:p>
      <w:pPr>
        <w:pStyle w:val="30"/>
        <w:tabs>
          <w:tab w:val="left" w:pos="1640"/>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14.2.3保密期限：本合同履行期内以及合同终止后</w:t>
      </w:r>
      <w:r>
        <w:rPr>
          <w:rFonts w:hint="eastAsia" w:asciiTheme="minorEastAsia" w:hAnsiTheme="minorEastAsia" w:eastAsiaTheme="minorEastAsia" w:cstheme="minorEastAsia"/>
          <w:color w:val="auto"/>
          <w:szCs w:val="21"/>
          <w:highlight w:val="none"/>
          <w:u w:val="single"/>
        </w:rPr>
        <w:t>2 年</w:t>
      </w:r>
      <w:r>
        <w:rPr>
          <w:rFonts w:hint="eastAsia" w:asciiTheme="minorEastAsia" w:hAnsiTheme="minorEastAsia" w:eastAsiaTheme="minorEastAsia" w:cstheme="minorEastAsia"/>
          <w:color w:val="auto"/>
          <w:szCs w:val="21"/>
          <w:highlight w:val="none"/>
          <w:u w:val="single"/>
        </w:rPr>
        <w:tab/>
      </w:r>
    </w:p>
    <w:p>
      <w:pPr>
        <w:pStyle w:val="30"/>
        <w:tabs>
          <w:tab w:val="left" w:pos="1640"/>
        </w:tabs>
        <w:spacing w:line="380" w:lineRule="exact"/>
        <w:ind w:left="420" w:leftChars="200" w:firstLine="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lang w:val="en-US"/>
        </w:rPr>
        <w:t>14.2.4泄密责任：</w:t>
      </w:r>
      <w:r>
        <w:rPr>
          <w:rFonts w:hint="eastAsia" w:asciiTheme="minorEastAsia" w:hAnsiTheme="minorEastAsia" w:eastAsiaTheme="minorEastAsia" w:cstheme="minorEastAsia"/>
          <w:color w:val="auto"/>
          <w:w w:val="95"/>
          <w:szCs w:val="21"/>
          <w:highlight w:val="none"/>
          <w:u w:val="single"/>
        </w:rPr>
        <w:tab/>
      </w:r>
      <w:r>
        <w:rPr>
          <w:rFonts w:hint="eastAsia" w:asciiTheme="minorEastAsia" w:hAnsiTheme="minorEastAsia" w:eastAsiaTheme="minorEastAsia" w:cstheme="minorEastAsia"/>
          <w:color w:val="auto"/>
          <w:w w:val="95"/>
          <w:szCs w:val="21"/>
          <w:highlight w:val="none"/>
          <w:u w:val="single"/>
        </w:rPr>
        <w:t xml:space="preserve">/   </w:t>
      </w:r>
    </w:p>
    <w:p>
      <w:pPr>
        <w:pStyle w:val="30"/>
        <w:tabs>
          <w:tab w:val="left" w:pos="3565"/>
        </w:tabs>
        <w:spacing w:line="380" w:lineRule="exact"/>
        <w:ind w:left="0" w:firstLine="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第15 节  争议的解决</w:t>
      </w:r>
    </w:p>
    <w:p>
      <w:pPr>
        <w:pStyle w:val="30"/>
        <w:tabs>
          <w:tab w:val="left" w:pos="1274"/>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因本合同的履行、解释、违约、终止、中止、效力等引起的任何争议、纠纷，本合同各方应友</w:t>
      </w:r>
      <w:r>
        <w:rPr>
          <w:rFonts w:hint="eastAsia" w:asciiTheme="minorEastAsia" w:hAnsiTheme="minorEastAsia" w:eastAsiaTheme="minorEastAsia" w:cstheme="minorEastAsia"/>
          <w:color w:val="auto"/>
          <w:spacing w:val="-3"/>
          <w:szCs w:val="21"/>
          <w:highlight w:val="none"/>
        </w:rPr>
        <w:t xml:space="preserve">好协商解决。如在一方提出书面协商请求后 </w:t>
      </w:r>
      <w:r>
        <w:rPr>
          <w:rFonts w:hint="eastAsia" w:asciiTheme="minorEastAsia" w:hAnsiTheme="minorEastAsia" w:eastAsiaTheme="minorEastAsia" w:cstheme="minorEastAsia"/>
          <w:color w:val="auto"/>
          <w:szCs w:val="21"/>
          <w:highlight w:val="none"/>
        </w:rPr>
        <w:t>15</w:t>
      </w:r>
      <w:r>
        <w:rPr>
          <w:rFonts w:hint="eastAsia" w:asciiTheme="minorEastAsia" w:hAnsiTheme="minorEastAsia" w:eastAsiaTheme="minorEastAsia" w:cstheme="minorEastAsia"/>
          <w:color w:val="auto"/>
          <w:spacing w:val="-8"/>
          <w:szCs w:val="21"/>
          <w:highlight w:val="none"/>
        </w:rPr>
        <w:t xml:space="preserve"> 日内双方无法达成一致，</w:t>
      </w:r>
      <w:r>
        <w:rPr>
          <w:rFonts w:hint="eastAsia" w:asciiTheme="minorEastAsia" w:hAnsiTheme="minorEastAsia" w:eastAsiaTheme="minorEastAsia" w:cstheme="minorEastAsia"/>
          <w:color w:val="auto"/>
          <w:szCs w:val="21"/>
          <w:highlight w:val="none"/>
        </w:rPr>
        <w:t>双方同意不经由调解程序，直接采取以下第</w:t>
      </w:r>
      <w:r>
        <w:rPr>
          <w:rFonts w:hint="eastAsia" w:asciiTheme="minorEastAsia" w:hAnsiTheme="minorEastAsia" w:eastAsiaTheme="minorEastAsia" w:cstheme="minorEastAsia"/>
          <w:color w:val="auto"/>
          <w:szCs w:val="21"/>
          <w:highlight w:val="none"/>
          <w:u w:val="single"/>
          <w:lang w:val="en-US"/>
        </w:rPr>
        <w:t>2</w:t>
      </w:r>
      <w:r>
        <w:rPr>
          <w:rFonts w:hint="eastAsia" w:asciiTheme="minorEastAsia" w:hAnsiTheme="minorEastAsia" w:eastAsiaTheme="minorEastAsia" w:cstheme="minorEastAsia"/>
          <w:color w:val="auto"/>
          <w:szCs w:val="21"/>
          <w:highlight w:val="none"/>
        </w:rPr>
        <w:t>种方式最终解决争议：</w:t>
      </w:r>
    </w:p>
    <w:p>
      <w:pPr>
        <w:pStyle w:val="30"/>
        <w:tabs>
          <w:tab w:val="left" w:pos="1276"/>
          <w:tab w:val="left" w:pos="2112"/>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rPr>
        <w:t>a</w:t>
      </w:r>
      <w:r>
        <w:rPr>
          <w:rFonts w:hint="eastAsia" w:asciiTheme="minorEastAsia" w:hAnsiTheme="minorEastAsia" w:eastAsiaTheme="minorEastAsia" w:cstheme="minorEastAsia"/>
          <w:color w:val="auto"/>
          <w:szCs w:val="21"/>
          <w:highlight w:val="none"/>
        </w:rPr>
        <w:t>）向</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u w:val="single"/>
        </w:rPr>
        <w:tab/>
      </w:r>
      <w:r>
        <w:rPr>
          <w:rFonts w:hint="eastAsia" w:asciiTheme="minorEastAsia" w:hAnsiTheme="minorEastAsia" w:eastAsiaTheme="minorEastAsia" w:cstheme="minorEastAsia"/>
          <w:color w:val="auto"/>
          <w:szCs w:val="21"/>
          <w:highlight w:val="none"/>
        </w:rPr>
        <w:t>仲裁委员会申请仲裁；</w:t>
      </w:r>
    </w:p>
    <w:p>
      <w:pPr>
        <w:pStyle w:val="30"/>
        <w:tabs>
          <w:tab w:val="left" w:pos="1276"/>
          <w:tab w:val="left" w:pos="1486"/>
          <w:tab w:val="left" w:pos="2112"/>
        </w:tabs>
        <w:spacing w:line="380" w:lineRule="exact"/>
        <w:ind w:left="420" w:leftChars="200" w:firstLine="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rPr>
        <w:t>b</w:t>
      </w:r>
      <w:r>
        <w:rPr>
          <w:rFonts w:hint="eastAsia" w:asciiTheme="minorEastAsia" w:hAnsiTheme="minorEastAsia" w:eastAsiaTheme="minorEastAsia" w:cstheme="minorEastAsia"/>
          <w:color w:val="auto"/>
          <w:szCs w:val="21"/>
          <w:highlight w:val="none"/>
        </w:rPr>
        <w:t>）向</w:t>
      </w:r>
      <w:r>
        <w:rPr>
          <w:rFonts w:hint="eastAsia" w:asciiTheme="minorEastAsia" w:hAnsiTheme="minorEastAsia" w:eastAsiaTheme="minorEastAsia" w:cstheme="minorEastAsia"/>
          <w:color w:val="auto"/>
          <w:szCs w:val="21"/>
          <w:highlight w:val="none"/>
          <w:u w:val="single"/>
          <w:lang w:val="en-US"/>
        </w:rPr>
        <w:t>甲方所在地</w:t>
      </w:r>
      <w:r>
        <w:rPr>
          <w:rFonts w:hint="eastAsia" w:asciiTheme="minorEastAsia" w:hAnsiTheme="minorEastAsia" w:eastAsiaTheme="minorEastAsia" w:cstheme="minorEastAsia"/>
          <w:color w:val="auto"/>
          <w:szCs w:val="21"/>
          <w:highlight w:val="none"/>
          <w:u w:val="single"/>
        </w:rPr>
        <w:tab/>
      </w:r>
      <w:r>
        <w:rPr>
          <w:rFonts w:hint="eastAsia" w:asciiTheme="minorEastAsia" w:hAnsiTheme="minorEastAsia" w:eastAsiaTheme="minorEastAsia" w:cstheme="minorEastAsia"/>
          <w:color w:val="auto"/>
          <w:szCs w:val="21"/>
          <w:highlight w:val="none"/>
        </w:rPr>
        <w:t>人民法院提起诉讼。</w:t>
      </w:r>
    </w:p>
    <w:p>
      <w:pPr>
        <w:pStyle w:val="30"/>
        <w:tabs>
          <w:tab w:val="left" w:pos="1276"/>
          <w:tab w:val="left" w:pos="1486"/>
          <w:tab w:val="left" w:pos="2112"/>
        </w:tabs>
        <w:spacing w:line="380" w:lineRule="exact"/>
        <w:ind w:left="0" w:firstLine="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第 16 节</w:t>
      </w:r>
      <w:r>
        <w:rPr>
          <w:rFonts w:hint="eastAsia" w:asciiTheme="minorEastAsia" w:hAnsiTheme="minorEastAsia" w:eastAsiaTheme="minorEastAsia" w:cstheme="minorEastAsia"/>
          <w:b/>
          <w:color w:val="auto"/>
          <w:szCs w:val="21"/>
          <w:highlight w:val="none"/>
        </w:rPr>
        <w:tab/>
      </w:r>
      <w:r>
        <w:rPr>
          <w:rFonts w:hint="eastAsia" w:asciiTheme="minorEastAsia" w:hAnsiTheme="minorEastAsia" w:eastAsiaTheme="minorEastAsia" w:cstheme="minorEastAsia"/>
          <w:b/>
          <w:color w:val="auto"/>
          <w:szCs w:val="21"/>
          <w:highlight w:val="none"/>
        </w:rPr>
        <w:t>保险</w:t>
      </w:r>
    </w:p>
    <w:p>
      <w:pPr>
        <w:pStyle w:val="30"/>
        <w:tabs>
          <w:tab w:val="left" w:pos="1429"/>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16.1</w:t>
      </w:r>
      <w:r>
        <w:rPr>
          <w:rFonts w:hint="eastAsia" w:asciiTheme="minorEastAsia" w:hAnsiTheme="minorEastAsia" w:eastAsiaTheme="minorEastAsia" w:cstheme="minorEastAsia"/>
          <w:color w:val="auto"/>
          <w:szCs w:val="21"/>
          <w:highlight w:val="none"/>
        </w:rPr>
        <w:t>双方约定按以下方式购买保险</w:t>
      </w:r>
    </w:p>
    <w:p>
      <w:pPr>
        <w:pStyle w:val="9"/>
        <w:spacing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由乙方购买该项目参与人员的意外险和项目第三者责任险。</w:t>
      </w:r>
    </w:p>
    <w:p>
      <w:pPr>
        <w:pStyle w:val="30"/>
        <w:tabs>
          <w:tab w:val="left" w:pos="148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16.2</w:t>
      </w:r>
      <w:r>
        <w:rPr>
          <w:rFonts w:hint="eastAsia" w:asciiTheme="minorEastAsia" w:hAnsiTheme="minorEastAsia" w:eastAsiaTheme="minorEastAsia" w:cstheme="minorEastAsia"/>
          <w:color w:val="auto"/>
          <w:szCs w:val="21"/>
          <w:highlight w:val="none"/>
        </w:rPr>
        <w:t>双方应协商避免重复投保，并及时告知对方已有的或准备进行的相关项目、财产和人员的投保情况。</w:t>
      </w:r>
    </w:p>
    <w:p>
      <w:pPr>
        <w:pStyle w:val="30"/>
        <w:tabs>
          <w:tab w:val="left" w:pos="1276"/>
          <w:tab w:val="left" w:pos="1486"/>
          <w:tab w:val="left" w:pos="2112"/>
        </w:tabs>
        <w:spacing w:line="380" w:lineRule="exact"/>
        <w:ind w:left="0" w:firstLine="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第 17 节</w:t>
      </w:r>
      <w:r>
        <w:rPr>
          <w:rFonts w:hint="eastAsia" w:asciiTheme="minorEastAsia" w:hAnsiTheme="minorEastAsia" w:eastAsiaTheme="minorEastAsia" w:cstheme="minorEastAsia"/>
          <w:b/>
          <w:color w:val="auto"/>
          <w:szCs w:val="21"/>
          <w:highlight w:val="none"/>
        </w:rPr>
        <w:tab/>
      </w:r>
      <w:r>
        <w:rPr>
          <w:rFonts w:hint="eastAsia" w:asciiTheme="minorEastAsia" w:hAnsiTheme="minorEastAsia" w:eastAsiaTheme="minorEastAsia" w:cstheme="minorEastAsia"/>
          <w:b/>
          <w:color w:val="auto"/>
          <w:szCs w:val="21"/>
          <w:highlight w:val="none"/>
        </w:rPr>
        <w:t>知识产权</w:t>
      </w:r>
      <w:r>
        <w:rPr>
          <w:rFonts w:hint="eastAsia" w:asciiTheme="minorEastAsia" w:hAnsiTheme="minorEastAsia" w:eastAsiaTheme="minorEastAsia" w:cstheme="minorEastAsia"/>
          <w:b/>
          <w:color w:val="auto"/>
          <w:szCs w:val="21"/>
          <w:highlight w:val="none"/>
        </w:rPr>
        <w:tab/>
      </w:r>
    </w:p>
    <w:p>
      <w:pPr>
        <w:pStyle w:val="9"/>
        <w:spacing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本合同涉及的专利实施许可和技术秘密许可，双方约定如下：由乙方独立支付相关费用并承担相关责任。</w:t>
      </w:r>
    </w:p>
    <w:p>
      <w:pPr>
        <w:pStyle w:val="5"/>
        <w:keepNext w:val="0"/>
        <w:keepLines w:val="0"/>
        <w:tabs>
          <w:tab w:val="left" w:pos="1486"/>
        </w:tabs>
        <w:spacing w:before="0" w:line="380" w:lineRule="exact"/>
        <w:rPr>
          <w:rFonts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第 18 节</w:t>
      </w:r>
      <w:r>
        <w:rPr>
          <w:rFonts w:hint="eastAsia" w:asciiTheme="minorEastAsia" w:hAnsiTheme="minorEastAsia" w:eastAsiaTheme="minorEastAsia" w:cstheme="minorEastAsia"/>
          <w:color w:val="auto"/>
          <w:sz w:val="21"/>
          <w:szCs w:val="21"/>
          <w:highlight w:val="none"/>
          <w:lang w:eastAsia="zh-CN"/>
        </w:rPr>
        <w:tab/>
      </w:r>
      <w:r>
        <w:rPr>
          <w:rFonts w:hint="eastAsia" w:asciiTheme="minorEastAsia" w:hAnsiTheme="minorEastAsia" w:eastAsiaTheme="minorEastAsia" w:cstheme="minorEastAsia"/>
          <w:color w:val="auto"/>
          <w:sz w:val="21"/>
          <w:szCs w:val="21"/>
          <w:highlight w:val="none"/>
          <w:lang w:eastAsia="zh-CN"/>
        </w:rPr>
        <w:t>费用的分担</w:t>
      </w:r>
    </w:p>
    <w:p>
      <w:pPr>
        <w:pStyle w:val="30"/>
        <w:tabs>
          <w:tab w:val="left" w:pos="1429"/>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18.1</w:t>
      </w:r>
      <w:r>
        <w:rPr>
          <w:rFonts w:hint="eastAsia" w:asciiTheme="minorEastAsia" w:hAnsiTheme="minorEastAsia" w:eastAsiaTheme="minorEastAsia" w:cstheme="minorEastAsia"/>
          <w:color w:val="auto"/>
          <w:szCs w:val="21"/>
          <w:highlight w:val="none"/>
        </w:rPr>
        <w:t>双方应当各自承担谈判和订立本合同的花费。</w:t>
      </w:r>
    </w:p>
    <w:p>
      <w:pPr>
        <w:pStyle w:val="30"/>
        <w:tabs>
          <w:tab w:val="left" w:pos="1429"/>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18.2</w:t>
      </w:r>
      <w:r>
        <w:rPr>
          <w:rFonts w:hint="eastAsia" w:asciiTheme="minorEastAsia" w:hAnsiTheme="minorEastAsia" w:eastAsiaTheme="minorEastAsia" w:cstheme="minorEastAsia"/>
          <w:color w:val="auto"/>
          <w:szCs w:val="21"/>
          <w:highlight w:val="none"/>
        </w:rPr>
        <w:t>除非本合同下的其他条款另有规定，双方应当各自承担履行本合同下义务的费用。</w:t>
      </w:r>
    </w:p>
    <w:p>
      <w:pPr>
        <w:pStyle w:val="30"/>
        <w:tabs>
          <w:tab w:val="left" w:pos="148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18.3</w:t>
      </w:r>
      <w:r>
        <w:rPr>
          <w:rFonts w:hint="eastAsia" w:asciiTheme="minorEastAsia" w:hAnsiTheme="minorEastAsia" w:eastAsiaTheme="minorEastAsia" w:cstheme="minorEastAsia"/>
          <w:color w:val="auto"/>
          <w:szCs w:val="21"/>
          <w:highlight w:val="none"/>
        </w:rPr>
        <w:t>受限于第 18.2 条的规定，除非本合同下的其他条款或附件另有规定，则乙方应当负责本项目的投资，并承担本项目的方案设计、建设、运营的所有费用，包括项目所需产品（设备）、设施、技术购置、更换的费用。</w:t>
      </w:r>
    </w:p>
    <w:p>
      <w:pPr>
        <w:pStyle w:val="30"/>
        <w:tabs>
          <w:tab w:val="left" w:pos="1429"/>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18.4</w:t>
      </w:r>
      <w:r>
        <w:rPr>
          <w:rFonts w:hint="eastAsia" w:asciiTheme="minorEastAsia" w:hAnsiTheme="minorEastAsia" w:eastAsiaTheme="minorEastAsia" w:cstheme="minorEastAsia"/>
          <w:color w:val="auto"/>
          <w:szCs w:val="21"/>
          <w:highlight w:val="none"/>
        </w:rPr>
        <w:t>本项目整个合同期内第一期建设内容的正常维护和更换的材料、人工、机械等费用由乙方全部负责；第二期建设内容的预算评审费由乙方承担；第二期建设内容质保期内的正常维护和更换的材料、人工、机械等费用由乙方负责。</w:t>
      </w:r>
    </w:p>
    <w:p>
      <w:pPr>
        <w:pStyle w:val="30"/>
        <w:tabs>
          <w:tab w:val="left" w:pos="148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18.5</w:t>
      </w:r>
      <w:r>
        <w:rPr>
          <w:rFonts w:hint="eastAsia" w:asciiTheme="minorEastAsia" w:hAnsiTheme="minorEastAsia" w:eastAsiaTheme="minorEastAsia" w:cstheme="minorEastAsia"/>
          <w:color w:val="auto"/>
          <w:szCs w:val="21"/>
          <w:highlight w:val="none"/>
        </w:rPr>
        <w:t>本项目因乙方改造而拆除的灯具、灯杆、线缆等设施，</w:t>
      </w:r>
      <w:r>
        <w:rPr>
          <w:rFonts w:hint="eastAsia" w:asciiTheme="minorEastAsia" w:hAnsiTheme="minorEastAsia" w:eastAsiaTheme="minorEastAsia" w:cstheme="minorEastAsia"/>
          <w:b/>
          <w:color w:val="auto"/>
          <w:szCs w:val="21"/>
          <w:highlight w:val="none"/>
        </w:rPr>
        <w:t>产权属于甲方</w:t>
      </w:r>
      <w:r>
        <w:rPr>
          <w:rFonts w:hint="eastAsia" w:asciiTheme="minorEastAsia" w:hAnsiTheme="minorEastAsia" w:eastAsiaTheme="minorEastAsia" w:cstheme="minorEastAsia"/>
          <w:color w:val="auto"/>
          <w:szCs w:val="21"/>
          <w:highlight w:val="none"/>
        </w:rPr>
        <w:t>，由乙方负责拆除并运送到库存地点，相关费用由乙方承担。同时，由甲方提供场地，用于旧设施的自行存放。</w:t>
      </w:r>
    </w:p>
    <w:p>
      <w:pPr>
        <w:pStyle w:val="30"/>
        <w:tabs>
          <w:tab w:val="left" w:pos="148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18.6</w:t>
      </w:r>
      <w:r>
        <w:rPr>
          <w:rFonts w:hint="eastAsia" w:asciiTheme="minorEastAsia" w:hAnsiTheme="minorEastAsia" w:eastAsiaTheme="minorEastAsia" w:cstheme="minorEastAsia"/>
          <w:color w:val="auto"/>
          <w:szCs w:val="21"/>
          <w:highlight w:val="none"/>
        </w:rPr>
        <w:t>非乙方原因改造而拆除的灯具等设施，由甲方负责拆除并运送到库存地点，相关费用由甲方承担，乙方无条件配合协助。</w:t>
      </w:r>
    </w:p>
    <w:p>
      <w:pPr>
        <w:pStyle w:val="5"/>
        <w:keepNext w:val="0"/>
        <w:keepLines w:val="0"/>
        <w:tabs>
          <w:tab w:val="left" w:pos="864"/>
        </w:tabs>
        <w:spacing w:before="0" w:line="380" w:lineRule="exact"/>
        <w:rPr>
          <w:rFonts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第 19 节         合同的生效及其他</w:t>
      </w:r>
    </w:p>
    <w:p>
      <w:pPr>
        <w:pStyle w:val="30"/>
        <w:tabs>
          <w:tab w:val="left" w:pos="1429"/>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19.1</w:t>
      </w:r>
      <w:r>
        <w:rPr>
          <w:rFonts w:hint="eastAsia" w:asciiTheme="minorEastAsia" w:hAnsiTheme="minorEastAsia" w:eastAsiaTheme="minorEastAsia" w:cstheme="minorEastAsia"/>
          <w:color w:val="auto"/>
          <w:szCs w:val="21"/>
          <w:highlight w:val="none"/>
        </w:rPr>
        <w:t>项目联系人职责如下：</w:t>
      </w:r>
    </w:p>
    <w:p>
      <w:pPr>
        <w:pStyle w:val="30"/>
        <w:tabs>
          <w:tab w:val="left" w:pos="1429"/>
        </w:tabs>
        <w:spacing w:line="380" w:lineRule="exact"/>
        <w:ind w:left="435"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①负责甲乙双方对接联系。</w:t>
      </w:r>
    </w:p>
    <w:p>
      <w:pPr>
        <w:pStyle w:val="30"/>
        <w:tabs>
          <w:tab w:val="left" w:pos="1429"/>
        </w:tabs>
        <w:spacing w:line="380" w:lineRule="exact"/>
        <w:ind w:left="435"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②负责参与双方每季度召开的沟通、协调、总结会议。</w:t>
      </w:r>
    </w:p>
    <w:p>
      <w:pPr>
        <w:pStyle w:val="30"/>
        <w:tabs>
          <w:tab w:val="left" w:pos="1429"/>
        </w:tabs>
        <w:spacing w:line="380" w:lineRule="exact"/>
        <w:ind w:left="435"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③负责将对方的合理要求向本方领导进行传达报告。</w:t>
      </w:r>
    </w:p>
    <w:p>
      <w:pPr>
        <w:pStyle w:val="30"/>
        <w:tabs>
          <w:tab w:val="left" w:pos="1429"/>
        </w:tabs>
        <w:spacing w:line="380" w:lineRule="exact"/>
        <w:ind w:left="435"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④负责组织安排本方工作，推进项目的实施。</w:t>
      </w:r>
    </w:p>
    <w:p>
      <w:pPr>
        <w:pStyle w:val="30"/>
        <w:tabs>
          <w:tab w:val="left" w:pos="148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19.2</w:t>
      </w:r>
      <w:r>
        <w:rPr>
          <w:rFonts w:hint="eastAsia" w:asciiTheme="minorEastAsia" w:hAnsiTheme="minorEastAsia" w:eastAsiaTheme="minorEastAsia" w:cstheme="minorEastAsia"/>
          <w:color w:val="auto"/>
          <w:szCs w:val="21"/>
          <w:highlight w:val="none"/>
        </w:rPr>
        <w:t>一方变更项目联系人的，应在 3 日内以书面形式通知另一方。未及时通知并影响本合同履行或造成损失的，应承担相应的责任。</w:t>
      </w:r>
    </w:p>
    <w:p>
      <w:pPr>
        <w:pStyle w:val="30"/>
        <w:tabs>
          <w:tab w:val="left" w:pos="148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19.3</w:t>
      </w:r>
      <w:r>
        <w:rPr>
          <w:rFonts w:hint="eastAsia" w:asciiTheme="minorEastAsia" w:hAnsiTheme="minorEastAsia" w:eastAsiaTheme="minorEastAsia" w:cstheme="minorEastAsia"/>
          <w:color w:val="auto"/>
          <w:szCs w:val="21"/>
          <w:highlight w:val="none"/>
        </w:rPr>
        <w:t>本</w:t>
      </w:r>
      <w:r>
        <w:rPr>
          <w:rFonts w:hint="eastAsia" w:asciiTheme="minorEastAsia" w:hAnsiTheme="minorEastAsia" w:eastAsiaTheme="minorEastAsia" w:cstheme="minorEastAsia"/>
          <w:color w:val="auto"/>
          <w:szCs w:val="21"/>
          <w:highlight w:val="none"/>
          <w:lang w:val="en-US"/>
        </w:rPr>
        <w:t>合同</w:t>
      </w:r>
      <w:r>
        <w:rPr>
          <w:rFonts w:hint="eastAsia" w:asciiTheme="minorEastAsia" w:hAnsiTheme="minorEastAsia" w:eastAsiaTheme="minorEastAsia" w:cstheme="minorEastAsia"/>
          <w:color w:val="auto"/>
          <w:szCs w:val="21"/>
          <w:highlight w:val="none"/>
        </w:rPr>
        <w:t>载明的双方通讯地址可作为送达通知书、法院（仲裁委）送达诉讼（仲裁）文书的地址，如采用邮寄方式的，均以该等通讯地址为交寄地址，文件或文书一经交寄，第三日即视为送达，而无论收件方是否签收回执或邮件被退回。因载明的地址有误或未及时告知变更后的地址，导致相关文件及诉讼（仲裁）文书未能实际被接收的、邮寄送达的，相关文件及诉讼（仲裁）文书退回之日即视为送达之日。（乙方在甲方所在地设立的分公司或办事机构地址也可作为</w:t>
      </w:r>
      <w:r>
        <w:rPr>
          <w:rFonts w:hint="eastAsia" w:asciiTheme="minorEastAsia" w:hAnsiTheme="minorEastAsia" w:eastAsiaTheme="minorEastAsia" w:cstheme="minorEastAsia"/>
          <w:color w:val="auto"/>
          <w:szCs w:val="21"/>
          <w:highlight w:val="none"/>
          <w:lang w:val="en-US"/>
        </w:rPr>
        <w:t>前述约定的</w:t>
      </w:r>
      <w:r>
        <w:rPr>
          <w:rFonts w:hint="eastAsia" w:asciiTheme="minorEastAsia" w:hAnsiTheme="minorEastAsia" w:eastAsiaTheme="minorEastAsia" w:cstheme="minorEastAsia"/>
          <w:color w:val="auto"/>
          <w:szCs w:val="21"/>
          <w:highlight w:val="none"/>
        </w:rPr>
        <w:t>乙方联系地址）。</w:t>
      </w:r>
    </w:p>
    <w:p>
      <w:pPr>
        <w:pStyle w:val="30"/>
        <w:tabs>
          <w:tab w:val="left" w:pos="148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19.4</w:t>
      </w:r>
      <w:r>
        <w:rPr>
          <w:rFonts w:hint="eastAsia" w:asciiTheme="minorEastAsia" w:hAnsiTheme="minorEastAsia" w:eastAsiaTheme="minorEastAsia" w:cstheme="minorEastAsia"/>
          <w:color w:val="auto"/>
          <w:szCs w:val="21"/>
          <w:highlight w:val="none"/>
        </w:rPr>
        <w:t>本合同和附件是属于本合同完整的一部分，合同及合同附件部份内容与标书不一致的，按合同和附件执行。</w:t>
      </w:r>
    </w:p>
    <w:p>
      <w:pPr>
        <w:pStyle w:val="30"/>
        <w:tabs>
          <w:tab w:val="left" w:pos="1429"/>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19.5</w:t>
      </w:r>
      <w:r>
        <w:rPr>
          <w:rFonts w:hint="eastAsia" w:asciiTheme="minorEastAsia" w:hAnsiTheme="minorEastAsia" w:eastAsiaTheme="minorEastAsia" w:cstheme="minorEastAsia"/>
          <w:color w:val="auto"/>
          <w:szCs w:val="21"/>
          <w:highlight w:val="none"/>
        </w:rPr>
        <w:t>本合同的修改应采取书面方式。</w:t>
      </w:r>
    </w:p>
    <w:p>
      <w:pPr>
        <w:pStyle w:val="30"/>
        <w:tabs>
          <w:tab w:val="left" w:pos="1429"/>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19.6</w:t>
      </w:r>
      <w:r>
        <w:rPr>
          <w:rFonts w:hint="eastAsia" w:asciiTheme="minorEastAsia" w:hAnsiTheme="minorEastAsia" w:eastAsiaTheme="minorEastAsia" w:cstheme="minorEastAsia"/>
          <w:color w:val="auto"/>
          <w:szCs w:val="21"/>
          <w:highlight w:val="none"/>
        </w:rPr>
        <w:t>本合同可由双方通过传真签署，经授权代表签字的合同的传真件具有与原件同样的效力。</w:t>
      </w:r>
    </w:p>
    <w:p>
      <w:pPr>
        <w:pStyle w:val="30"/>
        <w:tabs>
          <w:tab w:val="left" w:pos="1486"/>
        </w:tabs>
        <w:spacing w:line="380" w:lineRule="exact"/>
        <w:ind w:left="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19.7</w:t>
      </w:r>
      <w:r>
        <w:rPr>
          <w:rFonts w:hint="eastAsia" w:asciiTheme="minorEastAsia" w:hAnsiTheme="minorEastAsia" w:eastAsiaTheme="minorEastAsia" w:cstheme="minorEastAsia"/>
          <w:color w:val="auto"/>
          <w:szCs w:val="21"/>
          <w:highlight w:val="none"/>
        </w:rPr>
        <w:t xml:space="preserve">本合同自双方授权代表签署之日起生效。合同文本一式 </w:t>
      </w:r>
      <w:r>
        <w:rPr>
          <w:rFonts w:hint="eastAsia" w:asciiTheme="minorEastAsia" w:hAnsiTheme="minorEastAsia" w:eastAsiaTheme="minorEastAsia" w:cstheme="minorEastAsia"/>
          <w:color w:val="auto"/>
          <w:szCs w:val="21"/>
          <w:highlight w:val="none"/>
          <w:u w:val="single"/>
        </w:rPr>
        <w:t xml:space="preserve">十 </w:t>
      </w:r>
      <w:r>
        <w:rPr>
          <w:rFonts w:hint="eastAsia" w:asciiTheme="minorEastAsia" w:hAnsiTheme="minorEastAsia" w:eastAsiaTheme="minorEastAsia" w:cstheme="minorEastAsia"/>
          <w:color w:val="auto"/>
          <w:szCs w:val="21"/>
          <w:highlight w:val="none"/>
        </w:rPr>
        <w:t>份，具有同等法律效力，甲方执</w:t>
      </w:r>
      <w:r>
        <w:rPr>
          <w:rFonts w:hint="eastAsia" w:asciiTheme="minorEastAsia" w:hAnsiTheme="minorEastAsia" w:eastAsiaTheme="minorEastAsia" w:cstheme="minorEastAsia"/>
          <w:color w:val="auto"/>
          <w:szCs w:val="21"/>
          <w:highlight w:val="none"/>
          <w:u w:val="single"/>
        </w:rPr>
        <w:t xml:space="preserve"> 四 </w:t>
      </w:r>
      <w:r>
        <w:rPr>
          <w:rFonts w:hint="eastAsia" w:asciiTheme="minorEastAsia" w:hAnsiTheme="minorEastAsia" w:eastAsiaTheme="minorEastAsia" w:cstheme="minorEastAsia"/>
          <w:color w:val="auto"/>
          <w:szCs w:val="21"/>
          <w:highlight w:val="none"/>
        </w:rPr>
        <w:t>份，乙方执</w:t>
      </w:r>
      <w:r>
        <w:rPr>
          <w:rFonts w:hint="eastAsia" w:asciiTheme="minorEastAsia" w:hAnsiTheme="minorEastAsia" w:eastAsiaTheme="minorEastAsia" w:cstheme="minorEastAsia"/>
          <w:color w:val="auto"/>
          <w:szCs w:val="21"/>
          <w:highlight w:val="none"/>
          <w:u w:val="single"/>
        </w:rPr>
        <w:t xml:space="preserve"> 四 </w:t>
      </w:r>
      <w:r>
        <w:rPr>
          <w:rFonts w:hint="eastAsia" w:asciiTheme="minorEastAsia" w:hAnsiTheme="minorEastAsia" w:eastAsiaTheme="minorEastAsia" w:cstheme="minorEastAsia"/>
          <w:color w:val="auto"/>
          <w:szCs w:val="21"/>
          <w:highlight w:val="none"/>
        </w:rPr>
        <w:t>份，</w:t>
      </w:r>
      <w:r>
        <w:rPr>
          <w:rFonts w:hint="eastAsia" w:asciiTheme="minorEastAsia" w:hAnsiTheme="minorEastAsia" w:eastAsiaTheme="minorEastAsia" w:cstheme="minorEastAsia"/>
          <w:color w:val="auto"/>
          <w:szCs w:val="21"/>
          <w:highlight w:val="none"/>
          <w:u w:val="single"/>
        </w:rPr>
        <w:t xml:space="preserve"> 壹 </w:t>
      </w:r>
      <w:r>
        <w:rPr>
          <w:rFonts w:hint="eastAsia" w:asciiTheme="minorEastAsia" w:hAnsiTheme="minorEastAsia" w:eastAsiaTheme="minorEastAsia" w:cstheme="minorEastAsia"/>
          <w:color w:val="auto"/>
          <w:szCs w:val="21"/>
          <w:highlight w:val="none"/>
        </w:rPr>
        <w:t>份送政府采购监督管理部门备案，</w:t>
      </w:r>
      <w:r>
        <w:rPr>
          <w:rFonts w:hint="eastAsia" w:asciiTheme="minorEastAsia" w:hAnsiTheme="minorEastAsia" w:eastAsiaTheme="minorEastAsia" w:cstheme="minorEastAsia"/>
          <w:color w:val="auto"/>
          <w:szCs w:val="21"/>
          <w:highlight w:val="none"/>
          <w:u w:val="single"/>
        </w:rPr>
        <w:t xml:space="preserve"> 壹 </w:t>
      </w:r>
      <w:r>
        <w:rPr>
          <w:rFonts w:hint="eastAsia" w:asciiTheme="minorEastAsia" w:hAnsiTheme="minorEastAsia" w:eastAsiaTheme="minorEastAsia" w:cstheme="minorEastAsia"/>
          <w:color w:val="auto"/>
          <w:szCs w:val="21"/>
          <w:highlight w:val="none"/>
        </w:rPr>
        <w:t>份由采购代理机构桂林市政府采购中心归档。双方在合同签订后的</w:t>
      </w:r>
      <w:r>
        <w:rPr>
          <w:rFonts w:hint="eastAsia" w:asciiTheme="minorEastAsia" w:hAnsiTheme="minorEastAsia" w:eastAsiaTheme="minorEastAsia" w:cstheme="minorEastAsia"/>
          <w:color w:val="auto"/>
          <w:szCs w:val="21"/>
          <w:highlight w:val="none"/>
          <w:u w:val="single"/>
        </w:rPr>
        <w:t xml:space="preserve"> 7 </w:t>
      </w:r>
      <w:r>
        <w:rPr>
          <w:rFonts w:hint="eastAsia" w:asciiTheme="minorEastAsia" w:hAnsiTheme="minorEastAsia" w:eastAsiaTheme="minorEastAsia" w:cstheme="minorEastAsia"/>
          <w:color w:val="auto"/>
          <w:szCs w:val="21"/>
          <w:highlight w:val="none"/>
        </w:rPr>
        <w:t>个工作日内办理政府采购合同备案。</w:t>
      </w:r>
    </w:p>
    <w:p>
      <w:pPr>
        <w:pStyle w:val="30"/>
        <w:tabs>
          <w:tab w:val="left" w:pos="1429"/>
          <w:tab w:val="left" w:pos="4474"/>
          <w:tab w:val="left" w:pos="4999"/>
          <w:tab w:val="left" w:pos="6679"/>
        </w:tabs>
        <w:spacing w:line="380" w:lineRule="exact"/>
        <w:ind w:left="420" w:leftChars="20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en-US"/>
        </w:rPr>
        <w:t>19.8</w:t>
      </w:r>
      <w:r>
        <w:rPr>
          <w:rFonts w:hint="eastAsia" w:asciiTheme="minorEastAsia" w:hAnsiTheme="minorEastAsia" w:eastAsiaTheme="minorEastAsia" w:cstheme="minorEastAsia"/>
          <w:color w:val="auto"/>
          <w:szCs w:val="21"/>
          <w:highlight w:val="none"/>
        </w:rPr>
        <w:t>本合同由双方授权代表于</w:t>
      </w:r>
      <w:r>
        <w:rPr>
          <w:rFonts w:hint="eastAsia" w:asciiTheme="minorEastAsia" w:hAnsiTheme="minorEastAsia" w:eastAsiaTheme="minorEastAsia" w:cstheme="minorEastAsia"/>
          <w:color w:val="auto"/>
          <w:szCs w:val="21"/>
          <w:highlight w:val="none"/>
          <w:u w:val="single"/>
        </w:rPr>
        <w:t>2024</w:t>
      </w:r>
      <w:r>
        <w:rPr>
          <w:rFonts w:hint="eastAsia" w:asciiTheme="minorEastAsia" w:hAnsiTheme="minorEastAsia" w:eastAsiaTheme="minorEastAsia" w:cstheme="minorEastAsia"/>
          <w:color w:val="auto"/>
          <w:szCs w:val="21"/>
          <w:highlight w:val="none"/>
        </w:rPr>
        <w:t>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日在</w:t>
      </w:r>
      <w:r>
        <w:rPr>
          <w:rFonts w:hint="eastAsia" w:asciiTheme="minorEastAsia" w:hAnsiTheme="minorEastAsia" w:eastAsiaTheme="minorEastAsia" w:cstheme="minorEastAsia"/>
          <w:color w:val="auto"/>
          <w:szCs w:val="21"/>
          <w:highlight w:val="none"/>
          <w:u w:val="single"/>
        </w:rPr>
        <w:t>桂林市</w:t>
      </w:r>
      <w:r>
        <w:rPr>
          <w:rFonts w:hint="eastAsia" w:asciiTheme="minorEastAsia" w:hAnsiTheme="minorEastAsia" w:eastAsiaTheme="minorEastAsia" w:cstheme="minorEastAsia"/>
          <w:color w:val="auto"/>
          <w:szCs w:val="21"/>
          <w:highlight w:val="none"/>
        </w:rPr>
        <w:t>签订。</w:t>
      </w:r>
    </w:p>
    <w:p>
      <w:pPr>
        <w:pStyle w:val="9"/>
        <w:tabs>
          <w:tab w:val="left" w:pos="5367"/>
        </w:tabs>
        <w:spacing w:line="380" w:lineRule="exact"/>
        <w:ind w:firstLine="480" w:firstLineChars="200"/>
        <w:rPr>
          <w:rFonts w:asciiTheme="minorEastAsia" w:hAnsiTheme="minorEastAsia" w:eastAsiaTheme="minorEastAsia" w:cstheme="minorEastAsia"/>
          <w:color w:val="auto"/>
          <w:highlight w:val="none"/>
        </w:rPr>
      </w:pPr>
    </w:p>
    <w:p>
      <w:pPr>
        <w:pStyle w:val="9"/>
        <w:tabs>
          <w:tab w:val="left" w:pos="5367"/>
        </w:tabs>
        <w:spacing w:line="380" w:lineRule="exact"/>
        <w:ind w:firstLine="480" w:firstLineChars="200"/>
        <w:rPr>
          <w:rFonts w:asciiTheme="minorEastAsia" w:hAnsiTheme="minorEastAsia" w:eastAsiaTheme="minorEastAsia" w:cstheme="minorEastAsia"/>
          <w:color w:val="auto"/>
          <w:highlight w:val="none"/>
        </w:rPr>
      </w:pPr>
    </w:p>
    <w:p>
      <w:pPr>
        <w:pStyle w:val="9"/>
        <w:tabs>
          <w:tab w:val="left" w:pos="5367"/>
        </w:tabs>
        <w:spacing w:line="380" w:lineRule="exact"/>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甲方（盖章）</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乙方（盖章）</w:t>
      </w:r>
    </w:p>
    <w:p>
      <w:pPr>
        <w:pStyle w:val="9"/>
        <w:tabs>
          <w:tab w:val="left" w:pos="4475"/>
          <w:tab w:val="left" w:pos="5367"/>
          <w:tab w:val="left" w:pos="8989"/>
        </w:tabs>
        <w:spacing w:line="380" w:lineRule="exact"/>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法定代表人                               法定代表人</w:t>
      </w:r>
    </w:p>
    <w:p>
      <w:pPr>
        <w:pStyle w:val="9"/>
        <w:tabs>
          <w:tab w:val="left" w:pos="4475"/>
          <w:tab w:val="left" w:pos="5367"/>
          <w:tab w:val="left" w:pos="8989"/>
        </w:tabs>
        <w:spacing w:line="380" w:lineRule="exact"/>
        <w:ind w:firstLine="480" w:firstLineChars="200"/>
        <w:rPr>
          <w:rFonts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或授权委托人签字：</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或授权委托人签字：</w:t>
      </w:r>
      <w:r>
        <w:rPr>
          <w:rFonts w:hint="eastAsia" w:asciiTheme="minorEastAsia" w:hAnsiTheme="minorEastAsia" w:eastAsiaTheme="minorEastAsia" w:cstheme="minorEastAsia"/>
          <w:color w:val="auto"/>
          <w:highlight w:val="none"/>
          <w:u w:val="single"/>
        </w:rPr>
        <w:tab/>
      </w:r>
    </w:p>
    <w:p>
      <w:pPr>
        <w:pStyle w:val="9"/>
        <w:tabs>
          <w:tab w:val="left" w:pos="4475"/>
          <w:tab w:val="left" w:pos="5367"/>
          <w:tab w:val="left" w:pos="8989"/>
        </w:tabs>
        <w:spacing w:line="380" w:lineRule="exact"/>
        <w:ind w:firstLine="480" w:firstLineChars="200"/>
        <w:rPr>
          <w:rFonts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通讯地址：</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通讯地址：</w:t>
      </w:r>
      <w:r>
        <w:rPr>
          <w:rFonts w:hint="eastAsia" w:asciiTheme="minorEastAsia" w:hAnsiTheme="minorEastAsia" w:eastAsiaTheme="minorEastAsia" w:cstheme="minorEastAsia"/>
          <w:color w:val="auto"/>
          <w:highlight w:val="none"/>
          <w:u w:val="single"/>
        </w:rPr>
        <w:tab/>
      </w:r>
    </w:p>
    <w:p>
      <w:pPr>
        <w:pStyle w:val="9"/>
        <w:tabs>
          <w:tab w:val="left" w:pos="4475"/>
          <w:tab w:val="left" w:pos="5367"/>
          <w:tab w:val="left" w:pos="8989"/>
        </w:tabs>
        <w:spacing w:line="380" w:lineRule="exact"/>
        <w:ind w:firstLine="480" w:firstLineChars="200"/>
        <w:rPr>
          <w:rFonts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电话：</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电话：</w:t>
      </w:r>
      <w:r>
        <w:rPr>
          <w:rFonts w:hint="eastAsia" w:asciiTheme="minorEastAsia" w:hAnsiTheme="minorEastAsia" w:eastAsiaTheme="minorEastAsia" w:cstheme="minorEastAsia"/>
          <w:color w:val="auto"/>
          <w:highlight w:val="none"/>
          <w:u w:val="single"/>
        </w:rPr>
        <w:tab/>
      </w:r>
    </w:p>
    <w:p>
      <w:pPr>
        <w:pStyle w:val="9"/>
        <w:tabs>
          <w:tab w:val="left" w:pos="4475"/>
          <w:tab w:val="left" w:pos="5367"/>
          <w:tab w:val="left" w:pos="8989"/>
        </w:tabs>
        <w:spacing w:line="380" w:lineRule="exact"/>
        <w:ind w:firstLine="480" w:firstLineChars="200"/>
        <w:rPr>
          <w:rFonts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传真：</w:t>
      </w:r>
      <w:r>
        <w:rPr>
          <w:rFonts w:hint="eastAsia" w:asciiTheme="minorEastAsia" w:hAnsiTheme="minorEastAsia" w:eastAsiaTheme="minorEastAsia" w:cstheme="minorEastAsia"/>
          <w:color w:val="auto"/>
          <w:highlight w:val="none"/>
          <w:u w:val="single"/>
        </w:rPr>
        <w:tab/>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highlight w:val="none"/>
        </w:rPr>
        <w:t>传真：</w:t>
      </w:r>
      <w:r>
        <w:rPr>
          <w:rFonts w:hint="eastAsia" w:asciiTheme="minorEastAsia" w:hAnsiTheme="minorEastAsia" w:eastAsiaTheme="minorEastAsia" w:cstheme="minorEastAsia"/>
          <w:color w:val="auto"/>
          <w:highlight w:val="none"/>
          <w:u w:val="single"/>
        </w:rPr>
        <w:tab/>
      </w:r>
    </w:p>
    <w:p>
      <w:pPr>
        <w:pStyle w:val="9"/>
        <w:tabs>
          <w:tab w:val="left" w:pos="4475"/>
          <w:tab w:val="left" w:pos="5367"/>
          <w:tab w:val="left" w:pos="8989"/>
        </w:tabs>
        <w:spacing w:line="380" w:lineRule="exact"/>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w:t>
      </w:r>
    </w:p>
    <w:p>
      <w:pPr>
        <w:spacing w:line="400" w:lineRule="exac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br w:type="page"/>
      </w:r>
      <w:r>
        <w:rPr>
          <w:rFonts w:hint="eastAsia" w:asciiTheme="minorEastAsia" w:hAnsiTheme="minorEastAsia" w:eastAsiaTheme="minorEastAsia" w:cstheme="minorEastAsia"/>
          <w:b/>
          <w:color w:val="auto"/>
          <w:szCs w:val="21"/>
          <w:highlight w:val="none"/>
        </w:rPr>
        <w:t>附件一、项目内容细化文件</w:t>
      </w:r>
    </w:p>
    <w:p>
      <w:pPr>
        <w:spacing w:line="400" w:lineRule="exact"/>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1. 项目内容、边界条件、技术原理描述</w:t>
      </w:r>
    </w:p>
    <w:p>
      <w:pPr>
        <w:spacing w:line="400" w:lineRule="exact"/>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1)项目内容</w:t>
      </w:r>
    </w:p>
    <w:p>
      <w:pPr>
        <w:adjustRightInd w:val="0"/>
        <w:spacing w:line="380" w:lineRule="exact"/>
        <w:ind w:firstLine="420" w:firstLineChars="200"/>
        <w:textAlignment w:val="baseline"/>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双方同意按“</w:t>
      </w:r>
      <w:r>
        <w:rPr>
          <w:rFonts w:hint="eastAsia" w:asciiTheme="minorEastAsia" w:hAnsiTheme="minorEastAsia" w:eastAsiaTheme="minorEastAsia" w:cstheme="minorEastAsia"/>
          <w:color w:val="auto"/>
          <w:szCs w:val="21"/>
          <w:highlight w:val="none"/>
          <w:u w:val="single"/>
        </w:rPr>
        <w:t>合同能源管理</w:t>
      </w:r>
      <w:r>
        <w:rPr>
          <w:rFonts w:hint="eastAsia" w:asciiTheme="minorEastAsia" w:hAnsiTheme="minorEastAsia" w:eastAsiaTheme="minorEastAsia" w:cstheme="minorEastAsia"/>
          <w:color w:val="auto"/>
          <w:szCs w:val="21"/>
          <w:highlight w:val="none"/>
        </w:rPr>
        <w:t>”模式对桂林市老城区约</w:t>
      </w:r>
      <w:r>
        <w:rPr>
          <w:rFonts w:hint="eastAsia" w:asciiTheme="minorEastAsia" w:hAnsiTheme="minorEastAsia" w:eastAsiaTheme="minorEastAsia" w:cstheme="minorEastAsia"/>
          <w:color w:val="auto"/>
          <w:szCs w:val="21"/>
          <w:highlight w:val="none"/>
          <w:u w:val="single"/>
        </w:rPr>
        <w:t>149条</w:t>
      </w:r>
      <w:r>
        <w:rPr>
          <w:rFonts w:hint="eastAsia" w:asciiTheme="minorEastAsia" w:hAnsiTheme="minorEastAsia" w:eastAsiaTheme="minorEastAsia" w:cstheme="minorEastAsia"/>
          <w:color w:val="auto"/>
          <w:szCs w:val="21"/>
          <w:highlight w:val="none"/>
        </w:rPr>
        <w:t>（具体以实际实施数量为准）市政道路主路、交汇处等进行</w:t>
      </w:r>
      <w:r>
        <w:rPr>
          <w:rFonts w:hint="eastAsia" w:asciiTheme="minorEastAsia" w:hAnsiTheme="minorEastAsia" w:eastAsiaTheme="minorEastAsia" w:cstheme="minorEastAsia"/>
          <w:color w:val="auto"/>
          <w:szCs w:val="21"/>
          <w:highlight w:val="none"/>
          <w:u w:val="single"/>
        </w:rPr>
        <w:t>①约21453盏（具体以实施安装数量为准）高压钠灯、光衰严重的</w:t>
      </w:r>
      <w:r>
        <w:rPr>
          <w:rFonts w:asciiTheme="minorEastAsia" w:hAnsiTheme="minorEastAsia" w:eastAsiaTheme="minorEastAsia" w:cstheme="minorEastAsia"/>
          <w:color w:val="auto"/>
          <w:szCs w:val="21"/>
          <w:highlight w:val="none"/>
          <w:u w:val="single"/>
        </w:rPr>
        <w:t>LED</w:t>
      </w:r>
      <w:r>
        <w:rPr>
          <w:rFonts w:hint="eastAsia" w:asciiTheme="minorEastAsia" w:hAnsiTheme="minorEastAsia" w:eastAsiaTheme="minorEastAsia" w:cstheme="minorEastAsia"/>
          <w:color w:val="auto"/>
          <w:szCs w:val="21"/>
          <w:highlight w:val="none"/>
          <w:u w:val="single"/>
        </w:rPr>
        <w:t>灯等LED路灯改造，数量相匹配的（具体以实施安装数量为准）单灯控制器安装，信息中心硬件升级（以甲方需求为准，总市场价约为15万元（±5%））等LED路灯及相关改造；②路灯灯杆约387杆，各类路灯管线约48400米等照明设施安全整改（具体内容以实际实施内容为准，经评审的工程预算在400万元±5%之间）</w:t>
      </w:r>
      <w:r>
        <w:rPr>
          <w:rFonts w:hint="eastAsia" w:asciiTheme="minorEastAsia" w:hAnsiTheme="minorEastAsia" w:eastAsiaTheme="minorEastAsia" w:cstheme="minorEastAsia"/>
          <w:color w:val="auto"/>
          <w:szCs w:val="21"/>
          <w:highlight w:val="none"/>
        </w:rPr>
        <w:t>。具体技术要求按照本项目招标文件的要求执行，进行合同能源管理专项节能服务，并支付相应的费用。</w:t>
      </w:r>
    </w:p>
    <w:p>
      <w:pPr>
        <w:pStyle w:val="2"/>
        <w:spacing w:line="380" w:lineRule="exact"/>
        <w:rPr>
          <w:rFonts w:asciiTheme="minorEastAsia" w:hAnsiTheme="minorEastAsia" w:eastAsiaTheme="minorEastAsia" w:cstheme="minorEastAsia"/>
          <w:color w:val="auto"/>
          <w:kern w:val="2"/>
          <w:sz w:val="21"/>
          <w:szCs w:val="21"/>
          <w:highlight w:val="none"/>
        </w:rPr>
      </w:pPr>
      <w:r>
        <w:rPr>
          <w:rFonts w:hint="eastAsia" w:asciiTheme="minorEastAsia" w:hAnsiTheme="minorEastAsia" w:eastAsiaTheme="minorEastAsia" w:cstheme="minorEastAsia"/>
          <w:color w:val="auto"/>
          <w:kern w:val="2"/>
          <w:sz w:val="21"/>
          <w:szCs w:val="21"/>
          <w:highlight w:val="none"/>
        </w:rPr>
        <w:t xml:space="preserve">    本项目分两期进行建设，LED路灯及相关改造为第一期，照明设施安全整改为第二期，第一期建设竣工验收后次月1日起即进入节能服务期，进行能源管理应付款支付。</w:t>
      </w:r>
    </w:p>
    <w:p>
      <w:pPr>
        <w:spacing w:line="380" w:lineRule="exac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LED路灯及相关改造的数量和明细详见《桂林市老城区路灯节能改造项目——LED节能相关改造明细表》，照明设施安全整改的数量和明细详见《桂林市老城区路灯节能改造项目——照明设施安全整改明细表》如有偏差，以具体路段实际情况为准。乙方负责提供照明用能状况诊断、节能项目设计、融资、改造（灯具施工、安装、调试）、运行、维护、管理等相关服务。第一期建设竣工验收合格后节能服务期内的正常更换和维护工作由乙方负责（包括服务期内维持信息管理系统和信息中心正常运作的必要硬件升级），第二期建设竣工验收合格乙方质保一年后移交甲方管理和维护。</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2)技术原理描述</w:t>
      </w:r>
    </w:p>
    <w:p>
      <w:pPr>
        <w:spacing w:line="38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本技术方案中，拟更换的新型LED路灯多数可以低于50%的功率替代现有传统钠灯的照明效果，以低于75%的功率替代现有老旧LED路灯的照明效果。以本次中标的路灯技术方案实际测试的对比效果为准： </w:t>
      </w:r>
    </w:p>
    <w:p>
      <w:pPr>
        <w:spacing w:line="400" w:lineRule="exact"/>
        <w:ind w:firstLine="420"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基于同等或优于原道路照明参数指标和满足国家规定的道路照明要求的最高值的条件下，由于单灯功率消耗的降低，产生节能效果增加，可以适当的调低替换功率。</w:t>
      </w:r>
    </w:p>
    <w:p>
      <w:pPr>
        <w:spacing w:line="400" w:lineRule="exact"/>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2. 能耗基准、项目节能目标预测及能源价格波动及调整方式</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本项目采用合同能源管理方式，甲方、乙方、第三方检测机构共同确认了涉及改造范围的城市照明专用电表数量、户号和改造前用电量以及固定电价后，根据乙方中标的折扣率，即固定了财政每月拨付的合同能源管理费用，该费用扣除当月改造范围内电表实际产生电费，即为乙方所得收益。计算式中重要参数一经确认不得改变，如遇重大不可预知的情况，甲乙双方另行商议。</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项目改造的LED路灯运行时间以甲方一贯执行的“日落时间开灯，日出时间关灯”为准，约为11.8小时/日，若运行时间的变动对能源管理应付款的影响不超过10%，则在合约期不做任何计算调整。影响超过10%时，双方均可以以书面形式提出要求，双方依第三方出具的节能量审核报告，重新约定补充协议调整能源管理应付款计算。</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3）本项目采用合同能源管理方式，按乙方在投标文件中报出的“折扣率”为</w:t>
      </w:r>
      <w:r>
        <w:rPr>
          <w:rFonts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进行打折。另外，如当期须支付第三方检测机构费用，由甲方支付给乙方的能源管理应付款中扣出第三方检测机构费用并支付给第三方后，再支付给乙方。</w:t>
      </w:r>
    </w:p>
    <w:p>
      <w:pPr>
        <w:spacing w:line="400" w:lineRule="exact"/>
        <w:ind w:firstLine="422"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3.节能量测量和验证方案</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本合约的节能量测量与验证方案以甲、乙双方根据下列原则按照国家相关规定和标准出具的节能量测量和验证方案为准。</w:t>
      </w:r>
    </w:p>
    <w:p>
      <w:pPr>
        <w:spacing w:line="400" w:lineRule="exact"/>
        <w:ind w:firstLine="422"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4. 项目性能指标和安全</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所有使用的产品必须是符合GB7000.1-2015《灯具 第1部分：一般要求与试验》等相关标准、规范要求，并经国家级或省级检测机构检测合格的产品。</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（1）灯具特性：</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a.必须满足GB/T31832《LED城市道路照明应用技术要求》、GB/T 24907-2010《道路照明LED灯性能要求》的相关要求。</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b.其中</w:t>
      </w:r>
      <w:r>
        <w:rPr>
          <w:rFonts w:asciiTheme="minorEastAsia" w:hAnsiTheme="minorEastAsia" w:eastAsiaTheme="minorEastAsia" w:cstheme="minorEastAsia"/>
          <w:color w:val="auto"/>
          <w:szCs w:val="21"/>
          <w:highlight w:val="none"/>
        </w:rPr>
        <w:t>LED灯具</w:t>
      </w:r>
      <w:r>
        <w:rPr>
          <w:rFonts w:hint="eastAsia" w:asciiTheme="minorEastAsia" w:hAnsiTheme="minorEastAsia" w:eastAsiaTheme="minorEastAsia" w:cstheme="minorEastAsia"/>
          <w:color w:val="auto"/>
          <w:szCs w:val="21"/>
          <w:highlight w:val="none"/>
        </w:rPr>
        <w:t>初始光效≥</w:t>
      </w:r>
      <w:r>
        <w:rPr>
          <w:rFonts w:asciiTheme="minorEastAsia" w:hAnsiTheme="minorEastAsia" w:eastAsiaTheme="minorEastAsia" w:cstheme="minorEastAsia"/>
          <w:color w:val="auto"/>
          <w:szCs w:val="21"/>
          <w:highlight w:val="none"/>
        </w:rPr>
        <w:t>150Lm/w</w:t>
      </w:r>
      <w:r>
        <w:rPr>
          <w:rFonts w:hint="eastAsia" w:asciiTheme="minorEastAsia" w:hAnsiTheme="minorEastAsia" w:eastAsiaTheme="minorEastAsia" w:cstheme="minorEastAsia"/>
          <w:color w:val="auto"/>
          <w:szCs w:val="21"/>
          <w:highlight w:val="none"/>
        </w:rPr>
        <w:t>；电源功率因数≥</w:t>
      </w:r>
      <w:r>
        <w:rPr>
          <w:rFonts w:asciiTheme="minorEastAsia" w:hAnsiTheme="minorEastAsia" w:eastAsiaTheme="minorEastAsia" w:cstheme="minorEastAsia"/>
          <w:color w:val="auto"/>
          <w:szCs w:val="21"/>
          <w:highlight w:val="none"/>
        </w:rPr>
        <w:t>0.95</w:t>
      </w:r>
      <w:r>
        <w:rPr>
          <w:rFonts w:hint="eastAsia" w:asciiTheme="minorEastAsia" w:hAnsiTheme="minorEastAsia" w:eastAsiaTheme="minorEastAsia" w:cstheme="minorEastAsia"/>
          <w:color w:val="auto"/>
          <w:szCs w:val="21"/>
          <w:highlight w:val="none"/>
        </w:rPr>
        <w:t>；显色指数</w:t>
      </w:r>
      <w:r>
        <w:rPr>
          <w:rFonts w:asciiTheme="minorEastAsia" w:hAnsiTheme="minorEastAsia" w:eastAsiaTheme="minorEastAsia" w:cstheme="minorEastAsia"/>
          <w:color w:val="auto"/>
          <w:szCs w:val="21"/>
          <w:highlight w:val="none"/>
        </w:rPr>
        <w:t xml:space="preserve"> Ra≥70</w:t>
      </w:r>
      <w:r>
        <w:rPr>
          <w:rFonts w:hint="eastAsia" w:asciiTheme="minorEastAsia" w:hAnsiTheme="minorEastAsia" w:eastAsiaTheme="minorEastAsia" w:cstheme="minorEastAsia"/>
          <w:color w:val="auto"/>
          <w:szCs w:val="21"/>
          <w:highlight w:val="none"/>
        </w:rPr>
        <w:t>；色温：</w:t>
      </w:r>
      <w:r>
        <w:rPr>
          <w:rFonts w:asciiTheme="minorEastAsia" w:hAnsiTheme="minorEastAsia" w:eastAsiaTheme="minorEastAsia" w:cstheme="minorEastAsia"/>
          <w:color w:val="auto"/>
          <w:szCs w:val="21"/>
          <w:highlight w:val="none"/>
        </w:rPr>
        <w:t>3</w:t>
      </w:r>
      <w:r>
        <w:rPr>
          <w:rFonts w:hint="eastAsia" w:asciiTheme="minorEastAsia" w:hAnsiTheme="minorEastAsia" w:eastAsiaTheme="minorEastAsia" w:cstheme="minorEastAsia"/>
          <w:color w:val="auto"/>
          <w:szCs w:val="21"/>
          <w:highlight w:val="none"/>
        </w:rPr>
        <w:t>5</w:t>
      </w:r>
      <w:r>
        <w:rPr>
          <w:rFonts w:asciiTheme="minorEastAsia" w:hAnsiTheme="minorEastAsia" w:eastAsiaTheme="minorEastAsia" w:cstheme="minorEastAsia"/>
          <w:color w:val="auto"/>
          <w:szCs w:val="21"/>
          <w:highlight w:val="none"/>
        </w:rPr>
        <w:t>00～4</w:t>
      </w:r>
      <w:r>
        <w:rPr>
          <w:rFonts w:hint="eastAsia" w:asciiTheme="minorEastAsia" w:hAnsiTheme="minorEastAsia" w:eastAsiaTheme="minorEastAsia" w:cstheme="minorEastAsia"/>
          <w:color w:val="auto"/>
          <w:szCs w:val="21"/>
          <w:highlight w:val="none"/>
        </w:rPr>
        <w:t>5</w:t>
      </w:r>
      <w:r>
        <w:rPr>
          <w:rFonts w:asciiTheme="minorEastAsia" w:hAnsiTheme="minorEastAsia" w:eastAsiaTheme="minorEastAsia" w:cstheme="minorEastAsia"/>
          <w:color w:val="auto"/>
          <w:szCs w:val="21"/>
          <w:highlight w:val="none"/>
        </w:rPr>
        <w:t>00K</w:t>
      </w:r>
      <w:r>
        <w:rPr>
          <w:rFonts w:hint="eastAsia" w:asciiTheme="minorEastAsia" w:hAnsiTheme="minorEastAsia" w:eastAsiaTheme="minorEastAsia" w:cstheme="minorEastAsia"/>
          <w:color w:val="auto"/>
          <w:szCs w:val="21"/>
          <w:highlight w:val="none"/>
        </w:rPr>
        <w:t>；工作</w:t>
      </w:r>
      <w:r>
        <w:rPr>
          <w:rFonts w:asciiTheme="minorEastAsia" w:hAnsiTheme="minorEastAsia" w:eastAsiaTheme="minorEastAsia" w:cstheme="minorEastAsia"/>
          <w:color w:val="auto"/>
          <w:szCs w:val="21"/>
          <w:highlight w:val="none"/>
        </w:rPr>
        <w:t xml:space="preserve"> 12000h </w:t>
      </w:r>
      <w:r>
        <w:rPr>
          <w:rFonts w:hint="eastAsia" w:asciiTheme="minorEastAsia" w:hAnsiTheme="minorEastAsia" w:eastAsiaTheme="minorEastAsia" w:cstheme="minorEastAsia"/>
          <w:color w:val="auto"/>
          <w:szCs w:val="21"/>
          <w:highlight w:val="none"/>
        </w:rPr>
        <w:t>后，光通维持率≥</w:t>
      </w:r>
      <w:r>
        <w:rPr>
          <w:rFonts w:asciiTheme="minorEastAsia" w:hAnsiTheme="minorEastAsia" w:eastAsiaTheme="minorEastAsia" w:cstheme="minorEastAsia"/>
          <w:color w:val="auto"/>
          <w:szCs w:val="21"/>
          <w:highlight w:val="none"/>
        </w:rPr>
        <w:t>92%</w:t>
      </w:r>
      <w:r>
        <w:rPr>
          <w:rFonts w:hint="eastAsia" w:asciiTheme="minorEastAsia" w:hAnsiTheme="minorEastAsia" w:eastAsiaTheme="minorEastAsia" w:cstheme="minorEastAsia"/>
          <w:color w:val="auto"/>
          <w:szCs w:val="21"/>
          <w:highlight w:val="none"/>
        </w:rPr>
        <w:t>；光源（使用）寿命≥</w:t>
      </w:r>
      <w:r>
        <w:rPr>
          <w:rFonts w:asciiTheme="minorEastAsia" w:hAnsiTheme="minorEastAsia" w:eastAsiaTheme="minorEastAsia" w:cstheme="minorEastAsia"/>
          <w:color w:val="auto"/>
          <w:szCs w:val="21"/>
          <w:highlight w:val="none"/>
        </w:rPr>
        <w:t>50000h</w:t>
      </w:r>
      <w:r>
        <w:rPr>
          <w:rFonts w:hint="eastAsia" w:asciiTheme="minorEastAsia" w:hAnsiTheme="minorEastAsia" w:eastAsiaTheme="minorEastAsia" w:cstheme="minorEastAsia"/>
          <w:color w:val="auto"/>
          <w:szCs w:val="21"/>
          <w:highlight w:val="none"/>
        </w:rPr>
        <w:t>；防护等级≥</w:t>
      </w:r>
      <w:r>
        <w:rPr>
          <w:rFonts w:asciiTheme="minorEastAsia" w:hAnsiTheme="minorEastAsia" w:eastAsiaTheme="minorEastAsia" w:cstheme="minorEastAsia"/>
          <w:color w:val="auto"/>
          <w:szCs w:val="21"/>
          <w:highlight w:val="none"/>
        </w:rPr>
        <w:t>IP65</w:t>
      </w:r>
      <w:r>
        <w:rPr>
          <w:rFonts w:hint="eastAsia" w:asciiTheme="minorEastAsia" w:hAnsiTheme="minorEastAsia" w:eastAsiaTheme="minorEastAsia" w:cstheme="minorEastAsia"/>
          <w:color w:val="auto"/>
          <w:szCs w:val="21"/>
          <w:highlight w:val="none"/>
        </w:rPr>
        <w:t>；灯具配光应针对不同路宽、路面材质、杆高、杆距作出选择。（如乙方在投标文件中有更高参数响应，从其响应）</w:t>
      </w:r>
    </w:p>
    <w:p>
      <w:pPr>
        <w:spacing w:line="400" w:lineRule="exact"/>
        <w:ind w:firstLine="420" w:firstLineChars="200"/>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1699260</wp:posOffset>
                </wp:positionH>
                <wp:positionV relativeFrom="paragraph">
                  <wp:posOffset>-1670050</wp:posOffset>
                </wp:positionV>
                <wp:extent cx="199390" cy="154940"/>
                <wp:effectExtent l="0" t="0" r="10160" b="16510"/>
                <wp:wrapNone/>
                <wp:docPr id="6" name="文本框 6"/>
                <wp:cNvGraphicFramePr/>
                <a:graphic xmlns:a="http://schemas.openxmlformats.org/drawingml/2006/main">
                  <a:graphicData uri="http://schemas.microsoft.com/office/word/2010/wordprocessingShape">
                    <wps:wsp>
                      <wps:cNvSpPr txBox="1"/>
                      <wps:spPr>
                        <a:xfrm>
                          <a:off x="0" y="0"/>
                          <a:ext cx="199390" cy="154940"/>
                        </a:xfrm>
                        <a:prstGeom prst="rect">
                          <a:avLst/>
                        </a:prstGeom>
                        <a:solidFill>
                          <a:srgbClr val="FFFFFF"/>
                        </a:solidFill>
                        <a:ln>
                          <a:noFill/>
                        </a:ln>
                        <a:effectLst/>
                      </wps:spPr>
                      <wps:txbx>
                        <w:txbxContent>
                          <w:p/>
                        </w:txbxContent>
                      </wps:txbx>
                      <wps:bodyPr upright="1"/>
                    </wps:wsp>
                  </a:graphicData>
                </a:graphic>
              </wp:anchor>
            </w:drawing>
          </mc:Choice>
          <mc:Fallback>
            <w:pict>
              <v:shape id="_x0000_s1026" o:spid="_x0000_s1026" o:spt="202" type="#_x0000_t202" style="position:absolute;left:0pt;margin-left:133.8pt;margin-top:-131.5pt;height:12.2pt;width:15.7pt;z-index:251659264;mso-width-relative:page;mso-height-relative:page;" fillcolor="#FFFFFF" filled="t" stroked="f" coordsize="21600,21600" o:gfxdata="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I5DPdoAAAANAQAADwAAAAAAAAABACAAAAAiAAAAZHJzL2Rv&#10;d25yZXYueG1sUEsBAhQAFAAAAAgAh07iQE5u2LDGAQAAhAMAAA4AAAAAAAAAAQAgAAAAKQEAAGRy&#10;cy9lMm9Eb2MueG1sUEsFBgAAAAAGAAYAWQEAAGEFAAAAAA==&#10;">
                <v:fill on="t" focussize="0,0"/>
                <v:stroke on="f"/>
                <v:imagedata o:title=""/>
                <o:lock v:ext="edit" aspectratio="f"/>
                <v:textbox>
                  <w:txbxContent>
                    <w:p/>
                  </w:txbxContent>
                </v:textbox>
              </v:shape>
            </w:pict>
          </mc:Fallback>
        </mc:AlternateContent>
      </w:r>
      <w:r>
        <w:rPr>
          <w:rFonts w:hint="eastAsia" w:asciiTheme="minorEastAsia" w:hAnsiTheme="minorEastAsia" w:eastAsiaTheme="minorEastAsia" w:cstheme="minorEastAsia"/>
          <w:color w:val="auto"/>
          <w:szCs w:val="21"/>
          <w:highlight w:val="none"/>
        </w:rPr>
        <w:t>c.所用器件包括规格尺寸应为市场普遍应用且技术较为成熟的产品，为开放式接口，方便日后不同品牌之间能替换和相兼容。</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（2）照明质量：</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a.必须满足《桂林市老城区路灯节能改造项目——LED节能改造明细表》和CJJ45-2015《城市道路照明设计标准》中设计高标准值的相关要求。（如乙方在投标文件中有更高参数响应，从其响应）</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b.半夜灯模式必须在不影响道路照度的情况下经甲方同意后方可由甲方进行操作。</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c.亮灯率必须达到98%以上。</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d.非机动车道，人行道的照明质量，参照规范CJJ45的相关条款执行。</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（3）安全性能：</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a.改造后道路照明系统的电压、电流、功率因数须符合《电能质量公用电网谐波》(GB/T 4549-93)等国家电力设计的标准要求。</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b.抗风等级：不小于12级。</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c.灯具均要满足GB7000.1-2015《灯具 第1部分：一般要求与试验》、GB 7000.203-2013《灯具 第2-3部分:特殊要求 道路与街路照明灯具》的要求，其中LED灯具的防护等级不应低于IP65。</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d.LED灯具骚扰电压应符合GB17743的规定;LED灯具谐波电流限值应符合GB17625.1的规定;LED灯具电磁兼容抗扰度应符合GB杠T18595的规定。</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e.LED电子控制装置应符合GB19510.14的规定。</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（4）二次节能系统的要求：</w:t>
      </w:r>
    </w:p>
    <w:p>
      <w:pPr>
        <w:spacing w:line="400" w:lineRule="exact"/>
        <w:ind w:firstLine="420" w:firstLineChars="200"/>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a.</w:t>
      </w:r>
      <w:r>
        <w:rPr>
          <w:rFonts w:hint="eastAsia" w:asciiTheme="minorEastAsia" w:hAnsiTheme="minorEastAsia" w:eastAsiaTheme="minorEastAsia" w:cstheme="minorEastAsia"/>
          <w:color w:val="auto"/>
          <w:szCs w:val="21"/>
          <w:highlight w:val="none"/>
        </w:rPr>
        <w:t>二次节能系统硬件（单灯控制器）应安装在灯杆或灯具腔体内。</w:t>
      </w:r>
    </w:p>
    <w:p>
      <w:pPr>
        <w:spacing w:line="400" w:lineRule="exact"/>
        <w:ind w:firstLine="420" w:firstLineChars="200"/>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b.</w:t>
      </w:r>
      <w:r>
        <w:rPr>
          <w:rFonts w:hint="eastAsia" w:asciiTheme="minorEastAsia" w:hAnsiTheme="minorEastAsia" w:eastAsiaTheme="minorEastAsia" w:cstheme="minorEastAsia"/>
          <w:color w:val="auto"/>
          <w:szCs w:val="21"/>
          <w:highlight w:val="none"/>
        </w:rPr>
        <w:t>二次节能系统软件应具备但不限于单灯控制启毕、调光等功能。</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w:t>
      </w:r>
      <w:r>
        <w:rPr>
          <w:rFonts w:asciiTheme="minorEastAsia" w:hAnsiTheme="minorEastAsia" w:eastAsiaTheme="minorEastAsia" w:cstheme="minorEastAsia"/>
          <w:color w:val="auto"/>
          <w:szCs w:val="21"/>
          <w:highlight w:val="none"/>
        </w:rPr>
        <w:t>.</w:t>
      </w:r>
      <w:r>
        <w:rPr>
          <w:rFonts w:hint="eastAsia" w:ascii="仿宋_GB2312" w:eastAsia="仿宋_GB2312"/>
          <w:color w:val="auto"/>
          <w:highlight w:val="none"/>
        </w:rPr>
        <w:t xml:space="preserve"> </w:t>
      </w:r>
      <w:r>
        <w:rPr>
          <w:rFonts w:hint="eastAsia" w:asciiTheme="minorEastAsia" w:hAnsiTheme="minorEastAsia" w:eastAsiaTheme="minorEastAsia" w:cstheme="minorEastAsia"/>
          <w:color w:val="auto"/>
          <w:szCs w:val="21"/>
          <w:highlight w:val="none"/>
        </w:rPr>
        <w:t>二次节能和单灯控制系统软件应随着技术发展并保证系统正常运行的情况下，进行版本升级且不应收取任何费用。当采购人要求对照明监控系统进行资源整合时，中标人负责提供本项目二次节能系统软件相应数据接口，配合第三方软件的对接工作,并无偿对二次节能系统进行调整。二次节能系统采集的各类数据应无偿开放给采购人使用，不能设置技术壁垒，运营期内中标人应维持信息管理系统和信息中心正常运作，必要时无偿进行硬件升级。</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（5）施工质量：</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a.必须满足CJJ89-2012《城市道路照明施工及验收规程》的相关要求。</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b.应成立专门维修小组，当发现灯具故障但又暂时判断不出是线路原因还是灯具原因时，应采取先修后分责任的原则。</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d.电缆接头：电缆接头和终端头整个制作过程应保持清洁和干燥；制作前应将线芯及绝缘表面擦拭干净，塑料电缆宜采用自粘带、粘胶带、胶黏剂、热熔胶、收缩管等材料密封，塑料护套表面应打毛，粘接表面应用溶剂除去油污，粘接应良好。</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c．驱动电源应安装在灯杆或灯具腔体内。</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（6）维修维护与人员培训。</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a.应加强维修维护人员的培训，要有详细的培训计划。</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b.执行人工巡灯制度。</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c.项目正常投入使用后,包括生产厂、施工方等非管理部门及个人不应再拥有操作权限，维修维护时管理部门技术人员应在场。</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合同期满项目的移交：移交时的灯具特性，照明质量，安全性能等必须符合以上（1）~（5）点的要求。对于第一期建设的二次节能系统的软硬件设备，项目中标人在合同运营期届满后应提供①两年免费更换服务；②单灯控制器终身成本价采购。确保运营期届满移交后项目节能率不降低。</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（8）其他：</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a.针对道路照明设计并出安装大样图，资料作为附件，内容应包括灯具安装大样图灯具选型(含配光曲线图），和照明计算书等。</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b.合同期内，乙方在项目所在地库房的备件数量必须不能小于每规格型号灯具数量的1%。</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c.乙方建设期拆下来的原有旧灯具权属甲方，并按甲方的标准要求统一存放。</w:t>
      </w:r>
    </w:p>
    <w:p>
      <w:pPr>
        <w:spacing w:line="400" w:lineRule="exact"/>
        <w:ind w:firstLine="422"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5. 培训计划（包括人员资质要求等）</w:t>
      </w:r>
    </w:p>
    <w:p>
      <w:pPr>
        <w:spacing w:line="400" w:lineRule="exact"/>
        <w:ind w:firstLine="420"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根据项目需要，为确保项目改造后平稳运行，乙方应提供相关培训工作和承担相关培训费用</w:t>
      </w:r>
      <w:r>
        <w:rPr>
          <w:rFonts w:hint="eastAsia" w:asciiTheme="minorEastAsia" w:hAnsiTheme="minorEastAsia" w:eastAsiaTheme="minorEastAsia" w:cstheme="minorEastAsia"/>
          <w:b/>
          <w:color w:val="auto"/>
          <w:szCs w:val="21"/>
          <w:highlight w:val="none"/>
        </w:rPr>
        <w:t>。</w:t>
      </w:r>
    </w:p>
    <w:p>
      <w:pPr>
        <w:spacing w:line="400" w:lineRule="exact"/>
        <w:ind w:firstLine="422"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6. 项目进度阶段表和节能量确认单</w:t>
      </w:r>
    </w:p>
    <w:p>
      <w:pPr>
        <w:spacing w:line="400" w:lineRule="exact"/>
        <w:ind w:firstLine="420"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本合同整体进度要求为基准能耗认定后</w:t>
      </w:r>
      <w:r>
        <w:rPr>
          <w:rFonts w:hint="eastAsia" w:asciiTheme="minorEastAsia" w:hAnsiTheme="minorEastAsia" w:eastAsiaTheme="minorEastAsia" w:cstheme="minorEastAsia"/>
          <w:color w:val="auto"/>
          <w:szCs w:val="21"/>
          <w:highlight w:val="none"/>
          <w:u w:val="single"/>
        </w:rPr>
        <w:t>180</w:t>
      </w:r>
      <w:r>
        <w:rPr>
          <w:rFonts w:hint="eastAsia" w:asciiTheme="minorEastAsia" w:hAnsiTheme="minorEastAsia" w:eastAsiaTheme="minorEastAsia" w:cstheme="minorEastAsia"/>
          <w:color w:val="auto"/>
          <w:szCs w:val="21"/>
          <w:highlight w:val="none"/>
        </w:rPr>
        <w:t>个日历日内（如遇不可抗拒原因导致不能施工则项目建设期顺延）完成第一期改造内容，项目第一期建设验收合格后</w:t>
      </w:r>
      <w:r>
        <w:rPr>
          <w:rFonts w:hint="eastAsia" w:asciiTheme="minorEastAsia" w:hAnsiTheme="minorEastAsia" w:eastAsiaTheme="minorEastAsia" w:cstheme="minorEastAsia"/>
          <w:color w:val="auto"/>
          <w:szCs w:val="21"/>
          <w:highlight w:val="none"/>
          <w:u w:val="single"/>
        </w:rPr>
        <w:t>365</w:t>
      </w:r>
      <w:r>
        <w:rPr>
          <w:rFonts w:hint="eastAsia" w:asciiTheme="minorEastAsia" w:hAnsiTheme="minorEastAsia" w:eastAsiaTheme="minorEastAsia" w:cstheme="minorEastAsia"/>
          <w:color w:val="auto"/>
          <w:szCs w:val="21"/>
          <w:highlight w:val="none"/>
        </w:rPr>
        <w:t>个日历日内完成第二期改造内容。</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（1）项目进度阶段表</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本项目第一期的建设期为</w:t>
      </w:r>
      <w:r>
        <w:rPr>
          <w:rFonts w:hint="eastAsia" w:asciiTheme="minorEastAsia" w:hAnsiTheme="minorEastAsia" w:eastAsiaTheme="minorEastAsia" w:cstheme="minorEastAsia"/>
          <w:color w:val="auto"/>
          <w:szCs w:val="21"/>
          <w:highlight w:val="none"/>
          <w:u w:val="single"/>
        </w:rPr>
        <w:t xml:space="preserve">    天 </w:t>
      </w:r>
      <w:r>
        <w:rPr>
          <w:rFonts w:hint="eastAsia" w:asciiTheme="minorEastAsia" w:hAnsiTheme="minorEastAsia" w:eastAsiaTheme="minorEastAsia" w:cstheme="minorEastAsia"/>
          <w:color w:val="auto"/>
          <w:szCs w:val="21"/>
          <w:highlight w:val="none"/>
        </w:rPr>
        <w:t>，自</w:t>
      </w:r>
      <w:r>
        <w:rPr>
          <w:rFonts w:hint="eastAsia" w:asciiTheme="minorEastAsia" w:hAnsiTheme="minorEastAsia" w:eastAsiaTheme="minorEastAsia" w:cstheme="minorEastAsia"/>
          <w:color w:val="auto"/>
          <w:szCs w:val="21"/>
          <w:highlight w:val="none"/>
          <w:u w:val="single"/>
        </w:rPr>
        <w:t xml:space="preserve">    年  月  日</w:t>
      </w:r>
      <w:r>
        <w:rPr>
          <w:rFonts w:hint="eastAsia" w:asciiTheme="minorEastAsia" w:hAnsiTheme="minorEastAsia" w:eastAsiaTheme="minorEastAsia" w:cstheme="minorEastAsia"/>
          <w:color w:val="auto"/>
          <w:szCs w:val="21"/>
          <w:highlight w:val="none"/>
        </w:rPr>
        <w:t>至</w:t>
      </w:r>
      <w:r>
        <w:rPr>
          <w:rFonts w:hint="eastAsia" w:asciiTheme="minorEastAsia" w:hAnsiTheme="minorEastAsia" w:eastAsiaTheme="minorEastAsia" w:cstheme="minorEastAsia"/>
          <w:color w:val="auto"/>
          <w:szCs w:val="21"/>
          <w:highlight w:val="none"/>
          <w:u w:val="single"/>
        </w:rPr>
        <w:t xml:space="preserve">    年  月  日</w:t>
      </w:r>
      <w:r>
        <w:rPr>
          <w:rFonts w:hint="eastAsia" w:asciiTheme="minorEastAsia" w:hAnsiTheme="minorEastAsia" w:eastAsiaTheme="minorEastAsia" w:cstheme="minorEastAsia"/>
          <w:color w:val="auto"/>
          <w:szCs w:val="21"/>
          <w:highlight w:val="none"/>
        </w:rPr>
        <w:t>；</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本项目第二期的建设期为</w:t>
      </w:r>
      <w:r>
        <w:rPr>
          <w:rFonts w:hint="eastAsia" w:asciiTheme="minorEastAsia" w:hAnsiTheme="minorEastAsia" w:eastAsiaTheme="minorEastAsia" w:cstheme="minorEastAsia"/>
          <w:color w:val="auto"/>
          <w:szCs w:val="21"/>
          <w:highlight w:val="none"/>
          <w:u w:val="single"/>
        </w:rPr>
        <w:t xml:space="preserve">    天 </w:t>
      </w:r>
      <w:r>
        <w:rPr>
          <w:rFonts w:hint="eastAsia" w:asciiTheme="minorEastAsia" w:hAnsiTheme="minorEastAsia" w:eastAsiaTheme="minorEastAsia" w:cstheme="minorEastAsia"/>
          <w:color w:val="auto"/>
          <w:szCs w:val="21"/>
          <w:highlight w:val="none"/>
        </w:rPr>
        <w:t>，自</w:t>
      </w:r>
      <w:r>
        <w:rPr>
          <w:rFonts w:hint="eastAsia" w:asciiTheme="minorEastAsia" w:hAnsiTheme="minorEastAsia" w:eastAsiaTheme="minorEastAsia" w:cstheme="minorEastAsia"/>
          <w:color w:val="auto"/>
          <w:szCs w:val="21"/>
          <w:highlight w:val="none"/>
          <w:u w:val="single"/>
        </w:rPr>
        <w:t xml:space="preserve">    年  月  日</w:t>
      </w:r>
      <w:r>
        <w:rPr>
          <w:rFonts w:hint="eastAsia" w:asciiTheme="minorEastAsia" w:hAnsiTheme="minorEastAsia" w:eastAsiaTheme="minorEastAsia" w:cstheme="minorEastAsia"/>
          <w:color w:val="auto"/>
          <w:szCs w:val="21"/>
          <w:highlight w:val="none"/>
        </w:rPr>
        <w:t>至</w:t>
      </w:r>
      <w:r>
        <w:rPr>
          <w:rFonts w:hint="eastAsia" w:asciiTheme="minorEastAsia" w:hAnsiTheme="minorEastAsia" w:eastAsiaTheme="minorEastAsia" w:cstheme="minorEastAsia"/>
          <w:color w:val="auto"/>
          <w:szCs w:val="21"/>
          <w:highlight w:val="none"/>
          <w:u w:val="single"/>
        </w:rPr>
        <w:t xml:space="preserve">    年  月  日</w:t>
      </w:r>
      <w:r>
        <w:rPr>
          <w:rFonts w:hint="eastAsia" w:asciiTheme="minorEastAsia" w:hAnsiTheme="minorEastAsia" w:eastAsiaTheme="minorEastAsia" w:cstheme="minorEastAsia"/>
          <w:color w:val="auto"/>
          <w:szCs w:val="21"/>
          <w:highlight w:val="none"/>
        </w:rPr>
        <w:t>。</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本项目的能源管理款项支付期为</w:t>
      </w:r>
      <w:r>
        <w:rPr>
          <w:rFonts w:hint="eastAsia" w:asciiTheme="minorEastAsia" w:hAnsiTheme="minorEastAsia" w:eastAsiaTheme="minorEastAsia" w:cstheme="minorEastAsia"/>
          <w:color w:val="auto"/>
          <w:szCs w:val="21"/>
          <w:highlight w:val="none"/>
          <w:u w:val="single"/>
        </w:rPr>
        <w:t xml:space="preserve">  年共  个月</w:t>
      </w:r>
      <w:r>
        <w:rPr>
          <w:rFonts w:hint="eastAsia" w:asciiTheme="minorEastAsia" w:hAnsiTheme="minorEastAsia" w:eastAsiaTheme="minorEastAsia" w:cstheme="minorEastAsia"/>
          <w:color w:val="auto"/>
          <w:szCs w:val="21"/>
          <w:highlight w:val="none"/>
        </w:rPr>
        <w:t>，自</w:t>
      </w:r>
      <w:r>
        <w:rPr>
          <w:rFonts w:hint="eastAsia" w:asciiTheme="minorEastAsia" w:hAnsiTheme="minorEastAsia" w:eastAsiaTheme="minorEastAsia" w:cstheme="minorEastAsia"/>
          <w:color w:val="auto"/>
          <w:szCs w:val="21"/>
          <w:highlight w:val="none"/>
          <w:u w:val="single"/>
        </w:rPr>
        <w:t xml:space="preserve">    年  月  日至    年  月  日</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本项目的工程进度详见甲乙双方共同确认的工期要求。</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（2）节能量确认单</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双方出具的节能量审核报告。</w:t>
      </w:r>
    </w:p>
    <w:p>
      <w:pPr>
        <w:spacing w:line="400" w:lineRule="exact"/>
        <w:ind w:firstLine="422"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7.技术标准和规范</w:t>
      </w:r>
    </w:p>
    <w:p>
      <w:pPr>
        <w:spacing w:line="400" w:lineRule="exact"/>
        <w:ind w:firstLine="420"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《城市道路照明工程施工及验收规程》（CJJ 89-2012）</w:t>
      </w:r>
    </w:p>
    <w:p>
      <w:pPr>
        <w:spacing w:line="400" w:lineRule="exact"/>
        <w:ind w:firstLine="420"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《城市道路照明设计标准》（CJJ 45-2015）</w:t>
      </w:r>
    </w:p>
    <w:p>
      <w:pPr>
        <w:spacing w:line="400" w:lineRule="exact"/>
        <w:ind w:firstLine="420"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《道路照明LED灯性能要求》（GB/T 24907-2010）</w:t>
      </w:r>
    </w:p>
    <w:p>
      <w:pPr>
        <w:spacing w:line="400" w:lineRule="exact"/>
        <w:ind w:firstLine="420"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《LED城市道路照明应用技术要求》(GB/T 31832-2015)</w:t>
      </w:r>
    </w:p>
    <w:p>
      <w:pPr>
        <w:spacing w:line="400" w:lineRule="exact"/>
        <w:ind w:firstLine="422"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8.项目财产清单（设备、设施、辅助设备设施的名称、型号、购入时间、价格及质保期等）</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所提供产品</w:t>
      </w:r>
      <w:r>
        <w:rPr>
          <w:rFonts w:hint="eastAsia" w:asciiTheme="minorEastAsia" w:hAnsiTheme="minorEastAsia" w:eastAsiaTheme="minorEastAsia" w:cstheme="minorEastAsia"/>
          <w:color w:val="auto"/>
          <w:szCs w:val="21"/>
          <w:highlight w:val="none"/>
          <w:lang w:val="en-GB"/>
        </w:rPr>
        <w:t>具体品牌规格如下：</w:t>
      </w:r>
    </w:p>
    <w:p>
      <w:pPr>
        <w:spacing w:line="400" w:lineRule="exact"/>
        <w:ind w:firstLine="422"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9. 项目所需其他设备材料清单</w:t>
      </w:r>
    </w:p>
    <w:p>
      <w:pPr>
        <w:spacing w:line="400" w:lineRule="exact"/>
        <w:ind w:firstLine="413" w:firstLineChars="196"/>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无</w:t>
      </w:r>
    </w:p>
    <w:p>
      <w:pPr>
        <w:spacing w:line="400" w:lineRule="exact"/>
        <w:ind w:firstLine="413" w:firstLineChars="196"/>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11. 施工条件约定</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合约签订后，根据乙方编制，甲方认可的施工详细方案。道路路灯改造方案应包含维护保修、技术支持方案，故障应急方案，故障处理流程等内容。路灯改造方案经甲方书面确认后实施。</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在计划的施工计划落实的情况下，拟改造的每个光源所在的场合。甲方承诺根据乙方的人力安排，至少提供6小时的可施工时间。</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乙方承担改造施工的全额费用，包含安装和改造费用，并对安装队伍的资质以及安装的质量负责；对产品及工程第三者责任负责。</w:t>
      </w:r>
    </w:p>
    <w:p>
      <w:pPr>
        <w:spacing w:line="400" w:lineRule="exact"/>
        <w:ind w:firstLine="420"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在施工期间，甲方有义务派出人员协调施工现场和做现场督导。</w:t>
      </w:r>
    </w:p>
    <w:p>
      <w:pPr>
        <w:spacing w:line="400" w:lineRule="exact"/>
        <w:ind w:firstLine="422"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12. 项目投资分担方案</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项目投资，由</w:t>
      </w:r>
      <w:r>
        <w:rPr>
          <w:rFonts w:hint="eastAsia" w:asciiTheme="minorEastAsia" w:hAnsiTheme="minorEastAsia" w:eastAsiaTheme="minorEastAsia" w:cstheme="minorEastAsia"/>
          <w:color w:val="auto"/>
          <w:szCs w:val="21"/>
          <w:highlight w:val="none"/>
          <w:u w:val="single"/>
        </w:rPr>
        <w:t xml:space="preserve">    乙方     </w:t>
      </w:r>
      <w:r>
        <w:rPr>
          <w:rFonts w:hint="eastAsia" w:asciiTheme="minorEastAsia" w:hAnsiTheme="minorEastAsia" w:eastAsiaTheme="minorEastAsia" w:cstheme="minorEastAsia"/>
          <w:color w:val="auto"/>
          <w:szCs w:val="21"/>
          <w:highlight w:val="none"/>
        </w:rPr>
        <w:t>独家承担。</w:t>
      </w:r>
    </w:p>
    <w:p>
      <w:pPr>
        <w:spacing w:line="400" w:lineRule="exact"/>
        <w:ind w:firstLine="422"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13. 项目验收程序和标准</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甲方收到乙方验收申请的7个工作日内进行验收。</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工程验收：项目在技术验收基础上的一次性工程整体验收方式</w:t>
      </w:r>
      <w:r>
        <w:rPr>
          <w:rFonts w:hint="eastAsia" w:asciiTheme="minorEastAsia" w:hAnsiTheme="minorEastAsia" w:eastAsiaTheme="minorEastAsia" w:cstheme="minorEastAsia"/>
          <w:b/>
          <w:color w:val="auto"/>
          <w:szCs w:val="21"/>
          <w:highlight w:val="none"/>
        </w:rPr>
        <w:t>。</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技术验收按照CJJ 89-2012《城市道路照明工程施工及验收规程》相关细节进行。要求符合CJJ45-2015《城市道路照明设计标准》的道路照明维护系数（0.7），改造后道路照明系统的电压、电流、功率因数须符合GB/T14549-93《电能质量公用电网谐波》等国家电力设计的标准要求。</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整体竣工验收参照表1、CJJ45-2015《城市道路照明设计标准》、GB/T 31832-2015《LED城市道路照明应用技术要求》，</w:t>
      </w:r>
      <w:r>
        <w:rPr>
          <w:rFonts w:hint="eastAsia" w:asciiTheme="minorEastAsia" w:hAnsiTheme="minorEastAsia" w:eastAsiaTheme="minorEastAsia" w:cstheme="minorEastAsia"/>
          <w:color w:val="auto"/>
          <w:szCs w:val="21"/>
          <w:highlight w:val="none"/>
          <w:u w:val="single"/>
        </w:rPr>
        <w:t>并由第三方检测公司         出</w:t>
      </w:r>
      <w:r>
        <w:rPr>
          <w:rFonts w:hint="eastAsia" w:asciiTheme="minorEastAsia" w:hAnsiTheme="minorEastAsia" w:eastAsiaTheme="minorEastAsia" w:cstheme="minorEastAsia"/>
          <w:color w:val="auto"/>
          <w:szCs w:val="21"/>
          <w:highlight w:val="none"/>
        </w:rPr>
        <w:t xml:space="preserve">《道路照明质量测试报告》和《路灯节能改造工程节能量报告》。 </w:t>
      </w:r>
    </w:p>
    <w:p>
      <w:pPr>
        <w:spacing w:line="400" w:lineRule="exact"/>
        <w:ind w:firstLine="422"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14. 设备操作规程和保养要求</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本合约涉及的光源为基本照明设施，除一般光源使用的条件外，要求按照LED路灯操作规程及保养要求。具体的服务保养采用月考核制度：</w:t>
      </w:r>
    </w:p>
    <w:p>
      <w:pPr>
        <w:adjustRightInd w:val="0"/>
        <w:spacing w:line="400" w:lineRule="exact"/>
        <w:ind w:firstLine="420" w:firstLineChars="200"/>
        <w:textAlignment w:val="baseline"/>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服务考核：分为乙方自查，甲方现场检查复核等进行服务考核。</w:t>
      </w:r>
    </w:p>
    <w:p>
      <w:pPr>
        <w:adjustRightInd w:val="0"/>
        <w:spacing w:line="400" w:lineRule="exact"/>
        <w:ind w:firstLine="420" w:firstLineChars="200"/>
        <w:textAlignment w:val="baseline"/>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由乙方每月提交《项目运行情况报告》，交由甲方对乙方负责的LED路灯改造各项工作内容进行复核、检查和监督。如有需要，甲方出具上月《服务考核整改报告》交由乙方进行整改。</w:t>
      </w:r>
    </w:p>
    <w:p>
      <w:pPr>
        <w:adjustRightInd w:val="0"/>
        <w:spacing w:line="400" w:lineRule="exact"/>
        <w:ind w:firstLine="422" w:firstLineChars="200"/>
        <w:textAlignment w:val="baseline"/>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15. 设备故障处理约定</w:t>
      </w:r>
    </w:p>
    <w:p>
      <w:pPr>
        <w:adjustRightInd w:val="0"/>
        <w:spacing w:line="400" w:lineRule="exact"/>
        <w:ind w:firstLine="420" w:firstLineChars="200"/>
        <w:textAlignment w:val="baseline"/>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产品的质保除按国家有关规定、产品厂家规定及项目特殊要求处理外，还应满足下述条款：</w:t>
      </w:r>
    </w:p>
    <w:p>
      <w:pPr>
        <w:adjustRightInd w:val="0"/>
        <w:spacing w:line="400" w:lineRule="exact"/>
        <w:ind w:firstLine="420" w:firstLineChars="200"/>
        <w:textAlignment w:val="baseline"/>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能源管理款项支付期自项目第一期建设竣工验收合格之日起计算。在节能服务期内，LED照明产品质量必须满足国家及省相关的规范要求，改造后的城市道路照明质量必须满足《城市道路照明设计标准》（CJJ45-2015）、《LED城市道路照明应用技术要求》(GB/T 31832-2015)等规范要求。乙方对所提供的灯具产品在合同期内按合同要求进行免费维护或更换。合同期满后按合同约定移交甲方并进行管理维护，项目所有权和使用权均为甲方。</w:t>
      </w:r>
    </w:p>
    <w:p>
      <w:pPr>
        <w:adjustRightInd w:val="0"/>
        <w:spacing w:line="400" w:lineRule="exact"/>
        <w:ind w:firstLine="420" w:firstLineChars="200"/>
        <w:textAlignment w:val="baseline"/>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甲方定期委派机构或单位派人检查项目的运行情况，确保改造后的LED节能灯具月度亮灯率不低于98%，投资回报期内LED照明产品质量必须满足国家及省相关的规范要求，改造后的城市道路照明参数，尤其是照度参数必须满足表1、《城市道路照明设计标准》（CJJ45-2015）、《LED城市道路照明应用技术要求》(GB/T 31832-2015)等规范要求，如果低于上述标准时，应及时予以更换，如因产品质量造成的更换费用，由乙方承担。</w:t>
      </w:r>
    </w:p>
    <w:p>
      <w:pPr>
        <w:adjustRightInd w:val="0"/>
        <w:spacing w:line="400" w:lineRule="exact"/>
        <w:ind w:firstLine="420" w:firstLineChars="200"/>
        <w:textAlignment w:val="baseline"/>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（3）如在合约约定的使用期和保用期内出现故障。双方约定以以下办法进行处理：</w:t>
      </w:r>
    </w:p>
    <w:p>
      <w:pPr>
        <w:adjustRightInd w:val="0"/>
        <w:spacing w:line="400" w:lineRule="exact"/>
        <w:ind w:firstLine="420" w:firstLineChars="200"/>
        <w:textAlignment w:val="baseline"/>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由甲方负责对乙方承担的LED路灯改造各项工作每月进行检查、监督。凡达不到管理标准的，扣减当月费用（节能分享效益），部分标准如下，未尽事宜按《桂林市合同能源管理道路照明设施维护考核细则》执行：</w:t>
      </w:r>
    </w:p>
    <w:p>
      <w:pPr>
        <w:pStyle w:val="9"/>
        <w:spacing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亮灯率方面：乙方保证改造后所有的LED节能灯具亮灯率必须大于98%，检查中凡发现改造后的LED 节能灯具月平均亮灯率低于98%的，甲方可书面通知、电话、短信等方式通知乙方进行修复，如乙方24小时内不及时进行故障处理，甲方暂缓支付乙方的当月节能收益款，直至问题整改合格为止。连续三次不能整改合格，甲方有权不向乙方支付亮灯率不合格月份的节能款；乙方连续六次不能整改合格，甲方有权终止合约的执行，并没收其履约保证金。</w:t>
      </w:r>
    </w:p>
    <w:p>
      <w:pPr>
        <w:pStyle w:val="9"/>
        <w:spacing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单灯灭灯故障方面：乙方须按要求检修：一般情况下应在3日内修复；市长热线投诉或新闻媒体曝光的灯具故障，要求1天内修复；市政服务热线和甲方照明热线等报修的灯具故障，要求2天内修复。乙方没能按要求时限修复故障，甲方按每盏灯每天扣除乙方当月节能款的1‰，以超时天数盏数累计计算，直至故障修复为止。</w:t>
      </w:r>
    </w:p>
    <w:p>
      <w:pPr>
        <w:pStyle w:val="9"/>
        <w:spacing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节电率方面：乙方不能牺牲照明质量而盲目追求节电率。整个合同服务期内的照明质量均要满足现行国家标准、行业规范，改造道路照度亮度应达到《城市道路照明设计标准》（CJJ45-2015）高标准值以上。</w:t>
      </w:r>
    </w:p>
    <w:p>
      <w:pPr>
        <w:pStyle w:val="9"/>
        <w:spacing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照度、亮度等照明质量评价指标方面：项目运行过程中，若发现改造路灯后的道路亮度、照度、光通维持率等指标不满足CJJ 45-2015《城市道路照明设计标准》或未达到改造前设计照度的，不达标率超过15%的，甲方书面通知乙方进行整改，如不能按甲方要求的期限完成整改的，扣减乙方当月节电收益的1%，同时甲方可暂缓支付乙方的当月能源管理应付款，直至问题整改合格为止。连续三次不能按时完成整改的，甲方有权不向乙方支付亮灯率不合格月份的能源管理应付款。</w:t>
      </w:r>
    </w:p>
    <w:p>
      <w:pPr>
        <w:pStyle w:val="9"/>
        <w:spacing w:line="380" w:lineRule="exact"/>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（4）验收之前的所有安装费用由乙方负担；验收合格之日起，节能服务期内对第一期建设内容正常维护更换的人工、机械等费用由乙方负责。</w:t>
      </w:r>
    </w:p>
    <w:p>
      <w:pPr>
        <w:adjustRightInd w:val="0"/>
        <w:spacing w:line="400" w:lineRule="exact"/>
        <w:ind w:firstLine="420" w:firstLineChars="200"/>
        <w:textAlignment w:val="baseline"/>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（5）乙方若未能按约定向甲方提供售后服务义务，甲方除对乙方按照合约约定进行处理外，可向法院进行起诉。</w:t>
      </w:r>
    </w:p>
    <w:p>
      <w:pPr>
        <w:adjustRightInd w:val="0"/>
        <w:spacing w:line="400" w:lineRule="exact"/>
        <w:ind w:firstLine="422" w:firstLineChars="200"/>
        <w:textAlignment w:val="baseline"/>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16.</w:t>
      </w:r>
      <w:r>
        <w:rPr>
          <w:rFonts w:hint="eastAsia" w:asciiTheme="minorEastAsia" w:hAnsiTheme="minorEastAsia" w:eastAsiaTheme="minorEastAsia" w:cstheme="minorEastAsia"/>
          <w:color w:val="auto"/>
          <w:szCs w:val="21"/>
          <w:highlight w:val="none"/>
        </w:rPr>
        <w:t xml:space="preserve"> 乙方</w:t>
      </w:r>
      <w:r>
        <w:rPr>
          <w:rFonts w:hint="eastAsia" w:asciiTheme="minorEastAsia" w:hAnsiTheme="minorEastAsia" w:eastAsiaTheme="minorEastAsia" w:cstheme="minorEastAsia"/>
          <w:b/>
          <w:color w:val="auto"/>
          <w:szCs w:val="21"/>
          <w:highlight w:val="none"/>
        </w:rPr>
        <w:t>提出的其他服务承诺内容：</w:t>
      </w:r>
    </w:p>
    <w:p>
      <w:pPr>
        <w:adjustRightInd w:val="0"/>
        <w:spacing w:line="400" w:lineRule="exact"/>
        <w:ind w:firstLine="420" w:firstLineChars="200"/>
        <w:textAlignment w:val="baseline"/>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详见乙方投标文件</w:t>
      </w:r>
    </w:p>
    <w:p>
      <w:pPr>
        <w:adjustRightInd w:val="0"/>
        <w:spacing w:line="400" w:lineRule="exact"/>
        <w:ind w:firstLine="422" w:firstLineChars="200"/>
        <w:textAlignment w:val="baseline"/>
        <w:rPr>
          <w:rFonts w:asciiTheme="minorEastAsia" w:hAnsiTheme="minorEastAsia" w:eastAsiaTheme="minorEastAsia" w:cstheme="minorEastAsia"/>
          <w:b/>
          <w:color w:val="auto"/>
          <w:szCs w:val="21"/>
          <w:highlight w:val="none"/>
        </w:rPr>
      </w:pPr>
    </w:p>
    <w:p>
      <w:pPr>
        <w:adjustRightInd w:val="0"/>
        <w:spacing w:line="400" w:lineRule="exact"/>
        <w:ind w:firstLine="422" w:firstLineChars="200"/>
        <w:textAlignment w:val="baseline"/>
        <w:rPr>
          <w:rFonts w:asciiTheme="minorEastAsia" w:hAnsiTheme="minorEastAsia" w:eastAsiaTheme="minorEastAsia" w:cstheme="minorEastAsia"/>
          <w:b/>
          <w:color w:val="auto"/>
          <w:szCs w:val="21"/>
          <w:highlight w:val="none"/>
        </w:rPr>
      </w:pPr>
    </w:p>
    <w:p>
      <w:pPr>
        <w:adjustRightInd w:val="0"/>
        <w:spacing w:line="400" w:lineRule="exact"/>
        <w:ind w:firstLine="422" w:firstLineChars="200"/>
        <w:textAlignment w:val="baseline"/>
        <w:rPr>
          <w:rFonts w:asciiTheme="minorEastAsia" w:hAnsiTheme="minorEastAsia" w:eastAsiaTheme="minorEastAsia" w:cstheme="minorEastAsia"/>
          <w:b/>
          <w:color w:val="auto"/>
          <w:szCs w:val="21"/>
          <w:highlight w:val="none"/>
        </w:rPr>
      </w:pPr>
    </w:p>
    <w:p>
      <w:pPr>
        <w:adjustRightInd w:val="0"/>
        <w:spacing w:line="400" w:lineRule="exact"/>
        <w:ind w:firstLine="422" w:firstLineChars="200"/>
        <w:textAlignment w:val="baseline"/>
        <w:rPr>
          <w:rFonts w:asciiTheme="minorEastAsia" w:hAnsiTheme="minorEastAsia" w:eastAsiaTheme="minorEastAsia" w:cstheme="minorEastAsia"/>
          <w:b/>
          <w:color w:val="auto"/>
          <w:szCs w:val="21"/>
          <w:highlight w:val="none"/>
        </w:rPr>
      </w:pPr>
    </w:p>
    <w:p>
      <w:pPr>
        <w:adjustRightInd w:val="0"/>
        <w:spacing w:line="400" w:lineRule="exact"/>
        <w:ind w:firstLine="422" w:firstLineChars="200"/>
        <w:textAlignment w:val="baseline"/>
        <w:rPr>
          <w:rFonts w:asciiTheme="minorEastAsia" w:hAnsiTheme="minorEastAsia" w:eastAsiaTheme="minorEastAsia" w:cstheme="minorEastAsia"/>
          <w:b/>
          <w:color w:val="auto"/>
          <w:szCs w:val="21"/>
          <w:highlight w:val="none"/>
        </w:rPr>
      </w:pPr>
    </w:p>
    <w:p>
      <w:pPr>
        <w:adjustRightInd w:val="0"/>
        <w:spacing w:line="400" w:lineRule="exact"/>
        <w:ind w:firstLine="422" w:firstLineChars="200"/>
        <w:textAlignment w:val="baseline"/>
        <w:rPr>
          <w:rFonts w:asciiTheme="minorEastAsia" w:hAnsiTheme="minorEastAsia" w:eastAsiaTheme="minorEastAsia" w:cstheme="minorEastAsia"/>
          <w:b/>
          <w:color w:val="auto"/>
          <w:szCs w:val="21"/>
          <w:highlight w:val="none"/>
        </w:rPr>
      </w:pPr>
    </w:p>
    <w:p>
      <w:pPr>
        <w:adjustRightInd w:val="0"/>
        <w:spacing w:line="400" w:lineRule="exact"/>
        <w:ind w:firstLine="422" w:firstLineChars="200"/>
        <w:textAlignment w:val="baseline"/>
        <w:rPr>
          <w:rFonts w:asciiTheme="minorEastAsia" w:hAnsiTheme="minorEastAsia" w:eastAsiaTheme="minorEastAsia" w:cstheme="minorEastAsia"/>
          <w:b/>
          <w:color w:val="auto"/>
          <w:szCs w:val="21"/>
          <w:highlight w:val="none"/>
        </w:rPr>
      </w:pPr>
    </w:p>
    <w:p>
      <w:pPr>
        <w:adjustRightInd w:val="0"/>
        <w:spacing w:line="400" w:lineRule="exact"/>
        <w:ind w:firstLine="422" w:firstLineChars="200"/>
        <w:textAlignment w:val="baseline"/>
        <w:rPr>
          <w:rFonts w:asciiTheme="minorEastAsia" w:hAnsiTheme="minorEastAsia" w:eastAsiaTheme="minorEastAsia" w:cstheme="minorEastAsia"/>
          <w:b/>
          <w:color w:val="auto"/>
          <w:szCs w:val="21"/>
          <w:highlight w:val="none"/>
        </w:rPr>
      </w:pPr>
    </w:p>
    <w:p>
      <w:pPr>
        <w:adjustRightInd w:val="0"/>
        <w:spacing w:line="400" w:lineRule="exact"/>
        <w:ind w:firstLine="422" w:firstLineChars="200"/>
        <w:textAlignment w:val="baseline"/>
        <w:rPr>
          <w:rFonts w:asciiTheme="minorEastAsia" w:hAnsiTheme="minorEastAsia" w:eastAsiaTheme="minorEastAsia" w:cstheme="minorEastAsia"/>
          <w:b/>
          <w:color w:val="auto"/>
          <w:szCs w:val="21"/>
          <w:highlight w:val="none"/>
        </w:rPr>
      </w:pPr>
    </w:p>
    <w:p>
      <w:pPr>
        <w:adjustRightInd w:val="0"/>
        <w:spacing w:line="400" w:lineRule="exact"/>
        <w:ind w:firstLine="422" w:firstLineChars="200"/>
        <w:textAlignment w:val="baseline"/>
        <w:rPr>
          <w:rFonts w:asciiTheme="minorEastAsia" w:hAnsiTheme="minorEastAsia" w:eastAsiaTheme="minorEastAsia" w:cstheme="minorEastAsia"/>
          <w:b/>
          <w:color w:val="auto"/>
          <w:szCs w:val="21"/>
          <w:highlight w:val="none"/>
        </w:rPr>
      </w:pPr>
    </w:p>
    <w:p>
      <w:pPr>
        <w:adjustRightInd w:val="0"/>
        <w:spacing w:line="400" w:lineRule="exact"/>
        <w:ind w:firstLine="422" w:firstLineChars="200"/>
        <w:textAlignment w:val="baseline"/>
        <w:rPr>
          <w:rFonts w:asciiTheme="minorEastAsia" w:hAnsiTheme="minorEastAsia" w:eastAsiaTheme="minorEastAsia" w:cstheme="minorEastAsia"/>
          <w:b/>
          <w:color w:val="auto"/>
          <w:szCs w:val="21"/>
          <w:highlight w:val="none"/>
        </w:rPr>
      </w:pPr>
    </w:p>
    <w:p>
      <w:pPr>
        <w:adjustRightInd w:val="0"/>
        <w:spacing w:line="400" w:lineRule="exact"/>
        <w:ind w:firstLine="422" w:firstLineChars="200"/>
        <w:textAlignment w:val="baseline"/>
        <w:rPr>
          <w:rFonts w:asciiTheme="minorEastAsia" w:hAnsiTheme="minorEastAsia" w:eastAsiaTheme="minorEastAsia" w:cstheme="minorEastAsia"/>
          <w:b/>
          <w:color w:val="auto"/>
          <w:szCs w:val="21"/>
          <w:highlight w:val="none"/>
        </w:rPr>
      </w:pPr>
    </w:p>
    <w:p>
      <w:pPr>
        <w:adjustRightInd w:val="0"/>
        <w:spacing w:line="400" w:lineRule="exact"/>
        <w:ind w:firstLine="422" w:firstLineChars="200"/>
        <w:textAlignment w:val="baseline"/>
        <w:rPr>
          <w:rFonts w:asciiTheme="minorEastAsia" w:hAnsiTheme="minorEastAsia" w:eastAsiaTheme="minorEastAsia" w:cstheme="minorEastAsia"/>
          <w:b/>
          <w:color w:val="auto"/>
          <w:szCs w:val="21"/>
          <w:highlight w:val="none"/>
        </w:rPr>
      </w:pPr>
    </w:p>
    <w:p>
      <w:pPr>
        <w:adjustRightInd w:val="0"/>
        <w:spacing w:line="400" w:lineRule="exact"/>
        <w:ind w:firstLine="422" w:firstLineChars="200"/>
        <w:textAlignment w:val="baseline"/>
        <w:rPr>
          <w:rFonts w:asciiTheme="minorEastAsia" w:hAnsiTheme="minorEastAsia" w:eastAsiaTheme="minorEastAsia" w:cstheme="minorEastAsia"/>
          <w:b/>
          <w:color w:val="auto"/>
          <w:szCs w:val="21"/>
          <w:highlight w:val="none"/>
        </w:rPr>
      </w:pPr>
    </w:p>
    <w:p>
      <w:pPr>
        <w:adjustRightInd w:val="0"/>
        <w:spacing w:line="400" w:lineRule="exact"/>
        <w:ind w:firstLine="422" w:firstLineChars="200"/>
        <w:textAlignment w:val="baseline"/>
        <w:rPr>
          <w:rFonts w:asciiTheme="minorEastAsia" w:hAnsiTheme="minorEastAsia" w:eastAsiaTheme="minorEastAsia" w:cstheme="minorEastAsia"/>
          <w:b/>
          <w:color w:val="auto"/>
          <w:szCs w:val="21"/>
          <w:highlight w:val="none"/>
        </w:rPr>
      </w:pPr>
    </w:p>
    <w:p>
      <w:pPr>
        <w:adjustRightInd w:val="0"/>
        <w:spacing w:line="400" w:lineRule="exact"/>
        <w:ind w:firstLine="422" w:firstLineChars="200"/>
        <w:textAlignment w:val="baseline"/>
        <w:rPr>
          <w:rFonts w:asciiTheme="minorEastAsia" w:hAnsiTheme="minorEastAsia" w:eastAsiaTheme="minorEastAsia" w:cstheme="minorEastAsia"/>
          <w:b/>
          <w:color w:val="auto"/>
          <w:szCs w:val="21"/>
          <w:highlight w:val="none"/>
        </w:rPr>
      </w:pPr>
    </w:p>
    <w:p>
      <w:pPr>
        <w:adjustRightInd w:val="0"/>
        <w:spacing w:line="400" w:lineRule="exact"/>
        <w:ind w:firstLine="422" w:firstLineChars="200"/>
        <w:textAlignment w:val="baseline"/>
        <w:rPr>
          <w:rFonts w:asciiTheme="minorEastAsia" w:hAnsiTheme="minorEastAsia" w:eastAsiaTheme="minorEastAsia" w:cstheme="minorEastAsia"/>
          <w:b/>
          <w:color w:val="auto"/>
          <w:szCs w:val="21"/>
          <w:highlight w:val="none"/>
        </w:rPr>
      </w:pPr>
    </w:p>
    <w:p>
      <w:pPr>
        <w:adjustRightInd w:val="0"/>
        <w:spacing w:line="400" w:lineRule="exact"/>
        <w:ind w:firstLine="422" w:firstLineChars="200"/>
        <w:textAlignment w:val="baseline"/>
        <w:rPr>
          <w:rFonts w:asciiTheme="minorEastAsia" w:hAnsiTheme="minorEastAsia" w:eastAsiaTheme="minorEastAsia" w:cstheme="minorEastAsia"/>
          <w:b/>
          <w:color w:val="auto"/>
          <w:szCs w:val="21"/>
          <w:highlight w:val="none"/>
        </w:rPr>
      </w:pPr>
    </w:p>
    <w:p>
      <w:pPr>
        <w:adjustRightInd w:val="0"/>
        <w:spacing w:line="400" w:lineRule="exact"/>
        <w:ind w:firstLine="422" w:firstLineChars="200"/>
        <w:textAlignment w:val="baseline"/>
        <w:rPr>
          <w:rFonts w:asciiTheme="minorEastAsia" w:hAnsiTheme="minorEastAsia" w:eastAsiaTheme="minorEastAsia" w:cstheme="minorEastAsia"/>
          <w:b/>
          <w:color w:val="auto"/>
          <w:szCs w:val="21"/>
          <w:highlight w:val="none"/>
        </w:rPr>
      </w:pPr>
    </w:p>
    <w:p>
      <w:pPr>
        <w:adjustRightInd w:val="0"/>
        <w:spacing w:line="400" w:lineRule="exact"/>
        <w:ind w:firstLine="422" w:firstLineChars="200"/>
        <w:textAlignment w:val="baseline"/>
        <w:rPr>
          <w:rFonts w:asciiTheme="minorEastAsia" w:hAnsiTheme="minorEastAsia" w:eastAsiaTheme="minorEastAsia" w:cstheme="minorEastAsia"/>
          <w:b/>
          <w:color w:val="auto"/>
          <w:szCs w:val="21"/>
          <w:highlight w:val="none"/>
        </w:rPr>
      </w:pPr>
    </w:p>
    <w:p>
      <w:pPr>
        <w:adjustRightInd w:val="0"/>
        <w:spacing w:line="400" w:lineRule="exact"/>
        <w:ind w:firstLine="422" w:firstLineChars="200"/>
        <w:textAlignment w:val="baseline"/>
        <w:rPr>
          <w:rFonts w:asciiTheme="minorEastAsia" w:hAnsiTheme="minorEastAsia" w:eastAsiaTheme="minorEastAsia" w:cstheme="minorEastAsia"/>
          <w:b/>
          <w:color w:val="auto"/>
          <w:szCs w:val="21"/>
          <w:highlight w:val="none"/>
        </w:rPr>
      </w:pPr>
    </w:p>
    <w:p>
      <w:pPr>
        <w:pStyle w:val="2"/>
        <w:rPr>
          <w:color w:val="auto"/>
          <w:highlight w:val="none"/>
        </w:rPr>
      </w:pPr>
    </w:p>
    <w:p>
      <w:pPr>
        <w:pStyle w:val="2"/>
        <w:ind w:firstLine="420"/>
        <w:rPr>
          <w:color w:val="auto"/>
          <w:highlight w:val="none"/>
        </w:rPr>
      </w:pPr>
    </w:p>
    <w:p>
      <w:pPr>
        <w:pStyle w:val="2"/>
        <w:ind w:firstLine="420"/>
        <w:rPr>
          <w:color w:val="auto"/>
          <w:highlight w:val="none"/>
        </w:rPr>
      </w:pPr>
    </w:p>
    <w:p>
      <w:pPr>
        <w:pStyle w:val="2"/>
        <w:ind w:firstLine="420"/>
        <w:rPr>
          <w:color w:val="auto"/>
          <w:highlight w:val="none"/>
        </w:rPr>
      </w:pPr>
    </w:p>
    <w:p>
      <w:pPr>
        <w:pStyle w:val="2"/>
        <w:ind w:firstLine="420"/>
        <w:rPr>
          <w:color w:val="auto"/>
          <w:highlight w:val="none"/>
        </w:rPr>
      </w:pPr>
    </w:p>
    <w:p>
      <w:pPr>
        <w:pStyle w:val="2"/>
        <w:ind w:firstLine="420"/>
        <w:rPr>
          <w:color w:val="auto"/>
          <w:highlight w:val="none"/>
        </w:rPr>
      </w:pPr>
    </w:p>
    <w:p>
      <w:pPr>
        <w:pStyle w:val="2"/>
        <w:ind w:firstLine="420"/>
        <w:rPr>
          <w:color w:val="auto"/>
          <w:highlight w:val="none"/>
        </w:rPr>
      </w:pPr>
    </w:p>
    <w:p>
      <w:pPr>
        <w:pStyle w:val="2"/>
        <w:ind w:firstLine="420"/>
        <w:rPr>
          <w:color w:val="auto"/>
          <w:highlight w:val="none"/>
        </w:rPr>
      </w:pPr>
    </w:p>
    <w:p>
      <w:pPr>
        <w:pStyle w:val="2"/>
        <w:ind w:firstLine="420"/>
        <w:rPr>
          <w:color w:val="auto"/>
          <w:highlight w:val="none"/>
        </w:rPr>
      </w:pPr>
    </w:p>
    <w:p>
      <w:pPr>
        <w:pStyle w:val="2"/>
        <w:ind w:firstLine="420"/>
        <w:rPr>
          <w:color w:val="auto"/>
          <w:highlight w:val="none"/>
        </w:rPr>
      </w:pPr>
    </w:p>
    <w:p>
      <w:pPr>
        <w:pStyle w:val="2"/>
        <w:ind w:firstLine="360"/>
        <w:rPr>
          <w:color w:val="auto"/>
          <w:highlight w:val="none"/>
        </w:rPr>
      </w:pPr>
    </w:p>
    <w:p>
      <w:pPr>
        <w:adjustRightInd w:val="0"/>
        <w:spacing w:line="400" w:lineRule="exact"/>
        <w:ind w:firstLine="422" w:firstLineChars="200"/>
        <w:textAlignment w:val="baseline"/>
        <w:rPr>
          <w:rFonts w:asciiTheme="minorEastAsia" w:hAnsiTheme="minorEastAsia" w:eastAsiaTheme="minorEastAsia" w:cstheme="minorEastAsia"/>
          <w:b/>
          <w:color w:val="auto"/>
          <w:szCs w:val="21"/>
          <w:highlight w:val="none"/>
        </w:rPr>
      </w:pPr>
    </w:p>
    <w:p>
      <w:pPr>
        <w:pStyle w:val="2"/>
        <w:rPr>
          <w:color w:val="auto"/>
          <w:highlight w:val="none"/>
        </w:rPr>
      </w:pPr>
    </w:p>
    <w:p>
      <w:pPr>
        <w:adjustRightInd w:val="0"/>
        <w:spacing w:line="400" w:lineRule="exact"/>
        <w:ind w:firstLine="422" w:firstLineChars="200"/>
        <w:textAlignment w:val="baseline"/>
        <w:rPr>
          <w:rFonts w:asciiTheme="minorEastAsia" w:hAnsiTheme="minorEastAsia" w:eastAsiaTheme="minorEastAsia" w:cstheme="minorEastAsia"/>
          <w:b/>
          <w:color w:val="auto"/>
          <w:szCs w:val="21"/>
          <w:highlight w:val="none"/>
        </w:rPr>
      </w:pPr>
    </w:p>
    <w:p>
      <w:pPr>
        <w:adjustRightInd w:val="0"/>
        <w:spacing w:line="400" w:lineRule="exact"/>
        <w:ind w:firstLine="422" w:firstLineChars="200"/>
        <w:textAlignment w:val="baseline"/>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附件二、合同的补充条款（合同正文和其他附件未包括的内容）</w:t>
      </w:r>
    </w:p>
    <w:p>
      <w:pPr>
        <w:adjustRightInd w:val="0"/>
        <w:spacing w:line="400" w:lineRule="exact"/>
        <w:ind w:firstLine="422" w:firstLineChars="200"/>
        <w:textAlignment w:val="baseline"/>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一、合同的其他组成文件：</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1.《桂林市老城区路灯节能改造项目——LED节能改造明细表》；</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2.《桂林市老城区路灯节能改造项目——设施安全整改明细表》。</w:t>
      </w:r>
    </w:p>
    <w:p>
      <w:pPr>
        <w:adjustRightInd w:val="0"/>
        <w:spacing w:line="400" w:lineRule="exact"/>
        <w:textAlignment w:val="baseline"/>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二、合同解释顺序</w:t>
      </w:r>
      <w:r>
        <w:rPr>
          <w:rFonts w:hint="eastAsia" w:asciiTheme="minorEastAsia" w:hAnsiTheme="minorEastAsia" w:eastAsiaTheme="minorEastAsia" w:cstheme="minorEastAsia"/>
          <w:color w:val="auto"/>
          <w:szCs w:val="21"/>
          <w:highlight w:val="none"/>
        </w:rPr>
        <w:t>（解释效力从大到小）：</w:t>
      </w:r>
    </w:p>
    <w:p>
      <w:pPr>
        <w:adjustRightInd w:val="0"/>
        <w:spacing w:line="400" w:lineRule="exact"/>
        <w:ind w:firstLine="420" w:firstLineChars="200"/>
        <w:textAlignment w:val="baseline"/>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1.本合同的正文和其他附件，</w:t>
      </w:r>
    </w:p>
    <w:p>
      <w:pPr>
        <w:adjustRightInd w:val="0"/>
        <w:spacing w:line="400" w:lineRule="exact"/>
        <w:ind w:firstLine="420" w:firstLineChars="200"/>
        <w:textAlignment w:val="baseline"/>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2.本项目的《中标通知书》，</w:t>
      </w:r>
    </w:p>
    <w:p>
      <w:pPr>
        <w:adjustRightInd w:val="0"/>
        <w:spacing w:line="400" w:lineRule="exact"/>
        <w:ind w:firstLine="420" w:firstLineChars="200"/>
        <w:textAlignment w:val="baseline"/>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3.本项目的《招标文件》，</w:t>
      </w:r>
    </w:p>
    <w:p>
      <w:pPr>
        <w:adjustRightInd w:val="0"/>
        <w:spacing w:line="400" w:lineRule="exact"/>
        <w:ind w:firstLine="420" w:firstLineChars="200"/>
        <w:textAlignment w:val="baseline"/>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4.中标人的《投标文件》，</w:t>
      </w:r>
    </w:p>
    <w:p>
      <w:pPr>
        <w:adjustRightInd w:val="0"/>
        <w:spacing w:line="400" w:lineRule="exact"/>
        <w:ind w:firstLine="420" w:firstLineChars="200"/>
        <w:textAlignment w:val="baseline"/>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zCs w:val="21"/>
          <w:highlight w:val="none"/>
        </w:rPr>
        <w:t>5.本项目的其他相关文件。</w:t>
      </w:r>
    </w:p>
    <w:p>
      <w:pPr>
        <w:adjustRightInd w:val="0"/>
        <w:spacing w:line="400" w:lineRule="exact"/>
        <w:textAlignment w:val="baseline"/>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三、其他约定</w:t>
      </w:r>
    </w:p>
    <w:p>
      <w:pPr>
        <w:spacing w:line="400" w:lineRule="exact"/>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 本次项目实施后，由乙方按照规定向有关部门办理本项目补贴、税收优惠申请手续，甲方为乙方提供必要的协助。</w:t>
      </w:r>
    </w:p>
    <w:p>
      <w:pPr>
        <w:pStyle w:val="7"/>
        <w:spacing w:line="400" w:lineRule="exact"/>
        <w:ind w:firstLine="407" w:firstLineChars="194"/>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 若乙方所投货物零部件或制作材料的原产地为中华人民共和国以外地区，乙方应负责相关的进口关税、增值税和进口许可证。一切境外及进口事宜与本项目无关，中标人不得以本项目中标通知书办理进口批文。</w:t>
      </w:r>
    </w:p>
    <w:p>
      <w:pPr>
        <w:spacing w:line="400" w:lineRule="exact"/>
        <w:ind w:firstLine="420" w:firstLineChars="200"/>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Cs w:val="21"/>
          <w:highlight w:val="none"/>
        </w:rPr>
        <w:t>3.本附件的内容与合同其他内容不一致的，以本附件为准</w:t>
      </w:r>
      <w:r>
        <w:rPr>
          <w:rFonts w:hint="eastAsia" w:asciiTheme="minorEastAsia" w:hAnsiTheme="minorEastAsia" w:eastAsiaTheme="minorEastAsia" w:cstheme="minorEastAsia"/>
          <w:color w:val="auto"/>
          <w:szCs w:val="21"/>
          <w:highlight w:val="none"/>
          <w:lang w:eastAsia="zh-CN"/>
        </w:rPr>
        <w:t>。</w:t>
      </w:r>
    </w:p>
    <w:p>
      <w:pPr>
        <w:spacing w:line="400" w:lineRule="exact"/>
        <w:ind w:firstLine="420" w:firstLineChars="200"/>
        <w:rPr>
          <w:highlight w:val="none"/>
        </w:rPr>
        <w:sectPr>
          <w:footerReference r:id="rId4" w:type="default"/>
          <w:pgSz w:w="11910" w:h="16840"/>
          <w:pgMar w:top="1418" w:right="1418" w:bottom="1090" w:left="1588" w:header="856" w:footer="850" w:gutter="0"/>
          <w:pgBorders>
            <w:top w:val="none" w:sz="0" w:space="0"/>
            <w:left w:val="none" w:sz="0" w:space="0"/>
            <w:bottom w:val="none" w:sz="0" w:space="0"/>
            <w:right w:val="none" w:sz="0" w:space="0"/>
          </w:pgBorders>
          <w:cols w:space="720" w:num="1"/>
          <w:docGrid w:linePitch="299" w:charSpace="0"/>
        </w:sectPr>
      </w:pPr>
      <w:r>
        <w:rPr>
          <w:rFonts w:hint="eastAsia" w:asciiTheme="minorEastAsia" w:hAnsiTheme="minorEastAsia" w:eastAsiaTheme="minorEastAsia" w:cstheme="minorEastAsia"/>
          <w:szCs w:val="21"/>
          <w:highlight w:val="none"/>
          <w:lang w:eastAsia="zh-CN"/>
        </w:rPr>
        <w:t>。</w:t>
      </w:r>
    </w:p>
    <w:p>
      <w:pPr>
        <w:pStyle w:val="3"/>
        <w:spacing w:before="0" w:after="0" w:line="360" w:lineRule="exact"/>
        <w:jc w:val="center"/>
        <w:rPr>
          <w:rFonts w:hint="eastAsia" w:ascii="宋体" w:hAnsi="宋体"/>
          <w:b w:val="0"/>
          <w:sz w:val="32"/>
          <w:szCs w:val="32"/>
          <w:highlight w:val="none"/>
          <w:lang w:eastAsia="zh-CN"/>
        </w:rPr>
      </w:pPr>
      <w:bookmarkStart w:id="50" w:name="_Toc17383615"/>
      <w:bookmarkStart w:id="51" w:name="_Toc12971"/>
      <w:r>
        <w:rPr>
          <w:rFonts w:hint="eastAsia"/>
          <w:sz w:val="32"/>
          <w:szCs w:val="32"/>
          <w:highlight w:val="none"/>
        </w:rPr>
        <w:t>第六章 投标文件格式</w:t>
      </w:r>
      <w:bookmarkEnd w:id="50"/>
      <w:bookmarkEnd w:id="51"/>
    </w:p>
    <w:p>
      <w:pPr>
        <w:rPr>
          <w:b/>
          <w:bCs/>
          <w:color w:val="000000"/>
          <w:sz w:val="30"/>
          <w:szCs w:val="30"/>
          <w:highlight w:val="none"/>
        </w:rPr>
      </w:pPr>
      <w:bookmarkStart w:id="52" w:name="_Toc478137727"/>
      <w:bookmarkStart w:id="53" w:name="_Toc498627082"/>
      <w:bookmarkStart w:id="54" w:name="_Toc498698226"/>
      <w:bookmarkStart w:id="55" w:name="_Toc486695806"/>
      <w:bookmarkStart w:id="56" w:name="_Toc486867150"/>
      <w:bookmarkStart w:id="57" w:name="_Toc31410"/>
      <w:bookmarkStart w:id="58" w:name="_Toc1762"/>
      <w:r>
        <w:rPr>
          <w:rFonts w:hint="eastAsia"/>
          <w:b/>
          <w:bCs/>
          <w:color w:val="000000"/>
          <w:sz w:val="30"/>
          <w:szCs w:val="30"/>
          <w:highlight w:val="none"/>
        </w:rPr>
        <w:t>投标文件封面格式</w:t>
      </w:r>
      <w:bookmarkEnd w:id="52"/>
      <w:bookmarkEnd w:id="53"/>
      <w:bookmarkEnd w:id="54"/>
      <w:bookmarkEnd w:id="55"/>
      <w:bookmarkEnd w:id="56"/>
      <w:r>
        <w:rPr>
          <w:rFonts w:hint="eastAsia"/>
          <w:b/>
          <w:bCs/>
          <w:color w:val="000000"/>
          <w:sz w:val="30"/>
          <w:szCs w:val="30"/>
          <w:highlight w:val="none"/>
        </w:rPr>
        <w:t>：</w:t>
      </w:r>
      <w:bookmarkEnd w:id="57"/>
      <w:bookmarkEnd w:id="58"/>
    </w:p>
    <w:p>
      <w:pPr>
        <w:adjustRightInd w:val="0"/>
        <w:snapToGrid w:val="0"/>
        <w:jc w:val="right"/>
        <w:rPr>
          <w:rFonts w:hint="eastAsia" w:ascii="宋体" w:hAnsi="宋体" w:cs="宋体"/>
          <w:b/>
          <w:color w:val="000000"/>
          <w:sz w:val="32"/>
          <w:szCs w:val="32"/>
          <w:highlight w:val="none"/>
        </w:rPr>
      </w:pPr>
    </w:p>
    <w:p>
      <w:pPr>
        <w:adjustRightInd w:val="0"/>
        <w:snapToGrid w:val="0"/>
        <w:rPr>
          <w:rFonts w:ascii="宋体" w:hAnsi="宋体" w:cs="宋体"/>
          <w:b/>
          <w:color w:val="000000"/>
          <w:sz w:val="44"/>
          <w:szCs w:val="44"/>
          <w:highlight w:val="none"/>
        </w:rPr>
      </w:pPr>
    </w:p>
    <w:p>
      <w:pPr>
        <w:adjustRightInd w:val="0"/>
        <w:snapToGrid w:val="0"/>
        <w:jc w:val="center"/>
        <w:rPr>
          <w:rFonts w:ascii="宋体" w:hAnsi="宋体" w:cs="宋体"/>
          <w:b/>
          <w:color w:val="000000"/>
          <w:sz w:val="44"/>
          <w:szCs w:val="44"/>
          <w:highlight w:val="none"/>
        </w:rPr>
      </w:pPr>
      <w:bookmarkStart w:id="59" w:name="_Toc3441_WPSOffice_Level1"/>
      <w:bookmarkStart w:id="60" w:name="_Toc13659_WPSOffice_Level1"/>
      <w:r>
        <w:rPr>
          <w:rFonts w:hint="eastAsia" w:ascii="宋体" w:hAnsi="宋体" w:cs="宋体"/>
          <w:bCs/>
          <w:color w:val="000000"/>
          <w:sz w:val="72"/>
          <w:szCs w:val="72"/>
          <w:highlight w:val="none"/>
        </w:rPr>
        <w:t>投标文件</w:t>
      </w:r>
      <w:bookmarkEnd w:id="59"/>
      <w:bookmarkEnd w:id="60"/>
    </w:p>
    <w:p>
      <w:pPr>
        <w:adjustRightInd w:val="0"/>
        <w:snapToGrid w:val="0"/>
        <w:rPr>
          <w:rFonts w:ascii="宋体" w:hAnsi="宋体" w:cs="宋体"/>
          <w:b/>
          <w:color w:val="000000"/>
          <w:sz w:val="44"/>
          <w:szCs w:val="44"/>
          <w:highlight w:val="none"/>
        </w:rPr>
      </w:pPr>
    </w:p>
    <w:p>
      <w:pPr>
        <w:adjustRightInd w:val="0"/>
        <w:snapToGrid w:val="0"/>
        <w:rPr>
          <w:rFonts w:ascii="宋体" w:hAnsi="宋体" w:cs="宋体"/>
          <w:b/>
          <w:color w:val="000000"/>
          <w:sz w:val="44"/>
          <w:szCs w:val="44"/>
          <w:highlight w:val="none"/>
        </w:rPr>
      </w:pPr>
    </w:p>
    <w:p>
      <w:pPr>
        <w:pStyle w:val="31"/>
        <w:ind w:firstLine="883"/>
        <w:rPr>
          <w:rFonts w:ascii="宋体" w:hAnsi="宋体" w:cs="宋体"/>
          <w:b/>
          <w:color w:val="000000"/>
          <w:sz w:val="44"/>
          <w:szCs w:val="44"/>
          <w:highlight w:val="none"/>
        </w:rPr>
      </w:pPr>
    </w:p>
    <w:p>
      <w:pPr>
        <w:jc w:val="center"/>
        <w:rPr>
          <w:rFonts w:hint="eastAsia" w:ascii="宋体" w:hAnsi="宋体" w:eastAsia="宋体" w:cs="宋体"/>
          <w:color w:val="000000"/>
          <w:sz w:val="30"/>
          <w:szCs w:val="30"/>
          <w:highlight w:val="none"/>
          <w:lang w:eastAsia="zh-CN"/>
        </w:rPr>
      </w:pPr>
      <w:r>
        <w:rPr>
          <w:rFonts w:hint="eastAsia" w:ascii="宋体" w:hAnsi="宋体" w:cs="宋体"/>
          <w:bCs/>
          <w:color w:val="000000"/>
          <w:sz w:val="30"/>
          <w:szCs w:val="30"/>
          <w:highlight w:val="none"/>
        </w:rPr>
        <w:t>项目名称：</w:t>
      </w:r>
      <w:r>
        <w:rPr>
          <w:rFonts w:hint="eastAsia" w:ascii="宋体" w:hAnsi="宋体" w:cs="宋体"/>
          <w:bCs/>
          <w:color w:val="000000"/>
          <w:sz w:val="30"/>
          <w:szCs w:val="30"/>
          <w:highlight w:val="none"/>
          <w:u w:val="single"/>
          <w:lang w:eastAsia="zh-CN"/>
        </w:rPr>
        <w:t>桂林市老城区路灯节能改造项目</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bCs/>
          <w:color w:val="000000"/>
          <w:sz w:val="30"/>
          <w:szCs w:val="30"/>
          <w:highlight w:val="none"/>
          <w:u w:val="single"/>
          <w:lang w:val="en-US" w:eastAsia="zh-CN"/>
        </w:rPr>
      </w:pPr>
      <w:r>
        <w:rPr>
          <w:rFonts w:hint="eastAsia" w:ascii="宋体" w:hAnsi="宋体" w:cs="宋体"/>
          <w:bCs/>
          <w:color w:val="000000"/>
          <w:sz w:val="30"/>
          <w:szCs w:val="30"/>
          <w:highlight w:val="none"/>
        </w:rPr>
        <w:t>项目编号：</w:t>
      </w:r>
      <w:r>
        <w:rPr>
          <w:rFonts w:hint="eastAsia" w:ascii="宋体" w:hAnsi="宋体" w:cs="宋体"/>
          <w:bCs/>
          <w:color w:val="000000"/>
          <w:sz w:val="30"/>
          <w:szCs w:val="30"/>
          <w:highlight w:val="none"/>
          <w:u w:val="single"/>
        </w:rPr>
        <w:t>GLZC2024-G3-990433-GXJZ</w:t>
      </w:r>
    </w:p>
    <w:p>
      <w:pPr>
        <w:ind w:firstLine="2400" w:firstLineChars="800"/>
        <w:rPr>
          <w:rFonts w:hint="eastAsia" w:ascii="宋体" w:hAnsi="宋体" w:cs="宋体"/>
          <w:bCs/>
          <w:color w:val="000000"/>
          <w:sz w:val="30"/>
          <w:szCs w:val="30"/>
          <w:highlight w:val="none"/>
          <w:u w:val="single"/>
        </w:rPr>
      </w:pPr>
    </w:p>
    <w:p>
      <w:pPr>
        <w:ind w:firstLine="741" w:firstLineChars="353"/>
        <w:rPr>
          <w:rFonts w:ascii="宋体" w:hAnsi="宋体" w:cs="宋体"/>
          <w:color w:val="000000"/>
          <w:highlight w:val="none"/>
        </w:rPr>
      </w:pPr>
    </w:p>
    <w:p>
      <w:pPr>
        <w:snapToGrid w:val="0"/>
        <w:spacing w:before="156" w:beforeLines="50" w:after="50"/>
        <w:ind w:firstLine="1260" w:firstLineChars="450"/>
        <w:rPr>
          <w:rFonts w:ascii="宋体" w:hAnsi="宋体" w:cs="宋体"/>
          <w:bCs/>
          <w:color w:val="000000"/>
          <w:sz w:val="28"/>
          <w:szCs w:val="28"/>
          <w:highlight w:val="none"/>
        </w:rPr>
      </w:pPr>
    </w:p>
    <w:p>
      <w:pPr>
        <w:pStyle w:val="31"/>
        <w:ind w:firstLine="420"/>
        <w:rPr>
          <w:color w:val="000000"/>
          <w:highlight w:val="none"/>
        </w:rPr>
      </w:pPr>
    </w:p>
    <w:p>
      <w:pPr>
        <w:pStyle w:val="22"/>
        <w:rPr>
          <w:color w:val="000000"/>
          <w:highlight w:val="none"/>
        </w:rPr>
      </w:pPr>
    </w:p>
    <w:p>
      <w:pPr>
        <w:snapToGrid w:val="0"/>
        <w:spacing w:before="156" w:beforeLines="50" w:after="50"/>
        <w:ind w:firstLine="1260" w:firstLineChars="450"/>
        <w:rPr>
          <w:rFonts w:ascii="宋体" w:hAnsi="宋体" w:cs="宋体"/>
          <w:bCs/>
          <w:color w:val="000000"/>
          <w:sz w:val="28"/>
          <w:szCs w:val="28"/>
          <w:highlight w:val="none"/>
        </w:rPr>
      </w:pPr>
    </w:p>
    <w:p>
      <w:pPr>
        <w:snapToGrid w:val="0"/>
        <w:spacing w:before="156" w:beforeLines="50" w:after="50"/>
        <w:ind w:firstLine="1260" w:firstLineChars="450"/>
        <w:rPr>
          <w:rFonts w:ascii="宋体" w:hAnsi="宋体" w:cs="宋体"/>
          <w:bCs/>
          <w:color w:val="000000"/>
          <w:sz w:val="28"/>
          <w:szCs w:val="28"/>
          <w:highlight w:val="none"/>
        </w:rPr>
      </w:pPr>
    </w:p>
    <w:p>
      <w:pPr>
        <w:ind w:firstLine="964" w:firstLineChars="300"/>
        <w:jc w:val="left"/>
        <w:rPr>
          <w:rFonts w:ascii="宋体" w:hAnsi="宋体" w:cs="宋体"/>
          <w:b/>
          <w:color w:val="000000"/>
          <w:sz w:val="32"/>
          <w:szCs w:val="32"/>
          <w:highlight w:val="none"/>
        </w:rPr>
      </w:pPr>
    </w:p>
    <w:p>
      <w:pPr>
        <w:pStyle w:val="10"/>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bCs/>
          <w:color w:val="000000"/>
          <w:sz w:val="28"/>
          <w:szCs w:val="28"/>
          <w:highlight w:val="none"/>
          <w:u w:val="single"/>
        </w:rPr>
      </w:pPr>
      <w:r>
        <w:rPr>
          <w:rFonts w:ascii="宋体" w:hAnsi="宋体" w:cs="宋体"/>
          <w:bCs/>
          <w:color w:val="000000"/>
          <w:sz w:val="28"/>
          <w:szCs w:val="28"/>
          <w:highlight w:val="none"/>
          <w:u w:val="none"/>
        </w:rPr>
        <w:t>采购人：</w:t>
      </w:r>
      <w:r>
        <w:rPr>
          <w:rFonts w:hint="eastAsia" w:ascii="宋体" w:hAnsi="宋体" w:cs="宋体"/>
          <w:bCs/>
          <w:color w:val="000000"/>
          <w:sz w:val="28"/>
          <w:szCs w:val="28"/>
          <w:highlight w:val="none"/>
          <w:u w:val="single"/>
          <w:lang w:eastAsia="zh-CN"/>
        </w:rPr>
        <w:t>桂林市城市照明管理处</w:t>
      </w:r>
    </w:p>
    <w:p>
      <w:pPr>
        <w:pStyle w:val="10"/>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bCs/>
          <w:color w:val="000000"/>
          <w:sz w:val="28"/>
          <w:szCs w:val="28"/>
          <w:highlight w:val="none"/>
          <w:u w:val="single"/>
        </w:rPr>
      </w:pPr>
      <w:r>
        <w:rPr>
          <w:rFonts w:ascii="宋体" w:hAnsi="宋体" w:cs="宋体"/>
          <w:bCs/>
          <w:color w:val="000000"/>
          <w:sz w:val="28"/>
          <w:szCs w:val="28"/>
          <w:highlight w:val="none"/>
          <w:u w:val="none"/>
        </w:rPr>
        <w:t>采购代理机构：</w:t>
      </w:r>
      <w:r>
        <w:rPr>
          <w:rFonts w:ascii="宋体" w:hAnsi="宋体" w:cs="宋体"/>
          <w:bCs/>
          <w:color w:val="000000"/>
          <w:sz w:val="28"/>
          <w:szCs w:val="28"/>
          <w:highlight w:val="none"/>
          <w:u w:val="single"/>
        </w:rPr>
        <w:t>广西江之源项目管理有限公司</w:t>
      </w:r>
    </w:p>
    <w:p>
      <w:pPr>
        <w:pStyle w:val="10"/>
        <w:ind w:left="980" w:hanging="560" w:hangingChars="200"/>
        <w:rPr>
          <w:rFonts w:ascii="宋体" w:hAnsi="宋体" w:cs="宋体"/>
          <w:bCs/>
          <w:color w:val="000000"/>
          <w:sz w:val="28"/>
          <w:szCs w:val="28"/>
          <w:highlight w:val="none"/>
        </w:rPr>
      </w:pPr>
      <w:bookmarkStart w:id="61" w:name="_Toc20319_WPSOffice_Level2"/>
      <w:bookmarkStart w:id="62" w:name="_Toc4932_WPSOffice_Level2"/>
      <w:r>
        <w:rPr>
          <w:rFonts w:hint="eastAsia" w:ascii="宋体" w:hAnsi="宋体" w:cs="宋体"/>
          <w:bCs/>
          <w:color w:val="000000"/>
          <w:sz w:val="28"/>
          <w:szCs w:val="28"/>
          <w:highlight w:val="none"/>
        </w:rPr>
        <w:t>投标人</w:t>
      </w:r>
      <w:r>
        <w:rPr>
          <w:rFonts w:hint="eastAsia" w:ascii="宋体" w:hAnsi="宋体" w:cs="宋体"/>
          <w:bCs/>
          <w:sz w:val="28"/>
          <w:szCs w:val="28"/>
          <w:highlight w:val="none"/>
        </w:rPr>
        <w:t>[公章(CA签章)、自然人除外]</w:t>
      </w:r>
      <w:r>
        <w:rPr>
          <w:rFonts w:hint="eastAsia" w:ascii="宋体" w:hAnsi="宋体" w:cs="宋体"/>
          <w:bCs/>
          <w:color w:val="000000"/>
          <w:sz w:val="28"/>
          <w:szCs w:val="28"/>
          <w:highlight w:val="none"/>
        </w:rPr>
        <w:t>：</w:t>
      </w:r>
      <w:r>
        <w:rPr>
          <w:rFonts w:hint="eastAsia" w:ascii="宋体" w:hAnsi="宋体" w:cs="宋体"/>
          <w:bCs/>
          <w:color w:val="000000"/>
          <w:sz w:val="28"/>
          <w:szCs w:val="28"/>
          <w:highlight w:val="none"/>
          <w:u w:val="single"/>
        </w:rPr>
        <w:t xml:space="preserve">                   </w:t>
      </w:r>
      <w:r>
        <w:rPr>
          <w:rFonts w:hint="eastAsia" w:ascii="宋体" w:hAnsi="宋体" w:cs="宋体"/>
          <w:bCs/>
          <w:color w:val="000000"/>
          <w:sz w:val="28"/>
          <w:szCs w:val="28"/>
          <w:highlight w:val="none"/>
          <w:u w:val="single"/>
          <w:lang w:val="en-US" w:eastAsia="zh-CN"/>
        </w:rPr>
        <w:t xml:space="preserve">  </w:t>
      </w:r>
      <w:r>
        <w:rPr>
          <w:rFonts w:hint="eastAsia" w:ascii="宋体" w:hAnsi="宋体" w:cs="宋体"/>
          <w:bCs/>
          <w:color w:val="000000"/>
          <w:sz w:val="28"/>
          <w:szCs w:val="28"/>
          <w:highlight w:val="none"/>
          <w:u w:val="single"/>
        </w:rPr>
        <w:t xml:space="preserve">    </w:t>
      </w:r>
      <w:bookmarkEnd w:id="61"/>
      <w:bookmarkEnd w:id="62"/>
      <w:r>
        <w:rPr>
          <w:rFonts w:hint="eastAsia" w:ascii="宋体" w:hAnsi="宋体" w:cs="宋体"/>
          <w:bCs/>
          <w:color w:val="000000"/>
          <w:sz w:val="28"/>
          <w:szCs w:val="28"/>
          <w:highlight w:val="none"/>
          <w:u w:val="single"/>
        </w:rPr>
        <w:t xml:space="preserve">       </w:t>
      </w:r>
    </w:p>
    <w:p>
      <w:pPr>
        <w:pStyle w:val="12"/>
        <w:spacing w:line="320" w:lineRule="exact"/>
        <w:ind w:firstLine="420"/>
        <w:rPr>
          <w:rFonts w:hAnsi="宋体" w:cs="宋体"/>
          <w:color w:val="000000"/>
          <w:sz w:val="28"/>
          <w:szCs w:val="28"/>
          <w:highlight w:val="none"/>
        </w:rPr>
      </w:pPr>
      <w:bookmarkStart w:id="63" w:name="_Toc11679_WPSOffice_Level2"/>
      <w:bookmarkStart w:id="64" w:name="_Toc4767_WPSOffice_Level2"/>
      <w:r>
        <w:rPr>
          <w:rFonts w:hint="eastAsia" w:hAnsi="宋体" w:cs="宋体"/>
          <w:color w:val="000000"/>
          <w:sz w:val="28"/>
          <w:szCs w:val="28"/>
          <w:highlight w:val="none"/>
        </w:rPr>
        <w:t>法定代表人、负责人、自然人或相应的委托代理人签字[或盖章(CA签章)]</w:t>
      </w:r>
    </w:p>
    <w:p>
      <w:pPr>
        <w:pStyle w:val="10"/>
        <w:ind w:left="980" w:hanging="560" w:hangingChars="200"/>
        <w:rPr>
          <w:rFonts w:ascii="宋体" w:hAnsi="宋体" w:cs="宋体"/>
          <w:color w:val="000000"/>
          <w:sz w:val="28"/>
          <w:szCs w:val="28"/>
          <w:highlight w:val="none"/>
          <w:u w:val="single"/>
        </w:rPr>
      </w:pPr>
      <w:r>
        <w:rPr>
          <w:rFonts w:hint="eastAsia" w:ascii="宋体" w:hAnsi="宋体" w:cs="宋体"/>
          <w:color w:val="000000"/>
          <w:sz w:val="28"/>
          <w:szCs w:val="28"/>
          <w:highlight w:val="none"/>
        </w:rPr>
        <w:t>（属自然人的应在签名处加盖大拇指指印或个人CA签章）：</w:t>
      </w:r>
      <w:r>
        <w:rPr>
          <w:rFonts w:hint="eastAsia" w:ascii="宋体" w:hAnsi="宋体" w:cs="宋体"/>
          <w:color w:val="000000"/>
          <w:sz w:val="28"/>
          <w:szCs w:val="28"/>
          <w:highlight w:val="none"/>
          <w:u w:val="single"/>
        </w:rPr>
        <w:t xml:space="preserve">         </w:t>
      </w:r>
      <w:r>
        <w:rPr>
          <w:rFonts w:hint="eastAsia" w:ascii="宋体" w:hAnsi="宋体" w:cs="宋体"/>
          <w:color w:val="000000"/>
          <w:sz w:val="28"/>
          <w:szCs w:val="28"/>
          <w:highlight w:val="none"/>
          <w:u w:val="single"/>
          <w:lang w:val="en-US" w:eastAsia="zh-CN"/>
        </w:rPr>
        <w:t xml:space="preserve"> </w:t>
      </w:r>
      <w:r>
        <w:rPr>
          <w:rFonts w:hint="eastAsia" w:ascii="宋体" w:hAnsi="宋体" w:cs="宋体"/>
          <w:color w:val="000000"/>
          <w:sz w:val="28"/>
          <w:szCs w:val="28"/>
          <w:highlight w:val="none"/>
          <w:u w:val="single"/>
        </w:rPr>
        <w:t xml:space="preserve">    </w:t>
      </w:r>
      <w:bookmarkEnd w:id="63"/>
      <w:bookmarkEnd w:id="64"/>
      <w:bookmarkStart w:id="65" w:name="_Toc32056_WPSOffice_Level2"/>
      <w:bookmarkStart w:id="66" w:name="_Toc9622_WPSOffice_Level2"/>
    </w:p>
    <w:p>
      <w:pPr>
        <w:pStyle w:val="10"/>
        <w:ind w:left="980" w:hanging="560" w:hangingChars="200"/>
        <w:rPr>
          <w:rFonts w:ascii="宋体" w:hAnsi="宋体" w:cs="宋体"/>
          <w:bCs/>
          <w:color w:val="000000"/>
          <w:sz w:val="28"/>
          <w:szCs w:val="28"/>
          <w:highlight w:val="none"/>
          <w:u w:val="single"/>
        </w:rPr>
      </w:pPr>
      <w:r>
        <w:rPr>
          <w:rFonts w:hint="eastAsia" w:ascii="宋体" w:hAnsi="宋体" w:cs="宋体"/>
          <w:bCs/>
          <w:color w:val="000000"/>
          <w:sz w:val="28"/>
          <w:szCs w:val="28"/>
          <w:highlight w:val="none"/>
        </w:rPr>
        <w:t>联系电话：</w:t>
      </w:r>
      <w:bookmarkEnd w:id="65"/>
      <w:bookmarkEnd w:id="66"/>
      <w:r>
        <w:rPr>
          <w:rFonts w:hint="eastAsia" w:ascii="宋体" w:hAnsi="宋体" w:cs="宋体"/>
          <w:bCs/>
          <w:color w:val="000000"/>
          <w:sz w:val="28"/>
          <w:szCs w:val="28"/>
          <w:highlight w:val="none"/>
          <w:u w:val="single"/>
        </w:rPr>
        <w:t xml:space="preserve">                                                </w:t>
      </w:r>
    </w:p>
    <w:p>
      <w:pPr>
        <w:pStyle w:val="10"/>
        <w:ind w:left="980" w:hanging="560" w:hangingChars="200"/>
        <w:rPr>
          <w:rFonts w:asciiTheme="minorEastAsia" w:hAnsiTheme="minorEastAsia" w:eastAsiaTheme="minorEastAsia" w:cstheme="minorEastAsia"/>
          <w:sz w:val="28"/>
          <w:szCs w:val="28"/>
          <w:highlight w:val="none"/>
        </w:rPr>
      </w:pPr>
      <w:bookmarkStart w:id="67" w:name="_Toc26465_WPSOffice_Level2"/>
      <w:bookmarkStart w:id="68" w:name="_Toc15933_WPSOffice_Level2"/>
      <w:r>
        <w:rPr>
          <w:rFonts w:hint="eastAsia" w:ascii="宋体" w:hAnsi="宋体" w:cs="宋体"/>
          <w:bCs/>
          <w:color w:val="000000"/>
          <w:sz w:val="28"/>
          <w:szCs w:val="28"/>
          <w:highlight w:val="none"/>
        </w:rPr>
        <w:t>日期：</w:t>
      </w:r>
      <w:r>
        <w:rPr>
          <w:rFonts w:hint="eastAsia" w:ascii="宋体" w:hAnsi="宋体" w:cs="宋体"/>
          <w:bCs/>
          <w:color w:val="000000"/>
          <w:sz w:val="28"/>
          <w:szCs w:val="28"/>
          <w:highlight w:val="none"/>
          <w:u w:val="single"/>
        </w:rPr>
        <w:t xml:space="preserve">              </w:t>
      </w:r>
      <w:r>
        <w:rPr>
          <w:rFonts w:hint="eastAsia" w:ascii="宋体" w:hAnsi="宋体" w:cs="宋体"/>
          <w:bCs/>
          <w:color w:val="000000"/>
          <w:sz w:val="28"/>
          <w:szCs w:val="28"/>
          <w:highlight w:val="none"/>
        </w:rPr>
        <w:t>年</w:t>
      </w:r>
      <w:r>
        <w:rPr>
          <w:rFonts w:hint="eastAsia" w:ascii="宋体" w:hAnsi="宋体" w:cs="宋体"/>
          <w:bCs/>
          <w:color w:val="000000"/>
          <w:sz w:val="28"/>
          <w:szCs w:val="28"/>
          <w:highlight w:val="none"/>
          <w:u w:val="single"/>
        </w:rPr>
        <w:t xml:space="preserve">           </w:t>
      </w:r>
      <w:r>
        <w:rPr>
          <w:rFonts w:hint="eastAsia" w:ascii="宋体" w:hAnsi="宋体" w:cs="宋体"/>
          <w:bCs/>
          <w:color w:val="000000"/>
          <w:sz w:val="28"/>
          <w:szCs w:val="28"/>
          <w:highlight w:val="none"/>
        </w:rPr>
        <w:t>月</w:t>
      </w:r>
      <w:r>
        <w:rPr>
          <w:rFonts w:hint="eastAsia" w:ascii="宋体" w:hAnsi="宋体" w:cs="宋体"/>
          <w:bCs/>
          <w:color w:val="000000"/>
          <w:sz w:val="28"/>
          <w:szCs w:val="28"/>
          <w:highlight w:val="none"/>
          <w:u w:val="single"/>
        </w:rPr>
        <w:t xml:space="preserve">           </w:t>
      </w:r>
      <w:r>
        <w:rPr>
          <w:rFonts w:hint="eastAsia" w:ascii="宋体" w:hAnsi="宋体" w:cs="宋体"/>
          <w:bCs/>
          <w:color w:val="000000"/>
          <w:sz w:val="28"/>
          <w:szCs w:val="28"/>
          <w:highlight w:val="none"/>
        </w:rPr>
        <w:t>日</w:t>
      </w:r>
      <w:bookmarkEnd w:id="67"/>
      <w:bookmarkEnd w:id="68"/>
    </w:p>
    <w:p>
      <w:pPr>
        <w:spacing w:line="400" w:lineRule="exact"/>
        <w:jc w:val="center"/>
        <w:rPr>
          <w:rFonts w:hint="eastAsia"/>
          <w:b/>
          <w:sz w:val="32"/>
          <w:szCs w:val="32"/>
          <w:highlight w:val="none"/>
        </w:rPr>
      </w:pPr>
    </w:p>
    <w:p>
      <w:pPr>
        <w:spacing w:line="400" w:lineRule="exact"/>
        <w:jc w:val="center"/>
        <w:rPr>
          <w:rFonts w:hint="eastAsia"/>
          <w:b/>
          <w:sz w:val="32"/>
          <w:szCs w:val="32"/>
          <w:highlight w:val="none"/>
        </w:rPr>
      </w:pPr>
      <w:r>
        <w:rPr>
          <w:rFonts w:hint="eastAsia"/>
          <w:b/>
          <w:sz w:val="32"/>
          <w:szCs w:val="32"/>
          <w:highlight w:val="none"/>
        </w:rPr>
        <w:t>投标文件目录</w:t>
      </w:r>
    </w:p>
    <w:p>
      <w:pPr>
        <w:tabs>
          <w:tab w:val="left" w:pos="1305"/>
        </w:tabs>
        <w:spacing w:line="440" w:lineRule="exact"/>
        <w:ind w:firstLine="482" w:firstLineChars="200"/>
        <w:rPr>
          <w:rFonts w:hint="eastAsia" w:ascii="宋体" w:hAnsi="宋体"/>
          <w:highlight w:val="none"/>
        </w:rPr>
      </w:pPr>
      <w:r>
        <w:rPr>
          <w:rFonts w:hint="eastAsia" w:ascii="宋体" w:hAnsi="宋体"/>
          <w:b/>
          <w:sz w:val="24"/>
          <w:highlight w:val="none"/>
        </w:rPr>
        <w:t>一、资格性响应证明材料目录</w:t>
      </w:r>
    </w:p>
    <w:p>
      <w:pPr>
        <w:tabs>
          <w:tab w:val="left" w:pos="1305"/>
        </w:tabs>
        <w:spacing w:line="440" w:lineRule="exact"/>
        <w:ind w:firstLine="420" w:firstLineChars="200"/>
        <w:rPr>
          <w:rFonts w:hint="eastAsia" w:ascii="宋体" w:hAnsi="宋体"/>
          <w:highlight w:val="none"/>
        </w:rPr>
      </w:pPr>
      <w:r>
        <w:rPr>
          <w:rFonts w:hint="eastAsia" w:ascii="宋体" w:hAnsi="宋体"/>
          <w:highlight w:val="none"/>
          <w:lang w:val="en-US" w:eastAsia="zh-CN"/>
        </w:rPr>
        <w:t>1.</w:t>
      </w:r>
      <w:r>
        <w:rPr>
          <w:rFonts w:hint="eastAsia" w:ascii="宋体" w:hAnsi="宋体"/>
          <w:highlight w:val="none"/>
        </w:rPr>
        <w:t>投标人相应的法定代表人、负责人、自然人身份证正反面复印件（必须提供）；</w:t>
      </w:r>
    </w:p>
    <w:p>
      <w:pPr>
        <w:tabs>
          <w:tab w:val="left" w:pos="1305"/>
        </w:tabs>
        <w:spacing w:line="440" w:lineRule="exact"/>
        <w:ind w:firstLine="420" w:firstLineChars="200"/>
        <w:rPr>
          <w:rFonts w:hint="eastAsia" w:ascii="宋体" w:hAnsi="宋体"/>
          <w:highlight w:val="none"/>
        </w:rPr>
      </w:pPr>
      <w:r>
        <w:rPr>
          <w:rFonts w:hint="eastAsia" w:ascii="宋体" w:hAnsi="宋体"/>
          <w:highlight w:val="none"/>
          <w:lang w:val="en-US" w:eastAsia="zh-CN"/>
        </w:rPr>
        <w:t>2.</w:t>
      </w:r>
      <w:r>
        <w:rPr>
          <w:rFonts w:hint="eastAsia" w:ascii="宋体" w:hAnsi="宋体"/>
          <w:highlight w:val="none"/>
        </w:rPr>
        <w:t>投标人的授权委托书原件、委托代理人身份证正反面复印件以及由县级以上（含县级）社会养老保险经办机构出具的投标人为委托代理人交纳的开标截止时间前三个月内任意一个月养老保险证明复印件，除投标人为以下四种情形的：</w:t>
      </w:r>
    </w:p>
    <w:p>
      <w:pPr>
        <w:tabs>
          <w:tab w:val="left" w:pos="1305"/>
        </w:tabs>
        <w:spacing w:line="440" w:lineRule="exact"/>
        <w:ind w:firstLine="420" w:firstLineChars="200"/>
        <w:rPr>
          <w:rFonts w:hint="eastAsia" w:ascii="宋体" w:hAnsi="宋体"/>
          <w:highlight w:val="none"/>
        </w:rPr>
      </w:pPr>
      <w:r>
        <w:rPr>
          <w:rFonts w:hint="eastAsia" w:ascii="宋体" w:hAnsi="宋体"/>
          <w:highlight w:val="none"/>
        </w:rPr>
        <w:t>①如投标人为截标时间前60日以内成立的公司，可以提供投标人与委托代理人签订的劳动合同复印件代替养老保险证明复印件；</w:t>
      </w:r>
    </w:p>
    <w:p>
      <w:pPr>
        <w:tabs>
          <w:tab w:val="left" w:pos="1305"/>
        </w:tabs>
        <w:spacing w:line="440" w:lineRule="exact"/>
        <w:ind w:firstLine="420" w:firstLineChars="200"/>
        <w:rPr>
          <w:rFonts w:hint="eastAsia" w:ascii="宋体" w:hAnsi="宋体"/>
          <w:highlight w:val="none"/>
        </w:rPr>
      </w:pPr>
      <w:r>
        <w:rPr>
          <w:rFonts w:hint="eastAsia" w:ascii="宋体" w:hAnsi="宋体"/>
          <w:highlight w:val="none"/>
        </w:rPr>
        <w:t>②如投标人为事业单位，可以提供事业单位机构编制管理证复印件或事业单位机构为其发放工资的工资条复印件代替养老保险证明复印件；</w:t>
      </w:r>
    </w:p>
    <w:p>
      <w:pPr>
        <w:tabs>
          <w:tab w:val="left" w:pos="1305"/>
        </w:tabs>
        <w:spacing w:line="440" w:lineRule="exact"/>
        <w:ind w:firstLine="420" w:firstLineChars="200"/>
        <w:rPr>
          <w:rFonts w:hint="eastAsia" w:ascii="宋体" w:hAnsi="宋体"/>
          <w:highlight w:val="none"/>
        </w:rPr>
      </w:pPr>
      <w:r>
        <w:rPr>
          <w:rFonts w:hint="eastAsia" w:ascii="宋体" w:hAnsi="宋体"/>
          <w:highlight w:val="none"/>
        </w:rPr>
        <w:t>③如委托代理人为免缴纳养老保险人员，提供免缴纳养老保险的证明材料复印件及投标人与委托代理人签订的劳动合同复印件代替养老保险证明复印件。</w:t>
      </w:r>
    </w:p>
    <w:p>
      <w:pPr>
        <w:tabs>
          <w:tab w:val="left" w:pos="1305"/>
        </w:tabs>
        <w:spacing w:line="440" w:lineRule="exact"/>
        <w:ind w:firstLine="420" w:firstLineChars="200"/>
        <w:rPr>
          <w:rFonts w:hint="eastAsia" w:ascii="宋体" w:hAnsi="宋体"/>
          <w:highlight w:val="none"/>
        </w:rPr>
      </w:pPr>
      <w:r>
        <w:rPr>
          <w:rFonts w:hint="eastAsia" w:ascii="宋体" w:hAnsi="宋体"/>
          <w:highlight w:val="none"/>
        </w:rPr>
        <w:t>④如因社会养老保险经办机构系统升级等原因，暂时无法向供应商提供社会养老保险缴纳情况查询服务时，供应商可以提供已为委托代理人缴纳社会养老保险的承诺书。（须同时提供无法查询的相关证明材料，包括但不限于查询网站截图、公告等。）</w:t>
      </w:r>
    </w:p>
    <w:p>
      <w:pPr>
        <w:tabs>
          <w:tab w:val="left" w:pos="1305"/>
        </w:tabs>
        <w:spacing w:line="440" w:lineRule="exact"/>
        <w:ind w:firstLine="420" w:firstLineChars="200"/>
        <w:rPr>
          <w:rFonts w:hint="eastAsia" w:ascii="宋体" w:hAnsi="宋体"/>
          <w:highlight w:val="none"/>
        </w:rPr>
      </w:pPr>
      <w:r>
        <w:rPr>
          <w:rFonts w:hint="eastAsia" w:ascii="宋体" w:hAnsi="宋体"/>
          <w:highlight w:val="none"/>
        </w:rPr>
        <w:t>【属自然人的应提供由县级以上（含县级）社会养老保险经办机构出具的自然人本人及委托代理人所交纳的</w:t>
      </w:r>
      <w:r>
        <w:rPr>
          <w:rFonts w:hint="eastAsia" w:ascii="宋体" w:hAnsi="宋体"/>
          <w:highlight w:val="none"/>
          <w:lang w:eastAsia="zh-CN"/>
        </w:rPr>
        <w:t>投标</w:t>
      </w:r>
      <w:r>
        <w:rPr>
          <w:rFonts w:hint="eastAsia" w:ascii="宋体" w:hAnsi="宋体"/>
          <w:highlight w:val="none"/>
        </w:rPr>
        <w:t>文件递交截止时间前三个月内任意一个月养老保险证明复印件，如因社会养老保险经办机构系统升级等原因，暂时无法向供应商提供社会养老保险缴纳情况查询服务时，供应商可以提供已为委托代理人缴纳社会养老保险的承诺书（须同时提供无法查询的相关证明材料，包括但不限于查询网站截图、公告等。）】（委托代理时必须提供）；</w:t>
      </w:r>
    </w:p>
    <w:p>
      <w:pPr>
        <w:tabs>
          <w:tab w:val="left" w:pos="1305"/>
        </w:tabs>
        <w:spacing w:line="440" w:lineRule="exact"/>
        <w:ind w:firstLine="420" w:firstLineChars="200"/>
        <w:rPr>
          <w:rFonts w:hint="eastAsia" w:ascii="宋体" w:hAnsi="宋体"/>
          <w:highlight w:val="none"/>
        </w:rPr>
      </w:pPr>
      <w:r>
        <w:rPr>
          <w:rFonts w:hint="eastAsia" w:ascii="宋体" w:hAnsi="宋体"/>
          <w:highlight w:val="none"/>
          <w:lang w:val="en-US" w:eastAsia="zh-CN"/>
        </w:rPr>
        <w:t>3.</w:t>
      </w:r>
      <w:r>
        <w:rPr>
          <w:rFonts w:hint="eastAsia" w:ascii="宋体" w:hAnsi="宋体"/>
          <w:highlight w:val="none"/>
        </w:rPr>
        <w:t>投标人的法人或者其他组织营业执照等证明文件复印件（必须提供，自然人除外）；</w:t>
      </w:r>
    </w:p>
    <w:p>
      <w:pPr>
        <w:tabs>
          <w:tab w:val="left" w:pos="1305"/>
        </w:tabs>
        <w:spacing w:line="440" w:lineRule="exact"/>
        <w:ind w:firstLine="420" w:firstLineChars="200"/>
        <w:rPr>
          <w:rFonts w:hint="eastAsia" w:ascii="宋体" w:hAnsi="宋体"/>
          <w:highlight w:val="none"/>
        </w:rPr>
      </w:pPr>
      <w:r>
        <w:rPr>
          <w:rFonts w:hint="eastAsia" w:ascii="宋体" w:hAnsi="宋体"/>
          <w:highlight w:val="none"/>
        </w:rPr>
        <w:t xml:space="preserve">注：①法人包括企业法人、机关法人、事业单位法人和社会团体法人；其他组织主要包括合伙企业、非企业专业服务机构、个体工商户、农村承包经营户。②如供应商为企业（包括合伙企业），应提供市场监督管理部门（或行政审批部门）注册的有效“企业法人营业执照”或“营业执照；供应商为事业单位，应提供有效的“事业单位法人证书”；供应商为非企业专业服务机构的，应提供执业许可证等证明文件；供应商为个体工商户，应提供有效的“个体工商户营业执照”。 </w:t>
      </w:r>
    </w:p>
    <w:p>
      <w:pPr>
        <w:tabs>
          <w:tab w:val="left" w:pos="1305"/>
        </w:tabs>
        <w:spacing w:line="440" w:lineRule="exact"/>
        <w:ind w:firstLine="420" w:firstLineChars="200"/>
        <w:rPr>
          <w:rFonts w:hint="eastAsia" w:ascii="宋体" w:hAnsi="宋体"/>
          <w:highlight w:val="none"/>
          <w:lang w:eastAsia="zh-CN"/>
        </w:rPr>
      </w:pPr>
      <w:r>
        <w:rPr>
          <w:rFonts w:hint="eastAsia" w:ascii="宋体" w:hAnsi="宋体"/>
          <w:highlight w:val="none"/>
          <w:lang w:val="en-US" w:eastAsia="zh-CN"/>
        </w:rPr>
        <w:t>4.</w:t>
      </w:r>
      <w:r>
        <w:rPr>
          <w:rFonts w:hint="eastAsia" w:ascii="宋体" w:hAnsi="宋体"/>
          <w:highlight w:val="none"/>
          <w:lang w:eastAsia="zh-CN"/>
        </w:rPr>
        <w:t>投标人2022年以来任意年度内的财务状况报告复印件(或2023年以来由银行出具的资信证明复印件)(供应商成立不满一年的需提供成立之日起至投标截止时间前的月报表或银行出具的资信证明)（必须提供）；</w:t>
      </w:r>
    </w:p>
    <w:p>
      <w:pPr>
        <w:tabs>
          <w:tab w:val="left" w:pos="1305"/>
        </w:tabs>
        <w:spacing w:line="440" w:lineRule="exact"/>
        <w:ind w:firstLine="420" w:firstLineChars="200"/>
        <w:rPr>
          <w:rFonts w:hint="eastAsia" w:ascii="宋体" w:hAnsi="宋体"/>
          <w:highlight w:val="none"/>
          <w:lang w:eastAsia="zh-CN"/>
        </w:rPr>
      </w:pPr>
      <w:r>
        <w:rPr>
          <w:rFonts w:hint="eastAsia" w:ascii="宋体" w:hAnsi="宋体"/>
          <w:highlight w:val="none"/>
          <w:lang w:val="en-US" w:eastAsia="zh-CN"/>
        </w:rPr>
        <w:t>5.</w:t>
      </w:r>
      <w:r>
        <w:rPr>
          <w:rFonts w:hint="eastAsia" w:ascii="宋体" w:hAnsi="宋体"/>
          <w:highlight w:val="none"/>
          <w:lang w:eastAsia="zh-CN"/>
        </w:rPr>
        <w:t>投标人截止开标时间前近半年内任意一个月或任一季度依法缴纳税收的证明材料【增值税发票(税收完税证明)或企业所得税完税证明或税务部门出具的免税证明】复印件（必须提供）；</w:t>
      </w:r>
    </w:p>
    <w:p>
      <w:pPr>
        <w:tabs>
          <w:tab w:val="left" w:pos="1305"/>
        </w:tabs>
        <w:spacing w:line="440" w:lineRule="exact"/>
        <w:ind w:firstLine="420" w:firstLineChars="200"/>
        <w:rPr>
          <w:rFonts w:hint="eastAsia" w:ascii="宋体" w:hAnsi="宋体"/>
          <w:highlight w:val="none"/>
          <w:lang w:eastAsia="zh-CN"/>
        </w:rPr>
      </w:pPr>
      <w:r>
        <w:rPr>
          <w:rFonts w:hint="eastAsia" w:ascii="宋体" w:hAnsi="宋体"/>
          <w:highlight w:val="none"/>
          <w:lang w:val="en-US" w:eastAsia="zh-CN"/>
        </w:rPr>
        <w:t>6.</w:t>
      </w:r>
      <w:r>
        <w:rPr>
          <w:rFonts w:hint="eastAsia" w:ascii="宋体" w:hAnsi="宋体"/>
          <w:highlight w:val="none"/>
          <w:lang w:eastAsia="zh-CN"/>
        </w:rPr>
        <w:t>投标人参加政府采购活动前3年内在经营活动中没有重大违法记录及有关信用信息的书面声明（必须提供）；</w:t>
      </w:r>
    </w:p>
    <w:p>
      <w:pPr>
        <w:tabs>
          <w:tab w:val="left" w:pos="1305"/>
        </w:tabs>
        <w:spacing w:line="440" w:lineRule="exact"/>
        <w:ind w:firstLine="420" w:firstLineChars="200"/>
        <w:rPr>
          <w:rFonts w:hint="eastAsia" w:ascii="宋体" w:hAnsi="宋体" w:eastAsia="宋体" w:cs="Times New Roman"/>
          <w:highlight w:val="none"/>
          <w:lang w:val="en-US" w:eastAsia="zh-CN"/>
        </w:rPr>
      </w:pPr>
      <w:r>
        <w:rPr>
          <w:rFonts w:hint="eastAsia" w:ascii="宋体" w:hAnsi="宋体" w:eastAsia="宋体" w:cs="Times New Roman"/>
          <w:highlight w:val="none"/>
          <w:lang w:val="en-US" w:eastAsia="zh-CN"/>
        </w:rPr>
        <w:t>7.《中小企业声明函》（见附件）（除监狱企业及残疾人福利性单位外，必须提供）；</w:t>
      </w:r>
    </w:p>
    <w:p>
      <w:pPr>
        <w:tabs>
          <w:tab w:val="left" w:pos="1305"/>
        </w:tabs>
        <w:spacing w:line="440" w:lineRule="exact"/>
        <w:ind w:firstLine="420" w:firstLineChars="200"/>
        <w:rPr>
          <w:rFonts w:hint="eastAsia" w:ascii="宋体" w:hAnsi="宋体" w:eastAsia="宋体" w:cs="Times New Roman"/>
          <w:highlight w:val="none"/>
          <w:lang w:val="en-US" w:eastAsia="zh-CN"/>
        </w:rPr>
      </w:pPr>
      <w:r>
        <w:rPr>
          <w:rFonts w:hint="eastAsia" w:ascii="宋体" w:hAnsi="宋体" w:eastAsia="宋体" w:cs="Times New Roman"/>
          <w:highlight w:val="none"/>
          <w:lang w:val="en-US" w:eastAsia="zh-CN"/>
        </w:rPr>
        <w:t>8.如提供服务的供应商属于监狱企业的，应当提供由省级以上监狱管理局、戒毒管理局等（含新疆生产建设兵团）出具的属于监狱企业的证明文件（如供应商属于监狱企业的，则必须提供）；</w:t>
      </w:r>
    </w:p>
    <w:p>
      <w:pPr>
        <w:tabs>
          <w:tab w:val="left" w:pos="1305"/>
        </w:tabs>
        <w:spacing w:line="440" w:lineRule="exact"/>
        <w:ind w:firstLine="420" w:firstLineChars="200"/>
        <w:rPr>
          <w:rFonts w:hint="eastAsia"/>
          <w:highlight w:val="none"/>
        </w:rPr>
      </w:pPr>
      <w:r>
        <w:rPr>
          <w:rFonts w:hint="eastAsia" w:ascii="宋体" w:hAnsi="宋体" w:eastAsia="宋体" w:cs="Times New Roman"/>
          <w:highlight w:val="none"/>
          <w:lang w:val="en-US" w:eastAsia="zh-CN"/>
        </w:rPr>
        <w:t>9.符合条件的残疾人福利性单位在参加政府采购活动时，应当提供《残疾人福利性单位声明函》（见附件），并对声明的真实性负责（如供应商属于残疾人福利性单位的，则必须提供）。</w:t>
      </w:r>
    </w:p>
    <w:p>
      <w:pPr>
        <w:tabs>
          <w:tab w:val="left" w:pos="1305"/>
        </w:tabs>
        <w:spacing w:line="440" w:lineRule="exact"/>
        <w:ind w:firstLine="482" w:firstLineChars="200"/>
        <w:rPr>
          <w:rFonts w:hint="eastAsia" w:ascii="宋体" w:hAnsi="宋体" w:eastAsia="宋体" w:cs="Times New Roman"/>
          <w:b/>
          <w:sz w:val="24"/>
          <w:highlight w:val="none"/>
          <w:lang w:eastAsia="zh-CN"/>
        </w:rPr>
      </w:pPr>
      <w:r>
        <w:rPr>
          <w:rFonts w:hint="eastAsia" w:ascii="宋体" w:hAnsi="宋体" w:eastAsia="宋体" w:cs="Times New Roman"/>
          <w:b/>
          <w:sz w:val="24"/>
          <w:highlight w:val="none"/>
          <w:lang w:eastAsia="zh-CN"/>
        </w:rPr>
        <w:t>二、</w:t>
      </w:r>
      <w:r>
        <w:rPr>
          <w:rFonts w:hint="eastAsia" w:ascii="宋体" w:hAnsi="宋体" w:eastAsia="宋体" w:cs="Times New Roman"/>
          <w:b/>
          <w:sz w:val="24"/>
          <w:highlight w:val="none"/>
        </w:rPr>
        <w:t>商务、技术性响应及其他有效证明材料</w:t>
      </w:r>
      <w:r>
        <w:rPr>
          <w:rFonts w:hint="eastAsia" w:ascii="宋体" w:hAnsi="宋体" w:eastAsia="宋体" w:cs="Times New Roman"/>
          <w:b/>
          <w:sz w:val="24"/>
          <w:highlight w:val="none"/>
          <w:lang w:eastAsia="zh-CN"/>
        </w:rPr>
        <w:t>目录</w:t>
      </w:r>
    </w:p>
    <w:p>
      <w:pPr>
        <w:tabs>
          <w:tab w:val="left" w:pos="1305"/>
        </w:tabs>
        <w:spacing w:line="440" w:lineRule="exact"/>
        <w:ind w:firstLine="420" w:firstLineChars="200"/>
        <w:rPr>
          <w:rFonts w:hint="eastAsia" w:ascii="宋体" w:hAnsi="宋体"/>
          <w:highlight w:val="none"/>
        </w:rPr>
      </w:pPr>
      <w:r>
        <w:rPr>
          <w:rFonts w:hint="eastAsia" w:ascii="宋体" w:hAnsi="宋体"/>
          <w:highlight w:val="none"/>
          <w:lang w:val="en-US" w:eastAsia="zh-CN"/>
        </w:rPr>
        <w:t>1.</w:t>
      </w:r>
      <w:r>
        <w:rPr>
          <w:rFonts w:hint="eastAsia" w:ascii="宋体" w:hAnsi="宋体"/>
          <w:highlight w:val="none"/>
        </w:rPr>
        <w:t>投标报价表（必须提供）；</w:t>
      </w:r>
    </w:p>
    <w:p>
      <w:pPr>
        <w:tabs>
          <w:tab w:val="left" w:pos="1305"/>
        </w:tabs>
        <w:spacing w:line="440" w:lineRule="exact"/>
        <w:ind w:firstLine="420" w:firstLineChars="200"/>
        <w:rPr>
          <w:rFonts w:hint="eastAsia" w:ascii="宋体" w:hAnsi="宋体"/>
          <w:highlight w:val="none"/>
        </w:rPr>
      </w:pPr>
      <w:r>
        <w:rPr>
          <w:rFonts w:hint="eastAsia" w:ascii="宋体" w:hAnsi="宋体"/>
          <w:highlight w:val="none"/>
          <w:lang w:val="en-US" w:eastAsia="zh-CN"/>
        </w:rPr>
        <w:t>2.技术需求及商务要求承诺响应表</w:t>
      </w:r>
      <w:r>
        <w:rPr>
          <w:rFonts w:hint="eastAsia" w:ascii="宋体" w:hAnsi="宋体"/>
          <w:highlight w:val="none"/>
        </w:rPr>
        <w:t>（必须提供）；</w:t>
      </w:r>
    </w:p>
    <w:p>
      <w:pPr>
        <w:tabs>
          <w:tab w:val="left" w:pos="1305"/>
        </w:tabs>
        <w:spacing w:line="440" w:lineRule="exact"/>
        <w:ind w:firstLine="420" w:firstLineChars="200"/>
        <w:rPr>
          <w:rFonts w:hint="eastAsia" w:ascii="宋体" w:hAnsi="宋体"/>
          <w:highlight w:val="none"/>
        </w:rPr>
      </w:pPr>
      <w:r>
        <w:rPr>
          <w:rFonts w:hint="eastAsia" w:ascii="宋体" w:hAnsi="宋体"/>
          <w:highlight w:val="none"/>
          <w:lang w:val="en-US" w:eastAsia="zh-CN"/>
        </w:rPr>
        <w:t>3.</w:t>
      </w:r>
      <w:r>
        <w:rPr>
          <w:rFonts w:hint="eastAsia" w:ascii="宋体" w:hAnsi="宋体"/>
          <w:highlight w:val="none"/>
        </w:rPr>
        <w:t>投标人的项目实施方案（如有，请提供）；</w:t>
      </w:r>
    </w:p>
    <w:p>
      <w:pPr>
        <w:tabs>
          <w:tab w:val="left" w:pos="1305"/>
        </w:tabs>
        <w:spacing w:line="440" w:lineRule="exact"/>
        <w:ind w:firstLine="420" w:firstLineChars="200"/>
        <w:rPr>
          <w:rFonts w:hint="eastAsia" w:ascii="宋体" w:hAnsi="宋体"/>
          <w:highlight w:val="none"/>
        </w:rPr>
      </w:pPr>
      <w:r>
        <w:rPr>
          <w:rFonts w:hint="eastAsia" w:ascii="宋体" w:hAnsi="宋体"/>
          <w:highlight w:val="none"/>
          <w:lang w:val="en-US" w:eastAsia="zh-CN"/>
        </w:rPr>
        <w:t>4.</w:t>
      </w:r>
      <w:r>
        <w:rPr>
          <w:rFonts w:hint="eastAsia" w:ascii="宋体" w:hAnsi="宋体"/>
          <w:highlight w:val="none"/>
        </w:rPr>
        <w:t>项目实施人员一览表（如有，请提供）；</w:t>
      </w:r>
    </w:p>
    <w:p>
      <w:pPr>
        <w:tabs>
          <w:tab w:val="left" w:pos="1305"/>
        </w:tabs>
        <w:spacing w:line="440" w:lineRule="exact"/>
        <w:ind w:firstLine="420" w:firstLineChars="200"/>
        <w:rPr>
          <w:rFonts w:hint="eastAsia" w:ascii="宋体" w:hAnsi="宋体"/>
          <w:highlight w:val="none"/>
        </w:rPr>
      </w:pPr>
      <w:r>
        <w:rPr>
          <w:rFonts w:hint="eastAsia" w:ascii="宋体" w:hAnsi="宋体"/>
          <w:highlight w:val="none"/>
          <w:lang w:val="en-US" w:eastAsia="zh-CN"/>
        </w:rPr>
        <w:t>5.</w:t>
      </w:r>
      <w:r>
        <w:rPr>
          <w:rFonts w:hint="eastAsia" w:ascii="宋体" w:hAnsi="宋体"/>
          <w:highlight w:val="none"/>
        </w:rPr>
        <w:t>投标人类似项目业绩的相关证明材料（如有，请提供）；</w:t>
      </w:r>
    </w:p>
    <w:p>
      <w:pPr>
        <w:tabs>
          <w:tab w:val="left" w:pos="1305"/>
        </w:tabs>
        <w:spacing w:line="440" w:lineRule="exact"/>
        <w:ind w:firstLine="420" w:firstLineChars="200"/>
        <w:rPr>
          <w:rFonts w:hint="eastAsia" w:ascii="宋体" w:hAnsi="宋体"/>
          <w:highlight w:val="none"/>
        </w:rPr>
      </w:pPr>
      <w:r>
        <w:rPr>
          <w:rFonts w:hint="eastAsia" w:ascii="宋体" w:hAnsi="宋体"/>
          <w:highlight w:val="none"/>
          <w:lang w:val="en-US" w:eastAsia="zh-CN"/>
        </w:rPr>
        <w:t>6.</w:t>
      </w:r>
      <w:r>
        <w:rPr>
          <w:rFonts w:hint="eastAsia" w:ascii="宋体" w:hAnsi="宋体"/>
          <w:highlight w:val="none"/>
        </w:rPr>
        <w:t>投标人相关获奖证书、认证证书等复印件（如有，请提供）；</w:t>
      </w:r>
    </w:p>
    <w:p>
      <w:pPr>
        <w:tabs>
          <w:tab w:val="left" w:pos="1305"/>
        </w:tabs>
        <w:spacing w:line="440" w:lineRule="exact"/>
        <w:ind w:firstLine="420" w:firstLineChars="200"/>
        <w:rPr>
          <w:rFonts w:hint="eastAsia"/>
          <w:b/>
          <w:sz w:val="32"/>
          <w:szCs w:val="32"/>
          <w:highlight w:val="none"/>
        </w:rPr>
      </w:pPr>
      <w:r>
        <w:rPr>
          <w:rFonts w:hint="eastAsia" w:ascii="宋体" w:hAnsi="宋体"/>
          <w:highlight w:val="none"/>
          <w:lang w:val="en-US" w:eastAsia="zh-CN"/>
        </w:rPr>
        <w:t>7.</w:t>
      </w:r>
      <w:r>
        <w:rPr>
          <w:rFonts w:hint="eastAsia" w:ascii="宋体" w:hAnsi="宋体"/>
          <w:highlight w:val="none"/>
        </w:rPr>
        <w:t>投标人可结合本项目的评标办法视自身情况自行提交相关证明材料（如有，请提供）。</w:t>
      </w:r>
    </w:p>
    <w:p>
      <w:pPr>
        <w:tabs>
          <w:tab w:val="left" w:pos="1305"/>
        </w:tabs>
        <w:spacing w:line="340" w:lineRule="exact"/>
        <w:rPr>
          <w:rFonts w:hint="eastAsia" w:ascii="宋体" w:hAnsi="宋体"/>
          <w:b/>
          <w:sz w:val="24"/>
          <w:highlight w:val="none"/>
        </w:rPr>
      </w:pPr>
    </w:p>
    <w:p>
      <w:pPr>
        <w:tabs>
          <w:tab w:val="left" w:pos="1305"/>
        </w:tabs>
        <w:spacing w:line="340" w:lineRule="exact"/>
        <w:rPr>
          <w:rFonts w:hint="eastAsia" w:ascii="宋体" w:hAnsi="宋体"/>
          <w:b/>
          <w:sz w:val="24"/>
          <w:highlight w:val="none"/>
        </w:rPr>
      </w:pPr>
    </w:p>
    <w:p>
      <w:pPr>
        <w:tabs>
          <w:tab w:val="left" w:pos="1305"/>
        </w:tabs>
        <w:spacing w:line="340" w:lineRule="exact"/>
        <w:rPr>
          <w:rFonts w:hint="eastAsia" w:ascii="宋体" w:hAnsi="宋体"/>
          <w:b/>
          <w:sz w:val="24"/>
          <w:highlight w:val="none"/>
        </w:rPr>
      </w:pPr>
    </w:p>
    <w:p>
      <w:pPr>
        <w:tabs>
          <w:tab w:val="left" w:pos="1305"/>
        </w:tabs>
        <w:spacing w:line="340" w:lineRule="exact"/>
        <w:rPr>
          <w:rFonts w:hint="eastAsia" w:ascii="宋体" w:hAnsi="宋体"/>
          <w:b/>
          <w:sz w:val="24"/>
          <w:highlight w:val="none"/>
        </w:rPr>
      </w:pPr>
    </w:p>
    <w:p>
      <w:pPr>
        <w:tabs>
          <w:tab w:val="left" w:pos="1305"/>
        </w:tabs>
        <w:spacing w:line="340" w:lineRule="exact"/>
        <w:rPr>
          <w:rFonts w:hint="eastAsia" w:ascii="宋体" w:hAnsi="宋体"/>
          <w:b/>
          <w:sz w:val="24"/>
          <w:highlight w:val="none"/>
        </w:rPr>
      </w:pPr>
    </w:p>
    <w:p>
      <w:pPr>
        <w:tabs>
          <w:tab w:val="left" w:pos="1305"/>
        </w:tabs>
        <w:spacing w:line="340" w:lineRule="exact"/>
        <w:rPr>
          <w:rFonts w:hint="eastAsia" w:ascii="宋体" w:hAnsi="宋体"/>
          <w:b/>
          <w:sz w:val="24"/>
          <w:highlight w:val="none"/>
        </w:rPr>
      </w:pPr>
    </w:p>
    <w:p>
      <w:pPr>
        <w:tabs>
          <w:tab w:val="left" w:pos="1305"/>
        </w:tabs>
        <w:spacing w:line="340" w:lineRule="exact"/>
        <w:ind w:firstLine="422" w:firstLineChars="200"/>
        <w:rPr>
          <w:rFonts w:hint="eastAsia" w:ascii="宋体" w:hAnsi="宋体"/>
          <w:b/>
          <w:szCs w:val="21"/>
          <w:highlight w:val="none"/>
        </w:rPr>
      </w:pPr>
    </w:p>
    <w:p>
      <w:pPr>
        <w:rPr>
          <w:rFonts w:hint="eastAsia"/>
          <w:highlight w:val="none"/>
        </w:rPr>
      </w:pPr>
    </w:p>
    <w:p>
      <w:pPr>
        <w:tabs>
          <w:tab w:val="left" w:pos="1305"/>
        </w:tabs>
        <w:spacing w:line="340" w:lineRule="exact"/>
        <w:ind w:firstLine="422" w:firstLineChars="200"/>
        <w:rPr>
          <w:rFonts w:hint="eastAsia" w:ascii="宋体" w:hAnsi="宋体"/>
          <w:b/>
          <w:szCs w:val="21"/>
          <w:highlight w:val="none"/>
        </w:rPr>
      </w:pPr>
    </w:p>
    <w:p>
      <w:pPr>
        <w:rPr>
          <w:rFonts w:hint="eastAsia"/>
          <w:highlight w:val="none"/>
        </w:rPr>
      </w:pPr>
    </w:p>
    <w:p>
      <w:pPr>
        <w:tabs>
          <w:tab w:val="left" w:pos="1305"/>
        </w:tabs>
        <w:spacing w:line="340" w:lineRule="exact"/>
        <w:ind w:firstLine="420" w:firstLineChars="200"/>
        <w:rPr>
          <w:rFonts w:hint="eastAsia"/>
          <w:highlight w:val="none"/>
        </w:rPr>
      </w:pPr>
    </w:p>
    <w:p>
      <w:pPr>
        <w:pStyle w:val="9"/>
        <w:rPr>
          <w:rFonts w:hint="eastAsia"/>
          <w:highlight w:val="none"/>
        </w:rPr>
      </w:pPr>
    </w:p>
    <w:p>
      <w:pPr>
        <w:pStyle w:val="22"/>
        <w:rPr>
          <w:rFonts w:hint="eastAsia"/>
          <w:highlight w:val="none"/>
        </w:rPr>
      </w:pPr>
    </w:p>
    <w:p>
      <w:pPr>
        <w:pStyle w:val="23"/>
        <w:rPr>
          <w:rFonts w:hint="eastAsia"/>
          <w:highlight w:val="none"/>
        </w:rPr>
      </w:pPr>
    </w:p>
    <w:p>
      <w:pPr>
        <w:rPr>
          <w:rFonts w:hint="eastAsia"/>
          <w:highlight w:val="none"/>
        </w:rPr>
      </w:pPr>
    </w:p>
    <w:p>
      <w:pPr>
        <w:pStyle w:val="9"/>
        <w:rPr>
          <w:rFonts w:hint="eastAsia"/>
          <w:highlight w:val="none"/>
        </w:rPr>
      </w:pPr>
    </w:p>
    <w:p>
      <w:pPr>
        <w:pStyle w:val="22"/>
        <w:rPr>
          <w:rFonts w:hint="eastAsia"/>
          <w:highlight w:val="none"/>
        </w:rPr>
      </w:pPr>
    </w:p>
    <w:p>
      <w:pPr>
        <w:tabs>
          <w:tab w:val="left" w:pos="1305"/>
        </w:tabs>
        <w:spacing w:line="340" w:lineRule="exact"/>
        <w:rPr>
          <w:rFonts w:hint="eastAsia" w:ascii="宋体" w:hAnsi="宋体"/>
          <w:b/>
          <w:sz w:val="24"/>
          <w:highlight w:val="none"/>
        </w:rPr>
      </w:pPr>
    </w:p>
    <w:p>
      <w:pPr>
        <w:tabs>
          <w:tab w:val="left" w:pos="1305"/>
        </w:tabs>
        <w:spacing w:line="340" w:lineRule="exact"/>
        <w:ind w:firstLine="420" w:firstLineChars="200"/>
        <w:rPr>
          <w:rFonts w:hint="eastAsia"/>
          <w:highlight w:val="none"/>
        </w:rPr>
      </w:pPr>
    </w:p>
    <w:p>
      <w:pPr>
        <w:pStyle w:val="2"/>
        <w:rPr>
          <w:rFonts w:hint="eastAsia"/>
          <w:highlight w:val="none"/>
        </w:rPr>
      </w:pPr>
    </w:p>
    <w:p>
      <w:pPr>
        <w:pStyle w:val="2"/>
        <w:rPr>
          <w:rFonts w:hint="eastAsia"/>
          <w:highlight w:val="none"/>
        </w:rPr>
      </w:pPr>
    </w:p>
    <w:p>
      <w:pPr>
        <w:tabs>
          <w:tab w:val="left" w:pos="1305"/>
        </w:tabs>
        <w:spacing w:line="520" w:lineRule="exact"/>
        <w:rPr>
          <w:rFonts w:hint="eastAsia"/>
          <w:b/>
          <w:sz w:val="32"/>
          <w:szCs w:val="32"/>
          <w:highlight w:val="none"/>
        </w:rPr>
      </w:pPr>
    </w:p>
    <w:p>
      <w:pPr>
        <w:tabs>
          <w:tab w:val="left" w:pos="1305"/>
        </w:tabs>
        <w:spacing w:line="520" w:lineRule="exact"/>
        <w:rPr>
          <w:rFonts w:hint="eastAsia" w:ascii="宋体" w:hAnsi="宋体"/>
          <w:sz w:val="24"/>
          <w:highlight w:val="none"/>
        </w:rPr>
      </w:pPr>
      <w:r>
        <w:rPr>
          <w:rFonts w:hint="eastAsia"/>
          <w:b/>
          <w:sz w:val="32"/>
          <w:szCs w:val="32"/>
          <w:highlight w:val="none"/>
        </w:rPr>
        <w:t>一、资格性响应证明材料</w:t>
      </w:r>
    </w:p>
    <w:p>
      <w:pPr>
        <w:pStyle w:val="12"/>
        <w:spacing w:line="400" w:lineRule="exact"/>
        <w:ind w:left="840" w:leftChars="400"/>
        <w:rPr>
          <w:rFonts w:hint="eastAsia" w:hAnsi="宋体"/>
          <w:bCs/>
          <w:szCs w:val="21"/>
          <w:highlight w:val="none"/>
        </w:rPr>
      </w:pPr>
    </w:p>
    <w:p>
      <w:pPr>
        <w:tabs>
          <w:tab w:val="left" w:pos="1305"/>
        </w:tabs>
        <w:spacing w:line="400" w:lineRule="exact"/>
        <w:rPr>
          <w:rFonts w:ascii="宋体" w:hAnsi="宋体"/>
          <w:szCs w:val="21"/>
          <w:highlight w:val="none"/>
        </w:rPr>
      </w:pPr>
      <w:r>
        <w:rPr>
          <w:rFonts w:hint="eastAsia" w:ascii="宋体" w:hAnsi="宋体"/>
          <w:b/>
          <w:sz w:val="32"/>
          <w:szCs w:val="32"/>
          <w:highlight w:val="none"/>
        </w:rPr>
        <w:t>1.投标人相应的法定代表人、负责人、自然人身份证正反面复印件（必须提供）</w:t>
      </w:r>
    </w:p>
    <w:p>
      <w:pPr>
        <w:tabs>
          <w:tab w:val="left" w:pos="1305"/>
        </w:tabs>
        <w:spacing w:line="400" w:lineRule="exact"/>
        <w:ind w:firstLine="643" w:firstLineChars="200"/>
        <w:rPr>
          <w:rFonts w:hint="eastAsia" w:ascii="宋体" w:hAnsi="宋体"/>
          <w:b/>
          <w:sz w:val="32"/>
          <w:szCs w:val="32"/>
          <w:highlight w:val="none"/>
        </w:rPr>
      </w:pPr>
    </w:p>
    <w:p>
      <w:pPr>
        <w:tabs>
          <w:tab w:val="left" w:pos="1305"/>
        </w:tabs>
        <w:spacing w:line="400" w:lineRule="exact"/>
        <w:ind w:firstLine="643" w:firstLineChars="200"/>
        <w:rPr>
          <w:rFonts w:hint="eastAsia" w:ascii="宋体" w:hAnsi="宋体"/>
          <w:b/>
          <w:sz w:val="32"/>
          <w:szCs w:val="32"/>
          <w:highlight w:val="none"/>
        </w:rPr>
      </w:pPr>
    </w:p>
    <w:p>
      <w:pPr>
        <w:tabs>
          <w:tab w:val="left" w:pos="1305"/>
        </w:tabs>
        <w:spacing w:line="400" w:lineRule="exact"/>
        <w:rPr>
          <w:rFonts w:hint="eastAsia" w:ascii="宋体" w:hAnsi="宋体"/>
          <w:b/>
          <w:sz w:val="32"/>
          <w:szCs w:val="32"/>
          <w:highlight w:val="none"/>
        </w:rPr>
      </w:pPr>
      <w:r>
        <w:rPr>
          <w:rFonts w:hint="eastAsia" w:ascii="宋体" w:hAnsi="宋体"/>
          <w:b/>
          <w:sz w:val="32"/>
          <w:szCs w:val="32"/>
          <w:highlight w:val="none"/>
        </w:rPr>
        <w:t>2.投标人的授权委托书原件、委托代理人身份证正反面复印件以及由县级以上（含县级）社会养老保险经办机构出具的投标人为委托代理人交纳的开标截止时间前三个月内任意一个月养老保险证明复印件，除投标人为以下四种情形的：</w:t>
      </w:r>
    </w:p>
    <w:p>
      <w:pPr>
        <w:tabs>
          <w:tab w:val="left" w:pos="1305"/>
        </w:tabs>
        <w:spacing w:line="400" w:lineRule="exact"/>
        <w:rPr>
          <w:rFonts w:hint="eastAsia" w:ascii="宋体" w:hAnsi="宋体"/>
          <w:b/>
          <w:sz w:val="32"/>
          <w:szCs w:val="32"/>
          <w:highlight w:val="none"/>
        </w:rPr>
      </w:pPr>
      <w:r>
        <w:rPr>
          <w:rFonts w:hint="eastAsia" w:ascii="宋体" w:hAnsi="宋体"/>
          <w:b/>
          <w:sz w:val="32"/>
          <w:szCs w:val="32"/>
          <w:highlight w:val="none"/>
        </w:rPr>
        <w:t>①如投标人为截标时间前60日以内成立的公司，可以提供投标人与委托代理人签订的劳动合同复印件代替养老保险证明复印件；</w:t>
      </w:r>
    </w:p>
    <w:p>
      <w:pPr>
        <w:tabs>
          <w:tab w:val="left" w:pos="1305"/>
        </w:tabs>
        <w:spacing w:line="400" w:lineRule="exact"/>
        <w:rPr>
          <w:rFonts w:hint="eastAsia" w:ascii="宋体" w:hAnsi="宋体"/>
          <w:b/>
          <w:sz w:val="32"/>
          <w:szCs w:val="32"/>
          <w:highlight w:val="none"/>
        </w:rPr>
      </w:pPr>
      <w:r>
        <w:rPr>
          <w:rFonts w:hint="eastAsia" w:ascii="宋体" w:hAnsi="宋体"/>
          <w:b/>
          <w:sz w:val="32"/>
          <w:szCs w:val="32"/>
          <w:highlight w:val="none"/>
        </w:rPr>
        <w:t>②如投标人为事业单位，可以提供事业单位机构编制管理证复印件或事业单位机构为其发放工资的工资条复印件代替养老保险证明复印件；</w:t>
      </w:r>
    </w:p>
    <w:p>
      <w:pPr>
        <w:tabs>
          <w:tab w:val="left" w:pos="1305"/>
        </w:tabs>
        <w:spacing w:line="400" w:lineRule="exact"/>
        <w:rPr>
          <w:rFonts w:hint="eastAsia" w:ascii="宋体" w:hAnsi="宋体"/>
          <w:b/>
          <w:sz w:val="32"/>
          <w:szCs w:val="32"/>
          <w:highlight w:val="none"/>
        </w:rPr>
      </w:pPr>
      <w:r>
        <w:rPr>
          <w:rFonts w:hint="eastAsia" w:ascii="宋体" w:hAnsi="宋体"/>
          <w:b/>
          <w:sz w:val="32"/>
          <w:szCs w:val="32"/>
          <w:highlight w:val="none"/>
        </w:rPr>
        <w:t>③如委托代理人为免缴纳养老保险人员，提供免缴纳养老保险的证明材料复印件及投标人与委托代理人签订的劳动合同复印件代替养老保险证明复印件。</w:t>
      </w:r>
    </w:p>
    <w:p>
      <w:pPr>
        <w:tabs>
          <w:tab w:val="left" w:pos="1305"/>
        </w:tabs>
        <w:spacing w:line="400" w:lineRule="exact"/>
        <w:rPr>
          <w:rFonts w:hint="eastAsia" w:ascii="宋体" w:hAnsi="宋体"/>
          <w:b/>
          <w:sz w:val="32"/>
          <w:szCs w:val="32"/>
          <w:highlight w:val="none"/>
        </w:rPr>
      </w:pPr>
      <w:r>
        <w:rPr>
          <w:rFonts w:hint="eastAsia" w:ascii="宋体" w:hAnsi="宋体"/>
          <w:b/>
          <w:sz w:val="32"/>
          <w:szCs w:val="32"/>
          <w:highlight w:val="none"/>
        </w:rPr>
        <w:t>④如因社会养老保险经办机构系统升级等原因，暂时无法向供应商提供社会养老保险缴纳情况查询服务时，供应商可以提供已为委托代理人缴纳社会养老保险的承诺书。（须同时提供无法查询的相关证明材料，包括但不限于查询网站截图、公告等。）</w:t>
      </w:r>
    </w:p>
    <w:p>
      <w:pPr>
        <w:tabs>
          <w:tab w:val="left" w:pos="1305"/>
        </w:tabs>
        <w:spacing w:line="400" w:lineRule="exact"/>
        <w:rPr>
          <w:rFonts w:hint="eastAsia" w:ascii="宋体" w:hAnsi="宋体"/>
          <w:b/>
          <w:sz w:val="32"/>
          <w:szCs w:val="32"/>
          <w:highlight w:val="none"/>
        </w:rPr>
      </w:pPr>
      <w:r>
        <w:rPr>
          <w:rFonts w:hint="eastAsia" w:ascii="宋体" w:hAnsi="宋体"/>
          <w:b/>
          <w:sz w:val="32"/>
          <w:szCs w:val="32"/>
          <w:highlight w:val="none"/>
        </w:rPr>
        <w:t>【属自然人的应提供由县级以上（含县级）社会养老保险经办机构出具的自然人本人及委托代理人所交纳的</w:t>
      </w:r>
      <w:r>
        <w:rPr>
          <w:rFonts w:hint="eastAsia" w:ascii="宋体" w:hAnsi="宋体"/>
          <w:b/>
          <w:sz w:val="32"/>
          <w:szCs w:val="32"/>
          <w:highlight w:val="none"/>
          <w:lang w:eastAsia="zh-CN"/>
        </w:rPr>
        <w:t>投标</w:t>
      </w:r>
      <w:r>
        <w:rPr>
          <w:rFonts w:hint="eastAsia" w:ascii="宋体" w:hAnsi="宋体"/>
          <w:b/>
          <w:sz w:val="32"/>
          <w:szCs w:val="32"/>
          <w:highlight w:val="none"/>
        </w:rPr>
        <w:t>文件递交截止时间前三个月内任意一个月养老保险证明复印件，如因社会养老保险经办机构系统升级等原因，暂时无法向供应商提供社会养老保险缴纳情况查询服务时，供应商可以提供已为委托代理人缴纳社会养老保险的承诺书（须同时提供无法查询的相关证明材料，包括但不限于查询网站截图、公告等。）】（委托代理时必须提供）</w:t>
      </w:r>
    </w:p>
    <w:p>
      <w:pPr>
        <w:spacing w:line="400" w:lineRule="exact"/>
        <w:rPr>
          <w:rFonts w:hint="eastAsia"/>
          <w:b/>
          <w:sz w:val="30"/>
          <w:szCs w:val="30"/>
          <w:highlight w:val="none"/>
        </w:rPr>
      </w:pPr>
    </w:p>
    <w:p>
      <w:pPr>
        <w:spacing w:line="400" w:lineRule="exact"/>
        <w:rPr>
          <w:rFonts w:hint="eastAsia"/>
          <w:b/>
          <w:sz w:val="30"/>
          <w:szCs w:val="30"/>
          <w:highlight w:val="none"/>
        </w:rPr>
      </w:pPr>
      <w:r>
        <w:rPr>
          <w:rFonts w:hint="eastAsia"/>
          <w:b/>
          <w:sz w:val="30"/>
          <w:szCs w:val="30"/>
          <w:highlight w:val="none"/>
        </w:rPr>
        <w:t>附件：</w:t>
      </w:r>
    </w:p>
    <w:p>
      <w:pPr>
        <w:pStyle w:val="12"/>
        <w:jc w:val="center"/>
        <w:rPr>
          <w:rFonts w:hint="eastAsia" w:hAnsi="宋体"/>
          <w:b/>
          <w:sz w:val="32"/>
          <w:highlight w:val="none"/>
        </w:rPr>
      </w:pPr>
      <w:r>
        <w:rPr>
          <w:rFonts w:hint="eastAsia" w:ascii="宋体" w:hAnsi="宋体" w:cs="宋体"/>
          <w:b/>
          <w:color w:val="000000"/>
          <w:sz w:val="32"/>
          <w:highlight w:val="none"/>
        </w:rPr>
        <w:t>授权委托书（格式一）</w:t>
      </w:r>
    </w:p>
    <w:p>
      <w:pPr>
        <w:snapToGrid w:val="0"/>
        <w:spacing w:line="400" w:lineRule="exact"/>
        <w:outlineLvl w:val="4"/>
        <w:rPr>
          <w:rFonts w:hint="eastAsia" w:ascii="宋体" w:hAnsi="宋体" w:eastAsia="宋体"/>
          <w:highlight w:val="none"/>
          <w:lang w:eastAsia="zh-CN"/>
        </w:rPr>
      </w:pPr>
      <w:r>
        <w:rPr>
          <w:rFonts w:hint="eastAsia" w:ascii="宋体" w:hAnsi="宋体"/>
          <w:b w:val="0"/>
          <w:bCs/>
          <w:szCs w:val="21"/>
          <w:highlight w:val="none"/>
        </w:rPr>
        <w:t>致：</w:t>
      </w:r>
      <w:r>
        <w:rPr>
          <w:rFonts w:hint="eastAsia" w:ascii="宋体" w:hAnsi="宋体"/>
          <w:highlight w:val="none"/>
          <w:u w:val="single"/>
          <w:lang w:eastAsia="zh-CN"/>
        </w:rPr>
        <w:t>广西江之源项目管理有限公司</w:t>
      </w:r>
    </w:p>
    <w:p>
      <w:pPr>
        <w:snapToGrid w:val="0"/>
        <w:spacing w:line="400" w:lineRule="exact"/>
        <w:outlineLvl w:val="9"/>
        <w:rPr>
          <w:rFonts w:hint="eastAsia" w:ascii="宋体" w:hAnsi="宋体"/>
          <w:szCs w:val="21"/>
          <w:highlight w:val="none"/>
          <w:u w:val="single"/>
        </w:rPr>
      </w:pPr>
    </w:p>
    <w:p>
      <w:pPr>
        <w:spacing w:line="400" w:lineRule="exact"/>
        <w:ind w:firstLine="525" w:firstLineChars="250"/>
        <w:rPr>
          <w:rFonts w:ascii="宋体" w:hAnsi="宋体" w:cs="宋体"/>
          <w:color w:val="000000"/>
          <w:highlight w:val="none"/>
        </w:rPr>
      </w:pPr>
      <w:r>
        <w:rPr>
          <w:rFonts w:hint="eastAsia" w:ascii="宋体" w:hAnsi="宋体" w:cs="宋体"/>
          <w:color w:val="000000"/>
          <w:kern w:val="0"/>
          <w:highlight w:val="none"/>
        </w:rPr>
        <w:t>我</w:t>
      </w:r>
      <w:r>
        <w:rPr>
          <w:rFonts w:hint="eastAsia" w:ascii="宋体" w:hAnsi="宋体" w:cs="宋体"/>
          <w:color w:val="000000"/>
          <w:kern w:val="0"/>
          <w:highlight w:val="none"/>
          <w:u w:val="single"/>
        </w:rPr>
        <w:t xml:space="preserve">              </w:t>
      </w:r>
      <w:r>
        <w:rPr>
          <w:rFonts w:hint="eastAsia" w:ascii="宋体" w:hAnsi="宋体" w:cs="宋体"/>
          <w:color w:val="000000"/>
          <w:kern w:val="0"/>
          <w:highlight w:val="none"/>
        </w:rPr>
        <w:t>（姓名）系</w:t>
      </w:r>
      <w:r>
        <w:rPr>
          <w:rFonts w:hint="eastAsia" w:ascii="宋体" w:hAnsi="宋体" w:cs="宋体"/>
          <w:color w:val="000000"/>
          <w:kern w:val="0"/>
          <w:highlight w:val="none"/>
          <w:u w:val="single"/>
        </w:rPr>
        <w:t xml:space="preserve">                           </w:t>
      </w:r>
      <w:r>
        <w:rPr>
          <w:rFonts w:hint="eastAsia" w:ascii="宋体" w:hAnsi="宋体" w:cs="宋体"/>
          <w:color w:val="000000"/>
          <w:kern w:val="0"/>
          <w:highlight w:val="none"/>
        </w:rPr>
        <w:t>（投标人名称）的法定代表人（负责人），现授权委托本单位在职职工</w:t>
      </w:r>
      <w:r>
        <w:rPr>
          <w:rFonts w:hint="eastAsia" w:ascii="宋体" w:hAnsi="宋体" w:cs="宋体"/>
          <w:color w:val="000000"/>
          <w:kern w:val="0"/>
          <w:highlight w:val="none"/>
          <w:u w:val="single"/>
        </w:rPr>
        <w:t xml:space="preserve">          </w:t>
      </w:r>
      <w:r>
        <w:rPr>
          <w:rFonts w:hint="eastAsia" w:ascii="宋体" w:hAnsi="宋体" w:cs="宋体"/>
          <w:color w:val="000000"/>
          <w:kern w:val="0"/>
          <w:highlight w:val="none"/>
        </w:rPr>
        <w:t>（姓名），身份证号码：</w:t>
      </w:r>
      <w:r>
        <w:rPr>
          <w:rFonts w:hint="eastAsia" w:ascii="宋体" w:hAnsi="宋体" w:cs="宋体"/>
          <w:color w:val="000000"/>
          <w:kern w:val="0"/>
          <w:highlight w:val="none"/>
          <w:u w:val="single"/>
        </w:rPr>
        <w:t xml:space="preserve">                      </w:t>
      </w:r>
      <w:r>
        <w:rPr>
          <w:rFonts w:hint="eastAsia" w:ascii="宋体" w:hAnsi="宋体" w:cs="宋体"/>
          <w:color w:val="000000"/>
          <w:kern w:val="0"/>
          <w:highlight w:val="none"/>
        </w:rPr>
        <w:t>以我公司名义参加</w:t>
      </w:r>
      <w:r>
        <w:rPr>
          <w:rFonts w:hint="eastAsia" w:ascii="宋体" w:hAnsi="宋体" w:cs="宋体"/>
          <w:color w:val="000000"/>
          <w:kern w:val="0"/>
          <w:highlight w:val="none"/>
          <w:u w:val="single"/>
        </w:rPr>
        <w:t xml:space="preserve">   </w:t>
      </w:r>
      <w:r>
        <w:rPr>
          <w:rFonts w:hint="eastAsia" w:ascii="宋体" w:hAnsi="宋体" w:cs="宋体"/>
          <w:color w:val="000000"/>
          <w:highlight w:val="none"/>
          <w:u w:val="single"/>
        </w:rPr>
        <w:t xml:space="preserve">（项目名称及项目编号）    </w:t>
      </w:r>
      <w:r>
        <w:rPr>
          <w:rFonts w:hint="eastAsia" w:ascii="宋体" w:hAnsi="宋体" w:cs="宋体"/>
          <w:color w:val="000000"/>
          <w:highlight w:val="none"/>
        </w:rPr>
        <w:t>项目的投标活动，并代表我方全权办理针对上述项目的投标、开标、评标、签约等具体事务和签署相关文件。</w:t>
      </w:r>
    </w:p>
    <w:p>
      <w:pPr>
        <w:spacing w:line="400" w:lineRule="exact"/>
        <w:ind w:firstLine="420" w:firstLineChars="200"/>
        <w:rPr>
          <w:rFonts w:ascii="宋体" w:hAnsi="宋体" w:cs="宋体"/>
          <w:color w:val="000000"/>
          <w:highlight w:val="none"/>
        </w:rPr>
      </w:pPr>
      <w:r>
        <w:rPr>
          <w:rFonts w:hint="eastAsia" w:ascii="宋体" w:hAnsi="宋体" w:cs="宋体"/>
          <w:color w:val="000000"/>
          <w:highlight w:val="none"/>
        </w:rPr>
        <w:t>我方对被授权人的签字事项负全部责任。</w:t>
      </w:r>
    </w:p>
    <w:p>
      <w:pPr>
        <w:pStyle w:val="12"/>
        <w:spacing w:line="400" w:lineRule="exact"/>
        <w:ind w:firstLine="420" w:firstLineChars="200"/>
        <w:rPr>
          <w:rFonts w:hint="eastAsia" w:hAnsi="宋体"/>
          <w:highlight w:val="none"/>
          <w:u w:val="single"/>
        </w:rPr>
      </w:pPr>
      <w:r>
        <w:rPr>
          <w:rFonts w:hint="eastAsia" w:ascii="宋体" w:hAnsi="宋体" w:cs="宋体"/>
          <w:color w:val="000000"/>
          <w:highlight w:val="none"/>
        </w:rPr>
        <w:t>授权委托代理期限：自即日起至该项目政府采购活动结束。</w:t>
      </w:r>
    </w:p>
    <w:p>
      <w:pPr>
        <w:pStyle w:val="12"/>
        <w:spacing w:line="400" w:lineRule="exact"/>
        <w:rPr>
          <w:rFonts w:hint="eastAsia" w:hAnsi="宋体"/>
          <w:highlight w:val="none"/>
          <w:u w:val="single"/>
        </w:rPr>
      </w:pPr>
      <w:r>
        <w:rPr>
          <w:rFonts w:hint="eastAsia" w:hAnsi="宋体"/>
          <w:highlight w:val="none"/>
        </w:rPr>
        <w:t xml:space="preserve">                                                                                             </w:t>
      </w:r>
    </w:p>
    <w:p>
      <w:pPr>
        <w:spacing w:line="400" w:lineRule="exact"/>
        <w:ind w:firstLine="420" w:firstLineChars="200"/>
        <w:rPr>
          <w:rFonts w:hint="eastAsia" w:ascii="宋体" w:hAnsi="宋体"/>
          <w:kern w:val="0"/>
          <w:highlight w:val="none"/>
        </w:rPr>
      </w:pPr>
      <w:r>
        <w:rPr>
          <w:rFonts w:hint="eastAsia" w:ascii="宋体" w:hAnsi="宋体"/>
          <w:kern w:val="0"/>
          <w:highlight w:val="none"/>
        </w:rPr>
        <w:t>代理人无转委托权，特此委托。</w:t>
      </w:r>
      <w:r>
        <w:rPr>
          <w:rFonts w:ascii="宋体" w:hAnsi="宋体"/>
          <w:kern w:val="0"/>
          <w:highlight w:val="none"/>
        </w:rPr>
        <w:t xml:space="preserve"> </w:t>
      </w:r>
    </w:p>
    <w:p>
      <w:pPr>
        <w:snapToGrid w:val="0"/>
        <w:spacing w:line="400" w:lineRule="exact"/>
        <w:ind w:firstLine="525"/>
        <w:outlineLvl w:val="9"/>
        <w:rPr>
          <w:rFonts w:hint="eastAsia" w:ascii="宋体" w:hAnsi="宋体"/>
          <w:szCs w:val="21"/>
          <w:highlight w:val="none"/>
        </w:rPr>
      </w:pPr>
    </w:p>
    <w:p>
      <w:pPr>
        <w:snapToGrid w:val="0"/>
        <w:spacing w:line="400" w:lineRule="exact"/>
        <w:ind w:firstLine="420"/>
        <w:outlineLvl w:val="4"/>
        <w:rPr>
          <w:rFonts w:hint="eastAsia" w:ascii="宋体" w:hAnsi="宋体"/>
          <w:szCs w:val="21"/>
          <w:highlight w:val="none"/>
        </w:rPr>
      </w:pPr>
      <w:r>
        <w:rPr>
          <w:rFonts w:hint="eastAsia" w:ascii="宋体" w:hAnsi="宋体"/>
          <w:szCs w:val="21"/>
          <w:highlight w:val="none"/>
        </w:rPr>
        <w:t>我已在下面签字，以资证明。</w:t>
      </w:r>
    </w:p>
    <w:p>
      <w:pPr>
        <w:snapToGrid w:val="0"/>
        <w:spacing w:line="400" w:lineRule="exact"/>
        <w:ind w:firstLine="420"/>
        <w:outlineLvl w:val="9"/>
        <w:rPr>
          <w:rFonts w:hint="eastAsia" w:ascii="宋体" w:hAnsi="宋体"/>
          <w:szCs w:val="21"/>
          <w:highlight w:val="none"/>
        </w:rPr>
      </w:pPr>
    </w:p>
    <w:p>
      <w:pPr>
        <w:snapToGrid w:val="0"/>
        <w:spacing w:line="400" w:lineRule="exact"/>
        <w:ind w:firstLine="420"/>
        <w:outlineLvl w:val="4"/>
        <w:rPr>
          <w:rFonts w:hint="eastAsia" w:ascii="宋体" w:hAnsi="宋体"/>
          <w:szCs w:val="21"/>
          <w:highlight w:val="none"/>
          <w:u w:val="single"/>
        </w:rPr>
      </w:pPr>
      <w:r>
        <w:rPr>
          <w:rFonts w:hint="eastAsia" w:ascii="宋体" w:hAnsi="宋体" w:cs="宋体"/>
          <w:color w:val="000000"/>
          <w:szCs w:val="21"/>
          <w:highlight w:val="none"/>
        </w:rPr>
        <w:t>投标人[公章（CA签章）]：</w:t>
      </w:r>
      <w:r>
        <w:rPr>
          <w:rFonts w:hint="eastAsia" w:ascii="宋体" w:hAnsi="宋体"/>
          <w:szCs w:val="21"/>
          <w:highlight w:val="none"/>
          <w:u w:val="single"/>
        </w:rPr>
        <w:t xml:space="preserve">                                   </w:t>
      </w:r>
    </w:p>
    <w:p>
      <w:pPr>
        <w:snapToGrid w:val="0"/>
        <w:spacing w:line="400" w:lineRule="exact"/>
        <w:ind w:firstLine="420"/>
        <w:outlineLvl w:val="9"/>
        <w:rPr>
          <w:rFonts w:hint="eastAsia" w:ascii="宋体" w:hAnsi="宋体"/>
          <w:szCs w:val="21"/>
          <w:highlight w:val="none"/>
        </w:rPr>
      </w:pPr>
    </w:p>
    <w:p>
      <w:pPr>
        <w:snapToGrid w:val="0"/>
        <w:spacing w:line="400" w:lineRule="exact"/>
        <w:ind w:firstLine="420"/>
        <w:outlineLvl w:val="4"/>
        <w:rPr>
          <w:rFonts w:hint="eastAsia" w:ascii="宋体" w:hAnsi="宋体"/>
          <w:szCs w:val="21"/>
          <w:highlight w:val="none"/>
        </w:rPr>
      </w:pPr>
      <w:r>
        <w:rPr>
          <w:rFonts w:hint="eastAsia" w:ascii="宋体" w:hAnsi="宋体" w:cs="宋体"/>
          <w:color w:val="000000"/>
          <w:szCs w:val="21"/>
          <w:highlight w:val="none"/>
        </w:rPr>
        <w:t>法定代表人（负责人）签字（或个人CA签章）：</w:t>
      </w:r>
      <w:r>
        <w:rPr>
          <w:rFonts w:hint="eastAsia" w:ascii="宋体" w:hAnsi="宋体"/>
          <w:szCs w:val="21"/>
          <w:highlight w:val="none"/>
          <w:u w:val="single"/>
        </w:rPr>
        <w:t xml:space="preserve">      </w:t>
      </w:r>
      <w:r>
        <w:rPr>
          <w:rFonts w:hint="eastAsia" w:ascii="宋体" w:hAnsi="宋体"/>
          <w:szCs w:val="21"/>
          <w:highlight w:val="none"/>
          <w:u w:val="single"/>
          <w:lang w:val="en-US" w:eastAsia="zh-CN"/>
        </w:rPr>
        <w:t xml:space="preserve">   </w:t>
      </w:r>
      <w:r>
        <w:rPr>
          <w:rFonts w:hint="eastAsia" w:ascii="宋体" w:hAnsi="宋体"/>
          <w:szCs w:val="21"/>
          <w:highlight w:val="none"/>
          <w:u w:val="single"/>
        </w:rPr>
        <w:t xml:space="preserve">   </w:t>
      </w:r>
      <w:r>
        <w:rPr>
          <w:rFonts w:hint="eastAsia" w:ascii="宋体" w:hAnsi="宋体"/>
          <w:szCs w:val="21"/>
          <w:highlight w:val="none"/>
        </w:rPr>
        <w:t xml:space="preserve">     </w:t>
      </w:r>
      <w:r>
        <w:rPr>
          <w:rFonts w:hint="eastAsia"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rPr>
        <w:t>日</w:t>
      </w:r>
    </w:p>
    <w:p>
      <w:pPr>
        <w:pStyle w:val="27"/>
        <w:rPr>
          <w:rFonts w:hint="eastAsia"/>
          <w:highlight w:val="none"/>
        </w:rPr>
      </w:pPr>
    </w:p>
    <w:p>
      <w:pPr>
        <w:tabs>
          <w:tab w:val="left" w:pos="1305"/>
        </w:tabs>
        <w:spacing w:line="440" w:lineRule="exact"/>
        <w:rPr>
          <w:rFonts w:hint="eastAsia" w:hAnsi="宋体"/>
          <w:b/>
          <w:sz w:val="24"/>
          <w:highlight w:val="none"/>
        </w:rPr>
      </w:pPr>
    </w:p>
    <w:p>
      <w:pPr>
        <w:pStyle w:val="12"/>
        <w:jc w:val="center"/>
        <w:rPr>
          <w:rFonts w:hAnsi="宋体" w:cs="宋体"/>
          <w:b/>
          <w:color w:val="000000"/>
          <w:sz w:val="32"/>
          <w:highlight w:val="none"/>
        </w:rPr>
      </w:pPr>
      <w:r>
        <w:rPr>
          <w:rFonts w:hint="eastAsia" w:hAnsi="宋体" w:cs="宋体"/>
          <w:b/>
          <w:color w:val="000000"/>
          <w:sz w:val="32"/>
          <w:highlight w:val="none"/>
        </w:rPr>
        <w:t>授权委托书（格式二）</w:t>
      </w:r>
    </w:p>
    <w:p>
      <w:pPr>
        <w:snapToGrid w:val="0"/>
        <w:spacing w:line="400" w:lineRule="exact"/>
        <w:rPr>
          <w:rFonts w:hint="eastAsia" w:ascii="宋体" w:hAnsi="宋体" w:eastAsia="宋体" w:cs="宋体"/>
          <w:color w:val="000000"/>
          <w:highlight w:val="none"/>
          <w:lang w:eastAsia="zh-CN"/>
        </w:rPr>
      </w:pPr>
      <w:r>
        <w:rPr>
          <w:rFonts w:hint="eastAsia" w:ascii="宋体" w:hAnsi="宋体" w:cs="宋体"/>
          <w:color w:val="000000"/>
          <w:szCs w:val="21"/>
          <w:highlight w:val="none"/>
        </w:rPr>
        <w:t>致：</w:t>
      </w:r>
      <w:r>
        <w:rPr>
          <w:rFonts w:hint="eastAsia" w:ascii="宋体" w:hAnsi="宋体" w:cs="宋体"/>
          <w:color w:val="000000"/>
          <w:highlight w:val="none"/>
          <w:u w:val="single"/>
          <w:lang w:eastAsia="zh-CN"/>
        </w:rPr>
        <w:t>广西江之源项目管理有限公司</w:t>
      </w:r>
    </w:p>
    <w:p>
      <w:pPr>
        <w:snapToGrid w:val="0"/>
        <w:spacing w:line="400" w:lineRule="exact"/>
        <w:rPr>
          <w:rFonts w:ascii="宋体" w:hAnsi="宋体" w:cs="宋体"/>
          <w:color w:val="000000"/>
          <w:szCs w:val="21"/>
          <w:highlight w:val="none"/>
          <w:u w:val="single"/>
        </w:rPr>
      </w:pPr>
    </w:p>
    <w:p>
      <w:pPr>
        <w:pStyle w:val="12"/>
        <w:keepNext w:val="0"/>
        <w:keepLines w:val="0"/>
        <w:pageBreakBefore w:val="0"/>
        <w:widowControl w:val="0"/>
        <w:kinsoku/>
        <w:wordWrap w:val="0"/>
        <w:overflowPunct/>
        <w:topLinePunct w:val="0"/>
        <w:autoSpaceDE/>
        <w:autoSpaceDN/>
        <w:bidi w:val="0"/>
        <w:adjustRightInd/>
        <w:snapToGrid/>
        <w:spacing w:line="340" w:lineRule="exact"/>
        <w:ind w:firstLine="420" w:firstLineChars="200"/>
        <w:textAlignment w:val="auto"/>
        <w:rPr>
          <w:rFonts w:hAnsi="宋体" w:cs="宋体"/>
          <w:color w:val="000000"/>
          <w:highlight w:val="none"/>
        </w:rPr>
      </w:pPr>
      <w:r>
        <w:rPr>
          <w:rFonts w:hint="eastAsia" w:hAnsi="宋体" w:cs="宋体"/>
          <w:color w:val="000000"/>
          <w:kern w:val="0"/>
          <w:highlight w:val="none"/>
        </w:rPr>
        <w:t>我</w:t>
      </w:r>
      <w:r>
        <w:rPr>
          <w:rFonts w:hint="eastAsia" w:hAnsi="宋体" w:cs="宋体"/>
          <w:color w:val="000000"/>
          <w:kern w:val="0"/>
          <w:highlight w:val="none"/>
          <w:u w:val="single"/>
        </w:rPr>
        <w:t xml:space="preserve">              </w:t>
      </w:r>
      <w:r>
        <w:rPr>
          <w:rFonts w:hint="eastAsia" w:hAnsi="宋体" w:cs="宋体"/>
          <w:color w:val="000000"/>
          <w:kern w:val="0"/>
          <w:highlight w:val="none"/>
        </w:rPr>
        <w:t>（姓名）系自然人，现授权委托</w:t>
      </w:r>
      <w:r>
        <w:rPr>
          <w:rFonts w:hint="eastAsia" w:hAnsi="宋体" w:cs="宋体"/>
          <w:color w:val="000000"/>
          <w:kern w:val="0"/>
          <w:highlight w:val="none"/>
          <w:u w:val="single"/>
        </w:rPr>
        <w:t xml:space="preserve">            </w:t>
      </w:r>
      <w:r>
        <w:rPr>
          <w:rFonts w:hint="eastAsia" w:hAnsi="宋体" w:cs="宋体"/>
          <w:color w:val="000000"/>
          <w:kern w:val="0"/>
          <w:highlight w:val="none"/>
        </w:rPr>
        <w:t>（姓 名），身份证号码：</w:t>
      </w:r>
      <w:r>
        <w:rPr>
          <w:rFonts w:hint="eastAsia" w:hAnsi="宋体" w:cs="宋体"/>
          <w:color w:val="000000"/>
          <w:kern w:val="0"/>
          <w:highlight w:val="none"/>
          <w:u w:val="single"/>
        </w:rPr>
        <w:t xml:space="preserve">              </w:t>
      </w:r>
      <w:r>
        <w:rPr>
          <w:rFonts w:hint="eastAsia" w:hAnsi="宋体" w:cs="宋体"/>
          <w:color w:val="000000"/>
          <w:kern w:val="0"/>
          <w:highlight w:val="none"/>
        </w:rPr>
        <w:t>以本人名义参加</w:t>
      </w:r>
      <w:r>
        <w:rPr>
          <w:rFonts w:hint="eastAsia" w:hAnsi="宋体" w:cs="宋体"/>
          <w:color w:val="000000"/>
          <w:kern w:val="0"/>
          <w:highlight w:val="none"/>
          <w:u w:val="single"/>
        </w:rPr>
        <w:t xml:space="preserve">      </w:t>
      </w:r>
      <w:r>
        <w:rPr>
          <w:rFonts w:hint="eastAsia" w:hAnsi="宋体" w:cs="宋体"/>
          <w:color w:val="000000"/>
          <w:highlight w:val="none"/>
          <w:u w:val="single"/>
        </w:rPr>
        <w:t xml:space="preserve">（项目名称及项目编号）        </w:t>
      </w:r>
      <w:r>
        <w:rPr>
          <w:rFonts w:hint="eastAsia" w:hAnsi="宋体" w:cs="宋体"/>
          <w:color w:val="000000"/>
          <w:highlight w:val="none"/>
        </w:rPr>
        <w:t>项目的投标活动，并代表本人全权办理针对上述项目的投标、开标、评标、签约等具体事务和签署相关文件。</w:t>
      </w:r>
    </w:p>
    <w:p>
      <w:pPr>
        <w:pStyle w:val="12"/>
        <w:spacing w:line="340" w:lineRule="exact"/>
        <w:ind w:firstLine="420" w:firstLineChars="200"/>
        <w:rPr>
          <w:rFonts w:hAnsi="宋体" w:cs="宋体"/>
          <w:color w:val="000000"/>
          <w:highlight w:val="none"/>
        </w:rPr>
      </w:pPr>
      <w:r>
        <w:rPr>
          <w:rFonts w:hint="eastAsia" w:hAnsi="宋体" w:cs="宋体"/>
          <w:color w:val="000000"/>
          <w:highlight w:val="none"/>
        </w:rPr>
        <w:t>本人对被授权人的签字事项负全部责任。</w:t>
      </w:r>
    </w:p>
    <w:p>
      <w:pPr>
        <w:pStyle w:val="12"/>
        <w:spacing w:line="400" w:lineRule="exact"/>
        <w:ind w:firstLine="420" w:firstLineChars="200"/>
        <w:rPr>
          <w:rFonts w:hAnsi="宋体" w:cs="宋体"/>
          <w:color w:val="000000"/>
          <w:highlight w:val="none"/>
          <w:u w:val="single"/>
        </w:rPr>
      </w:pPr>
      <w:r>
        <w:rPr>
          <w:rFonts w:hint="eastAsia" w:hAnsi="宋体" w:cs="宋体"/>
          <w:color w:val="000000"/>
          <w:highlight w:val="none"/>
        </w:rPr>
        <w:t>授权委托代理期限：自即日起至该项目政府采购活动结束。</w:t>
      </w:r>
    </w:p>
    <w:p>
      <w:pPr>
        <w:pStyle w:val="12"/>
        <w:spacing w:line="340" w:lineRule="exact"/>
        <w:ind w:firstLine="420" w:firstLineChars="200"/>
        <w:rPr>
          <w:rFonts w:hAnsi="宋体" w:cs="宋体"/>
          <w:color w:val="000000"/>
          <w:highlight w:val="none"/>
          <w:u w:val="single"/>
        </w:rPr>
      </w:pPr>
    </w:p>
    <w:p>
      <w:pPr>
        <w:pStyle w:val="12"/>
        <w:spacing w:line="340" w:lineRule="exact"/>
        <w:rPr>
          <w:rFonts w:hAnsi="宋体" w:cs="宋体"/>
          <w:color w:val="000000"/>
          <w:highlight w:val="none"/>
          <w:u w:val="single"/>
        </w:rPr>
      </w:pPr>
      <w:r>
        <w:rPr>
          <w:rFonts w:hint="eastAsia" w:hAnsi="宋体" w:cs="宋体"/>
          <w:color w:val="000000"/>
          <w:highlight w:val="none"/>
        </w:rPr>
        <w:t xml:space="preserve">                                                                                             </w:t>
      </w:r>
    </w:p>
    <w:p>
      <w:pPr>
        <w:spacing w:line="340" w:lineRule="exact"/>
        <w:ind w:firstLine="420" w:firstLineChars="200"/>
        <w:rPr>
          <w:rFonts w:ascii="宋体" w:hAnsi="宋体" w:cs="宋体"/>
          <w:color w:val="000000"/>
          <w:kern w:val="0"/>
          <w:highlight w:val="none"/>
        </w:rPr>
      </w:pPr>
      <w:r>
        <w:rPr>
          <w:rFonts w:hint="eastAsia" w:ascii="宋体" w:hAnsi="宋体" w:cs="宋体"/>
          <w:color w:val="000000"/>
          <w:kern w:val="0"/>
          <w:highlight w:val="none"/>
        </w:rPr>
        <w:t>代理人无转委托权</w:t>
      </w:r>
      <w:r>
        <w:rPr>
          <w:rFonts w:hint="eastAsia" w:ascii="宋体" w:hAnsi="宋体" w:cs="宋体"/>
          <w:color w:val="000000"/>
          <w:kern w:val="0"/>
          <w:highlight w:val="none"/>
          <w:lang w:eastAsia="zh-CN"/>
        </w:rPr>
        <w:t>，</w:t>
      </w:r>
      <w:r>
        <w:rPr>
          <w:rFonts w:hint="eastAsia" w:ascii="宋体" w:hAnsi="宋体" w:cs="宋体"/>
          <w:color w:val="000000"/>
          <w:kern w:val="0"/>
          <w:highlight w:val="none"/>
        </w:rPr>
        <w:t xml:space="preserve">特此委托。 </w:t>
      </w:r>
    </w:p>
    <w:p>
      <w:pPr>
        <w:snapToGrid w:val="0"/>
        <w:spacing w:line="340" w:lineRule="exact"/>
        <w:ind w:firstLine="525"/>
        <w:rPr>
          <w:rFonts w:ascii="宋体" w:hAnsi="宋体" w:cs="宋体"/>
          <w:color w:val="000000"/>
          <w:szCs w:val="21"/>
          <w:highlight w:val="none"/>
        </w:rPr>
      </w:pPr>
    </w:p>
    <w:p>
      <w:pPr>
        <w:snapToGrid w:val="0"/>
        <w:spacing w:line="340" w:lineRule="exact"/>
        <w:ind w:firstLine="420"/>
        <w:rPr>
          <w:rFonts w:ascii="宋体" w:hAnsi="宋体" w:cs="宋体"/>
          <w:color w:val="000000"/>
          <w:szCs w:val="21"/>
          <w:highlight w:val="none"/>
        </w:rPr>
      </w:pPr>
      <w:r>
        <w:rPr>
          <w:rFonts w:hint="eastAsia" w:ascii="宋体" w:hAnsi="宋体" w:cs="宋体"/>
          <w:color w:val="000000"/>
          <w:szCs w:val="21"/>
          <w:highlight w:val="none"/>
        </w:rPr>
        <w:t>我已在下面签字，以资证明。</w:t>
      </w:r>
    </w:p>
    <w:p>
      <w:pPr>
        <w:snapToGrid w:val="0"/>
        <w:spacing w:line="340" w:lineRule="exact"/>
        <w:ind w:firstLine="420"/>
        <w:rPr>
          <w:rFonts w:ascii="宋体" w:hAnsi="宋体" w:cs="宋体"/>
          <w:color w:val="000000"/>
          <w:szCs w:val="21"/>
          <w:highlight w:val="none"/>
        </w:rPr>
      </w:pPr>
    </w:p>
    <w:p>
      <w:pPr>
        <w:snapToGrid w:val="0"/>
        <w:spacing w:line="340" w:lineRule="exact"/>
        <w:ind w:firstLine="420"/>
        <w:rPr>
          <w:rFonts w:ascii="宋体" w:hAnsi="宋体" w:cs="宋体"/>
          <w:color w:val="000000"/>
          <w:szCs w:val="21"/>
          <w:highlight w:val="none"/>
        </w:rPr>
      </w:pPr>
      <w:r>
        <w:rPr>
          <w:rFonts w:hint="eastAsia" w:ascii="宋体" w:hAnsi="宋体" w:cs="宋体"/>
          <w:color w:val="000000"/>
          <w:szCs w:val="21"/>
          <w:highlight w:val="none"/>
        </w:rPr>
        <w:t>自然人签字并在签名处加盖大拇指指印或个人CA签章：</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     </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年</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月</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日</w:t>
      </w:r>
    </w:p>
    <w:p>
      <w:pPr>
        <w:tabs>
          <w:tab w:val="left" w:pos="1305"/>
        </w:tabs>
        <w:spacing w:line="440" w:lineRule="exact"/>
        <w:rPr>
          <w:rFonts w:hint="eastAsia" w:hAnsi="宋体"/>
          <w:b/>
          <w:sz w:val="24"/>
          <w:highlight w:val="none"/>
        </w:rPr>
      </w:pPr>
    </w:p>
    <w:p>
      <w:pPr>
        <w:tabs>
          <w:tab w:val="left" w:pos="1305"/>
        </w:tabs>
        <w:spacing w:line="440" w:lineRule="exact"/>
        <w:rPr>
          <w:rFonts w:hint="eastAsia" w:hAnsi="宋体"/>
          <w:b/>
          <w:sz w:val="24"/>
          <w:highlight w:val="none"/>
        </w:rPr>
      </w:pPr>
    </w:p>
    <w:p>
      <w:pPr>
        <w:pStyle w:val="2"/>
        <w:rPr>
          <w:rFonts w:hint="eastAsia"/>
          <w:highlight w:val="none"/>
        </w:rPr>
      </w:pPr>
    </w:p>
    <w:p>
      <w:pPr>
        <w:pStyle w:val="12"/>
        <w:spacing w:line="400" w:lineRule="exact"/>
        <w:rPr>
          <w:rFonts w:hint="eastAsia" w:hAnsi="宋体"/>
          <w:b/>
          <w:sz w:val="32"/>
          <w:szCs w:val="32"/>
          <w:highlight w:val="none"/>
        </w:rPr>
      </w:pPr>
      <w:r>
        <w:rPr>
          <w:rFonts w:hint="eastAsia" w:hAnsi="宋体"/>
          <w:b/>
          <w:sz w:val="32"/>
          <w:szCs w:val="32"/>
          <w:highlight w:val="none"/>
        </w:rPr>
        <w:t>3.投标人的法人或者其他组织营业执照等证明文件复印件（必须提供，自然人除外）</w:t>
      </w:r>
    </w:p>
    <w:p>
      <w:pPr>
        <w:pStyle w:val="12"/>
        <w:spacing w:line="400" w:lineRule="exact"/>
        <w:rPr>
          <w:rFonts w:hint="eastAsia" w:hAnsi="宋体"/>
          <w:b/>
          <w:sz w:val="24"/>
          <w:szCs w:val="24"/>
          <w:highlight w:val="none"/>
        </w:rPr>
      </w:pPr>
      <w:r>
        <w:rPr>
          <w:rFonts w:hint="eastAsia" w:hAnsi="宋体"/>
          <w:b/>
          <w:sz w:val="24"/>
          <w:szCs w:val="24"/>
          <w:highlight w:val="none"/>
        </w:rPr>
        <w:t xml:space="preserve">注：①法人包括企业法人、机关法人、事业单位法人和社会团体法人；其他组织主要包括合伙企业、非企业专业服务机构、个体工商户、农村承包经营户。②如供应商为企业（包括合伙企业），应提供市场监督管理部门（或行政审批部门）注册的有效“企业法人营业执照”或“营业执照；供应商为事业单位，应提供有效的“事业单位法人证书”；供应商为非企业专业服务机构的，应提供执业许可证等证明文件；供应商为个体工商户，应提供有效的“个体工商户营业执照”。 </w:t>
      </w:r>
    </w:p>
    <w:p>
      <w:pPr>
        <w:rPr>
          <w:rFonts w:hint="eastAsia" w:ascii="宋体" w:hAnsi="宋体" w:cs="宋体"/>
          <w:b/>
          <w:sz w:val="28"/>
          <w:szCs w:val="28"/>
          <w:highlight w:val="none"/>
        </w:rPr>
      </w:pPr>
    </w:p>
    <w:p>
      <w:pPr>
        <w:pStyle w:val="12"/>
        <w:spacing w:line="400" w:lineRule="exact"/>
        <w:rPr>
          <w:rFonts w:hint="eastAsia" w:hAnsi="宋体"/>
          <w:b/>
          <w:sz w:val="32"/>
          <w:szCs w:val="32"/>
          <w:highlight w:val="none"/>
        </w:rPr>
      </w:pPr>
    </w:p>
    <w:p>
      <w:pPr>
        <w:pStyle w:val="12"/>
        <w:spacing w:line="400" w:lineRule="exact"/>
        <w:rPr>
          <w:rFonts w:hint="eastAsia" w:hAnsi="宋体"/>
          <w:b/>
          <w:sz w:val="32"/>
          <w:szCs w:val="32"/>
          <w:highlight w:val="none"/>
        </w:rPr>
      </w:pPr>
      <w:r>
        <w:rPr>
          <w:rFonts w:hint="eastAsia" w:hAnsi="宋体"/>
          <w:b/>
          <w:sz w:val="32"/>
          <w:szCs w:val="32"/>
          <w:highlight w:val="none"/>
          <w:lang w:val="en-US" w:eastAsia="zh-CN"/>
        </w:rPr>
        <w:t>4</w:t>
      </w:r>
      <w:r>
        <w:rPr>
          <w:rFonts w:hint="eastAsia" w:hAnsi="宋体"/>
          <w:b/>
          <w:sz w:val="32"/>
          <w:szCs w:val="32"/>
          <w:highlight w:val="none"/>
        </w:rPr>
        <w:t>.投标人2022年以来任意年度内的财务状况报告复印件(或2023年以来由银行出具的资信证明复印件)(供应商成立不满一年的需提供成立之日起至投标截止时间前的月报表或银行出具的资信证明) （必须提供）</w:t>
      </w:r>
    </w:p>
    <w:p>
      <w:pPr>
        <w:pStyle w:val="12"/>
        <w:spacing w:line="400" w:lineRule="exact"/>
        <w:rPr>
          <w:rFonts w:hint="eastAsia" w:hAnsi="宋体"/>
          <w:b/>
          <w:sz w:val="32"/>
          <w:szCs w:val="32"/>
          <w:highlight w:val="none"/>
        </w:rPr>
      </w:pPr>
    </w:p>
    <w:p>
      <w:pPr>
        <w:rPr>
          <w:rFonts w:hint="eastAsia"/>
          <w:highlight w:val="none"/>
        </w:rPr>
      </w:pPr>
    </w:p>
    <w:p>
      <w:pPr>
        <w:pStyle w:val="27"/>
        <w:rPr>
          <w:rFonts w:hint="eastAsia" w:ascii="Times New Roman" w:hAnsi="Times New Roman"/>
          <w:highlight w:val="none"/>
        </w:rPr>
      </w:pPr>
    </w:p>
    <w:p>
      <w:pPr>
        <w:pStyle w:val="27"/>
        <w:rPr>
          <w:rFonts w:hint="eastAsia" w:ascii="Times New Roman" w:hAnsi="Times New Roman"/>
          <w:highlight w:val="none"/>
        </w:rPr>
      </w:pPr>
    </w:p>
    <w:p>
      <w:pPr>
        <w:pStyle w:val="27"/>
        <w:rPr>
          <w:rFonts w:hint="eastAsia" w:ascii="Times New Roman" w:hAnsi="Times New Roman"/>
          <w:highlight w:val="none"/>
        </w:rPr>
      </w:pPr>
    </w:p>
    <w:p>
      <w:pPr>
        <w:pStyle w:val="12"/>
        <w:spacing w:line="400" w:lineRule="exact"/>
        <w:rPr>
          <w:rFonts w:hint="eastAsia" w:hAnsi="宋体"/>
          <w:b/>
          <w:sz w:val="32"/>
          <w:szCs w:val="32"/>
          <w:highlight w:val="none"/>
        </w:rPr>
      </w:pPr>
      <w:r>
        <w:rPr>
          <w:rFonts w:hint="eastAsia" w:hAnsi="宋体"/>
          <w:b/>
          <w:sz w:val="32"/>
          <w:szCs w:val="32"/>
          <w:highlight w:val="none"/>
          <w:lang w:val="en-US" w:eastAsia="zh-CN"/>
        </w:rPr>
        <w:t>5</w:t>
      </w:r>
      <w:r>
        <w:rPr>
          <w:rFonts w:hint="eastAsia" w:hAnsi="宋体"/>
          <w:b/>
          <w:sz w:val="32"/>
          <w:szCs w:val="32"/>
          <w:highlight w:val="none"/>
        </w:rPr>
        <w:t>.投标人截止开标时间前近半年内任意一个月或任一季度依法缴纳税收的证明材料【增值税发票(税收完税证明)或企业所得税完税证明或税务部门出具的免税证明】复印件（必须提供）</w:t>
      </w:r>
    </w:p>
    <w:p>
      <w:pPr>
        <w:pStyle w:val="27"/>
        <w:rPr>
          <w:rFonts w:hint="eastAsia" w:ascii="Times New Roman" w:hAnsi="Times New Roman"/>
          <w:highlight w:val="none"/>
        </w:rPr>
      </w:pPr>
    </w:p>
    <w:p>
      <w:pPr>
        <w:pStyle w:val="27"/>
        <w:rPr>
          <w:rFonts w:hint="eastAsia" w:ascii="Times New Roman" w:hAnsi="Times New Roman"/>
          <w:highlight w:val="none"/>
        </w:rPr>
      </w:pPr>
    </w:p>
    <w:p>
      <w:pPr>
        <w:pStyle w:val="27"/>
        <w:rPr>
          <w:rFonts w:hint="eastAsia" w:ascii="Times New Roman" w:hAnsi="Times New Roman"/>
          <w:highlight w:val="none"/>
        </w:rPr>
      </w:pPr>
    </w:p>
    <w:p>
      <w:pPr>
        <w:pStyle w:val="27"/>
        <w:rPr>
          <w:rFonts w:hint="eastAsia" w:ascii="Times New Roman" w:hAnsi="Times New Roman"/>
          <w:highlight w:val="none"/>
        </w:rPr>
      </w:pPr>
    </w:p>
    <w:p>
      <w:pPr>
        <w:pStyle w:val="12"/>
        <w:spacing w:line="400" w:lineRule="exact"/>
        <w:rPr>
          <w:rFonts w:hint="eastAsia" w:hAnsi="宋体"/>
          <w:b/>
          <w:sz w:val="32"/>
          <w:szCs w:val="32"/>
          <w:highlight w:val="none"/>
        </w:rPr>
      </w:pPr>
      <w:r>
        <w:rPr>
          <w:rFonts w:hint="eastAsia" w:hAnsi="宋体"/>
          <w:b/>
          <w:sz w:val="32"/>
          <w:szCs w:val="32"/>
          <w:highlight w:val="none"/>
          <w:lang w:val="en-US" w:eastAsia="zh-CN"/>
        </w:rPr>
        <w:t>6</w:t>
      </w:r>
      <w:r>
        <w:rPr>
          <w:rFonts w:hint="eastAsia" w:hAnsi="宋体"/>
          <w:b/>
          <w:sz w:val="32"/>
          <w:szCs w:val="32"/>
          <w:highlight w:val="none"/>
        </w:rPr>
        <w:t>.投标人参加政府采购活动前3年内在经营活动中没有重大违法记录及有关信用信息的书面声明（必须提供）</w:t>
      </w:r>
    </w:p>
    <w:p>
      <w:pPr>
        <w:spacing w:line="400" w:lineRule="exact"/>
        <w:rPr>
          <w:rFonts w:hint="eastAsia"/>
          <w:b/>
          <w:sz w:val="30"/>
          <w:szCs w:val="30"/>
          <w:highlight w:val="none"/>
        </w:rPr>
      </w:pPr>
      <w:r>
        <w:rPr>
          <w:rFonts w:hint="eastAsia"/>
          <w:b/>
          <w:sz w:val="30"/>
          <w:szCs w:val="30"/>
          <w:highlight w:val="none"/>
        </w:rPr>
        <w:t>附件：</w:t>
      </w:r>
    </w:p>
    <w:p>
      <w:pPr>
        <w:pStyle w:val="12"/>
        <w:spacing w:line="400" w:lineRule="exact"/>
        <w:jc w:val="center"/>
        <w:rPr>
          <w:rFonts w:hint="eastAsia" w:hAnsi="宋体"/>
          <w:b/>
          <w:sz w:val="32"/>
          <w:szCs w:val="32"/>
          <w:highlight w:val="none"/>
        </w:rPr>
      </w:pPr>
    </w:p>
    <w:p>
      <w:pPr>
        <w:pStyle w:val="12"/>
        <w:spacing w:line="400" w:lineRule="exact"/>
        <w:jc w:val="center"/>
        <w:rPr>
          <w:rFonts w:hint="eastAsia" w:hAnsi="宋体"/>
          <w:b/>
          <w:sz w:val="32"/>
          <w:szCs w:val="32"/>
          <w:highlight w:val="none"/>
        </w:rPr>
      </w:pPr>
      <w:r>
        <w:rPr>
          <w:rFonts w:hint="eastAsia" w:hAnsi="宋体"/>
          <w:b/>
          <w:sz w:val="32"/>
          <w:szCs w:val="32"/>
          <w:highlight w:val="none"/>
        </w:rPr>
        <w:t>声   明（格式）</w:t>
      </w:r>
    </w:p>
    <w:p>
      <w:pPr>
        <w:snapToGrid w:val="0"/>
        <w:spacing w:line="400" w:lineRule="exact"/>
        <w:outlineLvl w:val="4"/>
        <w:rPr>
          <w:rFonts w:hint="eastAsia" w:ascii="宋体" w:hAnsi="宋体" w:eastAsia="宋体"/>
          <w:highlight w:val="none"/>
          <w:lang w:eastAsia="zh-CN"/>
        </w:rPr>
      </w:pPr>
      <w:r>
        <w:rPr>
          <w:rFonts w:hint="eastAsia" w:ascii="宋体" w:hAnsi="宋体"/>
          <w:b w:val="0"/>
          <w:bCs/>
          <w:szCs w:val="21"/>
          <w:highlight w:val="none"/>
        </w:rPr>
        <w:t>致：</w:t>
      </w:r>
      <w:r>
        <w:rPr>
          <w:rFonts w:hint="eastAsia" w:ascii="宋体" w:hAnsi="宋体"/>
          <w:highlight w:val="none"/>
          <w:u w:val="single"/>
          <w:lang w:eastAsia="zh-CN"/>
        </w:rPr>
        <w:t>广西江之源项目管理有限公司</w:t>
      </w:r>
    </w:p>
    <w:p>
      <w:pPr>
        <w:snapToGrid w:val="0"/>
        <w:spacing w:line="400" w:lineRule="exact"/>
        <w:outlineLvl w:val="9"/>
        <w:rPr>
          <w:rFonts w:hint="eastAsia" w:ascii="宋体" w:hAnsi="宋体"/>
          <w:szCs w:val="21"/>
          <w:highlight w:val="none"/>
          <w:u w:val="single"/>
        </w:rPr>
      </w:pPr>
    </w:p>
    <w:p>
      <w:pPr>
        <w:pStyle w:val="12"/>
        <w:spacing w:line="380" w:lineRule="exact"/>
        <w:ind w:firstLine="420" w:firstLineChars="200"/>
        <w:rPr>
          <w:rFonts w:hint="eastAsia" w:hAnsi="宋体"/>
          <w:highlight w:val="none"/>
        </w:rPr>
      </w:pPr>
      <w:r>
        <w:rPr>
          <w:rFonts w:hint="eastAsia" w:hAnsi="宋体"/>
          <w:highlight w:val="none"/>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失信主体、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outlineLvl w:val="9"/>
        <w:rPr>
          <w:rFonts w:hint="eastAsia" w:ascii="宋体" w:hAnsi="宋体"/>
          <w:szCs w:val="21"/>
          <w:highlight w:val="none"/>
        </w:rPr>
      </w:pPr>
    </w:p>
    <w:p>
      <w:pPr>
        <w:snapToGrid w:val="0"/>
        <w:spacing w:line="400" w:lineRule="exact"/>
        <w:ind w:firstLine="1890" w:firstLineChars="900"/>
        <w:rPr>
          <w:rFonts w:ascii="宋体" w:hAnsi="宋体" w:cs="宋体"/>
          <w:color w:val="000000"/>
          <w:szCs w:val="21"/>
          <w:highlight w:val="none"/>
          <w:u w:val="single"/>
        </w:rPr>
      </w:pPr>
      <w:r>
        <w:rPr>
          <w:rFonts w:hint="eastAsia" w:ascii="宋体" w:hAnsi="宋体" w:cs="宋体"/>
          <w:color w:val="000000"/>
          <w:szCs w:val="21"/>
          <w:highlight w:val="none"/>
        </w:rPr>
        <w:t>投标人[公章(CA签章)，自然人签字或个人CA签章]：</w:t>
      </w:r>
      <w:r>
        <w:rPr>
          <w:rFonts w:hint="eastAsia" w:ascii="宋体" w:hAnsi="宋体" w:cs="宋体"/>
          <w:color w:val="000000"/>
          <w:szCs w:val="21"/>
          <w:highlight w:val="none"/>
          <w:u w:val="single"/>
        </w:rPr>
        <w:t xml:space="preserve">                          </w:t>
      </w:r>
    </w:p>
    <w:p>
      <w:pPr>
        <w:spacing w:line="340" w:lineRule="exact"/>
        <w:ind w:firstLine="1680" w:firstLineChars="800"/>
        <w:rPr>
          <w:rFonts w:ascii="宋体" w:hAnsi="宋体" w:cs="宋体"/>
          <w:color w:val="000000"/>
          <w:szCs w:val="21"/>
          <w:highlight w:val="none"/>
          <w:u w:val="single"/>
        </w:rPr>
      </w:pPr>
    </w:p>
    <w:p>
      <w:pPr>
        <w:snapToGrid w:val="0"/>
        <w:spacing w:line="400" w:lineRule="exact"/>
        <w:ind w:firstLine="1890" w:firstLineChars="900"/>
        <w:rPr>
          <w:rFonts w:ascii="宋体" w:hAnsi="宋体" w:cs="宋体"/>
          <w:color w:val="000000"/>
          <w:highlight w:val="none"/>
        </w:rPr>
      </w:pPr>
      <w:r>
        <w:rPr>
          <w:rFonts w:hint="eastAsia" w:ascii="宋体" w:hAnsi="宋体" w:cs="宋体"/>
          <w:color w:val="000000"/>
          <w:highlight w:val="none"/>
        </w:rPr>
        <w:t xml:space="preserve"> </w:t>
      </w:r>
    </w:p>
    <w:p>
      <w:pPr>
        <w:snapToGrid w:val="0"/>
        <w:spacing w:line="400" w:lineRule="exact"/>
        <w:ind w:firstLine="1890" w:firstLineChars="900"/>
        <w:rPr>
          <w:rFonts w:hint="eastAsia" w:ascii="宋体" w:hAnsi="宋体" w:cs="宋体"/>
          <w:color w:val="000000"/>
          <w:highlight w:val="none"/>
          <w:u w:val="single"/>
        </w:rPr>
      </w:pPr>
      <w:r>
        <w:rPr>
          <w:rFonts w:hint="eastAsia" w:ascii="宋体" w:hAnsi="宋体" w:cs="宋体"/>
          <w:color w:val="000000"/>
          <w:highlight w:val="none"/>
        </w:rPr>
        <w:t>日          期：</w:t>
      </w:r>
      <w:r>
        <w:rPr>
          <w:rFonts w:hint="eastAsia" w:ascii="宋体" w:hAnsi="宋体" w:cs="宋体"/>
          <w:color w:val="000000"/>
          <w:highlight w:val="none"/>
          <w:u w:val="single"/>
        </w:rPr>
        <w:t xml:space="preserve">                                                   </w:t>
      </w:r>
    </w:p>
    <w:p>
      <w:pPr>
        <w:pStyle w:val="2"/>
        <w:rPr>
          <w:highlight w:val="none"/>
        </w:rPr>
      </w:pPr>
    </w:p>
    <w:p>
      <w:pPr>
        <w:tabs>
          <w:tab w:val="left" w:pos="1305"/>
        </w:tabs>
        <w:spacing w:line="480" w:lineRule="exact"/>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7.《中小企业声明函》（见附件）（除监狱企业及残疾人福利性单位外，必须提供）</w:t>
      </w:r>
    </w:p>
    <w:p>
      <w:pPr>
        <w:pStyle w:val="12"/>
        <w:spacing w:line="400" w:lineRule="exact"/>
        <w:rPr>
          <w:rFonts w:hint="eastAsia"/>
          <w:sz w:val="28"/>
          <w:szCs w:val="28"/>
          <w:highlight w:val="none"/>
        </w:rPr>
      </w:pPr>
      <w:r>
        <w:rPr>
          <w:rFonts w:hint="eastAsia" w:hAnsi="宋体"/>
          <w:b/>
          <w:sz w:val="32"/>
          <w:szCs w:val="32"/>
          <w:highlight w:val="none"/>
        </w:rPr>
        <w:t>附件：</w:t>
      </w:r>
    </w:p>
    <w:p>
      <w:pPr>
        <w:snapToGrid w:val="0"/>
        <w:spacing w:before="165" w:beforeLines="50" w:after="50" w:line="320" w:lineRule="exact"/>
        <w:ind w:firstLine="643"/>
        <w:jc w:val="center"/>
        <w:rPr>
          <w:rFonts w:ascii="宋体" w:hAnsi="宋体" w:cs="宋体"/>
          <w:b/>
          <w:kern w:val="0"/>
          <w:sz w:val="30"/>
          <w:szCs w:val="30"/>
          <w:highlight w:val="none"/>
        </w:rPr>
      </w:pPr>
      <w:r>
        <w:rPr>
          <w:rFonts w:hint="eastAsia" w:ascii="宋体" w:hAnsi="宋体" w:cs="宋体"/>
          <w:b/>
          <w:kern w:val="0"/>
          <w:sz w:val="32"/>
          <w:szCs w:val="32"/>
          <w:highlight w:val="none"/>
        </w:rPr>
        <w:t>中小企业声明函（格式）</w:t>
      </w:r>
    </w:p>
    <w:p>
      <w:pPr>
        <w:ind w:firstLine="480"/>
        <w:rPr>
          <w:rFonts w:hint="eastAsia" w:ascii="宋体" w:hAnsi="宋体" w:cs="宋体"/>
          <w:kern w:val="0"/>
          <w:sz w:val="24"/>
          <w:szCs w:val="22"/>
          <w:highlight w:val="none"/>
        </w:rPr>
      </w:pPr>
    </w:p>
    <w:p>
      <w:pPr>
        <w:spacing w:line="540" w:lineRule="exact"/>
        <w:ind w:firstLine="42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本公司郑重声明，根据《政府采购促进中小企业发展管理办法》（财库﹝2020﹞46 号）的规定，本公司参加</w:t>
      </w:r>
      <w:r>
        <w:rPr>
          <w:rFonts w:hint="eastAsia" w:ascii="宋体" w:hAnsi="宋体" w:eastAsia="宋体" w:cs="宋体"/>
          <w:kern w:val="0"/>
          <w:sz w:val="24"/>
          <w:szCs w:val="24"/>
          <w:highlight w:val="none"/>
          <w:u w:val="single"/>
        </w:rPr>
        <w:t>（单位名称）</w:t>
      </w:r>
      <w:r>
        <w:rPr>
          <w:rFonts w:hint="eastAsia" w:ascii="宋体" w:hAnsi="宋体" w:eastAsia="宋体" w:cs="宋体"/>
          <w:kern w:val="0"/>
          <w:sz w:val="24"/>
          <w:szCs w:val="24"/>
          <w:highlight w:val="none"/>
        </w:rPr>
        <w:t>的</w:t>
      </w:r>
      <w:r>
        <w:rPr>
          <w:rFonts w:hint="eastAsia" w:ascii="宋体" w:hAnsi="宋体" w:eastAsia="宋体" w:cs="宋体"/>
          <w:kern w:val="0"/>
          <w:sz w:val="24"/>
          <w:szCs w:val="24"/>
          <w:highlight w:val="none"/>
          <w:u w:val="single"/>
        </w:rPr>
        <w:t>（项目名称）</w:t>
      </w:r>
      <w:r>
        <w:rPr>
          <w:rFonts w:hint="eastAsia" w:ascii="宋体" w:hAnsi="宋体" w:eastAsia="宋体" w:cs="宋体"/>
          <w:kern w:val="0"/>
          <w:sz w:val="24"/>
          <w:szCs w:val="24"/>
          <w:highlight w:val="none"/>
        </w:rPr>
        <w:t>采购活动，服务全部由符合政策要求的中小企业承接。相关企业的具体情况如下：</w:t>
      </w:r>
    </w:p>
    <w:p>
      <w:pPr>
        <w:spacing w:line="540" w:lineRule="exact"/>
        <w:ind w:firstLine="42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u w:val="single"/>
        </w:rPr>
        <w:t>（标的名称）</w:t>
      </w:r>
      <w:r>
        <w:rPr>
          <w:rFonts w:hint="eastAsia" w:ascii="宋体" w:hAnsi="宋体" w:eastAsia="宋体" w:cs="宋体"/>
          <w:kern w:val="0"/>
          <w:sz w:val="24"/>
          <w:szCs w:val="24"/>
          <w:highlight w:val="none"/>
        </w:rPr>
        <w:t>，属于</w:t>
      </w:r>
      <w:r>
        <w:rPr>
          <w:rFonts w:hint="eastAsia" w:ascii="宋体" w:hAnsi="宋体" w:eastAsia="宋体" w:cs="宋体"/>
          <w:kern w:val="0"/>
          <w:sz w:val="24"/>
          <w:szCs w:val="24"/>
          <w:highlight w:val="none"/>
          <w:u w:val="single"/>
        </w:rPr>
        <w:t>（采购文件中明确的所属行业）</w:t>
      </w:r>
      <w:r>
        <w:rPr>
          <w:rFonts w:hint="eastAsia" w:ascii="宋体" w:hAnsi="宋体" w:eastAsia="宋体" w:cs="宋体"/>
          <w:kern w:val="0"/>
          <w:sz w:val="24"/>
          <w:szCs w:val="24"/>
          <w:highlight w:val="none"/>
        </w:rPr>
        <w:t>行业；承接企业为</w:t>
      </w:r>
      <w:r>
        <w:rPr>
          <w:rFonts w:hint="eastAsia" w:ascii="宋体" w:hAnsi="宋体" w:eastAsia="宋体" w:cs="宋体"/>
          <w:kern w:val="0"/>
          <w:sz w:val="24"/>
          <w:szCs w:val="24"/>
          <w:highlight w:val="none"/>
          <w:u w:val="single"/>
        </w:rPr>
        <w:t>（企业名称）</w:t>
      </w:r>
      <w:r>
        <w:rPr>
          <w:rFonts w:hint="eastAsia" w:ascii="宋体" w:hAnsi="宋体" w:eastAsia="宋体" w:cs="宋体"/>
          <w:kern w:val="0"/>
          <w:sz w:val="24"/>
          <w:szCs w:val="24"/>
          <w:highlight w:val="none"/>
        </w:rPr>
        <w:t>，从业人员</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人，营业收入为</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万元，资产总额为</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万元，属于</w:t>
      </w:r>
      <w:r>
        <w:rPr>
          <w:rFonts w:hint="eastAsia" w:ascii="宋体" w:hAnsi="宋体" w:eastAsia="宋体" w:cs="宋体"/>
          <w:kern w:val="0"/>
          <w:sz w:val="24"/>
          <w:szCs w:val="24"/>
          <w:highlight w:val="none"/>
          <w:u w:val="single"/>
        </w:rPr>
        <w:t>（中型企业、小型企业、微型企业）</w:t>
      </w:r>
      <w:r>
        <w:rPr>
          <w:rFonts w:hint="eastAsia" w:ascii="宋体" w:hAnsi="宋体" w:eastAsia="宋体" w:cs="宋体"/>
          <w:kern w:val="0"/>
          <w:sz w:val="24"/>
          <w:szCs w:val="24"/>
          <w:highlight w:val="none"/>
        </w:rPr>
        <w:t>；</w:t>
      </w:r>
    </w:p>
    <w:p>
      <w:pPr>
        <w:spacing w:line="540" w:lineRule="exact"/>
        <w:ind w:firstLine="42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以上企业，不属于大企业的分支机构，不存在控股股东为大企业的情形，也不存在与大企业的负责人为同一人的情形。</w:t>
      </w:r>
    </w:p>
    <w:p>
      <w:pPr>
        <w:spacing w:line="540" w:lineRule="exact"/>
        <w:ind w:firstLine="42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本企业对上述声明内容的真实性负责。如有虚假，将依法承担相应责任。</w:t>
      </w:r>
    </w:p>
    <w:p>
      <w:pPr>
        <w:tabs>
          <w:tab w:val="left" w:pos="4860"/>
        </w:tabs>
        <w:spacing w:line="588" w:lineRule="exact"/>
        <w:ind w:right="1560" w:firstLine="420"/>
        <w:jc w:val="center"/>
        <w:rPr>
          <w:rFonts w:hint="eastAsia" w:ascii="宋体" w:hAnsi="宋体" w:eastAsia="宋体" w:cs="宋体"/>
          <w:kern w:val="0"/>
          <w:sz w:val="24"/>
          <w:szCs w:val="24"/>
          <w:highlight w:val="none"/>
        </w:rPr>
      </w:pPr>
    </w:p>
    <w:p>
      <w:pPr>
        <w:pStyle w:val="32"/>
        <w:spacing w:line="400" w:lineRule="exact"/>
        <w:ind w:firstLine="640"/>
        <w:jc w:val="both"/>
        <w:rPr>
          <w:rFonts w:hint="eastAsia" w:ascii="宋体" w:hAnsi="宋体" w:eastAsia="宋体" w:cs="宋体"/>
          <w:color w:val="000000"/>
          <w:sz w:val="24"/>
          <w:szCs w:val="24"/>
          <w:highlight w:val="none"/>
        </w:rPr>
      </w:pPr>
      <w:r>
        <w:rPr>
          <w:rFonts w:hint="eastAsia" w:ascii="宋体" w:hAnsi="宋体" w:eastAsia="宋体" w:cs="宋体"/>
          <w:kern w:val="0"/>
          <w:sz w:val="24"/>
          <w:szCs w:val="24"/>
          <w:highlight w:val="none"/>
        </w:rPr>
        <w:t xml:space="preserve">             </w:t>
      </w:r>
      <w:r>
        <w:rPr>
          <w:rFonts w:hint="eastAsia"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企业名称[盖公章（CA签章）]：</w:t>
      </w:r>
    </w:p>
    <w:p>
      <w:pPr>
        <w:pStyle w:val="32"/>
        <w:spacing w:line="400" w:lineRule="exact"/>
        <w:ind w:firstLine="640"/>
        <w:jc w:val="both"/>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日</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期：</w:t>
      </w:r>
    </w:p>
    <w:p>
      <w:pPr>
        <w:pStyle w:val="33"/>
        <w:adjustRightInd w:val="0"/>
        <w:snapToGrid w:val="0"/>
        <w:spacing w:after="0" w:line="400" w:lineRule="exact"/>
        <w:jc w:val="left"/>
        <w:rPr>
          <w:rFonts w:hint="eastAsia"/>
          <w:color w:val="000000"/>
          <w:sz w:val="24"/>
          <w:szCs w:val="24"/>
          <w:highlight w:val="none"/>
        </w:rPr>
      </w:pPr>
    </w:p>
    <w:p>
      <w:pPr>
        <w:pStyle w:val="33"/>
        <w:adjustRightInd w:val="0"/>
        <w:snapToGrid w:val="0"/>
        <w:spacing w:after="0" w:line="400" w:lineRule="exact"/>
        <w:jc w:val="left"/>
        <w:rPr>
          <w:rFonts w:hint="eastAsia"/>
          <w:color w:val="000000"/>
          <w:sz w:val="24"/>
          <w:szCs w:val="24"/>
          <w:highlight w:val="none"/>
        </w:rPr>
      </w:pPr>
      <w:r>
        <w:rPr>
          <w:rFonts w:hint="eastAsia"/>
          <w:color w:val="000000"/>
          <w:sz w:val="24"/>
          <w:szCs w:val="24"/>
          <w:highlight w:val="none"/>
        </w:rPr>
        <w:t>注：从业人员、营业收入、资产总额填报上一年度数据，无上一年度数据的新成立企业可不填报。</w:t>
      </w:r>
    </w:p>
    <w:p>
      <w:pPr>
        <w:snapToGrid w:val="0"/>
        <w:spacing w:before="165" w:beforeLines="50" w:after="50"/>
        <w:ind w:firstLine="420"/>
        <w:jc w:val="left"/>
        <w:rPr>
          <w:rFonts w:hint="eastAsia" w:ascii="宋体" w:hAnsi="宋体" w:cs="宋体"/>
          <w:kern w:val="0"/>
          <w:sz w:val="28"/>
          <w:szCs w:val="28"/>
          <w:highlight w:val="none"/>
        </w:rPr>
      </w:pPr>
    </w:p>
    <w:p>
      <w:pPr>
        <w:tabs>
          <w:tab w:val="left" w:pos="1305"/>
        </w:tabs>
        <w:spacing w:line="480" w:lineRule="exact"/>
        <w:rPr>
          <w:rFonts w:hint="eastAsia" w:hAnsi="宋体"/>
          <w:b/>
          <w:bCs/>
          <w:sz w:val="32"/>
          <w:szCs w:val="32"/>
          <w:highlight w:val="none"/>
        </w:rPr>
      </w:pPr>
    </w:p>
    <w:p>
      <w:pPr>
        <w:tabs>
          <w:tab w:val="left" w:pos="1305"/>
        </w:tabs>
        <w:spacing w:line="480" w:lineRule="exact"/>
        <w:rPr>
          <w:rFonts w:hint="default"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8.如提供服务的供应商属于监狱企业的，应当提供由省级以上监狱管理局、戒毒管理局等（含新疆生产建设兵团）出具的属于监狱企业的证明文件（如供应商属于监狱企业的，则必须提供）</w:t>
      </w:r>
    </w:p>
    <w:p>
      <w:pPr>
        <w:tabs>
          <w:tab w:val="left" w:pos="1305"/>
        </w:tabs>
        <w:spacing w:line="480" w:lineRule="exact"/>
        <w:rPr>
          <w:rFonts w:hint="eastAsia" w:hAnsi="宋体"/>
          <w:b/>
          <w:bCs/>
          <w:sz w:val="32"/>
          <w:szCs w:val="32"/>
          <w:highlight w:val="none"/>
        </w:rPr>
      </w:pPr>
    </w:p>
    <w:p>
      <w:pPr>
        <w:tabs>
          <w:tab w:val="left" w:pos="1305"/>
        </w:tabs>
        <w:spacing w:line="480" w:lineRule="exact"/>
        <w:rPr>
          <w:rFonts w:hint="eastAsia" w:hAnsi="宋体"/>
          <w:b/>
          <w:bCs/>
          <w:sz w:val="32"/>
          <w:szCs w:val="32"/>
          <w:highlight w:val="none"/>
        </w:rPr>
      </w:pPr>
    </w:p>
    <w:p>
      <w:pPr>
        <w:pStyle w:val="9"/>
        <w:rPr>
          <w:rFonts w:hint="eastAsia" w:hAnsi="宋体"/>
          <w:b/>
          <w:bCs/>
          <w:sz w:val="32"/>
          <w:szCs w:val="32"/>
          <w:highlight w:val="none"/>
        </w:rPr>
      </w:pPr>
    </w:p>
    <w:p>
      <w:pPr>
        <w:pStyle w:val="22"/>
        <w:rPr>
          <w:rFonts w:hint="eastAsia" w:hAnsi="宋体"/>
          <w:b/>
          <w:bCs/>
          <w:sz w:val="32"/>
          <w:szCs w:val="32"/>
          <w:highlight w:val="none"/>
        </w:rPr>
      </w:pPr>
    </w:p>
    <w:p>
      <w:pPr>
        <w:tabs>
          <w:tab w:val="left" w:pos="1305"/>
        </w:tabs>
        <w:spacing w:line="480" w:lineRule="exact"/>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9.符合条件的残疾人福利性单位在参加政府采购活动时，应当提供《残疾人福利性单位声明函》（见附件），并对声明的真实性负责（如供应商属于残疾人福利性单位的，则必须提供）</w:t>
      </w:r>
    </w:p>
    <w:p>
      <w:pPr>
        <w:pStyle w:val="9"/>
        <w:rPr>
          <w:color w:val="000000"/>
          <w:highlight w:val="none"/>
        </w:rPr>
      </w:pPr>
      <w:r>
        <w:rPr>
          <w:rFonts w:hint="eastAsia" w:ascii="宋体" w:hAnsi="宋体" w:cs="宋体"/>
          <w:b/>
          <w:bCs/>
          <w:color w:val="000000"/>
          <w:sz w:val="32"/>
          <w:szCs w:val="32"/>
          <w:highlight w:val="none"/>
        </w:rPr>
        <w:t>附件</w:t>
      </w:r>
      <w:r>
        <w:rPr>
          <w:rFonts w:hint="eastAsia" w:ascii="宋体" w:hAnsi="宋体" w:cs="宋体"/>
          <w:b/>
          <w:bCs/>
          <w:color w:val="000000"/>
          <w:sz w:val="32"/>
          <w:szCs w:val="32"/>
          <w:highlight w:val="none"/>
          <w:lang w:eastAsia="zh-CN"/>
        </w:rPr>
        <w:t>：</w:t>
      </w:r>
    </w:p>
    <w:p>
      <w:pPr>
        <w:spacing w:line="588" w:lineRule="exact"/>
        <w:jc w:val="center"/>
        <w:rPr>
          <w:rFonts w:hint="eastAsia"/>
          <w:highlight w:val="none"/>
          <w:lang w:val="en-US" w:eastAsia="zh-CN"/>
        </w:rPr>
      </w:pPr>
      <w:r>
        <w:rPr>
          <w:rFonts w:hint="eastAsia" w:ascii="宋体" w:hAnsi="宋体" w:cs="宋体"/>
          <w:b/>
          <w:color w:val="000000"/>
          <w:spacing w:val="6"/>
          <w:sz w:val="32"/>
          <w:szCs w:val="32"/>
          <w:highlight w:val="none"/>
        </w:rPr>
        <w:t>残疾人福利性单位声明函</w:t>
      </w:r>
    </w:p>
    <w:p>
      <w:pPr>
        <w:spacing w:line="588" w:lineRule="exact"/>
        <w:ind w:firstLine="584" w:firstLineChars="200"/>
        <w:rPr>
          <w:rFonts w:ascii="宋体" w:hAnsi="宋体"/>
          <w:spacing w:val="6"/>
          <w:sz w:val="28"/>
          <w:szCs w:val="28"/>
          <w:highlight w:val="none"/>
        </w:rPr>
      </w:pPr>
      <w:r>
        <w:rPr>
          <w:rFonts w:hint="eastAsia" w:ascii="宋体" w:hAnsi="宋体"/>
          <w:spacing w:val="6"/>
          <w:sz w:val="28"/>
          <w:szCs w:val="28"/>
          <w:highlight w:val="none"/>
        </w:rPr>
        <w:t>本单位郑重声明，根据《财政部 民政部 中国残疾人联合会关于促进残疾人就业政府采购政策的通知》（财库</w:t>
      </w:r>
      <w:r>
        <w:rPr>
          <w:rFonts w:hint="eastAsia" w:ascii="宋体" w:hAnsi="宋体"/>
          <w:sz w:val="28"/>
          <w:szCs w:val="28"/>
          <w:highlight w:val="none"/>
        </w:rPr>
        <w:t>〔2017〕 141</w:t>
      </w:r>
      <w:r>
        <w:rPr>
          <w:rFonts w:hint="eastAsia" w:ascii="宋体" w:hAnsi="宋体"/>
          <w:spacing w:val="6"/>
          <w:sz w:val="28"/>
          <w:szCs w:val="28"/>
          <w:highlight w:val="none"/>
        </w:rPr>
        <w:t>号）的规定，本单位为符合条件的残疾人福利性单位，且本单位参加______单位的______项目采购活动由本单位提供服务。</w:t>
      </w:r>
    </w:p>
    <w:p>
      <w:pPr>
        <w:spacing w:line="588" w:lineRule="exact"/>
        <w:ind w:firstLine="584" w:firstLineChars="200"/>
        <w:rPr>
          <w:rFonts w:ascii="宋体" w:hAnsi="宋体"/>
          <w:spacing w:val="6"/>
          <w:sz w:val="28"/>
          <w:szCs w:val="28"/>
          <w:highlight w:val="none"/>
        </w:rPr>
      </w:pPr>
      <w:r>
        <w:rPr>
          <w:rFonts w:hint="eastAsia" w:ascii="宋体" w:hAnsi="宋体"/>
          <w:spacing w:val="6"/>
          <w:sz w:val="28"/>
          <w:szCs w:val="28"/>
          <w:highlight w:val="none"/>
        </w:rPr>
        <w:t>本单位对上述声明的真实性负责。如有虚假，将依法承担相应责任。</w:t>
      </w:r>
    </w:p>
    <w:p>
      <w:pPr>
        <w:spacing w:line="588" w:lineRule="exact"/>
        <w:ind w:firstLine="624" w:firstLineChars="200"/>
        <w:rPr>
          <w:rFonts w:ascii="宋体" w:hAnsi="宋体"/>
          <w:spacing w:val="6"/>
          <w:sz w:val="30"/>
          <w:szCs w:val="30"/>
          <w:highlight w:val="none"/>
        </w:rPr>
      </w:pPr>
    </w:p>
    <w:p>
      <w:pPr>
        <w:keepNext w:val="0"/>
        <w:keepLines w:val="0"/>
        <w:pageBreakBefore w:val="0"/>
        <w:widowControl w:val="0"/>
        <w:tabs>
          <w:tab w:val="left" w:pos="4860"/>
        </w:tabs>
        <w:kinsoku/>
        <w:wordWrap/>
        <w:overflowPunct/>
        <w:topLinePunct w:val="0"/>
        <w:autoSpaceDE/>
        <w:autoSpaceDN/>
        <w:bidi w:val="0"/>
        <w:adjustRightInd/>
        <w:snapToGrid/>
        <w:spacing w:line="588" w:lineRule="exact"/>
        <w:ind w:right="0" w:firstLine="0" w:firstLineChars="0"/>
        <w:jc w:val="center"/>
        <w:textAlignment w:val="auto"/>
        <w:rPr>
          <w:rFonts w:ascii="宋体" w:hAnsi="宋体" w:cs="宋体"/>
          <w:color w:val="000000"/>
          <w:spacing w:val="6"/>
          <w:sz w:val="28"/>
          <w:szCs w:val="28"/>
          <w:highlight w:val="none"/>
        </w:rPr>
      </w:pPr>
      <w:r>
        <w:rPr>
          <w:rFonts w:hint="eastAsia" w:ascii="仿宋_GB2312" w:eastAsia="仿宋_GB2312"/>
          <w:spacing w:val="6"/>
          <w:sz w:val="30"/>
          <w:szCs w:val="30"/>
          <w:highlight w:val="none"/>
        </w:rPr>
        <w:t xml:space="preserve">   </w:t>
      </w:r>
      <w:r>
        <w:rPr>
          <w:rFonts w:hint="eastAsia" w:ascii="宋体" w:hAnsi="宋体"/>
          <w:spacing w:val="6"/>
          <w:sz w:val="30"/>
          <w:szCs w:val="30"/>
          <w:highlight w:val="none"/>
        </w:rPr>
        <w:t xml:space="preserve">  </w:t>
      </w:r>
      <w:r>
        <w:rPr>
          <w:rFonts w:hint="eastAsia" w:ascii="宋体" w:hAnsi="宋体"/>
          <w:spacing w:val="6"/>
          <w:sz w:val="30"/>
          <w:szCs w:val="30"/>
          <w:highlight w:val="none"/>
          <w:lang w:val="en-US" w:eastAsia="zh-CN"/>
        </w:rPr>
        <w:t xml:space="preserve">  </w:t>
      </w:r>
      <w:r>
        <w:rPr>
          <w:rFonts w:hint="eastAsia" w:ascii="宋体" w:hAnsi="宋体" w:cs="宋体"/>
          <w:color w:val="000000"/>
          <w:spacing w:val="6"/>
          <w:sz w:val="28"/>
          <w:szCs w:val="28"/>
          <w:highlight w:val="none"/>
        </w:rPr>
        <w:t>单位名称[盖公章(CA签章)]：</w:t>
      </w:r>
    </w:p>
    <w:p>
      <w:pPr>
        <w:keepNext w:val="0"/>
        <w:keepLines w:val="0"/>
        <w:pageBreakBefore w:val="0"/>
        <w:widowControl w:val="0"/>
        <w:tabs>
          <w:tab w:val="left" w:pos="4860"/>
        </w:tabs>
        <w:kinsoku/>
        <w:wordWrap/>
        <w:overflowPunct/>
        <w:topLinePunct w:val="0"/>
        <w:autoSpaceDE/>
        <w:autoSpaceDN/>
        <w:bidi w:val="0"/>
        <w:adjustRightInd/>
        <w:snapToGrid/>
        <w:spacing w:line="588" w:lineRule="exact"/>
        <w:ind w:right="0" w:firstLine="3504" w:firstLineChars="1200"/>
        <w:jc w:val="both"/>
        <w:textAlignment w:val="auto"/>
        <w:rPr>
          <w:rFonts w:ascii="宋体" w:hAnsi="宋体" w:cs="宋体"/>
          <w:b/>
          <w:bCs/>
          <w:color w:val="000000"/>
          <w:sz w:val="28"/>
          <w:szCs w:val="28"/>
          <w:highlight w:val="none"/>
        </w:rPr>
      </w:pPr>
      <w:r>
        <w:rPr>
          <w:rFonts w:hint="eastAsia" w:ascii="宋体" w:hAnsi="宋体" w:cs="宋体"/>
          <w:color w:val="000000"/>
          <w:spacing w:val="6"/>
          <w:sz w:val="28"/>
          <w:szCs w:val="28"/>
          <w:highlight w:val="none"/>
        </w:rPr>
        <w:t>日  期：</w:t>
      </w:r>
    </w:p>
    <w:p>
      <w:pPr>
        <w:pStyle w:val="27"/>
        <w:rPr>
          <w:rFonts w:hint="eastAsia" w:ascii="Times New Roman" w:hAnsi="Times New Roman"/>
          <w:highlight w:val="none"/>
        </w:rPr>
      </w:pPr>
    </w:p>
    <w:p>
      <w:pPr>
        <w:spacing w:line="400" w:lineRule="exact"/>
        <w:rPr>
          <w:rFonts w:hint="eastAsia"/>
          <w:b/>
          <w:sz w:val="32"/>
          <w:szCs w:val="32"/>
          <w:highlight w:val="none"/>
        </w:rPr>
      </w:pPr>
    </w:p>
    <w:p>
      <w:pPr>
        <w:spacing w:line="400" w:lineRule="exact"/>
        <w:rPr>
          <w:rFonts w:hint="eastAsia"/>
          <w:b/>
          <w:sz w:val="32"/>
          <w:szCs w:val="32"/>
          <w:highlight w:val="none"/>
        </w:rPr>
      </w:pPr>
    </w:p>
    <w:p>
      <w:pPr>
        <w:spacing w:line="400" w:lineRule="exact"/>
        <w:rPr>
          <w:rFonts w:hint="eastAsia"/>
          <w:b/>
          <w:sz w:val="32"/>
          <w:szCs w:val="32"/>
          <w:highlight w:val="none"/>
        </w:rPr>
      </w:pPr>
    </w:p>
    <w:p>
      <w:pPr>
        <w:spacing w:line="400" w:lineRule="exact"/>
        <w:rPr>
          <w:rFonts w:hint="eastAsia"/>
          <w:b/>
          <w:sz w:val="32"/>
          <w:szCs w:val="32"/>
          <w:highlight w:val="none"/>
        </w:rPr>
      </w:pPr>
    </w:p>
    <w:p>
      <w:pPr>
        <w:spacing w:line="400" w:lineRule="exact"/>
        <w:rPr>
          <w:rFonts w:hint="eastAsia"/>
          <w:b/>
          <w:sz w:val="32"/>
          <w:szCs w:val="32"/>
          <w:highlight w:val="none"/>
        </w:rPr>
      </w:pPr>
    </w:p>
    <w:p>
      <w:pPr>
        <w:spacing w:line="400" w:lineRule="exact"/>
        <w:rPr>
          <w:rFonts w:hint="eastAsia"/>
          <w:b/>
          <w:sz w:val="32"/>
          <w:szCs w:val="32"/>
          <w:highlight w:val="none"/>
        </w:rPr>
      </w:pPr>
    </w:p>
    <w:p>
      <w:pPr>
        <w:spacing w:line="400" w:lineRule="exact"/>
        <w:rPr>
          <w:rFonts w:hint="eastAsia"/>
          <w:b/>
          <w:sz w:val="32"/>
          <w:szCs w:val="32"/>
          <w:highlight w:val="none"/>
        </w:rPr>
      </w:pPr>
    </w:p>
    <w:p>
      <w:pPr>
        <w:spacing w:line="400" w:lineRule="exact"/>
        <w:rPr>
          <w:rFonts w:hint="eastAsia"/>
          <w:b/>
          <w:sz w:val="32"/>
          <w:szCs w:val="32"/>
          <w:highlight w:val="none"/>
        </w:rPr>
      </w:pPr>
    </w:p>
    <w:p>
      <w:pPr>
        <w:spacing w:line="400" w:lineRule="exact"/>
        <w:rPr>
          <w:rFonts w:hint="eastAsia"/>
          <w:b/>
          <w:sz w:val="32"/>
          <w:szCs w:val="32"/>
          <w:highlight w:val="none"/>
        </w:rPr>
      </w:pPr>
    </w:p>
    <w:p>
      <w:pPr>
        <w:spacing w:line="400" w:lineRule="exact"/>
        <w:rPr>
          <w:rFonts w:hint="eastAsia"/>
          <w:b/>
          <w:sz w:val="32"/>
          <w:szCs w:val="32"/>
          <w:highlight w:val="none"/>
        </w:rPr>
      </w:pPr>
    </w:p>
    <w:p>
      <w:pPr>
        <w:spacing w:line="400" w:lineRule="exact"/>
        <w:rPr>
          <w:rFonts w:hint="eastAsia"/>
          <w:b/>
          <w:sz w:val="32"/>
          <w:szCs w:val="32"/>
          <w:highlight w:val="none"/>
        </w:rPr>
      </w:pPr>
    </w:p>
    <w:p>
      <w:pPr>
        <w:spacing w:line="400" w:lineRule="exact"/>
        <w:rPr>
          <w:rFonts w:hint="eastAsia"/>
          <w:b/>
          <w:sz w:val="32"/>
          <w:szCs w:val="32"/>
          <w:highlight w:val="none"/>
        </w:rPr>
      </w:pPr>
    </w:p>
    <w:p>
      <w:pPr>
        <w:spacing w:line="400" w:lineRule="exact"/>
        <w:rPr>
          <w:rFonts w:hint="eastAsia"/>
          <w:b/>
          <w:sz w:val="32"/>
          <w:szCs w:val="32"/>
          <w:highlight w:val="none"/>
        </w:rPr>
      </w:pPr>
    </w:p>
    <w:p>
      <w:pPr>
        <w:spacing w:line="400" w:lineRule="exact"/>
        <w:rPr>
          <w:rFonts w:hint="eastAsia"/>
          <w:b/>
          <w:sz w:val="32"/>
          <w:szCs w:val="32"/>
          <w:highlight w:val="none"/>
        </w:rPr>
      </w:pPr>
    </w:p>
    <w:p>
      <w:pPr>
        <w:spacing w:line="400" w:lineRule="exact"/>
        <w:rPr>
          <w:rFonts w:hint="eastAsia"/>
          <w:b/>
          <w:sz w:val="32"/>
          <w:szCs w:val="32"/>
          <w:highlight w:val="none"/>
        </w:rPr>
      </w:pPr>
    </w:p>
    <w:p>
      <w:pPr>
        <w:spacing w:line="400" w:lineRule="exact"/>
        <w:rPr>
          <w:rFonts w:hint="eastAsia"/>
          <w:b/>
          <w:sz w:val="32"/>
          <w:szCs w:val="32"/>
          <w:highlight w:val="none"/>
        </w:rPr>
      </w:pPr>
    </w:p>
    <w:p>
      <w:pPr>
        <w:spacing w:line="400" w:lineRule="exact"/>
        <w:rPr>
          <w:rFonts w:hint="eastAsia"/>
          <w:b/>
          <w:sz w:val="32"/>
          <w:szCs w:val="32"/>
          <w:highlight w:val="none"/>
        </w:rPr>
      </w:pPr>
    </w:p>
    <w:p>
      <w:pPr>
        <w:spacing w:line="400" w:lineRule="exact"/>
        <w:rPr>
          <w:b/>
          <w:sz w:val="32"/>
          <w:szCs w:val="32"/>
          <w:highlight w:val="none"/>
        </w:rPr>
      </w:pPr>
      <w:r>
        <w:rPr>
          <w:rFonts w:hint="eastAsia"/>
          <w:b/>
          <w:sz w:val="32"/>
          <w:szCs w:val="32"/>
          <w:highlight w:val="none"/>
        </w:rPr>
        <w:t>二、商务、技术性响应及其他有效证明材料</w:t>
      </w:r>
    </w:p>
    <w:p>
      <w:pPr>
        <w:spacing w:line="400" w:lineRule="exact"/>
        <w:rPr>
          <w:rFonts w:hint="eastAsia" w:ascii="宋体" w:hAnsi="宋体" w:eastAsia="宋体" w:cs="宋体"/>
          <w:b/>
          <w:sz w:val="32"/>
          <w:szCs w:val="32"/>
          <w:highlight w:val="none"/>
        </w:rPr>
      </w:pPr>
      <w:r>
        <w:rPr>
          <w:rFonts w:hint="eastAsia" w:ascii="宋体" w:hAnsi="宋体" w:eastAsia="宋体" w:cs="宋体"/>
          <w:b/>
          <w:sz w:val="32"/>
          <w:szCs w:val="32"/>
          <w:highlight w:val="none"/>
          <w:lang w:val="en-US" w:eastAsia="zh-CN"/>
        </w:rPr>
        <w:t>1.</w:t>
      </w:r>
      <w:r>
        <w:rPr>
          <w:rFonts w:hint="eastAsia" w:ascii="宋体" w:hAnsi="宋体" w:eastAsia="宋体" w:cs="宋体"/>
          <w:b/>
          <w:sz w:val="32"/>
          <w:szCs w:val="32"/>
          <w:highlight w:val="none"/>
        </w:rPr>
        <w:t>投标报价表（必须提供）</w:t>
      </w:r>
    </w:p>
    <w:p>
      <w:pPr>
        <w:spacing w:line="400" w:lineRule="exact"/>
        <w:rPr>
          <w:rFonts w:hint="eastAsia"/>
          <w:b/>
          <w:sz w:val="30"/>
          <w:szCs w:val="30"/>
          <w:highlight w:val="none"/>
        </w:rPr>
      </w:pPr>
      <w:r>
        <w:rPr>
          <w:rFonts w:hint="eastAsia"/>
          <w:b/>
          <w:sz w:val="30"/>
          <w:szCs w:val="30"/>
          <w:highlight w:val="none"/>
        </w:rPr>
        <w:t>附件</w:t>
      </w:r>
    </w:p>
    <w:p>
      <w:pPr>
        <w:spacing w:line="440" w:lineRule="atLeast"/>
        <w:jc w:val="center"/>
        <w:rPr>
          <w:rFonts w:hint="eastAsia" w:ascii="宋体" w:hAnsi="宋体"/>
          <w:b/>
          <w:sz w:val="32"/>
          <w:szCs w:val="32"/>
          <w:highlight w:val="none"/>
        </w:rPr>
      </w:pPr>
      <w:r>
        <w:rPr>
          <w:rFonts w:hint="eastAsia"/>
          <w:b/>
          <w:sz w:val="32"/>
          <w:szCs w:val="32"/>
          <w:highlight w:val="none"/>
        </w:rPr>
        <w:t>投标报价表（格式）</w:t>
      </w:r>
    </w:p>
    <w:p>
      <w:pPr>
        <w:spacing w:line="400" w:lineRule="exact"/>
        <w:rPr>
          <w:rFonts w:hint="eastAsia" w:ascii="宋体" w:hAnsi="宋体" w:eastAsia="宋体"/>
          <w:highlight w:val="none"/>
          <w:lang w:eastAsia="zh-CN"/>
        </w:rPr>
      </w:pPr>
      <w:r>
        <w:rPr>
          <w:rFonts w:hint="eastAsia" w:ascii="宋体" w:hAnsi="宋体"/>
          <w:szCs w:val="21"/>
          <w:highlight w:val="none"/>
        </w:rPr>
        <w:t>致：</w:t>
      </w:r>
      <w:r>
        <w:rPr>
          <w:rFonts w:hint="eastAsia" w:ascii="宋体" w:hAnsi="宋体"/>
          <w:highlight w:val="none"/>
          <w:u w:val="single"/>
          <w:lang w:eastAsia="zh-CN"/>
        </w:rPr>
        <w:t>广西江之源项目管理有限公司</w:t>
      </w:r>
    </w:p>
    <w:p>
      <w:pPr>
        <w:spacing w:line="400" w:lineRule="exact"/>
        <w:rPr>
          <w:rFonts w:hint="eastAsia" w:ascii="宋体" w:hAnsi="宋体"/>
          <w:szCs w:val="21"/>
          <w:highlight w:val="none"/>
        </w:rPr>
      </w:pPr>
    </w:p>
    <w:p>
      <w:pPr>
        <w:pStyle w:val="12"/>
        <w:spacing w:line="360" w:lineRule="exact"/>
        <w:ind w:firstLine="420"/>
        <w:rPr>
          <w:rFonts w:hint="eastAsia" w:hAnsi="宋体"/>
          <w:highlight w:val="none"/>
        </w:rPr>
      </w:pPr>
      <w:r>
        <w:rPr>
          <w:rFonts w:hint="eastAsia" w:hAnsi="宋体"/>
          <w:highlight w:val="none"/>
        </w:rPr>
        <w:t>根据贵方</w:t>
      </w:r>
      <w:r>
        <w:rPr>
          <w:rFonts w:hint="eastAsia" w:hAnsi="宋体"/>
          <w:highlight w:val="none"/>
          <w:u w:val="single"/>
        </w:rPr>
        <w:t xml:space="preserve">           </w:t>
      </w:r>
      <w:r>
        <w:rPr>
          <w:rFonts w:hint="eastAsia" w:hAnsi="宋体"/>
          <w:highlight w:val="none"/>
        </w:rPr>
        <w:t>项目招标文件，项目编号</w:t>
      </w:r>
      <w:r>
        <w:rPr>
          <w:rFonts w:hint="eastAsia" w:hAnsi="宋体"/>
          <w:szCs w:val="21"/>
          <w:highlight w:val="none"/>
          <w:u w:val="single"/>
        </w:rPr>
        <w:t xml:space="preserve">            </w:t>
      </w:r>
      <w:r>
        <w:rPr>
          <w:rFonts w:hint="eastAsia" w:hAnsi="宋体"/>
          <w:szCs w:val="21"/>
          <w:highlight w:val="none"/>
        </w:rPr>
        <w:t>，签字代表</w:t>
      </w:r>
      <w:r>
        <w:rPr>
          <w:rFonts w:hint="eastAsia" w:hAnsi="宋体"/>
          <w:highlight w:val="none"/>
          <w:u w:val="single"/>
        </w:rPr>
        <w:t xml:space="preserve">         </w:t>
      </w:r>
      <w:r>
        <w:rPr>
          <w:rFonts w:hint="eastAsia" w:hAnsi="宋体"/>
          <w:highlight w:val="none"/>
        </w:rPr>
        <w:t xml:space="preserve">（姓名）经正式授权并代表投标人 </w:t>
      </w:r>
      <w:r>
        <w:rPr>
          <w:rFonts w:hint="eastAsia" w:hAnsi="宋体"/>
          <w:highlight w:val="none"/>
          <w:u w:val="single"/>
        </w:rPr>
        <w:t xml:space="preserve">                                   </w:t>
      </w:r>
      <w:r>
        <w:rPr>
          <w:rFonts w:hint="eastAsia" w:hAnsi="宋体"/>
          <w:highlight w:val="none"/>
          <w:u w:val="none"/>
        </w:rPr>
        <w:t>（</w:t>
      </w:r>
      <w:r>
        <w:rPr>
          <w:rFonts w:hint="eastAsia" w:hAnsi="宋体"/>
          <w:highlight w:val="none"/>
        </w:rPr>
        <w:t xml:space="preserve">投标单位名称），提交投标文件，并做出如下报价： </w:t>
      </w:r>
    </w:p>
    <w:tbl>
      <w:tblPr>
        <w:tblStyle w:val="15"/>
        <w:tblW w:w="1020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81"/>
        <w:gridCol w:w="3565"/>
        <w:gridCol w:w="32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38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b/>
                <w:bCs/>
                <w:highlight w:val="none"/>
              </w:rPr>
            </w:pPr>
            <w:r>
              <w:rPr>
                <w:rFonts w:hint="eastAsia" w:ascii="宋体" w:hAnsi="宋体"/>
                <w:b/>
                <w:bCs/>
                <w:szCs w:val="21"/>
                <w:highlight w:val="none"/>
              </w:rPr>
              <w:t>服务名称</w:t>
            </w:r>
          </w:p>
        </w:tc>
        <w:tc>
          <w:tcPr>
            <w:tcW w:w="3565" w:type="dxa"/>
            <w:tcBorders>
              <w:top w:val="single" w:color="auto" w:sz="4" w:space="0"/>
              <w:left w:val="single" w:color="auto" w:sz="4" w:space="0"/>
              <w:bottom w:val="single" w:color="auto" w:sz="4" w:space="0"/>
            </w:tcBorders>
            <w:noWrap w:val="0"/>
            <w:vAlign w:val="center"/>
          </w:tcPr>
          <w:p>
            <w:pPr>
              <w:spacing w:line="340" w:lineRule="exact"/>
              <w:jc w:val="center"/>
              <w:rPr>
                <w:rFonts w:hint="eastAsia" w:ascii="宋体" w:hAnsi="宋体"/>
                <w:b/>
                <w:bCs/>
                <w:highlight w:val="none"/>
              </w:rPr>
            </w:pPr>
            <w:r>
              <w:rPr>
                <w:rFonts w:hint="eastAsia" w:ascii="宋体" w:hAnsi="宋体" w:eastAsia="宋体" w:cs="宋体"/>
                <w:b/>
                <w:bCs/>
                <w:sz w:val="21"/>
                <w:szCs w:val="21"/>
                <w:highlight w:val="none"/>
              </w:rPr>
              <w:t>折扣率</w:t>
            </w:r>
          </w:p>
        </w:tc>
        <w:tc>
          <w:tcPr>
            <w:tcW w:w="3259" w:type="dxa"/>
            <w:tcBorders>
              <w:top w:val="single" w:color="auto" w:sz="4" w:space="0"/>
              <w:left w:val="single" w:color="auto" w:sz="4" w:space="0"/>
              <w:bottom w:val="single" w:color="auto" w:sz="4" w:space="0"/>
            </w:tcBorders>
            <w:noWrap w:val="0"/>
            <w:vAlign w:val="center"/>
          </w:tcPr>
          <w:p>
            <w:pPr>
              <w:spacing w:line="340" w:lineRule="exact"/>
              <w:jc w:val="center"/>
              <w:rPr>
                <w:rFonts w:hint="eastAsia" w:ascii="宋体" w:hAnsi="宋体"/>
                <w:highlight w:val="none"/>
              </w:rPr>
            </w:pPr>
            <w:r>
              <w:rPr>
                <w:rFonts w:hint="eastAsia" w:ascii="宋体" w:hAnsi="宋体"/>
                <w:b/>
                <w:bCs/>
                <w:highlight w:val="none"/>
              </w:rPr>
              <w:t>技术需求及商务要求响应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3381"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highlight w:val="none"/>
              </w:rPr>
            </w:pPr>
            <w:r>
              <w:rPr>
                <w:rFonts w:hint="eastAsia" w:ascii="宋体" w:hAnsi="宋体"/>
                <w:highlight w:val="none"/>
                <w:lang w:eastAsia="zh-CN"/>
              </w:rPr>
              <w:t>桂林市老城区路灯节能改造项目</w:t>
            </w:r>
          </w:p>
        </w:tc>
        <w:tc>
          <w:tcPr>
            <w:tcW w:w="3565" w:type="dxa"/>
            <w:tcBorders>
              <w:top w:val="single" w:color="auto" w:sz="4" w:space="0"/>
              <w:left w:val="single" w:color="auto" w:sz="4" w:space="0"/>
              <w:bottom w:val="single" w:color="auto" w:sz="4" w:space="0"/>
            </w:tcBorders>
            <w:noWrap w:val="0"/>
            <w:vAlign w:val="center"/>
          </w:tcPr>
          <w:p>
            <w:pPr>
              <w:spacing w:line="340" w:lineRule="exact"/>
              <w:jc w:val="center"/>
              <w:rPr>
                <w:rFonts w:hint="eastAsia" w:ascii="宋体" w:hAnsi="宋体"/>
                <w:highlight w:val="none"/>
              </w:rPr>
            </w:pPr>
          </w:p>
        </w:tc>
        <w:tc>
          <w:tcPr>
            <w:tcW w:w="3259" w:type="dxa"/>
            <w:tcBorders>
              <w:top w:val="single" w:color="auto" w:sz="4" w:space="0"/>
              <w:left w:val="single" w:color="auto" w:sz="4" w:space="0"/>
              <w:bottom w:val="single" w:color="auto" w:sz="4" w:space="0"/>
            </w:tcBorders>
            <w:noWrap w:val="0"/>
            <w:vAlign w:val="center"/>
          </w:tcPr>
          <w:p>
            <w:pPr>
              <w:spacing w:line="340" w:lineRule="exact"/>
              <w:jc w:val="center"/>
              <w:rPr>
                <w:rFonts w:hint="eastAsia" w:ascii="宋体" w:hAnsi="宋体" w:eastAsia="宋体"/>
                <w:highlight w:val="none"/>
                <w:lang w:eastAsia="zh-CN"/>
              </w:rPr>
            </w:pPr>
            <w:r>
              <w:rPr>
                <w:rFonts w:hint="eastAsia" w:ascii="宋体" w:hAnsi="宋体" w:cs="宋体"/>
                <w:b w:val="0"/>
                <w:bCs/>
                <w:szCs w:val="21"/>
                <w:highlight w:val="none"/>
              </w:rPr>
              <w:t>详见“技术需求及商务要求承诺响应表”</w:t>
            </w:r>
            <w:r>
              <w:rPr>
                <w:rFonts w:hint="eastAsia" w:ascii="宋体" w:hAnsi="宋体" w:cs="宋体"/>
                <w:b w:val="0"/>
                <w:bCs/>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5" w:type="dxa"/>
            <w:gridSpan w:val="3"/>
            <w:tcBorders>
              <w:top w:val="single" w:color="auto" w:sz="4" w:space="0"/>
              <w:left w:val="single" w:color="auto" w:sz="4" w:space="0"/>
            </w:tcBorders>
            <w:noWrap w:val="0"/>
            <w:vAlign w:val="center"/>
          </w:tcPr>
          <w:p>
            <w:pPr>
              <w:spacing w:line="440" w:lineRule="exact"/>
              <w:jc w:val="left"/>
              <w:rPr>
                <w:rFonts w:hint="eastAsia" w:ascii="宋体" w:hAnsi="宋体"/>
                <w:b/>
                <w:bCs/>
                <w:highlight w:val="none"/>
              </w:rPr>
            </w:pPr>
            <w:r>
              <w:rPr>
                <w:rFonts w:hint="eastAsia" w:ascii="宋体" w:hAnsi="宋体"/>
                <w:b/>
                <w:bCs/>
                <w:highlight w:val="none"/>
                <w:lang w:val="en-US" w:eastAsia="zh-CN"/>
              </w:rPr>
              <w:t>1.</w:t>
            </w:r>
            <w:r>
              <w:rPr>
                <w:rFonts w:hint="eastAsia" w:ascii="宋体" w:hAnsi="宋体"/>
                <w:b/>
                <w:bCs/>
                <w:highlight w:val="none"/>
              </w:rPr>
              <w:t>月度能源管理费用：指市财政根据项目改造前电费支出情况，在项目进入运营期后，每月固定拨付至市照明处的项目经费，用于市照明处缴纳电费和履行合同义务。月度能源管理费用=该月项目改造前平均用电量×固定电价×折扣率</w:t>
            </w:r>
          </w:p>
          <w:p>
            <w:pPr>
              <w:spacing w:line="440" w:lineRule="exact"/>
              <w:jc w:val="left"/>
              <w:rPr>
                <w:rFonts w:hint="eastAsia" w:ascii="宋体" w:hAnsi="宋体"/>
                <w:b/>
                <w:bCs/>
                <w:highlight w:val="none"/>
              </w:rPr>
            </w:pPr>
            <w:r>
              <w:rPr>
                <w:rFonts w:hint="eastAsia" w:ascii="宋体" w:hAnsi="宋体"/>
                <w:b/>
                <w:bCs/>
                <w:highlight w:val="none"/>
                <w:lang w:val="en-US" w:eastAsia="zh-CN"/>
              </w:rPr>
              <w:t>2.</w:t>
            </w:r>
            <w:r>
              <w:rPr>
                <w:rFonts w:hint="eastAsia" w:ascii="宋体" w:hAnsi="宋体"/>
                <w:b/>
                <w:bCs/>
                <w:highlight w:val="none"/>
              </w:rPr>
              <w:t>月度能源管理应付款：指月度能源管理费用扣除项目范围实际电费支出，该月实际支付给项目中标人的款项。月度能源管理应付款=该月项目改造前平均用电量×固定电价×折扣率-该月项目范围实际电费支出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0205" w:type="dxa"/>
            <w:gridSpan w:val="3"/>
            <w:tcBorders>
              <w:top w:val="single" w:color="auto" w:sz="4" w:space="0"/>
              <w:left w:val="single" w:color="auto" w:sz="4" w:space="0"/>
              <w:bottom w:val="single" w:color="auto" w:sz="4" w:space="0"/>
            </w:tcBorders>
            <w:noWrap w:val="0"/>
            <w:vAlign w:val="center"/>
          </w:tcPr>
          <w:p>
            <w:pPr>
              <w:spacing w:line="320" w:lineRule="exact"/>
              <w:rPr>
                <w:rFonts w:hint="eastAsia" w:ascii="宋体" w:hAnsi="宋体"/>
                <w:spacing w:val="-6"/>
                <w:highlight w:val="none"/>
              </w:rPr>
            </w:pPr>
            <w:r>
              <w:rPr>
                <w:rFonts w:hint="eastAsia" w:ascii="宋体" w:hAnsi="宋体"/>
                <w:b/>
                <w:bCs/>
                <w:szCs w:val="21"/>
                <w:highlight w:val="none"/>
              </w:rPr>
              <w:t>投标有效期：本项目投标有效期为投标截止时间之日起90天。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205" w:type="dxa"/>
            <w:gridSpan w:val="3"/>
            <w:tcBorders>
              <w:top w:val="single" w:color="auto" w:sz="4" w:space="0"/>
              <w:left w:val="single" w:color="auto" w:sz="4" w:space="0"/>
              <w:bottom w:val="single" w:color="auto" w:sz="4" w:space="0"/>
            </w:tcBorders>
            <w:noWrap w:val="0"/>
            <w:vAlign w:val="top"/>
          </w:tcPr>
          <w:p>
            <w:pPr>
              <w:spacing w:line="320" w:lineRule="exact"/>
              <w:rPr>
                <w:rFonts w:hint="eastAsia" w:ascii="宋体" w:hAnsi="宋体"/>
                <w:bCs/>
                <w:szCs w:val="21"/>
                <w:highlight w:val="none"/>
              </w:rPr>
            </w:pPr>
            <w:r>
              <w:rPr>
                <w:rFonts w:hint="eastAsia" w:ascii="宋体" w:hAnsi="宋体"/>
                <w:szCs w:val="21"/>
                <w:highlight w:val="none"/>
              </w:rPr>
              <w:t>说</w:t>
            </w:r>
            <w:r>
              <w:rPr>
                <w:rFonts w:hint="eastAsia" w:ascii="宋体" w:hAnsi="宋体"/>
                <w:bCs/>
                <w:szCs w:val="21"/>
                <w:highlight w:val="none"/>
              </w:rPr>
              <w:t>明</w:t>
            </w:r>
          </w:p>
          <w:p>
            <w:pPr>
              <w:spacing w:line="320" w:lineRule="exact"/>
              <w:rPr>
                <w:rFonts w:hint="eastAsia" w:ascii="宋体" w:hAnsi="宋体"/>
                <w:bCs/>
                <w:szCs w:val="21"/>
                <w:highlight w:val="none"/>
              </w:rPr>
            </w:pPr>
            <w:r>
              <w:rPr>
                <w:rFonts w:hint="eastAsia" w:ascii="宋体" w:hAnsi="宋体"/>
                <w:bCs/>
                <w:szCs w:val="21"/>
                <w:highlight w:val="none"/>
              </w:rPr>
              <w:t>1.投标人必须就“采购需求”中的所有内容作完整唯一报价，否则，其投标将被拒绝。投标文件只允许有一个报价，有选择的或有条件的报价将不予接受。</w:t>
            </w:r>
          </w:p>
          <w:p>
            <w:pPr>
              <w:spacing w:line="320" w:lineRule="exact"/>
              <w:rPr>
                <w:rFonts w:hint="eastAsia" w:ascii="宋体" w:hAnsi="宋体"/>
                <w:szCs w:val="21"/>
                <w:highlight w:val="none"/>
              </w:rPr>
            </w:pPr>
            <w:r>
              <w:rPr>
                <w:rFonts w:hint="eastAsia" w:ascii="宋体" w:hAnsi="宋体"/>
                <w:szCs w:val="21"/>
                <w:highlight w:val="none"/>
              </w:rPr>
              <w:t>2.投标人投标报价包含但不限于投标人完成本项目所需的一切服务工作内容而发生的所有直接费用、间接费用、其他费用、税金、项目验收等全部费用和投标人要求获得的利润以及应由投标人承担的义务、责任和风险所发生的一切费用，投标人应综合考虑在报价中。</w:t>
            </w:r>
          </w:p>
        </w:tc>
      </w:tr>
    </w:tbl>
    <w:p>
      <w:pPr>
        <w:rPr>
          <w:rFonts w:hint="eastAsia"/>
          <w:highlight w:val="none"/>
        </w:rPr>
      </w:pPr>
    </w:p>
    <w:p>
      <w:pPr>
        <w:pStyle w:val="12"/>
        <w:spacing w:line="320" w:lineRule="exact"/>
        <w:ind w:firstLine="420"/>
        <w:rPr>
          <w:rFonts w:hint="eastAsia" w:hAnsi="宋体"/>
          <w:highlight w:val="none"/>
        </w:rPr>
      </w:pPr>
      <w:r>
        <w:rPr>
          <w:rFonts w:hint="eastAsia" w:hAnsi="宋体"/>
          <w:highlight w:val="none"/>
        </w:rPr>
        <w:t>与本投标有关的正式通讯地址为：</w:t>
      </w:r>
    </w:p>
    <w:p>
      <w:pPr>
        <w:pStyle w:val="12"/>
        <w:spacing w:line="320" w:lineRule="exact"/>
        <w:ind w:firstLine="420"/>
        <w:rPr>
          <w:rFonts w:hint="eastAsia"/>
          <w:highlight w:val="none"/>
        </w:rPr>
      </w:pPr>
      <w:r>
        <w:rPr>
          <w:rFonts w:hint="eastAsia" w:hAnsi="宋体"/>
          <w:highlight w:val="none"/>
        </w:rPr>
        <w:t>地址：</w:t>
      </w:r>
      <w:r>
        <w:rPr>
          <w:rFonts w:hint="eastAsia" w:hAnsi="宋体"/>
          <w:highlight w:val="none"/>
          <w:u w:val="single"/>
        </w:rPr>
        <w:t xml:space="preserve">                                   </w:t>
      </w:r>
      <w:r>
        <w:rPr>
          <w:rFonts w:hint="eastAsia" w:hAnsi="宋体"/>
          <w:highlight w:val="none"/>
        </w:rPr>
        <w:t xml:space="preserve"> 邮编：</w:t>
      </w:r>
      <w:r>
        <w:rPr>
          <w:rFonts w:hint="eastAsia" w:hAnsi="宋体"/>
          <w:highlight w:val="none"/>
          <w:u w:val="single"/>
        </w:rPr>
        <w:t xml:space="preserve">          </w:t>
      </w:r>
      <w:r>
        <w:rPr>
          <w:rFonts w:hint="eastAsia" w:hAnsi="宋体"/>
          <w:highlight w:val="none"/>
        </w:rPr>
        <w:t xml:space="preserve">  </w:t>
      </w:r>
      <w:r>
        <w:rPr>
          <w:rFonts w:hint="eastAsia"/>
          <w:highlight w:val="none"/>
        </w:rPr>
        <w:t>邮箱：</w:t>
      </w:r>
      <w:r>
        <w:rPr>
          <w:rFonts w:hint="eastAsia"/>
          <w:highlight w:val="none"/>
          <w:u w:val="single"/>
        </w:rPr>
        <w:t xml:space="preserve">             </w:t>
      </w:r>
      <w:r>
        <w:rPr>
          <w:rFonts w:hint="eastAsia"/>
          <w:highlight w:val="none"/>
        </w:rPr>
        <w:t xml:space="preserve"> </w:t>
      </w:r>
    </w:p>
    <w:p>
      <w:pPr>
        <w:pStyle w:val="12"/>
        <w:spacing w:line="320" w:lineRule="exact"/>
        <w:ind w:firstLine="420"/>
        <w:rPr>
          <w:rFonts w:hint="eastAsia"/>
          <w:highlight w:val="none"/>
          <w:u w:val="single"/>
        </w:rPr>
      </w:pPr>
      <w:r>
        <w:rPr>
          <w:rFonts w:hint="eastAsia"/>
          <w:highlight w:val="none"/>
        </w:rPr>
        <w:t>办公电话：</w:t>
      </w:r>
      <w:r>
        <w:rPr>
          <w:rFonts w:hint="eastAsia"/>
          <w:highlight w:val="none"/>
          <w:u w:val="single"/>
        </w:rPr>
        <w:t xml:space="preserve">                </w:t>
      </w:r>
      <w:r>
        <w:rPr>
          <w:rFonts w:hint="eastAsia"/>
          <w:highlight w:val="none"/>
        </w:rPr>
        <w:t xml:space="preserve">   传真：</w:t>
      </w:r>
      <w:r>
        <w:rPr>
          <w:rFonts w:hint="eastAsia"/>
          <w:highlight w:val="none"/>
          <w:u w:val="single"/>
        </w:rPr>
        <w:t xml:space="preserve">            </w:t>
      </w:r>
    </w:p>
    <w:p>
      <w:pPr>
        <w:pStyle w:val="12"/>
        <w:spacing w:line="320" w:lineRule="exact"/>
        <w:ind w:firstLine="420"/>
        <w:rPr>
          <w:rFonts w:hint="eastAsia" w:hAnsi="宋体"/>
          <w:highlight w:val="none"/>
          <w:u w:val="single"/>
        </w:rPr>
      </w:pPr>
      <w:r>
        <w:rPr>
          <w:rFonts w:hint="eastAsia"/>
          <w:highlight w:val="none"/>
        </w:rPr>
        <w:t>委托代理人联系电话：</w:t>
      </w:r>
      <w:r>
        <w:rPr>
          <w:rFonts w:hint="eastAsia"/>
          <w:highlight w:val="none"/>
          <w:u w:val="single"/>
        </w:rPr>
        <w:t xml:space="preserve">                </w:t>
      </w:r>
    </w:p>
    <w:p>
      <w:pPr>
        <w:pStyle w:val="12"/>
        <w:spacing w:line="320" w:lineRule="exact"/>
        <w:ind w:firstLine="420"/>
        <w:rPr>
          <w:rFonts w:hint="eastAsia" w:hAnsi="宋体"/>
          <w:highlight w:val="none"/>
        </w:rPr>
      </w:pPr>
      <w:r>
        <w:rPr>
          <w:rFonts w:hint="eastAsia" w:hAnsi="宋体"/>
          <w:highlight w:val="none"/>
        </w:rPr>
        <w:t>开户名称：</w:t>
      </w:r>
      <w:r>
        <w:rPr>
          <w:rFonts w:hint="eastAsia" w:hAnsi="宋体"/>
          <w:highlight w:val="none"/>
          <w:u w:val="single"/>
        </w:rPr>
        <w:t xml:space="preserve">                                        </w:t>
      </w:r>
    </w:p>
    <w:p>
      <w:pPr>
        <w:pStyle w:val="12"/>
        <w:spacing w:line="320" w:lineRule="exact"/>
        <w:ind w:firstLine="420"/>
        <w:rPr>
          <w:rFonts w:hint="eastAsia" w:hAnsi="宋体"/>
          <w:highlight w:val="none"/>
        </w:rPr>
      </w:pPr>
      <w:r>
        <w:rPr>
          <w:rFonts w:hint="eastAsia" w:hAnsi="宋体"/>
          <w:highlight w:val="none"/>
        </w:rPr>
        <w:t>开户银行：</w:t>
      </w:r>
      <w:r>
        <w:rPr>
          <w:rFonts w:hint="eastAsia" w:hAnsi="宋体"/>
          <w:highlight w:val="none"/>
          <w:u w:val="single"/>
        </w:rPr>
        <w:t xml:space="preserve">                               　       </w:t>
      </w:r>
    </w:p>
    <w:p>
      <w:pPr>
        <w:pStyle w:val="12"/>
        <w:spacing w:line="320" w:lineRule="exact"/>
        <w:ind w:firstLine="420"/>
        <w:rPr>
          <w:rFonts w:hint="eastAsia" w:hAnsi="宋体"/>
          <w:highlight w:val="none"/>
        </w:rPr>
      </w:pPr>
      <w:r>
        <w:rPr>
          <w:rFonts w:hint="eastAsia" w:hAnsi="宋体"/>
          <w:highlight w:val="none"/>
        </w:rPr>
        <w:t>账号：</w:t>
      </w:r>
      <w:r>
        <w:rPr>
          <w:rFonts w:hint="eastAsia" w:hAnsi="宋体"/>
          <w:highlight w:val="none"/>
          <w:u w:val="single"/>
        </w:rPr>
        <w:t xml:space="preserve">                                   　　　   </w:t>
      </w:r>
    </w:p>
    <w:p>
      <w:pPr>
        <w:spacing w:line="340" w:lineRule="exact"/>
        <w:ind w:firstLine="420"/>
        <w:rPr>
          <w:rFonts w:hint="eastAsia" w:ascii="宋体" w:hAnsi="宋体" w:cs="宋体"/>
          <w:color w:val="000000"/>
          <w:szCs w:val="21"/>
          <w:highlight w:val="none"/>
          <w:u w:val="single"/>
        </w:rPr>
      </w:pPr>
      <w:r>
        <w:rPr>
          <w:rFonts w:hint="eastAsia" w:ascii="宋体" w:hAnsi="宋体" w:cs="宋体"/>
          <w:color w:val="000000"/>
          <w:szCs w:val="21"/>
          <w:highlight w:val="none"/>
        </w:rPr>
        <w:t>投标人（CA签章，自然人除外）：</w:t>
      </w:r>
      <w:r>
        <w:rPr>
          <w:rFonts w:hint="eastAsia" w:ascii="宋体" w:hAnsi="宋体" w:cs="宋体"/>
          <w:color w:val="000000"/>
          <w:szCs w:val="21"/>
          <w:highlight w:val="none"/>
          <w:u w:val="single"/>
        </w:rPr>
        <w:t xml:space="preserve">                                        </w:t>
      </w:r>
    </w:p>
    <w:p>
      <w:pPr>
        <w:spacing w:line="340" w:lineRule="exact"/>
        <w:ind w:firstLine="420"/>
        <w:rPr>
          <w:rFonts w:hint="eastAsia" w:hAnsi="宋体"/>
          <w:szCs w:val="21"/>
          <w:highlight w:val="none"/>
          <w:u w:val="single"/>
        </w:rPr>
      </w:pPr>
      <w:r>
        <w:rPr>
          <w:rFonts w:hint="eastAsia" w:ascii="宋体" w:hAnsi="宋体" w:cs="宋体"/>
          <w:color w:val="000000"/>
          <w:highlight w:val="none"/>
        </w:rPr>
        <w:t>法定代表人、负责人、自然人或相应的委托代理人签字或个人CA签章（属自然人的应在签名处加盖食指指印或个人CA签章）：</w:t>
      </w:r>
      <w:r>
        <w:rPr>
          <w:rFonts w:hint="eastAsia" w:ascii="宋体" w:hAnsi="宋体" w:cs="宋体"/>
          <w:color w:val="000000"/>
          <w:szCs w:val="21"/>
          <w:highlight w:val="none"/>
          <w:u w:val="single"/>
        </w:rPr>
        <w:t xml:space="preserve">                                    </w:t>
      </w:r>
    </w:p>
    <w:p>
      <w:pPr>
        <w:spacing w:line="320" w:lineRule="exact"/>
        <w:jc w:val="left"/>
        <w:rPr>
          <w:rFonts w:hint="eastAsia" w:ascii="宋体" w:hAnsi="宋体"/>
          <w:szCs w:val="21"/>
          <w:highlight w:val="none"/>
          <w:u w:val="single"/>
        </w:rPr>
      </w:pPr>
      <w:r>
        <w:rPr>
          <w:rFonts w:hAnsi="宋体"/>
          <w:highlight w:val="none"/>
        </w:rPr>
        <w:t xml:space="preserve">    </w:t>
      </w:r>
      <w:r>
        <w:rPr>
          <w:rFonts w:hint="eastAsia" w:hAnsi="宋体"/>
          <w:highlight w:val="none"/>
        </w:rPr>
        <w:t>日</w:t>
      </w:r>
      <w:r>
        <w:rPr>
          <w:rFonts w:hAnsi="宋体"/>
          <w:highlight w:val="none"/>
        </w:rPr>
        <w:t xml:space="preserve">     </w:t>
      </w:r>
      <w:r>
        <w:rPr>
          <w:rFonts w:hint="eastAsia" w:hAnsi="宋体"/>
          <w:highlight w:val="none"/>
        </w:rPr>
        <w:t>期：</w:t>
      </w:r>
      <w:r>
        <w:rPr>
          <w:rFonts w:hAnsi="宋体"/>
          <w:highlight w:val="none"/>
          <w:u w:val="single"/>
        </w:rPr>
        <w:t xml:space="preserve">                                                   </w:t>
      </w:r>
    </w:p>
    <w:p>
      <w:pPr>
        <w:pStyle w:val="12"/>
        <w:spacing w:line="500" w:lineRule="exact"/>
        <w:ind w:left="422" w:hanging="422" w:hangingChars="200"/>
        <w:rPr>
          <w:rFonts w:hint="eastAsia" w:hAnsi="宋体"/>
          <w:b/>
          <w:highlight w:val="none"/>
        </w:rPr>
      </w:pPr>
    </w:p>
    <w:p>
      <w:pPr>
        <w:tabs>
          <w:tab w:val="left" w:pos="1305"/>
        </w:tabs>
        <w:spacing w:line="320" w:lineRule="exact"/>
        <w:rPr>
          <w:rFonts w:hint="eastAsia"/>
          <w:highlight w:val="none"/>
        </w:rPr>
      </w:pPr>
    </w:p>
    <w:p>
      <w:pPr>
        <w:tabs>
          <w:tab w:val="left" w:pos="1305"/>
        </w:tabs>
        <w:spacing w:line="320" w:lineRule="exact"/>
        <w:rPr>
          <w:rFonts w:hint="eastAsia" w:ascii="宋体" w:hAnsi="宋体"/>
          <w:b/>
          <w:bCs/>
          <w:sz w:val="32"/>
          <w:szCs w:val="32"/>
          <w:highlight w:val="none"/>
        </w:rPr>
      </w:pPr>
      <w:r>
        <w:rPr>
          <w:rFonts w:hint="eastAsia" w:ascii="宋体" w:hAnsi="宋体"/>
          <w:b/>
          <w:bCs/>
          <w:sz w:val="32"/>
          <w:szCs w:val="32"/>
          <w:highlight w:val="none"/>
          <w:lang w:val="en-US" w:eastAsia="zh-CN"/>
        </w:rPr>
        <w:t>2</w:t>
      </w:r>
      <w:r>
        <w:rPr>
          <w:rFonts w:hint="eastAsia" w:ascii="宋体" w:hAnsi="宋体"/>
          <w:b/>
          <w:bCs/>
          <w:sz w:val="32"/>
          <w:szCs w:val="32"/>
          <w:highlight w:val="none"/>
        </w:rPr>
        <w:t>.技术需求及商务要求承诺响应表（必须提供）</w:t>
      </w:r>
    </w:p>
    <w:p>
      <w:pPr>
        <w:spacing w:line="400" w:lineRule="exact"/>
        <w:rPr>
          <w:rFonts w:hint="eastAsia" w:ascii="宋体" w:hAnsi="宋体"/>
          <w:b/>
          <w:sz w:val="24"/>
          <w:highlight w:val="none"/>
        </w:rPr>
      </w:pPr>
      <w:r>
        <w:rPr>
          <w:rFonts w:hint="eastAsia" w:ascii="宋体" w:hAnsi="宋体"/>
          <w:b/>
          <w:sz w:val="30"/>
          <w:szCs w:val="30"/>
          <w:highlight w:val="none"/>
        </w:rPr>
        <w:t>附件：</w:t>
      </w:r>
    </w:p>
    <w:p>
      <w:pPr>
        <w:pStyle w:val="12"/>
        <w:jc w:val="center"/>
        <w:rPr>
          <w:rFonts w:hint="eastAsia" w:hAnsi="宋体"/>
          <w:b/>
          <w:bCs/>
          <w:sz w:val="32"/>
          <w:highlight w:val="none"/>
        </w:rPr>
      </w:pPr>
      <w:r>
        <w:rPr>
          <w:rFonts w:hint="eastAsia" w:hAnsi="宋体"/>
          <w:b/>
          <w:bCs/>
          <w:sz w:val="32"/>
          <w:highlight w:val="none"/>
        </w:rPr>
        <w:t>技术需求及商务要求承诺响应表（格式）</w:t>
      </w:r>
    </w:p>
    <w:tbl>
      <w:tblPr>
        <w:tblStyle w:val="15"/>
        <w:tblW w:w="987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2"/>
        <w:gridCol w:w="4578"/>
        <w:gridCol w:w="3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174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65" w:beforeLines="50" w:line="280" w:lineRule="exact"/>
              <w:jc w:val="center"/>
              <w:rPr>
                <w:rFonts w:ascii="宋体" w:hAnsi="宋体"/>
                <w:szCs w:val="21"/>
                <w:highlight w:val="none"/>
              </w:rPr>
            </w:pPr>
            <w:r>
              <w:rPr>
                <w:rFonts w:hint="eastAsia" w:ascii="宋体" w:hAnsi="宋体"/>
                <w:szCs w:val="21"/>
                <w:highlight w:val="none"/>
              </w:rPr>
              <w:t>服务名称</w:t>
            </w:r>
          </w:p>
        </w:tc>
        <w:tc>
          <w:tcPr>
            <w:tcW w:w="45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65" w:beforeLines="50" w:line="280" w:lineRule="exact"/>
              <w:jc w:val="center"/>
              <w:rPr>
                <w:rFonts w:ascii="宋体" w:hAnsi="宋体"/>
                <w:szCs w:val="21"/>
                <w:highlight w:val="none"/>
              </w:rPr>
            </w:pPr>
            <w:r>
              <w:rPr>
                <w:rFonts w:hint="eastAsia" w:ascii="宋体" w:hAnsi="宋体"/>
                <w:szCs w:val="21"/>
                <w:highlight w:val="none"/>
              </w:rPr>
              <w:t>招标文件要求</w:t>
            </w:r>
          </w:p>
        </w:tc>
        <w:tc>
          <w:tcPr>
            <w:tcW w:w="35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65" w:beforeLines="50" w:line="240" w:lineRule="exact"/>
              <w:jc w:val="center"/>
              <w:rPr>
                <w:rFonts w:ascii="宋体" w:hAnsi="宋体"/>
                <w:szCs w:val="21"/>
                <w:highlight w:val="none"/>
              </w:rPr>
            </w:pPr>
            <w:r>
              <w:rPr>
                <w:rFonts w:hint="eastAsia" w:ascii="宋体" w:hAnsi="宋体"/>
                <w:szCs w:val="21"/>
                <w:highlight w:val="none"/>
              </w:rPr>
              <w:t>投标人的响应承诺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7" w:hRule="atLeast"/>
        </w:trPr>
        <w:tc>
          <w:tcPr>
            <w:tcW w:w="174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65" w:beforeLines="50" w:line="280" w:lineRule="exact"/>
              <w:jc w:val="left"/>
              <w:rPr>
                <w:rFonts w:ascii="宋体" w:hAnsi="宋体" w:cs="宋体"/>
                <w:kern w:val="0"/>
                <w:szCs w:val="21"/>
                <w:highlight w:val="none"/>
              </w:rPr>
            </w:pPr>
          </w:p>
        </w:tc>
        <w:tc>
          <w:tcPr>
            <w:tcW w:w="457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left"/>
              <w:rPr>
                <w:rFonts w:ascii="宋体" w:hAnsi="宋体"/>
                <w:szCs w:val="21"/>
                <w:highlight w:val="none"/>
              </w:rPr>
            </w:pPr>
          </w:p>
        </w:tc>
        <w:tc>
          <w:tcPr>
            <w:tcW w:w="35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Cs w:val="20"/>
                <w:highlight w:val="none"/>
              </w:rPr>
            </w:pPr>
          </w:p>
        </w:tc>
      </w:tr>
    </w:tbl>
    <w:p>
      <w:pPr>
        <w:snapToGrid w:val="0"/>
        <w:spacing w:line="400" w:lineRule="exact"/>
        <w:ind w:firstLine="1890" w:firstLineChars="900"/>
        <w:rPr>
          <w:rFonts w:hint="eastAsia" w:ascii="宋体" w:hAnsi="宋体" w:cs="宋体"/>
          <w:color w:val="000000"/>
          <w:szCs w:val="21"/>
          <w:highlight w:val="none"/>
        </w:rPr>
      </w:pPr>
    </w:p>
    <w:p>
      <w:pPr>
        <w:snapToGrid w:val="0"/>
        <w:spacing w:line="400" w:lineRule="exact"/>
        <w:ind w:firstLine="1890" w:firstLineChars="900"/>
        <w:rPr>
          <w:rFonts w:hint="eastAsia" w:ascii="宋体" w:hAnsi="宋体" w:cs="宋体"/>
          <w:color w:val="000000"/>
          <w:szCs w:val="21"/>
          <w:highlight w:val="none"/>
        </w:rPr>
      </w:pPr>
    </w:p>
    <w:p>
      <w:pPr>
        <w:snapToGrid w:val="0"/>
        <w:spacing w:line="400" w:lineRule="exact"/>
        <w:ind w:firstLine="1890" w:firstLineChars="900"/>
        <w:rPr>
          <w:rFonts w:ascii="宋体" w:hAnsi="宋体" w:cs="宋体"/>
          <w:color w:val="000000"/>
          <w:szCs w:val="21"/>
          <w:highlight w:val="none"/>
          <w:u w:val="single"/>
        </w:rPr>
      </w:pPr>
      <w:r>
        <w:rPr>
          <w:rFonts w:hint="eastAsia" w:ascii="宋体" w:hAnsi="宋体" w:cs="宋体"/>
          <w:color w:val="000000"/>
          <w:szCs w:val="21"/>
          <w:highlight w:val="none"/>
        </w:rPr>
        <w:t>投标人[公章(CA签章)，自然人签字或个人CA签章]：</w:t>
      </w:r>
      <w:r>
        <w:rPr>
          <w:rFonts w:hint="eastAsia" w:ascii="宋体" w:hAnsi="宋体" w:cs="宋体"/>
          <w:color w:val="000000"/>
          <w:szCs w:val="21"/>
          <w:highlight w:val="none"/>
          <w:u w:val="single"/>
        </w:rPr>
        <w:t xml:space="preserve">                          </w:t>
      </w:r>
    </w:p>
    <w:p>
      <w:pPr>
        <w:spacing w:line="340" w:lineRule="exact"/>
        <w:rPr>
          <w:rFonts w:ascii="宋体" w:hAnsi="宋体" w:cs="宋体"/>
          <w:color w:val="000000"/>
          <w:szCs w:val="21"/>
          <w:highlight w:val="none"/>
          <w:u w:val="single"/>
        </w:rPr>
      </w:pPr>
    </w:p>
    <w:p>
      <w:pPr>
        <w:pStyle w:val="12"/>
        <w:spacing w:line="360" w:lineRule="exact"/>
        <w:rPr>
          <w:rFonts w:hint="eastAsia" w:hAnsi="宋体"/>
          <w:highlight w:val="none"/>
        </w:rPr>
      </w:pPr>
      <w:r>
        <w:rPr>
          <w:rFonts w:hint="eastAsia" w:ascii="宋体" w:hAnsi="宋体" w:cs="宋体"/>
          <w:color w:val="000000"/>
          <w:highlight w:val="none"/>
        </w:rPr>
        <w:t xml:space="preserve"> </w:t>
      </w:r>
      <w:r>
        <w:rPr>
          <w:rFonts w:hint="eastAsia" w:ascii="宋体" w:hAnsi="宋体" w:cs="宋体"/>
          <w:color w:val="000000"/>
          <w:highlight w:val="none"/>
          <w:lang w:val="en-US" w:eastAsia="zh-CN"/>
        </w:rPr>
        <w:t xml:space="preserve">                 </w:t>
      </w:r>
      <w:r>
        <w:rPr>
          <w:rFonts w:hint="eastAsia" w:ascii="宋体" w:hAnsi="宋体" w:cs="宋体"/>
          <w:color w:val="000000"/>
          <w:highlight w:val="none"/>
        </w:rPr>
        <w:t>日          期：</w:t>
      </w:r>
      <w:r>
        <w:rPr>
          <w:rFonts w:hint="eastAsia" w:ascii="宋体" w:hAnsi="宋体" w:cs="宋体"/>
          <w:color w:val="000000"/>
          <w:highlight w:val="none"/>
          <w:u w:val="single"/>
        </w:rPr>
        <w:t xml:space="preserve">                                                   </w:t>
      </w:r>
    </w:p>
    <w:p>
      <w:pPr>
        <w:rPr>
          <w:rFonts w:hint="eastAsia"/>
          <w:highlight w:val="none"/>
        </w:rPr>
      </w:pPr>
    </w:p>
    <w:p>
      <w:pPr>
        <w:spacing w:line="400" w:lineRule="exact"/>
        <w:rPr>
          <w:rFonts w:hint="eastAsia"/>
          <w:b/>
          <w:sz w:val="32"/>
          <w:szCs w:val="32"/>
          <w:highlight w:val="none"/>
        </w:rPr>
      </w:pPr>
    </w:p>
    <w:p>
      <w:pPr>
        <w:spacing w:line="400" w:lineRule="exact"/>
        <w:rPr>
          <w:rFonts w:hint="eastAsia"/>
          <w:b/>
          <w:sz w:val="32"/>
          <w:szCs w:val="32"/>
          <w:highlight w:val="none"/>
        </w:rPr>
      </w:pPr>
    </w:p>
    <w:p>
      <w:pPr>
        <w:spacing w:line="400" w:lineRule="exact"/>
        <w:rPr>
          <w:rFonts w:hint="eastAsia"/>
          <w:b/>
          <w:sz w:val="32"/>
          <w:szCs w:val="32"/>
          <w:highlight w:val="none"/>
        </w:rPr>
      </w:pPr>
    </w:p>
    <w:p>
      <w:pPr>
        <w:tabs>
          <w:tab w:val="left" w:pos="1305"/>
        </w:tabs>
        <w:spacing w:line="480" w:lineRule="exact"/>
        <w:rPr>
          <w:rFonts w:hint="eastAsia" w:hAnsi="宋体"/>
          <w:b/>
          <w:bCs/>
          <w:sz w:val="32"/>
          <w:szCs w:val="32"/>
          <w:highlight w:val="none"/>
        </w:rPr>
      </w:pPr>
      <w:r>
        <w:rPr>
          <w:rFonts w:hint="eastAsia" w:hAnsi="宋体"/>
          <w:b/>
          <w:bCs/>
          <w:sz w:val="32"/>
          <w:szCs w:val="32"/>
          <w:highlight w:val="none"/>
        </w:rPr>
        <w:br w:type="page"/>
      </w:r>
    </w:p>
    <w:p>
      <w:pPr>
        <w:tabs>
          <w:tab w:val="left" w:pos="1305"/>
        </w:tabs>
        <w:spacing w:line="480" w:lineRule="exact"/>
        <w:rPr>
          <w:rFonts w:hint="eastAsia" w:ascii="宋体" w:hAnsi="宋体" w:eastAsia="宋体" w:cs="宋体"/>
          <w:b/>
          <w:bCs/>
          <w:sz w:val="32"/>
          <w:szCs w:val="32"/>
          <w:highlight w:val="none"/>
        </w:rPr>
      </w:pPr>
      <w:r>
        <w:rPr>
          <w:rFonts w:hint="eastAsia" w:ascii="宋体" w:hAnsi="宋体" w:eastAsia="宋体" w:cs="宋体"/>
          <w:b/>
          <w:bCs/>
          <w:sz w:val="32"/>
          <w:szCs w:val="32"/>
          <w:highlight w:val="none"/>
          <w:lang w:val="en-US" w:eastAsia="zh-CN"/>
        </w:rPr>
        <w:t>3.</w:t>
      </w:r>
      <w:r>
        <w:rPr>
          <w:rFonts w:hint="eastAsia" w:ascii="宋体" w:hAnsi="宋体" w:eastAsia="宋体" w:cs="宋体"/>
          <w:b/>
          <w:bCs/>
          <w:sz w:val="32"/>
          <w:szCs w:val="32"/>
          <w:highlight w:val="none"/>
        </w:rPr>
        <w:t>投标人的项目实施方案（如有，请提供）</w:t>
      </w:r>
    </w:p>
    <w:p>
      <w:pPr>
        <w:tabs>
          <w:tab w:val="left" w:pos="1305"/>
        </w:tabs>
        <w:spacing w:line="480" w:lineRule="exact"/>
        <w:rPr>
          <w:rFonts w:hint="eastAsia" w:hAnsi="宋体"/>
          <w:b/>
          <w:bCs/>
          <w:sz w:val="32"/>
          <w:szCs w:val="32"/>
          <w:highlight w:val="none"/>
        </w:rPr>
      </w:pPr>
      <w:r>
        <w:rPr>
          <w:rFonts w:hint="eastAsia" w:hAnsi="宋体"/>
          <w:b/>
          <w:bCs/>
          <w:sz w:val="32"/>
          <w:szCs w:val="32"/>
          <w:highlight w:val="none"/>
        </w:rPr>
        <w:t>附件：</w:t>
      </w:r>
    </w:p>
    <w:p>
      <w:pPr>
        <w:pStyle w:val="12"/>
        <w:jc w:val="center"/>
        <w:rPr>
          <w:rFonts w:hint="eastAsia" w:hAnsi="宋体"/>
          <w:b/>
          <w:bCs/>
          <w:sz w:val="32"/>
          <w:highlight w:val="none"/>
        </w:rPr>
      </w:pPr>
      <w:r>
        <w:rPr>
          <w:rFonts w:hint="eastAsia" w:hAnsi="宋体"/>
          <w:b/>
          <w:bCs/>
          <w:sz w:val="32"/>
          <w:highlight w:val="none"/>
        </w:rPr>
        <w:t>项目实施方案（格式）</w:t>
      </w:r>
    </w:p>
    <w:p>
      <w:pPr>
        <w:spacing w:line="440" w:lineRule="exact"/>
        <w:rPr>
          <w:rFonts w:hint="eastAsia"/>
          <w:highlight w:val="none"/>
        </w:rPr>
      </w:pPr>
    </w:p>
    <w:p>
      <w:pPr>
        <w:pStyle w:val="7"/>
        <w:rPr>
          <w:rFonts w:hint="eastAsia"/>
          <w:highlight w:val="none"/>
        </w:rPr>
      </w:pPr>
    </w:p>
    <w:p>
      <w:pPr>
        <w:pStyle w:val="7"/>
        <w:rPr>
          <w:rFonts w:hint="eastAsia"/>
          <w:highlight w:val="none"/>
        </w:rPr>
      </w:pPr>
    </w:p>
    <w:p>
      <w:pPr>
        <w:pStyle w:val="7"/>
        <w:rPr>
          <w:rFonts w:hint="eastAsia"/>
          <w:highlight w:val="none"/>
        </w:rPr>
      </w:pPr>
    </w:p>
    <w:p>
      <w:pPr>
        <w:snapToGrid w:val="0"/>
        <w:spacing w:line="400" w:lineRule="exact"/>
        <w:ind w:firstLine="1890" w:firstLineChars="900"/>
        <w:rPr>
          <w:rFonts w:hint="eastAsia" w:ascii="宋体" w:hAnsi="宋体" w:cs="宋体"/>
          <w:color w:val="000000"/>
          <w:szCs w:val="21"/>
          <w:highlight w:val="none"/>
          <w:u w:val="single"/>
        </w:rPr>
      </w:pPr>
      <w:r>
        <w:rPr>
          <w:rFonts w:hint="eastAsia" w:ascii="宋体" w:hAnsi="宋体" w:cs="宋体"/>
          <w:color w:val="000000"/>
          <w:szCs w:val="21"/>
          <w:highlight w:val="none"/>
        </w:rPr>
        <w:t>投标人[公章(CA签章)，自然人签字或个人CA签章]：</w:t>
      </w:r>
      <w:r>
        <w:rPr>
          <w:rFonts w:hint="eastAsia" w:ascii="宋体" w:hAnsi="宋体" w:cs="宋体"/>
          <w:color w:val="000000"/>
          <w:szCs w:val="21"/>
          <w:highlight w:val="none"/>
          <w:u w:val="single"/>
        </w:rPr>
        <w:t xml:space="preserve">                           </w:t>
      </w:r>
    </w:p>
    <w:p>
      <w:pPr>
        <w:snapToGrid w:val="0"/>
        <w:spacing w:line="400" w:lineRule="exact"/>
        <w:rPr>
          <w:rFonts w:hint="eastAsia" w:ascii="宋体" w:hAnsi="宋体" w:cs="宋体"/>
          <w:color w:val="000000"/>
          <w:szCs w:val="21"/>
          <w:highlight w:val="none"/>
          <w:u w:val="single"/>
        </w:rPr>
      </w:pPr>
    </w:p>
    <w:p>
      <w:pPr>
        <w:spacing w:line="340" w:lineRule="exact"/>
        <w:ind w:left="1890" w:leftChars="900"/>
        <w:rPr>
          <w:rFonts w:hint="eastAsia" w:ascii="宋体" w:hAnsi="宋体" w:cs="宋体"/>
          <w:color w:val="000000"/>
          <w:highlight w:val="none"/>
        </w:rPr>
      </w:pPr>
    </w:p>
    <w:p>
      <w:pPr>
        <w:snapToGrid w:val="0"/>
        <w:spacing w:line="400" w:lineRule="exact"/>
        <w:ind w:firstLine="1680" w:firstLineChars="800"/>
        <w:rPr>
          <w:rFonts w:hint="eastAsia" w:ascii="宋体" w:hAnsi="宋体" w:cs="宋体"/>
          <w:color w:val="000000"/>
          <w:highlight w:val="none"/>
        </w:rPr>
      </w:pPr>
      <w:r>
        <w:rPr>
          <w:rFonts w:hint="eastAsia" w:ascii="宋体" w:hAnsi="宋体" w:cs="宋体"/>
          <w:color w:val="000000"/>
          <w:highlight w:val="none"/>
        </w:rPr>
        <w:t xml:space="preserve"> </w:t>
      </w:r>
      <w:r>
        <w:rPr>
          <w:rFonts w:hint="eastAsia" w:ascii="宋体" w:hAnsi="宋体" w:cs="宋体"/>
          <w:color w:val="000000"/>
          <w:highlight w:val="none"/>
          <w:lang w:val="en-US" w:eastAsia="zh-CN"/>
        </w:rPr>
        <w:t xml:space="preserve"> </w:t>
      </w:r>
      <w:r>
        <w:rPr>
          <w:rFonts w:hint="eastAsia" w:ascii="宋体" w:hAnsi="宋体" w:cs="宋体"/>
          <w:color w:val="000000"/>
          <w:highlight w:val="none"/>
        </w:rPr>
        <w:t>日          期：</w:t>
      </w:r>
      <w:r>
        <w:rPr>
          <w:rFonts w:hint="eastAsia" w:ascii="宋体" w:hAnsi="宋体" w:cs="宋体"/>
          <w:color w:val="000000"/>
          <w:highlight w:val="none"/>
          <w:u w:val="single"/>
        </w:rPr>
        <w:t xml:space="preserve">                                                   </w:t>
      </w:r>
    </w:p>
    <w:p>
      <w:pPr>
        <w:tabs>
          <w:tab w:val="left" w:pos="1305"/>
        </w:tabs>
        <w:spacing w:line="380" w:lineRule="exact"/>
        <w:ind w:firstLine="420"/>
        <w:rPr>
          <w:rFonts w:hint="eastAsia" w:ascii="宋体" w:hAnsi="宋体" w:cs="宋体"/>
          <w:kern w:val="0"/>
          <w:highlight w:val="none"/>
        </w:rPr>
      </w:pPr>
    </w:p>
    <w:p>
      <w:pPr>
        <w:tabs>
          <w:tab w:val="left" w:pos="1305"/>
        </w:tabs>
        <w:spacing w:line="380" w:lineRule="exact"/>
        <w:ind w:firstLine="420"/>
        <w:rPr>
          <w:rFonts w:hint="eastAsia" w:ascii="宋体" w:hAnsi="宋体" w:cs="宋体"/>
          <w:kern w:val="0"/>
          <w:highlight w:val="none"/>
        </w:rPr>
      </w:pPr>
    </w:p>
    <w:p>
      <w:pPr>
        <w:tabs>
          <w:tab w:val="left" w:pos="1305"/>
        </w:tabs>
        <w:spacing w:line="480" w:lineRule="exact"/>
        <w:rPr>
          <w:rFonts w:hint="default"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4.项目实施人员一览表（如有，请提供）</w:t>
      </w:r>
    </w:p>
    <w:p>
      <w:pPr>
        <w:jc w:val="center"/>
        <w:rPr>
          <w:rFonts w:hint="eastAsia" w:ascii="宋体" w:hAnsi="宋体" w:cs="宋体"/>
          <w:b/>
          <w:bCs/>
          <w:color w:val="000000"/>
          <w:sz w:val="32"/>
          <w:szCs w:val="32"/>
          <w:highlight w:val="none"/>
        </w:rPr>
      </w:pPr>
      <w:r>
        <w:rPr>
          <w:rFonts w:hint="eastAsia" w:ascii="宋体" w:hAnsi="宋体" w:cs="宋体"/>
          <w:b/>
          <w:bCs/>
          <w:color w:val="000000"/>
          <w:sz w:val="32"/>
          <w:szCs w:val="32"/>
          <w:highlight w:val="none"/>
        </w:rPr>
        <w:t>项目实施人员一览表（格式）</w:t>
      </w:r>
    </w:p>
    <w:tbl>
      <w:tblPr>
        <w:tblStyle w:val="15"/>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993"/>
        <w:gridCol w:w="1888"/>
        <w:gridCol w:w="1559"/>
        <w:gridCol w:w="2163"/>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FFFFFF" w:themeFill="background1"/>
            <w:noWrap w:val="0"/>
            <w:vAlign w:val="center"/>
          </w:tcPr>
          <w:p>
            <w:pPr>
              <w:spacing w:line="400" w:lineRule="exact"/>
              <w:jc w:val="center"/>
              <w:rPr>
                <w:rFonts w:hint="eastAsia" w:ascii="宋体" w:hAnsi="宋体" w:cs="宋体"/>
                <w:b/>
                <w:bCs/>
                <w:color w:val="000000"/>
                <w:szCs w:val="21"/>
                <w:highlight w:val="none"/>
              </w:rPr>
            </w:pPr>
            <w:r>
              <w:rPr>
                <w:rFonts w:hint="eastAsia" w:ascii="宋体" w:hAnsi="宋体" w:cs="宋体"/>
                <w:b/>
                <w:bCs/>
                <w:color w:val="000000"/>
                <w:szCs w:val="21"/>
                <w:highlight w:val="none"/>
              </w:rPr>
              <w:t>姓 名</w:t>
            </w:r>
          </w:p>
        </w:tc>
        <w:tc>
          <w:tcPr>
            <w:tcW w:w="993" w:type="dxa"/>
            <w:shd w:val="clear" w:color="auto" w:fill="FFFFFF" w:themeFill="background1"/>
            <w:noWrap w:val="0"/>
            <w:vAlign w:val="center"/>
          </w:tcPr>
          <w:p>
            <w:pPr>
              <w:spacing w:line="400" w:lineRule="exact"/>
              <w:jc w:val="center"/>
              <w:rPr>
                <w:rFonts w:hint="eastAsia" w:ascii="宋体" w:hAnsi="宋体" w:cs="宋体"/>
                <w:b/>
                <w:bCs/>
                <w:color w:val="000000"/>
                <w:szCs w:val="21"/>
                <w:highlight w:val="none"/>
              </w:rPr>
            </w:pPr>
            <w:r>
              <w:rPr>
                <w:rFonts w:hint="eastAsia" w:ascii="宋体" w:hAnsi="宋体" w:cs="宋体"/>
                <w:b/>
                <w:bCs/>
                <w:color w:val="000000"/>
                <w:szCs w:val="21"/>
                <w:highlight w:val="none"/>
              </w:rPr>
              <w:t>职务</w:t>
            </w:r>
          </w:p>
        </w:tc>
        <w:tc>
          <w:tcPr>
            <w:tcW w:w="1888" w:type="dxa"/>
            <w:shd w:val="clear" w:color="auto" w:fill="FFFFFF" w:themeFill="background1"/>
            <w:noWrap w:val="0"/>
            <w:vAlign w:val="center"/>
          </w:tcPr>
          <w:p>
            <w:pPr>
              <w:spacing w:line="400" w:lineRule="exact"/>
              <w:jc w:val="center"/>
              <w:rPr>
                <w:rFonts w:hint="eastAsia" w:ascii="宋体" w:hAnsi="宋体" w:cs="宋体"/>
                <w:b/>
                <w:bCs/>
                <w:color w:val="000000"/>
                <w:szCs w:val="21"/>
                <w:highlight w:val="none"/>
              </w:rPr>
            </w:pPr>
            <w:r>
              <w:rPr>
                <w:rFonts w:hint="eastAsia" w:ascii="宋体" w:hAnsi="宋体" w:cs="宋体"/>
                <w:b/>
                <w:bCs/>
                <w:color w:val="000000"/>
                <w:szCs w:val="21"/>
                <w:highlight w:val="none"/>
              </w:rPr>
              <w:t>专业技术资格</w:t>
            </w:r>
          </w:p>
        </w:tc>
        <w:tc>
          <w:tcPr>
            <w:tcW w:w="1559" w:type="dxa"/>
            <w:shd w:val="clear" w:color="auto" w:fill="FFFFFF" w:themeFill="background1"/>
            <w:noWrap w:val="0"/>
            <w:vAlign w:val="center"/>
          </w:tcPr>
          <w:p>
            <w:pPr>
              <w:spacing w:line="400" w:lineRule="exact"/>
              <w:jc w:val="center"/>
              <w:rPr>
                <w:rFonts w:hint="eastAsia" w:ascii="宋体" w:hAnsi="宋体" w:cs="宋体"/>
                <w:b/>
                <w:bCs/>
                <w:color w:val="000000"/>
                <w:szCs w:val="21"/>
                <w:highlight w:val="none"/>
              </w:rPr>
            </w:pPr>
            <w:r>
              <w:rPr>
                <w:rFonts w:hint="eastAsia" w:ascii="宋体" w:hAnsi="宋体" w:cs="宋体"/>
                <w:b/>
                <w:bCs/>
                <w:color w:val="000000"/>
                <w:szCs w:val="21"/>
                <w:highlight w:val="none"/>
              </w:rPr>
              <w:t>证书编号</w:t>
            </w:r>
          </w:p>
        </w:tc>
        <w:tc>
          <w:tcPr>
            <w:tcW w:w="2163" w:type="dxa"/>
            <w:shd w:val="clear" w:color="auto" w:fill="FFFFFF" w:themeFill="background1"/>
            <w:noWrap w:val="0"/>
            <w:vAlign w:val="center"/>
          </w:tcPr>
          <w:p>
            <w:pPr>
              <w:spacing w:line="400" w:lineRule="exact"/>
              <w:jc w:val="center"/>
              <w:rPr>
                <w:rFonts w:hint="eastAsia" w:ascii="宋体" w:hAnsi="宋体" w:cs="宋体"/>
                <w:b/>
                <w:bCs/>
                <w:color w:val="000000"/>
                <w:szCs w:val="21"/>
                <w:highlight w:val="none"/>
              </w:rPr>
            </w:pPr>
            <w:r>
              <w:rPr>
                <w:rFonts w:hint="eastAsia" w:ascii="宋体" w:hAnsi="宋体" w:cs="宋体"/>
                <w:b/>
                <w:bCs/>
                <w:color w:val="000000"/>
                <w:szCs w:val="21"/>
                <w:highlight w:val="none"/>
              </w:rPr>
              <w:t>参加工作时间</w:t>
            </w:r>
          </w:p>
        </w:tc>
        <w:tc>
          <w:tcPr>
            <w:tcW w:w="1477" w:type="dxa"/>
            <w:shd w:val="clear" w:color="auto" w:fill="FFFFFF" w:themeFill="background1"/>
            <w:noWrap w:val="0"/>
            <w:vAlign w:val="center"/>
          </w:tcPr>
          <w:p>
            <w:pPr>
              <w:spacing w:line="400" w:lineRule="exact"/>
              <w:jc w:val="center"/>
              <w:rPr>
                <w:rFonts w:hint="eastAsia" w:ascii="宋体" w:hAnsi="宋体" w:cs="宋体"/>
                <w:b/>
                <w:bCs/>
                <w:color w:val="000000"/>
                <w:szCs w:val="21"/>
                <w:highlight w:val="none"/>
              </w:rPr>
            </w:pPr>
            <w:r>
              <w:rPr>
                <w:rFonts w:hint="eastAsia" w:ascii="宋体" w:hAnsi="宋体" w:cs="宋体"/>
                <w:b/>
                <w:bCs/>
                <w:color w:val="00000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noWrap w:val="0"/>
            <w:vAlign w:val="top"/>
          </w:tcPr>
          <w:p>
            <w:pPr>
              <w:spacing w:line="400" w:lineRule="exact"/>
              <w:rPr>
                <w:rFonts w:hint="eastAsia" w:ascii="宋体" w:hAnsi="宋体" w:cs="宋体"/>
                <w:color w:val="000000"/>
                <w:szCs w:val="21"/>
                <w:highlight w:val="none"/>
              </w:rPr>
            </w:pPr>
          </w:p>
        </w:tc>
        <w:tc>
          <w:tcPr>
            <w:tcW w:w="993" w:type="dxa"/>
            <w:noWrap w:val="0"/>
            <w:vAlign w:val="top"/>
          </w:tcPr>
          <w:p>
            <w:pPr>
              <w:spacing w:line="400" w:lineRule="exact"/>
              <w:rPr>
                <w:rFonts w:hint="eastAsia" w:ascii="宋体" w:hAnsi="宋体" w:cs="宋体"/>
                <w:color w:val="000000"/>
                <w:szCs w:val="21"/>
                <w:highlight w:val="none"/>
              </w:rPr>
            </w:pPr>
          </w:p>
        </w:tc>
        <w:tc>
          <w:tcPr>
            <w:tcW w:w="1888" w:type="dxa"/>
            <w:noWrap w:val="0"/>
            <w:vAlign w:val="top"/>
          </w:tcPr>
          <w:p>
            <w:pPr>
              <w:spacing w:line="400" w:lineRule="exact"/>
              <w:rPr>
                <w:rFonts w:hint="eastAsia" w:ascii="宋体" w:hAnsi="宋体" w:cs="宋体"/>
                <w:color w:val="000000"/>
                <w:szCs w:val="21"/>
                <w:highlight w:val="none"/>
              </w:rPr>
            </w:pPr>
          </w:p>
        </w:tc>
        <w:tc>
          <w:tcPr>
            <w:tcW w:w="1559" w:type="dxa"/>
            <w:noWrap w:val="0"/>
            <w:vAlign w:val="top"/>
          </w:tcPr>
          <w:p>
            <w:pPr>
              <w:spacing w:line="400" w:lineRule="exact"/>
              <w:rPr>
                <w:rFonts w:hint="eastAsia" w:ascii="宋体" w:hAnsi="宋体" w:cs="宋体"/>
                <w:color w:val="000000"/>
                <w:szCs w:val="21"/>
                <w:highlight w:val="none"/>
              </w:rPr>
            </w:pPr>
          </w:p>
        </w:tc>
        <w:tc>
          <w:tcPr>
            <w:tcW w:w="2163" w:type="dxa"/>
            <w:noWrap w:val="0"/>
            <w:vAlign w:val="top"/>
          </w:tcPr>
          <w:p>
            <w:pPr>
              <w:spacing w:line="400" w:lineRule="exact"/>
              <w:rPr>
                <w:rFonts w:hint="eastAsia" w:ascii="宋体" w:hAnsi="宋体" w:cs="宋体"/>
                <w:color w:val="000000"/>
                <w:szCs w:val="21"/>
                <w:highlight w:val="none"/>
              </w:rPr>
            </w:pPr>
          </w:p>
        </w:tc>
        <w:tc>
          <w:tcPr>
            <w:tcW w:w="1477" w:type="dxa"/>
            <w:noWrap w:val="0"/>
            <w:vAlign w:val="top"/>
          </w:tcPr>
          <w:p>
            <w:pPr>
              <w:spacing w:line="400" w:lineRule="exact"/>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noWrap w:val="0"/>
            <w:vAlign w:val="top"/>
          </w:tcPr>
          <w:p>
            <w:pPr>
              <w:spacing w:line="400" w:lineRule="exact"/>
              <w:rPr>
                <w:rFonts w:hint="eastAsia" w:ascii="宋体" w:hAnsi="宋体" w:cs="宋体"/>
                <w:color w:val="000000"/>
                <w:szCs w:val="21"/>
                <w:highlight w:val="none"/>
              </w:rPr>
            </w:pPr>
          </w:p>
        </w:tc>
        <w:tc>
          <w:tcPr>
            <w:tcW w:w="993" w:type="dxa"/>
            <w:noWrap w:val="0"/>
            <w:vAlign w:val="top"/>
          </w:tcPr>
          <w:p>
            <w:pPr>
              <w:spacing w:line="400" w:lineRule="exact"/>
              <w:rPr>
                <w:rFonts w:hint="eastAsia" w:ascii="宋体" w:hAnsi="宋体" w:cs="宋体"/>
                <w:color w:val="000000"/>
                <w:szCs w:val="21"/>
                <w:highlight w:val="none"/>
              </w:rPr>
            </w:pPr>
          </w:p>
        </w:tc>
        <w:tc>
          <w:tcPr>
            <w:tcW w:w="1888" w:type="dxa"/>
            <w:noWrap w:val="0"/>
            <w:vAlign w:val="top"/>
          </w:tcPr>
          <w:p>
            <w:pPr>
              <w:spacing w:line="400" w:lineRule="exact"/>
              <w:rPr>
                <w:rFonts w:hint="eastAsia" w:ascii="宋体" w:hAnsi="宋体" w:cs="宋体"/>
                <w:color w:val="000000"/>
                <w:szCs w:val="21"/>
                <w:highlight w:val="none"/>
              </w:rPr>
            </w:pPr>
          </w:p>
        </w:tc>
        <w:tc>
          <w:tcPr>
            <w:tcW w:w="1559" w:type="dxa"/>
            <w:noWrap w:val="0"/>
            <w:vAlign w:val="top"/>
          </w:tcPr>
          <w:p>
            <w:pPr>
              <w:spacing w:line="400" w:lineRule="exact"/>
              <w:rPr>
                <w:rFonts w:hint="eastAsia" w:ascii="宋体" w:hAnsi="宋体" w:cs="宋体"/>
                <w:color w:val="000000"/>
                <w:szCs w:val="21"/>
                <w:highlight w:val="none"/>
              </w:rPr>
            </w:pPr>
          </w:p>
        </w:tc>
        <w:tc>
          <w:tcPr>
            <w:tcW w:w="2163" w:type="dxa"/>
            <w:noWrap w:val="0"/>
            <w:vAlign w:val="top"/>
          </w:tcPr>
          <w:p>
            <w:pPr>
              <w:spacing w:line="400" w:lineRule="exact"/>
              <w:rPr>
                <w:rFonts w:hint="eastAsia" w:ascii="宋体" w:hAnsi="宋体" w:cs="宋体"/>
                <w:color w:val="000000"/>
                <w:szCs w:val="21"/>
                <w:highlight w:val="none"/>
              </w:rPr>
            </w:pPr>
          </w:p>
        </w:tc>
        <w:tc>
          <w:tcPr>
            <w:tcW w:w="1477" w:type="dxa"/>
            <w:noWrap w:val="0"/>
            <w:vAlign w:val="top"/>
          </w:tcPr>
          <w:p>
            <w:pPr>
              <w:spacing w:line="400" w:lineRule="exact"/>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noWrap w:val="0"/>
            <w:vAlign w:val="top"/>
          </w:tcPr>
          <w:p>
            <w:pPr>
              <w:spacing w:line="400" w:lineRule="exact"/>
              <w:rPr>
                <w:rFonts w:hint="eastAsia" w:ascii="宋体" w:hAnsi="宋体" w:cs="宋体"/>
                <w:color w:val="000000"/>
                <w:szCs w:val="21"/>
                <w:highlight w:val="none"/>
              </w:rPr>
            </w:pPr>
          </w:p>
        </w:tc>
        <w:tc>
          <w:tcPr>
            <w:tcW w:w="993" w:type="dxa"/>
            <w:noWrap w:val="0"/>
            <w:vAlign w:val="top"/>
          </w:tcPr>
          <w:p>
            <w:pPr>
              <w:spacing w:line="400" w:lineRule="exact"/>
              <w:rPr>
                <w:rFonts w:hint="eastAsia" w:ascii="宋体" w:hAnsi="宋体" w:cs="宋体"/>
                <w:color w:val="000000"/>
                <w:szCs w:val="21"/>
                <w:highlight w:val="none"/>
              </w:rPr>
            </w:pPr>
          </w:p>
        </w:tc>
        <w:tc>
          <w:tcPr>
            <w:tcW w:w="1888" w:type="dxa"/>
            <w:noWrap w:val="0"/>
            <w:vAlign w:val="top"/>
          </w:tcPr>
          <w:p>
            <w:pPr>
              <w:spacing w:line="400" w:lineRule="exact"/>
              <w:rPr>
                <w:rFonts w:hint="eastAsia" w:ascii="宋体" w:hAnsi="宋体" w:cs="宋体"/>
                <w:color w:val="000000"/>
                <w:szCs w:val="21"/>
                <w:highlight w:val="none"/>
              </w:rPr>
            </w:pPr>
          </w:p>
        </w:tc>
        <w:tc>
          <w:tcPr>
            <w:tcW w:w="1559" w:type="dxa"/>
            <w:noWrap w:val="0"/>
            <w:vAlign w:val="top"/>
          </w:tcPr>
          <w:p>
            <w:pPr>
              <w:spacing w:line="400" w:lineRule="exact"/>
              <w:rPr>
                <w:rFonts w:hint="eastAsia" w:ascii="宋体" w:hAnsi="宋体" w:cs="宋体"/>
                <w:color w:val="000000"/>
                <w:szCs w:val="21"/>
                <w:highlight w:val="none"/>
              </w:rPr>
            </w:pPr>
          </w:p>
        </w:tc>
        <w:tc>
          <w:tcPr>
            <w:tcW w:w="2163" w:type="dxa"/>
            <w:noWrap w:val="0"/>
            <w:vAlign w:val="top"/>
          </w:tcPr>
          <w:p>
            <w:pPr>
              <w:spacing w:line="400" w:lineRule="exact"/>
              <w:rPr>
                <w:rFonts w:hint="eastAsia" w:ascii="宋体" w:hAnsi="宋体" w:cs="宋体"/>
                <w:color w:val="000000"/>
                <w:szCs w:val="21"/>
                <w:highlight w:val="none"/>
              </w:rPr>
            </w:pPr>
          </w:p>
        </w:tc>
        <w:tc>
          <w:tcPr>
            <w:tcW w:w="1477" w:type="dxa"/>
            <w:noWrap w:val="0"/>
            <w:vAlign w:val="top"/>
          </w:tcPr>
          <w:p>
            <w:pPr>
              <w:spacing w:line="400" w:lineRule="exact"/>
              <w:rPr>
                <w:rFonts w:hint="eastAsia" w:ascii="宋体" w:hAnsi="宋体" w:cs="宋体"/>
                <w:color w:val="000000"/>
                <w:szCs w:val="21"/>
                <w:highlight w:val="none"/>
              </w:rPr>
            </w:pPr>
          </w:p>
        </w:tc>
      </w:tr>
    </w:tbl>
    <w:p>
      <w:pPr>
        <w:spacing w:line="400" w:lineRule="exact"/>
        <w:rPr>
          <w:rFonts w:hint="eastAsia" w:ascii="宋体" w:hAnsi="宋体" w:cs="宋体"/>
          <w:color w:val="000000"/>
          <w:szCs w:val="21"/>
          <w:highlight w:val="none"/>
        </w:rPr>
      </w:pPr>
    </w:p>
    <w:p>
      <w:pPr>
        <w:spacing w:line="400" w:lineRule="exact"/>
        <w:ind w:firstLine="422" w:firstLineChars="200"/>
        <w:rPr>
          <w:rFonts w:hint="eastAsia" w:ascii="宋体" w:hAnsi="宋体" w:cs="宋体"/>
          <w:b/>
          <w:color w:val="000000"/>
          <w:szCs w:val="21"/>
          <w:highlight w:val="none"/>
        </w:rPr>
      </w:pPr>
      <w:r>
        <w:rPr>
          <w:rFonts w:hint="eastAsia" w:ascii="宋体" w:hAnsi="宋体" w:cs="宋体"/>
          <w:b/>
          <w:color w:val="000000"/>
          <w:szCs w:val="21"/>
          <w:highlight w:val="none"/>
        </w:rPr>
        <w:t>注：1.在填写时，如本表格不适合投标单位的实际情况，可根据本表格式自行制表填写。</w:t>
      </w:r>
    </w:p>
    <w:p>
      <w:pPr>
        <w:tabs>
          <w:tab w:val="left" w:pos="1305"/>
        </w:tabs>
        <w:spacing w:line="380" w:lineRule="exact"/>
        <w:ind w:firstLine="420"/>
        <w:rPr>
          <w:rFonts w:hint="eastAsia" w:ascii="宋体" w:hAnsi="宋体" w:cs="宋体"/>
          <w:kern w:val="0"/>
          <w:highlight w:val="none"/>
        </w:rPr>
      </w:pPr>
    </w:p>
    <w:p>
      <w:pPr>
        <w:pStyle w:val="7"/>
        <w:rPr>
          <w:rFonts w:hint="eastAsia" w:ascii="宋体" w:hAnsi="宋体" w:cs="宋体"/>
          <w:kern w:val="0"/>
          <w:highlight w:val="none"/>
        </w:rPr>
      </w:pPr>
    </w:p>
    <w:p>
      <w:pPr>
        <w:snapToGrid w:val="0"/>
        <w:spacing w:line="400" w:lineRule="exact"/>
        <w:ind w:firstLine="1890" w:firstLineChars="900"/>
        <w:rPr>
          <w:rFonts w:hint="eastAsia" w:ascii="宋体" w:hAnsi="宋体" w:cs="宋体"/>
          <w:color w:val="000000"/>
          <w:szCs w:val="21"/>
          <w:highlight w:val="none"/>
          <w:u w:val="single"/>
        </w:rPr>
      </w:pPr>
      <w:r>
        <w:rPr>
          <w:rFonts w:hint="eastAsia" w:ascii="宋体" w:hAnsi="宋体" w:cs="宋体"/>
          <w:color w:val="000000"/>
          <w:szCs w:val="21"/>
          <w:highlight w:val="none"/>
        </w:rPr>
        <w:t>投标人[公章(CA签章)，自然人签字或个人CA签章]：</w:t>
      </w:r>
      <w:r>
        <w:rPr>
          <w:rFonts w:hint="eastAsia" w:ascii="宋体" w:hAnsi="宋体" w:cs="宋体"/>
          <w:color w:val="000000"/>
          <w:szCs w:val="21"/>
          <w:highlight w:val="none"/>
          <w:u w:val="single"/>
        </w:rPr>
        <w:t xml:space="preserve">                           </w:t>
      </w:r>
    </w:p>
    <w:p>
      <w:pPr>
        <w:snapToGrid w:val="0"/>
        <w:spacing w:line="400" w:lineRule="exact"/>
        <w:rPr>
          <w:rFonts w:hint="eastAsia" w:ascii="宋体" w:hAnsi="宋体" w:cs="宋体"/>
          <w:color w:val="000000"/>
          <w:szCs w:val="21"/>
          <w:highlight w:val="none"/>
          <w:u w:val="single"/>
        </w:rPr>
      </w:pPr>
    </w:p>
    <w:p>
      <w:pPr>
        <w:spacing w:line="340" w:lineRule="exact"/>
        <w:ind w:left="1890" w:leftChars="900"/>
        <w:rPr>
          <w:rFonts w:hint="eastAsia" w:ascii="宋体" w:hAnsi="宋体" w:cs="宋体"/>
          <w:color w:val="000000"/>
          <w:highlight w:val="none"/>
        </w:rPr>
      </w:pPr>
    </w:p>
    <w:p>
      <w:pPr>
        <w:snapToGrid w:val="0"/>
        <w:spacing w:line="400" w:lineRule="exact"/>
        <w:ind w:firstLine="1680" w:firstLineChars="800"/>
        <w:rPr>
          <w:rFonts w:hint="eastAsia" w:ascii="宋体" w:hAnsi="宋体" w:cs="宋体"/>
          <w:color w:val="000000"/>
          <w:highlight w:val="none"/>
        </w:rPr>
      </w:pPr>
      <w:r>
        <w:rPr>
          <w:rFonts w:hint="eastAsia" w:ascii="宋体" w:hAnsi="宋体" w:cs="宋体"/>
          <w:color w:val="000000"/>
          <w:highlight w:val="none"/>
        </w:rPr>
        <w:t xml:space="preserve"> </w:t>
      </w:r>
      <w:r>
        <w:rPr>
          <w:rFonts w:hint="eastAsia" w:ascii="宋体" w:hAnsi="宋体" w:cs="宋体"/>
          <w:color w:val="000000"/>
          <w:highlight w:val="none"/>
          <w:lang w:val="en-US" w:eastAsia="zh-CN"/>
        </w:rPr>
        <w:t xml:space="preserve"> </w:t>
      </w:r>
      <w:r>
        <w:rPr>
          <w:rFonts w:hint="eastAsia" w:ascii="宋体" w:hAnsi="宋体" w:cs="宋体"/>
          <w:color w:val="000000"/>
          <w:highlight w:val="none"/>
        </w:rPr>
        <w:t>日          期：</w:t>
      </w:r>
      <w:r>
        <w:rPr>
          <w:rFonts w:hint="eastAsia" w:ascii="宋体" w:hAnsi="宋体" w:cs="宋体"/>
          <w:color w:val="000000"/>
          <w:highlight w:val="none"/>
          <w:u w:val="single"/>
        </w:rPr>
        <w:t xml:space="preserve">                                                   </w:t>
      </w:r>
    </w:p>
    <w:p>
      <w:pPr>
        <w:pStyle w:val="7"/>
        <w:rPr>
          <w:rFonts w:hint="eastAsia" w:ascii="宋体" w:hAnsi="宋体" w:cs="宋体"/>
          <w:kern w:val="0"/>
          <w:highlight w:val="none"/>
        </w:rPr>
      </w:pPr>
    </w:p>
    <w:p>
      <w:pPr>
        <w:tabs>
          <w:tab w:val="left" w:pos="1305"/>
        </w:tabs>
        <w:spacing w:line="480" w:lineRule="exact"/>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5.投标人类似项目业绩的相关证明材料（如有，请提供）</w:t>
      </w:r>
    </w:p>
    <w:p>
      <w:pPr>
        <w:tabs>
          <w:tab w:val="left" w:pos="1305"/>
        </w:tabs>
        <w:spacing w:line="480" w:lineRule="exact"/>
        <w:rPr>
          <w:rFonts w:hint="eastAsia" w:hAnsi="宋体"/>
          <w:b/>
          <w:bCs/>
          <w:sz w:val="32"/>
          <w:szCs w:val="32"/>
          <w:highlight w:val="none"/>
        </w:rPr>
      </w:pPr>
    </w:p>
    <w:p>
      <w:pPr>
        <w:pStyle w:val="7"/>
        <w:rPr>
          <w:rFonts w:hint="eastAsia"/>
          <w:highlight w:val="none"/>
        </w:rPr>
      </w:pPr>
    </w:p>
    <w:p>
      <w:pPr>
        <w:tabs>
          <w:tab w:val="left" w:pos="1305"/>
        </w:tabs>
        <w:spacing w:line="480" w:lineRule="exact"/>
        <w:rPr>
          <w:rFonts w:hint="eastAsia" w:ascii="宋体" w:hAnsi="宋体" w:eastAsia="宋体" w:cs="宋体"/>
          <w:b/>
          <w:bCs/>
          <w:sz w:val="32"/>
          <w:szCs w:val="32"/>
          <w:highlight w:val="none"/>
          <w:lang w:val="en-US" w:eastAsia="zh-CN"/>
        </w:rPr>
      </w:pPr>
      <w:r>
        <w:rPr>
          <w:rFonts w:hint="eastAsia" w:ascii="宋体" w:hAnsi="宋体" w:eastAsia="宋体" w:cs="宋体"/>
          <w:b/>
          <w:bCs/>
          <w:sz w:val="32"/>
          <w:szCs w:val="32"/>
          <w:highlight w:val="none"/>
          <w:lang w:val="en-US" w:eastAsia="zh-CN"/>
        </w:rPr>
        <w:t>6.投标人相关获奖证书、认证证书等复印件（如有，请提供）</w:t>
      </w:r>
    </w:p>
    <w:p>
      <w:pPr>
        <w:tabs>
          <w:tab w:val="left" w:pos="1305"/>
        </w:tabs>
        <w:spacing w:line="480" w:lineRule="exact"/>
        <w:rPr>
          <w:rFonts w:hint="eastAsia" w:hAnsi="宋体"/>
          <w:b/>
          <w:bCs/>
          <w:sz w:val="32"/>
          <w:szCs w:val="32"/>
          <w:highlight w:val="none"/>
        </w:rPr>
      </w:pPr>
    </w:p>
    <w:p>
      <w:pPr>
        <w:pStyle w:val="7"/>
        <w:rPr>
          <w:rFonts w:hint="eastAsia" w:hAnsi="宋体"/>
          <w:b/>
          <w:bCs/>
          <w:sz w:val="32"/>
          <w:szCs w:val="32"/>
          <w:highlight w:val="none"/>
        </w:rPr>
      </w:pPr>
    </w:p>
    <w:p>
      <w:pPr>
        <w:tabs>
          <w:tab w:val="left" w:pos="1305"/>
        </w:tabs>
        <w:spacing w:line="480" w:lineRule="exact"/>
        <w:rPr>
          <w:rFonts w:hint="eastAsia" w:hAnsi="宋体"/>
          <w:b/>
          <w:bCs/>
          <w:sz w:val="32"/>
          <w:szCs w:val="32"/>
          <w:highlight w:val="none"/>
        </w:rPr>
      </w:pPr>
    </w:p>
    <w:p>
      <w:pPr>
        <w:tabs>
          <w:tab w:val="left" w:pos="1305"/>
        </w:tabs>
        <w:spacing w:line="480" w:lineRule="exact"/>
        <w:rPr>
          <w:rFonts w:hint="eastAsia" w:ascii="宋体" w:hAnsi="宋体" w:eastAsia="宋体" w:cs="宋体"/>
          <w:b/>
          <w:bCs/>
          <w:sz w:val="32"/>
          <w:szCs w:val="32"/>
          <w:highlight w:val="none"/>
        </w:rPr>
      </w:pPr>
      <w:r>
        <w:rPr>
          <w:rFonts w:hint="eastAsia" w:ascii="宋体" w:hAnsi="宋体" w:cs="宋体"/>
          <w:b/>
          <w:bCs/>
          <w:sz w:val="32"/>
          <w:szCs w:val="32"/>
          <w:highlight w:val="none"/>
          <w:lang w:val="en-US" w:eastAsia="zh-CN"/>
        </w:rPr>
        <w:t>7</w:t>
      </w:r>
      <w:r>
        <w:rPr>
          <w:rFonts w:hint="eastAsia" w:ascii="宋体" w:hAnsi="宋体" w:eastAsia="宋体" w:cs="宋体"/>
          <w:b/>
          <w:bCs/>
          <w:sz w:val="32"/>
          <w:szCs w:val="32"/>
          <w:highlight w:val="none"/>
          <w:lang w:val="en-US" w:eastAsia="zh-CN"/>
        </w:rPr>
        <w:t>.投标人可结合本项目的评标办法视自身情况自行提交相关证明材料</w:t>
      </w:r>
      <w:r>
        <w:rPr>
          <w:rFonts w:hint="eastAsia" w:ascii="宋体" w:hAnsi="宋体" w:eastAsia="宋体" w:cs="宋体"/>
          <w:b/>
          <w:bCs/>
          <w:sz w:val="32"/>
          <w:szCs w:val="32"/>
          <w:highlight w:val="none"/>
        </w:rPr>
        <w:t>（如有，请提供）</w:t>
      </w:r>
    </w:p>
    <w:p>
      <w:pPr>
        <w:rPr>
          <w:rFonts w:hint="eastAsia"/>
          <w:highlight w:val="none"/>
        </w:rPr>
      </w:pPr>
    </w:p>
    <w:sectPr>
      <w:pgSz w:w="11906" w:h="16838"/>
      <w:pgMar w:top="1134" w:right="1134" w:bottom="1134" w:left="1134"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华文新魏">
    <w:altName w:val="宋体"/>
    <w:panose1 w:val="02010800040101010101"/>
    <w:charset w:val="86"/>
    <w:family w:val="auto"/>
    <w:pitch w:val="default"/>
    <w:sig w:usb0="00000000" w:usb1="00000000" w:usb2="00000000" w:usb3="00000000" w:csb0="00040000" w:csb1="00000000"/>
  </w:font>
  <w:font w:name="文鼎中隶简">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pPr>
    <w:r>
      <mc:AlternateContent>
        <mc:Choice Requires="wps">
          <w:drawing>
            <wp:anchor distT="0" distB="0" distL="114300" distR="114300" simplePos="0" relativeHeight="251664384" behindDoc="1" locked="0" layoutInCell="1" allowOverlap="1">
              <wp:simplePos x="0" y="0"/>
              <wp:positionH relativeFrom="page">
                <wp:posOffset>3750945</wp:posOffset>
              </wp:positionH>
              <wp:positionV relativeFrom="page">
                <wp:posOffset>9906000</wp:posOffset>
              </wp:positionV>
              <wp:extent cx="166370" cy="1524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a:effectLst/>
                    </wps:spPr>
                    <wps:txbx>
                      <w:txbxContent>
                        <w:p>
                          <w:pPr>
                            <w:spacing w:before="12"/>
                            <w:ind w:left="40"/>
                            <w:rPr>
                              <w:sz w:val="18"/>
                            </w:rPr>
                          </w:pPr>
                          <w:r>
                            <w:rPr>
                              <w:sz w:val="18"/>
                            </w:rPr>
                            <w:fldChar w:fldCharType="begin"/>
                          </w:r>
                          <w:r>
                            <w:rPr>
                              <w:sz w:val="18"/>
                            </w:rPr>
                            <w:instrText xml:space="preserve"> PAGE </w:instrText>
                          </w:r>
                          <w:r>
                            <w:rPr>
                              <w:sz w:val="18"/>
                            </w:rPr>
                            <w:fldChar w:fldCharType="separate"/>
                          </w:r>
                          <w:r>
                            <w:rPr>
                              <w:sz w:val="18"/>
                            </w:rPr>
                            <w:t>1</w:t>
                          </w:r>
                          <w:r>
                            <w:rPr>
                              <w:sz w:val="18"/>
                            </w:rPr>
                            <w:fldChar w:fldCharType="end"/>
                          </w:r>
                        </w:p>
                      </w:txbxContent>
                    </wps:txbx>
                    <wps:bodyPr lIns="0" tIns="0" rIns="0" bIns="0" upright="1"/>
                  </wps:wsp>
                </a:graphicData>
              </a:graphic>
            </wp:anchor>
          </w:drawing>
        </mc:Choice>
        <mc:Fallback>
          <w:pict>
            <v:shape id="_x0000_s1026" o:spid="_x0000_s1026" o:spt="202" type="#_x0000_t202" style="position:absolute;left:0pt;margin-left:295.35pt;margin-top:780pt;height:12pt;width:13.1pt;mso-position-horizontal-relative:page;mso-position-vertical-relative:page;z-index:-251652096;mso-width-relative:page;mso-height-relative:page;" filled="f" stroked="f" coordsize="21600,21600" o:gfxdata="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uKLQ3aAAAADQEAAA8AAAAAAAAAAQAgAAAAIgAAAGRycy9kb3ducmV2Lnht&#10;bFBLAQIUABQAAAAIAIdO4kCGaXRHvgEAAH8DAAAOAAAAAAAAAAEAIAAAACkBAABkcnMvZTJvRG9j&#10;LnhtbFBLBQYAAAAABgAGAFkBAABZBQAAAAA=&#10;">
              <v:fill on="f" focussize="0,0"/>
              <v:stroke on="f"/>
              <v:imagedata o:title=""/>
              <o:lock v:ext="edit" aspectratio="f"/>
              <v:textbox inset="0mm,0mm,0mm,0mm">
                <w:txbxContent>
                  <w:p>
                    <w:pPr>
                      <w:spacing w:before="12"/>
                      <w:ind w:left="40"/>
                      <w:rPr>
                        <w:sz w:val="18"/>
                      </w:rPr>
                    </w:pPr>
                    <w:r>
                      <w:rPr>
                        <w:sz w:val="18"/>
                      </w:rPr>
                      <w:fldChar w:fldCharType="begin"/>
                    </w:r>
                    <w:r>
                      <w:rPr>
                        <w:sz w:val="18"/>
                      </w:rPr>
                      <w:instrText xml:space="preserve"> PAGE </w:instrText>
                    </w:r>
                    <w:r>
                      <w:rPr>
                        <w:sz w:val="18"/>
                      </w:rPr>
                      <w:fldChar w:fldCharType="separate"/>
                    </w:r>
                    <w:r>
                      <w:rPr>
                        <w:sz w:val="18"/>
                      </w:rPr>
                      <w:t>1</w:t>
                    </w:r>
                    <w:r>
                      <w:rPr>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pPr>
    <w:r>
      <mc:AlternateContent>
        <mc:Choice Requires="wps">
          <w:drawing>
            <wp:anchor distT="0" distB="0" distL="114300" distR="114300" simplePos="0" relativeHeight="251663360" behindDoc="1" locked="0" layoutInCell="1" allowOverlap="1">
              <wp:simplePos x="0" y="0"/>
              <wp:positionH relativeFrom="page">
                <wp:posOffset>3750945</wp:posOffset>
              </wp:positionH>
              <wp:positionV relativeFrom="page">
                <wp:posOffset>9906000</wp:posOffset>
              </wp:positionV>
              <wp:extent cx="166370" cy="1524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a:effectLst/>
                    </wps:spPr>
                    <wps:txbx>
                      <w:txbxContent>
                        <w:p>
                          <w:pPr>
                            <w:spacing w:before="12"/>
                            <w:ind w:left="40"/>
                            <w:rPr>
                              <w:sz w:val="18"/>
                            </w:rPr>
                          </w:pPr>
                          <w:r>
                            <w:rPr>
                              <w:sz w:val="18"/>
                            </w:rPr>
                            <w:fldChar w:fldCharType="begin"/>
                          </w:r>
                          <w:r>
                            <w:rPr>
                              <w:sz w:val="18"/>
                            </w:rPr>
                            <w:instrText xml:space="preserve"> PAGE </w:instrText>
                          </w:r>
                          <w:r>
                            <w:rPr>
                              <w:sz w:val="18"/>
                            </w:rPr>
                            <w:fldChar w:fldCharType="separate"/>
                          </w:r>
                          <w:r>
                            <w:rPr>
                              <w:sz w:val="18"/>
                            </w:rPr>
                            <w:t>5</w:t>
                          </w:r>
                          <w:r>
                            <w:rPr>
                              <w:sz w:val="18"/>
                            </w:rPr>
                            <w:fldChar w:fldCharType="end"/>
                          </w:r>
                        </w:p>
                      </w:txbxContent>
                    </wps:txbx>
                    <wps:bodyPr lIns="0" tIns="0" rIns="0" bIns="0" upright="1"/>
                  </wps:wsp>
                </a:graphicData>
              </a:graphic>
            </wp:anchor>
          </w:drawing>
        </mc:Choice>
        <mc:Fallback>
          <w:pict>
            <v:shape id="_x0000_s1026" o:spid="_x0000_s1026" o:spt="202" type="#_x0000_t202" style="position:absolute;left:0pt;margin-left:295.35pt;margin-top:780pt;height:12pt;width:13.1pt;mso-position-horizontal-relative:page;mso-position-vertical-relative:page;z-index:-251653120;mso-width-relative:page;mso-height-relative:page;" filled="f" stroked="f" coordsize="21600,21600" o:gfxdata="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64otDdoAAAANAQAADwAAAAAAAAABACAAAAAiAAAAZHJzL2Rvd25yZXYueG1s&#10;UEsBAhQAFAAAAAgAh07iQHWnhdK9AQAAgQMAAA4AAAAAAAAAAQAgAAAAKQEAAGRycy9lMm9Eb2Mu&#10;eG1sUEsFBgAAAAAGAAYAWQEAAFgFAAAAAA==&#10;">
              <v:fill on="f" focussize="0,0"/>
              <v:stroke on="f"/>
              <v:imagedata o:title=""/>
              <o:lock v:ext="edit" aspectratio="f"/>
              <v:textbox inset="0mm,0mm,0mm,0mm">
                <w:txbxContent>
                  <w:p>
                    <w:pPr>
                      <w:spacing w:before="12"/>
                      <w:ind w:left="40"/>
                      <w:rPr>
                        <w:sz w:val="18"/>
                      </w:rPr>
                    </w:pPr>
                    <w:r>
                      <w:rPr>
                        <w:sz w:val="18"/>
                      </w:rPr>
                      <w:fldChar w:fldCharType="begin"/>
                    </w:r>
                    <w:r>
                      <w:rPr>
                        <w:sz w:val="18"/>
                      </w:rPr>
                      <w:instrText xml:space="preserve"> PAGE </w:instrText>
                    </w:r>
                    <w:r>
                      <w:rPr>
                        <w:sz w:val="18"/>
                      </w:rPr>
                      <w:fldChar w:fldCharType="separate"/>
                    </w:r>
                    <w:r>
                      <w:rPr>
                        <w:sz w:val="18"/>
                      </w:rPr>
                      <w:t>5</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BBCFE3"/>
    <w:multiLevelType w:val="multilevel"/>
    <w:tmpl w:val="0BBBCFE3"/>
    <w:lvl w:ilvl="0" w:tentative="0">
      <w:start w:val="1"/>
      <w:numFmt w:val="chineseCounting"/>
      <w:suff w:val="nothing"/>
      <w:lvlText w:val="        第%1章  "/>
      <w:lvlJc w:val="left"/>
      <w:pPr>
        <w:tabs>
          <w:tab w:val="left" w:pos="0"/>
        </w:tabs>
        <w:ind w:left="0" w:firstLine="0"/>
      </w:pPr>
      <w:rPr>
        <w:rFonts w:hint="eastAsia" w:ascii="宋体" w:hAnsi="宋体" w:eastAsia="宋体" w:cs="宋体"/>
        <w:b/>
      </w:rPr>
    </w:lvl>
    <w:lvl w:ilvl="1" w:tentative="0">
      <w:start w:val="1"/>
      <w:numFmt w:val="decimal"/>
      <w:pStyle w:val="4"/>
      <w:isLgl/>
      <w:lvlText w:val="%1.%2 "/>
      <w:lvlJc w:val="left"/>
      <w:pPr>
        <w:tabs>
          <w:tab w:val="left" w:pos="1554"/>
        </w:tabs>
        <w:ind w:left="1709" w:hanging="575"/>
      </w:pPr>
      <w:rPr>
        <w:rFonts w:hint="eastAsia" w:ascii="宋体" w:hAnsi="宋体" w:eastAsia="宋体" w:cs="宋体"/>
        <w:sz w:val="24"/>
      </w:rPr>
    </w:lvl>
    <w:lvl w:ilvl="2" w:tentative="0">
      <w:start w:val="1"/>
      <w:numFmt w:val="decimal"/>
      <w:isLgl/>
      <w:lvlText w:val="%1.%2.%3"/>
      <w:lvlJc w:val="left"/>
      <w:pPr>
        <w:ind w:left="720" w:hanging="720"/>
      </w:pPr>
      <w:rPr>
        <w:rFonts w:hint="eastAsia" w:ascii="宋体" w:hAnsi="宋体" w:eastAsia="宋体" w:cs="宋体"/>
      </w:rPr>
    </w:lvl>
    <w:lvl w:ilvl="3" w:tentative="0">
      <w:start w:val="1"/>
      <w:numFmt w:val="decimal"/>
      <w:isLgl/>
      <w:lvlText w:val="%1.%2.%3.%4."/>
      <w:lvlJc w:val="left"/>
      <w:pPr>
        <w:ind w:left="864" w:hanging="864"/>
      </w:pPr>
      <w:rPr>
        <w:rFonts w:hint="eastAsia"/>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lM2ExMGEyZTAwYjc0YzQ2MmE5OTNiZTI2NzFmZTYifQ=="/>
  </w:docVars>
  <w:rsids>
    <w:rsidRoot w:val="1A9624D1"/>
    <w:rsid w:val="00522719"/>
    <w:rsid w:val="01620E31"/>
    <w:rsid w:val="01A85D51"/>
    <w:rsid w:val="01EB45BC"/>
    <w:rsid w:val="01FA65AD"/>
    <w:rsid w:val="02387AB5"/>
    <w:rsid w:val="02391959"/>
    <w:rsid w:val="028247A2"/>
    <w:rsid w:val="029762F6"/>
    <w:rsid w:val="02DC5A07"/>
    <w:rsid w:val="02E61854"/>
    <w:rsid w:val="02F57C41"/>
    <w:rsid w:val="03150713"/>
    <w:rsid w:val="032B6C3A"/>
    <w:rsid w:val="03914CEF"/>
    <w:rsid w:val="044730A1"/>
    <w:rsid w:val="045A6935"/>
    <w:rsid w:val="046C1B5E"/>
    <w:rsid w:val="054950FF"/>
    <w:rsid w:val="05687F3F"/>
    <w:rsid w:val="05BB24F7"/>
    <w:rsid w:val="05F17CC7"/>
    <w:rsid w:val="06777209"/>
    <w:rsid w:val="06AC0685"/>
    <w:rsid w:val="06CC597B"/>
    <w:rsid w:val="06E81A02"/>
    <w:rsid w:val="070103DE"/>
    <w:rsid w:val="0727638C"/>
    <w:rsid w:val="0790598C"/>
    <w:rsid w:val="07910120"/>
    <w:rsid w:val="07A174CB"/>
    <w:rsid w:val="07DC6755"/>
    <w:rsid w:val="083D7DE6"/>
    <w:rsid w:val="08A35024"/>
    <w:rsid w:val="09174568"/>
    <w:rsid w:val="097E7AC3"/>
    <w:rsid w:val="0A1977EC"/>
    <w:rsid w:val="0AC734B8"/>
    <w:rsid w:val="0B072625"/>
    <w:rsid w:val="0B116A1F"/>
    <w:rsid w:val="0B301735"/>
    <w:rsid w:val="0BCE4606"/>
    <w:rsid w:val="0BFF4052"/>
    <w:rsid w:val="0C007752"/>
    <w:rsid w:val="0C1734E1"/>
    <w:rsid w:val="0C394176"/>
    <w:rsid w:val="0C5517FF"/>
    <w:rsid w:val="0C6A6429"/>
    <w:rsid w:val="0CA710DF"/>
    <w:rsid w:val="0CC87895"/>
    <w:rsid w:val="0CCC323C"/>
    <w:rsid w:val="0CFE2CC9"/>
    <w:rsid w:val="0D087414"/>
    <w:rsid w:val="0D5154EF"/>
    <w:rsid w:val="0D7249ED"/>
    <w:rsid w:val="0D790E1B"/>
    <w:rsid w:val="0D8368AF"/>
    <w:rsid w:val="0DED7330"/>
    <w:rsid w:val="0E7224F8"/>
    <w:rsid w:val="0EBE0962"/>
    <w:rsid w:val="0EF5721D"/>
    <w:rsid w:val="0F4C41C0"/>
    <w:rsid w:val="0F6C4862"/>
    <w:rsid w:val="0F847DFE"/>
    <w:rsid w:val="102E6FFF"/>
    <w:rsid w:val="10BD35C7"/>
    <w:rsid w:val="10E01064"/>
    <w:rsid w:val="111927C8"/>
    <w:rsid w:val="113B1BFC"/>
    <w:rsid w:val="11531836"/>
    <w:rsid w:val="117F087D"/>
    <w:rsid w:val="11817920"/>
    <w:rsid w:val="11B71227"/>
    <w:rsid w:val="11F1079C"/>
    <w:rsid w:val="122C3276"/>
    <w:rsid w:val="128C6FFD"/>
    <w:rsid w:val="12A4048A"/>
    <w:rsid w:val="1304784E"/>
    <w:rsid w:val="13D47083"/>
    <w:rsid w:val="14330FA7"/>
    <w:rsid w:val="144A2D49"/>
    <w:rsid w:val="14653122"/>
    <w:rsid w:val="14D62EA9"/>
    <w:rsid w:val="14E32ED1"/>
    <w:rsid w:val="15736074"/>
    <w:rsid w:val="15A13B32"/>
    <w:rsid w:val="15D4578D"/>
    <w:rsid w:val="161D4F06"/>
    <w:rsid w:val="17503547"/>
    <w:rsid w:val="17A51566"/>
    <w:rsid w:val="17AA23CB"/>
    <w:rsid w:val="17DC3F56"/>
    <w:rsid w:val="17F71015"/>
    <w:rsid w:val="183F2B14"/>
    <w:rsid w:val="184F2813"/>
    <w:rsid w:val="18904AED"/>
    <w:rsid w:val="197861C0"/>
    <w:rsid w:val="1997072D"/>
    <w:rsid w:val="19CA2986"/>
    <w:rsid w:val="19E25477"/>
    <w:rsid w:val="19F11BD4"/>
    <w:rsid w:val="1A057D8D"/>
    <w:rsid w:val="1A9165C6"/>
    <w:rsid w:val="1A9624D1"/>
    <w:rsid w:val="1AA556D9"/>
    <w:rsid w:val="1ABA0309"/>
    <w:rsid w:val="1AFA3366"/>
    <w:rsid w:val="1B316012"/>
    <w:rsid w:val="1BFE6842"/>
    <w:rsid w:val="1C422BD3"/>
    <w:rsid w:val="1C844F99"/>
    <w:rsid w:val="1CFB4104"/>
    <w:rsid w:val="1D187341"/>
    <w:rsid w:val="1D81772B"/>
    <w:rsid w:val="1D834723"/>
    <w:rsid w:val="1D8926E2"/>
    <w:rsid w:val="1DB573D4"/>
    <w:rsid w:val="1DD65CC8"/>
    <w:rsid w:val="1E1C7453"/>
    <w:rsid w:val="1E282143"/>
    <w:rsid w:val="1E6C3F37"/>
    <w:rsid w:val="1EDE1FD6"/>
    <w:rsid w:val="1F947F7A"/>
    <w:rsid w:val="1FB636BA"/>
    <w:rsid w:val="2039129A"/>
    <w:rsid w:val="21514168"/>
    <w:rsid w:val="216A0CFE"/>
    <w:rsid w:val="21A46446"/>
    <w:rsid w:val="21C44FBB"/>
    <w:rsid w:val="221E5B15"/>
    <w:rsid w:val="22765384"/>
    <w:rsid w:val="22BB4BD6"/>
    <w:rsid w:val="22C24A6D"/>
    <w:rsid w:val="22C3175E"/>
    <w:rsid w:val="231B6E6A"/>
    <w:rsid w:val="23357F5F"/>
    <w:rsid w:val="235957D7"/>
    <w:rsid w:val="23843D4D"/>
    <w:rsid w:val="23C2284B"/>
    <w:rsid w:val="23FC414C"/>
    <w:rsid w:val="240D46A2"/>
    <w:rsid w:val="243B0042"/>
    <w:rsid w:val="24422DFE"/>
    <w:rsid w:val="24C23F39"/>
    <w:rsid w:val="24D942F0"/>
    <w:rsid w:val="24E16D01"/>
    <w:rsid w:val="252437BD"/>
    <w:rsid w:val="254A0305"/>
    <w:rsid w:val="25B37610"/>
    <w:rsid w:val="25CB777A"/>
    <w:rsid w:val="25D87C9C"/>
    <w:rsid w:val="264F4455"/>
    <w:rsid w:val="26950781"/>
    <w:rsid w:val="26E15679"/>
    <w:rsid w:val="270522BC"/>
    <w:rsid w:val="271437F6"/>
    <w:rsid w:val="27291299"/>
    <w:rsid w:val="27556C0D"/>
    <w:rsid w:val="276F1C0A"/>
    <w:rsid w:val="27A27EB9"/>
    <w:rsid w:val="27BD555B"/>
    <w:rsid w:val="28433F5A"/>
    <w:rsid w:val="28D82D66"/>
    <w:rsid w:val="28E514B5"/>
    <w:rsid w:val="29CB06AB"/>
    <w:rsid w:val="2A052B8A"/>
    <w:rsid w:val="2A3C7C0F"/>
    <w:rsid w:val="2A491993"/>
    <w:rsid w:val="2ADE775D"/>
    <w:rsid w:val="2B282D97"/>
    <w:rsid w:val="2B670E7C"/>
    <w:rsid w:val="2B8330C6"/>
    <w:rsid w:val="2C125BE1"/>
    <w:rsid w:val="2C1C289D"/>
    <w:rsid w:val="2C63728C"/>
    <w:rsid w:val="2CCA200A"/>
    <w:rsid w:val="2D187078"/>
    <w:rsid w:val="2D1F6EE7"/>
    <w:rsid w:val="2D4E300B"/>
    <w:rsid w:val="2DB96A6D"/>
    <w:rsid w:val="2DFA155F"/>
    <w:rsid w:val="2E7A61FC"/>
    <w:rsid w:val="2F7B5CF7"/>
    <w:rsid w:val="2FAB678C"/>
    <w:rsid w:val="2FEA61D4"/>
    <w:rsid w:val="30BE6B53"/>
    <w:rsid w:val="30C247F6"/>
    <w:rsid w:val="314A26D1"/>
    <w:rsid w:val="31511D89"/>
    <w:rsid w:val="31911919"/>
    <w:rsid w:val="31B9528D"/>
    <w:rsid w:val="31C45714"/>
    <w:rsid w:val="32A24C0B"/>
    <w:rsid w:val="32AE46C6"/>
    <w:rsid w:val="33EB36F8"/>
    <w:rsid w:val="342D5ABF"/>
    <w:rsid w:val="34D36666"/>
    <w:rsid w:val="357C6CFE"/>
    <w:rsid w:val="358D6985"/>
    <w:rsid w:val="35906305"/>
    <w:rsid w:val="35DA3A24"/>
    <w:rsid w:val="364877D3"/>
    <w:rsid w:val="36590DED"/>
    <w:rsid w:val="36694184"/>
    <w:rsid w:val="368D6CE8"/>
    <w:rsid w:val="36F32D64"/>
    <w:rsid w:val="37294D73"/>
    <w:rsid w:val="378A0427"/>
    <w:rsid w:val="3793211A"/>
    <w:rsid w:val="38EF24BC"/>
    <w:rsid w:val="3A2476F1"/>
    <w:rsid w:val="3AAE241C"/>
    <w:rsid w:val="3ACE6357"/>
    <w:rsid w:val="3AD55D0C"/>
    <w:rsid w:val="3AF9494C"/>
    <w:rsid w:val="3B2E0F93"/>
    <w:rsid w:val="3B4D0803"/>
    <w:rsid w:val="3B844B5E"/>
    <w:rsid w:val="3C5A766D"/>
    <w:rsid w:val="3C8A1D00"/>
    <w:rsid w:val="3CC42D2E"/>
    <w:rsid w:val="3CD841C8"/>
    <w:rsid w:val="3CDC023F"/>
    <w:rsid w:val="3D18555E"/>
    <w:rsid w:val="3D1D0DC6"/>
    <w:rsid w:val="3D4225DB"/>
    <w:rsid w:val="3D4F4CF8"/>
    <w:rsid w:val="3D5F2020"/>
    <w:rsid w:val="3D7A7FC6"/>
    <w:rsid w:val="3DBB64C2"/>
    <w:rsid w:val="3DF63D2E"/>
    <w:rsid w:val="3F3F68EA"/>
    <w:rsid w:val="3F5E3FC8"/>
    <w:rsid w:val="3FA35906"/>
    <w:rsid w:val="3FC2005E"/>
    <w:rsid w:val="40155D85"/>
    <w:rsid w:val="40892727"/>
    <w:rsid w:val="414D59F2"/>
    <w:rsid w:val="41801E32"/>
    <w:rsid w:val="4185518C"/>
    <w:rsid w:val="422830F8"/>
    <w:rsid w:val="42DE4B54"/>
    <w:rsid w:val="448E723D"/>
    <w:rsid w:val="44ED72D0"/>
    <w:rsid w:val="450B0EC7"/>
    <w:rsid w:val="45A008A3"/>
    <w:rsid w:val="45A11732"/>
    <w:rsid w:val="46115240"/>
    <w:rsid w:val="465F1BD5"/>
    <w:rsid w:val="4682613E"/>
    <w:rsid w:val="46A2233C"/>
    <w:rsid w:val="46C87FF5"/>
    <w:rsid w:val="471F1BDF"/>
    <w:rsid w:val="47BB1907"/>
    <w:rsid w:val="48146FCA"/>
    <w:rsid w:val="481B4154"/>
    <w:rsid w:val="481C12A1"/>
    <w:rsid w:val="48346A0A"/>
    <w:rsid w:val="48C02F90"/>
    <w:rsid w:val="49415F08"/>
    <w:rsid w:val="4953791E"/>
    <w:rsid w:val="49B51A7F"/>
    <w:rsid w:val="4A097FDE"/>
    <w:rsid w:val="4A136966"/>
    <w:rsid w:val="4A6C6EE9"/>
    <w:rsid w:val="4AF0601B"/>
    <w:rsid w:val="4B6202EC"/>
    <w:rsid w:val="4CC46343"/>
    <w:rsid w:val="4D142E26"/>
    <w:rsid w:val="4E193DEF"/>
    <w:rsid w:val="4E840F21"/>
    <w:rsid w:val="4E9C58C3"/>
    <w:rsid w:val="4F0022F6"/>
    <w:rsid w:val="4F513FCF"/>
    <w:rsid w:val="4F5D32A4"/>
    <w:rsid w:val="4F6B7EFC"/>
    <w:rsid w:val="4F840480"/>
    <w:rsid w:val="4F98252E"/>
    <w:rsid w:val="5003209D"/>
    <w:rsid w:val="5041164C"/>
    <w:rsid w:val="50806AD3"/>
    <w:rsid w:val="509C604E"/>
    <w:rsid w:val="51063CEB"/>
    <w:rsid w:val="511931FB"/>
    <w:rsid w:val="51853B29"/>
    <w:rsid w:val="51AE4089"/>
    <w:rsid w:val="52745EF2"/>
    <w:rsid w:val="52887ADE"/>
    <w:rsid w:val="52C15887"/>
    <w:rsid w:val="52C65DB4"/>
    <w:rsid w:val="52F95B29"/>
    <w:rsid w:val="53397B84"/>
    <w:rsid w:val="53452FE1"/>
    <w:rsid w:val="53ED321F"/>
    <w:rsid w:val="541F321E"/>
    <w:rsid w:val="54310CEA"/>
    <w:rsid w:val="54522105"/>
    <w:rsid w:val="5563713A"/>
    <w:rsid w:val="5587107B"/>
    <w:rsid w:val="55BC6D2C"/>
    <w:rsid w:val="55FF6E63"/>
    <w:rsid w:val="56050C4F"/>
    <w:rsid w:val="561A2517"/>
    <w:rsid w:val="56755377"/>
    <w:rsid w:val="56C8194B"/>
    <w:rsid w:val="57A74D3D"/>
    <w:rsid w:val="57AF48B9"/>
    <w:rsid w:val="57F71D28"/>
    <w:rsid w:val="580D5C18"/>
    <w:rsid w:val="583E5A97"/>
    <w:rsid w:val="583F1176"/>
    <w:rsid w:val="58405511"/>
    <w:rsid w:val="58975164"/>
    <w:rsid w:val="589C1467"/>
    <w:rsid w:val="58B71D9D"/>
    <w:rsid w:val="59172716"/>
    <w:rsid w:val="591C7D2C"/>
    <w:rsid w:val="59A07D9A"/>
    <w:rsid w:val="59FF0874"/>
    <w:rsid w:val="5A2D7804"/>
    <w:rsid w:val="5AA23722"/>
    <w:rsid w:val="5AAF5B5F"/>
    <w:rsid w:val="5AC51BF4"/>
    <w:rsid w:val="5ADC59C5"/>
    <w:rsid w:val="5B3F1DB5"/>
    <w:rsid w:val="5B9E7290"/>
    <w:rsid w:val="5C0C5180"/>
    <w:rsid w:val="5C817592"/>
    <w:rsid w:val="5CEC3F69"/>
    <w:rsid w:val="5D0E5BDE"/>
    <w:rsid w:val="5E0D6978"/>
    <w:rsid w:val="5E654BEC"/>
    <w:rsid w:val="5E987E55"/>
    <w:rsid w:val="5EB427B5"/>
    <w:rsid w:val="5ECE3876"/>
    <w:rsid w:val="5FC86518"/>
    <w:rsid w:val="60AF76D8"/>
    <w:rsid w:val="60D45628"/>
    <w:rsid w:val="60DD69D1"/>
    <w:rsid w:val="618943CD"/>
    <w:rsid w:val="619A3EE4"/>
    <w:rsid w:val="61C328FE"/>
    <w:rsid w:val="61CD42B9"/>
    <w:rsid w:val="61E909C7"/>
    <w:rsid w:val="62070D75"/>
    <w:rsid w:val="62CF631A"/>
    <w:rsid w:val="62E573E1"/>
    <w:rsid w:val="630B0775"/>
    <w:rsid w:val="63636CDD"/>
    <w:rsid w:val="64304866"/>
    <w:rsid w:val="64675F32"/>
    <w:rsid w:val="64992B79"/>
    <w:rsid w:val="6640680E"/>
    <w:rsid w:val="665E5A2D"/>
    <w:rsid w:val="669E7FD2"/>
    <w:rsid w:val="66AF0810"/>
    <w:rsid w:val="66C45DB5"/>
    <w:rsid w:val="66DD0296"/>
    <w:rsid w:val="67224F1C"/>
    <w:rsid w:val="68144D19"/>
    <w:rsid w:val="68921DB9"/>
    <w:rsid w:val="690C3919"/>
    <w:rsid w:val="69256789"/>
    <w:rsid w:val="6929054F"/>
    <w:rsid w:val="694714CF"/>
    <w:rsid w:val="69891BEF"/>
    <w:rsid w:val="69FD7706"/>
    <w:rsid w:val="6A2D16F6"/>
    <w:rsid w:val="6A2E57CA"/>
    <w:rsid w:val="6A520F86"/>
    <w:rsid w:val="6A7F58F7"/>
    <w:rsid w:val="6A9E120B"/>
    <w:rsid w:val="6AB26742"/>
    <w:rsid w:val="6AB9187F"/>
    <w:rsid w:val="6AC77C6B"/>
    <w:rsid w:val="6B332EC5"/>
    <w:rsid w:val="6B715CB5"/>
    <w:rsid w:val="6BB362CE"/>
    <w:rsid w:val="6BC81771"/>
    <w:rsid w:val="6BCA3618"/>
    <w:rsid w:val="6BE75729"/>
    <w:rsid w:val="6CAB788B"/>
    <w:rsid w:val="6D042835"/>
    <w:rsid w:val="6D106B9E"/>
    <w:rsid w:val="6EC825A5"/>
    <w:rsid w:val="6EE964AB"/>
    <w:rsid w:val="6F046860"/>
    <w:rsid w:val="6F135BEB"/>
    <w:rsid w:val="6F7C10CD"/>
    <w:rsid w:val="6FC24F0C"/>
    <w:rsid w:val="70607F3F"/>
    <w:rsid w:val="70D91C82"/>
    <w:rsid w:val="70FE6FF4"/>
    <w:rsid w:val="713161D3"/>
    <w:rsid w:val="71327C95"/>
    <w:rsid w:val="714E1BB4"/>
    <w:rsid w:val="718F6E8E"/>
    <w:rsid w:val="723C415D"/>
    <w:rsid w:val="72AC7F1B"/>
    <w:rsid w:val="72B26A89"/>
    <w:rsid w:val="72B8241C"/>
    <w:rsid w:val="72B94E61"/>
    <w:rsid w:val="72EE0533"/>
    <w:rsid w:val="73074602"/>
    <w:rsid w:val="73B93EF6"/>
    <w:rsid w:val="73DB0AB8"/>
    <w:rsid w:val="745245D6"/>
    <w:rsid w:val="74936DE6"/>
    <w:rsid w:val="74A26405"/>
    <w:rsid w:val="74EC45FF"/>
    <w:rsid w:val="75EF25F8"/>
    <w:rsid w:val="76832D41"/>
    <w:rsid w:val="76B91CD1"/>
    <w:rsid w:val="76C2746C"/>
    <w:rsid w:val="77162DC0"/>
    <w:rsid w:val="77E912C9"/>
    <w:rsid w:val="7836450F"/>
    <w:rsid w:val="784373D1"/>
    <w:rsid w:val="78743289"/>
    <w:rsid w:val="78746DE5"/>
    <w:rsid w:val="787564C6"/>
    <w:rsid w:val="78EC2E1F"/>
    <w:rsid w:val="7A173ECC"/>
    <w:rsid w:val="7A1F2AA7"/>
    <w:rsid w:val="7A244753"/>
    <w:rsid w:val="7A29136C"/>
    <w:rsid w:val="7A2F1EAC"/>
    <w:rsid w:val="7A67427C"/>
    <w:rsid w:val="7BC43D95"/>
    <w:rsid w:val="7BC47442"/>
    <w:rsid w:val="7BCB1412"/>
    <w:rsid w:val="7BEE7682"/>
    <w:rsid w:val="7C283298"/>
    <w:rsid w:val="7C482A62"/>
    <w:rsid w:val="7C9C2DAE"/>
    <w:rsid w:val="7CAA7279"/>
    <w:rsid w:val="7D2F777E"/>
    <w:rsid w:val="7D307E31"/>
    <w:rsid w:val="7D754D82"/>
    <w:rsid w:val="7D8775BA"/>
    <w:rsid w:val="7DE92023"/>
    <w:rsid w:val="7E9E2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rFonts w:ascii="Tahoma" w:hAnsi="Tahoma"/>
      <w:b/>
      <w:bCs/>
      <w:kern w:val="44"/>
      <w:sz w:val="44"/>
      <w:szCs w:val="44"/>
    </w:rPr>
  </w:style>
  <w:style w:type="paragraph" w:styleId="4">
    <w:name w:val="heading 2"/>
    <w:basedOn w:val="1"/>
    <w:next w:val="1"/>
    <w:autoRedefine/>
    <w:qFormat/>
    <w:uiPriority w:val="0"/>
    <w:pPr>
      <w:keepNext/>
      <w:keepLines/>
      <w:widowControl w:val="0"/>
      <w:numPr>
        <w:ilvl w:val="1"/>
        <w:numId w:val="1"/>
      </w:numPr>
      <w:spacing w:before="260" w:after="260" w:line="413" w:lineRule="auto"/>
      <w:jc w:val="both"/>
      <w:outlineLvl w:val="1"/>
    </w:pPr>
    <w:rPr>
      <w:rFonts w:ascii="Arial" w:hAnsi="Arial" w:eastAsia="黑体" w:cs="Times New Roman"/>
      <w:b/>
      <w:kern w:val="2"/>
      <w:sz w:val="32"/>
      <w:szCs w:val="24"/>
      <w:lang w:val="en-US" w:eastAsia="zh-CN" w:bidi="ar-SA"/>
    </w:rPr>
  </w:style>
  <w:style w:type="paragraph" w:styleId="5">
    <w:name w:val="heading 4"/>
    <w:basedOn w:val="1"/>
    <w:next w:val="1"/>
    <w:autoRedefine/>
    <w:qFormat/>
    <w:uiPriority w:val="99"/>
    <w:pPr>
      <w:keepNext/>
      <w:keepLines/>
      <w:spacing w:before="280" w:line="440" w:lineRule="exact"/>
      <w:jc w:val="left"/>
      <w:outlineLvl w:val="3"/>
    </w:pPr>
    <w:rPr>
      <w:rFonts w:ascii="Cambria" w:hAnsi="Cambria"/>
      <w:b/>
      <w:kern w:val="0"/>
      <w:sz w:val="28"/>
      <w:szCs w:val="20"/>
      <w:lang w:eastAsia="en-US"/>
    </w:rPr>
  </w:style>
  <w:style w:type="character" w:default="1" w:styleId="16">
    <w:name w:val="Default Paragraph Font"/>
    <w:autoRedefine/>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kern w:val="0"/>
      <w:sz w:val="18"/>
      <w:szCs w:val="18"/>
    </w:rPr>
  </w:style>
  <w:style w:type="paragraph" w:styleId="6">
    <w:name w:val="index 8"/>
    <w:basedOn w:val="1"/>
    <w:next w:val="1"/>
    <w:autoRedefine/>
    <w:qFormat/>
    <w:uiPriority w:val="0"/>
    <w:pPr>
      <w:ind w:left="2940"/>
    </w:pPr>
  </w:style>
  <w:style w:type="paragraph" w:styleId="7">
    <w:name w:val="Normal Indent"/>
    <w:basedOn w:val="1"/>
    <w:autoRedefine/>
    <w:qFormat/>
    <w:uiPriority w:val="0"/>
    <w:pPr>
      <w:ind w:firstLine="420"/>
    </w:pPr>
    <w:rPr>
      <w:szCs w:val="20"/>
    </w:rPr>
  </w:style>
  <w:style w:type="paragraph" w:styleId="8">
    <w:name w:val="annotation text"/>
    <w:basedOn w:val="1"/>
    <w:autoRedefine/>
    <w:semiHidden/>
    <w:qFormat/>
    <w:uiPriority w:val="99"/>
    <w:pPr>
      <w:jc w:val="left"/>
    </w:pPr>
  </w:style>
  <w:style w:type="paragraph" w:styleId="9">
    <w:name w:val="Body Text"/>
    <w:basedOn w:val="1"/>
    <w:autoRedefine/>
    <w:qFormat/>
    <w:uiPriority w:val="0"/>
    <w:pPr>
      <w:spacing w:line="380" w:lineRule="exact"/>
    </w:pPr>
    <w:rPr>
      <w:sz w:val="24"/>
    </w:rPr>
  </w:style>
  <w:style w:type="paragraph" w:styleId="10">
    <w:name w:val="Body Text Indent"/>
    <w:basedOn w:val="1"/>
    <w:autoRedefine/>
    <w:qFormat/>
    <w:uiPriority w:val="0"/>
    <w:pPr>
      <w:spacing w:after="120"/>
      <w:ind w:left="420" w:leftChars="200"/>
    </w:pPr>
    <w:rPr>
      <w:rFonts w:ascii="Tahoma" w:hAnsi="Tahoma"/>
    </w:rPr>
  </w:style>
  <w:style w:type="paragraph" w:styleId="11">
    <w:name w:val="Block Text"/>
    <w:basedOn w:val="1"/>
    <w:autoRedefine/>
    <w:qFormat/>
    <w:uiPriority w:val="99"/>
    <w:pPr>
      <w:adjustRightInd w:val="0"/>
      <w:spacing w:line="240" w:lineRule="auto"/>
      <w:ind w:left="420" w:right="33" w:firstLine="0" w:firstLineChars="0"/>
      <w:jc w:val="left"/>
      <w:textAlignment w:val="baseline"/>
    </w:pPr>
    <w:rPr>
      <w:rFonts w:ascii="Times New Roman" w:hAnsi="Times New Roman"/>
      <w:kern w:val="0"/>
      <w:szCs w:val="20"/>
    </w:rPr>
  </w:style>
  <w:style w:type="paragraph" w:styleId="12">
    <w:name w:val="Plain Text"/>
    <w:basedOn w:val="1"/>
    <w:next w:val="6"/>
    <w:autoRedefine/>
    <w:qFormat/>
    <w:uiPriority w:val="0"/>
    <w:rPr>
      <w:rFonts w:ascii="宋体" w:hAnsi="Courier New"/>
      <w:szCs w:val="20"/>
    </w:rPr>
  </w:style>
  <w:style w:type="paragraph" w:styleId="1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next w:val="1"/>
    <w:autoRedefine/>
    <w:qFormat/>
    <w:uiPriority w:val="0"/>
    <w:pPr>
      <w:spacing w:before="0" w:beforeAutospacing="1" w:after="0" w:afterAutospacing="1"/>
      <w:ind w:left="0" w:right="0"/>
      <w:jc w:val="left"/>
    </w:pPr>
    <w:rPr>
      <w:kern w:val="0"/>
      <w:sz w:val="24"/>
      <w:lang w:val="en-US" w:eastAsia="zh-CN" w:bidi="ar"/>
    </w:rPr>
  </w:style>
  <w:style w:type="character" w:styleId="17">
    <w:name w:val="Strong"/>
    <w:basedOn w:val="16"/>
    <w:autoRedefine/>
    <w:qFormat/>
    <w:uiPriority w:val="0"/>
    <w:rPr>
      <w:b/>
    </w:rPr>
  </w:style>
  <w:style w:type="character" w:styleId="18">
    <w:name w:val="page number"/>
    <w:autoRedefine/>
    <w:qFormat/>
    <w:uiPriority w:val="0"/>
    <w:rPr>
      <w:rFonts w:ascii="Times New Roman" w:hAnsi="Times New Roman" w:eastAsia="宋体" w:cs="Times New Roman"/>
    </w:rPr>
  </w:style>
  <w:style w:type="character" w:styleId="19">
    <w:name w:val="Hyperlink"/>
    <w:autoRedefine/>
    <w:qFormat/>
    <w:uiPriority w:val="99"/>
    <w:rPr>
      <w:rFonts w:ascii="Tahoma" w:hAnsi="Tahoma"/>
      <w:color w:val="333333"/>
      <w:sz w:val="24"/>
      <w:u w:val="none"/>
    </w:rPr>
  </w:style>
  <w:style w:type="character" w:styleId="20">
    <w:name w:val="annotation reference"/>
    <w:basedOn w:val="16"/>
    <w:autoRedefine/>
    <w:semiHidden/>
    <w:qFormat/>
    <w:uiPriority w:val="99"/>
    <w:rPr>
      <w:rFonts w:cs="Times New Roman"/>
      <w:sz w:val="21"/>
      <w:szCs w:val="21"/>
    </w:rPr>
  </w:style>
  <w:style w:type="character" w:styleId="21">
    <w:name w:val="HTML Sample"/>
    <w:basedOn w:val="16"/>
    <w:autoRedefine/>
    <w:qFormat/>
    <w:uiPriority w:val="0"/>
    <w:rPr>
      <w:rFonts w:ascii="Courier New" w:hAnsi="Courier New"/>
    </w:rPr>
  </w:style>
  <w:style w:type="paragraph" w:customStyle="1" w:styleId="22">
    <w:name w:val="Default"/>
    <w:next w:val="23"/>
    <w:autoRedefine/>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23">
    <w:name w:val="Intense Quote"/>
    <w:basedOn w:val="1"/>
    <w:next w:val="1"/>
    <w:autoRedefine/>
    <w:qFormat/>
    <w:uiPriority w:val="0"/>
    <w:pPr>
      <w:wordWrap w:val="0"/>
      <w:spacing w:before="360" w:after="360"/>
      <w:ind w:left="950" w:right="950"/>
      <w:jc w:val="center"/>
    </w:pPr>
    <w:rPr>
      <w:i/>
    </w:rPr>
  </w:style>
  <w:style w:type="paragraph" w:customStyle="1" w:styleId="24">
    <w:name w:val="NormalIndent"/>
    <w:basedOn w:val="1"/>
    <w:next w:val="1"/>
    <w:autoRedefine/>
    <w:qFormat/>
    <w:uiPriority w:val="0"/>
    <w:pPr>
      <w:ind w:firstLine="420" w:firstLineChars="200"/>
    </w:pPr>
    <w:rPr>
      <w:kern w:val="0"/>
      <w:sz w:val="24"/>
    </w:rPr>
  </w:style>
  <w:style w:type="character" w:customStyle="1" w:styleId="25">
    <w:name w:val="NormalCharacter"/>
    <w:autoRedefine/>
    <w:semiHidden/>
    <w:qFormat/>
    <w:uiPriority w:val="99"/>
  </w:style>
  <w:style w:type="character" w:customStyle="1" w:styleId="26">
    <w:name w:val="fontstyle01"/>
    <w:autoRedefine/>
    <w:qFormat/>
    <w:uiPriority w:val="0"/>
    <w:rPr>
      <w:rFonts w:hint="eastAsia" w:ascii="宋体" w:hAnsi="宋体" w:eastAsia="宋体"/>
      <w:color w:val="000000"/>
      <w:sz w:val="22"/>
      <w:szCs w:val="22"/>
    </w:rPr>
  </w:style>
  <w:style w:type="paragraph" w:customStyle="1" w:styleId="27">
    <w:name w:val="PlainText"/>
    <w:basedOn w:val="1"/>
    <w:autoRedefine/>
    <w:qFormat/>
    <w:uiPriority w:val="0"/>
    <w:pPr>
      <w:spacing w:line="240" w:lineRule="auto"/>
      <w:jc w:val="both"/>
    </w:pPr>
    <w:rPr>
      <w:rFonts w:ascii="宋体" w:hAnsi="Courier New" w:eastAsia="宋体"/>
      <w:kern w:val="2"/>
      <w:sz w:val="21"/>
      <w:szCs w:val="21"/>
      <w:lang w:val="en-US" w:eastAsia="zh-CN" w:bidi="ar-SA"/>
    </w:rPr>
  </w:style>
  <w:style w:type="character" w:customStyle="1" w:styleId="28">
    <w:name w:val="fontstyle11"/>
    <w:autoRedefine/>
    <w:qFormat/>
    <w:uiPriority w:val="0"/>
    <w:rPr>
      <w:rFonts w:hint="eastAsia" w:ascii="宋体" w:hAnsi="宋体" w:eastAsia="宋体" w:cs="Times New Roman"/>
      <w:color w:val="000000"/>
      <w:sz w:val="22"/>
      <w:szCs w:val="22"/>
    </w:rPr>
  </w:style>
  <w:style w:type="paragraph" w:customStyle="1" w:styleId="29">
    <w:name w:val="Table Paragraph"/>
    <w:basedOn w:val="1"/>
    <w:autoRedefine/>
    <w:qFormat/>
    <w:uiPriority w:val="99"/>
  </w:style>
  <w:style w:type="paragraph" w:styleId="30">
    <w:name w:val="List Paragraph"/>
    <w:basedOn w:val="1"/>
    <w:autoRedefine/>
    <w:qFormat/>
    <w:uiPriority w:val="99"/>
    <w:pPr>
      <w:ind w:left="498" w:firstLine="420"/>
    </w:pPr>
    <w:rPr>
      <w:rFonts w:ascii="宋体" w:hAnsi="宋体" w:cs="宋体"/>
      <w:lang w:val="zh-CN"/>
    </w:rPr>
  </w:style>
  <w:style w:type="paragraph" w:customStyle="1" w:styleId="31">
    <w:name w:val="首行缩进"/>
    <w:basedOn w:val="1"/>
    <w:autoRedefine/>
    <w:qFormat/>
    <w:uiPriority w:val="0"/>
    <w:pPr>
      <w:ind w:firstLine="480" w:firstLineChars="200"/>
    </w:pPr>
  </w:style>
  <w:style w:type="paragraph" w:customStyle="1" w:styleId="32">
    <w:name w:val="Body text|1"/>
    <w:basedOn w:val="1"/>
    <w:autoRedefine/>
    <w:qFormat/>
    <w:uiPriority w:val="0"/>
    <w:pPr>
      <w:spacing w:line="350" w:lineRule="auto"/>
      <w:ind w:firstLine="400"/>
      <w:jc w:val="left"/>
    </w:pPr>
    <w:rPr>
      <w:rFonts w:ascii="宋体" w:hAnsi="宋体" w:cs="宋体"/>
      <w:kern w:val="0"/>
      <w:sz w:val="30"/>
      <w:szCs w:val="30"/>
    </w:rPr>
  </w:style>
  <w:style w:type="paragraph" w:customStyle="1" w:styleId="33">
    <w:name w:val="Body text|3"/>
    <w:basedOn w:val="1"/>
    <w:autoRedefine/>
    <w:qFormat/>
    <w:uiPriority w:val="0"/>
    <w:pPr>
      <w:spacing w:after="460"/>
      <w:jc w:val="center"/>
    </w:pPr>
    <w:rPr>
      <w:rFonts w:ascii="宋体" w:hAnsi="宋体" w:cs="宋体"/>
      <w:kern w:val="0"/>
      <w:sz w:val="34"/>
      <w:szCs w:val="34"/>
    </w:rPr>
  </w:style>
  <w:style w:type="paragraph" w:customStyle="1" w:styleId="34">
    <w:name w:val="_Style 59"/>
    <w:basedOn w:val="1"/>
    <w:next w:val="8"/>
    <w:autoRedefine/>
    <w:qFormat/>
    <w:uiPriority w:val="0"/>
    <w:pPr>
      <w:ind w:firstLine="420" w:firstLineChars="200"/>
    </w:pPr>
  </w:style>
  <w:style w:type="paragraph" w:customStyle="1" w:styleId="35">
    <w:name w:val="WPSOffice手动目录 1"/>
    <w:autoRedefine/>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2024-01-09T08:07:00Z</dcterms:created>
  <dc:creator>从心 </dc:creator>
  <cp:lastModifiedBy>从心 </cp:lastModifiedBy>
  <dcterms:modified xsi:type="dcterms:W3CDTF">2024-03-25T07:26:05Z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A3D5C60891C443D39B475336336D29B0_11</vt:lpwstr>
  </property>
</Properties>
</file>