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51597">
      <w:pPr>
        <w:rPr>
          <w:rFonts w:hint="eastAsia" w:ascii="宋体" w:hAnsi="宋体" w:eastAsia="宋体" w:cs="宋体"/>
          <w:color w:val="auto"/>
        </w:rPr>
      </w:pPr>
    </w:p>
    <w:p w14:paraId="6CEF04A3">
      <w:pPr>
        <w:spacing w:line="840" w:lineRule="exact"/>
        <w:jc w:val="center"/>
        <w:rPr>
          <w:rFonts w:hint="eastAsia" w:ascii="宋体" w:hAnsi="宋体" w:eastAsia="宋体" w:cs="宋体"/>
          <w:b/>
          <w:color w:val="auto"/>
          <w:sz w:val="72"/>
          <w:szCs w:val="72"/>
        </w:rPr>
      </w:pPr>
    </w:p>
    <w:p w14:paraId="68486DFC">
      <w:pPr>
        <w:spacing w:line="840" w:lineRule="exact"/>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广西佳益工程项目管理咨询有限公司</w:t>
      </w:r>
    </w:p>
    <w:p w14:paraId="31951DC2">
      <w:pPr>
        <w:rPr>
          <w:rFonts w:hint="eastAsia" w:ascii="宋体" w:hAnsi="宋体" w:eastAsia="宋体" w:cs="宋体"/>
          <w:color w:val="auto"/>
        </w:rPr>
      </w:pPr>
      <w:r>
        <w:rPr>
          <w:rFonts w:hint="eastAsia" w:ascii="宋体" w:hAnsi="宋体" w:eastAsia="宋体" w:cs="宋体"/>
          <w:color w:val="auto"/>
          <w:sz w:val="72"/>
          <w:highlight w:val="none"/>
          <w:lang w:eastAsia="zh-CN"/>
        </w:rPr>
        <w:drawing>
          <wp:anchor distT="0" distB="0" distL="114300" distR="114300" simplePos="0" relativeHeight="251663360" behindDoc="1" locked="0" layoutInCell="1" allowOverlap="1">
            <wp:simplePos x="0" y="0"/>
            <wp:positionH relativeFrom="column">
              <wp:posOffset>1705610</wp:posOffset>
            </wp:positionH>
            <wp:positionV relativeFrom="paragraph">
              <wp:posOffset>46355</wp:posOffset>
            </wp:positionV>
            <wp:extent cx="2638425" cy="2466975"/>
            <wp:effectExtent l="0" t="0" r="9525" b="9525"/>
            <wp:wrapNone/>
            <wp:docPr id="5" name="图片 1" descr="ad2f189fad59eb672f529858416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d2f189fad59eb672f5298584166442"/>
                    <pic:cNvPicPr>
                      <a:picLocks noChangeAspect="1"/>
                    </pic:cNvPicPr>
                  </pic:nvPicPr>
                  <pic:blipFill>
                    <a:blip r:embed="rId10"/>
                    <a:stretch>
                      <a:fillRect/>
                    </a:stretch>
                  </pic:blipFill>
                  <pic:spPr>
                    <a:xfrm>
                      <a:off x="0" y="0"/>
                      <a:ext cx="2638425" cy="2466975"/>
                    </a:xfrm>
                    <a:prstGeom prst="rect">
                      <a:avLst/>
                    </a:prstGeom>
                    <a:noFill/>
                    <a:ln>
                      <a:noFill/>
                    </a:ln>
                  </pic:spPr>
                </pic:pic>
              </a:graphicData>
            </a:graphic>
          </wp:anchor>
        </w:drawing>
      </w:r>
    </w:p>
    <w:p w14:paraId="54C0537E">
      <w:pPr>
        <w:rPr>
          <w:rFonts w:hint="eastAsia" w:ascii="宋体" w:hAnsi="宋体" w:eastAsia="宋体" w:cs="宋体"/>
          <w:color w:val="auto"/>
        </w:rPr>
      </w:pPr>
    </w:p>
    <w:p w14:paraId="675FAF11">
      <w:pPr>
        <w:rPr>
          <w:rFonts w:hint="eastAsia" w:ascii="宋体" w:hAnsi="宋体" w:eastAsia="宋体" w:cs="宋体"/>
          <w:color w:val="auto"/>
        </w:rPr>
      </w:pPr>
    </w:p>
    <w:p w14:paraId="723FC3A2">
      <w:pPr>
        <w:rPr>
          <w:rFonts w:hint="eastAsia" w:ascii="宋体" w:hAnsi="宋体" w:eastAsia="宋体" w:cs="宋体"/>
          <w:color w:val="auto"/>
        </w:rPr>
      </w:pPr>
    </w:p>
    <w:p w14:paraId="73BB6506">
      <w:pPr>
        <w:rPr>
          <w:rFonts w:hint="eastAsia" w:ascii="宋体" w:hAnsi="宋体" w:eastAsia="宋体" w:cs="宋体"/>
          <w:color w:val="auto"/>
        </w:rPr>
      </w:pPr>
    </w:p>
    <w:p w14:paraId="6FB8EF9A">
      <w:pPr>
        <w:rPr>
          <w:rFonts w:hint="eastAsia" w:ascii="宋体" w:hAnsi="宋体" w:eastAsia="宋体" w:cs="宋体"/>
          <w:color w:val="auto"/>
        </w:rPr>
      </w:pPr>
    </w:p>
    <w:p w14:paraId="15C311F0">
      <w:pPr>
        <w:spacing w:line="720" w:lineRule="exact"/>
        <w:jc w:val="center"/>
        <w:rPr>
          <w:rFonts w:hint="eastAsia" w:ascii="宋体" w:hAnsi="宋体" w:eastAsia="宋体" w:cs="宋体"/>
          <w:color w:val="auto"/>
          <w:sz w:val="72"/>
        </w:rPr>
      </w:pPr>
    </w:p>
    <w:p w14:paraId="57EB1847">
      <w:pPr>
        <w:spacing w:line="840" w:lineRule="exact"/>
        <w:jc w:val="center"/>
        <w:rPr>
          <w:rFonts w:hint="eastAsia" w:ascii="宋体" w:hAnsi="宋体" w:eastAsia="宋体" w:cs="宋体"/>
          <w:b/>
          <w:color w:val="auto"/>
          <w:sz w:val="72"/>
          <w:szCs w:val="72"/>
        </w:rPr>
      </w:pPr>
    </w:p>
    <w:p w14:paraId="6E9FE134">
      <w:pPr>
        <w:spacing w:line="840" w:lineRule="exact"/>
        <w:jc w:val="center"/>
        <w:rPr>
          <w:rFonts w:hint="eastAsia" w:ascii="宋体" w:hAnsi="宋体" w:eastAsia="宋体" w:cs="宋体"/>
          <w:b/>
          <w:color w:val="auto"/>
          <w:sz w:val="72"/>
          <w:szCs w:val="72"/>
        </w:rPr>
      </w:pPr>
    </w:p>
    <w:p w14:paraId="580A1F1B">
      <w:pPr>
        <w:spacing w:line="840" w:lineRule="exact"/>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竞争性磋商文件</w:t>
      </w:r>
    </w:p>
    <w:p w14:paraId="0FC0B9F7">
      <w:pPr>
        <w:spacing w:line="840" w:lineRule="exact"/>
        <w:jc w:val="center"/>
        <w:rPr>
          <w:rFonts w:hint="eastAsia" w:ascii="宋体" w:hAnsi="宋体" w:eastAsia="宋体" w:cs="宋体"/>
          <w:b/>
          <w:color w:val="auto"/>
          <w:sz w:val="72"/>
          <w:szCs w:val="72"/>
        </w:rPr>
      </w:pPr>
    </w:p>
    <w:p w14:paraId="471335AA">
      <w:pPr>
        <w:pStyle w:val="10"/>
        <w:rPr>
          <w:rFonts w:hint="eastAsia" w:ascii="宋体" w:hAnsi="宋体" w:eastAsia="宋体" w:cs="宋体"/>
          <w:color w:val="auto"/>
        </w:rPr>
      </w:pPr>
    </w:p>
    <w:p w14:paraId="1590AB82">
      <w:pPr>
        <w:jc w:val="center"/>
        <w:rPr>
          <w:rFonts w:hint="eastAsia" w:ascii="宋体" w:hAnsi="宋体" w:eastAsia="宋体" w:cs="宋体"/>
          <w:b/>
          <w:bCs/>
          <w:color w:val="auto"/>
          <w:spacing w:val="40"/>
          <w:sz w:val="32"/>
          <w:szCs w:val="32"/>
          <w:lang w:eastAsia="zh-CN"/>
        </w:rPr>
      </w:pPr>
      <w:r>
        <w:rPr>
          <w:rFonts w:hint="eastAsia" w:ascii="宋体" w:hAnsi="宋体" w:eastAsia="宋体" w:cs="宋体"/>
          <w:b/>
          <w:bCs/>
          <w:color w:val="auto"/>
          <w:spacing w:val="40"/>
          <w:sz w:val="32"/>
          <w:szCs w:val="32"/>
        </w:rPr>
        <w:t>项目名称：</w:t>
      </w:r>
      <w:r>
        <w:rPr>
          <w:rFonts w:hint="eastAsia" w:ascii="宋体" w:hAnsi="宋体" w:eastAsia="宋体" w:cs="宋体"/>
          <w:b/>
          <w:bCs/>
          <w:color w:val="auto"/>
          <w:spacing w:val="40"/>
          <w:sz w:val="32"/>
          <w:szCs w:val="32"/>
          <w:lang w:eastAsia="zh-CN"/>
        </w:rPr>
        <w:t>广西兴安灵渠景区创建国家5A级旅游景区驻场运营指导服务项目</w:t>
      </w:r>
    </w:p>
    <w:p w14:paraId="738BF09E">
      <w:pPr>
        <w:pStyle w:val="22"/>
        <w:jc w:val="center"/>
        <w:rPr>
          <w:rFonts w:hint="eastAsia" w:ascii="宋体" w:hAnsi="宋体" w:eastAsia="宋体" w:cs="宋体"/>
          <w:b/>
          <w:bCs/>
          <w:color w:val="auto"/>
          <w:spacing w:val="40"/>
          <w:sz w:val="32"/>
          <w:szCs w:val="32"/>
          <w:lang w:eastAsia="zh-CN"/>
        </w:rPr>
      </w:pPr>
      <w:r>
        <w:rPr>
          <w:rFonts w:hint="eastAsia" w:ascii="宋体" w:hAnsi="宋体" w:eastAsia="宋体" w:cs="宋体"/>
          <w:b/>
          <w:bCs/>
          <w:color w:val="auto"/>
          <w:spacing w:val="40"/>
          <w:sz w:val="32"/>
          <w:szCs w:val="32"/>
        </w:rPr>
        <w:t>项目编号</w:t>
      </w:r>
      <w:r>
        <w:rPr>
          <w:rFonts w:hint="eastAsia" w:ascii="宋体" w:hAnsi="宋体" w:eastAsia="宋体" w:cs="宋体"/>
          <w:b/>
          <w:bCs/>
          <w:color w:val="auto"/>
          <w:spacing w:val="40"/>
          <w:sz w:val="32"/>
          <w:szCs w:val="32"/>
          <w:lang w:eastAsia="zh-CN"/>
        </w:rPr>
        <w:t>：</w:t>
      </w:r>
      <w:bookmarkStart w:id="0" w:name="_Toc30253"/>
      <w:r>
        <w:rPr>
          <w:rFonts w:hint="eastAsia" w:ascii="宋体" w:hAnsi="宋体" w:eastAsia="宋体" w:cs="宋体"/>
          <w:b/>
          <w:bCs/>
          <w:color w:val="auto"/>
          <w:spacing w:val="40"/>
          <w:sz w:val="32"/>
          <w:szCs w:val="32"/>
          <w:lang w:eastAsia="zh-CN"/>
        </w:rPr>
        <w:t>GLZC2025-C3-250028-GXJY</w:t>
      </w:r>
      <w:r>
        <w:rPr>
          <w:rFonts w:hint="eastAsia" w:ascii="宋体" w:hAnsi="宋体" w:eastAsia="宋体" w:cs="宋体"/>
          <w:b/>
          <w:bCs/>
          <w:color w:val="auto"/>
          <w:spacing w:val="40"/>
          <w:sz w:val="32"/>
          <w:szCs w:val="32"/>
          <w:lang w:val="en-US" w:eastAsia="zh-CN"/>
        </w:rPr>
        <w:t xml:space="preserve"> </w:t>
      </w:r>
    </w:p>
    <w:p w14:paraId="269AD9CC">
      <w:pPr>
        <w:pStyle w:val="22"/>
        <w:jc w:val="center"/>
        <w:rPr>
          <w:rFonts w:hint="eastAsia" w:ascii="宋体" w:hAnsi="宋体" w:eastAsia="宋体" w:cs="宋体"/>
          <w:b w:val="0"/>
          <w:bCs w:val="0"/>
          <w:color w:val="auto"/>
          <w:sz w:val="32"/>
          <w:lang w:eastAsia="zh-CN"/>
        </w:rPr>
      </w:pPr>
      <w:r>
        <w:rPr>
          <w:rFonts w:hint="eastAsia" w:ascii="宋体" w:hAnsi="宋体" w:eastAsia="宋体" w:cs="宋体"/>
          <w:b w:val="0"/>
          <w:bCs w:val="0"/>
          <w:color w:val="auto"/>
          <w:sz w:val="32"/>
        </w:rPr>
        <w:t>采购人：</w:t>
      </w:r>
      <w:bookmarkEnd w:id="0"/>
      <w:r>
        <w:rPr>
          <w:rFonts w:hint="eastAsia" w:ascii="宋体" w:hAnsi="宋体" w:eastAsia="宋体" w:cs="宋体"/>
          <w:b w:val="0"/>
          <w:bCs w:val="0"/>
          <w:color w:val="auto"/>
          <w:sz w:val="32"/>
          <w:lang w:eastAsia="zh-CN"/>
        </w:rPr>
        <w:t>兴安县文化广电体育和旅游局</w:t>
      </w:r>
    </w:p>
    <w:p w14:paraId="15CC0956">
      <w:pPr>
        <w:ind w:left="2275" w:leftChars="550" w:hanging="1120" w:hangingChars="350"/>
        <w:rPr>
          <w:rFonts w:hint="eastAsia" w:ascii="宋体" w:hAnsi="宋体" w:eastAsia="宋体" w:cs="宋体"/>
          <w:color w:val="auto"/>
          <w:sz w:val="32"/>
          <w:szCs w:val="32"/>
        </w:rPr>
      </w:pPr>
      <w:r>
        <w:rPr>
          <w:rFonts w:hint="eastAsia" w:ascii="宋体" w:hAnsi="宋体" w:eastAsia="宋体" w:cs="宋体"/>
          <w:color w:val="auto"/>
          <w:sz w:val="32"/>
          <w:szCs w:val="32"/>
        </w:rPr>
        <w:t>采购代理机构：广西佳益工程项目管理咨询有限公司</w:t>
      </w:r>
      <w:bookmarkStart w:id="1" w:name="_Toc25897"/>
    </w:p>
    <w:p w14:paraId="0DD10EA7">
      <w:pPr>
        <w:ind w:left="1890" w:leftChars="900" w:firstLine="643" w:firstLineChars="200"/>
        <w:rPr>
          <w:rFonts w:hint="eastAsia" w:ascii="宋体" w:hAnsi="宋体" w:eastAsia="宋体" w:cs="宋体"/>
          <w:b/>
          <w:bCs/>
          <w:color w:val="auto"/>
          <w:sz w:val="32"/>
        </w:rPr>
      </w:pPr>
    </w:p>
    <w:p w14:paraId="0E2D05AF">
      <w:pPr>
        <w:ind w:left="1890" w:leftChars="900" w:firstLine="643" w:firstLineChars="200"/>
        <w:rPr>
          <w:rFonts w:hint="eastAsia" w:ascii="宋体" w:hAnsi="宋体" w:eastAsia="宋体" w:cs="宋体"/>
          <w:color w:val="auto"/>
          <w:sz w:val="32"/>
        </w:rPr>
      </w:pPr>
      <w:r>
        <w:rPr>
          <w:rFonts w:hint="eastAsia" w:ascii="宋体" w:hAnsi="宋体" w:eastAsia="宋体" w:cs="宋体"/>
          <w:b/>
          <w:bCs/>
          <w:color w:val="auto"/>
          <w:sz w:val="32"/>
        </w:rPr>
        <w:t>日期：2025年</w:t>
      </w:r>
      <w:bookmarkEnd w:id="1"/>
      <w:r>
        <w:rPr>
          <w:rFonts w:hint="eastAsia" w:ascii="宋体" w:hAnsi="宋体" w:eastAsia="宋体" w:cs="宋体"/>
          <w:b/>
          <w:bCs/>
          <w:color w:val="auto"/>
          <w:sz w:val="32"/>
          <w:lang w:val="en-US" w:eastAsia="zh-CN"/>
        </w:rPr>
        <w:t>5月20日</w:t>
      </w:r>
    </w:p>
    <w:p w14:paraId="6A421C4C">
      <w:pPr>
        <w:pStyle w:val="14"/>
        <w:tabs>
          <w:tab w:val="right" w:leader="dot" w:pos="9660"/>
        </w:tabs>
        <w:spacing w:line="360" w:lineRule="auto"/>
        <w:jc w:val="center"/>
        <w:rPr>
          <w:rFonts w:hint="eastAsia" w:ascii="宋体" w:hAnsi="宋体" w:eastAsia="宋体" w:cs="宋体"/>
          <w:b/>
          <w:color w:val="auto"/>
          <w:spacing w:val="-6"/>
          <w:kern w:val="0"/>
          <w:sz w:val="44"/>
          <w:szCs w:val="44"/>
        </w:rPr>
      </w:pPr>
    </w:p>
    <w:p w14:paraId="6FA47EE9">
      <w:pPr>
        <w:pStyle w:val="14"/>
        <w:tabs>
          <w:tab w:val="right" w:leader="dot" w:pos="9660"/>
        </w:tabs>
        <w:spacing w:line="360" w:lineRule="auto"/>
        <w:jc w:val="center"/>
        <w:rPr>
          <w:rFonts w:hint="eastAsia" w:ascii="宋体" w:hAnsi="宋体" w:eastAsia="宋体" w:cs="宋体"/>
          <w:b/>
          <w:color w:val="auto"/>
          <w:spacing w:val="-6"/>
          <w:kern w:val="0"/>
          <w:sz w:val="44"/>
          <w:szCs w:val="44"/>
        </w:rPr>
        <w:sectPr>
          <w:footerReference r:id="rId3" w:type="default"/>
          <w:pgSz w:w="11906" w:h="16839"/>
          <w:pgMar w:top="1222" w:right="1059" w:bottom="1156" w:left="1139" w:header="0" w:footer="994" w:gutter="0"/>
          <w:pgNumType w:fmt="decimal"/>
          <w:cols w:space="720" w:num="1"/>
        </w:sectPr>
      </w:pPr>
    </w:p>
    <w:p w14:paraId="616FC99F">
      <w:pPr>
        <w:pStyle w:val="14"/>
        <w:tabs>
          <w:tab w:val="right" w:leader="dot" w:pos="9660"/>
        </w:tabs>
        <w:spacing w:line="360" w:lineRule="auto"/>
        <w:jc w:val="center"/>
        <w:rPr>
          <w:rFonts w:hint="eastAsia" w:ascii="宋体" w:hAnsi="宋体" w:eastAsia="宋体" w:cs="宋体"/>
          <w:color w:val="auto"/>
          <w:sz w:val="32"/>
          <w:szCs w:val="32"/>
        </w:rPr>
      </w:pPr>
      <w:r>
        <w:rPr>
          <w:rFonts w:hint="eastAsia" w:ascii="宋体" w:hAnsi="宋体" w:eastAsia="宋体" w:cs="宋体"/>
          <w:b/>
          <w:color w:val="auto"/>
          <w:spacing w:val="-6"/>
          <w:kern w:val="0"/>
          <w:sz w:val="44"/>
          <w:szCs w:val="44"/>
        </w:rPr>
        <w:t>目  录</w:t>
      </w:r>
    </w:p>
    <w:p w14:paraId="23EE15F2">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pacing w:val="-6"/>
          <w:kern w:val="0"/>
          <w:sz w:val="32"/>
          <w:szCs w:val="32"/>
        </w:rPr>
        <w:fldChar w:fldCharType="begin"/>
      </w:r>
      <w:r>
        <w:rPr>
          <w:rFonts w:hint="eastAsia" w:ascii="宋体" w:hAnsi="宋体" w:eastAsia="宋体" w:cs="宋体"/>
          <w:b/>
          <w:bCs/>
          <w:color w:val="auto"/>
          <w:spacing w:val="-6"/>
          <w:kern w:val="0"/>
          <w:sz w:val="32"/>
          <w:szCs w:val="32"/>
        </w:rPr>
        <w:instrText xml:space="preserve">TOC \o "1-1" \h \u </w:instrText>
      </w:r>
      <w:r>
        <w:rPr>
          <w:rFonts w:hint="eastAsia" w:ascii="宋体" w:hAnsi="宋体" w:eastAsia="宋体" w:cs="宋体"/>
          <w:b/>
          <w:bCs/>
          <w:color w:val="auto"/>
          <w:spacing w:val="-6"/>
          <w:kern w:val="0"/>
          <w:sz w:val="32"/>
          <w:szCs w:val="32"/>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"_Toc5645"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第一章 竞争性磋商公告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_Toc5645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2</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6D776B71">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"_Toc8011"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第二章 供应商须知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_Toc8011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50990EB4">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"_Toc31755"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第三章 项目需求表</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_Toc31755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26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238F5253">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"_Toc27023"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第四章 评审办法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_Toc27023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0D6CA2F0">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"_Toc3626"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第五章 采购合同（合同主要条款及格式）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_Toc3626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5CA763A8">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"_Toc13301" </w:instrText>
      </w:r>
      <w:r>
        <w:rPr>
          <w:rFonts w:hint="eastAsia" w:ascii="宋体" w:hAnsi="宋体" w:eastAsia="宋体" w:cs="宋体"/>
          <w:color w:val="auto"/>
        </w:rPr>
        <w:fldChar w:fldCharType="separate"/>
      </w:r>
      <w:r>
        <w:rPr>
          <w:rFonts w:hint="eastAsia" w:ascii="宋体" w:hAnsi="宋体" w:eastAsia="宋体" w:cs="宋体"/>
          <w:b/>
          <w:bCs/>
          <w:color w:val="auto"/>
          <w:kern w:val="44"/>
          <w:sz w:val="32"/>
          <w:szCs w:val="32"/>
        </w:rPr>
        <w:t xml:space="preserve">第六章 </w:t>
      </w:r>
      <w:r>
        <w:rPr>
          <w:rFonts w:hint="eastAsia" w:ascii="宋体" w:hAnsi="宋体" w:eastAsia="宋体" w:cs="宋体"/>
          <w:b/>
          <w:bCs/>
          <w:color w:val="auto"/>
          <w:sz w:val="32"/>
          <w:szCs w:val="32"/>
        </w:rPr>
        <w:t>响应文件（格式）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_Toc13301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102EB14D">
      <w:pPr>
        <w:spacing w:line="360" w:lineRule="auto"/>
        <w:jc w:val="center"/>
        <w:rPr>
          <w:rFonts w:hint="eastAsia" w:ascii="宋体" w:hAnsi="宋体" w:eastAsia="宋体" w:cs="宋体"/>
          <w:color w:val="auto"/>
          <w:spacing w:val="-6"/>
          <w:kern w:val="0"/>
          <w:sz w:val="28"/>
          <w:szCs w:val="28"/>
        </w:rPr>
      </w:pPr>
      <w:r>
        <w:rPr>
          <w:rFonts w:hint="eastAsia" w:ascii="宋体" w:hAnsi="宋体" w:eastAsia="宋体" w:cs="宋体"/>
          <w:b/>
          <w:bCs/>
          <w:color w:val="auto"/>
          <w:spacing w:val="-6"/>
          <w:kern w:val="0"/>
          <w:sz w:val="32"/>
          <w:szCs w:val="32"/>
        </w:rPr>
        <w:fldChar w:fldCharType="end"/>
      </w:r>
    </w:p>
    <w:p w14:paraId="314F6E51">
      <w:pPr>
        <w:rPr>
          <w:rFonts w:hint="eastAsia" w:ascii="宋体" w:hAnsi="宋体" w:eastAsia="宋体" w:cs="宋体"/>
          <w:color w:val="auto"/>
          <w:spacing w:val="-6"/>
          <w:kern w:val="0"/>
          <w:sz w:val="24"/>
        </w:rPr>
      </w:pPr>
    </w:p>
    <w:p w14:paraId="28F8950C">
      <w:pPr>
        <w:rPr>
          <w:rFonts w:hint="eastAsia" w:ascii="宋体" w:hAnsi="宋体" w:eastAsia="宋体" w:cs="宋体"/>
          <w:color w:val="auto"/>
          <w:spacing w:val="-6"/>
          <w:kern w:val="0"/>
          <w:sz w:val="24"/>
        </w:rPr>
      </w:pPr>
    </w:p>
    <w:p w14:paraId="02C19C5D">
      <w:pPr>
        <w:rPr>
          <w:rFonts w:hint="eastAsia" w:ascii="宋体" w:hAnsi="宋体" w:eastAsia="宋体" w:cs="宋体"/>
          <w:color w:val="auto"/>
          <w:spacing w:val="-6"/>
          <w:kern w:val="0"/>
          <w:sz w:val="24"/>
        </w:rPr>
      </w:pPr>
    </w:p>
    <w:p w14:paraId="7CB4529A">
      <w:pPr>
        <w:rPr>
          <w:rFonts w:hint="eastAsia" w:ascii="宋体" w:hAnsi="宋体" w:eastAsia="宋体" w:cs="宋体"/>
          <w:color w:val="auto"/>
          <w:spacing w:val="-6"/>
          <w:kern w:val="0"/>
          <w:sz w:val="24"/>
        </w:rPr>
      </w:pPr>
    </w:p>
    <w:p w14:paraId="620820D8">
      <w:pPr>
        <w:pStyle w:val="2"/>
        <w:pageBreakBefore/>
        <w:tabs>
          <w:tab w:val="left" w:pos="0"/>
        </w:tabs>
        <w:autoSpaceDE w:val="0"/>
        <w:autoSpaceDN w:val="0"/>
        <w:adjustRightInd w:val="0"/>
        <w:spacing w:before="0" w:after="0" w:line="360" w:lineRule="auto"/>
        <w:ind w:left="425"/>
        <w:jc w:val="center"/>
        <w:rPr>
          <w:rFonts w:hint="eastAsia" w:ascii="宋体" w:hAnsi="宋体" w:eastAsia="宋体" w:cs="宋体"/>
          <w:color w:val="auto"/>
          <w:sz w:val="32"/>
          <w:szCs w:val="32"/>
        </w:rPr>
      </w:pPr>
      <w:bookmarkStart w:id="2" w:name="_Toc9165"/>
      <w:bookmarkStart w:id="3" w:name="_Toc30170"/>
      <w:bookmarkStart w:id="4" w:name="_Toc35393797"/>
      <w:bookmarkStart w:id="5" w:name="_Toc26809"/>
      <w:bookmarkStart w:id="6" w:name="_Toc28359011"/>
      <w:bookmarkStart w:id="7" w:name="_Toc5645"/>
      <w:bookmarkStart w:id="8" w:name="_Toc21930"/>
      <w:r>
        <w:rPr>
          <w:rFonts w:hint="eastAsia" w:ascii="宋体" w:hAnsi="宋体" w:eastAsia="宋体" w:cs="宋体"/>
          <w:color w:val="auto"/>
          <w:sz w:val="32"/>
          <w:szCs w:val="32"/>
        </w:rPr>
        <w:t>第一章  竞争性磋商公告</w:t>
      </w:r>
      <w:bookmarkEnd w:id="2"/>
      <w:bookmarkEnd w:id="3"/>
      <w:bookmarkEnd w:id="4"/>
      <w:bookmarkEnd w:id="5"/>
      <w:bookmarkEnd w:id="6"/>
      <w:bookmarkEnd w:id="7"/>
      <w:bookmarkEnd w:id="8"/>
    </w:p>
    <w:p w14:paraId="6A3BEF8C">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Cs w:val="21"/>
        </w:rPr>
      </w:pPr>
      <w:bookmarkStart w:id="9" w:name="_Toc35393798"/>
      <w:bookmarkStart w:id="10" w:name="_Toc35393629"/>
      <w:bookmarkStart w:id="11" w:name="_Toc28359012"/>
      <w:bookmarkStart w:id="12" w:name="_Toc28359089"/>
      <w:r>
        <w:rPr>
          <w:rFonts w:hint="eastAsia" w:ascii="宋体" w:hAnsi="宋体" w:eastAsia="宋体" w:cs="宋体"/>
          <w:color w:val="auto"/>
          <w:szCs w:val="21"/>
        </w:rPr>
        <w:t>项目概况</w:t>
      </w:r>
    </w:p>
    <w:p w14:paraId="47999C5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lang w:eastAsia="zh-CN"/>
        </w:rPr>
        <w:t>广西兴安灵渠景区创建国家5A级旅游景区驻场运营指导服务项目</w:t>
      </w:r>
      <w:r>
        <w:rPr>
          <w:rFonts w:hint="eastAsia" w:ascii="宋体" w:hAnsi="宋体" w:eastAsia="宋体" w:cs="宋体"/>
          <w:color w:val="auto"/>
        </w:rPr>
        <w:t>项目的潜在供应商应登录广西政府采购云平台https://www.gcy.zfcg.gxzf.gov.cn/在线申请获取竞争性磋商文件电子版（进入“项目采购”应用，在获取采购文件菜单中选择项目，申请获取竞争性磋商文件电子版），</w:t>
      </w:r>
      <w:r>
        <w:rPr>
          <w:rFonts w:hint="eastAsia" w:ascii="宋体" w:hAnsi="宋体" w:eastAsia="宋体" w:cs="宋体"/>
          <w:color w:val="auto"/>
          <w:szCs w:val="21"/>
        </w:rPr>
        <w:t>并于</w:t>
      </w:r>
      <w:r>
        <w:rPr>
          <w:rFonts w:hint="eastAsia" w:ascii="宋体" w:hAnsi="宋体" w:eastAsia="宋体" w:cs="宋体"/>
          <w:color w:val="auto"/>
          <w:szCs w:val="21"/>
          <w:u w:val="single"/>
        </w:rPr>
        <w:t>2025年</w:t>
      </w:r>
      <w:r>
        <w:rPr>
          <w:rFonts w:hint="eastAsia" w:ascii="宋体" w:hAnsi="宋体" w:eastAsia="宋体" w:cs="宋体"/>
          <w:color w:val="auto"/>
          <w:szCs w:val="21"/>
          <w:u w:val="single"/>
          <w:lang w:val="en-US" w:eastAsia="zh-CN"/>
        </w:rPr>
        <w:t>6月3日09时30</w:t>
      </w:r>
      <w:r>
        <w:rPr>
          <w:rFonts w:hint="eastAsia" w:ascii="宋体" w:hAnsi="宋体" w:eastAsia="宋体" w:cs="宋体"/>
          <w:color w:val="auto"/>
          <w:szCs w:val="21"/>
          <w:u w:val="single"/>
        </w:rPr>
        <w:t>分</w:t>
      </w:r>
      <w:r>
        <w:rPr>
          <w:rFonts w:hint="eastAsia" w:ascii="宋体" w:hAnsi="宋体" w:eastAsia="宋体" w:cs="宋体"/>
          <w:bCs/>
          <w:color w:val="auto"/>
          <w:szCs w:val="21"/>
          <w:u w:val="single"/>
        </w:rPr>
        <w:t>（</w:t>
      </w:r>
      <w:r>
        <w:rPr>
          <w:rFonts w:hint="eastAsia" w:ascii="宋体" w:hAnsi="宋体" w:eastAsia="宋体" w:cs="宋体"/>
          <w:bCs/>
          <w:color w:val="auto"/>
          <w:szCs w:val="21"/>
        </w:rPr>
        <w:t>北京时间）前递交响应文件</w:t>
      </w:r>
      <w:r>
        <w:rPr>
          <w:rFonts w:hint="eastAsia" w:ascii="宋体" w:hAnsi="宋体" w:eastAsia="宋体" w:cs="宋体"/>
          <w:color w:val="auto"/>
          <w:szCs w:val="21"/>
        </w:rPr>
        <w:t>。</w:t>
      </w:r>
    </w:p>
    <w:p w14:paraId="7F8F0B6F">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一、项目基本情况</w:t>
      </w:r>
      <w:bookmarkEnd w:id="9"/>
      <w:bookmarkEnd w:id="10"/>
      <w:bookmarkEnd w:id="11"/>
      <w:bookmarkEnd w:id="12"/>
    </w:p>
    <w:p w14:paraId="378A5CA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项目编号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GLZC2025-C3-250028-GXJY</w:t>
      </w:r>
    </w:p>
    <w:p w14:paraId="345B26D3">
      <w:pPr>
        <w:spacing w:line="360" w:lineRule="auto"/>
        <w:ind w:firstLine="420" w:firstLineChars="200"/>
        <w:rPr>
          <w:rFonts w:hint="eastAsia" w:ascii="宋体" w:hAnsi="宋体" w:eastAsia="宋体" w:cs="宋体"/>
          <w:color w:val="auto"/>
          <w:szCs w:val="21"/>
          <w:u w:val="single"/>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广西兴安灵渠景区创建国家5A级旅游景区驻场运营指导服务项目</w:t>
      </w:r>
    </w:p>
    <w:p w14:paraId="4E15FEC5">
      <w:pPr>
        <w:spacing w:line="360" w:lineRule="auto"/>
        <w:ind w:firstLine="420" w:firstLineChars="200"/>
        <w:rPr>
          <w:rFonts w:hint="eastAsia" w:ascii="宋体" w:hAnsi="宋体" w:eastAsia="宋体" w:cs="宋体"/>
          <w:color w:val="auto"/>
          <w:szCs w:val="21"/>
        </w:rPr>
      </w:pPr>
      <w:bookmarkStart w:id="13" w:name="_Toc28359013"/>
      <w:bookmarkStart w:id="14" w:name="_Toc35393630"/>
      <w:bookmarkStart w:id="15" w:name="_Toc35393799"/>
      <w:bookmarkStart w:id="16" w:name="_Toc28359090"/>
      <w:r>
        <w:rPr>
          <w:rFonts w:hint="eastAsia" w:ascii="宋体" w:hAnsi="宋体" w:eastAsia="宋体" w:cs="宋体"/>
          <w:color w:val="auto"/>
          <w:szCs w:val="21"/>
        </w:rPr>
        <w:t>预算总金额:人民币</w:t>
      </w:r>
      <w:r>
        <w:rPr>
          <w:rFonts w:hint="eastAsia" w:ascii="宋体" w:hAnsi="宋体" w:eastAsia="宋体" w:cs="宋体"/>
          <w:color w:val="auto"/>
          <w:szCs w:val="21"/>
          <w:lang w:eastAsia="zh-CN"/>
        </w:rPr>
        <w:t>1500000.00</w:t>
      </w:r>
      <w:r>
        <w:rPr>
          <w:rFonts w:hint="eastAsia" w:ascii="宋体" w:hAnsi="宋体" w:eastAsia="宋体" w:cs="宋体"/>
          <w:color w:val="auto"/>
          <w:szCs w:val="21"/>
        </w:rPr>
        <w:t>元</w:t>
      </w:r>
    </w:p>
    <w:p w14:paraId="7079281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最高限价：人民币</w:t>
      </w:r>
      <w:r>
        <w:rPr>
          <w:rFonts w:hint="eastAsia" w:ascii="宋体" w:hAnsi="宋体" w:eastAsia="宋体" w:cs="宋体"/>
          <w:color w:val="auto"/>
          <w:szCs w:val="21"/>
          <w:lang w:eastAsia="zh-CN"/>
        </w:rPr>
        <w:t>1500000.00</w:t>
      </w:r>
      <w:r>
        <w:rPr>
          <w:rFonts w:hint="eastAsia" w:ascii="宋体" w:hAnsi="宋体" w:eastAsia="宋体" w:cs="宋体"/>
          <w:color w:val="auto"/>
          <w:szCs w:val="21"/>
        </w:rPr>
        <w:t>元</w:t>
      </w:r>
    </w:p>
    <w:p w14:paraId="246EB91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采购需求：具体内容详见“第三章 项目需求表”内容。</w:t>
      </w:r>
    </w:p>
    <w:p w14:paraId="27C898A0">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 xml:space="preserve">标项名称: </w:t>
      </w:r>
      <w:r>
        <w:rPr>
          <w:rFonts w:hint="eastAsia" w:ascii="宋体" w:hAnsi="宋体" w:eastAsia="宋体" w:cs="宋体"/>
          <w:color w:val="auto"/>
          <w:szCs w:val="21"/>
          <w:lang w:eastAsia="zh-CN"/>
        </w:rPr>
        <w:t>广西兴安灵渠景区创建国家5A级旅游景区驻场运营指导服务项目</w:t>
      </w:r>
    </w:p>
    <w:p w14:paraId="4CFEECA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数量:1项</w:t>
      </w:r>
    </w:p>
    <w:p w14:paraId="25A8E97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简要规格描述或项目基本概况介绍、用途：</w:t>
      </w:r>
      <w:r>
        <w:rPr>
          <w:rFonts w:hint="eastAsia" w:ascii="宋体" w:hAnsi="宋体" w:eastAsia="宋体" w:cs="宋体"/>
          <w:color w:val="auto"/>
          <w:szCs w:val="21"/>
          <w:lang w:eastAsia="zh-CN"/>
        </w:rPr>
        <w:t>派驻2名专业技术人员以“方案+执行”的工作模式，围绕合作目标，建立提升工作机制、理清工作任务，编制技术方案，现场辅导执行，促进景区高质量发展；如需进一步了解详细内容，详见采购文件。</w:t>
      </w:r>
    </w:p>
    <w:p w14:paraId="4D9FA82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合同履约期限：自合同签订生效之日起至本项目质保期满之日止。</w:t>
      </w:r>
    </w:p>
    <w:p w14:paraId="4552C5A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本标项（</w:t>
      </w:r>
      <w:r>
        <w:rPr>
          <w:rFonts w:hint="eastAsia" w:ascii="宋体" w:hAnsi="宋体" w:eastAsia="宋体" w:cs="宋体"/>
          <w:color w:val="auto"/>
          <w:szCs w:val="21"/>
          <w:lang w:val="en-US" w:eastAsia="zh-CN"/>
        </w:rPr>
        <w:t>否</w:t>
      </w:r>
      <w:r>
        <w:rPr>
          <w:rFonts w:hint="eastAsia" w:ascii="宋体" w:hAnsi="宋体" w:eastAsia="宋体" w:cs="宋体"/>
          <w:color w:val="auto"/>
          <w:szCs w:val="21"/>
        </w:rPr>
        <w:t>）接受联合体投标</w:t>
      </w:r>
    </w:p>
    <w:p w14:paraId="57FC2D6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本项目不接受进口产品</w:t>
      </w:r>
    </w:p>
    <w:p w14:paraId="728D29D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备注：/</w:t>
      </w:r>
    </w:p>
    <w:p w14:paraId="4785F966">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二、申请人的资格要求：</w:t>
      </w:r>
      <w:bookmarkEnd w:id="13"/>
      <w:bookmarkEnd w:id="14"/>
      <w:bookmarkEnd w:id="15"/>
      <w:bookmarkEnd w:id="16"/>
    </w:p>
    <w:p w14:paraId="0040DB0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1、符合《中华人民共和国政府采购法》第二十二条规定；</w:t>
      </w:r>
    </w:p>
    <w:p w14:paraId="0EF5F323">
      <w:pPr>
        <w:spacing w:line="360" w:lineRule="auto"/>
        <w:ind w:firstLine="420" w:firstLineChars="200"/>
        <w:rPr>
          <w:rFonts w:hint="eastAsia" w:ascii="宋体" w:hAnsi="宋体" w:eastAsia="宋体" w:cs="宋体"/>
          <w:b/>
          <w:bCs/>
          <w:color w:val="auto"/>
          <w:szCs w:val="21"/>
        </w:rPr>
      </w:pPr>
      <w:bookmarkStart w:id="17" w:name="_Toc28359091"/>
      <w:bookmarkStart w:id="18" w:name="_Toc28359014"/>
      <w:r>
        <w:rPr>
          <w:rFonts w:hint="eastAsia" w:ascii="宋体" w:hAnsi="宋体" w:eastAsia="宋体" w:cs="宋体"/>
          <w:color w:val="auto"/>
          <w:szCs w:val="21"/>
        </w:rPr>
        <w:t>2、落实政府采购政策需满足的资格要求：</w:t>
      </w:r>
      <w:r>
        <w:rPr>
          <w:rFonts w:hint="eastAsia" w:ascii="宋体" w:hAnsi="宋体" w:eastAsia="宋体" w:cs="宋体"/>
          <w:b/>
          <w:bCs/>
          <w:color w:val="auto"/>
          <w:szCs w:val="21"/>
        </w:rPr>
        <w:t>本项目为专门面向</w:t>
      </w:r>
      <w:r>
        <w:rPr>
          <w:rFonts w:hint="eastAsia" w:ascii="宋体" w:hAnsi="宋体" w:cs="宋体"/>
          <w:b/>
          <w:bCs/>
          <w:color w:val="auto"/>
          <w:szCs w:val="21"/>
          <w:lang w:val="en-US" w:eastAsia="zh-CN"/>
        </w:rPr>
        <w:t>中小微</w:t>
      </w:r>
      <w:r>
        <w:rPr>
          <w:rFonts w:hint="eastAsia" w:ascii="宋体" w:hAnsi="宋体" w:eastAsia="宋体" w:cs="宋体"/>
          <w:b/>
          <w:bCs/>
          <w:color w:val="auto"/>
          <w:szCs w:val="21"/>
        </w:rPr>
        <w:t>企业采购的项目,供应商为中型企业/小型企业/微型企业（监狱企业、残疾人福利性单位视同小微企业）</w:t>
      </w:r>
      <w:r>
        <w:rPr>
          <w:rFonts w:hint="eastAsia" w:ascii="宋体" w:hAnsi="宋体" w:eastAsia="宋体" w:cs="宋体"/>
          <w:color w:val="auto"/>
          <w:szCs w:val="21"/>
        </w:rPr>
        <w:t>；</w:t>
      </w:r>
    </w:p>
    <w:p w14:paraId="4EC46E4C">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3、本项目的特定资格要求：</w:t>
      </w:r>
      <w:bookmarkStart w:id="19" w:name="_Toc35393631"/>
      <w:bookmarkStart w:id="20" w:name="_Toc35393800"/>
      <w:r>
        <w:rPr>
          <w:rFonts w:hint="eastAsia" w:ascii="宋体" w:hAnsi="宋体" w:eastAsia="宋体" w:cs="宋体"/>
          <w:b/>
          <w:bCs/>
          <w:color w:val="auto"/>
          <w:szCs w:val="21"/>
        </w:rPr>
        <w:t>无。</w:t>
      </w:r>
    </w:p>
    <w:bookmarkEnd w:id="17"/>
    <w:bookmarkEnd w:id="18"/>
    <w:bookmarkEnd w:id="19"/>
    <w:bookmarkEnd w:id="20"/>
    <w:p w14:paraId="7D9BBB2D">
      <w:pPr>
        <w:spacing w:line="360" w:lineRule="auto"/>
        <w:rPr>
          <w:rFonts w:hint="eastAsia" w:ascii="宋体" w:hAnsi="宋体" w:eastAsia="宋体" w:cs="宋体"/>
          <w:b/>
          <w:bCs/>
          <w:color w:val="auto"/>
        </w:rPr>
      </w:pPr>
      <w:r>
        <w:rPr>
          <w:rFonts w:hint="eastAsia" w:ascii="宋体" w:hAnsi="宋体" w:eastAsia="宋体" w:cs="宋体"/>
          <w:b/>
          <w:bCs/>
          <w:color w:val="auto"/>
        </w:rPr>
        <w:t>三、获取竞争性磋商文件</w:t>
      </w:r>
    </w:p>
    <w:p w14:paraId="69F9EEC5">
      <w:pPr>
        <w:spacing w:line="360" w:lineRule="auto"/>
        <w:ind w:firstLine="420" w:firstLineChars="200"/>
        <w:rPr>
          <w:rFonts w:hint="eastAsia" w:ascii="宋体" w:hAnsi="宋体" w:eastAsia="宋体" w:cs="宋体"/>
          <w:color w:val="auto"/>
          <w:szCs w:val="21"/>
        </w:rPr>
      </w:pPr>
      <w:bookmarkStart w:id="21" w:name="_Toc28359082"/>
      <w:bookmarkStart w:id="22" w:name="_Toc28359005"/>
      <w:bookmarkStart w:id="23" w:name="_Toc35393793"/>
      <w:bookmarkStart w:id="24" w:name="_Toc35393624"/>
      <w:r>
        <w:rPr>
          <w:rFonts w:hint="eastAsia" w:ascii="宋体" w:hAnsi="宋体" w:eastAsia="宋体" w:cs="宋体"/>
          <w:color w:val="auto"/>
          <w:szCs w:val="21"/>
        </w:rPr>
        <w:t>1.竞争性磋商文件获取时间</w:t>
      </w:r>
      <w:r>
        <w:rPr>
          <w:rFonts w:hint="eastAsia" w:ascii="宋体" w:hAnsi="宋体" w:eastAsia="宋体" w:cs="宋体"/>
          <w:color w:val="auto"/>
          <w:szCs w:val="21"/>
          <w:lang w:val="en-US" w:eastAsia="zh-CN"/>
        </w:rPr>
        <w:t>竞争性磋商公告发布之日起</w:t>
      </w:r>
      <w:r>
        <w:rPr>
          <w:rFonts w:hint="eastAsia" w:ascii="宋体" w:hAnsi="宋体" w:eastAsia="宋体" w:cs="宋体"/>
          <w:color w:val="auto"/>
          <w:szCs w:val="21"/>
        </w:rPr>
        <w:t>至2025年</w:t>
      </w:r>
      <w:r>
        <w:rPr>
          <w:rFonts w:hint="eastAsia" w:ascii="宋体" w:hAnsi="宋体" w:eastAsia="宋体" w:cs="宋体"/>
          <w:color w:val="auto"/>
          <w:szCs w:val="21"/>
          <w:lang w:val="en-US" w:eastAsia="zh-CN"/>
        </w:rPr>
        <w:t>6月3日09时30</w:t>
      </w:r>
      <w:r>
        <w:rPr>
          <w:rFonts w:hint="eastAsia" w:ascii="宋体" w:hAnsi="宋体" w:eastAsia="宋体" w:cs="宋体"/>
          <w:color w:val="auto"/>
          <w:szCs w:val="21"/>
        </w:rPr>
        <w:t>分。</w:t>
      </w:r>
    </w:p>
    <w:p w14:paraId="3C5D16C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地点及方式：潜在供应商请登录广西政府采购云平台https://www.gcy.zfcg.gxzf.gov.cn/在线申请获取竞争性磋商文件电子版（进入“项目采购”应用，在获取采购文件菜单中选择项目，申请获取竞争性磋商文件电子版）。</w:t>
      </w:r>
    </w:p>
    <w:p w14:paraId="0538F606">
      <w:pPr>
        <w:widowControl/>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3.竞争性磋商文件售价：0元。</w:t>
      </w:r>
    </w:p>
    <w:p w14:paraId="577B912E">
      <w:pPr>
        <w:widowControl/>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b/>
          <w:bCs/>
          <w:color w:val="auto"/>
          <w:szCs w:val="21"/>
        </w:rPr>
        <w:t>备注：为配合采购人进行政府采购项目执行和备案，未在广西政府采购云平台注册的供应商可在获取竞争性磋商文件后登录广西政府采购云平台进行注册，中标/成交供应商须在合同签订前完成广西政府采购云平台备案成为正式供应商；如在操作过程中遇到问题或者需要技术支持，请致电广西政府采购云平台客服热线：95763。</w:t>
      </w:r>
    </w:p>
    <w:p w14:paraId="2E5B1F4B">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四、响应文件</w:t>
      </w:r>
      <w:bookmarkEnd w:id="21"/>
      <w:bookmarkEnd w:id="22"/>
      <w:r>
        <w:rPr>
          <w:rFonts w:hint="eastAsia" w:ascii="宋体" w:hAnsi="宋体" w:eastAsia="宋体" w:cs="宋体"/>
          <w:b/>
          <w:bCs/>
          <w:color w:val="auto"/>
          <w:szCs w:val="21"/>
        </w:rPr>
        <w:t>提交时间和地点</w:t>
      </w:r>
      <w:bookmarkEnd w:id="23"/>
      <w:bookmarkEnd w:id="24"/>
    </w:p>
    <w:p w14:paraId="0620778F">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宋体" w:hAnsi="宋体" w:eastAsia="宋体" w:cs="宋体"/>
          <w:color w:val="auto"/>
          <w:szCs w:val="21"/>
        </w:rPr>
        <w:t>2025年</w:t>
      </w:r>
      <w:r>
        <w:rPr>
          <w:rFonts w:hint="eastAsia" w:ascii="宋体" w:hAnsi="宋体" w:eastAsia="宋体" w:cs="宋体"/>
          <w:color w:val="auto"/>
          <w:szCs w:val="21"/>
          <w:lang w:val="en-US" w:eastAsia="zh-CN"/>
        </w:rPr>
        <w:t>6月3日09时30</w:t>
      </w:r>
      <w:r>
        <w:rPr>
          <w:rFonts w:hint="eastAsia" w:ascii="宋体" w:hAnsi="宋体" w:eastAsia="宋体" w:cs="宋体"/>
          <w:color w:val="auto"/>
          <w:szCs w:val="21"/>
        </w:rPr>
        <w:t>分</w:t>
      </w:r>
      <w:r>
        <w:rPr>
          <w:rFonts w:hint="eastAsia" w:ascii="宋体" w:hAnsi="宋体" w:eastAsia="宋体" w:cs="宋体"/>
          <w:bCs/>
          <w:color w:val="auto"/>
          <w:szCs w:val="21"/>
        </w:rPr>
        <w:t>（北京时间）。</w:t>
      </w:r>
    </w:p>
    <w:p w14:paraId="0E6B05F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点：通过广西政府采购云平台实行在线响应。</w:t>
      </w:r>
    </w:p>
    <w:p w14:paraId="13BAF55F">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035FC09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时间：2025年</w:t>
      </w:r>
      <w:r>
        <w:rPr>
          <w:rFonts w:hint="eastAsia" w:ascii="宋体" w:hAnsi="宋体" w:eastAsia="宋体" w:cs="宋体"/>
          <w:color w:val="auto"/>
          <w:szCs w:val="21"/>
          <w:lang w:val="en-US" w:eastAsia="zh-CN"/>
        </w:rPr>
        <w:t>6月3日09时30</w:t>
      </w:r>
      <w:r>
        <w:rPr>
          <w:rFonts w:hint="eastAsia" w:ascii="宋体" w:hAnsi="宋体" w:eastAsia="宋体" w:cs="宋体"/>
          <w:color w:val="auto"/>
          <w:szCs w:val="21"/>
        </w:rPr>
        <w:t>分（北京时间）截标后。</w:t>
      </w:r>
    </w:p>
    <w:p w14:paraId="022700E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地点：通过广西政府采购云平台实行在线解密开启。</w:t>
      </w:r>
    </w:p>
    <w:p w14:paraId="55C83DCA">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六、公告期限：自本公告发布之日起5个工作日。</w:t>
      </w:r>
    </w:p>
    <w:p w14:paraId="081D7E25">
      <w:pPr>
        <w:spacing w:line="360" w:lineRule="auto"/>
        <w:rPr>
          <w:rFonts w:hint="eastAsia" w:ascii="宋体" w:hAnsi="宋体" w:eastAsia="宋体" w:cs="宋体"/>
          <w:b/>
          <w:bCs/>
          <w:color w:val="auto"/>
        </w:rPr>
      </w:pPr>
      <w:r>
        <w:rPr>
          <w:rFonts w:hint="eastAsia" w:ascii="宋体" w:hAnsi="宋体" w:eastAsia="宋体" w:cs="宋体"/>
          <w:b/>
          <w:bCs/>
          <w:color w:val="auto"/>
        </w:rPr>
        <w:t>七、其他补充事宜</w:t>
      </w:r>
    </w:p>
    <w:p w14:paraId="75A7772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2.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3.磋商保证金：无</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4.网上查询地址</w:t>
      </w:r>
      <w:r>
        <w:rPr>
          <w:rFonts w:hint="eastAsia" w:ascii="宋体" w:hAnsi="宋体" w:eastAsia="宋体" w:cs="宋体"/>
          <w:color w:val="auto"/>
          <w:szCs w:val="21"/>
          <w:lang w:eastAsia="zh-CN"/>
        </w:rPr>
        <w:t>：</w:t>
      </w:r>
      <w:r>
        <w:rPr>
          <w:rFonts w:hint="eastAsia" w:ascii="宋体" w:hAnsi="宋体" w:eastAsia="宋体" w:cs="宋体"/>
          <w:color w:val="auto"/>
          <w:szCs w:val="21"/>
        </w:rPr>
        <w:t>www.ccgp.gov.cn（中国政府采购网）、www.ccgp-guangxi.gov.cn（广西壮族自治区政府采购网）、zfcg.czj.guilin.gov.cn（桂林市政府采购网）。</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5. 本项目需要落实的政府采购政策</w:t>
      </w:r>
      <w:r>
        <w:rPr>
          <w:rFonts w:hint="eastAsia" w:ascii="宋体" w:hAnsi="宋体" w:eastAsia="宋体" w:cs="宋体"/>
          <w:color w:val="auto"/>
          <w:szCs w:val="21"/>
        </w:rPr>
        <w:br w:type="textWrapping"/>
      </w:r>
      <w:r>
        <w:rPr>
          <w:rFonts w:hint="eastAsia" w:ascii="宋体" w:hAnsi="宋体" w:eastAsia="宋体" w:cs="宋体"/>
          <w:color w:val="auto"/>
          <w:szCs w:val="21"/>
        </w:rPr>
        <w:t>（1）《政府采购促进中小企业发展管理办法》（财库[2020]46号）。</w:t>
      </w:r>
      <w:r>
        <w:rPr>
          <w:rFonts w:hint="eastAsia" w:ascii="宋体" w:hAnsi="宋体" w:eastAsia="宋体" w:cs="宋体"/>
          <w:color w:val="auto"/>
          <w:szCs w:val="21"/>
        </w:rPr>
        <w:br w:type="textWrapping"/>
      </w:r>
      <w:r>
        <w:rPr>
          <w:rFonts w:hint="eastAsia" w:ascii="宋体" w:hAnsi="宋体" w:eastAsia="宋体" w:cs="宋体"/>
          <w:color w:val="auto"/>
          <w:szCs w:val="21"/>
        </w:rPr>
        <w:t>（2）《关于政府采购支持监狱企业发展有关问题的通知》（财库[2014]68号）。</w:t>
      </w:r>
      <w:r>
        <w:rPr>
          <w:rFonts w:hint="eastAsia" w:ascii="宋体" w:hAnsi="宋体" w:eastAsia="宋体" w:cs="宋体"/>
          <w:color w:val="auto"/>
          <w:szCs w:val="21"/>
        </w:rPr>
        <w:br w:type="textWrapping"/>
      </w:r>
      <w:r>
        <w:rPr>
          <w:rFonts w:hint="eastAsia" w:ascii="宋体" w:hAnsi="宋体" w:eastAsia="宋体" w:cs="宋体"/>
          <w:color w:val="auto"/>
          <w:szCs w:val="21"/>
        </w:rPr>
        <w:t>（3）《关于促进残疾人就业政府采购政策的通知》（财库[2017]141号）。</w:t>
      </w:r>
      <w:r>
        <w:rPr>
          <w:rFonts w:hint="eastAsia" w:ascii="宋体" w:hAnsi="宋体" w:eastAsia="宋体" w:cs="宋体"/>
          <w:color w:val="auto"/>
          <w:szCs w:val="21"/>
        </w:rPr>
        <w:br w:type="textWrapping"/>
      </w:r>
      <w:r>
        <w:rPr>
          <w:rFonts w:hint="eastAsia" w:ascii="宋体" w:hAnsi="宋体" w:eastAsia="宋体" w:cs="宋体"/>
          <w:color w:val="auto"/>
          <w:szCs w:val="21"/>
        </w:rPr>
        <w:t>（4）《关于我区政府采购支持监狱企业发展有关问题的通知》（桂财采[2015]24号）。</w:t>
      </w:r>
      <w:r>
        <w:rPr>
          <w:rFonts w:hint="eastAsia" w:ascii="宋体" w:hAnsi="宋体" w:eastAsia="宋体" w:cs="宋体"/>
          <w:color w:val="auto"/>
          <w:szCs w:val="21"/>
        </w:rPr>
        <w:br w:type="textWrapping"/>
      </w:r>
      <w:r>
        <w:rPr>
          <w:rFonts w:hint="eastAsia" w:ascii="宋体" w:hAnsi="宋体" w:eastAsia="宋体" w:cs="宋体"/>
          <w:color w:val="auto"/>
          <w:szCs w:val="21"/>
        </w:rPr>
        <w:t>（5）本项目为专门面向中小企业采购的项目。</w:t>
      </w:r>
      <w:r>
        <w:rPr>
          <w:rFonts w:hint="eastAsia" w:ascii="宋体" w:hAnsi="宋体" w:eastAsia="宋体" w:cs="宋体"/>
          <w:color w:val="auto"/>
          <w:szCs w:val="21"/>
        </w:rPr>
        <w:br w:type="textWrapping"/>
      </w:r>
      <w:r>
        <w:rPr>
          <w:rFonts w:hint="eastAsia" w:ascii="宋体" w:hAnsi="宋体" w:eastAsia="宋体" w:cs="宋体"/>
          <w:color w:val="auto"/>
          <w:szCs w:val="21"/>
        </w:rPr>
        <w:t>（6）本项目中小</w:t>
      </w:r>
      <w:r>
        <w:rPr>
          <w:rFonts w:hint="eastAsia" w:ascii="宋体" w:hAnsi="宋体" w:eastAsia="宋体" w:cs="宋体"/>
          <w:color w:val="auto"/>
          <w:szCs w:val="21"/>
          <w:lang w:val="en-US" w:eastAsia="zh-CN"/>
        </w:rPr>
        <w:t>微</w:t>
      </w:r>
      <w:r>
        <w:rPr>
          <w:rFonts w:hint="eastAsia" w:ascii="宋体" w:hAnsi="宋体" w:eastAsia="宋体" w:cs="宋体"/>
          <w:color w:val="auto"/>
          <w:szCs w:val="21"/>
        </w:rPr>
        <w:t>企业划分标准所属行业：其他未列明行业。</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6.响应文件解密时间：提交响应文件截止时间，广西政府采购云平台自动提取所有供应商响应文件，各供应商须在提交响应文件截止后30分钟内，登录广西政府采购云平台，通过“项目采购-开标评标”功能解密电子响应文件。若供应商在规定时间内无法解密或解密失败或超时解密的，系统默认自动放弃，响应文件按无效响应处理。</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7.“广西政府采购云平台”电子投标相关事宜说明：</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7.1 本项目实行全流程电子化采购，供应商通过“广西政府采购云平台”参与电子投标，并应做好以下相关准备工作：①在“广西政府采购云平台”注册成为正式供应商（操作方法详见广西政府采购网—办事服务—办事指南）；②完成CA认证证书申领和绑定（费用由供应商自行承担，办理流程详见广西政府采购网—办事服务—办事指南，完成CA认证证书办理预计一周左右，建议供应商尽快办理）；③下载“广西政府采购云平台新版客户端”（新版客户端下载路径：广西政府采购网（访问地址http://zfcg.gxzf.gov.cn/）—办事服务—下载专区）并安装成功，供应商应当在响应文件提交截止时间前在“广西政府采购云平台”完成身份认证，确保能够对相关数据电子文件进行加密和使用电子签章；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7.2电子投标具体操作流程参考《政府采购项目电子交易管理操作指南-供应商》，如遇平台技术问题详询95763。</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7.3电子响应文件的制作、加密、提交等相关事宜详见第二章“投标人须知”。  </w:t>
      </w:r>
    </w:p>
    <w:p w14:paraId="5749CF1D">
      <w:pPr>
        <w:spacing w:line="360" w:lineRule="auto"/>
        <w:rPr>
          <w:rFonts w:hint="eastAsia" w:ascii="宋体" w:hAnsi="宋体" w:eastAsia="宋体" w:cs="宋体"/>
          <w:b/>
          <w:bCs/>
          <w:color w:val="auto"/>
        </w:rPr>
      </w:pPr>
      <w:r>
        <w:rPr>
          <w:rFonts w:hint="eastAsia" w:ascii="宋体" w:hAnsi="宋体" w:eastAsia="宋体" w:cs="宋体"/>
          <w:b/>
          <w:bCs/>
          <w:color w:val="auto"/>
        </w:rPr>
        <w:t>八、对本次招标提出询问，请按以下方式联系</w:t>
      </w:r>
    </w:p>
    <w:p w14:paraId="69D59A68">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1.采购人信息</w:t>
      </w:r>
    </w:p>
    <w:p w14:paraId="4892B134">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lang w:eastAsia="zh-CN"/>
        </w:rPr>
        <w:t>兴安县文化广电体育和旅游局</w:t>
      </w:r>
      <w:r>
        <w:rPr>
          <w:rFonts w:hint="eastAsia" w:ascii="宋体" w:hAnsi="宋体" w:eastAsia="宋体" w:cs="宋体"/>
          <w:color w:val="auto"/>
        </w:rPr>
        <w:t>　　</w:t>
      </w:r>
    </w:p>
    <w:p w14:paraId="326AFC81">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bCs/>
          <w:color w:val="auto"/>
          <w:lang w:eastAsia="zh-CN"/>
        </w:rPr>
        <w:t>兴安县志玲路280号</w:t>
      </w:r>
      <w:r>
        <w:rPr>
          <w:rFonts w:hint="eastAsia" w:ascii="宋体" w:hAnsi="宋体" w:eastAsia="宋体" w:cs="宋体"/>
          <w:color w:val="auto"/>
        </w:rPr>
        <w:t>　</w:t>
      </w:r>
    </w:p>
    <w:p w14:paraId="1E0D5843">
      <w:pPr>
        <w:spacing w:line="360" w:lineRule="auto"/>
        <w:ind w:firstLine="525" w:firstLineChars="250"/>
        <w:rPr>
          <w:rFonts w:hint="eastAsia" w:ascii="宋体" w:hAnsi="宋体" w:eastAsia="宋体" w:cs="宋体"/>
          <w:color w:val="auto"/>
          <w:lang w:eastAsia="zh-CN"/>
        </w:rPr>
      </w:pPr>
      <w:r>
        <w:rPr>
          <w:rFonts w:hint="eastAsia" w:ascii="宋体" w:hAnsi="宋体" w:eastAsia="宋体" w:cs="宋体"/>
          <w:color w:val="auto"/>
        </w:rPr>
        <w:t>项目联系人：</w:t>
      </w:r>
      <w:r>
        <w:rPr>
          <w:rFonts w:hint="eastAsia" w:ascii="宋体" w:hAnsi="宋体" w:eastAsia="宋体" w:cs="宋体"/>
          <w:bCs/>
          <w:color w:val="auto"/>
          <w:lang w:val="en-US" w:eastAsia="zh-CN"/>
        </w:rPr>
        <w:t>孙主任</w:t>
      </w:r>
    </w:p>
    <w:p w14:paraId="2E6B8354">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联系方式：</w:t>
      </w:r>
      <w:r>
        <w:rPr>
          <w:rFonts w:hint="eastAsia" w:ascii="宋体" w:hAnsi="宋体" w:eastAsia="宋体" w:cs="宋体"/>
          <w:bCs/>
          <w:color w:val="auto"/>
        </w:rPr>
        <w:t xml:space="preserve"> 0773-6062258</w:t>
      </w:r>
      <w:r>
        <w:rPr>
          <w:rFonts w:hint="eastAsia" w:ascii="宋体" w:hAnsi="宋体" w:eastAsia="宋体" w:cs="宋体"/>
          <w:color w:val="auto"/>
        </w:rPr>
        <w:t>　　　</w:t>
      </w:r>
    </w:p>
    <w:p w14:paraId="2387B5A7">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2.采购代理机构信息</w:t>
      </w:r>
    </w:p>
    <w:p w14:paraId="634758A4">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 xml:space="preserve">名    称：广西佳益工程项目管理咨询有限公司　　　　　　　　　 </w:t>
      </w:r>
    </w:p>
    <w:p w14:paraId="4CE343D3">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地　  址：桂林市七星区信息产业园D-12地块软件大厦六楼东侧603号办公室　　　　　　　　　</w:t>
      </w:r>
    </w:p>
    <w:p w14:paraId="2F4B8A75">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联系方式：</w:t>
      </w:r>
      <w:r>
        <w:rPr>
          <w:rFonts w:hint="eastAsia" w:ascii="宋体" w:hAnsi="宋体" w:eastAsia="宋体" w:cs="宋体"/>
          <w:color w:val="auto"/>
          <w:lang w:val="en-US" w:eastAsia="zh-CN"/>
        </w:rPr>
        <w:t>陈静怡</w:t>
      </w:r>
      <w:r>
        <w:rPr>
          <w:rFonts w:hint="eastAsia" w:ascii="宋体" w:hAnsi="宋体" w:eastAsia="宋体" w:cs="宋体"/>
          <w:color w:val="auto"/>
        </w:rPr>
        <w:t>，电话：0773-2605610          　</w:t>
      </w:r>
    </w:p>
    <w:p w14:paraId="2E73D308">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3.项目联系方式</w:t>
      </w:r>
    </w:p>
    <w:p w14:paraId="4DB8B928">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eastAsia="宋体" w:cs="宋体"/>
          <w:color w:val="auto"/>
          <w:lang w:val="en-US" w:eastAsia="zh-CN"/>
        </w:rPr>
        <w:t>陈静怡</w:t>
      </w:r>
      <w:r>
        <w:rPr>
          <w:rFonts w:hint="eastAsia" w:ascii="宋体" w:hAnsi="宋体" w:eastAsia="宋体" w:cs="宋体"/>
          <w:color w:val="auto"/>
        </w:rPr>
        <w:t xml:space="preserve">                                   </w:t>
      </w:r>
    </w:p>
    <w:p w14:paraId="7F5E6345">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电　话：0773-2605610</w:t>
      </w:r>
    </w:p>
    <w:p w14:paraId="28BDAB02">
      <w:pPr>
        <w:spacing w:line="360" w:lineRule="auto"/>
        <w:ind w:firstLine="525" w:firstLineChars="250"/>
        <w:rPr>
          <w:rFonts w:hint="eastAsia" w:ascii="宋体" w:hAnsi="宋体" w:eastAsia="宋体" w:cs="宋体"/>
          <w:color w:val="auto"/>
        </w:rPr>
      </w:pPr>
    </w:p>
    <w:p w14:paraId="328B68D5">
      <w:pPr>
        <w:spacing w:line="360" w:lineRule="auto"/>
        <w:ind w:firstLine="525" w:firstLineChars="250"/>
        <w:rPr>
          <w:rFonts w:hint="eastAsia" w:ascii="宋体" w:hAnsi="宋体" w:eastAsia="宋体" w:cs="宋体"/>
          <w:color w:val="auto"/>
        </w:rPr>
      </w:pPr>
    </w:p>
    <w:p w14:paraId="019C3408">
      <w:pPr>
        <w:pStyle w:val="7"/>
        <w:spacing w:line="360" w:lineRule="auto"/>
        <w:jc w:val="right"/>
        <w:rPr>
          <w:rFonts w:hint="eastAsia" w:ascii="宋体" w:hAnsi="宋体" w:eastAsia="宋体" w:cs="宋体"/>
          <w:color w:val="auto"/>
        </w:rPr>
      </w:pPr>
      <w:r>
        <w:rPr>
          <w:rFonts w:hint="eastAsia" w:ascii="宋体" w:hAnsi="宋体" w:eastAsia="宋体" w:cs="宋体"/>
          <w:color w:val="auto"/>
        </w:rPr>
        <w:t>广西佳益工程项目管理咨询有限公司　　</w:t>
      </w:r>
    </w:p>
    <w:p w14:paraId="472F7EFF">
      <w:pPr>
        <w:pStyle w:val="7"/>
        <w:spacing w:line="360" w:lineRule="auto"/>
        <w:jc w:val="right"/>
        <w:rPr>
          <w:rFonts w:hint="eastAsia" w:ascii="宋体" w:hAnsi="宋体" w:eastAsia="宋体" w:cs="宋体"/>
          <w:color w:val="auto"/>
          <w:lang w:val="en-US" w:eastAsia="zh-CN"/>
        </w:rPr>
      </w:pPr>
      <w:r>
        <w:rPr>
          <w:rFonts w:hint="eastAsia" w:ascii="宋体" w:hAnsi="宋体" w:eastAsia="宋体" w:cs="宋体"/>
          <w:color w:val="auto"/>
          <w:lang w:val="en-US" w:eastAsia="zh-CN"/>
        </w:rPr>
        <w:t>2025年5月20日</w:t>
      </w:r>
    </w:p>
    <w:p w14:paraId="585E8CDC">
      <w:pPr>
        <w:pStyle w:val="2"/>
        <w:pageBreakBefore/>
        <w:spacing w:line="400" w:lineRule="exact"/>
        <w:jc w:val="center"/>
        <w:rPr>
          <w:rFonts w:hint="eastAsia" w:ascii="宋体" w:hAnsi="宋体" w:eastAsia="宋体" w:cs="宋体"/>
          <w:color w:val="auto"/>
          <w:sz w:val="32"/>
          <w:szCs w:val="32"/>
        </w:rPr>
      </w:pPr>
      <w:bookmarkStart w:id="25" w:name="_Toc8011"/>
      <w:bookmarkStart w:id="26" w:name="_Toc16898"/>
      <w:bookmarkStart w:id="27" w:name="_Toc26924"/>
      <w:r>
        <w:rPr>
          <w:rFonts w:hint="eastAsia" w:ascii="宋体" w:hAnsi="宋体" w:eastAsia="宋体" w:cs="宋体"/>
          <w:color w:val="auto"/>
          <w:sz w:val="32"/>
          <w:szCs w:val="32"/>
        </w:rPr>
        <w:t>第二章 供应商须知</w:t>
      </w:r>
      <w:bookmarkEnd w:id="25"/>
      <w:bookmarkEnd w:id="26"/>
      <w:bookmarkEnd w:id="27"/>
    </w:p>
    <w:p w14:paraId="47D66E89">
      <w:pPr>
        <w:keepNext/>
        <w:keepLines/>
        <w:tabs>
          <w:tab w:val="left" w:pos="567"/>
        </w:tabs>
        <w:spacing w:line="400" w:lineRule="exact"/>
        <w:jc w:val="center"/>
        <w:rPr>
          <w:rFonts w:hint="eastAsia" w:ascii="宋体" w:hAnsi="宋体" w:eastAsia="宋体" w:cs="宋体"/>
          <w:b/>
          <w:color w:val="auto"/>
          <w:sz w:val="24"/>
        </w:rPr>
      </w:pPr>
      <w:bookmarkStart w:id="28" w:name="_Toc10555"/>
      <w:bookmarkStart w:id="29" w:name="_Toc25063"/>
      <w:bookmarkStart w:id="30" w:name="_Toc13547"/>
      <w:bookmarkStart w:id="31" w:name="_Toc9508"/>
      <w:bookmarkStart w:id="32" w:name="_Toc1585"/>
      <w:r>
        <w:rPr>
          <w:rFonts w:hint="eastAsia" w:ascii="宋体" w:hAnsi="宋体" w:eastAsia="宋体" w:cs="宋体"/>
          <w:b/>
          <w:color w:val="auto"/>
          <w:sz w:val="24"/>
        </w:rPr>
        <w:t>供 应 商 须 知 前 附 表</w:t>
      </w:r>
      <w:bookmarkEnd w:id="28"/>
      <w:bookmarkEnd w:id="29"/>
      <w:bookmarkEnd w:id="30"/>
      <w:bookmarkEnd w:id="31"/>
      <w:bookmarkEnd w:id="3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65C4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1D6BC6E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942" w:type="dxa"/>
            <w:vAlign w:val="center"/>
          </w:tcPr>
          <w:p w14:paraId="297782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775" w:type="dxa"/>
            <w:vAlign w:val="center"/>
          </w:tcPr>
          <w:p w14:paraId="4ABFDFA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912" w:type="dxa"/>
            <w:vAlign w:val="center"/>
          </w:tcPr>
          <w:p w14:paraId="320F291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6ABD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213976F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42" w:type="dxa"/>
            <w:vAlign w:val="center"/>
          </w:tcPr>
          <w:p w14:paraId="21D294A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775" w:type="dxa"/>
            <w:vAlign w:val="center"/>
          </w:tcPr>
          <w:p w14:paraId="78E924B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912" w:type="dxa"/>
            <w:vAlign w:val="center"/>
          </w:tcPr>
          <w:p w14:paraId="79240979">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广西兴安灵渠景区创建国家5A级旅游景区驻场运营指导服务项目</w:t>
            </w:r>
            <w:r>
              <w:rPr>
                <w:rFonts w:hint="eastAsia" w:ascii="宋体" w:hAnsi="宋体" w:eastAsia="宋体" w:cs="宋体"/>
                <w:color w:val="auto"/>
                <w:szCs w:val="21"/>
              </w:rPr>
              <w:t xml:space="preserve">  </w:t>
            </w:r>
          </w:p>
          <w:p w14:paraId="171DDF90">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eastAsia="宋体" w:cs="宋体"/>
                <w:color w:val="auto"/>
                <w:szCs w:val="21"/>
                <w:lang w:val="en-US" w:eastAsia="zh-CN"/>
              </w:rPr>
              <w:t>GLZC2025-C3-250028-GXJY</w:t>
            </w:r>
          </w:p>
        </w:tc>
      </w:tr>
      <w:tr w14:paraId="178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7C49EB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42" w:type="dxa"/>
            <w:vAlign w:val="center"/>
          </w:tcPr>
          <w:p w14:paraId="4D3827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775" w:type="dxa"/>
            <w:vAlign w:val="center"/>
          </w:tcPr>
          <w:p w14:paraId="0BEEE49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912" w:type="dxa"/>
            <w:vAlign w:val="center"/>
          </w:tcPr>
          <w:p w14:paraId="34C36C4F">
            <w:pPr>
              <w:spacing w:line="440" w:lineRule="exact"/>
              <w:rPr>
                <w:rFonts w:hint="eastAsia" w:ascii="宋体" w:hAnsi="宋体" w:eastAsia="宋体" w:cs="宋体"/>
                <w:color w:val="auto"/>
              </w:rPr>
            </w:pPr>
            <w:r>
              <w:rPr>
                <w:rFonts w:hint="eastAsia" w:ascii="宋体" w:hAnsi="宋体" w:eastAsia="宋体" w:cs="宋体"/>
                <w:color w:val="auto"/>
              </w:rPr>
              <w:t>3.1符合《中华人民共和国政府采购法》第二十二条规定；</w:t>
            </w:r>
          </w:p>
          <w:p w14:paraId="4BBD1BBF">
            <w:pPr>
              <w:spacing w:line="420" w:lineRule="exact"/>
              <w:rPr>
                <w:rFonts w:hint="eastAsia" w:ascii="宋体" w:hAnsi="宋体" w:eastAsia="宋体" w:cs="宋体"/>
                <w:color w:val="auto"/>
              </w:rPr>
            </w:pPr>
            <w:r>
              <w:rPr>
                <w:rFonts w:hint="eastAsia" w:ascii="宋体" w:hAnsi="宋体" w:eastAsia="宋体" w:cs="宋体"/>
                <w:color w:val="auto"/>
              </w:rPr>
              <w:t>3.2落实政府采购政策需满足的资格要求：本项目为专门面向中小</w:t>
            </w:r>
            <w:r>
              <w:rPr>
                <w:rFonts w:hint="eastAsia" w:ascii="宋体" w:hAnsi="宋体" w:eastAsia="宋体" w:cs="宋体"/>
                <w:color w:val="auto"/>
                <w:lang w:val="en-US" w:eastAsia="zh-CN"/>
              </w:rPr>
              <w:t>微</w:t>
            </w:r>
            <w:r>
              <w:rPr>
                <w:rFonts w:hint="eastAsia" w:ascii="宋体" w:hAnsi="宋体" w:eastAsia="宋体" w:cs="宋体"/>
                <w:color w:val="auto"/>
              </w:rPr>
              <w:t>企业采购的项目,供应商为中型企业/小型企业/微型企业（监狱企业、残疾人福利性单位视同小微企业）；</w:t>
            </w:r>
          </w:p>
          <w:p w14:paraId="46157522">
            <w:pPr>
              <w:spacing w:line="420" w:lineRule="exact"/>
              <w:rPr>
                <w:rFonts w:hint="eastAsia" w:ascii="宋体" w:hAnsi="宋体" w:eastAsia="宋体" w:cs="宋体"/>
                <w:color w:val="auto"/>
              </w:rPr>
            </w:pPr>
            <w:r>
              <w:rPr>
                <w:rFonts w:hint="eastAsia" w:ascii="宋体" w:hAnsi="宋体" w:eastAsia="宋体" w:cs="宋体"/>
                <w:color w:val="auto"/>
              </w:rPr>
              <w:t>3.3本项目的特定资格要求：无</w:t>
            </w:r>
            <w:r>
              <w:rPr>
                <w:rFonts w:hint="eastAsia" w:ascii="宋体" w:hAnsi="宋体" w:eastAsia="宋体" w:cs="宋体"/>
                <w:b/>
                <w:bCs/>
                <w:color w:val="auto"/>
                <w:szCs w:val="21"/>
              </w:rPr>
              <w:t>。</w:t>
            </w:r>
          </w:p>
        </w:tc>
      </w:tr>
      <w:tr w14:paraId="38A2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51DF4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942" w:type="dxa"/>
            <w:vAlign w:val="center"/>
          </w:tcPr>
          <w:p w14:paraId="39E119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775" w:type="dxa"/>
            <w:vAlign w:val="center"/>
          </w:tcPr>
          <w:p w14:paraId="61BBFED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912" w:type="dxa"/>
            <w:vAlign w:val="center"/>
          </w:tcPr>
          <w:p w14:paraId="78E11CFF">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228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62" w:type="dxa"/>
            <w:vAlign w:val="center"/>
          </w:tcPr>
          <w:p w14:paraId="3EDF595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942" w:type="dxa"/>
            <w:vAlign w:val="center"/>
          </w:tcPr>
          <w:p w14:paraId="5B108C71">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775" w:type="dxa"/>
            <w:vAlign w:val="center"/>
          </w:tcPr>
          <w:p w14:paraId="649E0832">
            <w:pPr>
              <w:spacing w:line="36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912" w:type="dxa"/>
            <w:vAlign w:val="center"/>
          </w:tcPr>
          <w:p w14:paraId="4EE1CCE5">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13.1供应商必须就“采购需求”中的所有内容作完整唯一报价，响应文件只允许有一个报价方案，有选择的或有条件的报价将不予接受。</w:t>
            </w:r>
          </w:p>
          <w:p w14:paraId="3B6F5064">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13.2采购预算金额（人民币）：</w:t>
            </w:r>
            <w:r>
              <w:rPr>
                <w:rFonts w:hint="eastAsia" w:ascii="宋体" w:hAnsi="宋体" w:eastAsia="宋体" w:cs="宋体"/>
                <w:color w:val="auto"/>
                <w:szCs w:val="21"/>
                <w:lang w:eastAsia="zh-CN"/>
              </w:rPr>
              <w:t>1500000.00</w:t>
            </w:r>
            <w:r>
              <w:rPr>
                <w:rFonts w:hint="eastAsia" w:ascii="宋体" w:hAnsi="宋体" w:eastAsia="宋体" w:cs="宋体"/>
                <w:color w:val="auto"/>
                <w:szCs w:val="21"/>
                <w:lang w:val="en-US" w:eastAsia="zh-CN"/>
              </w:rPr>
              <w:t>元，</w:t>
            </w:r>
            <w:r>
              <w:rPr>
                <w:rFonts w:hint="eastAsia" w:ascii="宋体" w:hAnsi="宋体" w:eastAsia="宋体" w:cs="宋体"/>
                <w:color w:val="auto"/>
                <w:szCs w:val="21"/>
              </w:rPr>
              <w:t>最高限价</w:t>
            </w:r>
            <w:r>
              <w:rPr>
                <w:rFonts w:hint="eastAsia" w:ascii="宋体" w:hAnsi="宋体" w:eastAsia="宋体" w:cs="宋体"/>
                <w:color w:val="auto"/>
                <w:szCs w:val="21"/>
                <w:lang w:eastAsia="zh-CN"/>
              </w:rPr>
              <w:t>（人民币）：1500000.00</w:t>
            </w:r>
            <w:r>
              <w:rPr>
                <w:rFonts w:hint="eastAsia" w:ascii="宋体" w:hAnsi="宋体" w:eastAsia="宋体" w:cs="宋体"/>
                <w:color w:val="auto"/>
                <w:szCs w:val="21"/>
              </w:rPr>
              <w:t>元。报价超采购预算金额或最高限价金额的，响应文件作无效处理。</w:t>
            </w:r>
          </w:p>
          <w:p w14:paraId="3B1D0F56">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13.3供应商磋商报价应综合考虑完成本项目产生的所有成本、税金及合理利润，具体包含但不限于完成项目需求表包含的所有设备、服务、相关技术支持、售后服务（含质保期外产生的维保费用除外）、差旅、劳务、材料、培训、验收、交通、保险、各项税金及由于市场价格波动增加的费用，以及不可预见费等全部费用。</w:t>
            </w:r>
          </w:p>
          <w:p w14:paraId="5B85187D">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13.4未书面退出磋商的供应商必须在规定时间内登录广西政府采购云平台在线提交最后报价，其最后报价不得超出采购预算；磋商过程中磋商文件未作实质性变动的，最后报价不得超过首次报价。 </w:t>
            </w:r>
          </w:p>
        </w:tc>
      </w:tr>
      <w:tr w14:paraId="11AA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85464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942" w:type="dxa"/>
            <w:vAlign w:val="center"/>
          </w:tcPr>
          <w:p w14:paraId="4D3E60BD">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775" w:type="dxa"/>
            <w:vAlign w:val="center"/>
          </w:tcPr>
          <w:p w14:paraId="4F5F9DFB">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响应文件有效期</w:t>
            </w:r>
          </w:p>
        </w:tc>
        <w:tc>
          <w:tcPr>
            <w:tcW w:w="6912" w:type="dxa"/>
          </w:tcPr>
          <w:p w14:paraId="4ED0B486">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响应文件递交截止时间之日起90天，有效期不足的响应文件将被拒绝。</w:t>
            </w:r>
          </w:p>
        </w:tc>
      </w:tr>
      <w:tr w14:paraId="458B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ADB717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942" w:type="dxa"/>
            <w:vAlign w:val="center"/>
          </w:tcPr>
          <w:p w14:paraId="7E3EF200">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775" w:type="dxa"/>
            <w:vAlign w:val="center"/>
          </w:tcPr>
          <w:p w14:paraId="64654F30">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912" w:type="dxa"/>
          </w:tcPr>
          <w:p w14:paraId="5835DDEA">
            <w:pPr>
              <w:tabs>
                <w:tab w:val="left" w:pos="1305"/>
              </w:tabs>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本项目无需缴纳磋商保证金</w:t>
            </w:r>
            <w:r>
              <w:rPr>
                <w:rFonts w:hint="eastAsia" w:ascii="宋体" w:hAnsi="宋体" w:eastAsia="宋体" w:cs="宋体"/>
                <w:color w:val="auto"/>
                <w:szCs w:val="21"/>
                <w:lang w:eastAsia="zh-CN"/>
              </w:rPr>
              <w:t>。</w:t>
            </w:r>
          </w:p>
        </w:tc>
      </w:tr>
      <w:tr w14:paraId="4FC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71CC7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942" w:type="dxa"/>
            <w:vAlign w:val="center"/>
          </w:tcPr>
          <w:p w14:paraId="66A6F53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775" w:type="dxa"/>
            <w:vAlign w:val="center"/>
          </w:tcPr>
          <w:p w14:paraId="158B1065">
            <w:pPr>
              <w:pStyle w:val="4"/>
              <w:widowControl w:val="0"/>
              <w:spacing w:before="0" w:after="0" w:line="440" w:lineRule="exact"/>
              <w:jc w:val="center"/>
              <w:rPr>
                <w:rFonts w:hint="eastAsia" w:ascii="宋体" w:hAnsi="宋体" w:eastAsia="宋体" w:cs="宋体"/>
                <w:b w:val="0"/>
                <w:color w:val="auto"/>
                <w:sz w:val="21"/>
                <w:szCs w:val="21"/>
              </w:rPr>
            </w:pPr>
            <w:bookmarkStart w:id="33" w:name="_Toc19911"/>
            <w:bookmarkStart w:id="34" w:name="_Toc27452"/>
            <w:bookmarkStart w:id="35" w:name="_Toc19954"/>
            <w:r>
              <w:rPr>
                <w:rFonts w:hint="eastAsia" w:ascii="宋体" w:hAnsi="宋体" w:eastAsia="宋体" w:cs="宋体"/>
                <w:b w:val="0"/>
                <w:color w:val="auto"/>
                <w:sz w:val="21"/>
                <w:szCs w:val="21"/>
              </w:rPr>
              <w:t>竞争性磋商响应文件的制作</w:t>
            </w:r>
            <w:bookmarkEnd w:id="33"/>
            <w:bookmarkEnd w:id="34"/>
            <w:bookmarkEnd w:id="35"/>
          </w:p>
          <w:p w14:paraId="1EEC4167">
            <w:pPr>
              <w:spacing w:line="440" w:lineRule="exact"/>
              <w:jc w:val="center"/>
              <w:rPr>
                <w:rFonts w:hint="eastAsia" w:ascii="宋体" w:hAnsi="宋体" w:eastAsia="宋体" w:cs="宋体"/>
                <w:color w:val="auto"/>
                <w:szCs w:val="21"/>
              </w:rPr>
            </w:pPr>
          </w:p>
        </w:tc>
        <w:tc>
          <w:tcPr>
            <w:tcW w:w="6912" w:type="dxa"/>
            <w:vAlign w:val="center"/>
          </w:tcPr>
          <w:p w14:paraId="10C278EB">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1E7C35C">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4511DC3">
            <w:pPr>
              <w:spacing w:line="440" w:lineRule="exact"/>
              <w:rPr>
                <w:rFonts w:hint="eastAsia" w:ascii="宋体" w:hAnsi="宋体" w:eastAsia="宋体" w:cs="宋体"/>
                <w:color w:val="auto"/>
                <w:szCs w:val="21"/>
              </w:rPr>
            </w:pPr>
            <w:r>
              <w:rPr>
                <w:rFonts w:hint="eastAsia" w:ascii="宋体" w:hAnsi="宋体" w:eastAsia="宋体" w:cs="宋体"/>
                <w:color w:val="auto"/>
                <w:szCs w:val="21"/>
              </w:rPr>
              <w:t>16.3 磋商响应文件不得涂改，若有修改错漏处，须法定代表人（负责人）或授权委托人签字（或个人CA签章）。磋商响应文件因字迹潦草或表达不清所引起的后果由供应商负责。</w:t>
            </w:r>
          </w:p>
          <w:p w14:paraId="3EC33F4B">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71CD3743">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16.4.1本项目实行在线磋商，采用电子磋商响应文件。若供应商参与磋商，自行承担磋商一切费用。 </w:t>
            </w:r>
          </w:p>
          <w:p w14:paraId="6A7786F1">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7C9DA14D">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95763进行咨询。</w:t>
            </w:r>
          </w:p>
        </w:tc>
      </w:tr>
      <w:tr w14:paraId="290A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2" w:type="dxa"/>
            <w:vAlign w:val="center"/>
          </w:tcPr>
          <w:p w14:paraId="2EDE106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942" w:type="dxa"/>
            <w:vAlign w:val="center"/>
          </w:tcPr>
          <w:p w14:paraId="0509B4F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775" w:type="dxa"/>
            <w:vAlign w:val="center"/>
          </w:tcPr>
          <w:p w14:paraId="7241F69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响应文件递交截止时间</w:t>
            </w:r>
          </w:p>
        </w:tc>
        <w:tc>
          <w:tcPr>
            <w:tcW w:w="6912" w:type="dxa"/>
            <w:vAlign w:val="center"/>
          </w:tcPr>
          <w:p w14:paraId="49B41ADE">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于2025年</w:t>
            </w:r>
            <w:r>
              <w:rPr>
                <w:rFonts w:hint="eastAsia" w:ascii="宋体" w:hAnsi="宋体" w:eastAsia="宋体" w:cs="宋体"/>
                <w:color w:val="auto"/>
                <w:szCs w:val="21"/>
                <w:u w:val="single"/>
                <w:lang w:val="en-US" w:eastAsia="zh-CN"/>
              </w:rPr>
              <w:t>6月3日09时30</w:t>
            </w:r>
            <w:r>
              <w:rPr>
                <w:rFonts w:hint="eastAsia" w:ascii="宋体" w:hAnsi="宋体" w:eastAsia="宋体" w:cs="宋体"/>
                <w:color w:val="auto"/>
                <w:szCs w:val="21"/>
                <w:u w:val="single"/>
              </w:rPr>
              <w:t>分</w:t>
            </w:r>
            <w:r>
              <w:rPr>
                <w:rFonts w:hint="eastAsia" w:ascii="宋体" w:hAnsi="宋体" w:eastAsia="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504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25AB3EFD">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942" w:type="dxa"/>
            <w:vAlign w:val="center"/>
          </w:tcPr>
          <w:p w14:paraId="2B89E121">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775" w:type="dxa"/>
            <w:vAlign w:val="center"/>
          </w:tcPr>
          <w:p w14:paraId="65BFE22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磋商响应文件解密时间</w:t>
            </w:r>
          </w:p>
        </w:tc>
        <w:tc>
          <w:tcPr>
            <w:tcW w:w="6912" w:type="dxa"/>
            <w:vAlign w:val="center"/>
          </w:tcPr>
          <w:p w14:paraId="5ED9235F">
            <w:pPr>
              <w:pStyle w:val="6"/>
              <w:widowControl w:val="0"/>
              <w:spacing w:line="440" w:lineRule="exact"/>
              <w:rPr>
                <w:rFonts w:hint="eastAsia" w:ascii="宋体" w:hAnsi="宋体" w:eastAsia="宋体" w:cs="宋体"/>
                <w:color w:val="auto"/>
                <w:szCs w:val="21"/>
              </w:rPr>
            </w:pPr>
            <w:r>
              <w:rPr>
                <w:rFonts w:hint="eastAsia" w:ascii="宋体" w:hAnsi="宋体" w:eastAsia="宋体" w:cs="宋体"/>
                <w:color w:val="auto"/>
                <w:szCs w:val="21"/>
              </w:rPr>
              <w:t>磋商响应文件解密时间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rPr>
              <w:t>【在接到无法解密或解密失败的通知后，磋商供应商可根据自身实际情况按通知时要求的时间到桂林市公共资源交易中心</w:t>
            </w:r>
            <w:r>
              <w:rPr>
                <w:rFonts w:hint="eastAsia" w:ascii="宋体" w:hAnsi="宋体" w:cs="宋体"/>
                <w:b/>
                <w:bCs/>
                <w:color w:val="auto"/>
                <w:lang w:val="en-US" w:eastAsia="zh-CN"/>
              </w:rPr>
              <w:t>10</w:t>
            </w:r>
            <w:r>
              <w:rPr>
                <w:rFonts w:hint="eastAsia" w:ascii="宋体" w:hAnsi="宋体" w:eastAsia="宋体" w:cs="宋体"/>
                <w:b/>
                <w:bCs/>
                <w:color w:val="auto"/>
              </w:rPr>
              <w:t>号政采开标仓（广西桂林市临桂区西城中路69号创业大厦西辅楼4楼北区）现场提交或以电子邮件的形式（以通知时所告知的电子邮箱地址为准）提交电子备份磋商响应文件】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color w:val="auto"/>
              </w:rPr>
              <w:t>，若磋商供应商在规定时间内无法解密或解密失败且未提供电子备份磋商响应文件的(包含提供的电子备份文件无效或无法解密的情况)，视为无效响应。</w:t>
            </w:r>
          </w:p>
        </w:tc>
      </w:tr>
      <w:tr w14:paraId="69F1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22809E5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942" w:type="dxa"/>
            <w:vAlign w:val="center"/>
          </w:tcPr>
          <w:p w14:paraId="45C831AD">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775" w:type="dxa"/>
            <w:vAlign w:val="center"/>
          </w:tcPr>
          <w:p w14:paraId="5F9E3D9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912" w:type="dxa"/>
            <w:vAlign w:val="center"/>
          </w:tcPr>
          <w:p w14:paraId="30F4FE00">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磋商及评审组织工作由采购代理机构负责，具体磋商、评审工作由依法组建的磋商小组负责，磋商小组由采购人代表和有关方面的专家组成。磋商小组的构成：磋商小组的构成：成员人数共3人，其中采购人代表1人，专家2人。</w:t>
            </w:r>
          </w:p>
        </w:tc>
      </w:tr>
      <w:tr w14:paraId="456C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6D4781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942" w:type="dxa"/>
            <w:vAlign w:val="center"/>
          </w:tcPr>
          <w:p w14:paraId="4DD259D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775" w:type="dxa"/>
            <w:vAlign w:val="center"/>
          </w:tcPr>
          <w:p w14:paraId="1BD7005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912" w:type="dxa"/>
          </w:tcPr>
          <w:p w14:paraId="1A8D23E4">
            <w:pPr>
              <w:spacing w:line="440" w:lineRule="exact"/>
              <w:ind w:left="315" w:hanging="315" w:hangingChars="150"/>
              <w:jc w:val="left"/>
              <w:rPr>
                <w:rFonts w:hint="eastAsia" w:ascii="宋体" w:hAnsi="宋体" w:eastAsia="宋体" w:cs="宋体"/>
                <w:color w:val="auto"/>
                <w:szCs w:val="21"/>
              </w:rPr>
            </w:pPr>
            <w:r>
              <w:rPr>
                <w:rFonts w:hint="eastAsia" w:ascii="宋体" w:hAnsi="宋体" w:eastAsia="宋体" w:cs="宋体"/>
                <w:color w:val="auto"/>
                <w:szCs w:val="21"/>
              </w:rPr>
              <w:t>19.2.1磋商时间：响应文件递交截止时间后。</w:t>
            </w:r>
          </w:p>
          <w:p w14:paraId="7D7A0B37">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19.2.2磋商地点：本项目需要磋商供应商代表在截标当天截标后，按磋商小组要求及时登陆广西政府采购云平台等候在线磋商。</w:t>
            </w:r>
          </w:p>
          <w:p w14:paraId="794D1B18">
            <w:pPr>
              <w:spacing w:line="440" w:lineRule="exact"/>
              <w:ind w:left="15" w:hanging="14" w:hangingChars="7"/>
              <w:jc w:val="left"/>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19.2.3磋商参加人员：供应商法定代表人、负责人、自然人或相应的委托代理人持有效身份证和供应商广西政府采购云平台CA数字证书参加磋商。请供应商按时等候磋商。</w:t>
            </w:r>
          </w:p>
          <w:p w14:paraId="23DED413">
            <w:pPr>
              <w:tabs>
                <w:tab w:val="left" w:pos="1140"/>
              </w:tabs>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19.2.4响应文件递交截止时间后，由磋商小组在评标室内线上开启响应文件。</w:t>
            </w:r>
          </w:p>
        </w:tc>
      </w:tr>
      <w:tr w14:paraId="18B7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763982D">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942" w:type="dxa"/>
            <w:vAlign w:val="center"/>
          </w:tcPr>
          <w:p w14:paraId="3942843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775" w:type="dxa"/>
            <w:vAlign w:val="center"/>
          </w:tcPr>
          <w:p w14:paraId="3D398424">
            <w:pPr>
              <w:pStyle w:val="10"/>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912" w:type="dxa"/>
            <w:vAlign w:val="center"/>
          </w:tcPr>
          <w:p w14:paraId="4830F10B">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449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05BF72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942" w:type="dxa"/>
            <w:vAlign w:val="center"/>
          </w:tcPr>
          <w:p w14:paraId="44EE43B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775" w:type="dxa"/>
            <w:vAlign w:val="center"/>
          </w:tcPr>
          <w:p w14:paraId="1847816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912" w:type="dxa"/>
            <w:vAlign w:val="center"/>
          </w:tcPr>
          <w:p w14:paraId="25F686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1632764E">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5FA72131">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340E4B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7BC5D1DC">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13F4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C96432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942" w:type="dxa"/>
            <w:vAlign w:val="center"/>
          </w:tcPr>
          <w:p w14:paraId="44A1318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775" w:type="dxa"/>
            <w:vAlign w:val="center"/>
          </w:tcPr>
          <w:p w14:paraId="146F47B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2464587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912" w:type="dxa"/>
          </w:tcPr>
          <w:p w14:paraId="612949D8">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CDD4107">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2AF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2" w:type="dxa"/>
            <w:vAlign w:val="center"/>
          </w:tcPr>
          <w:p w14:paraId="4D6DBBC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942" w:type="dxa"/>
            <w:vAlign w:val="center"/>
          </w:tcPr>
          <w:p w14:paraId="6187366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775" w:type="dxa"/>
            <w:vAlign w:val="center"/>
          </w:tcPr>
          <w:p w14:paraId="02238E9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912" w:type="dxa"/>
            <w:vAlign w:val="center"/>
          </w:tcPr>
          <w:p w14:paraId="3C7A2C36">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无。</w:t>
            </w:r>
          </w:p>
        </w:tc>
      </w:tr>
      <w:tr w14:paraId="6AF5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C4EAE4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942" w:type="dxa"/>
            <w:vAlign w:val="center"/>
          </w:tcPr>
          <w:p w14:paraId="6CDA902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775" w:type="dxa"/>
            <w:vAlign w:val="center"/>
          </w:tcPr>
          <w:p w14:paraId="3B5E020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912" w:type="dxa"/>
          </w:tcPr>
          <w:p w14:paraId="239B6DBF">
            <w:pPr>
              <w:spacing w:line="440" w:lineRule="exact"/>
              <w:rPr>
                <w:rFonts w:hint="eastAsia" w:ascii="宋体" w:hAnsi="宋体" w:eastAsia="宋体" w:cs="宋体"/>
                <w:color w:val="auto"/>
                <w:szCs w:val="21"/>
              </w:rPr>
            </w:pPr>
            <w:r>
              <w:rPr>
                <w:rFonts w:hint="eastAsia" w:ascii="宋体" w:hAnsi="宋体" w:eastAsia="宋体" w:cs="宋体"/>
                <w:bCs/>
                <w:color w:val="auto"/>
                <w:kern w:val="0"/>
                <w:szCs w:val="21"/>
              </w:rPr>
              <w:t>成交通知书发出之日起8个工作日内签订合同</w:t>
            </w:r>
            <w:r>
              <w:rPr>
                <w:rFonts w:hint="eastAsia" w:ascii="宋体" w:hAnsi="宋体" w:eastAsia="宋体" w:cs="宋体"/>
                <w:color w:val="auto"/>
              </w:rPr>
              <w:t>。</w:t>
            </w:r>
            <w:r>
              <w:rPr>
                <w:rFonts w:hint="eastAsia" w:ascii="宋体" w:hAnsi="宋体" w:eastAsia="宋体" w:cs="宋体"/>
                <w:color w:val="auto"/>
                <w:szCs w:val="21"/>
              </w:rPr>
              <w:t>成交供应商领取成交通知书后，应按规定与采购人签订合同。</w:t>
            </w:r>
          </w:p>
        </w:tc>
      </w:tr>
      <w:tr w14:paraId="13A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4F3A09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942" w:type="dxa"/>
            <w:vAlign w:val="center"/>
          </w:tcPr>
          <w:p w14:paraId="22D3B2E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775" w:type="dxa"/>
            <w:vAlign w:val="center"/>
          </w:tcPr>
          <w:p w14:paraId="6AA469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912" w:type="dxa"/>
            <w:vAlign w:val="center"/>
          </w:tcPr>
          <w:p w14:paraId="7AB4173B">
            <w:pPr>
              <w:spacing w:line="440" w:lineRule="exact"/>
              <w:rPr>
                <w:rFonts w:hint="eastAsia" w:ascii="宋体" w:hAnsi="宋体" w:eastAsia="宋体" w:cs="宋体"/>
                <w:color w:val="auto"/>
                <w:szCs w:val="21"/>
              </w:rPr>
            </w:pPr>
            <w:r>
              <w:rPr>
                <w:rFonts w:hint="eastAsia" w:ascii="宋体" w:hAnsi="宋体" w:eastAsia="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p>
        </w:tc>
      </w:tr>
      <w:tr w14:paraId="3F62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AF8D16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942" w:type="dxa"/>
            <w:vAlign w:val="center"/>
          </w:tcPr>
          <w:p w14:paraId="05A6450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775" w:type="dxa"/>
            <w:vAlign w:val="center"/>
          </w:tcPr>
          <w:p w14:paraId="720BADC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912" w:type="dxa"/>
          </w:tcPr>
          <w:p w14:paraId="42B1CD79">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成交人领取成交通知书前，向采购代理机构一次性付清采购代理服务费，本项目采购代理服务收费标准参照计价格[2002]1980号《招标代理服务收费管理暂行办法》服务类收费标准向成交人收取</w:t>
            </w:r>
            <w:r>
              <w:rPr>
                <w:rFonts w:hint="eastAsia" w:ascii="宋体" w:hAnsi="宋体" w:eastAsia="宋体" w:cs="宋体"/>
                <w:color w:val="auto"/>
                <w:szCs w:val="21"/>
                <w:lang w:eastAsia="zh-CN"/>
              </w:rPr>
              <w:t>。</w:t>
            </w:r>
          </w:p>
        </w:tc>
      </w:tr>
      <w:tr w14:paraId="387F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FBA037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942" w:type="dxa"/>
            <w:vAlign w:val="center"/>
          </w:tcPr>
          <w:p w14:paraId="62AB39E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775" w:type="dxa"/>
            <w:vAlign w:val="center"/>
          </w:tcPr>
          <w:p w14:paraId="463FAEF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912" w:type="dxa"/>
          </w:tcPr>
          <w:p w14:paraId="45DA1EFC">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F3F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5D42DA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942" w:type="dxa"/>
            <w:vAlign w:val="center"/>
          </w:tcPr>
          <w:p w14:paraId="0FBAF9B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1775" w:type="dxa"/>
            <w:vAlign w:val="center"/>
          </w:tcPr>
          <w:p w14:paraId="747BF6C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监督管理机构</w:t>
            </w:r>
          </w:p>
        </w:tc>
        <w:tc>
          <w:tcPr>
            <w:tcW w:w="6912" w:type="dxa"/>
            <w:vAlign w:val="center"/>
          </w:tcPr>
          <w:p w14:paraId="66330C42">
            <w:pPr>
              <w:spacing w:line="44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兴安</w:t>
            </w:r>
            <w:r>
              <w:rPr>
                <w:rFonts w:hint="eastAsia" w:ascii="宋体" w:hAnsi="宋体" w:eastAsia="宋体" w:cs="宋体"/>
                <w:color w:val="auto"/>
                <w:szCs w:val="21"/>
              </w:rPr>
              <w:t>县政府采购管理办公室    电话：0773-6</w:t>
            </w:r>
            <w:r>
              <w:rPr>
                <w:rFonts w:hint="eastAsia" w:ascii="宋体" w:hAnsi="宋体" w:eastAsia="宋体" w:cs="宋体"/>
                <w:color w:val="auto"/>
                <w:szCs w:val="21"/>
                <w:lang w:val="en-US" w:eastAsia="zh-CN"/>
              </w:rPr>
              <w:t>220621</w:t>
            </w:r>
          </w:p>
        </w:tc>
      </w:tr>
      <w:tr w14:paraId="0AE3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3B5818B8">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942" w:type="dxa"/>
            <w:vAlign w:val="center"/>
          </w:tcPr>
          <w:p w14:paraId="66CC8C19">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1775" w:type="dxa"/>
            <w:vAlign w:val="center"/>
          </w:tcPr>
          <w:p w14:paraId="556E6166">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6912" w:type="dxa"/>
            <w:vAlign w:val="center"/>
          </w:tcPr>
          <w:p w14:paraId="710B8D66">
            <w:pPr>
              <w:spacing w:line="360" w:lineRule="exact"/>
              <w:ind w:firstLine="422" w:firstLineChars="200"/>
              <w:jc w:val="center"/>
              <w:rPr>
                <w:rFonts w:hint="eastAsia" w:ascii="宋体" w:hAnsi="宋体" w:eastAsia="宋体" w:cs="宋体"/>
                <w:b/>
                <w:bCs/>
                <w:color w:val="auto"/>
              </w:rPr>
            </w:pPr>
            <w:r>
              <w:rPr>
                <w:rFonts w:hint="eastAsia" w:ascii="宋体" w:hAnsi="宋体" w:eastAsia="宋体" w:cs="宋体"/>
                <w:b/>
                <w:bCs/>
                <w:color w:val="auto"/>
              </w:rPr>
              <w:t>广西线上“政采贷”政策告知函</w:t>
            </w:r>
          </w:p>
          <w:p w14:paraId="7AC5E3DF">
            <w:pPr>
              <w:rPr>
                <w:rFonts w:hint="eastAsia" w:ascii="宋体" w:hAnsi="宋体" w:eastAsia="宋体" w:cs="宋体"/>
                <w:b/>
                <w:bCs/>
                <w:color w:val="auto"/>
              </w:rPr>
            </w:pPr>
            <w:r>
              <w:rPr>
                <w:rFonts w:hint="eastAsia" w:ascii="宋体" w:hAnsi="宋体" w:eastAsia="宋体" w:cs="宋体"/>
                <w:b/>
                <w:bCs/>
                <w:color w:val="auto"/>
              </w:rPr>
              <w:t>各供应商∶</w:t>
            </w:r>
          </w:p>
          <w:p w14:paraId="4AA56A5D">
            <w:pPr>
              <w:ind w:firstLine="422" w:firstLineChars="200"/>
              <w:rPr>
                <w:rFonts w:hint="eastAsia" w:ascii="宋体" w:hAnsi="宋体" w:eastAsia="宋体" w:cs="宋体"/>
                <w:b/>
                <w:bCs/>
                <w:color w:val="auto"/>
              </w:rPr>
            </w:pPr>
            <w:r>
              <w:rPr>
                <w:rFonts w:hint="eastAsia" w:ascii="宋体" w:hAnsi="宋体" w:eastAsia="宋体" w:cs="宋体"/>
                <w:b/>
                <w:bCs/>
                <w:color w:val="auto"/>
              </w:rPr>
              <w:t>欢迎贵公司参与广西政府采购活动!</w:t>
            </w:r>
          </w:p>
          <w:p w14:paraId="1702E752">
            <w:pPr>
              <w:ind w:firstLine="422" w:firstLineChars="200"/>
              <w:rPr>
                <w:rFonts w:hint="eastAsia" w:ascii="宋体" w:hAnsi="宋体" w:eastAsia="宋体" w:cs="宋体"/>
                <w:b/>
                <w:bCs/>
                <w:color w:val="auto"/>
              </w:rPr>
            </w:pPr>
            <w:r>
              <w:rPr>
                <w:rFonts w:hint="eastAsia" w:ascii="宋体" w:hAnsi="宋体" w:eastAsia="宋体" w:cs="宋体"/>
                <w:b/>
                <w:bCs/>
                <w:color w:val="auto"/>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199E22C7">
            <w:pPr>
              <w:spacing w:line="240" w:lineRule="exact"/>
              <w:rPr>
                <w:rFonts w:hint="eastAsia" w:ascii="宋体" w:hAnsi="宋体" w:eastAsia="宋体" w:cs="宋体"/>
                <w:color w:val="auto"/>
              </w:rPr>
            </w:pPr>
            <w:r>
              <w:rPr>
                <w:rFonts w:hint="eastAsia" w:ascii="宋体" w:hAnsi="宋体" w:eastAsia="宋体" w:cs="宋体"/>
                <w:b/>
                <w:bCs/>
                <w:color w:val="auto"/>
              </w:rPr>
              <w:t>相关金融产品和银行业金融机构联系方式，可在中征应收账 款融资服务平台查询（网址 ∶https/www.crcrfsp.com/，客服电话∶400-009-0001)。</w:t>
            </w:r>
          </w:p>
        </w:tc>
      </w:tr>
    </w:tbl>
    <w:p w14:paraId="6565DDBA">
      <w:pPr>
        <w:pStyle w:val="3"/>
        <w:pageBreakBefore/>
        <w:tabs>
          <w:tab w:val="left" w:pos="567"/>
        </w:tabs>
        <w:spacing w:line="440" w:lineRule="exact"/>
        <w:jc w:val="center"/>
        <w:rPr>
          <w:rFonts w:hint="eastAsia" w:ascii="宋体" w:hAnsi="宋体" w:eastAsia="宋体" w:cs="宋体"/>
          <w:bCs w:val="0"/>
          <w:color w:val="auto"/>
          <w:szCs w:val="28"/>
        </w:rPr>
      </w:pPr>
      <w:bookmarkStart w:id="36" w:name="_Toc27120"/>
      <w:bookmarkStart w:id="37" w:name="_Toc27216"/>
      <w:bookmarkStart w:id="38" w:name="_Toc22792"/>
      <w:bookmarkStart w:id="39" w:name="_Toc8755"/>
      <w:r>
        <w:rPr>
          <w:rFonts w:hint="eastAsia" w:ascii="宋体" w:hAnsi="宋体" w:eastAsia="宋体" w:cs="宋体"/>
          <w:bCs w:val="0"/>
          <w:color w:val="auto"/>
          <w:szCs w:val="28"/>
        </w:rPr>
        <w:t>一、总则</w:t>
      </w:r>
      <w:bookmarkEnd w:id="36"/>
      <w:bookmarkEnd w:id="37"/>
      <w:bookmarkEnd w:id="38"/>
      <w:bookmarkEnd w:id="39"/>
    </w:p>
    <w:p w14:paraId="785CF715">
      <w:pPr>
        <w:pStyle w:val="4"/>
        <w:widowControl w:val="0"/>
        <w:spacing w:before="0" w:after="0" w:line="440" w:lineRule="exact"/>
        <w:ind w:firstLine="422" w:firstLineChars="200"/>
        <w:rPr>
          <w:rFonts w:hint="eastAsia" w:ascii="宋体" w:hAnsi="宋体" w:eastAsia="宋体" w:cs="宋体"/>
          <w:color w:val="auto"/>
          <w:sz w:val="21"/>
          <w:szCs w:val="21"/>
        </w:rPr>
      </w:pPr>
      <w:bookmarkStart w:id="40" w:name="_Toc6626"/>
      <w:bookmarkStart w:id="41" w:name="_Toc3367"/>
      <w:r>
        <w:rPr>
          <w:rFonts w:hint="eastAsia" w:ascii="宋体" w:hAnsi="宋体" w:eastAsia="宋体" w:cs="宋体"/>
          <w:color w:val="auto"/>
          <w:sz w:val="21"/>
          <w:szCs w:val="21"/>
        </w:rPr>
        <w:t>1. 适应范围</w:t>
      </w:r>
      <w:bookmarkEnd w:id="40"/>
      <w:bookmarkEnd w:id="41"/>
    </w:p>
    <w:p w14:paraId="4AB0F86D">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1.1  项目名称及项目编号：</w:t>
      </w:r>
    </w:p>
    <w:p w14:paraId="3CA145B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广西兴安灵渠景区创建国家5A级旅游景区驻场运营指导服务项目</w:t>
      </w:r>
      <w:r>
        <w:rPr>
          <w:rFonts w:hint="eastAsia" w:ascii="宋体" w:hAnsi="宋体" w:eastAsia="宋体" w:cs="宋体"/>
          <w:color w:val="auto"/>
          <w:szCs w:val="21"/>
        </w:rPr>
        <w:t xml:space="preserve">  </w:t>
      </w:r>
    </w:p>
    <w:p w14:paraId="21B1509E">
      <w:pPr>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eastAsia="宋体" w:cs="宋体"/>
          <w:color w:val="auto"/>
          <w:szCs w:val="21"/>
          <w:lang w:val="en-US" w:eastAsia="zh-CN"/>
        </w:rPr>
        <w:t xml:space="preserve">GLZC2025-C3-250028-GXJY </w:t>
      </w:r>
    </w:p>
    <w:p w14:paraId="1B8867CF">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1.2本竞争性磋商文件（以下简称磋商文件）适用于本磋商项目的磋商、评审、合同履约、验收、付款等行为（法律、法规另有规定的，从其规定）。</w:t>
      </w:r>
    </w:p>
    <w:p w14:paraId="5D71BC68">
      <w:pPr>
        <w:pStyle w:val="4"/>
        <w:widowControl w:val="0"/>
        <w:spacing w:before="0" w:after="0" w:line="440" w:lineRule="exact"/>
        <w:ind w:firstLine="422" w:firstLineChars="200"/>
        <w:rPr>
          <w:rFonts w:hint="eastAsia" w:ascii="宋体" w:hAnsi="宋体" w:eastAsia="宋体" w:cs="宋体"/>
          <w:color w:val="auto"/>
          <w:sz w:val="21"/>
          <w:szCs w:val="21"/>
        </w:rPr>
      </w:pPr>
      <w:bookmarkStart w:id="42" w:name="_Toc2845"/>
      <w:bookmarkStart w:id="43" w:name="_Toc28336"/>
      <w:r>
        <w:rPr>
          <w:rFonts w:hint="eastAsia" w:ascii="宋体" w:hAnsi="宋体" w:eastAsia="宋体" w:cs="宋体"/>
          <w:color w:val="auto"/>
          <w:sz w:val="21"/>
          <w:szCs w:val="21"/>
        </w:rPr>
        <w:t>2. 定义</w:t>
      </w:r>
      <w:bookmarkEnd w:id="42"/>
      <w:bookmarkEnd w:id="43"/>
    </w:p>
    <w:p w14:paraId="2219ED5E">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2.1“供应商”是指符合本次采购项目的供应商资格并提交响应文件、参加磋商的供应商。如果该供应商在本次磋商中成交，即成为“成交供应商”。</w:t>
      </w:r>
    </w:p>
    <w:p w14:paraId="4ECB0701">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2.2“货物”系指按磋商文件规定，供应商须向采购人提供的一切设备、保险、税金、备品备件、工具、手册及其它有关技术资料和材料。</w:t>
      </w:r>
    </w:p>
    <w:p w14:paraId="65A29996">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2.3“服务”系指按磋商文件规定，供应商须承担的施工、安装、调试、技术协助、校准、培训、技术指导以及其他类似的义务。</w:t>
      </w:r>
    </w:p>
    <w:p w14:paraId="30F70C08">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2.4“工程”系指供应商按磋商文件规定向采购人提供的施工建设。</w:t>
      </w:r>
    </w:p>
    <w:p w14:paraId="6934CF7B">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2.5“项目”系指供应商按磋商文件规定向采购人提供的货物和服务和工程。</w:t>
      </w:r>
    </w:p>
    <w:p w14:paraId="4D31F2D8">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2.6“书面形式”包括信函、传真、电报等。</w:t>
      </w:r>
    </w:p>
    <w:p w14:paraId="09AE706D">
      <w:pPr>
        <w:pStyle w:val="4"/>
        <w:widowControl w:val="0"/>
        <w:spacing w:before="0" w:after="0" w:line="440" w:lineRule="exact"/>
        <w:ind w:firstLine="422" w:firstLineChars="200"/>
        <w:rPr>
          <w:rFonts w:hint="eastAsia" w:ascii="宋体" w:hAnsi="宋体" w:eastAsia="宋体" w:cs="宋体"/>
          <w:color w:val="auto"/>
          <w:sz w:val="21"/>
          <w:szCs w:val="21"/>
        </w:rPr>
      </w:pPr>
      <w:bookmarkStart w:id="44" w:name="_Toc25441"/>
      <w:bookmarkStart w:id="45" w:name="_Toc13017"/>
      <w:r>
        <w:rPr>
          <w:rFonts w:hint="eastAsia" w:ascii="宋体" w:hAnsi="宋体" w:eastAsia="宋体" w:cs="宋体"/>
          <w:color w:val="auto"/>
          <w:sz w:val="21"/>
          <w:szCs w:val="21"/>
        </w:rPr>
        <w:t>3. 供应商资格</w:t>
      </w:r>
      <w:bookmarkEnd w:id="44"/>
      <w:bookmarkEnd w:id="45"/>
    </w:p>
    <w:p w14:paraId="54017390">
      <w:pPr>
        <w:pStyle w:val="4"/>
        <w:widowControl w:val="0"/>
        <w:spacing w:before="0" w:after="0" w:line="440" w:lineRule="exact"/>
        <w:ind w:firstLine="420" w:firstLineChars="200"/>
        <w:rPr>
          <w:rFonts w:hint="eastAsia" w:ascii="宋体" w:hAnsi="宋体" w:eastAsia="宋体" w:cs="宋体"/>
          <w:b w:val="0"/>
          <w:bCs w:val="0"/>
          <w:color w:val="auto"/>
          <w:sz w:val="21"/>
          <w:szCs w:val="21"/>
        </w:rPr>
      </w:pPr>
      <w:bookmarkStart w:id="46" w:name="_Toc16496"/>
      <w:bookmarkStart w:id="47" w:name="_Toc9216"/>
      <w:r>
        <w:rPr>
          <w:rFonts w:hint="eastAsia" w:ascii="宋体" w:hAnsi="宋体" w:eastAsia="宋体" w:cs="宋体"/>
          <w:b w:val="0"/>
          <w:bCs w:val="0"/>
          <w:color w:val="auto"/>
          <w:sz w:val="21"/>
          <w:szCs w:val="21"/>
        </w:rPr>
        <w:t>3.1符合《中华人民共和国政府采购法》第二十二条规定；</w:t>
      </w:r>
    </w:p>
    <w:p w14:paraId="0F7666D8">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3.2落实政府采购政策需满足的资格要求：本项目为专门面向中小企业采购的项目,供应商为中型企业/小型企业/微型企业（监狱企业、残疾人福利性单位视同小微企业）；</w:t>
      </w:r>
    </w:p>
    <w:p w14:paraId="5C61A721">
      <w:pPr>
        <w:spacing w:line="4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3.3本项目的特定资格要求：</w:t>
      </w:r>
      <w:r>
        <w:rPr>
          <w:rFonts w:hint="eastAsia" w:ascii="宋体" w:hAnsi="宋体" w:eastAsia="宋体" w:cs="宋体"/>
          <w:b/>
          <w:bCs/>
          <w:color w:val="auto"/>
          <w:szCs w:val="21"/>
        </w:rPr>
        <w:t>无。</w:t>
      </w:r>
    </w:p>
    <w:p w14:paraId="0B0CE490">
      <w:pPr>
        <w:pStyle w:val="4"/>
        <w:widowControl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磋商费用</w:t>
      </w:r>
      <w:bookmarkEnd w:id="46"/>
      <w:bookmarkEnd w:id="47"/>
    </w:p>
    <w:p w14:paraId="35777022">
      <w:pPr>
        <w:tabs>
          <w:tab w:val="left" w:pos="1635"/>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不论磋商结果如何，供应商均应自行承担所有与磋商有关的全部费用。</w:t>
      </w:r>
    </w:p>
    <w:p w14:paraId="6E705499">
      <w:pPr>
        <w:pStyle w:val="4"/>
        <w:widowControl w:val="0"/>
        <w:numPr>
          <w:ilvl w:val="0"/>
          <w:numId w:val="1"/>
        </w:numPr>
        <w:spacing w:before="0" w:after="0" w:line="440" w:lineRule="exact"/>
        <w:ind w:firstLine="422" w:firstLineChars="200"/>
        <w:rPr>
          <w:rFonts w:hint="eastAsia" w:ascii="宋体" w:hAnsi="宋体" w:eastAsia="宋体" w:cs="宋体"/>
          <w:color w:val="auto"/>
          <w:sz w:val="21"/>
          <w:szCs w:val="21"/>
        </w:rPr>
      </w:pPr>
      <w:bookmarkStart w:id="48" w:name="_Toc31376"/>
      <w:bookmarkStart w:id="49" w:name="_Toc22877"/>
      <w:r>
        <w:rPr>
          <w:rFonts w:hint="eastAsia" w:ascii="宋体" w:hAnsi="宋体" w:eastAsia="宋体" w:cs="宋体"/>
          <w:color w:val="auto"/>
          <w:sz w:val="21"/>
          <w:szCs w:val="21"/>
        </w:rPr>
        <w:t>联合体要求</w:t>
      </w:r>
      <w:bookmarkEnd w:id="48"/>
      <w:bookmarkEnd w:id="49"/>
    </w:p>
    <w:p w14:paraId="4CE180EF">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本项目</w:t>
      </w:r>
      <w:r>
        <w:rPr>
          <w:rFonts w:hint="eastAsia" w:ascii="宋体" w:hAnsi="宋体" w:eastAsia="宋体" w:cs="宋体"/>
          <w:bCs/>
          <w:color w:val="auto"/>
          <w:szCs w:val="21"/>
          <w:lang w:val="en-US" w:eastAsia="zh-CN"/>
        </w:rPr>
        <w:t>不</w:t>
      </w:r>
      <w:r>
        <w:rPr>
          <w:rFonts w:hint="eastAsia" w:ascii="宋体" w:hAnsi="宋体" w:eastAsia="宋体" w:cs="宋体"/>
          <w:bCs/>
          <w:color w:val="auto"/>
          <w:szCs w:val="21"/>
        </w:rPr>
        <w:t>接受联合体参与磋商</w:t>
      </w:r>
    </w:p>
    <w:p w14:paraId="19FABD2B">
      <w:pPr>
        <w:pStyle w:val="4"/>
        <w:widowControl w:val="0"/>
        <w:spacing w:before="0" w:after="0" w:line="440" w:lineRule="exact"/>
        <w:ind w:firstLine="422" w:firstLineChars="200"/>
        <w:rPr>
          <w:rFonts w:hint="eastAsia" w:ascii="宋体" w:hAnsi="宋体" w:eastAsia="宋体" w:cs="宋体"/>
          <w:color w:val="auto"/>
          <w:sz w:val="21"/>
          <w:szCs w:val="21"/>
        </w:rPr>
      </w:pPr>
      <w:bookmarkStart w:id="50" w:name="_Toc18940"/>
      <w:bookmarkStart w:id="51" w:name="_Toc4152"/>
      <w:r>
        <w:rPr>
          <w:rFonts w:hint="eastAsia" w:ascii="宋体" w:hAnsi="宋体" w:eastAsia="宋体" w:cs="宋体"/>
          <w:color w:val="auto"/>
          <w:sz w:val="21"/>
          <w:szCs w:val="21"/>
        </w:rPr>
        <w:t>6. 质疑和投诉</w:t>
      </w:r>
      <w:bookmarkEnd w:id="50"/>
      <w:bookmarkEnd w:id="51"/>
      <w:r>
        <w:rPr>
          <w:rFonts w:hint="eastAsia" w:ascii="宋体" w:hAnsi="宋体" w:eastAsia="宋体" w:cs="宋体"/>
          <w:color w:val="auto"/>
          <w:sz w:val="21"/>
          <w:szCs w:val="21"/>
        </w:rPr>
        <w:tab/>
      </w:r>
    </w:p>
    <w:p w14:paraId="5F7CAC2F">
      <w:pPr>
        <w:tabs>
          <w:tab w:val="left" w:pos="2190"/>
        </w:tabs>
        <w:spacing w:line="440" w:lineRule="exact"/>
        <w:ind w:firstLine="435"/>
        <w:rPr>
          <w:rFonts w:hint="eastAsia" w:ascii="宋体" w:hAnsi="宋体" w:eastAsia="宋体" w:cs="宋体"/>
          <w:color w:val="auto"/>
          <w:szCs w:val="21"/>
        </w:rPr>
      </w:pPr>
      <w:bookmarkStart w:id="52" w:name="_Toc8195"/>
      <w:bookmarkStart w:id="53" w:name="_Toc26087"/>
      <w:r>
        <w:rPr>
          <w:rFonts w:hint="eastAsia" w:ascii="宋体" w:hAnsi="宋体" w:eastAsia="宋体" w:cs="宋体"/>
          <w:color w:val="auto"/>
          <w:szCs w:val="21"/>
        </w:rPr>
        <w:t>6.1供应对政府采购活动事项有疑问的，可以向采购人提出询问。</w:t>
      </w:r>
    </w:p>
    <w:p w14:paraId="141C0A5F">
      <w:pPr>
        <w:tabs>
          <w:tab w:val="left" w:pos="2190"/>
        </w:tabs>
        <w:spacing w:line="390" w:lineRule="exact"/>
        <w:ind w:firstLine="435"/>
        <w:rPr>
          <w:rFonts w:hint="eastAsia" w:ascii="宋体" w:hAnsi="宋体" w:eastAsia="宋体" w:cs="宋体"/>
          <w:color w:val="auto"/>
          <w:szCs w:val="21"/>
        </w:rPr>
      </w:pPr>
      <w:r>
        <w:rPr>
          <w:rFonts w:hint="eastAsia" w:ascii="宋体" w:hAnsi="宋体" w:eastAsia="宋体" w:cs="宋体"/>
          <w:color w:val="auto"/>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2FD091D4">
      <w:pPr>
        <w:tabs>
          <w:tab w:val="left" w:pos="2190"/>
        </w:tabs>
        <w:spacing w:line="390" w:lineRule="exact"/>
        <w:ind w:firstLine="435"/>
        <w:rPr>
          <w:rFonts w:hint="eastAsia" w:ascii="宋体" w:hAnsi="宋体" w:eastAsia="宋体" w:cs="宋体"/>
          <w:color w:val="auto"/>
          <w:szCs w:val="21"/>
        </w:rPr>
      </w:pPr>
      <w:r>
        <w:rPr>
          <w:rFonts w:hint="eastAsia" w:ascii="宋体" w:hAnsi="宋体" w:eastAsia="宋体" w:cs="宋体"/>
          <w:color w:val="auto"/>
          <w:szCs w:val="21"/>
        </w:rPr>
        <w:t>供应商在法定质疑期内应当一次性提出针对同一采购程序环节的质疑，否则采购人有权不予受理。</w:t>
      </w:r>
    </w:p>
    <w:p w14:paraId="4D8AFCD9">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6.3供应商对采购代理机构的质疑答复不满意或者采购代理机构未在规定的时间内作出答复的，可以在答复期满后十五个工作日内向本级财政部门投诉。</w:t>
      </w:r>
    </w:p>
    <w:p w14:paraId="7748BF5C">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5FC68838">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6.5质疑联系</w:t>
      </w:r>
      <w:bookmarkEnd w:id="52"/>
      <w:bookmarkEnd w:id="53"/>
      <w:r>
        <w:rPr>
          <w:rFonts w:hint="eastAsia" w:ascii="宋体" w:hAnsi="宋体" w:eastAsia="宋体" w:cs="宋体"/>
          <w:color w:val="auto"/>
          <w:szCs w:val="21"/>
        </w:rPr>
        <w:t>方式，详见磋商公告。</w:t>
      </w:r>
    </w:p>
    <w:p w14:paraId="5856E017">
      <w:pPr>
        <w:pStyle w:val="4"/>
        <w:widowControl w:val="0"/>
        <w:spacing w:before="0" w:after="0" w:line="440" w:lineRule="exact"/>
        <w:ind w:firstLine="422" w:firstLineChars="200"/>
        <w:rPr>
          <w:rFonts w:hint="eastAsia" w:ascii="宋体" w:hAnsi="宋体" w:eastAsia="宋体" w:cs="宋体"/>
          <w:color w:val="auto"/>
          <w:sz w:val="21"/>
          <w:szCs w:val="21"/>
        </w:rPr>
      </w:pPr>
      <w:bookmarkStart w:id="54" w:name="_Toc6998"/>
      <w:bookmarkStart w:id="55" w:name="_Toc5032"/>
      <w:r>
        <w:rPr>
          <w:rFonts w:hint="eastAsia" w:ascii="宋体" w:hAnsi="宋体" w:eastAsia="宋体" w:cs="宋体"/>
          <w:color w:val="auto"/>
          <w:sz w:val="21"/>
          <w:szCs w:val="21"/>
        </w:rPr>
        <w:t>7. 转包与分包</w:t>
      </w:r>
      <w:bookmarkEnd w:id="54"/>
      <w:bookmarkEnd w:id="55"/>
    </w:p>
    <w:p w14:paraId="4D8927F0">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szCs w:val="21"/>
        </w:rPr>
        <w:t>7</w:t>
      </w:r>
      <w:r>
        <w:rPr>
          <w:rFonts w:hint="eastAsia" w:ascii="宋体" w:hAnsi="宋体" w:eastAsia="宋体" w:cs="宋体"/>
          <w:color w:val="auto"/>
          <w:kern w:val="0"/>
          <w:szCs w:val="21"/>
          <w:shd w:val="clear" w:color="auto" w:fill="FFFFFF"/>
        </w:rPr>
        <w:t>.1 本项目不允许转包。</w:t>
      </w:r>
    </w:p>
    <w:p w14:paraId="7B6BE1C0">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7.2 本项目不可以分包。</w:t>
      </w:r>
    </w:p>
    <w:p w14:paraId="79E2416B">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7.3本项目不允许挂靠。</w:t>
      </w:r>
    </w:p>
    <w:p w14:paraId="31A6C494">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7.4如发现有以上行为，采购人有权终止合同，所有损失由成交供应商承担。</w:t>
      </w:r>
    </w:p>
    <w:p w14:paraId="0C896456">
      <w:pPr>
        <w:pStyle w:val="4"/>
        <w:widowControl w:val="0"/>
        <w:spacing w:before="0" w:after="0" w:line="440" w:lineRule="exact"/>
        <w:ind w:firstLine="422" w:firstLineChars="200"/>
        <w:rPr>
          <w:rFonts w:hint="eastAsia" w:ascii="宋体" w:hAnsi="宋体" w:eastAsia="宋体" w:cs="宋体"/>
          <w:color w:val="auto"/>
          <w:sz w:val="21"/>
          <w:szCs w:val="21"/>
        </w:rPr>
      </w:pPr>
      <w:bookmarkStart w:id="56" w:name="_Toc3368"/>
      <w:bookmarkStart w:id="57" w:name="_Toc15097"/>
      <w:r>
        <w:rPr>
          <w:rFonts w:hint="eastAsia" w:ascii="宋体" w:hAnsi="宋体" w:eastAsia="宋体" w:cs="宋体"/>
          <w:color w:val="auto"/>
          <w:sz w:val="21"/>
          <w:szCs w:val="21"/>
        </w:rPr>
        <w:t>8. 特别说明</w:t>
      </w:r>
      <w:bookmarkEnd w:id="56"/>
      <w:bookmarkEnd w:id="57"/>
    </w:p>
    <w:p w14:paraId="5960968F">
      <w:pPr>
        <w:tabs>
          <w:tab w:val="left" w:pos="1635"/>
        </w:tabs>
        <w:spacing w:line="4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8.1关联供应商不得参加同一合同项下政府采购活动，否则响应文件将被视为无效：</w:t>
      </w:r>
    </w:p>
    <w:p w14:paraId="0A4D3139">
      <w:pPr>
        <w:tabs>
          <w:tab w:val="left" w:pos="1635"/>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（1）单位负责人为同一人或者存在直接控股、管理关系的，不得参加同一合同项下的政府采购活动。</w:t>
      </w:r>
    </w:p>
    <w:p w14:paraId="12AD59D4">
      <w:pPr>
        <w:tabs>
          <w:tab w:val="left" w:pos="1635"/>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（2）为本采购项目提供整体设计、规范编制或者项目管理、监理、检测等服务的供应商，不得再参加本次采购活动。</w:t>
      </w:r>
    </w:p>
    <w:p w14:paraId="13990178">
      <w:pPr>
        <w:pStyle w:val="7"/>
        <w:spacing w:line="440" w:lineRule="exact"/>
        <w:rPr>
          <w:rFonts w:hint="eastAsia" w:ascii="宋体" w:hAnsi="宋体" w:eastAsia="宋体" w:cs="宋体"/>
          <w:color w:val="auto"/>
        </w:rPr>
      </w:pPr>
    </w:p>
    <w:p w14:paraId="384249F5">
      <w:pPr>
        <w:pStyle w:val="3"/>
        <w:tabs>
          <w:tab w:val="left" w:pos="567"/>
        </w:tabs>
        <w:spacing w:line="440" w:lineRule="exact"/>
        <w:jc w:val="center"/>
        <w:rPr>
          <w:rFonts w:hint="eastAsia" w:ascii="宋体" w:hAnsi="宋体" w:eastAsia="宋体" w:cs="宋体"/>
          <w:bCs w:val="0"/>
          <w:color w:val="auto"/>
          <w:szCs w:val="28"/>
        </w:rPr>
      </w:pPr>
      <w:bookmarkStart w:id="58" w:name="_Toc13732"/>
      <w:bookmarkStart w:id="59" w:name="_Toc16417"/>
      <w:bookmarkStart w:id="60" w:name="_Toc29496"/>
      <w:bookmarkStart w:id="61" w:name="_Toc22498"/>
      <w:r>
        <w:rPr>
          <w:rFonts w:hint="eastAsia" w:ascii="宋体" w:hAnsi="宋体" w:eastAsia="宋体" w:cs="宋体"/>
          <w:bCs w:val="0"/>
          <w:color w:val="auto"/>
          <w:szCs w:val="28"/>
        </w:rPr>
        <w:t>二、磋商文件</w:t>
      </w:r>
      <w:bookmarkEnd w:id="58"/>
      <w:bookmarkEnd w:id="59"/>
      <w:bookmarkEnd w:id="60"/>
      <w:bookmarkEnd w:id="61"/>
    </w:p>
    <w:p w14:paraId="182907E2">
      <w:pPr>
        <w:pStyle w:val="4"/>
        <w:widowControl w:val="0"/>
        <w:spacing w:before="0" w:after="0" w:line="440" w:lineRule="exact"/>
        <w:ind w:firstLine="422" w:firstLineChars="200"/>
        <w:rPr>
          <w:rFonts w:hint="eastAsia" w:ascii="宋体" w:hAnsi="宋体" w:eastAsia="宋体" w:cs="宋体"/>
          <w:color w:val="auto"/>
          <w:sz w:val="21"/>
          <w:szCs w:val="21"/>
          <w:lang w:val="pt-BR"/>
        </w:rPr>
      </w:pPr>
      <w:bookmarkStart w:id="62" w:name="_Toc20057"/>
      <w:bookmarkStart w:id="63" w:name="_Toc18964"/>
      <w:r>
        <w:rPr>
          <w:rFonts w:hint="eastAsia" w:ascii="宋体" w:hAnsi="宋体" w:eastAsia="宋体" w:cs="宋体"/>
          <w:color w:val="auto"/>
          <w:sz w:val="21"/>
          <w:szCs w:val="21"/>
          <w:lang w:val="pt-BR"/>
        </w:rPr>
        <w:t xml:space="preserve">9. </w:t>
      </w:r>
      <w:r>
        <w:rPr>
          <w:rFonts w:hint="eastAsia" w:ascii="宋体" w:hAnsi="宋体" w:eastAsia="宋体" w:cs="宋体"/>
          <w:color w:val="auto"/>
          <w:sz w:val="21"/>
          <w:szCs w:val="21"/>
        </w:rPr>
        <w:t>磋商文件的构成</w:t>
      </w:r>
      <w:bookmarkEnd w:id="62"/>
      <w:bookmarkEnd w:id="63"/>
    </w:p>
    <w:p w14:paraId="60D0B29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（1）竞争性磋商公告；</w:t>
      </w:r>
    </w:p>
    <w:p w14:paraId="69B65FC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（2）供应商须知；</w:t>
      </w:r>
    </w:p>
    <w:p w14:paraId="14693F8D">
      <w:pPr>
        <w:spacing w:line="4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（3）项目需求表</w:t>
      </w:r>
      <w:r>
        <w:rPr>
          <w:rFonts w:hint="eastAsia" w:ascii="宋体" w:hAnsi="宋体" w:eastAsia="宋体" w:cs="宋体"/>
          <w:bCs/>
          <w:color w:val="auto"/>
          <w:szCs w:val="21"/>
        </w:rPr>
        <w:t>；</w:t>
      </w:r>
    </w:p>
    <w:p w14:paraId="2A07F95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（4）评审办法；</w:t>
      </w:r>
    </w:p>
    <w:p w14:paraId="7D072FB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（5）采购合同（合同主要条款及格式）；</w:t>
      </w:r>
    </w:p>
    <w:p w14:paraId="0164CE1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（6）响应文件（格式）</w:t>
      </w:r>
      <w:bookmarkStart w:id="64" w:name="_Toc9103"/>
      <w:r>
        <w:rPr>
          <w:rFonts w:hint="eastAsia" w:ascii="宋体" w:hAnsi="宋体" w:eastAsia="宋体" w:cs="宋体"/>
          <w:color w:val="auto"/>
          <w:szCs w:val="21"/>
        </w:rPr>
        <w:t>。</w:t>
      </w:r>
    </w:p>
    <w:p w14:paraId="5CE2B967">
      <w:pPr>
        <w:pStyle w:val="4"/>
        <w:widowControl w:val="0"/>
        <w:spacing w:before="0" w:after="0" w:line="440" w:lineRule="exact"/>
        <w:ind w:firstLine="422" w:firstLineChars="200"/>
        <w:rPr>
          <w:rFonts w:hint="eastAsia" w:ascii="宋体" w:hAnsi="宋体" w:eastAsia="宋体" w:cs="宋体"/>
          <w:color w:val="auto"/>
          <w:sz w:val="21"/>
          <w:szCs w:val="21"/>
        </w:rPr>
      </w:pPr>
      <w:bookmarkStart w:id="65" w:name="_Toc17932"/>
      <w:r>
        <w:rPr>
          <w:rFonts w:hint="eastAsia" w:ascii="宋体" w:hAnsi="宋体" w:eastAsia="宋体" w:cs="宋体"/>
          <w:color w:val="auto"/>
          <w:sz w:val="21"/>
          <w:szCs w:val="21"/>
        </w:rPr>
        <w:t>10. 磋商文件的澄清与修改</w:t>
      </w:r>
      <w:bookmarkEnd w:id="64"/>
      <w:bookmarkEnd w:id="65"/>
    </w:p>
    <w:p w14:paraId="716AABD7">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rPr>
        <w:t>五日</w:t>
      </w:r>
      <w:r>
        <w:rPr>
          <w:rFonts w:hint="eastAsia" w:ascii="宋体" w:hAnsi="宋体" w:eastAsia="宋体" w:cs="宋体"/>
          <w:color w:val="auto"/>
          <w:szCs w:val="21"/>
        </w:rPr>
        <w:t>前在本项目竞争性磋商公告发布的同一媒体上发布更正公告，不足</w:t>
      </w:r>
      <w:r>
        <w:rPr>
          <w:rFonts w:hint="eastAsia" w:ascii="宋体" w:hAnsi="宋体" w:eastAsia="宋体" w:cs="宋体"/>
          <w:b/>
          <w:bCs/>
          <w:color w:val="auto"/>
          <w:szCs w:val="21"/>
        </w:rPr>
        <w:t>五日</w:t>
      </w:r>
      <w:r>
        <w:rPr>
          <w:rFonts w:hint="eastAsia" w:ascii="宋体" w:hAnsi="宋体" w:eastAsia="宋体" w:cs="宋体"/>
          <w:color w:val="auto"/>
          <w:szCs w:val="21"/>
        </w:rPr>
        <w:t>的，应当顺延首次响应文件递交截止时间。</w:t>
      </w:r>
    </w:p>
    <w:p w14:paraId="1AC1C9A6">
      <w:pPr>
        <w:spacing w:line="440" w:lineRule="exact"/>
        <w:ind w:left="420" w:leftChars="200"/>
        <w:jc w:val="left"/>
        <w:rPr>
          <w:rFonts w:hint="eastAsia" w:ascii="宋体" w:hAnsi="宋体" w:eastAsia="宋体" w:cs="宋体"/>
          <w:b/>
          <w:bCs/>
          <w:color w:val="auto"/>
          <w:szCs w:val="21"/>
        </w:rPr>
      </w:pPr>
      <w:r>
        <w:rPr>
          <w:rFonts w:hint="eastAsia" w:ascii="宋体" w:hAnsi="宋体" w:eastAsia="宋体" w:cs="宋体"/>
          <w:color w:val="auto"/>
          <w:szCs w:val="21"/>
        </w:rPr>
        <w:t>10.2</w:t>
      </w:r>
      <w:r>
        <w:rPr>
          <w:rFonts w:hint="eastAsia" w:ascii="宋体" w:hAnsi="宋体" w:eastAsia="宋体" w:cs="宋体"/>
          <w:b/>
          <w:bCs/>
          <w:color w:val="auto"/>
          <w:szCs w:val="21"/>
        </w:rPr>
        <w:t>供应商应实时关注本项目信息公告发布媒体相关网站了解澄清、修改等与项目有关的内容，</w:t>
      </w:r>
    </w:p>
    <w:p w14:paraId="5068AC61">
      <w:pPr>
        <w:spacing w:line="44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如因供应商未及时登录相关网站了解澄清、修改等与项目有关的内容，从而导致响应文件无效的，由供应商自行承担责任。</w:t>
      </w:r>
    </w:p>
    <w:p w14:paraId="614BDADF">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10.3澄清或者修改的内容为磋商文件的组成部分。当澄清或者修改通知就同一内容的表述不一</w:t>
      </w:r>
    </w:p>
    <w:p w14:paraId="26F7807C">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致时，以最后发出的文件为准。</w:t>
      </w:r>
    </w:p>
    <w:p w14:paraId="49DA64FB">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10.4 磋商文件的澄清或者修改都应该通过本项目采购代理机构以法定形式发布，采购人非通过</w:t>
      </w:r>
    </w:p>
    <w:p w14:paraId="546389BA">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本机构，不得擅自澄清或者修改磋商文件。</w:t>
      </w:r>
    </w:p>
    <w:p w14:paraId="5AF80817">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10.5采购单位可以视采购具体情况，延长响应文件截止时间和磋商时间，在本项目竞争性磋商</w:t>
      </w:r>
    </w:p>
    <w:p w14:paraId="000E76E5">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公告发布的同一媒体上发布变更公告。</w:t>
      </w:r>
    </w:p>
    <w:p w14:paraId="330256E6">
      <w:pPr>
        <w:pStyle w:val="23"/>
        <w:spacing w:line="440" w:lineRule="exact"/>
        <w:rPr>
          <w:rFonts w:hint="eastAsia" w:ascii="宋体" w:hAnsi="宋体" w:eastAsia="宋体" w:cs="宋体"/>
          <w:color w:val="auto"/>
        </w:rPr>
      </w:pPr>
    </w:p>
    <w:p w14:paraId="5BDE2AC3">
      <w:pPr>
        <w:pStyle w:val="3"/>
        <w:tabs>
          <w:tab w:val="left" w:pos="567"/>
        </w:tabs>
        <w:spacing w:line="440" w:lineRule="exact"/>
        <w:jc w:val="center"/>
        <w:rPr>
          <w:rFonts w:hint="eastAsia" w:ascii="宋体" w:hAnsi="宋体" w:eastAsia="宋体" w:cs="宋体"/>
          <w:bCs w:val="0"/>
          <w:color w:val="auto"/>
          <w:szCs w:val="28"/>
        </w:rPr>
      </w:pPr>
      <w:bookmarkStart w:id="66" w:name="_Toc29172"/>
      <w:bookmarkStart w:id="67" w:name="_Toc20830"/>
      <w:bookmarkStart w:id="68" w:name="_Toc21873"/>
      <w:bookmarkStart w:id="69" w:name="_Toc17820"/>
      <w:r>
        <w:rPr>
          <w:rFonts w:hint="eastAsia" w:ascii="宋体" w:hAnsi="宋体" w:eastAsia="宋体" w:cs="宋体"/>
          <w:bCs w:val="0"/>
          <w:color w:val="auto"/>
          <w:szCs w:val="28"/>
        </w:rPr>
        <w:t>三、竞争性磋商响应文件的编制</w:t>
      </w:r>
      <w:bookmarkEnd w:id="66"/>
      <w:bookmarkEnd w:id="67"/>
      <w:bookmarkEnd w:id="68"/>
      <w:bookmarkEnd w:id="69"/>
    </w:p>
    <w:p w14:paraId="620A67D0">
      <w:pPr>
        <w:pStyle w:val="4"/>
        <w:widowControl w:val="0"/>
        <w:spacing w:before="0" w:after="0" w:line="440" w:lineRule="exact"/>
        <w:ind w:firstLine="422" w:firstLineChars="200"/>
        <w:rPr>
          <w:rFonts w:hint="eastAsia" w:ascii="宋体" w:hAnsi="宋体" w:eastAsia="宋体" w:cs="宋体"/>
          <w:color w:val="auto"/>
          <w:sz w:val="21"/>
          <w:szCs w:val="21"/>
        </w:rPr>
      </w:pPr>
      <w:bookmarkStart w:id="70" w:name="_Toc19747"/>
      <w:r>
        <w:rPr>
          <w:rFonts w:hint="eastAsia" w:ascii="宋体" w:hAnsi="宋体" w:eastAsia="宋体" w:cs="宋体"/>
          <w:color w:val="auto"/>
          <w:sz w:val="21"/>
          <w:szCs w:val="21"/>
        </w:rPr>
        <w:t>11.竞争性磋商响应文件编制基本要求</w:t>
      </w:r>
      <w:bookmarkEnd w:id="70"/>
    </w:p>
    <w:p w14:paraId="127A6A72">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11.1 本项目实行电子响应，供应商应准备电子磋商响应文件：</w:t>
      </w:r>
    </w:p>
    <w:p w14:paraId="51CA8ED1">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023CC88">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11.2竞争性磋商响应文件（以下简称响应文件）的组成及要求</w:t>
      </w:r>
    </w:p>
    <w:p w14:paraId="54F13170">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11.2.1响应文件组成【格式见第六章“响应文件（格式）”】</w:t>
      </w:r>
    </w:p>
    <w:p w14:paraId="6F8203B5">
      <w:pPr>
        <w:spacing w:line="44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11.2.1.1资格性响应证明材料：</w:t>
      </w:r>
    </w:p>
    <w:p w14:paraId="2DD318A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（1）响应文件封面</w:t>
      </w:r>
      <w:r>
        <w:rPr>
          <w:rFonts w:hint="eastAsia" w:ascii="宋体" w:hAnsi="宋体" w:eastAsia="宋体" w:cs="宋体"/>
          <w:b/>
          <w:bCs/>
          <w:color w:val="auto"/>
          <w:szCs w:val="21"/>
        </w:rPr>
        <w:t>（必须提供）；</w:t>
      </w:r>
    </w:p>
    <w:p w14:paraId="49F20F7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（2）供应商相应的法定代表人、负责人、自然人身份证正反两面原件或复印件扫描件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14:paraId="7135CE1A">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w:t>
      </w:r>
      <w:r>
        <w:rPr>
          <w:rFonts w:hint="eastAsia" w:ascii="宋体" w:hAnsi="宋体" w:eastAsia="宋体" w:cs="宋体"/>
          <w:b/>
          <w:bCs/>
          <w:color w:val="auto"/>
          <w:szCs w:val="21"/>
        </w:rPr>
        <w:t>（委托代理时必须提供）；</w:t>
      </w:r>
    </w:p>
    <w:p w14:paraId="3AFD0F4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除供应商为以下三种情形的：</w:t>
      </w:r>
    </w:p>
    <w:p w14:paraId="17F1BBC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①如供应商为截标时间前60日以内成立的公司，可以提供供应商与委托代理人签订的劳动合同原件或复印件扫描件代替社保证明；</w:t>
      </w:r>
    </w:p>
    <w:p w14:paraId="68EB953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②如供应商为事业单位，可以提供事业单位机构编制管理证复印件或事业单位机构为其发放工资的工资条原件或复印件扫描件代替社保证明；</w:t>
      </w:r>
    </w:p>
    <w:p w14:paraId="51261BB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③如委托代理人为免缴纳社保人员，提供免缴纳社保的证明材料原件或复印件扫描件及供应商与委托代理人签订的劳动合同原件或复印件扫描件代替社保证明。</w:t>
      </w:r>
    </w:p>
    <w:p w14:paraId="7F476FC0">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【属自然人的应提供由县级以上（含县级）社会养老保险经办机构出具的自然人本人及委托代理人所交纳的响应文件递交截止时间当月前半年内任意连续三个月或以上社保证明原件或复印件扫描件</w:t>
      </w:r>
      <w:r>
        <w:rPr>
          <w:rFonts w:hint="eastAsia" w:ascii="宋体" w:hAnsi="宋体" w:eastAsia="宋体" w:cs="宋体"/>
          <w:color w:val="auto"/>
          <w:szCs w:val="21"/>
        </w:rPr>
        <w:t>】</w:t>
      </w:r>
      <w:r>
        <w:rPr>
          <w:rFonts w:hint="eastAsia" w:ascii="宋体" w:hAnsi="宋体" w:eastAsia="宋体" w:cs="宋体"/>
          <w:b/>
          <w:bCs/>
          <w:color w:val="auto"/>
          <w:szCs w:val="21"/>
        </w:rPr>
        <w:t>（委托代理时必须提供）</w:t>
      </w:r>
    </w:p>
    <w:p w14:paraId="52976C60">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（4）供应商参加政府采购活动前3年内在经营活动中没有重大违法记录及有关信用信息的书面声明；</w:t>
      </w:r>
      <w:r>
        <w:rPr>
          <w:rFonts w:hint="eastAsia" w:ascii="宋体" w:hAnsi="宋体" w:eastAsia="宋体" w:cs="宋体"/>
          <w:b/>
          <w:bCs/>
          <w:color w:val="auto"/>
          <w:szCs w:val="21"/>
        </w:rPr>
        <w:t>（必须提供）；</w:t>
      </w:r>
    </w:p>
    <w:p w14:paraId="6C36E33D">
      <w:pPr>
        <w:spacing w:line="440" w:lineRule="exact"/>
        <w:ind w:left="420"/>
        <w:rPr>
          <w:rFonts w:hint="eastAsia" w:ascii="宋体" w:hAnsi="宋体" w:eastAsia="宋体" w:cs="宋体"/>
          <w:color w:val="auto"/>
          <w:szCs w:val="21"/>
        </w:rPr>
      </w:pPr>
      <w:r>
        <w:rPr>
          <w:rFonts w:hint="eastAsia" w:ascii="宋体" w:hAnsi="宋体" w:eastAsia="宋体" w:cs="宋体"/>
          <w:color w:val="auto"/>
          <w:szCs w:val="21"/>
        </w:rPr>
        <w:t>（5）供应商的法人或者其他组织营业执照等证明文件原件或复印件扫描件</w:t>
      </w:r>
      <w:r>
        <w:rPr>
          <w:rFonts w:hint="eastAsia" w:ascii="宋体" w:hAnsi="宋体" w:eastAsia="宋体" w:cs="宋体"/>
          <w:b/>
          <w:bCs/>
          <w:color w:val="auto"/>
          <w:szCs w:val="21"/>
        </w:rPr>
        <w:t>（必须提供，自然人除外）；</w:t>
      </w:r>
    </w:p>
    <w:p w14:paraId="3B9EFC8D">
      <w:pPr>
        <w:spacing w:line="440" w:lineRule="exact"/>
        <w:ind w:firstLine="422" w:firstLineChars="200"/>
        <w:rPr>
          <w:rFonts w:hint="eastAsia" w:ascii="宋体" w:hAnsi="宋体" w:eastAsia="宋体" w:cs="宋体"/>
          <w:color w:val="auto"/>
        </w:rPr>
      </w:pPr>
      <w:r>
        <w:rPr>
          <w:rFonts w:hint="eastAsia" w:ascii="宋体" w:hAnsi="宋体" w:eastAsia="宋体" w:cs="宋体"/>
          <w:b/>
          <w:bCs/>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C4544DF">
      <w:pPr>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（6）供应商财务状况良好的承诺函原件的扫描件（必须提供）</w:t>
      </w:r>
      <w:r>
        <w:rPr>
          <w:rFonts w:hint="eastAsia" w:ascii="宋体" w:hAnsi="宋体" w:eastAsia="宋体" w:cs="宋体"/>
          <w:b/>
          <w:bCs/>
          <w:color w:val="auto"/>
        </w:rPr>
        <w:t>；</w:t>
      </w:r>
    </w:p>
    <w:p w14:paraId="6076133A">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7）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扫描件</w:t>
      </w:r>
      <w:r>
        <w:rPr>
          <w:rFonts w:hint="eastAsia" w:ascii="宋体" w:hAnsi="宋体" w:eastAsia="宋体" w:cs="宋体"/>
          <w:b/>
          <w:bCs/>
          <w:color w:val="auto"/>
        </w:rPr>
        <w:t>（必须提供）；</w:t>
      </w:r>
    </w:p>
    <w:p w14:paraId="2B24FBE8">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（8）供应商参加本项目无围标串标行为的承诺函（</w:t>
      </w:r>
      <w:r>
        <w:rPr>
          <w:rFonts w:hint="eastAsia" w:ascii="宋体" w:hAnsi="宋体" w:eastAsia="宋体" w:cs="宋体"/>
          <w:b/>
          <w:bCs/>
          <w:color w:val="auto"/>
        </w:rPr>
        <w:t>必须提供）。</w:t>
      </w:r>
    </w:p>
    <w:p w14:paraId="79F58359">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9</w:t>
      </w:r>
      <w:r>
        <w:rPr>
          <w:rFonts w:hint="eastAsia" w:ascii="宋体" w:hAnsi="宋体" w:eastAsia="宋体" w:cs="宋体"/>
          <w:b w:val="0"/>
          <w:bCs w:val="0"/>
          <w:color w:val="auto"/>
        </w:rPr>
        <w:t>）中小</w:t>
      </w:r>
      <w:r>
        <w:rPr>
          <w:rFonts w:hint="eastAsia" w:ascii="宋体" w:hAnsi="宋体" w:eastAsia="宋体" w:cs="宋体"/>
          <w:b w:val="0"/>
          <w:bCs w:val="0"/>
          <w:color w:val="auto"/>
          <w:lang w:val="en-US" w:eastAsia="zh-CN"/>
        </w:rPr>
        <w:t>微</w:t>
      </w:r>
      <w:r>
        <w:rPr>
          <w:rFonts w:hint="eastAsia" w:ascii="宋体" w:hAnsi="宋体" w:eastAsia="宋体" w:cs="宋体"/>
          <w:b w:val="0"/>
          <w:bCs w:val="0"/>
          <w:color w:val="auto"/>
        </w:rPr>
        <w:t>企业相应有效的证明文件</w:t>
      </w:r>
      <w:r>
        <w:rPr>
          <w:rFonts w:hint="eastAsia" w:ascii="宋体" w:hAnsi="宋体" w:eastAsia="宋体" w:cs="宋体"/>
          <w:b/>
          <w:bCs/>
          <w:color w:val="auto"/>
        </w:rPr>
        <w:t>（必须提供）；</w:t>
      </w:r>
    </w:p>
    <w:p w14:paraId="4DE0DF1D">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根据企业所属类型，必须提供以下材料之一：</w:t>
      </w:r>
    </w:p>
    <w:p w14:paraId="150013AC">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①中小</w:t>
      </w:r>
      <w:r>
        <w:rPr>
          <w:rFonts w:hint="eastAsia" w:ascii="宋体" w:hAnsi="宋体" w:eastAsia="宋体" w:cs="宋体"/>
          <w:b w:val="0"/>
          <w:bCs w:val="0"/>
          <w:color w:val="auto"/>
          <w:lang w:val="en-US" w:eastAsia="zh-CN"/>
        </w:rPr>
        <w:t>微</w:t>
      </w:r>
      <w:r>
        <w:rPr>
          <w:rFonts w:hint="eastAsia" w:ascii="宋体" w:hAnsi="宋体" w:eastAsia="宋体" w:cs="宋体"/>
          <w:b w:val="0"/>
          <w:bCs w:val="0"/>
          <w:color w:val="auto"/>
        </w:rPr>
        <w:t>企业声明函【如工程由中型、小型、微型企业（中小微型企业划分标准按照《国家统计局关于 印发《统计上大中小微型企业划分办法〔2017〕》的通知》（国统字〔2017〕213 号）执行）承建的，供 应商应如实声明并对出具的声明函（格式见附件）真实性负责。成交结果将同时公告该企业《中小企业声明函》，接受社会监督。】</w:t>
      </w:r>
    </w:p>
    <w:p w14:paraId="636F03CE">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②监狱企业的证明文件【如工程由监狱企业承建，供应商应当提供由省级以上监狱管理局、戒毒管理局（含新疆生产建设兵团）出具的属于监狱企业的证明文件，否则不予享受中小企业政策】；</w:t>
      </w:r>
    </w:p>
    <w:p w14:paraId="00FD73F9">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③《残疾人福利性单位声明函》【符合条件的残疾人福利性单位在参加政府采购活动时，供应商应如实声明并对出具的声明函（格式见附件）真实性负责，否则不予享受中小企业政策】。</w:t>
      </w:r>
    </w:p>
    <w:p w14:paraId="06524A9A">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注：本项目为专门面向中小</w:t>
      </w:r>
      <w:r>
        <w:rPr>
          <w:rFonts w:hint="eastAsia" w:ascii="宋体" w:hAnsi="宋体" w:eastAsia="宋体" w:cs="宋体"/>
          <w:b w:val="0"/>
          <w:bCs w:val="0"/>
          <w:color w:val="auto"/>
          <w:lang w:val="en-US" w:eastAsia="zh-CN"/>
        </w:rPr>
        <w:t>微</w:t>
      </w:r>
      <w:r>
        <w:rPr>
          <w:rFonts w:hint="eastAsia" w:ascii="宋体" w:hAnsi="宋体" w:eastAsia="宋体" w:cs="宋体"/>
          <w:b w:val="0"/>
          <w:bCs w:val="0"/>
          <w:color w:val="auto"/>
        </w:rPr>
        <w:t>企业采购的项目（供应商应为中小微企业或监狱企业或残疾人福利性单位) ，不接受非上述企业参与磋商。</w:t>
      </w:r>
    </w:p>
    <w:p w14:paraId="5329F953">
      <w:pPr>
        <w:pStyle w:val="17"/>
        <w:spacing w:line="440" w:lineRule="exact"/>
        <w:ind w:left="0" w:leftChars="0" w:firstLine="422"/>
        <w:rPr>
          <w:rFonts w:hint="eastAsia" w:ascii="宋体" w:hAnsi="宋体" w:eastAsia="宋体" w:cs="宋体"/>
          <w:color w:val="auto"/>
        </w:rPr>
      </w:pPr>
      <w:r>
        <w:rPr>
          <w:rFonts w:hint="eastAsia" w:ascii="宋体" w:hAnsi="宋体" w:eastAsia="宋体" w:cs="宋体"/>
          <w:b/>
          <w:bCs/>
          <w:color w:val="auto"/>
          <w:szCs w:val="21"/>
        </w:rPr>
        <w:t>11.2.1.2符合性响应证明材料：</w:t>
      </w:r>
    </w:p>
    <w:p w14:paraId="2ED7E316">
      <w:pPr>
        <w:spacing w:line="440" w:lineRule="exact"/>
        <w:ind w:firstLine="420" w:firstLineChars="200"/>
        <w:rPr>
          <w:rFonts w:hint="eastAsia" w:ascii="宋体" w:hAnsi="宋体" w:eastAsia="宋体" w:cs="宋体"/>
          <w:color w:val="auto"/>
          <w:szCs w:val="21"/>
        </w:rPr>
      </w:pPr>
      <w:bookmarkStart w:id="71" w:name="_Toc16312"/>
      <w:bookmarkStart w:id="72" w:name="_Toc2809"/>
      <w:bookmarkStart w:id="73" w:name="_Toc28932"/>
      <w:r>
        <w:rPr>
          <w:rFonts w:hint="eastAsia" w:ascii="宋体" w:hAnsi="宋体" w:eastAsia="宋体" w:cs="宋体"/>
          <w:color w:val="auto"/>
          <w:szCs w:val="21"/>
        </w:rPr>
        <w:t>（1）响应函</w:t>
      </w:r>
      <w:r>
        <w:rPr>
          <w:rFonts w:hint="eastAsia" w:ascii="宋体" w:hAnsi="宋体" w:eastAsia="宋体" w:cs="宋体"/>
          <w:b/>
          <w:bCs/>
          <w:color w:val="auto"/>
          <w:szCs w:val="21"/>
        </w:rPr>
        <w:t>（必须提供）</w:t>
      </w:r>
      <w:bookmarkEnd w:id="71"/>
      <w:r>
        <w:rPr>
          <w:rFonts w:hint="eastAsia" w:ascii="宋体" w:hAnsi="宋体" w:eastAsia="宋体" w:cs="宋体"/>
          <w:color w:val="auto"/>
          <w:szCs w:val="21"/>
        </w:rPr>
        <w:t>；</w:t>
      </w:r>
      <w:bookmarkEnd w:id="72"/>
      <w:bookmarkEnd w:id="73"/>
    </w:p>
    <w:p w14:paraId="1F3FB54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（2）磋商报价</w:t>
      </w:r>
      <w:r>
        <w:rPr>
          <w:rFonts w:hint="eastAsia" w:ascii="宋体" w:hAnsi="宋体" w:eastAsia="宋体" w:cs="宋体"/>
          <w:bCs/>
          <w:color w:val="auto"/>
          <w:kern w:val="0"/>
          <w:szCs w:val="21"/>
        </w:rPr>
        <w:t>表</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14:paraId="5089B814">
      <w:pPr>
        <w:pStyle w:val="17"/>
        <w:spacing w:line="440" w:lineRule="exact"/>
        <w:ind w:left="0" w:leftChars="0"/>
        <w:rPr>
          <w:rFonts w:hint="eastAsia" w:ascii="宋体" w:hAnsi="宋体" w:eastAsia="宋体" w:cs="宋体"/>
          <w:color w:val="auto"/>
          <w:szCs w:val="21"/>
        </w:rPr>
      </w:pPr>
      <w:r>
        <w:rPr>
          <w:rFonts w:hint="eastAsia" w:ascii="宋体" w:hAnsi="宋体" w:eastAsia="宋体" w:cs="宋体"/>
          <w:color w:val="auto"/>
          <w:szCs w:val="21"/>
        </w:rPr>
        <w:t>（3）项目需求要求响应表</w:t>
      </w:r>
      <w:r>
        <w:rPr>
          <w:rFonts w:hint="eastAsia" w:ascii="宋体" w:hAnsi="宋体" w:eastAsia="宋体" w:cs="宋体"/>
          <w:b/>
          <w:bCs/>
          <w:color w:val="auto"/>
          <w:szCs w:val="21"/>
        </w:rPr>
        <w:t>（必须提供）。</w:t>
      </w:r>
    </w:p>
    <w:p w14:paraId="3F070212">
      <w:pPr>
        <w:pStyle w:val="17"/>
        <w:spacing w:line="440" w:lineRule="exact"/>
        <w:ind w:left="0" w:leftChars="0" w:firstLine="422"/>
        <w:rPr>
          <w:rFonts w:hint="eastAsia" w:ascii="宋体" w:hAnsi="宋体" w:eastAsia="宋体" w:cs="宋体"/>
          <w:b/>
          <w:bCs/>
          <w:color w:val="auto"/>
          <w:szCs w:val="21"/>
        </w:rPr>
      </w:pPr>
      <w:r>
        <w:rPr>
          <w:rFonts w:hint="eastAsia" w:ascii="宋体" w:hAnsi="宋体" w:eastAsia="宋体" w:cs="宋体"/>
          <w:b/>
          <w:bCs/>
          <w:color w:val="auto"/>
          <w:szCs w:val="21"/>
        </w:rPr>
        <w:t>11.2.1.3其他有效证明材料</w:t>
      </w:r>
    </w:p>
    <w:p w14:paraId="020CA4C4">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（1）供应商符合本项目评审办法要求的业绩相关证明材料（无不良记录，以中标/成交通知书或签订的合同为准，需能清晰反映项目的名称、项目金额、项目时间，否则不予认可）</w:t>
      </w:r>
      <w:r>
        <w:rPr>
          <w:rFonts w:hint="eastAsia" w:ascii="宋体" w:hAnsi="宋体" w:eastAsia="宋体" w:cs="宋体"/>
          <w:b/>
          <w:bCs/>
          <w:color w:val="auto"/>
          <w:szCs w:val="21"/>
        </w:rPr>
        <w:t>（如有，请提供）；</w:t>
      </w:r>
    </w:p>
    <w:p w14:paraId="4662AD8D">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（2）项目方案</w:t>
      </w:r>
      <w:r>
        <w:rPr>
          <w:rFonts w:hint="eastAsia" w:ascii="宋体" w:hAnsi="宋体" w:eastAsia="宋体" w:cs="宋体"/>
          <w:b/>
          <w:bCs/>
          <w:color w:val="auto"/>
          <w:szCs w:val="21"/>
        </w:rPr>
        <w:t>（如有，请提供）；</w:t>
      </w:r>
    </w:p>
    <w:p w14:paraId="475E5B0D">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（3）商务评审证明材料</w:t>
      </w:r>
      <w:r>
        <w:rPr>
          <w:rFonts w:hint="eastAsia" w:ascii="宋体" w:hAnsi="宋体" w:eastAsia="宋体" w:cs="宋体"/>
          <w:b/>
          <w:bCs/>
          <w:color w:val="auto"/>
          <w:szCs w:val="21"/>
        </w:rPr>
        <w:t>（如有，请提供）；</w:t>
      </w:r>
    </w:p>
    <w:p w14:paraId="7060B1E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（4）供应商可结合本项目的评审办法视自身情况自行提交其它相关证明材料</w:t>
      </w:r>
      <w:r>
        <w:rPr>
          <w:rFonts w:hint="eastAsia" w:ascii="宋体" w:hAnsi="宋体" w:eastAsia="宋体" w:cs="宋体"/>
          <w:b/>
          <w:bCs/>
          <w:color w:val="auto"/>
        </w:rPr>
        <w:t>（如有，请提供）</w:t>
      </w:r>
      <w:r>
        <w:rPr>
          <w:rFonts w:hint="eastAsia" w:ascii="宋体" w:hAnsi="宋体" w:eastAsia="宋体" w:cs="宋体"/>
          <w:b/>
          <w:bCs/>
          <w:color w:val="auto"/>
          <w:szCs w:val="21"/>
        </w:rPr>
        <w:t>；</w:t>
      </w:r>
    </w:p>
    <w:p w14:paraId="7969B91B">
      <w:pPr>
        <w:spacing w:line="440" w:lineRule="exact"/>
        <w:ind w:firstLine="420"/>
        <w:rPr>
          <w:rFonts w:hint="eastAsia" w:ascii="宋体" w:hAnsi="宋体" w:eastAsia="宋体" w:cs="宋体"/>
          <w:b/>
          <w:bCs/>
          <w:color w:val="auto"/>
        </w:rPr>
      </w:pPr>
      <w:r>
        <w:rPr>
          <w:rFonts w:hint="eastAsia" w:ascii="宋体" w:hAnsi="宋体" w:eastAsia="宋体" w:cs="宋体"/>
          <w:b/>
          <w:bCs/>
          <w:color w:val="auto"/>
          <w:szCs w:val="21"/>
        </w:rPr>
        <w:t>供应商</w:t>
      </w:r>
      <w:r>
        <w:rPr>
          <w:rFonts w:hint="eastAsia" w:ascii="宋体" w:hAnsi="宋体" w:eastAsia="宋体" w:cs="宋体"/>
          <w:b/>
          <w:bCs/>
          <w:color w:val="auto"/>
        </w:rPr>
        <w:t>提供的以上相关证明材料属于“必须提供”的文件应加盖磋商供应商CA签章，否则响应无效。</w:t>
      </w:r>
    </w:p>
    <w:p w14:paraId="3D93291A">
      <w:pPr>
        <w:pStyle w:val="7"/>
        <w:ind w:firstLine="422" w:firstLineChars="200"/>
        <w:rPr>
          <w:rFonts w:hint="eastAsia" w:ascii="宋体" w:hAnsi="宋体" w:eastAsia="宋体" w:cs="宋体"/>
          <w:color w:val="auto"/>
        </w:rPr>
      </w:pPr>
      <w:r>
        <w:rPr>
          <w:rFonts w:hint="eastAsia" w:ascii="宋体" w:hAnsi="宋体" w:eastAsia="宋体" w:cs="宋体"/>
          <w:b/>
          <w:bCs/>
          <w:color w:val="auto"/>
          <w:szCs w:val="21"/>
        </w:rPr>
        <w:t>供应商</w:t>
      </w:r>
      <w:r>
        <w:rPr>
          <w:rFonts w:hint="eastAsia" w:ascii="宋体" w:hAnsi="宋体" w:eastAsia="宋体" w:cs="宋体"/>
          <w:b/>
          <w:bCs/>
          <w:color w:val="auto"/>
        </w:rPr>
        <w:t>提供的以上相关证明材料应当符合规定要求并且清晰明确，如提供的相关证明材料不符合规定要求或无法辨认的，不予认可。</w:t>
      </w:r>
    </w:p>
    <w:p w14:paraId="0950F31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供应商应按竞争性磋商文件第六章“响应文件（格式）”编制响应文件。</w:t>
      </w:r>
    </w:p>
    <w:p w14:paraId="3884B1B8">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特别说明：</w:t>
      </w:r>
    </w:p>
    <w:p w14:paraId="5266F251">
      <w:p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（1）响</w:t>
      </w:r>
      <w:r>
        <w:rPr>
          <w:rFonts w:hint="eastAsia" w:ascii="宋体" w:hAnsi="宋体" w:eastAsia="宋体" w:cs="宋体"/>
          <w:b/>
          <w:color w:val="auto"/>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5C1853AD">
      <w:pPr>
        <w:numPr>
          <w:ilvl w:val="0"/>
          <w:numId w:val="2"/>
        </w:num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磋商文件要求法定代表人（负责人）或委托代理人签字的部分必须签字然后扫描或者拍照做成 pdf 格式上传（或加盖个人CA签章），无签字的视为响应无效。</w:t>
      </w:r>
    </w:p>
    <w:p w14:paraId="50E70979">
      <w:pPr>
        <w:pStyle w:val="4"/>
        <w:widowControl w:val="0"/>
        <w:spacing w:before="0" w:after="0" w:line="440" w:lineRule="exact"/>
        <w:ind w:firstLine="422" w:firstLineChars="200"/>
        <w:rPr>
          <w:rFonts w:hint="eastAsia" w:ascii="宋体" w:hAnsi="宋体" w:eastAsia="宋体" w:cs="宋体"/>
          <w:color w:val="auto"/>
          <w:sz w:val="21"/>
          <w:szCs w:val="21"/>
        </w:rPr>
      </w:pPr>
      <w:bookmarkStart w:id="74" w:name="_Toc13660"/>
      <w:bookmarkStart w:id="75" w:name="_Toc2180"/>
      <w:r>
        <w:rPr>
          <w:rFonts w:hint="eastAsia" w:ascii="宋体" w:hAnsi="宋体" w:eastAsia="宋体" w:cs="宋体"/>
          <w:color w:val="auto"/>
          <w:sz w:val="21"/>
          <w:szCs w:val="21"/>
        </w:rPr>
        <w:t>12. 响应文件的语言及计量</w:t>
      </w:r>
      <w:bookmarkEnd w:id="74"/>
      <w:bookmarkEnd w:id="75"/>
    </w:p>
    <w:p w14:paraId="4CD6ED8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4F9F89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12.2 磋商计量单位，磋商文件已有明确规定的，使用磋商文件规定的计量单位；磋商文件没有规定的，应采用中华人民共和国法定计量单位（货币单位：人民币元），否则视同未响应。</w:t>
      </w:r>
    </w:p>
    <w:p w14:paraId="06588AD6">
      <w:pPr>
        <w:pStyle w:val="4"/>
        <w:widowControl w:val="0"/>
        <w:spacing w:before="0" w:after="0" w:line="440" w:lineRule="exact"/>
        <w:ind w:firstLine="422" w:firstLineChars="200"/>
        <w:rPr>
          <w:rFonts w:hint="eastAsia" w:ascii="宋体" w:hAnsi="宋体" w:eastAsia="宋体" w:cs="宋体"/>
          <w:color w:val="auto"/>
          <w:sz w:val="21"/>
          <w:szCs w:val="21"/>
        </w:rPr>
      </w:pPr>
      <w:bookmarkStart w:id="76" w:name="_Toc10838"/>
      <w:bookmarkStart w:id="77" w:name="_Toc3058"/>
      <w:r>
        <w:rPr>
          <w:rFonts w:hint="eastAsia" w:ascii="宋体" w:hAnsi="宋体" w:eastAsia="宋体" w:cs="宋体"/>
          <w:color w:val="auto"/>
          <w:sz w:val="21"/>
          <w:szCs w:val="21"/>
        </w:rPr>
        <w:t>13. 磋商报价及采购预算金额</w:t>
      </w:r>
      <w:bookmarkEnd w:id="76"/>
      <w:bookmarkEnd w:id="77"/>
    </w:p>
    <w:p w14:paraId="190CB8D8">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13.1供应商必须就“采购需求”中的所有内容作完整唯一报价，响应文件只允许有一个报价方案，有选择的或有条件的报价将不予接受。</w:t>
      </w:r>
    </w:p>
    <w:p w14:paraId="259C8581">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13.2</w:t>
      </w:r>
      <w:r>
        <w:rPr>
          <w:rFonts w:hint="eastAsia" w:ascii="宋体" w:hAnsi="宋体" w:eastAsia="宋体" w:cs="宋体"/>
          <w:color w:val="auto"/>
          <w:szCs w:val="21"/>
        </w:rPr>
        <w:t>采购预算金额（人民币）：</w:t>
      </w:r>
      <w:r>
        <w:rPr>
          <w:rFonts w:hint="eastAsia" w:ascii="宋体" w:hAnsi="宋体" w:eastAsia="宋体" w:cs="宋体"/>
          <w:color w:val="auto"/>
          <w:szCs w:val="21"/>
          <w:lang w:eastAsia="zh-CN"/>
        </w:rPr>
        <w:t>1500000.00</w:t>
      </w:r>
      <w:r>
        <w:rPr>
          <w:rFonts w:hint="eastAsia" w:ascii="宋体" w:hAnsi="宋体" w:eastAsia="宋体" w:cs="宋体"/>
          <w:color w:val="auto"/>
          <w:szCs w:val="21"/>
          <w:lang w:val="en-US" w:eastAsia="zh-CN"/>
        </w:rPr>
        <w:t>元，</w:t>
      </w:r>
      <w:r>
        <w:rPr>
          <w:rFonts w:hint="eastAsia" w:ascii="宋体" w:hAnsi="宋体" w:eastAsia="宋体" w:cs="宋体"/>
          <w:color w:val="auto"/>
          <w:szCs w:val="21"/>
        </w:rPr>
        <w:t>最高限价</w:t>
      </w:r>
      <w:r>
        <w:rPr>
          <w:rFonts w:hint="eastAsia" w:ascii="宋体" w:hAnsi="宋体" w:eastAsia="宋体" w:cs="宋体"/>
          <w:color w:val="auto"/>
          <w:szCs w:val="21"/>
          <w:lang w:eastAsia="zh-CN"/>
        </w:rPr>
        <w:t>（人民币）：1500000.00</w:t>
      </w:r>
      <w:r>
        <w:rPr>
          <w:rFonts w:hint="eastAsia" w:ascii="宋体" w:hAnsi="宋体" w:eastAsia="宋体" w:cs="宋体"/>
          <w:color w:val="auto"/>
          <w:szCs w:val="21"/>
        </w:rPr>
        <w:t>元</w:t>
      </w:r>
      <w:r>
        <w:rPr>
          <w:rFonts w:hint="eastAsia" w:ascii="宋体" w:hAnsi="宋体" w:eastAsia="宋体" w:cs="宋体"/>
          <w:bCs/>
          <w:color w:val="auto"/>
          <w:szCs w:val="21"/>
        </w:rPr>
        <w:t>。报价超采购预算金额或最高限价金额的，响应文件作无效处理。</w:t>
      </w:r>
    </w:p>
    <w:p w14:paraId="72AE2F1A">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13.3供应商磋商报价应综合考虑完成本项目产生的所有成本、税金及合理利润，具体包含但不限于完成项目需求表包含的所有设备、服务、相关技术支持、售后服务、差旅、劳务、材料、培训、验收、交通、保险、各项税金及由于市场价格波动增加的费用，以及不可预见费等全部费用。</w:t>
      </w:r>
    </w:p>
    <w:p w14:paraId="00642775">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13.4未书面退出磋商的供应商必须在规定时间内登录广西政府采购云平台在线提交最后报价，其最后报价不得超出采购预算；磋商过程中磋商文件未作实质性变动的，最后报价不得超过首次报价。 </w:t>
      </w:r>
    </w:p>
    <w:p w14:paraId="75F77C4D">
      <w:pPr>
        <w:pStyle w:val="4"/>
        <w:widowControl w:val="0"/>
        <w:spacing w:before="0" w:after="0" w:line="440" w:lineRule="exact"/>
        <w:ind w:firstLine="422" w:firstLineChars="200"/>
        <w:rPr>
          <w:rFonts w:hint="eastAsia" w:ascii="宋体" w:hAnsi="宋体" w:eastAsia="宋体" w:cs="宋体"/>
          <w:color w:val="auto"/>
          <w:sz w:val="21"/>
          <w:szCs w:val="21"/>
        </w:rPr>
      </w:pPr>
      <w:bookmarkStart w:id="78" w:name="_Toc26881"/>
      <w:bookmarkStart w:id="79" w:name="_Toc30554"/>
      <w:r>
        <w:rPr>
          <w:rFonts w:hint="eastAsia" w:ascii="宋体" w:hAnsi="宋体" w:eastAsia="宋体" w:cs="宋体"/>
          <w:color w:val="auto"/>
          <w:sz w:val="21"/>
          <w:szCs w:val="21"/>
        </w:rPr>
        <w:t>14. 响应文件有效期</w:t>
      </w:r>
      <w:bookmarkEnd w:id="78"/>
      <w:bookmarkEnd w:id="79"/>
    </w:p>
    <w:p w14:paraId="1F19F80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 响应文件有效期：响应文件递交截止时间之日起90天，有效期不足的响应文件将被拒绝。</w:t>
      </w:r>
    </w:p>
    <w:p w14:paraId="6D80825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 出现特殊情况下，需要延长响应文件有效期的，采购代理机构书面通知供应商延长响应文件有效期。供应商同意延长的，但不能修改响应文件。供应商拒绝延长的，其响应文件无效。</w:t>
      </w:r>
    </w:p>
    <w:p w14:paraId="0809800A">
      <w:pPr>
        <w:pStyle w:val="4"/>
        <w:widowControl w:val="0"/>
        <w:spacing w:before="0" w:after="0" w:line="440" w:lineRule="exact"/>
        <w:ind w:firstLine="422" w:firstLineChars="200"/>
        <w:rPr>
          <w:rFonts w:hint="eastAsia" w:ascii="宋体" w:hAnsi="宋体" w:eastAsia="宋体" w:cs="宋体"/>
          <w:color w:val="auto"/>
          <w:sz w:val="21"/>
          <w:szCs w:val="21"/>
        </w:rPr>
      </w:pPr>
      <w:bookmarkStart w:id="80" w:name="_Toc20698"/>
      <w:bookmarkStart w:id="81" w:name="_Toc22602"/>
      <w:r>
        <w:rPr>
          <w:rFonts w:hint="eastAsia" w:ascii="宋体" w:hAnsi="宋体" w:eastAsia="宋体" w:cs="宋体"/>
          <w:color w:val="auto"/>
          <w:sz w:val="21"/>
          <w:szCs w:val="21"/>
        </w:rPr>
        <w:t>15. 保证金</w:t>
      </w:r>
      <w:bookmarkEnd w:id="80"/>
      <w:bookmarkEnd w:id="81"/>
    </w:p>
    <w:p w14:paraId="73F3CA79">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本项目无需缴纳磋商保证金。</w:t>
      </w:r>
    </w:p>
    <w:p w14:paraId="75AF5216">
      <w:pPr>
        <w:pStyle w:val="4"/>
        <w:widowControl w:val="0"/>
        <w:spacing w:before="0" w:after="0" w:line="440" w:lineRule="exact"/>
        <w:ind w:firstLine="422" w:firstLineChars="200"/>
        <w:rPr>
          <w:rFonts w:hint="eastAsia" w:ascii="宋体" w:hAnsi="宋体" w:eastAsia="宋体" w:cs="宋体"/>
          <w:color w:val="auto"/>
          <w:sz w:val="21"/>
          <w:szCs w:val="21"/>
        </w:rPr>
      </w:pPr>
      <w:bookmarkStart w:id="82" w:name="_Toc387"/>
      <w:bookmarkStart w:id="83" w:name="_Toc30118"/>
      <w:r>
        <w:rPr>
          <w:rFonts w:hint="eastAsia" w:ascii="宋体" w:hAnsi="宋体" w:eastAsia="宋体" w:cs="宋体"/>
          <w:color w:val="auto"/>
          <w:sz w:val="21"/>
          <w:szCs w:val="21"/>
        </w:rPr>
        <w:t>16. 竞争性磋商响应文件的</w:t>
      </w:r>
      <w:bookmarkEnd w:id="82"/>
      <w:r>
        <w:rPr>
          <w:rFonts w:hint="eastAsia" w:ascii="宋体" w:hAnsi="宋体" w:eastAsia="宋体" w:cs="宋体"/>
          <w:color w:val="auto"/>
          <w:sz w:val="21"/>
          <w:szCs w:val="21"/>
        </w:rPr>
        <w:t>制作</w:t>
      </w:r>
      <w:bookmarkEnd w:id="83"/>
    </w:p>
    <w:p w14:paraId="6EFC1E9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21407FD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E92CB0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16.3 磋商响应文件不得涂改，若有修改错漏处，须法定代表人（负责人）或授权委托人签字（或个人CA签章）。磋商响应文件因字迹潦草或表达不清所引起的后果由供应商负责。</w:t>
      </w:r>
    </w:p>
    <w:p w14:paraId="1EB6F5F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91F6A9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16.4.1本项目实行在线磋商，采用电子磋商响应文件。若供应商参与磋商，自行承担磋商一切费用。 </w:t>
      </w:r>
    </w:p>
    <w:p w14:paraId="6B82A4A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2E8E938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40F4C699">
      <w:pPr>
        <w:pStyle w:val="4"/>
        <w:widowControl w:val="0"/>
        <w:spacing w:before="0" w:after="0" w:line="440" w:lineRule="exact"/>
        <w:ind w:firstLine="422" w:firstLineChars="200"/>
        <w:rPr>
          <w:rFonts w:hint="eastAsia" w:ascii="宋体" w:hAnsi="宋体" w:eastAsia="宋体" w:cs="宋体"/>
          <w:color w:val="auto"/>
          <w:sz w:val="21"/>
          <w:szCs w:val="21"/>
        </w:rPr>
      </w:pPr>
      <w:bookmarkStart w:id="84" w:name="_Toc9738"/>
      <w:r>
        <w:rPr>
          <w:rFonts w:hint="eastAsia" w:ascii="宋体" w:hAnsi="宋体" w:eastAsia="宋体" w:cs="宋体"/>
          <w:color w:val="auto"/>
          <w:sz w:val="21"/>
          <w:szCs w:val="21"/>
        </w:rPr>
        <w:t>17. 响应文件的修改和撤回</w:t>
      </w:r>
      <w:bookmarkEnd w:id="84"/>
    </w:p>
    <w:p w14:paraId="2F04B50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724010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17.2 在响应文件递交截止时间后的响应文件有效期内，供应商不得撤回其响应文件。</w:t>
      </w:r>
    </w:p>
    <w:p w14:paraId="7658A494">
      <w:pPr>
        <w:pStyle w:val="4"/>
        <w:widowControl w:val="0"/>
        <w:spacing w:before="0" w:after="0" w:line="440" w:lineRule="exact"/>
        <w:ind w:firstLine="422" w:firstLineChars="200"/>
        <w:rPr>
          <w:rFonts w:hint="eastAsia" w:ascii="宋体" w:hAnsi="宋体" w:eastAsia="宋体" w:cs="宋体"/>
          <w:color w:val="auto"/>
          <w:sz w:val="21"/>
          <w:szCs w:val="21"/>
        </w:rPr>
      </w:pPr>
      <w:bookmarkStart w:id="85" w:name="_Toc30156"/>
      <w:bookmarkStart w:id="86" w:name="_Toc24690"/>
      <w:r>
        <w:rPr>
          <w:rFonts w:hint="eastAsia" w:ascii="宋体" w:hAnsi="宋体" w:eastAsia="宋体" w:cs="宋体"/>
          <w:color w:val="auto"/>
          <w:sz w:val="21"/>
          <w:szCs w:val="21"/>
        </w:rPr>
        <w:t>18. 响应文件的递交和解密</w:t>
      </w:r>
      <w:bookmarkEnd w:id="85"/>
      <w:bookmarkEnd w:id="86"/>
    </w:p>
    <w:p w14:paraId="38E4479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18.1响应文件递交截止时间：于</w:t>
      </w:r>
      <w:r>
        <w:rPr>
          <w:rFonts w:hint="eastAsia" w:ascii="宋体" w:hAnsi="宋体" w:eastAsia="宋体" w:cs="宋体"/>
          <w:b/>
          <w:bCs/>
          <w:color w:val="auto"/>
          <w:szCs w:val="21"/>
          <w:u w:val="single"/>
        </w:rPr>
        <w:t>2025年</w:t>
      </w:r>
      <w:r>
        <w:rPr>
          <w:rFonts w:hint="eastAsia" w:ascii="宋体" w:hAnsi="宋体" w:eastAsia="宋体" w:cs="宋体"/>
          <w:b/>
          <w:bCs/>
          <w:color w:val="auto"/>
          <w:szCs w:val="21"/>
          <w:u w:val="single"/>
          <w:lang w:val="en-US" w:eastAsia="zh-CN"/>
        </w:rPr>
        <w:t>6月3日9时30</w:t>
      </w:r>
      <w:r>
        <w:rPr>
          <w:rFonts w:hint="eastAsia" w:ascii="宋体" w:hAnsi="宋体" w:eastAsia="宋体" w:cs="宋体"/>
          <w:b/>
          <w:bCs/>
          <w:color w:val="auto"/>
          <w:szCs w:val="21"/>
          <w:u w:val="single"/>
        </w:rPr>
        <w:t>分</w:t>
      </w:r>
      <w:r>
        <w:rPr>
          <w:rFonts w:hint="eastAsia" w:ascii="宋体" w:hAnsi="宋体" w:eastAsia="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313ACAB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18.2磋商响应文件解密时间：截标时间后</w:t>
      </w:r>
      <w:r>
        <w:rPr>
          <w:rFonts w:hint="eastAsia" w:ascii="宋体" w:hAnsi="宋体" w:eastAsia="宋体" w:cs="宋体"/>
          <w:color w:val="auto"/>
          <w:szCs w:val="21"/>
          <w:u w:val="single"/>
        </w:rPr>
        <w:t>30</w:t>
      </w:r>
      <w:r>
        <w:rPr>
          <w:rFonts w:hint="eastAsia" w:ascii="宋体" w:hAnsi="宋体" w:eastAsia="宋体" w:cs="宋体"/>
          <w:color w:val="auto"/>
          <w:szCs w:val="21"/>
        </w:rPr>
        <w:t>分钟内磋商供应商可以登录广西政府采购云平台，用“项目采购-开标评标”功能进行解密磋商文件。若磋商供应商在规定时间内无法解密或解密失败，可以以电子备份磋商响应文件作为依据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rPr>
        <w:t>【</w:t>
      </w:r>
      <w:r>
        <w:rPr>
          <w:rFonts w:hint="eastAsia" w:ascii="宋体" w:hAnsi="宋体" w:eastAsia="宋体" w:cs="宋体"/>
          <w:b/>
          <w:bCs/>
          <w:color w:val="auto"/>
        </w:rPr>
        <w:t>在接到无法解密或解密失败的通知后，磋商供应商可根据自身实际情况按通知时要求的时间到桂林市公共资源交易中心</w:t>
      </w:r>
      <w:r>
        <w:rPr>
          <w:rFonts w:hint="eastAsia" w:ascii="宋体" w:hAnsi="宋体" w:eastAsia="宋体" w:cs="宋体"/>
          <w:b/>
          <w:bCs/>
          <w:color w:val="auto"/>
          <w:lang w:val="en-US" w:eastAsia="zh-CN"/>
        </w:rPr>
        <w:t xml:space="preserve"> </w:t>
      </w:r>
      <w:r>
        <w:rPr>
          <w:rFonts w:hint="eastAsia" w:ascii="宋体" w:hAnsi="宋体" w:cs="宋体"/>
          <w:b/>
          <w:bCs/>
          <w:color w:val="auto"/>
          <w:u w:val="single"/>
          <w:lang w:val="en-US" w:eastAsia="zh-CN"/>
        </w:rPr>
        <w:t>10</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rPr>
        <w:t>号政采开标仓（广西桂林市临桂区西城中路69号创业大厦西辅楼4楼北区）现场提交或以电子邮件的形式（以通知时所告知的电子邮箱地址为准）提交电子备份磋商响应文件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b/>
          <w:bCs/>
          <w:color w:val="auto"/>
          <w:szCs w:val="21"/>
        </w:rPr>
        <w:t>】</w:t>
      </w:r>
      <w:r>
        <w:rPr>
          <w:rFonts w:hint="eastAsia" w:ascii="宋体" w:hAnsi="宋体" w:eastAsia="宋体" w:cs="宋体"/>
          <w:color w:val="auto"/>
          <w:szCs w:val="21"/>
        </w:rPr>
        <w:t>，若磋商供应商在规定时间内无法解密或解密失败且未提供电子备份磋商响应文件的(包含提供的电子备份文件无效或无法解密的情况)，视为响应文件撤回。</w:t>
      </w:r>
    </w:p>
    <w:p w14:paraId="7AFA08F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 除竞争性磋商文件另有规定外，供应商所递交的响应文件不予退还。</w:t>
      </w:r>
    </w:p>
    <w:p w14:paraId="512FC80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18.4 电子响应文件的相关说明</w:t>
      </w:r>
    </w:p>
    <w:p w14:paraId="6E7F7FD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5C7595A0">
      <w:pPr>
        <w:spacing w:line="440" w:lineRule="exact"/>
        <w:ind w:firstLine="420" w:firstLineChars="200"/>
        <w:rPr>
          <w:rFonts w:hint="eastAsia" w:ascii="宋体" w:hAnsi="宋体" w:eastAsia="宋体" w:cs="宋体"/>
          <w:bCs w:val="0"/>
          <w:color w:val="auto"/>
          <w:szCs w:val="28"/>
        </w:rPr>
      </w:pPr>
      <w:r>
        <w:rPr>
          <w:rFonts w:hint="eastAsia" w:ascii="宋体" w:hAnsi="宋体" w:eastAsia="宋体" w:cs="宋体"/>
          <w:color w:val="auto"/>
          <w:szCs w:val="21"/>
        </w:rPr>
        <w:t>（2）如有特殊情况，采购代理机构延长截止时间和开标时间，采购代理机构和供应商的权利和义务将受到新的截止时间和开标时间的约束。</w:t>
      </w:r>
      <w:bookmarkStart w:id="87" w:name="_Toc2433"/>
    </w:p>
    <w:p w14:paraId="4750FB1F">
      <w:pPr>
        <w:pStyle w:val="3"/>
        <w:tabs>
          <w:tab w:val="left" w:pos="567"/>
        </w:tabs>
        <w:spacing w:line="440" w:lineRule="exact"/>
        <w:jc w:val="center"/>
        <w:rPr>
          <w:rFonts w:hint="eastAsia" w:ascii="宋体" w:hAnsi="宋体" w:eastAsia="宋体" w:cs="宋体"/>
          <w:bCs w:val="0"/>
          <w:color w:val="auto"/>
          <w:szCs w:val="28"/>
        </w:rPr>
      </w:pPr>
      <w:bookmarkStart w:id="88" w:name="_Toc27502"/>
      <w:bookmarkStart w:id="89" w:name="_Toc5807"/>
      <w:bookmarkStart w:id="90" w:name="_Toc24848"/>
      <w:r>
        <w:rPr>
          <w:rFonts w:hint="eastAsia" w:ascii="宋体" w:hAnsi="宋体" w:eastAsia="宋体" w:cs="宋体"/>
          <w:bCs w:val="0"/>
          <w:color w:val="auto"/>
          <w:szCs w:val="28"/>
        </w:rPr>
        <w:t>四、竞争性磋商（简称磋商）与评审</w:t>
      </w:r>
      <w:bookmarkEnd w:id="87"/>
      <w:bookmarkEnd w:id="88"/>
      <w:bookmarkEnd w:id="89"/>
      <w:bookmarkEnd w:id="90"/>
    </w:p>
    <w:p w14:paraId="449000F4">
      <w:pPr>
        <w:pStyle w:val="4"/>
        <w:widowControl w:val="0"/>
        <w:spacing w:before="0" w:after="0" w:line="440" w:lineRule="exact"/>
        <w:ind w:firstLine="422" w:firstLineChars="200"/>
        <w:rPr>
          <w:rFonts w:hint="eastAsia" w:ascii="宋体" w:hAnsi="宋体" w:eastAsia="宋体" w:cs="宋体"/>
          <w:color w:val="auto"/>
          <w:sz w:val="21"/>
          <w:szCs w:val="21"/>
        </w:rPr>
      </w:pPr>
      <w:bookmarkStart w:id="91" w:name="_Toc31588"/>
      <w:bookmarkStart w:id="92" w:name="_Toc11021"/>
      <w:r>
        <w:rPr>
          <w:rFonts w:hint="eastAsia" w:ascii="宋体" w:hAnsi="宋体" w:eastAsia="宋体" w:cs="宋体"/>
          <w:color w:val="auto"/>
          <w:sz w:val="21"/>
          <w:szCs w:val="21"/>
        </w:rPr>
        <w:t>19. 磋商小组组成及磋商时间、地点、人员</w:t>
      </w:r>
      <w:bookmarkEnd w:id="91"/>
      <w:bookmarkEnd w:id="92"/>
    </w:p>
    <w:p w14:paraId="4DF8ED2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19.1 磋商小组组成：</w:t>
      </w:r>
    </w:p>
    <w:p w14:paraId="77645112">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磋商及评审组织工作由采购代理机构负责，具体磋商、评审工作由依法组建的磋商小组负责，磋商小组由采购人代表和有关方面的专家组成。磋商小组的构成：成员人数共3人，其中采购人代表1人，技术、经济等专家2人。</w:t>
      </w:r>
    </w:p>
    <w:p w14:paraId="78CBB41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19.2 磋商时间、地点、人员：</w:t>
      </w:r>
    </w:p>
    <w:p w14:paraId="61B0D9EC">
      <w:pPr>
        <w:spacing w:line="440" w:lineRule="exact"/>
        <w:ind w:firstLine="420" w:firstLineChars="200"/>
        <w:rPr>
          <w:rFonts w:hint="eastAsia" w:ascii="宋体" w:hAnsi="宋体" w:eastAsia="宋体" w:cs="宋体"/>
          <w:color w:val="auto"/>
          <w:szCs w:val="21"/>
        </w:rPr>
      </w:pPr>
      <w:bookmarkStart w:id="93" w:name="_Toc9878"/>
      <w:r>
        <w:rPr>
          <w:rFonts w:hint="eastAsia" w:ascii="宋体" w:hAnsi="宋体" w:eastAsia="宋体" w:cs="宋体"/>
          <w:color w:val="auto"/>
          <w:szCs w:val="21"/>
        </w:rPr>
        <w:t>19.2.1磋商时间：响应文件递交截止时间后。</w:t>
      </w:r>
      <w:bookmarkEnd w:id="93"/>
    </w:p>
    <w:p w14:paraId="33176592">
      <w:pPr>
        <w:spacing w:line="440" w:lineRule="exact"/>
        <w:ind w:firstLine="420" w:firstLineChars="200"/>
        <w:rPr>
          <w:rFonts w:hint="eastAsia" w:ascii="宋体" w:hAnsi="宋体" w:eastAsia="宋体" w:cs="宋体"/>
          <w:color w:val="auto"/>
          <w:szCs w:val="21"/>
        </w:rPr>
      </w:pPr>
      <w:bookmarkStart w:id="94" w:name="_Toc29268"/>
      <w:r>
        <w:rPr>
          <w:rFonts w:hint="eastAsia" w:ascii="宋体" w:hAnsi="宋体" w:eastAsia="宋体" w:cs="宋体"/>
          <w:color w:val="auto"/>
          <w:szCs w:val="21"/>
        </w:rPr>
        <w:t>19.2.2磋商地点：</w:t>
      </w:r>
      <w:bookmarkEnd w:id="94"/>
      <w:r>
        <w:rPr>
          <w:rFonts w:hint="eastAsia" w:ascii="宋体" w:hAnsi="宋体" w:eastAsia="宋体" w:cs="宋体"/>
          <w:color w:val="auto"/>
          <w:szCs w:val="21"/>
        </w:rPr>
        <w:t>本项目需要磋商供应商代表在截标当天截标后，按磋商小组要求及时登陆广西政府采购云平台等候在线磋商。</w:t>
      </w:r>
    </w:p>
    <w:p w14:paraId="4D011EAF">
      <w:pPr>
        <w:spacing w:line="440" w:lineRule="exact"/>
        <w:ind w:firstLine="420" w:firstLineChars="200"/>
        <w:rPr>
          <w:rFonts w:hint="eastAsia" w:ascii="宋体" w:hAnsi="宋体" w:eastAsia="宋体" w:cs="宋体"/>
          <w:bCs/>
          <w:color w:val="auto"/>
          <w:szCs w:val="21"/>
        </w:rPr>
      </w:pPr>
      <w:bookmarkStart w:id="95" w:name="_Toc21307"/>
      <w:r>
        <w:rPr>
          <w:rFonts w:hint="eastAsia" w:ascii="宋体" w:hAnsi="宋体" w:eastAsia="宋体" w:cs="宋体"/>
          <w:color w:val="auto"/>
          <w:szCs w:val="21"/>
        </w:rPr>
        <w:t>19</w:t>
      </w:r>
      <w:r>
        <w:rPr>
          <w:rFonts w:hint="eastAsia" w:ascii="宋体" w:hAnsi="宋体" w:eastAsia="宋体" w:cs="宋体"/>
          <w:bCs/>
          <w:color w:val="auto"/>
          <w:szCs w:val="21"/>
        </w:rPr>
        <w:t>.2.3磋商参加人员：供应商法定代表人、负责人、自然人或相应的委托代理人持</w:t>
      </w:r>
      <w:r>
        <w:rPr>
          <w:rFonts w:hint="eastAsia" w:ascii="宋体" w:hAnsi="宋体" w:eastAsia="宋体" w:cs="宋体"/>
          <w:bCs/>
          <w:color w:val="auto"/>
          <w:szCs w:val="21"/>
          <w:u w:val="single"/>
        </w:rPr>
        <w:t>有效身份证原件</w:t>
      </w:r>
      <w:r>
        <w:rPr>
          <w:rFonts w:hint="eastAsia" w:ascii="宋体" w:hAnsi="宋体" w:eastAsia="宋体" w:cs="宋体"/>
          <w:bCs/>
          <w:color w:val="auto"/>
          <w:szCs w:val="21"/>
        </w:rPr>
        <w:t>和供应商</w:t>
      </w:r>
      <w:r>
        <w:rPr>
          <w:rFonts w:hint="eastAsia" w:ascii="宋体" w:hAnsi="宋体" w:eastAsia="宋体" w:cs="宋体"/>
          <w:bCs/>
          <w:color w:val="auto"/>
          <w:szCs w:val="21"/>
          <w:u w:val="single"/>
        </w:rPr>
        <w:t>广西政府采购云平台CA数字证书</w:t>
      </w:r>
      <w:r>
        <w:rPr>
          <w:rFonts w:hint="eastAsia" w:ascii="宋体" w:hAnsi="宋体" w:eastAsia="宋体" w:cs="宋体"/>
          <w:bCs/>
          <w:color w:val="auto"/>
          <w:szCs w:val="21"/>
        </w:rPr>
        <w:t>参加磋商。请供应商按时等候磋商。</w:t>
      </w:r>
      <w:bookmarkEnd w:id="95"/>
    </w:p>
    <w:p w14:paraId="4C49A0EC">
      <w:pPr>
        <w:spacing w:line="440" w:lineRule="exact"/>
        <w:ind w:firstLine="420" w:firstLineChars="200"/>
        <w:rPr>
          <w:rFonts w:hint="eastAsia" w:ascii="宋体" w:hAnsi="宋体" w:eastAsia="宋体" w:cs="宋体"/>
          <w:bCs/>
          <w:color w:val="auto"/>
          <w:szCs w:val="21"/>
        </w:rPr>
      </w:pPr>
      <w:bookmarkStart w:id="96" w:name="_Toc6288"/>
      <w:r>
        <w:rPr>
          <w:rFonts w:hint="eastAsia" w:ascii="宋体" w:hAnsi="宋体" w:eastAsia="宋体" w:cs="宋体"/>
          <w:bCs/>
          <w:color w:val="auto"/>
          <w:szCs w:val="21"/>
        </w:rPr>
        <w:t>19.2.4响应文件递交截止时间后，由磋商小组在评标室内线上开启响应文件。</w:t>
      </w:r>
      <w:bookmarkEnd w:id="96"/>
    </w:p>
    <w:p w14:paraId="6559AB61">
      <w:pPr>
        <w:pStyle w:val="4"/>
        <w:widowControl w:val="0"/>
        <w:spacing w:before="0" w:after="0" w:line="440" w:lineRule="exact"/>
        <w:ind w:firstLine="422" w:firstLineChars="200"/>
        <w:rPr>
          <w:rFonts w:hint="eastAsia" w:ascii="宋体" w:hAnsi="宋体" w:eastAsia="宋体" w:cs="宋体"/>
          <w:color w:val="auto"/>
          <w:sz w:val="21"/>
          <w:szCs w:val="21"/>
        </w:rPr>
      </w:pPr>
      <w:bookmarkStart w:id="97" w:name="_Toc21088"/>
      <w:bookmarkStart w:id="98" w:name="_Toc25258"/>
      <w:r>
        <w:rPr>
          <w:rFonts w:hint="eastAsia" w:ascii="宋体" w:hAnsi="宋体" w:eastAsia="宋体" w:cs="宋体"/>
          <w:color w:val="auto"/>
          <w:sz w:val="21"/>
          <w:szCs w:val="21"/>
        </w:rPr>
        <w:t>20. 评审原则</w:t>
      </w:r>
      <w:bookmarkEnd w:id="97"/>
      <w:bookmarkEnd w:id="98"/>
    </w:p>
    <w:p w14:paraId="10DF00B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20.1 磋商小组必须坚持公平、公正、科学和择优的原则。</w:t>
      </w:r>
    </w:p>
    <w:p w14:paraId="602AB20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20.2 评审办法：综合评分法，具体详见第四章评审办法。</w:t>
      </w:r>
    </w:p>
    <w:p w14:paraId="5D7A913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 磋商小组应按磋商文件进行评审，不得擅自更改评审办法。</w:t>
      </w:r>
    </w:p>
    <w:p w14:paraId="6E1F2D9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20.4 在评审过程中，磋商小组任何人不得对某个供应商发表任何倾向性意见，不得向其他磋商小组成员明示或者暗示自己的评审意见。</w:t>
      </w:r>
    </w:p>
    <w:p w14:paraId="14EDF14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20.5 磋商小组成员对需要共同认定的事项存在争议的，按照少数服从多数的原则作出结论。持不同意见的磋商小组成员应当在评审报告上签署不同意见并说明理由，否则视为同意。</w:t>
      </w:r>
    </w:p>
    <w:p w14:paraId="3471C3E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20.6 响应文件最后报价出现前后不一致的，除竞争性磋商文件另有规定外，按照下列规定修正：</w:t>
      </w:r>
    </w:p>
    <w:p w14:paraId="5EFD21C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响应文件中磋商报价表内容与响应文件中相应内容不一致的，以最后磋商报价表为准；</w:t>
      </w:r>
    </w:p>
    <w:p w14:paraId="188B406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大写金额和小写金额不一致的，以大写金额为准；</w:t>
      </w:r>
    </w:p>
    <w:p w14:paraId="2F40D12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单价金额小数点或者百分比有明显错位的，以报价表的总价为准，并修改单价；</w:t>
      </w:r>
    </w:p>
    <w:p w14:paraId="5047E56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总价金额与按单价汇总金额不一致的，以单价金额计算结果为准。</w:t>
      </w:r>
    </w:p>
    <w:p w14:paraId="66C018B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78840C3">
      <w:pPr>
        <w:pStyle w:val="4"/>
        <w:widowControl w:val="0"/>
        <w:spacing w:before="0" w:after="0" w:line="440" w:lineRule="exact"/>
        <w:ind w:firstLine="422" w:firstLineChars="200"/>
        <w:rPr>
          <w:rFonts w:hint="eastAsia" w:ascii="宋体" w:hAnsi="宋体" w:eastAsia="宋体" w:cs="宋体"/>
          <w:color w:val="auto"/>
          <w:sz w:val="21"/>
          <w:szCs w:val="21"/>
        </w:rPr>
      </w:pPr>
      <w:bookmarkStart w:id="99" w:name="_Toc21012"/>
      <w:bookmarkStart w:id="100" w:name="_Toc27193"/>
      <w:r>
        <w:rPr>
          <w:rFonts w:hint="eastAsia" w:ascii="宋体" w:hAnsi="宋体" w:eastAsia="宋体" w:cs="宋体"/>
          <w:color w:val="auto"/>
          <w:sz w:val="21"/>
          <w:szCs w:val="21"/>
        </w:rPr>
        <w:t>21. 评审程序及磋商要求</w:t>
      </w:r>
      <w:bookmarkEnd w:id="99"/>
      <w:bookmarkEnd w:id="100"/>
    </w:p>
    <w:p w14:paraId="5AB7D9C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5486038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EFF6B4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538B3128">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15AE4E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21.4.1 查询渠道：《国家企业信用信息公示系统》（网址：www.gsxt.gov.cn/index.html）</w:t>
      </w:r>
    </w:p>
    <w:p w14:paraId="7AA5A5B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21.4.2 审查流程：</w:t>
      </w:r>
    </w:p>
    <w:p w14:paraId="6D930B0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（1）进入《国家企业信用信息公示系统》（网址：www.gsxt.gov.cn/index.html），输入企业名称，进入企业信息主页面；</w:t>
      </w:r>
    </w:p>
    <w:p w14:paraId="042FFA2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（2）查看主页“股东及出资信息”栏，或年报中的“股东及出资信息”栏信息；</w:t>
      </w:r>
    </w:p>
    <w:p w14:paraId="49522AC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（3）将各供应商的股东及出资信息进行比对，得出审查结论；</w:t>
      </w:r>
    </w:p>
    <w:p w14:paraId="4606C18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（4）将相关资料作为评审资料打印存档。</w:t>
      </w:r>
    </w:p>
    <w:p w14:paraId="727D1E2B">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21.5 磋商小组如发现供应商提供的证明文件不齐全或不符合规定格式的，应一次性告知供应商，供应商应在规定的时间内线上补正或更正。</w:t>
      </w:r>
    </w:p>
    <w:p w14:paraId="6A5A4E1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rPr>
        <w:t>个人CA签章)</w:t>
      </w:r>
      <w:r>
        <w:rPr>
          <w:rFonts w:hint="eastAsia" w:ascii="宋体" w:hAnsi="宋体" w:eastAsia="宋体" w:cs="宋体"/>
          <w:color w:val="auto"/>
          <w:szCs w:val="21"/>
        </w:rPr>
        <w:t>或者加盖供应商公章(CA签章)。</w:t>
      </w:r>
    </w:p>
    <w:p w14:paraId="1E9009E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根据磋商文件规定的程序、评定成交的标准等事项与实质性响应竞争性磋商文件要求的供应商进行磋商。 </w:t>
      </w:r>
    </w:p>
    <w:p w14:paraId="2B58FFD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未实质性响应磋商文件的响应文件按无效处理，磋商小组应当告知有关供应商。 </w:t>
      </w:r>
    </w:p>
    <w:p w14:paraId="3C33576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磋商小组所有成员应当按已确定的磋商顺序集中与单一供应商分别进行磋商，并给予所有实质性响应竞争性磋商文件要求的供应商平等的磋商机会。 </w:t>
      </w:r>
    </w:p>
    <w:p w14:paraId="27D2E9F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磋商中，磋商小组不得透露与磋商有关的其他供应商的技术资料、价格和其他信息。 </w:t>
      </w:r>
    </w:p>
    <w:p w14:paraId="77EB28C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磋商小组对磋商过程和重要磋商内容进行记录，磋商双方在记录上签字确认。 </w:t>
      </w:r>
    </w:p>
    <w:p w14:paraId="738F66F1">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F8DCD7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468B1E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对磋商文件作出的实质性变动是磋商文件的有效组成部分，磋商小组应当及时通过广西政府采购云平台同时通知所有参加磋商的供应商。 </w:t>
      </w:r>
    </w:p>
    <w:p w14:paraId="39B93D3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185304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21.9 第二轮磋商</w:t>
      </w:r>
    </w:p>
    <w:p w14:paraId="5F50A51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磋商小组集中就重新提交的响应文件或磋商小组提出的磋商意见与单一响应供应商分别进行磋商。磋商小组对磋商过程和重要磋商内容进行记录，磋商双方在记录上签字确认（CA签章确认）。</w:t>
      </w:r>
    </w:p>
    <w:p w14:paraId="0CB298C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磋商后，供应商根据磋商小组统一整理的书面磋商记录要求做出书面承诺，并由其法定代表人或授权代表签字或者加盖公章（CA签章）后按时线上提交。</w:t>
      </w:r>
    </w:p>
    <w:p w14:paraId="1528CD0B">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1A8D517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21.10 在采购过程中符合竞争要求的供应商或者报价未超过采购预算的供应商不足 3 家的，采购人或者采购代理机构应当终止竞争性磋商采购活动。 </w:t>
      </w:r>
    </w:p>
    <w:p w14:paraId="0FA8377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 最后报价 </w:t>
      </w:r>
    </w:p>
    <w:p w14:paraId="6203746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21.11.1 磋商文件能够详细列明采购标的的质量要求的，磋商结束后，磋商小组应当要求所有继续参加磋商的供应商在规定时间内线上提交最后报价，提交最后报价的供应商不得少于 3 家。 </w:t>
      </w:r>
    </w:p>
    <w:p w14:paraId="60F8BA7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214CBFF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21.11.3</w:t>
      </w:r>
      <w:r>
        <w:rPr>
          <w:rFonts w:hint="eastAsia" w:ascii="宋体" w:hAnsi="宋体" w:eastAsia="宋体" w:cs="宋体"/>
          <w:color w:val="auto"/>
          <w:kern w:val="0"/>
          <w:szCs w:val="21"/>
        </w:rPr>
        <w:t>最后报价（应答文件）是供应商响应文件的有效组成部分：</w:t>
      </w:r>
      <w:r>
        <w:rPr>
          <w:rFonts w:hint="eastAsia" w:ascii="宋体" w:hAnsi="宋体" w:eastAsia="宋体" w:cs="宋体"/>
          <w:b/>
          <w:color w:val="auto"/>
          <w:spacing w:val="-4"/>
          <w:szCs w:val="21"/>
        </w:rPr>
        <w:t>供应商做最终报价时，如供应商维持磋商报价不变，以原磋商报价作为供应商最后报价；供应商应预先准备好调整后的完整已标价的标的清单。如供应商在磋商过程中，改变原报价且未按竞争性磋商文件要求提供调整后的磋商报价电子版（含调整后的完整已标价的标的清单）的，其报价不予认可，视供应商维持原磋商报价不变</w:t>
      </w:r>
      <w:r>
        <w:rPr>
          <w:rFonts w:hint="eastAsia" w:ascii="宋体" w:hAnsi="宋体" w:eastAsia="宋体" w:cs="宋体"/>
          <w:b/>
          <w:color w:val="auto"/>
          <w:szCs w:val="21"/>
        </w:rPr>
        <w:t>。</w:t>
      </w:r>
      <w:r>
        <w:rPr>
          <w:rFonts w:hint="eastAsia" w:ascii="宋体" w:hAnsi="宋体" w:eastAsia="宋体" w:cs="宋体"/>
          <w:color w:val="auto"/>
          <w:spacing w:val="-4"/>
          <w:szCs w:val="21"/>
        </w:rPr>
        <w:t>必须由供应商</w:t>
      </w:r>
      <w:r>
        <w:rPr>
          <w:rFonts w:hint="eastAsia" w:ascii="宋体" w:hAnsi="宋体" w:eastAsia="宋体" w:cs="宋体"/>
          <w:color w:val="auto"/>
          <w:szCs w:val="21"/>
        </w:rPr>
        <w:t>加盖公章（CA签章）</w:t>
      </w:r>
      <w:r>
        <w:rPr>
          <w:rFonts w:hint="eastAsia" w:ascii="宋体" w:hAnsi="宋体" w:eastAsia="宋体" w:cs="宋体"/>
          <w:color w:val="auto"/>
          <w:spacing w:val="-4"/>
          <w:szCs w:val="21"/>
        </w:rPr>
        <w:t>。</w:t>
      </w:r>
    </w:p>
    <w:p w14:paraId="28A7D7FF">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 xml:space="preserve">21.11.4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7A1ED86">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21.11.5 根据《政府采购竞争性磋商采购方式管理暂行办法》(财库〔2014〕214 号)的规定：</w:t>
      </w:r>
      <w:r>
        <w:rPr>
          <w:rFonts w:hint="eastAsia" w:ascii="宋体" w:hAnsi="宋体" w:eastAsia="宋体" w:cs="宋体"/>
          <w:b/>
          <w:bCs/>
          <w:color w:val="auto"/>
          <w:szCs w:val="21"/>
        </w:rPr>
        <w:t xml:space="preserve">最后报价是供应商响应文件的有效组成部分。 </w:t>
      </w:r>
      <w:r>
        <w:rPr>
          <w:rFonts w:hint="eastAsia" w:ascii="宋体" w:hAnsi="宋体" w:eastAsia="宋体" w:cs="宋体"/>
          <w:color w:val="auto"/>
          <w:szCs w:val="21"/>
        </w:rPr>
        <w:t>符合本办法(财库〔2014〕214号文)第三条第四项情形的，提交最后报价的供应商可以为2家。</w:t>
      </w:r>
      <w:r>
        <w:rPr>
          <w:rFonts w:hint="eastAsia" w:ascii="宋体" w:hAnsi="宋体" w:eastAsia="宋体" w:cs="宋体"/>
          <w:b/>
          <w:bCs/>
          <w:color w:val="auto"/>
          <w:szCs w:val="21"/>
        </w:rPr>
        <w:t>（财库〔2014〕214号文第三条第四项：市场竞争不充分的科研项目，以及需要扶持的科技成果转化项目。）</w:t>
      </w:r>
    </w:p>
    <w:p w14:paraId="4D36F13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21.12 已提交响应文件的供应商，在提交最后报价之前，可以根据磋商情况书面退出磋商。 </w:t>
      </w:r>
    </w:p>
    <w:p w14:paraId="5B6353D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未书面退出磋商的供应商在规定时间内线上提交最后报价，其最后报价超出采购预算导致已通过评审的响应文件无效的，按供应商在提交响应文件截止时间后撤回响应文件处理。 </w:t>
      </w:r>
    </w:p>
    <w:p w14:paraId="5DE7EFC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21.13 评审报告 </w:t>
      </w:r>
    </w:p>
    <w:p w14:paraId="1AE5330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磋商小组应当从质量和服务均能满足磋商文件全部实质性响应要求的供应商中，按照最后综合得分由高到低的顺序提出 3 名以上（含 3 名）成交候选人，并编写评审报告。</w:t>
      </w:r>
    </w:p>
    <w:p w14:paraId="77705FA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143DBEB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21.15 采购代理机构发现磋商小组有明显的违规倾向或歧视现象，或不按评审办法进行，或其他不正常行为的，应当及时制止。如制止无效，应及时向政府采购监督管理机构报告。</w:t>
      </w:r>
    </w:p>
    <w:p w14:paraId="58F9B328">
      <w:pPr>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szCs w:val="21"/>
        </w:rPr>
        <w:t>21.16 本采购项目的评审依据为竞争性磋商文件和竞争性磋商响应文件，采用的评审方法为</w:t>
      </w:r>
      <w:r>
        <w:rPr>
          <w:rFonts w:hint="eastAsia" w:ascii="宋体" w:hAnsi="宋体" w:eastAsia="宋体" w:cs="宋体"/>
          <w:b/>
          <w:bCs/>
          <w:color w:val="auto"/>
          <w:szCs w:val="21"/>
        </w:rPr>
        <w:t>综合评分法。</w:t>
      </w:r>
    </w:p>
    <w:p w14:paraId="3EDE736C">
      <w:pPr>
        <w:pStyle w:val="4"/>
        <w:widowControl w:val="0"/>
        <w:spacing w:before="0" w:after="0" w:line="440" w:lineRule="exact"/>
        <w:ind w:firstLine="422" w:firstLineChars="200"/>
        <w:rPr>
          <w:rFonts w:hint="eastAsia" w:ascii="宋体" w:hAnsi="宋体" w:eastAsia="宋体" w:cs="宋体"/>
          <w:color w:val="auto"/>
          <w:sz w:val="21"/>
          <w:szCs w:val="21"/>
        </w:rPr>
      </w:pPr>
      <w:bookmarkStart w:id="101" w:name="_Toc18722"/>
      <w:bookmarkStart w:id="102" w:name="_Toc32470"/>
      <w:r>
        <w:rPr>
          <w:rFonts w:hint="eastAsia" w:ascii="宋体" w:hAnsi="宋体" w:eastAsia="宋体" w:cs="宋体"/>
          <w:color w:val="auto"/>
          <w:sz w:val="21"/>
          <w:szCs w:val="21"/>
        </w:rPr>
        <w:t>22. 确定成交供应商</w:t>
      </w:r>
      <w:bookmarkEnd w:id="101"/>
      <w:bookmarkEnd w:id="102"/>
    </w:p>
    <w:p w14:paraId="2EF4371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技术分、商务分由高到低顺序排列并推荐成交候选供应商；其他情况则由采购人或磋商小组按照抽签的方式决定排列次序。</w:t>
      </w:r>
    </w:p>
    <w:p w14:paraId="6015F73C">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22.2采购单位应当确定磋商小组推荐排名第一的成交候选人为成交供应商。</w:t>
      </w:r>
    </w:p>
    <w:p w14:paraId="4AE5640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916B3F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22.4排名第二的成交候选人因前款规定的同样原因不能签订合同的，采购单位可以确定排名第三的成交候选人为成交供应商。</w:t>
      </w:r>
    </w:p>
    <w:p w14:paraId="66FE0FB3">
      <w:pPr>
        <w:pStyle w:val="4"/>
        <w:widowControl w:val="0"/>
        <w:spacing w:before="0" w:after="0" w:line="440" w:lineRule="exact"/>
        <w:ind w:firstLine="422" w:firstLineChars="200"/>
        <w:rPr>
          <w:rFonts w:hint="eastAsia" w:ascii="宋体" w:hAnsi="宋体" w:eastAsia="宋体" w:cs="宋体"/>
          <w:color w:val="auto"/>
          <w:sz w:val="21"/>
          <w:szCs w:val="21"/>
        </w:rPr>
      </w:pPr>
      <w:bookmarkStart w:id="103" w:name="_Toc21715"/>
      <w:bookmarkStart w:id="104" w:name="_Toc15332"/>
      <w:r>
        <w:rPr>
          <w:rFonts w:hint="eastAsia" w:ascii="宋体" w:hAnsi="宋体" w:eastAsia="宋体" w:cs="宋体"/>
          <w:color w:val="auto"/>
          <w:sz w:val="21"/>
          <w:szCs w:val="21"/>
        </w:rPr>
        <w:t>23. 属于下列情况之一者，响应文件无效</w:t>
      </w:r>
      <w:bookmarkEnd w:id="103"/>
      <w:bookmarkEnd w:id="104"/>
    </w:p>
    <w:p w14:paraId="0C92D08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（1）未按磋商文件规定完整线上提交响应文件或未按规定要求线上签字、签章的；</w:t>
      </w:r>
    </w:p>
    <w:p w14:paraId="43554F6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（2）不具备磋商文件规定的资格要求的；</w:t>
      </w:r>
    </w:p>
    <w:p w14:paraId="4D65A54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284B339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（4）响应文件未按磋商文件的内容和要求编制，或提供虚假材料的；</w:t>
      </w:r>
    </w:p>
    <w:p w14:paraId="61040E0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（5）响应文件有效期、交付使用期、免费保修期、售后服务不能满足竞争性磋商文件要求的；</w:t>
      </w:r>
    </w:p>
    <w:p w14:paraId="12A6EFD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rPr>
        <w:t>竞标</w:t>
      </w:r>
      <w:r>
        <w:rPr>
          <w:rFonts w:hint="eastAsia" w:ascii="宋体" w:hAnsi="宋体" w:eastAsia="宋体" w:cs="宋体"/>
          <w:color w:val="auto"/>
          <w:szCs w:val="21"/>
        </w:rPr>
        <w:t>人未就“项目采购需求”中的所有内容作完整唯一报价的；</w:t>
      </w:r>
    </w:p>
    <w:p w14:paraId="3E2F13F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（7）未在磋商小组规定的时间内提交响应文件(包括最后报价)的；</w:t>
      </w:r>
    </w:p>
    <w:p w14:paraId="65F966A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（8）超越了按照法律法规规定必须获得行政许可或者行政审批的经营范围的；</w:t>
      </w:r>
    </w:p>
    <w:p w14:paraId="67D9402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（9）未满足磋商文件实质性要求的或者响应文件有采购人不能接受的附加条件的；</w:t>
      </w:r>
    </w:p>
    <w:p w14:paraId="5D79B9E2">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（10）响应文件实质性要求未做变动，供应商最后报价高于第一次报价的；</w:t>
      </w:r>
    </w:p>
    <w:p w14:paraId="34DE802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（11）不符合法律、法规和磋商文件规定的其他实质性要求和条件的。</w:t>
      </w:r>
    </w:p>
    <w:p w14:paraId="72B54364">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供应商有下列情形之一的视为供应商相互串通磋商，响应文件将被视为无效</w:t>
      </w:r>
    </w:p>
    <w:p w14:paraId="54967AA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（1）不同供应商的响应文件由同一单位或者个人编制；或不同供应商报名的IP地址一致的；</w:t>
      </w:r>
    </w:p>
    <w:p w14:paraId="51F973D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（2）不同供应商委托同一单位或者个人办理磋商事宜；</w:t>
      </w:r>
    </w:p>
    <w:p w14:paraId="7FCB3FC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（3）不同的供应商的响应文件载明的项目管理员为同一个人；</w:t>
      </w:r>
    </w:p>
    <w:p w14:paraId="346E51F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（4）不同供应商的响应文件异常一致或竞标报价呈规律性差异；</w:t>
      </w:r>
    </w:p>
    <w:p w14:paraId="2ED0788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（5）不同供应商的响应文件相互混编。</w:t>
      </w:r>
    </w:p>
    <w:p w14:paraId="10CF9AE2">
      <w:pPr>
        <w:pStyle w:val="4"/>
        <w:widowControl w:val="0"/>
        <w:spacing w:before="0" w:after="0" w:line="440" w:lineRule="exact"/>
        <w:ind w:firstLine="422" w:firstLineChars="200"/>
        <w:rPr>
          <w:rFonts w:hint="eastAsia" w:ascii="宋体" w:hAnsi="宋体" w:eastAsia="宋体" w:cs="宋体"/>
          <w:color w:val="auto"/>
          <w:sz w:val="21"/>
          <w:szCs w:val="21"/>
        </w:rPr>
      </w:pPr>
      <w:bookmarkStart w:id="105" w:name="_Toc27786"/>
      <w:bookmarkStart w:id="106" w:name="_Toc5714"/>
      <w:r>
        <w:rPr>
          <w:rFonts w:hint="eastAsia" w:ascii="宋体" w:hAnsi="宋体" w:eastAsia="宋体" w:cs="宋体"/>
          <w:color w:val="auto"/>
          <w:sz w:val="21"/>
          <w:szCs w:val="21"/>
        </w:rPr>
        <w:t>24. 出现下列情形之一的，采购人或者采购代理机构应当终止竞争性磋商采购活动，发布项目终止公告并说明原因，重新开展采购活动</w:t>
      </w:r>
      <w:bookmarkEnd w:id="105"/>
      <w:bookmarkEnd w:id="106"/>
    </w:p>
    <w:p w14:paraId="7FE1A72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（1）因情况变化，不再符合规定的竞争性磋商采购方式适用情形的；</w:t>
      </w:r>
    </w:p>
    <w:p w14:paraId="6A0EC7A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（2）出现影响采购公正的违法、违规行为的； </w:t>
      </w:r>
    </w:p>
    <w:p w14:paraId="0AE0981B">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（3）在采购过程中符合竞争要求的供应商或者报价未超过采购预算的供应商不足3家的。</w:t>
      </w:r>
      <w:r>
        <w:rPr>
          <w:rFonts w:hint="eastAsia" w:ascii="宋体" w:hAnsi="宋体" w:eastAsia="宋体" w:cs="宋体"/>
          <w:b/>
          <w:bCs/>
          <w:color w:val="auto"/>
          <w:szCs w:val="21"/>
        </w:rPr>
        <w:t xml:space="preserve">（除财库〔2014〕214 号《政府采购竞争性磋商采购方式管理暂行办法》第二十一条第三款规定的情形外） </w:t>
      </w:r>
    </w:p>
    <w:p w14:paraId="5F7B8BC0">
      <w:pPr>
        <w:pStyle w:val="4"/>
        <w:widowControl w:val="0"/>
        <w:spacing w:before="0" w:after="0" w:line="440" w:lineRule="exact"/>
        <w:ind w:firstLine="422" w:firstLineChars="200"/>
        <w:rPr>
          <w:rFonts w:hint="eastAsia" w:ascii="宋体" w:hAnsi="宋体" w:eastAsia="宋体" w:cs="宋体"/>
          <w:color w:val="auto"/>
          <w:sz w:val="21"/>
          <w:szCs w:val="21"/>
        </w:rPr>
      </w:pPr>
      <w:bookmarkStart w:id="107" w:name="_Toc19910"/>
      <w:bookmarkStart w:id="108" w:name="_Toc19105"/>
      <w:r>
        <w:rPr>
          <w:rFonts w:hint="eastAsia" w:ascii="宋体" w:hAnsi="宋体" w:eastAsia="宋体" w:cs="宋体"/>
          <w:color w:val="auto"/>
          <w:sz w:val="21"/>
          <w:szCs w:val="21"/>
        </w:rPr>
        <w:t>25. 磋商过程的监控</w:t>
      </w:r>
      <w:bookmarkEnd w:id="107"/>
      <w:bookmarkEnd w:id="108"/>
    </w:p>
    <w:p w14:paraId="2230EA5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本项目磋商过程实行全程录音、录像监控，供应商在磋商过程中所进行的试图影响磋商结果的不公正活动，可能导致其磋商被拒绝。</w:t>
      </w:r>
    </w:p>
    <w:p w14:paraId="37A4C92B">
      <w:pPr>
        <w:pStyle w:val="4"/>
        <w:widowControl w:val="0"/>
        <w:numPr>
          <w:ilvl w:val="0"/>
          <w:numId w:val="3"/>
        </w:numPr>
        <w:spacing w:before="0" w:after="0" w:line="440" w:lineRule="exact"/>
        <w:ind w:firstLine="422" w:firstLineChars="200"/>
        <w:rPr>
          <w:rFonts w:hint="eastAsia" w:ascii="宋体" w:hAnsi="宋体" w:eastAsia="宋体" w:cs="宋体"/>
          <w:color w:val="auto"/>
          <w:sz w:val="21"/>
          <w:szCs w:val="21"/>
        </w:rPr>
      </w:pPr>
      <w:bookmarkStart w:id="109" w:name="_Toc26291"/>
      <w:bookmarkStart w:id="110" w:name="_Toc14787"/>
      <w:r>
        <w:rPr>
          <w:rFonts w:hint="eastAsia" w:ascii="宋体" w:hAnsi="宋体" w:eastAsia="宋体" w:cs="宋体"/>
          <w:color w:val="auto"/>
          <w:sz w:val="21"/>
          <w:szCs w:val="21"/>
        </w:rPr>
        <w:t>信用查询</w:t>
      </w:r>
      <w:bookmarkEnd w:id="109"/>
      <w:bookmarkEnd w:id="110"/>
    </w:p>
    <w:p w14:paraId="7E429D0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根据《关于做好政府采购有关信用主体标识码登记及在政府采购活动中查询使用信用记录有关问题的通知》桂财采〔2016〕37号的通知，采购代理机构对成交人的成交资格进行信用查询：</w:t>
      </w:r>
    </w:p>
    <w:p w14:paraId="01C54EC2">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（1）查询渠道：“信用中国”网站(www.creditchina.gov.cn)、中国政府采购网(www.ccgp.gov.cn)等；</w:t>
      </w:r>
    </w:p>
    <w:p w14:paraId="067E0369">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（2）查询时间：成交通知书发出前；</w:t>
      </w:r>
    </w:p>
    <w:p w14:paraId="7A3EB640">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（3）信用信息查询记录和证据留存方式：在查询网站中直接打印查询记录，打印材料作为采购活动资料保存。</w:t>
      </w:r>
    </w:p>
    <w:p w14:paraId="3417F2E3">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5098EC8E">
      <w:pPr>
        <w:pStyle w:val="4"/>
        <w:widowControl w:val="0"/>
        <w:spacing w:before="0" w:after="0" w:line="440" w:lineRule="exact"/>
        <w:ind w:firstLine="422" w:firstLineChars="200"/>
        <w:rPr>
          <w:rFonts w:hint="eastAsia" w:ascii="宋体" w:hAnsi="宋体" w:eastAsia="宋体" w:cs="宋体"/>
          <w:color w:val="auto"/>
          <w:sz w:val="21"/>
          <w:szCs w:val="21"/>
        </w:rPr>
      </w:pPr>
      <w:bookmarkStart w:id="111" w:name="_Toc9438"/>
      <w:bookmarkStart w:id="112" w:name="_Toc25468"/>
      <w:r>
        <w:rPr>
          <w:rFonts w:hint="eastAsia" w:ascii="宋体" w:hAnsi="宋体" w:eastAsia="宋体" w:cs="宋体"/>
          <w:color w:val="auto"/>
          <w:sz w:val="21"/>
          <w:szCs w:val="21"/>
        </w:rPr>
        <w:t>27. 成交结果公告及成交通知书</w:t>
      </w:r>
      <w:bookmarkEnd w:id="111"/>
      <w:bookmarkEnd w:id="112"/>
    </w:p>
    <w:p w14:paraId="2C9A1CC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3A6125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27.2 在发布成交公告的同时，采购代理机构向成交供应商发出成交通知书。成交供应商自接到通知之日起七个工作日内，办理成交通知书领取手续。</w:t>
      </w:r>
    </w:p>
    <w:p w14:paraId="7948B4F2">
      <w:pPr>
        <w:spacing w:line="440" w:lineRule="exact"/>
        <w:ind w:firstLine="420" w:firstLineChars="200"/>
        <w:rPr>
          <w:rFonts w:hint="eastAsia" w:ascii="宋体" w:hAnsi="宋体" w:eastAsia="宋体" w:cs="宋体"/>
          <w:b/>
          <w:color w:val="auto"/>
          <w:szCs w:val="28"/>
        </w:rPr>
      </w:pPr>
      <w:r>
        <w:rPr>
          <w:rFonts w:hint="eastAsia" w:ascii="宋体" w:hAnsi="宋体" w:eastAsia="宋体" w:cs="宋体"/>
          <w:color w:val="auto"/>
          <w:szCs w:val="21"/>
        </w:rPr>
        <w:t>27.3 采购代理机构无义务向未成交的供应商解释未成交原因和退还响应文件。</w:t>
      </w:r>
      <w:bookmarkStart w:id="113" w:name="_Toc25593"/>
    </w:p>
    <w:p w14:paraId="26425270">
      <w:pPr>
        <w:pStyle w:val="3"/>
        <w:tabs>
          <w:tab w:val="left" w:pos="567"/>
        </w:tabs>
        <w:spacing w:line="440" w:lineRule="exact"/>
        <w:jc w:val="center"/>
        <w:rPr>
          <w:rFonts w:hint="eastAsia" w:ascii="宋体" w:hAnsi="宋体" w:eastAsia="宋体" w:cs="宋体"/>
          <w:bCs w:val="0"/>
          <w:color w:val="auto"/>
          <w:szCs w:val="28"/>
        </w:rPr>
      </w:pPr>
      <w:bookmarkStart w:id="114" w:name="_Toc6429"/>
      <w:bookmarkStart w:id="115" w:name="_Toc20423"/>
      <w:bookmarkStart w:id="116" w:name="_Toc24102"/>
      <w:r>
        <w:rPr>
          <w:rFonts w:hint="eastAsia" w:ascii="宋体" w:hAnsi="宋体" w:eastAsia="宋体" w:cs="宋体"/>
          <w:bCs w:val="0"/>
          <w:color w:val="auto"/>
          <w:szCs w:val="28"/>
        </w:rPr>
        <w:t>五、签订合同</w:t>
      </w:r>
      <w:bookmarkEnd w:id="113"/>
      <w:bookmarkEnd w:id="114"/>
      <w:bookmarkEnd w:id="115"/>
      <w:bookmarkEnd w:id="116"/>
    </w:p>
    <w:p w14:paraId="28F54C3C">
      <w:pPr>
        <w:pStyle w:val="4"/>
        <w:widowControl w:val="0"/>
        <w:spacing w:before="0" w:after="0" w:line="440" w:lineRule="exact"/>
        <w:ind w:firstLine="422" w:firstLineChars="200"/>
        <w:rPr>
          <w:rFonts w:hint="eastAsia" w:ascii="宋体" w:hAnsi="宋体" w:eastAsia="宋体" w:cs="宋体"/>
          <w:color w:val="auto"/>
        </w:rPr>
      </w:pPr>
      <w:bookmarkStart w:id="117" w:name="_Toc1032"/>
      <w:bookmarkStart w:id="118" w:name="_Toc26520"/>
      <w:r>
        <w:rPr>
          <w:rFonts w:hint="eastAsia" w:ascii="宋体" w:hAnsi="宋体" w:eastAsia="宋体" w:cs="宋体"/>
          <w:color w:val="auto"/>
          <w:sz w:val="21"/>
          <w:szCs w:val="21"/>
        </w:rPr>
        <w:t>28. 履约保证金</w:t>
      </w:r>
      <w:bookmarkEnd w:id="117"/>
      <w:bookmarkEnd w:id="118"/>
    </w:p>
    <w:p w14:paraId="6F131629">
      <w:pPr>
        <w:pStyle w:val="4"/>
        <w:widowControl w:val="0"/>
        <w:spacing w:before="0" w:after="0" w:line="440" w:lineRule="exact"/>
        <w:ind w:firstLine="420" w:firstLineChars="200"/>
        <w:rPr>
          <w:rFonts w:hint="eastAsia" w:ascii="宋体" w:hAnsi="宋体" w:eastAsia="宋体" w:cs="宋体"/>
          <w:b w:val="0"/>
          <w:bCs w:val="0"/>
          <w:color w:val="auto"/>
          <w:sz w:val="21"/>
          <w:szCs w:val="21"/>
        </w:rPr>
      </w:pPr>
      <w:bookmarkStart w:id="119" w:name="_Toc4956"/>
      <w:bookmarkStart w:id="120" w:name="_Toc22004"/>
      <w:r>
        <w:rPr>
          <w:rFonts w:hint="eastAsia" w:ascii="宋体" w:hAnsi="宋体" w:eastAsia="宋体" w:cs="宋体"/>
          <w:b w:val="0"/>
          <w:bCs w:val="0"/>
          <w:color w:val="auto"/>
          <w:sz w:val="21"/>
          <w:szCs w:val="21"/>
          <w:lang w:val="en-US" w:eastAsia="zh-CN"/>
        </w:rPr>
        <w:t>无</w:t>
      </w:r>
      <w:r>
        <w:rPr>
          <w:rFonts w:hint="eastAsia" w:ascii="宋体" w:hAnsi="宋体" w:eastAsia="宋体" w:cs="宋体"/>
          <w:b w:val="0"/>
          <w:bCs w:val="0"/>
          <w:color w:val="auto"/>
          <w:sz w:val="21"/>
          <w:szCs w:val="21"/>
        </w:rPr>
        <w:t>。</w:t>
      </w:r>
    </w:p>
    <w:p w14:paraId="40CCA2E4">
      <w:pPr>
        <w:pStyle w:val="4"/>
        <w:widowControl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29. 签订合同</w:t>
      </w:r>
      <w:bookmarkEnd w:id="119"/>
      <w:bookmarkEnd w:id="120"/>
    </w:p>
    <w:p w14:paraId="77EA941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29.1 签订合同时间：成交通知书发出之日起8个工作日内签订合同。成交供应商领取成交通知书后，应按规定与采购人签订合同。</w:t>
      </w:r>
    </w:p>
    <w:p w14:paraId="4A232C4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2889BD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（1）成交后不与采购人签订合同的（不可抗力除外）；</w:t>
      </w:r>
    </w:p>
    <w:p w14:paraId="488D075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（2）将成交项目转让给他人，或者在响应文件中未说明，且未经采购人同意，将成交项目分包给他人的；</w:t>
      </w:r>
    </w:p>
    <w:p w14:paraId="4D24A69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（3）拒绝履行合同义务的。</w:t>
      </w:r>
    </w:p>
    <w:p w14:paraId="047099C0">
      <w:pPr>
        <w:spacing w:line="440" w:lineRule="exact"/>
        <w:ind w:firstLine="420" w:firstLineChars="200"/>
        <w:rPr>
          <w:rFonts w:hint="eastAsia" w:ascii="宋体" w:hAnsi="宋体" w:eastAsia="宋体" w:cs="宋体"/>
          <w:b/>
          <w:color w:val="auto"/>
          <w:sz w:val="32"/>
          <w:szCs w:val="32"/>
        </w:rPr>
      </w:pPr>
      <w:r>
        <w:rPr>
          <w:rFonts w:hint="eastAsia" w:ascii="宋体" w:hAnsi="宋体" w:eastAsia="宋体" w:cs="宋体"/>
          <w:color w:val="auto"/>
          <w:szCs w:val="21"/>
        </w:rPr>
        <w:t>29.3 合同备案存档：</w:t>
      </w:r>
      <w:r>
        <w:rPr>
          <w:rFonts w:hint="eastAsia" w:ascii="宋体" w:hAnsi="宋体" w:eastAsia="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bookmarkStart w:id="121" w:name="_Toc11467"/>
      <w:bookmarkStart w:id="122" w:name="_Toc16348"/>
      <w:bookmarkStart w:id="123" w:name="_Toc17898"/>
    </w:p>
    <w:p w14:paraId="614D5E67">
      <w:pPr>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六、其他事项</w:t>
      </w:r>
      <w:bookmarkEnd w:id="121"/>
      <w:bookmarkEnd w:id="122"/>
      <w:bookmarkEnd w:id="123"/>
    </w:p>
    <w:p w14:paraId="669E8CE3">
      <w:pPr>
        <w:pStyle w:val="4"/>
        <w:widowControl w:val="0"/>
        <w:spacing w:before="0" w:after="0" w:line="440" w:lineRule="exact"/>
        <w:ind w:firstLine="422" w:firstLineChars="200"/>
        <w:rPr>
          <w:rFonts w:hint="eastAsia" w:ascii="宋体" w:hAnsi="宋体" w:eastAsia="宋体" w:cs="宋体"/>
          <w:color w:val="auto"/>
          <w:sz w:val="21"/>
          <w:szCs w:val="21"/>
        </w:rPr>
      </w:pPr>
      <w:bookmarkStart w:id="124" w:name="_Toc29572"/>
      <w:bookmarkStart w:id="125" w:name="_Toc28647"/>
      <w:r>
        <w:rPr>
          <w:rFonts w:hint="eastAsia" w:ascii="宋体" w:hAnsi="宋体" w:eastAsia="宋体" w:cs="宋体"/>
          <w:color w:val="auto"/>
          <w:sz w:val="21"/>
          <w:szCs w:val="21"/>
        </w:rPr>
        <w:t>30. 采购代理服务费</w:t>
      </w:r>
      <w:bookmarkEnd w:id="124"/>
      <w:bookmarkEnd w:id="125"/>
      <w:r>
        <w:rPr>
          <w:rFonts w:hint="eastAsia" w:ascii="宋体" w:hAnsi="宋体" w:eastAsia="宋体" w:cs="宋体"/>
          <w:color w:val="auto"/>
          <w:sz w:val="21"/>
          <w:szCs w:val="21"/>
        </w:rPr>
        <w:t>及收费标准</w:t>
      </w:r>
    </w:p>
    <w:p w14:paraId="322CC6AB">
      <w:pPr>
        <w:spacing w:line="400" w:lineRule="exact"/>
        <w:ind w:firstLine="420"/>
        <w:rPr>
          <w:rFonts w:hint="eastAsia" w:ascii="宋体" w:hAnsi="宋体" w:eastAsia="宋体" w:cs="宋体"/>
          <w:color w:val="auto"/>
        </w:rPr>
      </w:pPr>
      <w:bookmarkStart w:id="126" w:name="_Toc12374"/>
      <w:r>
        <w:rPr>
          <w:rFonts w:hint="eastAsia" w:ascii="宋体" w:hAnsi="宋体" w:eastAsia="宋体" w:cs="宋体"/>
          <w:color w:val="auto"/>
        </w:rPr>
        <w:t>30.1成交人领取成交通知书前，向采购代理机构一次性付清采购代理服务费，本项目采购代理服务收费标准参照计价格[2002]1980号《招标代理服务收费管理暂行办法》服务类收费标准向成交人收取。</w:t>
      </w:r>
    </w:p>
    <w:tbl>
      <w:tblPr>
        <w:tblStyle w:val="1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64F5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773944C8">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1" name="直线 99"/>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23.35pt;margin-top:0.85pt;height:49.7pt;width:106.5pt;z-index:251660288;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ID5&#10;FdQAAAAIAQAADwAAAAAAAAABACAAAAAiAAAAZHJzL2Rvd25yZXYueG1sUEsBAhQAFAAAAAgAh07i&#10;QHxRUkDtAQAA4QMAAA4AAAAAAAAAAQAgAAAAIw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szCs w:val="20"/>
              </w:rPr>
              <w:t>费率服务类型</w:t>
            </w:r>
          </w:p>
          <w:p w14:paraId="6511098A">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2" name="直线 100"/>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6xid2AAAAAgBAAAPAAAAAAAAAAEAIAAAACIAAABkcnMvZG93bnJldi54bWxQSwECFAAUAAAA&#10;CACHTuJA8I0nze4BAADiAwAADgAAAAAAAAABACAAAAAnAQAAZHJzL2Uyb0RvYy54bWxQSwUGAAAA&#10;AAYABgBZAQAAhwUAAAAA&#10;">
                      <v:fill on="f" focussize="0,0"/>
                      <v:stroke color="#000000" joinstyle="round"/>
                      <v:imagedata o:title=""/>
                      <o:lock v:ext="edit" aspectratio="f"/>
                    </v:line>
                  </w:pict>
                </mc:Fallback>
              </mc:AlternateContent>
            </w:r>
          </w:p>
          <w:p w14:paraId="66967808">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成交金额（万元）</w:t>
            </w:r>
          </w:p>
        </w:tc>
        <w:tc>
          <w:tcPr>
            <w:tcW w:w="2002" w:type="dxa"/>
            <w:vAlign w:val="center"/>
          </w:tcPr>
          <w:p w14:paraId="68B9CA59">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货物招标</w:t>
            </w:r>
          </w:p>
        </w:tc>
        <w:tc>
          <w:tcPr>
            <w:tcW w:w="1992" w:type="dxa"/>
            <w:vAlign w:val="center"/>
          </w:tcPr>
          <w:p w14:paraId="7EF669D4">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服务招标</w:t>
            </w:r>
          </w:p>
        </w:tc>
        <w:tc>
          <w:tcPr>
            <w:tcW w:w="2293" w:type="dxa"/>
            <w:vAlign w:val="center"/>
          </w:tcPr>
          <w:p w14:paraId="0EEF0A61">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工程招标</w:t>
            </w:r>
          </w:p>
        </w:tc>
      </w:tr>
      <w:tr w14:paraId="6CE1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3BB8071">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100以下</w:t>
            </w:r>
          </w:p>
        </w:tc>
        <w:tc>
          <w:tcPr>
            <w:tcW w:w="2002" w:type="dxa"/>
          </w:tcPr>
          <w:p w14:paraId="3A1981DE">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1.5%</w:t>
            </w:r>
          </w:p>
        </w:tc>
        <w:tc>
          <w:tcPr>
            <w:tcW w:w="1992" w:type="dxa"/>
          </w:tcPr>
          <w:p w14:paraId="5B44E265">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1.5%</w:t>
            </w:r>
          </w:p>
        </w:tc>
        <w:tc>
          <w:tcPr>
            <w:tcW w:w="2293" w:type="dxa"/>
          </w:tcPr>
          <w:p w14:paraId="4EBB463A">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1.0%</w:t>
            </w:r>
          </w:p>
        </w:tc>
      </w:tr>
      <w:tr w14:paraId="3A5A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7CAC737E">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100-500</w:t>
            </w:r>
          </w:p>
        </w:tc>
        <w:tc>
          <w:tcPr>
            <w:tcW w:w="2002" w:type="dxa"/>
          </w:tcPr>
          <w:p w14:paraId="4077D9A3">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1.1%</w:t>
            </w:r>
          </w:p>
        </w:tc>
        <w:tc>
          <w:tcPr>
            <w:tcW w:w="1992" w:type="dxa"/>
          </w:tcPr>
          <w:p w14:paraId="4821278B">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0.8%</w:t>
            </w:r>
          </w:p>
        </w:tc>
        <w:tc>
          <w:tcPr>
            <w:tcW w:w="2293" w:type="dxa"/>
          </w:tcPr>
          <w:p w14:paraId="2FC05051">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0.7%</w:t>
            </w:r>
          </w:p>
        </w:tc>
      </w:tr>
      <w:tr w14:paraId="72A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366BEEF">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500-1000</w:t>
            </w:r>
          </w:p>
        </w:tc>
        <w:tc>
          <w:tcPr>
            <w:tcW w:w="2002" w:type="dxa"/>
          </w:tcPr>
          <w:p w14:paraId="6E2E030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0.8%</w:t>
            </w:r>
          </w:p>
        </w:tc>
        <w:tc>
          <w:tcPr>
            <w:tcW w:w="1992" w:type="dxa"/>
          </w:tcPr>
          <w:p w14:paraId="0EDF6F0B">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0.45%</w:t>
            </w:r>
          </w:p>
        </w:tc>
        <w:tc>
          <w:tcPr>
            <w:tcW w:w="2293" w:type="dxa"/>
          </w:tcPr>
          <w:p w14:paraId="5C2C22AB">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0.55%</w:t>
            </w:r>
          </w:p>
        </w:tc>
      </w:tr>
      <w:tr w14:paraId="308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9B28DD3">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1000-5000</w:t>
            </w:r>
          </w:p>
        </w:tc>
        <w:tc>
          <w:tcPr>
            <w:tcW w:w="2002" w:type="dxa"/>
          </w:tcPr>
          <w:p w14:paraId="77E150E5">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0.5%</w:t>
            </w:r>
          </w:p>
        </w:tc>
        <w:tc>
          <w:tcPr>
            <w:tcW w:w="1992" w:type="dxa"/>
          </w:tcPr>
          <w:p w14:paraId="7F4921D4">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0.25%</w:t>
            </w:r>
          </w:p>
        </w:tc>
        <w:tc>
          <w:tcPr>
            <w:tcW w:w="2293" w:type="dxa"/>
          </w:tcPr>
          <w:p w14:paraId="4916ED1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0.35%</w:t>
            </w:r>
          </w:p>
        </w:tc>
      </w:tr>
      <w:tr w14:paraId="65AE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506565B">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5000-10000</w:t>
            </w:r>
          </w:p>
        </w:tc>
        <w:tc>
          <w:tcPr>
            <w:tcW w:w="2002" w:type="dxa"/>
          </w:tcPr>
          <w:p w14:paraId="67409C6F">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0.25%</w:t>
            </w:r>
          </w:p>
        </w:tc>
        <w:tc>
          <w:tcPr>
            <w:tcW w:w="1992" w:type="dxa"/>
          </w:tcPr>
          <w:p w14:paraId="651A4DB3">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0.1%</w:t>
            </w:r>
          </w:p>
        </w:tc>
        <w:tc>
          <w:tcPr>
            <w:tcW w:w="2293" w:type="dxa"/>
          </w:tcPr>
          <w:p w14:paraId="39443AC6">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w:t>
            </w:r>
          </w:p>
        </w:tc>
      </w:tr>
      <w:tr w14:paraId="0ED2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25A7B9AA">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10000-100000</w:t>
            </w:r>
          </w:p>
        </w:tc>
        <w:tc>
          <w:tcPr>
            <w:tcW w:w="2002" w:type="dxa"/>
          </w:tcPr>
          <w:p w14:paraId="23775650">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c>
          <w:tcPr>
            <w:tcW w:w="1992" w:type="dxa"/>
          </w:tcPr>
          <w:p w14:paraId="30059DB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c>
          <w:tcPr>
            <w:tcW w:w="2293" w:type="dxa"/>
          </w:tcPr>
          <w:p w14:paraId="73348A8C">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r>
      <w:tr w14:paraId="63F3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1EFAF4FF">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100000以上</w:t>
            </w:r>
          </w:p>
        </w:tc>
        <w:tc>
          <w:tcPr>
            <w:tcW w:w="2002" w:type="dxa"/>
          </w:tcPr>
          <w:p w14:paraId="3755689C">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c>
          <w:tcPr>
            <w:tcW w:w="1992" w:type="dxa"/>
          </w:tcPr>
          <w:p w14:paraId="224DF1CF">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c>
          <w:tcPr>
            <w:tcW w:w="2293" w:type="dxa"/>
          </w:tcPr>
          <w:p w14:paraId="1F516A98">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r>
    </w:tbl>
    <w:p w14:paraId="03692AB2">
      <w:pPr>
        <w:spacing w:line="400" w:lineRule="exact"/>
        <w:ind w:firstLine="420"/>
        <w:rPr>
          <w:rFonts w:hint="eastAsia" w:ascii="宋体" w:hAnsi="宋体" w:eastAsia="宋体" w:cs="宋体"/>
          <w:color w:val="auto"/>
        </w:rPr>
      </w:pPr>
    </w:p>
    <w:p w14:paraId="304CE8AF">
      <w:pPr>
        <w:spacing w:line="400" w:lineRule="exact"/>
        <w:ind w:firstLine="422"/>
        <w:rPr>
          <w:rFonts w:hint="eastAsia" w:ascii="宋体" w:hAnsi="宋体" w:eastAsia="宋体" w:cs="宋体"/>
          <w:bCs/>
          <w:color w:val="auto"/>
        </w:rPr>
      </w:pPr>
      <w:r>
        <w:rPr>
          <w:rFonts w:hint="eastAsia" w:ascii="宋体" w:hAnsi="宋体" w:eastAsia="宋体" w:cs="宋体"/>
          <w:bCs/>
          <w:color w:val="auto"/>
        </w:rPr>
        <w:t>30.2招标代理服务费缴纳账户：</w:t>
      </w:r>
    </w:p>
    <w:p w14:paraId="72D94B3C">
      <w:pPr>
        <w:spacing w:line="440" w:lineRule="exact"/>
        <w:ind w:firstLine="420" w:firstLineChars="200"/>
        <w:rPr>
          <w:rStyle w:val="24"/>
          <w:rFonts w:hint="eastAsia" w:ascii="宋体" w:hAnsi="宋体" w:eastAsia="宋体" w:cs="宋体"/>
          <w:b w:val="0"/>
          <w:color w:val="auto"/>
          <w:sz w:val="21"/>
          <w:szCs w:val="21"/>
        </w:rPr>
      </w:pPr>
      <w:bookmarkStart w:id="127" w:name="_Toc9779"/>
      <w:r>
        <w:rPr>
          <w:rStyle w:val="24"/>
          <w:rFonts w:hint="eastAsia" w:ascii="宋体" w:hAnsi="宋体" w:eastAsia="宋体" w:cs="宋体"/>
          <w:b w:val="0"/>
          <w:color w:val="auto"/>
          <w:sz w:val="21"/>
          <w:szCs w:val="21"/>
        </w:rPr>
        <w:t>开户名称：广西佳益工程项目管理咨询有限公司</w:t>
      </w:r>
    </w:p>
    <w:p w14:paraId="1852199B">
      <w:pPr>
        <w:spacing w:line="440" w:lineRule="exact"/>
        <w:ind w:firstLine="420" w:firstLineChars="200"/>
        <w:rPr>
          <w:rStyle w:val="24"/>
          <w:rFonts w:hint="eastAsia" w:ascii="宋体" w:hAnsi="宋体" w:eastAsia="宋体" w:cs="宋体"/>
          <w:b w:val="0"/>
          <w:color w:val="auto"/>
          <w:sz w:val="21"/>
          <w:szCs w:val="21"/>
        </w:rPr>
      </w:pPr>
      <w:r>
        <w:rPr>
          <w:rStyle w:val="24"/>
          <w:rFonts w:hint="eastAsia" w:ascii="宋体" w:hAnsi="宋体" w:eastAsia="宋体" w:cs="宋体"/>
          <w:b w:val="0"/>
          <w:color w:val="auto"/>
          <w:sz w:val="21"/>
          <w:szCs w:val="21"/>
        </w:rPr>
        <w:t>开户银行：桂林银行股份有限公司漓东支行</w:t>
      </w:r>
    </w:p>
    <w:p w14:paraId="27C9028A">
      <w:pPr>
        <w:spacing w:line="440" w:lineRule="exact"/>
        <w:ind w:firstLine="420" w:firstLineChars="200"/>
        <w:rPr>
          <w:rStyle w:val="24"/>
          <w:rFonts w:hint="eastAsia" w:ascii="宋体" w:hAnsi="宋体" w:eastAsia="宋体" w:cs="宋体"/>
          <w:b w:val="0"/>
          <w:color w:val="auto"/>
          <w:sz w:val="21"/>
          <w:szCs w:val="21"/>
        </w:rPr>
      </w:pPr>
      <w:r>
        <w:rPr>
          <w:rStyle w:val="24"/>
          <w:rFonts w:hint="eastAsia" w:ascii="宋体" w:hAnsi="宋体" w:eastAsia="宋体" w:cs="宋体"/>
          <w:b w:val="0"/>
          <w:color w:val="auto"/>
          <w:sz w:val="21"/>
          <w:szCs w:val="21"/>
        </w:rPr>
        <w:t>帐    号：6600 0001 7546 6000 11</w:t>
      </w:r>
    </w:p>
    <w:p w14:paraId="19693568">
      <w:pPr>
        <w:spacing w:line="440" w:lineRule="exact"/>
        <w:ind w:firstLine="422" w:firstLineChars="200"/>
        <w:rPr>
          <w:rFonts w:hint="eastAsia" w:ascii="宋体" w:hAnsi="宋体" w:eastAsia="宋体" w:cs="宋体"/>
          <w:color w:val="auto"/>
          <w:szCs w:val="21"/>
        </w:rPr>
      </w:pPr>
      <w:r>
        <w:rPr>
          <w:rStyle w:val="24"/>
          <w:rFonts w:hint="eastAsia" w:ascii="宋体" w:hAnsi="宋体" w:eastAsia="宋体" w:cs="宋体"/>
          <w:color w:val="auto"/>
          <w:sz w:val="21"/>
          <w:szCs w:val="21"/>
        </w:rPr>
        <w:t>31. 解释权</w:t>
      </w:r>
      <w:bookmarkEnd w:id="126"/>
      <w:bookmarkEnd w:id="127"/>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2F0011F">
      <w:pPr>
        <w:pStyle w:val="23"/>
        <w:ind w:firstLine="422" w:firstLineChars="200"/>
        <w:rPr>
          <w:rFonts w:hint="eastAsia" w:ascii="宋体" w:hAnsi="宋体" w:eastAsia="宋体" w:cs="宋体"/>
          <w:color w:val="auto"/>
          <w:szCs w:val="21"/>
        </w:rPr>
      </w:pPr>
      <w:bookmarkStart w:id="128" w:name="_Toc32738"/>
      <w:r>
        <w:rPr>
          <w:rStyle w:val="24"/>
          <w:rFonts w:hint="eastAsia" w:ascii="宋体" w:hAnsi="宋体" w:eastAsia="宋体" w:cs="宋体"/>
          <w:color w:val="auto"/>
          <w:sz w:val="21"/>
          <w:szCs w:val="21"/>
        </w:rPr>
        <w:t>32. 监督管理机构</w:t>
      </w:r>
      <w:bookmarkEnd w:id="128"/>
      <w:r>
        <w:rPr>
          <w:rFonts w:hint="eastAsia" w:ascii="宋体" w:hAnsi="宋体" w:eastAsia="宋体" w:cs="宋体"/>
          <w:color w:val="auto"/>
          <w:szCs w:val="21"/>
        </w:rPr>
        <w:t>：</w:t>
      </w:r>
    </w:p>
    <w:p w14:paraId="6BE98499">
      <w:pPr>
        <w:spacing w:line="400" w:lineRule="exact"/>
        <w:ind w:firstLine="422"/>
        <w:rPr>
          <w:rStyle w:val="24"/>
          <w:rFonts w:hint="eastAsia" w:ascii="宋体" w:hAnsi="宋体" w:eastAsia="宋体" w:cs="宋体"/>
          <w:b w:val="0"/>
          <w:color w:val="auto"/>
          <w:sz w:val="21"/>
          <w:szCs w:val="24"/>
        </w:rPr>
      </w:pPr>
      <w:r>
        <w:rPr>
          <w:rFonts w:hint="eastAsia" w:ascii="宋体" w:hAnsi="宋体" w:eastAsia="宋体" w:cs="宋体"/>
          <w:color w:val="auto"/>
          <w:szCs w:val="21"/>
        </w:rPr>
        <w:t>兴安县政府采购管理办公室</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电话:0773-6220651。</w:t>
      </w:r>
    </w:p>
    <w:p w14:paraId="1C601F6E">
      <w:pPr>
        <w:spacing w:line="400" w:lineRule="exact"/>
        <w:ind w:firstLine="422" w:firstLineChars="200"/>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33. 广西线上“政采贷”政策告知函：</w:t>
      </w:r>
    </w:p>
    <w:p w14:paraId="23AAADCA">
      <w:pPr>
        <w:spacing w:line="400" w:lineRule="exact"/>
        <w:ind w:firstLine="422" w:firstLineChars="200"/>
        <w:rPr>
          <w:rStyle w:val="24"/>
          <w:rFonts w:hint="eastAsia" w:ascii="宋体" w:hAnsi="宋体" w:eastAsia="宋体" w:cs="宋体"/>
          <w:color w:val="auto"/>
          <w:sz w:val="21"/>
          <w:szCs w:val="21"/>
        </w:rPr>
      </w:pPr>
    </w:p>
    <w:p w14:paraId="405F52BC">
      <w:pPr>
        <w:spacing w:line="380" w:lineRule="atLeast"/>
        <w:jc w:val="center"/>
        <w:rPr>
          <w:rFonts w:hint="eastAsia" w:ascii="宋体" w:hAnsi="宋体" w:eastAsia="宋体" w:cs="宋体"/>
          <w:b/>
          <w:bCs/>
          <w:color w:val="auto"/>
        </w:rPr>
      </w:pPr>
      <w:r>
        <w:rPr>
          <w:rFonts w:hint="eastAsia" w:ascii="宋体" w:hAnsi="宋体" w:eastAsia="宋体" w:cs="宋体"/>
          <w:b/>
          <w:bCs/>
          <w:color w:val="auto"/>
          <w:sz w:val="32"/>
          <w:szCs w:val="32"/>
        </w:rPr>
        <w:t>广西线上“政采贷”政策告知函</w:t>
      </w:r>
    </w:p>
    <w:p w14:paraId="7C4EDC4E">
      <w:pPr>
        <w:spacing w:line="380" w:lineRule="atLeast"/>
        <w:rPr>
          <w:rFonts w:hint="eastAsia" w:ascii="宋体" w:hAnsi="宋体" w:eastAsia="宋体" w:cs="宋体"/>
          <w:b/>
          <w:bCs/>
          <w:color w:val="auto"/>
          <w:sz w:val="24"/>
        </w:rPr>
      </w:pPr>
      <w:r>
        <w:rPr>
          <w:rFonts w:hint="eastAsia" w:ascii="宋体" w:hAnsi="宋体" w:eastAsia="宋体" w:cs="宋体"/>
          <w:b/>
          <w:bCs/>
          <w:color w:val="auto"/>
          <w:sz w:val="24"/>
        </w:rPr>
        <w:t>各供应商∶</w:t>
      </w:r>
    </w:p>
    <w:p w14:paraId="3E808F64">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欢迎贵公司参与广西政府采购活动!</w:t>
      </w:r>
    </w:p>
    <w:p w14:paraId="6C3204D9">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12DD4227">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相关金融产品和银行业金融机构联系方式，可在中征应收账款融资服务平台查询（网址 ∶https/www.crcrfsp.com/，客服电话∶400-009-0001)。</w:t>
      </w:r>
    </w:p>
    <w:p w14:paraId="1AA097DF">
      <w:pPr>
        <w:snapToGrid w:val="0"/>
        <w:spacing w:line="440" w:lineRule="exact"/>
        <w:ind w:firstLine="420" w:firstLineChars="200"/>
        <w:rPr>
          <w:rFonts w:hint="eastAsia" w:ascii="宋体" w:hAnsi="宋体" w:eastAsia="宋体" w:cs="宋体"/>
          <w:color w:val="auto"/>
          <w:szCs w:val="21"/>
        </w:rPr>
      </w:pPr>
    </w:p>
    <w:p w14:paraId="59B47507">
      <w:pPr>
        <w:pageBreakBefore/>
        <w:snapToGrid w:val="0"/>
        <w:rPr>
          <w:rFonts w:hint="eastAsia" w:ascii="宋体" w:hAnsi="宋体" w:eastAsia="宋体" w:cs="宋体"/>
          <w:b/>
          <w:color w:val="auto"/>
          <w:kern w:val="0"/>
          <w:sz w:val="24"/>
        </w:rPr>
      </w:pPr>
      <w:r>
        <w:rPr>
          <w:rFonts w:hint="eastAsia" w:ascii="宋体" w:hAnsi="宋体" w:eastAsia="宋体" w:cs="宋体"/>
          <w:b/>
          <w:color w:val="auto"/>
          <w:kern w:val="0"/>
          <w:sz w:val="24"/>
        </w:rPr>
        <w:t>附表1：</w:t>
      </w:r>
    </w:p>
    <w:p w14:paraId="6D7F91F1">
      <w:pPr>
        <w:spacing w:line="460" w:lineRule="exact"/>
        <w:jc w:val="center"/>
        <w:rPr>
          <w:rFonts w:hint="eastAsia" w:ascii="宋体" w:hAnsi="宋体" w:eastAsia="宋体" w:cs="宋体"/>
          <w:color w:val="auto"/>
          <w:kern w:val="0"/>
          <w:sz w:val="44"/>
        </w:rPr>
      </w:pPr>
      <w:r>
        <w:rPr>
          <w:rFonts w:hint="eastAsia" w:ascii="宋体" w:hAnsi="宋体" w:eastAsia="宋体" w:cs="宋体"/>
          <w:color w:val="auto"/>
          <w:kern w:val="0"/>
          <w:sz w:val="44"/>
        </w:rPr>
        <w:t>质疑函（格式）</w:t>
      </w:r>
    </w:p>
    <w:p w14:paraId="0F28327B">
      <w:pPr>
        <w:snapToGrid w:val="0"/>
        <w:spacing w:line="36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一、质疑供应商基本信息：</w:t>
      </w:r>
    </w:p>
    <w:p w14:paraId="00BEAD4B">
      <w:pPr>
        <w:snapToGrid w:val="0"/>
        <w:spacing w:line="36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质疑供应商：</w:t>
      </w:r>
    </w:p>
    <w:p w14:paraId="66D52700">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59225667">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联系人：联系电话：</w:t>
      </w:r>
    </w:p>
    <w:p w14:paraId="7928F94C">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授权代表：</w:t>
      </w:r>
    </w:p>
    <w:p w14:paraId="4CCAF57B">
      <w:pPr>
        <w:snapToGrid w:val="0"/>
        <w:spacing w:line="36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联系电话：</w:t>
      </w:r>
    </w:p>
    <w:p w14:paraId="7C6CD2BA">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22838F57">
      <w:pPr>
        <w:snapToGrid w:val="0"/>
        <w:spacing w:line="36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二、质疑项目基本情况：</w:t>
      </w:r>
    </w:p>
    <w:p w14:paraId="3011AA11">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质疑</w:t>
      </w:r>
      <w:r>
        <w:rPr>
          <w:rFonts w:hint="eastAsia" w:ascii="宋体" w:hAnsi="宋体" w:eastAsia="宋体" w:cs="宋体"/>
          <w:color w:val="auto"/>
          <w:kern w:val="0"/>
          <w:szCs w:val="21"/>
        </w:rPr>
        <w:t>项目的名称：</w:t>
      </w:r>
    </w:p>
    <w:p w14:paraId="172E9268">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质疑</w:t>
      </w:r>
      <w:r>
        <w:rPr>
          <w:rFonts w:hint="eastAsia" w:ascii="宋体" w:hAnsi="宋体" w:eastAsia="宋体" w:cs="宋体"/>
          <w:color w:val="auto"/>
          <w:kern w:val="0"/>
          <w:szCs w:val="21"/>
        </w:rPr>
        <w:t>项目的编号：</w:t>
      </w:r>
    </w:p>
    <w:p w14:paraId="4EB46558">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采购人名称：</w:t>
      </w:r>
    </w:p>
    <w:p w14:paraId="2A42B4B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w:t>
      </w:r>
    </w:p>
    <w:p w14:paraId="09CB7001">
      <w:pPr>
        <w:spacing w:line="360" w:lineRule="exact"/>
        <w:ind w:left="25" w:leftChars="12" w:firstLine="441" w:firstLineChars="147"/>
        <w:rPr>
          <w:rFonts w:hint="eastAsia" w:ascii="宋体" w:hAnsi="宋体" w:eastAsia="宋体" w:cs="宋体"/>
          <w:color w:val="auto"/>
          <w:kern w:val="0"/>
          <w:szCs w:val="21"/>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采购文件   采购文件获取日期：</w:t>
      </w:r>
    </w:p>
    <w:p w14:paraId="42657F95">
      <w:pPr>
        <w:spacing w:line="360" w:lineRule="exact"/>
        <w:ind w:left="25" w:leftChars="12" w:firstLine="441" w:firstLineChars="147"/>
        <w:rPr>
          <w:rFonts w:hint="eastAsia" w:ascii="宋体" w:hAnsi="宋体" w:eastAsia="宋体" w:cs="宋体"/>
          <w:color w:val="auto"/>
          <w:kern w:val="0"/>
          <w:szCs w:val="21"/>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 xml:space="preserve">采购过程   </w:t>
      </w:r>
    </w:p>
    <w:p w14:paraId="331E383D">
      <w:pPr>
        <w:spacing w:line="360" w:lineRule="exact"/>
        <w:ind w:left="25" w:leftChars="12" w:firstLine="441" w:firstLineChars="147"/>
        <w:rPr>
          <w:rFonts w:hint="eastAsia" w:ascii="宋体" w:hAnsi="宋体" w:eastAsia="宋体" w:cs="宋体"/>
          <w:bCs/>
          <w:color w:val="auto"/>
          <w:kern w:val="0"/>
          <w:u w:val="single"/>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 xml:space="preserve">成交结果   </w:t>
      </w:r>
    </w:p>
    <w:p w14:paraId="2024FFC8">
      <w:pPr>
        <w:spacing w:line="36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三、质疑事项具体内容</w:t>
      </w:r>
    </w:p>
    <w:p w14:paraId="5A87ECB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质疑事项1：</w:t>
      </w:r>
    </w:p>
    <w:p w14:paraId="6B96A6BB">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事实依据：</w:t>
      </w:r>
    </w:p>
    <w:p w14:paraId="382F0EB2">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法律依据：</w:t>
      </w:r>
    </w:p>
    <w:p w14:paraId="2BEE8F45">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质疑事项2</w:t>
      </w:r>
    </w:p>
    <w:p w14:paraId="095A7156">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w:t>
      </w:r>
    </w:p>
    <w:p w14:paraId="4B2CDF45">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四、与质疑事项相关的质疑请求：</w:t>
      </w:r>
    </w:p>
    <w:p w14:paraId="3A8BD4DF">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请求：</w:t>
      </w:r>
    </w:p>
    <w:p w14:paraId="4AA70D44">
      <w:pPr>
        <w:spacing w:line="360" w:lineRule="exact"/>
        <w:ind w:left="25" w:leftChars="12" w:firstLine="308" w:firstLineChars="147"/>
        <w:rPr>
          <w:rFonts w:hint="eastAsia" w:ascii="宋体" w:hAnsi="宋体" w:eastAsia="宋体" w:cs="宋体"/>
          <w:color w:val="auto"/>
          <w:kern w:val="0"/>
          <w:szCs w:val="21"/>
        </w:rPr>
      </w:pPr>
    </w:p>
    <w:p w14:paraId="5389EB1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签字（签章）：                                       公章：</w:t>
      </w:r>
    </w:p>
    <w:p w14:paraId="32AEDC4F">
      <w:pPr>
        <w:spacing w:line="360" w:lineRule="exact"/>
        <w:ind w:left="25" w:leftChars="12" w:firstLine="308" w:firstLineChars="147"/>
        <w:rPr>
          <w:rFonts w:hint="eastAsia" w:ascii="宋体" w:hAnsi="宋体" w:eastAsia="宋体" w:cs="宋体"/>
          <w:color w:val="auto"/>
          <w:kern w:val="0"/>
          <w:szCs w:val="21"/>
        </w:rPr>
      </w:pPr>
    </w:p>
    <w:p w14:paraId="0606C847">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日期：</w:t>
      </w:r>
    </w:p>
    <w:p w14:paraId="3B6EE3CD">
      <w:pPr>
        <w:snapToGrid w:val="0"/>
        <w:spacing w:line="340" w:lineRule="exact"/>
        <w:rPr>
          <w:rFonts w:hint="eastAsia" w:ascii="宋体" w:hAnsi="宋体" w:eastAsia="宋体" w:cs="宋体"/>
          <w:b/>
          <w:color w:val="auto"/>
          <w:kern w:val="0"/>
          <w:szCs w:val="21"/>
        </w:rPr>
      </w:pPr>
    </w:p>
    <w:p w14:paraId="34C209A3">
      <w:pPr>
        <w:snapToGrid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说明：</w:t>
      </w:r>
    </w:p>
    <w:p w14:paraId="315F446D">
      <w:pPr>
        <w:spacing w:line="340" w:lineRule="exact"/>
        <w:ind w:left="25" w:leftChars="12" w:firstLine="310" w:firstLineChars="147"/>
        <w:rPr>
          <w:rFonts w:hint="eastAsia" w:ascii="宋体" w:hAnsi="宋体" w:eastAsia="宋体" w:cs="宋体"/>
          <w:b/>
          <w:bCs/>
          <w:color w:val="auto"/>
          <w:kern w:val="0"/>
        </w:rPr>
      </w:pPr>
      <w:r>
        <w:rPr>
          <w:rFonts w:hint="eastAsia" w:ascii="宋体" w:hAnsi="宋体" w:eastAsia="宋体" w:cs="宋体"/>
          <w:b/>
          <w:color w:val="auto"/>
          <w:kern w:val="0"/>
          <w:szCs w:val="21"/>
        </w:rPr>
        <w:t>1.供应商提出质疑时，应提交质疑函和必要的证明材料</w:t>
      </w:r>
      <w:r>
        <w:rPr>
          <w:rFonts w:hint="eastAsia" w:ascii="宋体" w:hAnsi="宋体" w:eastAsia="宋体" w:cs="宋体"/>
          <w:b/>
          <w:bCs/>
          <w:color w:val="auto"/>
          <w:kern w:val="0"/>
        </w:rPr>
        <w:t>。</w:t>
      </w:r>
    </w:p>
    <w:p w14:paraId="43D0366A">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44F55C">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3.质疑函的质疑事项应具体、明确，并有必要的事实依据和法律依据。</w:t>
      </w:r>
    </w:p>
    <w:p w14:paraId="1A5FD705">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4.质疑函的质疑请求应与质疑事项相关。</w:t>
      </w:r>
    </w:p>
    <w:p w14:paraId="4B0A6A7F">
      <w:pPr>
        <w:spacing w:line="340" w:lineRule="exact"/>
        <w:ind w:left="25" w:leftChars="12" w:firstLine="310" w:firstLineChars="147"/>
        <w:rPr>
          <w:rFonts w:hint="eastAsia" w:ascii="宋体" w:hAnsi="宋体" w:eastAsia="宋体" w:cs="宋体"/>
          <w:b/>
          <w:color w:val="auto"/>
          <w:szCs w:val="21"/>
        </w:rPr>
      </w:pPr>
      <w:r>
        <w:rPr>
          <w:rFonts w:hint="eastAsia" w:ascii="宋体" w:hAnsi="宋体" w:eastAsia="宋体" w:cs="宋体"/>
          <w:b/>
          <w:color w:val="auto"/>
          <w:szCs w:val="21"/>
        </w:rPr>
        <w:t>6.质疑供应商为法人或者其他组织的，质疑函应由法定代表人、主要负责人，或者其授权代表签字或者盖章，并加盖公章。</w:t>
      </w:r>
    </w:p>
    <w:p w14:paraId="6E6A0619">
      <w:pPr>
        <w:snapToGrid w:val="0"/>
        <w:rPr>
          <w:rFonts w:hint="eastAsia" w:ascii="宋体" w:hAnsi="宋体" w:eastAsia="宋体" w:cs="宋体"/>
          <w:b/>
          <w:color w:val="auto"/>
          <w:kern w:val="0"/>
          <w:sz w:val="24"/>
        </w:rPr>
      </w:pPr>
      <w:r>
        <w:rPr>
          <w:rFonts w:hint="eastAsia" w:ascii="宋体" w:hAnsi="宋体" w:eastAsia="宋体" w:cs="宋体"/>
          <w:b/>
          <w:color w:val="auto"/>
          <w:kern w:val="0"/>
          <w:sz w:val="24"/>
        </w:rPr>
        <w:t>附表2：</w:t>
      </w:r>
    </w:p>
    <w:p w14:paraId="480C3FC2">
      <w:pPr>
        <w:spacing w:line="460" w:lineRule="exact"/>
        <w:jc w:val="center"/>
        <w:rPr>
          <w:rFonts w:hint="eastAsia" w:ascii="宋体" w:hAnsi="宋体" w:eastAsia="宋体" w:cs="宋体"/>
          <w:color w:val="auto"/>
          <w:kern w:val="0"/>
          <w:sz w:val="44"/>
        </w:rPr>
      </w:pPr>
      <w:r>
        <w:rPr>
          <w:rFonts w:hint="eastAsia" w:ascii="宋体" w:hAnsi="宋体" w:eastAsia="宋体" w:cs="宋体"/>
          <w:color w:val="auto"/>
          <w:kern w:val="0"/>
          <w:sz w:val="44"/>
        </w:rPr>
        <w:t>投诉书（格式）</w:t>
      </w:r>
    </w:p>
    <w:p w14:paraId="7BBA3786">
      <w:pPr>
        <w:snapToGrid w:val="0"/>
        <w:spacing w:line="40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一、投诉相关主体基本情况：</w:t>
      </w:r>
    </w:p>
    <w:p w14:paraId="2DC49FB0">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供应商：</w:t>
      </w:r>
    </w:p>
    <w:p w14:paraId="658A00ED">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37DB1B3D">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法定代表人/主要负责人：</w:t>
      </w:r>
    </w:p>
    <w:p w14:paraId="3A49A33B">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联系电话：</w:t>
      </w:r>
    </w:p>
    <w:p w14:paraId="42F2E2C2">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授权代表：联系电话：</w:t>
      </w:r>
    </w:p>
    <w:p w14:paraId="66D221DC">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75150429">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被投诉人1：</w:t>
      </w:r>
    </w:p>
    <w:p w14:paraId="29EE6D20">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5D7C3528">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联系人：联系电话：</w:t>
      </w:r>
    </w:p>
    <w:p w14:paraId="1EC04C52">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被投诉人2：</w:t>
      </w:r>
    </w:p>
    <w:p w14:paraId="4A2F596F">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w:t>
      </w:r>
    </w:p>
    <w:p w14:paraId="5EE8F674">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相关供应商：</w:t>
      </w:r>
    </w:p>
    <w:p w14:paraId="436866CC">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地址：邮编：</w:t>
      </w:r>
    </w:p>
    <w:p w14:paraId="4935A0BA">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联系人：联系电话：</w:t>
      </w:r>
    </w:p>
    <w:p w14:paraId="576189E4">
      <w:pPr>
        <w:snapToGrid w:val="0"/>
        <w:spacing w:line="40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二、投诉项目基本情况：</w:t>
      </w:r>
    </w:p>
    <w:p w14:paraId="7E7EB183">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采购</w:t>
      </w:r>
      <w:r>
        <w:rPr>
          <w:rFonts w:hint="eastAsia" w:ascii="宋体" w:hAnsi="宋体" w:eastAsia="宋体" w:cs="宋体"/>
          <w:color w:val="auto"/>
          <w:kern w:val="0"/>
          <w:szCs w:val="21"/>
        </w:rPr>
        <w:t>项目的名称：</w:t>
      </w:r>
    </w:p>
    <w:p w14:paraId="36118EDA">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采购</w:t>
      </w:r>
      <w:r>
        <w:rPr>
          <w:rFonts w:hint="eastAsia" w:ascii="宋体" w:hAnsi="宋体" w:eastAsia="宋体" w:cs="宋体"/>
          <w:color w:val="auto"/>
          <w:kern w:val="0"/>
          <w:szCs w:val="21"/>
        </w:rPr>
        <w:t>项目的编号：</w:t>
      </w:r>
    </w:p>
    <w:p w14:paraId="6442AF12">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采购人名称：</w:t>
      </w:r>
    </w:p>
    <w:p w14:paraId="33D68CA6">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代理机构名称：</w:t>
      </w:r>
    </w:p>
    <w:p w14:paraId="4E5534AC">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bCs/>
          <w:color w:val="auto"/>
          <w:kern w:val="0"/>
        </w:rPr>
        <w:t>采购文件公告：</w:t>
      </w:r>
      <w:r>
        <w:rPr>
          <w:rFonts w:hint="eastAsia" w:ascii="宋体" w:hAnsi="宋体" w:eastAsia="宋体" w:cs="宋体"/>
          <w:bCs/>
          <w:color w:val="auto"/>
          <w:kern w:val="0"/>
          <w:u w:val="single"/>
        </w:rPr>
        <w:t>是/否</w:t>
      </w:r>
      <w:r>
        <w:rPr>
          <w:rFonts w:hint="eastAsia" w:ascii="宋体" w:hAnsi="宋体" w:eastAsia="宋体" w:cs="宋体"/>
          <w:bCs/>
          <w:color w:val="auto"/>
          <w:kern w:val="0"/>
        </w:rPr>
        <w:t>公告期限：</w:t>
      </w:r>
    </w:p>
    <w:p w14:paraId="50A0EFB6">
      <w:pPr>
        <w:spacing w:line="400" w:lineRule="exact"/>
        <w:ind w:left="25" w:leftChars="12" w:firstLine="413" w:firstLineChars="197"/>
        <w:rPr>
          <w:rFonts w:hint="eastAsia" w:ascii="宋体" w:hAnsi="宋体" w:eastAsia="宋体" w:cs="宋体"/>
          <w:b/>
          <w:color w:val="auto"/>
          <w:kern w:val="0"/>
          <w:szCs w:val="21"/>
        </w:rPr>
      </w:pPr>
      <w:r>
        <w:rPr>
          <w:rFonts w:hint="eastAsia" w:ascii="宋体" w:hAnsi="宋体" w:eastAsia="宋体" w:cs="宋体"/>
          <w:bCs/>
          <w:color w:val="auto"/>
          <w:kern w:val="0"/>
        </w:rPr>
        <w:t>采购结果公告：</w:t>
      </w:r>
      <w:r>
        <w:rPr>
          <w:rFonts w:hint="eastAsia" w:ascii="宋体" w:hAnsi="宋体" w:eastAsia="宋体" w:cs="宋体"/>
          <w:bCs/>
          <w:color w:val="auto"/>
          <w:kern w:val="0"/>
          <w:u w:val="single"/>
        </w:rPr>
        <w:t>是/否</w:t>
      </w:r>
      <w:r>
        <w:rPr>
          <w:rFonts w:hint="eastAsia" w:ascii="宋体" w:hAnsi="宋体" w:eastAsia="宋体" w:cs="宋体"/>
          <w:bCs/>
          <w:color w:val="auto"/>
          <w:kern w:val="0"/>
        </w:rPr>
        <w:t>公告期限：</w:t>
      </w:r>
    </w:p>
    <w:p w14:paraId="4C024CBC">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三、质疑基本情况</w:t>
      </w:r>
    </w:p>
    <w:p w14:paraId="1C9755D1">
      <w:pPr>
        <w:spacing w:line="400" w:lineRule="exact"/>
        <w:ind w:left="25" w:leftChars="12" w:firstLine="833" w:firstLineChars="397"/>
        <w:rPr>
          <w:rFonts w:hint="eastAsia" w:ascii="宋体" w:hAnsi="宋体" w:eastAsia="宋体" w:cs="宋体"/>
          <w:color w:val="auto"/>
          <w:kern w:val="0"/>
          <w:szCs w:val="21"/>
        </w:rPr>
      </w:pPr>
      <w:r>
        <w:rPr>
          <w:rFonts w:hint="eastAsia" w:ascii="宋体" w:hAnsi="宋体" w:eastAsia="宋体" w:cs="宋体"/>
          <w:color w:val="auto"/>
          <w:kern w:val="0"/>
          <w:szCs w:val="21"/>
        </w:rPr>
        <w:t>投诉人于年月日，向提出质疑，质疑事项为：</w:t>
      </w:r>
    </w:p>
    <w:p w14:paraId="3DAA0885">
      <w:pPr>
        <w:spacing w:line="400" w:lineRule="exact"/>
        <w:rPr>
          <w:rFonts w:hint="eastAsia" w:ascii="宋体" w:hAnsi="宋体" w:eastAsia="宋体" w:cs="宋体"/>
          <w:bCs/>
          <w:color w:val="auto"/>
          <w:kern w:val="0"/>
          <w:u w:val="single"/>
        </w:rPr>
      </w:pPr>
    </w:p>
    <w:p w14:paraId="2A0A5B63">
      <w:pPr>
        <w:spacing w:line="400" w:lineRule="exact"/>
        <w:rPr>
          <w:rFonts w:hint="eastAsia" w:ascii="宋体" w:hAnsi="宋体" w:eastAsia="宋体" w:cs="宋体"/>
          <w:bCs/>
          <w:color w:val="auto"/>
          <w:kern w:val="0"/>
          <w:u w:val="single"/>
        </w:rPr>
      </w:pPr>
    </w:p>
    <w:p w14:paraId="55886C50">
      <w:pPr>
        <w:spacing w:line="400" w:lineRule="exact"/>
        <w:rPr>
          <w:rFonts w:hint="eastAsia" w:ascii="宋体" w:hAnsi="宋体" w:eastAsia="宋体" w:cs="宋体"/>
          <w:color w:val="auto"/>
          <w:kern w:val="0"/>
          <w:szCs w:val="21"/>
        </w:rPr>
      </w:pPr>
      <w:r>
        <w:rPr>
          <w:rFonts w:hint="eastAsia" w:ascii="宋体" w:hAnsi="宋体" w:eastAsia="宋体" w:cs="宋体"/>
          <w:bCs/>
          <w:color w:val="auto"/>
          <w:kern w:val="0"/>
          <w:u w:val="single"/>
        </w:rPr>
        <w:t>采购人/代理机构</w:t>
      </w:r>
      <w:r>
        <w:rPr>
          <w:rFonts w:hint="eastAsia" w:ascii="宋体" w:hAnsi="宋体" w:eastAsia="宋体" w:cs="宋体"/>
          <w:bCs/>
          <w:color w:val="auto"/>
          <w:kern w:val="0"/>
        </w:rPr>
        <w:t>于</w:t>
      </w:r>
      <w:r>
        <w:rPr>
          <w:rFonts w:hint="eastAsia" w:ascii="宋体" w:hAnsi="宋体" w:eastAsia="宋体" w:cs="宋体"/>
          <w:color w:val="auto"/>
          <w:kern w:val="0"/>
          <w:szCs w:val="21"/>
        </w:rPr>
        <w:t>年月日，</w:t>
      </w:r>
      <w:r>
        <w:rPr>
          <w:rFonts w:hint="eastAsia" w:ascii="宋体" w:hAnsi="宋体" w:eastAsia="宋体" w:cs="宋体"/>
          <w:bCs/>
          <w:color w:val="auto"/>
          <w:kern w:val="0"/>
        </w:rPr>
        <w:t xml:space="preserve">就质疑事项作出了答复/没有在法定期限内作出答复。                                                                                             </w:t>
      </w:r>
    </w:p>
    <w:p w14:paraId="3DCDFF52">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四、投诉事项具体内容</w:t>
      </w:r>
    </w:p>
    <w:p w14:paraId="4C774F28">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投诉事项1：</w:t>
      </w:r>
    </w:p>
    <w:p w14:paraId="40C4A992">
      <w:pPr>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事实依据：</w:t>
      </w:r>
    </w:p>
    <w:p w14:paraId="56592E5F">
      <w:pPr>
        <w:spacing w:line="400" w:lineRule="exact"/>
        <w:ind w:left="25" w:leftChars="12" w:firstLine="413" w:firstLineChars="197"/>
        <w:rPr>
          <w:rFonts w:hint="eastAsia" w:ascii="宋体" w:hAnsi="宋体" w:eastAsia="宋体" w:cs="宋体"/>
          <w:color w:val="auto"/>
          <w:kern w:val="0"/>
          <w:szCs w:val="21"/>
        </w:rPr>
      </w:pPr>
    </w:p>
    <w:p w14:paraId="1ECE4305">
      <w:pPr>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法律依据：</w:t>
      </w:r>
    </w:p>
    <w:p w14:paraId="32AD1F01">
      <w:pPr>
        <w:spacing w:line="400" w:lineRule="exact"/>
        <w:ind w:left="25" w:leftChars="12" w:firstLine="308" w:firstLineChars="147"/>
        <w:rPr>
          <w:rFonts w:hint="eastAsia" w:ascii="宋体" w:hAnsi="宋体" w:eastAsia="宋体" w:cs="宋体"/>
          <w:bCs/>
          <w:color w:val="auto"/>
          <w:kern w:val="0"/>
          <w:u w:val="single"/>
        </w:rPr>
      </w:pPr>
    </w:p>
    <w:p w14:paraId="4C9178D5">
      <w:pPr>
        <w:spacing w:line="400" w:lineRule="exact"/>
        <w:ind w:left="25" w:leftChars="12" w:firstLine="413" w:firstLineChars="197"/>
        <w:rPr>
          <w:rFonts w:hint="eastAsia" w:ascii="宋体" w:hAnsi="宋体" w:eastAsia="宋体" w:cs="宋体"/>
          <w:bCs/>
          <w:color w:val="auto"/>
          <w:kern w:val="0"/>
        </w:rPr>
      </w:pPr>
      <w:r>
        <w:rPr>
          <w:rFonts w:hint="eastAsia" w:ascii="宋体" w:hAnsi="宋体" w:eastAsia="宋体" w:cs="宋体"/>
          <w:color w:val="auto"/>
          <w:kern w:val="0"/>
          <w:szCs w:val="21"/>
        </w:rPr>
        <w:t xml:space="preserve">投诉事项2  </w:t>
      </w:r>
    </w:p>
    <w:p w14:paraId="19150E27">
      <w:pPr>
        <w:spacing w:line="400" w:lineRule="exact"/>
        <w:ind w:left="25" w:leftChars="12" w:firstLine="413" w:firstLineChars="197"/>
        <w:rPr>
          <w:rFonts w:hint="eastAsia" w:ascii="宋体" w:hAnsi="宋体" w:eastAsia="宋体" w:cs="宋体"/>
          <w:bCs/>
          <w:color w:val="auto"/>
          <w:kern w:val="0"/>
        </w:rPr>
      </w:pPr>
      <w:r>
        <w:rPr>
          <w:rFonts w:hint="eastAsia" w:ascii="宋体" w:hAnsi="宋体" w:eastAsia="宋体" w:cs="宋体"/>
          <w:bCs/>
          <w:color w:val="auto"/>
          <w:kern w:val="0"/>
        </w:rPr>
        <w:t>……</w:t>
      </w:r>
    </w:p>
    <w:p w14:paraId="7D572D7A">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五、与投诉事项相关的投诉请求：</w:t>
      </w:r>
    </w:p>
    <w:p w14:paraId="41DAAA42">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请求：</w:t>
      </w:r>
    </w:p>
    <w:p w14:paraId="03E91309">
      <w:pPr>
        <w:spacing w:line="400" w:lineRule="exact"/>
        <w:ind w:left="25" w:leftChars="12" w:firstLine="308" w:firstLineChars="147"/>
        <w:rPr>
          <w:rFonts w:hint="eastAsia" w:ascii="宋体" w:hAnsi="宋体" w:eastAsia="宋体" w:cs="宋体"/>
          <w:color w:val="auto"/>
          <w:kern w:val="0"/>
          <w:szCs w:val="21"/>
        </w:rPr>
      </w:pPr>
    </w:p>
    <w:p w14:paraId="793111F3">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签字（签章）：                                       公章：</w:t>
      </w:r>
    </w:p>
    <w:p w14:paraId="36384DA4">
      <w:pPr>
        <w:spacing w:line="400" w:lineRule="exact"/>
        <w:ind w:left="25" w:leftChars="12" w:firstLine="308" w:firstLineChars="147"/>
        <w:rPr>
          <w:rFonts w:hint="eastAsia" w:ascii="宋体" w:hAnsi="宋体" w:eastAsia="宋体" w:cs="宋体"/>
          <w:color w:val="auto"/>
          <w:kern w:val="0"/>
          <w:szCs w:val="21"/>
        </w:rPr>
      </w:pPr>
    </w:p>
    <w:p w14:paraId="76B873E3">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日期：</w:t>
      </w:r>
    </w:p>
    <w:p w14:paraId="68099789">
      <w:pPr>
        <w:spacing w:line="360" w:lineRule="exact"/>
        <w:ind w:left="25" w:leftChars="12" w:firstLine="413" w:firstLineChars="197"/>
        <w:rPr>
          <w:rFonts w:hint="eastAsia" w:ascii="宋体" w:hAnsi="宋体" w:eastAsia="宋体" w:cs="宋体"/>
          <w:color w:val="auto"/>
          <w:kern w:val="0"/>
          <w:szCs w:val="21"/>
        </w:rPr>
      </w:pPr>
    </w:p>
    <w:p w14:paraId="5B253EE0">
      <w:pPr>
        <w:snapToGrid w:val="0"/>
        <w:spacing w:line="340" w:lineRule="exact"/>
        <w:rPr>
          <w:rFonts w:hint="eastAsia" w:ascii="宋体" w:hAnsi="宋体" w:eastAsia="宋体" w:cs="宋体"/>
          <w:b/>
          <w:color w:val="auto"/>
          <w:kern w:val="0"/>
          <w:szCs w:val="21"/>
        </w:rPr>
      </w:pPr>
    </w:p>
    <w:p w14:paraId="1B9FC0BA">
      <w:pPr>
        <w:snapToGrid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说明：</w:t>
      </w:r>
    </w:p>
    <w:p w14:paraId="6751CAE4">
      <w:pPr>
        <w:spacing w:line="340" w:lineRule="exact"/>
        <w:ind w:left="25" w:leftChars="12" w:firstLine="310" w:firstLineChars="147"/>
        <w:rPr>
          <w:rFonts w:hint="eastAsia" w:ascii="宋体" w:hAnsi="宋体" w:eastAsia="宋体" w:cs="宋体"/>
          <w:b/>
          <w:bCs/>
          <w:color w:val="auto"/>
          <w:kern w:val="0"/>
        </w:rPr>
      </w:pPr>
      <w:r>
        <w:rPr>
          <w:rFonts w:hint="eastAsia" w:ascii="宋体" w:hAnsi="宋体" w:eastAsia="宋体" w:cs="宋体"/>
          <w:b/>
          <w:color w:val="auto"/>
          <w:kern w:val="0"/>
          <w:szCs w:val="21"/>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rPr>
        <w:t>。</w:t>
      </w:r>
    </w:p>
    <w:p w14:paraId="4907C39D">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F7B4B91">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3.投诉书应简要列明质疑事项，质疑函、质疑答复等作为附件材料提供。</w:t>
      </w:r>
    </w:p>
    <w:p w14:paraId="7B155A2B">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4.投诉书的投诉事项应具体、明确，并有必要的事实依据和法律依据。</w:t>
      </w:r>
    </w:p>
    <w:p w14:paraId="29FFF66E">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5.投诉书的投诉请求应与投诉事项相关。</w:t>
      </w:r>
    </w:p>
    <w:p w14:paraId="4F94977E">
      <w:pPr>
        <w:spacing w:line="340" w:lineRule="exact"/>
        <w:ind w:left="25" w:leftChars="12" w:firstLine="310" w:firstLineChars="147"/>
        <w:rPr>
          <w:rFonts w:hint="eastAsia" w:ascii="宋体" w:hAnsi="宋体" w:eastAsia="宋体" w:cs="宋体"/>
          <w:b/>
          <w:color w:val="auto"/>
          <w:szCs w:val="21"/>
        </w:rPr>
      </w:pPr>
      <w:r>
        <w:rPr>
          <w:rFonts w:hint="eastAsia" w:ascii="宋体" w:hAnsi="宋体" w:eastAsia="宋体" w:cs="宋体"/>
          <w:b/>
          <w:color w:val="auto"/>
          <w:kern w:val="0"/>
          <w:szCs w:val="21"/>
        </w:rPr>
        <w:t>6.</w:t>
      </w:r>
      <w:r>
        <w:rPr>
          <w:rFonts w:hint="eastAsia" w:ascii="宋体" w:hAnsi="宋体" w:eastAsia="宋体" w:cs="宋体"/>
          <w:b/>
          <w:color w:val="auto"/>
          <w:szCs w:val="21"/>
        </w:rPr>
        <w:t>投诉人为法人或者其他组织的，投诉书应由法定代表人、主要负责人，或者其授权代表签字或者盖章，并加盖公章。</w:t>
      </w:r>
    </w:p>
    <w:p w14:paraId="05463512">
      <w:pPr>
        <w:spacing w:line="340" w:lineRule="exact"/>
        <w:ind w:left="25" w:leftChars="12" w:firstLine="310" w:firstLineChars="147"/>
        <w:rPr>
          <w:rFonts w:hint="eastAsia" w:ascii="宋体" w:hAnsi="宋体" w:eastAsia="宋体" w:cs="宋体"/>
          <w:b/>
          <w:color w:val="auto"/>
          <w:kern w:val="0"/>
          <w:szCs w:val="21"/>
        </w:rPr>
      </w:pPr>
    </w:p>
    <w:p w14:paraId="4F99F250">
      <w:pPr>
        <w:rPr>
          <w:rFonts w:hint="eastAsia" w:ascii="宋体" w:hAnsi="宋体" w:eastAsia="宋体" w:cs="宋体"/>
          <w:color w:val="auto"/>
        </w:rPr>
      </w:pPr>
    </w:p>
    <w:p w14:paraId="0335DD9D">
      <w:pPr>
        <w:pStyle w:val="7"/>
        <w:rPr>
          <w:rFonts w:hint="eastAsia" w:ascii="宋体" w:hAnsi="宋体" w:eastAsia="宋体" w:cs="宋体"/>
          <w:color w:val="auto"/>
        </w:rPr>
      </w:pPr>
    </w:p>
    <w:p w14:paraId="17386E5C">
      <w:pPr>
        <w:rPr>
          <w:rFonts w:hint="eastAsia" w:ascii="宋体" w:hAnsi="宋体" w:eastAsia="宋体" w:cs="宋体"/>
          <w:color w:val="auto"/>
        </w:rPr>
      </w:pPr>
    </w:p>
    <w:p w14:paraId="2117001E">
      <w:pPr>
        <w:pStyle w:val="2"/>
        <w:pageBreakBefore/>
        <w:spacing w:before="0" w:after="0" w:line="240" w:lineRule="auto"/>
        <w:jc w:val="center"/>
        <w:rPr>
          <w:rFonts w:hint="eastAsia" w:ascii="宋体" w:hAnsi="宋体" w:eastAsia="宋体" w:cs="宋体"/>
          <w:color w:val="auto"/>
          <w:sz w:val="32"/>
          <w:szCs w:val="32"/>
        </w:rPr>
      </w:pPr>
      <w:bookmarkStart w:id="129" w:name="_Toc28939"/>
      <w:bookmarkStart w:id="130" w:name="_Toc31755"/>
      <w:bookmarkStart w:id="131" w:name="_Toc5872"/>
      <w:bookmarkStart w:id="132" w:name="_Toc2989"/>
      <w:r>
        <w:rPr>
          <w:rFonts w:hint="eastAsia" w:ascii="宋体" w:hAnsi="宋体" w:eastAsia="宋体" w:cs="宋体"/>
          <w:color w:val="auto"/>
          <w:sz w:val="32"/>
          <w:szCs w:val="32"/>
        </w:rPr>
        <w:t xml:space="preserve">第三章  </w:t>
      </w:r>
      <w:bookmarkEnd w:id="129"/>
      <w:bookmarkEnd w:id="130"/>
      <w:bookmarkEnd w:id="131"/>
      <w:r>
        <w:rPr>
          <w:rFonts w:hint="eastAsia" w:ascii="宋体" w:hAnsi="宋体" w:eastAsia="宋体" w:cs="宋体"/>
          <w:color w:val="auto"/>
          <w:sz w:val="32"/>
          <w:szCs w:val="32"/>
        </w:rPr>
        <w:t>项目需求表</w:t>
      </w:r>
    </w:p>
    <w:p w14:paraId="76E87773">
      <w:pPr>
        <w:widowControl/>
        <w:snapToGrid w:val="0"/>
        <w:spacing w:line="360" w:lineRule="exact"/>
        <w:ind w:firstLine="422" w:firstLineChars="200"/>
        <w:jc w:val="left"/>
        <w:rPr>
          <w:rFonts w:hint="eastAsia" w:ascii="宋体" w:hAnsi="宋体" w:eastAsia="宋体" w:cs="宋体"/>
          <w:b/>
          <w:color w:val="auto"/>
          <w:szCs w:val="21"/>
        </w:rPr>
      </w:pPr>
    </w:p>
    <w:p w14:paraId="33ADD3F5">
      <w:pPr>
        <w:widowControl/>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说明： </w:t>
      </w:r>
    </w:p>
    <w:p w14:paraId="0F28C4D3">
      <w:pPr>
        <w:pStyle w:val="25"/>
        <w:widowControl/>
        <w:spacing w:line="440" w:lineRule="atLeast"/>
        <w:ind w:left="63" w:right="63"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一、本项目所要执行的政府采购政策：</w:t>
      </w:r>
    </w:p>
    <w:p w14:paraId="34948324">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一）根据《政府采购促进中小企业发展管理办法》（财库[2020]46号）、《广西壮族自治区财政厅关于持续优化政府采购营商环境推动高质量发展的通知》（桂财采〔2024〕55号）等有关规定，供应商提供的货物全部由符合政策要求的小型、微型企业制造或供应商提供的服务全部由符合政策要求的小型、微型企业承接的，响应文件中提供符合要求的《中小企业声明函》的，供应商的磋商报价给予20%的扣除。</w:t>
      </w:r>
    </w:p>
    <w:p w14:paraId="68417D05">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根据财政部、司法部关于政府采购支持监狱企业发展有关问题的通知（财库[2014]68号），监狱企业视同小型、微型企业，享受预留份额、评审中价格扣除等政府采购政策。监狱企业属于小型、微型企业的，不重复享受政策。</w:t>
      </w:r>
    </w:p>
    <w:p w14:paraId="4C3AB532">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三）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6F6C5CF">
      <w:pPr>
        <w:pStyle w:val="25"/>
        <w:widowControl/>
        <w:spacing w:line="440" w:lineRule="atLeast"/>
        <w:ind w:left="63" w:right="63"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二、供应商必须自行为其竞标产品侵犯他人的知识产权或者专利成果或其他合法权益的行为承担相应法律责任。</w:t>
      </w:r>
    </w:p>
    <w:p w14:paraId="1B9CCF18">
      <w:pPr>
        <w:pStyle w:val="25"/>
        <w:widowControl/>
        <w:spacing w:line="440" w:lineRule="atLeast"/>
        <w:ind w:left="63" w:right="63" w:firstLine="422" w:firstLineChars="200"/>
        <w:jc w:val="left"/>
        <w:rPr>
          <w:rFonts w:hint="eastAsia" w:ascii="宋体" w:hAnsi="宋体" w:eastAsia="宋体" w:cs="宋体"/>
          <w:b/>
          <w:bCs/>
          <w:color w:val="auto"/>
          <w:sz w:val="21"/>
          <w:szCs w:val="21"/>
          <w:u w:val="thick"/>
        </w:rPr>
      </w:pPr>
      <w:r>
        <w:rPr>
          <w:rFonts w:hint="eastAsia" w:ascii="宋体" w:hAnsi="宋体" w:eastAsia="宋体" w:cs="宋体"/>
          <w:b/>
          <w:bCs/>
          <w:color w:val="auto"/>
          <w:sz w:val="21"/>
          <w:szCs w:val="21"/>
        </w:rPr>
        <w:t>三、中小企业划分标准是指国务院有关部门根据企业从业人员、营业收入、资产总额等指标制定的中小企业划型标准，详见《关于印发中小企业划型标准规定的通知》（工信部联企业〔2011〕300号）。</w:t>
      </w:r>
    </w:p>
    <w:p w14:paraId="06EF01C4">
      <w:pPr>
        <w:pStyle w:val="25"/>
        <w:widowControl/>
        <w:spacing w:line="440" w:lineRule="atLeast"/>
        <w:ind w:left="63" w:right="63"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四、供应商应注意下列内容：</w:t>
      </w:r>
    </w:p>
    <w:p w14:paraId="2AEBB88F">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须在响应文件中填写/应答项目要求，当响应文件中填写/应答内容与本项目采购需求表“项目具体内容及要求”有偏离时，须在“偏离”栏内如实注明是偏离情况，“正偏离”指供应商响应内容优于本项目采购需求表要求，“负偏离”指供应商响应内容低于本项目采购需求表要求，“无偏离”指供应商响应内容与本项目采购需求表标准要求一致。供应商响应内容或其它内容有“正偏离”的，供应商须对“正偏离”的情况单独作出说明。若有任意一项为负偏离，响应文件无效处理。</w:t>
      </w:r>
    </w:p>
    <w:p w14:paraId="0D136803">
      <w:pPr>
        <w:spacing w:before="273" w:line="219" w:lineRule="auto"/>
        <w:ind w:firstLine="474" w:firstLineChars="200"/>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【说明：本项目服务需求、商务要求条款不允许负偏离。】</w:t>
      </w:r>
    </w:p>
    <w:p w14:paraId="2878FDFB">
      <w:pPr>
        <w:pStyle w:val="7"/>
        <w:spacing w:line="266" w:lineRule="auto"/>
        <w:rPr>
          <w:rFonts w:hint="eastAsia" w:ascii="宋体" w:hAnsi="宋体" w:eastAsia="宋体" w:cs="宋体"/>
          <w:color w:val="auto"/>
        </w:rPr>
      </w:pPr>
    </w:p>
    <w:p w14:paraId="3FCAB8F0">
      <w:pPr>
        <w:pStyle w:val="7"/>
        <w:spacing w:line="266" w:lineRule="auto"/>
        <w:rPr>
          <w:rFonts w:hint="eastAsia" w:ascii="宋体" w:hAnsi="宋体" w:eastAsia="宋体" w:cs="宋体"/>
          <w:color w:val="auto"/>
        </w:rPr>
      </w:pPr>
    </w:p>
    <w:p w14:paraId="1ADAAAA5">
      <w:pPr>
        <w:spacing w:before="91" w:line="221" w:lineRule="auto"/>
        <w:ind w:left="3849"/>
        <w:rPr>
          <w:rFonts w:hint="eastAsia" w:ascii="宋体" w:hAnsi="宋体" w:eastAsia="宋体" w:cs="宋体"/>
          <w:b/>
          <w:bCs/>
          <w:color w:val="auto"/>
          <w:spacing w:val="-4"/>
          <w:sz w:val="28"/>
          <w:szCs w:val="28"/>
        </w:rPr>
      </w:pPr>
    </w:p>
    <w:p w14:paraId="1418F2A3">
      <w:pPr>
        <w:spacing w:before="91" w:line="221" w:lineRule="auto"/>
        <w:ind w:left="3849"/>
        <w:rPr>
          <w:rFonts w:hint="eastAsia" w:ascii="宋体" w:hAnsi="宋体" w:eastAsia="宋体" w:cs="宋体"/>
          <w:b/>
          <w:bCs/>
          <w:color w:val="auto"/>
          <w:spacing w:val="-4"/>
          <w:sz w:val="28"/>
          <w:szCs w:val="28"/>
        </w:rPr>
      </w:pPr>
    </w:p>
    <w:p w14:paraId="27DBE3CD">
      <w:pPr>
        <w:spacing w:before="91" w:line="221" w:lineRule="auto"/>
        <w:ind w:left="3849"/>
        <w:rPr>
          <w:rFonts w:hint="eastAsia" w:ascii="宋体" w:hAnsi="宋体" w:eastAsia="宋体" w:cs="宋体"/>
          <w:b/>
          <w:bCs/>
          <w:color w:val="auto"/>
          <w:spacing w:val="-4"/>
          <w:sz w:val="28"/>
          <w:szCs w:val="28"/>
        </w:rPr>
      </w:pPr>
    </w:p>
    <w:p w14:paraId="4AE76F62">
      <w:pPr>
        <w:spacing w:before="91" w:line="221" w:lineRule="auto"/>
        <w:ind w:left="3849"/>
        <w:rPr>
          <w:rFonts w:hint="eastAsia" w:ascii="宋体" w:hAnsi="宋体" w:eastAsia="宋体" w:cs="宋体"/>
          <w:b/>
          <w:bCs/>
          <w:color w:val="auto"/>
          <w:spacing w:val="-4"/>
          <w:sz w:val="28"/>
          <w:szCs w:val="28"/>
        </w:rPr>
      </w:pPr>
    </w:p>
    <w:p w14:paraId="673844DA">
      <w:pPr>
        <w:spacing w:before="91" w:line="221" w:lineRule="auto"/>
        <w:ind w:left="3849"/>
        <w:rPr>
          <w:rFonts w:hint="eastAsia" w:ascii="宋体" w:hAnsi="宋体" w:eastAsia="宋体" w:cs="宋体"/>
          <w:b/>
          <w:bCs/>
          <w:color w:val="auto"/>
          <w:spacing w:val="-4"/>
          <w:sz w:val="28"/>
          <w:szCs w:val="28"/>
        </w:rPr>
      </w:pPr>
    </w:p>
    <w:p w14:paraId="19C2E8A3">
      <w:pPr>
        <w:spacing w:before="91" w:line="221" w:lineRule="auto"/>
        <w:ind w:left="3849"/>
        <w:rPr>
          <w:rFonts w:hint="eastAsia" w:ascii="宋体" w:hAnsi="宋体" w:eastAsia="宋体" w:cs="宋体"/>
          <w:color w:val="auto"/>
          <w:sz w:val="28"/>
          <w:szCs w:val="28"/>
        </w:rPr>
      </w:pPr>
      <w:r>
        <w:rPr>
          <w:rFonts w:hint="eastAsia" w:ascii="宋体" w:hAnsi="宋体" w:eastAsia="宋体" w:cs="宋体"/>
          <w:b/>
          <w:bCs/>
          <w:color w:val="auto"/>
          <w:spacing w:val="-4"/>
          <w:sz w:val="28"/>
          <w:szCs w:val="28"/>
        </w:rPr>
        <w:t>服务需求表</w:t>
      </w:r>
    </w:p>
    <w:p w14:paraId="15997DCE">
      <w:pPr>
        <w:spacing w:line="123" w:lineRule="exact"/>
        <w:rPr>
          <w:rFonts w:hint="eastAsia" w:ascii="宋体" w:hAnsi="宋体" w:eastAsia="宋体" w:cs="宋体"/>
          <w:color w:val="auto"/>
        </w:rPr>
      </w:pPr>
    </w:p>
    <w:tbl>
      <w:tblPr>
        <w:tblStyle w:val="34"/>
        <w:tblW w:w="96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1"/>
      </w:tblGrid>
      <w:tr w14:paraId="21C69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631" w:type="dxa"/>
            <w:shd w:val="clear" w:color="auto" w:fill="EEECE1"/>
            <w:vAlign w:val="top"/>
          </w:tcPr>
          <w:p w14:paraId="3264081C">
            <w:pPr>
              <w:pStyle w:val="33"/>
              <w:spacing w:before="213" w:line="228" w:lineRule="auto"/>
              <w:ind w:left="4084"/>
              <w:rPr>
                <w:rFonts w:hint="eastAsia" w:ascii="宋体" w:hAnsi="宋体" w:eastAsia="宋体" w:cs="宋体"/>
                <w:color w:val="auto"/>
              </w:rPr>
            </w:pPr>
            <w:r>
              <w:rPr>
                <w:rFonts w:hint="eastAsia" w:ascii="宋体" w:hAnsi="宋体" w:eastAsia="宋体" w:cs="宋体"/>
                <w:color w:val="auto"/>
                <w:spacing w:val="8"/>
              </w:rPr>
              <w:t>服务内容、要求</w:t>
            </w:r>
          </w:p>
        </w:tc>
      </w:tr>
      <w:tr w14:paraId="52DC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631" w:type="dxa"/>
            <w:vAlign w:val="top"/>
          </w:tcPr>
          <w:p w14:paraId="178BA808">
            <w:pPr>
              <w:pStyle w:val="33"/>
              <w:spacing w:before="109" w:line="229" w:lineRule="auto"/>
              <w:ind w:left="538"/>
              <w:rPr>
                <w:rFonts w:hint="eastAsia" w:ascii="宋体" w:hAnsi="宋体" w:eastAsia="宋体" w:cs="宋体"/>
                <w:color w:val="auto"/>
              </w:rPr>
            </w:pPr>
            <w:r>
              <w:rPr>
                <w:rFonts w:hint="eastAsia" w:ascii="宋体" w:hAnsi="宋体" w:eastAsia="宋体" w:cs="宋体"/>
                <w:color w:val="auto"/>
                <w:spacing w:val="7"/>
              </w:rPr>
              <w:t>一、工作范围</w:t>
            </w:r>
          </w:p>
          <w:p w14:paraId="16B61371">
            <w:pPr>
              <w:pStyle w:val="33"/>
              <w:spacing w:before="111" w:line="228" w:lineRule="auto"/>
              <w:ind w:left="535"/>
              <w:rPr>
                <w:rFonts w:hint="eastAsia" w:ascii="宋体" w:hAnsi="宋体" w:eastAsia="宋体" w:cs="宋体"/>
                <w:color w:val="auto"/>
              </w:rPr>
            </w:pPr>
            <w:r>
              <w:rPr>
                <w:rFonts w:hint="eastAsia" w:ascii="宋体" w:hAnsi="宋体" w:eastAsia="宋体" w:cs="宋体"/>
                <w:color w:val="auto"/>
                <w:spacing w:val="9"/>
              </w:rPr>
              <w:t>以景区创建国家5A级旅游景区的红线范围作为本项合作的</w:t>
            </w:r>
            <w:r>
              <w:rPr>
                <w:rFonts w:hint="eastAsia" w:ascii="宋体" w:hAnsi="宋体" w:eastAsia="宋体" w:cs="宋体"/>
                <w:color w:val="auto"/>
                <w:spacing w:val="9"/>
                <w:lang w:val="en-US" w:eastAsia="zh-CN"/>
              </w:rPr>
              <w:t>工</w:t>
            </w:r>
            <w:r>
              <w:rPr>
                <w:rFonts w:hint="eastAsia" w:ascii="宋体" w:hAnsi="宋体" w:eastAsia="宋体" w:cs="宋体"/>
                <w:color w:val="auto"/>
                <w:spacing w:val="9"/>
              </w:rPr>
              <w:t>作范围。</w:t>
            </w:r>
          </w:p>
          <w:p w14:paraId="408DC584">
            <w:pPr>
              <w:pStyle w:val="33"/>
              <w:spacing w:before="113" w:line="228" w:lineRule="auto"/>
              <w:ind w:left="538"/>
              <w:rPr>
                <w:rFonts w:hint="eastAsia" w:ascii="宋体" w:hAnsi="宋体" w:eastAsia="宋体" w:cs="宋体"/>
                <w:color w:val="auto"/>
              </w:rPr>
            </w:pPr>
            <w:r>
              <w:rPr>
                <w:rFonts w:hint="eastAsia" w:ascii="宋体" w:hAnsi="宋体" w:eastAsia="宋体" w:cs="宋体"/>
                <w:color w:val="auto"/>
                <w:spacing w:val="7"/>
              </w:rPr>
              <w:t>二、工作内容</w:t>
            </w:r>
          </w:p>
          <w:p w14:paraId="1D01698E">
            <w:pPr>
              <w:pStyle w:val="33"/>
              <w:spacing w:before="113" w:line="332" w:lineRule="auto"/>
              <w:ind w:left="115" w:right="108" w:firstLine="420"/>
              <w:jc w:val="both"/>
              <w:rPr>
                <w:rFonts w:hint="eastAsia" w:ascii="宋体" w:hAnsi="宋体" w:eastAsia="宋体" w:cs="宋体"/>
                <w:color w:val="auto"/>
              </w:rPr>
            </w:pPr>
            <w:r>
              <w:rPr>
                <w:rFonts w:hint="eastAsia" w:ascii="宋体" w:hAnsi="宋体" w:eastAsia="宋体" w:cs="宋体"/>
                <w:color w:val="auto"/>
                <w:spacing w:val="7"/>
                <w:lang w:eastAsia="zh-CN"/>
              </w:rPr>
              <w:t>派驻2名专业技术人员以“方案+执行”的工作模式，围绕合作目标，建立提升工作机制、理清工作任务，编制技术方案，现场辅导执行，促进景区高质量发展</w:t>
            </w:r>
            <w:r>
              <w:rPr>
                <w:rFonts w:hint="eastAsia" w:ascii="宋体" w:hAnsi="宋体" w:eastAsia="宋体" w:cs="宋体"/>
                <w:color w:val="auto"/>
                <w:spacing w:val="4"/>
              </w:rPr>
              <w:t>。</w:t>
            </w:r>
          </w:p>
          <w:p w14:paraId="0EAC32B9">
            <w:pPr>
              <w:pStyle w:val="33"/>
              <w:spacing w:line="228" w:lineRule="auto"/>
              <w:ind w:left="545"/>
              <w:outlineLvl w:val="1"/>
              <w:rPr>
                <w:rFonts w:hint="eastAsia" w:ascii="宋体" w:hAnsi="宋体" w:eastAsia="宋体" w:cs="宋体"/>
                <w:color w:val="auto"/>
              </w:rPr>
            </w:pPr>
            <w:bookmarkStart w:id="133" w:name="bookmark17"/>
            <w:bookmarkEnd w:id="133"/>
            <w:r>
              <w:rPr>
                <w:rFonts w:hint="eastAsia" w:ascii="宋体" w:hAnsi="宋体" w:eastAsia="宋体" w:cs="宋体"/>
                <w:b/>
                <w:bCs/>
                <w:color w:val="auto"/>
                <w:spacing w:val="6"/>
              </w:rPr>
              <w:t>（一）专项方案编制</w:t>
            </w:r>
          </w:p>
          <w:p w14:paraId="6143B0EE">
            <w:pPr>
              <w:pStyle w:val="33"/>
              <w:spacing w:before="114" w:line="228" w:lineRule="auto"/>
              <w:ind w:left="545"/>
              <w:outlineLvl w:val="1"/>
              <w:rPr>
                <w:rFonts w:hint="eastAsia" w:ascii="宋体" w:hAnsi="宋体" w:eastAsia="宋体" w:cs="宋体"/>
                <w:b w:val="0"/>
                <w:bCs w:val="0"/>
                <w:color w:val="auto"/>
                <w:spacing w:val="5"/>
              </w:rPr>
            </w:pPr>
            <w:bookmarkStart w:id="134" w:name="bookmark18"/>
            <w:bookmarkEnd w:id="134"/>
            <w:r>
              <w:rPr>
                <w:rFonts w:hint="eastAsia" w:ascii="宋体" w:hAnsi="宋体" w:eastAsia="宋体" w:cs="宋体"/>
                <w:b w:val="0"/>
                <w:bCs w:val="0"/>
                <w:color w:val="auto"/>
                <w:spacing w:val="5"/>
              </w:rPr>
              <w:t>1.景区运营管理诊断报告</w:t>
            </w:r>
          </w:p>
          <w:p w14:paraId="33275631">
            <w:pPr>
              <w:pStyle w:val="33"/>
              <w:spacing w:before="114" w:line="228" w:lineRule="auto"/>
              <w:ind w:left="545"/>
              <w:outlineLvl w:val="1"/>
              <w:rPr>
                <w:rFonts w:hint="eastAsia" w:ascii="宋体" w:hAnsi="宋体" w:eastAsia="宋体" w:cs="宋体"/>
                <w:b w:val="0"/>
                <w:bCs w:val="0"/>
                <w:color w:val="auto"/>
                <w:spacing w:val="5"/>
              </w:rPr>
            </w:pPr>
            <w:r>
              <w:rPr>
                <w:rFonts w:hint="eastAsia" w:ascii="宋体" w:hAnsi="宋体" w:eastAsia="宋体" w:cs="宋体"/>
                <w:b w:val="0"/>
                <w:bCs w:val="0"/>
                <w:color w:val="auto"/>
                <w:spacing w:val="5"/>
              </w:rPr>
              <w:t>依据《旅游景区质量等级的划分与评定》（GB/T17775-2024），以景区运营管理、服务提升为导向，梳理景区存在问题及工作任务，编制《景区运营诊断报告》。</w:t>
            </w:r>
          </w:p>
          <w:p w14:paraId="32368A17">
            <w:pPr>
              <w:pStyle w:val="33"/>
              <w:spacing w:before="114" w:line="228" w:lineRule="auto"/>
              <w:ind w:left="545"/>
              <w:outlineLvl w:val="1"/>
              <w:rPr>
                <w:rFonts w:hint="eastAsia" w:ascii="宋体" w:hAnsi="宋体" w:eastAsia="宋体" w:cs="宋体"/>
                <w:b w:val="0"/>
                <w:bCs w:val="0"/>
                <w:color w:val="auto"/>
                <w:spacing w:val="5"/>
              </w:rPr>
            </w:pPr>
            <w:r>
              <w:rPr>
                <w:rFonts w:hint="eastAsia" w:ascii="宋体" w:hAnsi="宋体" w:eastAsia="宋体" w:cs="宋体"/>
                <w:b w:val="0"/>
                <w:bCs w:val="0"/>
                <w:color w:val="auto"/>
                <w:spacing w:val="5"/>
              </w:rPr>
              <w:t>2.游客接待服务提升规范</w:t>
            </w:r>
          </w:p>
          <w:p w14:paraId="37B55B2C">
            <w:pPr>
              <w:pStyle w:val="33"/>
              <w:spacing w:before="114" w:line="228" w:lineRule="auto"/>
              <w:ind w:left="545"/>
              <w:outlineLvl w:val="1"/>
              <w:rPr>
                <w:rFonts w:hint="eastAsia" w:ascii="宋体" w:hAnsi="宋体" w:eastAsia="宋体" w:cs="宋体"/>
                <w:b w:val="0"/>
                <w:bCs w:val="0"/>
                <w:color w:val="auto"/>
                <w:spacing w:val="5"/>
              </w:rPr>
            </w:pPr>
            <w:r>
              <w:rPr>
                <w:rFonts w:hint="eastAsia" w:ascii="宋体" w:hAnsi="宋体" w:eastAsia="宋体" w:cs="宋体"/>
                <w:b w:val="0"/>
                <w:bCs w:val="0"/>
                <w:color w:val="auto"/>
                <w:spacing w:val="5"/>
              </w:rPr>
              <w:t>结合文旅行业相关标准，针对不同客群，围绕游客“抵离、接待、游览、商购”等流程，为景区编制《游客接待服务规范》，从而提高景区游客接待服务质量。</w:t>
            </w:r>
          </w:p>
          <w:p w14:paraId="3E4C14E2">
            <w:pPr>
              <w:pStyle w:val="33"/>
              <w:spacing w:before="114" w:line="228" w:lineRule="auto"/>
              <w:ind w:left="545"/>
              <w:outlineLvl w:val="1"/>
              <w:rPr>
                <w:rFonts w:hint="eastAsia" w:ascii="宋体" w:hAnsi="宋体" w:eastAsia="宋体" w:cs="宋体"/>
                <w:b w:val="0"/>
                <w:bCs w:val="0"/>
                <w:color w:val="auto"/>
                <w:spacing w:val="5"/>
              </w:rPr>
            </w:pPr>
            <w:r>
              <w:rPr>
                <w:rFonts w:hint="eastAsia" w:ascii="宋体" w:hAnsi="宋体" w:eastAsia="宋体" w:cs="宋体"/>
                <w:b w:val="0"/>
                <w:bCs w:val="0"/>
                <w:color w:val="auto"/>
                <w:spacing w:val="5"/>
              </w:rPr>
              <w:t>3.</w:t>
            </w:r>
            <w:r>
              <w:rPr>
                <w:rFonts w:hint="eastAsia" w:ascii="宋体" w:hAnsi="宋体" w:eastAsia="宋体" w:cs="宋体"/>
                <w:b w:val="0"/>
                <w:bCs w:val="0"/>
                <w:color w:val="auto"/>
                <w:spacing w:val="5"/>
                <w:lang w:val="en-US" w:eastAsia="zh-CN"/>
              </w:rPr>
              <w:t>验收迎检方案</w:t>
            </w:r>
          </w:p>
          <w:p w14:paraId="5831005F">
            <w:pPr>
              <w:pStyle w:val="33"/>
              <w:spacing w:before="114" w:line="228" w:lineRule="auto"/>
              <w:ind w:left="545"/>
              <w:outlineLvl w:val="1"/>
              <w:rPr>
                <w:rFonts w:hint="eastAsia" w:ascii="宋体" w:hAnsi="宋体" w:eastAsia="宋体" w:cs="宋体"/>
                <w:b w:val="0"/>
                <w:bCs w:val="0"/>
                <w:color w:val="auto"/>
                <w:spacing w:val="5"/>
              </w:rPr>
            </w:pPr>
            <w:r>
              <w:rPr>
                <w:rFonts w:hint="eastAsia" w:ascii="宋体" w:hAnsi="宋体" w:eastAsia="宋体" w:cs="宋体"/>
                <w:b w:val="0"/>
                <w:bCs w:val="0"/>
                <w:color w:val="auto"/>
                <w:spacing w:val="5"/>
                <w:lang w:val="en-US" w:eastAsia="zh-CN"/>
              </w:rPr>
              <w:t>围绕景区5A验收迎检需要，指导制定相应迎检响应机制、分工等。</w:t>
            </w:r>
          </w:p>
          <w:p w14:paraId="70D5341A">
            <w:pPr>
              <w:pStyle w:val="33"/>
              <w:spacing w:before="114" w:line="228" w:lineRule="auto"/>
              <w:ind w:left="545"/>
              <w:outlineLvl w:val="1"/>
              <w:rPr>
                <w:rFonts w:hint="eastAsia" w:ascii="宋体" w:hAnsi="宋体" w:eastAsia="宋体" w:cs="宋体"/>
                <w:color w:val="auto"/>
              </w:rPr>
            </w:pPr>
            <w:r>
              <w:rPr>
                <w:rFonts w:hint="eastAsia" w:ascii="宋体" w:hAnsi="宋体" w:eastAsia="宋体" w:cs="宋体"/>
                <w:b/>
                <w:bCs/>
                <w:color w:val="auto"/>
              </w:rPr>
              <w:t>（二）</w:t>
            </w:r>
            <w:r>
              <w:rPr>
                <w:rFonts w:hint="eastAsia" w:ascii="宋体" w:hAnsi="宋体" w:eastAsia="宋体" w:cs="宋体"/>
                <w:color w:val="auto"/>
                <w:spacing w:val="-43"/>
              </w:rPr>
              <w:t xml:space="preserve"> </w:t>
            </w:r>
            <w:r>
              <w:rPr>
                <w:rFonts w:hint="eastAsia" w:ascii="宋体" w:hAnsi="宋体" w:eastAsia="宋体" w:cs="宋体"/>
                <w:b/>
                <w:bCs/>
                <w:color w:val="auto"/>
                <w:lang w:val="en-US" w:eastAsia="zh-CN"/>
              </w:rPr>
              <w:t>辅导执行</w:t>
            </w:r>
            <w:r>
              <w:rPr>
                <w:rFonts w:hint="eastAsia" w:ascii="宋体" w:hAnsi="宋体" w:eastAsia="宋体" w:cs="宋体"/>
                <w:b/>
                <w:bCs/>
                <w:color w:val="auto"/>
              </w:rPr>
              <w:t>务</w:t>
            </w:r>
          </w:p>
          <w:p w14:paraId="426709B5">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1.项目建设整改指导</w:t>
            </w:r>
          </w:p>
          <w:p w14:paraId="11B546EF">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依据《旅游景区质量等级的划分与评定》（GB/T17775-2024），乙方协助甲方建立 5A 创建工作督办机制，通过现场指导景区基础设施、公共服务设施（包括游客中心、旅游厕所、停车场等），公共户外设施（标识、垃圾桶、座椅等）、智慧景区、环境综合整治（包括建筑环境、交通秩序、网格化管理等）等项目整改工程来有效推进5A 创建整改进度。</w:t>
            </w:r>
          </w:p>
          <w:p w14:paraId="68C0F9E1">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2.景区日常运营管理指导</w:t>
            </w:r>
          </w:p>
          <w:p w14:paraId="2C5C1CF1">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依据《旅游景区质量等级的划分与评定》（GB/T17775-2024），乙方现场指导甲方开展日常运营管理的提升工作，包括交通组织指导、游客服务指导、物业管理指导、商业管理指导、营销管理指导等。</w:t>
            </w:r>
          </w:p>
          <w:p w14:paraId="77EDB604">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（1）交通组织提升指导。指导景区交通组织的提升，构建安全、便捷、舒适、有序的交通服务体系。</w:t>
            </w:r>
          </w:p>
          <w:p w14:paraId="2D9C8617">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（2）游客接待服务提升指导。结合景区实际运营需求，提出游客服务接待提升建议。按照双方确定的《游客接待服务规范》，协助景区按照游客接待服务的标准规范要求进行效果监督。</w:t>
            </w:r>
          </w:p>
          <w:p w14:paraId="3DF9DF3E">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（3）商业管理提升指导。指导景区运营主体，对自持产权的可经营空间开展招商及商业管理工作。</w:t>
            </w:r>
          </w:p>
          <w:p w14:paraId="60F2AF76">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（4）物业管理提升指导。结合编制方案，指导景区公共空间物业管理水平的提升，包括保安、保洁、园林养护等。</w:t>
            </w:r>
          </w:p>
          <w:p w14:paraId="776FEC5D">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（5）活动及品牌推广指导。指导景区新媒体营销平台建设及运营。指导景区文体旅活动的落地执行。</w:t>
            </w:r>
          </w:p>
          <w:p w14:paraId="4D0C1EC4">
            <w:pPr>
              <w:pStyle w:val="33"/>
              <w:spacing w:before="113" w:line="283" w:lineRule="auto"/>
              <w:ind w:left="115" w:right="108" w:firstLine="436"/>
              <w:rPr>
                <w:rFonts w:hint="eastAsia" w:ascii="宋体" w:hAnsi="宋体" w:eastAsia="宋体" w:cs="宋体"/>
                <w:color w:val="auto"/>
                <w:spacing w:val="9"/>
              </w:rPr>
            </w:pPr>
            <w:r>
              <w:rPr>
                <w:rFonts w:hint="eastAsia" w:ascii="宋体" w:hAnsi="宋体" w:eastAsia="宋体" w:cs="宋体"/>
                <w:color w:val="auto"/>
                <w:spacing w:val="9"/>
              </w:rPr>
              <w:t>3.综合提升培训</w:t>
            </w:r>
          </w:p>
          <w:p w14:paraId="7F5DC579">
            <w:pPr>
              <w:pStyle w:val="33"/>
              <w:spacing w:before="113" w:line="283" w:lineRule="auto"/>
              <w:ind w:left="115" w:right="108" w:firstLine="436"/>
              <w:rPr>
                <w:rFonts w:hint="eastAsia" w:ascii="宋体" w:hAnsi="宋体" w:eastAsia="宋体" w:cs="宋体"/>
                <w:color w:val="auto"/>
              </w:rPr>
            </w:pPr>
            <w:r>
              <w:rPr>
                <w:rFonts w:hint="eastAsia" w:ascii="宋体" w:hAnsi="宋体" w:eastAsia="宋体" w:cs="宋体"/>
                <w:color w:val="auto"/>
                <w:spacing w:val="9"/>
              </w:rPr>
              <w:t>乙方为甲方提供 4 次专题培训，内容包括但不限于管理类、服务类、标准类等；组织日常方案培训，根据实际管理和运营的需要，结合递交的方案，开展方案解读和模拟演练等不同形式的培训，为方案的落地执行提供保障。</w:t>
            </w:r>
          </w:p>
        </w:tc>
      </w:tr>
    </w:tbl>
    <w:tbl>
      <w:tblPr>
        <w:tblStyle w:val="34"/>
        <w:tblpPr w:leftFromText="180" w:rightFromText="180" w:vertAnchor="text" w:horzAnchor="page" w:tblpX="1139" w:tblpY="20"/>
        <w:tblOverlap w:val="never"/>
        <w:tblW w:w="9645"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45"/>
      </w:tblGrid>
      <w:tr w14:paraId="4F66E1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929" w:hRule="atLeast"/>
        </w:trPr>
        <w:tc>
          <w:tcPr>
            <w:tcW w:w="9645" w:type="dxa"/>
            <w:vAlign w:val="top"/>
          </w:tcPr>
          <w:p w14:paraId="1CF87BB8">
            <w:pPr>
              <w:pStyle w:val="33"/>
              <w:spacing w:before="2" w:line="226" w:lineRule="auto"/>
              <w:ind w:left="545"/>
              <w:outlineLvl w:val="1"/>
              <w:rPr>
                <w:rFonts w:hint="eastAsia" w:ascii="宋体" w:hAnsi="宋体" w:eastAsia="宋体" w:cs="宋体"/>
                <w:color w:val="auto"/>
                <w:lang w:val="en-US" w:eastAsia="zh-CN"/>
              </w:rPr>
            </w:pPr>
            <w:r>
              <w:rPr>
                <w:rFonts w:hint="eastAsia" w:ascii="宋体" w:hAnsi="宋体" w:eastAsia="宋体" w:cs="宋体"/>
                <w:b/>
                <w:bCs/>
                <w:color w:val="auto"/>
                <w:spacing w:val="6"/>
              </w:rPr>
              <w:t>（三）</w:t>
            </w:r>
            <w:r>
              <w:rPr>
                <w:rFonts w:hint="eastAsia" w:ascii="宋体" w:hAnsi="宋体" w:eastAsia="宋体" w:cs="宋体"/>
                <w:b/>
                <w:bCs/>
                <w:color w:val="auto"/>
                <w:spacing w:val="6"/>
                <w:lang w:val="en-US" w:eastAsia="zh-CN"/>
              </w:rPr>
              <w:t>工作机制</w:t>
            </w:r>
          </w:p>
          <w:p w14:paraId="58ABEB39">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（一）由合作双方指定人员作为双方对接人，负责在合作过程中的问题沟通、成果汇报、工作确认，协调在合作过程中超出乙方驻场人员工作权限的相关事宜，保障合作顺利。</w:t>
            </w:r>
          </w:p>
          <w:p w14:paraId="5554327D">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（二）提交的各方案类成果，以“工作联系单”的文本形式为主。根据实际工作需要，采用“会议纪要”“专项问题解决方案”“现场指导图像及视频”等其它成果形式，量化工作内容。</w:t>
            </w:r>
          </w:p>
          <w:p w14:paraId="58A5EFD7">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（三）按季度提交《驻场运营服务报告》，内容包含工作总结和工作计划，并由双方方进行签字确认，共同保障合作有序开展。</w:t>
            </w:r>
          </w:p>
          <w:p w14:paraId="3AFA900D">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（四）根据本合同费用支付方式中明确的日期，对阶段性成果进行汇编，并递交电子版和印刷版（1 份），由景区进行签字确认，作为阶段性款项支付的成果凭证。</w:t>
            </w:r>
          </w:p>
          <w:p w14:paraId="6DA689C4">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（五）合作期满后，由双方共同组织召开结项汇报会，按季度向甲方提供《度假区驻场运营服务</w:t>
            </w:r>
            <w:r>
              <w:rPr>
                <w:rFonts w:hint="eastAsia" w:ascii="宋体" w:hAnsi="宋体" w:eastAsia="宋体" w:cs="宋体"/>
                <w:color w:val="auto"/>
                <w:spacing w:val="8"/>
              </w:rPr>
              <w:t>报告》，内容包括工作总结和工作计划，以及乙方驻</w:t>
            </w:r>
            <w:r>
              <w:rPr>
                <w:rFonts w:hint="eastAsia" w:ascii="宋体" w:hAnsi="宋体" w:eastAsia="宋体" w:cs="宋体"/>
                <w:color w:val="auto"/>
                <w:spacing w:val="9"/>
              </w:rPr>
              <w:t>场和巡访工作人员出勤情况等，保障合作有序开展。</w:t>
            </w:r>
          </w:p>
          <w:p w14:paraId="36261E0C">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b/>
                <w:bCs/>
                <w:color w:val="auto"/>
                <w:spacing w:val="6"/>
              </w:rPr>
              <w:t>（</w:t>
            </w:r>
            <w:r>
              <w:rPr>
                <w:rFonts w:hint="eastAsia" w:ascii="宋体" w:hAnsi="宋体" w:eastAsia="宋体" w:cs="宋体"/>
                <w:b/>
                <w:bCs/>
                <w:color w:val="auto"/>
                <w:spacing w:val="6"/>
                <w:lang w:val="en-US" w:eastAsia="zh-CN"/>
              </w:rPr>
              <w:t>四</w:t>
            </w:r>
            <w:r>
              <w:rPr>
                <w:rFonts w:hint="eastAsia" w:ascii="宋体" w:hAnsi="宋体" w:eastAsia="宋体" w:cs="宋体"/>
                <w:b/>
                <w:bCs/>
                <w:color w:val="auto"/>
                <w:spacing w:val="6"/>
              </w:rPr>
              <w:t>）</w:t>
            </w:r>
            <w:r>
              <w:rPr>
                <w:rFonts w:hint="eastAsia" w:ascii="宋体" w:hAnsi="宋体" w:eastAsia="宋体" w:cs="宋体"/>
                <w:b/>
                <w:bCs/>
                <w:color w:val="auto"/>
                <w:spacing w:val="9"/>
              </w:rPr>
              <w:t>费用报价</w:t>
            </w:r>
          </w:p>
          <w:p w14:paraId="4B2EE6FC">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（一）驻场服务费用</w:t>
            </w:r>
          </w:p>
          <w:p w14:paraId="752ABCDB">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驻场服务费用含税总额：人民币（大写）：</w:t>
            </w:r>
            <w:r>
              <w:rPr>
                <w:rFonts w:hint="eastAsia" w:ascii="宋体" w:hAnsi="宋体" w:eastAsia="宋体" w:cs="宋体"/>
                <w:color w:val="auto"/>
                <w:spacing w:val="9"/>
                <w:u w:val="single"/>
                <w:lang w:val="en-US" w:eastAsia="zh-CN"/>
              </w:rPr>
              <w:t xml:space="preserve"> </w:t>
            </w:r>
            <w:r>
              <w:rPr>
                <w:rFonts w:hint="eastAsia" w:cs="宋体"/>
                <w:color w:val="auto"/>
                <w:spacing w:val="9"/>
                <w:u w:val="single"/>
                <w:lang w:val="en-US" w:eastAsia="zh-CN"/>
              </w:rPr>
              <w:t xml:space="preserve">   </w:t>
            </w:r>
            <w:r>
              <w:rPr>
                <w:rFonts w:hint="eastAsia" w:ascii="宋体" w:hAnsi="宋体" w:eastAsia="宋体" w:cs="宋体"/>
                <w:color w:val="auto"/>
                <w:spacing w:val="9"/>
                <w:u w:val="single"/>
                <w:lang w:val="en-US" w:eastAsia="zh-CN"/>
              </w:rPr>
              <w:t xml:space="preserve"> </w:t>
            </w:r>
            <w:r>
              <w:rPr>
                <w:rFonts w:hint="eastAsia" w:ascii="宋体" w:hAnsi="宋体" w:eastAsia="宋体" w:cs="宋体"/>
                <w:color w:val="auto"/>
                <w:spacing w:val="9"/>
              </w:rPr>
              <w:t>。该价款为固定价款，非经双方协商一致不因任何因素的变化而调整。该费用包含本合同约定的专家沙龙组织费用及技术服务团队的工资、福利、社保等费用。</w:t>
            </w:r>
          </w:p>
          <w:p w14:paraId="323D2836">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（二）支付方式</w:t>
            </w:r>
          </w:p>
          <w:p w14:paraId="699039A7">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1.合同签订后，甲方收到乙方递交符合国家适用税率要求的增值税专用发票后30 个工作日内，甲方支付乙方协议总额的 30%。</w:t>
            </w:r>
          </w:p>
          <w:p w14:paraId="2598EF68">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2.合同签订后，项目合作期满 6 个月后，乙方向递交符合国家适用税率要求的增值税专用发票及阶段性成果汇编后 15 个工作日内，甲方支付乙方协议总额的 30%。</w:t>
            </w:r>
          </w:p>
          <w:p w14:paraId="5D5FE3AC">
            <w:pPr>
              <w:pStyle w:val="33"/>
              <w:spacing w:before="114" w:line="333" w:lineRule="auto"/>
              <w:ind w:left="114" w:right="108" w:firstLine="437"/>
              <w:rPr>
                <w:rFonts w:hint="eastAsia" w:ascii="宋体" w:hAnsi="宋体" w:eastAsia="宋体" w:cs="宋体"/>
                <w:color w:val="auto"/>
                <w:spacing w:val="9"/>
              </w:rPr>
            </w:pPr>
            <w:r>
              <w:rPr>
                <w:rFonts w:hint="eastAsia" w:ascii="宋体" w:hAnsi="宋体" w:eastAsia="宋体" w:cs="宋体"/>
                <w:color w:val="auto"/>
                <w:spacing w:val="9"/>
              </w:rPr>
              <w:t>3.合同签订后，项目合作期满 12 个月后，乙方向甲方递交符合国家适用税率要求的增值税专用发票及所有成果汇编后 15 个工作日内，甲方支付乙方协议总额的 40%。</w:t>
            </w:r>
          </w:p>
        </w:tc>
      </w:tr>
    </w:tbl>
    <w:p w14:paraId="504A6FC0">
      <w:pPr>
        <w:spacing w:before="177" w:line="221" w:lineRule="auto"/>
        <w:jc w:val="center"/>
        <w:rPr>
          <w:rFonts w:hint="eastAsia" w:ascii="宋体" w:hAnsi="宋体" w:eastAsia="宋体" w:cs="宋体"/>
          <w:color w:val="auto"/>
          <w:sz w:val="28"/>
          <w:szCs w:val="28"/>
        </w:rPr>
      </w:pPr>
      <w:bookmarkStart w:id="135" w:name="bookmark19"/>
      <w:bookmarkEnd w:id="135"/>
      <w:r>
        <w:rPr>
          <w:rFonts w:hint="eastAsia" w:ascii="宋体" w:hAnsi="宋体" w:eastAsia="宋体" w:cs="宋体"/>
          <w:b/>
          <w:bCs/>
          <w:color w:val="auto"/>
          <w:spacing w:val="-5"/>
          <w:sz w:val="28"/>
          <w:szCs w:val="28"/>
        </w:rPr>
        <w:t>商务要求</w:t>
      </w:r>
    </w:p>
    <w:p w14:paraId="2AA2884A">
      <w:pPr>
        <w:pStyle w:val="7"/>
        <w:spacing w:line="259" w:lineRule="auto"/>
        <w:rPr>
          <w:rFonts w:hint="eastAsia" w:ascii="宋体" w:hAnsi="宋体" w:eastAsia="宋体" w:cs="宋体"/>
          <w:color w:val="auto"/>
        </w:rPr>
      </w:pPr>
    </w:p>
    <w:p w14:paraId="6194CC29">
      <w:pPr>
        <w:pStyle w:val="7"/>
        <w:spacing w:line="259" w:lineRule="auto"/>
        <w:rPr>
          <w:rFonts w:hint="eastAsia" w:ascii="宋体" w:hAnsi="宋体" w:eastAsia="宋体" w:cs="宋体"/>
          <w:color w:val="auto"/>
        </w:rPr>
      </w:pPr>
    </w:p>
    <w:p w14:paraId="3B24435B">
      <w:pPr>
        <w:spacing w:before="65" w:line="228" w:lineRule="auto"/>
        <w:ind w:left="135"/>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1、合同履行期限（服务期限</w:t>
      </w:r>
      <w:r>
        <w:rPr>
          <w:rFonts w:hint="eastAsia" w:ascii="宋体" w:hAnsi="宋体" w:eastAsia="宋体" w:cs="宋体"/>
          <w:b/>
          <w:bCs/>
          <w:color w:val="auto"/>
          <w:spacing w:val="19"/>
          <w:sz w:val="20"/>
          <w:szCs w:val="20"/>
        </w:rPr>
        <w:t>）：</w:t>
      </w:r>
      <w:r>
        <w:rPr>
          <w:rFonts w:hint="eastAsia" w:ascii="宋体" w:hAnsi="宋体" w:eastAsia="宋体" w:cs="宋体"/>
          <w:b/>
          <w:bCs/>
          <w:color w:val="auto"/>
          <w:spacing w:val="4"/>
          <w:sz w:val="20"/>
          <w:szCs w:val="20"/>
        </w:rPr>
        <w:t>运营服务期</w:t>
      </w:r>
      <w:r>
        <w:rPr>
          <w:rFonts w:hint="eastAsia" w:ascii="宋体" w:hAnsi="宋体" w:eastAsia="宋体" w:cs="宋体"/>
          <w:color w:val="auto"/>
          <w:spacing w:val="-21"/>
          <w:sz w:val="20"/>
          <w:szCs w:val="20"/>
        </w:rPr>
        <w:t xml:space="preserve"> </w:t>
      </w:r>
      <w:r>
        <w:rPr>
          <w:rFonts w:hint="eastAsia" w:ascii="宋体" w:hAnsi="宋体" w:eastAsia="宋体" w:cs="宋体"/>
          <w:b/>
          <w:bCs/>
          <w:color w:val="auto"/>
          <w:spacing w:val="4"/>
          <w:sz w:val="20"/>
          <w:szCs w:val="20"/>
        </w:rPr>
        <w:t>1</w:t>
      </w:r>
      <w:r>
        <w:rPr>
          <w:rFonts w:hint="eastAsia" w:ascii="宋体" w:hAnsi="宋体" w:eastAsia="宋体" w:cs="宋体"/>
          <w:color w:val="auto"/>
          <w:spacing w:val="-37"/>
          <w:sz w:val="20"/>
          <w:szCs w:val="20"/>
        </w:rPr>
        <w:t xml:space="preserve"> </w:t>
      </w:r>
      <w:r>
        <w:rPr>
          <w:rFonts w:hint="eastAsia" w:ascii="宋体" w:hAnsi="宋体" w:eastAsia="宋体" w:cs="宋体"/>
          <w:b/>
          <w:bCs/>
          <w:color w:val="auto"/>
          <w:spacing w:val="4"/>
          <w:sz w:val="20"/>
          <w:szCs w:val="20"/>
        </w:rPr>
        <w:t>年</w:t>
      </w:r>
    </w:p>
    <w:p w14:paraId="401FE924">
      <w:pPr>
        <w:spacing w:before="150" w:line="228" w:lineRule="auto"/>
        <w:ind w:left="122"/>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2、服务地点：采购人指定地点</w:t>
      </w:r>
    </w:p>
    <w:p w14:paraId="60178F73">
      <w:pPr>
        <w:spacing w:before="154" w:line="228" w:lineRule="auto"/>
        <w:ind w:left="124"/>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3、合同签订时间及付款方式：</w:t>
      </w:r>
    </w:p>
    <w:p w14:paraId="6852C205">
      <w:pPr>
        <w:spacing w:before="153" w:line="228" w:lineRule="auto"/>
        <w:ind w:left="540"/>
        <w:rPr>
          <w:rFonts w:hint="eastAsia" w:ascii="宋体" w:hAnsi="宋体" w:eastAsia="宋体" w:cs="宋体"/>
          <w:color w:val="auto"/>
          <w:sz w:val="20"/>
          <w:szCs w:val="20"/>
        </w:rPr>
      </w:pPr>
      <w:r>
        <w:rPr>
          <w:rFonts w:hint="eastAsia" w:ascii="宋体" w:hAnsi="宋体" w:eastAsia="宋体" w:cs="宋体"/>
          <w:color w:val="auto"/>
          <w:spacing w:val="7"/>
          <w:sz w:val="20"/>
          <w:szCs w:val="20"/>
        </w:rPr>
        <w:t>合同签订时间：成交通知书发出之日起</w:t>
      </w:r>
      <w:r>
        <w:rPr>
          <w:rFonts w:hint="eastAsia" w:ascii="宋体" w:hAnsi="宋体" w:eastAsia="宋体" w:cs="宋体"/>
          <w:color w:val="auto"/>
          <w:spacing w:val="7"/>
          <w:sz w:val="20"/>
          <w:szCs w:val="20"/>
          <w:lang w:val="en-US" w:eastAsia="zh-CN"/>
        </w:rPr>
        <w:t>8个工作</w:t>
      </w:r>
      <w:r>
        <w:rPr>
          <w:rFonts w:hint="eastAsia" w:ascii="宋体" w:hAnsi="宋体" w:eastAsia="宋体" w:cs="宋体"/>
          <w:color w:val="auto"/>
          <w:spacing w:val="7"/>
          <w:sz w:val="20"/>
          <w:szCs w:val="20"/>
        </w:rPr>
        <w:t>日内。付款方式：详见合同条款。</w:t>
      </w:r>
    </w:p>
    <w:p w14:paraId="0F779195">
      <w:pPr>
        <w:pStyle w:val="25"/>
        <w:widowControl/>
        <w:spacing w:line="440" w:lineRule="atLeast"/>
        <w:ind w:left="63" w:right="63" w:firstLine="420" w:firstLineChars="200"/>
        <w:jc w:val="left"/>
        <w:rPr>
          <w:rFonts w:hint="eastAsia" w:ascii="宋体" w:hAnsi="宋体" w:eastAsia="宋体" w:cs="宋体"/>
          <w:color w:val="auto"/>
          <w:sz w:val="21"/>
          <w:szCs w:val="21"/>
        </w:rPr>
      </w:pPr>
    </w:p>
    <w:p w14:paraId="66BDD64D">
      <w:pPr>
        <w:pStyle w:val="25"/>
        <w:widowControl/>
        <w:spacing w:line="440" w:lineRule="atLeast"/>
        <w:ind w:left="63" w:right="63" w:firstLine="422" w:firstLineChars="200"/>
        <w:jc w:val="left"/>
        <w:rPr>
          <w:rFonts w:hint="eastAsia" w:ascii="宋体" w:hAnsi="宋体" w:eastAsia="宋体" w:cs="宋体"/>
          <w:b/>
          <w:bCs/>
          <w:color w:val="auto"/>
          <w:sz w:val="21"/>
          <w:szCs w:val="21"/>
        </w:rPr>
      </w:pPr>
    </w:p>
    <w:p w14:paraId="1938A977">
      <w:pPr>
        <w:pStyle w:val="16"/>
        <w:ind w:firstLine="0"/>
        <w:rPr>
          <w:rFonts w:hint="eastAsia" w:ascii="宋体" w:hAnsi="宋体" w:eastAsia="宋体" w:cs="宋体"/>
          <w:color w:val="auto"/>
        </w:rPr>
      </w:pPr>
      <w:bookmarkStart w:id="136" w:name="_Toc7872"/>
      <w:bookmarkStart w:id="137" w:name="_Toc28985"/>
      <w:bookmarkStart w:id="138" w:name="_Toc26783"/>
      <w:bookmarkStart w:id="139" w:name="_Toc27023"/>
      <w:r>
        <w:rPr>
          <w:rFonts w:hint="eastAsia" w:ascii="宋体" w:hAnsi="宋体" w:eastAsia="宋体" w:cs="宋体"/>
          <w:color w:val="auto"/>
        </w:rPr>
        <w:br w:type="page"/>
      </w:r>
      <w:r>
        <w:rPr>
          <w:rFonts w:hint="eastAsia" w:ascii="宋体" w:hAnsi="宋体" w:eastAsia="宋体" w:cs="宋体"/>
          <w:color w:val="auto"/>
        </w:rPr>
        <w:t>第</w:t>
      </w:r>
      <w:r>
        <w:rPr>
          <w:rStyle w:val="26"/>
          <w:rFonts w:hint="eastAsia" w:ascii="宋体" w:hAnsi="宋体" w:eastAsia="宋体" w:cs="宋体"/>
          <w:b/>
          <w:bCs/>
          <w:color w:val="auto"/>
        </w:rPr>
        <w:t>四章 评标办法</w:t>
      </w:r>
      <w:bookmarkEnd w:id="136"/>
    </w:p>
    <w:bookmarkEnd w:id="132"/>
    <w:bookmarkEnd w:id="137"/>
    <w:bookmarkEnd w:id="138"/>
    <w:bookmarkEnd w:id="139"/>
    <w:p w14:paraId="6C04F3D5">
      <w:pPr>
        <w:spacing w:line="360" w:lineRule="auto"/>
        <w:ind w:firstLine="487" w:firstLineChars="202"/>
        <w:jc w:val="left"/>
        <w:rPr>
          <w:rFonts w:hint="eastAsia" w:ascii="宋体" w:hAnsi="宋体" w:eastAsia="宋体" w:cs="宋体"/>
          <w:b/>
          <w:color w:val="auto"/>
          <w:sz w:val="24"/>
        </w:rPr>
      </w:pPr>
      <w:bookmarkStart w:id="140" w:name="_Toc28109"/>
      <w:bookmarkStart w:id="141" w:name="_Toc8466"/>
      <w:bookmarkStart w:id="142" w:name="_Toc25717"/>
      <w:bookmarkStart w:id="143" w:name="_Toc3626"/>
      <w:bookmarkStart w:id="144" w:name="_Toc1007"/>
      <w:bookmarkStart w:id="145" w:name="_Toc4774"/>
      <w:r>
        <w:rPr>
          <w:rFonts w:hint="eastAsia" w:ascii="宋体" w:hAnsi="宋体" w:eastAsia="宋体" w:cs="宋体"/>
          <w:b/>
          <w:color w:val="auto"/>
          <w:sz w:val="24"/>
        </w:rPr>
        <w:t>一、评标原则</w:t>
      </w:r>
    </w:p>
    <w:p w14:paraId="64C1596E">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（一）评委会组成：本招标采购项目的评标委员会由采购人代表、技术和经济等方面的专家组成。其中，专家评委不得少于成员总数的三分之二。</w:t>
      </w:r>
    </w:p>
    <w:p w14:paraId="58DD98FB">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（二）评标依据：评委将以招投标文件为评标依据，对供应商的竞标</w:t>
      </w:r>
      <w:r>
        <w:rPr>
          <w:rFonts w:hint="eastAsia" w:ascii="宋体" w:hAnsi="宋体" w:eastAsia="宋体" w:cs="宋体"/>
          <w:color w:val="auto"/>
          <w:szCs w:val="21"/>
        </w:rPr>
        <w:t>报价、技术性能、履约能力、售后服务及政策功能等方面内容按百分制打分。</w:t>
      </w:r>
    </w:p>
    <w:p w14:paraId="7D26C109">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（三）评标方式：以封闭方式进行。</w:t>
      </w:r>
    </w:p>
    <w:p w14:paraId="185EED16">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（四）采购人和采购代理机构、评标委员会成员要严格遵守政府采购相关法律制度，依法履行各自职责，公正、客观、审慎地组织和参与评审工作。</w:t>
      </w:r>
    </w:p>
    <w:p w14:paraId="2329B4C0">
      <w:pPr>
        <w:spacing w:line="360" w:lineRule="auto"/>
        <w:ind w:firstLine="487" w:firstLineChars="202"/>
        <w:jc w:val="left"/>
        <w:rPr>
          <w:rFonts w:hint="eastAsia" w:ascii="宋体" w:hAnsi="宋体" w:eastAsia="宋体" w:cs="宋体"/>
          <w:b/>
          <w:color w:val="auto"/>
          <w:sz w:val="24"/>
        </w:rPr>
      </w:pPr>
      <w:r>
        <w:rPr>
          <w:rFonts w:hint="eastAsia" w:ascii="宋体" w:hAnsi="宋体" w:eastAsia="宋体" w:cs="宋体"/>
          <w:b/>
          <w:color w:val="auto"/>
          <w:sz w:val="24"/>
        </w:rPr>
        <w:t>二、评定方法</w:t>
      </w:r>
    </w:p>
    <w:p w14:paraId="09B297E8">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（一）对进入详评的，采用百分制综合评分法。</w:t>
      </w:r>
    </w:p>
    <w:p w14:paraId="1AEF1A27">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（二）计分办法（按四舍五入取至百分位）：</w:t>
      </w:r>
    </w:p>
    <w:p w14:paraId="78628DFF">
      <w:pPr>
        <w:pStyle w:val="10"/>
        <w:spacing w:line="360" w:lineRule="auto"/>
        <w:rPr>
          <w:rFonts w:hint="eastAsia" w:ascii="宋体" w:hAnsi="宋体" w:eastAsia="宋体" w:cs="宋体"/>
          <w:b/>
          <w:bCs/>
          <w:color w:val="auto"/>
          <w:kern w:val="0"/>
          <w:szCs w:val="21"/>
        </w:rPr>
      </w:pPr>
      <w:bookmarkStart w:id="146" w:name="_Toc7653"/>
      <w:r>
        <w:rPr>
          <w:rFonts w:hint="eastAsia" w:ascii="宋体" w:hAnsi="宋体" w:eastAsia="宋体" w:cs="宋体"/>
          <w:b/>
          <w:bCs/>
          <w:color w:val="auto"/>
          <w:kern w:val="0"/>
          <w:szCs w:val="21"/>
        </w:rPr>
        <w:t>1、价格分…………………………………………………………………………（满分</w:t>
      </w:r>
      <w:r>
        <w:rPr>
          <w:rFonts w:hint="eastAsia" w:ascii="宋体" w:hAnsi="宋体" w:eastAsia="宋体" w:cs="宋体"/>
          <w:b/>
          <w:bCs/>
          <w:color w:val="auto"/>
          <w:kern w:val="0"/>
          <w:szCs w:val="21"/>
          <w:lang w:val="en-US" w:eastAsia="zh-CN"/>
        </w:rPr>
        <w:t>1</w:t>
      </w:r>
      <w:r>
        <w:rPr>
          <w:rFonts w:hint="eastAsia" w:ascii="宋体" w:hAnsi="宋体" w:eastAsia="宋体" w:cs="宋体"/>
          <w:b/>
          <w:bCs/>
          <w:color w:val="auto"/>
          <w:kern w:val="0"/>
          <w:szCs w:val="21"/>
        </w:rPr>
        <w:t>0分</w:t>
      </w:r>
      <w:bookmarkEnd w:id="146"/>
      <w:r>
        <w:rPr>
          <w:rFonts w:hint="eastAsia" w:ascii="宋体" w:hAnsi="宋体" w:eastAsia="宋体" w:cs="宋体"/>
          <w:b/>
          <w:bCs/>
          <w:color w:val="auto"/>
          <w:kern w:val="0"/>
          <w:szCs w:val="21"/>
        </w:rPr>
        <w:t>）</w:t>
      </w:r>
    </w:p>
    <w:p w14:paraId="31B58DCA">
      <w:pPr>
        <w:pStyle w:val="1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本项目为专门面向中小微企业采购的项目（供应商应为中小微企业、监狱企业、残疾人福利性单位)，不再执行价格评审优惠的扶持政策。即评标价=最终报价。</w:t>
      </w:r>
    </w:p>
    <w:p w14:paraId="36339165">
      <w:pPr>
        <w:pStyle w:val="10"/>
        <w:spacing w:line="360" w:lineRule="auto"/>
        <w:ind w:firstLine="420" w:firstLineChars="200"/>
        <w:rPr>
          <w:rFonts w:hint="eastAsia" w:ascii="宋体" w:hAnsi="宋体" w:eastAsia="宋体" w:cs="宋体"/>
          <w:bCs/>
          <w:color w:val="auto"/>
          <w:szCs w:val="21"/>
        </w:rPr>
      </w:pPr>
      <w:bookmarkStart w:id="176" w:name="_GoBack"/>
      <w:bookmarkEnd w:id="176"/>
      <w:r>
        <w:rPr>
          <w:rFonts w:hint="eastAsia" w:ascii="宋体" w:hAnsi="宋体" w:eastAsia="宋体" w:cs="宋体"/>
          <w:bCs/>
          <w:color w:val="auto"/>
          <w:szCs w:val="21"/>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29DB4008">
      <w:pPr>
        <w:pStyle w:val="10"/>
        <w:spacing w:line="360" w:lineRule="auto"/>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投标报价即为评标价。</w:t>
      </w:r>
    </w:p>
    <w:p w14:paraId="0593957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）本项目属于政务信息系统，执行《政务信息系统政府采购管理暂行办法》财库〔2017〕210号</w:t>
      </w:r>
      <w:r>
        <w:rPr>
          <w:rFonts w:hint="eastAsia" w:ascii="宋体" w:hAnsi="宋体" w:eastAsia="宋体" w:cs="宋体"/>
          <w:color w:val="auto"/>
        </w:rPr>
        <w:t>文件要求</w:t>
      </w:r>
      <w:r>
        <w:rPr>
          <w:rFonts w:hint="eastAsia" w:ascii="宋体" w:hAnsi="宋体" w:eastAsia="宋体" w:cs="宋体"/>
          <w:color w:val="auto"/>
          <w:szCs w:val="21"/>
        </w:rPr>
        <w:t>。</w:t>
      </w:r>
    </w:p>
    <w:p w14:paraId="279197CC">
      <w:pPr>
        <w:pStyle w:val="1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）价格分采用低价优先法计算，即满足招标文件要求且评标报价最低的评标报价为评标基准价，其价格分为</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0分。</w:t>
      </w:r>
    </w:p>
    <w:p w14:paraId="6A1EC800">
      <w:pPr>
        <w:pStyle w:val="10"/>
        <w:spacing w:line="360" w:lineRule="auto"/>
        <w:ind w:firstLine="420"/>
        <w:rPr>
          <w:rFonts w:hint="eastAsia" w:ascii="宋体" w:hAnsi="宋体" w:eastAsia="宋体" w:cs="宋体"/>
          <w:color w:val="auto"/>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）价格分计算公式：</w:t>
      </w:r>
    </w:p>
    <w:p w14:paraId="01BD6325">
      <w:pPr>
        <w:rPr>
          <w:rFonts w:hint="eastAsia" w:ascii="宋体" w:hAnsi="宋体" w:eastAsia="宋体" w:cs="宋体"/>
          <w:color w:val="auto"/>
        </w:rPr>
      </w:pPr>
    </w:p>
    <w:p w14:paraId="6CAC9DD0">
      <w:pPr>
        <w:ind w:firstLine="3360" w:firstLineChars="1600"/>
        <w:rPr>
          <w:rFonts w:hint="eastAsia" w:ascii="宋体" w:hAnsi="宋体" w:eastAsia="宋体" w:cs="宋体"/>
          <w:color w:val="auto"/>
          <w:szCs w:val="20"/>
        </w:rPr>
      </w:pPr>
      <w:r>
        <w:rPr>
          <w:rFonts w:hint="eastAsia" w:ascii="宋体" w:hAnsi="宋体" w:eastAsia="宋体" w:cs="宋体"/>
          <w:color w:val="auto"/>
          <w:szCs w:val="20"/>
        </w:rPr>
        <w:t>最低投标人评标报价金额</w:t>
      </w:r>
    </w:p>
    <w:p w14:paraId="51CA3B39">
      <w:pPr>
        <w:pStyle w:val="32"/>
        <w:ind w:left="420" w:firstLine="0" w:firstLineChars="0"/>
        <w:rPr>
          <w:rFonts w:hint="eastAsia" w:ascii="宋体" w:hAnsi="宋体" w:eastAsia="宋体" w:cs="宋体"/>
          <w:color w:val="auto"/>
          <w:szCs w:val="20"/>
        </w:rPr>
      </w:pP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112395</wp:posOffset>
                </wp:positionV>
                <wp:extent cx="2199005" cy="0"/>
                <wp:effectExtent l="0" t="4445" r="0" b="5080"/>
                <wp:wrapNone/>
                <wp:docPr id="3"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44pt;margin-top:8.85pt;height:0pt;width:173.15pt;z-index:251662336;mso-width-relative:page;mso-height-relative:page;" filled="f" stroked="t" coordsize="21600,21600" o:gfxdata="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4DaE1gAAAAkBAAAPAAAAAAAAAAEAIAAAACIAAABkcnMvZG93bnJldi54bWxQSwECFAAUAAAA&#10;CACHTuJAaluR9/ABAADm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auto"/>
          <w:szCs w:val="20"/>
        </w:rPr>
        <w:t>供应商价格分 =                                  　　        ×</w:t>
      </w:r>
      <w:r>
        <w:rPr>
          <w:rFonts w:hint="eastAsia" w:ascii="宋体" w:hAnsi="宋体" w:eastAsia="宋体" w:cs="宋体"/>
          <w:color w:val="auto"/>
          <w:szCs w:val="20"/>
          <w:lang w:val="en-US" w:eastAsia="zh-CN"/>
        </w:rPr>
        <w:t>1</w:t>
      </w:r>
      <w:r>
        <w:rPr>
          <w:rFonts w:hint="eastAsia" w:ascii="宋体" w:hAnsi="宋体" w:eastAsia="宋体" w:cs="宋体"/>
          <w:color w:val="auto"/>
          <w:szCs w:val="20"/>
        </w:rPr>
        <w:t>0分</w:t>
      </w:r>
    </w:p>
    <w:p w14:paraId="744778B5">
      <w:pPr>
        <w:ind w:firstLine="535" w:firstLineChars="255"/>
        <w:rPr>
          <w:rFonts w:hint="eastAsia" w:ascii="宋体" w:hAnsi="宋体" w:eastAsia="宋体" w:cs="宋体"/>
          <w:color w:val="auto"/>
          <w:szCs w:val="21"/>
        </w:rPr>
      </w:pPr>
      <w:r>
        <w:rPr>
          <w:rFonts w:hint="eastAsia" w:ascii="宋体" w:hAnsi="宋体" w:eastAsia="宋体" w:cs="宋体"/>
          <w:color w:val="auto"/>
          <w:szCs w:val="20"/>
        </w:rPr>
        <w:t xml:space="preserve">                              供应商评审报价金额  </w:t>
      </w:r>
    </w:p>
    <w:p w14:paraId="4354100A">
      <w:pPr>
        <w:rPr>
          <w:rFonts w:hint="eastAsia" w:ascii="宋体" w:hAnsi="宋体" w:eastAsia="宋体" w:cs="宋体"/>
          <w:color w:val="auto"/>
        </w:rPr>
      </w:pPr>
    </w:p>
    <w:bookmarkEnd w:id="140"/>
    <w:p w14:paraId="3FF192C0">
      <w:pPr>
        <w:spacing w:line="360" w:lineRule="auto"/>
        <w:jc w:val="left"/>
        <w:rPr>
          <w:rFonts w:hint="eastAsia" w:ascii="宋体" w:hAnsi="宋体" w:eastAsia="宋体" w:cs="宋体"/>
          <w:b/>
          <w:bCs/>
          <w:color w:val="auto"/>
        </w:rPr>
      </w:pPr>
      <w:r>
        <w:rPr>
          <w:rFonts w:hint="eastAsia" w:ascii="宋体" w:hAnsi="宋体" w:eastAsia="宋体" w:cs="宋体"/>
          <w:b/>
          <w:bCs/>
          <w:color w:val="auto"/>
        </w:rPr>
        <w:t>2、技术分…………………………………………………………………………（满分</w:t>
      </w:r>
      <w:r>
        <w:rPr>
          <w:rFonts w:hint="eastAsia" w:ascii="宋体" w:hAnsi="宋体" w:eastAsia="宋体" w:cs="宋体"/>
          <w:b/>
          <w:bCs/>
          <w:color w:val="auto"/>
          <w:lang w:val="en-US" w:eastAsia="zh-CN"/>
        </w:rPr>
        <w:t>72</w:t>
      </w:r>
      <w:r>
        <w:rPr>
          <w:rFonts w:hint="eastAsia" w:ascii="宋体" w:hAnsi="宋体" w:eastAsia="宋体" w:cs="宋体"/>
          <w:b/>
          <w:bCs/>
          <w:color w:val="auto"/>
        </w:rPr>
        <w:t>分）</w:t>
      </w:r>
    </w:p>
    <w:p w14:paraId="6A3B1A06">
      <w:pPr>
        <w:spacing w:line="360" w:lineRule="auto"/>
        <w:jc w:val="left"/>
        <w:rPr>
          <w:rFonts w:hint="eastAsia" w:ascii="宋体" w:hAnsi="宋体" w:eastAsia="宋体" w:cs="宋体"/>
          <w:b/>
          <w:bCs/>
          <w:color w:val="auto"/>
        </w:rPr>
      </w:pPr>
      <w:r>
        <w:rPr>
          <w:rFonts w:hint="eastAsia" w:ascii="宋体" w:hAnsi="宋体" w:eastAsia="宋体" w:cs="宋体"/>
          <w:b/>
          <w:bCs/>
          <w:color w:val="auto"/>
        </w:rPr>
        <w:t>（1）</w:t>
      </w:r>
      <w:r>
        <w:rPr>
          <w:rFonts w:hint="eastAsia" w:ascii="宋体" w:hAnsi="宋体" w:eastAsia="宋体" w:cs="宋体"/>
          <w:b/>
          <w:bCs/>
          <w:color w:val="auto"/>
          <w:lang w:val="en-US" w:eastAsia="zh-CN"/>
        </w:rPr>
        <w:t>运营方案</w:t>
      </w:r>
      <w:r>
        <w:rPr>
          <w:rFonts w:hint="eastAsia" w:ascii="宋体" w:hAnsi="宋体" w:eastAsia="宋体" w:cs="宋体"/>
          <w:b/>
          <w:bCs/>
          <w:color w:val="auto"/>
        </w:rPr>
        <w:t>（满分</w:t>
      </w:r>
      <w:r>
        <w:rPr>
          <w:rFonts w:hint="eastAsia" w:ascii="宋体" w:hAnsi="宋体" w:eastAsia="宋体" w:cs="宋体"/>
          <w:b/>
          <w:bCs/>
          <w:color w:val="auto"/>
          <w:lang w:val="en-US" w:eastAsia="zh-CN"/>
        </w:rPr>
        <w:t>60</w:t>
      </w:r>
      <w:r>
        <w:rPr>
          <w:rFonts w:hint="eastAsia" w:ascii="宋体" w:hAnsi="宋体" w:eastAsia="宋体" w:cs="宋体"/>
          <w:b/>
          <w:bCs/>
          <w:color w:val="auto"/>
        </w:rPr>
        <w:t>分）</w:t>
      </w:r>
    </w:p>
    <w:p w14:paraId="314C0402">
      <w:pPr>
        <w:spacing w:line="360" w:lineRule="auto"/>
        <w:ind w:firstLine="420" w:firstLineChars="200"/>
        <w:jc w:val="left"/>
        <w:rPr>
          <w:rFonts w:hint="eastAsia" w:ascii="宋体" w:hAnsi="宋体" w:eastAsia="宋体" w:cs="宋体"/>
          <w:color w:val="auto"/>
          <w:lang w:eastAsia="zh-CN"/>
        </w:rPr>
      </w:pPr>
      <w:r>
        <w:rPr>
          <w:rFonts w:hint="eastAsia" w:ascii="宋体" w:hAnsi="宋体" w:eastAsia="宋体" w:cs="宋体"/>
          <w:color w:val="auto"/>
        </w:rPr>
        <w:t>①结合国家AAAAA级旅游景区标准及运营需求，根据投标人对项目现有空间资源进行分析，提出对标整改提升解决措施进行评分。优秀8-12分；良好4-8分；一般1-4分；未提供不得分</w:t>
      </w:r>
      <w:r>
        <w:rPr>
          <w:rFonts w:hint="eastAsia" w:ascii="宋体" w:hAnsi="宋体" w:eastAsia="宋体" w:cs="宋体"/>
          <w:color w:val="auto"/>
          <w:lang w:eastAsia="zh-CN"/>
        </w:rPr>
        <w:t>；</w:t>
      </w:r>
    </w:p>
    <w:p w14:paraId="4A362762">
      <w:pPr>
        <w:spacing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②结合国家AAAAA级旅游景区标准及运营需求，围绕预约-抵达-接待-游览-离开的游客游览需求制定游客接待服务流程及规范的因素进行评定。优秀8-12分；良好4-8分；一般1-4分；未提供不得分；</w:t>
      </w:r>
    </w:p>
    <w:p w14:paraId="092C169B">
      <w:pPr>
        <w:spacing w:line="360" w:lineRule="auto"/>
        <w:ind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③结合国家AAAAA级旅游景区标准及运营需求，围绕着商业管理、物业管理提出相应服务规范。根据提供的方案的符合性、完整性、合理性、可行性进行打分。优秀8-12分；良好4-8分；一般1-4分；未提供不得分；</w:t>
      </w:r>
    </w:p>
    <w:p w14:paraId="78420BF8">
      <w:pPr>
        <w:spacing w:line="360" w:lineRule="auto"/>
        <w:ind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④结合国家AAAAA级旅游景区标准及运营需求，围绕景区综合管理平台与综合服务平台功能模块阐述智慧景区数字化建设思路。优秀8-12分；良好4-8分；一般1-4分；未提供不得分；</w:t>
      </w:r>
    </w:p>
    <w:p w14:paraId="0D55F3DC">
      <w:pPr>
        <w:spacing w:line="360" w:lineRule="auto"/>
        <w:ind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⑤根据投标人提供的服务管理及保证措施进行评分。优秀8-12分；良好4-8分；一般1-4分；未提供不得分；</w:t>
      </w:r>
    </w:p>
    <w:p w14:paraId="0DEF3E68">
      <w:pPr>
        <w:spacing w:line="360" w:lineRule="auto"/>
        <w:jc w:val="left"/>
        <w:rPr>
          <w:rFonts w:hint="eastAsia" w:ascii="宋体" w:hAnsi="宋体" w:eastAsia="宋体" w:cs="宋体"/>
          <w:b/>
          <w:bCs/>
          <w:color w:val="auto"/>
        </w:rPr>
      </w:pPr>
      <w:r>
        <w:rPr>
          <w:rFonts w:hint="eastAsia" w:ascii="宋体" w:hAnsi="宋体" w:eastAsia="宋体" w:cs="宋体"/>
          <w:b/>
          <w:bCs/>
          <w:color w:val="auto"/>
        </w:rPr>
        <w:t>(2)</w:t>
      </w:r>
      <w:r>
        <w:rPr>
          <w:rFonts w:hint="eastAsia" w:ascii="宋体" w:hAnsi="宋体" w:eastAsia="宋体" w:cs="宋体"/>
          <w:b/>
          <w:bCs/>
          <w:color w:val="auto"/>
          <w:lang w:eastAsia="zh-CN"/>
        </w:rPr>
        <w:t>服务团队实力</w:t>
      </w:r>
      <w:r>
        <w:rPr>
          <w:rFonts w:hint="eastAsia" w:ascii="宋体" w:hAnsi="宋体" w:eastAsia="宋体" w:cs="宋体"/>
          <w:b/>
          <w:bCs/>
          <w:color w:val="auto"/>
        </w:rPr>
        <w:t>（满分1</w:t>
      </w:r>
      <w:r>
        <w:rPr>
          <w:rFonts w:hint="eastAsia" w:ascii="宋体" w:hAnsi="宋体" w:eastAsia="宋体" w:cs="宋体"/>
          <w:b/>
          <w:bCs/>
          <w:color w:val="auto"/>
          <w:lang w:val="en-US" w:eastAsia="zh-CN"/>
        </w:rPr>
        <w:t>2</w:t>
      </w:r>
      <w:r>
        <w:rPr>
          <w:rFonts w:hint="eastAsia" w:ascii="宋体" w:hAnsi="宋体" w:eastAsia="宋体" w:cs="宋体"/>
          <w:b/>
          <w:bCs/>
          <w:color w:val="auto"/>
        </w:rPr>
        <w:t>分）</w:t>
      </w:r>
    </w:p>
    <w:p w14:paraId="382FE561">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拟投入人员具备工商管理、旅游管理、环境工程专业本科</w:t>
      </w:r>
      <w:r>
        <w:rPr>
          <w:rFonts w:hint="eastAsia" w:ascii="宋体" w:hAnsi="宋体" w:eastAsia="宋体" w:cs="宋体"/>
          <w:color w:val="auto"/>
          <w:lang w:val="en-US" w:eastAsia="zh-CN"/>
        </w:rPr>
        <w:t>及</w:t>
      </w:r>
      <w:r>
        <w:rPr>
          <w:rFonts w:hint="eastAsia" w:ascii="宋体" w:hAnsi="宋体" w:eastAsia="宋体" w:cs="宋体"/>
          <w:color w:val="auto"/>
        </w:rPr>
        <w:t>以上学历的，每提供一个专业得4分，最多得12分。（同一人或同一专业不重复计分，提供毕业证书或职称证书等相关证明材料，否则不得分）注：拟投入人员必须是本单位人员，须提供身份证复印件及投标截止之日止前半年任意1个月的社保证明材料并加盖投标单位公章，外聘人员需提供聘用协议书或合同，否则不得分。</w:t>
      </w:r>
    </w:p>
    <w:p w14:paraId="1695C588">
      <w:pPr>
        <w:spacing w:line="360" w:lineRule="auto"/>
        <w:jc w:val="left"/>
        <w:rPr>
          <w:rFonts w:hint="eastAsia" w:ascii="宋体" w:hAnsi="宋体" w:eastAsia="宋体" w:cs="宋体"/>
          <w:b/>
          <w:bCs/>
          <w:color w:val="auto"/>
        </w:rPr>
      </w:pPr>
      <w:r>
        <w:rPr>
          <w:rFonts w:hint="eastAsia" w:ascii="宋体" w:hAnsi="宋体" w:eastAsia="宋体" w:cs="宋体"/>
          <w:b/>
          <w:bCs/>
          <w:color w:val="auto"/>
        </w:rPr>
        <w:t>3、履约能力分………………………………………………………………………（满分</w:t>
      </w:r>
      <w:r>
        <w:rPr>
          <w:rFonts w:hint="eastAsia" w:ascii="宋体" w:hAnsi="宋体" w:eastAsia="宋体" w:cs="宋体"/>
          <w:b/>
          <w:bCs/>
          <w:color w:val="auto"/>
          <w:lang w:val="en-US" w:eastAsia="zh-CN"/>
        </w:rPr>
        <w:t>18</w:t>
      </w:r>
      <w:r>
        <w:rPr>
          <w:rFonts w:hint="eastAsia" w:ascii="宋体" w:hAnsi="宋体" w:eastAsia="宋体" w:cs="宋体"/>
          <w:b/>
          <w:bCs/>
          <w:color w:val="auto"/>
        </w:rPr>
        <w:t>分）</w:t>
      </w:r>
    </w:p>
    <w:p w14:paraId="1892011C">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企业实力：</w:t>
      </w:r>
      <w:r>
        <w:rPr>
          <w:rFonts w:hint="eastAsia" w:ascii="宋体" w:hAnsi="宋体" w:eastAsia="宋体" w:cs="宋体"/>
          <w:color w:val="auto"/>
        </w:rPr>
        <w:t>投标人具有被旅游景区或旅游度假区授予相关荣誉的，每提供一个得3分，最高得6分。</w:t>
      </w:r>
    </w:p>
    <w:p w14:paraId="72B65014">
      <w:pPr>
        <w:spacing w:line="360" w:lineRule="auto"/>
        <w:jc w:val="left"/>
        <w:rPr>
          <w:rFonts w:hint="eastAsia" w:ascii="宋体" w:hAnsi="宋体" w:eastAsia="宋体" w:cs="宋体"/>
          <w:color w:val="auto"/>
        </w:rPr>
      </w:pPr>
      <w:r>
        <w:rPr>
          <w:rFonts w:hint="eastAsia" w:ascii="宋体" w:hAnsi="宋体" w:eastAsia="宋体" w:cs="宋体"/>
          <w:color w:val="auto"/>
        </w:rPr>
        <w:t>注：提供荣誉证书或牌匾彩色（扫描件或影印件或复印件）并加盖公章，否则评分不予认可。</w:t>
      </w:r>
    </w:p>
    <w:p w14:paraId="2A92B4A8">
      <w:pPr>
        <w:spacing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lang w:val="en-US" w:eastAsia="zh-CN"/>
        </w:rPr>
        <w:t>类似业绩：</w:t>
      </w:r>
    </w:p>
    <w:p w14:paraId="1FB11912">
      <w:pPr>
        <w:numPr>
          <w:ilvl w:val="0"/>
          <w:numId w:val="0"/>
        </w:numPr>
        <w:spacing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自2020年1月1日以来（以合同签订时间为准），投标人具有国家级旅游度假区或国家AAAAA级旅游景区驻场运营管理类服务业绩，每提供一个得3分，最高得6分。</w:t>
      </w:r>
    </w:p>
    <w:p w14:paraId="17F24975">
      <w:pPr>
        <w:numPr>
          <w:ilvl w:val="0"/>
          <w:numId w:val="0"/>
        </w:numPr>
        <w:spacing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自2020年1月1日以来（以合同签订时间为准），投标人具有旅游景区或旅游渡假区咨询辅导类服务业绩，每提供一个得3分，最高得6分。</w:t>
      </w:r>
    </w:p>
    <w:p w14:paraId="6D4D354D">
      <w:pPr>
        <w:spacing w:line="360" w:lineRule="auto"/>
        <w:jc w:val="left"/>
        <w:rPr>
          <w:rFonts w:hint="eastAsia" w:ascii="宋体" w:hAnsi="宋体" w:eastAsia="宋体" w:cs="宋体"/>
          <w:color w:val="auto"/>
        </w:rPr>
      </w:pPr>
      <w:r>
        <w:rPr>
          <w:rFonts w:hint="eastAsia" w:ascii="宋体" w:hAnsi="宋体" w:eastAsia="宋体" w:cs="宋体"/>
          <w:color w:val="auto"/>
          <w:lang w:val="en-US" w:eastAsia="zh-CN"/>
        </w:rPr>
        <w:t xml:space="preserve">    注：①履约完成或正在履约业绩均予以认可。②需提供证明资料为：合同（复印件或影印件或扫描件）及官方官网发布的旅游度假区或旅游景区等级证明截图（复印件或影印件或扫描件）并加盖公章，二者缺一不可。未提供不得分。</w:t>
      </w:r>
    </w:p>
    <w:p w14:paraId="6067678E">
      <w:pPr>
        <w:spacing w:line="360" w:lineRule="auto"/>
        <w:ind w:firstLine="420" w:firstLineChars="199"/>
        <w:rPr>
          <w:rFonts w:hint="eastAsia" w:ascii="宋体" w:hAnsi="宋体" w:eastAsia="宋体" w:cs="宋体"/>
          <w:b/>
          <w:color w:val="auto"/>
          <w:w w:val="150"/>
          <w:szCs w:val="20"/>
        </w:rPr>
      </w:pPr>
      <w:r>
        <w:rPr>
          <w:rFonts w:hint="eastAsia" w:ascii="宋体" w:hAnsi="宋体" w:eastAsia="宋体" w:cs="宋体"/>
          <w:b/>
          <w:color w:val="auto"/>
          <w:szCs w:val="20"/>
          <w:lang w:val="en-US" w:eastAsia="zh-CN"/>
        </w:rPr>
        <w:t>三、</w:t>
      </w:r>
      <w:r>
        <w:rPr>
          <w:rFonts w:hint="eastAsia" w:ascii="宋体" w:hAnsi="宋体" w:eastAsia="宋体" w:cs="宋体"/>
          <w:b/>
          <w:color w:val="auto"/>
          <w:szCs w:val="20"/>
        </w:rPr>
        <w:t xml:space="preserve"> 综合得分＝</w:t>
      </w:r>
      <w:r>
        <w:rPr>
          <w:rFonts w:hint="eastAsia" w:ascii="宋体" w:hAnsi="宋体" w:eastAsia="宋体" w:cs="宋体"/>
          <w:b/>
          <w:color w:val="auto"/>
          <w:w w:val="150"/>
          <w:szCs w:val="20"/>
        </w:rPr>
        <w:t>1+2+3</w:t>
      </w:r>
    </w:p>
    <w:p w14:paraId="2870DEB8">
      <w:pPr>
        <w:pStyle w:val="10"/>
        <w:tabs>
          <w:tab w:val="left" w:pos="4214"/>
        </w:tabs>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val="en-US" w:eastAsia="zh-CN"/>
        </w:rPr>
        <w:t>四</w:t>
      </w:r>
      <w:r>
        <w:rPr>
          <w:rFonts w:hint="eastAsia" w:ascii="宋体" w:hAnsi="宋体" w:eastAsia="宋体" w:cs="宋体"/>
          <w:b/>
          <w:color w:val="auto"/>
          <w:szCs w:val="21"/>
        </w:rPr>
        <w:t>、推荐及确定中标候选供应商原则</w:t>
      </w:r>
    </w:p>
    <w:p w14:paraId="2E8BA287">
      <w:pPr>
        <w:pStyle w:val="10"/>
        <w:tabs>
          <w:tab w:val="left" w:pos="4214"/>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（1）评标委员会根据综合得分由高到低排列次序，若得分相同时，按评标价由低到高顺序排列；得分相同且评标价也相同的由评标委员会按照抽签的方式决定排次次序。</w:t>
      </w:r>
    </w:p>
    <w:p w14:paraId="47D19EAB">
      <w:pPr>
        <w:pStyle w:val="10"/>
        <w:tabs>
          <w:tab w:val="left" w:pos="4214"/>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（2）评标委员会可推荐前三名为中标候选人，采购人应当确定评标委员会推荐排名第一的中标候选人为成交人。</w:t>
      </w:r>
    </w:p>
    <w:p w14:paraId="7AC02878">
      <w:pPr>
        <w:pStyle w:val="10"/>
        <w:tabs>
          <w:tab w:val="left" w:pos="4214"/>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成交人，并依此类推。</w:t>
      </w:r>
    </w:p>
    <w:p w14:paraId="4E6A94F5">
      <w:pPr>
        <w:spacing w:line="360" w:lineRule="auto"/>
        <w:ind w:firstLine="426" w:firstLineChars="202"/>
        <w:jc w:val="left"/>
        <w:rPr>
          <w:rFonts w:hint="eastAsia" w:ascii="宋体" w:hAnsi="宋体" w:eastAsia="宋体" w:cs="宋体"/>
          <w:b/>
          <w:color w:val="auto"/>
          <w:szCs w:val="21"/>
        </w:rPr>
      </w:pPr>
      <w:r>
        <w:rPr>
          <w:rFonts w:hint="eastAsia" w:ascii="宋体" w:hAnsi="宋体" w:eastAsia="宋体" w:cs="宋体"/>
          <w:b/>
          <w:color w:val="auto"/>
          <w:szCs w:val="21"/>
          <w:lang w:val="en-US" w:eastAsia="zh-CN"/>
        </w:rPr>
        <w:t>五</w:t>
      </w:r>
      <w:r>
        <w:rPr>
          <w:rFonts w:hint="eastAsia" w:ascii="宋体" w:hAnsi="宋体" w:eastAsia="宋体" w:cs="宋体"/>
          <w:b/>
          <w:color w:val="auto"/>
          <w:szCs w:val="21"/>
        </w:rPr>
        <w:t>、特别说明</w:t>
      </w:r>
    </w:p>
    <w:p w14:paraId="5D8E234C">
      <w:pPr>
        <w:spacing w:line="340" w:lineRule="exact"/>
        <w:ind w:firstLine="422" w:firstLineChars="200"/>
        <w:rPr>
          <w:rFonts w:hint="eastAsia" w:ascii="宋体" w:hAnsi="宋体" w:eastAsia="宋体" w:cs="宋体"/>
          <w:color w:val="auto"/>
        </w:rPr>
      </w:pPr>
      <w:r>
        <w:rPr>
          <w:rFonts w:hint="eastAsia" w:ascii="宋体" w:hAnsi="宋体" w:eastAsia="宋体" w:cs="宋体"/>
          <w:b/>
          <w:bCs/>
          <w:color w:val="auto"/>
          <w:szCs w:val="21"/>
          <w:u w:val="double"/>
        </w:rPr>
        <w:t>评审时，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29B4EBE">
      <w:pPr>
        <w:pStyle w:val="2"/>
        <w:pageBreakBefore/>
        <w:tabs>
          <w:tab w:val="left" w:pos="0"/>
        </w:tabs>
        <w:autoSpaceDE w:val="0"/>
        <w:autoSpaceDN w:val="0"/>
        <w:adjustRightInd w:val="0"/>
        <w:spacing w:before="0" w:after="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第五章 采购合同（合同主要条款及格式）</w:t>
      </w:r>
      <w:bookmarkEnd w:id="141"/>
      <w:bookmarkEnd w:id="142"/>
      <w:bookmarkEnd w:id="143"/>
      <w:bookmarkEnd w:id="144"/>
      <w:bookmarkEnd w:id="145"/>
    </w:p>
    <w:p w14:paraId="7FA6CF3C">
      <w:pPr>
        <w:rPr>
          <w:rFonts w:hint="eastAsia" w:ascii="宋体" w:hAnsi="宋体" w:eastAsia="宋体" w:cs="宋体"/>
          <w:color w:val="auto"/>
        </w:rPr>
      </w:pPr>
      <w:bookmarkStart w:id="147" w:name="_Toc24269"/>
      <w:bookmarkStart w:id="148" w:name="_Toc10014"/>
      <w:r>
        <w:rPr>
          <w:rFonts w:hint="eastAsia" w:ascii="宋体" w:hAnsi="宋体" w:eastAsia="宋体" w:cs="宋体"/>
          <w:color w:val="auto"/>
        </w:rPr>
        <w:t>项目名称：</w:t>
      </w:r>
      <w:r>
        <w:rPr>
          <w:rFonts w:hint="eastAsia" w:ascii="宋体" w:hAnsi="宋体" w:eastAsia="宋体" w:cs="宋体"/>
          <w:color w:val="auto"/>
          <w:lang w:eastAsia="zh-CN"/>
        </w:rPr>
        <w:t>广西兴安灵渠景区创建国家5A级旅游景区驻场运营指导服务项目</w:t>
      </w:r>
    </w:p>
    <w:p w14:paraId="7211ED63">
      <w:pPr>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lang w:eastAsia="zh-CN"/>
        </w:rPr>
        <w:t>GLZC2025-C3-230027-GXJY</w:t>
      </w:r>
    </w:p>
    <w:p w14:paraId="7445CF18">
      <w:pPr>
        <w:rPr>
          <w:rFonts w:hint="eastAsia" w:ascii="宋体" w:hAnsi="宋体" w:eastAsia="宋体" w:cs="宋体"/>
          <w:color w:val="auto"/>
          <w:lang w:eastAsia="zh-CN"/>
        </w:rPr>
      </w:pPr>
      <w:r>
        <w:rPr>
          <w:rFonts w:hint="eastAsia" w:ascii="宋体" w:hAnsi="宋体" w:eastAsia="宋体" w:cs="宋体"/>
          <w:color w:val="auto"/>
        </w:rPr>
        <w:t xml:space="preserve">甲方： </w:t>
      </w:r>
      <w:r>
        <w:rPr>
          <w:rFonts w:hint="eastAsia" w:ascii="宋体" w:hAnsi="宋体" w:eastAsia="宋体" w:cs="宋体"/>
          <w:color w:val="auto"/>
          <w:u w:val="single"/>
          <w:lang w:eastAsia="zh-CN"/>
        </w:rPr>
        <w:t>兴安县文化广电体育和旅游局</w:t>
      </w:r>
      <w:r>
        <w:rPr>
          <w:rFonts w:hint="eastAsia" w:ascii="宋体" w:hAnsi="宋体" w:eastAsia="宋体" w:cs="宋体"/>
          <w:color w:val="auto"/>
        </w:rPr>
        <w:t>　（采</w:t>
      </w:r>
      <w:r>
        <w:rPr>
          <w:rFonts w:hint="eastAsia" w:ascii="宋体" w:hAnsi="宋体" w:eastAsia="宋体" w:cs="宋体"/>
          <w:color w:val="auto"/>
          <w:lang w:val="en-US" w:eastAsia="zh-CN"/>
        </w:rPr>
        <w:t>购</w:t>
      </w:r>
      <w:r>
        <w:rPr>
          <w:rFonts w:hint="eastAsia" w:ascii="宋体" w:hAnsi="宋体" w:eastAsia="宋体" w:cs="宋体"/>
          <w:color w:val="auto"/>
        </w:rPr>
        <w:t>人</w:t>
      </w:r>
      <w:r>
        <w:rPr>
          <w:rFonts w:hint="eastAsia" w:ascii="宋体" w:hAnsi="宋体" w:eastAsia="宋体" w:cs="宋体"/>
          <w:color w:val="auto"/>
          <w:lang w:eastAsia="zh-CN"/>
        </w:rPr>
        <w:t>）</w:t>
      </w:r>
    </w:p>
    <w:p w14:paraId="43277647">
      <w:pPr>
        <w:rPr>
          <w:rFonts w:hint="eastAsia" w:ascii="宋体" w:hAnsi="宋体" w:eastAsia="宋体" w:cs="宋体"/>
          <w:color w:val="auto"/>
          <w:lang w:val="en-US" w:eastAsia="zh-CN"/>
        </w:rPr>
      </w:pPr>
      <w:r>
        <w:rPr>
          <w:rFonts w:hint="eastAsia" w:ascii="宋体" w:hAnsi="宋体" w:eastAsia="宋体" w:cs="宋体"/>
          <w:color w:val="auto"/>
        </w:rPr>
        <w:t xml:space="preserve">乙方： </w:t>
      </w:r>
      <w:r>
        <w:rPr>
          <w:rFonts w:hint="eastAsia" w:ascii="宋体" w:hAnsi="宋体" w:eastAsia="宋体" w:cs="宋体"/>
          <w:color w:val="auto"/>
          <w:u w:val="single"/>
        </w:rPr>
        <w:t xml:space="preserve">                       </w:t>
      </w:r>
      <w:r>
        <w:rPr>
          <w:rFonts w:hint="eastAsia" w:ascii="宋体" w:hAnsi="宋体" w:eastAsia="宋体" w:cs="宋体"/>
          <w:color w:val="auto"/>
        </w:rPr>
        <w:t>（成交</w:t>
      </w:r>
      <w:r>
        <w:rPr>
          <w:rFonts w:hint="eastAsia" w:ascii="宋体" w:hAnsi="宋体" w:eastAsia="宋体" w:cs="宋体"/>
          <w:color w:val="auto"/>
          <w:lang w:val="en-US" w:eastAsia="zh-CN"/>
        </w:rPr>
        <w:t>供</w:t>
      </w:r>
      <w:r>
        <w:rPr>
          <w:rFonts w:hint="eastAsia" w:ascii="宋体" w:hAnsi="宋体" w:eastAsia="宋体" w:cs="宋体"/>
          <w:color w:val="auto"/>
        </w:rPr>
        <w:t>应</w:t>
      </w:r>
      <w:r>
        <w:rPr>
          <w:rFonts w:hint="eastAsia" w:ascii="宋体" w:hAnsi="宋体" w:eastAsia="宋体" w:cs="宋体"/>
          <w:color w:val="auto"/>
          <w:lang w:val="en-US" w:eastAsia="zh-CN"/>
        </w:rPr>
        <w:t>商）</w:t>
      </w:r>
    </w:p>
    <w:p w14:paraId="441DB97E">
      <w:pPr>
        <w:spacing w:before="30" w:line="360" w:lineRule="auto"/>
        <w:ind w:left="10" w:right="508" w:firstLine="420"/>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根据《中华人民共和国政府采购法》、《中华人民共和国政府采购法实施条例》、《政府采购竞争性</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9"/>
          <w:sz w:val="21"/>
          <w:szCs w:val="21"/>
        </w:rPr>
        <w:t>磋商采购方式管理暂行办法》、《中华人民共和国民法典》等法律、法规规定，按照磋商文件、响应文件</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7"/>
          <w:sz w:val="21"/>
          <w:szCs w:val="21"/>
        </w:rPr>
        <w:t>规定条款和成交供应商的承诺、</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7"/>
          <w:sz w:val="21"/>
          <w:szCs w:val="21"/>
        </w:rPr>
        <w:t>甲乙双方签订本合同。</w:t>
      </w:r>
    </w:p>
    <w:p w14:paraId="318D2713">
      <w:pPr>
        <w:spacing w:before="29" w:line="228" w:lineRule="auto"/>
        <w:ind w:left="431"/>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第一条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合同标的及合同金额</w:t>
      </w:r>
    </w:p>
    <w:p w14:paraId="533EFBF1">
      <w:pPr>
        <w:spacing w:line="14" w:lineRule="exact"/>
        <w:rPr>
          <w:rFonts w:hint="eastAsia" w:ascii="宋体" w:hAnsi="宋体" w:eastAsia="宋体" w:cs="宋体"/>
          <w:color w:val="auto"/>
          <w:sz w:val="21"/>
          <w:szCs w:val="21"/>
        </w:rPr>
      </w:pPr>
    </w:p>
    <w:tbl>
      <w:tblPr>
        <w:tblStyle w:val="34"/>
        <w:tblW w:w="10319"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5"/>
        <w:gridCol w:w="870"/>
        <w:gridCol w:w="810"/>
        <w:gridCol w:w="4874"/>
      </w:tblGrid>
      <w:tr w14:paraId="566C8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765" w:type="dxa"/>
            <w:vAlign w:val="top"/>
          </w:tcPr>
          <w:p w14:paraId="34C13A10">
            <w:pPr>
              <w:pStyle w:val="33"/>
              <w:spacing w:before="164" w:line="228" w:lineRule="auto"/>
              <w:ind w:left="1925"/>
              <w:rPr>
                <w:rFonts w:hint="eastAsia" w:ascii="宋体" w:hAnsi="宋体" w:eastAsia="宋体" w:cs="宋体"/>
                <w:color w:val="auto"/>
                <w:sz w:val="21"/>
                <w:szCs w:val="21"/>
              </w:rPr>
            </w:pPr>
            <w:r>
              <w:rPr>
                <w:rFonts w:hint="eastAsia" w:ascii="宋体" w:hAnsi="宋体" w:eastAsia="宋体" w:cs="宋体"/>
                <w:color w:val="auto"/>
                <w:spacing w:val="7"/>
                <w:sz w:val="21"/>
                <w:szCs w:val="21"/>
              </w:rPr>
              <w:t>标的名称</w:t>
            </w:r>
          </w:p>
        </w:tc>
        <w:tc>
          <w:tcPr>
            <w:tcW w:w="870" w:type="dxa"/>
            <w:vAlign w:val="top"/>
          </w:tcPr>
          <w:p w14:paraId="11332243">
            <w:pPr>
              <w:pStyle w:val="33"/>
              <w:spacing w:before="170" w:line="228" w:lineRule="auto"/>
              <w:ind w:firstLine="216" w:firstLineChars="100"/>
              <w:rPr>
                <w:rFonts w:hint="eastAsia" w:ascii="宋体" w:hAnsi="宋体" w:eastAsia="宋体" w:cs="宋体"/>
                <w:color w:val="auto"/>
                <w:sz w:val="21"/>
                <w:szCs w:val="21"/>
              </w:rPr>
            </w:pPr>
            <w:r>
              <w:rPr>
                <w:rFonts w:hint="eastAsia" w:ascii="宋体" w:hAnsi="宋体" w:eastAsia="宋体" w:cs="宋体"/>
                <w:color w:val="auto"/>
                <w:spacing w:val="3"/>
                <w:sz w:val="21"/>
                <w:szCs w:val="21"/>
              </w:rPr>
              <w:t>数量</w:t>
            </w:r>
          </w:p>
        </w:tc>
        <w:tc>
          <w:tcPr>
            <w:tcW w:w="810" w:type="dxa"/>
            <w:vAlign w:val="top"/>
          </w:tcPr>
          <w:p w14:paraId="72AA6CE6">
            <w:pPr>
              <w:pStyle w:val="33"/>
              <w:spacing w:before="171" w:line="228" w:lineRule="auto"/>
              <w:ind w:firstLine="216" w:firstLineChars="100"/>
              <w:rPr>
                <w:rFonts w:hint="eastAsia" w:ascii="宋体" w:hAnsi="宋体" w:eastAsia="宋体" w:cs="宋体"/>
                <w:color w:val="auto"/>
                <w:sz w:val="21"/>
                <w:szCs w:val="21"/>
              </w:rPr>
            </w:pPr>
            <w:r>
              <w:rPr>
                <w:rFonts w:hint="eastAsia" w:ascii="宋体" w:hAnsi="宋体" w:eastAsia="宋体" w:cs="宋体"/>
                <w:color w:val="auto"/>
                <w:spacing w:val="3"/>
                <w:sz w:val="21"/>
                <w:szCs w:val="21"/>
              </w:rPr>
              <w:t>单位</w:t>
            </w:r>
          </w:p>
        </w:tc>
        <w:tc>
          <w:tcPr>
            <w:tcW w:w="4874" w:type="dxa"/>
            <w:vAlign w:val="top"/>
          </w:tcPr>
          <w:p w14:paraId="319EF3F8">
            <w:pPr>
              <w:pStyle w:val="33"/>
              <w:spacing w:before="170" w:line="228" w:lineRule="auto"/>
              <w:ind w:left="1109"/>
              <w:rPr>
                <w:rFonts w:hint="eastAsia" w:ascii="宋体" w:hAnsi="宋体" w:eastAsia="宋体" w:cs="宋体"/>
                <w:color w:val="auto"/>
                <w:sz w:val="21"/>
                <w:szCs w:val="21"/>
              </w:rPr>
            </w:pPr>
            <w:r>
              <w:rPr>
                <w:rFonts w:hint="eastAsia" w:ascii="宋体" w:hAnsi="宋体" w:eastAsia="宋体" w:cs="宋体"/>
                <w:color w:val="auto"/>
                <w:spacing w:val="8"/>
                <w:sz w:val="21"/>
                <w:szCs w:val="21"/>
              </w:rPr>
              <w:t>服务内容响应及承诺</w:t>
            </w:r>
          </w:p>
        </w:tc>
      </w:tr>
      <w:tr w14:paraId="322C3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3765" w:type="dxa"/>
            <w:vAlign w:val="top"/>
          </w:tcPr>
          <w:p w14:paraId="58703CB5">
            <w:pPr>
              <w:pStyle w:val="33"/>
              <w:spacing w:before="169" w:line="245" w:lineRule="auto"/>
              <w:ind w:right="13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广西兴安灵渠景区创建国家5A级旅游景区驻场运营指导服务项目</w:t>
            </w:r>
          </w:p>
          <w:p w14:paraId="19619D7E">
            <w:pPr>
              <w:pStyle w:val="33"/>
              <w:spacing w:before="169" w:line="245" w:lineRule="auto"/>
              <w:ind w:right="131"/>
              <w:rPr>
                <w:rFonts w:hint="eastAsia" w:ascii="宋体" w:hAnsi="宋体" w:eastAsia="宋体" w:cs="宋体"/>
                <w:color w:val="auto"/>
                <w:sz w:val="21"/>
                <w:szCs w:val="21"/>
              </w:rPr>
            </w:pPr>
          </w:p>
        </w:tc>
        <w:tc>
          <w:tcPr>
            <w:tcW w:w="870" w:type="dxa"/>
            <w:vAlign w:val="top"/>
          </w:tcPr>
          <w:p w14:paraId="04BBCC8A">
            <w:pPr>
              <w:spacing w:line="282" w:lineRule="auto"/>
              <w:rPr>
                <w:rFonts w:hint="eastAsia" w:ascii="宋体" w:hAnsi="宋体" w:eastAsia="宋体" w:cs="宋体"/>
                <w:color w:val="auto"/>
                <w:sz w:val="21"/>
                <w:szCs w:val="21"/>
              </w:rPr>
            </w:pPr>
          </w:p>
          <w:p w14:paraId="32B14D6C">
            <w:pPr>
              <w:pStyle w:val="33"/>
              <w:spacing w:before="65" w:line="189"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10" w:type="dxa"/>
            <w:vAlign w:val="top"/>
          </w:tcPr>
          <w:p w14:paraId="672CF668">
            <w:pPr>
              <w:spacing w:line="250" w:lineRule="auto"/>
              <w:rPr>
                <w:rFonts w:hint="eastAsia" w:ascii="宋体" w:hAnsi="宋体" w:eastAsia="宋体" w:cs="宋体"/>
                <w:color w:val="auto"/>
                <w:sz w:val="21"/>
                <w:szCs w:val="21"/>
              </w:rPr>
            </w:pPr>
          </w:p>
          <w:p w14:paraId="79922F7A">
            <w:pPr>
              <w:pStyle w:val="33"/>
              <w:spacing w:before="65" w:line="228"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4874" w:type="dxa"/>
            <w:vAlign w:val="top"/>
          </w:tcPr>
          <w:p w14:paraId="4711D4E1">
            <w:pPr>
              <w:rPr>
                <w:rFonts w:hint="eastAsia" w:ascii="宋体" w:hAnsi="宋体" w:eastAsia="宋体" w:cs="宋体"/>
                <w:color w:val="auto"/>
                <w:sz w:val="21"/>
                <w:szCs w:val="21"/>
                <w:lang w:val="en-US" w:eastAsia="zh-CN"/>
              </w:rPr>
            </w:pPr>
          </w:p>
          <w:p w14:paraId="1C9B8EC9">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派驻2名专业技术人员以“方案+执行”的工作模式，围绕合作目标，建立提升工作机制、理清工作任务，编制技术方案，现场辅导执行，促进景区高质量发展；</w:t>
            </w:r>
          </w:p>
        </w:tc>
      </w:tr>
    </w:tbl>
    <w:p w14:paraId="77B788A7">
      <w:pPr>
        <w:spacing w:before="140" w:line="227" w:lineRule="auto"/>
        <w:rPr>
          <w:rFonts w:hint="eastAsia" w:ascii="宋体" w:hAnsi="宋体" w:eastAsia="宋体" w:cs="宋体"/>
          <w:color w:val="auto"/>
          <w:sz w:val="21"/>
          <w:szCs w:val="21"/>
        </w:rPr>
      </w:pPr>
      <w:r>
        <w:rPr>
          <w:rFonts w:hint="eastAsia" w:ascii="宋体" w:hAnsi="宋体" w:eastAsia="宋体" w:cs="宋体"/>
          <w:color w:val="auto"/>
          <w:spacing w:val="8"/>
          <w:sz w:val="21"/>
          <w:szCs w:val="21"/>
        </w:rPr>
        <w:t>根据《成交通知书》的成交内容，合同的总金额为</w:t>
      </w:r>
      <w:r>
        <w:rPr>
          <w:rFonts w:hint="eastAsia" w:ascii="宋体" w:hAnsi="宋体" w:eastAsia="宋体" w:cs="宋体"/>
          <w:color w:val="auto"/>
          <w:spacing w:val="-5"/>
          <w:sz w:val="21"/>
          <w:szCs w:val="21"/>
        </w:rPr>
        <w:t>：（</w:t>
      </w:r>
      <w:r>
        <w:rPr>
          <w:rFonts w:hint="eastAsia" w:ascii="宋体" w:hAnsi="宋体" w:eastAsia="宋体" w:cs="宋体"/>
          <w:color w:val="auto"/>
          <w:spacing w:val="8"/>
          <w:sz w:val="21"/>
          <w:szCs w:val="21"/>
        </w:rPr>
        <w:t>大写）</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8"/>
          <w:sz w:val="21"/>
          <w:szCs w:val="21"/>
        </w:rPr>
        <w:t>人民币 (￥</w:t>
      </w:r>
      <w:r>
        <w:rPr>
          <w:rFonts w:hint="eastAsia" w:ascii="宋体" w:hAnsi="宋体" w:eastAsia="宋体" w:cs="宋体"/>
          <w:color w:val="auto"/>
          <w:spacing w:val="-77"/>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7"/>
          <w:sz w:val="21"/>
          <w:szCs w:val="21"/>
        </w:rPr>
        <w:t>元）</w:t>
      </w:r>
    </w:p>
    <w:p w14:paraId="1C4F65FD">
      <w:pPr>
        <w:spacing w:before="123" w:line="228" w:lineRule="auto"/>
        <w:ind w:left="431"/>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第二条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服务内容要求</w:t>
      </w:r>
    </w:p>
    <w:p w14:paraId="3FA92B73">
      <w:pPr>
        <w:spacing w:before="144" w:line="228" w:lineRule="auto"/>
        <w:ind w:left="441" w:firstLine="446" w:firstLineChars="200"/>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服务内容及范围</w:t>
      </w:r>
    </w:p>
    <w:p w14:paraId="0CF29101">
      <w:pPr>
        <w:spacing w:before="45" w:line="370" w:lineRule="auto"/>
        <w:ind w:left="11" w:right="453" w:firstLine="419"/>
        <w:rPr>
          <w:rFonts w:hint="eastAsia" w:ascii="宋体" w:hAnsi="宋体" w:eastAsia="宋体" w:cs="宋体"/>
          <w:color w:val="auto"/>
          <w:sz w:val="21"/>
          <w:szCs w:val="21"/>
        </w:rPr>
      </w:pPr>
      <w:r>
        <w:rPr>
          <w:rFonts w:hint="eastAsia" w:ascii="宋体" w:hAnsi="宋体" w:eastAsia="宋体" w:cs="宋体"/>
          <w:color w:val="auto"/>
          <w:spacing w:val="7"/>
          <w:sz w:val="21"/>
          <w:szCs w:val="21"/>
          <w:lang w:eastAsia="zh-CN"/>
        </w:rPr>
        <w:t>派驻2名专业技术人员以“方案+执行”的工作模式，围绕合作目标，建立提升工作机制、理清工作任务，编制技术方案，现场辅导执行，促进景区高质量发展。</w:t>
      </w:r>
    </w:p>
    <w:p w14:paraId="3AF59301">
      <w:pPr>
        <w:pStyle w:val="33"/>
        <w:spacing w:line="228" w:lineRule="auto"/>
        <w:ind w:left="545"/>
        <w:outlineLvl w:val="1"/>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（一）专项方案编制</w:t>
      </w:r>
    </w:p>
    <w:p w14:paraId="2AB39A27">
      <w:pPr>
        <w:pStyle w:val="33"/>
        <w:spacing w:before="114" w:line="228" w:lineRule="auto"/>
        <w:ind w:left="545"/>
        <w:outlineLvl w:val="1"/>
        <w:rPr>
          <w:rFonts w:hint="eastAsia" w:ascii="宋体" w:hAnsi="宋体" w:eastAsia="宋体" w:cs="宋体"/>
          <w:b w:val="0"/>
          <w:bCs w:val="0"/>
          <w:color w:val="auto"/>
          <w:spacing w:val="5"/>
          <w:sz w:val="21"/>
          <w:szCs w:val="21"/>
        </w:rPr>
      </w:pPr>
      <w:r>
        <w:rPr>
          <w:rFonts w:hint="eastAsia" w:ascii="宋体" w:hAnsi="宋体" w:eastAsia="宋体" w:cs="宋体"/>
          <w:b w:val="0"/>
          <w:bCs w:val="0"/>
          <w:color w:val="auto"/>
          <w:spacing w:val="5"/>
          <w:sz w:val="21"/>
          <w:szCs w:val="21"/>
        </w:rPr>
        <w:t>1.景区运营管理诊断报告</w:t>
      </w:r>
    </w:p>
    <w:p w14:paraId="46AB061D">
      <w:pPr>
        <w:pStyle w:val="33"/>
        <w:spacing w:before="114" w:line="228" w:lineRule="auto"/>
        <w:ind w:left="545"/>
        <w:outlineLvl w:val="1"/>
        <w:rPr>
          <w:rFonts w:hint="eastAsia" w:ascii="宋体" w:hAnsi="宋体" w:eastAsia="宋体" w:cs="宋体"/>
          <w:b w:val="0"/>
          <w:bCs w:val="0"/>
          <w:color w:val="auto"/>
          <w:spacing w:val="5"/>
          <w:sz w:val="21"/>
          <w:szCs w:val="21"/>
        </w:rPr>
      </w:pPr>
      <w:r>
        <w:rPr>
          <w:rFonts w:hint="eastAsia" w:ascii="宋体" w:hAnsi="宋体" w:eastAsia="宋体" w:cs="宋体"/>
          <w:b w:val="0"/>
          <w:bCs w:val="0"/>
          <w:color w:val="auto"/>
          <w:spacing w:val="5"/>
          <w:sz w:val="21"/>
          <w:szCs w:val="21"/>
        </w:rPr>
        <w:t>依据《旅游景区质量等级的划分与评定》（GB/T17775-2024），以景区运营管理、服务提升为导向，梳理景区存在问题及工作任务，编制《景区运营诊断报告》。</w:t>
      </w:r>
    </w:p>
    <w:p w14:paraId="1524B900">
      <w:pPr>
        <w:pStyle w:val="33"/>
        <w:spacing w:before="114" w:line="228" w:lineRule="auto"/>
        <w:ind w:left="545"/>
        <w:outlineLvl w:val="1"/>
        <w:rPr>
          <w:rFonts w:hint="eastAsia" w:ascii="宋体" w:hAnsi="宋体" w:eastAsia="宋体" w:cs="宋体"/>
          <w:b w:val="0"/>
          <w:bCs w:val="0"/>
          <w:color w:val="auto"/>
          <w:spacing w:val="5"/>
          <w:sz w:val="21"/>
          <w:szCs w:val="21"/>
        </w:rPr>
      </w:pPr>
      <w:r>
        <w:rPr>
          <w:rFonts w:hint="eastAsia" w:ascii="宋体" w:hAnsi="宋体" w:eastAsia="宋体" w:cs="宋体"/>
          <w:b w:val="0"/>
          <w:bCs w:val="0"/>
          <w:color w:val="auto"/>
          <w:spacing w:val="5"/>
          <w:sz w:val="21"/>
          <w:szCs w:val="21"/>
        </w:rPr>
        <w:t>2.游客接待服务提升规范</w:t>
      </w:r>
    </w:p>
    <w:p w14:paraId="2C18B05B">
      <w:pPr>
        <w:pStyle w:val="33"/>
        <w:spacing w:before="114" w:line="228" w:lineRule="auto"/>
        <w:ind w:left="545"/>
        <w:outlineLvl w:val="1"/>
        <w:rPr>
          <w:rFonts w:hint="eastAsia" w:ascii="宋体" w:hAnsi="宋体" w:eastAsia="宋体" w:cs="宋体"/>
          <w:b w:val="0"/>
          <w:bCs w:val="0"/>
          <w:color w:val="auto"/>
          <w:spacing w:val="5"/>
          <w:sz w:val="21"/>
          <w:szCs w:val="21"/>
        </w:rPr>
      </w:pPr>
      <w:r>
        <w:rPr>
          <w:rFonts w:hint="eastAsia" w:ascii="宋体" w:hAnsi="宋体" w:eastAsia="宋体" w:cs="宋体"/>
          <w:b w:val="0"/>
          <w:bCs w:val="0"/>
          <w:color w:val="auto"/>
          <w:spacing w:val="5"/>
          <w:sz w:val="21"/>
          <w:szCs w:val="21"/>
        </w:rPr>
        <w:t>结合文旅行业相关标准，针对不同客群，围绕游客“抵离、接待、游览、商购”等流程，为景区编制《游客接待服务规范》，从而提高景区游客接待服务质量。</w:t>
      </w:r>
    </w:p>
    <w:p w14:paraId="4CE9868F">
      <w:pPr>
        <w:pStyle w:val="33"/>
        <w:spacing w:before="114" w:line="228" w:lineRule="auto"/>
        <w:ind w:left="545"/>
        <w:outlineLvl w:val="1"/>
        <w:rPr>
          <w:rFonts w:hint="eastAsia" w:ascii="宋体" w:hAnsi="宋体" w:eastAsia="宋体" w:cs="宋体"/>
          <w:b w:val="0"/>
          <w:bCs w:val="0"/>
          <w:color w:val="auto"/>
          <w:spacing w:val="5"/>
          <w:sz w:val="21"/>
          <w:szCs w:val="21"/>
        </w:rPr>
      </w:pPr>
      <w:r>
        <w:rPr>
          <w:rFonts w:hint="eastAsia" w:ascii="宋体" w:hAnsi="宋体" w:eastAsia="宋体" w:cs="宋体"/>
          <w:b w:val="0"/>
          <w:bCs w:val="0"/>
          <w:color w:val="auto"/>
          <w:spacing w:val="5"/>
          <w:sz w:val="21"/>
          <w:szCs w:val="21"/>
        </w:rPr>
        <w:t>3.验收迎检方案</w:t>
      </w:r>
    </w:p>
    <w:p w14:paraId="6B505BEF">
      <w:pPr>
        <w:pStyle w:val="33"/>
        <w:spacing w:before="114" w:line="228" w:lineRule="auto"/>
        <w:ind w:left="545"/>
        <w:outlineLvl w:val="1"/>
        <w:rPr>
          <w:rFonts w:hint="eastAsia" w:ascii="宋体" w:hAnsi="宋体" w:eastAsia="宋体" w:cs="宋体"/>
          <w:b w:val="0"/>
          <w:bCs w:val="0"/>
          <w:color w:val="auto"/>
          <w:spacing w:val="5"/>
          <w:sz w:val="21"/>
          <w:szCs w:val="21"/>
        </w:rPr>
      </w:pPr>
      <w:r>
        <w:rPr>
          <w:rFonts w:hint="eastAsia" w:ascii="宋体" w:hAnsi="宋体" w:eastAsia="宋体" w:cs="宋体"/>
          <w:b w:val="0"/>
          <w:bCs w:val="0"/>
          <w:color w:val="auto"/>
          <w:spacing w:val="5"/>
          <w:sz w:val="21"/>
          <w:szCs w:val="21"/>
        </w:rPr>
        <w:t>围绕景区5A验收迎检需要，指导制定相应迎检响应机制、分工等。</w:t>
      </w:r>
    </w:p>
    <w:p w14:paraId="33B1B2C0">
      <w:pPr>
        <w:pStyle w:val="33"/>
        <w:spacing w:before="114" w:line="228" w:lineRule="auto"/>
        <w:ind w:left="545"/>
        <w:outlineLvl w:val="1"/>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color w:val="auto"/>
          <w:spacing w:val="-43"/>
          <w:sz w:val="21"/>
          <w:szCs w:val="21"/>
        </w:rPr>
        <w:t xml:space="preserve"> </w:t>
      </w:r>
      <w:r>
        <w:rPr>
          <w:rFonts w:hint="eastAsia" w:ascii="宋体" w:hAnsi="宋体" w:eastAsia="宋体" w:cs="宋体"/>
          <w:b/>
          <w:bCs/>
          <w:color w:val="auto"/>
          <w:sz w:val="21"/>
          <w:szCs w:val="21"/>
          <w:lang w:val="en-US" w:eastAsia="zh-CN"/>
        </w:rPr>
        <w:t>辅导执行</w:t>
      </w:r>
      <w:r>
        <w:rPr>
          <w:rFonts w:hint="eastAsia" w:ascii="宋体" w:hAnsi="宋体" w:eastAsia="宋体" w:cs="宋体"/>
          <w:b/>
          <w:bCs/>
          <w:color w:val="auto"/>
          <w:sz w:val="21"/>
          <w:szCs w:val="21"/>
        </w:rPr>
        <w:t>务</w:t>
      </w:r>
    </w:p>
    <w:p w14:paraId="3538179F">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1.项目建设整改指导</w:t>
      </w:r>
    </w:p>
    <w:p w14:paraId="6A6EC93E">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依据《旅游景区质量等级的划分与评定》（GB/T17775-2024），乙方协助甲方建立 5A 创建工作督办机制，通过现场指导景区基础设施、公共服务设施（包括游客中心、旅游厕所、停车场等），公共户外设施（标识、垃圾桶、座椅等）、智慧景区、环境综合整治（包括建筑环境、交通秩序、网格化管理等）等项目整改工程来有效推进5A 创建整改进度。</w:t>
      </w:r>
    </w:p>
    <w:p w14:paraId="0A7DA115">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2.景区日常运营管理指导</w:t>
      </w:r>
    </w:p>
    <w:p w14:paraId="2FA29775">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依据《旅游景区质量等级的划分与评定》（GB/T17775-2024），乙方现场指导甲方开展日常运营管理的提升工作，包括交通组织指导、游客服务指导、物业管理指导、商业管理指导、营销管理指导等。</w:t>
      </w:r>
    </w:p>
    <w:p w14:paraId="19E61A76">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（1）交通组织提升指导。指导景区交通组织的提升，构建安全、便捷、舒适、有序的交通服务体系。</w:t>
      </w:r>
    </w:p>
    <w:p w14:paraId="14406A60">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（2）游客接待服务提升指导。结合景区实际运营需求，提出游客服务接待提升建议。按照双方确定的《游客接待服务规范》，协助景区按照游客接待服务的标准规范要求进行效果监督。</w:t>
      </w:r>
    </w:p>
    <w:p w14:paraId="679C7BE4">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（3）商业管理提升指导。指导景区运营主体，对自持产权的可经营空间开展招商及商业管理工作。</w:t>
      </w:r>
    </w:p>
    <w:p w14:paraId="6FC9500E">
      <w:pPr>
        <w:pStyle w:val="33"/>
        <w:spacing w:before="113" w:line="283" w:lineRule="auto"/>
        <w:ind w:left="115" w:right="108" w:firstLine="436"/>
        <w:rPr>
          <w:rFonts w:hint="eastAsia" w:ascii="宋体" w:hAnsi="宋体" w:eastAsia="宋体" w:cs="宋体"/>
          <w:color w:val="auto"/>
          <w:sz w:val="21"/>
          <w:szCs w:val="21"/>
        </w:rPr>
      </w:pPr>
      <w:r>
        <w:rPr>
          <w:rFonts w:hint="eastAsia" w:ascii="宋体" w:hAnsi="宋体" w:eastAsia="宋体" w:cs="宋体"/>
          <w:color w:val="auto"/>
          <w:spacing w:val="9"/>
          <w:sz w:val="21"/>
          <w:szCs w:val="21"/>
        </w:rPr>
        <w:t>（4）物业管理提升指导。结合编制方案，指导景区公共空间物业管理水平的提升，包括保安、保洁、园林养护等。</w:t>
      </w:r>
    </w:p>
    <w:p w14:paraId="5F1414D2">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（5）活动及品牌推广指导。指导景区新媒体营销平台建设及运营。指导景区文体旅活动的落地执行。</w:t>
      </w:r>
    </w:p>
    <w:p w14:paraId="57832F11">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3.综合提升培训</w:t>
      </w:r>
    </w:p>
    <w:p w14:paraId="16B91CEE">
      <w:pPr>
        <w:spacing w:line="362" w:lineRule="auto"/>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乙方为甲方提供 4 次专题培训，内容包括但不限于管理类、服务类、标准类等；组织日常方案培训，根据实际管理和运营的需要，结合递交的方案，开展方案解读和模拟演练等不同形式的培训，为方案的落地执行提供保障。</w:t>
      </w:r>
    </w:p>
    <w:p w14:paraId="0F924057">
      <w:pPr>
        <w:pStyle w:val="33"/>
        <w:spacing w:before="2" w:line="226" w:lineRule="auto"/>
        <w:ind w:left="545"/>
        <w:outlineLvl w:val="1"/>
        <w:rPr>
          <w:rFonts w:hint="eastAsia" w:ascii="宋体" w:hAnsi="宋体" w:eastAsia="宋体" w:cs="宋体"/>
          <w:color w:val="auto"/>
          <w:sz w:val="21"/>
          <w:szCs w:val="21"/>
          <w:lang w:val="en-US" w:eastAsia="zh-CN"/>
        </w:rPr>
      </w:pPr>
      <w:r>
        <w:rPr>
          <w:rFonts w:hint="eastAsia" w:ascii="宋体" w:hAnsi="宋体" w:eastAsia="宋体" w:cs="宋体"/>
          <w:b/>
          <w:bCs/>
          <w:color w:val="auto"/>
          <w:spacing w:val="6"/>
          <w:sz w:val="21"/>
          <w:szCs w:val="21"/>
        </w:rPr>
        <w:t>（三）</w:t>
      </w:r>
      <w:r>
        <w:rPr>
          <w:rFonts w:hint="eastAsia" w:ascii="宋体" w:hAnsi="宋体" w:eastAsia="宋体" w:cs="宋体"/>
          <w:b/>
          <w:bCs/>
          <w:color w:val="auto"/>
          <w:spacing w:val="6"/>
          <w:sz w:val="21"/>
          <w:szCs w:val="21"/>
          <w:lang w:val="en-US" w:eastAsia="zh-CN"/>
        </w:rPr>
        <w:t>工作机制</w:t>
      </w:r>
    </w:p>
    <w:p w14:paraId="7890F414">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（一）由合作双方指定人员作为双方对接人，负责在合作过程中的问题沟通、成果汇报、工作确认，协调在合作过程中超出乙方驻场人员工作权限的相关事宜，保障合作顺利。</w:t>
      </w:r>
    </w:p>
    <w:p w14:paraId="029D199B">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（二）提交的各方案类成果，以“工作联系单”的文本形式为主。根据实际工作需要，采用“会议纪要”“专项问题解决方案”“现场指导图像及视频”等其它成果形式，量化工作内容。</w:t>
      </w:r>
    </w:p>
    <w:p w14:paraId="3C564A0D">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（三）按季度提交《驻场运营服务报告》，内容包含工作总结和工作计划，并由双方方进行签字确认，共同保障合作有序开展。</w:t>
      </w:r>
    </w:p>
    <w:p w14:paraId="201AA82E">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（四）根据本合同费用支付方式中明确的日期，对阶段性成果进行汇编，并递交电子版和印刷版（1 份），由景区进行签字确认，作为阶段性款项支付的成果凭证。</w:t>
      </w:r>
    </w:p>
    <w:p w14:paraId="7A58361A">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（五）合作期满后，由双方共同组织召开结项汇报会，按季度向甲方提供《度假区驻场运营服务</w:t>
      </w:r>
      <w:r>
        <w:rPr>
          <w:rFonts w:hint="eastAsia" w:ascii="宋体" w:hAnsi="宋体" w:eastAsia="宋体" w:cs="宋体"/>
          <w:color w:val="auto"/>
          <w:spacing w:val="8"/>
          <w:sz w:val="21"/>
          <w:szCs w:val="21"/>
        </w:rPr>
        <w:t>报告》，内容包括工作总结和工作计划，以及乙方驻</w:t>
      </w:r>
      <w:r>
        <w:rPr>
          <w:rFonts w:hint="eastAsia" w:ascii="宋体" w:hAnsi="宋体" w:eastAsia="宋体" w:cs="宋体"/>
          <w:color w:val="auto"/>
          <w:spacing w:val="9"/>
          <w:sz w:val="21"/>
          <w:szCs w:val="21"/>
        </w:rPr>
        <w:t>场和巡访工作人员出勤情况等，保障合作有序开展。</w:t>
      </w:r>
    </w:p>
    <w:p w14:paraId="6992C33D">
      <w:pPr>
        <w:numPr>
          <w:ilvl w:val="0"/>
          <w:numId w:val="4"/>
        </w:numPr>
        <w:spacing w:before="65" w:line="228" w:lineRule="auto"/>
        <w:ind w:left="135"/>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lang w:val="en-US" w:eastAsia="zh-CN"/>
        </w:rPr>
        <w:t xml:space="preserve">   </w:t>
      </w:r>
      <w:r>
        <w:rPr>
          <w:rFonts w:hint="eastAsia" w:ascii="宋体" w:hAnsi="宋体" w:eastAsia="宋体" w:cs="宋体"/>
          <w:b/>
          <w:bCs/>
          <w:color w:val="auto"/>
          <w:spacing w:val="4"/>
          <w:sz w:val="21"/>
          <w:szCs w:val="21"/>
        </w:rPr>
        <w:t>合同履行期限（服务期限</w:t>
      </w:r>
      <w:r>
        <w:rPr>
          <w:rFonts w:hint="eastAsia" w:ascii="宋体" w:hAnsi="宋体" w:eastAsia="宋体" w:cs="宋体"/>
          <w:b/>
          <w:bCs/>
          <w:color w:val="auto"/>
          <w:spacing w:val="19"/>
          <w:sz w:val="21"/>
          <w:szCs w:val="21"/>
        </w:rPr>
        <w:t>）：</w:t>
      </w:r>
      <w:r>
        <w:rPr>
          <w:rFonts w:hint="eastAsia" w:ascii="宋体" w:hAnsi="宋体" w:eastAsia="宋体" w:cs="宋体"/>
          <w:b/>
          <w:bCs/>
          <w:color w:val="auto"/>
          <w:spacing w:val="4"/>
          <w:sz w:val="21"/>
          <w:szCs w:val="21"/>
        </w:rPr>
        <w:t>运营服务期</w:t>
      </w:r>
      <w:r>
        <w:rPr>
          <w:rFonts w:hint="eastAsia" w:ascii="宋体" w:hAnsi="宋体" w:eastAsia="宋体" w:cs="宋体"/>
          <w:color w:val="auto"/>
          <w:spacing w:val="-21"/>
          <w:sz w:val="21"/>
          <w:szCs w:val="21"/>
        </w:rPr>
        <w:t xml:space="preserve"> </w:t>
      </w:r>
      <w:r>
        <w:rPr>
          <w:rFonts w:hint="eastAsia" w:ascii="宋体" w:hAnsi="宋体" w:eastAsia="宋体" w:cs="宋体"/>
          <w:b/>
          <w:bCs/>
          <w:color w:val="auto"/>
          <w:spacing w:val="4"/>
          <w:sz w:val="21"/>
          <w:szCs w:val="21"/>
        </w:rPr>
        <w:t>1</w:t>
      </w:r>
      <w:r>
        <w:rPr>
          <w:rFonts w:hint="eastAsia" w:ascii="宋体" w:hAnsi="宋体" w:eastAsia="宋体" w:cs="宋体"/>
          <w:color w:val="auto"/>
          <w:spacing w:val="-37"/>
          <w:sz w:val="21"/>
          <w:szCs w:val="21"/>
        </w:rPr>
        <w:t xml:space="preserve"> </w:t>
      </w:r>
      <w:r>
        <w:rPr>
          <w:rFonts w:hint="eastAsia" w:ascii="宋体" w:hAnsi="宋体" w:eastAsia="宋体" w:cs="宋体"/>
          <w:b/>
          <w:bCs/>
          <w:color w:val="auto"/>
          <w:spacing w:val="4"/>
          <w:sz w:val="21"/>
          <w:szCs w:val="21"/>
        </w:rPr>
        <w:t>年</w:t>
      </w:r>
    </w:p>
    <w:p w14:paraId="299232D8">
      <w:pPr>
        <w:numPr>
          <w:ilvl w:val="0"/>
          <w:numId w:val="0"/>
        </w:numPr>
        <w:spacing w:before="65" w:line="228" w:lineRule="auto"/>
        <w:rPr>
          <w:rFonts w:hint="eastAsia" w:ascii="宋体" w:hAnsi="宋体" w:eastAsia="宋体" w:cs="宋体"/>
          <w:b/>
          <w:bCs/>
          <w:color w:val="auto"/>
          <w:spacing w:val="4"/>
          <w:sz w:val="21"/>
          <w:szCs w:val="21"/>
        </w:rPr>
      </w:pPr>
    </w:p>
    <w:p w14:paraId="41008556">
      <w:pPr>
        <w:numPr>
          <w:ilvl w:val="0"/>
          <w:numId w:val="5"/>
        </w:numPr>
        <w:spacing w:before="3" w:line="228" w:lineRule="auto"/>
        <w:ind w:left="413"/>
        <w:rPr>
          <w:rFonts w:hint="eastAsia" w:ascii="宋体" w:hAnsi="宋体" w:eastAsia="宋体" w:cs="宋体"/>
          <w:color w:val="auto"/>
          <w:spacing w:val="6"/>
          <w:sz w:val="21"/>
          <w:szCs w:val="21"/>
        </w:rPr>
      </w:pPr>
      <w:r>
        <w:rPr>
          <w:rFonts w:hint="eastAsia" w:ascii="宋体" w:hAnsi="宋体" w:eastAsia="宋体" w:cs="宋体"/>
          <w:b/>
          <w:bCs/>
          <w:color w:val="auto"/>
          <w:spacing w:val="7"/>
          <w:sz w:val="21"/>
          <w:szCs w:val="21"/>
        </w:rPr>
        <w:t>服务地点：采购人指定地点</w:t>
      </w:r>
      <w:r>
        <w:rPr>
          <w:rFonts w:hint="eastAsia" w:ascii="宋体" w:hAnsi="宋体" w:eastAsia="宋体" w:cs="宋体"/>
          <w:color w:val="auto"/>
          <w:spacing w:val="6"/>
          <w:sz w:val="21"/>
          <w:szCs w:val="21"/>
        </w:rPr>
        <w:t xml:space="preserve"> </w:t>
      </w:r>
    </w:p>
    <w:p w14:paraId="6DAEE173">
      <w:pPr>
        <w:numPr>
          <w:ilvl w:val="0"/>
          <w:numId w:val="0"/>
        </w:numPr>
        <w:spacing w:before="3" w:line="228" w:lineRule="auto"/>
        <w:rPr>
          <w:rFonts w:hint="eastAsia" w:ascii="宋体" w:hAnsi="宋体" w:eastAsia="宋体" w:cs="宋体"/>
          <w:color w:val="auto"/>
          <w:spacing w:val="6"/>
          <w:sz w:val="21"/>
          <w:szCs w:val="21"/>
        </w:rPr>
      </w:pPr>
    </w:p>
    <w:p w14:paraId="04875107">
      <w:pPr>
        <w:numPr>
          <w:ilvl w:val="0"/>
          <w:numId w:val="5"/>
        </w:numPr>
        <w:spacing w:before="3" w:line="228" w:lineRule="auto"/>
        <w:ind w:left="413"/>
        <w:rPr>
          <w:rFonts w:hint="eastAsia" w:ascii="宋体" w:hAnsi="宋体" w:eastAsia="宋体" w:cs="宋体"/>
          <w:color w:val="auto"/>
          <w:sz w:val="21"/>
          <w:szCs w:val="21"/>
        </w:rPr>
      </w:pPr>
      <w:r>
        <w:rPr>
          <w:rFonts w:hint="eastAsia" w:ascii="宋体" w:hAnsi="宋体" w:eastAsia="宋体" w:cs="宋体"/>
          <w:b/>
          <w:bCs/>
          <w:color w:val="auto"/>
          <w:spacing w:val="6"/>
          <w:sz w:val="21"/>
          <w:szCs w:val="21"/>
          <w:lang w:val="en-US" w:eastAsia="zh-CN"/>
        </w:rPr>
        <w:t>费用报价及</w:t>
      </w:r>
      <w:r>
        <w:rPr>
          <w:rFonts w:hint="eastAsia" w:ascii="宋体" w:hAnsi="宋体" w:eastAsia="宋体" w:cs="宋体"/>
          <w:b/>
          <w:bCs/>
          <w:color w:val="auto"/>
          <w:spacing w:val="6"/>
          <w:sz w:val="21"/>
          <w:szCs w:val="21"/>
        </w:rPr>
        <w:t>付款方式</w:t>
      </w:r>
    </w:p>
    <w:p w14:paraId="5F3CA2BD">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（一）驻场服务费用</w:t>
      </w:r>
    </w:p>
    <w:p w14:paraId="2A23B699">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驻场服务费用含税总额：人民币（大写）：</w:t>
      </w:r>
      <w:r>
        <w:rPr>
          <w:rFonts w:hint="eastAsia" w:ascii="宋体" w:hAnsi="宋体" w:eastAsia="宋体" w:cs="宋体"/>
          <w:color w:val="auto"/>
          <w:spacing w:val="9"/>
          <w:sz w:val="21"/>
          <w:szCs w:val="21"/>
          <w:u w:val="single"/>
          <w:lang w:val="en-US" w:eastAsia="zh-CN"/>
        </w:rPr>
        <w:t xml:space="preserve">        </w:t>
      </w:r>
      <w:r>
        <w:rPr>
          <w:rFonts w:hint="eastAsia" w:ascii="宋体" w:hAnsi="宋体" w:eastAsia="宋体" w:cs="宋体"/>
          <w:color w:val="auto"/>
          <w:spacing w:val="9"/>
          <w:sz w:val="21"/>
          <w:szCs w:val="21"/>
        </w:rPr>
        <w:t>。该价款为固定价款，非经双方协商一致不因任何因素的变化而调整。该费用包含本合同约定的专家沙龙组织费用及技术服务团队的工资、福利、社保等费用。</w:t>
      </w:r>
    </w:p>
    <w:p w14:paraId="0051FDCD">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（二）支付方式</w:t>
      </w:r>
    </w:p>
    <w:p w14:paraId="36E4791B">
      <w:pPr>
        <w:pStyle w:val="33"/>
        <w:spacing w:before="114" w:line="333" w:lineRule="auto"/>
        <w:ind w:left="114" w:right="108" w:firstLine="437"/>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1.合同签订后，甲方收到乙方递交符合国家适用税率要求的增值税专用发票后30 个工作日内，甲方支付乙方协议总额的 30%。</w:t>
      </w:r>
    </w:p>
    <w:p w14:paraId="6E8FBEAB">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2.合同签订后，项目合作期满 6 个月后，乙方向递交符合国家适用税率要求的增值税专用发票及阶段性成果汇编后 15 个工作日内，甲方支付乙方协议总额的 30%。</w:t>
      </w:r>
    </w:p>
    <w:p w14:paraId="52587638">
      <w:pPr>
        <w:pStyle w:val="33"/>
        <w:spacing w:before="113" w:line="283" w:lineRule="auto"/>
        <w:ind w:left="115" w:right="108" w:firstLine="436"/>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3.合同签订后，项目合作期满 12 个月后，乙方向甲方递交符合国家适用税率要求的增值税专用发票及所有成果汇编后 15 个工作日内，甲方支付乙方协议总额的 40%。</w:t>
      </w:r>
    </w:p>
    <w:p w14:paraId="670DEAED">
      <w:pPr>
        <w:spacing w:before="126"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第五条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服务保证</w:t>
      </w:r>
    </w:p>
    <w:p w14:paraId="22BD1DB3">
      <w:pPr>
        <w:spacing w:before="118" w:line="317" w:lineRule="auto"/>
        <w:ind w:left="1" w:firstLine="412"/>
        <w:rPr>
          <w:rFonts w:hint="eastAsia" w:ascii="宋体" w:hAnsi="宋体" w:eastAsia="宋体" w:cs="宋体"/>
          <w:color w:val="auto"/>
          <w:sz w:val="21"/>
          <w:szCs w:val="21"/>
        </w:rPr>
      </w:pPr>
      <w:r>
        <w:rPr>
          <w:rFonts w:hint="eastAsia" w:ascii="宋体" w:hAnsi="宋体" w:eastAsia="宋体" w:cs="宋体"/>
          <w:color w:val="auto"/>
          <w:spacing w:val="10"/>
          <w:sz w:val="21"/>
          <w:szCs w:val="21"/>
        </w:rPr>
        <w:t>要求乙方依据竞争性磋商文件要求、响应文</w:t>
      </w:r>
      <w:r>
        <w:rPr>
          <w:rFonts w:hint="eastAsia" w:ascii="宋体" w:hAnsi="宋体" w:eastAsia="宋体" w:cs="宋体"/>
          <w:color w:val="auto"/>
          <w:spacing w:val="9"/>
          <w:sz w:val="21"/>
          <w:szCs w:val="21"/>
        </w:rPr>
        <w:t>件承诺、强制执行的国家、行业、地方标准履行合同；乙</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方提供的服务成果达不到验收标准的，不予验收，造成的一切不利后果由乙方自行承担。</w:t>
      </w:r>
    </w:p>
    <w:p w14:paraId="4FEC3104">
      <w:pPr>
        <w:spacing w:before="32" w:line="228" w:lineRule="auto"/>
        <w:ind w:left="413"/>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第六条</w:t>
      </w:r>
      <w:r>
        <w:rPr>
          <w:rFonts w:hint="eastAsia" w:ascii="宋体" w:hAnsi="宋体" w:eastAsia="宋体" w:cs="宋体"/>
          <w:color w:val="auto"/>
          <w:spacing w:val="6"/>
          <w:sz w:val="21"/>
          <w:szCs w:val="21"/>
        </w:rPr>
        <w:t xml:space="preserve">  </w:t>
      </w:r>
      <w:r>
        <w:rPr>
          <w:rFonts w:hint="eastAsia" w:ascii="宋体" w:hAnsi="宋体" w:eastAsia="宋体" w:cs="宋体"/>
          <w:b/>
          <w:bCs/>
          <w:color w:val="auto"/>
          <w:spacing w:val="6"/>
          <w:sz w:val="21"/>
          <w:szCs w:val="21"/>
        </w:rPr>
        <w:t>权力保证</w:t>
      </w:r>
    </w:p>
    <w:p w14:paraId="24ED9E73">
      <w:pPr>
        <w:spacing w:before="114" w:line="227" w:lineRule="auto"/>
        <w:ind w:left="434"/>
        <w:rPr>
          <w:rFonts w:hint="eastAsia" w:ascii="宋体" w:hAnsi="宋体" w:eastAsia="宋体" w:cs="宋体"/>
          <w:color w:val="auto"/>
          <w:sz w:val="21"/>
          <w:szCs w:val="21"/>
        </w:rPr>
      </w:pPr>
      <w:r>
        <w:rPr>
          <w:rFonts w:hint="eastAsia" w:ascii="宋体" w:hAnsi="宋体" w:eastAsia="宋体" w:cs="宋体"/>
          <w:color w:val="auto"/>
          <w:spacing w:val="8"/>
          <w:sz w:val="21"/>
          <w:szCs w:val="21"/>
        </w:rPr>
        <w:t>乙方应保证所提供服务在使用时不会侵犯任何第三方的其他权利。</w:t>
      </w:r>
    </w:p>
    <w:p w14:paraId="56CF4175">
      <w:pPr>
        <w:spacing w:before="114"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第七条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服务条件</w:t>
      </w:r>
    </w:p>
    <w:p w14:paraId="7DA4844C">
      <w:pPr>
        <w:spacing w:before="113" w:line="227" w:lineRule="auto"/>
        <w:ind w:left="447"/>
        <w:rPr>
          <w:rFonts w:hint="eastAsia" w:ascii="宋体" w:hAnsi="宋体" w:eastAsia="宋体" w:cs="宋体"/>
          <w:color w:val="auto"/>
          <w:sz w:val="21"/>
          <w:szCs w:val="21"/>
        </w:rPr>
      </w:pPr>
      <w:r>
        <w:rPr>
          <w:rFonts w:hint="eastAsia" w:ascii="宋体" w:hAnsi="宋体" w:eastAsia="宋体" w:cs="宋体"/>
          <w:color w:val="auto"/>
          <w:spacing w:val="6"/>
          <w:sz w:val="21"/>
          <w:szCs w:val="21"/>
        </w:rPr>
        <w:t>甲方应提供必要服务条件（如场地、</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6"/>
          <w:sz w:val="21"/>
          <w:szCs w:val="21"/>
        </w:rPr>
        <w:t>电源、水</w:t>
      </w:r>
      <w:r>
        <w:rPr>
          <w:rFonts w:hint="eastAsia" w:ascii="宋体" w:hAnsi="宋体" w:eastAsia="宋体" w:cs="宋体"/>
          <w:color w:val="auto"/>
          <w:spacing w:val="5"/>
          <w:sz w:val="21"/>
          <w:szCs w:val="21"/>
        </w:rPr>
        <w:t>源等）。</w:t>
      </w:r>
    </w:p>
    <w:p w14:paraId="264E059B">
      <w:pPr>
        <w:spacing w:before="114" w:line="228" w:lineRule="auto"/>
        <w:ind w:left="413"/>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第八条</w:t>
      </w:r>
      <w:r>
        <w:rPr>
          <w:rFonts w:hint="eastAsia" w:ascii="宋体" w:hAnsi="宋体" w:eastAsia="宋体" w:cs="宋体"/>
          <w:color w:val="auto"/>
          <w:spacing w:val="9"/>
          <w:sz w:val="21"/>
          <w:szCs w:val="21"/>
        </w:rPr>
        <w:t xml:space="preserve">  </w:t>
      </w:r>
      <w:r>
        <w:rPr>
          <w:rFonts w:hint="eastAsia" w:ascii="宋体" w:hAnsi="宋体" w:eastAsia="宋体" w:cs="宋体"/>
          <w:b/>
          <w:bCs/>
          <w:color w:val="auto"/>
          <w:spacing w:val="5"/>
          <w:sz w:val="21"/>
          <w:szCs w:val="21"/>
        </w:rPr>
        <w:t>税费</w:t>
      </w:r>
    </w:p>
    <w:p w14:paraId="5B3F86F6">
      <w:pPr>
        <w:spacing w:before="113" w:line="227" w:lineRule="auto"/>
        <w:ind w:left="414"/>
        <w:rPr>
          <w:rFonts w:hint="eastAsia" w:ascii="宋体" w:hAnsi="宋体" w:eastAsia="宋体" w:cs="宋体"/>
          <w:color w:val="auto"/>
          <w:sz w:val="21"/>
          <w:szCs w:val="21"/>
        </w:rPr>
      </w:pPr>
      <w:r>
        <w:rPr>
          <w:rFonts w:hint="eastAsia" w:ascii="宋体" w:hAnsi="宋体" w:eastAsia="宋体" w:cs="宋体"/>
          <w:color w:val="auto"/>
          <w:spacing w:val="8"/>
          <w:sz w:val="21"/>
          <w:szCs w:val="21"/>
        </w:rPr>
        <w:t>本合同执行中相关的一切税费均由乙方负担。</w:t>
      </w:r>
    </w:p>
    <w:p w14:paraId="680CAA2B">
      <w:pPr>
        <w:spacing w:before="114"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第九条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违约责任</w:t>
      </w:r>
    </w:p>
    <w:p w14:paraId="0100FA8E">
      <w:pPr>
        <w:spacing w:before="114" w:line="317" w:lineRule="auto"/>
        <w:ind w:left="1" w:right="2" w:firstLine="434"/>
        <w:rPr>
          <w:rFonts w:hint="eastAsia" w:ascii="宋体" w:hAnsi="宋体" w:eastAsia="宋体" w:cs="宋体"/>
          <w:color w:val="auto"/>
          <w:sz w:val="21"/>
          <w:szCs w:val="21"/>
        </w:rPr>
      </w:pPr>
      <w:r>
        <w:rPr>
          <w:rFonts w:hint="eastAsia" w:ascii="宋体" w:hAnsi="宋体" w:eastAsia="宋体" w:cs="宋体"/>
          <w:color w:val="auto"/>
          <w:spacing w:val="9"/>
          <w:sz w:val="21"/>
          <w:szCs w:val="21"/>
        </w:rPr>
        <w:t>1.甲、乙双方应严格履行合同，除不可抗力情况外，致使本合同不能</w:t>
      </w:r>
      <w:r>
        <w:rPr>
          <w:rFonts w:hint="eastAsia" w:ascii="宋体" w:hAnsi="宋体" w:eastAsia="宋体" w:cs="宋体"/>
          <w:color w:val="auto"/>
          <w:spacing w:val="8"/>
          <w:sz w:val="21"/>
          <w:szCs w:val="21"/>
        </w:rPr>
        <w:t>履行时，甲乙双方均无权提前终</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止本合同。</w:t>
      </w:r>
    </w:p>
    <w:p w14:paraId="02E45402">
      <w:pPr>
        <w:spacing w:before="32" w:line="227" w:lineRule="auto"/>
        <w:ind w:left="423"/>
        <w:rPr>
          <w:rFonts w:hint="eastAsia" w:ascii="宋体" w:hAnsi="宋体" w:eastAsia="宋体" w:cs="宋体"/>
          <w:color w:val="auto"/>
          <w:sz w:val="21"/>
          <w:szCs w:val="21"/>
        </w:rPr>
      </w:pPr>
      <w:r>
        <w:rPr>
          <w:rFonts w:hint="eastAsia" w:ascii="宋体" w:hAnsi="宋体" w:eastAsia="宋体" w:cs="宋体"/>
          <w:color w:val="auto"/>
          <w:spacing w:val="8"/>
          <w:sz w:val="21"/>
          <w:szCs w:val="21"/>
        </w:rPr>
        <w:t>2.乙方拒绝按合同约定履行的，经甲方书面通知后又不改正的情况下，</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8"/>
          <w:sz w:val="21"/>
          <w:szCs w:val="21"/>
        </w:rPr>
        <w:t>甲方有权提前终止本合同。</w:t>
      </w:r>
    </w:p>
    <w:p w14:paraId="5C9948EA">
      <w:pPr>
        <w:spacing w:before="114"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第十条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不可抗力事件处理</w:t>
      </w:r>
    </w:p>
    <w:p w14:paraId="0A185EEC">
      <w:pPr>
        <w:spacing w:before="113" w:line="318" w:lineRule="auto"/>
        <w:ind w:firstLine="435"/>
        <w:rPr>
          <w:rFonts w:hint="eastAsia" w:ascii="宋体" w:hAnsi="宋体" w:eastAsia="宋体" w:cs="宋体"/>
          <w:color w:val="auto"/>
          <w:sz w:val="21"/>
          <w:szCs w:val="21"/>
        </w:rPr>
      </w:pPr>
      <w:r>
        <w:rPr>
          <w:rFonts w:hint="eastAsia" w:ascii="宋体" w:hAnsi="宋体" w:eastAsia="宋体" w:cs="宋体"/>
          <w:color w:val="auto"/>
          <w:spacing w:val="9"/>
          <w:sz w:val="21"/>
          <w:szCs w:val="21"/>
        </w:rPr>
        <w:t>1.在合同有效期内，乙方因不可抗力事件导致不能履行合同，则合同履行</w:t>
      </w:r>
      <w:r>
        <w:rPr>
          <w:rFonts w:hint="eastAsia" w:ascii="宋体" w:hAnsi="宋体" w:eastAsia="宋体" w:cs="宋体"/>
          <w:color w:val="auto"/>
          <w:spacing w:val="8"/>
          <w:sz w:val="21"/>
          <w:szCs w:val="21"/>
        </w:rPr>
        <w:t>期可延长，其延长期与不可</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抗力影响期相同。</w:t>
      </w:r>
    </w:p>
    <w:p w14:paraId="1D5A90CF">
      <w:pPr>
        <w:spacing w:before="41" w:line="227" w:lineRule="auto"/>
        <w:ind w:left="422"/>
        <w:rPr>
          <w:rFonts w:hint="eastAsia" w:ascii="宋体" w:hAnsi="宋体" w:eastAsia="宋体" w:cs="宋体"/>
          <w:color w:val="auto"/>
          <w:sz w:val="21"/>
          <w:szCs w:val="21"/>
        </w:rPr>
      </w:pPr>
      <w:r>
        <w:rPr>
          <w:rFonts w:hint="eastAsia" w:ascii="宋体" w:hAnsi="宋体" w:eastAsia="宋体" w:cs="宋体"/>
          <w:color w:val="auto"/>
          <w:spacing w:val="9"/>
          <w:sz w:val="21"/>
          <w:szCs w:val="21"/>
        </w:rPr>
        <w:t>2.不可抗力事件发生后，应立即通知对方，并寄送有关权威机构出具的证明。</w:t>
      </w:r>
    </w:p>
    <w:p w14:paraId="17576E4F">
      <w:pPr>
        <w:spacing w:before="113" w:line="228" w:lineRule="auto"/>
        <w:ind w:left="424"/>
        <w:rPr>
          <w:rFonts w:hint="eastAsia" w:ascii="宋体" w:hAnsi="宋体" w:eastAsia="宋体" w:cs="宋体"/>
          <w:color w:val="auto"/>
          <w:sz w:val="21"/>
          <w:szCs w:val="21"/>
        </w:rPr>
      </w:pPr>
      <w:r>
        <w:rPr>
          <w:rFonts w:hint="eastAsia" w:ascii="宋体" w:hAnsi="宋体" w:eastAsia="宋体" w:cs="宋体"/>
          <w:color w:val="auto"/>
          <w:spacing w:val="9"/>
          <w:sz w:val="21"/>
          <w:szCs w:val="21"/>
        </w:rPr>
        <w:t>3.不可抗力事件延续一百二十天以上，双方应通过友好协商，确定是否继续履行合同。</w:t>
      </w:r>
    </w:p>
    <w:p w14:paraId="561FC682">
      <w:pPr>
        <w:spacing w:before="113" w:line="228" w:lineRule="auto"/>
        <w:ind w:left="412"/>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第十一条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合同争议解决</w:t>
      </w:r>
    </w:p>
    <w:p w14:paraId="3E062012">
      <w:pPr>
        <w:spacing w:before="112" w:line="318" w:lineRule="auto"/>
        <w:ind w:left="26" w:right="2" w:firstLine="408"/>
        <w:rPr>
          <w:rFonts w:hint="eastAsia" w:ascii="宋体" w:hAnsi="宋体" w:eastAsia="宋体" w:cs="宋体"/>
          <w:color w:val="auto"/>
          <w:sz w:val="21"/>
          <w:szCs w:val="21"/>
        </w:rPr>
      </w:pPr>
      <w:r>
        <w:rPr>
          <w:rFonts w:hint="eastAsia" w:ascii="宋体" w:hAnsi="宋体" w:eastAsia="宋体" w:cs="宋体"/>
          <w:color w:val="auto"/>
          <w:spacing w:val="9"/>
          <w:sz w:val="21"/>
          <w:szCs w:val="21"/>
        </w:rPr>
        <w:t>1.因服务质量问题发生争议的，应邀请国家认可的相关机构进行鉴定</w:t>
      </w:r>
      <w:r>
        <w:rPr>
          <w:rFonts w:hint="eastAsia" w:ascii="宋体" w:hAnsi="宋体" w:eastAsia="宋体" w:cs="宋体"/>
          <w:color w:val="auto"/>
          <w:spacing w:val="8"/>
          <w:sz w:val="21"/>
          <w:szCs w:val="21"/>
        </w:rPr>
        <w:t>。经鉴定符合要求的，鉴定费由</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甲方承担；经鉴定不符合要求的，鉴定费由乙方承担。</w:t>
      </w:r>
    </w:p>
    <w:p w14:paraId="217E1E52">
      <w:pPr>
        <w:spacing w:before="32" w:line="317" w:lineRule="auto"/>
        <w:ind w:left="6" w:firstLine="416"/>
        <w:rPr>
          <w:rFonts w:hint="eastAsia" w:ascii="宋体" w:hAnsi="宋体" w:eastAsia="宋体" w:cs="宋体"/>
          <w:color w:val="auto"/>
          <w:sz w:val="21"/>
          <w:szCs w:val="21"/>
        </w:rPr>
      </w:pPr>
      <w:r>
        <w:rPr>
          <w:rFonts w:hint="eastAsia" w:ascii="宋体" w:hAnsi="宋体" w:eastAsia="宋体" w:cs="宋体"/>
          <w:color w:val="auto"/>
          <w:spacing w:val="9"/>
          <w:sz w:val="21"/>
          <w:szCs w:val="21"/>
        </w:rPr>
        <w:t>2.因履行本合同引起的或与本合同有关的争议，甲乙双方应首先通过友好协商解决，如果协商不能解</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9"/>
          <w:sz w:val="21"/>
          <w:szCs w:val="21"/>
        </w:rPr>
        <w:t>决，可向桂林市仲裁委员会申请仲裁或向桂林市人民法院提起诉讼。</w:t>
      </w:r>
    </w:p>
    <w:p w14:paraId="54D35C01">
      <w:pPr>
        <w:spacing w:before="32" w:line="227" w:lineRule="auto"/>
        <w:ind w:left="424"/>
        <w:rPr>
          <w:rFonts w:hint="eastAsia" w:ascii="宋体" w:hAnsi="宋体" w:eastAsia="宋体" w:cs="宋体"/>
          <w:color w:val="auto"/>
          <w:sz w:val="21"/>
          <w:szCs w:val="21"/>
        </w:rPr>
      </w:pPr>
      <w:r>
        <w:rPr>
          <w:rFonts w:hint="eastAsia" w:ascii="宋体" w:hAnsi="宋体" w:eastAsia="宋体" w:cs="宋体"/>
          <w:color w:val="auto"/>
          <w:spacing w:val="7"/>
          <w:sz w:val="21"/>
          <w:szCs w:val="21"/>
        </w:rPr>
        <w:t>3.诉讼期间，本合同继续履行。</w:t>
      </w:r>
    </w:p>
    <w:p w14:paraId="0804E8FE">
      <w:pPr>
        <w:spacing w:before="114" w:line="228" w:lineRule="auto"/>
        <w:ind w:left="412"/>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第十二条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合同生效及其它</w:t>
      </w:r>
    </w:p>
    <w:p w14:paraId="55237756">
      <w:pPr>
        <w:spacing w:before="130" w:line="227" w:lineRule="auto"/>
        <w:ind w:left="435"/>
        <w:rPr>
          <w:rFonts w:hint="eastAsia" w:ascii="宋体" w:hAnsi="宋体" w:eastAsia="宋体" w:cs="宋体"/>
          <w:color w:val="auto"/>
          <w:sz w:val="21"/>
          <w:szCs w:val="21"/>
        </w:rPr>
      </w:pPr>
      <w:r>
        <w:rPr>
          <w:rFonts w:hint="eastAsia" w:ascii="宋体" w:hAnsi="宋体" w:eastAsia="宋体" w:cs="宋体"/>
          <w:color w:val="auto"/>
          <w:spacing w:val="9"/>
          <w:sz w:val="21"/>
          <w:szCs w:val="21"/>
        </w:rPr>
        <w:t>1.合同经甲乙双方法定代表人（负责人/自然人）或相应的授权代表签字并加盖单</w:t>
      </w:r>
      <w:r>
        <w:rPr>
          <w:rFonts w:hint="eastAsia" w:ascii="宋体" w:hAnsi="宋体" w:eastAsia="宋体" w:cs="宋体"/>
          <w:color w:val="auto"/>
          <w:spacing w:val="8"/>
          <w:sz w:val="21"/>
          <w:szCs w:val="21"/>
        </w:rPr>
        <w:t>位公章后生效。</w:t>
      </w:r>
    </w:p>
    <w:p w14:paraId="59D5A2F2">
      <w:pPr>
        <w:spacing w:before="134" w:line="335" w:lineRule="auto"/>
        <w:ind w:left="2" w:right="2"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2.合同执行中涉及采购资金和采购内容修改或补充的，需经财政部门审批，并签订书面补充协议龙胜</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各族自治县财政局备案，方可作为主合同不可分割的一部分。</w:t>
      </w:r>
    </w:p>
    <w:p w14:paraId="0654E40B">
      <w:pPr>
        <w:spacing w:before="35" w:line="227" w:lineRule="auto"/>
        <w:ind w:left="424"/>
        <w:rPr>
          <w:rFonts w:hint="eastAsia" w:ascii="宋体" w:hAnsi="宋体" w:eastAsia="宋体" w:cs="宋体"/>
          <w:color w:val="auto"/>
          <w:sz w:val="21"/>
          <w:szCs w:val="21"/>
        </w:rPr>
      </w:pPr>
      <w:r>
        <w:rPr>
          <w:rFonts w:hint="eastAsia" w:ascii="宋体" w:hAnsi="宋体" w:eastAsia="宋体" w:cs="宋体"/>
          <w:color w:val="auto"/>
          <w:spacing w:val="9"/>
          <w:sz w:val="21"/>
          <w:szCs w:val="21"/>
        </w:rPr>
        <w:t>3.本合同未尽事宜，遵照《中华人民共和国民法典》有关条</w:t>
      </w:r>
      <w:r>
        <w:rPr>
          <w:rFonts w:hint="eastAsia" w:ascii="宋体" w:hAnsi="宋体" w:eastAsia="宋体" w:cs="宋体"/>
          <w:color w:val="auto"/>
          <w:spacing w:val="8"/>
          <w:sz w:val="21"/>
          <w:szCs w:val="21"/>
        </w:rPr>
        <w:t>文执行。</w:t>
      </w:r>
    </w:p>
    <w:p w14:paraId="202DB8A1">
      <w:pPr>
        <w:spacing w:before="116" w:line="228" w:lineRule="auto"/>
        <w:ind w:left="412"/>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第十三条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合同的变更、终止与转让</w:t>
      </w:r>
    </w:p>
    <w:p w14:paraId="3C2B8E6B">
      <w:pPr>
        <w:spacing w:before="113" w:line="318" w:lineRule="auto"/>
        <w:ind w:left="2" w:firstLine="432"/>
        <w:rPr>
          <w:rFonts w:hint="eastAsia" w:ascii="宋体" w:hAnsi="宋体" w:eastAsia="宋体" w:cs="宋体"/>
          <w:color w:val="auto"/>
          <w:sz w:val="21"/>
          <w:szCs w:val="21"/>
        </w:rPr>
      </w:pPr>
      <w:r>
        <w:rPr>
          <w:rFonts w:hint="eastAsia" w:ascii="宋体" w:hAnsi="宋体" w:eastAsia="宋体" w:cs="宋体"/>
          <w:color w:val="auto"/>
          <w:spacing w:val="9"/>
          <w:sz w:val="21"/>
          <w:szCs w:val="21"/>
        </w:rPr>
        <w:t>1.除《中华人民共和国政府采购法》第五十条规定的情形外，本合同一经</w:t>
      </w:r>
      <w:r>
        <w:rPr>
          <w:rFonts w:hint="eastAsia" w:ascii="宋体" w:hAnsi="宋体" w:eastAsia="宋体" w:cs="宋体"/>
          <w:color w:val="auto"/>
          <w:spacing w:val="8"/>
          <w:sz w:val="21"/>
          <w:szCs w:val="21"/>
        </w:rPr>
        <w:t>签订，甲乙双方不得擅自变</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更，中止或终止。</w:t>
      </w:r>
    </w:p>
    <w:p w14:paraId="670C4364">
      <w:pPr>
        <w:spacing w:before="31" w:line="228" w:lineRule="auto"/>
        <w:ind w:left="422"/>
        <w:rPr>
          <w:rFonts w:hint="eastAsia" w:ascii="宋体" w:hAnsi="宋体" w:eastAsia="宋体" w:cs="宋体"/>
          <w:color w:val="auto"/>
          <w:sz w:val="21"/>
          <w:szCs w:val="21"/>
        </w:rPr>
      </w:pPr>
      <w:r>
        <w:rPr>
          <w:rFonts w:hint="eastAsia" w:ascii="宋体" w:hAnsi="宋体" w:eastAsia="宋体" w:cs="宋体"/>
          <w:color w:val="auto"/>
          <w:spacing w:val="8"/>
          <w:sz w:val="21"/>
          <w:szCs w:val="21"/>
        </w:rPr>
        <w:t>2.乙方不得擅自转让其应履行的合同义务。</w:t>
      </w:r>
    </w:p>
    <w:p w14:paraId="622E48D7">
      <w:pPr>
        <w:spacing w:before="113" w:line="227" w:lineRule="auto"/>
        <w:ind w:left="412"/>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第十四条</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签订本合同依据</w:t>
      </w:r>
    </w:p>
    <w:p w14:paraId="7170A22E">
      <w:pPr>
        <w:spacing w:before="114" w:line="317" w:lineRule="auto"/>
        <w:ind w:left="422" w:right="7383" w:firstLine="12"/>
        <w:rPr>
          <w:rFonts w:hint="eastAsia" w:ascii="宋体" w:hAnsi="宋体" w:eastAsia="宋体" w:cs="宋体"/>
          <w:color w:val="auto"/>
          <w:sz w:val="21"/>
          <w:szCs w:val="21"/>
        </w:rPr>
      </w:pPr>
      <w:r>
        <w:rPr>
          <w:rFonts w:hint="eastAsia" w:ascii="宋体" w:hAnsi="宋体" w:eastAsia="宋体" w:cs="宋体"/>
          <w:color w:val="auto"/>
          <w:spacing w:val="1"/>
          <w:sz w:val="21"/>
          <w:szCs w:val="21"/>
        </w:rPr>
        <w:t>1.竞争性磋商文件；</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2.磋商报价表</w:t>
      </w:r>
    </w:p>
    <w:p w14:paraId="7F5873AA">
      <w:pPr>
        <w:spacing w:before="33" w:line="228" w:lineRule="auto"/>
        <w:ind w:left="424"/>
        <w:rPr>
          <w:rFonts w:hint="eastAsia" w:ascii="宋体" w:hAnsi="宋体" w:eastAsia="宋体" w:cs="宋体"/>
          <w:color w:val="auto"/>
          <w:sz w:val="21"/>
          <w:szCs w:val="21"/>
        </w:rPr>
      </w:pPr>
      <w:r>
        <w:rPr>
          <w:rFonts w:hint="eastAsia" w:ascii="宋体" w:hAnsi="宋体" w:eastAsia="宋体" w:cs="宋体"/>
          <w:color w:val="auto"/>
          <w:spacing w:val="7"/>
          <w:sz w:val="21"/>
          <w:szCs w:val="21"/>
        </w:rPr>
        <w:t>3.服务内容及商务要求响应表；</w:t>
      </w:r>
    </w:p>
    <w:p w14:paraId="2D95428F">
      <w:pPr>
        <w:spacing w:before="113" w:line="349" w:lineRule="auto"/>
        <w:ind w:left="414" w:right="5491" w:firstLine="4"/>
        <w:rPr>
          <w:rFonts w:hint="eastAsia" w:ascii="宋体" w:hAnsi="宋体" w:eastAsia="宋体" w:cs="宋体"/>
          <w:color w:val="auto"/>
          <w:sz w:val="21"/>
          <w:szCs w:val="21"/>
        </w:rPr>
      </w:pPr>
      <w:r>
        <w:rPr>
          <w:rFonts w:hint="eastAsia" w:ascii="宋体" w:hAnsi="宋体" w:eastAsia="宋体" w:cs="宋体"/>
          <w:color w:val="auto"/>
          <w:spacing w:val="8"/>
          <w:sz w:val="21"/>
          <w:szCs w:val="21"/>
        </w:rPr>
        <w:t>4.项目实施方案及服务承诺书（如有</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5.磋商中的磋商记录；</w:t>
      </w:r>
    </w:p>
    <w:p w14:paraId="5BC55843">
      <w:pPr>
        <w:spacing w:before="5" w:line="227" w:lineRule="auto"/>
        <w:ind w:left="421"/>
        <w:rPr>
          <w:rFonts w:hint="eastAsia" w:ascii="宋体" w:hAnsi="宋体" w:eastAsia="宋体" w:cs="宋体"/>
          <w:color w:val="auto"/>
          <w:sz w:val="21"/>
          <w:szCs w:val="21"/>
        </w:rPr>
      </w:pPr>
      <w:r>
        <w:rPr>
          <w:rFonts w:hint="eastAsia" w:ascii="宋体" w:hAnsi="宋体" w:eastAsia="宋体" w:cs="宋体"/>
          <w:color w:val="auto"/>
          <w:spacing w:val="6"/>
          <w:sz w:val="21"/>
          <w:szCs w:val="21"/>
        </w:rPr>
        <w:t>6.成交通知书。</w:t>
      </w:r>
    </w:p>
    <w:p w14:paraId="62509763">
      <w:pPr>
        <w:spacing w:before="130" w:line="340" w:lineRule="auto"/>
        <w:ind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本合同甲乙双方签字盖章后生效，一式四份，具有同等法律效力，甲、乙双方各一份。政府采购合同</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双方自签订之日起</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9"/>
          <w:sz w:val="21"/>
          <w:szCs w:val="21"/>
        </w:rPr>
        <w:t>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9"/>
          <w:sz w:val="21"/>
          <w:szCs w:val="21"/>
        </w:rPr>
        <w:t>个工作日内将合同原件两</w:t>
      </w:r>
      <w:r>
        <w:rPr>
          <w:rFonts w:hint="eastAsia" w:ascii="宋体" w:hAnsi="宋体" w:eastAsia="宋体" w:cs="宋体"/>
          <w:color w:val="auto"/>
          <w:spacing w:val="8"/>
          <w:sz w:val="21"/>
          <w:szCs w:val="21"/>
        </w:rPr>
        <w:t>份交采购代理机构。采购代理机构将政府采购合同在省级以</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上人民政府财政部门指定媒体上公告并存档。</w:t>
      </w:r>
    </w:p>
    <w:p w14:paraId="50E14567">
      <w:pPr>
        <w:pStyle w:val="7"/>
        <w:spacing w:line="307" w:lineRule="auto"/>
        <w:rPr>
          <w:rFonts w:hint="eastAsia" w:ascii="宋体" w:hAnsi="宋体" w:eastAsia="宋体" w:cs="宋体"/>
          <w:color w:val="auto"/>
          <w:sz w:val="21"/>
          <w:szCs w:val="21"/>
        </w:rPr>
      </w:pPr>
    </w:p>
    <w:p w14:paraId="2D10636E">
      <w:pPr>
        <w:spacing w:before="66" w:line="227" w:lineRule="auto"/>
        <w:ind w:left="446"/>
        <w:rPr>
          <w:rFonts w:hint="eastAsia" w:ascii="宋体" w:hAnsi="宋体" w:eastAsia="宋体" w:cs="宋体"/>
          <w:color w:val="auto"/>
          <w:sz w:val="21"/>
          <w:szCs w:val="21"/>
        </w:rPr>
      </w:pPr>
      <w:r>
        <w:rPr>
          <w:rFonts w:hint="eastAsia" w:ascii="宋体" w:hAnsi="宋体" w:eastAsia="宋体" w:cs="宋体"/>
          <w:color w:val="auto"/>
          <w:spacing w:val="2"/>
          <w:sz w:val="21"/>
          <w:szCs w:val="21"/>
        </w:rPr>
        <w:t>甲方（公章</w:t>
      </w:r>
      <w:r>
        <w:rPr>
          <w:rFonts w:hint="eastAsia" w:ascii="宋体" w:hAnsi="宋体" w:eastAsia="宋体" w:cs="宋体"/>
          <w:color w:val="auto"/>
          <w:spacing w:val="12"/>
          <w:sz w:val="21"/>
          <w:szCs w:val="21"/>
        </w:rPr>
        <w:t>）：</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u w:val="single" w:color="auto"/>
          <w:lang w:val="en-US" w:eastAsia="zh-CN"/>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2"/>
          <w:sz w:val="21"/>
          <w:szCs w:val="21"/>
        </w:rPr>
        <w:t>乙方（公章，</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2"/>
          <w:sz w:val="21"/>
          <w:szCs w:val="21"/>
        </w:rPr>
        <w:t>自然人除外</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u w:val="single" w:color="auto"/>
        </w:rPr>
        <w:t xml:space="preserve">                    </w:t>
      </w:r>
    </w:p>
    <w:p w14:paraId="69E2BCD9">
      <w:pPr>
        <w:spacing w:before="92" w:line="228" w:lineRule="auto"/>
        <w:ind w:left="420"/>
        <w:rPr>
          <w:rFonts w:hint="eastAsia" w:ascii="宋体" w:hAnsi="宋体" w:eastAsia="宋体" w:cs="宋体"/>
          <w:color w:val="auto"/>
          <w:sz w:val="21"/>
          <w:szCs w:val="21"/>
        </w:rPr>
      </w:pPr>
      <w:r>
        <w:rPr>
          <w:rFonts w:hint="eastAsia" w:ascii="宋体" w:hAnsi="宋体" w:eastAsia="宋体" w:cs="宋体"/>
          <w:color w:val="auto"/>
          <w:spacing w:val="7"/>
          <w:sz w:val="21"/>
          <w:szCs w:val="21"/>
        </w:rPr>
        <w:t>法定代表人签字：</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7"/>
          <w:sz w:val="21"/>
          <w:szCs w:val="21"/>
        </w:rPr>
        <w:t xml:space="preserve">   法定代表人签字（属自然人的应</w:t>
      </w:r>
    </w:p>
    <w:p w14:paraId="484506D6">
      <w:pPr>
        <w:spacing w:before="94" w:line="228" w:lineRule="auto"/>
        <w:ind w:left="5355"/>
        <w:rPr>
          <w:rFonts w:hint="eastAsia" w:ascii="宋体" w:hAnsi="宋体" w:eastAsia="宋体" w:cs="宋体"/>
          <w:color w:val="auto"/>
          <w:sz w:val="21"/>
          <w:szCs w:val="21"/>
        </w:rPr>
      </w:pPr>
      <w:r>
        <w:rPr>
          <w:rFonts w:hint="eastAsia" w:ascii="宋体" w:hAnsi="宋体" w:eastAsia="宋体" w:cs="宋体"/>
          <w:color w:val="auto"/>
          <w:spacing w:val="9"/>
          <w:sz w:val="21"/>
          <w:szCs w:val="21"/>
        </w:rPr>
        <w:t>在签名处加盖大拇指指印</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u w:val="single" w:color="auto"/>
        </w:rPr>
        <w:t xml:space="preserve">                </w:t>
      </w:r>
    </w:p>
    <w:p w14:paraId="6323F6AA">
      <w:pPr>
        <w:spacing w:before="94" w:line="228" w:lineRule="auto"/>
        <w:ind w:left="419"/>
        <w:rPr>
          <w:rFonts w:hint="eastAsia" w:ascii="宋体" w:hAnsi="宋体" w:eastAsia="宋体" w:cs="宋体"/>
          <w:color w:val="auto"/>
          <w:sz w:val="21"/>
          <w:szCs w:val="21"/>
        </w:rPr>
      </w:pPr>
      <w:r>
        <w:rPr>
          <w:rFonts w:hint="eastAsia" w:ascii="宋体" w:hAnsi="宋体" w:eastAsia="宋体" w:cs="宋体"/>
          <w:color w:val="auto"/>
          <w:spacing w:val="6"/>
          <w:sz w:val="21"/>
          <w:szCs w:val="21"/>
        </w:rPr>
        <w:t>委托代理人：</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val="en-US" w:eastAsia="zh-CN"/>
        </w:rPr>
        <w:t xml:space="preserve"> </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rPr>
        <w:t xml:space="preserve">    委托代理人：</w:t>
      </w:r>
      <w:r>
        <w:rPr>
          <w:rFonts w:hint="eastAsia" w:ascii="宋体" w:hAnsi="宋体" w:eastAsia="宋体" w:cs="宋体"/>
          <w:color w:val="auto"/>
          <w:spacing w:val="5"/>
          <w:sz w:val="21"/>
          <w:szCs w:val="21"/>
          <w:u w:val="single" w:color="auto"/>
        </w:rPr>
        <w:t xml:space="preserve">                                 </w:t>
      </w:r>
    </w:p>
    <w:p w14:paraId="72699353">
      <w:pPr>
        <w:spacing w:before="91" w:line="230" w:lineRule="auto"/>
        <w:ind w:left="444"/>
        <w:rPr>
          <w:rFonts w:hint="eastAsia" w:ascii="宋体" w:hAnsi="宋体" w:eastAsia="宋体" w:cs="宋体"/>
          <w:color w:val="auto"/>
          <w:sz w:val="21"/>
          <w:szCs w:val="21"/>
        </w:rPr>
      </w:pPr>
      <w:r>
        <w:rPr>
          <w:rFonts w:hint="eastAsia" w:ascii="宋体" w:hAnsi="宋体" w:eastAsia="宋体" w:cs="宋体"/>
          <w:color w:val="auto"/>
          <w:spacing w:val="-7"/>
          <w:sz w:val="21"/>
          <w:szCs w:val="21"/>
        </w:rPr>
        <w:t>电</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7"/>
          <w:sz w:val="21"/>
          <w:szCs w:val="21"/>
        </w:rPr>
        <w:t>话</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7"/>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3"/>
          <w:sz w:val="21"/>
          <w:szCs w:val="21"/>
          <w:lang w:val="en-US" w:eastAsia="zh-CN"/>
        </w:rPr>
        <w:t xml:space="preserve">   </w:t>
      </w:r>
      <w:r>
        <w:rPr>
          <w:rFonts w:hint="eastAsia" w:ascii="宋体" w:hAnsi="宋体" w:eastAsia="宋体" w:cs="宋体"/>
          <w:color w:val="auto"/>
          <w:spacing w:val="-8"/>
          <w:sz w:val="21"/>
          <w:szCs w:val="21"/>
        </w:rPr>
        <w:t>电</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8"/>
          <w:sz w:val="21"/>
          <w:szCs w:val="21"/>
        </w:rPr>
        <w:t>话</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8"/>
          <w:sz w:val="21"/>
          <w:szCs w:val="21"/>
        </w:rPr>
        <w:t xml:space="preserve">： </w:t>
      </w:r>
      <w:r>
        <w:rPr>
          <w:rFonts w:hint="eastAsia" w:ascii="宋体" w:hAnsi="宋体" w:eastAsia="宋体" w:cs="宋体"/>
          <w:color w:val="auto"/>
          <w:sz w:val="21"/>
          <w:szCs w:val="21"/>
          <w:u w:val="single" w:color="auto"/>
        </w:rPr>
        <w:t xml:space="preserve">                                </w:t>
      </w:r>
    </w:p>
    <w:p w14:paraId="127CF43A">
      <w:pPr>
        <w:spacing w:before="93" w:line="228" w:lineRule="auto"/>
        <w:ind w:left="420"/>
        <w:rPr>
          <w:rFonts w:hint="eastAsia" w:ascii="宋体" w:hAnsi="宋体" w:eastAsia="宋体" w:cs="宋体"/>
          <w:color w:val="auto"/>
          <w:sz w:val="21"/>
          <w:szCs w:val="21"/>
        </w:rPr>
      </w:pPr>
      <w:r>
        <w:rPr>
          <w:rFonts w:hint="eastAsia" w:ascii="宋体" w:hAnsi="宋体" w:eastAsia="宋体" w:cs="宋体"/>
          <w:color w:val="auto"/>
          <w:spacing w:val="4"/>
          <w:sz w:val="21"/>
          <w:szCs w:val="21"/>
        </w:rPr>
        <w:t>开户名称：</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开户名称：</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3"/>
          <w:sz w:val="21"/>
          <w:szCs w:val="21"/>
          <w:u w:val="single" w:color="auto"/>
        </w:rPr>
        <w:t xml:space="preserve">        </w:t>
      </w:r>
    </w:p>
    <w:p w14:paraId="2EFAEAD1">
      <w:pPr>
        <w:spacing w:before="93" w:line="228" w:lineRule="auto"/>
        <w:ind w:left="420"/>
        <w:rPr>
          <w:rFonts w:hint="eastAsia" w:ascii="宋体" w:hAnsi="宋体" w:eastAsia="宋体" w:cs="宋体"/>
          <w:color w:val="auto"/>
          <w:sz w:val="21"/>
          <w:szCs w:val="21"/>
        </w:rPr>
      </w:pPr>
      <w:r>
        <w:rPr>
          <w:rFonts w:hint="eastAsia" w:ascii="宋体" w:hAnsi="宋体" w:eastAsia="宋体" w:cs="宋体"/>
          <w:color w:val="auto"/>
          <w:spacing w:val="4"/>
          <w:sz w:val="21"/>
          <w:szCs w:val="21"/>
        </w:rPr>
        <w:t>开户银行：</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开户银行：</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3"/>
          <w:sz w:val="21"/>
          <w:szCs w:val="21"/>
          <w:u w:val="single" w:color="auto"/>
        </w:rPr>
        <w:t xml:space="preserve">        </w:t>
      </w:r>
    </w:p>
    <w:p w14:paraId="7650FE26">
      <w:pPr>
        <w:spacing w:before="92" w:line="228" w:lineRule="auto"/>
        <w:ind w:left="420"/>
        <w:rPr>
          <w:rFonts w:hint="eastAsia" w:ascii="宋体" w:hAnsi="宋体" w:eastAsia="宋体" w:cs="宋体"/>
          <w:color w:val="auto"/>
          <w:sz w:val="21"/>
          <w:szCs w:val="21"/>
        </w:rPr>
      </w:pPr>
      <w:r>
        <w:rPr>
          <w:rFonts w:hint="eastAsia" w:ascii="宋体" w:hAnsi="宋体" w:eastAsia="宋体" w:cs="宋体"/>
          <w:color w:val="auto"/>
          <w:spacing w:val="4"/>
          <w:sz w:val="21"/>
          <w:szCs w:val="21"/>
        </w:rPr>
        <w:t>银行账号：</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银行账号：</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3"/>
          <w:sz w:val="21"/>
          <w:szCs w:val="21"/>
          <w:u w:val="single" w:color="auto"/>
        </w:rPr>
        <w:t xml:space="preserve">        </w:t>
      </w:r>
    </w:p>
    <w:p w14:paraId="3126CCB3">
      <w:pPr>
        <w:outlineLvl w:val="0"/>
        <w:rPr>
          <w:rFonts w:hint="eastAsia" w:ascii="宋体" w:hAnsi="宋体" w:eastAsia="宋体" w:cs="宋体"/>
          <w:b/>
          <w:bCs/>
          <w:color w:val="auto"/>
          <w:kern w:val="44"/>
          <w:sz w:val="32"/>
          <w:szCs w:val="32"/>
        </w:rPr>
      </w:pPr>
      <w:r>
        <w:rPr>
          <w:rFonts w:hint="eastAsia" w:ascii="宋体" w:hAnsi="宋体" w:eastAsia="宋体" w:cs="宋体"/>
          <w:color w:val="auto"/>
          <w:spacing w:val="-9"/>
          <w:sz w:val="21"/>
          <w:szCs w:val="21"/>
        </w:rPr>
        <w:t>日</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9"/>
          <w:sz w:val="21"/>
          <w:szCs w:val="21"/>
        </w:rPr>
        <w:t>期</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日     期</w:t>
      </w:r>
      <w:r>
        <w:rPr>
          <w:rFonts w:hint="eastAsia" w:ascii="宋体" w:hAnsi="宋体" w:eastAsia="宋体" w:cs="宋体"/>
          <w:color w:val="auto"/>
          <w:spacing w:val="-74"/>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u w:val="single" w:color="auto"/>
        </w:rPr>
        <w:t xml:space="preserve">                           </w:t>
      </w:r>
    </w:p>
    <w:p w14:paraId="33551FEC">
      <w:pPr>
        <w:spacing w:line="480" w:lineRule="auto"/>
        <w:rPr>
          <w:rFonts w:hint="eastAsia" w:ascii="宋体" w:hAnsi="宋体" w:eastAsia="宋体" w:cs="宋体"/>
          <w:color w:val="auto"/>
        </w:rPr>
      </w:pPr>
    </w:p>
    <w:p w14:paraId="35E505ED">
      <w:pPr>
        <w:pStyle w:val="2"/>
        <w:pageBreakBefore/>
        <w:tabs>
          <w:tab w:val="left" w:pos="567"/>
        </w:tabs>
        <w:spacing w:line="416" w:lineRule="auto"/>
        <w:jc w:val="center"/>
        <w:rPr>
          <w:rFonts w:hint="eastAsia" w:ascii="宋体" w:hAnsi="宋体" w:eastAsia="宋体" w:cs="宋体"/>
          <w:color w:val="auto"/>
        </w:rPr>
      </w:pPr>
      <w:bookmarkStart w:id="149" w:name="_Toc13301"/>
      <w:bookmarkStart w:id="150" w:name="_Toc2274"/>
      <w:bookmarkStart w:id="151" w:name="_Toc9947"/>
      <w:r>
        <w:rPr>
          <w:rFonts w:hint="eastAsia" w:ascii="宋体" w:hAnsi="宋体" w:eastAsia="宋体" w:cs="宋体"/>
          <w:color w:val="auto"/>
          <w:sz w:val="32"/>
          <w:szCs w:val="32"/>
        </w:rPr>
        <w:t xml:space="preserve">第六章  </w:t>
      </w:r>
      <w:bookmarkEnd w:id="147"/>
      <w:bookmarkEnd w:id="148"/>
      <w:bookmarkStart w:id="152" w:name="_Toc13185"/>
      <w:r>
        <w:rPr>
          <w:rFonts w:hint="eastAsia" w:ascii="宋体" w:hAnsi="宋体" w:eastAsia="宋体" w:cs="宋体"/>
          <w:color w:val="auto"/>
          <w:sz w:val="32"/>
          <w:szCs w:val="32"/>
        </w:rPr>
        <w:t>响应文件（格式）</w:t>
      </w:r>
      <w:bookmarkEnd w:id="149"/>
      <w:bookmarkEnd w:id="150"/>
      <w:bookmarkEnd w:id="151"/>
      <w:bookmarkEnd w:id="152"/>
    </w:p>
    <w:p w14:paraId="56BBC865">
      <w:pPr>
        <w:rPr>
          <w:rFonts w:hint="eastAsia" w:ascii="宋体" w:hAnsi="宋体" w:eastAsia="宋体" w:cs="宋体"/>
          <w:color w:val="auto"/>
        </w:rPr>
      </w:pPr>
    </w:p>
    <w:p w14:paraId="7043C9D1">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响应文件组成：</w:t>
      </w:r>
    </w:p>
    <w:p w14:paraId="37BBCEC2">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一、资格性审查要求证明材料</w:t>
      </w:r>
    </w:p>
    <w:p w14:paraId="1EF05BD1">
      <w:pPr>
        <w:spacing w:line="400" w:lineRule="exact"/>
        <w:rPr>
          <w:rFonts w:hint="eastAsia" w:ascii="宋体" w:hAnsi="宋体" w:eastAsia="宋体" w:cs="宋体"/>
          <w:b/>
          <w:color w:val="auto"/>
          <w:sz w:val="24"/>
        </w:rPr>
      </w:pPr>
    </w:p>
    <w:p w14:paraId="78D0F7E0">
      <w:pPr>
        <w:spacing w:line="400" w:lineRule="exact"/>
        <w:rPr>
          <w:rFonts w:hint="eastAsia" w:ascii="宋体" w:hAnsi="宋体" w:eastAsia="宋体" w:cs="宋体"/>
          <w:b/>
          <w:color w:val="auto"/>
          <w:sz w:val="24"/>
        </w:rPr>
      </w:pPr>
      <w:r>
        <w:rPr>
          <w:rFonts w:hint="eastAsia" w:ascii="宋体" w:hAnsi="宋体" w:eastAsia="宋体" w:cs="宋体"/>
          <w:b/>
          <w:color w:val="auto"/>
          <w:sz w:val="24"/>
        </w:rPr>
        <w:t>1.响应文件封面（必须提供）</w:t>
      </w:r>
    </w:p>
    <w:p w14:paraId="632C1591">
      <w:pPr>
        <w:snapToGrid w:val="0"/>
        <w:spacing w:beforeLines="50" w:after="50"/>
        <w:jc w:val="center"/>
        <w:rPr>
          <w:rFonts w:hint="eastAsia" w:ascii="宋体" w:hAnsi="宋体" w:eastAsia="宋体" w:cs="宋体"/>
          <w:bCs/>
          <w:color w:val="auto"/>
          <w:sz w:val="32"/>
          <w:szCs w:val="32"/>
        </w:rPr>
      </w:pPr>
    </w:p>
    <w:p w14:paraId="42D58D6C">
      <w:pPr>
        <w:snapToGrid w:val="0"/>
        <w:spacing w:beforeLines="50"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响 应 文 件（格式）</w:t>
      </w:r>
    </w:p>
    <w:p w14:paraId="2BBF55A4">
      <w:pPr>
        <w:snapToGrid w:val="0"/>
        <w:spacing w:beforeLines="50" w:after="50"/>
        <w:rPr>
          <w:rFonts w:hint="eastAsia" w:ascii="宋体" w:hAnsi="宋体" w:eastAsia="宋体" w:cs="宋体"/>
          <w:bCs/>
          <w:color w:val="auto"/>
          <w:sz w:val="24"/>
          <w:szCs w:val="20"/>
        </w:rPr>
      </w:pPr>
    </w:p>
    <w:p w14:paraId="5BAA0383">
      <w:pPr>
        <w:snapToGrid w:val="0"/>
        <w:spacing w:beforeLines="50" w:after="50"/>
        <w:ind w:firstLine="361" w:firstLineChars="150"/>
        <w:rPr>
          <w:rFonts w:hint="eastAsia" w:ascii="宋体" w:hAnsi="宋体" w:eastAsia="宋体" w:cs="宋体"/>
          <w:b/>
          <w:color w:val="auto"/>
          <w:sz w:val="24"/>
          <w:szCs w:val="20"/>
          <w:lang w:eastAsia="zh-CN"/>
        </w:rPr>
      </w:pPr>
      <w:r>
        <w:rPr>
          <w:rFonts w:hint="eastAsia" w:ascii="宋体" w:hAnsi="宋体" w:eastAsia="宋体" w:cs="宋体"/>
          <w:b/>
          <w:color w:val="auto"/>
          <w:sz w:val="24"/>
          <w:szCs w:val="20"/>
        </w:rPr>
        <w:t>项目名称：</w:t>
      </w:r>
      <w:r>
        <w:rPr>
          <w:rFonts w:hint="eastAsia" w:ascii="宋体" w:hAnsi="宋体" w:eastAsia="宋体" w:cs="宋体"/>
          <w:b/>
          <w:color w:val="auto"/>
          <w:sz w:val="24"/>
          <w:szCs w:val="20"/>
          <w:lang w:eastAsia="zh-CN"/>
        </w:rPr>
        <w:t>广西兴安灵渠景区创建国家5A级旅游景区驻场运营指导服务项目</w:t>
      </w:r>
    </w:p>
    <w:p w14:paraId="2D290F9D">
      <w:pPr>
        <w:snapToGrid w:val="0"/>
        <w:spacing w:beforeLines="50" w:after="50"/>
        <w:ind w:firstLine="361" w:firstLineChars="150"/>
        <w:rPr>
          <w:rFonts w:hint="eastAsia" w:ascii="宋体" w:hAnsi="宋体" w:eastAsia="宋体" w:cs="宋体"/>
          <w:b/>
          <w:color w:val="auto"/>
          <w:sz w:val="24"/>
          <w:szCs w:val="20"/>
        </w:rPr>
      </w:pPr>
    </w:p>
    <w:p w14:paraId="20B003CB">
      <w:pPr>
        <w:snapToGrid w:val="0"/>
        <w:spacing w:beforeLines="50" w:after="50"/>
        <w:ind w:firstLine="361" w:firstLineChars="150"/>
        <w:rPr>
          <w:rFonts w:hint="eastAsia" w:ascii="宋体" w:hAnsi="宋体" w:eastAsia="宋体" w:cs="宋体"/>
          <w:b/>
          <w:color w:val="auto"/>
          <w:sz w:val="24"/>
          <w:szCs w:val="20"/>
          <w:lang w:eastAsia="zh-CN"/>
        </w:rPr>
      </w:pPr>
      <w:r>
        <w:rPr>
          <w:rFonts w:hint="eastAsia" w:ascii="宋体" w:hAnsi="宋体" w:eastAsia="宋体" w:cs="宋体"/>
          <w:b/>
          <w:color w:val="auto"/>
          <w:sz w:val="24"/>
          <w:szCs w:val="20"/>
        </w:rPr>
        <w:t>项目编号：</w:t>
      </w:r>
      <w:r>
        <w:rPr>
          <w:rFonts w:hint="eastAsia" w:ascii="宋体" w:hAnsi="宋体" w:eastAsia="宋体" w:cs="宋体"/>
          <w:b/>
          <w:color w:val="auto"/>
          <w:sz w:val="24"/>
          <w:szCs w:val="20"/>
          <w:lang w:val="en-US" w:eastAsia="zh-CN"/>
        </w:rPr>
        <w:t xml:space="preserve"> GLZC2025-C3-230025-GXJY</w:t>
      </w:r>
    </w:p>
    <w:p w14:paraId="4BEB4A33">
      <w:pPr>
        <w:spacing w:line="400" w:lineRule="exact"/>
        <w:rPr>
          <w:rFonts w:hint="eastAsia" w:ascii="宋体" w:hAnsi="宋体" w:eastAsia="宋体" w:cs="宋体"/>
          <w:b/>
          <w:color w:val="auto"/>
          <w:szCs w:val="21"/>
        </w:rPr>
      </w:pPr>
    </w:p>
    <w:p w14:paraId="29C918B6">
      <w:pPr>
        <w:snapToGrid w:val="0"/>
        <w:spacing w:beforeLines="50" w:after="50"/>
        <w:ind w:firstLine="361" w:firstLineChars="150"/>
        <w:rPr>
          <w:rFonts w:hint="eastAsia" w:ascii="宋体" w:hAnsi="宋体" w:eastAsia="宋体" w:cs="宋体"/>
          <w:b/>
          <w:color w:val="auto"/>
          <w:sz w:val="24"/>
          <w:lang w:eastAsia="zh-CN"/>
        </w:rPr>
      </w:pPr>
      <w:r>
        <w:rPr>
          <w:rFonts w:hint="eastAsia" w:ascii="宋体" w:hAnsi="宋体" w:eastAsia="宋体" w:cs="宋体"/>
          <w:b/>
          <w:color w:val="auto"/>
          <w:sz w:val="24"/>
        </w:rPr>
        <w:t>采购人：</w:t>
      </w:r>
      <w:r>
        <w:rPr>
          <w:rFonts w:hint="eastAsia" w:ascii="宋体" w:hAnsi="宋体" w:eastAsia="宋体" w:cs="宋体"/>
          <w:b/>
          <w:color w:val="auto"/>
          <w:sz w:val="24"/>
          <w:lang w:eastAsia="zh-CN"/>
        </w:rPr>
        <w:t>兴安县文化广电体育和旅游局</w:t>
      </w:r>
    </w:p>
    <w:p w14:paraId="599317C9">
      <w:pPr>
        <w:snapToGrid w:val="0"/>
        <w:spacing w:beforeLines="50" w:after="50"/>
        <w:ind w:firstLine="361" w:firstLineChars="150"/>
        <w:rPr>
          <w:rFonts w:hint="eastAsia" w:ascii="宋体" w:hAnsi="宋体" w:eastAsia="宋体" w:cs="宋体"/>
          <w:b/>
          <w:color w:val="auto"/>
          <w:sz w:val="24"/>
        </w:rPr>
      </w:pPr>
    </w:p>
    <w:p w14:paraId="64A88B81">
      <w:pPr>
        <w:snapToGrid w:val="0"/>
        <w:spacing w:beforeLines="50" w:after="50"/>
        <w:ind w:firstLine="361" w:firstLineChars="150"/>
        <w:rPr>
          <w:rFonts w:hint="eastAsia" w:ascii="宋体" w:hAnsi="宋体" w:eastAsia="宋体" w:cs="宋体"/>
          <w:b/>
          <w:color w:val="auto"/>
          <w:sz w:val="24"/>
        </w:rPr>
      </w:pPr>
      <w:r>
        <w:rPr>
          <w:rFonts w:hint="eastAsia" w:ascii="宋体" w:hAnsi="宋体" w:eastAsia="宋体" w:cs="宋体"/>
          <w:b/>
          <w:color w:val="auto"/>
          <w:sz w:val="24"/>
        </w:rPr>
        <w:t>采购代理机构：广西佳益工程项目管理咨询有限公司</w:t>
      </w:r>
    </w:p>
    <w:p w14:paraId="50BF3D19">
      <w:pPr>
        <w:snapToGrid w:val="0"/>
        <w:spacing w:beforeLines="50" w:after="50"/>
        <w:ind w:firstLine="361" w:firstLineChars="150"/>
        <w:rPr>
          <w:rFonts w:hint="eastAsia" w:ascii="宋体" w:hAnsi="宋体" w:eastAsia="宋体" w:cs="宋体"/>
          <w:b/>
          <w:color w:val="auto"/>
          <w:sz w:val="24"/>
        </w:rPr>
      </w:pPr>
    </w:p>
    <w:p w14:paraId="3775979A">
      <w:pPr>
        <w:snapToGrid w:val="0"/>
        <w:spacing w:beforeLines="50" w:after="50"/>
        <w:ind w:firstLine="361" w:firstLineChars="150"/>
        <w:rPr>
          <w:rFonts w:hint="eastAsia" w:ascii="宋体" w:hAnsi="宋体" w:eastAsia="宋体" w:cs="宋体"/>
          <w:b/>
          <w:color w:val="auto"/>
          <w:sz w:val="24"/>
        </w:rPr>
      </w:pPr>
    </w:p>
    <w:p w14:paraId="5FA5A9D1">
      <w:pPr>
        <w:snapToGrid w:val="0"/>
        <w:spacing w:beforeLines="50" w:after="50"/>
        <w:ind w:firstLine="361" w:firstLineChars="150"/>
        <w:rPr>
          <w:rFonts w:hint="eastAsia" w:ascii="宋体" w:hAnsi="宋体" w:eastAsia="宋体" w:cs="宋体"/>
          <w:b/>
          <w:color w:val="auto"/>
          <w:sz w:val="24"/>
        </w:rPr>
      </w:pPr>
      <w:bookmarkStart w:id="153" w:name="_Toc20319_WPSOffice_Level2"/>
      <w:bookmarkStart w:id="154" w:name="_Toc4932_WPSOffice_Level2"/>
      <w:r>
        <w:rPr>
          <w:rFonts w:hint="eastAsia" w:ascii="宋体" w:hAnsi="宋体" w:eastAsia="宋体" w:cs="宋体"/>
          <w:b/>
          <w:color w:val="auto"/>
          <w:sz w:val="24"/>
        </w:rPr>
        <w:t>供应商[公章(CA签章)、属自然人的应签名并加盖大拇指指印或个人CA签章]：</w:t>
      </w:r>
      <w:r>
        <w:rPr>
          <w:rFonts w:hint="eastAsia" w:ascii="宋体" w:hAnsi="宋体" w:eastAsia="宋体" w:cs="宋体"/>
          <w:color w:val="auto"/>
          <w:szCs w:val="21"/>
          <w:u w:val="single"/>
        </w:rPr>
        <w:t xml:space="preserve">　 </w:t>
      </w:r>
      <w:bookmarkEnd w:id="153"/>
      <w:bookmarkEnd w:id="154"/>
    </w:p>
    <w:p w14:paraId="4C258156">
      <w:pPr>
        <w:snapToGrid w:val="0"/>
        <w:spacing w:beforeLines="50" w:after="50"/>
        <w:ind w:firstLine="361" w:firstLineChars="150"/>
        <w:rPr>
          <w:rFonts w:hint="eastAsia" w:ascii="宋体" w:hAnsi="宋体" w:eastAsia="宋体" w:cs="宋体"/>
          <w:b/>
          <w:color w:val="auto"/>
          <w:sz w:val="24"/>
        </w:rPr>
      </w:pPr>
      <w:bookmarkStart w:id="155" w:name="_Toc9622_WPSOffice_Level2"/>
      <w:bookmarkStart w:id="156" w:name="_Toc32056_WPSOffice_Level2"/>
      <w:r>
        <w:rPr>
          <w:rFonts w:hint="eastAsia" w:ascii="宋体" w:hAnsi="宋体" w:eastAsia="宋体" w:cs="宋体"/>
          <w:b/>
          <w:color w:val="auto"/>
          <w:sz w:val="24"/>
        </w:rPr>
        <w:t>法定代表人、负责人、自然人或相应的委托代理人签字[或盖个人章(CA签章)]</w:t>
      </w:r>
    </w:p>
    <w:p w14:paraId="2E93F59B">
      <w:pPr>
        <w:snapToGrid w:val="0"/>
        <w:spacing w:beforeLines="50" w:after="50"/>
        <w:ind w:firstLine="361" w:firstLineChars="150"/>
        <w:rPr>
          <w:rFonts w:hint="eastAsia" w:ascii="宋体" w:hAnsi="宋体" w:eastAsia="宋体" w:cs="宋体"/>
          <w:b/>
          <w:color w:val="auto"/>
          <w:sz w:val="24"/>
          <w:u w:val="single"/>
        </w:rPr>
      </w:pPr>
      <w:r>
        <w:rPr>
          <w:rFonts w:hint="eastAsia" w:ascii="宋体" w:hAnsi="宋体" w:eastAsia="宋体" w:cs="宋体"/>
          <w:b/>
          <w:color w:val="auto"/>
          <w:sz w:val="24"/>
        </w:rPr>
        <w:t>（属自然人的应在签名处加盖大拇指指印或个人CA签章）：</w:t>
      </w:r>
      <w:r>
        <w:rPr>
          <w:rFonts w:hint="eastAsia" w:ascii="宋体" w:hAnsi="宋体" w:eastAsia="宋体" w:cs="宋体"/>
          <w:color w:val="auto"/>
          <w:szCs w:val="21"/>
          <w:u w:val="single"/>
        </w:rPr>
        <w:t>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59374998">
      <w:pPr>
        <w:snapToGrid w:val="0"/>
        <w:spacing w:beforeLines="50" w:after="50"/>
        <w:ind w:firstLine="361" w:firstLineChars="150"/>
        <w:rPr>
          <w:rFonts w:hint="eastAsia" w:ascii="宋体" w:hAnsi="宋体" w:eastAsia="宋体" w:cs="宋体"/>
          <w:b/>
          <w:color w:val="auto"/>
          <w:sz w:val="24"/>
          <w:u w:val="single"/>
        </w:rPr>
      </w:pPr>
      <w:r>
        <w:rPr>
          <w:rFonts w:hint="eastAsia" w:ascii="宋体" w:hAnsi="宋体" w:eastAsia="宋体" w:cs="宋体"/>
          <w:b/>
          <w:color w:val="auto"/>
          <w:sz w:val="24"/>
        </w:rPr>
        <w:t>联系电话：</w:t>
      </w:r>
      <w:bookmarkEnd w:id="155"/>
      <w:bookmarkEnd w:id="156"/>
      <w:r>
        <w:rPr>
          <w:rFonts w:hint="eastAsia" w:ascii="宋体" w:hAnsi="宋体" w:eastAsia="宋体" w:cs="宋体"/>
          <w:color w:val="auto"/>
          <w:szCs w:val="21"/>
          <w:u w:val="single"/>
        </w:rPr>
        <w:t>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26FFF14F">
      <w:pPr>
        <w:snapToGrid w:val="0"/>
        <w:spacing w:beforeLines="50" w:after="50"/>
        <w:ind w:firstLine="361" w:firstLineChars="150"/>
        <w:rPr>
          <w:rFonts w:hint="eastAsia" w:ascii="宋体" w:hAnsi="宋体" w:eastAsia="宋体" w:cs="宋体"/>
          <w:bCs/>
          <w:color w:val="auto"/>
          <w:szCs w:val="21"/>
        </w:rPr>
      </w:pPr>
      <w:bookmarkStart w:id="157" w:name="_Toc15933_WPSOffice_Level2"/>
      <w:bookmarkStart w:id="158" w:name="_Toc26465_WPSOffice_Level2"/>
      <w:r>
        <w:rPr>
          <w:rFonts w:hint="eastAsia" w:ascii="宋体" w:hAnsi="宋体" w:eastAsia="宋体" w:cs="宋体"/>
          <w:b/>
          <w:color w:val="auto"/>
          <w:sz w:val="24"/>
        </w:rPr>
        <w:t>日期：年 月日</w:t>
      </w:r>
      <w:bookmarkEnd w:id="157"/>
      <w:bookmarkEnd w:id="158"/>
      <w:r>
        <w:rPr>
          <w:rFonts w:hint="eastAsia" w:ascii="宋体" w:hAnsi="宋体" w:eastAsia="宋体" w:cs="宋体"/>
          <w:bCs/>
          <w:color w:val="auto"/>
          <w:szCs w:val="21"/>
        </w:rPr>
        <w:t>（备注：此处由供应商自行填写项目竞标日期）</w:t>
      </w:r>
    </w:p>
    <w:p w14:paraId="5F21B700">
      <w:pPr>
        <w:pStyle w:val="23"/>
        <w:rPr>
          <w:rFonts w:hint="eastAsia" w:ascii="宋体" w:hAnsi="宋体" w:eastAsia="宋体" w:cs="宋体"/>
          <w:color w:val="auto"/>
        </w:rPr>
      </w:pPr>
    </w:p>
    <w:p w14:paraId="2EA91CE1">
      <w:pPr>
        <w:tabs>
          <w:tab w:val="left" w:pos="5040"/>
        </w:tabs>
        <w:spacing w:line="400" w:lineRule="exact"/>
        <w:rPr>
          <w:rFonts w:hint="eastAsia" w:ascii="宋体" w:hAnsi="宋体" w:eastAsia="宋体" w:cs="宋体"/>
          <w:color w:val="auto"/>
          <w:szCs w:val="21"/>
        </w:rPr>
      </w:pPr>
    </w:p>
    <w:p w14:paraId="6756D4B1">
      <w:pPr>
        <w:pStyle w:val="7"/>
        <w:rPr>
          <w:rFonts w:hint="eastAsia" w:ascii="宋体" w:hAnsi="宋体" w:eastAsia="宋体" w:cs="宋体"/>
          <w:color w:val="auto"/>
          <w:szCs w:val="21"/>
        </w:rPr>
      </w:pPr>
    </w:p>
    <w:p w14:paraId="3DED379F">
      <w:pPr>
        <w:pStyle w:val="7"/>
        <w:rPr>
          <w:rFonts w:hint="eastAsia" w:ascii="宋体" w:hAnsi="宋体" w:eastAsia="宋体" w:cs="宋体"/>
          <w:color w:val="auto"/>
          <w:szCs w:val="21"/>
        </w:rPr>
      </w:pPr>
    </w:p>
    <w:p w14:paraId="66A22440">
      <w:pPr>
        <w:pStyle w:val="7"/>
        <w:rPr>
          <w:rFonts w:hint="eastAsia" w:ascii="宋体" w:hAnsi="宋体" w:eastAsia="宋体" w:cs="宋体"/>
          <w:color w:val="auto"/>
          <w:szCs w:val="21"/>
        </w:rPr>
      </w:pPr>
    </w:p>
    <w:p w14:paraId="393EBC23">
      <w:pPr>
        <w:pStyle w:val="7"/>
        <w:rPr>
          <w:rFonts w:hint="eastAsia" w:ascii="宋体" w:hAnsi="宋体" w:eastAsia="宋体" w:cs="宋体"/>
          <w:color w:val="auto"/>
          <w:szCs w:val="21"/>
        </w:rPr>
      </w:pPr>
    </w:p>
    <w:p w14:paraId="1A9343C7">
      <w:pPr>
        <w:pStyle w:val="7"/>
        <w:rPr>
          <w:rFonts w:hint="eastAsia" w:ascii="宋体" w:hAnsi="宋体" w:eastAsia="宋体" w:cs="宋体"/>
          <w:color w:val="auto"/>
          <w:szCs w:val="21"/>
        </w:rPr>
      </w:pPr>
    </w:p>
    <w:p w14:paraId="5BD5B107">
      <w:pPr>
        <w:rPr>
          <w:rFonts w:hint="eastAsia" w:ascii="宋体" w:hAnsi="宋体" w:eastAsia="宋体" w:cs="宋体"/>
          <w:color w:val="auto"/>
        </w:rPr>
      </w:pPr>
    </w:p>
    <w:p w14:paraId="4EF8D134">
      <w:pPr>
        <w:rPr>
          <w:rFonts w:hint="eastAsia" w:ascii="宋体" w:hAnsi="宋体" w:eastAsia="宋体" w:cs="宋体"/>
          <w:color w:val="auto"/>
          <w:szCs w:val="21"/>
        </w:rPr>
      </w:pPr>
    </w:p>
    <w:p w14:paraId="0FC1A59C">
      <w:pPr>
        <w:pStyle w:val="23"/>
        <w:rPr>
          <w:rFonts w:hint="eastAsia" w:ascii="宋体" w:hAnsi="宋体" w:eastAsia="宋体" w:cs="宋体"/>
          <w:color w:val="auto"/>
          <w:szCs w:val="21"/>
        </w:rPr>
      </w:pPr>
    </w:p>
    <w:p w14:paraId="7080AB1C">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2.供应商相应的法定代表人、负责人、自然人身份证正反两面原件或复印件扫描件（必须提供）；</w:t>
      </w:r>
    </w:p>
    <w:p w14:paraId="01E2FE51">
      <w:pPr>
        <w:rPr>
          <w:rFonts w:hint="eastAsia" w:ascii="宋体" w:hAnsi="宋体" w:eastAsia="宋体" w:cs="宋体"/>
          <w:color w:val="auto"/>
        </w:rPr>
      </w:pPr>
    </w:p>
    <w:p w14:paraId="0FE8B3EE">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3.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委托代理时必须提供）。</w:t>
      </w:r>
    </w:p>
    <w:p w14:paraId="33B7EEEE">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除供应商为以下三种情形的：</w:t>
      </w:r>
    </w:p>
    <w:p w14:paraId="0902A75D">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（1） 如供应商为截标时间前60日以内成立的公司，可以提供供应商与委托代理人签订的劳动合同原件或复印件扫描件代替社保证明；</w:t>
      </w:r>
    </w:p>
    <w:p w14:paraId="77EF8FBD">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（2）如供应商为事业单位，可以提供事业单位机构编制管理证复印件或事业单位机构为其发放工资的工资条原件或复印件扫描件代替社保证明；</w:t>
      </w:r>
    </w:p>
    <w:p w14:paraId="191CC8BF">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（3）如委托代理人为免缴纳社保人员，提供免缴纳社保的证明材料原件或复印件扫描件及供应商与委托代理人签订的劳动合同原件或复印件扫描件代替社保证明。</w:t>
      </w:r>
    </w:p>
    <w:p w14:paraId="7C03EA9D">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【属自然人的应提供由县级以上（含县级）社会养老保险经办机构出具的自然人本人及委托代理人所交纳的响应文件递交截止时间当月前半年内任意连续三个月或以上社保证明原件或复印件扫描件】</w:t>
      </w:r>
    </w:p>
    <w:p w14:paraId="03329F05">
      <w:pPr>
        <w:pStyle w:val="10"/>
        <w:rPr>
          <w:rFonts w:hint="eastAsia" w:ascii="宋体" w:hAnsi="宋体" w:eastAsia="宋体" w:cs="宋体"/>
          <w:b/>
          <w:color w:val="auto"/>
          <w:sz w:val="32"/>
        </w:rPr>
      </w:pPr>
    </w:p>
    <w:p w14:paraId="54850A44">
      <w:pPr>
        <w:pStyle w:val="10"/>
        <w:rPr>
          <w:rFonts w:hint="eastAsia" w:ascii="宋体" w:hAnsi="宋体" w:eastAsia="宋体" w:cs="宋体"/>
          <w:b/>
          <w:color w:val="auto"/>
          <w:sz w:val="32"/>
        </w:rPr>
      </w:pPr>
      <w:r>
        <w:rPr>
          <w:rFonts w:hint="eastAsia" w:ascii="宋体" w:hAnsi="宋体" w:eastAsia="宋体" w:cs="宋体"/>
          <w:b/>
          <w:color w:val="auto"/>
          <w:sz w:val="32"/>
        </w:rPr>
        <w:t xml:space="preserve">附件：            </w:t>
      </w:r>
    </w:p>
    <w:p w14:paraId="6421804B">
      <w:pPr>
        <w:pStyle w:val="10"/>
        <w:ind w:firstLine="630" w:firstLineChars="196"/>
        <w:jc w:val="center"/>
        <w:rPr>
          <w:rFonts w:hint="eastAsia" w:ascii="宋体" w:hAnsi="宋体" w:eastAsia="宋体" w:cs="宋体"/>
          <w:b/>
          <w:color w:val="auto"/>
          <w:sz w:val="32"/>
        </w:rPr>
      </w:pPr>
      <w:bookmarkStart w:id="159" w:name="_Toc5420_WPSOffice_Level1"/>
      <w:bookmarkStart w:id="160" w:name="_Toc964_WPSOffice_Level1"/>
      <w:r>
        <w:rPr>
          <w:rFonts w:hint="eastAsia" w:ascii="宋体" w:hAnsi="宋体" w:eastAsia="宋体" w:cs="宋体"/>
          <w:b/>
          <w:color w:val="auto"/>
          <w:sz w:val="32"/>
        </w:rPr>
        <w:t>授权委托书（格式一）</w:t>
      </w:r>
      <w:bookmarkEnd w:id="159"/>
      <w:bookmarkEnd w:id="160"/>
    </w:p>
    <w:p w14:paraId="19ACC55F">
      <w:pPr>
        <w:pStyle w:val="10"/>
        <w:rPr>
          <w:rFonts w:hint="eastAsia" w:ascii="宋体" w:hAnsi="宋体" w:eastAsia="宋体" w:cs="宋体"/>
          <w:color w:val="auto"/>
        </w:rPr>
      </w:pPr>
    </w:p>
    <w:p w14:paraId="4E9A13E6">
      <w:pPr>
        <w:spacing w:line="400" w:lineRule="exact"/>
        <w:rPr>
          <w:rFonts w:hint="eastAsia" w:ascii="宋体" w:hAnsi="宋体" w:eastAsia="宋体" w:cs="宋体"/>
          <w:color w:val="auto"/>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兴安县文化广电体育和旅游局</w:t>
      </w:r>
      <w:r>
        <w:rPr>
          <w:rFonts w:hint="eastAsia" w:ascii="宋体" w:hAnsi="宋体" w:eastAsia="宋体" w:cs="宋体"/>
          <w:color w:val="auto"/>
          <w:szCs w:val="21"/>
          <w:u w:val="single"/>
        </w:rPr>
        <w:t xml:space="preserve">、广西广西佳益工程项目管理咨询有限公司 </w:t>
      </w:r>
    </w:p>
    <w:p w14:paraId="79C2B61E">
      <w:pPr>
        <w:spacing w:line="400" w:lineRule="exact"/>
        <w:rPr>
          <w:rFonts w:hint="eastAsia" w:ascii="宋体" w:hAnsi="宋体" w:eastAsia="宋体" w:cs="宋体"/>
          <w:color w:val="auto"/>
          <w:szCs w:val="21"/>
        </w:rPr>
      </w:pPr>
    </w:p>
    <w:p w14:paraId="302D7DB0">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我（姓名）系（供应商名称）的法定代表人（负责人），现授权委托本单位在职职工（姓 名）以我公司名义参加</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项目的磋商活动，并代表我方全权办理针对上述项目的磋商、签约等具体事务和签署相关文件。</w:t>
      </w:r>
    </w:p>
    <w:p w14:paraId="6958CA12">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我方对被授权人的签字事项负全部责任。</w:t>
      </w:r>
    </w:p>
    <w:p w14:paraId="047B9F23">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授权委托代理期限：自提交本项目响应文件之日起至本项目全部结束后（自递交本项目响应文件之日起不低于90日）。</w:t>
      </w:r>
    </w:p>
    <w:p w14:paraId="718CDBB6">
      <w:pPr>
        <w:pStyle w:val="10"/>
        <w:spacing w:line="400" w:lineRule="exact"/>
        <w:rPr>
          <w:rFonts w:hint="eastAsia" w:ascii="宋体" w:hAnsi="宋体" w:eastAsia="宋体" w:cs="宋体"/>
          <w:color w:val="auto"/>
          <w:u w:val="single"/>
        </w:rPr>
      </w:pPr>
    </w:p>
    <w:p w14:paraId="691425CA">
      <w:pPr>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22609B71">
      <w:pPr>
        <w:spacing w:line="400" w:lineRule="exact"/>
        <w:ind w:firstLine="420" w:firstLineChars="200"/>
        <w:rPr>
          <w:rFonts w:hint="eastAsia" w:ascii="宋体" w:hAnsi="宋体" w:eastAsia="宋体" w:cs="宋体"/>
          <w:color w:val="auto"/>
          <w:kern w:val="0"/>
        </w:rPr>
      </w:pPr>
    </w:p>
    <w:p w14:paraId="6794A80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2A1496F7">
      <w:pPr>
        <w:spacing w:line="400" w:lineRule="exact"/>
        <w:ind w:firstLine="420" w:firstLineChars="200"/>
        <w:rPr>
          <w:rFonts w:hint="eastAsia" w:ascii="宋体" w:hAnsi="宋体" w:eastAsia="宋体" w:cs="宋体"/>
          <w:color w:val="auto"/>
          <w:szCs w:val="21"/>
        </w:rPr>
      </w:pPr>
    </w:p>
    <w:p w14:paraId="10A4D9B6">
      <w:pPr>
        <w:snapToGrid w:val="0"/>
        <w:spacing w:line="40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磋商供应商[公章（CA签章），属自然人的应签名并加盖大拇指指印或个人CA签章]：</w:t>
      </w:r>
      <w:r>
        <w:rPr>
          <w:rFonts w:hint="eastAsia" w:ascii="宋体" w:hAnsi="宋体" w:eastAsia="宋体" w:cs="宋体"/>
          <w:color w:val="auto"/>
          <w:szCs w:val="21"/>
          <w:u w:val="single"/>
        </w:rPr>
        <w:t xml:space="preserve">　                                    </w:t>
      </w:r>
    </w:p>
    <w:p w14:paraId="075AA06B">
      <w:pPr>
        <w:snapToGrid w:val="0"/>
        <w:spacing w:line="400" w:lineRule="exact"/>
        <w:ind w:firstLine="420"/>
        <w:rPr>
          <w:rFonts w:hint="eastAsia" w:ascii="宋体" w:hAnsi="宋体" w:eastAsia="宋体" w:cs="宋体"/>
          <w:color w:val="auto"/>
          <w:szCs w:val="21"/>
        </w:rPr>
      </w:pPr>
    </w:p>
    <w:p w14:paraId="4DBA1DC4">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法定代表人（负责人）签字（或个人CA签章）：     　　 </w:t>
      </w:r>
    </w:p>
    <w:p w14:paraId="1496BEF8">
      <w:pPr>
        <w:snapToGrid w:val="0"/>
        <w:spacing w:line="400" w:lineRule="exact"/>
        <w:ind w:firstLine="420"/>
        <w:rPr>
          <w:rFonts w:hint="eastAsia" w:ascii="宋体" w:hAnsi="宋体" w:eastAsia="宋体" w:cs="宋体"/>
          <w:color w:val="auto"/>
          <w:szCs w:val="21"/>
        </w:rPr>
      </w:pPr>
    </w:p>
    <w:p w14:paraId="6F42DA7B">
      <w:pPr>
        <w:snapToGrid w:val="0"/>
        <w:spacing w:line="400" w:lineRule="exact"/>
        <w:ind w:firstLine="1680" w:firstLineChars="800"/>
        <w:rPr>
          <w:rFonts w:hint="eastAsia" w:ascii="宋体" w:hAnsi="宋体" w:eastAsia="宋体" w:cs="宋体"/>
          <w:color w:val="auto"/>
          <w:szCs w:val="21"/>
        </w:rPr>
      </w:pPr>
      <w:r>
        <w:rPr>
          <w:rFonts w:hint="eastAsia" w:ascii="宋体" w:hAnsi="宋体" w:eastAsia="宋体" w:cs="宋体"/>
          <w:color w:val="auto"/>
          <w:szCs w:val="21"/>
        </w:rPr>
        <w:t>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w:t>
      </w:r>
    </w:p>
    <w:p w14:paraId="00358199">
      <w:pPr>
        <w:pStyle w:val="7"/>
        <w:rPr>
          <w:rFonts w:hint="eastAsia" w:ascii="宋体" w:hAnsi="宋体" w:eastAsia="宋体" w:cs="宋体"/>
          <w:color w:val="auto"/>
        </w:rPr>
      </w:pPr>
    </w:p>
    <w:p w14:paraId="2D9E34E7">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附：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除供应商为以下三种情形的：</w:t>
      </w:r>
    </w:p>
    <w:p w14:paraId="3514991F">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（1） 如供应商为截标时间前60日以内成立的公司，可以提供供应商与委托代理人签订的劳动合同原件或复印件扫描件代替社保证明；</w:t>
      </w:r>
    </w:p>
    <w:p w14:paraId="1AA42B55">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（2）如供应商为事业单位，可以提供事业单位机构编制管理证复印件或事业单位机构为其发放工资的工资条原件或复印件扫描件代替社保证明；</w:t>
      </w:r>
    </w:p>
    <w:p w14:paraId="1C94EB9B">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（3）如委托代理人为免缴纳社保人员，提供免缴纳社保的证明材料原件或复印件扫描件及供应商与委托代理人签订的劳动合同原件或复印件扫描件代替社保证明。</w:t>
      </w:r>
    </w:p>
    <w:p w14:paraId="3355A1A8">
      <w:pPr>
        <w:pStyle w:val="10"/>
        <w:jc w:val="center"/>
        <w:rPr>
          <w:rFonts w:hint="eastAsia" w:ascii="宋体" w:hAnsi="宋体" w:eastAsia="宋体" w:cs="宋体"/>
          <w:b/>
          <w:color w:val="auto"/>
          <w:sz w:val="32"/>
        </w:rPr>
      </w:pPr>
      <w:bookmarkStart w:id="161" w:name="_Toc21370_WPSOffice_Level1"/>
      <w:bookmarkStart w:id="162" w:name="_Toc6975_WPSOffice_Level1"/>
    </w:p>
    <w:p w14:paraId="6B53ED80">
      <w:pPr>
        <w:pStyle w:val="10"/>
        <w:jc w:val="center"/>
        <w:rPr>
          <w:rFonts w:hint="eastAsia" w:ascii="宋体" w:hAnsi="宋体" w:eastAsia="宋体" w:cs="宋体"/>
          <w:b/>
          <w:color w:val="auto"/>
          <w:sz w:val="32"/>
        </w:rPr>
      </w:pPr>
    </w:p>
    <w:p w14:paraId="4B008C7F">
      <w:pPr>
        <w:pStyle w:val="10"/>
        <w:jc w:val="center"/>
        <w:rPr>
          <w:rFonts w:hint="eastAsia" w:ascii="宋体" w:hAnsi="宋体" w:eastAsia="宋体" w:cs="宋体"/>
          <w:b/>
          <w:color w:val="auto"/>
          <w:sz w:val="32"/>
        </w:rPr>
      </w:pPr>
      <w:r>
        <w:rPr>
          <w:rFonts w:hint="eastAsia" w:ascii="宋体" w:hAnsi="宋体" w:eastAsia="宋体" w:cs="宋体"/>
          <w:b/>
          <w:color w:val="auto"/>
          <w:sz w:val="32"/>
        </w:rPr>
        <w:t>授权委托书（格式二）</w:t>
      </w:r>
      <w:bookmarkEnd w:id="161"/>
      <w:bookmarkEnd w:id="162"/>
    </w:p>
    <w:p w14:paraId="7406787A">
      <w:pPr>
        <w:pStyle w:val="10"/>
        <w:rPr>
          <w:rFonts w:hint="eastAsia" w:ascii="宋体" w:hAnsi="宋体" w:eastAsia="宋体" w:cs="宋体"/>
          <w:b/>
          <w:color w:val="auto"/>
          <w:sz w:val="32"/>
        </w:rPr>
      </w:pPr>
    </w:p>
    <w:p w14:paraId="5BF8B905">
      <w:pPr>
        <w:pStyle w:val="10"/>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兴安县文化广电体育和旅游局</w:t>
      </w:r>
      <w:r>
        <w:rPr>
          <w:rFonts w:hint="eastAsia" w:ascii="宋体" w:hAnsi="宋体" w:eastAsia="宋体" w:cs="宋体"/>
          <w:color w:val="auto"/>
          <w:szCs w:val="21"/>
          <w:u w:val="single"/>
        </w:rPr>
        <w:t xml:space="preserve">、广西广西佳益工程项目管理咨询有限公司 </w:t>
      </w:r>
    </w:p>
    <w:p w14:paraId="247706BB">
      <w:pPr>
        <w:rPr>
          <w:rFonts w:hint="eastAsia" w:ascii="宋体" w:hAnsi="宋体" w:eastAsia="宋体" w:cs="宋体"/>
          <w:color w:val="auto"/>
        </w:rPr>
      </w:pPr>
    </w:p>
    <w:p w14:paraId="6520A8E0">
      <w:pPr>
        <w:pStyle w:val="10"/>
        <w:spacing w:line="34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我（姓名）系自然人，现授权委托（姓 名）以本人名义参加</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项目的磋商活动，并代表本人全权办理针对上述项目的磋商、签约等具体事务和签署相关文件。</w:t>
      </w:r>
    </w:p>
    <w:p w14:paraId="015B7A17">
      <w:pPr>
        <w:pStyle w:val="10"/>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本人对被授权人的签字事项负全部责任。</w:t>
      </w:r>
    </w:p>
    <w:p w14:paraId="2B2FF1D3">
      <w:pPr>
        <w:pStyle w:val="10"/>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授权委托代理期限：自提交本项目竞标响应文件之日起至本项目全部结束后（自提交本项目竞标响应文件之日起不低于90日）。</w:t>
      </w:r>
    </w:p>
    <w:p w14:paraId="73FA5D13">
      <w:pPr>
        <w:pStyle w:val="10"/>
        <w:spacing w:line="340" w:lineRule="exact"/>
        <w:ind w:firstLine="420" w:firstLineChars="200"/>
        <w:rPr>
          <w:rFonts w:hint="eastAsia" w:ascii="宋体" w:hAnsi="宋体" w:eastAsia="宋体" w:cs="宋体"/>
          <w:color w:val="auto"/>
          <w:u w:val="single"/>
        </w:rPr>
      </w:pPr>
    </w:p>
    <w:p w14:paraId="391C5CC8">
      <w:pPr>
        <w:pStyle w:val="10"/>
        <w:spacing w:line="340" w:lineRule="exact"/>
        <w:rPr>
          <w:rFonts w:hint="eastAsia" w:ascii="宋体" w:hAnsi="宋体" w:eastAsia="宋体" w:cs="宋体"/>
          <w:color w:val="auto"/>
          <w:u w:val="single"/>
        </w:rPr>
      </w:pPr>
    </w:p>
    <w:p w14:paraId="3720CCA5">
      <w:pPr>
        <w:spacing w:line="34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07FC6D4E">
      <w:pPr>
        <w:spacing w:line="340" w:lineRule="exact"/>
        <w:ind w:firstLine="420" w:firstLineChars="200"/>
        <w:rPr>
          <w:rFonts w:hint="eastAsia" w:ascii="宋体" w:hAnsi="宋体" w:eastAsia="宋体" w:cs="宋体"/>
          <w:color w:val="auto"/>
          <w:kern w:val="0"/>
        </w:rPr>
      </w:pPr>
    </w:p>
    <w:p w14:paraId="69B21647">
      <w:pPr>
        <w:spacing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59823DEC">
      <w:pPr>
        <w:spacing w:line="340" w:lineRule="exact"/>
        <w:ind w:firstLine="420" w:firstLineChars="200"/>
        <w:rPr>
          <w:rFonts w:hint="eastAsia" w:ascii="宋体" w:hAnsi="宋体" w:eastAsia="宋体" w:cs="宋体"/>
          <w:color w:val="auto"/>
          <w:szCs w:val="21"/>
        </w:rPr>
      </w:pPr>
    </w:p>
    <w:p w14:paraId="1065E74D">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自然人签字并在签名处加盖大拇指指印或个人CA签章：</w:t>
      </w:r>
      <w:r>
        <w:rPr>
          <w:rFonts w:hint="eastAsia" w:ascii="宋体" w:hAnsi="宋体" w:eastAsia="宋体" w:cs="宋体"/>
          <w:color w:val="auto"/>
          <w:szCs w:val="21"/>
          <w:u w:val="single"/>
        </w:rPr>
        <w:t xml:space="preserve">　              </w:t>
      </w:r>
    </w:p>
    <w:p w14:paraId="232919B0">
      <w:pPr>
        <w:snapToGrid w:val="0"/>
        <w:spacing w:line="340" w:lineRule="exact"/>
        <w:ind w:firstLine="420"/>
        <w:rPr>
          <w:rFonts w:hint="eastAsia" w:ascii="宋体" w:hAnsi="宋体" w:eastAsia="宋体" w:cs="宋体"/>
          <w:color w:val="auto"/>
          <w:szCs w:val="21"/>
          <w:u w:val="single"/>
        </w:rPr>
      </w:pPr>
    </w:p>
    <w:p w14:paraId="2B1B8148">
      <w:pPr>
        <w:snapToGrid w:val="0"/>
        <w:spacing w:line="340" w:lineRule="exact"/>
        <w:ind w:firstLine="1050" w:firstLineChars="500"/>
        <w:rPr>
          <w:rFonts w:hint="eastAsia" w:ascii="宋体" w:hAnsi="宋体" w:eastAsia="宋体" w:cs="宋体"/>
          <w:color w:val="auto"/>
          <w:szCs w:val="21"/>
        </w:rPr>
      </w:pPr>
      <w:r>
        <w:rPr>
          <w:rFonts w:hint="eastAsia" w:ascii="宋体" w:hAnsi="宋体" w:eastAsia="宋体" w:cs="宋体"/>
          <w:color w:val="auto"/>
          <w:szCs w:val="21"/>
        </w:rPr>
        <w:t>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w:t>
      </w:r>
    </w:p>
    <w:p w14:paraId="2C17863F">
      <w:pPr>
        <w:pStyle w:val="10"/>
        <w:spacing w:line="400" w:lineRule="exact"/>
        <w:ind w:left="420" w:leftChars="200"/>
        <w:rPr>
          <w:rFonts w:hint="eastAsia" w:ascii="宋体" w:hAnsi="宋体" w:eastAsia="宋体" w:cs="宋体"/>
          <w:color w:val="auto"/>
          <w:szCs w:val="21"/>
        </w:rPr>
      </w:pPr>
    </w:p>
    <w:p w14:paraId="74951368">
      <w:pPr>
        <w:pStyle w:val="10"/>
        <w:spacing w:line="400" w:lineRule="exact"/>
        <w:rPr>
          <w:rFonts w:hint="eastAsia" w:ascii="宋体" w:hAnsi="宋体" w:eastAsia="宋体" w:cs="宋体"/>
          <w:b/>
          <w:color w:val="auto"/>
          <w:szCs w:val="21"/>
        </w:rPr>
      </w:pPr>
      <w:r>
        <w:rPr>
          <w:rFonts w:hint="eastAsia" w:ascii="宋体" w:hAnsi="宋体" w:eastAsia="宋体" w:cs="宋体"/>
          <w:b/>
          <w:color w:val="auto"/>
          <w:szCs w:val="21"/>
        </w:rPr>
        <w:t>附：委托代理人身份证正反两面原件或复印件扫描件</w:t>
      </w:r>
    </w:p>
    <w:p w14:paraId="3267082D">
      <w:pPr>
        <w:rPr>
          <w:rFonts w:hint="eastAsia" w:ascii="宋体" w:hAnsi="宋体" w:eastAsia="宋体" w:cs="宋体"/>
          <w:b/>
          <w:color w:val="auto"/>
          <w:szCs w:val="21"/>
        </w:rPr>
      </w:pPr>
    </w:p>
    <w:p w14:paraId="0E56CA13">
      <w:pPr>
        <w:pStyle w:val="7"/>
        <w:rPr>
          <w:rFonts w:hint="eastAsia" w:ascii="宋体" w:hAnsi="宋体" w:eastAsia="宋体" w:cs="宋体"/>
          <w:b/>
          <w:color w:val="auto"/>
          <w:szCs w:val="21"/>
        </w:rPr>
      </w:pPr>
    </w:p>
    <w:p w14:paraId="0556CD3B">
      <w:pPr>
        <w:pStyle w:val="7"/>
        <w:rPr>
          <w:rFonts w:hint="eastAsia" w:ascii="宋体" w:hAnsi="宋体" w:eastAsia="宋体" w:cs="宋体"/>
          <w:b/>
          <w:color w:val="auto"/>
          <w:szCs w:val="21"/>
        </w:rPr>
      </w:pPr>
    </w:p>
    <w:p w14:paraId="2B0FE0A0">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4.供应商参加政府采购活动前3年内在经营活动中没有重大违法记录及有关信用信息的书面声明（必须提供）；</w:t>
      </w:r>
    </w:p>
    <w:p w14:paraId="71A75A66">
      <w:pPr>
        <w:pStyle w:val="10"/>
        <w:spacing w:line="400" w:lineRule="exact"/>
        <w:ind w:left="420" w:leftChars="200" w:firstLine="157" w:firstLineChars="49"/>
        <w:rPr>
          <w:rFonts w:hint="eastAsia" w:ascii="宋体" w:hAnsi="宋体" w:eastAsia="宋体" w:cs="宋体"/>
          <w:b/>
          <w:color w:val="auto"/>
          <w:sz w:val="32"/>
          <w:szCs w:val="32"/>
        </w:rPr>
      </w:pPr>
    </w:p>
    <w:p w14:paraId="5756FFC5">
      <w:pPr>
        <w:pStyle w:val="10"/>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附件：</w:t>
      </w:r>
    </w:p>
    <w:p w14:paraId="6E41F80B">
      <w:pPr>
        <w:pStyle w:val="10"/>
        <w:spacing w:line="400" w:lineRule="exact"/>
        <w:jc w:val="center"/>
        <w:rPr>
          <w:rFonts w:hint="eastAsia" w:ascii="宋体" w:hAnsi="宋体" w:eastAsia="宋体" w:cs="宋体"/>
          <w:b/>
          <w:color w:val="auto"/>
          <w:sz w:val="32"/>
          <w:szCs w:val="32"/>
        </w:rPr>
      </w:pPr>
      <w:bookmarkStart w:id="163" w:name="_Toc30304_WPSOffice_Level1"/>
      <w:bookmarkStart w:id="164" w:name="_Toc30890_WPSOffice_Level1"/>
      <w:r>
        <w:rPr>
          <w:rFonts w:hint="eastAsia" w:ascii="宋体" w:hAnsi="宋体" w:eastAsia="宋体" w:cs="宋体"/>
          <w:b/>
          <w:color w:val="auto"/>
          <w:sz w:val="32"/>
          <w:szCs w:val="32"/>
        </w:rPr>
        <w:t>声   明</w:t>
      </w:r>
      <w:bookmarkEnd w:id="163"/>
      <w:bookmarkEnd w:id="164"/>
      <w:r>
        <w:rPr>
          <w:rFonts w:hint="eastAsia" w:ascii="宋体" w:hAnsi="宋体" w:eastAsia="宋体" w:cs="宋体"/>
          <w:b/>
          <w:color w:val="auto"/>
          <w:sz w:val="32"/>
          <w:szCs w:val="32"/>
        </w:rPr>
        <w:t>（格式）</w:t>
      </w:r>
    </w:p>
    <w:p w14:paraId="283DBFC9">
      <w:pPr>
        <w:pStyle w:val="10"/>
        <w:spacing w:line="400" w:lineRule="exact"/>
        <w:rPr>
          <w:rFonts w:hint="eastAsia" w:ascii="宋体" w:hAnsi="宋体" w:eastAsia="宋体" w:cs="宋体"/>
          <w:b/>
          <w:color w:val="auto"/>
          <w:sz w:val="32"/>
          <w:szCs w:val="32"/>
        </w:rPr>
      </w:pPr>
    </w:p>
    <w:p w14:paraId="4C8F5B45">
      <w:pPr>
        <w:spacing w:line="420" w:lineRule="exact"/>
        <w:rPr>
          <w:rFonts w:hint="eastAsia" w:ascii="宋体" w:hAnsi="宋体" w:eastAsia="宋体" w:cs="宋体"/>
          <w:b/>
          <w:color w:val="auto"/>
          <w:kern w:val="0"/>
          <w:szCs w:val="21"/>
          <w:u w:val="single"/>
        </w:rPr>
      </w:pPr>
      <w:r>
        <w:rPr>
          <w:rFonts w:hint="eastAsia" w:ascii="宋体" w:hAnsi="宋体" w:eastAsia="宋体" w:cs="宋体"/>
          <w:b/>
          <w:bCs/>
          <w:color w:val="auto"/>
          <w:kern w:val="0"/>
          <w:szCs w:val="21"/>
        </w:rPr>
        <w:t>致：</w:t>
      </w:r>
      <w:r>
        <w:rPr>
          <w:rFonts w:hint="eastAsia" w:ascii="宋体" w:hAnsi="宋体" w:eastAsia="宋体" w:cs="宋体"/>
          <w:color w:val="auto"/>
          <w:szCs w:val="21"/>
          <w:u w:val="single"/>
          <w:lang w:eastAsia="zh-CN"/>
        </w:rPr>
        <w:t>兴安县文化广电体育和旅游局</w:t>
      </w:r>
      <w:r>
        <w:rPr>
          <w:rFonts w:hint="eastAsia" w:ascii="宋体" w:hAnsi="宋体" w:eastAsia="宋体" w:cs="宋体"/>
          <w:color w:val="auto"/>
          <w:szCs w:val="21"/>
          <w:u w:val="single"/>
        </w:rPr>
        <w:t>、广西广西佳益工程项目管理咨询有限公司</w:t>
      </w:r>
    </w:p>
    <w:p w14:paraId="4B411691">
      <w:pPr>
        <w:rPr>
          <w:rFonts w:hint="eastAsia" w:ascii="宋体" w:hAnsi="宋体" w:eastAsia="宋体" w:cs="宋体"/>
          <w:color w:val="auto"/>
          <w:szCs w:val="21"/>
          <w:u w:val="single"/>
        </w:rPr>
      </w:pPr>
    </w:p>
    <w:p w14:paraId="12F463D9">
      <w:pPr>
        <w:pStyle w:val="7"/>
        <w:rPr>
          <w:rFonts w:hint="eastAsia" w:ascii="宋体" w:hAnsi="宋体" w:eastAsia="宋体" w:cs="宋体"/>
          <w:color w:val="auto"/>
        </w:rPr>
      </w:pPr>
    </w:p>
    <w:p w14:paraId="05AF86AF">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4777A7A">
      <w:pPr>
        <w:rPr>
          <w:rFonts w:hint="eastAsia" w:ascii="宋体" w:hAnsi="宋体" w:eastAsia="宋体" w:cs="宋体"/>
          <w:color w:val="auto"/>
        </w:rPr>
      </w:pPr>
    </w:p>
    <w:p w14:paraId="4F76AA0F">
      <w:pPr>
        <w:snapToGrid w:val="0"/>
        <w:spacing w:line="400" w:lineRule="exact"/>
        <w:rPr>
          <w:rFonts w:hint="eastAsia" w:ascii="宋体" w:hAnsi="宋体" w:eastAsia="宋体" w:cs="宋体"/>
          <w:color w:val="auto"/>
        </w:rPr>
      </w:pPr>
      <w:r>
        <w:rPr>
          <w:rFonts w:hint="eastAsia" w:ascii="宋体" w:hAnsi="宋体" w:eastAsia="宋体" w:cs="宋体"/>
          <w:color w:val="auto"/>
          <w:szCs w:val="21"/>
        </w:rPr>
        <w:t>磋商供应商[公章(CA签章)，属自然人的应签名并加盖大拇指指印或个人CA签章]：</w:t>
      </w:r>
      <w:r>
        <w:rPr>
          <w:rFonts w:hint="eastAsia" w:ascii="宋体" w:hAnsi="宋体" w:eastAsia="宋体" w:cs="宋体"/>
          <w:color w:val="auto"/>
          <w:szCs w:val="21"/>
          <w:u w:val="single"/>
        </w:rPr>
        <w:t xml:space="preserve">　                                          </w:t>
      </w:r>
    </w:p>
    <w:p w14:paraId="2BF5C41B">
      <w:pPr>
        <w:pStyle w:val="10"/>
        <w:ind w:firstLine="3990" w:firstLineChars="1900"/>
        <w:rPr>
          <w:rFonts w:hint="eastAsia" w:ascii="宋体" w:hAnsi="宋体" w:eastAsia="宋体" w:cs="宋体"/>
          <w:color w:val="auto"/>
        </w:rPr>
      </w:pPr>
    </w:p>
    <w:p w14:paraId="57D8C48A">
      <w:pPr>
        <w:pStyle w:val="10"/>
        <w:ind w:firstLine="3990" w:firstLineChars="1900"/>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szCs w:val="21"/>
          <w:u w:val="single"/>
        </w:rPr>
        <w:t xml:space="preserve">                                   　 </w:t>
      </w:r>
    </w:p>
    <w:p w14:paraId="259AEBF1">
      <w:pPr>
        <w:pStyle w:val="10"/>
        <w:spacing w:line="340" w:lineRule="exact"/>
        <w:rPr>
          <w:rFonts w:hint="eastAsia" w:ascii="宋体" w:hAnsi="宋体" w:eastAsia="宋体" w:cs="宋体"/>
          <w:b/>
          <w:color w:val="auto"/>
          <w:sz w:val="28"/>
          <w:szCs w:val="28"/>
        </w:rPr>
      </w:pPr>
    </w:p>
    <w:p w14:paraId="5AD22882">
      <w:pPr>
        <w:pStyle w:val="10"/>
        <w:spacing w:line="340" w:lineRule="exact"/>
        <w:rPr>
          <w:rFonts w:hint="eastAsia" w:ascii="宋体" w:hAnsi="宋体" w:eastAsia="宋体" w:cs="宋体"/>
          <w:b/>
          <w:color w:val="auto"/>
          <w:sz w:val="28"/>
          <w:szCs w:val="28"/>
        </w:rPr>
      </w:pPr>
    </w:p>
    <w:p w14:paraId="02A672A0">
      <w:pPr>
        <w:pStyle w:val="10"/>
        <w:spacing w:line="340" w:lineRule="exact"/>
        <w:rPr>
          <w:rFonts w:hint="eastAsia" w:ascii="宋体" w:hAnsi="宋体" w:eastAsia="宋体" w:cs="宋体"/>
          <w:b/>
          <w:color w:val="auto"/>
          <w:sz w:val="28"/>
          <w:szCs w:val="28"/>
        </w:rPr>
      </w:pPr>
    </w:p>
    <w:p w14:paraId="2D87A4C4">
      <w:pPr>
        <w:pStyle w:val="10"/>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5.供应商的法人或者其他组织营业执照等证明文件原件或复印件扫描件（必须提供，自然人除外）；</w:t>
      </w:r>
    </w:p>
    <w:p w14:paraId="3D1751F2">
      <w:pPr>
        <w:tabs>
          <w:tab w:val="left" w:pos="1305"/>
        </w:tabs>
        <w:spacing w:line="340" w:lineRule="exact"/>
        <w:rPr>
          <w:rFonts w:hint="eastAsia" w:ascii="宋体" w:hAnsi="宋体" w:eastAsia="宋体" w:cs="宋体"/>
          <w:b/>
          <w:color w:val="auto"/>
          <w:szCs w:val="21"/>
        </w:rPr>
      </w:pPr>
    </w:p>
    <w:p w14:paraId="1B10F1C3">
      <w:pPr>
        <w:tabs>
          <w:tab w:val="left" w:pos="1305"/>
        </w:tabs>
        <w:spacing w:line="400" w:lineRule="exact"/>
        <w:rPr>
          <w:rFonts w:hint="eastAsia" w:ascii="宋体" w:hAnsi="宋体" w:eastAsia="宋体" w:cs="宋体"/>
          <w:b/>
          <w:color w:val="auto"/>
          <w:szCs w:val="21"/>
        </w:rPr>
      </w:pPr>
      <w:r>
        <w:rPr>
          <w:rFonts w:hint="eastAsia" w:ascii="宋体" w:hAnsi="宋体" w:eastAsia="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A46AC00">
      <w:pPr>
        <w:rPr>
          <w:rFonts w:hint="eastAsia" w:ascii="宋体" w:hAnsi="宋体" w:eastAsia="宋体" w:cs="宋体"/>
          <w:b/>
          <w:bCs/>
          <w:color w:val="auto"/>
          <w:sz w:val="28"/>
          <w:szCs w:val="28"/>
        </w:rPr>
      </w:pPr>
    </w:p>
    <w:p w14:paraId="070739F8">
      <w:pPr>
        <w:pStyle w:val="10"/>
        <w:spacing w:line="340" w:lineRule="exact"/>
        <w:rPr>
          <w:rFonts w:hint="eastAsia" w:ascii="宋体" w:hAnsi="宋体" w:eastAsia="宋体" w:cs="宋体"/>
          <w:b/>
          <w:color w:val="auto"/>
          <w:sz w:val="28"/>
          <w:szCs w:val="28"/>
        </w:rPr>
      </w:pPr>
    </w:p>
    <w:p w14:paraId="11A60DC4">
      <w:pPr>
        <w:pStyle w:val="5"/>
        <w:rPr>
          <w:rFonts w:hint="eastAsia" w:ascii="宋体" w:hAnsi="宋体" w:eastAsia="宋体" w:cs="宋体"/>
          <w:b/>
          <w:color w:val="auto"/>
          <w:sz w:val="28"/>
          <w:szCs w:val="28"/>
        </w:rPr>
      </w:pPr>
    </w:p>
    <w:p w14:paraId="6A03CAA1">
      <w:pPr>
        <w:rPr>
          <w:rFonts w:hint="eastAsia" w:ascii="宋体" w:hAnsi="宋体" w:eastAsia="宋体" w:cs="宋体"/>
        </w:rPr>
      </w:pPr>
    </w:p>
    <w:p w14:paraId="7681EBFB">
      <w:pPr>
        <w:rPr>
          <w:rFonts w:hint="eastAsia" w:ascii="宋体" w:hAnsi="宋体" w:eastAsia="宋体" w:cs="宋体"/>
          <w:b/>
          <w:color w:val="auto"/>
          <w:sz w:val="28"/>
          <w:szCs w:val="28"/>
        </w:rPr>
      </w:pPr>
    </w:p>
    <w:p w14:paraId="3CF3CC6C">
      <w:pPr>
        <w:rPr>
          <w:rFonts w:hint="eastAsia" w:ascii="宋体" w:hAnsi="宋体" w:eastAsia="宋体" w:cs="宋体"/>
          <w:b/>
          <w:color w:val="auto"/>
          <w:sz w:val="28"/>
          <w:szCs w:val="28"/>
        </w:rPr>
      </w:pPr>
    </w:p>
    <w:p w14:paraId="0F41E1E2">
      <w:pPr>
        <w:rPr>
          <w:rFonts w:hint="eastAsia" w:ascii="宋体" w:hAnsi="宋体" w:eastAsia="宋体" w:cs="宋体"/>
          <w:b/>
          <w:color w:val="auto"/>
          <w:sz w:val="28"/>
          <w:szCs w:val="28"/>
        </w:rPr>
      </w:pPr>
    </w:p>
    <w:p w14:paraId="6F63D288">
      <w:pPr>
        <w:rPr>
          <w:rFonts w:hint="eastAsia" w:ascii="宋体" w:hAnsi="宋体" w:eastAsia="宋体" w:cs="宋体"/>
          <w:b/>
          <w:color w:val="auto"/>
          <w:sz w:val="28"/>
          <w:szCs w:val="28"/>
        </w:rPr>
      </w:pPr>
    </w:p>
    <w:p w14:paraId="6E8E0A26">
      <w:pPr>
        <w:rPr>
          <w:rFonts w:hint="eastAsia" w:ascii="宋体" w:hAnsi="宋体" w:eastAsia="宋体" w:cs="宋体"/>
          <w:b/>
          <w:color w:val="auto"/>
          <w:sz w:val="28"/>
          <w:szCs w:val="28"/>
        </w:rPr>
      </w:pPr>
    </w:p>
    <w:p w14:paraId="3DCE3063">
      <w:pPr>
        <w:jc w:val="left"/>
        <w:rPr>
          <w:rFonts w:hint="eastAsia" w:ascii="宋体" w:hAnsi="宋体" w:eastAsia="宋体" w:cs="宋体"/>
          <w:b/>
          <w:bCs/>
          <w:color w:val="auto"/>
          <w:szCs w:val="21"/>
        </w:rPr>
      </w:pPr>
      <w:bookmarkStart w:id="165" w:name="_Toc20297"/>
    </w:p>
    <w:bookmarkEnd w:id="165"/>
    <w:p w14:paraId="635A53AE">
      <w:pPr>
        <w:pStyle w:val="10"/>
        <w:spacing w:line="340" w:lineRule="exact"/>
        <w:rPr>
          <w:rFonts w:hint="eastAsia" w:ascii="宋体" w:hAnsi="宋体" w:eastAsia="宋体" w:cs="宋体"/>
          <w:b/>
          <w:color w:val="auto"/>
          <w:sz w:val="28"/>
          <w:szCs w:val="28"/>
        </w:rPr>
      </w:pPr>
      <w:r>
        <w:rPr>
          <w:rFonts w:hint="eastAsia" w:ascii="宋体" w:hAnsi="宋体" w:eastAsia="宋体" w:cs="宋体"/>
          <w:b/>
          <w:bCs/>
          <w:color w:val="auto"/>
          <w:sz w:val="24"/>
        </w:rPr>
        <w:t>6</w:t>
      </w:r>
      <w:r>
        <w:rPr>
          <w:rFonts w:hint="eastAsia" w:ascii="宋体" w:hAnsi="宋体" w:eastAsia="宋体" w:cs="宋体"/>
          <w:b/>
          <w:color w:val="auto"/>
          <w:sz w:val="28"/>
          <w:szCs w:val="28"/>
        </w:rPr>
        <w:t>.供应商财务状况良好的承诺函原件的扫描件（必须提供）；</w:t>
      </w:r>
    </w:p>
    <w:p w14:paraId="446CE96C">
      <w:pPr>
        <w:pStyle w:val="5"/>
        <w:ind w:left="0" w:leftChars="0"/>
        <w:rPr>
          <w:rFonts w:hint="eastAsia" w:ascii="宋体" w:hAnsi="宋体" w:eastAsia="宋体" w:cs="宋体"/>
          <w:b/>
          <w:color w:val="auto"/>
          <w:sz w:val="28"/>
          <w:szCs w:val="28"/>
        </w:rPr>
      </w:pPr>
    </w:p>
    <w:p w14:paraId="3A0A9DFA">
      <w:pPr>
        <w:pStyle w:val="10"/>
        <w:spacing w:line="3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附件：</w:t>
      </w:r>
    </w:p>
    <w:p w14:paraId="57F36B17">
      <w:pPr>
        <w:pStyle w:val="10"/>
        <w:spacing w:line="3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财务状况良好的承诺函（格式）</w:t>
      </w:r>
    </w:p>
    <w:p w14:paraId="762F2085">
      <w:pPr>
        <w:kinsoku w:val="0"/>
        <w:snapToGrid w:val="0"/>
        <w:outlineLvl w:val="4"/>
        <w:rPr>
          <w:rFonts w:hint="eastAsia" w:ascii="宋体" w:hAnsi="宋体" w:eastAsia="宋体" w:cs="宋体"/>
          <w:b/>
          <w:color w:val="auto"/>
          <w:szCs w:val="21"/>
        </w:rPr>
      </w:pPr>
    </w:p>
    <w:p w14:paraId="301CCDC1">
      <w:pPr>
        <w:kinsoku w:val="0"/>
        <w:snapToGrid w:val="0"/>
        <w:outlineLvl w:val="4"/>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lang w:eastAsia="zh-CN"/>
        </w:rPr>
        <w:t>兴安县文化广电体育和旅游局</w:t>
      </w:r>
      <w:r>
        <w:rPr>
          <w:rFonts w:hint="eastAsia" w:ascii="宋体" w:hAnsi="宋体" w:eastAsia="宋体" w:cs="宋体"/>
          <w:color w:val="auto"/>
          <w:szCs w:val="21"/>
          <w:u w:val="single"/>
        </w:rPr>
        <w:t>、广西广西佳益工程项目管理咨询有限公司</w:t>
      </w:r>
    </w:p>
    <w:p w14:paraId="32BFA90C">
      <w:pPr>
        <w:pStyle w:val="10"/>
        <w:kinsoku w:val="0"/>
        <w:ind w:firstLine="420" w:firstLineChars="200"/>
        <w:rPr>
          <w:rFonts w:hint="eastAsia" w:ascii="宋体" w:hAnsi="宋体" w:eastAsia="宋体" w:cs="宋体"/>
          <w:color w:val="auto"/>
          <w:szCs w:val="21"/>
        </w:rPr>
      </w:pPr>
    </w:p>
    <w:p w14:paraId="63272563">
      <w:pPr>
        <w:pStyle w:val="10"/>
        <w:kinsoku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我（公司）郑重声明，我（公司）财务状况良好，符合中华人民共和国政府采购第二十二条规定要求的财务状况，具备顺利完成本项目的财务能力。</w:t>
      </w:r>
    </w:p>
    <w:p w14:paraId="01D98BBD">
      <w:pPr>
        <w:pStyle w:val="5"/>
        <w:ind w:left="2940"/>
        <w:rPr>
          <w:rFonts w:hint="eastAsia" w:ascii="宋体" w:hAnsi="宋体" w:eastAsia="宋体" w:cs="宋体"/>
          <w:color w:val="auto"/>
          <w:szCs w:val="21"/>
        </w:rPr>
      </w:pPr>
    </w:p>
    <w:p w14:paraId="7CBC4098">
      <w:pPr>
        <w:rPr>
          <w:rFonts w:hint="eastAsia" w:ascii="宋体" w:hAnsi="宋体" w:eastAsia="宋体" w:cs="宋体"/>
          <w:color w:val="auto"/>
          <w:szCs w:val="21"/>
        </w:rPr>
      </w:pPr>
    </w:p>
    <w:p w14:paraId="568E1415">
      <w:pPr>
        <w:rPr>
          <w:rFonts w:hint="eastAsia" w:ascii="宋体" w:hAnsi="宋体" w:eastAsia="宋体" w:cs="宋体"/>
          <w:color w:val="auto"/>
          <w:szCs w:val="21"/>
        </w:rPr>
      </w:pPr>
    </w:p>
    <w:p w14:paraId="14F7CD01">
      <w:pPr>
        <w:rPr>
          <w:rFonts w:hint="eastAsia" w:ascii="宋体" w:hAnsi="宋体" w:eastAsia="宋体" w:cs="宋体"/>
          <w:color w:val="auto"/>
          <w:szCs w:val="21"/>
        </w:rPr>
      </w:pPr>
    </w:p>
    <w:p w14:paraId="5FB34A1C">
      <w:pPr>
        <w:rPr>
          <w:rFonts w:hint="eastAsia" w:ascii="宋体" w:hAnsi="宋体" w:eastAsia="宋体" w:cs="宋体"/>
          <w:color w:val="auto"/>
          <w:szCs w:val="21"/>
        </w:rPr>
      </w:pPr>
    </w:p>
    <w:p w14:paraId="628C4295">
      <w:pPr>
        <w:rPr>
          <w:rFonts w:hint="eastAsia" w:ascii="宋体" w:hAnsi="宋体" w:eastAsia="宋体" w:cs="宋体"/>
          <w:color w:val="auto"/>
          <w:szCs w:val="21"/>
        </w:rPr>
      </w:pPr>
    </w:p>
    <w:p w14:paraId="59BDE7A9">
      <w:pPr>
        <w:kinsoku w:val="0"/>
        <w:snapToGrid w:val="0"/>
        <w:ind w:firstLine="420"/>
        <w:outlineLvl w:val="4"/>
        <w:rPr>
          <w:rFonts w:hint="eastAsia" w:ascii="宋体" w:hAnsi="宋体" w:eastAsia="宋体" w:cs="宋体"/>
          <w:color w:val="auto"/>
          <w:szCs w:val="21"/>
        </w:rPr>
      </w:pPr>
    </w:p>
    <w:p w14:paraId="1438006F">
      <w:pPr>
        <w:rPr>
          <w:rFonts w:hint="eastAsia" w:ascii="宋体" w:hAnsi="宋体" w:eastAsia="宋体" w:cs="宋体"/>
          <w:color w:val="auto"/>
          <w:szCs w:val="21"/>
        </w:rPr>
      </w:pPr>
      <w:r>
        <w:rPr>
          <w:rFonts w:hint="eastAsia" w:ascii="宋体" w:hAnsi="宋体" w:eastAsia="宋体" w:cs="宋体"/>
          <w:color w:val="auto"/>
          <w:szCs w:val="21"/>
        </w:rPr>
        <w:t xml:space="preserve">供应商[公章(CA签章)，属自然人的应签名并加盖大拇指指印或个人CA签章]： </w:t>
      </w:r>
    </w:p>
    <w:p w14:paraId="1501146D">
      <w:pPr>
        <w:rPr>
          <w:rFonts w:hint="eastAsia" w:ascii="宋体" w:hAnsi="宋体" w:eastAsia="宋体" w:cs="宋体"/>
          <w:color w:val="auto"/>
          <w:szCs w:val="21"/>
        </w:rPr>
      </w:pPr>
    </w:p>
    <w:p w14:paraId="4AA39906">
      <w:pPr>
        <w:ind w:firstLine="2520" w:firstLineChars="1200"/>
        <w:rPr>
          <w:rFonts w:hint="eastAsia" w:ascii="宋体" w:hAnsi="宋体" w:eastAsia="宋体" w:cs="宋体"/>
          <w:color w:val="auto"/>
          <w:szCs w:val="21"/>
        </w:rPr>
      </w:pPr>
      <w:r>
        <w:rPr>
          <w:rFonts w:hint="eastAsia" w:ascii="宋体" w:hAnsi="宋体" w:eastAsia="宋体" w:cs="宋体"/>
          <w:color w:val="auto"/>
          <w:szCs w:val="21"/>
        </w:rPr>
        <w:t>日          期：</w:t>
      </w:r>
    </w:p>
    <w:p w14:paraId="3C425714">
      <w:pPr>
        <w:rPr>
          <w:rFonts w:hint="eastAsia" w:ascii="宋体" w:hAnsi="宋体" w:eastAsia="宋体" w:cs="宋体"/>
          <w:b/>
          <w:color w:val="auto"/>
          <w:sz w:val="28"/>
          <w:szCs w:val="28"/>
        </w:rPr>
      </w:pPr>
    </w:p>
    <w:p w14:paraId="6042224C">
      <w:pPr>
        <w:pStyle w:val="7"/>
        <w:rPr>
          <w:rFonts w:hint="eastAsia" w:ascii="宋体" w:hAnsi="宋体" w:eastAsia="宋体" w:cs="宋体"/>
          <w:b/>
          <w:color w:val="auto"/>
          <w:sz w:val="28"/>
          <w:szCs w:val="28"/>
        </w:rPr>
      </w:pPr>
    </w:p>
    <w:p w14:paraId="214FA961">
      <w:pPr>
        <w:pStyle w:val="5"/>
        <w:ind w:left="0" w:leftChars="0"/>
        <w:rPr>
          <w:rFonts w:hint="eastAsia" w:ascii="宋体" w:hAnsi="宋体" w:eastAsia="宋体" w:cs="宋体"/>
          <w:b/>
          <w:color w:val="auto"/>
          <w:sz w:val="28"/>
          <w:szCs w:val="28"/>
        </w:rPr>
      </w:pPr>
    </w:p>
    <w:p w14:paraId="3F8E797A">
      <w:pPr>
        <w:rPr>
          <w:rFonts w:hint="eastAsia" w:ascii="宋体" w:hAnsi="宋体" w:eastAsia="宋体" w:cs="宋体"/>
          <w:color w:val="auto"/>
        </w:rPr>
      </w:pPr>
    </w:p>
    <w:p w14:paraId="4DB69D50">
      <w:pPr>
        <w:rPr>
          <w:rFonts w:hint="eastAsia" w:ascii="宋体" w:hAnsi="宋体" w:eastAsia="宋体" w:cs="宋体"/>
          <w:color w:val="auto"/>
        </w:rPr>
      </w:pPr>
    </w:p>
    <w:p w14:paraId="42CB017F">
      <w:pPr>
        <w:pStyle w:val="5"/>
        <w:ind w:left="0" w:leftChars="0"/>
        <w:rPr>
          <w:rFonts w:hint="eastAsia" w:ascii="宋体" w:hAnsi="宋体" w:eastAsia="宋体" w:cs="宋体"/>
          <w:b/>
          <w:color w:val="auto"/>
          <w:sz w:val="28"/>
          <w:szCs w:val="28"/>
        </w:rPr>
      </w:pPr>
      <w:r>
        <w:rPr>
          <w:rFonts w:hint="eastAsia" w:ascii="宋体" w:hAnsi="宋体" w:eastAsia="宋体" w:cs="宋体"/>
          <w:b/>
          <w:color w:val="auto"/>
          <w:sz w:val="28"/>
          <w:szCs w:val="28"/>
        </w:rPr>
        <w:t>7.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的扫描件（必须提供）；</w:t>
      </w:r>
    </w:p>
    <w:p w14:paraId="6CF88FAC">
      <w:pPr>
        <w:ind w:left="420"/>
        <w:jc w:val="center"/>
        <w:rPr>
          <w:rFonts w:hint="eastAsia" w:ascii="宋体" w:hAnsi="宋体" w:eastAsia="宋体" w:cs="宋体"/>
          <w:b/>
          <w:bCs/>
          <w:color w:val="auto"/>
          <w:sz w:val="32"/>
          <w:szCs w:val="32"/>
        </w:rPr>
      </w:pPr>
    </w:p>
    <w:p w14:paraId="13ED4B5C">
      <w:pPr>
        <w:ind w:left="420"/>
        <w:jc w:val="center"/>
        <w:rPr>
          <w:rFonts w:hint="eastAsia" w:ascii="宋体" w:hAnsi="宋体" w:eastAsia="宋体" w:cs="宋体"/>
          <w:b/>
          <w:bCs/>
          <w:color w:val="auto"/>
          <w:sz w:val="32"/>
          <w:szCs w:val="32"/>
        </w:rPr>
      </w:pPr>
    </w:p>
    <w:p w14:paraId="064E561D">
      <w:pPr>
        <w:jc w:val="both"/>
        <w:rPr>
          <w:rFonts w:hint="eastAsia" w:ascii="宋体" w:hAnsi="宋体" w:eastAsia="宋体" w:cs="宋体"/>
          <w:b/>
          <w:bCs/>
          <w:color w:val="auto"/>
          <w:sz w:val="32"/>
          <w:szCs w:val="32"/>
        </w:rPr>
      </w:pPr>
    </w:p>
    <w:p w14:paraId="2CD4B4B4">
      <w:pPr>
        <w:ind w:left="420"/>
        <w:jc w:val="center"/>
        <w:rPr>
          <w:rFonts w:hint="eastAsia" w:ascii="宋体" w:hAnsi="宋体" w:eastAsia="宋体" w:cs="宋体"/>
          <w:b/>
          <w:bCs/>
          <w:color w:val="auto"/>
          <w:sz w:val="32"/>
          <w:szCs w:val="32"/>
        </w:rPr>
      </w:pPr>
    </w:p>
    <w:p w14:paraId="03BD6C1F">
      <w:pPr>
        <w:ind w:left="420"/>
        <w:jc w:val="center"/>
        <w:rPr>
          <w:rFonts w:hint="eastAsia" w:ascii="宋体" w:hAnsi="宋体" w:eastAsia="宋体" w:cs="宋体"/>
          <w:b/>
          <w:bCs/>
          <w:color w:val="auto"/>
          <w:sz w:val="32"/>
          <w:szCs w:val="32"/>
        </w:rPr>
      </w:pPr>
    </w:p>
    <w:p w14:paraId="46D33CBE">
      <w:pPr>
        <w:ind w:left="420"/>
        <w:jc w:val="center"/>
        <w:rPr>
          <w:rFonts w:hint="eastAsia" w:ascii="宋体" w:hAnsi="宋体" w:eastAsia="宋体" w:cs="宋体"/>
          <w:b/>
          <w:bCs/>
          <w:color w:val="auto"/>
          <w:sz w:val="32"/>
          <w:szCs w:val="32"/>
        </w:rPr>
      </w:pPr>
    </w:p>
    <w:p w14:paraId="35F7A851">
      <w:pPr>
        <w:ind w:left="420"/>
        <w:jc w:val="center"/>
        <w:rPr>
          <w:rFonts w:hint="eastAsia" w:ascii="宋体" w:hAnsi="宋体" w:eastAsia="宋体" w:cs="宋体"/>
          <w:b/>
          <w:bCs/>
          <w:color w:val="auto"/>
          <w:sz w:val="32"/>
          <w:szCs w:val="32"/>
        </w:rPr>
      </w:pPr>
    </w:p>
    <w:p w14:paraId="14EEE5FC">
      <w:pPr>
        <w:ind w:left="420"/>
        <w:jc w:val="center"/>
        <w:rPr>
          <w:rFonts w:hint="eastAsia" w:ascii="宋体" w:hAnsi="宋体" w:eastAsia="宋体" w:cs="宋体"/>
          <w:b/>
          <w:bCs/>
          <w:color w:val="auto"/>
          <w:sz w:val="32"/>
          <w:szCs w:val="32"/>
        </w:rPr>
      </w:pPr>
    </w:p>
    <w:p w14:paraId="026D02BC">
      <w:pPr>
        <w:ind w:left="420"/>
        <w:jc w:val="center"/>
        <w:rPr>
          <w:rFonts w:hint="eastAsia" w:ascii="宋体" w:hAnsi="宋体" w:eastAsia="宋体" w:cs="宋体"/>
          <w:b/>
          <w:bCs/>
          <w:color w:val="auto"/>
          <w:sz w:val="32"/>
          <w:szCs w:val="32"/>
        </w:rPr>
      </w:pPr>
    </w:p>
    <w:p w14:paraId="6FE4D66A">
      <w:pPr>
        <w:ind w:left="420"/>
        <w:jc w:val="center"/>
        <w:rPr>
          <w:rFonts w:hint="eastAsia" w:ascii="宋体" w:hAnsi="宋体" w:eastAsia="宋体" w:cs="宋体"/>
          <w:b/>
          <w:bCs/>
          <w:color w:val="auto"/>
          <w:sz w:val="32"/>
          <w:szCs w:val="32"/>
        </w:rPr>
      </w:pPr>
    </w:p>
    <w:p w14:paraId="2176CDB4">
      <w:pPr>
        <w:ind w:left="420"/>
        <w:jc w:val="center"/>
        <w:rPr>
          <w:rFonts w:hint="eastAsia" w:ascii="宋体" w:hAnsi="宋体" w:eastAsia="宋体" w:cs="宋体"/>
          <w:b/>
          <w:bCs/>
          <w:color w:val="auto"/>
          <w:sz w:val="32"/>
          <w:szCs w:val="32"/>
        </w:rPr>
      </w:pPr>
    </w:p>
    <w:p w14:paraId="0467D0EE">
      <w:pPr>
        <w:ind w:left="420"/>
        <w:jc w:val="center"/>
        <w:rPr>
          <w:rFonts w:hint="eastAsia" w:ascii="宋体" w:hAnsi="宋体" w:eastAsia="宋体" w:cs="宋体"/>
          <w:b/>
          <w:bCs/>
          <w:color w:val="auto"/>
          <w:sz w:val="32"/>
          <w:szCs w:val="32"/>
        </w:rPr>
      </w:pPr>
    </w:p>
    <w:p w14:paraId="28D42A2A">
      <w:pPr>
        <w:ind w:left="420"/>
        <w:jc w:val="center"/>
        <w:rPr>
          <w:rFonts w:hint="eastAsia" w:ascii="宋体" w:hAnsi="宋体" w:eastAsia="宋体" w:cs="宋体"/>
          <w:b/>
          <w:bCs/>
          <w:color w:val="auto"/>
          <w:sz w:val="32"/>
          <w:szCs w:val="32"/>
        </w:rPr>
      </w:pPr>
    </w:p>
    <w:p w14:paraId="76B7C439">
      <w:pPr>
        <w:rPr>
          <w:rFonts w:hint="eastAsia" w:ascii="宋体" w:hAnsi="宋体" w:eastAsia="宋体" w:cs="宋体"/>
          <w:color w:val="auto"/>
        </w:rPr>
      </w:pPr>
    </w:p>
    <w:p w14:paraId="680AD768">
      <w:pPr>
        <w:pStyle w:val="5"/>
        <w:ind w:left="0" w:leftChars="0"/>
        <w:rPr>
          <w:rFonts w:hint="eastAsia" w:ascii="宋体" w:hAnsi="宋体" w:eastAsia="宋体" w:cs="宋体"/>
          <w:b/>
          <w:color w:val="auto"/>
          <w:sz w:val="28"/>
          <w:szCs w:val="28"/>
        </w:rPr>
      </w:pPr>
      <w:r>
        <w:rPr>
          <w:rFonts w:hint="eastAsia" w:ascii="宋体" w:hAnsi="宋体" w:eastAsia="宋体" w:cs="宋体"/>
          <w:b/>
          <w:color w:val="auto"/>
          <w:sz w:val="28"/>
          <w:szCs w:val="28"/>
        </w:rPr>
        <w:t>8.供应商参加本项目无围标串标行为的承诺函（必须提供）。</w:t>
      </w:r>
    </w:p>
    <w:p w14:paraId="7E8E4EE6">
      <w:pPr>
        <w:ind w:left="420"/>
        <w:jc w:val="center"/>
        <w:rPr>
          <w:rFonts w:hint="eastAsia" w:ascii="宋体" w:hAnsi="宋体" w:eastAsia="宋体" w:cs="宋体"/>
          <w:b/>
          <w:bCs/>
          <w:color w:val="auto"/>
          <w:sz w:val="32"/>
          <w:szCs w:val="32"/>
        </w:rPr>
      </w:pPr>
    </w:p>
    <w:p w14:paraId="52B23A9A">
      <w:pPr>
        <w:spacing w:line="40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供应商参加本项目无围标串标行为的承诺函（格式）</w:t>
      </w:r>
    </w:p>
    <w:p w14:paraId="61A4878D">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一、我（公司）承诺无下列相互串通的情形：</w:t>
      </w:r>
    </w:p>
    <w:p w14:paraId="017226D2">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1.不同供应商的响应文件由同一单位或者个人编制；</w:t>
      </w:r>
    </w:p>
    <w:p w14:paraId="576C4D18">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2.不同供应商委托同一单位或者个人办理磋商事宜；</w:t>
      </w:r>
    </w:p>
    <w:p w14:paraId="03ED1780">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3.不同的供应商的响应文件载明的项目管理员为同一个人；</w:t>
      </w:r>
    </w:p>
    <w:p w14:paraId="1193441B">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4.不同供应商的响应文件异常一致或磋商报价呈规律性差异；</w:t>
      </w:r>
    </w:p>
    <w:p w14:paraId="362D07C2">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5.不同供应商的响应文件相互混装；</w:t>
      </w:r>
    </w:p>
    <w:p w14:paraId="7C1621B3">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二、我（公司）承诺无下列恶意串通的情形：</w:t>
      </w:r>
    </w:p>
    <w:p w14:paraId="1E0CE1FB">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1.供应商直接或者间接从采购人或者采购代理机构处获得其他供应商的相关信息并修改其响应文件或者响应文件；</w:t>
      </w:r>
    </w:p>
    <w:p w14:paraId="60A943F0">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2.供应商按照采购人或者采购代理机构的授意撤换、修改响应文件或者响应文件；</w:t>
      </w:r>
    </w:p>
    <w:p w14:paraId="644B2A18">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3.供应商之间协商报价、技术方案等响应文件或者响应文件的实质性内容；</w:t>
      </w:r>
    </w:p>
    <w:p w14:paraId="13A599C3">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4.属于同一集团、协会、商会等组织成员的供应商按照该组织要求协同参加政府采购活动；</w:t>
      </w:r>
    </w:p>
    <w:p w14:paraId="2279741F">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5.供应商之间事先约定一致抬高或者压低磋商报价,或者在采购项目中事先约定轮流以高价位或者低价位成交，或者事先约定由某一特定供应商成交，然后再参加采购；</w:t>
      </w:r>
    </w:p>
    <w:p w14:paraId="4642E6FD">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6.供应商之间商定部分供应商放弃参加政府采购活动或者放弃成交；</w:t>
      </w:r>
    </w:p>
    <w:p w14:paraId="14A55F75">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7.供应商与采购人或者采购代理机构之间、供应商相互之间，为谋求特定供应商成交或者排斥其他供应商的其他串通行为。</w:t>
      </w:r>
    </w:p>
    <w:p w14:paraId="7A918A9F">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以上情形一经核查属实，我方愿意承担一切后果，并不再寻求任何旨在减轻或免除法律责任的辩解。</w:t>
      </w:r>
    </w:p>
    <w:p w14:paraId="08206A1E">
      <w:pPr>
        <w:rPr>
          <w:rFonts w:hint="eastAsia" w:ascii="宋体" w:hAnsi="宋体" w:eastAsia="宋体" w:cs="宋体"/>
          <w:color w:val="auto"/>
          <w:szCs w:val="21"/>
        </w:rPr>
      </w:pPr>
    </w:p>
    <w:p w14:paraId="2A594189">
      <w:pPr>
        <w:rPr>
          <w:rFonts w:hint="eastAsia" w:ascii="宋体" w:hAnsi="宋体" w:eastAsia="宋体" w:cs="宋体"/>
          <w:color w:val="auto"/>
          <w:szCs w:val="21"/>
        </w:rPr>
      </w:pPr>
    </w:p>
    <w:p w14:paraId="785A3173">
      <w:pPr>
        <w:rPr>
          <w:rFonts w:hint="eastAsia" w:ascii="宋体" w:hAnsi="宋体" w:eastAsia="宋体" w:cs="宋体"/>
          <w:color w:val="auto"/>
          <w:szCs w:val="21"/>
        </w:rPr>
      </w:pPr>
      <w:r>
        <w:rPr>
          <w:rFonts w:hint="eastAsia" w:ascii="宋体" w:hAnsi="宋体" w:eastAsia="宋体" w:cs="宋体"/>
          <w:color w:val="auto"/>
          <w:szCs w:val="21"/>
        </w:rPr>
        <w:t xml:space="preserve">供应商[公章(CA签章)，属自然人的应签名并加盖大拇指指印或个人CA签章]： </w:t>
      </w:r>
    </w:p>
    <w:p w14:paraId="244E169F">
      <w:pPr>
        <w:rPr>
          <w:rFonts w:hint="eastAsia" w:ascii="宋体" w:hAnsi="宋体" w:eastAsia="宋体" w:cs="宋体"/>
          <w:color w:val="auto"/>
          <w:szCs w:val="21"/>
        </w:rPr>
      </w:pPr>
    </w:p>
    <w:p w14:paraId="1BE69ECA">
      <w:pPr>
        <w:ind w:left="420"/>
        <w:jc w:val="center"/>
        <w:rPr>
          <w:rFonts w:hint="eastAsia" w:ascii="宋体" w:hAnsi="宋体" w:eastAsia="宋体" w:cs="宋体"/>
          <w:color w:val="auto"/>
          <w:szCs w:val="21"/>
        </w:rPr>
      </w:pPr>
      <w:r>
        <w:rPr>
          <w:rFonts w:hint="eastAsia" w:ascii="宋体" w:hAnsi="宋体" w:eastAsia="宋体" w:cs="宋体"/>
          <w:color w:val="auto"/>
          <w:szCs w:val="21"/>
        </w:rPr>
        <w:t>日          期：</w:t>
      </w:r>
    </w:p>
    <w:p w14:paraId="210CE6BC">
      <w:pPr>
        <w:ind w:left="420"/>
        <w:jc w:val="center"/>
        <w:rPr>
          <w:rFonts w:hint="eastAsia" w:ascii="宋体" w:hAnsi="宋体" w:eastAsia="宋体" w:cs="宋体"/>
          <w:color w:val="auto"/>
          <w:szCs w:val="21"/>
        </w:rPr>
      </w:pPr>
    </w:p>
    <w:p w14:paraId="39A11B32">
      <w:pPr>
        <w:ind w:left="420"/>
        <w:jc w:val="center"/>
        <w:rPr>
          <w:rFonts w:hint="eastAsia" w:ascii="宋体" w:hAnsi="宋体" w:eastAsia="宋体" w:cs="宋体"/>
          <w:color w:val="auto"/>
          <w:szCs w:val="21"/>
        </w:rPr>
      </w:pPr>
    </w:p>
    <w:p w14:paraId="1B827E4A">
      <w:pPr>
        <w:ind w:left="420"/>
        <w:jc w:val="center"/>
        <w:rPr>
          <w:rFonts w:hint="eastAsia" w:ascii="宋体" w:hAnsi="宋体" w:eastAsia="宋体" w:cs="宋体"/>
          <w:color w:val="auto"/>
          <w:szCs w:val="21"/>
        </w:rPr>
      </w:pPr>
    </w:p>
    <w:p w14:paraId="1C53ED41">
      <w:pPr>
        <w:ind w:left="420"/>
        <w:jc w:val="center"/>
        <w:rPr>
          <w:rFonts w:hint="eastAsia" w:ascii="宋体" w:hAnsi="宋体" w:eastAsia="宋体" w:cs="宋体"/>
          <w:color w:val="auto"/>
          <w:szCs w:val="21"/>
        </w:rPr>
      </w:pPr>
    </w:p>
    <w:p w14:paraId="09EFB5D4">
      <w:pPr>
        <w:ind w:left="420"/>
        <w:jc w:val="center"/>
        <w:rPr>
          <w:rFonts w:hint="eastAsia" w:ascii="宋体" w:hAnsi="宋体" w:eastAsia="宋体" w:cs="宋体"/>
          <w:color w:val="auto"/>
          <w:szCs w:val="21"/>
        </w:rPr>
      </w:pPr>
    </w:p>
    <w:p w14:paraId="0A69DD6D">
      <w:pPr>
        <w:ind w:left="420"/>
        <w:jc w:val="center"/>
        <w:rPr>
          <w:rFonts w:hint="eastAsia" w:ascii="宋体" w:hAnsi="宋体" w:eastAsia="宋体" w:cs="宋体"/>
          <w:color w:val="auto"/>
          <w:szCs w:val="21"/>
        </w:rPr>
      </w:pPr>
    </w:p>
    <w:p w14:paraId="1F11BF7D">
      <w:pPr>
        <w:ind w:left="420"/>
        <w:jc w:val="center"/>
        <w:rPr>
          <w:rFonts w:hint="eastAsia" w:ascii="宋体" w:hAnsi="宋体" w:eastAsia="宋体" w:cs="宋体"/>
          <w:color w:val="auto"/>
          <w:szCs w:val="21"/>
        </w:rPr>
      </w:pPr>
    </w:p>
    <w:p w14:paraId="48050C72">
      <w:pPr>
        <w:ind w:left="420"/>
        <w:jc w:val="center"/>
        <w:rPr>
          <w:rFonts w:hint="eastAsia" w:ascii="宋体" w:hAnsi="宋体" w:eastAsia="宋体" w:cs="宋体"/>
          <w:color w:val="auto"/>
          <w:szCs w:val="21"/>
        </w:rPr>
      </w:pPr>
    </w:p>
    <w:p w14:paraId="7D024E08">
      <w:pPr>
        <w:ind w:left="420"/>
        <w:jc w:val="center"/>
        <w:rPr>
          <w:rFonts w:hint="eastAsia" w:ascii="宋体" w:hAnsi="宋体" w:eastAsia="宋体" w:cs="宋体"/>
          <w:color w:val="auto"/>
          <w:szCs w:val="21"/>
        </w:rPr>
      </w:pPr>
    </w:p>
    <w:p w14:paraId="4AF9094B">
      <w:pPr>
        <w:ind w:left="420"/>
        <w:jc w:val="center"/>
        <w:rPr>
          <w:rFonts w:hint="eastAsia" w:ascii="宋体" w:hAnsi="宋体" w:eastAsia="宋体" w:cs="宋体"/>
          <w:color w:val="auto"/>
          <w:szCs w:val="21"/>
        </w:rPr>
      </w:pPr>
    </w:p>
    <w:p w14:paraId="33439033">
      <w:pPr>
        <w:ind w:left="420"/>
        <w:jc w:val="center"/>
        <w:rPr>
          <w:rFonts w:hint="eastAsia" w:ascii="宋体" w:hAnsi="宋体" w:eastAsia="宋体" w:cs="宋体"/>
          <w:color w:val="auto"/>
          <w:szCs w:val="21"/>
        </w:rPr>
      </w:pPr>
    </w:p>
    <w:p w14:paraId="123F3F07">
      <w:pPr>
        <w:ind w:left="420"/>
        <w:jc w:val="center"/>
        <w:rPr>
          <w:rFonts w:hint="eastAsia" w:ascii="宋体" w:hAnsi="宋体" w:eastAsia="宋体" w:cs="宋体"/>
          <w:color w:val="auto"/>
          <w:szCs w:val="21"/>
        </w:rPr>
      </w:pPr>
    </w:p>
    <w:p w14:paraId="08D79B7E">
      <w:pPr>
        <w:ind w:left="420"/>
        <w:jc w:val="center"/>
        <w:rPr>
          <w:rFonts w:hint="eastAsia" w:ascii="宋体" w:hAnsi="宋体" w:eastAsia="宋体" w:cs="宋体"/>
          <w:color w:val="auto"/>
          <w:szCs w:val="21"/>
        </w:rPr>
      </w:pPr>
    </w:p>
    <w:p w14:paraId="3AA056CE">
      <w:pPr>
        <w:ind w:left="420"/>
        <w:jc w:val="center"/>
        <w:rPr>
          <w:rFonts w:hint="eastAsia" w:ascii="宋体" w:hAnsi="宋体" w:eastAsia="宋体" w:cs="宋体"/>
          <w:color w:val="auto"/>
          <w:szCs w:val="21"/>
        </w:rPr>
      </w:pPr>
    </w:p>
    <w:p w14:paraId="65C72B4E">
      <w:pPr>
        <w:ind w:left="420"/>
        <w:jc w:val="center"/>
        <w:rPr>
          <w:rFonts w:hint="eastAsia" w:ascii="宋体" w:hAnsi="宋体" w:eastAsia="宋体" w:cs="宋体"/>
          <w:color w:val="auto"/>
          <w:szCs w:val="21"/>
        </w:rPr>
      </w:pPr>
    </w:p>
    <w:p w14:paraId="6AFBBB0D">
      <w:pPr>
        <w:ind w:left="420"/>
        <w:jc w:val="center"/>
        <w:rPr>
          <w:rFonts w:hint="eastAsia" w:ascii="宋体" w:hAnsi="宋体" w:eastAsia="宋体" w:cs="宋体"/>
          <w:color w:val="auto"/>
          <w:szCs w:val="21"/>
        </w:rPr>
      </w:pPr>
    </w:p>
    <w:p w14:paraId="55FAC568">
      <w:pPr>
        <w:spacing w:before="63" w:line="441" w:lineRule="exact"/>
        <w:ind w:left="488"/>
        <w:rPr>
          <w:rFonts w:hint="eastAsia" w:ascii="宋体" w:hAnsi="宋体" w:eastAsia="宋体" w:cs="宋体"/>
          <w:color w:val="auto"/>
          <w:sz w:val="31"/>
          <w:szCs w:val="31"/>
        </w:rPr>
      </w:pPr>
      <w:r>
        <w:rPr>
          <w:rFonts w:hint="eastAsia" w:ascii="宋体" w:hAnsi="宋体" w:eastAsia="宋体" w:cs="宋体"/>
          <w:color w:val="auto"/>
          <w:spacing w:val="10"/>
          <w:position w:val="8"/>
          <w:sz w:val="31"/>
          <w:szCs w:val="31"/>
          <w:lang w:val="en-US" w:eastAsia="zh-CN"/>
          <w14:textOutline w14:w="5793" w14:cap="sq" w14:cmpd="sng">
            <w14:solidFill>
              <w14:srgbClr w14:val="000000"/>
            </w14:solidFill>
            <w14:prstDash w14:val="solid"/>
            <w14:bevel/>
          </w14:textOutline>
        </w:rPr>
        <w:t>9、中</w:t>
      </w:r>
      <w:r>
        <w:rPr>
          <w:rFonts w:hint="eastAsia" w:ascii="宋体" w:hAnsi="宋体" w:eastAsia="宋体" w:cs="宋体"/>
          <w:color w:val="auto"/>
          <w:spacing w:val="10"/>
          <w:position w:val="8"/>
          <w:sz w:val="31"/>
          <w:szCs w:val="31"/>
          <w14:textOutline w14:w="5793" w14:cap="sq" w14:cmpd="sng">
            <w14:solidFill>
              <w14:srgbClr w14:val="000000"/>
            </w14:solidFill>
            <w14:prstDash w14:val="solid"/>
            <w14:bevel/>
          </w14:textOutline>
        </w:rPr>
        <w:t>小</w:t>
      </w:r>
      <w:r>
        <w:rPr>
          <w:rFonts w:hint="eastAsia" w:ascii="宋体" w:hAnsi="宋体" w:eastAsia="宋体" w:cs="宋体"/>
          <w:color w:val="auto"/>
          <w:spacing w:val="10"/>
          <w:position w:val="8"/>
          <w:sz w:val="31"/>
          <w:szCs w:val="31"/>
          <w:lang w:val="en-US" w:eastAsia="zh-CN"/>
          <w14:textOutline w14:w="5793" w14:cap="sq" w14:cmpd="sng">
            <w14:solidFill>
              <w14:srgbClr w14:val="000000"/>
            </w14:solidFill>
            <w14:prstDash w14:val="solid"/>
            <w14:bevel/>
          </w14:textOutline>
        </w:rPr>
        <w:t>微</w:t>
      </w:r>
      <w:r>
        <w:rPr>
          <w:rFonts w:hint="eastAsia" w:ascii="宋体" w:hAnsi="宋体" w:eastAsia="宋体" w:cs="宋体"/>
          <w:color w:val="auto"/>
          <w:spacing w:val="10"/>
          <w:position w:val="8"/>
          <w:sz w:val="31"/>
          <w:szCs w:val="31"/>
          <w14:textOutline w14:w="5793" w14:cap="sq" w14:cmpd="sng">
            <w14:solidFill>
              <w14:srgbClr w14:val="000000"/>
            </w14:solidFill>
            <w14:prstDash w14:val="solid"/>
            <w14:bevel/>
          </w14:textOutline>
        </w:rPr>
        <w:t>企业相应有效的证明文件（必须提供</w:t>
      </w:r>
      <w:r>
        <w:rPr>
          <w:rFonts w:hint="eastAsia" w:ascii="宋体" w:hAnsi="宋体" w:eastAsia="宋体" w:cs="宋体"/>
          <w:color w:val="auto"/>
          <w:position w:val="8"/>
          <w:sz w:val="31"/>
          <w:szCs w:val="31"/>
          <w14:textOutline w14:w="5793" w14:cap="sq" w14:cmpd="sng">
            <w14:solidFill>
              <w14:srgbClr w14:val="000000"/>
            </w14:solidFill>
            <w14:prstDash w14:val="solid"/>
            <w14:bevel/>
          </w14:textOutline>
        </w:rPr>
        <w:t>）；</w:t>
      </w:r>
    </w:p>
    <w:p w14:paraId="6EC92724">
      <w:pPr>
        <w:spacing w:line="227" w:lineRule="auto"/>
        <w:ind w:left="421"/>
        <w:rPr>
          <w:rFonts w:hint="eastAsia" w:ascii="宋体" w:hAnsi="宋体" w:eastAsia="宋体" w:cs="宋体"/>
          <w:color w:val="auto"/>
          <w:sz w:val="20"/>
          <w:szCs w:val="20"/>
        </w:rPr>
      </w:pPr>
      <w:r>
        <w:rPr>
          <w:rFonts w:hint="eastAsia" w:ascii="宋体" w:hAnsi="宋体" w:eastAsia="宋体" w:cs="宋体"/>
          <w:color w:val="auto"/>
          <w:spacing w:val="9"/>
          <w:sz w:val="20"/>
          <w:szCs w:val="20"/>
          <w14:textOutline w14:w="3795" w14:cap="sq" w14:cmpd="sng">
            <w14:solidFill>
              <w14:srgbClr w14:val="000000"/>
            </w14:solidFill>
            <w14:prstDash w14:val="solid"/>
            <w14:bevel/>
          </w14:textOutline>
        </w:rPr>
        <w:t>根据企业所属类型，必须提供以下材料之一</w:t>
      </w:r>
      <w:r>
        <w:rPr>
          <w:rFonts w:hint="eastAsia" w:ascii="宋体" w:hAnsi="宋体" w:eastAsia="宋体" w:cs="宋体"/>
          <w:color w:val="auto"/>
          <w:spacing w:val="9"/>
          <w:sz w:val="20"/>
          <w:szCs w:val="20"/>
        </w:rPr>
        <w:t>：</w:t>
      </w:r>
    </w:p>
    <w:p w14:paraId="3796AE4B">
      <w:pPr>
        <w:spacing w:before="74" w:line="278" w:lineRule="auto"/>
        <w:ind w:left="1" w:right="75"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①中小</w:t>
      </w:r>
      <w:r>
        <w:rPr>
          <w:rFonts w:hint="eastAsia" w:ascii="宋体" w:hAnsi="宋体" w:eastAsia="宋体" w:cs="宋体"/>
          <w:color w:val="auto"/>
          <w:spacing w:val="9"/>
          <w:sz w:val="20"/>
          <w:szCs w:val="20"/>
          <w:lang w:val="en-US" w:eastAsia="zh-CN"/>
        </w:rPr>
        <w:t>微</w:t>
      </w:r>
      <w:r>
        <w:rPr>
          <w:rFonts w:hint="eastAsia" w:ascii="宋体" w:hAnsi="宋体" w:eastAsia="宋体" w:cs="宋体"/>
          <w:color w:val="auto"/>
          <w:spacing w:val="9"/>
          <w:sz w:val="20"/>
          <w:szCs w:val="20"/>
        </w:rPr>
        <w:t>企业声明函【如工程由中型、小型、微型企业（中小微型企业划分标准按照《国家统计局关于</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9"/>
          <w:sz w:val="20"/>
          <w:szCs w:val="20"/>
        </w:rPr>
        <w:t>印发《统计上大中小微型企业划分办法〔2017〕》的通知》（国统字〔2017〕213</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9"/>
          <w:sz w:val="20"/>
          <w:szCs w:val="20"/>
        </w:rPr>
        <w:t>号）执行）承建的，供</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应商应如实声明并对出具的声明函（格式见附件）真实性负责。成交结果将同时公告该企业《中小企业声</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10"/>
          <w:sz w:val="20"/>
          <w:szCs w:val="20"/>
        </w:rPr>
        <w:t>明函》，接受社会监督。】</w:t>
      </w:r>
    </w:p>
    <w:p w14:paraId="1C58C964">
      <w:pPr>
        <w:spacing w:before="73" w:line="262" w:lineRule="auto"/>
        <w:ind w:left="4" w:right="77" w:firstLine="415"/>
        <w:rPr>
          <w:rFonts w:hint="eastAsia" w:ascii="宋体" w:hAnsi="宋体" w:eastAsia="宋体" w:cs="宋体"/>
          <w:color w:val="auto"/>
          <w:sz w:val="20"/>
          <w:szCs w:val="20"/>
        </w:rPr>
      </w:pPr>
      <w:r>
        <w:rPr>
          <w:rFonts w:hint="eastAsia" w:ascii="宋体" w:hAnsi="宋体" w:eastAsia="宋体" w:cs="宋体"/>
          <w:color w:val="auto"/>
          <w:spacing w:val="9"/>
          <w:sz w:val="20"/>
          <w:szCs w:val="20"/>
        </w:rPr>
        <w:t>②监狱企业的证明文件【如工程由监狱企业承建，供应商应当提供由省级以上监狱管理局、戒毒管理</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9"/>
          <w:sz w:val="20"/>
          <w:szCs w:val="20"/>
        </w:rPr>
        <w:t>局（含新疆生产建设兵团）出具的属于监狱企业的证明文件，否则不予享受中小企业政策】；</w:t>
      </w:r>
    </w:p>
    <w:p w14:paraId="0092B6A5">
      <w:pPr>
        <w:spacing w:before="72" w:line="262" w:lineRule="auto"/>
        <w:ind w:left="6" w:right="75" w:firstLine="413"/>
        <w:rPr>
          <w:rFonts w:hint="eastAsia" w:ascii="宋体" w:hAnsi="宋体" w:eastAsia="宋体" w:cs="宋体"/>
          <w:color w:val="auto"/>
          <w:sz w:val="20"/>
          <w:szCs w:val="20"/>
        </w:rPr>
      </w:pPr>
      <w:r>
        <w:rPr>
          <w:rFonts w:hint="eastAsia" w:ascii="宋体" w:hAnsi="宋体" w:eastAsia="宋体" w:cs="宋体"/>
          <w:color w:val="auto"/>
          <w:spacing w:val="9"/>
          <w:sz w:val="20"/>
          <w:szCs w:val="20"/>
        </w:rPr>
        <w:t>③《残疾人福利性单位声明函》【符合条件的残疾人福利性单位在参加政府采购活动时，供应商应如</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9"/>
          <w:sz w:val="20"/>
          <w:szCs w:val="20"/>
        </w:rPr>
        <w:t>实声明并对出具的声明函（格式见附件）真实性负责，否则不予享受中小企业政策】。</w:t>
      </w:r>
    </w:p>
    <w:p w14:paraId="375870E9">
      <w:pPr>
        <w:spacing w:before="72" w:line="262" w:lineRule="auto"/>
        <w:ind w:left="5" w:right="77" w:firstLine="415"/>
        <w:rPr>
          <w:rFonts w:hint="eastAsia" w:ascii="宋体" w:hAnsi="宋体" w:eastAsia="宋体" w:cs="宋体"/>
          <w:color w:val="auto"/>
          <w:sz w:val="20"/>
          <w:szCs w:val="20"/>
        </w:rPr>
      </w:pPr>
      <w:r>
        <w:rPr>
          <w:rFonts w:hint="eastAsia" w:ascii="宋体" w:hAnsi="宋体" w:eastAsia="宋体" w:cs="宋体"/>
          <w:color w:val="auto"/>
          <w:spacing w:val="9"/>
          <w:sz w:val="20"/>
          <w:szCs w:val="20"/>
        </w:rPr>
        <w:t>注：专门面向中小企业采购的项目（供应商应为中小微企业或监狱企业或残疾人福利性单位) ，不接</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7"/>
          <w:sz w:val="20"/>
          <w:szCs w:val="20"/>
        </w:rPr>
        <w:t>受非上述企业参与谈商。</w:t>
      </w:r>
    </w:p>
    <w:p w14:paraId="507D1102">
      <w:pPr>
        <w:spacing w:before="48" w:line="219" w:lineRule="auto"/>
        <w:ind w:left="501"/>
        <w:rPr>
          <w:rFonts w:hint="eastAsia" w:ascii="宋体" w:hAnsi="宋体" w:eastAsia="宋体" w:cs="宋体"/>
          <w:color w:val="auto"/>
          <w:spacing w:val="-15"/>
          <w:sz w:val="24"/>
          <w:szCs w:val="24"/>
          <w14:textOutline w14:w="4358" w14:cap="sq" w14:cmpd="sng">
            <w14:solidFill>
              <w14:srgbClr w14:val="000000"/>
            </w14:solidFill>
            <w14:prstDash w14:val="solid"/>
            <w14:bevel/>
          </w14:textOutline>
        </w:rPr>
      </w:pPr>
    </w:p>
    <w:p w14:paraId="0AF9D98D">
      <w:pPr>
        <w:spacing w:before="48" w:line="219" w:lineRule="auto"/>
        <w:ind w:left="501"/>
        <w:rPr>
          <w:rFonts w:hint="eastAsia" w:ascii="宋体" w:hAnsi="宋体" w:eastAsia="宋体" w:cs="宋体"/>
          <w:color w:val="auto"/>
          <w:sz w:val="24"/>
          <w:szCs w:val="24"/>
        </w:rPr>
      </w:pPr>
      <w:r>
        <w:rPr>
          <w:rFonts w:hint="eastAsia" w:ascii="宋体" w:hAnsi="宋体" w:eastAsia="宋体" w:cs="宋体"/>
          <w:color w:val="auto"/>
          <w:spacing w:val="-15"/>
          <w:sz w:val="24"/>
          <w:szCs w:val="24"/>
          <w14:textOutline w14:w="4358" w14:cap="sq" w14:cmpd="sng">
            <w14:solidFill>
              <w14:srgbClr w14:val="000000"/>
            </w14:solidFill>
            <w14:prstDash w14:val="solid"/>
            <w14:bevel/>
          </w14:textOutline>
        </w:rPr>
        <w:t>附件</w:t>
      </w:r>
    </w:p>
    <w:p w14:paraId="2EA748D2">
      <w:pPr>
        <w:spacing w:line="221" w:lineRule="auto"/>
        <w:ind w:left="3544"/>
        <w:rPr>
          <w:rFonts w:hint="eastAsia" w:ascii="宋体" w:hAnsi="宋体" w:eastAsia="宋体" w:cs="宋体"/>
          <w:color w:val="auto"/>
          <w:sz w:val="28"/>
          <w:szCs w:val="28"/>
        </w:rPr>
      </w:pPr>
      <w:r>
        <w:rPr>
          <w:rFonts w:hint="eastAsia" w:ascii="宋体" w:hAnsi="宋体" w:eastAsia="宋体" w:cs="宋体"/>
          <w:color w:val="auto"/>
          <w:spacing w:val="-3"/>
          <w:sz w:val="28"/>
          <w:szCs w:val="28"/>
          <w14:textOutline w14:w="5103" w14:cap="sq" w14:cmpd="sng">
            <w14:solidFill>
              <w14:srgbClr w14:val="000000"/>
            </w14:solidFill>
            <w14:prstDash w14:val="solid"/>
            <w14:bevel/>
          </w14:textOutline>
        </w:rPr>
        <w:t>中小</w:t>
      </w:r>
      <w:r>
        <w:rPr>
          <w:rFonts w:hint="eastAsia" w:ascii="宋体" w:hAnsi="宋体" w:eastAsia="宋体" w:cs="宋体"/>
          <w:color w:val="auto"/>
          <w:spacing w:val="-3"/>
          <w:sz w:val="28"/>
          <w:szCs w:val="28"/>
          <w:lang w:val="en-US" w:eastAsia="zh-CN"/>
          <w14:textOutline w14:w="5103" w14:cap="sq" w14:cmpd="sng">
            <w14:solidFill>
              <w14:srgbClr w14:val="000000"/>
            </w14:solidFill>
            <w14:prstDash w14:val="solid"/>
            <w14:bevel/>
          </w14:textOutline>
        </w:rPr>
        <w:t>微</w:t>
      </w:r>
      <w:r>
        <w:rPr>
          <w:rFonts w:hint="eastAsia" w:ascii="宋体" w:hAnsi="宋体" w:eastAsia="宋体" w:cs="宋体"/>
          <w:color w:val="auto"/>
          <w:spacing w:val="-3"/>
          <w:sz w:val="28"/>
          <w:szCs w:val="28"/>
          <w14:textOutline w14:w="5103" w14:cap="sq" w14:cmpd="sng">
            <w14:solidFill>
              <w14:srgbClr w14:val="000000"/>
            </w14:solidFill>
            <w14:prstDash w14:val="solid"/>
            <w14:bevel/>
          </w14:textOutline>
        </w:rPr>
        <w:t>企业声明函（格式）</w:t>
      </w:r>
    </w:p>
    <w:p w14:paraId="351A0F3D">
      <w:pPr>
        <w:spacing w:before="259"/>
        <w:ind w:left="2" w:right="16" w:firstLine="504"/>
        <w:rPr>
          <w:rFonts w:hint="eastAsia" w:ascii="宋体" w:hAnsi="宋体" w:eastAsia="宋体" w:cs="宋体"/>
          <w:color w:val="auto"/>
          <w:sz w:val="24"/>
          <w:szCs w:val="24"/>
        </w:rPr>
      </w:pPr>
      <w:r>
        <w:rPr>
          <w:rFonts w:hint="eastAsia" w:ascii="宋体" w:hAnsi="宋体" w:eastAsia="宋体" w:cs="宋体"/>
          <w:color w:val="auto"/>
          <w:spacing w:val="12"/>
          <w:sz w:val="24"/>
          <w:szCs w:val="24"/>
        </w:rPr>
        <w:t>本公司（联合体）郑重声明，根据《政府采购促进中小企业发展管理办法》</w:t>
      </w:r>
      <w:r>
        <w:rPr>
          <w:rFonts w:hint="eastAsia" w:ascii="宋体" w:hAnsi="宋体" w:eastAsia="宋体" w:cs="宋体"/>
          <w:color w:val="auto"/>
          <w:spacing w:val="-82"/>
          <w:sz w:val="24"/>
          <w:szCs w:val="24"/>
        </w:rPr>
        <w:t xml:space="preserve"> </w:t>
      </w:r>
      <w:r>
        <w:rPr>
          <w:rFonts w:hint="eastAsia" w:ascii="宋体" w:hAnsi="宋体" w:eastAsia="宋体" w:cs="宋体"/>
          <w:color w:val="auto"/>
          <w:spacing w:val="12"/>
          <w:sz w:val="24"/>
          <w:szCs w:val="24"/>
        </w:rPr>
        <w:t>（财库</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﹝2020﹞46</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4"/>
          <w:sz w:val="24"/>
          <w:szCs w:val="24"/>
        </w:rPr>
        <w:t>号）的规定，本公司（联合体）参加（</w:t>
      </w:r>
      <w:r>
        <w:rPr>
          <w:rFonts w:hint="eastAsia" w:ascii="宋体" w:hAnsi="宋体" w:eastAsia="宋体" w:cs="宋体"/>
          <w:color w:val="auto"/>
          <w:spacing w:val="4"/>
          <w:sz w:val="24"/>
          <w:szCs w:val="24"/>
          <w:u w:val="single" w:color="auto"/>
        </w:rPr>
        <w:t>单位名称</w:t>
      </w:r>
      <w:r>
        <w:rPr>
          <w:rFonts w:hint="eastAsia" w:ascii="宋体" w:hAnsi="宋体" w:eastAsia="宋体" w:cs="宋体"/>
          <w:color w:val="auto"/>
          <w:spacing w:val="4"/>
          <w:sz w:val="24"/>
          <w:szCs w:val="24"/>
        </w:rPr>
        <w:t>）的（</w:t>
      </w:r>
      <w:r>
        <w:rPr>
          <w:rFonts w:hint="eastAsia" w:ascii="宋体" w:hAnsi="宋体" w:eastAsia="宋体" w:cs="宋体"/>
          <w:color w:val="auto"/>
          <w:spacing w:val="4"/>
          <w:sz w:val="24"/>
          <w:szCs w:val="24"/>
          <w:u w:val="single" w:color="auto"/>
        </w:rPr>
        <w:t>项目名称</w:t>
      </w:r>
      <w:r>
        <w:rPr>
          <w:rFonts w:hint="eastAsia" w:ascii="宋体" w:hAnsi="宋体" w:eastAsia="宋体" w:cs="宋体"/>
          <w:color w:val="auto"/>
          <w:spacing w:val="4"/>
          <w:sz w:val="24"/>
          <w:szCs w:val="24"/>
        </w:rPr>
        <w:t>）采购活动，</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工程的施工单位全部为符合政策要求的中小企业。相关企业（</w:t>
      </w:r>
      <w:r>
        <w:rPr>
          <w:rFonts w:hint="eastAsia" w:ascii="宋体" w:hAnsi="宋体" w:eastAsia="宋体" w:cs="宋体"/>
          <w:color w:val="auto"/>
          <w:spacing w:val="13"/>
          <w:sz w:val="24"/>
          <w:szCs w:val="24"/>
        </w:rPr>
        <w:t>含联合体中的中小企业、</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签订分包意向协议的中小企业）</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8"/>
          <w:sz w:val="24"/>
          <w:szCs w:val="24"/>
        </w:rPr>
        <w:t>的具体情况如下：</w:t>
      </w:r>
    </w:p>
    <w:p w14:paraId="3ADF8B38">
      <w:pPr>
        <w:spacing w:before="31" w:line="238" w:lineRule="auto"/>
        <w:ind w:left="1" w:firstLine="522"/>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1"/>
          <w:sz w:val="24"/>
          <w:szCs w:val="24"/>
          <w:u w:val="single" w:color="auto"/>
        </w:rPr>
        <w:t>（标的名称</w:t>
      </w:r>
      <w:r>
        <w:rPr>
          <w:rFonts w:hint="eastAsia" w:ascii="宋体" w:hAnsi="宋体" w:eastAsia="宋体" w:cs="宋体"/>
          <w:color w:val="auto"/>
          <w:spacing w:val="-18"/>
          <w:sz w:val="24"/>
          <w:szCs w:val="24"/>
          <w:u w:val="single" w:color="auto"/>
        </w:rPr>
        <w:t>）</w:t>
      </w:r>
      <w:r>
        <w:rPr>
          <w:rFonts w:hint="eastAsia" w:ascii="宋体" w:hAnsi="宋体" w:eastAsia="宋体" w:cs="宋体"/>
          <w:color w:val="auto"/>
          <w:spacing w:val="-10"/>
          <w:sz w:val="24"/>
          <w:szCs w:val="24"/>
          <w:u w:val="single" w:color="auto"/>
        </w:rPr>
        <w:t xml:space="preserve"> </w:t>
      </w:r>
      <w:r>
        <w:rPr>
          <w:rFonts w:hint="eastAsia" w:ascii="宋体" w:hAnsi="宋体" w:eastAsia="宋体" w:cs="宋体"/>
          <w:color w:val="auto"/>
          <w:spacing w:val="-18"/>
          <w:sz w:val="24"/>
          <w:szCs w:val="24"/>
        </w:rPr>
        <w:t>，</w:t>
      </w:r>
      <w:r>
        <w:rPr>
          <w:rFonts w:hint="eastAsia" w:ascii="宋体" w:hAnsi="宋体" w:eastAsia="宋体" w:cs="宋体"/>
          <w:color w:val="auto"/>
          <w:spacing w:val="-1"/>
          <w:sz w:val="24"/>
          <w:szCs w:val="24"/>
        </w:rPr>
        <w:t>属于</w:t>
      </w:r>
      <w:r>
        <w:rPr>
          <w:rFonts w:hint="eastAsia" w:ascii="宋体" w:hAnsi="宋体" w:eastAsia="宋体" w:cs="宋体"/>
          <w:color w:val="auto"/>
          <w:spacing w:val="-1"/>
          <w:sz w:val="24"/>
          <w:szCs w:val="24"/>
          <w:u w:val="single" w:color="auto"/>
        </w:rPr>
        <w:t>（采购文件中明确的所属于行业</w:t>
      </w:r>
      <w:r>
        <w:rPr>
          <w:rFonts w:hint="eastAsia" w:ascii="宋体" w:hAnsi="宋体" w:eastAsia="宋体" w:cs="宋体"/>
          <w:color w:val="auto"/>
          <w:spacing w:val="-18"/>
          <w:sz w:val="24"/>
          <w:szCs w:val="24"/>
          <w:u w:val="single" w:color="auto"/>
        </w:rPr>
        <w:t>）</w:t>
      </w:r>
      <w:r>
        <w:rPr>
          <w:rFonts w:hint="eastAsia" w:ascii="宋体" w:hAnsi="宋体" w:eastAsia="宋体" w:cs="宋体"/>
          <w:color w:val="auto"/>
          <w:spacing w:val="-18"/>
          <w:sz w:val="24"/>
          <w:szCs w:val="24"/>
        </w:rPr>
        <w:t>；</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
          <w:sz w:val="24"/>
          <w:szCs w:val="24"/>
        </w:rPr>
        <w:t>承建（承接）企业</w:t>
      </w:r>
      <w:r>
        <w:rPr>
          <w:rFonts w:hint="eastAsia" w:ascii="宋体" w:hAnsi="宋体" w:eastAsia="宋体" w:cs="宋体"/>
          <w:color w:val="auto"/>
          <w:spacing w:val="-2"/>
          <w:sz w:val="24"/>
          <w:szCs w:val="24"/>
        </w:rPr>
        <w:t>为（</w:t>
      </w:r>
      <w:r>
        <w:rPr>
          <w:rFonts w:hint="eastAsia" w:ascii="宋体" w:hAnsi="宋体" w:eastAsia="宋体" w:cs="宋体"/>
          <w:color w:val="auto"/>
          <w:spacing w:val="-2"/>
          <w:sz w:val="24"/>
          <w:szCs w:val="24"/>
          <w:u w:val="single" w:color="auto"/>
        </w:rPr>
        <w:t>企</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5"/>
          <w:sz w:val="24"/>
          <w:szCs w:val="24"/>
          <w:u w:val="single" w:color="auto"/>
        </w:rPr>
        <w:t>业名称</w:t>
      </w:r>
      <w:r>
        <w:rPr>
          <w:rFonts w:hint="eastAsia" w:ascii="宋体" w:hAnsi="宋体" w:eastAsia="宋体" w:cs="宋体"/>
          <w:color w:val="auto"/>
          <w:spacing w:val="6"/>
          <w:sz w:val="24"/>
          <w:szCs w:val="24"/>
        </w:rPr>
        <w:t>），</w:t>
      </w:r>
      <w:r>
        <w:rPr>
          <w:rFonts w:hint="eastAsia" w:ascii="宋体" w:hAnsi="宋体" w:eastAsia="宋体" w:cs="宋体"/>
          <w:color w:val="auto"/>
          <w:spacing w:val="5"/>
          <w:sz w:val="24"/>
          <w:szCs w:val="24"/>
        </w:rPr>
        <w:t>从业人员</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rPr>
        <w:t>人，营业收入为</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
          <w:sz w:val="24"/>
          <w:szCs w:val="24"/>
        </w:rPr>
        <w:t>万元，资产总额为</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
          <w:sz w:val="24"/>
          <w:szCs w:val="24"/>
        </w:rPr>
        <w:t>万元，属</w:t>
      </w:r>
      <w:r>
        <w:rPr>
          <w:rFonts w:hint="eastAsia" w:ascii="宋体" w:hAnsi="宋体" w:eastAsia="宋体" w:cs="宋体"/>
          <w:color w:val="auto"/>
          <w:spacing w:val="4"/>
          <w:sz w:val="24"/>
          <w:szCs w:val="24"/>
        </w:rPr>
        <w:t>于（</w:t>
      </w:r>
      <w:r>
        <w:rPr>
          <w:rFonts w:hint="eastAsia" w:ascii="宋体" w:hAnsi="宋体" w:eastAsia="宋体" w:cs="宋体"/>
          <w:color w:val="auto"/>
          <w:spacing w:val="4"/>
          <w:sz w:val="24"/>
          <w:szCs w:val="24"/>
          <w:u w:val="single" w:color="auto"/>
        </w:rPr>
        <w:t>中型企业、</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u w:val="single" w:color="auto"/>
        </w:rPr>
        <w:t>小型企业、微型企业</w:t>
      </w:r>
      <w:r>
        <w:rPr>
          <w:rFonts w:hint="eastAsia" w:ascii="宋体" w:hAnsi="宋体" w:eastAsia="宋体" w:cs="宋体"/>
          <w:color w:val="auto"/>
          <w:spacing w:val="8"/>
          <w:sz w:val="24"/>
          <w:szCs w:val="24"/>
        </w:rPr>
        <w:t>）</w:t>
      </w:r>
    </w:p>
    <w:p w14:paraId="53915636">
      <w:pPr>
        <w:spacing w:before="32" w:line="238" w:lineRule="auto"/>
        <w:ind w:left="1" w:firstLine="507"/>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color="auto"/>
        </w:rPr>
        <w:t>（标的名称</w:t>
      </w:r>
      <w:r>
        <w:rPr>
          <w:rFonts w:hint="eastAsia" w:ascii="宋体" w:hAnsi="宋体" w:eastAsia="宋体" w:cs="宋体"/>
          <w:color w:val="auto"/>
          <w:spacing w:val="-14"/>
          <w:sz w:val="24"/>
          <w:szCs w:val="24"/>
          <w:u w:val="single" w:color="auto"/>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93"/>
          <w:sz w:val="24"/>
          <w:szCs w:val="24"/>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color="auto"/>
        </w:rPr>
        <w:t>（采购文件中明确的所属于行业</w:t>
      </w:r>
      <w:r>
        <w:rPr>
          <w:rFonts w:hint="eastAsia" w:ascii="宋体" w:hAnsi="宋体" w:eastAsia="宋体" w:cs="宋体"/>
          <w:color w:val="auto"/>
          <w:spacing w:val="-14"/>
          <w:sz w:val="24"/>
          <w:szCs w:val="24"/>
          <w:u w:val="single" w:color="auto"/>
        </w:rPr>
        <w:t>）</w:t>
      </w:r>
      <w:r>
        <w:rPr>
          <w:rFonts w:hint="eastAsia" w:ascii="宋体" w:hAnsi="宋体" w:eastAsia="宋体" w:cs="宋体"/>
          <w:color w:val="auto"/>
          <w:spacing w:val="-14"/>
          <w:sz w:val="24"/>
          <w:szCs w:val="24"/>
        </w:rPr>
        <w:t>；</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color="auto"/>
        </w:rPr>
        <w:t>企</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u w:val="single" w:color="auto"/>
        </w:rPr>
        <w:t>业名称</w:t>
      </w:r>
      <w:r>
        <w:rPr>
          <w:rFonts w:hint="eastAsia" w:ascii="宋体" w:hAnsi="宋体" w:eastAsia="宋体" w:cs="宋体"/>
          <w:color w:val="auto"/>
          <w:spacing w:val="6"/>
          <w:sz w:val="24"/>
          <w:szCs w:val="24"/>
        </w:rPr>
        <w:t>），</w:t>
      </w:r>
      <w:r>
        <w:rPr>
          <w:rFonts w:hint="eastAsia" w:ascii="宋体" w:hAnsi="宋体" w:eastAsia="宋体" w:cs="宋体"/>
          <w:color w:val="auto"/>
          <w:spacing w:val="5"/>
          <w:sz w:val="24"/>
          <w:szCs w:val="24"/>
        </w:rPr>
        <w:t>从业人员</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rPr>
        <w:t>人，营业收入为</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
          <w:sz w:val="24"/>
          <w:szCs w:val="24"/>
        </w:rPr>
        <w:t>万元，资产总额为</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
          <w:sz w:val="24"/>
          <w:szCs w:val="24"/>
        </w:rPr>
        <w:t>万元，属</w:t>
      </w:r>
      <w:r>
        <w:rPr>
          <w:rFonts w:hint="eastAsia" w:ascii="宋体" w:hAnsi="宋体" w:eastAsia="宋体" w:cs="宋体"/>
          <w:color w:val="auto"/>
          <w:spacing w:val="4"/>
          <w:sz w:val="24"/>
          <w:szCs w:val="24"/>
        </w:rPr>
        <w:t>于（</w:t>
      </w:r>
      <w:r>
        <w:rPr>
          <w:rFonts w:hint="eastAsia" w:ascii="宋体" w:hAnsi="宋体" w:eastAsia="宋体" w:cs="宋体"/>
          <w:color w:val="auto"/>
          <w:spacing w:val="4"/>
          <w:sz w:val="24"/>
          <w:szCs w:val="24"/>
          <w:u w:val="single" w:color="auto"/>
        </w:rPr>
        <w:t>中型企业、</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u w:val="single" w:color="auto"/>
        </w:rPr>
        <w:t>小型企业、微型企业</w:t>
      </w:r>
      <w:r>
        <w:rPr>
          <w:rFonts w:hint="eastAsia" w:ascii="宋体" w:hAnsi="宋体" w:eastAsia="宋体" w:cs="宋体"/>
          <w:color w:val="auto"/>
          <w:spacing w:val="8"/>
          <w:sz w:val="24"/>
          <w:szCs w:val="24"/>
        </w:rPr>
        <w:t>）</w:t>
      </w:r>
    </w:p>
    <w:p w14:paraId="27329C82">
      <w:pPr>
        <w:spacing w:before="33" w:line="379" w:lineRule="exact"/>
        <w:ind w:left="498"/>
        <w:rPr>
          <w:rFonts w:hint="eastAsia" w:ascii="宋体" w:hAnsi="宋体" w:eastAsia="宋体" w:cs="宋体"/>
          <w:color w:val="auto"/>
          <w:sz w:val="24"/>
          <w:szCs w:val="24"/>
        </w:rPr>
      </w:pPr>
      <w:r>
        <w:rPr>
          <w:rFonts w:hint="eastAsia" w:ascii="宋体" w:hAnsi="宋体" w:eastAsia="宋体" w:cs="宋体"/>
          <w:color w:val="auto"/>
          <w:spacing w:val="-13"/>
          <w:position w:val="3"/>
          <w:sz w:val="24"/>
          <w:szCs w:val="24"/>
        </w:rPr>
        <w:t>……</w:t>
      </w:r>
    </w:p>
    <w:p w14:paraId="0B1F1D33">
      <w:pPr>
        <w:spacing w:before="182" w:line="233" w:lineRule="auto"/>
        <w:ind w:left="6" w:right="113" w:firstLine="503"/>
        <w:rPr>
          <w:rFonts w:hint="eastAsia" w:ascii="宋体" w:hAnsi="宋体" w:eastAsia="宋体" w:cs="宋体"/>
          <w:color w:val="auto"/>
          <w:sz w:val="24"/>
          <w:szCs w:val="24"/>
        </w:rPr>
      </w:pPr>
      <w:r>
        <w:rPr>
          <w:rFonts w:hint="eastAsia" w:ascii="宋体" w:hAnsi="宋体" w:eastAsia="宋体" w:cs="宋体"/>
          <w:color w:val="auto"/>
          <w:spacing w:val="-1"/>
          <w:sz w:val="24"/>
          <w:szCs w:val="24"/>
        </w:rPr>
        <w:t>以上企业，不属于大企业的分支机构，不存在控股股东为大企业的情形，也不存在与大</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企业的负责人为同一人的情况。</w:t>
      </w:r>
    </w:p>
    <w:p w14:paraId="40A1239B">
      <w:pPr>
        <w:spacing w:before="274" w:line="219" w:lineRule="auto"/>
        <w:ind w:left="483"/>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w:t>
      </w:r>
      <w:r>
        <w:rPr>
          <w:rFonts w:hint="eastAsia" w:ascii="宋体" w:hAnsi="宋体" w:eastAsia="宋体" w:cs="宋体"/>
          <w:color w:val="auto"/>
          <w:spacing w:val="-1"/>
          <w:sz w:val="24"/>
          <w:szCs w:val="24"/>
        </w:rPr>
        <w:t>假，将依法承担相应责任。</w:t>
      </w:r>
    </w:p>
    <w:p w14:paraId="2A043C7B">
      <w:pPr>
        <w:pStyle w:val="7"/>
        <w:spacing w:line="251" w:lineRule="auto"/>
        <w:rPr>
          <w:rFonts w:hint="eastAsia" w:ascii="宋体" w:hAnsi="宋体" w:eastAsia="宋体" w:cs="宋体"/>
          <w:color w:val="auto"/>
        </w:rPr>
      </w:pPr>
    </w:p>
    <w:p w14:paraId="4860AE43">
      <w:pPr>
        <w:pStyle w:val="7"/>
        <w:spacing w:line="251" w:lineRule="auto"/>
        <w:rPr>
          <w:rFonts w:hint="eastAsia" w:ascii="宋体" w:hAnsi="宋体" w:eastAsia="宋体" w:cs="宋体"/>
          <w:color w:val="auto"/>
        </w:rPr>
      </w:pPr>
    </w:p>
    <w:p w14:paraId="66C4291A">
      <w:pPr>
        <w:pStyle w:val="7"/>
        <w:spacing w:line="251" w:lineRule="auto"/>
        <w:rPr>
          <w:rFonts w:hint="eastAsia" w:ascii="宋体" w:hAnsi="宋体" w:eastAsia="宋体" w:cs="宋体"/>
          <w:color w:val="auto"/>
        </w:rPr>
      </w:pPr>
    </w:p>
    <w:p w14:paraId="4D5EBB91">
      <w:pPr>
        <w:spacing w:before="78" w:line="430" w:lineRule="auto"/>
        <w:ind w:left="3966"/>
        <w:rPr>
          <w:rFonts w:hint="eastAsia" w:ascii="宋体" w:hAnsi="宋体" w:eastAsia="宋体" w:cs="宋体"/>
          <w:color w:val="auto"/>
          <w:sz w:val="24"/>
          <w:szCs w:val="24"/>
        </w:rPr>
      </w:pPr>
      <w:r>
        <w:rPr>
          <w:rFonts w:hint="eastAsia" w:ascii="宋体" w:hAnsi="宋体" w:eastAsia="宋体" w:cs="宋体"/>
          <w:color w:val="auto"/>
          <w:spacing w:val="-2"/>
          <w:sz w:val="24"/>
          <w:szCs w:val="24"/>
        </w:rPr>
        <w:t>企业名称（加盖供应商</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证书签章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57C29874">
      <w:pPr>
        <w:spacing w:before="1" w:line="220" w:lineRule="auto"/>
        <w:ind w:left="5204"/>
        <w:rPr>
          <w:rFonts w:hint="eastAsia" w:ascii="宋体" w:hAnsi="宋体" w:eastAsia="宋体" w:cs="宋体"/>
          <w:color w:val="auto"/>
          <w:sz w:val="24"/>
          <w:szCs w:val="24"/>
        </w:rPr>
      </w:pPr>
      <w:r>
        <w:rPr>
          <w:rFonts w:hint="eastAsia" w:ascii="宋体" w:hAnsi="宋体" w:eastAsia="宋体" w:cs="宋体"/>
          <w:color w:val="auto"/>
          <w:spacing w:val="-18"/>
          <w:sz w:val="24"/>
          <w:szCs w:val="24"/>
        </w:rPr>
        <w:t>日期：</w:t>
      </w:r>
      <w:r>
        <w:rPr>
          <w:rFonts w:hint="eastAsia" w:ascii="宋体" w:hAnsi="宋体" w:eastAsia="宋体" w:cs="宋体"/>
          <w:color w:val="auto"/>
          <w:sz w:val="24"/>
          <w:szCs w:val="24"/>
          <w:u w:val="single" w:color="auto"/>
        </w:rPr>
        <w:t xml:space="preserve">          </w:t>
      </w:r>
    </w:p>
    <w:p w14:paraId="61381A3C">
      <w:pPr>
        <w:pStyle w:val="7"/>
        <w:spacing w:line="311" w:lineRule="auto"/>
        <w:rPr>
          <w:rFonts w:hint="eastAsia" w:ascii="宋体" w:hAnsi="宋体" w:eastAsia="宋体" w:cs="宋体"/>
          <w:color w:val="auto"/>
        </w:rPr>
      </w:pPr>
    </w:p>
    <w:p w14:paraId="1CCE131D">
      <w:pPr>
        <w:spacing w:before="65" w:line="226" w:lineRule="auto"/>
        <w:ind w:left="1"/>
        <w:rPr>
          <w:rFonts w:hint="eastAsia" w:ascii="宋体" w:hAnsi="宋体" w:eastAsia="宋体" w:cs="宋体"/>
          <w:color w:val="auto"/>
          <w:sz w:val="20"/>
          <w:szCs w:val="20"/>
        </w:rPr>
      </w:pPr>
      <w:r>
        <w:rPr>
          <w:rFonts w:hint="eastAsia" w:ascii="宋体" w:hAnsi="宋体" w:eastAsia="宋体" w:cs="宋体"/>
          <w:color w:val="auto"/>
          <w:spacing w:val="10"/>
          <w:sz w:val="20"/>
          <w:szCs w:val="20"/>
          <w14:textOutline w14:w="3795" w14:cap="sq" w14:cmpd="sng">
            <w14:solidFill>
              <w14:srgbClr w14:val="000000"/>
            </w14:solidFill>
            <w14:prstDash w14:val="solid"/>
            <w14:bevel/>
          </w14:textOutline>
        </w:rPr>
        <w:t>注：①从业人员、营业收入、资产总额填报上一年度数据，无上一年度数据的新成立企业可不填报。</w:t>
      </w:r>
    </w:p>
    <w:p w14:paraId="6C6F34C4">
      <w:pPr>
        <w:spacing w:before="75" w:line="277" w:lineRule="auto"/>
        <w:ind w:right="77"/>
        <w:rPr>
          <w:rFonts w:hint="eastAsia" w:ascii="宋体" w:hAnsi="宋体" w:eastAsia="宋体" w:cs="宋体"/>
          <w:color w:val="auto"/>
          <w:sz w:val="20"/>
          <w:szCs w:val="20"/>
        </w:rPr>
      </w:pPr>
      <w:r>
        <w:rPr>
          <w:rFonts w:hint="eastAsia" w:ascii="宋体" w:hAnsi="宋体" w:eastAsia="宋体" w:cs="宋体"/>
          <w:color w:val="auto"/>
          <w:spacing w:val="13"/>
          <w:sz w:val="20"/>
          <w:szCs w:val="20"/>
          <w14:textOutline w14:w="3795" w14:cap="sq" w14:cmpd="sng">
            <w14:solidFill>
              <w14:srgbClr w14:val="000000"/>
            </w14:solidFill>
            <w14:prstDash w14:val="solid"/>
            <w14:bevel/>
          </w14:textOutline>
        </w:rPr>
        <w:t>②所属行业依照《中小企业划型标准规定》</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13"/>
          <w:sz w:val="20"/>
          <w:szCs w:val="20"/>
          <w14:textOutline w14:w="3795" w14:cap="sq" w14:cmpd="sng">
            <w14:solidFill>
              <w14:srgbClr w14:val="000000"/>
            </w14:solidFill>
            <w14:prstDash w14:val="solid"/>
            <w14:bevel/>
          </w14:textOutline>
        </w:rPr>
        <w:t>（工信部联企业〔2011〕300</w:t>
      </w:r>
      <w:r>
        <w:rPr>
          <w:rFonts w:hint="eastAsia" w:ascii="宋体" w:hAnsi="宋体" w:eastAsia="宋体" w:cs="宋体"/>
          <w:color w:val="auto"/>
          <w:spacing w:val="-30"/>
          <w:sz w:val="20"/>
          <w:szCs w:val="20"/>
        </w:rPr>
        <w:t xml:space="preserve"> </w:t>
      </w:r>
      <w:r>
        <w:rPr>
          <w:rFonts w:hint="eastAsia" w:ascii="宋体" w:hAnsi="宋体" w:eastAsia="宋体" w:cs="宋体"/>
          <w:color w:val="auto"/>
          <w:spacing w:val="13"/>
          <w:sz w:val="20"/>
          <w:szCs w:val="20"/>
          <w14:textOutline w14:w="3795" w14:cap="sq" w14:cmpd="sng">
            <w14:solidFill>
              <w14:srgbClr w14:val="000000"/>
            </w14:solidFill>
            <w14:prstDash w14:val="solid"/>
            <w14:bevel/>
          </w14:textOutline>
        </w:rPr>
        <w:t>号）及《国民经</w:t>
      </w:r>
      <w:r>
        <w:rPr>
          <w:rFonts w:hint="eastAsia" w:ascii="宋体" w:hAnsi="宋体" w:eastAsia="宋体" w:cs="宋体"/>
          <w:color w:val="auto"/>
          <w:spacing w:val="12"/>
          <w:sz w:val="20"/>
          <w:szCs w:val="20"/>
          <w14:textOutline w14:w="3795" w14:cap="sq" w14:cmpd="sng">
            <w14:solidFill>
              <w14:srgbClr w14:val="000000"/>
            </w14:solidFill>
            <w14:prstDash w14:val="solid"/>
            <w14:bevel/>
          </w14:textOutline>
        </w:rPr>
        <w:t>济行业分类》</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14:textOutline w14:w="3795" w14:cap="sq" w14:cmpd="sng">
            <w14:solidFill>
              <w14:srgbClr w14:val="000000"/>
            </w14:solidFill>
            <w14:prstDash w14:val="solid"/>
            <w14:bevel/>
          </w14:textOutline>
        </w:rPr>
        <w:t>（</w:t>
      </w:r>
      <w:r>
        <w:rPr>
          <w:rFonts w:hint="eastAsia" w:ascii="宋体" w:hAnsi="宋体" w:eastAsia="宋体" w:cs="宋体"/>
          <w:color w:val="auto"/>
          <w:sz w:val="20"/>
          <w:szCs w:val="20"/>
          <w14:textOutline w14:w="3795" w14:cap="sq" w14:cmpd="sng">
            <w14:solidFill>
              <w14:srgbClr w14:val="000000"/>
            </w14:solidFill>
            <w14:prstDash w14:val="solid"/>
            <w14:bevel/>
          </w14:textOutline>
        </w:rPr>
        <w:t>GB</w:t>
      </w:r>
      <w:r>
        <w:rPr>
          <w:rFonts w:hint="eastAsia" w:ascii="宋体" w:hAnsi="宋体" w:eastAsia="宋体" w:cs="宋体"/>
          <w:color w:val="auto"/>
          <w:spacing w:val="10"/>
          <w:sz w:val="20"/>
          <w:szCs w:val="20"/>
          <w14:textOutline w14:w="3795" w14:cap="sq" w14:cmpd="sng">
            <w14:solidFill>
              <w14:srgbClr w14:val="000000"/>
            </w14:solidFill>
            <w14:prstDash w14:val="solid"/>
            <w14:bevel/>
          </w14:textOutline>
        </w:rPr>
        <w:t>/T4754-2017）的有关规定执行，本工程在《统计上大中小微型</w:t>
      </w:r>
      <w:r>
        <w:rPr>
          <w:rFonts w:hint="eastAsia" w:ascii="宋体" w:hAnsi="宋体" w:eastAsia="宋体" w:cs="宋体"/>
          <w:color w:val="auto"/>
          <w:spacing w:val="9"/>
          <w:sz w:val="20"/>
          <w:szCs w:val="20"/>
          <w14:textOutline w14:w="3795" w14:cap="sq" w14:cmpd="sng">
            <w14:solidFill>
              <w14:srgbClr w14:val="000000"/>
            </w14:solidFill>
            <w14:prstDash w14:val="solid"/>
            <w14:bevel/>
          </w14:textOutline>
        </w:rPr>
        <w:t>企业划分标准》</w:t>
      </w:r>
      <w:r>
        <w:rPr>
          <w:rFonts w:hint="eastAsia" w:ascii="宋体" w:hAnsi="宋体" w:eastAsia="宋体" w:cs="宋体"/>
          <w:color w:val="auto"/>
          <w:spacing w:val="-57"/>
          <w:sz w:val="20"/>
          <w:szCs w:val="20"/>
        </w:rPr>
        <w:t xml:space="preserve"> </w:t>
      </w:r>
      <w:r>
        <w:rPr>
          <w:rFonts w:hint="eastAsia" w:ascii="宋体" w:hAnsi="宋体" w:eastAsia="宋体" w:cs="宋体"/>
          <w:color w:val="auto"/>
          <w:spacing w:val="9"/>
          <w:sz w:val="20"/>
          <w:szCs w:val="20"/>
          <w14:textOutline w14:w="3795" w14:cap="sq" w14:cmpd="sng">
            <w14:solidFill>
              <w14:srgbClr w14:val="000000"/>
            </w14:solidFill>
            <w14:prstDash w14:val="solid"/>
            <w14:bevel/>
          </w14:textOutline>
        </w:rPr>
        <w:t>中所属行业均为</w:t>
      </w:r>
      <w:r>
        <w:rPr>
          <w:rFonts w:hint="eastAsia" w:ascii="宋体" w:hAnsi="宋体" w:eastAsia="宋体" w:cs="宋体"/>
          <w:color w:val="auto"/>
          <w:spacing w:val="9"/>
          <w:sz w:val="20"/>
          <w:szCs w:val="20"/>
          <w:u w:val="single" w:color="000000"/>
          <w14:textOutline w14:w="3795" w14:cap="sq" w14:cmpd="sng">
            <w14:solidFill>
              <w14:srgbClr w14:val="000000"/>
            </w14:solidFill>
            <w14:prstDash w14:val="solid"/>
            <w14:bevel/>
          </w14:textOutline>
        </w:rPr>
        <w:t>建筑</w:t>
      </w:r>
      <w:r>
        <w:rPr>
          <w:rFonts w:hint="eastAsia" w:ascii="宋体" w:hAnsi="宋体" w:eastAsia="宋体" w:cs="宋体"/>
          <w:color w:val="auto"/>
          <w:sz w:val="20"/>
          <w:szCs w:val="20"/>
        </w:rPr>
        <w:t xml:space="preserve"> </w:t>
      </w:r>
      <w:r>
        <w:rPr>
          <w:rFonts w:hint="eastAsia" w:ascii="宋体" w:hAnsi="宋体" w:eastAsia="宋体" w:cs="宋体"/>
          <w:color w:val="auto"/>
          <w:spacing w:val="16"/>
          <w:sz w:val="20"/>
          <w:szCs w:val="20"/>
          <w:u w:val="single" w:color="000000"/>
          <w14:textOutline w14:w="3795" w14:cap="sq" w14:cmpd="sng">
            <w14:solidFill>
              <w14:srgbClr w14:val="000000"/>
            </w14:solidFill>
            <w14:prstDash w14:val="solid"/>
            <w14:bevel/>
          </w14:textOutline>
        </w:rPr>
        <w:t>业。</w:t>
      </w:r>
    </w:p>
    <w:p w14:paraId="3A02C82B">
      <w:pPr>
        <w:spacing w:line="277" w:lineRule="auto"/>
        <w:rPr>
          <w:rFonts w:hint="eastAsia" w:ascii="宋体" w:hAnsi="宋体" w:eastAsia="宋体" w:cs="宋体"/>
          <w:color w:val="auto"/>
          <w:sz w:val="20"/>
          <w:szCs w:val="20"/>
        </w:rPr>
        <w:sectPr>
          <w:footerReference r:id="rId4" w:type="default"/>
          <w:pgSz w:w="11906" w:h="16839"/>
          <w:pgMar w:top="1222" w:right="1059" w:bottom="1156" w:left="1139" w:header="0" w:footer="994" w:gutter="0"/>
          <w:pgNumType w:fmt="decimal" w:start="1"/>
          <w:cols w:space="720" w:num="1"/>
        </w:sectPr>
      </w:pPr>
    </w:p>
    <w:p w14:paraId="0EEAB095">
      <w:pPr>
        <w:spacing w:before="41" w:line="228" w:lineRule="auto"/>
        <w:ind w:left="12"/>
        <w:rPr>
          <w:rFonts w:hint="eastAsia" w:ascii="宋体" w:hAnsi="宋体" w:eastAsia="宋体" w:cs="宋体"/>
          <w:color w:val="auto"/>
          <w:sz w:val="20"/>
          <w:szCs w:val="20"/>
        </w:rPr>
      </w:pPr>
      <w:r>
        <w:rPr>
          <w:rFonts w:hint="eastAsia" w:ascii="宋体" w:hAnsi="宋体" w:eastAsia="宋体" w:cs="宋体"/>
          <w:color w:val="auto"/>
          <w:spacing w:val="-3"/>
          <w:sz w:val="20"/>
          <w:szCs w:val="20"/>
          <w14:textOutline w14:w="3795" w14:cap="sq" w14:cmpd="sng">
            <w14:solidFill>
              <w14:srgbClr w14:val="000000"/>
            </w14:solidFill>
            <w14:prstDash w14:val="solid"/>
            <w14:bevel/>
          </w14:textOutline>
        </w:rPr>
        <w:t>附表</w:t>
      </w:r>
    </w:p>
    <w:p w14:paraId="04642732">
      <w:pPr>
        <w:spacing w:before="229" w:line="220" w:lineRule="auto"/>
        <w:ind w:left="2718"/>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统计上大中小微型企业划分标准</w:t>
      </w:r>
    </w:p>
    <w:p w14:paraId="52A98A3A">
      <w:pPr>
        <w:spacing w:line="135" w:lineRule="exact"/>
        <w:rPr>
          <w:rFonts w:hint="eastAsia" w:ascii="宋体" w:hAnsi="宋体" w:eastAsia="宋体" w:cs="宋体"/>
          <w:color w:val="auto"/>
        </w:rPr>
      </w:pPr>
    </w:p>
    <w:tbl>
      <w:tblPr>
        <w:tblStyle w:val="34"/>
        <w:tblW w:w="960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0438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287590D5">
            <w:pPr>
              <w:pStyle w:val="33"/>
              <w:spacing w:before="228" w:line="221" w:lineRule="auto"/>
              <w:ind w:left="571"/>
              <w:rPr>
                <w:rFonts w:hint="eastAsia" w:ascii="宋体" w:hAnsi="宋体" w:eastAsia="宋体" w:cs="宋体"/>
                <w:color w:val="auto"/>
                <w:sz w:val="18"/>
                <w:szCs w:val="18"/>
              </w:rPr>
            </w:pPr>
            <w:r>
              <w:rPr>
                <w:rFonts w:hint="eastAsia" w:ascii="宋体" w:hAnsi="宋体" w:eastAsia="宋体" w:cs="宋体"/>
                <w:color w:val="auto"/>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3D270652">
            <w:pPr>
              <w:pStyle w:val="33"/>
              <w:spacing w:before="221" w:line="221" w:lineRule="auto"/>
              <w:ind w:left="368"/>
              <w:rPr>
                <w:rFonts w:hint="eastAsia" w:ascii="宋体" w:hAnsi="宋体" w:eastAsia="宋体" w:cs="宋体"/>
                <w:color w:val="auto"/>
                <w:sz w:val="18"/>
                <w:szCs w:val="18"/>
              </w:rPr>
            </w:pPr>
            <w:r>
              <w:rPr>
                <w:rFonts w:hint="eastAsia" w:ascii="宋体" w:hAnsi="宋体" w:eastAsia="宋体" w:cs="宋体"/>
                <w:color w:val="auto"/>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2A77CF31">
            <w:pPr>
              <w:pStyle w:val="33"/>
              <w:spacing w:before="70" w:line="312" w:lineRule="exact"/>
              <w:ind w:left="197"/>
              <w:rPr>
                <w:rFonts w:hint="eastAsia" w:ascii="宋体" w:hAnsi="宋体" w:eastAsia="宋体" w:cs="宋体"/>
                <w:color w:val="auto"/>
                <w:sz w:val="18"/>
                <w:szCs w:val="18"/>
              </w:rPr>
            </w:pPr>
            <w:r>
              <w:rPr>
                <w:rFonts w:hint="eastAsia" w:ascii="宋体" w:hAnsi="宋体" w:eastAsia="宋体" w:cs="宋体"/>
                <w:color w:val="auto"/>
                <w:spacing w:val="-4"/>
                <w:position w:val="9"/>
                <w:sz w:val="18"/>
                <w:szCs w:val="18"/>
                <w14:textOutline w14:w="3268" w14:cap="sq" w14:cmpd="sng">
                  <w14:solidFill>
                    <w14:srgbClr w14:val="000000"/>
                  </w14:solidFill>
                  <w14:prstDash w14:val="solid"/>
                  <w14:bevel/>
                </w14:textOutline>
              </w:rPr>
              <w:t>计量</w:t>
            </w:r>
          </w:p>
          <w:p w14:paraId="5671F32B">
            <w:pPr>
              <w:pStyle w:val="33"/>
              <w:spacing w:line="220" w:lineRule="auto"/>
              <w:ind w:left="199"/>
              <w:rPr>
                <w:rFonts w:hint="eastAsia" w:ascii="宋体" w:hAnsi="宋体" w:eastAsia="宋体" w:cs="宋体"/>
                <w:color w:val="auto"/>
                <w:sz w:val="18"/>
                <w:szCs w:val="18"/>
              </w:rPr>
            </w:pPr>
            <w:r>
              <w:rPr>
                <w:rFonts w:hint="eastAsia" w:ascii="宋体" w:hAnsi="宋体" w:eastAsia="宋体" w:cs="宋体"/>
                <w:color w:val="auto"/>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1BF3D70B">
            <w:pPr>
              <w:pStyle w:val="33"/>
              <w:spacing w:before="221" w:line="221" w:lineRule="auto"/>
              <w:ind w:left="421"/>
              <w:rPr>
                <w:rFonts w:hint="eastAsia" w:ascii="宋体" w:hAnsi="宋体" w:eastAsia="宋体" w:cs="宋体"/>
                <w:color w:val="auto"/>
                <w:sz w:val="18"/>
                <w:szCs w:val="18"/>
              </w:rPr>
            </w:pPr>
            <w:r>
              <w:rPr>
                <w:rFonts w:hint="eastAsia" w:ascii="宋体" w:hAnsi="宋体" w:eastAsia="宋体" w:cs="宋体"/>
                <w:color w:val="auto"/>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47732D1E">
            <w:pPr>
              <w:pStyle w:val="33"/>
              <w:spacing w:before="221" w:line="221" w:lineRule="auto"/>
              <w:ind w:left="741"/>
              <w:rPr>
                <w:rFonts w:hint="eastAsia" w:ascii="宋体" w:hAnsi="宋体" w:eastAsia="宋体" w:cs="宋体"/>
                <w:color w:val="auto"/>
                <w:sz w:val="18"/>
                <w:szCs w:val="18"/>
              </w:rPr>
            </w:pPr>
            <w:r>
              <w:rPr>
                <w:rFonts w:hint="eastAsia" w:ascii="宋体" w:hAnsi="宋体" w:eastAsia="宋体" w:cs="宋体"/>
                <w:color w:val="auto"/>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6E7E8EB0">
            <w:pPr>
              <w:pStyle w:val="33"/>
              <w:spacing w:before="222" w:line="222" w:lineRule="auto"/>
              <w:ind w:left="586"/>
              <w:rPr>
                <w:rFonts w:hint="eastAsia" w:ascii="宋体" w:hAnsi="宋体" w:eastAsia="宋体" w:cs="宋体"/>
                <w:color w:val="auto"/>
                <w:sz w:val="18"/>
                <w:szCs w:val="18"/>
              </w:rPr>
            </w:pPr>
            <w:r>
              <w:rPr>
                <w:rFonts w:hint="eastAsia" w:ascii="宋体" w:hAnsi="宋体" w:eastAsia="宋体" w:cs="宋体"/>
                <w:color w:val="auto"/>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15F5EC83">
            <w:pPr>
              <w:pStyle w:val="33"/>
              <w:spacing w:before="222" w:line="220" w:lineRule="auto"/>
              <w:ind w:left="350"/>
              <w:rPr>
                <w:rFonts w:hint="eastAsia" w:ascii="宋体" w:hAnsi="宋体" w:eastAsia="宋体" w:cs="宋体"/>
                <w:color w:val="auto"/>
                <w:sz w:val="18"/>
                <w:szCs w:val="18"/>
              </w:rPr>
            </w:pPr>
            <w:r>
              <w:rPr>
                <w:rFonts w:hint="eastAsia" w:ascii="宋体" w:hAnsi="宋体" w:eastAsia="宋体" w:cs="宋体"/>
                <w:color w:val="auto"/>
                <w:spacing w:val="-4"/>
                <w:sz w:val="18"/>
                <w:szCs w:val="18"/>
                <w14:textOutline w14:w="3268" w14:cap="sq" w14:cmpd="sng">
                  <w14:solidFill>
                    <w14:srgbClr w14:val="000000"/>
                  </w14:solidFill>
                  <w14:prstDash w14:val="solid"/>
                  <w14:bevel/>
                </w14:textOutline>
              </w:rPr>
              <w:t>微型</w:t>
            </w:r>
          </w:p>
        </w:tc>
      </w:tr>
      <w:tr w14:paraId="6AF3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274440D">
            <w:pPr>
              <w:pStyle w:val="33"/>
              <w:spacing w:before="112" w:line="220" w:lineRule="auto"/>
              <w:ind w:left="114"/>
              <w:rPr>
                <w:rFonts w:hint="eastAsia" w:ascii="宋体" w:hAnsi="宋体" w:eastAsia="宋体" w:cs="宋体"/>
                <w:color w:val="auto"/>
                <w:sz w:val="18"/>
                <w:szCs w:val="18"/>
              </w:rPr>
            </w:pPr>
            <w:r>
              <w:rPr>
                <w:rFonts w:hint="eastAsia" w:ascii="宋体" w:hAnsi="宋体" w:eastAsia="宋体" w:cs="宋体"/>
                <w:color w:val="auto"/>
                <w:spacing w:val="-1"/>
                <w:sz w:val="18"/>
                <w:szCs w:val="18"/>
              </w:rPr>
              <w:t>农、林、牧、渔业</w:t>
            </w:r>
          </w:p>
        </w:tc>
        <w:tc>
          <w:tcPr>
            <w:tcW w:w="1450" w:type="dxa"/>
            <w:vAlign w:val="top"/>
          </w:tcPr>
          <w:p w14:paraId="0075CA7A">
            <w:pPr>
              <w:pStyle w:val="33"/>
              <w:spacing w:before="105"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44D19FD0">
            <w:pPr>
              <w:pStyle w:val="33"/>
              <w:spacing w:before="104"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09FD11D8">
            <w:pPr>
              <w:pStyle w:val="33"/>
              <w:spacing w:before="105"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Y≥20000</w:t>
            </w:r>
          </w:p>
        </w:tc>
        <w:tc>
          <w:tcPr>
            <w:tcW w:w="1802" w:type="dxa"/>
            <w:vAlign w:val="top"/>
          </w:tcPr>
          <w:p w14:paraId="0D79163B">
            <w:pPr>
              <w:pStyle w:val="33"/>
              <w:spacing w:before="104" w:line="237" w:lineRule="auto"/>
              <w:ind w:left="325"/>
              <w:rPr>
                <w:rFonts w:hint="eastAsia" w:ascii="宋体" w:hAnsi="宋体" w:eastAsia="宋体" w:cs="宋体"/>
                <w:color w:val="auto"/>
                <w:sz w:val="18"/>
                <w:szCs w:val="18"/>
              </w:rPr>
            </w:pPr>
            <w:r>
              <w:rPr>
                <w:rFonts w:hint="eastAsia" w:ascii="宋体" w:hAnsi="宋体" w:eastAsia="宋体" w:cs="宋体"/>
                <w:color w:val="auto"/>
                <w:spacing w:val="-1"/>
                <w:sz w:val="18"/>
                <w:szCs w:val="18"/>
              </w:rPr>
              <w:t>500≤Y＜20000</w:t>
            </w:r>
          </w:p>
        </w:tc>
        <w:tc>
          <w:tcPr>
            <w:tcW w:w="1510" w:type="dxa"/>
            <w:vAlign w:val="top"/>
          </w:tcPr>
          <w:p w14:paraId="1E087B29">
            <w:pPr>
              <w:pStyle w:val="33"/>
              <w:spacing w:before="104" w:line="237" w:lineRule="auto"/>
              <w:ind w:left="313"/>
              <w:rPr>
                <w:rFonts w:hint="eastAsia" w:ascii="宋体" w:hAnsi="宋体" w:eastAsia="宋体" w:cs="宋体"/>
                <w:color w:val="auto"/>
                <w:sz w:val="18"/>
                <w:szCs w:val="18"/>
              </w:rPr>
            </w:pPr>
            <w:r>
              <w:rPr>
                <w:rFonts w:hint="eastAsia" w:ascii="宋体" w:hAnsi="宋体" w:eastAsia="宋体" w:cs="宋体"/>
                <w:color w:val="auto"/>
                <w:spacing w:val="-2"/>
                <w:sz w:val="18"/>
                <w:szCs w:val="18"/>
              </w:rPr>
              <w:t>50≤Y＜500</w:t>
            </w:r>
          </w:p>
        </w:tc>
        <w:tc>
          <w:tcPr>
            <w:tcW w:w="1053" w:type="dxa"/>
            <w:vAlign w:val="top"/>
          </w:tcPr>
          <w:p w14:paraId="31046560">
            <w:pPr>
              <w:pStyle w:val="33"/>
              <w:spacing w:before="105"/>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Y＜50</w:t>
            </w:r>
          </w:p>
        </w:tc>
      </w:tr>
      <w:tr w14:paraId="02AA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851" w:type="dxa"/>
            <w:vMerge w:val="restart"/>
            <w:tcBorders>
              <w:bottom w:val="nil"/>
            </w:tcBorders>
            <w:vAlign w:val="top"/>
          </w:tcPr>
          <w:p w14:paraId="713F31D5">
            <w:pPr>
              <w:pStyle w:val="33"/>
              <w:spacing w:before="295" w:line="232" w:lineRule="auto"/>
              <w:ind w:left="116"/>
              <w:rPr>
                <w:rFonts w:hint="eastAsia" w:ascii="宋体" w:hAnsi="宋体" w:eastAsia="宋体" w:cs="宋体"/>
                <w:color w:val="auto"/>
                <w:sz w:val="18"/>
                <w:szCs w:val="18"/>
              </w:rPr>
            </w:pPr>
            <w:r>
              <w:rPr>
                <w:rFonts w:hint="eastAsia" w:ascii="宋体" w:hAnsi="宋体" w:eastAsia="宋体" w:cs="宋体"/>
                <w:color w:val="auto"/>
                <w:spacing w:val="-4"/>
                <w:sz w:val="18"/>
                <w:szCs w:val="18"/>
              </w:rPr>
              <w:t>工业</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4"/>
                <w:sz w:val="18"/>
                <w:szCs w:val="18"/>
              </w:rPr>
              <w:t>*</w:t>
            </w:r>
          </w:p>
        </w:tc>
        <w:tc>
          <w:tcPr>
            <w:tcW w:w="1450" w:type="dxa"/>
            <w:vAlign w:val="top"/>
          </w:tcPr>
          <w:p w14:paraId="1A5C7F9A">
            <w:pPr>
              <w:pStyle w:val="33"/>
              <w:spacing w:before="88"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6040B20B">
            <w:pPr>
              <w:pStyle w:val="33"/>
              <w:spacing w:before="88"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798B68F9">
            <w:pPr>
              <w:pStyle w:val="33"/>
              <w:spacing w:before="88" w:line="238" w:lineRule="auto"/>
              <w:ind w:left="280"/>
              <w:rPr>
                <w:rFonts w:hint="eastAsia" w:ascii="宋体" w:hAnsi="宋体" w:eastAsia="宋体" w:cs="宋体"/>
                <w:color w:val="auto"/>
                <w:sz w:val="18"/>
                <w:szCs w:val="18"/>
              </w:rPr>
            </w:pPr>
            <w:r>
              <w:rPr>
                <w:rFonts w:hint="eastAsia" w:ascii="宋体" w:hAnsi="宋体" w:eastAsia="宋体" w:cs="宋体"/>
                <w:color w:val="auto"/>
                <w:spacing w:val="-1"/>
                <w:sz w:val="18"/>
                <w:szCs w:val="18"/>
              </w:rPr>
              <w:t>X≥1000</w:t>
            </w:r>
          </w:p>
        </w:tc>
        <w:tc>
          <w:tcPr>
            <w:tcW w:w="1802" w:type="dxa"/>
            <w:vAlign w:val="top"/>
          </w:tcPr>
          <w:p w14:paraId="0C3F37C2">
            <w:pPr>
              <w:pStyle w:val="33"/>
              <w:spacing w:before="88" w:line="237" w:lineRule="auto"/>
              <w:ind w:left="368"/>
              <w:rPr>
                <w:rFonts w:hint="eastAsia" w:ascii="宋体" w:hAnsi="宋体" w:eastAsia="宋体" w:cs="宋体"/>
                <w:color w:val="auto"/>
                <w:sz w:val="18"/>
                <w:szCs w:val="18"/>
              </w:rPr>
            </w:pPr>
            <w:r>
              <w:rPr>
                <w:rFonts w:hint="eastAsia" w:ascii="宋体" w:hAnsi="宋体" w:eastAsia="宋体" w:cs="宋体"/>
                <w:color w:val="auto"/>
                <w:spacing w:val="-1"/>
                <w:sz w:val="18"/>
                <w:szCs w:val="18"/>
              </w:rPr>
              <w:t>300≤X＜1000</w:t>
            </w:r>
          </w:p>
        </w:tc>
        <w:tc>
          <w:tcPr>
            <w:tcW w:w="1510" w:type="dxa"/>
            <w:vAlign w:val="top"/>
          </w:tcPr>
          <w:p w14:paraId="3AEEB9F9">
            <w:pPr>
              <w:pStyle w:val="33"/>
              <w:spacing w:before="88" w:line="237" w:lineRule="auto"/>
              <w:ind w:left="312"/>
              <w:rPr>
                <w:rFonts w:hint="eastAsia"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1053" w:type="dxa"/>
            <w:vAlign w:val="top"/>
          </w:tcPr>
          <w:p w14:paraId="4014F241">
            <w:pPr>
              <w:pStyle w:val="33"/>
              <w:spacing w:before="88"/>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X＜20</w:t>
            </w:r>
          </w:p>
        </w:tc>
      </w:tr>
      <w:tr w14:paraId="42E9D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30429698">
            <w:pPr>
              <w:rPr>
                <w:rFonts w:hint="eastAsia" w:ascii="宋体" w:hAnsi="宋体" w:eastAsia="宋体" w:cs="宋体"/>
                <w:color w:val="auto"/>
                <w:sz w:val="21"/>
              </w:rPr>
            </w:pPr>
          </w:p>
        </w:tc>
        <w:tc>
          <w:tcPr>
            <w:tcW w:w="1450" w:type="dxa"/>
            <w:vAlign w:val="top"/>
          </w:tcPr>
          <w:p w14:paraId="49B02550">
            <w:pPr>
              <w:pStyle w:val="33"/>
              <w:spacing w:before="112"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3979A79D">
            <w:pPr>
              <w:pStyle w:val="33"/>
              <w:spacing w:before="105"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4BFA0D4C">
            <w:pPr>
              <w:pStyle w:val="33"/>
              <w:spacing w:before="105"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Y≥40000</w:t>
            </w:r>
          </w:p>
        </w:tc>
        <w:tc>
          <w:tcPr>
            <w:tcW w:w="1802" w:type="dxa"/>
            <w:vAlign w:val="top"/>
          </w:tcPr>
          <w:p w14:paraId="7F4A3C44">
            <w:pPr>
              <w:pStyle w:val="33"/>
              <w:spacing w:before="105" w:line="237" w:lineRule="auto"/>
              <w:ind w:left="278"/>
              <w:rPr>
                <w:rFonts w:hint="eastAsia" w:ascii="宋体" w:hAnsi="宋体" w:eastAsia="宋体" w:cs="宋体"/>
                <w:color w:val="auto"/>
                <w:sz w:val="18"/>
                <w:szCs w:val="18"/>
              </w:rPr>
            </w:pPr>
            <w:r>
              <w:rPr>
                <w:rFonts w:hint="eastAsia" w:ascii="宋体" w:hAnsi="宋体" w:eastAsia="宋体" w:cs="宋体"/>
                <w:color w:val="auto"/>
                <w:spacing w:val="-1"/>
                <w:sz w:val="18"/>
                <w:szCs w:val="18"/>
              </w:rPr>
              <w:t>2000≤Y＜40000</w:t>
            </w:r>
          </w:p>
        </w:tc>
        <w:tc>
          <w:tcPr>
            <w:tcW w:w="1510" w:type="dxa"/>
            <w:vAlign w:val="top"/>
          </w:tcPr>
          <w:p w14:paraId="3449910E">
            <w:pPr>
              <w:pStyle w:val="33"/>
              <w:spacing w:before="105" w:line="237" w:lineRule="auto"/>
              <w:ind w:left="225"/>
              <w:rPr>
                <w:rFonts w:hint="eastAsia" w:ascii="宋体" w:hAnsi="宋体" w:eastAsia="宋体" w:cs="宋体"/>
                <w:color w:val="auto"/>
                <w:sz w:val="18"/>
                <w:szCs w:val="18"/>
              </w:rPr>
            </w:pPr>
            <w:r>
              <w:rPr>
                <w:rFonts w:hint="eastAsia" w:ascii="宋体" w:hAnsi="宋体" w:eastAsia="宋体" w:cs="宋体"/>
                <w:color w:val="auto"/>
                <w:spacing w:val="-1"/>
                <w:sz w:val="18"/>
                <w:szCs w:val="18"/>
              </w:rPr>
              <w:t>300≤Y＜2000</w:t>
            </w:r>
          </w:p>
        </w:tc>
        <w:tc>
          <w:tcPr>
            <w:tcW w:w="1053" w:type="dxa"/>
            <w:vAlign w:val="top"/>
          </w:tcPr>
          <w:p w14:paraId="58EFBCAD">
            <w:pPr>
              <w:pStyle w:val="33"/>
              <w:spacing w:before="105"/>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Y＜300</w:t>
            </w:r>
          </w:p>
        </w:tc>
      </w:tr>
      <w:tr w14:paraId="4095F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0FC7ACFB">
            <w:pPr>
              <w:spacing w:line="254" w:lineRule="auto"/>
              <w:rPr>
                <w:rFonts w:hint="eastAsia" w:ascii="宋体" w:hAnsi="宋体" w:eastAsia="宋体" w:cs="宋体"/>
                <w:color w:val="auto"/>
                <w:sz w:val="21"/>
              </w:rPr>
            </w:pPr>
          </w:p>
          <w:p w14:paraId="43C44970">
            <w:pPr>
              <w:pStyle w:val="33"/>
              <w:spacing w:before="58" w:line="221" w:lineRule="auto"/>
              <w:ind w:left="116"/>
              <w:rPr>
                <w:rFonts w:hint="eastAsia" w:ascii="宋体" w:hAnsi="宋体" w:eastAsia="宋体" w:cs="宋体"/>
                <w:color w:val="auto"/>
                <w:sz w:val="18"/>
                <w:szCs w:val="18"/>
              </w:rPr>
            </w:pPr>
            <w:r>
              <w:rPr>
                <w:rFonts w:hint="eastAsia" w:ascii="宋体" w:hAnsi="宋体" w:eastAsia="宋体" w:cs="宋体"/>
                <w:color w:val="auto"/>
                <w:spacing w:val="-4"/>
                <w:sz w:val="18"/>
                <w:szCs w:val="18"/>
              </w:rPr>
              <w:t>建筑业</w:t>
            </w:r>
          </w:p>
        </w:tc>
        <w:tc>
          <w:tcPr>
            <w:tcW w:w="1450" w:type="dxa"/>
            <w:vAlign w:val="top"/>
          </w:tcPr>
          <w:p w14:paraId="4D65C425">
            <w:pPr>
              <w:pStyle w:val="33"/>
              <w:spacing w:before="105"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79350A5A">
            <w:pPr>
              <w:pStyle w:val="33"/>
              <w:spacing w:before="105"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01928E7A">
            <w:pPr>
              <w:pStyle w:val="33"/>
              <w:spacing w:before="105"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Y≥80000</w:t>
            </w:r>
          </w:p>
        </w:tc>
        <w:tc>
          <w:tcPr>
            <w:tcW w:w="1802" w:type="dxa"/>
            <w:vAlign w:val="top"/>
          </w:tcPr>
          <w:p w14:paraId="2895D10F">
            <w:pPr>
              <w:pStyle w:val="33"/>
              <w:spacing w:before="105" w:line="237" w:lineRule="auto"/>
              <w:ind w:left="277"/>
              <w:rPr>
                <w:rFonts w:hint="eastAsia" w:ascii="宋体" w:hAnsi="宋体" w:eastAsia="宋体" w:cs="宋体"/>
                <w:color w:val="auto"/>
                <w:sz w:val="18"/>
                <w:szCs w:val="18"/>
              </w:rPr>
            </w:pPr>
            <w:r>
              <w:rPr>
                <w:rFonts w:hint="eastAsia" w:ascii="宋体" w:hAnsi="宋体" w:eastAsia="宋体" w:cs="宋体"/>
                <w:color w:val="auto"/>
                <w:spacing w:val="-1"/>
                <w:sz w:val="18"/>
                <w:szCs w:val="18"/>
              </w:rPr>
              <w:t>6000≤Y＜80000</w:t>
            </w:r>
          </w:p>
        </w:tc>
        <w:tc>
          <w:tcPr>
            <w:tcW w:w="1510" w:type="dxa"/>
            <w:vAlign w:val="top"/>
          </w:tcPr>
          <w:p w14:paraId="364438FB">
            <w:pPr>
              <w:pStyle w:val="33"/>
              <w:spacing w:before="105" w:line="237" w:lineRule="auto"/>
              <w:ind w:left="225"/>
              <w:rPr>
                <w:rFonts w:hint="eastAsia" w:ascii="宋体" w:hAnsi="宋体" w:eastAsia="宋体" w:cs="宋体"/>
                <w:color w:val="auto"/>
                <w:sz w:val="18"/>
                <w:szCs w:val="18"/>
              </w:rPr>
            </w:pPr>
            <w:r>
              <w:rPr>
                <w:rFonts w:hint="eastAsia" w:ascii="宋体" w:hAnsi="宋体" w:eastAsia="宋体" w:cs="宋体"/>
                <w:color w:val="auto"/>
                <w:spacing w:val="-1"/>
                <w:sz w:val="18"/>
                <w:szCs w:val="18"/>
              </w:rPr>
              <w:t>300≤Y＜6000</w:t>
            </w:r>
          </w:p>
        </w:tc>
        <w:tc>
          <w:tcPr>
            <w:tcW w:w="1053" w:type="dxa"/>
            <w:vAlign w:val="top"/>
          </w:tcPr>
          <w:p w14:paraId="6BC6D261">
            <w:pPr>
              <w:pStyle w:val="33"/>
              <w:spacing w:before="105"/>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Y＜300</w:t>
            </w:r>
          </w:p>
        </w:tc>
      </w:tr>
      <w:tr w14:paraId="2F0CD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64CCB9A">
            <w:pPr>
              <w:rPr>
                <w:rFonts w:hint="eastAsia" w:ascii="宋体" w:hAnsi="宋体" w:eastAsia="宋体" w:cs="宋体"/>
                <w:color w:val="auto"/>
                <w:sz w:val="21"/>
              </w:rPr>
            </w:pPr>
          </w:p>
        </w:tc>
        <w:tc>
          <w:tcPr>
            <w:tcW w:w="1450" w:type="dxa"/>
            <w:vAlign w:val="top"/>
          </w:tcPr>
          <w:p w14:paraId="7529CAA0">
            <w:pPr>
              <w:pStyle w:val="33"/>
              <w:spacing w:before="115" w:line="220" w:lineRule="auto"/>
              <w:ind w:left="239"/>
              <w:rPr>
                <w:rFonts w:hint="eastAsia" w:ascii="宋体" w:hAnsi="宋体" w:eastAsia="宋体" w:cs="宋体"/>
                <w:color w:val="auto"/>
                <w:sz w:val="18"/>
                <w:szCs w:val="18"/>
              </w:rPr>
            </w:pPr>
            <w:r>
              <w:rPr>
                <w:rFonts w:hint="eastAsia" w:ascii="宋体" w:hAnsi="宋体" w:eastAsia="宋体" w:cs="宋体"/>
                <w:color w:val="auto"/>
                <w:spacing w:val="-2"/>
                <w:sz w:val="18"/>
                <w:szCs w:val="18"/>
              </w:rPr>
              <w:t>资产总额(Z)</w:t>
            </w:r>
          </w:p>
        </w:tc>
        <w:tc>
          <w:tcPr>
            <w:tcW w:w="750" w:type="dxa"/>
            <w:vAlign w:val="top"/>
          </w:tcPr>
          <w:p w14:paraId="55B540B8">
            <w:pPr>
              <w:pStyle w:val="33"/>
              <w:spacing w:before="107"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5B356921">
            <w:pPr>
              <w:pStyle w:val="33"/>
              <w:spacing w:before="108" w:line="238" w:lineRule="auto"/>
              <w:ind w:left="239"/>
              <w:rPr>
                <w:rFonts w:hint="eastAsia" w:ascii="宋体" w:hAnsi="宋体" w:eastAsia="宋体" w:cs="宋体"/>
                <w:color w:val="auto"/>
                <w:sz w:val="18"/>
                <w:szCs w:val="18"/>
              </w:rPr>
            </w:pPr>
            <w:r>
              <w:rPr>
                <w:rFonts w:hint="eastAsia" w:ascii="宋体" w:hAnsi="宋体" w:eastAsia="宋体" w:cs="宋体"/>
                <w:color w:val="auto"/>
                <w:spacing w:val="-1"/>
                <w:sz w:val="18"/>
                <w:szCs w:val="18"/>
              </w:rPr>
              <w:t>Z≥80000</w:t>
            </w:r>
          </w:p>
        </w:tc>
        <w:tc>
          <w:tcPr>
            <w:tcW w:w="1802" w:type="dxa"/>
            <w:vAlign w:val="top"/>
          </w:tcPr>
          <w:p w14:paraId="2997C3C4">
            <w:pPr>
              <w:pStyle w:val="33"/>
              <w:spacing w:before="107" w:line="237" w:lineRule="auto"/>
              <w:ind w:left="279"/>
              <w:rPr>
                <w:rFonts w:hint="eastAsia" w:ascii="宋体" w:hAnsi="宋体" w:eastAsia="宋体" w:cs="宋体"/>
                <w:color w:val="auto"/>
                <w:sz w:val="18"/>
                <w:szCs w:val="18"/>
              </w:rPr>
            </w:pPr>
            <w:r>
              <w:rPr>
                <w:rFonts w:hint="eastAsia" w:ascii="宋体" w:hAnsi="宋体" w:eastAsia="宋体" w:cs="宋体"/>
                <w:color w:val="auto"/>
                <w:spacing w:val="-1"/>
                <w:sz w:val="18"/>
                <w:szCs w:val="18"/>
              </w:rPr>
              <w:t>5000≤Z＜80000</w:t>
            </w:r>
          </w:p>
        </w:tc>
        <w:tc>
          <w:tcPr>
            <w:tcW w:w="1510" w:type="dxa"/>
            <w:vAlign w:val="top"/>
          </w:tcPr>
          <w:p w14:paraId="37D4B06B">
            <w:pPr>
              <w:pStyle w:val="33"/>
              <w:spacing w:before="107" w:line="237" w:lineRule="auto"/>
              <w:ind w:left="225"/>
              <w:rPr>
                <w:rFonts w:hint="eastAsia" w:ascii="宋体" w:hAnsi="宋体" w:eastAsia="宋体" w:cs="宋体"/>
                <w:color w:val="auto"/>
                <w:sz w:val="18"/>
                <w:szCs w:val="18"/>
              </w:rPr>
            </w:pPr>
            <w:r>
              <w:rPr>
                <w:rFonts w:hint="eastAsia" w:ascii="宋体" w:hAnsi="宋体" w:eastAsia="宋体" w:cs="宋体"/>
                <w:color w:val="auto"/>
                <w:spacing w:val="-1"/>
                <w:sz w:val="18"/>
                <w:szCs w:val="18"/>
              </w:rPr>
              <w:t>300≤Z＜5000</w:t>
            </w:r>
          </w:p>
        </w:tc>
        <w:tc>
          <w:tcPr>
            <w:tcW w:w="1053" w:type="dxa"/>
            <w:vAlign w:val="top"/>
          </w:tcPr>
          <w:p w14:paraId="2C57510D">
            <w:pPr>
              <w:pStyle w:val="33"/>
              <w:spacing w:before="108"/>
              <w:ind w:left="261"/>
              <w:rPr>
                <w:rFonts w:hint="eastAsia" w:ascii="宋体" w:hAnsi="宋体" w:eastAsia="宋体" w:cs="宋体"/>
                <w:color w:val="auto"/>
                <w:sz w:val="18"/>
                <w:szCs w:val="18"/>
              </w:rPr>
            </w:pPr>
            <w:r>
              <w:rPr>
                <w:rFonts w:hint="eastAsia" w:ascii="宋体" w:hAnsi="宋体" w:eastAsia="宋体" w:cs="宋体"/>
                <w:color w:val="auto"/>
                <w:spacing w:val="-2"/>
                <w:sz w:val="18"/>
                <w:szCs w:val="18"/>
              </w:rPr>
              <w:t>Z＜300</w:t>
            </w:r>
          </w:p>
        </w:tc>
      </w:tr>
      <w:tr w14:paraId="547A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E357650">
            <w:pPr>
              <w:spacing w:line="253" w:lineRule="auto"/>
              <w:rPr>
                <w:rFonts w:hint="eastAsia" w:ascii="宋体" w:hAnsi="宋体" w:eastAsia="宋体" w:cs="宋体"/>
                <w:color w:val="auto"/>
                <w:sz w:val="21"/>
              </w:rPr>
            </w:pPr>
          </w:p>
          <w:p w14:paraId="1678DF5F">
            <w:pPr>
              <w:pStyle w:val="33"/>
              <w:spacing w:before="58" w:line="221" w:lineRule="auto"/>
              <w:ind w:left="114"/>
              <w:rPr>
                <w:rFonts w:hint="eastAsia" w:ascii="宋体" w:hAnsi="宋体" w:eastAsia="宋体" w:cs="宋体"/>
                <w:color w:val="auto"/>
                <w:sz w:val="18"/>
                <w:szCs w:val="18"/>
              </w:rPr>
            </w:pPr>
            <w:r>
              <w:rPr>
                <w:rFonts w:hint="eastAsia" w:ascii="宋体" w:hAnsi="宋体" w:eastAsia="宋体" w:cs="宋体"/>
                <w:color w:val="auto"/>
                <w:spacing w:val="-3"/>
                <w:sz w:val="18"/>
                <w:szCs w:val="18"/>
              </w:rPr>
              <w:t>批发业</w:t>
            </w:r>
          </w:p>
        </w:tc>
        <w:tc>
          <w:tcPr>
            <w:tcW w:w="1450" w:type="dxa"/>
            <w:vAlign w:val="top"/>
          </w:tcPr>
          <w:p w14:paraId="635BCBCF">
            <w:pPr>
              <w:pStyle w:val="33"/>
              <w:spacing w:before="106"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1E4022B7">
            <w:pPr>
              <w:pStyle w:val="33"/>
              <w:spacing w:before="106"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5D28DCBD">
            <w:pPr>
              <w:pStyle w:val="33"/>
              <w:spacing w:before="107"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X≥200</w:t>
            </w:r>
          </w:p>
        </w:tc>
        <w:tc>
          <w:tcPr>
            <w:tcW w:w="1802" w:type="dxa"/>
            <w:vAlign w:val="top"/>
          </w:tcPr>
          <w:p w14:paraId="2F18FB95">
            <w:pPr>
              <w:pStyle w:val="33"/>
              <w:spacing w:before="106" w:line="237" w:lineRule="auto"/>
              <w:ind w:left="458"/>
              <w:rPr>
                <w:rFonts w:hint="eastAsia" w:ascii="宋体" w:hAnsi="宋体" w:eastAsia="宋体" w:cs="宋体"/>
                <w:color w:val="auto"/>
                <w:sz w:val="18"/>
                <w:szCs w:val="18"/>
              </w:rPr>
            </w:pPr>
            <w:r>
              <w:rPr>
                <w:rFonts w:hint="eastAsia" w:ascii="宋体" w:hAnsi="宋体" w:eastAsia="宋体" w:cs="宋体"/>
                <w:color w:val="auto"/>
                <w:spacing w:val="-2"/>
                <w:sz w:val="18"/>
                <w:szCs w:val="18"/>
              </w:rPr>
              <w:t>20≤X＜200</w:t>
            </w:r>
          </w:p>
        </w:tc>
        <w:tc>
          <w:tcPr>
            <w:tcW w:w="1510" w:type="dxa"/>
            <w:vAlign w:val="top"/>
          </w:tcPr>
          <w:p w14:paraId="1C9CFE34">
            <w:pPr>
              <w:pStyle w:val="33"/>
              <w:spacing w:before="106" w:line="237" w:lineRule="auto"/>
              <w:ind w:left="405"/>
              <w:rPr>
                <w:rFonts w:hint="eastAsia" w:ascii="宋体" w:hAnsi="宋体" w:eastAsia="宋体" w:cs="宋体"/>
                <w:color w:val="auto"/>
                <w:sz w:val="18"/>
                <w:szCs w:val="18"/>
              </w:rPr>
            </w:pPr>
            <w:r>
              <w:rPr>
                <w:rFonts w:hint="eastAsia" w:ascii="宋体" w:hAnsi="宋体" w:eastAsia="宋体" w:cs="宋体"/>
                <w:color w:val="auto"/>
                <w:spacing w:val="-2"/>
                <w:sz w:val="18"/>
                <w:szCs w:val="18"/>
              </w:rPr>
              <w:t>5≤X＜20</w:t>
            </w:r>
          </w:p>
        </w:tc>
        <w:tc>
          <w:tcPr>
            <w:tcW w:w="1053" w:type="dxa"/>
            <w:vAlign w:val="top"/>
          </w:tcPr>
          <w:p w14:paraId="12ADADE4">
            <w:pPr>
              <w:pStyle w:val="33"/>
              <w:spacing w:before="107"/>
              <w:ind w:left="348"/>
              <w:rPr>
                <w:rFonts w:hint="eastAsia" w:ascii="宋体" w:hAnsi="宋体" w:eastAsia="宋体" w:cs="宋体"/>
                <w:color w:val="auto"/>
                <w:sz w:val="18"/>
                <w:szCs w:val="18"/>
              </w:rPr>
            </w:pPr>
            <w:r>
              <w:rPr>
                <w:rFonts w:hint="eastAsia" w:ascii="宋体" w:hAnsi="宋体" w:eastAsia="宋体" w:cs="宋体"/>
                <w:color w:val="auto"/>
                <w:spacing w:val="-2"/>
                <w:sz w:val="18"/>
                <w:szCs w:val="18"/>
              </w:rPr>
              <w:t>X＜5</w:t>
            </w:r>
          </w:p>
        </w:tc>
      </w:tr>
      <w:tr w14:paraId="3E91F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5E41B5F">
            <w:pPr>
              <w:rPr>
                <w:rFonts w:hint="eastAsia" w:ascii="宋体" w:hAnsi="宋体" w:eastAsia="宋体" w:cs="宋体"/>
                <w:color w:val="auto"/>
                <w:sz w:val="21"/>
              </w:rPr>
            </w:pPr>
          </w:p>
        </w:tc>
        <w:tc>
          <w:tcPr>
            <w:tcW w:w="1450" w:type="dxa"/>
            <w:vAlign w:val="top"/>
          </w:tcPr>
          <w:p w14:paraId="55139EB0">
            <w:pPr>
              <w:pStyle w:val="33"/>
              <w:spacing w:before="115"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3C80E4B7">
            <w:pPr>
              <w:pStyle w:val="33"/>
              <w:spacing w:before="108"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544851B2">
            <w:pPr>
              <w:pStyle w:val="33"/>
              <w:spacing w:before="108"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Y≥40000</w:t>
            </w:r>
          </w:p>
        </w:tc>
        <w:tc>
          <w:tcPr>
            <w:tcW w:w="1802" w:type="dxa"/>
            <w:vAlign w:val="top"/>
          </w:tcPr>
          <w:p w14:paraId="66358FEC">
            <w:pPr>
              <w:pStyle w:val="33"/>
              <w:spacing w:before="108" w:line="237" w:lineRule="auto"/>
              <w:ind w:left="279"/>
              <w:rPr>
                <w:rFonts w:hint="eastAsia" w:ascii="宋体" w:hAnsi="宋体" w:eastAsia="宋体" w:cs="宋体"/>
                <w:color w:val="auto"/>
                <w:sz w:val="18"/>
                <w:szCs w:val="18"/>
              </w:rPr>
            </w:pPr>
            <w:r>
              <w:rPr>
                <w:rFonts w:hint="eastAsia" w:ascii="宋体" w:hAnsi="宋体" w:eastAsia="宋体" w:cs="宋体"/>
                <w:color w:val="auto"/>
                <w:spacing w:val="-1"/>
                <w:sz w:val="18"/>
                <w:szCs w:val="18"/>
              </w:rPr>
              <w:t>5000≤Y＜40000</w:t>
            </w:r>
          </w:p>
        </w:tc>
        <w:tc>
          <w:tcPr>
            <w:tcW w:w="1510" w:type="dxa"/>
            <w:vAlign w:val="top"/>
          </w:tcPr>
          <w:p w14:paraId="543F4E7A">
            <w:pPr>
              <w:pStyle w:val="33"/>
              <w:spacing w:before="108" w:line="237" w:lineRule="auto"/>
              <w:ind w:left="189"/>
              <w:rPr>
                <w:rFonts w:hint="eastAsia" w:ascii="宋体" w:hAnsi="宋体" w:eastAsia="宋体" w:cs="宋体"/>
                <w:color w:val="auto"/>
                <w:sz w:val="18"/>
                <w:szCs w:val="18"/>
              </w:rPr>
            </w:pPr>
            <w:r>
              <w:rPr>
                <w:rFonts w:hint="eastAsia" w:ascii="宋体" w:hAnsi="宋体" w:eastAsia="宋体" w:cs="宋体"/>
                <w:color w:val="auto"/>
                <w:spacing w:val="-2"/>
                <w:sz w:val="18"/>
                <w:szCs w:val="18"/>
              </w:rPr>
              <w:t>1000≤Y＜5000</w:t>
            </w:r>
          </w:p>
        </w:tc>
        <w:tc>
          <w:tcPr>
            <w:tcW w:w="1053" w:type="dxa"/>
            <w:vAlign w:val="top"/>
          </w:tcPr>
          <w:p w14:paraId="607DA849">
            <w:pPr>
              <w:pStyle w:val="33"/>
              <w:spacing w:before="108"/>
              <w:ind w:left="213"/>
              <w:rPr>
                <w:rFonts w:hint="eastAsia" w:ascii="宋体" w:hAnsi="宋体" w:eastAsia="宋体" w:cs="宋体"/>
                <w:color w:val="auto"/>
                <w:sz w:val="18"/>
                <w:szCs w:val="18"/>
              </w:rPr>
            </w:pPr>
            <w:r>
              <w:rPr>
                <w:rFonts w:hint="eastAsia" w:ascii="宋体" w:hAnsi="宋体" w:eastAsia="宋体" w:cs="宋体"/>
                <w:color w:val="auto"/>
                <w:spacing w:val="-1"/>
                <w:sz w:val="18"/>
                <w:szCs w:val="18"/>
              </w:rPr>
              <w:t>Y＜1000</w:t>
            </w:r>
          </w:p>
        </w:tc>
      </w:tr>
      <w:tr w14:paraId="5AA16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0AE3198">
            <w:pPr>
              <w:spacing w:line="253" w:lineRule="auto"/>
              <w:rPr>
                <w:rFonts w:hint="eastAsia" w:ascii="宋体" w:hAnsi="宋体" w:eastAsia="宋体" w:cs="宋体"/>
                <w:color w:val="auto"/>
                <w:sz w:val="21"/>
              </w:rPr>
            </w:pPr>
          </w:p>
          <w:p w14:paraId="28960B93">
            <w:pPr>
              <w:pStyle w:val="33"/>
              <w:spacing w:before="59" w:line="220" w:lineRule="auto"/>
              <w:ind w:left="115"/>
              <w:rPr>
                <w:rFonts w:hint="eastAsia" w:ascii="宋体" w:hAnsi="宋体" w:eastAsia="宋体" w:cs="宋体"/>
                <w:color w:val="auto"/>
                <w:sz w:val="18"/>
                <w:szCs w:val="18"/>
              </w:rPr>
            </w:pPr>
            <w:r>
              <w:rPr>
                <w:rFonts w:hint="eastAsia" w:ascii="宋体" w:hAnsi="宋体" w:eastAsia="宋体" w:cs="宋体"/>
                <w:color w:val="auto"/>
                <w:spacing w:val="-3"/>
                <w:sz w:val="18"/>
                <w:szCs w:val="18"/>
              </w:rPr>
              <w:t>零售业</w:t>
            </w:r>
          </w:p>
        </w:tc>
        <w:tc>
          <w:tcPr>
            <w:tcW w:w="1450" w:type="dxa"/>
            <w:vAlign w:val="top"/>
          </w:tcPr>
          <w:p w14:paraId="0B761D5A">
            <w:pPr>
              <w:pStyle w:val="33"/>
              <w:spacing w:before="107"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33696F9F">
            <w:pPr>
              <w:pStyle w:val="33"/>
              <w:spacing w:before="107"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026F6E5B">
            <w:pPr>
              <w:pStyle w:val="33"/>
              <w:spacing w:before="107"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X≥300</w:t>
            </w:r>
          </w:p>
        </w:tc>
        <w:tc>
          <w:tcPr>
            <w:tcW w:w="1802" w:type="dxa"/>
            <w:vAlign w:val="top"/>
          </w:tcPr>
          <w:p w14:paraId="76DF1616">
            <w:pPr>
              <w:pStyle w:val="33"/>
              <w:spacing w:before="107" w:line="237" w:lineRule="auto"/>
              <w:ind w:left="459"/>
              <w:rPr>
                <w:rFonts w:hint="eastAsia" w:ascii="宋体" w:hAnsi="宋体" w:eastAsia="宋体" w:cs="宋体"/>
                <w:color w:val="auto"/>
                <w:sz w:val="18"/>
                <w:szCs w:val="18"/>
              </w:rPr>
            </w:pPr>
            <w:r>
              <w:rPr>
                <w:rFonts w:hint="eastAsia" w:ascii="宋体" w:hAnsi="宋体" w:eastAsia="宋体" w:cs="宋体"/>
                <w:color w:val="auto"/>
                <w:spacing w:val="-2"/>
                <w:sz w:val="18"/>
                <w:szCs w:val="18"/>
              </w:rPr>
              <w:t>50≤X＜300</w:t>
            </w:r>
          </w:p>
        </w:tc>
        <w:tc>
          <w:tcPr>
            <w:tcW w:w="1510" w:type="dxa"/>
            <w:vAlign w:val="top"/>
          </w:tcPr>
          <w:p w14:paraId="6EA2D38C">
            <w:pPr>
              <w:pStyle w:val="33"/>
              <w:spacing w:before="107" w:line="237" w:lineRule="auto"/>
              <w:ind w:left="369"/>
              <w:rPr>
                <w:rFonts w:hint="eastAsia" w:ascii="宋体" w:hAnsi="宋体" w:eastAsia="宋体" w:cs="宋体"/>
                <w:color w:val="auto"/>
                <w:sz w:val="18"/>
                <w:szCs w:val="18"/>
              </w:rPr>
            </w:pPr>
            <w:r>
              <w:rPr>
                <w:rFonts w:hint="eastAsia" w:ascii="宋体" w:hAnsi="宋体" w:eastAsia="宋体" w:cs="宋体"/>
                <w:color w:val="auto"/>
                <w:spacing w:val="-3"/>
                <w:sz w:val="18"/>
                <w:szCs w:val="18"/>
              </w:rPr>
              <w:t>10≤X＜50</w:t>
            </w:r>
          </w:p>
        </w:tc>
        <w:tc>
          <w:tcPr>
            <w:tcW w:w="1053" w:type="dxa"/>
            <w:vAlign w:val="top"/>
          </w:tcPr>
          <w:p w14:paraId="5134DC46">
            <w:pPr>
              <w:pStyle w:val="33"/>
              <w:spacing w:before="107"/>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X＜10</w:t>
            </w:r>
          </w:p>
        </w:tc>
      </w:tr>
      <w:tr w14:paraId="09C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9C87669">
            <w:pPr>
              <w:rPr>
                <w:rFonts w:hint="eastAsia" w:ascii="宋体" w:hAnsi="宋体" w:eastAsia="宋体" w:cs="宋体"/>
                <w:color w:val="auto"/>
                <w:sz w:val="21"/>
              </w:rPr>
            </w:pPr>
          </w:p>
        </w:tc>
        <w:tc>
          <w:tcPr>
            <w:tcW w:w="1450" w:type="dxa"/>
            <w:vAlign w:val="top"/>
          </w:tcPr>
          <w:p w14:paraId="7D635175">
            <w:pPr>
              <w:pStyle w:val="33"/>
              <w:spacing w:before="116"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19D3D2CB">
            <w:pPr>
              <w:pStyle w:val="33"/>
              <w:spacing w:before="106"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71A5283C">
            <w:pPr>
              <w:pStyle w:val="33"/>
              <w:spacing w:before="106"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Y≥20000</w:t>
            </w:r>
          </w:p>
        </w:tc>
        <w:tc>
          <w:tcPr>
            <w:tcW w:w="1802" w:type="dxa"/>
            <w:vAlign w:val="top"/>
          </w:tcPr>
          <w:p w14:paraId="1EF88844">
            <w:pPr>
              <w:pStyle w:val="33"/>
              <w:spacing w:before="106" w:line="237" w:lineRule="auto"/>
              <w:ind w:left="325"/>
              <w:rPr>
                <w:rFonts w:hint="eastAsia" w:ascii="宋体" w:hAnsi="宋体" w:eastAsia="宋体" w:cs="宋体"/>
                <w:color w:val="auto"/>
                <w:sz w:val="18"/>
                <w:szCs w:val="18"/>
              </w:rPr>
            </w:pPr>
            <w:r>
              <w:rPr>
                <w:rFonts w:hint="eastAsia" w:ascii="宋体" w:hAnsi="宋体" w:eastAsia="宋体" w:cs="宋体"/>
                <w:color w:val="auto"/>
                <w:spacing w:val="-1"/>
                <w:sz w:val="18"/>
                <w:szCs w:val="18"/>
              </w:rPr>
              <w:t>500≤Y＜20000</w:t>
            </w:r>
          </w:p>
        </w:tc>
        <w:tc>
          <w:tcPr>
            <w:tcW w:w="1510" w:type="dxa"/>
            <w:vAlign w:val="top"/>
          </w:tcPr>
          <w:p w14:paraId="01C53F84">
            <w:pPr>
              <w:pStyle w:val="33"/>
              <w:spacing w:before="106" w:line="237" w:lineRule="auto"/>
              <w:ind w:left="277"/>
              <w:rPr>
                <w:rFonts w:hint="eastAsia" w:ascii="宋体" w:hAnsi="宋体" w:eastAsia="宋体" w:cs="宋体"/>
                <w:color w:val="auto"/>
                <w:sz w:val="18"/>
                <w:szCs w:val="18"/>
              </w:rPr>
            </w:pPr>
            <w:r>
              <w:rPr>
                <w:rFonts w:hint="eastAsia" w:ascii="宋体" w:hAnsi="宋体" w:eastAsia="宋体" w:cs="宋体"/>
                <w:color w:val="auto"/>
                <w:spacing w:val="-3"/>
                <w:sz w:val="18"/>
                <w:szCs w:val="18"/>
              </w:rPr>
              <w:t>100≤Y＜500</w:t>
            </w:r>
          </w:p>
        </w:tc>
        <w:tc>
          <w:tcPr>
            <w:tcW w:w="1053" w:type="dxa"/>
            <w:vAlign w:val="top"/>
          </w:tcPr>
          <w:p w14:paraId="4512F96A">
            <w:pPr>
              <w:pStyle w:val="33"/>
              <w:spacing w:before="106"/>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Y＜100</w:t>
            </w:r>
          </w:p>
        </w:tc>
      </w:tr>
      <w:tr w14:paraId="45C4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7A13A957">
            <w:pPr>
              <w:spacing w:line="254" w:lineRule="auto"/>
              <w:rPr>
                <w:rFonts w:hint="eastAsia" w:ascii="宋体" w:hAnsi="宋体" w:eastAsia="宋体" w:cs="宋体"/>
                <w:color w:val="auto"/>
                <w:sz w:val="21"/>
              </w:rPr>
            </w:pPr>
          </w:p>
          <w:p w14:paraId="5F9BE378">
            <w:pPr>
              <w:pStyle w:val="33"/>
              <w:spacing w:before="58" w:line="220" w:lineRule="auto"/>
              <w:ind w:left="118"/>
              <w:rPr>
                <w:rFonts w:hint="eastAsia" w:ascii="宋体" w:hAnsi="宋体" w:eastAsia="宋体" w:cs="宋体"/>
                <w:color w:val="auto"/>
                <w:sz w:val="18"/>
                <w:szCs w:val="18"/>
              </w:rPr>
            </w:pPr>
            <w:r>
              <w:rPr>
                <w:rFonts w:hint="eastAsia" w:ascii="宋体" w:hAnsi="宋体" w:eastAsia="宋体" w:cs="宋体"/>
                <w:color w:val="auto"/>
                <w:spacing w:val="-1"/>
                <w:sz w:val="18"/>
                <w:szCs w:val="18"/>
              </w:rPr>
              <w:t>交通运输业 *</w:t>
            </w:r>
          </w:p>
        </w:tc>
        <w:tc>
          <w:tcPr>
            <w:tcW w:w="1450" w:type="dxa"/>
            <w:vAlign w:val="top"/>
          </w:tcPr>
          <w:p w14:paraId="5CCCC315">
            <w:pPr>
              <w:pStyle w:val="33"/>
              <w:spacing w:before="107"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6E698093">
            <w:pPr>
              <w:pStyle w:val="33"/>
              <w:spacing w:before="107"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6D02C161">
            <w:pPr>
              <w:pStyle w:val="33"/>
              <w:spacing w:before="107" w:line="238" w:lineRule="auto"/>
              <w:ind w:left="280"/>
              <w:rPr>
                <w:rFonts w:hint="eastAsia" w:ascii="宋体" w:hAnsi="宋体" w:eastAsia="宋体" w:cs="宋体"/>
                <w:color w:val="auto"/>
                <w:sz w:val="18"/>
                <w:szCs w:val="18"/>
              </w:rPr>
            </w:pPr>
            <w:r>
              <w:rPr>
                <w:rFonts w:hint="eastAsia" w:ascii="宋体" w:hAnsi="宋体" w:eastAsia="宋体" w:cs="宋体"/>
                <w:color w:val="auto"/>
                <w:spacing w:val="-1"/>
                <w:sz w:val="18"/>
                <w:szCs w:val="18"/>
              </w:rPr>
              <w:t>X≥1000</w:t>
            </w:r>
          </w:p>
        </w:tc>
        <w:tc>
          <w:tcPr>
            <w:tcW w:w="1802" w:type="dxa"/>
            <w:vAlign w:val="top"/>
          </w:tcPr>
          <w:p w14:paraId="586DB367">
            <w:pPr>
              <w:pStyle w:val="33"/>
              <w:spacing w:before="107" w:line="237" w:lineRule="auto"/>
              <w:ind w:left="368"/>
              <w:rPr>
                <w:rFonts w:hint="eastAsia" w:ascii="宋体" w:hAnsi="宋体" w:eastAsia="宋体" w:cs="宋体"/>
                <w:color w:val="auto"/>
                <w:sz w:val="18"/>
                <w:szCs w:val="18"/>
              </w:rPr>
            </w:pPr>
            <w:r>
              <w:rPr>
                <w:rFonts w:hint="eastAsia" w:ascii="宋体" w:hAnsi="宋体" w:eastAsia="宋体" w:cs="宋体"/>
                <w:color w:val="auto"/>
                <w:spacing w:val="-1"/>
                <w:sz w:val="18"/>
                <w:szCs w:val="18"/>
              </w:rPr>
              <w:t>300≤X＜1000</w:t>
            </w:r>
          </w:p>
        </w:tc>
        <w:tc>
          <w:tcPr>
            <w:tcW w:w="1510" w:type="dxa"/>
            <w:vAlign w:val="top"/>
          </w:tcPr>
          <w:p w14:paraId="1EC91ACC">
            <w:pPr>
              <w:pStyle w:val="33"/>
              <w:spacing w:before="107" w:line="237" w:lineRule="auto"/>
              <w:ind w:left="312"/>
              <w:rPr>
                <w:rFonts w:hint="eastAsia"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1053" w:type="dxa"/>
            <w:vAlign w:val="top"/>
          </w:tcPr>
          <w:p w14:paraId="2E6F833D">
            <w:pPr>
              <w:pStyle w:val="33"/>
              <w:spacing w:before="108"/>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X＜20</w:t>
            </w:r>
          </w:p>
        </w:tc>
      </w:tr>
      <w:tr w14:paraId="537E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5031682E">
            <w:pPr>
              <w:rPr>
                <w:rFonts w:hint="eastAsia" w:ascii="宋体" w:hAnsi="宋体" w:eastAsia="宋体" w:cs="宋体"/>
                <w:color w:val="auto"/>
                <w:sz w:val="21"/>
              </w:rPr>
            </w:pPr>
          </w:p>
        </w:tc>
        <w:tc>
          <w:tcPr>
            <w:tcW w:w="1450" w:type="dxa"/>
            <w:vAlign w:val="top"/>
          </w:tcPr>
          <w:p w14:paraId="73CB7108">
            <w:pPr>
              <w:pStyle w:val="33"/>
              <w:spacing w:before="116"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277ADE3D">
            <w:pPr>
              <w:pStyle w:val="33"/>
              <w:spacing w:before="106"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1B34117D">
            <w:pPr>
              <w:pStyle w:val="33"/>
              <w:spacing w:before="106"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Y≥30000</w:t>
            </w:r>
          </w:p>
        </w:tc>
        <w:tc>
          <w:tcPr>
            <w:tcW w:w="1802" w:type="dxa"/>
            <w:vAlign w:val="top"/>
          </w:tcPr>
          <w:p w14:paraId="7772AE38">
            <w:pPr>
              <w:pStyle w:val="33"/>
              <w:spacing w:before="106" w:line="237" w:lineRule="auto"/>
              <w:ind w:left="279"/>
              <w:rPr>
                <w:rFonts w:hint="eastAsia" w:ascii="宋体" w:hAnsi="宋体" w:eastAsia="宋体" w:cs="宋体"/>
                <w:color w:val="auto"/>
                <w:sz w:val="18"/>
                <w:szCs w:val="18"/>
              </w:rPr>
            </w:pPr>
            <w:r>
              <w:rPr>
                <w:rFonts w:hint="eastAsia" w:ascii="宋体" w:hAnsi="宋体" w:eastAsia="宋体" w:cs="宋体"/>
                <w:color w:val="auto"/>
                <w:spacing w:val="-1"/>
                <w:sz w:val="18"/>
                <w:szCs w:val="18"/>
              </w:rPr>
              <w:t>3000≤Y＜30000</w:t>
            </w:r>
          </w:p>
        </w:tc>
        <w:tc>
          <w:tcPr>
            <w:tcW w:w="1510" w:type="dxa"/>
            <w:vAlign w:val="top"/>
          </w:tcPr>
          <w:p w14:paraId="200ABB37">
            <w:pPr>
              <w:pStyle w:val="33"/>
              <w:spacing w:before="106" w:line="237" w:lineRule="auto"/>
              <w:ind w:left="223"/>
              <w:rPr>
                <w:rFonts w:hint="eastAsia" w:ascii="宋体" w:hAnsi="宋体" w:eastAsia="宋体" w:cs="宋体"/>
                <w:color w:val="auto"/>
                <w:sz w:val="18"/>
                <w:szCs w:val="18"/>
              </w:rPr>
            </w:pPr>
            <w:r>
              <w:rPr>
                <w:rFonts w:hint="eastAsia" w:ascii="宋体" w:hAnsi="宋体" w:eastAsia="宋体" w:cs="宋体"/>
                <w:color w:val="auto"/>
                <w:spacing w:val="-1"/>
                <w:sz w:val="18"/>
                <w:szCs w:val="18"/>
              </w:rPr>
              <w:t>200≤Y＜3000</w:t>
            </w:r>
          </w:p>
        </w:tc>
        <w:tc>
          <w:tcPr>
            <w:tcW w:w="1053" w:type="dxa"/>
            <w:vAlign w:val="top"/>
          </w:tcPr>
          <w:p w14:paraId="45461695">
            <w:pPr>
              <w:pStyle w:val="33"/>
              <w:spacing w:before="107"/>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Y＜200</w:t>
            </w:r>
          </w:p>
        </w:tc>
      </w:tr>
      <w:tr w14:paraId="6A474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01DE7856">
            <w:pPr>
              <w:spacing w:line="254" w:lineRule="auto"/>
              <w:rPr>
                <w:rFonts w:hint="eastAsia" w:ascii="宋体" w:hAnsi="宋体" w:eastAsia="宋体" w:cs="宋体"/>
                <w:color w:val="auto"/>
                <w:sz w:val="21"/>
              </w:rPr>
            </w:pPr>
          </w:p>
          <w:p w14:paraId="5064F5BE">
            <w:pPr>
              <w:pStyle w:val="33"/>
              <w:spacing w:before="58" w:line="221" w:lineRule="auto"/>
              <w:ind w:left="114"/>
              <w:rPr>
                <w:rFonts w:hint="eastAsia" w:ascii="宋体" w:hAnsi="宋体" w:eastAsia="宋体" w:cs="宋体"/>
                <w:color w:val="auto"/>
                <w:sz w:val="18"/>
                <w:szCs w:val="18"/>
              </w:rPr>
            </w:pPr>
            <w:r>
              <w:rPr>
                <w:rFonts w:hint="eastAsia" w:ascii="宋体" w:hAnsi="宋体" w:eastAsia="宋体" w:cs="宋体"/>
                <w:color w:val="auto"/>
                <w:spacing w:val="-2"/>
                <w:sz w:val="18"/>
                <w:szCs w:val="18"/>
              </w:rPr>
              <w:t>仓储业*</w:t>
            </w:r>
          </w:p>
        </w:tc>
        <w:tc>
          <w:tcPr>
            <w:tcW w:w="1450" w:type="dxa"/>
            <w:vAlign w:val="top"/>
          </w:tcPr>
          <w:p w14:paraId="454EBE29">
            <w:pPr>
              <w:pStyle w:val="33"/>
              <w:spacing w:before="107"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006A666A">
            <w:pPr>
              <w:pStyle w:val="33"/>
              <w:spacing w:before="108"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75437C59">
            <w:pPr>
              <w:pStyle w:val="33"/>
              <w:spacing w:before="108"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X≥200</w:t>
            </w:r>
          </w:p>
        </w:tc>
        <w:tc>
          <w:tcPr>
            <w:tcW w:w="1802" w:type="dxa"/>
            <w:vAlign w:val="top"/>
          </w:tcPr>
          <w:p w14:paraId="505946EE">
            <w:pPr>
              <w:pStyle w:val="33"/>
              <w:spacing w:before="107" w:line="237" w:lineRule="auto"/>
              <w:ind w:left="371"/>
              <w:rPr>
                <w:rFonts w:hint="eastAsia" w:ascii="宋体" w:hAnsi="宋体" w:eastAsia="宋体" w:cs="宋体"/>
                <w:color w:val="auto"/>
                <w:sz w:val="18"/>
                <w:szCs w:val="18"/>
              </w:rPr>
            </w:pPr>
            <w:r>
              <w:rPr>
                <w:rFonts w:hint="eastAsia" w:ascii="宋体" w:hAnsi="宋体" w:eastAsia="宋体" w:cs="宋体"/>
                <w:color w:val="auto"/>
                <w:spacing w:val="-3"/>
                <w:sz w:val="18"/>
                <w:szCs w:val="18"/>
              </w:rPr>
              <w:t>100≤X＜200</w:t>
            </w:r>
          </w:p>
        </w:tc>
        <w:tc>
          <w:tcPr>
            <w:tcW w:w="1510" w:type="dxa"/>
            <w:vAlign w:val="top"/>
          </w:tcPr>
          <w:p w14:paraId="7D7B7FBC">
            <w:pPr>
              <w:pStyle w:val="33"/>
              <w:spacing w:before="107" w:line="237" w:lineRule="auto"/>
              <w:ind w:left="312"/>
              <w:rPr>
                <w:rFonts w:hint="eastAsia" w:ascii="宋体" w:hAnsi="宋体" w:eastAsia="宋体" w:cs="宋体"/>
                <w:color w:val="auto"/>
                <w:sz w:val="18"/>
                <w:szCs w:val="18"/>
              </w:rPr>
            </w:pPr>
            <w:r>
              <w:rPr>
                <w:rFonts w:hint="eastAsia" w:ascii="宋体" w:hAnsi="宋体" w:eastAsia="宋体" w:cs="宋体"/>
                <w:color w:val="auto"/>
                <w:spacing w:val="-1"/>
                <w:sz w:val="18"/>
                <w:szCs w:val="18"/>
              </w:rPr>
              <w:t>20≤X＜100</w:t>
            </w:r>
          </w:p>
        </w:tc>
        <w:tc>
          <w:tcPr>
            <w:tcW w:w="1053" w:type="dxa"/>
            <w:vAlign w:val="top"/>
          </w:tcPr>
          <w:p w14:paraId="43B510CA">
            <w:pPr>
              <w:pStyle w:val="33"/>
              <w:spacing w:before="108"/>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X＜20</w:t>
            </w:r>
          </w:p>
        </w:tc>
      </w:tr>
      <w:tr w14:paraId="6CC70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23BC9EA">
            <w:pPr>
              <w:rPr>
                <w:rFonts w:hint="eastAsia" w:ascii="宋体" w:hAnsi="宋体" w:eastAsia="宋体" w:cs="宋体"/>
                <w:color w:val="auto"/>
                <w:sz w:val="21"/>
              </w:rPr>
            </w:pPr>
          </w:p>
        </w:tc>
        <w:tc>
          <w:tcPr>
            <w:tcW w:w="1450" w:type="dxa"/>
            <w:vAlign w:val="top"/>
          </w:tcPr>
          <w:p w14:paraId="12EB78D4">
            <w:pPr>
              <w:pStyle w:val="33"/>
              <w:spacing w:before="114"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6D7CB4B5">
            <w:pPr>
              <w:pStyle w:val="33"/>
              <w:spacing w:before="106"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399F6D39">
            <w:pPr>
              <w:pStyle w:val="33"/>
              <w:spacing w:before="107"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Y≥30000</w:t>
            </w:r>
          </w:p>
        </w:tc>
        <w:tc>
          <w:tcPr>
            <w:tcW w:w="1802" w:type="dxa"/>
            <w:vAlign w:val="top"/>
          </w:tcPr>
          <w:p w14:paraId="5A88181E">
            <w:pPr>
              <w:pStyle w:val="33"/>
              <w:spacing w:before="106" w:line="237" w:lineRule="auto"/>
              <w:ind w:left="289"/>
              <w:rPr>
                <w:rFonts w:hint="eastAsia" w:ascii="宋体" w:hAnsi="宋体" w:eastAsia="宋体" w:cs="宋体"/>
                <w:color w:val="auto"/>
                <w:sz w:val="18"/>
                <w:szCs w:val="18"/>
              </w:rPr>
            </w:pPr>
            <w:r>
              <w:rPr>
                <w:rFonts w:hint="eastAsia" w:ascii="宋体" w:hAnsi="宋体" w:eastAsia="宋体" w:cs="宋体"/>
                <w:color w:val="auto"/>
                <w:spacing w:val="-2"/>
                <w:sz w:val="18"/>
                <w:szCs w:val="18"/>
              </w:rPr>
              <w:t>1000≤Y＜30000</w:t>
            </w:r>
          </w:p>
        </w:tc>
        <w:tc>
          <w:tcPr>
            <w:tcW w:w="1510" w:type="dxa"/>
            <w:vAlign w:val="top"/>
          </w:tcPr>
          <w:p w14:paraId="601DAB21">
            <w:pPr>
              <w:pStyle w:val="33"/>
              <w:spacing w:before="106" w:line="237" w:lineRule="auto"/>
              <w:ind w:left="234"/>
              <w:rPr>
                <w:rFonts w:hint="eastAsia" w:ascii="宋体" w:hAnsi="宋体" w:eastAsia="宋体" w:cs="宋体"/>
                <w:color w:val="auto"/>
                <w:sz w:val="18"/>
                <w:szCs w:val="18"/>
              </w:rPr>
            </w:pPr>
            <w:r>
              <w:rPr>
                <w:rFonts w:hint="eastAsia" w:ascii="宋体" w:hAnsi="宋体" w:eastAsia="宋体" w:cs="宋体"/>
                <w:color w:val="auto"/>
                <w:spacing w:val="-2"/>
                <w:sz w:val="18"/>
                <w:szCs w:val="18"/>
              </w:rPr>
              <w:t>100≤Y＜1000</w:t>
            </w:r>
          </w:p>
        </w:tc>
        <w:tc>
          <w:tcPr>
            <w:tcW w:w="1053" w:type="dxa"/>
            <w:vAlign w:val="top"/>
          </w:tcPr>
          <w:p w14:paraId="542740CA">
            <w:pPr>
              <w:pStyle w:val="33"/>
              <w:spacing w:before="107"/>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Y＜100</w:t>
            </w:r>
          </w:p>
        </w:tc>
      </w:tr>
      <w:tr w14:paraId="6E01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2DC63BAD">
            <w:pPr>
              <w:spacing w:line="254" w:lineRule="auto"/>
              <w:rPr>
                <w:rFonts w:hint="eastAsia" w:ascii="宋体" w:hAnsi="宋体" w:eastAsia="宋体" w:cs="宋体"/>
                <w:color w:val="auto"/>
                <w:sz w:val="21"/>
              </w:rPr>
            </w:pPr>
          </w:p>
          <w:p w14:paraId="7B1CFC53">
            <w:pPr>
              <w:pStyle w:val="33"/>
              <w:spacing w:before="58" w:line="222" w:lineRule="auto"/>
              <w:ind w:left="128"/>
              <w:rPr>
                <w:rFonts w:hint="eastAsia" w:ascii="宋体" w:hAnsi="宋体" w:eastAsia="宋体" w:cs="宋体"/>
                <w:color w:val="auto"/>
                <w:sz w:val="18"/>
                <w:szCs w:val="18"/>
              </w:rPr>
            </w:pPr>
            <w:r>
              <w:rPr>
                <w:rFonts w:hint="eastAsia" w:ascii="宋体" w:hAnsi="宋体" w:eastAsia="宋体" w:cs="宋体"/>
                <w:color w:val="auto"/>
                <w:spacing w:val="-7"/>
                <w:sz w:val="18"/>
                <w:szCs w:val="18"/>
              </w:rPr>
              <w:t>邮政业</w:t>
            </w:r>
          </w:p>
        </w:tc>
        <w:tc>
          <w:tcPr>
            <w:tcW w:w="1450" w:type="dxa"/>
            <w:vAlign w:val="top"/>
          </w:tcPr>
          <w:p w14:paraId="6524E3CC">
            <w:pPr>
              <w:pStyle w:val="33"/>
              <w:spacing w:before="105"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26451FC2">
            <w:pPr>
              <w:pStyle w:val="33"/>
              <w:spacing w:before="106"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0B7B5DE0">
            <w:pPr>
              <w:pStyle w:val="33"/>
              <w:spacing w:before="106" w:line="238" w:lineRule="auto"/>
              <w:ind w:left="280"/>
              <w:rPr>
                <w:rFonts w:hint="eastAsia" w:ascii="宋体" w:hAnsi="宋体" w:eastAsia="宋体" w:cs="宋体"/>
                <w:color w:val="auto"/>
                <w:sz w:val="18"/>
                <w:szCs w:val="18"/>
              </w:rPr>
            </w:pPr>
            <w:r>
              <w:rPr>
                <w:rFonts w:hint="eastAsia" w:ascii="宋体" w:hAnsi="宋体" w:eastAsia="宋体" w:cs="宋体"/>
                <w:color w:val="auto"/>
                <w:spacing w:val="-1"/>
                <w:sz w:val="18"/>
                <w:szCs w:val="18"/>
              </w:rPr>
              <w:t>X≥1000</w:t>
            </w:r>
          </w:p>
        </w:tc>
        <w:tc>
          <w:tcPr>
            <w:tcW w:w="1802" w:type="dxa"/>
            <w:vAlign w:val="top"/>
          </w:tcPr>
          <w:p w14:paraId="5EF146FB">
            <w:pPr>
              <w:pStyle w:val="33"/>
              <w:spacing w:before="105" w:line="237" w:lineRule="auto"/>
              <w:ind w:left="368"/>
              <w:rPr>
                <w:rFonts w:hint="eastAsia" w:ascii="宋体" w:hAnsi="宋体" w:eastAsia="宋体" w:cs="宋体"/>
                <w:color w:val="auto"/>
                <w:sz w:val="18"/>
                <w:szCs w:val="18"/>
              </w:rPr>
            </w:pPr>
            <w:r>
              <w:rPr>
                <w:rFonts w:hint="eastAsia" w:ascii="宋体" w:hAnsi="宋体" w:eastAsia="宋体" w:cs="宋体"/>
                <w:color w:val="auto"/>
                <w:spacing w:val="-1"/>
                <w:sz w:val="18"/>
                <w:szCs w:val="18"/>
              </w:rPr>
              <w:t>300≤X＜1000</w:t>
            </w:r>
          </w:p>
        </w:tc>
        <w:tc>
          <w:tcPr>
            <w:tcW w:w="1510" w:type="dxa"/>
            <w:vAlign w:val="top"/>
          </w:tcPr>
          <w:p w14:paraId="530B80DB">
            <w:pPr>
              <w:pStyle w:val="33"/>
              <w:spacing w:before="105" w:line="237" w:lineRule="auto"/>
              <w:ind w:left="312"/>
              <w:rPr>
                <w:rFonts w:hint="eastAsia"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1053" w:type="dxa"/>
            <w:vAlign w:val="top"/>
          </w:tcPr>
          <w:p w14:paraId="61FEBB9C">
            <w:pPr>
              <w:pStyle w:val="33"/>
              <w:spacing w:before="106"/>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X＜20</w:t>
            </w:r>
          </w:p>
        </w:tc>
      </w:tr>
      <w:tr w14:paraId="13273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45CF07">
            <w:pPr>
              <w:rPr>
                <w:rFonts w:hint="eastAsia" w:ascii="宋体" w:hAnsi="宋体" w:eastAsia="宋体" w:cs="宋体"/>
                <w:color w:val="auto"/>
                <w:sz w:val="21"/>
              </w:rPr>
            </w:pPr>
          </w:p>
        </w:tc>
        <w:tc>
          <w:tcPr>
            <w:tcW w:w="1450" w:type="dxa"/>
            <w:vAlign w:val="top"/>
          </w:tcPr>
          <w:p w14:paraId="4195F66D">
            <w:pPr>
              <w:pStyle w:val="33"/>
              <w:spacing w:before="114"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123BC633">
            <w:pPr>
              <w:pStyle w:val="33"/>
              <w:spacing w:before="107"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4A5C77DD">
            <w:pPr>
              <w:pStyle w:val="33"/>
              <w:spacing w:before="107"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Y≥30000</w:t>
            </w:r>
          </w:p>
        </w:tc>
        <w:tc>
          <w:tcPr>
            <w:tcW w:w="1802" w:type="dxa"/>
            <w:vAlign w:val="top"/>
          </w:tcPr>
          <w:p w14:paraId="7B28B2C9">
            <w:pPr>
              <w:pStyle w:val="33"/>
              <w:spacing w:before="107" w:line="237" w:lineRule="auto"/>
              <w:ind w:left="278"/>
              <w:rPr>
                <w:rFonts w:hint="eastAsia" w:ascii="宋体" w:hAnsi="宋体" w:eastAsia="宋体" w:cs="宋体"/>
                <w:color w:val="auto"/>
                <w:sz w:val="18"/>
                <w:szCs w:val="18"/>
              </w:rPr>
            </w:pPr>
            <w:r>
              <w:rPr>
                <w:rFonts w:hint="eastAsia" w:ascii="宋体" w:hAnsi="宋体" w:eastAsia="宋体" w:cs="宋体"/>
                <w:color w:val="auto"/>
                <w:spacing w:val="-1"/>
                <w:sz w:val="18"/>
                <w:szCs w:val="18"/>
              </w:rPr>
              <w:t>2000≤Y＜30000</w:t>
            </w:r>
          </w:p>
        </w:tc>
        <w:tc>
          <w:tcPr>
            <w:tcW w:w="1510" w:type="dxa"/>
            <w:vAlign w:val="top"/>
          </w:tcPr>
          <w:p w14:paraId="5B0D0896">
            <w:pPr>
              <w:pStyle w:val="33"/>
              <w:spacing w:before="107" w:line="237" w:lineRule="auto"/>
              <w:ind w:left="234"/>
              <w:rPr>
                <w:rFonts w:hint="eastAsia" w:ascii="宋体" w:hAnsi="宋体" w:eastAsia="宋体" w:cs="宋体"/>
                <w:color w:val="auto"/>
                <w:sz w:val="18"/>
                <w:szCs w:val="18"/>
              </w:rPr>
            </w:pPr>
            <w:r>
              <w:rPr>
                <w:rFonts w:hint="eastAsia" w:ascii="宋体" w:hAnsi="宋体" w:eastAsia="宋体" w:cs="宋体"/>
                <w:color w:val="auto"/>
                <w:spacing w:val="-2"/>
                <w:sz w:val="18"/>
                <w:szCs w:val="18"/>
              </w:rPr>
              <w:t>100≤Y＜2000</w:t>
            </w:r>
          </w:p>
        </w:tc>
        <w:tc>
          <w:tcPr>
            <w:tcW w:w="1053" w:type="dxa"/>
            <w:vAlign w:val="top"/>
          </w:tcPr>
          <w:p w14:paraId="376F33CD">
            <w:pPr>
              <w:pStyle w:val="33"/>
              <w:spacing w:before="107"/>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Y＜100</w:t>
            </w:r>
          </w:p>
        </w:tc>
      </w:tr>
      <w:tr w14:paraId="5A5D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2C5A262">
            <w:pPr>
              <w:spacing w:line="255" w:lineRule="auto"/>
              <w:rPr>
                <w:rFonts w:hint="eastAsia" w:ascii="宋体" w:hAnsi="宋体" w:eastAsia="宋体" w:cs="宋体"/>
                <w:color w:val="auto"/>
                <w:sz w:val="21"/>
              </w:rPr>
            </w:pPr>
          </w:p>
          <w:p w14:paraId="0B327263">
            <w:pPr>
              <w:pStyle w:val="33"/>
              <w:spacing w:before="58" w:line="220" w:lineRule="auto"/>
              <w:ind w:left="114"/>
              <w:rPr>
                <w:rFonts w:hint="eastAsia" w:ascii="宋体" w:hAnsi="宋体" w:eastAsia="宋体" w:cs="宋体"/>
                <w:color w:val="auto"/>
                <w:sz w:val="18"/>
                <w:szCs w:val="18"/>
              </w:rPr>
            </w:pPr>
            <w:r>
              <w:rPr>
                <w:rFonts w:hint="eastAsia" w:ascii="宋体" w:hAnsi="宋体" w:eastAsia="宋体" w:cs="宋体"/>
                <w:color w:val="auto"/>
                <w:spacing w:val="-3"/>
                <w:sz w:val="18"/>
                <w:szCs w:val="18"/>
              </w:rPr>
              <w:t>住宿业</w:t>
            </w:r>
          </w:p>
        </w:tc>
        <w:tc>
          <w:tcPr>
            <w:tcW w:w="1450" w:type="dxa"/>
            <w:vAlign w:val="top"/>
          </w:tcPr>
          <w:p w14:paraId="2FF0199F">
            <w:pPr>
              <w:pStyle w:val="33"/>
              <w:spacing w:before="106"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5AD57182">
            <w:pPr>
              <w:pStyle w:val="33"/>
              <w:spacing w:before="106"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62291C82">
            <w:pPr>
              <w:pStyle w:val="33"/>
              <w:spacing w:before="106"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X≥300</w:t>
            </w:r>
          </w:p>
        </w:tc>
        <w:tc>
          <w:tcPr>
            <w:tcW w:w="1802" w:type="dxa"/>
            <w:vAlign w:val="top"/>
          </w:tcPr>
          <w:p w14:paraId="0E6DABCF">
            <w:pPr>
              <w:pStyle w:val="33"/>
              <w:spacing w:before="106" w:line="237" w:lineRule="auto"/>
              <w:ind w:left="371"/>
              <w:rPr>
                <w:rFonts w:hint="eastAsia" w:ascii="宋体" w:hAnsi="宋体" w:eastAsia="宋体" w:cs="宋体"/>
                <w:color w:val="auto"/>
                <w:sz w:val="18"/>
                <w:szCs w:val="18"/>
              </w:rPr>
            </w:pPr>
            <w:r>
              <w:rPr>
                <w:rFonts w:hint="eastAsia" w:ascii="宋体" w:hAnsi="宋体" w:eastAsia="宋体" w:cs="宋体"/>
                <w:color w:val="auto"/>
                <w:spacing w:val="-3"/>
                <w:sz w:val="18"/>
                <w:szCs w:val="18"/>
              </w:rPr>
              <w:t>100≤X＜300</w:t>
            </w:r>
          </w:p>
        </w:tc>
        <w:tc>
          <w:tcPr>
            <w:tcW w:w="1510" w:type="dxa"/>
            <w:vAlign w:val="top"/>
          </w:tcPr>
          <w:p w14:paraId="46CFE7A9">
            <w:pPr>
              <w:pStyle w:val="33"/>
              <w:spacing w:before="106" w:line="237" w:lineRule="auto"/>
              <w:ind w:left="323"/>
              <w:rPr>
                <w:rFonts w:hint="eastAsia" w:ascii="宋体" w:hAnsi="宋体" w:eastAsia="宋体" w:cs="宋体"/>
                <w:color w:val="auto"/>
                <w:sz w:val="18"/>
                <w:szCs w:val="18"/>
              </w:rPr>
            </w:pPr>
            <w:r>
              <w:rPr>
                <w:rFonts w:hint="eastAsia" w:ascii="宋体" w:hAnsi="宋体" w:eastAsia="宋体" w:cs="宋体"/>
                <w:color w:val="auto"/>
                <w:spacing w:val="-3"/>
                <w:sz w:val="18"/>
                <w:szCs w:val="18"/>
              </w:rPr>
              <w:t>10≤X＜100</w:t>
            </w:r>
          </w:p>
        </w:tc>
        <w:tc>
          <w:tcPr>
            <w:tcW w:w="1053" w:type="dxa"/>
            <w:vAlign w:val="top"/>
          </w:tcPr>
          <w:p w14:paraId="029CAAC8">
            <w:pPr>
              <w:pStyle w:val="33"/>
              <w:spacing w:before="106"/>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X＜10</w:t>
            </w:r>
          </w:p>
        </w:tc>
      </w:tr>
      <w:tr w14:paraId="6B1ED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3F8B2C7">
            <w:pPr>
              <w:rPr>
                <w:rFonts w:hint="eastAsia" w:ascii="宋体" w:hAnsi="宋体" w:eastAsia="宋体" w:cs="宋体"/>
                <w:color w:val="auto"/>
                <w:sz w:val="21"/>
              </w:rPr>
            </w:pPr>
          </w:p>
        </w:tc>
        <w:tc>
          <w:tcPr>
            <w:tcW w:w="1450" w:type="dxa"/>
            <w:vAlign w:val="top"/>
          </w:tcPr>
          <w:p w14:paraId="1968AC6D">
            <w:pPr>
              <w:pStyle w:val="33"/>
              <w:spacing w:before="115"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4F5A8FDA">
            <w:pPr>
              <w:pStyle w:val="33"/>
              <w:spacing w:before="107"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07580CEF">
            <w:pPr>
              <w:pStyle w:val="33"/>
              <w:spacing w:before="108"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Y≥10000</w:t>
            </w:r>
          </w:p>
        </w:tc>
        <w:tc>
          <w:tcPr>
            <w:tcW w:w="1802" w:type="dxa"/>
            <w:vAlign w:val="top"/>
          </w:tcPr>
          <w:p w14:paraId="6452833D">
            <w:pPr>
              <w:pStyle w:val="33"/>
              <w:spacing w:before="107" w:line="237" w:lineRule="auto"/>
              <w:ind w:left="278"/>
              <w:rPr>
                <w:rFonts w:hint="eastAsia" w:ascii="宋体" w:hAnsi="宋体" w:eastAsia="宋体" w:cs="宋体"/>
                <w:color w:val="auto"/>
                <w:sz w:val="18"/>
                <w:szCs w:val="18"/>
              </w:rPr>
            </w:pPr>
            <w:r>
              <w:rPr>
                <w:rFonts w:hint="eastAsia" w:ascii="宋体" w:hAnsi="宋体" w:eastAsia="宋体" w:cs="宋体"/>
                <w:color w:val="auto"/>
                <w:spacing w:val="-1"/>
                <w:sz w:val="18"/>
                <w:szCs w:val="18"/>
              </w:rPr>
              <w:t>2000≤Y＜10000</w:t>
            </w:r>
          </w:p>
        </w:tc>
        <w:tc>
          <w:tcPr>
            <w:tcW w:w="1510" w:type="dxa"/>
            <w:vAlign w:val="top"/>
          </w:tcPr>
          <w:p w14:paraId="195B821C">
            <w:pPr>
              <w:pStyle w:val="33"/>
              <w:spacing w:before="107" w:line="237" w:lineRule="auto"/>
              <w:ind w:left="234"/>
              <w:rPr>
                <w:rFonts w:hint="eastAsia" w:ascii="宋体" w:hAnsi="宋体" w:eastAsia="宋体" w:cs="宋体"/>
                <w:color w:val="auto"/>
                <w:sz w:val="18"/>
                <w:szCs w:val="18"/>
              </w:rPr>
            </w:pPr>
            <w:r>
              <w:rPr>
                <w:rFonts w:hint="eastAsia" w:ascii="宋体" w:hAnsi="宋体" w:eastAsia="宋体" w:cs="宋体"/>
                <w:color w:val="auto"/>
                <w:spacing w:val="-2"/>
                <w:sz w:val="18"/>
                <w:szCs w:val="18"/>
              </w:rPr>
              <w:t>100≤Y＜2000</w:t>
            </w:r>
          </w:p>
        </w:tc>
        <w:tc>
          <w:tcPr>
            <w:tcW w:w="1053" w:type="dxa"/>
            <w:vAlign w:val="top"/>
          </w:tcPr>
          <w:p w14:paraId="1DC93AE6">
            <w:pPr>
              <w:pStyle w:val="33"/>
              <w:spacing w:before="108"/>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Y＜100</w:t>
            </w:r>
          </w:p>
        </w:tc>
      </w:tr>
      <w:tr w14:paraId="77E38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A12799F">
            <w:pPr>
              <w:spacing w:line="253" w:lineRule="auto"/>
              <w:rPr>
                <w:rFonts w:hint="eastAsia" w:ascii="宋体" w:hAnsi="宋体" w:eastAsia="宋体" w:cs="宋体"/>
                <w:color w:val="auto"/>
                <w:sz w:val="21"/>
              </w:rPr>
            </w:pPr>
          </w:p>
          <w:p w14:paraId="7EC8265E">
            <w:pPr>
              <w:pStyle w:val="33"/>
              <w:spacing w:before="58" w:line="220" w:lineRule="auto"/>
              <w:ind w:left="116"/>
              <w:rPr>
                <w:rFonts w:hint="eastAsia" w:ascii="宋体" w:hAnsi="宋体" w:eastAsia="宋体" w:cs="宋体"/>
                <w:color w:val="auto"/>
                <w:sz w:val="18"/>
                <w:szCs w:val="18"/>
              </w:rPr>
            </w:pPr>
            <w:r>
              <w:rPr>
                <w:rFonts w:hint="eastAsia" w:ascii="宋体" w:hAnsi="宋体" w:eastAsia="宋体" w:cs="宋体"/>
                <w:color w:val="auto"/>
                <w:spacing w:val="-3"/>
                <w:sz w:val="18"/>
                <w:szCs w:val="18"/>
              </w:rPr>
              <w:t>餐饮业</w:t>
            </w:r>
          </w:p>
        </w:tc>
        <w:tc>
          <w:tcPr>
            <w:tcW w:w="1450" w:type="dxa"/>
            <w:vAlign w:val="top"/>
          </w:tcPr>
          <w:p w14:paraId="0B085067">
            <w:pPr>
              <w:pStyle w:val="33"/>
              <w:spacing w:before="106"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2521A248">
            <w:pPr>
              <w:pStyle w:val="33"/>
              <w:spacing w:before="106"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62724D20">
            <w:pPr>
              <w:pStyle w:val="33"/>
              <w:spacing w:before="107"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X≥300</w:t>
            </w:r>
          </w:p>
        </w:tc>
        <w:tc>
          <w:tcPr>
            <w:tcW w:w="1802" w:type="dxa"/>
            <w:vAlign w:val="top"/>
          </w:tcPr>
          <w:p w14:paraId="0CCCF654">
            <w:pPr>
              <w:pStyle w:val="33"/>
              <w:spacing w:before="106" w:line="237" w:lineRule="auto"/>
              <w:ind w:left="371"/>
              <w:rPr>
                <w:rFonts w:hint="eastAsia" w:ascii="宋体" w:hAnsi="宋体" w:eastAsia="宋体" w:cs="宋体"/>
                <w:color w:val="auto"/>
                <w:sz w:val="18"/>
                <w:szCs w:val="18"/>
              </w:rPr>
            </w:pPr>
            <w:r>
              <w:rPr>
                <w:rFonts w:hint="eastAsia" w:ascii="宋体" w:hAnsi="宋体" w:eastAsia="宋体" w:cs="宋体"/>
                <w:color w:val="auto"/>
                <w:spacing w:val="-3"/>
                <w:sz w:val="18"/>
                <w:szCs w:val="18"/>
              </w:rPr>
              <w:t>100≤X＜300</w:t>
            </w:r>
          </w:p>
        </w:tc>
        <w:tc>
          <w:tcPr>
            <w:tcW w:w="1510" w:type="dxa"/>
            <w:vAlign w:val="top"/>
          </w:tcPr>
          <w:p w14:paraId="4DFA6352">
            <w:pPr>
              <w:pStyle w:val="33"/>
              <w:spacing w:before="106" w:line="237" w:lineRule="auto"/>
              <w:ind w:left="323"/>
              <w:rPr>
                <w:rFonts w:hint="eastAsia" w:ascii="宋体" w:hAnsi="宋体" w:eastAsia="宋体" w:cs="宋体"/>
                <w:color w:val="auto"/>
                <w:sz w:val="18"/>
                <w:szCs w:val="18"/>
              </w:rPr>
            </w:pPr>
            <w:r>
              <w:rPr>
                <w:rFonts w:hint="eastAsia" w:ascii="宋体" w:hAnsi="宋体" w:eastAsia="宋体" w:cs="宋体"/>
                <w:color w:val="auto"/>
                <w:spacing w:val="-3"/>
                <w:sz w:val="18"/>
                <w:szCs w:val="18"/>
              </w:rPr>
              <w:t>10≤X＜100</w:t>
            </w:r>
          </w:p>
        </w:tc>
        <w:tc>
          <w:tcPr>
            <w:tcW w:w="1053" w:type="dxa"/>
            <w:vAlign w:val="top"/>
          </w:tcPr>
          <w:p w14:paraId="789F0F26">
            <w:pPr>
              <w:pStyle w:val="33"/>
              <w:spacing w:before="107"/>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X＜10</w:t>
            </w:r>
          </w:p>
        </w:tc>
      </w:tr>
      <w:tr w14:paraId="2ACB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8D217A2">
            <w:pPr>
              <w:rPr>
                <w:rFonts w:hint="eastAsia" w:ascii="宋体" w:hAnsi="宋体" w:eastAsia="宋体" w:cs="宋体"/>
                <w:color w:val="auto"/>
                <w:sz w:val="21"/>
              </w:rPr>
            </w:pPr>
          </w:p>
        </w:tc>
        <w:tc>
          <w:tcPr>
            <w:tcW w:w="1450" w:type="dxa"/>
            <w:vAlign w:val="top"/>
          </w:tcPr>
          <w:p w14:paraId="281583AF">
            <w:pPr>
              <w:pStyle w:val="33"/>
              <w:spacing w:before="115"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1DB012B4">
            <w:pPr>
              <w:pStyle w:val="33"/>
              <w:spacing w:before="108"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73042525">
            <w:pPr>
              <w:pStyle w:val="33"/>
              <w:spacing w:before="108"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Y≥10000</w:t>
            </w:r>
          </w:p>
        </w:tc>
        <w:tc>
          <w:tcPr>
            <w:tcW w:w="1802" w:type="dxa"/>
            <w:vAlign w:val="top"/>
          </w:tcPr>
          <w:p w14:paraId="7274B5A0">
            <w:pPr>
              <w:pStyle w:val="33"/>
              <w:spacing w:before="108" w:line="237" w:lineRule="auto"/>
              <w:ind w:left="278"/>
              <w:rPr>
                <w:rFonts w:hint="eastAsia" w:ascii="宋体" w:hAnsi="宋体" w:eastAsia="宋体" w:cs="宋体"/>
                <w:color w:val="auto"/>
                <w:sz w:val="18"/>
                <w:szCs w:val="18"/>
              </w:rPr>
            </w:pPr>
            <w:r>
              <w:rPr>
                <w:rFonts w:hint="eastAsia" w:ascii="宋体" w:hAnsi="宋体" w:eastAsia="宋体" w:cs="宋体"/>
                <w:color w:val="auto"/>
                <w:spacing w:val="-1"/>
                <w:sz w:val="18"/>
                <w:szCs w:val="18"/>
              </w:rPr>
              <w:t>2000≤Y＜10000</w:t>
            </w:r>
          </w:p>
        </w:tc>
        <w:tc>
          <w:tcPr>
            <w:tcW w:w="1510" w:type="dxa"/>
            <w:vAlign w:val="top"/>
          </w:tcPr>
          <w:p w14:paraId="3F34C857">
            <w:pPr>
              <w:pStyle w:val="33"/>
              <w:spacing w:before="108" w:line="237" w:lineRule="auto"/>
              <w:ind w:left="234"/>
              <w:rPr>
                <w:rFonts w:hint="eastAsia" w:ascii="宋体" w:hAnsi="宋体" w:eastAsia="宋体" w:cs="宋体"/>
                <w:color w:val="auto"/>
                <w:sz w:val="18"/>
                <w:szCs w:val="18"/>
              </w:rPr>
            </w:pPr>
            <w:r>
              <w:rPr>
                <w:rFonts w:hint="eastAsia" w:ascii="宋体" w:hAnsi="宋体" w:eastAsia="宋体" w:cs="宋体"/>
                <w:color w:val="auto"/>
                <w:spacing w:val="-2"/>
                <w:sz w:val="18"/>
                <w:szCs w:val="18"/>
              </w:rPr>
              <w:t>100≤Y＜2000</w:t>
            </w:r>
          </w:p>
        </w:tc>
        <w:tc>
          <w:tcPr>
            <w:tcW w:w="1053" w:type="dxa"/>
            <w:vAlign w:val="top"/>
          </w:tcPr>
          <w:p w14:paraId="11645158">
            <w:pPr>
              <w:pStyle w:val="33"/>
              <w:spacing w:before="108"/>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Y＜100</w:t>
            </w:r>
          </w:p>
        </w:tc>
      </w:tr>
      <w:tr w14:paraId="79335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B574B5F">
            <w:pPr>
              <w:spacing w:line="254" w:lineRule="auto"/>
              <w:rPr>
                <w:rFonts w:hint="eastAsia" w:ascii="宋体" w:hAnsi="宋体" w:eastAsia="宋体" w:cs="宋体"/>
                <w:color w:val="auto"/>
                <w:sz w:val="21"/>
              </w:rPr>
            </w:pPr>
          </w:p>
          <w:p w14:paraId="5920BD54">
            <w:pPr>
              <w:pStyle w:val="33"/>
              <w:spacing w:before="58" w:line="219" w:lineRule="auto"/>
              <w:ind w:left="114"/>
              <w:rPr>
                <w:rFonts w:hint="eastAsia" w:ascii="宋体" w:hAnsi="宋体" w:eastAsia="宋体" w:cs="宋体"/>
                <w:color w:val="auto"/>
                <w:sz w:val="18"/>
                <w:szCs w:val="18"/>
              </w:rPr>
            </w:pPr>
            <w:r>
              <w:rPr>
                <w:rFonts w:hint="eastAsia" w:ascii="宋体" w:hAnsi="宋体" w:eastAsia="宋体" w:cs="宋体"/>
                <w:color w:val="auto"/>
                <w:spacing w:val="-1"/>
                <w:sz w:val="18"/>
                <w:szCs w:val="18"/>
              </w:rPr>
              <w:t>信息传输业 *</w:t>
            </w:r>
          </w:p>
        </w:tc>
        <w:tc>
          <w:tcPr>
            <w:tcW w:w="1450" w:type="dxa"/>
            <w:vAlign w:val="top"/>
          </w:tcPr>
          <w:p w14:paraId="45467010">
            <w:pPr>
              <w:pStyle w:val="33"/>
              <w:spacing w:before="107"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6B643015">
            <w:pPr>
              <w:pStyle w:val="33"/>
              <w:spacing w:before="107"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22423110">
            <w:pPr>
              <w:pStyle w:val="33"/>
              <w:spacing w:before="107" w:line="238" w:lineRule="auto"/>
              <w:ind w:left="280"/>
              <w:rPr>
                <w:rFonts w:hint="eastAsia" w:ascii="宋体" w:hAnsi="宋体" w:eastAsia="宋体" w:cs="宋体"/>
                <w:color w:val="auto"/>
                <w:sz w:val="18"/>
                <w:szCs w:val="18"/>
              </w:rPr>
            </w:pPr>
            <w:r>
              <w:rPr>
                <w:rFonts w:hint="eastAsia" w:ascii="宋体" w:hAnsi="宋体" w:eastAsia="宋体" w:cs="宋体"/>
                <w:color w:val="auto"/>
                <w:spacing w:val="-1"/>
                <w:sz w:val="18"/>
                <w:szCs w:val="18"/>
              </w:rPr>
              <w:t>X≥2000</w:t>
            </w:r>
          </w:p>
        </w:tc>
        <w:tc>
          <w:tcPr>
            <w:tcW w:w="1802" w:type="dxa"/>
            <w:vAlign w:val="top"/>
          </w:tcPr>
          <w:p w14:paraId="1A434D60">
            <w:pPr>
              <w:pStyle w:val="33"/>
              <w:spacing w:before="107" w:line="237" w:lineRule="auto"/>
              <w:ind w:left="378"/>
              <w:rPr>
                <w:rFonts w:hint="eastAsia" w:ascii="宋体" w:hAnsi="宋体" w:eastAsia="宋体" w:cs="宋体"/>
                <w:color w:val="auto"/>
                <w:sz w:val="18"/>
                <w:szCs w:val="18"/>
              </w:rPr>
            </w:pPr>
            <w:r>
              <w:rPr>
                <w:rFonts w:hint="eastAsia" w:ascii="宋体" w:hAnsi="宋体" w:eastAsia="宋体" w:cs="宋体"/>
                <w:color w:val="auto"/>
                <w:spacing w:val="-2"/>
                <w:sz w:val="18"/>
                <w:szCs w:val="18"/>
              </w:rPr>
              <w:t>100≤X＜2000</w:t>
            </w:r>
          </w:p>
        </w:tc>
        <w:tc>
          <w:tcPr>
            <w:tcW w:w="1510" w:type="dxa"/>
            <w:vAlign w:val="top"/>
          </w:tcPr>
          <w:p w14:paraId="61C2BA56">
            <w:pPr>
              <w:pStyle w:val="33"/>
              <w:spacing w:before="107" w:line="237" w:lineRule="auto"/>
              <w:ind w:left="323"/>
              <w:rPr>
                <w:rFonts w:hint="eastAsia" w:ascii="宋体" w:hAnsi="宋体" w:eastAsia="宋体" w:cs="宋体"/>
                <w:color w:val="auto"/>
                <w:sz w:val="18"/>
                <w:szCs w:val="18"/>
              </w:rPr>
            </w:pPr>
            <w:r>
              <w:rPr>
                <w:rFonts w:hint="eastAsia" w:ascii="宋体" w:hAnsi="宋体" w:eastAsia="宋体" w:cs="宋体"/>
                <w:color w:val="auto"/>
                <w:spacing w:val="-3"/>
                <w:sz w:val="18"/>
                <w:szCs w:val="18"/>
              </w:rPr>
              <w:t>10≤X＜100</w:t>
            </w:r>
          </w:p>
        </w:tc>
        <w:tc>
          <w:tcPr>
            <w:tcW w:w="1053" w:type="dxa"/>
            <w:vAlign w:val="top"/>
          </w:tcPr>
          <w:p w14:paraId="012F30B7">
            <w:pPr>
              <w:pStyle w:val="33"/>
              <w:spacing w:before="107"/>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X＜10</w:t>
            </w:r>
          </w:p>
        </w:tc>
      </w:tr>
      <w:tr w14:paraId="198A4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4309B64">
            <w:pPr>
              <w:rPr>
                <w:rFonts w:hint="eastAsia" w:ascii="宋体" w:hAnsi="宋体" w:eastAsia="宋体" w:cs="宋体"/>
                <w:color w:val="auto"/>
                <w:sz w:val="21"/>
              </w:rPr>
            </w:pPr>
          </w:p>
        </w:tc>
        <w:tc>
          <w:tcPr>
            <w:tcW w:w="1450" w:type="dxa"/>
            <w:vAlign w:val="top"/>
          </w:tcPr>
          <w:p w14:paraId="57650960">
            <w:pPr>
              <w:pStyle w:val="33"/>
              <w:spacing w:before="117"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0AFA762C">
            <w:pPr>
              <w:pStyle w:val="33"/>
              <w:spacing w:before="107"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68FAADC9">
            <w:pPr>
              <w:pStyle w:val="33"/>
              <w:spacing w:before="107" w:line="238" w:lineRule="auto"/>
              <w:ind w:left="191"/>
              <w:rPr>
                <w:rFonts w:hint="eastAsia" w:ascii="宋体" w:hAnsi="宋体" w:eastAsia="宋体" w:cs="宋体"/>
                <w:color w:val="auto"/>
                <w:sz w:val="18"/>
                <w:szCs w:val="18"/>
              </w:rPr>
            </w:pPr>
            <w:r>
              <w:rPr>
                <w:rFonts w:hint="eastAsia" w:ascii="宋体" w:hAnsi="宋体" w:eastAsia="宋体" w:cs="宋体"/>
                <w:color w:val="auto"/>
                <w:spacing w:val="-1"/>
                <w:sz w:val="18"/>
                <w:szCs w:val="18"/>
              </w:rPr>
              <w:t>Y≥100000</w:t>
            </w:r>
          </w:p>
        </w:tc>
        <w:tc>
          <w:tcPr>
            <w:tcW w:w="1802" w:type="dxa"/>
            <w:vAlign w:val="top"/>
          </w:tcPr>
          <w:p w14:paraId="69CF44F2">
            <w:pPr>
              <w:pStyle w:val="33"/>
              <w:spacing w:before="107" w:line="237" w:lineRule="auto"/>
              <w:ind w:left="243"/>
              <w:rPr>
                <w:rFonts w:hint="eastAsia" w:ascii="宋体" w:hAnsi="宋体" w:eastAsia="宋体" w:cs="宋体"/>
                <w:color w:val="auto"/>
                <w:sz w:val="18"/>
                <w:szCs w:val="18"/>
              </w:rPr>
            </w:pPr>
            <w:r>
              <w:rPr>
                <w:rFonts w:hint="eastAsia" w:ascii="宋体" w:hAnsi="宋体" w:eastAsia="宋体" w:cs="宋体"/>
                <w:color w:val="auto"/>
                <w:spacing w:val="-2"/>
                <w:sz w:val="18"/>
                <w:szCs w:val="18"/>
              </w:rPr>
              <w:t>1000≤Y＜100000</w:t>
            </w:r>
          </w:p>
        </w:tc>
        <w:tc>
          <w:tcPr>
            <w:tcW w:w="1510" w:type="dxa"/>
            <w:vAlign w:val="top"/>
          </w:tcPr>
          <w:p w14:paraId="068C6402">
            <w:pPr>
              <w:pStyle w:val="33"/>
              <w:spacing w:before="107" w:line="237" w:lineRule="auto"/>
              <w:ind w:left="234"/>
              <w:rPr>
                <w:rFonts w:hint="eastAsia" w:ascii="宋体" w:hAnsi="宋体" w:eastAsia="宋体" w:cs="宋体"/>
                <w:color w:val="auto"/>
                <w:sz w:val="18"/>
                <w:szCs w:val="18"/>
              </w:rPr>
            </w:pPr>
            <w:r>
              <w:rPr>
                <w:rFonts w:hint="eastAsia" w:ascii="宋体" w:hAnsi="宋体" w:eastAsia="宋体" w:cs="宋体"/>
                <w:color w:val="auto"/>
                <w:spacing w:val="-2"/>
                <w:sz w:val="18"/>
                <w:szCs w:val="18"/>
              </w:rPr>
              <w:t>100≤Y＜1000</w:t>
            </w:r>
          </w:p>
        </w:tc>
        <w:tc>
          <w:tcPr>
            <w:tcW w:w="1053" w:type="dxa"/>
            <w:vAlign w:val="top"/>
          </w:tcPr>
          <w:p w14:paraId="7E1BEC0A">
            <w:pPr>
              <w:pStyle w:val="33"/>
              <w:spacing w:before="107"/>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Y＜100</w:t>
            </w:r>
          </w:p>
        </w:tc>
      </w:tr>
      <w:tr w14:paraId="78CF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63B8F3A6">
            <w:pPr>
              <w:pStyle w:val="33"/>
              <w:spacing w:before="257" w:line="220" w:lineRule="auto"/>
              <w:ind w:left="116"/>
              <w:rPr>
                <w:rFonts w:hint="eastAsia" w:ascii="宋体" w:hAnsi="宋体" w:eastAsia="宋体" w:cs="宋体"/>
                <w:color w:val="auto"/>
                <w:sz w:val="18"/>
                <w:szCs w:val="18"/>
              </w:rPr>
            </w:pPr>
            <w:r>
              <w:rPr>
                <w:rFonts w:hint="eastAsia" w:ascii="宋体" w:hAnsi="宋体" w:eastAsia="宋体" w:cs="宋体"/>
                <w:color w:val="auto"/>
                <w:spacing w:val="-15"/>
                <w:w w:val="97"/>
                <w:sz w:val="18"/>
                <w:szCs w:val="18"/>
              </w:rPr>
              <w:t>软件和信息技术服务业</w:t>
            </w:r>
          </w:p>
        </w:tc>
        <w:tc>
          <w:tcPr>
            <w:tcW w:w="1450" w:type="dxa"/>
            <w:vAlign w:val="top"/>
          </w:tcPr>
          <w:p w14:paraId="29361931">
            <w:pPr>
              <w:pStyle w:val="33"/>
              <w:spacing w:before="79"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233FEB93">
            <w:pPr>
              <w:pStyle w:val="33"/>
              <w:spacing w:before="79"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5D1AF5BB">
            <w:pPr>
              <w:pStyle w:val="33"/>
              <w:spacing w:before="80"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X≥300</w:t>
            </w:r>
          </w:p>
        </w:tc>
        <w:tc>
          <w:tcPr>
            <w:tcW w:w="1802" w:type="dxa"/>
            <w:vAlign w:val="top"/>
          </w:tcPr>
          <w:p w14:paraId="3111F449">
            <w:pPr>
              <w:pStyle w:val="33"/>
              <w:spacing w:before="79" w:line="237" w:lineRule="auto"/>
              <w:ind w:left="371"/>
              <w:rPr>
                <w:rFonts w:hint="eastAsia" w:ascii="宋体" w:hAnsi="宋体" w:eastAsia="宋体" w:cs="宋体"/>
                <w:color w:val="auto"/>
                <w:sz w:val="18"/>
                <w:szCs w:val="18"/>
              </w:rPr>
            </w:pPr>
            <w:r>
              <w:rPr>
                <w:rFonts w:hint="eastAsia" w:ascii="宋体" w:hAnsi="宋体" w:eastAsia="宋体" w:cs="宋体"/>
                <w:color w:val="auto"/>
                <w:spacing w:val="-3"/>
                <w:sz w:val="18"/>
                <w:szCs w:val="18"/>
              </w:rPr>
              <w:t>100≤X＜300</w:t>
            </w:r>
          </w:p>
        </w:tc>
        <w:tc>
          <w:tcPr>
            <w:tcW w:w="1510" w:type="dxa"/>
            <w:vAlign w:val="top"/>
          </w:tcPr>
          <w:p w14:paraId="4ACD6261">
            <w:pPr>
              <w:pStyle w:val="33"/>
              <w:spacing w:before="79" w:line="237" w:lineRule="auto"/>
              <w:ind w:left="323"/>
              <w:rPr>
                <w:rFonts w:hint="eastAsia" w:ascii="宋体" w:hAnsi="宋体" w:eastAsia="宋体" w:cs="宋体"/>
                <w:color w:val="auto"/>
                <w:sz w:val="18"/>
                <w:szCs w:val="18"/>
              </w:rPr>
            </w:pPr>
            <w:r>
              <w:rPr>
                <w:rFonts w:hint="eastAsia" w:ascii="宋体" w:hAnsi="宋体" w:eastAsia="宋体" w:cs="宋体"/>
                <w:color w:val="auto"/>
                <w:spacing w:val="-3"/>
                <w:sz w:val="18"/>
                <w:szCs w:val="18"/>
              </w:rPr>
              <w:t>10≤X＜100</w:t>
            </w:r>
          </w:p>
        </w:tc>
        <w:tc>
          <w:tcPr>
            <w:tcW w:w="1053" w:type="dxa"/>
            <w:vAlign w:val="top"/>
          </w:tcPr>
          <w:p w14:paraId="7F738818">
            <w:pPr>
              <w:pStyle w:val="33"/>
              <w:spacing w:before="80"/>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X＜10</w:t>
            </w:r>
          </w:p>
        </w:tc>
      </w:tr>
      <w:tr w14:paraId="377E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6D32DEC5">
            <w:pPr>
              <w:rPr>
                <w:rFonts w:hint="eastAsia" w:ascii="宋体" w:hAnsi="宋体" w:eastAsia="宋体" w:cs="宋体"/>
                <w:color w:val="auto"/>
                <w:sz w:val="21"/>
              </w:rPr>
            </w:pPr>
          </w:p>
        </w:tc>
        <w:tc>
          <w:tcPr>
            <w:tcW w:w="1450" w:type="dxa"/>
            <w:vAlign w:val="top"/>
          </w:tcPr>
          <w:p w14:paraId="642C2BC4">
            <w:pPr>
              <w:pStyle w:val="33"/>
              <w:spacing w:before="80"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30F98DF3">
            <w:pPr>
              <w:pStyle w:val="33"/>
              <w:spacing w:before="80"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1A844729">
            <w:pPr>
              <w:pStyle w:val="33"/>
              <w:spacing w:before="80" w:line="238" w:lineRule="auto"/>
              <w:ind w:left="236"/>
              <w:rPr>
                <w:rFonts w:hint="eastAsia" w:ascii="宋体" w:hAnsi="宋体" w:eastAsia="宋体" w:cs="宋体"/>
                <w:color w:val="auto"/>
                <w:sz w:val="18"/>
                <w:szCs w:val="18"/>
              </w:rPr>
            </w:pPr>
            <w:r>
              <w:rPr>
                <w:rFonts w:hint="eastAsia" w:ascii="宋体" w:hAnsi="宋体" w:eastAsia="宋体" w:cs="宋体"/>
                <w:color w:val="auto"/>
                <w:spacing w:val="-1"/>
                <w:sz w:val="18"/>
                <w:szCs w:val="18"/>
              </w:rPr>
              <w:t>Y≥10000</w:t>
            </w:r>
          </w:p>
        </w:tc>
        <w:tc>
          <w:tcPr>
            <w:tcW w:w="1802" w:type="dxa"/>
            <w:vAlign w:val="top"/>
          </w:tcPr>
          <w:p w14:paraId="11E8078C">
            <w:pPr>
              <w:pStyle w:val="33"/>
              <w:spacing w:before="80" w:line="237" w:lineRule="auto"/>
              <w:ind w:left="289"/>
              <w:rPr>
                <w:rFonts w:hint="eastAsia" w:ascii="宋体" w:hAnsi="宋体" w:eastAsia="宋体" w:cs="宋体"/>
                <w:color w:val="auto"/>
                <w:sz w:val="18"/>
                <w:szCs w:val="18"/>
              </w:rPr>
            </w:pPr>
            <w:r>
              <w:rPr>
                <w:rFonts w:hint="eastAsia" w:ascii="宋体" w:hAnsi="宋体" w:eastAsia="宋体" w:cs="宋体"/>
                <w:color w:val="auto"/>
                <w:spacing w:val="-2"/>
                <w:sz w:val="18"/>
                <w:szCs w:val="18"/>
              </w:rPr>
              <w:t>1000≤Y＜10000</w:t>
            </w:r>
          </w:p>
        </w:tc>
        <w:tc>
          <w:tcPr>
            <w:tcW w:w="1510" w:type="dxa"/>
            <w:vAlign w:val="top"/>
          </w:tcPr>
          <w:p w14:paraId="3B16C560">
            <w:pPr>
              <w:pStyle w:val="33"/>
              <w:spacing w:before="80" w:line="237" w:lineRule="auto"/>
              <w:ind w:left="268"/>
              <w:rPr>
                <w:rFonts w:hint="eastAsia" w:ascii="宋体" w:hAnsi="宋体" w:eastAsia="宋体" w:cs="宋体"/>
                <w:color w:val="auto"/>
                <w:sz w:val="18"/>
                <w:szCs w:val="18"/>
              </w:rPr>
            </w:pPr>
            <w:r>
              <w:rPr>
                <w:rFonts w:hint="eastAsia" w:ascii="宋体" w:hAnsi="宋体" w:eastAsia="宋体" w:cs="宋体"/>
                <w:color w:val="auto"/>
                <w:spacing w:val="-1"/>
                <w:sz w:val="18"/>
                <w:szCs w:val="18"/>
              </w:rPr>
              <w:t>50≤Y＜1000</w:t>
            </w:r>
          </w:p>
        </w:tc>
        <w:tc>
          <w:tcPr>
            <w:tcW w:w="1053" w:type="dxa"/>
            <w:vAlign w:val="top"/>
          </w:tcPr>
          <w:p w14:paraId="1BD0E1C2">
            <w:pPr>
              <w:pStyle w:val="33"/>
              <w:spacing w:before="81"/>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Y＜50</w:t>
            </w:r>
          </w:p>
        </w:tc>
      </w:tr>
      <w:tr w14:paraId="2632A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E2B2D4">
            <w:pPr>
              <w:pStyle w:val="33"/>
              <w:spacing w:before="259" w:line="220" w:lineRule="auto"/>
              <w:ind w:left="115"/>
              <w:rPr>
                <w:rFonts w:hint="eastAsia" w:ascii="宋体" w:hAnsi="宋体" w:eastAsia="宋体" w:cs="宋体"/>
                <w:color w:val="auto"/>
                <w:sz w:val="18"/>
                <w:szCs w:val="18"/>
              </w:rPr>
            </w:pPr>
            <w:r>
              <w:rPr>
                <w:rFonts w:hint="eastAsia" w:ascii="宋体" w:hAnsi="宋体" w:eastAsia="宋体" w:cs="宋体"/>
                <w:color w:val="auto"/>
                <w:spacing w:val="-2"/>
                <w:sz w:val="18"/>
                <w:szCs w:val="18"/>
              </w:rPr>
              <w:t>房地产开发经营</w:t>
            </w:r>
          </w:p>
        </w:tc>
        <w:tc>
          <w:tcPr>
            <w:tcW w:w="1450" w:type="dxa"/>
            <w:vAlign w:val="top"/>
          </w:tcPr>
          <w:p w14:paraId="3F6A6C6A">
            <w:pPr>
              <w:pStyle w:val="33"/>
              <w:spacing w:before="79"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06FDA776">
            <w:pPr>
              <w:pStyle w:val="33"/>
              <w:spacing w:before="78"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7D1A33CD">
            <w:pPr>
              <w:pStyle w:val="33"/>
              <w:spacing w:before="79" w:line="238" w:lineRule="auto"/>
              <w:ind w:left="191"/>
              <w:rPr>
                <w:rFonts w:hint="eastAsia" w:ascii="宋体" w:hAnsi="宋体" w:eastAsia="宋体" w:cs="宋体"/>
                <w:color w:val="auto"/>
                <w:sz w:val="18"/>
                <w:szCs w:val="18"/>
              </w:rPr>
            </w:pPr>
            <w:r>
              <w:rPr>
                <w:rFonts w:hint="eastAsia" w:ascii="宋体" w:hAnsi="宋体" w:eastAsia="宋体" w:cs="宋体"/>
                <w:color w:val="auto"/>
                <w:spacing w:val="-1"/>
                <w:sz w:val="18"/>
                <w:szCs w:val="18"/>
              </w:rPr>
              <w:t>Y≥200000</w:t>
            </w:r>
          </w:p>
        </w:tc>
        <w:tc>
          <w:tcPr>
            <w:tcW w:w="1802" w:type="dxa"/>
            <w:vAlign w:val="top"/>
          </w:tcPr>
          <w:p w14:paraId="22DBF6B1">
            <w:pPr>
              <w:pStyle w:val="33"/>
              <w:spacing w:before="78" w:line="237" w:lineRule="auto"/>
              <w:ind w:left="243"/>
              <w:rPr>
                <w:rFonts w:hint="eastAsia" w:ascii="宋体" w:hAnsi="宋体" w:eastAsia="宋体" w:cs="宋体"/>
                <w:color w:val="auto"/>
                <w:sz w:val="18"/>
                <w:szCs w:val="18"/>
              </w:rPr>
            </w:pPr>
            <w:r>
              <w:rPr>
                <w:rFonts w:hint="eastAsia" w:ascii="宋体" w:hAnsi="宋体" w:eastAsia="宋体" w:cs="宋体"/>
                <w:color w:val="auto"/>
                <w:spacing w:val="-2"/>
                <w:sz w:val="18"/>
                <w:szCs w:val="18"/>
              </w:rPr>
              <w:t>1000≤Y＜200000</w:t>
            </w:r>
          </w:p>
        </w:tc>
        <w:tc>
          <w:tcPr>
            <w:tcW w:w="1510" w:type="dxa"/>
            <w:vAlign w:val="top"/>
          </w:tcPr>
          <w:p w14:paraId="22C1F410">
            <w:pPr>
              <w:pStyle w:val="33"/>
              <w:spacing w:before="78" w:line="237" w:lineRule="auto"/>
              <w:ind w:left="234"/>
              <w:rPr>
                <w:rFonts w:hint="eastAsia" w:ascii="宋体" w:hAnsi="宋体" w:eastAsia="宋体" w:cs="宋体"/>
                <w:color w:val="auto"/>
                <w:sz w:val="18"/>
                <w:szCs w:val="18"/>
              </w:rPr>
            </w:pPr>
            <w:r>
              <w:rPr>
                <w:rFonts w:hint="eastAsia" w:ascii="宋体" w:hAnsi="宋体" w:eastAsia="宋体" w:cs="宋体"/>
                <w:color w:val="auto"/>
                <w:spacing w:val="-2"/>
                <w:sz w:val="18"/>
                <w:szCs w:val="18"/>
              </w:rPr>
              <w:t>100≤Y＜1000</w:t>
            </w:r>
          </w:p>
        </w:tc>
        <w:tc>
          <w:tcPr>
            <w:tcW w:w="1053" w:type="dxa"/>
            <w:vAlign w:val="top"/>
          </w:tcPr>
          <w:p w14:paraId="708C47FB">
            <w:pPr>
              <w:pStyle w:val="33"/>
              <w:spacing w:before="79"/>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Y＜100</w:t>
            </w:r>
          </w:p>
        </w:tc>
      </w:tr>
      <w:tr w14:paraId="4DFA1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ED13143">
            <w:pPr>
              <w:rPr>
                <w:rFonts w:hint="eastAsia" w:ascii="宋体" w:hAnsi="宋体" w:eastAsia="宋体" w:cs="宋体"/>
                <w:color w:val="auto"/>
                <w:sz w:val="21"/>
              </w:rPr>
            </w:pPr>
          </w:p>
        </w:tc>
        <w:tc>
          <w:tcPr>
            <w:tcW w:w="1450" w:type="dxa"/>
            <w:vAlign w:val="top"/>
          </w:tcPr>
          <w:p w14:paraId="6257E4B7">
            <w:pPr>
              <w:pStyle w:val="33"/>
              <w:spacing w:before="87" w:line="220" w:lineRule="auto"/>
              <w:ind w:left="239"/>
              <w:rPr>
                <w:rFonts w:hint="eastAsia" w:ascii="宋体" w:hAnsi="宋体" w:eastAsia="宋体" w:cs="宋体"/>
                <w:color w:val="auto"/>
                <w:sz w:val="18"/>
                <w:szCs w:val="18"/>
              </w:rPr>
            </w:pPr>
            <w:r>
              <w:rPr>
                <w:rFonts w:hint="eastAsia" w:ascii="宋体" w:hAnsi="宋体" w:eastAsia="宋体" w:cs="宋体"/>
                <w:color w:val="auto"/>
                <w:spacing w:val="-2"/>
                <w:sz w:val="18"/>
                <w:szCs w:val="18"/>
              </w:rPr>
              <w:t>资产总额(Z)</w:t>
            </w:r>
          </w:p>
        </w:tc>
        <w:tc>
          <w:tcPr>
            <w:tcW w:w="750" w:type="dxa"/>
            <w:vAlign w:val="top"/>
          </w:tcPr>
          <w:p w14:paraId="7EEA80CC">
            <w:pPr>
              <w:pStyle w:val="33"/>
              <w:spacing w:before="79"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793B2C91">
            <w:pPr>
              <w:pStyle w:val="33"/>
              <w:spacing w:before="80" w:line="238" w:lineRule="auto"/>
              <w:ind w:left="239"/>
              <w:rPr>
                <w:rFonts w:hint="eastAsia" w:ascii="宋体" w:hAnsi="宋体" w:eastAsia="宋体" w:cs="宋体"/>
                <w:color w:val="auto"/>
                <w:sz w:val="18"/>
                <w:szCs w:val="18"/>
              </w:rPr>
            </w:pPr>
            <w:r>
              <w:rPr>
                <w:rFonts w:hint="eastAsia" w:ascii="宋体" w:hAnsi="宋体" w:eastAsia="宋体" w:cs="宋体"/>
                <w:color w:val="auto"/>
                <w:spacing w:val="-1"/>
                <w:sz w:val="18"/>
                <w:szCs w:val="18"/>
              </w:rPr>
              <w:t>Z≥10000</w:t>
            </w:r>
          </w:p>
        </w:tc>
        <w:tc>
          <w:tcPr>
            <w:tcW w:w="1802" w:type="dxa"/>
            <w:vAlign w:val="top"/>
          </w:tcPr>
          <w:p w14:paraId="0332B9AE">
            <w:pPr>
              <w:pStyle w:val="33"/>
              <w:spacing w:before="79" w:line="237" w:lineRule="auto"/>
              <w:ind w:left="279"/>
              <w:rPr>
                <w:rFonts w:hint="eastAsia" w:ascii="宋体" w:hAnsi="宋体" w:eastAsia="宋体" w:cs="宋体"/>
                <w:color w:val="auto"/>
                <w:sz w:val="18"/>
                <w:szCs w:val="18"/>
              </w:rPr>
            </w:pPr>
            <w:r>
              <w:rPr>
                <w:rFonts w:hint="eastAsia" w:ascii="宋体" w:hAnsi="宋体" w:eastAsia="宋体" w:cs="宋体"/>
                <w:color w:val="auto"/>
                <w:spacing w:val="-1"/>
                <w:sz w:val="18"/>
                <w:szCs w:val="18"/>
              </w:rPr>
              <w:t>5000≤Z＜10000</w:t>
            </w:r>
          </w:p>
        </w:tc>
        <w:tc>
          <w:tcPr>
            <w:tcW w:w="1510" w:type="dxa"/>
            <w:vAlign w:val="top"/>
          </w:tcPr>
          <w:p w14:paraId="5BED763F">
            <w:pPr>
              <w:pStyle w:val="33"/>
              <w:spacing w:before="79" w:line="237" w:lineRule="auto"/>
              <w:ind w:left="177"/>
              <w:rPr>
                <w:rFonts w:hint="eastAsia" w:ascii="宋体" w:hAnsi="宋体" w:eastAsia="宋体" w:cs="宋体"/>
                <w:color w:val="auto"/>
                <w:sz w:val="18"/>
                <w:szCs w:val="18"/>
              </w:rPr>
            </w:pPr>
            <w:r>
              <w:rPr>
                <w:rFonts w:hint="eastAsia" w:ascii="宋体" w:hAnsi="宋体" w:eastAsia="宋体" w:cs="宋体"/>
                <w:color w:val="auto"/>
                <w:spacing w:val="-1"/>
                <w:sz w:val="18"/>
                <w:szCs w:val="18"/>
              </w:rPr>
              <w:t>2000≤Z＜5000</w:t>
            </w:r>
          </w:p>
        </w:tc>
        <w:tc>
          <w:tcPr>
            <w:tcW w:w="1053" w:type="dxa"/>
            <w:vAlign w:val="top"/>
          </w:tcPr>
          <w:p w14:paraId="5061D7A5">
            <w:pPr>
              <w:pStyle w:val="33"/>
              <w:spacing w:before="80"/>
              <w:ind w:left="215"/>
              <w:rPr>
                <w:rFonts w:hint="eastAsia" w:ascii="宋体" w:hAnsi="宋体" w:eastAsia="宋体" w:cs="宋体"/>
                <w:color w:val="auto"/>
                <w:sz w:val="18"/>
                <w:szCs w:val="18"/>
              </w:rPr>
            </w:pPr>
            <w:r>
              <w:rPr>
                <w:rFonts w:hint="eastAsia" w:ascii="宋体" w:hAnsi="宋体" w:eastAsia="宋体" w:cs="宋体"/>
                <w:color w:val="auto"/>
                <w:spacing w:val="-2"/>
                <w:sz w:val="18"/>
                <w:szCs w:val="18"/>
              </w:rPr>
              <w:t>Z＜2000</w:t>
            </w:r>
          </w:p>
        </w:tc>
      </w:tr>
      <w:tr w14:paraId="1895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6E8ED21D">
            <w:pPr>
              <w:pStyle w:val="33"/>
              <w:spacing w:before="258" w:line="220" w:lineRule="auto"/>
              <w:ind w:left="114"/>
              <w:rPr>
                <w:rFonts w:hint="eastAsia" w:ascii="宋体" w:hAnsi="宋体" w:eastAsia="宋体" w:cs="宋体"/>
                <w:color w:val="auto"/>
                <w:sz w:val="18"/>
                <w:szCs w:val="18"/>
              </w:rPr>
            </w:pPr>
            <w:r>
              <w:rPr>
                <w:rFonts w:hint="eastAsia" w:ascii="宋体" w:hAnsi="宋体" w:eastAsia="宋体" w:cs="宋体"/>
                <w:color w:val="auto"/>
                <w:spacing w:val="-2"/>
                <w:sz w:val="18"/>
                <w:szCs w:val="18"/>
              </w:rPr>
              <w:t>物业管理</w:t>
            </w:r>
          </w:p>
        </w:tc>
        <w:tc>
          <w:tcPr>
            <w:tcW w:w="1450" w:type="dxa"/>
            <w:vAlign w:val="top"/>
          </w:tcPr>
          <w:p w14:paraId="17D74D76">
            <w:pPr>
              <w:pStyle w:val="33"/>
              <w:spacing w:before="80"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585BF615">
            <w:pPr>
              <w:pStyle w:val="33"/>
              <w:spacing w:before="80"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14B6C2DD">
            <w:pPr>
              <w:pStyle w:val="33"/>
              <w:spacing w:before="80" w:line="238" w:lineRule="auto"/>
              <w:ind w:left="280"/>
              <w:rPr>
                <w:rFonts w:hint="eastAsia" w:ascii="宋体" w:hAnsi="宋体" w:eastAsia="宋体" w:cs="宋体"/>
                <w:color w:val="auto"/>
                <w:sz w:val="18"/>
                <w:szCs w:val="18"/>
              </w:rPr>
            </w:pPr>
            <w:r>
              <w:rPr>
                <w:rFonts w:hint="eastAsia" w:ascii="宋体" w:hAnsi="宋体" w:eastAsia="宋体" w:cs="宋体"/>
                <w:color w:val="auto"/>
                <w:spacing w:val="-1"/>
                <w:sz w:val="18"/>
                <w:szCs w:val="18"/>
              </w:rPr>
              <w:t>X≥1000</w:t>
            </w:r>
          </w:p>
        </w:tc>
        <w:tc>
          <w:tcPr>
            <w:tcW w:w="1802" w:type="dxa"/>
            <w:vAlign w:val="top"/>
          </w:tcPr>
          <w:p w14:paraId="6E8479F4">
            <w:pPr>
              <w:pStyle w:val="33"/>
              <w:spacing w:before="80" w:line="237" w:lineRule="auto"/>
              <w:ind w:left="368"/>
              <w:rPr>
                <w:rFonts w:hint="eastAsia" w:ascii="宋体" w:hAnsi="宋体" w:eastAsia="宋体" w:cs="宋体"/>
                <w:color w:val="auto"/>
                <w:sz w:val="18"/>
                <w:szCs w:val="18"/>
              </w:rPr>
            </w:pPr>
            <w:r>
              <w:rPr>
                <w:rFonts w:hint="eastAsia" w:ascii="宋体" w:hAnsi="宋体" w:eastAsia="宋体" w:cs="宋体"/>
                <w:color w:val="auto"/>
                <w:spacing w:val="-1"/>
                <w:sz w:val="18"/>
                <w:szCs w:val="18"/>
              </w:rPr>
              <w:t>300≤X＜1000</w:t>
            </w:r>
          </w:p>
        </w:tc>
        <w:tc>
          <w:tcPr>
            <w:tcW w:w="1510" w:type="dxa"/>
            <w:vAlign w:val="top"/>
          </w:tcPr>
          <w:p w14:paraId="3B97B7B5">
            <w:pPr>
              <w:pStyle w:val="33"/>
              <w:spacing w:before="80" w:line="237" w:lineRule="auto"/>
              <w:ind w:left="277"/>
              <w:rPr>
                <w:rFonts w:hint="eastAsia" w:ascii="宋体" w:hAnsi="宋体" w:eastAsia="宋体" w:cs="宋体"/>
                <w:color w:val="auto"/>
                <w:sz w:val="18"/>
                <w:szCs w:val="18"/>
              </w:rPr>
            </w:pPr>
            <w:r>
              <w:rPr>
                <w:rFonts w:hint="eastAsia" w:ascii="宋体" w:hAnsi="宋体" w:eastAsia="宋体" w:cs="宋体"/>
                <w:color w:val="auto"/>
                <w:spacing w:val="-3"/>
                <w:sz w:val="18"/>
                <w:szCs w:val="18"/>
              </w:rPr>
              <w:t>100≤X＜300</w:t>
            </w:r>
          </w:p>
        </w:tc>
        <w:tc>
          <w:tcPr>
            <w:tcW w:w="1053" w:type="dxa"/>
            <w:vAlign w:val="top"/>
          </w:tcPr>
          <w:p w14:paraId="559CF5A9">
            <w:pPr>
              <w:pStyle w:val="33"/>
              <w:spacing w:before="81"/>
              <w:ind w:left="259"/>
              <w:rPr>
                <w:rFonts w:hint="eastAsia" w:ascii="宋体" w:hAnsi="宋体" w:eastAsia="宋体" w:cs="宋体"/>
                <w:color w:val="auto"/>
                <w:sz w:val="18"/>
                <w:szCs w:val="18"/>
              </w:rPr>
            </w:pPr>
            <w:r>
              <w:rPr>
                <w:rFonts w:hint="eastAsia" w:ascii="宋体" w:hAnsi="宋体" w:eastAsia="宋体" w:cs="宋体"/>
                <w:color w:val="auto"/>
                <w:spacing w:val="-1"/>
                <w:sz w:val="18"/>
                <w:szCs w:val="18"/>
              </w:rPr>
              <w:t>X＜100</w:t>
            </w:r>
          </w:p>
        </w:tc>
      </w:tr>
      <w:tr w14:paraId="5A74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52F528B">
            <w:pPr>
              <w:rPr>
                <w:rFonts w:hint="eastAsia" w:ascii="宋体" w:hAnsi="宋体" w:eastAsia="宋体" w:cs="宋体"/>
                <w:color w:val="auto"/>
                <w:sz w:val="21"/>
              </w:rPr>
            </w:pPr>
          </w:p>
        </w:tc>
        <w:tc>
          <w:tcPr>
            <w:tcW w:w="1450" w:type="dxa"/>
            <w:vAlign w:val="top"/>
          </w:tcPr>
          <w:p w14:paraId="1CD8A528">
            <w:pPr>
              <w:pStyle w:val="33"/>
              <w:spacing w:before="88" w:line="220" w:lineRule="auto"/>
              <w:ind w:left="237"/>
              <w:rPr>
                <w:rFonts w:hint="eastAsia" w:ascii="宋体" w:hAnsi="宋体" w:eastAsia="宋体" w:cs="宋体"/>
                <w:color w:val="auto"/>
                <w:sz w:val="18"/>
                <w:szCs w:val="18"/>
              </w:rPr>
            </w:pPr>
            <w:r>
              <w:rPr>
                <w:rFonts w:hint="eastAsia" w:ascii="宋体" w:hAnsi="宋体" w:eastAsia="宋体" w:cs="宋体"/>
                <w:color w:val="auto"/>
                <w:spacing w:val="-2"/>
                <w:sz w:val="18"/>
                <w:szCs w:val="18"/>
              </w:rPr>
              <w:t>营业收入(Y)</w:t>
            </w:r>
          </w:p>
        </w:tc>
        <w:tc>
          <w:tcPr>
            <w:tcW w:w="750" w:type="dxa"/>
            <w:vAlign w:val="top"/>
          </w:tcPr>
          <w:p w14:paraId="58A63D0E">
            <w:pPr>
              <w:pStyle w:val="33"/>
              <w:spacing w:before="78"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2B05E100">
            <w:pPr>
              <w:pStyle w:val="33"/>
              <w:spacing w:before="79" w:line="238" w:lineRule="auto"/>
              <w:ind w:left="280"/>
              <w:rPr>
                <w:rFonts w:hint="eastAsia" w:ascii="宋体" w:hAnsi="宋体" w:eastAsia="宋体" w:cs="宋体"/>
                <w:color w:val="auto"/>
                <w:sz w:val="18"/>
                <w:szCs w:val="18"/>
              </w:rPr>
            </w:pPr>
            <w:r>
              <w:rPr>
                <w:rFonts w:hint="eastAsia" w:ascii="宋体" w:hAnsi="宋体" w:eastAsia="宋体" w:cs="宋体"/>
                <w:color w:val="auto"/>
                <w:spacing w:val="-1"/>
                <w:sz w:val="18"/>
                <w:szCs w:val="18"/>
              </w:rPr>
              <w:t>Y≥5000</w:t>
            </w:r>
          </w:p>
        </w:tc>
        <w:tc>
          <w:tcPr>
            <w:tcW w:w="1802" w:type="dxa"/>
            <w:vAlign w:val="top"/>
          </w:tcPr>
          <w:p w14:paraId="653FCA75">
            <w:pPr>
              <w:pStyle w:val="33"/>
              <w:spacing w:before="78" w:line="237" w:lineRule="auto"/>
              <w:ind w:left="279"/>
              <w:rPr>
                <w:rFonts w:hint="eastAsia" w:ascii="宋体" w:hAnsi="宋体" w:eastAsia="宋体" w:cs="宋体"/>
                <w:color w:val="auto"/>
                <w:sz w:val="18"/>
                <w:szCs w:val="18"/>
              </w:rPr>
            </w:pPr>
            <w:r>
              <w:rPr>
                <w:rFonts w:hint="eastAsia" w:ascii="宋体" w:hAnsi="宋体" w:eastAsia="宋体" w:cs="宋体"/>
                <w:color w:val="auto"/>
                <w:spacing w:val="-2"/>
                <w:sz w:val="18"/>
                <w:szCs w:val="18"/>
              </w:rPr>
              <w:t>1000≤Y＜5000</w:t>
            </w:r>
          </w:p>
        </w:tc>
        <w:tc>
          <w:tcPr>
            <w:tcW w:w="1510" w:type="dxa"/>
            <w:vAlign w:val="top"/>
          </w:tcPr>
          <w:p w14:paraId="63E1C7A7">
            <w:pPr>
              <w:pStyle w:val="33"/>
              <w:spacing w:before="78" w:line="237" w:lineRule="auto"/>
              <w:ind w:left="225"/>
              <w:rPr>
                <w:rFonts w:hint="eastAsia" w:ascii="宋体" w:hAnsi="宋体" w:eastAsia="宋体" w:cs="宋体"/>
                <w:color w:val="auto"/>
                <w:sz w:val="18"/>
                <w:szCs w:val="18"/>
              </w:rPr>
            </w:pPr>
            <w:r>
              <w:rPr>
                <w:rFonts w:hint="eastAsia" w:ascii="宋体" w:hAnsi="宋体" w:eastAsia="宋体" w:cs="宋体"/>
                <w:color w:val="auto"/>
                <w:spacing w:val="-1"/>
                <w:sz w:val="18"/>
                <w:szCs w:val="18"/>
              </w:rPr>
              <w:t>500≤Y＜1000</w:t>
            </w:r>
          </w:p>
        </w:tc>
        <w:tc>
          <w:tcPr>
            <w:tcW w:w="1053" w:type="dxa"/>
            <w:vAlign w:val="top"/>
          </w:tcPr>
          <w:p w14:paraId="5BB53BE4">
            <w:pPr>
              <w:pStyle w:val="33"/>
              <w:spacing w:before="79"/>
              <w:ind w:left="258"/>
              <w:rPr>
                <w:rFonts w:hint="eastAsia" w:ascii="宋体" w:hAnsi="宋体" w:eastAsia="宋体" w:cs="宋体"/>
                <w:color w:val="auto"/>
                <w:sz w:val="18"/>
                <w:szCs w:val="18"/>
              </w:rPr>
            </w:pPr>
            <w:r>
              <w:rPr>
                <w:rFonts w:hint="eastAsia" w:ascii="宋体" w:hAnsi="宋体" w:eastAsia="宋体" w:cs="宋体"/>
                <w:color w:val="auto"/>
                <w:spacing w:val="-1"/>
                <w:sz w:val="18"/>
                <w:szCs w:val="18"/>
              </w:rPr>
              <w:t>Y＜500</w:t>
            </w:r>
          </w:p>
        </w:tc>
      </w:tr>
      <w:tr w14:paraId="3D035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17235FD6">
            <w:pPr>
              <w:pStyle w:val="33"/>
              <w:spacing w:before="257" w:line="220" w:lineRule="auto"/>
              <w:ind w:left="116"/>
              <w:rPr>
                <w:rFonts w:hint="eastAsia" w:ascii="宋体" w:hAnsi="宋体" w:eastAsia="宋体" w:cs="宋体"/>
                <w:color w:val="auto"/>
                <w:sz w:val="18"/>
                <w:szCs w:val="18"/>
              </w:rPr>
            </w:pPr>
            <w:r>
              <w:rPr>
                <w:rFonts w:hint="eastAsia" w:ascii="宋体" w:hAnsi="宋体" w:eastAsia="宋体" w:cs="宋体"/>
                <w:color w:val="auto"/>
                <w:spacing w:val="-2"/>
                <w:sz w:val="18"/>
                <w:szCs w:val="18"/>
              </w:rPr>
              <w:t>租赁和商务服务业</w:t>
            </w:r>
          </w:p>
        </w:tc>
        <w:tc>
          <w:tcPr>
            <w:tcW w:w="1450" w:type="dxa"/>
            <w:vAlign w:val="top"/>
          </w:tcPr>
          <w:p w14:paraId="4FDE8E8A">
            <w:pPr>
              <w:pStyle w:val="33"/>
              <w:spacing w:before="79"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33DE7CB7">
            <w:pPr>
              <w:pStyle w:val="33"/>
              <w:spacing w:before="79"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1046B419">
            <w:pPr>
              <w:pStyle w:val="33"/>
              <w:spacing w:before="80"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X≥300</w:t>
            </w:r>
          </w:p>
        </w:tc>
        <w:tc>
          <w:tcPr>
            <w:tcW w:w="1802" w:type="dxa"/>
            <w:vAlign w:val="top"/>
          </w:tcPr>
          <w:p w14:paraId="0574E650">
            <w:pPr>
              <w:pStyle w:val="33"/>
              <w:spacing w:before="79" w:line="237" w:lineRule="auto"/>
              <w:ind w:left="371"/>
              <w:rPr>
                <w:rFonts w:hint="eastAsia" w:ascii="宋体" w:hAnsi="宋体" w:eastAsia="宋体" w:cs="宋体"/>
                <w:color w:val="auto"/>
                <w:sz w:val="18"/>
                <w:szCs w:val="18"/>
              </w:rPr>
            </w:pPr>
            <w:r>
              <w:rPr>
                <w:rFonts w:hint="eastAsia" w:ascii="宋体" w:hAnsi="宋体" w:eastAsia="宋体" w:cs="宋体"/>
                <w:color w:val="auto"/>
                <w:spacing w:val="-3"/>
                <w:sz w:val="18"/>
                <w:szCs w:val="18"/>
              </w:rPr>
              <w:t>100≤X＜300</w:t>
            </w:r>
          </w:p>
        </w:tc>
        <w:tc>
          <w:tcPr>
            <w:tcW w:w="1510" w:type="dxa"/>
            <w:vAlign w:val="top"/>
          </w:tcPr>
          <w:p w14:paraId="22B07835">
            <w:pPr>
              <w:pStyle w:val="33"/>
              <w:spacing w:before="79" w:line="237" w:lineRule="auto"/>
              <w:ind w:left="323"/>
              <w:rPr>
                <w:rFonts w:hint="eastAsia" w:ascii="宋体" w:hAnsi="宋体" w:eastAsia="宋体" w:cs="宋体"/>
                <w:color w:val="auto"/>
                <w:sz w:val="18"/>
                <w:szCs w:val="18"/>
              </w:rPr>
            </w:pPr>
            <w:r>
              <w:rPr>
                <w:rFonts w:hint="eastAsia" w:ascii="宋体" w:hAnsi="宋体" w:eastAsia="宋体" w:cs="宋体"/>
                <w:color w:val="auto"/>
                <w:spacing w:val="-3"/>
                <w:sz w:val="18"/>
                <w:szCs w:val="18"/>
              </w:rPr>
              <w:t>10≤X＜100</w:t>
            </w:r>
          </w:p>
        </w:tc>
        <w:tc>
          <w:tcPr>
            <w:tcW w:w="1053" w:type="dxa"/>
            <w:vAlign w:val="top"/>
          </w:tcPr>
          <w:p w14:paraId="5E07ED03">
            <w:pPr>
              <w:pStyle w:val="33"/>
              <w:spacing w:before="80"/>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X＜10</w:t>
            </w:r>
          </w:p>
        </w:tc>
      </w:tr>
      <w:tr w14:paraId="088E6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60BB11F0">
            <w:pPr>
              <w:rPr>
                <w:rFonts w:hint="eastAsia" w:ascii="宋体" w:hAnsi="宋体" w:eastAsia="宋体" w:cs="宋体"/>
                <w:color w:val="auto"/>
                <w:sz w:val="21"/>
              </w:rPr>
            </w:pPr>
          </w:p>
        </w:tc>
        <w:tc>
          <w:tcPr>
            <w:tcW w:w="1450" w:type="dxa"/>
            <w:vAlign w:val="top"/>
          </w:tcPr>
          <w:p w14:paraId="01DED055">
            <w:pPr>
              <w:pStyle w:val="33"/>
              <w:spacing w:before="88" w:line="220" w:lineRule="auto"/>
              <w:ind w:left="239"/>
              <w:rPr>
                <w:rFonts w:hint="eastAsia" w:ascii="宋体" w:hAnsi="宋体" w:eastAsia="宋体" w:cs="宋体"/>
                <w:color w:val="auto"/>
                <w:sz w:val="18"/>
                <w:szCs w:val="18"/>
              </w:rPr>
            </w:pPr>
            <w:r>
              <w:rPr>
                <w:rFonts w:hint="eastAsia" w:ascii="宋体" w:hAnsi="宋体" w:eastAsia="宋体" w:cs="宋体"/>
                <w:color w:val="auto"/>
                <w:spacing w:val="-2"/>
                <w:sz w:val="18"/>
                <w:szCs w:val="18"/>
              </w:rPr>
              <w:t>资产总额(Z)</w:t>
            </w:r>
          </w:p>
        </w:tc>
        <w:tc>
          <w:tcPr>
            <w:tcW w:w="750" w:type="dxa"/>
            <w:vAlign w:val="top"/>
          </w:tcPr>
          <w:p w14:paraId="7C9B866D">
            <w:pPr>
              <w:pStyle w:val="33"/>
              <w:spacing w:before="80" w:line="221" w:lineRule="auto"/>
              <w:ind w:left="202"/>
              <w:rPr>
                <w:rFonts w:hint="eastAsia" w:ascii="宋体" w:hAnsi="宋体" w:eastAsia="宋体" w:cs="宋体"/>
                <w:color w:val="auto"/>
                <w:sz w:val="18"/>
                <w:szCs w:val="18"/>
              </w:rPr>
            </w:pPr>
            <w:r>
              <w:rPr>
                <w:rFonts w:hint="eastAsia" w:ascii="宋体" w:hAnsi="宋体" w:eastAsia="宋体" w:cs="宋体"/>
                <w:color w:val="auto"/>
                <w:spacing w:val="-6"/>
                <w:sz w:val="18"/>
                <w:szCs w:val="18"/>
              </w:rPr>
              <w:t>万元</w:t>
            </w:r>
          </w:p>
        </w:tc>
        <w:tc>
          <w:tcPr>
            <w:tcW w:w="1190" w:type="dxa"/>
            <w:vAlign w:val="top"/>
          </w:tcPr>
          <w:p w14:paraId="1BE24AAF">
            <w:pPr>
              <w:pStyle w:val="33"/>
              <w:spacing w:before="80" w:line="238" w:lineRule="auto"/>
              <w:ind w:left="193"/>
              <w:rPr>
                <w:rFonts w:hint="eastAsia" w:ascii="宋体" w:hAnsi="宋体" w:eastAsia="宋体" w:cs="宋体"/>
                <w:color w:val="auto"/>
                <w:sz w:val="18"/>
                <w:szCs w:val="18"/>
              </w:rPr>
            </w:pPr>
            <w:r>
              <w:rPr>
                <w:rFonts w:hint="eastAsia" w:ascii="宋体" w:hAnsi="宋体" w:eastAsia="宋体" w:cs="宋体"/>
                <w:color w:val="auto"/>
                <w:spacing w:val="-1"/>
                <w:sz w:val="18"/>
                <w:szCs w:val="18"/>
              </w:rPr>
              <w:t>Z≥120000</w:t>
            </w:r>
          </w:p>
        </w:tc>
        <w:tc>
          <w:tcPr>
            <w:tcW w:w="1802" w:type="dxa"/>
            <w:vAlign w:val="top"/>
          </w:tcPr>
          <w:p w14:paraId="594FEB77">
            <w:pPr>
              <w:pStyle w:val="33"/>
              <w:spacing w:before="80" w:line="237" w:lineRule="auto"/>
              <w:ind w:left="231"/>
              <w:rPr>
                <w:rFonts w:hint="eastAsia" w:ascii="宋体" w:hAnsi="宋体" w:eastAsia="宋体" w:cs="宋体"/>
                <w:color w:val="auto"/>
                <w:sz w:val="18"/>
                <w:szCs w:val="18"/>
              </w:rPr>
            </w:pPr>
            <w:r>
              <w:rPr>
                <w:rFonts w:hint="eastAsia" w:ascii="宋体" w:hAnsi="宋体" w:eastAsia="宋体" w:cs="宋体"/>
                <w:color w:val="auto"/>
                <w:spacing w:val="-1"/>
                <w:sz w:val="18"/>
                <w:szCs w:val="18"/>
              </w:rPr>
              <w:t>8000≤Z＜120000</w:t>
            </w:r>
          </w:p>
        </w:tc>
        <w:tc>
          <w:tcPr>
            <w:tcW w:w="1510" w:type="dxa"/>
            <w:vAlign w:val="top"/>
          </w:tcPr>
          <w:p w14:paraId="274B3981">
            <w:pPr>
              <w:pStyle w:val="33"/>
              <w:spacing w:before="80" w:line="237" w:lineRule="auto"/>
              <w:ind w:left="234"/>
              <w:rPr>
                <w:rFonts w:hint="eastAsia" w:ascii="宋体" w:hAnsi="宋体" w:eastAsia="宋体" w:cs="宋体"/>
                <w:color w:val="auto"/>
                <w:sz w:val="18"/>
                <w:szCs w:val="18"/>
              </w:rPr>
            </w:pPr>
            <w:r>
              <w:rPr>
                <w:rFonts w:hint="eastAsia" w:ascii="宋体" w:hAnsi="宋体" w:eastAsia="宋体" w:cs="宋体"/>
                <w:color w:val="auto"/>
                <w:spacing w:val="-2"/>
                <w:sz w:val="18"/>
                <w:szCs w:val="18"/>
              </w:rPr>
              <w:t>100≤Z＜8000</w:t>
            </w:r>
          </w:p>
        </w:tc>
        <w:tc>
          <w:tcPr>
            <w:tcW w:w="1053" w:type="dxa"/>
            <w:vAlign w:val="top"/>
          </w:tcPr>
          <w:p w14:paraId="67DE3F6F">
            <w:pPr>
              <w:pStyle w:val="33"/>
              <w:spacing w:before="81"/>
              <w:ind w:left="261"/>
              <w:rPr>
                <w:rFonts w:hint="eastAsia" w:ascii="宋体" w:hAnsi="宋体" w:eastAsia="宋体" w:cs="宋体"/>
                <w:color w:val="auto"/>
                <w:sz w:val="18"/>
                <w:szCs w:val="18"/>
              </w:rPr>
            </w:pPr>
            <w:r>
              <w:rPr>
                <w:rFonts w:hint="eastAsia" w:ascii="宋体" w:hAnsi="宋体" w:eastAsia="宋体" w:cs="宋体"/>
                <w:color w:val="auto"/>
                <w:spacing w:val="-2"/>
                <w:sz w:val="18"/>
                <w:szCs w:val="18"/>
              </w:rPr>
              <w:t>Z＜100</w:t>
            </w:r>
          </w:p>
        </w:tc>
      </w:tr>
      <w:tr w14:paraId="5B973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45B82357">
            <w:pPr>
              <w:pStyle w:val="33"/>
              <w:spacing w:before="114" w:line="221" w:lineRule="auto"/>
              <w:ind w:left="116"/>
              <w:rPr>
                <w:rFonts w:hint="eastAsia" w:ascii="宋体" w:hAnsi="宋体" w:eastAsia="宋体" w:cs="宋体"/>
                <w:color w:val="auto"/>
                <w:sz w:val="18"/>
                <w:szCs w:val="18"/>
              </w:rPr>
            </w:pPr>
            <w:r>
              <w:rPr>
                <w:rFonts w:hint="eastAsia" w:ascii="宋体" w:hAnsi="宋体" w:eastAsia="宋体" w:cs="宋体"/>
                <w:color w:val="auto"/>
                <w:spacing w:val="-1"/>
                <w:sz w:val="18"/>
                <w:szCs w:val="18"/>
              </w:rPr>
              <w:t>建筑业 *</w:t>
            </w:r>
          </w:p>
        </w:tc>
        <w:tc>
          <w:tcPr>
            <w:tcW w:w="1450" w:type="dxa"/>
            <w:vAlign w:val="top"/>
          </w:tcPr>
          <w:p w14:paraId="33F1C56B">
            <w:pPr>
              <w:pStyle w:val="33"/>
              <w:spacing w:before="107" w:line="221" w:lineRule="auto"/>
              <w:ind w:left="233"/>
              <w:rPr>
                <w:rFonts w:hint="eastAsia" w:ascii="宋体" w:hAnsi="宋体" w:eastAsia="宋体" w:cs="宋体"/>
                <w:color w:val="auto"/>
                <w:sz w:val="18"/>
                <w:szCs w:val="18"/>
              </w:rPr>
            </w:pPr>
            <w:r>
              <w:rPr>
                <w:rFonts w:hint="eastAsia" w:ascii="宋体" w:hAnsi="宋体" w:eastAsia="宋体" w:cs="宋体"/>
                <w:color w:val="auto"/>
                <w:spacing w:val="-2"/>
                <w:sz w:val="18"/>
                <w:szCs w:val="18"/>
              </w:rPr>
              <w:t>从业人员(X)</w:t>
            </w:r>
          </w:p>
        </w:tc>
        <w:tc>
          <w:tcPr>
            <w:tcW w:w="750" w:type="dxa"/>
            <w:vAlign w:val="top"/>
          </w:tcPr>
          <w:p w14:paraId="0C899210">
            <w:pPr>
              <w:pStyle w:val="33"/>
              <w:spacing w:before="107" w:line="223" w:lineRule="auto"/>
              <w:ind w:left="290"/>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190" w:type="dxa"/>
            <w:vAlign w:val="top"/>
          </w:tcPr>
          <w:p w14:paraId="02D4930F">
            <w:pPr>
              <w:pStyle w:val="33"/>
              <w:spacing w:before="108" w:line="238" w:lineRule="auto"/>
              <w:ind w:left="326"/>
              <w:rPr>
                <w:rFonts w:hint="eastAsia" w:ascii="宋体" w:hAnsi="宋体" w:eastAsia="宋体" w:cs="宋体"/>
                <w:color w:val="auto"/>
                <w:sz w:val="18"/>
                <w:szCs w:val="18"/>
              </w:rPr>
            </w:pPr>
            <w:r>
              <w:rPr>
                <w:rFonts w:hint="eastAsia" w:ascii="宋体" w:hAnsi="宋体" w:eastAsia="宋体" w:cs="宋体"/>
                <w:color w:val="auto"/>
                <w:spacing w:val="-1"/>
                <w:sz w:val="18"/>
                <w:szCs w:val="18"/>
              </w:rPr>
              <w:t>X≥300</w:t>
            </w:r>
          </w:p>
        </w:tc>
        <w:tc>
          <w:tcPr>
            <w:tcW w:w="1802" w:type="dxa"/>
            <w:vAlign w:val="top"/>
          </w:tcPr>
          <w:p w14:paraId="3F591AAC">
            <w:pPr>
              <w:pStyle w:val="33"/>
              <w:spacing w:before="107" w:line="237" w:lineRule="auto"/>
              <w:ind w:left="371"/>
              <w:rPr>
                <w:rFonts w:hint="eastAsia" w:ascii="宋体" w:hAnsi="宋体" w:eastAsia="宋体" w:cs="宋体"/>
                <w:color w:val="auto"/>
                <w:sz w:val="18"/>
                <w:szCs w:val="18"/>
              </w:rPr>
            </w:pPr>
            <w:r>
              <w:rPr>
                <w:rFonts w:hint="eastAsia" w:ascii="宋体" w:hAnsi="宋体" w:eastAsia="宋体" w:cs="宋体"/>
                <w:color w:val="auto"/>
                <w:spacing w:val="-3"/>
                <w:sz w:val="18"/>
                <w:szCs w:val="18"/>
              </w:rPr>
              <w:t>100≤X＜300</w:t>
            </w:r>
          </w:p>
        </w:tc>
        <w:tc>
          <w:tcPr>
            <w:tcW w:w="1510" w:type="dxa"/>
            <w:vAlign w:val="top"/>
          </w:tcPr>
          <w:p w14:paraId="1FB248FD">
            <w:pPr>
              <w:pStyle w:val="33"/>
              <w:spacing w:before="107" w:line="237" w:lineRule="auto"/>
              <w:ind w:left="323"/>
              <w:rPr>
                <w:rFonts w:hint="eastAsia" w:ascii="宋体" w:hAnsi="宋体" w:eastAsia="宋体" w:cs="宋体"/>
                <w:color w:val="auto"/>
                <w:sz w:val="18"/>
                <w:szCs w:val="18"/>
              </w:rPr>
            </w:pPr>
            <w:r>
              <w:rPr>
                <w:rFonts w:hint="eastAsia" w:ascii="宋体" w:hAnsi="宋体" w:eastAsia="宋体" w:cs="宋体"/>
                <w:color w:val="auto"/>
                <w:spacing w:val="-3"/>
                <w:sz w:val="18"/>
                <w:szCs w:val="18"/>
              </w:rPr>
              <w:t>10≤X＜100</w:t>
            </w:r>
          </w:p>
        </w:tc>
        <w:tc>
          <w:tcPr>
            <w:tcW w:w="1053" w:type="dxa"/>
            <w:vAlign w:val="top"/>
          </w:tcPr>
          <w:p w14:paraId="5505932E">
            <w:pPr>
              <w:pStyle w:val="33"/>
              <w:spacing w:before="108"/>
              <w:ind w:left="302"/>
              <w:rPr>
                <w:rFonts w:hint="eastAsia" w:ascii="宋体" w:hAnsi="宋体" w:eastAsia="宋体" w:cs="宋体"/>
                <w:color w:val="auto"/>
                <w:sz w:val="18"/>
                <w:szCs w:val="18"/>
              </w:rPr>
            </w:pPr>
            <w:r>
              <w:rPr>
                <w:rFonts w:hint="eastAsia" w:ascii="宋体" w:hAnsi="宋体" w:eastAsia="宋体" w:cs="宋体"/>
                <w:color w:val="auto"/>
                <w:spacing w:val="-1"/>
                <w:sz w:val="18"/>
                <w:szCs w:val="18"/>
              </w:rPr>
              <w:t>X＜10</w:t>
            </w:r>
          </w:p>
        </w:tc>
      </w:tr>
    </w:tbl>
    <w:p w14:paraId="759F7133">
      <w:pPr>
        <w:pStyle w:val="7"/>
        <w:spacing w:line="341" w:lineRule="auto"/>
        <w:rPr>
          <w:rFonts w:hint="eastAsia" w:ascii="宋体" w:hAnsi="宋体" w:eastAsia="宋体" w:cs="宋体"/>
          <w:color w:val="auto"/>
        </w:rPr>
      </w:pPr>
    </w:p>
    <w:p w14:paraId="682D2069">
      <w:pPr>
        <w:pStyle w:val="7"/>
        <w:spacing w:line="342" w:lineRule="auto"/>
        <w:rPr>
          <w:rFonts w:hint="eastAsia" w:ascii="宋体" w:hAnsi="宋体" w:eastAsia="宋体" w:cs="宋体"/>
          <w:color w:val="auto"/>
        </w:rPr>
      </w:pPr>
    </w:p>
    <w:p w14:paraId="61B1C6DD">
      <w:pPr>
        <w:spacing w:before="78" w:line="220"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说明：</w:t>
      </w:r>
    </w:p>
    <w:p w14:paraId="307FCFDB">
      <w:pPr>
        <w:spacing w:line="220" w:lineRule="auto"/>
        <w:rPr>
          <w:rFonts w:hint="eastAsia" w:ascii="宋体" w:hAnsi="宋体" w:eastAsia="宋体" w:cs="宋体"/>
          <w:color w:val="auto"/>
          <w:sz w:val="24"/>
          <w:szCs w:val="24"/>
        </w:rPr>
        <w:sectPr>
          <w:footerReference r:id="rId5" w:type="default"/>
          <w:pgSz w:w="11906" w:h="16839"/>
          <w:pgMar w:top="1281" w:right="1147" w:bottom="1156" w:left="1145" w:header="0" w:footer="994" w:gutter="0"/>
          <w:pgNumType w:fmt="decimal"/>
          <w:cols w:space="720" w:num="1"/>
        </w:sectPr>
      </w:pPr>
    </w:p>
    <w:p w14:paraId="4C9F3F1D">
      <w:pPr>
        <w:spacing w:before="47" w:line="256" w:lineRule="auto"/>
        <w:ind w:left="4" w:right="87" w:firstLine="527"/>
        <w:rPr>
          <w:rFonts w:hint="eastAsia" w:ascii="宋体" w:hAnsi="宋体" w:eastAsia="宋体" w:cs="宋体"/>
          <w:color w:val="auto"/>
          <w:sz w:val="24"/>
          <w:szCs w:val="24"/>
        </w:rPr>
      </w:pPr>
      <w:r>
        <w:rPr>
          <w:rFonts w:hint="eastAsia" w:ascii="宋体" w:hAnsi="宋体" w:eastAsia="宋体" w:cs="宋体"/>
          <w:color w:val="auto"/>
          <w:spacing w:val="12"/>
          <w:sz w:val="24"/>
          <w:szCs w:val="24"/>
        </w:rPr>
        <w:t>1.大型、中型和小型企业须同时满足所列指标的下限，否则下划一档；微型企</w:t>
      </w:r>
      <w:r>
        <w:rPr>
          <w:rFonts w:hint="eastAsia" w:ascii="宋体" w:hAnsi="宋体" w:eastAsia="宋体" w:cs="宋体"/>
          <w:color w:val="auto"/>
          <w:spacing w:val="11"/>
          <w:sz w:val="24"/>
          <w:szCs w:val="24"/>
        </w:rPr>
        <w:t>业只</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须满足所列指标中的一项即可。</w:t>
      </w:r>
    </w:p>
    <w:p w14:paraId="14E940EC">
      <w:pPr>
        <w:spacing w:before="96" w:line="283" w:lineRule="auto"/>
        <w:ind w:firstLine="517"/>
        <w:rPr>
          <w:rFonts w:hint="eastAsia" w:ascii="宋体" w:hAnsi="宋体" w:eastAsia="宋体" w:cs="宋体"/>
          <w:color w:val="auto"/>
          <w:sz w:val="24"/>
          <w:szCs w:val="24"/>
        </w:rPr>
      </w:pPr>
      <w:r>
        <w:rPr>
          <w:rFonts w:hint="eastAsia" w:ascii="宋体" w:hAnsi="宋体" w:eastAsia="宋体" w:cs="宋体"/>
          <w:color w:val="auto"/>
          <w:spacing w:val="9"/>
          <w:sz w:val="24"/>
          <w:szCs w:val="24"/>
        </w:rPr>
        <w:t>2.附表中各行业的范围以《国民经济行业分类》（</w:t>
      </w:r>
      <w:r>
        <w:rPr>
          <w:rFonts w:hint="eastAsia" w:ascii="宋体" w:hAnsi="宋体" w:eastAsia="宋体" w:cs="宋体"/>
          <w:color w:val="auto"/>
          <w:sz w:val="24"/>
          <w:szCs w:val="24"/>
        </w:rPr>
        <w:t>GB</w:t>
      </w:r>
      <w:r>
        <w:rPr>
          <w:rFonts w:hint="eastAsia" w:ascii="宋体" w:hAnsi="宋体" w:eastAsia="宋体" w:cs="宋体"/>
          <w:color w:val="auto"/>
          <w:spacing w:val="9"/>
          <w:sz w:val="24"/>
          <w:szCs w:val="24"/>
        </w:rPr>
        <w:t>/T4754-2017）为准</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9"/>
          <w:sz w:val="24"/>
          <w:szCs w:val="24"/>
        </w:rPr>
        <w:t xml:space="preserve">。带*的项 </w:t>
      </w:r>
      <w:r>
        <w:rPr>
          <w:rFonts w:hint="eastAsia" w:ascii="宋体" w:hAnsi="宋体" w:eastAsia="宋体" w:cs="宋体"/>
          <w:color w:val="auto"/>
          <w:spacing w:val="12"/>
          <w:sz w:val="24"/>
          <w:szCs w:val="24"/>
        </w:rPr>
        <w:t xml:space="preserve">为行业组合类别，其中，工业包括采矿业，制造业，电力、热力、燃气及水生产和供应 业；交通运输业包括道路运输业，水上运输业，航空运输业，管道运输业，多式联运和 运输代理业、装卸搬运，不包括铁路运输业；仓储业包括通用仓储，低温仓储，危险品 </w:t>
      </w:r>
      <w:r>
        <w:rPr>
          <w:rFonts w:hint="eastAsia" w:ascii="宋体" w:hAnsi="宋体" w:eastAsia="宋体" w:cs="宋体"/>
          <w:color w:val="auto"/>
          <w:spacing w:val="14"/>
          <w:sz w:val="24"/>
          <w:szCs w:val="24"/>
        </w:rPr>
        <w:t>仓储，谷物、棉花等农产品仓储，中药材仓储和其他仓储业</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pacing w:val="13"/>
          <w:sz w:val="24"/>
          <w:szCs w:val="24"/>
        </w:rPr>
        <w:t xml:space="preserve">信息传输业包括电信、广 </w:t>
      </w:r>
      <w:r>
        <w:rPr>
          <w:rFonts w:hint="eastAsia" w:ascii="宋体" w:hAnsi="宋体" w:eastAsia="宋体" w:cs="宋体"/>
          <w:color w:val="auto"/>
          <w:spacing w:val="9"/>
          <w:sz w:val="24"/>
          <w:szCs w:val="24"/>
        </w:rPr>
        <w:t>播电视和卫星传输服务，互联网和相关服务；建筑业包括科学研究和</w:t>
      </w:r>
      <w:r>
        <w:rPr>
          <w:rFonts w:hint="eastAsia" w:ascii="宋体" w:hAnsi="宋体" w:eastAsia="宋体" w:cs="宋体"/>
          <w:color w:val="auto"/>
          <w:spacing w:val="8"/>
          <w:sz w:val="24"/>
          <w:szCs w:val="24"/>
        </w:rPr>
        <w:t>技术服务业，水利、</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 xml:space="preserve">环境和公共设施管理业，居民服务、修理和其他服务业，社会工作，文化、体育和娱乐 </w:t>
      </w:r>
      <w:r>
        <w:rPr>
          <w:rFonts w:hint="eastAsia" w:ascii="宋体" w:hAnsi="宋体" w:eastAsia="宋体" w:cs="宋体"/>
          <w:color w:val="auto"/>
          <w:spacing w:val="13"/>
          <w:sz w:val="24"/>
          <w:szCs w:val="24"/>
        </w:rPr>
        <w:t>业，</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13"/>
          <w:sz w:val="24"/>
          <w:szCs w:val="24"/>
        </w:rPr>
        <w:t>以及房地产中介服务，其他房地产业等，不包括自有房地产经营活动。</w:t>
      </w:r>
    </w:p>
    <w:p w14:paraId="3962D244">
      <w:pPr>
        <w:spacing w:before="95" w:line="280" w:lineRule="auto"/>
        <w:ind w:right="55" w:firstLine="519"/>
        <w:rPr>
          <w:rFonts w:hint="eastAsia" w:ascii="宋体" w:hAnsi="宋体" w:eastAsia="宋体" w:cs="宋体"/>
          <w:color w:val="auto"/>
          <w:sz w:val="24"/>
          <w:szCs w:val="24"/>
        </w:rPr>
      </w:pPr>
      <w:r>
        <w:rPr>
          <w:rFonts w:hint="eastAsia" w:ascii="宋体" w:hAnsi="宋体" w:eastAsia="宋体" w:cs="宋体"/>
          <w:color w:val="auto"/>
          <w:spacing w:val="14"/>
          <w:sz w:val="24"/>
          <w:szCs w:val="24"/>
        </w:rPr>
        <w:t>3.企业划分指标以现行统计制度为准</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14"/>
          <w:sz w:val="24"/>
          <w:szCs w:val="24"/>
        </w:rPr>
        <w:t>。（1）从业人员，是指期末从业人员数，没</w:t>
      </w:r>
      <w:r>
        <w:rPr>
          <w:rFonts w:hint="eastAsia" w:ascii="宋体" w:hAnsi="宋体" w:eastAsia="宋体" w:cs="宋体"/>
          <w:color w:val="auto"/>
          <w:sz w:val="24"/>
          <w:szCs w:val="24"/>
        </w:rPr>
        <w:t xml:space="preserve"> </w:t>
      </w:r>
      <w:r>
        <w:rPr>
          <w:rFonts w:hint="eastAsia" w:ascii="宋体" w:hAnsi="宋体" w:eastAsia="宋体" w:cs="宋体"/>
          <w:color w:val="auto"/>
          <w:spacing w:val="15"/>
          <w:sz w:val="24"/>
          <w:szCs w:val="24"/>
        </w:rPr>
        <w:t>有期末从业人员数的，采用全年平均人员数代替</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15"/>
          <w:sz w:val="24"/>
          <w:szCs w:val="24"/>
        </w:rPr>
        <w:t>。（2）营业收入，</w:t>
      </w:r>
      <w:r>
        <w:rPr>
          <w:rFonts w:hint="eastAsia" w:ascii="宋体" w:hAnsi="宋体" w:eastAsia="宋体" w:cs="宋体"/>
          <w:color w:val="auto"/>
          <w:spacing w:val="14"/>
          <w:sz w:val="24"/>
          <w:szCs w:val="24"/>
        </w:rPr>
        <w:t>工业、建筑业、限</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额以上批发和零售业、限额以上住宿和餐饮业以及其他设置主营业务收入</w:t>
      </w:r>
      <w:r>
        <w:rPr>
          <w:rFonts w:hint="eastAsia" w:ascii="宋体" w:hAnsi="宋体" w:eastAsia="宋体" w:cs="宋体"/>
          <w:color w:val="auto"/>
          <w:spacing w:val="13"/>
          <w:sz w:val="24"/>
          <w:szCs w:val="24"/>
        </w:rPr>
        <w:t>指标的行业，</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采用主营业务收入；限额以下批发与零售业企业采用商品销售额代替；限额以下住宿与</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餐饮业企业采用营业额代替；农、林、牧、渔业企业采用营业总收入代替；其他未设置</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主营业务收入的行业，采用营业收入指标</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13"/>
          <w:sz w:val="24"/>
          <w:szCs w:val="24"/>
        </w:rPr>
        <w:t>。（3）资产总额，采用资产总计代替。</w:t>
      </w:r>
    </w:p>
    <w:p w14:paraId="7C19E279">
      <w:pPr>
        <w:pStyle w:val="7"/>
        <w:spacing w:line="315" w:lineRule="auto"/>
        <w:rPr>
          <w:rFonts w:hint="eastAsia" w:ascii="宋体" w:hAnsi="宋体" w:eastAsia="宋体" w:cs="宋体"/>
          <w:color w:val="auto"/>
        </w:rPr>
      </w:pPr>
    </w:p>
    <w:p w14:paraId="6D49EE19">
      <w:pPr>
        <w:pStyle w:val="7"/>
        <w:spacing w:line="316" w:lineRule="auto"/>
        <w:rPr>
          <w:rFonts w:hint="eastAsia" w:ascii="宋体" w:hAnsi="宋体" w:eastAsia="宋体" w:cs="宋体"/>
          <w:color w:val="auto"/>
        </w:rPr>
      </w:pPr>
    </w:p>
    <w:p w14:paraId="7EDAE544">
      <w:pPr>
        <w:spacing w:before="91" w:line="220" w:lineRule="auto"/>
        <w:ind w:left="24"/>
        <w:rPr>
          <w:rFonts w:hint="eastAsia" w:ascii="宋体" w:hAnsi="宋体" w:eastAsia="宋体" w:cs="宋体"/>
          <w:color w:val="auto"/>
          <w:sz w:val="28"/>
          <w:szCs w:val="28"/>
        </w:rPr>
      </w:pPr>
      <w:r>
        <w:rPr>
          <w:rFonts w:hint="eastAsia" w:ascii="宋体" w:hAnsi="宋体" w:eastAsia="宋体" w:cs="宋体"/>
          <w:color w:val="auto"/>
          <w:spacing w:val="-7"/>
          <w:sz w:val="28"/>
          <w:szCs w:val="28"/>
          <w14:textOutline w14:w="5103" w14:cap="sq" w14:cmpd="sng">
            <w14:solidFill>
              <w14:srgbClr w14:val="000000"/>
            </w14:solidFill>
            <w14:prstDash w14:val="solid"/>
            <w14:bevel/>
          </w14:textOutline>
        </w:rPr>
        <w:t>附件：</w:t>
      </w:r>
    </w:p>
    <w:p w14:paraId="608DE38C">
      <w:pPr>
        <w:spacing w:before="254" w:line="221" w:lineRule="auto"/>
        <w:ind w:left="2625"/>
        <w:rPr>
          <w:rFonts w:hint="eastAsia" w:ascii="宋体" w:hAnsi="宋体" w:eastAsia="宋体" w:cs="宋体"/>
          <w:color w:val="auto"/>
          <w:sz w:val="28"/>
          <w:szCs w:val="28"/>
        </w:rPr>
      </w:pPr>
      <w:r>
        <w:rPr>
          <w:rFonts w:hint="eastAsia" w:ascii="宋体" w:hAnsi="宋体" w:eastAsia="宋体" w:cs="宋体"/>
          <w:color w:val="auto"/>
          <w:spacing w:val="10"/>
          <w:sz w:val="28"/>
          <w:szCs w:val="28"/>
          <w14:textOutline w14:w="5103" w14:cap="sq" w14:cmpd="sng">
            <w14:solidFill>
              <w14:srgbClr w14:val="000000"/>
            </w14:solidFill>
            <w14:prstDash w14:val="solid"/>
            <w14:bevel/>
          </w14:textOutline>
        </w:rPr>
        <w:t>残疾人福利性单位声明函（格式）</w:t>
      </w:r>
    </w:p>
    <w:p w14:paraId="55ABC17F">
      <w:pPr>
        <w:spacing w:before="185" w:line="354" w:lineRule="auto"/>
        <w:ind w:right="85" w:firstLine="505"/>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本单位郑重声明，根据《财政部</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10"/>
          <w:sz w:val="24"/>
          <w:szCs w:val="24"/>
        </w:rPr>
        <w:t>民政部</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10"/>
          <w:sz w:val="24"/>
          <w:szCs w:val="24"/>
        </w:rPr>
        <w:t>中国残疾人联合会关于促进残疾人就业政</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府采购政策的通知》</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8"/>
          <w:sz w:val="24"/>
          <w:szCs w:val="24"/>
        </w:rPr>
        <w:t>（财库〔2017〕 141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rPr>
        <w:t>号）</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8"/>
          <w:sz w:val="24"/>
          <w:szCs w:val="24"/>
        </w:rPr>
        <w:t>的规定，本单位为符合条件的残</w:t>
      </w:r>
      <w:r>
        <w:rPr>
          <w:rFonts w:hint="eastAsia" w:ascii="宋体" w:hAnsi="宋体" w:eastAsia="宋体" w:cs="宋体"/>
          <w:color w:val="auto"/>
          <w:spacing w:val="7"/>
          <w:sz w:val="24"/>
          <w:szCs w:val="24"/>
        </w:rPr>
        <w:t>疾人福利</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性单位，且本单位参加</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5"/>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3"/>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5"/>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2"/>
          <w:sz w:val="24"/>
          <w:szCs w:val="24"/>
        </w:rPr>
        <w:t>单位的</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2"/>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5"/>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6"/>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2"/>
          <w:sz w:val="24"/>
          <w:szCs w:val="24"/>
        </w:rPr>
        <w:t>项目采购活动提供本单位制造的货物（由本</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单位承担工程/提供服务</w:t>
      </w:r>
      <w:r>
        <w:rPr>
          <w:rFonts w:hint="eastAsia" w:ascii="宋体" w:hAnsi="宋体" w:eastAsia="宋体" w:cs="宋体"/>
          <w:color w:val="auto"/>
          <w:spacing w:val="3"/>
          <w:sz w:val="24"/>
          <w:szCs w:val="24"/>
        </w:rPr>
        <w:t>），</w:t>
      </w:r>
      <w:r>
        <w:rPr>
          <w:rFonts w:hint="eastAsia" w:ascii="宋体" w:hAnsi="宋体" w:eastAsia="宋体" w:cs="宋体"/>
          <w:color w:val="auto"/>
          <w:spacing w:val="10"/>
          <w:sz w:val="24"/>
          <w:szCs w:val="24"/>
        </w:rPr>
        <w:t>或者提供其他残疾人福利性单位制造的货物（不包括使用非</w:t>
      </w:r>
    </w:p>
    <w:p w14:paraId="3099FCD8">
      <w:pPr>
        <w:spacing w:before="1" w:line="219" w:lineRule="auto"/>
        <w:rPr>
          <w:rFonts w:hint="eastAsia" w:ascii="宋体" w:hAnsi="宋体" w:eastAsia="宋体" w:cs="宋体"/>
          <w:color w:val="auto"/>
          <w:sz w:val="24"/>
          <w:szCs w:val="24"/>
        </w:rPr>
      </w:pPr>
      <w:r>
        <w:rPr>
          <w:rFonts w:hint="eastAsia" w:ascii="宋体" w:hAnsi="宋体" w:eastAsia="宋体" w:cs="宋体"/>
          <w:color w:val="auto"/>
          <w:spacing w:val="10"/>
          <w:sz w:val="24"/>
          <w:szCs w:val="24"/>
        </w:rPr>
        <w:t>残疾人福利性单位注册商标的货物）。</w:t>
      </w:r>
    </w:p>
    <w:p w14:paraId="65CC87B1">
      <w:pPr>
        <w:spacing w:before="176" w:line="219" w:lineRule="auto"/>
        <w:ind w:left="505"/>
        <w:rPr>
          <w:rFonts w:hint="eastAsia" w:ascii="宋体" w:hAnsi="宋体" w:eastAsia="宋体" w:cs="宋体"/>
          <w:color w:val="auto"/>
          <w:sz w:val="24"/>
          <w:szCs w:val="24"/>
        </w:rPr>
      </w:pPr>
      <w:r>
        <w:rPr>
          <w:rFonts w:hint="eastAsia" w:ascii="宋体" w:hAnsi="宋体" w:eastAsia="宋体" w:cs="宋体"/>
          <w:color w:val="auto"/>
          <w:spacing w:val="11"/>
          <w:sz w:val="24"/>
          <w:szCs w:val="24"/>
        </w:rPr>
        <w:t>本单位对上述声明的真实性负责。如有虚假，将依法承</w:t>
      </w:r>
      <w:r>
        <w:rPr>
          <w:rFonts w:hint="eastAsia" w:ascii="宋体" w:hAnsi="宋体" w:eastAsia="宋体" w:cs="宋体"/>
          <w:color w:val="auto"/>
          <w:spacing w:val="10"/>
          <w:sz w:val="24"/>
          <w:szCs w:val="24"/>
        </w:rPr>
        <w:t>担相应责任。</w:t>
      </w:r>
    </w:p>
    <w:p w14:paraId="0F0B8342">
      <w:pPr>
        <w:pStyle w:val="7"/>
        <w:spacing w:line="276" w:lineRule="auto"/>
        <w:rPr>
          <w:rFonts w:hint="eastAsia" w:ascii="宋体" w:hAnsi="宋体" w:eastAsia="宋体" w:cs="宋体"/>
          <w:color w:val="auto"/>
        </w:rPr>
      </w:pPr>
    </w:p>
    <w:p w14:paraId="13A9B8F3">
      <w:pPr>
        <w:pStyle w:val="7"/>
        <w:spacing w:line="277" w:lineRule="auto"/>
        <w:rPr>
          <w:rFonts w:hint="eastAsia" w:ascii="宋体" w:hAnsi="宋体" w:eastAsia="宋体" w:cs="宋体"/>
          <w:color w:val="auto"/>
        </w:rPr>
      </w:pPr>
    </w:p>
    <w:p w14:paraId="237B9393">
      <w:pPr>
        <w:spacing w:before="78" w:line="354" w:lineRule="auto"/>
        <w:ind w:left="3079"/>
        <w:rPr>
          <w:rFonts w:hint="eastAsia" w:ascii="宋体" w:hAnsi="宋体" w:eastAsia="宋体" w:cs="宋体"/>
          <w:color w:val="auto"/>
          <w:sz w:val="24"/>
          <w:szCs w:val="24"/>
        </w:rPr>
      </w:pPr>
      <w:r>
        <w:rPr>
          <w:rFonts w:hint="eastAsia" w:ascii="宋体" w:hAnsi="宋体" w:eastAsia="宋体" w:cs="宋体"/>
          <w:color w:val="auto"/>
          <w:spacing w:val="8"/>
          <w:sz w:val="24"/>
          <w:szCs w:val="24"/>
        </w:rPr>
        <w:t>单位名称（加盖供应商</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t>CA</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8"/>
          <w:sz w:val="24"/>
          <w:szCs w:val="24"/>
        </w:rPr>
        <w:t>证书签章</w:t>
      </w:r>
      <w:r>
        <w:rPr>
          <w:rFonts w:hint="eastAsia" w:ascii="宋体" w:hAnsi="宋体" w:eastAsia="宋体" w:cs="宋体"/>
          <w:color w:val="auto"/>
          <w:spacing w:val="-7"/>
          <w:sz w:val="24"/>
          <w:szCs w:val="24"/>
        </w:rPr>
        <w:t>）</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2B8415FF">
      <w:pPr>
        <w:spacing w:before="1" w:line="220" w:lineRule="auto"/>
        <w:ind w:left="3824"/>
        <w:rPr>
          <w:rFonts w:hint="eastAsia" w:ascii="宋体" w:hAnsi="宋体" w:eastAsia="宋体" w:cs="宋体"/>
          <w:color w:val="auto"/>
          <w:sz w:val="24"/>
          <w:szCs w:val="24"/>
        </w:rPr>
      </w:pPr>
      <w:r>
        <w:rPr>
          <w:rFonts w:hint="eastAsia" w:ascii="宋体" w:hAnsi="宋体" w:eastAsia="宋体" w:cs="宋体"/>
          <w:color w:val="auto"/>
          <w:spacing w:val="-21"/>
          <w:sz w:val="24"/>
          <w:szCs w:val="24"/>
        </w:rPr>
        <w:t>日</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21"/>
          <w:sz w:val="24"/>
          <w:szCs w:val="24"/>
        </w:rPr>
        <w:t>期：</w:t>
      </w:r>
      <w:r>
        <w:rPr>
          <w:rFonts w:hint="eastAsia" w:ascii="宋体" w:hAnsi="宋体" w:eastAsia="宋体" w:cs="宋体"/>
          <w:color w:val="auto"/>
          <w:spacing w:val="-97"/>
          <w:sz w:val="24"/>
          <w:szCs w:val="24"/>
        </w:rPr>
        <w:t xml:space="preserve"> </w:t>
      </w:r>
      <w:r>
        <w:rPr>
          <w:rFonts w:hint="eastAsia" w:ascii="宋体" w:hAnsi="宋体" w:eastAsia="宋体" w:cs="宋体"/>
          <w:color w:val="auto"/>
          <w:sz w:val="24"/>
          <w:szCs w:val="24"/>
          <w:u w:val="single" w:color="auto"/>
        </w:rPr>
        <w:t xml:space="preserve">             </w:t>
      </w:r>
    </w:p>
    <w:p w14:paraId="682368D5">
      <w:pPr>
        <w:spacing w:line="220" w:lineRule="auto"/>
        <w:rPr>
          <w:rFonts w:hint="eastAsia" w:ascii="宋体" w:hAnsi="宋体" w:eastAsia="宋体" w:cs="宋体"/>
          <w:color w:val="auto"/>
          <w:sz w:val="24"/>
          <w:szCs w:val="24"/>
        </w:rPr>
        <w:sectPr>
          <w:footerReference r:id="rId6" w:type="default"/>
          <w:pgSz w:w="11906" w:h="16839"/>
          <w:pgMar w:top="1241" w:right="1061" w:bottom="1156" w:left="1141" w:header="0" w:footer="994" w:gutter="0"/>
          <w:pgNumType w:fmt="decimal"/>
          <w:cols w:space="720" w:num="1"/>
        </w:sectPr>
      </w:pPr>
    </w:p>
    <w:p w14:paraId="0BD50AC0">
      <w:pPr>
        <w:keepNext/>
        <w:pageBreakBefore/>
        <w:numPr>
          <w:ilvl w:val="0"/>
          <w:numId w:val="6"/>
        </w:num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符合性审查要求证明材料</w:t>
      </w:r>
    </w:p>
    <w:p w14:paraId="78B9CC4A">
      <w:pPr>
        <w:pStyle w:val="23"/>
        <w:rPr>
          <w:rFonts w:hint="eastAsia" w:ascii="宋体" w:hAnsi="宋体" w:eastAsia="宋体" w:cs="宋体"/>
          <w:color w:val="auto"/>
        </w:rPr>
      </w:pPr>
    </w:p>
    <w:p w14:paraId="278F8B26">
      <w:pPr>
        <w:spacing w:line="400" w:lineRule="exact"/>
        <w:rPr>
          <w:rFonts w:hint="eastAsia" w:ascii="宋体" w:hAnsi="宋体" w:eastAsia="宋体" w:cs="宋体"/>
          <w:b/>
          <w:bCs/>
          <w:color w:val="auto"/>
          <w:sz w:val="28"/>
          <w:szCs w:val="28"/>
        </w:rPr>
      </w:pPr>
      <w:bookmarkStart w:id="166" w:name="_Toc17617"/>
      <w:bookmarkStart w:id="167" w:name="_Toc12920"/>
      <w:bookmarkStart w:id="168" w:name="_Toc497927072"/>
      <w:r>
        <w:rPr>
          <w:rFonts w:hint="eastAsia" w:ascii="宋体" w:hAnsi="宋体" w:eastAsia="宋体" w:cs="宋体"/>
          <w:b/>
          <w:bCs/>
          <w:color w:val="auto"/>
          <w:sz w:val="28"/>
          <w:szCs w:val="28"/>
        </w:rPr>
        <w:t>1.响应函（格式见附件）（必须提供）</w:t>
      </w:r>
      <w:bookmarkEnd w:id="166"/>
      <w:bookmarkEnd w:id="167"/>
      <w:bookmarkEnd w:id="168"/>
    </w:p>
    <w:p w14:paraId="3E037B11">
      <w:pPr>
        <w:pStyle w:val="23"/>
        <w:rPr>
          <w:rFonts w:hint="eastAsia" w:ascii="宋体" w:hAnsi="宋体" w:eastAsia="宋体" w:cs="宋体"/>
          <w:color w:val="auto"/>
        </w:rPr>
      </w:pPr>
    </w:p>
    <w:p w14:paraId="7CC6DFFA">
      <w:pPr>
        <w:pStyle w:val="10"/>
        <w:rPr>
          <w:rFonts w:hint="eastAsia" w:ascii="宋体" w:hAnsi="宋体" w:eastAsia="宋体" w:cs="宋体"/>
          <w:b/>
          <w:color w:val="auto"/>
          <w:sz w:val="32"/>
        </w:rPr>
      </w:pPr>
      <w:r>
        <w:rPr>
          <w:rFonts w:hint="eastAsia" w:ascii="宋体" w:hAnsi="宋体" w:eastAsia="宋体" w:cs="宋体"/>
          <w:b/>
          <w:color w:val="auto"/>
          <w:sz w:val="32"/>
        </w:rPr>
        <w:t>附件：</w:t>
      </w:r>
    </w:p>
    <w:p w14:paraId="57C35EA4">
      <w:pPr>
        <w:pStyle w:val="10"/>
        <w:ind w:firstLine="803" w:firstLineChars="250"/>
        <w:jc w:val="center"/>
        <w:rPr>
          <w:rFonts w:hint="eastAsia" w:ascii="宋体" w:hAnsi="宋体" w:eastAsia="宋体" w:cs="宋体"/>
          <w:b/>
          <w:color w:val="auto"/>
          <w:sz w:val="32"/>
        </w:rPr>
      </w:pPr>
      <w:bookmarkStart w:id="169" w:name="_Toc17832_WPSOffice_Level1"/>
      <w:bookmarkStart w:id="170" w:name="_Toc7273_WPSOffice_Level1"/>
      <w:r>
        <w:rPr>
          <w:rFonts w:hint="eastAsia" w:ascii="宋体" w:hAnsi="宋体" w:eastAsia="宋体" w:cs="宋体"/>
          <w:b/>
          <w:color w:val="auto"/>
          <w:sz w:val="32"/>
        </w:rPr>
        <w:t>响 应 函 （格 式）</w:t>
      </w:r>
      <w:bookmarkEnd w:id="169"/>
      <w:bookmarkEnd w:id="170"/>
    </w:p>
    <w:p w14:paraId="55C5C741">
      <w:pPr>
        <w:spacing w:line="240" w:lineRule="exact"/>
        <w:jc w:val="center"/>
        <w:rPr>
          <w:rFonts w:hint="eastAsia" w:ascii="宋体" w:hAnsi="宋体" w:eastAsia="宋体" w:cs="宋体"/>
          <w:color w:val="auto"/>
          <w:sz w:val="32"/>
        </w:rPr>
      </w:pPr>
    </w:p>
    <w:p w14:paraId="5BE1E976">
      <w:pPr>
        <w:spacing w:line="400" w:lineRule="exact"/>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w:t>
      </w:r>
      <w:r>
        <w:rPr>
          <w:rFonts w:hint="eastAsia" w:ascii="宋体" w:hAnsi="宋体" w:eastAsia="宋体" w:cs="宋体"/>
          <w:color w:val="auto"/>
          <w:szCs w:val="21"/>
          <w:u w:val="single"/>
          <w:lang w:eastAsia="zh-CN"/>
        </w:rPr>
        <w:t>兴安县文化广电体育和旅游局</w:t>
      </w:r>
      <w:r>
        <w:rPr>
          <w:rFonts w:hint="eastAsia" w:ascii="宋体" w:hAnsi="宋体" w:eastAsia="宋体" w:cs="宋体"/>
          <w:color w:val="auto"/>
          <w:szCs w:val="21"/>
          <w:u w:val="single"/>
        </w:rPr>
        <w:t>、广西广西佳益工程项目管理咨询有限公司</w:t>
      </w:r>
    </w:p>
    <w:p w14:paraId="161F6368">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根据贵方</w:t>
      </w:r>
      <w:r>
        <w:rPr>
          <w:rFonts w:hint="eastAsia" w:ascii="宋体" w:hAnsi="宋体" w:eastAsia="宋体" w:cs="宋体"/>
          <w:color w:val="auto"/>
          <w:u w:val="single"/>
        </w:rPr>
        <w:t xml:space="preserve">  （项目名称） </w:t>
      </w:r>
      <w:r>
        <w:rPr>
          <w:rFonts w:hint="eastAsia" w:ascii="宋体" w:hAnsi="宋体" w:eastAsia="宋体" w:cs="宋体"/>
          <w:color w:val="auto"/>
        </w:rPr>
        <w:t>项目竞争性磋商文件，项目编号：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t>，签字代表</w:t>
      </w:r>
      <w:r>
        <w:rPr>
          <w:rFonts w:hint="eastAsia" w:ascii="宋体" w:hAnsi="宋体" w:eastAsia="宋体" w:cs="宋体"/>
          <w:color w:val="auto"/>
        </w:rPr>
        <w:t xml:space="preserve">（姓名）经正式授权并代表供应商 </w:t>
      </w:r>
      <w:r>
        <w:rPr>
          <w:rFonts w:hint="eastAsia" w:ascii="宋体" w:hAnsi="宋体" w:eastAsia="宋体" w:cs="宋体"/>
          <w:color w:val="auto"/>
          <w:u w:val="single"/>
        </w:rPr>
        <w:t xml:space="preserve">                                   （</w:t>
      </w:r>
      <w:r>
        <w:rPr>
          <w:rFonts w:hint="eastAsia" w:ascii="宋体" w:hAnsi="宋体" w:eastAsia="宋体" w:cs="宋体"/>
          <w:color w:val="auto"/>
        </w:rPr>
        <w:t>供应商单位名称），提交电子响应文件。</w:t>
      </w:r>
    </w:p>
    <w:p w14:paraId="4D990005">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据此函，签字代表宣布同意如下：</w:t>
      </w:r>
    </w:p>
    <w:p w14:paraId="2F60B8F6">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1.我方承诺已具备磋商文件规定的供应商资格条件。</w:t>
      </w:r>
    </w:p>
    <w:p w14:paraId="21268082">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2.我方已详细审核磋商文件，包括修改文件（如有的话）和有关附件，将自行承担因对全部磋商文件理解不正确或误解而产生的相应后果。</w:t>
      </w:r>
    </w:p>
    <w:p w14:paraId="491B4CB0">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3. 响应文件有效期为</w:t>
      </w:r>
      <w:r>
        <w:rPr>
          <w:rFonts w:hint="eastAsia" w:ascii="宋体" w:hAnsi="宋体" w:eastAsia="宋体" w:cs="宋体"/>
          <w:color w:val="auto"/>
          <w:szCs w:val="21"/>
        </w:rPr>
        <w:t>响应文件递交截止时间之日起90天。</w:t>
      </w:r>
    </w:p>
    <w:p w14:paraId="773E49EF">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4. 如我方成交：</w:t>
      </w:r>
    </w:p>
    <w:p w14:paraId="4AA144FB">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（1）我方承诺在收到成交通知书后，在成交通知书规定的期限内与采购人签订合同。</w:t>
      </w:r>
    </w:p>
    <w:p w14:paraId="1521DA6D">
      <w:pPr>
        <w:pStyle w:val="1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（2）我方承诺按照磋商文件规定递交履约担保。</w:t>
      </w:r>
    </w:p>
    <w:p w14:paraId="61427A62">
      <w:pPr>
        <w:pStyle w:val="1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（3）我方承诺本响应文件至本项目合同履行完毕止均保持有效，按磋商文件及政府采购法律、法规的规定履行合同责任和义务。</w:t>
      </w:r>
    </w:p>
    <w:p w14:paraId="6D0CA93F">
      <w:pPr>
        <w:pStyle w:val="1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与本项目有关的正式通讯地址为：</w:t>
      </w:r>
    </w:p>
    <w:p w14:paraId="28444F1B">
      <w:pPr>
        <w:rPr>
          <w:rFonts w:hint="eastAsia" w:ascii="宋体" w:hAnsi="宋体" w:eastAsia="宋体" w:cs="宋体"/>
          <w:color w:val="auto"/>
          <w:szCs w:val="21"/>
        </w:rPr>
      </w:pPr>
    </w:p>
    <w:p w14:paraId="6568AB2A">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69434C20">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电话、传真：</w:t>
      </w:r>
      <w:r>
        <w:rPr>
          <w:rFonts w:hint="eastAsia" w:ascii="宋体" w:hAnsi="宋体" w:eastAsia="宋体" w:cs="宋体"/>
          <w:color w:val="auto"/>
          <w:szCs w:val="21"/>
          <w:u w:val="single"/>
        </w:rPr>
        <w:t xml:space="preserve">                                   　                              </w:t>
      </w:r>
    </w:p>
    <w:p w14:paraId="3E1A2DDF">
      <w:pPr>
        <w:pStyle w:val="10"/>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p>
    <w:p w14:paraId="5CB9FDFD">
      <w:pPr>
        <w:pStyle w:val="10"/>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p>
    <w:p w14:paraId="174489DD">
      <w:pPr>
        <w:pStyle w:val="10"/>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p>
    <w:p w14:paraId="3B43D1C8">
      <w:pPr>
        <w:pStyle w:val="10"/>
        <w:spacing w:line="320" w:lineRule="exact"/>
        <w:ind w:firstLine="420"/>
        <w:rPr>
          <w:rFonts w:hint="eastAsia" w:ascii="宋体" w:hAnsi="宋体" w:eastAsia="宋体" w:cs="宋体"/>
          <w:bCs/>
          <w:color w:val="auto"/>
          <w:szCs w:val="21"/>
          <w:u w:val="single"/>
        </w:rPr>
      </w:pPr>
      <w:r>
        <w:rPr>
          <w:rFonts w:hint="eastAsia" w:ascii="宋体" w:hAnsi="宋体" w:eastAsia="宋体" w:cs="宋体"/>
          <w:bCs/>
          <w:color w:val="auto"/>
          <w:szCs w:val="21"/>
        </w:rPr>
        <w:t>供应商[公章(CA签章)、属自然人的应签名并加盖大拇指指印或个人CA签章]：</w:t>
      </w:r>
      <w:r>
        <w:rPr>
          <w:rFonts w:hint="eastAsia" w:ascii="宋体" w:hAnsi="宋体" w:eastAsia="宋体" w:cs="宋体"/>
          <w:color w:val="auto"/>
          <w:szCs w:val="21"/>
          <w:u w:val="single"/>
        </w:rPr>
        <w:t xml:space="preserve">                                   　　　 </w:t>
      </w:r>
    </w:p>
    <w:p w14:paraId="7CFEE782">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法定代表人、负责人、自然人或相应的委托代理人签字[或盖章(CA签章)]（属自然人的应在签名处加盖大拇指指印或个人CA签章）：</w:t>
      </w:r>
      <w:r>
        <w:rPr>
          <w:rFonts w:hint="eastAsia" w:ascii="宋体" w:hAnsi="宋体" w:eastAsia="宋体" w:cs="宋体"/>
          <w:color w:val="auto"/>
          <w:szCs w:val="21"/>
          <w:u w:val="single"/>
        </w:rPr>
        <w:t xml:space="preserve">                                   　               </w:t>
      </w:r>
    </w:p>
    <w:p w14:paraId="1C808DB2">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bCs/>
          <w:color w:val="auto"/>
          <w:szCs w:val="21"/>
        </w:rPr>
        <w:t>响应</w:t>
      </w: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14:paraId="617239CB">
      <w:pPr>
        <w:pStyle w:val="5"/>
        <w:ind w:left="2940"/>
        <w:rPr>
          <w:rFonts w:hint="eastAsia" w:ascii="宋体" w:hAnsi="宋体" w:eastAsia="宋体" w:cs="宋体"/>
          <w:color w:val="auto"/>
          <w:szCs w:val="21"/>
          <w:u w:val="single"/>
        </w:rPr>
      </w:pPr>
    </w:p>
    <w:p w14:paraId="007BEB0C">
      <w:pPr>
        <w:rPr>
          <w:rFonts w:hint="eastAsia" w:ascii="宋体" w:hAnsi="宋体" w:eastAsia="宋体" w:cs="宋体"/>
          <w:color w:val="auto"/>
          <w:szCs w:val="21"/>
          <w:u w:val="single"/>
        </w:rPr>
      </w:pPr>
    </w:p>
    <w:p w14:paraId="1533E766">
      <w:pPr>
        <w:pStyle w:val="10"/>
        <w:spacing w:line="340" w:lineRule="exact"/>
        <w:rPr>
          <w:rFonts w:hint="eastAsia" w:ascii="宋体" w:hAnsi="宋体" w:eastAsia="宋体" w:cs="宋体"/>
          <w:b/>
          <w:color w:val="auto"/>
          <w:sz w:val="28"/>
          <w:szCs w:val="28"/>
        </w:rPr>
      </w:pPr>
    </w:p>
    <w:p w14:paraId="0E73555A">
      <w:pPr>
        <w:pStyle w:val="10"/>
        <w:spacing w:line="340" w:lineRule="exact"/>
        <w:rPr>
          <w:rFonts w:hint="eastAsia" w:ascii="宋体" w:hAnsi="宋体" w:eastAsia="宋体" w:cs="宋体"/>
          <w:b/>
          <w:color w:val="auto"/>
          <w:sz w:val="28"/>
          <w:szCs w:val="28"/>
        </w:rPr>
      </w:pPr>
    </w:p>
    <w:p w14:paraId="736B1BC3">
      <w:pPr>
        <w:pStyle w:val="10"/>
        <w:spacing w:line="340" w:lineRule="exact"/>
        <w:rPr>
          <w:rFonts w:hint="eastAsia" w:ascii="宋体" w:hAnsi="宋体" w:eastAsia="宋体" w:cs="宋体"/>
          <w:b/>
          <w:color w:val="auto"/>
          <w:sz w:val="28"/>
          <w:szCs w:val="28"/>
        </w:rPr>
      </w:pPr>
    </w:p>
    <w:p w14:paraId="489D731B">
      <w:pPr>
        <w:pStyle w:val="10"/>
        <w:spacing w:line="340" w:lineRule="exact"/>
        <w:jc w:val="center"/>
        <w:rPr>
          <w:rFonts w:hint="eastAsia" w:ascii="宋体" w:hAnsi="宋体" w:eastAsia="宋体" w:cs="宋体"/>
          <w:b/>
          <w:color w:val="auto"/>
          <w:sz w:val="28"/>
          <w:szCs w:val="28"/>
        </w:rPr>
      </w:pPr>
    </w:p>
    <w:p w14:paraId="4DDF7712">
      <w:pPr>
        <w:pStyle w:val="5"/>
        <w:ind w:left="2940"/>
        <w:rPr>
          <w:rFonts w:hint="eastAsia" w:ascii="宋体" w:hAnsi="宋体" w:eastAsia="宋体" w:cs="宋体"/>
          <w:color w:val="auto"/>
        </w:rPr>
      </w:pPr>
    </w:p>
    <w:p w14:paraId="6FD0ABE1">
      <w:pPr>
        <w:pStyle w:val="10"/>
        <w:spacing w:line="340" w:lineRule="exact"/>
        <w:rPr>
          <w:rFonts w:hint="eastAsia" w:ascii="宋体" w:hAnsi="宋体" w:eastAsia="宋体" w:cs="宋体"/>
          <w:b/>
          <w:color w:val="auto"/>
          <w:sz w:val="28"/>
          <w:szCs w:val="28"/>
        </w:rPr>
      </w:pPr>
    </w:p>
    <w:p w14:paraId="0F4D4DC0">
      <w:pPr>
        <w:pStyle w:val="10"/>
        <w:spacing w:line="340" w:lineRule="exact"/>
        <w:rPr>
          <w:rFonts w:hint="eastAsia" w:ascii="宋体" w:hAnsi="宋体" w:eastAsia="宋体" w:cs="宋体"/>
          <w:b/>
          <w:color w:val="auto"/>
          <w:sz w:val="28"/>
          <w:szCs w:val="28"/>
        </w:rPr>
      </w:pPr>
    </w:p>
    <w:p w14:paraId="3BF758D1">
      <w:pPr>
        <w:pStyle w:val="10"/>
        <w:spacing w:line="340" w:lineRule="exact"/>
        <w:rPr>
          <w:rFonts w:hint="eastAsia" w:ascii="宋体" w:hAnsi="宋体" w:eastAsia="宋体" w:cs="宋体"/>
          <w:color w:val="auto"/>
        </w:rPr>
      </w:pPr>
      <w:r>
        <w:rPr>
          <w:rFonts w:hint="eastAsia" w:ascii="宋体" w:hAnsi="宋体" w:eastAsia="宋体" w:cs="宋体"/>
          <w:b/>
          <w:color w:val="auto"/>
          <w:sz w:val="28"/>
          <w:szCs w:val="28"/>
        </w:rPr>
        <w:t>2.磋商报价表（必须提供）；</w:t>
      </w:r>
    </w:p>
    <w:p w14:paraId="2DFF884D">
      <w:pPr>
        <w:pStyle w:val="10"/>
        <w:spacing w:line="320" w:lineRule="exact"/>
        <w:jc w:val="left"/>
        <w:rPr>
          <w:rFonts w:hint="eastAsia" w:ascii="宋体" w:hAnsi="宋体" w:eastAsia="宋体" w:cs="宋体"/>
          <w:b/>
          <w:color w:val="auto"/>
          <w:sz w:val="28"/>
          <w:szCs w:val="28"/>
        </w:rPr>
      </w:pPr>
    </w:p>
    <w:p w14:paraId="32EC9BFC">
      <w:pPr>
        <w:widowControl/>
        <w:jc w:val="center"/>
        <w:rPr>
          <w:rFonts w:hint="eastAsia" w:ascii="宋体" w:hAnsi="宋体" w:eastAsia="宋体" w:cs="宋体"/>
          <w:b/>
          <w:color w:val="auto"/>
          <w:kern w:val="0"/>
          <w:sz w:val="24"/>
        </w:rPr>
      </w:pPr>
      <w:r>
        <w:rPr>
          <w:rFonts w:hint="eastAsia" w:ascii="宋体" w:hAnsi="宋体" w:eastAsia="宋体" w:cs="宋体"/>
          <w:b/>
          <w:color w:val="auto"/>
          <w:kern w:val="0"/>
          <w:sz w:val="24"/>
        </w:rPr>
        <w:t>磋商报价表（格式）</w:t>
      </w:r>
    </w:p>
    <w:p w14:paraId="39FD3124">
      <w:pPr>
        <w:widowControl/>
        <w:jc w:val="center"/>
        <w:rPr>
          <w:rFonts w:hint="eastAsia" w:ascii="宋体" w:hAnsi="宋体" w:eastAsia="宋体" w:cs="宋体"/>
          <w:color w:val="auto"/>
          <w:kern w:val="0"/>
          <w:sz w:val="24"/>
        </w:rPr>
      </w:pPr>
    </w:p>
    <w:tbl>
      <w:tblPr>
        <w:tblStyle w:val="18"/>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1056"/>
        <w:gridCol w:w="3571"/>
        <w:gridCol w:w="747"/>
        <w:gridCol w:w="495"/>
        <w:gridCol w:w="846"/>
        <w:gridCol w:w="1251"/>
        <w:gridCol w:w="1251"/>
      </w:tblGrid>
      <w:tr w14:paraId="1A9CE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37" w:type="dxa"/>
            <w:tcBorders>
              <w:top w:val="single" w:color="auto" w:sz="4" w:space="0"/>
              <w:left w:val="single" w:color="auto" w:sz="4" w:space="0"/>
              <w:bottom w:val="single" w:color="auto" w:sz="4" w:space="0"/>
              <w:right w:val="single" w:color="auto" w:sz="4" w:space="0"/>
            </w:tcBorders>
            <w:vAlign w:val="center"/>
          </w:tcPr>
          <w:p w14:paraId="4E793333">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项号</w:t>
            </w:r>
          </w:p>
        </w:tc>
        <w:tc>
          <w:tcPr>
            <w:tcW w:w="1056" w:type="dxa"/>
            <w:tcBorders>
              <w:top w:val="single" w:color="auto" w:sz="4" w:space="0"/>
              <w:left w:val="single" w:color="auto" w:sz="4" w:space="0"/>
              <w:bottom w:val="single" w:color="auto" w:sz="4" w:space="0"/>
              <w:right w:val="single" w:color="auto" w:sz="4" w:space="0"/>
            </w:tcBorders>
            <w:vAlign w:val="center"/>
          </w:tcPr>
          <w:p w14:paraId="13A8BC05">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服务名称</w:t>
            </w:r>
          </w:p>
        </w:tc>
        <w:tc>
          <w:tcPr>
            <w:tcW w:w="3571" w:type="dxa"/>
            <w:tcBorders>
              <w:top w:val="single" w:color="auto" w:sz="4" w:space="0"/>
              <w:left w:val="single" w:color="auto" w:sz="4" w:space="0"/>
              <w:bottom w:val="single" w:color="auto" w:sz="4" w:space="0"/>
              <w:right w:val="single" w:color="auto" w:sz="4" w:space="0"/>
            </w:tcBorders>
            <w:vAlign w:val="center"/>
          </w:tcPr>
          <w:p w14:paraId="20ED3CEB">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服务内容</w:t>
            </w:r>
          </w:p>
        </w:tc>
        <w:tc>
          <w:tcPr>
            <w:tcW w:w="747" w:type="dxa"/>
            <w:tcBorders>
              <w:top w:val="single" w:color="auto" w:sz="4" w:space="0"/>
              <w:left w:val="single" w:color="auto" w:sz="4" w:space="0"/>
              <w:bottom w:val="single" w:color="auto" w:sz="4" w:space="0"/>
              <w:right w:val="single" w:color="auto" w:sz="4" w:space="0"/>
            </w:tcBorders>
            <w:vAlign w:val="center"/>
          </w:tcPr>
          <w:p w14:paraId="7415DEEB">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数量</w:t>
            </w:r>
          </w:p>
          <w:p w14:paraId="3C2C1BDE">
            <w:pPr>
              <w:spacing w:line="260" w:lineRule="exact"/>
              <w:jc w:val="center"/>
              <w:rPr>
                <w:rFonts w:hint="eastAsia" w:ascii="宋体" w:hAnsi="宋体" w:eastAsia="宋体" w:cs="宋体"/>
                <w:b/>
                <w:bCs/>
                <w:color w:val="auto"/>
              </w:rPr>
            </w:pPr>
            <w:r>
              <w:rPr>
                <w:rFonts w:hint="eastAsia" w:ascii="宋体" w:hAnsi="宋体" w:eastAsia="宋体" w:cs="宋体"/>
                <w:b/>
                <w:bCs/>
                <w:color w:val="auto"/>
                <w:szCs w:val="21"/>
              </w:rPr>
              <w:t>①</w:t>
            </w:r>
          </w:p>
        </w:tc>
        <w:tc>
          <w:tcPr>
            <w:tcW w:w="495" w:type="dxa"/>
            <w:tcBorders>
              <w:top w:val="single" w:color="auto" w:sz="4" w:space="0"/>
              <w:left w:val="single" w:color="auto" w:sz="4" w:space="0"/>
              <w:bottom w:val="single" w:color="auto" w:sz="4" w:space="0"/>
              <w:right w:val="single" w:color="auto" w:sz="4" w:space="0"/>
            </w:tcBorders>
            <w:vAlign w:val="center"/>
          </w:tcPr>
          <w:p w14:paraId="4C1CDB9E">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单位</w:t>
            </w:r>
          </w:p>
        </w:tc>
        <w:tc>
          <w:tcPr>
            <w:tcW w:w="846" w:type="dxa"/>
            <w:tcBorders>
              <w:top w:val="single" w:color="auto" w:sz="4" w:space="0"/>
              <w:left w:val="single" w:color="auto" w:sz="4" w:space="0"/>
              <w:bottom w:val="single" w:color="auto" w:sz="4" w:space="0"/>
              <w:right w:val="single" w:color="auto" w:sz="4" w:space="0"/>
            </w:tcBorders>
            <w:vAlign w:val="center"/>
          </w:tcPr>
          <w:p w14:paraId="2AA5B56D">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单价（元）</w:t>
            </w:r>
          </w:p>
          <w:p w14:paraId="7B79340C">
            <w:pPr>
              <w:spacing w:line="260" w:lineRule="exact"/>
              <w:jc w:val="center"/>
              <w:rPr>
                <w:rFonts w:hint="eastAsia" w:ascii="宋体" w:hAnsi="宋体" w:eastAsia="宋体" w:cs="宋体"/>
                <w:b/>
                <w:bCs/>
                <w:color w:val="auto"/>
              </w:rPr>
            </w:pPr>
            <w:r>
              <w:rPr>
                <w:rFonts w:hint="eastAsia" w:ascii="宋体" w:hAnsi="宋体" w:eastAsia="宋体" w:cs="宋体"/>
                <w:b/>
                <w:bCs/>
                <w:color w:val="auto"/>
                <w:szCs w:val="21"/>
              </w:rPr>
              <w:t>②</w:t>
            </w:r>
          </w:p>
        </w:tc>
        <w:tc>
          <w:tcPr>
            <w:tcW w:w="1251" w:type="dxa"/>
            <w:tcBorders>
              <w:top w:val="single" w:color="auto" w:sz="4" w:space="0"/>
              <w:left w:val="single" w:color="auto" w:sz="4" w:space="0"/>
              <w:bottom w:val="single" w:color="auto" w:sz="4" w:space="0"/>
            </w:tcBorders>
            <w:vAlign w:val="center"/>
          </w:tcPr>
          <w:p w14:paraId="5EC2CC5F">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单项合计=数量×单价</w:t>
            </w:r>
          </w:p>
          <w:p w14:paraId="7F1FE228">
            <w:pPr>
              <w:spacing w:line="260" w:lineRule="exact"/>
              <w:jc w:val="center"/>
              <w:rPr>
                <w:rFonts w:hint="eastAsia" w:ascii="宋体" w:hAnsi="宋体" w:eastAsia="宋体" w:cs="宋体"/>
                <w:b/>
                <w:bCs/>
                <w:color w:val="auto"/>
              </w:rPr>
            </w:pPr>
            <w:r>
              <w:rPr>
                <w:rFonts w:hint="eastAsia" w:ascii="宋体" w:hAnsi="宋体" w:eastAsia="宋体" w:cs="宋体"/>
                <w:b/>
                <w:bCs/>
                <w:color w:val="auto"/>
                <w:szCs w:val="21"/>
              </w:rPr>
              <w:t>③＝①×②</w:t>
            </w:r>
          </w:p>
        </w:tc>
        <w:tc>
          <w:tcPr>
            <w:tcW w:w="1251" w:type="dxa"/>
            <w:tcBorders>
              <w:top w:val="single" w:color="auto" w:sz="4" w:space="0"/>
              <w:left w:val="single" w:color="auto" w:sz="4" w:space="0"/>
              <w:bottom w:val="single" w:color="auto" w:sz="4" w:space="0"/>
            </w:tcBorders>
            <w:vAlign w:val="center"/>
          </w:tcPr>
          <w:p w14:paraId="371F2427">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备注</w:t>
            </w:r>
          </w:p>
        </w:tc>
      </w:tr>
      <w:tr w14:paraId="7ADFD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9" w:hRule="atLeast"/>
        </w:trPr>
        <w:tc>
          <w:tcPr>
            <w:tcW w:w="637" w:type="dxa"/>
            <w:tcBorders>
              <w:top w:val="single" w:color="auto" w:sz="4" w:space="0"/>
              <w:left w:val="single" w:color="auto" w:sz="4" w:space="0"/>
              <w:right w:val="single" w:color="auto" w:sz="4" w:space="0"/>
            </w:tcBorders>
            <w:vAlign w:val="center"/>
          </w:tcPr>
          <w:p w14:paraId="673A8D8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56" w:type="dxa"/>
            <w:tcBorders>
              <w:top w:val="single" w:color="auto" w:sz="4" w:space="0"/>
              <w:left w:val="single" w:color="auto" w:sz="4" w:space="0"/>
              <w:bottom w:val="single" w:color="auto" w:sz="4" w:space="0"/>
              <w:right w:val="single" w:color="auto" w:sz="4" w:space="0"/>
            </w:tcBorders>
            <w:vAlign w:val="center"/>
          </w:tcPr>
          <w:p w14:paraId="273F91C1">
            <w:pPr>
              <w:spacing w:line="440" w:lineRule="exact"/>
              <w:jc w:val="center"/>
              <w:rPr>
                <w:rFonts w:hint="eastAsia" w:ascii="宋体" w:hAnsi="宋体" w:eastAsia="宋体" w:cs="宋体"/>
                <w:color w:val="auto"/>
              </w:rPr>
            </w:pPr>
          </w:p>
        </w:tc>
        <w:tc>
          <w:tcPr>
            <w:tcW w:w="3571" w:type="dxa"/>
            <w:tcBorders>
              <w:top w:val="single" w:color="auto" w:sz="4" w:space="0"/>
              <w:left w:val="single" w:color="auto" w:sz="4" w:space="0"/>
              <w:bottom w:val="single" w:color="auto" w:sz="4" w:space="0"/>
              <w:right w:val="single" w:color="auto" w:sz="4" w:space="0"/>
            </w:tcBorders>
            <w:vAlign w:val="center"/>
          </w:tcPr>
          <w:p w14:paraId="760EA06B">
            <w:pPr>
              <w:spacing w:line="440" w:lineRule="exact"/>
              <w:jc w:val="center"/>
              <w:rPr>
                <w:rFonts w:hint="eastAsia" w:ascii="宋体" w:hAnsi="宋体" w:eastAsia="宋体" w:cs="宋体"/>
                <w:color w:val="auto"/>
              </w:rPr>
            </w:pPr>
          </w:p>
          <w:p w14:paraId="41B8F8E8">
            <w:pPr>
              <w:spacing w:line="440" w:lineRule="exact"/>
              <w:jc w:val="center"/>
              <w:rPr>
                <w:rFonts w:hint="eastAsia" w:ascii="宋体" w:hAnsi="宋体" w:eastAsia="宋体" w:cs="宋体"/>
                <w:color w:val="auto"/>
              </w:rPr>
            </w:pPr>
          </w:p>
          <w:p w14:paraId="2DA98267">
            <w:pPr>
              <w:spacing w:line="440" w:lineRule="exact"/>
              <w:jc w:val="center"/>
              <w:rPr>
                <w:rFonts w:hint="eastAsia" w:ascii="宋体" w:hAnsi="宋体" w:eastAsia="宋体" w:cs="宋体"/>
                <w:color w:val="auto"/>
              </w:rPr>
            </w:pPr>
          </w:p>
        </w:tc>
        <w:tc>
          <w:tcPr>
            <w:tcW w:w="747" w:type="dxa"/>
            <w:tcBorders>
              <w:top w:val="single" w:color="auto" w:sz="4" w:space="0"/>
              <w:left w:val="single" w:color="auto" w:sz="4" w:space="0"/>
              <w:bottom w:val="single" w:color="auto" w:sz="4" w:space="0"/>
              <w:right w:val="single" w:color="auto" w:sz="4" w:space="0"/>
            </w:tcBorders>
            <w:vAlign w:val="center"/>
          </w:tcPr>
          <w:p w14:paraId="4A607B4B">
            <w:pPr>
              <w:spacing w:line="440" w:lineRule="exact"/>
              <w:jc w:val="center"/>
              <w:rPr>
                <w:rFonts w:hint="eastAsia" w:ascii="宋体" w:hAnsi="宋体" w:eastAsia="宋体" w:cs="宋体"/>
                <w:color w:val="auto"/>
                <w:szCs w:val="21"/>
              </w:rPr>
            </w:pPr>
          </w:p>
        </w:tc>
        <w:tc>
          <w:tcPr>
            <w:tcW w:w="495" w:type="dxa"/>
            <w:tcBorders>
              <w:top w:val="single" w:color="auto" w:sz="4" w:space="0"/>
              <w:left w:val="single" w:color="auto" w:sz="4" w:space="0"/>
              <w:bottom w:val="single" w:color="auto" w:sz="4" w:space="0"/>
              <w:right w:val="single" w:color="auto" w:sz="4" w:space="0"/>
            </w:tcBorders>
            <w:vAlign w:val="center"/>
          </w:tcPr>
          <w:p w14:paraId="196714E1">
            <w:pPr>
              <w:spacing w:line="440" w:lineRule="exact"/>
              <w:jc w:val="center"/>
              <w:rPr>
                <w:rFonts w:hint="eastAsia" w:ascii="宋体" w:hAnsi="宋体" w:eastAsia="宋体" w:cs="宋体"/>
                <w:color w:val="auto"/>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7BE590C1">
            <w:pPr>
              <w:spacing w:line="440" w:lineRule="exact"/>
              <w:jc w:val="center"/>
              <w:rPr>
                <w:rFonts w:hint="eastAsia" w:ascii="宋体" w:hAnsi="宋体" w:eastAsia="宋体" w:cs="宋体"/>
                <w:b/>
                <w:bCs/>
                <w:color w:val="auto"/>
              </w:rPr>
            </w:pPr>
          </w:p>
        </w:tc>
        <w:tc>
          <w:tcPr>
            <w:tcW w:w="1251" w:type="dxa"/>
            <w:tcBorders>
              <w:top w:val="single" w:color="auto" w:sz="4" w:space="0"/>
              <w:left w:val="single" w:color="auto" w:sz="4" w:space="0"/>
              <w:bottom w:val="single" w:color="auto" w:sz="4" w:space="0"/>
            </w:tcBorders>
            <w:vAlign w:val="center"/>
          </w:tcPr>
          <w:p w14:paraId="38F773FE">
            <w:pPr>
              <w:spacing w:line="440" w:lineRule="exact"/>
              <w:jc w:val="center"/>
              <w:rPr>
                <w:rFonts w:hint="eastAsia" w:ascii="宋体" w:hAnsi="宋体" w:eastAsia="宋体" w:cs="宋体"/>
                <w:b/>
                <w:bCs/>
                <w:color w:val="auto"/>
              </w:rPr>
            </w:pPr>
          </w:p>
        </w:tc>
        <w:tc>
          <w:tcPr>
            <w:tcW w:w="1251" w:type="dxa"/>
            <w:tcBorders>
              <w:top w:val="single" w:color="auto" w:sz="4" w:space="0"/>
              <w:left w:val="single" w:color="auto" w:sz="4" w:space="0"/>
              <w:bottom w:val="single" w:color="auto" w:sz="4" w:space="0"/>
            </w:tcBorders>
            <w:vAlign w:val="center"/>
          </w:tcPr>
          <w:p w14:paraId="3029A540">
            <w:pPr>
              <w:spacing w:line="440" w:lineRule="exact"/>
              <w:jc w:val="center"/>
              <w:rPr>
                <w:rFonts w:hint="eastAsia" w:ascii="宋体" w:hAnsi="宋体" w:eastAsia="宋体" w:cs="宋体"/>
                <w:bCs/>
                <w:color w:val="auto"/>
              </w:rPr>
            </w:pPr>
          </w:p>
        </w:tc>
      </w:tr>
      <w:tr w14:paraId="03672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637" w:type="dxa"/>
            <w:tcBorders>
              <w:top w:val="single" w:color="auto" w:sz="4" w:space="0"/>
              <w:left w:val="single" w:color="auto" w:sz="4" w:space="0"/>
              <w:right w:val="single" w:color="auto" w:sz="4" w:space="0"/>
            </w:tcBorders>
            <w:vAlign w:val="center"/>
          </w:tcPr>
          <w:p w14:paraId="38E1BE6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56" w:type="dxa"/>
            <w:tcBorders>
              <w:top w:val="single" w:color="auto" w:sz="4" w:space="0"/>
              <w:left w:val="single" w:color="auto" w:sz="4" w:space="0"/>
              <w:bottom w:val="single" w:color="auto" w:sz="4" w:space="0"/>
              <w:right w:val="single" w:color="auto" w:sz="4" w:space="0"/>
            </w:tcBorders>
            <w:vAlign w:val="center"/>
          </w:tcPr>
          <w:p w14:paraId="6A8DFC1A">
            <w:pPr>
              <w:spacing w:line="440" w:lineRule="exact"/>
              <w:jc w:val="center"/>
              <w:rPr>
                <w:rFonts w:hint="eastAsia" w:ascii="宋体" w:hAnsi="宋体" w:eastAsia="宋体" w:cs="宋体"/>
                <w:color w:val="auto"/>
              </w:rPr>
            </w:pPr>
            <w:r>
              <w:rPr>
                <w:rFonts w:hint="eastAsia" w:ascii="宋体" w:hAnsi="宋体" w:eastAsia="宋体" w:cs="宋体"/>
                <w:color w:val="auto"/>
                <w:szCs w:val="21"/>
              </w:rPr>
              <w:t>……</w:t>
            </w:r>
          </w:p>
        </w:tc>
        <w:tc>
          <w:tcPr>
            <w:tcW w:w="3571" w:type="dxa"/>
            <w:tcBorders>
              <w:top w:val="single" w:color="auto" w:sz="4" w:space="0"/>
              <w:left w:val="single" w:color="auto" w:sz="4" w:space="0"/>
              <w:bottom w:val="single" w:color="auto" w:sz="4" w:space="0"/>
              <w:right w:val="single" w:color="auto" w:sz="4" w:space="0"/>
            </w:tcBorders>
            <w:vAlign w:val="center"/>
          </w:tcPr>
          <w:p w14:paraId="2E2CFA68">
            <w:pPr>
              <w:spacing w:line="440" w:lineRule="exact"/>
              <w:jc w:val="center"/>
              <w:rPr>
                <w:rFonts w:hint="eastAsia" w:ascii="宋体" w:hAnsi="宋体" w:eastAsia="宋体" w:cs="宋体"/>
                <w:color w:val="auto"/>
              </w:rPr>
            </w:pPr>
            <w:r>
              <w:rPr>
                <w:rFonts w:hint="eastAsia" w:ascii="宋体" w:hAnsi="宋体" w:eastAsia="宋体" w:cs="宋体"/>
                <w:color w:val="auto"/>
                <w:szCs w:val="21"/>
              </w:rPr>
              <w:t>……</w:t>
            </w:r>
          </w:p>
        </w:tc>
        <w:tc>
          <w:tcPr>
            <w:tcW w:w="747" w:type="dxa"/>
            <w:tcBorders>
              <w:top w:val="single" w:color="auto" w:sz="4" w:space="0"/>
              <w:left w:val="single" w:color="auto" w:sz="4" w:space="0"/>
              <w:bottom w:val="single" w:color="auto" w:sz="4" w:space="0"/>
              <w:right w:val="single" w:color="auto" w:sz="4" w:space="0"/>
            </w:tcBorders>
            <w:vAlign w:val="center"/>
          </w:tcPr>
          <w:p w14:paraId="63BB77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495" w:type="dxa"/>
            <w:tcBorders>
              <w:top w:val="single" w:color="auto" w:sz="4" w:space="0"/>
              <w:left w:val="single" w:color="auto" w:sz="4" w:space="0"/>
              <w:bottom w:val="single" w:color="auto" w:sz="4" w:space="0"/>
              <w:right w:val="single" w:color="auto" w:sz="4" w:space="0"/>
            </w:tcBorders>
            <w:vAlign w:val="center"/>
          </w:tcPr>
          <w:p w14:paraId="07F6B6A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46" w:type="dxa"/>
            <w:tcBorders>
              <w:top w:val="single" w:color="auto" w:sz="4" w:space="0"/>
              <w:left w:val="single" w:color="auto" w:sz="4" w:space="0"/>
              <w:bottom w:val="single" w:color="auto" w:sz="4" w:space="0"/>
              <w:right w:val="single" w:color="auto" w:sz="4" w:space="0"/>
            </w:tcBorders>
            <w:vAlign w:val="center"/>
          </w:tcPr>
          <w:p w14:paraId="7E4C50FB">
            <w:pPr>
              <w:spacing w:line="440" w:lineRule="exact"/>
              <w:jc w:val="center"/>
              <w:rPr>
                <w:rFonts w:hint="eastAsia" w:ascii="宋体" w:hAnsi="宋体" w:eastAsia="宋体" w:cs="宋体"/>
                <w:b/>
                <w:bCs/>
                <w:color w:val="auto"/>
              </w:rPr>
            </w:pPr>
            <w:r>
              <w:rPr>
                <w:rFonts w:hint="eastAsia" w:ascii="宋体" w:hAnsi="宋体" w:eastAsia="宋体" w:cs="宋体"/>
                <w:color w:val="auto"/>
                <w:szCs w:val="21"/>
              </w:rPr>
              <w:t>……</w:t>
            </w:r>
          </w:p>
        </w:tc>
        <w:tc>
          <w:tcPr>
            <w:tcW w:w="1251" w:type="dxa"/>
            <w:tcBorders>
              <w:top w:val="single" w:color="auto" w:sz="4" w:space="0"/>
              <w:left w:val="single" w:color="auto" w:sz="4" w:space="0"/>
              <w:bottom w:val="single" w:color="auto" w:sz="4" w:space="0"/>
            </w:tcBorders>
            <w:vAlign w:val="center"/>
          </w:tcPr>
          <w:p w14:paraId="56EA88D6">
            <w:pPr>
              <w:spacing w:line="440" w:lineRule="exact"/>
              <w:jc w:val="center"/>
              <w:rPr>
                <w:rFonts w:hint="eastAsia" w:ascii="宋体" w:hAnsi="宋体" w:eastAsia="宋体" w:cs="宋体"/>
                <w:b/>
                <w:bCs/>
                <w:color w:val="auto"/>
              </w:rPr>
            </w:pPr>
            <w:r>
              <w:rPr>
                <w:rFonts w:hint="eastAsia" w:ascii="宋体" w:hAnsi="宋体" w:eastAsia="宋体" w:cs="宋体"/>
                <w:color w:val="auto"/>
                <w:szCs w:val="21"/>
              </w:rPr>
              <w:t>……</w:t>
            </w:r>
          </w:p>
        </w:tc>
        <w:tc>
          <w:tcPr>
            <w:tcW w:w="1251" w:type="dxa"/>
            <w:tcBorders>
              <w:top w:val="single" w:color="auto" w:sz="4" w:space="0"/>
              <w:left w:val="single" w:color="auto" w:sz="4" w:space="0"/>
              <w:bottom w:val="single" w:color="auto" w:sz="4" w:space="0"/>
            </w:tcBorders>
            <w:vAlign w:val="center"/>
          </w:tcPr>
          <w:p w14:paraId="5B10B42D">
            <w:pPr>
              <w:spacing w:line="440" w:lineRule="exact"/>
              <w:jc w:val="center"/>
              <w:rPr>
                <w:rFonts w:hint="eastAsia" w:ascii="宋体" w:hAnsi="宋体" w:eastAsia="宋体" w:cs="宋体"/>
                <w:b/>
                <w:bCs/>
                <w:color w:val="auto"/>
              </w:rPr>
            </w:pPr>
            <w:r>
              <w:rPr>
                <w:rFonts w:hint="eastAsia" w:ascii="宋体" w:hAnsi="宋体" w:eastAsia="宋体" w:cs="宋体"/>
                <w:color w:val="auto"/>
                <w:szCs w:val="21"/>
              </w:rPr>
              <w:t>……</w:t>
            </w:r>
          </w:p>
        </w:tc>
      </w:tr>
      <w:tr w14:paraId="69DB7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8"/>
            <w:tcBorders>
              <w:top w:val="single" w:color="auto" w:sz="4" w:space="0"/>
              <w:left w:val="single" w:color="auto" w:sz="4" w:space="0"/>
              <w:bottom w:val="single" w:color="auto" w:sz="4" w:space="0"/>
            </w:tcBorders>
            <w:vAlign w:val="center"/>
          </w:tcPr>
          <w:p w14:paraId="039E1C9C">
            <w:pPr>
              <w:spacing w:line="440" w:lineRule="exact"/>
              <w:rPr>
                <w:rFonts w:hint="eastAsia" w:ascii="宋体" w:hAnsi="宋体" w:eastAsia="宋体" w:cs="宋体"/>
                <w:color w:val="auto"/>
                <w:spacing w:val="-6"/>
              </w:rPr>
            </w:pPr>
            <w:r>
              <w:rPr>
                <w:rFonts w:hint="eastAsia" w:ascii="宋体" w:hAnsi="宋体" w:eastAsia="宋体" w:cs="宋体"/>
                <w:color w:val="auto"/>
                <w:spacing w:val="-6"/>
              </w:rPr>
              <w:t>磋商报价人民币：（大写） （￥ ）</w:t>
            </w:r>
          </w:p>
        </w:tc>
      </w:tr>
      <w:tr w14:paraId="59614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8"/>
            <w:tcBorders>
              <w:top w:val="single" w:color="auto" w:sz="4" w:space="0"/>
              <w:left w:val="single" w:color="auto" w:sz="4" w:space="0"/>
              <w:bottom w:val="single" w:color="auto" w:sz="4" w:space="0"/>
            </w:tcBorders>
            <w:vAlign w:val="center"/>
          </w:tcPr>
          <w:p w14:paraId="5DC3A546">
            <w:pPr>
              <w:spacing w:line="300" w:lineRule="exact"/>
              <w:rPr>
                <w:rFonts w:hint="eastAsia" w:ascii="宋体" w:hAnsi="宋体" w:eastAsia="宋体" w:cs="宋体"/>
                <w:color w:val="auto"/>
                <w:spacing w:val="-6"/>
                <w:szCs w:val="21"/>
              </w:rPr>
            </w:pPr>
            <w:r>
              <w:rPr>
                <w:rFonts w:hint="eastAsia" w:ascii="宋体" w:hAnsi="宋体" w:eastAsia="宋体" w:cs="宋体"/>
                <w:b/>
                <w:color w:val="auto"/>
                <w:spacing w:val="-6"/>
                <w:szCs w:val="21"/>
              </w:rPr>
              <w:t>备注：若不属于财政部《节能产品政府采购品目清单》及《环境标志产品政府采购品目清单》内产品的，则该处填写“无”字样。</w:t>
            </w:r>
          </w:p>
        </w:tc>
      </w:tr>
      <w:tr w14:paraId="7B428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8"/>
            <w:tcBorders>
              <w:top w:val="single" w:color="auto" w:sz="4" w:space="0"/>
              <w:left w:val="single" w:color="auto" w:sz="4" w:space="0"/>
              <w:bottom w:val="single" w:color="auto" w:sz="4" w:space="0"/>
            </w:tcBorders>
            <w:vAlign w:val="center"/>
          </w:tcPr>
          <w:p w14:paraId="53F3C94E">
            <w:pPr>
              <w:spacing w:line="300" w:lineRule="exact"/>
              <w:rPr>
                <w:rFonts w:hint="eastAsia" w:ascii="宋体" w:hAnsi="宋体" w:eastAsia="宋体" w:cs="宋体"/>
                <w:b/>
                <w:color w:val="auto"/>
              </w:rPr>
            </w:pPr>
            <w:r>
              <w:rPr>
                <w:rFonts w:hint="eastAsia" w:ascii="宋体" w:hAnsi="宋体" w:eastAsia="宋体" w:cs="宋体"/>
                <w:b/>
                <w:color w:val="auto"/>
              </w:rPr>
              <w:t>说明：</w:t>
            </w:r>
          </w:p>
          <w:p w14:paraId="2D8338BE">
            <w:pPr>
              <w:tabs>
                <w:tab w:val="left" w:pos="1305"/>
              </w:tabs>
              <w:spacing w:line="300" w:lineRule="exact"/>
              <w:rPr>
                <w:rFonts w:hint="eastAsia" w:ascii="宋体" w:hAnsi="宋体" w:eastAsia="宋体" w:cs="宋体"/>
                <w:color w:val="auto"/>
                <w:szCs w:val="21"/>
              </w:rPr>
            </w:pPr>
            <w:r>
              <w:rPr>
                <w:rFonts w:hint="eastAsia" w:ascii="宋体" w:hAnsi="宋体" w:eastAsia="宋体" w:cs="宋体"/>
                <w:color w:val="auto"/>
                <w:szCs w:val="21"/>
              </w:rPr>
              <w:t>1.磋商报价：磋商报价应包括本次招标采购范围内供应商须向采购人提供的一切设备、保险、税金、备品备件、工具、手册及其它有关技术资料和材料、人工、运输车辆、管理、验收全过程、税金、保险、利润、及其他一切项目实施涉及的不可预见的成本等所有费用的总和，采购人不再支付其他费用，供应商应综合考虑报价。</w:t>
            </w:r>
          </w:p>
          <w:p w14:paraId="63C45CF0">
            <w:pPr>
              <w:spacing w:line="300" w:lineRule="exact"/>
              <w:rPr>
                <w:rFonts w:hint="eastAsia" w:ascii="宋体" w:hAnsi="宋体" w:eastAsia="宋体" w:cs="宋体"/>
                <w:b/>
                <w:color w:val="auto"/>
              </w:rPr>
            </w:pPr>
            <w:r>
              <w:rPr>
                <w:rFonts w:hint="eastAsia" w:ascii="宋体" w:hAnsi="宋体" w:eastAsia="宋体" w:cs="宋体"/>
                <w:color w:val="auto"/>
                <w:kern w:val="0"/>
                <w:szCs w:val="21"/>
              </w:rPr>
              <w:t>2.供应商</w:t>
            </w:r>
            <w:r>
              <w:rPr>
                <w:rFonts w:hint="eastAsia" w:ascii="宋体" w:hAnsi="宋体" w:eastAsia="宋体" w:cs="宋体"/>
                <w:color w:val="auto"/>
                <w:szCs w:val="21"/>
              </w:rPr>
              <w:t>磋商</w:t>
            </w:r>
            <w:r>
              <w:rPr>
                <w:rFonts w:hint="eastAsia" w:ascii="宋体" w:hAnsi="宋体" w:eastAsia="宋体" w:cs="宋体"/>
                <w:color w:val="auto"/>
                <w:kern w:val="0"/>
                <w:szCs w:val="21"/>
              </w:rPr>
              <w:t>报价超出采购预算金额或最高限价的，响应文件按无效处理。</w:t>
            </w:r>
          </w:p>
        </w:tc>
      </w:tr>
    </w:tbl>
    <w:p w14:paraId="7DC393DA">
      <w:pPr>
        <w:spacing w:line="340" w:lineRule="exact"/>
        <w:rPr>
          <w:rFonts w:hint="eastAsia" w:ascii="宋体" w:hAnsi="宋体" w:eastAsia="宋体" w:cs="宋体"/>
          <w:color w:val="auto"/>
          <w:szCs w:val="21"/>
        </w:rPr>
      </w:pPr>
    </w:p>
    <w:p w14:paraId="31E93C5E">
      <w:pPr>
        <w:spacing w:line="340" w:lineRule="exact"/>
        <w:rPr>
          <w:rFonts w:hint="eastAsia" w:ascii="宋体" w:hAnsi="宋体" w:eastAsia="宋体" w:cs="宋体"/>
          <w:color w:val="auto"/>
          <w:szCs w:val="21"/>
        </w:rPr>
      </w:pPr>
    </w:p>
    <w:p w14:paraId="14179EC5">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525FEB20">
      <w:pPr>
        <w:tabs>
          <w:tab w:val="left" w:pos="1305"/>
        </w:tabs>
        <w:spacing w:line="340" w:lineRule="exact"/>
        <w:rPr>
          <w:rFonts w:hint="eastAsia" w:ascii="宋体" w:hAnsi="宋体" w:eastAsia="宋体" w:cs="宋体"/>
          <w:color w:val="auto"/>
          <w:szCs w:val="21"/>
        </w:rPr>
      </w:pPr>
    </w:p>
    <w:p w14:paraId="147CAE38">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05184FEA">
      <w:pPr>
        <w:pStyle w:val="10"/>
        <w:spacing w:line="340" w:lineRule="exact"/>
        <w:rPr>
          <w:rFonts w:hint="eastAsia" w:ascii="宋体" w:hAnsi="宋体" w:eastAsia="宋体" w:cs="宋体"/>
          <w:b/>
          <w:color w:val="auto"/>
          <w:sz w:val="28"/>
          <w:szCs w:val="28"/>
        </w:rPr>
      </w:pPr>
    </w:p>
    <w:p w14:paraId="7F44FD7B">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注：当本表由多页构成时，需逐页加盖供应商公章（CA签章）（属自然人的须逐页签字或个人CA签章）</w:t>
      </w:r>
      <w:r>
        <w:rPr>
          <w:rFonts w:hint="eastAsia" w:ascii="宋体" w:hAnsi="宋体" w:eastAsia="宋体" w:cs="宋体"/>
          <w:b/>
          <w:color w:val="auto"/>
          <w:szCs w:val="21"/>
        </w:rPr>
        <w:t>。</w:t>
      </w:r>
    </w:p>
    <w:p w14:paraId="00A8D692">
      <w:pPr>
        <w:pStyle w:val="10"/>
        <w:spacing w:line="340" w:lineRule="exact"/>
        <w:rPr>
          <w:rFonts w:hint="eastAsia" w:ascii="宋体" w:hAnsi="宋体" w:eastAsia="宋体" w:cs="宋体"/>
          <w:b/>
          <w:color w:val="auto"/>
          <w:sz w:val="28"/>
          <w:szCs w:val="28"/>
        </w:rPr>
      </w:pPr>
    </w:p>
    <w:p w14:paraId="01841150">
      <w:pPr>
        <w:pStyle w:val="10"/>
        <w:spacing w:line="340" w:lineRule="exact"/>
        <w:rPr>
          <w:rFonts w:hint="eastAsia" w:ascii="宋体" w:hAnsi="宋体" w:eastAsia="宋体" w:cs="宋体"/>
          <w:b/>
          <w:color w:val="auto"/>
          <w:sz w:val="28"/>
          <w:szCs w:val="28"/>
        </w:rPr>
      </w:pPr>
    </w:p>
    <w:p w14:paraId="3FE8CDAC">
      <w:pPr>
        <w:pStyle w:val="5"/>
        <w:ind w:left="2940"/>
        <w:rPr>
          <w:rFonts w:hint="eastAsia" w:ascii="宋体" w:hAnsi="宋体" w:eastAsia="宋体" w:cs="宋体"/>
          <w:color w:val="auto"/>
        </w:rPr>
      </w:pPr>
    </w:p>
    <w:p w14:paraId="162A8D1E">
      <w:pPr>
        <w:rPr>
          <w:rFonts w:hint="eastAsia" w:ascii="宋体" w:hAnsi="宋体" w:eastAsia="宋体" w:cs="宋体"/>
          <w:color w:val="auto"/>
        </w:rPr>
      </w:pPr>
    </w:p>
    <w:p w14:paraId="040F875B">
      <w:pPr>
        <w:rPr>
          <w:rFonts w:hint="eastAsia" w:ascii="宋体" w:hAnsi="宋体" w:eastAsia="宋体" w:cs="宋体"/>
          <w:color w:val="auto"/>
        </w:rPr>
      </w:pPr>
    </w:p>
    <w:p w14:paraId="7C76BB5C">
      <w:pPr>
        <w:rPr>
          <w:rFonts w:hint="eastAsia" w:ascii="宋体" w:hAnsi="宋体" w:eastAsia="宋体" w:cs="宋体"/>
          <w:color w:val="auto"/>
        </w:rPr>
      </w:pPr>
    </w:p>
    <w:p w14:paraId="19FF8C25">
      <w:pPr>
        <w:rPr>
          <w:rFonts w:hint="eastAsia" w:ascii="宋体" w:hAnsi="宋体" w:eastAsia="宋体" w:cs="宋体"/>
          <w:color w:val="auto"/>
        </w:rPr>
      </w:pPr>
    </w:p>
    <w:p w14:paraId="22ED4C53">
      <w:pPr>
        <w:rPr>
          <w:rFonts w:hint="eastAsia" w:ascii="宋体" w:hAnsi="宋体" w:eastAsia="宋体" w:cs="宋体"/>
          <w:color w:val="auto"/>
        </w:rPr>
      </w:pPr>
    </w:p>
    <w:p w14:paraId="6C941C5F">
      <w:pPr>
        <w:rPr>
          <w:rFonts w:hint="eastAsia" w:ascii="宋体" w:hAnsi="宋体" w:eastAsia="宋体" w:cs="宋体"/>
          <w:color w:val="auto"/>
        </w:rPr>
      </w:pPr>
    </w:p>
    <w:p w14:paraId="640C2861">
      <w:pPr>
        <w:rPr>
          <w:rFonts w:hint="eastAsia" w:ascii="宋体" w:hAnsi="宋体" w:eastAsia="宋体" w:cs="宋体"/>
          <w:color w:val="auto"/>
        </w:rPr>
      </w:pPr>
    </w:p>
    <w:p w14:paraId="577ECD94">
      <w:pPr>
        <w:rPr>
          <w:rFonts w:hint="eastAsia" w:ascii="宋体" w:hAnsi="宋体" w:eastAsia="宋体" w:cs="宋体"/>
          <w:color w:val="auto"/>
        </w:rPr>
      </w:pPr>
    </w:p>
    <w:p w14:paraId="2D406661">
      <w:pPr>
        <w:pStyle w:val="10"/>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3.项目需求要求响应表（必须提供）</w:t>
      </w:r>
    </w:p>
    <w:p w14:paraId="66CFD3F6">
      <w:pPr>
        <w:spacing w:line="340" w:lineRule="exact"/>
        <w:ind w:left="420"/>
        <w:jc w:val="center"/>
        <w:rPr>
          <w:rFonts w:hint="eastAsia" w:ascii="宋体" w:hAnsi="宋体" w:eastAsia="宋体" w:cs="宋体"/>
          <w:b/>
          <w:bCs/>
          <w:color w:val="auto"/>
          <w:sz w:val="32"/>
          <w:szCs w:val="32"/>
        </w:rPr>
      </w:pPr>
      <w:bookmarkStart w:id="171" w:name="_Toc28672"/>
      <w:bookmarkStart w:id="172" w:name="_Toc497927084"/>
      <w:bookmarkStart w:id="173" w:name="_Toc9339"/>
    </w:p>
    <w:p w14:paraId="1AEBBF4C">
      <w:pPr>
        <w:spacing w:line="340" w:lineRule="exact"/>
        <w:ind w:left="420"/>
        <w:jc w:val="center"/>
        <w:rPr>
          <w:rFonts w:hint="eastAsia" w:ascii="宋体" w:hAnsi="宋体" w:eastAsia="宋体" w:cs="宋体"/>
          <w:b/>
          <w:color w:val="auto"/>
          <w:sz w:val="28"/>
          <w:szCs w:val="28"/>
        </w:rPr>
      </w:pPr>
    </w:p>
    <w:p w14:paraId="1A1D9523">
      <w:pPr>
        <w:spacing w:line="340" w:lineRule="exact"/>
        <w:ind w:left="42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项目需求要求响应表（格式）</w:t>
      </w:r>
    </w:p>
    <w:tbl>
      <w:tblPr>
        <w:tblStyle w:val="18"/>
        <w:tblW w:w="95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6"/>
        <w:gridCol w:w="3169"/>
        <w:gridCol w:w="3210"/>
        <w:gridCol w:w="1193"/>
      </w:tblGrid>
      <w:tr w14:paraId="3C2C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47" w:type="dxa"/>
            <w:vAlign w:val="center"/>
          </w:tcPr>
          <w:p w14:paraId="2F542926">
            <w:pPr>
              <w:pStyle w:val="10"/>
              <w:spacing w:line="400" w:lineRule="exact"/>
              <w:jc w:val="center"/>
              <w:rPr>
                <w:rFonts w:hint="eastAsia" w:ascii="宋体" w:hAnsi="宋体" w:eastAsia="宋体" w:cs="宋体"/>
                <w:color w:val="auto"/>
              </w:rPr>
            </w:pPr>
            <w:r>
              <w:rPr>
                <w:rFonts w:hint="eastAsia" w:ascii="宋体" w:hAnsi="宋体" w:eastAsia="宋体" w:cs="宋体"/>
                <w:color w:val="auto"/>
              </w:rPr>
              <w:t>项号</w:t>
            </w:r>
          </w:p>
        </w:tc>
        <w:tc>
          <w:tcPr>
            <w:tcW w:w="1276" w:type="dxa"/>
            <w:vAlign w:val="center"/>
          </w:tcPr>
          <w:p w14:paraId="1672439E">
            <w:pPr>
              <w:pStyle w:val="10"/>
              <w:spacing w:line="400" w:lineRule="exact"/>
              <w:jc w:val="center"/>
              <w:rPr>
                <w:rFonts w:hint="eastAsia" w:ascii="宋体" w:hAnsi="宋体" w:eastAsia="宋体" w:cs="宋体"/>
                <w:color w:val="auto"/>
              </w:rPr>
            </w:pPr>
            <w:r>
              <w:rPr>
                <w:rFonts w:hint="eastAsia" w:ascii="宋体" w:hAnsi="宋体" w:eastAsia="宋体" w:cs="宋体"/>
                <w:color w:val="auto"/>
              </w:rPr>
              <w:t>服务内容</w:t>
            </w:r>
          </w:p>
        </w:tc>
        <w:tc>
          <w:tcPr>
            <w:tcW w:w="3169" w:type="dxa"/>
            <w:vAlign w:val="center"/>
          </w:tcPr>
          <w:p w14:paraId="3308C619">
            <w:pPr>
              <w:pStyle w:val="10"/>
              <w:spacing w:line="400" w:lineRule="exact"/>
              <w:jc w:val="center"/>
              <w:rPr>
                <w:rFonts w:hint="eastAsia" w:ascii="宋体" w:hAnsi="宋体" w:eastAsia="宋体" w:cs="宋体"/>
                <w:color w:val="auto"/>
              </w:rPr>
            </w:pPr>
            <w:r>
              <w:rPr>
                <w:rFonts w:hint="eastAsia" w:ascii="宋体" w:hAnsi="宋体" w:eastAsia="宋体" w:cs="宋体"/>
                <w:color w:val="auto"/>
              </w:rPr>
              <w:t>竞争性磋商文件项目需求表的“技术要求”及“商务要求”要求内容</w:t>
            </w:r>
          </w:p>
        </w:tc>
        <w:tc>
          <w:tcPr>
            <w:tcW w:w="3210" w:type="dxa"/>
            <w:vAlign w:val="center"/>
          </w:tcPr>
          <w:p w14:paraId="668572D7">
            <w:pPr>
              <w:pStyle w:val="10"/>
              <w:spacing w:line="400" w:lineRule="exact"/>
              <w:jc w:val="center"/>
              <w:rPr>
                <w:rFonts w:hint="eastAsia" w:ascii="宋体" w:hAnsi="宋体" w:eastAsia="宋体" w:cs="宋体"/>
                <w:color w:val="auto"/>
              </w:rPr>
            </w:pPr>
            <w:r>
              <w:rPr>
                <w:rFonts w:hint="eastAsia" w:ascii="宋体" w:hAnsi="宋体" w:eastAsia="宋体" w:cs="宋体"/>
                <w:color w:val="auto"/>
              </w:rPr>
              <w:t>对应竞争性磋商文件项目需求表的“技术要求”及“商务要求”要求内容，供应商的逐条响应情况</w:t>
            </w:r>
          </w:p>
        </w:tc>
        <w:tc>
          <w:tcPr>
            <w:tcW w:w="1193" w:type="dxa"/>
            <w:vAlign w:val="center"/>
          </w:tcPr>
          <w:p w14:paraId="7B97DD7A">
            <w:pPr>
              <w:pStyle w:val="10"/>
              <w:spacing w:line="400" w:lineRule="exact"/>
              <w:jc w:val="center"/>
              <w:rPr>
                <w:rFonts w:hint="eastAsia" w:ascii="宋体" w:hAnsi="宋体" w:eastAsia="宋体" w:cs="宋体"/>
                <w:color w:val="auto"/>
              </w:rPr>
            </w:pPr>
            <w:bookmarkStart w:id="174" w:name="_Toc254970701"/>
            <w:bookmarkStart w:id="175" w:name="_Toc254970560"/>
            <w:r>
              <w:rPr>
                <w:rFonts w:hint="eastAsia" w:ascii="宋体" w:hAnsi="宋体" w:eastAsia="宋体" w:cs="宋体"/>
                <w:color w:val="auto"/>
              </w:rPr>
              <w:t>偏离情况</w:t>
            </w:r>
            <w:bookmarkEnd w:id="174"/>
            <w:bookmarkEnd w:id="175"/>
            <w:r>
              <w:rPr>
                <w:rFonts w:hint="eastAsia" w:ascii="宋体" w:hAnsi="宋体" w:eastAsia="宋体" w:cs="宋体"/>
                <w:color w:val="auto"/>
              </w:rPr>
              <w:t>说明</w:t>
            </w:r>
          </w:p>
        </w:tc>
      </w:tr>
      <w:tr w14:paraId="4B53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vAlign w:val="center"/>
          </w:tcPr>
          <w:p w14:paraId="6359A19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76" w:type="dxa"/>
            <w:vAlign w:val="center"/>
          </w:tcPr>
          <w:p w14:paraId="2F496E90">
            <w:pPr>
              <w:spacing w:line="440" w:lineRule="exact"/>
              <w:jc w:val="center"/>
              <w:rPr>
                <w:rFonts w:hint="eastAsia" w:ascii="宋体" w:hAnsi="宋体" w:eastAsia="宋体" w:cs="宋体"/>
                <w:color w:val="auto"/>
                <w:szCs w:val="21"/>
              </w:rPr>
            </w:pPr>
          </w:p>
        </w:tc>
        <w:tc>
          <w:tcPr>
            <w:tcW w:w="3169" w:type="dxa"/>
            <w:vAlign w:val="center"/>
          </w:tcPr>
          <w:p w14:paraId="5DB67DD8">
            <w:pPr>
              <w:spacing w:line="440" w:lineRule="exact"/>
              <w:jc w:val="center"/>
              <w:rPr>
                <w:rFonts w:hint="eastAsia" w:ascii="宋体" w:hAnsi="宋体" w:eastAsia="宋体" w:cs="宋体"/>
                <w:color w:val="auto"/>
                <w:szCs w:val="21"/>
              </w:rPr>
            </w:pPr>
          </w:p>
        </w:tc>
        <w:tc>
          <w:tcPr>
            <w:tcW w:w="3210" w:type="dxa"/>
            <w:vAlign w:val="center"/>
          </w:tcPr>
          <w:p w14:paraId="6F036396">
            <w:pPr>
              <w:spacing w:line="440" w:lineRule="exact"/>
              <w:jc w:val="center"/>
              <w:rPr>
                <w:rFonts w:hint="eastAsia" w:ascii="宋体" w:hAnsi="宋体" w:eastAsia="宋体" w:cs="宋体"/>
                <w:color w:val="auto"/>
                <w:szCs w:val="21"/>
              </w:rPr>
            </w:pPr>
          </w:p>
        </w:tc>
        <w:tc>
          <w:tcPr>
            <w:tcW w:w="1193" w:type="dxa"/>
            <w:vAlign w:val="center"/>
          </w:tcPr>
          <w:p w14:paraId="11255BE9">
            <w:pPr>
              <w:spacing w:line="440" w:lineRule="exact"/>
              <w:jc w:val="center"/>
              <w:rPr>
                <w:rFonts w:hint="eastAsia" w:ascii="宋体" w:hAnsi="宋体" w:eastAsia="宋体" w:cs="宋体"/>
                <w:color w:val="auto"/>
                <w:szCs w:val="21"/>
              </w:rPr>
            </w:pPr>
          </w:p>
        </w:tc>
      </w:tr>
      <w:tr w14:paraId="424C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vAlign w:val="center"/>
          </w:tcPr>
          <w:p w14:paraId="5788024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276" w:type="dxa"/>
            <w:vAlign w:val="center"/>
          </w:tcPr>
          <w:p w14:paraId="09D2B4BE">
            <w:pPr>
              <w:spacing w:line="440" w:lineRule="exact"/>
              <w:jc w:val="center"/>
              <w:rPr>
                <w:rFonts w:hint="eastAsia" w:ascii="宋体" w:hAnsi="宋体" w:eastAsia="宋体" w:cs="宋体"/>
                <w:color w:val="auto"/>
                <w:szCs w:val="21"/>
              </w:rPr>
            </w:pPr>
          </w:p>
        </w:tc>
        <w:tc>
          <w:tcPr>
            <w:tcW w:w="3169" w:type="dxa"/>
            <w:vAlign w:val="center"/>
          </w:tcPr>
          <w:p w14:paraId="4C59366E">
            <w:pPr>
              <w:spacing w:line="440" w:lineRule="exact"/>
              <w:jc w:val="center"/>
              <w:rPr>
                <w:rFonts w:hint="eastAsia" w:ascii="宋体" w:hAnsi="宋体" w:eastAsia="宋体" w:cs="宋体"/>
                <w:color w:val="auto"/>
                <w:szCs w:val="21"/>
              </w:rPr>
            </w:pPr>
          </w:p>
        </w:tc>
        <w:tc>
          <w:tcPr>
            <w:tcW w:w="3210" w:type="dxa"/>
            <w:vAlign w:val="center"/>
          </w:tcPr>
          <w:p w14:paraId="672ABE8A">
            <w:pPr>
              <w:spacing w:line="440" w:lineRule="exact"/>
              <w:jc w:val="center"/>
              <w:rPr>
                <w:rFonts w:hint="eastAsia" w:ascii="宋体" w:hAnsi="宋体" w:eastAsia="宋体" w:cs="宋体"/>
                <w:color w:val="auto"/>
                <w:szCs w:val="21"/>
              </w:rPr>
            </w:pPr>
          </w:p>
        </w:tc>
        <w:tc>
          <w:tcPr>
            <w:tcW w:w="1193" w:type="dxa"/>
            <w:vAlign w:val="center"/>
          </w:tcPr>
          <w:p w14:paraId="563B4253">
            <w:pPr>
              <w:spacing w:line="440" w:lineRule="exact"/>
              <w:jc w:val="center"/>
              <w:rPr>
                <w:rFonts w:hint="eastAsia" w:ascii="宋体" w:hAnsi="宋体" w:eastAsia="宋体" w:cs="宋体"/>
                <w:color w:val="auto"/>
                <w:szCs w:val="21"/>
              </w:rPr>
            </w:pPr>
          </w:p>
        </w:tc>
      </w:tr>
    </w:tbl>
    <w:p w14:paraId="5FEA83DC">
      <w:pPr>
        <w:pStyle w:val="9"/>
        <w:rPr>
          <w:rFonts w:hint="eastAsia" w:ascii="宋体" w:hAnsi="宋体" w:eastAsia="宋体" w:cs="宋体"/>
          <w:color w:val="auto"/>
        </w:rPr>
      </w:pPr>
    </w:p>
    <w:p w14:paraId="7C2DE4C0">
      <w:pPr>
        <w:tabs>
          <w:tab w:val="left" w:pos="1305"/>
        </w:tabs>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注：1. 说明：供应商应对照竞争性磋商文件项目需求表的“技术要求”及“商务要求”要求内容逐条作出明确响应，并作出偏离说明，供应商应对照竞争性磋商文件项目需求表的“技术要求”及“商务要求”要求内容及自身响应情况在“偏离情况说明”栏注明“正偏离”、“负偏离”或“无偏离”。</w:t>
      </w:r>
    </w:p>
    <w:p w14:paraId="174BD018">
      <w:pPr>
        <w:tabs>
          <w:tab w:val="left" w:pos="1305"/>
        </w:tabs>
        <w:spacing w:line="400" w:lineRule="exact"/>
        <w:ind w:firstLine="422" w:firstLineChars="200"/>
        <w:rPr>
          <w:rFonts w:hint="eastAsia" w:ascii="宋体" w:hAnsi="宋体" w:eastAsia="宋体" w:cs="宋体"/>
          <w:b/>
          <w:bCs/>
          <w:color w:val="auto"/>
        </w:rPr>
      </w:pPr>
      <w:r>
        <w:rPr>
          <w:rFonts w:hint="eastAsia" w:ascii="宋体" w:hAnsi="宋体" w:eastAsia="宋体" w:cs="宋体"/>
          <w:b/>
          <w:color w:val="auto"/>
        </w:rPr>
        <w:t>2. 后附项目要求中要求提供的相关有效证明材料（如有）。</w:t>
      </w:r>
    </w:p>
    <w:p w14:paraId="7A0B105D">
      <w:pPr>
        <w:snapToGrid w:val="0"/>
        <w:spacing w:line="4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3.当本表由多页构成时，需逐页加盖供应商公章（CA签章）（属自然人的须逐页签字或个人CA签章）。</w:t>
      </w:r>
    </w:p>
    <w:p w14:paraId="53A6F681">
      <w:pPr>
        <w:pStyle w:val="9"/>
        <w:rPr>
          <w:rFonts w:hint="eastAsia" w:ascii="宋体" w:hAnsi="宋体" w:eastAsia="宋体" w:cs="宋体"/>
          <w:color w:val="auto"/>
        </w:rPr>
      </w:pPr>
    </w:p>
    <w:p w14:paraId="08BAB672">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5CBFBCD6">
      <w:pPr>
        <w:tabs>
          <w:tab w:val="left" w:pos="1305"/>
        </w:tabs>
        <w:spacing w:line="340" w:lineRule="exact"/>
        <w:rPr>
          <w:rFonts w:hint="eastAsia" w:ascii="宋体" w:hAnsi="宋体" w:eastAsia="宋体" w:cs="宋体"/>
          <w:color w:val="auto"/>
          <w:szCs w:val="21"/>
        </w:rPr>
      </w:pPr>
    </w:p>
    <w:p w14:paraId="3981B2A1">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661B0BDD">
      <w:pPr>
        <w:pStyle w:val="9"/>
        <w:rPr>
          <w:rFonts w:hint="eastAsia" w:ascii="宋体" w:hAnsi="宋体" w:eastAsia="宋体" w:cs="宋体"/>
          <w:color w:val="auto"/>
        </w:rPr>
      </w:pPr>
    </w:p>
    <w:p w14:paraId="2329AAF1">
      <w:pPr>
        <w:pageBreakBefore/>
        <w:spacing w:line="340" w:lineRule="exact"/>
        <w:rPr>
          <w:rFonts w:hint="eastAsia" w:ascii="宋体" w:hAnsi="宋体" w:eastAsia="宋体" w:cs="宋体"/>
          <w:color w:val="auto"/>
          <w:szCs w:val="21"/>
        </w:rPr>
      </w:pPr>
      <w:r>
        <w:rPr>
          <w:rFonts w:hint="eastAsia" w:ascii="宋体" w:hAnsi="宋体" w:eastAsia="宋体" w:cs="宋体"/>
          <w:b/>
          <w:bCs/>
          <w:color w:val="auto"/>
          <w:sz w:val="32"/>
          <w:szCs w:val="32"/>
        </w:rPr>
        <w:t>三、其他有效证明材料</w:t>
      </w:r>
      <w:bookmarkEnd w:id="171"/>
      <w:bookmarkEnd w:id="172"/>
      <w:bookmarkEnd w:id="173"/>
    </w:p>
    <w:p w14:paraId="67DD1A1A">
      <w:pPr>
        <w:rPr>
          <w:rFonts w:hint="eastAsia" w:ascii="宋体" w:hAnsi="宋体" w:eastAsia="宋体" w:cs="宋体"/>
          <w:b/>
          <w:bCs/>
          <w:iCs/>
          <w:color w:val="auto"/>
          <w:sz w:val="28"/>
          <w:szCs w:val="28"/>
        </w:rPr>
      </w:pPr>
    </w:p>
    <w:p w14:paraId="0A4CCD64">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1.供应商符合本项目评审办法要求的业绩相关证明材料（无不良记录，以中标/成交通知书或签订的合同为准，需能清晰反映项目的名称、项目金额、项目时间，否则不予认可）（如有，请提供）；</w:t>
      </w:r>
    </w:p>
    <w:p w14:paraId="2808A554">
      <w:pPr>
        <w:rPr>
          <w:rFonts w:hint="eastAsia" w:ascii="宋体" w:hAnsi="宋体" w:eastAsia="宋体" w:cs="宋体"/>
          <w:b/>
          <w:bCs/>
          <w:iCs/>
          <w:color w:val="auto"/>
          <w:sz w:val="28"/>
          <w:szCs w:val="28"/>
        </w:rPr>
      </w:pPr>
    </w:p>
    <w:p w14:paraId="276F3D8D">
      <w:pPr>
        <w:pStyle w:val="9"/>
        <w:rPr>
          <w:rFonts w:hint="eastAsia" w:ascii="宋体" w:hAnsi="宋体" w:eastAsia="宋体" w:cs="宋体"/>
          <w:color w:val="auto"/>
        </w:rPr>
      </w:pPr>
    </w:p>
    <w:p w14:paraId="47817051">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2.项目方案（如有，请提供）；</w:t>
      </w:r>
    </w:p>
    <w:p w14:paraId="6B067A71">
      <w:pPr>
        <w:widowControl/>
        <w:jc w:val="center"/>
        <w:rPr>
          <w:rFonts w:hint="eastAsia" w:ascii="宋体" w:hAnsi="宋体" w:eastAsia="宋体" w:cs="宋体"/>
          <w:b/>
          <w:color w:val="auto"/>
          <w:sz w:val="32"/>
          <w:szCs w:val="32"/>
        </w:rPr>
      </w:pPr>
    </w:p>
    <w:p w14:paraId="1830BFBC">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sz w:val="28"/>
          <w:szCs w:val="28"/>
        </w:rPr>
        <w:t>项目方案 （格式）</w:t>
      </w:r>
    </w:p>
    <w:p w14:paraId="712888D8">
      <w:pPr>
        <w:widowControl/>
        <w:jc w:val="center"/>
        <w:rPr>
          <w:rFonts w:hint="eastAsia" w:ascii="宋体" w:hAnsi="宋体" w:eastAsia="宋体" w:cs="宋体"/>
          <w:b/>
          <w:color w:val="auto"/>
          <w:kern w:val="0"/>
          <w:sz w:val="28"/>
          <w:szCs w:val="28"/>
        </w:rPr>
      </w:pPr>
    </w:p>
    <w:p w14:paraId="0800F77E">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（项目</w:t>
      </w:r>
      <w:r>
        <w:rPr>
          <w:rFonts w:hint="eastAsia" w:ascii="宋体" w:hAnsi="宋体" w:eastAsia="宋体" w:cs="宋体"/>
          <w:b/>
          <w:color w:val="auto"/>
          <w:kern w:val="0"/>
          <w:sz w:val="28"/>
          <w:szCs w:val="28"/>
          <w:lang w:val="zh-TW"/>
        </w:rPr>
        <w:t>方案</w:t>
      </w:r>
      <w:r>
        <w:rPr>
          <w:rFonts w:hint="eastAsia" w:ascii="宋体" w:hAnsi="宋体" w:eastAsia="宋体" w:cs="宋体"/>
          <w:b/>
          <w:color w:val="auto"/>
          <w:kern w:val="0"/>
          <w:sz w:val="28"/>
          <w:szCs w:val="28"/>
        </w:rPr>
        <w:t>包括本项目评审办法内容中的所有评审方案，具体内容由供应商根据评审要求及自身情况自行编制）</w:t>
      </w:r>
    </w:p>
    <w:p w14:paraId="142C520A">
      <w:pPr>
        <w:spacing w:line="340" w:lineRule="exact"/>
        <w:rPr>
          <w:rFonts w:hint="eastAsia" w:ascii="宋体" w:hAnsi="宋体" w:eastAsia="宋体" w:cs="宋体"/>
          <w:color w:val="auto"/>
          <w:szCs w:val="21"/>
        </w:rPr>
      </w:pPr>
    </w:p>
    <w:p w14:paraId="31ABC0C7">
      <w:pPr>
        <w:spacing w:line="340" w:lineRule="exact"/>
        <w:rPr>
          <w:rFonts w:hint="eastAsia" w:ascii="宋体" w:hAnsi="宋体" w:eastAsia="宋体" w:cs="宋体"/>
          <w:color w:val="auto"/>
          <w:szCs w:val="21"/>
        </w:rPr>
      </w:pPr>
    </w:p>
    <w:p w14:paraId="439A9ECA">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7EF5AB1F">
      <w:pPr>
        <w:tabs>
          <w:tab w:val="left" w:pos="1305"/>
        </w:tabs>
        <w:spacing w:line="340" w:lineRule="exact"/>
        <w:rPr>
          <w:rFonts w:hint="eastAsia" w:ascii="宋体" w:hAnsi="宋体" w:eastAsia="宋体" w:cs="宋体"/>
          <w:color w:val="auto"/>
          <w:szCs w:val="21"/>
        </w:rPr>
      </w:pPr>
    </w:p>
    <w:p w14:paraId="0393FFCC">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23568659">
      <w:pPr>
        <w:rPr>
          <w:rFonts w:hint="eastAsia" w:ascii="宋体" w:hAnsi="宋体" w:eastAsia="宋体" w:cs="宋体"/>
          <w:b/>
          <w:bCs/>
          <w:iCs/>
          <w:color w:val="auto"/>
          <w:sz w:val="28"/>
          <w:szCs w:val="28"/>
        </w:rPr>
      </w:pPr>
    </w:p>
    <w:p w14:paraId="2D865B78">
      <w:pPr>
        <w:pStyle w:val="9"/>
        <w:rPr>
          <w:rFonts w:hint="eastAsia" w:ascii="宋体" w:hAnsi="宋体" w:eastAsia="宋体" w:cs="宋体"/>
          <w:color w:val="auto"/>
        </w:rPr>
      </w:pPr>
    </w:p>
    <w:p w14:paraId="12F6EEA3">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3.商务评审证明材料（如有，请提供）；</w:t>
      </w:r>
    </w:p>
    <w:p w14:paraId="1C91146C">
      <w:pPr>
        <w:widowControl/>
        <w:jc w:val="center"/>
        <w:rPr>
          <w:rFonts w:hint="eastAsia" w:ascii="宋体" w:hAnsi="宋体" w:eastAsia="宋体" w:cs="宋体"/>
          <w:b/>
          <w:color w:val="auto"/>
          <w:kern w:val="0"/>
          <w:sz w:val="28"/>
          <w:szCs w:val="28"/>
        </w:rPr>
      </w:pPr>
    </w:p>
    <w:p w14:paraId="179A6E2C">
      <w:pPr>
        <w:widowControl/>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说明：商务评审证明材料包括但不限于本项目评审办法内容中的所有商务部分评审的相应有效证明材料，具体内容由供应商根据评审要求及自身情况自行编制。</w:t>
      </w:r>
    </w:p>
    <w:p w14:paraId="1136631F">
      <w:pPr>
        <w:tabs>
          <w:tab w:val="left" w:pos="1305"/>
        </w:tabs>
        <w:spacing w:line="360" w:lineRule="exact"/>
        <w:rPr>
          <w:rFonts w:hint="eastAsia" w:ascii="宋体" w:hAnsi="宋体" w:eastAsia="宋体" w:cs="宋体"/>
          <w:bCs/>
          <w:color w:val="auto"/>
          <w:kern w:val="0"/>
          <w:sz w:val="28"/>
          <w:szCs w:val="28"/>
        </w:rPr>
      </w:pPr>
    </w:p>
    <w:p w14:paraId="6BBF03D4">
      <w:pPr>
        <w:pStyle w:val="9"/>
        <w:rPr>
          <w:rFonts w:hint="eastAsia" w:ascii="宋体" w:hAnsi="宋体" w:eastAsia="宋体" w:cs="宋体"/>
          <w:color w:val="auto"/>
        </w:rPr>
      </w:pPr>
    </w:p>
    <w:p w14:paraId="319E2821">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4.供应商根据本项目自身情况自行提交其它相关证明材料（如有，请提供）。</w:t>
      </w:r>
    </w:p>
    <w:p w14:paraId="3AAFCA73">
      <w:pPr>
        <w:rPr>
          <w:rFonts w:hint="eastAsia" w:ascii="宋体" w:hAnsi="宋体" w:eastAsia="宋体" w:cs="宋体"/>
          <w:color w:val="auto"/>
        </w:rPr>
      </w:pPr>
    </w:p>
    <w:p w14:paraId="690D7FFC">
      <w:pPr>
        <w:jc w:val="left"/>
        <w:rPr>
          <w:rFonts w:hint="eastAsia" w:ascii="宋体" w:hAnsi="宋体" w:eastAsia="宋体" w:cs="宋体"/>
          <w:b/>
          <w:bCs/>
          <w:color w:val="auto"/>
          <w:szCs w:val="21"/>
        </w:rPr>
      </w:pPr>
      <w:r>
        <w:rPr>
          <w:rFonts w:hint="eastAsia" w:ascii="宋体" w:hAnsi="宋体" w:eastAsia="宋体" w:cs="宋体"/>
          <w:b/>
          <w:bCs/>
          <w:color w:val="auto"/>
          <w:szCs w:val="21"/>
        </w:rPr>
        <w:t>备注：其它相关证明材料包括但不限于以下附件内容，具体由供应商根据本项目需求和评审因素要求及自身情况提供的有利于项目实施的证明材料。</w:t>
      </w:r>
    </w:p>
    <w:p w14:paraId="0577E01D">
      <w:pPr>
        <w:numPr>
          <w:ilvl w:val="0"/>
          <w:numId w:val="7"/>
        </w:numPr>
        <w:jc w:val="left"/>
        <w:rPr>
          <w:rFonts w:hint="eastAsia" w:ascii="宋体" w:hAnsi="宋体" w:eastAsia="宋体" w:cs="宋体"/>
          <w:b/>
          <w:bCs/>
          <w:color w:val="auto"/>
          <w:szCs w:val="21"/>
        </w:rPr>
      </w:pPr>
      <w:r>
        <w:rPr>
          <w:rFonts w:hint="eastAsia" w:ascii="宋体" w:hAnsi="宋体" w:eastAsia="宋体" w:cs="宋体"/>
          <w:b/>
          <w:bCs/>
          <w:color w:val="auto"/>
          <w:szCs w:val="21"/>
        </w:rPr>
        <w:t>根据《财政部、司法部关于政府采购支持监狱企业发展有关问题的通知》（财库[2014]68号）及《关于促进残疾人就业政府采购政策的通知》（财库〔2017〕141号）规定，监狱企业、残疾人福利性单位视同小型、微型企业。</w:t>
      </w:r>
    </w:p>
    <w:p w14:paraId="7B862C45">
      <w:pPr>
        <w:jc w:val="left"/>
        <w:rPr>
          <w:rStyle w:val="27"/>
          <w:rFonts w:hint="eastAsia" w:ascii="宋体" w:hAnsi="宋体" w:eastAsia="宋体" w:cs="宋体"/>
          <w:b/>
          <w:bCs/>
          <w:color w:val="auto"/>
          <w:kern w:val="0"/>
          <w:szCs w:val="21"/>
        </w:rPr>
      </w:pPr>
      <w:r>
        <w:rPr>
          <w:rFonts w:hint="eastAsia" w:ascii="宋体" w:hAnsi="宋体" w:eastAsia="宋体" w:cs="宋体"/>
          <w:b/>
          <w:color w:val="auto"/>
          <w:szCs w:val="21"/>
        </w:rPr>
        <w:t>（2）供应商应按照企业划分标准进行如实申明，如提供虚假申明应依法承担相应法律责任；成交结果将同时公告成交人的《中小企业声明函》，接受社会监督。</w:t>
      </w:r>
    </w:p>
    <w:sectPr>
      <w:headerReference r:id="rId7" w:type="default"/>
      <w:footerReference r:id="rId8" w:type="default"/>
      <w:pgSz w:w="11910" w:h="16850"/>
      <w:pgMar w:top="1417" w:right="1417" w:bottom="1417" w:left="1417" w:header="876" w:footer="86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0C60">
    <w:pPr>
      <w:spacing w:line="176" w:lineRule="auto"/>
      <w:ind w:left="472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04B1">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1EE6F">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81EE6F">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3FB2">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C8770">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7FCC8770">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794F">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51BAA">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6D451BAA">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120C">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B28437">
                          <w:pPr>
                            <w:pStyle w:val="12"/>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14:paraId="3EB28437">
                    <w:pPr>
                      <w:pStyle w:val="12"/>
                    </w:pPr>
                    <w:r>
                      <w:fldChar w:fldCharType="begin"/>
                    </w:r>
                    <w:r>
                      <w:instrText xml:space="preserve"> PAGE  \* MERGEFORMAT </w:instrText>
                    </w:r>
                    <w:r>
                      <w:fldChar w:fldCharType="separate"/>
                    </w:r>
                    <w:r>
                      <w:t>43</w:t>
                    </w:r>
                    <w:r>
                      <w:fldChar w:fldCharType="end"/>
                    </w:r>
                  </w:p>
                </w:txbxContent>
              </v:textbox>
            </v:shape>
          </w:pict>
        </mc:Fallback>
      </mc:AlternateContent>
    </w:r>
  </w:p>
  <w:p w14:paraId="1C5C2E6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7639">
    <w:pPr>
      <w:pStyle w:val="13"/>
      <w:pBdr>
        <w:bottom w:val="none" w:color="auto" w:sz="0" w:space="1"/>
      </w:pBdr>
      <w:jc w:val="both"/>
    </w:pPr>
  </w:p>
  <w:p w14:paraId="14EE10B4">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6612E"/>
    <w:multiLevelType w:val="singleLevel"/>
    <w:tmpl w:val="88F6612E"/>
    <w:lvl w:ilvl="0" w:tentative="0">
      <w:start w:val="2"/>
      <w:numFmt w:val="chineseCounting"/>
      <w:suff w:val="nothing"/>
      <w:lvlText w:val="%1、"/>
      <w:lvlJc w:val="left"/>
      <w:rPr>
        <w:rFonts w:hint="eastAsia"/>
      </w:rPr>
    </w:lvl>
  </w:abstractNum>
  <w:abstractNum w:abstractNumId="1">
    <w:nsid w:val="99536F5D"/>
    <w:multiLevelType w:val="singleLevel"/>
    <w:tmpl w:val="99536F5D"/>
    <w:lvl w:ilvl="0" w:tentative="0">
      <w:start w:val="3"/>
      <w:numFmt w:val="chineseCounting"/>
      <w:suff w:val="space"/>
      <w:lvlText w:val="第%1条"/>
      <w:lvlJc w:val="left"/>
      <w:rPr>
        <w:rFonts w:hint="eastAsia"/>
      </w:rPr>
    </w:lvl>
  </w:abstractNum>
  <w:abstractNum w:abstractNumId="2">
    <w:nsid w:val="BB4CF58C"/>
    <w:multiLevelType w:val="singleLevel"/>
    <w:tmpl w:val="BB4CF58C"/>
    <w:lvl w:ilvl="0" w:tentative="0">
      <w:start w:val="2"/>
      <w:numFmt w:val="decimal"/>
      <w:suff w:val="nothing"/>
      <w:lvlText w:val="（%1）"/>
      <w:lvlJc w:val="left"/>
      <w:rPr>
        <w:rFonts w:hint="default"/>
        <w:b w:val="0"/>
        <w:bCs w:val="0"/>
      </w:rPr>
    </w:lvl>
  </w:abstractNum>
  <w:abstractNum w:abstractNumId="3">
    <w:nsid w:val="264424F6"/>
    <w:multiLevelType w:val="singleLevel"/>
    <w:tmpl w:val="264424F6"/>
    <w:lvl w:ilvl="0" w:tentative="0">
      <w:start w:val="1"/>
      <w:numFmt w:val="decimal"/>
      <w:suff w:val="nothing"/>
      <w:lvlText w:val="（%1）"/>
      <w:lvlJc w:val="left"/>
    </w:lvl>
  </w:abstractNum>
  <w:abstractNum w:abstractNumId="4">
    <w:nsid w:val="2EBEB4BA"/>
    <w:multiLevelType w:val="singleLevel"/>
    <w:tmpl w:val="2EBEB4BA"/>
    <w:lvl w:ilvl="0" w:tentative="0">
      <w:start w:val="26"/>
      <w:numFmt w:val="decimal"/>
      <w:suff w:val="space"/>
      <w:lvlText w:val="%1."/>
      <w:lvlJc w:val="left"/>
    </w:lvl>
  </w:abstractNum>
  <w:abstractNum w:abstractNumId="5">
    <w:nsid w:val="55A12FE2"/>
    <w:multiLevelType w:val="singleLevel"/>
    <w:tmpl w:val="55A12FE2"/>
    <w:lvl w:ilvl="0" w:tentative="0">
      <w:start w:val="4"/>
      <w:numFmt w:val="chineseCounting"/>
      <w:suff w:val="space"/>
      <w:lvlText w:val="第%1条"/>
      <w:lvlJc w:val="left"/>
      <w:rPr>
        <w:rFonts w:hint="eastAsia"/>
      </w:rPr>
    </w:lvl>
  </w:abstractNum>
  <w:abstractNum w:abstractNumId="6">
    <w:nsid w:val="6AD43707"/>
    <w:multiLevelType w:val="singleLevel"/>
    <w:tmpl w:val="6AD43707"/>
    <w:lvl w:ilvl="0" w:tentative="0">
      <w:start w:val="5"/>
      <w:numFmt w:val="decimal"/>
      <w:suff w:val="space"/>
      <w:lvlText w:val="%1."/>
      <w:lvlJc w:val="left"/>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zdjMDgyYjcyYjNhMGI5NjE4Y2E5MjM4MzEyMTIifQ=="/>
    <w:docVar w:name="KSO_WPS_MARK_KEY" w:val="165a0445-356a-4ab9-a7b8-e12cf99f98da"/>
  </w:docVars>
  <w:rsids>
    <w:rsidRoot w:val="00755CB8"/>
    <w:rsid w:val="00022507"/>
    <w:rsid w:val="00096940"/>
    <w:rsid w:val="000C177F"/>
    <w:rsid w:val="001363A0"/>
    <w:rsid w:val="001E4B29"/>
    <w:rsid w:val="002E28F7"/>
    <w:rsid w:val="00317286"/>
    <w:rsid w:val="00320CAE"/>
    <w:rsid w:val="0046463C"/>
    <w:rsid w:val="00564DAE"/>
    <w:rsid w:val="005E44E7"/>
    <w:rsid w:val="0065468E"/>
    <w:rsid w:val="00675647"/>
    <w:rsid w:val="00755CB8"/>
    <w:rsid w:val="0087635A"/>
    <w:rsid w:val="008D7AFB"/>
    <w:rsid w:val="00A109FF"/>
    <w:rsid w:val="00A13CA1"/>
    <w:rsid w:val="00A96234"/>
    <w:rsid w:val="00AA51BC"/>
    <w:rsid w:val="00AE28EF"/>
    <w:rsid w:val="00B038B4"/>
    <w:rsid w:val="00B15BB4"/>
    <w:rsid w:val="00B30569"/>
    <w:rsid w:val="00B66CC8"/>
    <w:rsid w:val="00C0280E"/>
    <w:rsid w:val="00CD5A84"/>
    <w:rsid w:val="00D715D7"/>
    <w:rsid w:val="00D73CF9"/>
    <w:rsid w:val="00DD23A3"/>
    <w:rsid w:val="00E94937"/>
    <w:rsid w:val="00EE2CE0"/>
    <w:rsid w:val="00F027D6"/>
    <w:rsid w:val="012B64AF"/>
    <w:rsid w:val="01E811E1"/>
    <w:rsid w:val="0295277A"/>
    <w:rsid w:val="03011BBD"/>
    <w:rsid w:val="04D31076"/>
    <w:rsid w:val="05023BB7"/>
    <w:rsid w:val="068F77C4"/>
    <w:rsid w:val="08730E67"/>
    <w:rsid w:val="09E638BB"/>
    <w:rsid w:val="0B655F71"/>
    <w:rsid w:val="0C2C352D"/>
    <w:rsid w:val="0C8C1286"/>
    <w:rsid w:val="0D4265B5"/>
    <w:rsid w:val="0E59724F"/>
    <w:rsid w:val="0F324E7B"/>
    <w:rsid w:val="11D00EB7"/>
    <w:rsid w:val="12E46792"/>
    <w:rsid w:val="13222B19"/>
    <w:rsid w:val="13CE7C5E"/>
    <w:rsid w:val="152F0BF6"/>
    <w:rsid w:val="16EA6C92"/>
    <w:rsid w:val="17244A9A"/>
    <w:rsid w:val="17F871CD"/>
    <w:rsid w:val="18487298"/>
    <w:rsid w:val="1978490E"/>
    <w:rsid w:val="197E23CE"/>
    <w:rsid w:val="19A73191"/>
    <w:rsid w:val="1A0A7151"/>
    <w:rsid w:val="1B001B6A"/>
    <w:rsid w:val="1B1344E3"/>
    <w:rsid w:val="1CE40729"/>
    <w:rsid w:val="1EAA70F6"/>
    <w:rsid w:val="24B2046F"/>
    <w:rsid w:val="24F25920"/>
    <w:rsid w:val="2607644A"/>
    <w:rsid w:val="26380356"/>
    <w:rsid w:val="294D60A1"/>
    <w:rsid w:val="298D3FD9"/>
    <w:rsid w:val="29913F30"/>
    <w:rsid w:val="2BF20CFC"/>
    <w:rsid w:val="2BF212DD"/>
    <w:rsid w:val="2C4000E7"/>
    <w:rsid w:val="2DC31699"/>
    <w:rsid w:val="2F505567"/>
    <w:rsid w:val="2F8310E0"/>
    <w:rsid w:val="2FA95E3E"/>
    <w:rsid w:val="33161647"/>
    <w:rsid w:val="33677C78"/>
    <w:rsid w:val="34AE7F62"/>
    <w:rsid w:val="37372ACD"/>
    <w:rsid w:val="37625DF4"/>
    <w:rsid w:val="389F4C14"/>
    <w:rsid w:val="38BD57F2"/>
    <w:rsid w:val="3B5121DC"/>
    <w:rsid w:val="3B6853E6"/>
    <w:rsid w:val="3C945931"/>
    <w:rsid w:val="3D233F03"/>
    <w:rsid w:val="3E7E7226"/>
    <w:rsid w:val="3F684079"/>
    <w:rsid w:val="40520D87"/>
    <w:rsid w:val="40B82BB4"/>
    <w:rsid w:val="41222762"/>
    <w:rsid w:val="42BC2CE5"/>
    <w:rsid w:val="42F360AD"/>
    <w:rsid w:val="4577546E"/>
    <w:rsid w:val="45C906D7"/>
    <w:rsid w:val="47A7239C"/>
    <w:rsid w:val="49D555C2"/>
    <w:rsid w:val="4A1051AB"/>
    <w:rsid w:val="4A975365"/>
    <w:rsid w:val="4B5F2EBF"/>
    <w:rsid w:val="4CE30F43"/>
    <w:rsid w:val="4D5C3245"/>
    <w:rsid w:val="4DF868D1"/>
    <w:rsid w:val="4E343605"/>
    <w:rsid w:val="52431D29"/>
    <w:rsid w:val="535C49C8"/>
    <w:rsid w:val="53A05E55"/>
    <w:rsid w:val="53E8793B"/>
    <w:rsid w:val="5432020E"/>
    <w:rsid w:val="55C87DE2"/>
    <w:rsid w:val="56890E23"/>
    <w:rsid w:val="59626B09"/>
    <w:rsid w:val="59B83ED5"/>
    <w:rsid w:val="5A9C0A85"/>
    <w:rsid w:val="5FC618F1"/>
    <w:rsid w:val="612753EE"/>
    <w:rsid w:val="6254215D"/>
    <w:rsid w:val="625F008A"/>
    <w:rsid w:val="62F92E8C"/>
    <w:rsid w:val="63E86FEC"/>
    <w:rsid w:val="64AF38F7"/>
    <w:rsid w:val="65B576E2"/>
    <w:rsid w:val="665B220B"/>
    <w:rsid w:val="676C61D9"/>
    <w:rsid w:val="68D45965"/>
    <w:rsid w:val="68E77913"/>
    <w:rsid w:val="6A10315F"/>
    <w:rsid w:val="6C8678CA"/>
    <w:rsid w:val="6D1015F0"/>
    <w:rsid w:val="6D805286"/>
    <w:rsid w:val="6E1F0DA6"/>
    <w:rsid w:val="701B625A"/>
    <w:rsid w:val="70DF4B3E"/>
    <w:rsid w:val="715D50F9"/>
    <w:rsid w:val="719515E7"/>
    <w:rsid w:val="733F3E13"/>
    <w:rsid w:val="73B20766"/>
    <w:rsid w:val="74E64EAD"/>
    <w:rsid w:val="7529285D"/>
    <w:rsid w:val="76B22F3E"/>
    <w:rsid w:val="76C54648"/>
    <w:rsid w:val="77164167"/>
    <w:rsid w:val="780857B2"/>
    <w:rsid w:val="78633BE3"/>
    <w:rsid w:val="79386064"/>
    <w:rsid w:val="797F0725"/>
    <w:rsid w:val="7BA23C69"/>
    <w:rsid w:val="7CEA2CFB"/>
    <w:rsid w:val="7DEC2B1F"/>
    <w:rsid w:val="7EDA4C48"/>
    <w:rsid w:val="7F907C96"/>
    <w:rsid w:val="7FE9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24"/>
    <w:qFormat/>
    <w:uiPriority w:val="0"/>
    <w:pPr>
      <w:keepNext/>
      <w:keepLines/>
      <w:widowControl/>
      <w:spacing w:before="260" w:after="260" w:line="416" w:lineRule="auto"/>
      <w:outlineLvl w:val="2"/>
    </w:pPr>
    <w:rPr>
      <w:b/>
      <w:bCs/>
      <w:sz w:val="24"/>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annotation text"/>
    <w:basedOn w:val="1"/>
    <w:qFormat/>
    <w:uiPriority w:val="0"/>
    <w:pPr>
      <w:widowControl/>
      <w:jc w:val="left"/>
    </w:pPr>
    <w:rPr>
      <w:rFonts w:ascii="Calibri" w:hAnsi="Calibri"/>
    </w:rPr>
  </w:style>
  <w:style w:type="paragraph" w:styleId="7">
    <w:name w:val="Body Text"/>
    <w:basedOn w:val="1"/>
    <w:unhideWhenUsed/>
    <w:qFormat/>
    <w:uiPriority w:val="0"/>
    <w:pPr>
      <w:spacing w:after="120"/>
    </w:pPr>
  </w:style>
  <w:style w:type="paragraph" w:styleId="8">
    <w:name w:val="Body Text Indent"/>
    <w:basedOn w:val="1"/>
    <w:qFormat/>
    <w:uiPriority w:val="0"/>
    <w:pPr>
      <w:spacing w:after="120" w:line="360" w:lineRule="exact"/>
      <w:ind w:left="420" w:leftChars="200" w:firstLine="200" w:firstLineChars="200"/>
    </w:pPr>
  </w:style>
  <w:style w:type="paragraph" w:styleId="9">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0">
    <w:name w:val="Plain Text"/>
    <w:basedOn w:val="1"/>
    <w:next w:val="5"/>
    <w:qFormat/>
    <w:uiPriority w:val="0"/>
    <w:rPr>
      <w:rFonts w:ascii="宋体" w:hAnsi="Courier New"/>
      <w:szCs w:val="22"/>
    </w:rPr>
  </w:style>
  <w:style w:type="paragraph" w:styleId="11">
    <w:name w:val="Balloon Text"/>
    <w:basedOn w:val="1"/>
    <w:link w:val="30"/>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26"/>
    <w:qFormat/>
    <w:uiPriority w:val="0"/>
    <w:pPr>
      <w:spacing w:before="240" w:after="240"/>
      <w:ind w:firstLine="1687"/>
      <w:jc w:val="center"/>
      <w:outlineLvl w:val="0"/>
    </w:pPr>
    <w:rPr>
      <w:rFonts w:ascii="Cambria" w:hAnsi="Cambria"/>
      <w:b/>
      <w:bCs/>
      <w:sz w:val="32"/>
      <w:szCs w:val="32"/>
    </w:rPr>
  </w:style>
  <w:style w:type="paragraph" w:styleId="17">
    <w:name w:val="Body Text First Indent 2"/>
    <w:basedOn w:val="8"/>
    <w:unhideWhenUsed/>
    <w:qFormat/>
    <w:uiPriority w:val="99"/>
    <w:pPr>
      <w:ind w:firstLine="420"/>
    </w:pPr>
  </w:style>
  <w:style w:type="character" w:styleId="20">
    <w:name w:val="Strong"/>
    <w:basedOn w:val="19"/>
    <w:qFormat/>
    <w:uiPriority w:val="22"/>
    <w:rPr>
      <w:b/>
      <w:bCs/>
    </w:rPr>
  </w:style>
  <w:style w:type="character" w:styleId="21">
    <w:name w:val="annotation reference"/>
    <w:basedOn w:val="19"/>
    <w:qFormat/>
    <w:uiPriority w:val="0"/>
    <w:rPr>
      <w:sz w:val="21"/>
      <w:szCs w:val="21"/>
    </w:rPr>
  </w:style>
  <w:style w:type="paragraph" w:customStyle="1" w:styleId="22">
    <w:name w:val="样式 标题 2 + 宋体"/>
    <w:basedOn w:val="3"/>
    <w:qFormat/>
    <w:uiPriority w:val="99"/>
    <w:rPr>
      <w:rFonts w:ascii="宋体" w:hAnsi="宋体"/>
      <w:sz w:val="30"/>
    </w:rPr>
  </w:style>
  <w:style w:type="paragraph" w:customStyle="1" w:styleId="2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24">
    <w:name w:val="标题 3 Char"/>
    <w:link w:val="4"/>
    <w:qFormat/>
    <w:uiPriority w:val="0"/>
    <w:rPr>
      <w:b/>
      <w:bCs/>
      <w:sz w:val="24"/>
      <w:szCs w:val="32"/>
    </w:rPr>
  </w:style>
  <w:style w:type="paragraph" w:customStyle="1" w:styleId="25">
    <w:name w:val="BodyText"/>
    <w:basedOn w:val="1"/>
    <w:qFormat/>
    <w:locked/>
    <w:uiPriority w:val="0"/>
    <w:pPr>
      <w:spacing w:after="60" w:line="360" w:lineRule="atLeast"/>
      <w:ind w:left="72" w:leftChars="30" w:right="30" w:rightChars="30"/>
      <w:jc w:val="center"/>
    </w:pPr>
    <w:rPr>
      <w:kern w:val="0"/>
      <w:sz w:val="20"/>
      <w:szCs w:val="20"/>
    </w:rPr>
  </w:style>
  <w:style w:type="character" w:customStyle="1" w:styleId="26">
    <w:name w:val="标题 Char"/>
    <w:link w:val="16"/>
    <w:qFormat/>
    <w:uiPriority w:val="0"/>
    <w:rPr>
      <w:rFonts w:ascii="Cambria" w:hAnsi="Cambria" w:eastAsia="宋体" w:cs="Times New Roman"/>
      <w:b/>
      <w:bCs/>
      <w:sz w:val="32"/>
      <w:szCs w:val="32"/>
    </w:rPr>
  </w:style>
  <w:style w:type="character" w:customStyle="1" w:styleId="27">
    <w:name w:val="NormalCharacter"/>
    <w:semiHidden/>
    <w:qFormat/>
    <w:uiPriority w:val="0"/>
  </w:style>
  <w:style w:type="paragraph" w:customStyle="1" w:styleId="28">
    <w:name w:val="PlainText"/>
    <w:basedOn w:val="1"/>
    <w:next w:val="29"/>
    <w:qFormat/>
    <w:locked/>
    <w:uiPriority w:val="0"/>
    <w:rPr>
      <w:rFonts w:ascii="宋体" w:hAnsi="Courier New"/>
      <w:szCs w:val="20"/>
    </w:rPr>
  </w:style>
  <w:style w:type="paragraph" w:customStyle="1" w:styleId="29">
    <w:name w:val="Index8"/>
    <w:basedOn w:val="1"/>
    <w:next w:val="1"/>
    <w:qFormat/>
    <w:locked/>
    <w:uiPriority w:val="0"/>
    <w:pPr>
      <w:ind w:left="2940"/>
    </w:pPr>
  </w:style>
  <w:style w:type="character" w:customStyle="1" w:styleId="30">
    <w:name w:val="批注框文本 Char"/>
    <w:basedOn w:val="19"/>
    <w:link w:val="11"/>
    <w:qFormat/>
    <w:uiPriority w:val="0"/>
    <w:rPr>
      <w:rFonts w:ascii="Times New Roman" w:hAnsi="Times New Roman" w:eastAsia="宋体" w:cs="Times New Roman"/>
      <w:kern w:val="2"/>
      <w:sz w:val="18"/>
      <w:szCs w:val="18"/>
    </w:rPr>
  </w:style>
  <w:style w:type="character" w:customStyle="1" w:styleId="31">
    <w:name w:val="bookmark-item"/>
    <w:basedOn w:val="19"/>
    <w:qFormat/>
    <w:uiPriority w:val="0"/>
  </w:style>
  <w:style w:type="paragraph" w:styleId="32">
    <w:name w:val="List Paragraph"/>
    <w:basedOn w:val="1"/>
    <w:unhideWhenUsed/>
    <w:qFormat/>
    <w:uiPriority w:val="99"/>
    <w:pPr>
      <w:ind w:firstLine="420" w:firstLineChars="200"/>
    </w:pPr>
  </w:style>
  <w:style w:type="paragraph" w:customStyle="1" w:styleId="33">
    <w:name w:val="Table Text"/>
    <w:basedOn w:val="1"/>
    <w:semiHidden/>
    <w:qFormat/>
    <w:uiPriority w:val="0"/>
    <w:rPr>
      <w:rFonts w:ascii="宋体" w:hAnsi="宋体" w:eastAsia="宋体" w:cs="宋体"/>
      <w:sz w:val="20"/>
      <w:szCs w:val="20"/>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96E1C-5B83-43E8-8423-CDAE6AF02120}">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34716</Words>
  <Characters>37321</Characters>
  <Lines>66</Lines>
  <Paragraphs>98</Paragraphs>
  <TotalTime>108</TotalTime>
  <ScaleCrop>false</ScaleCrop>
  <LinksUpToDate>false</LinksUpToDate>
  <CharactersWithSpaces>39873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2025-03-24T02:40:00Z</dcterms:created>
  <dc:creator>Administrator</dc:creator>
  <cp:lastModifiedBy>淡定</cp:lastModifiedBy>
  <dcterms:modified xsi:type="dcterms:W3CDTF">2025-05-20T09:00:51Z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AFFA2719AE5140C581E5433EF013FF14_13</vt:lpwstr>
  </property>
  <property fmtid="{D5CDD505-2E9C-101B-9397-08002B2CF9AE}" pid="4" name="KSOTemplateDocerSaveRecord">
    <vt:lpwstr>eyJoZGlkIjoiNDNkZmZlNzY0NjRlMjRjZThhNTJlZjNlY2UxNDE5NzYiLCJ1c2VySWQiOiI2MjI4NTYyODgifQ==</vt:lpwstr>
  </property>
</Properties>
</file>