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459BC">
      <w:pPr>
        <w:spacing w:line="900" w:lineRule="exact"/>
        <w:jc w:val="center"/>
        <w:rPr>
          <w:rFonts w:hint="eastAsia" w:ascii="宋体" w:hAnsi="宋体" w:cs="宋体"/>
          <w:b/>
          <w:color w:val="000000"/>
          <w:sz w:val="72"/>
          <w:szCs w:val="72"/>
          <w:highlight w:val="none"/>
          <w:shd w:val="clear" w:color="auto" w:fill="auto"/>
        </w:rPr>
      </w:pPr>
      <w:bookmarkStart w:id="0" w:name="_Toc10319"/>
      <w:bookmarkStart w:id="1" w:name="_Toc7014_WPSOffice_Level1"/>
      <w:r>
        <w:rPr>
          <w:rFonts w:hint="eastAsia" w:ascii="华文新魏" w:hAnsi="Courier New" w:eastAsia="华文新魏" w:cs="Times New Roman"/>
          <w:b/>
          <w:bCs/>
          <w:color w:val="auto"/>
          <w:kern w:val="0"/>
          <w:sz w:val="72"/>
          <w:szCs w:val="72"/>
          <w:highlight w:val="none"/>
          <w:lang w:val="en-US" w:eastAsia="zh-CN" w:bidi="ar-SA"/>
        </w:rPr>
        <w:t>广西聚泽灵项目管理有限公司</w:t>
      </w:r>
    </w:p>
    <w:p w14:paraId="478E82DC">
      <w:pPr>
        <w:pStyle w:val="74"/>
        <w:rPr>
          <w:rFonts w:hint="eastAsia" w:ascii="宋体" w:hAnsi="宋体" w:cs="宋体"/>
          <w:b/>
          <w:color w:val="000000"/>
          <w:sz w:val="72"/>
          <w:szCs w:val="72"/>
          <w:highlight w:val="none"/>
          <w:shd w:val="clear" w:color="auto" w:fill="auto"/>
        </w:rPr>
      </w:pPr>
    </w:p>
    <w:p w14:paraId="6A3CBF45">
      <w:pPr>
        <w:pStyle w:val="74"/>
        <w:jc w:val="center"/>
        <w:rPr>
          <w:rFonts w:hint="eastAsia" w:ascii="宋体" w:hAnsi="宋体" w:cs="宋体"/>
          <w:b/>
          <w:color w:val="000000"/>
          <w:sz w:val="72"/>
          <w:szCs w:val="72"/>
          <w:highlight w:val="none"/>
          <w:shd w:val="clear" w:color="auto" w:fill="auto"/>
        </w:rPr>
      </w:pPr>
      <w:r>
        <w:rPr>
          <w:rFonts w:hint="eastAsia" w:ascii="楷体" w:hAnsi="楷体" w:eastAsia="楷体" w:cs="楷体"/>
          <w:b/>
          <w:bCs/>
          <w:color w:val="auto"/>
          <w:sz w:val="72"/>
          <w:highlight w:val="none"/>
          <w:lang w:eastAsia="zh-CN"/>
        </w:rPr>
        <w:drawing>
          <wp:inline distT="0" distB="0" distL="114300" distR="114300">
            <wp:extent cx="5521325" cy="937895"/>
            <wp:effectExtent l="0" t="0" r="3175" b="14605"/>
            <wp:docPr id="4" name="图片 1" descr="83a29dcec55c209d3eb648bfd0877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83a29dcec55c209d3eb648bfd0877fb"/>
                    <pic:cNvPicPr>
                      <a:picLocks noChangeAspect="1"/>
                    </pic:cNvPicPr>
                  </pic:nvPicPr>
                  <pic:blipFill>
                    <a:blip r:embed="rId7"/>
                    <a:stretch>
                      <a:fillRect/>
                    </a:stretch>
                  </pic:blipFill>
                  <pic:spPr>
                    <a:xfrm>
                      <a:off x="0" y="0"/>
                      <a:ext cx="5521325" cy="937895"/>
                    </a:xfrm>
                    <a:prstGeom prst="rect">
                      <a:avLst/>
                    </a:prstGeom>
                    <a:noFill/>
                    <a:ln>
                      <a:noFill/>
                    </a:ln>
                  </pic:spPr>
                </pic:pic>
              </a:graphicData>
            </a:graphic>
          </wp:inline>
        </w:drawing>
      </w:r>
    </w:p>
    <w:p w14:paraId="45162A95">
      <w:pPr>
        <w:pStyle w:val="74"/>
        <w:rPr>
          <w:rFonts w:hint="eastAsia" w:ascii="宋体" w:hAnsi="宋体" w:cs="宋体"/>
          <w:b/>
          <w:color w:val="000000"/>
          <w:sz w:val="72"/>
          <w:szCs w:val="72"/>
          <w:highlight w:val="none"/>
          <w:shd w:val="clear" w:color="auto" w:fill="auto"/>
        </w:rPr>
      </w:pPr>
    </w:p>
    <w:p w14:paraId="306C2953">
      <w:pPr>
        <w:spacing w:line="1400" w:lineRule="exact"/>
        <w:jc w:val="center"/>
        <w:rPr>
          <w:rFonts w:hint="eastAsia" w:ascii="楷体" w:hAnsi="楷体" w:eastAsia="楷体" w:cs="楷体"/>
          <w:b/>
          <w:color w:val="auto"/>
          <w:spacing w:val="60"/>
          <w:sz w:val="96"/>
          <w:szCs w:val="96"/>
          <w:highlight w:val="none"/>
        </w:rPr>
      </w:pPr>
    </w:p>
    <w:p w14:paraId="6CB09B19">
      <w:pPr>
        <w:spacing w:line="1400" w:lineRule="exact"/>
        <w:jc w:val="center"/>
        <w:rPr>
          <w:rFonts w:hint="eastAsia" w:ascii="楷体" w:hAnsi="楷体" w:eastAsia="楷体" w:cs="楷体"/>
          <w:b/>
          <w:color w:val="auto"/>
          <w:spacing w:val="60"/>
          <w:sz w:val="96"/>
          <w:szCs w:val="96"/>
          <w:highlight w:val="none"/>
        </w:rPr>
      </w:pPr>
      <w:r>
        <w:rPr>
          <w:rFonts w:hint="eastAsia" w:ascii="楷体" w:hAnsi="楷体" w:eastAsia="楷体" w:cs="楷体"/>
          <w:b/>
          <w:color w:val="auto"/>
          <w:spacing w:val="60"/>
          <w:sz w:val="96"/>
          <w:szCs w:val="96"/>
          <w:highlight w:val="none"/>
        </w:rPr>
        <w:t>竞争性磋商文件</w:t>
      </w:r>
    </w:p>
    <w:p w14:paraId="0D3476C1">
      <w:pPr>
        <w:pStyle w:val="16"/>
        <w:rPr>
          <w:color w:val="000000"/>
          <w:highlight w:val="none"/>
          <w:shd w:val="clear" w:color="auto" w:fill="auto"/>
        </w:rPr>
      </w:pPr>
    </w:p>
    <w:p w14:paraId="08B70F06">
      <w:pPr>
        <w:pStyle w:val="74"/>
        <w:rPr>
          <w:color w:val="000000"/>
          <w:highlight w:val="none"/>
          <w:shd w:val="clear" w:color="auto" w:fill="auto"/>
        </w:rPr>
      </w:pPr>
    </w:p>
    <w:p w14:paraId="1CDFA2EE">
      <w:pPr>
        <w:pStyle w:val="74"/>
        <w:rPr>
          <w:color w:val="000000"/>
          <w:highlight w:val="none"/>
          <w:shd w:val="clear" w:color="auto" w:fill="auto"/>
        </w:rPr>
      </w:pPr>
    </w:p>
    <w:p w14:paraId="40B8969C">
      <w:pPr>
        <w:pStyle w:val="74"/>
        <w:rPr>
          <w:color w:val="000000"/>
          <w:highlight w:val="none"/>
          <w:shd w:val="clear" w:color="auto" w:fill="auto"/>
        </w:rPr>
      </w:pPr>
    </w:p>
    <w:p w14:paraId="4FE775E9">
      <w:pPr>
        <w:pStyle w:val="74"/>
        <w:rPr>
          <w:color w:val="000000"/>
          <w:highlight w:val="none"/>
          <w:shd w:val="clear" w:color="auto" w:fill="auto"/>
        </w:rPr>
      </w:pPr>
    </w:p>
    <w:p w14:paraId="6C70BC97">
      <w:pPr>
        <w:pStyle w:val="74"/>
        <w:rPr>
          <w:color w:val="000000"/>
          <w:highlight w:val="none"/>
          <w:shd w:val="clear" w:color="auto" w:fill="auto"/>
        </w:rPr>
      </w:pPr>
    </w:p>
    <w:p w14:paraId="7DD629E0">
      <w:pPr>
        <w:pStyle w:val="74"/>
        <w:rPr>
          <w:color w:val="000000"/>
          <w:highlight w:val="none"/>
          <w:shd w:val="clear" w:color="auto" w:fill="auto"/>
        </w:rPr>
      </w:pPr>
    </w:p>
    <w:p w14:paraId="6FDD6C59">
      <w:pPr>
        <w:pStyle w:val="74"/>
        <w:rPr>
          <w:color w:val="000000"/>
          <w:highlight w:val="none"/>
          <w:shd w:val="clear" w:color="auto" w:fill="auto"/>
        </w:rPr>
      </w:pPr>
    </w:p>
    <w:p w14:paraId="7B882E02">
      <w:pPr>
        <w:keepNext w:val="0"/>
        <w:keepLines w:val="0"/>
        <w:pageBreakBefore w:val="0"/>
        <w:widowControl w:val="0"/>
        <w:tabs>
          <w:tab w:val="left" w:pos="8400"/>
          <w:tab w:val="left" w:pos="9240"/>
        </w:tabs>
        <w:kinsoku/>
        <w:wordWrap/>
        <w:overflowPunct/>
        <w:topLinePunct w:val="0"/>
        <w:autoSpaceDE/>
        <w:autoSpaceDN/>
        <w:bidi w:val="0"/>
        <w:adjustRightInd/>
        <w:snapToGrid/>
        <w:spacing w:line="480" w:lineRule="auto"/>
        <w:ind w:right="396" w:rightChars="189"/>
        <w:jc w:val="both"/>
        <w:textAlignment w:val="auto"/>
        <w:rPr>
          <w:rFonts w:hint="eastAsia" w:ascii="宋体" w:hAnsi="宋体" w:eastAsia="宋体" w:cs="宋体"/>
          <w:b/>
          <w:bCs/>
          <w:color w:val="auto"/>
          <w:spacing w:val="40"/>
          <w:sz w:val="30"/>
          <w:szCs w:val="30"/>
          <w:highlight w:val="none"/>
          <w:lang w:eastAsia="zh-CN"/>
        </w:rPr>
      </w:pPr>
      <w:r>
        <w:rPr>
          <w:rFonts w:hint="eastAsia" w:ascii="宋体" w:hAnsi="宋体" w:eastAsia="宋体" w:cs="宋体"/>
          <w:b/>
          <w:bCs/>
          <w:color w:val="auto"/>
          <w:spacing w:val="40"/>
          <w:sz w:val="30"/>
          <w:szCs w:val="30"/>
          <w:highlight w:val="none"/>
          <w:lang w:eastAsia="zh-CN"/>
        </w:rPr>
        <w:t>项目编号：</w:t>
      </w:r>
      <w:r>
        <w:rPr>
          <w:rFonts w:hint="eastAsia" w:ascii="宋体" w:hAnsi="宋体" w:cs="宋体"/>
          <w:b/>
          <w:bCs/>
          <w:color w:val="auto"/>
          <w:spacing w:val="40"/>
          <w:sz w:val="30"/>
          <w:szCs w:val="30"/>
          <w:highlight w:val="none"/>
          <w:lang w:eastAsia="zh-CN"/>
        </w:rPr>
        <w:t>GLZC2025-C2-250049-GXJZ</w:t>
      </w:r>
    </w:p>
    <w:p w14:paraId="74159B4A">
      <w:pPr>
        <w:keepNext w:val="0"/>
        <w:keepLines w:val="0"/>
        <w:pageBreakBefore w:val="0"/>
        <w:widowControl w:val="0"/>
        <w:tabs>
          <w:tab w:val="left" w:pos="8400"/>
          <w:tab w:val="left" w:pos="9240"/>
        </w:tabs>
        <w:kinsoku/>
        <w:wordWrap/>
        <w:overflowPunct/>
        <w:topLinePunct w:val="0"/>
        <w:autoSpaceDE/>
        <w:autoSpaceDN/>
        <w:bidi w:val="0"/>
        <w:adjustRightInd/>
        <w:snapToGrid/>
        <w:spacing w:line="480" w:lineRule="auto"/>
        <w:ind w:right="396" w:rightChars="189"/>
        <w:jc w:val="both"/>
        <w:textAlignment w:val="auto"/>
        <w:rPr>
          <w:rFonts w:hint="eastAsia" w:ascii="宋体" w:hAnsi="宋体" w:eastAsia="宋体" w:cs="宋体"/>
          <w:b/>
          <w:bCs/>
          <w:color w:val="auto"/>
          <w:spacing w:val="40"/>
          <w:sz w:val="30"/>
          <w:szCs w:val="30"/>
          <w:highlight w:val="none"/>
          <w:lang w:eastAsia="zh-CN"/>
        </w:rPr>
      </w:pPr>
      <w:r>
        <w:rPr>
          <w:rFonts w:hint="eastAsia" w:ascii="宋体" w:hAnsi="宋体" w:eastAsia="宋体" w:cs="宋体"/>
          <w:b/>
          <w:bCs/>
          <w:color w:val="auto"/>
          <w:spacing w:val="40"/>
          <w:sz w:val="30"/>
          <w:szCs w:val="30"/>
          <w:highlight w:val="none"/>
          <w:lang w:eastAsia="zh-CN"/>
        </w:rPr>
        <w:t>项目名称：兴安县第三小学校园维修改造提升工程项目</w:t>
      </w:r>
    </w:p>
    <w:p w14:paraId="189C7284">
      <w:pPr>
        <w:jc w:val="center"/>
        <w:rPr>
          <w:rFonts w:hint="eastAsia" w:ascii="宋体" w:hAnsi="宋体" w:eastAsia="宋体" w:cs="宋体"/>
          <w:b/>
          <w:bCs/>
          <w:color w:val="auto"/>
          <w:kern w:val="0"/>
          <w:sz w:val="30"/>
          <w:szCs w:val="30"/>
          <w:highlight w:val="none"/>
          <w:lang w:val="en-US" w:eastAsia="zh-CN"/>
        </w:rPr>
      </w:pPr>
    </w:p>
    <w:p w14:paraId="5C7DDDDF">
      <w:pPr>
        <w:jc w:val="center"/>
        <w:rPr>
          <w:rFonts w:hint="eastAsia" w:ascii="宋体" w:hAnsi="宋体" w:eastAsia="宋体" w:cs="宋体"/>
          <w:b/>
          <w:bCs/>
          <w:color w:val="auto"/>
          <w:kern w:val="0"/>
          <w:sz w:val="30"/>
          <w:szCs w:val="30"/>
          <w:highlight w:val="none"/>
          <w:lang w:val="en-US" w:eastAsia="zh-CN"/>
        </w:rPr>
      </w:pPr>
    </w:p>
    <w:p w14:paraId="7238431F">
      <w:pPr>
        <w:jc w:val="center"/>
        <w:rPr>
          <w:rFonts w:hint="eastAsia" w:ascii="宋体" w:hAnsi="宋体" w:eastAsia="宋体" w:cs="宋体"/>
          <w:b/>
          <w:bCs/>
          <w:color w:val="auto"/>
          <w:kern w:val="0"/>
          <w:sz w:val="30"/>
          <w:szCs w:val="30"/>
          <w:highlight w:val="none"/>
          <w:lang w:val="en-US" w:eastAsia="zh-CN"/>
        </w:rPr>
      </w:pPr>
      <w:r>
        <w:rPr>
          <w:rFonts w:hint="eastAsia" w:ascii="宋体" w:hAnsi="宋体" w:eastAsia="宋体" w:cs="宋体"/>
          <w:b/>
          <w:bCs/>
          <w:color w:val="auto"/>
          <w:kern w:val="0"/>
          <w:sz w:val="30"/>
          <w:szCs w:val="30"/>
          <w:highlight w:val="none"/>
          <w:lang w:val="en-US" w:eastAsia="zh-CN"/>
        </w:rPr>
        <w:t>采购代理机构：广西聚泽灵项目管理有限公司</w:t>
      </w:r>
    </w:p>
    <w:p w14:paraId="06A84C3A">
      <w:pPr>
        <w:jc w:val="center"/>
        <w:rPr>
          <w:rFonts w:hint="eastAsia" w:ascii="宋体" w:hAnsi="宋体" w:eastAsia="宋体" w:cs="宋体"/>
          <w:b/>
          <w:bCs/>
          <w:color w:val="auto"/>
          <w:kern w:val="0"/>
          <w:sz w:val="30"/>
          <w:szCs w:val="30"/>
          <w:highlight w:val="none"/>
          <w:lang w:val="en-US" w:eastAsia="zh-CN"/>
        </w:rPr>
      </w:pPr>
      <w:r>
        <w:rPr>
          <w:rFonts w:hint="eastAsia" w:ascii="宋体" w:hAnsi="宋体" w:eastAsia="宋体" w:cs="宋体"/>
          <w:b/>
          <w:bCs/>
          <w:color w:val="auto"/>
          <w:kern w:val="0"/>
          <w:sz w:val="30"/>
          <w:szCs w:val="30"/>
          <w:highlight w:val="none"/>
          <w:lang w:val="en-US" w:eastAsia="zh-CN"/>
        </w:rPr>
        <w:t>202</w:t>
      </w:r>
      <w:r>
        <w:rPr>
          <w:rFonts w:hint="eastAsia" w:ascii="宋体" w:hAnsi="宋体" w:cs="宋体"/>
          <w:b/>
          <w:bCs/>
          <w:color w:val="auto"/>
          <w:kern w:val="0"/>
          <w:sz w:val="30"/>
          <w:szCs w:val="30"/>
          <w:highlight w:val="none"/>
          <w:lang w:val="en-US" w:eastAsia="zh-CN"/>
        </w:rPr>
        <w:t>5</w:t>
      </w:r>
      <w:r>
        <w:rPr>
          <w:rFonts w:hint="eastAsia" w:ascii="宋体" w:hAnsi="宋体" w:eastAsia="宋体" w:cs="宋体"/>
          <w:b/>
          <w:bCs/>
          <w:color w:val="auto"/>
          <w:kern w:val="0"/>
          <w:sz w:val="30"/>
          <w:szCs w:val="30"/>
          <w:highlight w:val="none"/>
          <w:lang w:val="en-US" w:eastAsia="zh-CN"/>
        </w:rPr>
        <w:t>年</w:t>
      </w:r>
      <w:r>
        <w:rPr>
          <w:rFonts w:hint="eastAsia" w:ascii="宋体" w:hAnsi="宋体" w:cs="宋体"/>
          <w:b/>
          <w:bCs/>
          <w:color w:val="auto"/>
          <w:kern w:val="0"/>
          <w:sz w:val="30"/>
          <w:szCs w:val="30"/>
          <w:highlight w:val="none"/>
          <w:lang w:val="en-US" w:eastAsia="zh-CN"/>
        </w:rPr>
        <w:t>06</w:t>
      </w:r>
      <w:r>
        <w:rPr>
          <w:rFonts w:hint="eastAsia" w:ascii="宋体" w:hAnsi="宋体" w:eastAsia="宋体" w:cs="宋体"/>
          <w:b/>
          <w:bCs/>
          <w:color w:val="auto"/>
          <w:kern w:val="0"/>
          <w:sz w:val="30"/>
          <w:szCs w:val="30"/>
          <w:highlight w:val="none"/>
          <w:lang w:val="en-US" w:eastAsia="zh-CN"/>
        </w:rPr>
        <w:t>月</w:t>
      </w:r>
    </w:p>
    <w:p w14:paraId="40A2B234">
      <w:pPr>
        <w:jc w:val="center"/>
        <w:rPr>
          <w:rFonts w:ascii="宋体" w:hAnsi="宋体" w:cs="宋体"/>
          <w:b/>
          <w:bCs/>
          <w:color w:val="000000"/>
          <w:sz w:val="36"/>
          <w:szCs w:val="36"/>
          <w:highlight w:val="none"/>
          <w:shd w:val="clear" w:color="auto" w:fill="auto"/>
          <w:lang w:val="zh-CN"/>
        </w:rPr>
      </w:pPr>
      <w:r>
        <w:rPr>
          <w:rFonts w:hint="eastAsia" w:ascii="宋体" w:hAnsi="宋体" w:eastAsia="宋体" w:cs="宋体"/>
          <w:b/>
          <w:bCs/>
          <w:color w:val="auto"/>
          <w:kern w:val="0"/>
          <w:sz w:val="30"/>
          <w:szCs w:val="30"/>
          <w:highlight w:val="none"/>
          <w:lang w:val="en-US" w:eastAsia="zh-CN"/>
        </w:rPr>
        <w:br w:type="page"/>
      </w:r>
      <w:r>
        <w:rPr>
          <w:rFonts w:hint="eastAsia" w:ascii="宋体" w:hAnsi="宋体" w:cs="宋体"/>
          <w:b/>
          <w:bCs/>
          <w:color w:val="000000"/>
          <w:sz w:val="36"/>
          <w:szCs w:val="36"/>
          <w:highlight w:val="none"/>
          <w:shd w:val="clear" w:color="auto" w:fill="auto"/>
          <w:lang w:val="zh-CN"/>
        </w:rPr>
        <w:t>目</w:t>
      </w:r>
      <w:r>
        <w:rPr>
          <w:rFonts w:hint="eastAsia" w:ascii="宋体" w:hAnsi="宋体" w:cs="宋体"/>
          <w:b/>
          <w:bCs/>
          <w:color w:val="000000"/>
          <w:sz w:val="36"/>
          <w:szCs w:val="36"/>
          <w:highlight w:val="none"/>
          <w:shd w:val="clear" w:color="auto" w:fill="auto"/>
        </w:rPr>
        <w:t xml:space="preserve"> </w:t>
      </w:r>
      <w:r>
        <w:rPr>
          <w:rFonts w:hint="eastAsia" w:ascii="宋体" w:hAnsi="宋体" w:cs="宋体"/>
          <w:b/>
          <w:bCs/>
          <w:color w:val="000000"/>
          <w:sz w:val="36"/>
          <w:szCs w:val="36"/>
          <w:highlight w:val="none"/>
          <w:shd w:val="clear" w:color="auto" w:fill="auto"/>
          <w:lang w:val="en-US" w:eastAsia="zh-CN"/>
        </w:rPr>
        <w:t xml:space="preserve"> </w:t>
      </w:r>
      <w:r>
        <w:rPr>
          <w:rFonts w:hint="eastAsia" w:ascii="宋体" w:hAnsi="宋体" w:cs="宋体"/>
          <w:b/>
          <w:bCs/>
          <w:color w:val="000000"/>
          <w:sz w:val="36"/>
          <w:szCs w:val="36"/>
          <w:highlight w:val="none"/>
          <w:shd w:val="clear" w:color="auto" w:fill="auto"/>
        </w:rPr>
        <w:t xml:space="preserve"> </w:t>
      </w:r>
      <w:r>
        <w:rPr>
          <w:rFonts w:hint="eastAsia" w:ascii="宋体" w:hAnsi="宋体" w:cs="宋体"/>
          <w:b/>
          <w:bCs/>
          <w:color w:val="000000"/>
          <w:sz w:val="36"/>
          <w:szCs w:val="36"/>
          <w:highlight w:val="none"/>
          <w:shd w:val="clear" w:color="auto" w:fill="auto"/>
          <w:lang w:val="zh-CN"/>
        </w:rPr>
        <w:t>录</w:t>
      </w:r>
    </w:p>
    <w:p w14:paraId="0DA8BAF2">
      <w:pPr>
        <w:pStyle w:val="16"/>
        <w:rPr>
          <w:color w:val="000000"/>
          <w:highlight w:val="none"/>
          <w:shd w:val="clear" w:color="auto" w:fill="auto"/>
          <w:lang w:val="zh-CN"/>
        </w:rPr>
      </w:pPr>
    </w:p>
    <w:p w14:paraId="4288FB88">
      <w:pPr>
        <w:rPr>
          <w:color w:val="000000"/>
          <w:highlight w:val="none"/>
          <w:shd w:val="clear" w:color="auto" w:fill="auto"/>
          <w:lang w:val="zh-CN"/>
        </w:rPr>
      </w:pPr>
    </w:p>
    <w:p w14:paraId="659B2BCB">
      <w:pPr>
        <w:pStyle w:val="26"/>
        <w:tabs>
          <w:tab w:val="right" w:leader="dot" w:pos="9746"/>
        </w:tabs>
        <w:spacing w:line="720" w:lineRule="auto"/>
        <w:rPr>
          <w:color w:val="000000"/>
          <w:sz w:val="28"/>
          <w:szCs w:val="28"/>
          <w:highlight w:val="none"/>
          <w:shd w:val="clear" w:color="auto" w:fill="auto"/>
        </w:rPr>
      </w:pPr>
      <w:r>
        <w:rPr>
          <w:rFonts w:ascii="宋体" w:hAnsi="宋体" w:cs="宋体"/>
          <w:b/>
          <w:bCs/>
          <w:color w:val="000000"/>
          <w:sz w:val="32"/>
          <w:szCs w:val="32"/>
          <w:highlight w:val="none"/>
          <w:shd w:val="clear" w:color="auto" w:fill="auto"/>
        </w:rPr>
        <w:fldChar w:fldCharType="begin"/>
      </w:r>
      <w:r>
        <w:rPr>
          <w:rFonts w:ascii="宋体" w:hAnsi="宋体" w:cs="宋体"/>
          <w:b/>
          <w:bCs/>
          <w:color w:val="000000"/>
          <w:sz w:val="32"/>
          <w:szCs w:val="32"/>
          <w:highlight w:val="none"/>
          <w:shd w:val="clear" w:color="auto" w:fill="auto"/>
        </w:rPr>
        <w:instrText xml:space="preserve">TOC \o "1-1" \h \u </w:instrText>
      </w:r>
      <w:r>
        <w:rPr>
          <w:rFonts w:ascii="宋体" w:hAnsi="宋体" w:cs="宋体"/>
          <w:b/>
          <w:bCs/>
          <w:color w:val="000000"/>
          <w:sz w:val="32"/>
          <w:szCs w:val="32"/>
          <w:highlight w:val="none"/>
          <w:shd w:val="clear" w:color="auto" w:fill="auto"/>
        </w:rPr>
        <w:fldChar w:fldCharType="separate"/>
      </w:r>
      <w:r>
        <w:rPr>
          <w:color w:val="000000"/>
          <w:highlight w:val="none"/>
          <w:shd w:val="clear" w:color="auto" w:fill="auto"/>
        </w:rPr>
        <w:fldChar w:fldCharType="begin"/>
      </w:r>
      <w:r>
        <w:rPr>
          <w:color w:val="000000"/>
          <w:highlight w:val="none"/>
          <w:shd w:val="clear" w:color="auto" w:fill="auto"/>
        </w:rPr>
        <w:instrText xml:space="preserve">HYPERLINK \l "_Toc29698"</w:instrText>
      </w:r>
      <w:r>
        <w:rPr>
          <w:color w:val="000000"/>
          <w:highlight w:val="none"/>
          <w:shd w:val="clear" w:color="auto" w:fill="auto"/>
        </w:rPr>
        <w:fldChar w:fldCharType="separate"/>
      </w:r>
      <w:r>
        <w:rPr>
          <w:rFonts w:hint="eastAsia" w:ascii="宋体" w:hAnsi="宋体" w:cs="宋体"/>
          <w:bCs/>
          <w:color w:val="000000"/>
          <w:sz w:val="28"/>
          <w:szCs w:val="28"/>
          <w:highlight w:val="none"/>
          <w:shd w:val="clear" w:color="auto" w:fill="auto"/>
        </w:rPr>
        <w:t>第一章  竞争性磋商公告</w:t>
      </w:r>
      <w:r>
        <w:rPr>
          <w:color w:val="000000"/>
          <w:sz w:val="28"/>
          <w:szCs w:val="28"/>
          <w:highlight w:val="none"/>
          <w:shd w:val="clear" w:color="auto" w:fill="auto"/>
        </w:rPr>
        <w:tab/>
      </w:r>
      <w:r>
        <w:rPr>
          <w:color w:val="000000"/>
          <w:sz w:val="28"/>
          <w:szCs w:val="28"/>
          <w:highlight w:val="none"/>
          <w:shd w:val="clear" w:color="auto" w:fill="auto"/>
        </w:rPr>
        <w:fldChar w:fldCharType="begin"/>
      </w:r>
      <w:r>
        <w:rPr>
          <w:color w:val="000000"/>
          <w:sz w:val="28"/>
          <w:szCs w:val="28"/>
          <w:highlight w:val="none"/>
          <w:shd w:val="clear" w:color="auto" w:fill="auto"/>
        </w:rPr>
        <w:instrText xml:space="preserve"> PAGEREF _Toc29698 \h </w:instrText>
      </w:r>
      <w:r>
        <w:rPr>
          <w:color w:val="000000"/>
          <w:sz w:val="28"/>
          <w:szCs w:val="28"/>
          <w:highlight w:val="none"/>
          <w:shd w:val="clear" w:color="auto" w:fill="auto"/>
        </w:rPr>
        <w:fldChar w:fldCharType="separate"/>
      </w:r>
      <w:r>
        <w:rPr>
          <w:color w:val="000000"/>
          <w:sz w:val="28"/>
          <w:szCs w:val="28"/>
          <w:highlight w:val="none"/>
          <w:shd w:val="clear" w:color="auto" w:fill="auto"/>
        </w:rPr>
        <w:t>1</w:t>
      </w:r>
      <w:r>
        <w:rPr>
          <w:color w:val="000000"/>
          <w:sz w:val="28"/>
          <w:szCs w:val="28"/>
          <w:highlight w:val="none"/>
          <w:shd w:val="clear" w:color="auto" w:fill="auto"/>
        </w:rPr>
        <w:fldChar w:fldCharType="end"/>
      </w:r>
      <w:r>
        <w:rPr>
          <w:color w:val="000000"/>
          <w:highlight w:val="none"/>
          <w:shd w:val="clear" w:color="auto" w:fill="auto"/>
        </w:rPr>
        <w:fldChar w:fldCharType="end"/>
      </w:r>
    </w:p>
    <w:p w14:paraId="742BB3A1">
      <w:pPr>
        <w:pStyle w:val="26"/>
        <w:tabs>
          <w:tab w:val="right" w:leader="dot" w:pos="9746"/>
        </w:tabs>
        <w:spacing w:line="720" w:lineRule="auto"/>
        <w:rPr>
          <w:color w:val="000000"/>
          <w:sz w:val="28"/>
          <w:szCs w:val="28"/>
          <w:highlight w:val="none"/>
          <w:shd w:val="clear" w:color="auto" w:fill="auto"/>
        </w:rPr>
      </w:pPr>
      <w:r>
        <w:rPr>
          <w:color w:val="000000"/>
          <w:highlight w:val="none"/>
          <w:shd w:val="clear" w:color="auto" w:fill="auto"/>
        </w:rPr>
        <w:fldChar w:fldCharType="begin"/>
      </w:r>
      <w:r>
        <w:rPr>
          <w:color w:val="000000"/>
          <w:highlight w:val="none"/>
          <w:shd w:val="clear" w:color="auto" w:fill="auto"/>
        </w:rPr>
        <w:instrText xml:space="preserve">HYPERLINK \l "_Toc27017"</w:instrText>
      </w:r>
      <w:r>
        <w:rPr>
          <w:color w:val="000000"/>
          <w:highlight w:val="none"/>
          <w:shd w:val="clear" w:color="auto" w:fill="auto"/>
        </w:rPr>
        <w:fldChar w:fldCharType="separate"/>
      </w:r>
      <w:r>
        <w:rPr>
          <w:rFonts w:hint="eastAsia" w:ascii="宋体" w:hAnsi="宋体" w:cs="宋体"/>
          <w:bCs/>
          <w:color w:val="000000"/>
          <w:sz w:val="28"/>
          <w:szCs w:val="28"/>
          <w:highlight w:val="none"/>
          <w:shd w:val="clear" w:color="auto" w:fill="auto"/>
        </w:rPr>
        <w:t>第二章  供应商须知</w:t>
      </w:r>
      <w:r>
        <w:rPr>
          <w:color w:val="000000"/>
          <w:sz w:val="28"/>
          <w:szCs w:val="28"/>
          <w:highlight w:val="none"/>
          <w:shd w:val="clear" w:color="auto" w:fill="auto"/>
        </w:rPr>
        <w:tab/>
      </w:r>
      <w:r>
        <w:rPr>
          <w:color w:val="000000"/>
          <w:sz w:val="28"/>
          <w:szCs w:val="28"/>
          <w:highlight w:val="none"/>
          <w:shd w:val="clear" w:color="auto" w:fill="auto"/>
        </w:rPr>
        <w:fldChar w:fldCharType="begin"/>
      </w:r>
      <w:r>
        <w:rPr>
          <w:color w:val="000000"/>
          <w:sz w:val="28"/>
          <w:szCs w:val="28"/>
          <w:highlight w:val="none"/>
          <w:shd w:val="clear" w:color="auto" w:fill="auto"/>
        </w:rPr>
        <w:instrText xml:space="preserve"> PAGEREF _Toc27017 \h </w:instrText>
      </w:r>
      <w:r>
        <w:rPr>
          <w:color w:val="000000"/>
          <w:sz w:val="28"/>
          <w:szCs w:val="28"/>
          <w:highlight w:val="none"/>
          <w:shd w:val="clear" w:color="auto" w:fill="auto"/>
        </w:rPr>
        <w:fldChar w:fldCharType="separate"/>
      </w:r>
      <w:r>
        <w:rPr>
          <w:color w:val="000000"/>
          <w:sz w:val="28"/>
          <w:szCs w:val="28"/>
          <w:highlight w:val="none"/>
          <w:shd w:val="clear" w:color="auto" w:fill="auto"/>
        </w:rPr>
        <w:t>4</w:t>
      </w:r>
      <w:r>
        <w:rPr>
          <w:color w:val="000000"/>
          <w:sz w:val="28"/>
          <w:szCs w:val="28"/>
          <w:highlight w:val="none"/>
          <w:shd w:val="clear" w:color="auto" w:fill="auto"/>
        </w:rPr>
        <w:fldChar w:fldCharType="end"/>
      </w:r>
      <w:r>
        <w:rPr>
          <w:color w:val="000000"/>
          <w:highlight w:val="none"/>
          <w:shd w:val="clear" w:color="auto" w:fill="auto"/>
        </w:rPr>
        <w:fldChar w:fldCharType="end"/>
      </w:r>
    </w:p>
    <w:p w14:paraId="6D73F2AC">
      <w:pPr>
        <w:pStyle w:val="26"/>
        <w:tabs>
          <w:tab w:val="right" w:leader="dot" w:pos="9746"/>
        </w:tabs>
        <w:spacing w:line="720" w:lineRule="auto"/>
        <w:rPr>
          <w:color w:val="000000"/>
          <w:sz w:val="28"/>
          <w:szCs w:val="28"/>
          <w:highlight w:val="none"/>
          <w:shd w:val="clear" w:color="auto" w:fill="auto"/>
        </w:rPr>
      </w:pPr>
      <w:r>
        <w:rPr>
          <w:color w:val="000000"/>
          <w:highlight w:val="none"/>
          <w:shd w:val="clear" w:color="auto" w:fill="auto"/>
        </w:rPr>
        <w:fldChar w:fldCharType="begin"/>
      </w:r>
      <w:r>
        <w:rPr>
          <w:color w:val="000000"/>
          <w:highlight w:val="none"/>
          <w:shd w:val="clear" w:color="auto" w:fill="auto"/>
        </w:rPr>
        <w:instrText xml:space="preserve">HYPERLINK \l "_Toc2725"</w:instrText>
      </w:r>
      <w:r>
        <w:rPr>
          <w:color w:val="000000"/>
          <w:highlight w:val="none"/>
          <w:shd w:val="clear" w:color="auto" w:fill="auto"/>
        </w:rPr>
        <w:fldChar w:fldCharType="separate"/>
      </w:r>
      <w:r>
        <w:rPr>
          <w:rFonts w:hint="eastAsia" w:ascii="宋体" w:hAnsi="宋体" w:cs="宋体"/>
          <w:bCs/>
          <w:color w:val="000000"/>
          <w:sz w:val="28"/>
          <w:szCs w:val="28"/>
          <w:highlight w:val="none"/>
          <w:shd w:val="clear" w:color="auto" w:fill="auto"/>
        </w:rPr>
        <w:t>第三章  评审办法</w:t>
      </w:r>
      <w:r>
        <w:rPr>
          <w:color w:val="000000"/>
          <w:sz w:val="28"/>
          <w:szCs w:val="28"/>
          <w:highlight w:val="none"/>
          <w:shd w:val="clear" w:color="auto" w:fill="auto"/>
        </w:rPr>
        <w:tab/>
      </w:r>
      <w:r>
        <w:rPr>
          <w:color w:val="000000"/>
          <w:sz w:val="28"/>
          <w:szCs w:val="28"/>
          <w:highlight w:val="none"/>
          <w:shd w:val="clear" w:color="auto" w:fill="auto"/>
        </w:rPr>
        <w:fldChar w:fldCharType="begin"/>
      </w:r>
      <w:r>
        <w:rPr>
          <w:color w:val="000000"/>
          <w:sz w:val="28"/>
          <w:szCs w:val="28"/>
          <w:highlight w:val="none"/>
          <w:shd w:val="clear" w:color="auto" w:fill="auto"/>
        </w:rPr>
        <w:instrText xml:space="preserve"> PAGEREF _Toc2725 \h </w:instrText>
      </w:r>
      <w:r>
        <w:rPr>
          <w:color w:val="000000"/>
          <w:sz w:val="28"/>
          <w:szCs w:val="28"/>
          <w:highlight w:val="none"/>
          <w:shd w:val="clear" w:color="auto" w:fill="auto"/>
        </w:rPr>
        <w:fldChar w:fldCharType="separate"/>
      </w:r>
      <w:r>
        <w:rPr>
          <w:color w:val="000000"/>
          <w:sz w:val="28"/>
          <w:szCs w:val="28"/>
          <w:highlight w:val="none"/>
          <w:shd w:val="clear" w:color="auto" w:fill="auto"/>
        </w:rPr>
        <w:t>21</w:t>
      </w:r>
      <w:r>
        <w:rPr>
          <w:color w:val="000000"/>
          <w:sz w:val="28"/>
          <w:szCs w:val="28"/>
          <w:highlight w:val="none"/>
          <w:shd w:val="clear" w:color="auto" w:fill="auto"/>
        </w:rPr>
        <w:fldChar w:fldCharType="end"/>
      </w:r>
      <w:r>
        <w:rPr>
          <w:color w:val="000000"/>
          <w:highlight w:val="none"/>
          <w:shd w:val="clear" w:color="auto" w:fill="auto"/>
        </w:rPr>
        <w:fldChar w:fldCharType="end"/>
      </w:r>
    </w:p>
    <w:p w14:paraId="572111EB">
      <w:pPr>
        <w:pStyle w:val="26"/>
        <w:tabs>
          <w:tab w:val="right" w:leader="dot" w:pos="9746"/>
        </w:tabs>
        <w:spacing w:line="720" w:lineRule="auto"/>
        <w:rPr>
          <w:color w:val="000000"/>
          <w:sz w:val="28"/>
          <w:szCs w:val="28"/>
          <w:highlight w:val="none"/>
          <w:shd w:val="clear" w:color="auto" w:fill="auto"/>
        </w:rPr>
      </w:pPr>
      <w:r>
        <w:rPr>
          <w:color w:val="000000"/>
          <w:highlight w:val="none"/>
          <w:shd w:val="clear" w:color="auto" w:fill="auto"/>
        </w:rPr>
        <w:fldChar w:fldCharType="begin"/>
      </w:r>
      <w:r>
        <w:rPr>
          <w:color w:val="000000"/>
          <w:highlight w:val="none"/>
          <w:shd w:val="clear" w:color="auto" w:fill="auto"/>
        </w:rPr>
        <w:instrText xml:space="preserve">HYPERLINK \l "_Toc10473"</w:instrText>
      </w:r>
      <w:r>
        <w:rPr>
          <w:color w:val="000000"/>
          <w:highlight w:val="none"/>
          <w:shd w:val="clear" w:color="auto" w:fill="auto"/>
        </w:rPr>
        <w:fldChar w:fldCharType="separate"/>
      </w:r>
      <w:r>
        <w:rPr>
          <w:rFonts w:hint="eastAsia" w:ascii="宋体" w:hAnsi="宋体" w:cs="宋体"/>
          <w:color w:val="000000"/>
          <w:sz w:val="28"/>
          <w:szCs w:val="28"/>
          <w:highlight w:val="none"/>
          <w:shd w:val="clear" w:color="auto" w:fill="auto"/>
        </w:rPr>
        <w:t>第四章  合同条款及格式</w:t>
      </w:r>
      <w:r>
        <w:rPr>
          <w:color w:val="000000"/>
          <w:sz w:val="28"/>
          <w:szCs w:val="28"/>
          <w:highlight w:val="none"/>
          <w:shd w:val="clear" w:color="auto" w:fill="auto"/>
        </w:rPr>
        <w:tab/>
      </w:r>
      <w:r>
        <w:rPr>
          <w:color w:val="000000"/>
          <w:sz w:val="28"/>
          <w:szCs w:val="28"/>
          <w:highlight w:val="none"/>
          <w:shd w:val="clear" w:color="auto" w:fill="auto"/>
        </w:rPr>
        <w:fldChar w:fldCharType="begin"/>
      </w:r>
      <w:r>
        <w:rPr>
          <w:color w:val="000000"/>
          <w:sz w:val="28"/>
          <w:szCs w:val="28"/>
          <w:highlight w:val="none"/>
          <w:shd w:val="clear" w:color="auto" w:fill="auto"/>
        </w:rPr>
        <w:instrText xml:space="preserve"> PAGEREF _Toc10473 \h </w:instrText>
      </w:r>
      <w:r>
        <w:rPr>
          <w:color w:val="000000"/>
          <w:sz w:val="28"/>
          <w:szCs w:val="28"/>
          <w:highlight w:val="none"/>
          <w:shd w:val="clear" w:color="auto" w:fill="auto"/>
        </w:rPr>
        <w:fldChar w:fldCharType="separate"/>
      </w:r>
      <w:r>
        <w:rPr>
          <w:color w:val="000000"/>
          <w:sz w:val="28"/>
          <w:szCs w:val="28"/>
          <w:highlight w:val="none"/>
          <w:shd w:val="clear" w:color="auto" w:fill="auto"/>
        </w:rPr>
        <w:t>27</w:t>
      </w:r>
      <w:r>
        <w:rPr>
          <w:color w:val="000000"/>
          <w:sz w:val="28"/>
          <w:szCs w:val="28"/>
          <w:highlight w:val="none"/>
          <w:shd w:val="clear" w:color="auto" w:fill="auto"/>
        </w:rPr>
        <w:fldChar w:fldCharType="end"/>
      </w:r>
      <w:r>
        <w:rPr>
          <w:color w:val="000000"/>
          <w:highlight w:val="none"/>
          <w:shd w:val="clear" w:color="auto" w:fill="auto"/>
        </w:rPr>
        <w:fldChar w:fldCharType="end"/>
      </w:r>
    </w:p>
    <w:p w14:paraId="6E47E443">
      <w:pPr>
        <w:pStyle w:val="26"/>
        <w:tabs>
          <w:tab w:val="right" w:leader="dot" w:pos="9746"/>
        </w:tabs>
        <w:spacing w:line="720" w:lineRule="auto"/>
        <w:rPr>
          <w:color w:val="000000"/>
          <w:sz w:val="28"/>
          <w:szCs w:val="28"/>
          <w:highlight w:val="none"/>
          <w:shd w:val="clear" w:color="auto" w:fill="auto"/>
        </w:rPr>
      </w:pPr>
      <w:r>
        <w:rPr>
          <w:color w:val="000000"/>
          <w:highlight w:val="none"/>
          <w:shd w:val="clear" w:color="auto" w:fill="auto"/>
        </w:rPr>
        <w:fldChar w:fldCharType="begin"/>
      </w:r>
      <w:r>
        <w:rPr>
          <w:color w:val="000000"/>
          <w:highlight w:val="none"/>
          <w:shd w:val="clear" w:color="auto" w:fill="auto"/>
        </w:rPr>
        <w:instrText xml:space="preserve">HYPERLINK \l "_Toc30015"</w:instrText>
      </w:r>
      <w:r>
        <w:rPr>
          <w:color w:val="000000"/>
          <w:highlight w:val="none"/>
          <w:shd w:val="clear" w:color="auto" w:fill="auto"/>
        </w:rPr>
        <w:fldChar w:fldCharType="separate"/>
      </w:r>
      <w:r>
        <w:rPr>
          <w:rFonts w:hint="eastAsia" w:ascii="宋体" w:hAnsi="宋体" w:cs="宋体"/>
          <w:color w:val="000000"/>
          <w:sz w:val="28"/>
          <w:szCs w:val="28"/>
          <w:highlight w:val="none"/>
          <w:shd w:val="clear" w:color="auto" w:fill="auto"/>
        </w:rPr>
        <w:t>第五章  工程量清单</w:t>
      </w:r>
      <w:r>
        <w:rPr>
          <w:color w:val="000000"/>
          <w:sz w:val="28"/>
          <w:szCs w:val="28"/>
          <w:highlight w:val="none"/>
          <w:shd w:val="clear" w:color="auto" w:fill="auto"/>
        </w:rPr>
        <w:tab/>
      </w:r>
      <w:r>
        <w:rPr>
          <w:color w:val="000000"/>
          <w:sz w:val="28"/>
          <w:szCs w:val="28"/>
          <w:highlight w:val="none"/>
          <w:shd w:val="clear" w:color="auto" w:fill="auto"/>
        </w:rPr>
        <w:fldChar w:fldCharType="begin"/>
      </w:r>
      <w:r>
        <w:rPr>
          <w:color w:val="000000"/>
          <w:sz w:val="28"/>
          <w:szCs w:val="28"/>
          <w:highlight w:val="none"/>
          <w:shd w:val="clear" w:color="auto" w:fill="auto"/>
        </w:rPr>
        <w:instrText xml:space="preserve"> PAGEREF _Toc30015 \h </w:instrText>
      </w:r>
      <w:r>
        <w:rPr>
          <w:color w:val="000000"/>
          <w:sz w:val="28"/>
          <w:szCs w:val="28"/>
          <w:highlight w:val="none"/>
          <w:shd w:val="clear" w:color="auto" w:fill="auto"/>
        </w:rPr>
        <w:fldChar w:fldCharType="separate"/>
      </w:r>
      <w:r>
        <w:rPr>
          <w:color w:val="000000"/>
          <w:sz w:val="28"/>
          <w:szCs w:val="28"/>
          <w:highlight w:val="none"/>
          <w:shd w:val="clear" w:color="auto" w:fill="auto"/>
        </w:rPr>
        <w:t>59</w:t>
      </w:r>
      <w:r>
        <w:rPr>
          <w:color w:val="000000"/>
          <w:sz w:val="28"/>
          <w:szCs w:val="28"/>
          <w:highlight w:val="none"/>
          <w:shd w:val="clear" w:color="auto" w:fill="auto"/>
        </w:rPr>
        <w:fldChar w:fldCharType="end"/>
      </w:r>
      <w:r>
        <w:rPr>
          <w:color w:val="000000"/>
          <w:highlight w:val="none"/>
          <w:shd w:val="clear" w:color="auto" w:fill="auto"/>
        </w:rPr>
        <w:fldChar w:fldCharType="end"/>
      </w:r>
    </w:p>
    <w:p w14:paraId="71AC9ED0">
      <w:pPr>
        <w:pStyle w:val="26"/>
        <w:tabs>
          <w:tab w:val="right" w:leader="dot" w:pos="9746"/>
        </w:tabs>
        <w:spacing w:line="720" w:lineRule="auto"/>
        <w:rPr>
          <w:color w:val="000000"/>
          <w:sz w:val="28"/>
          <w:szCs w:val="28"/>
          <w:highlight w:val="none"/>
          <w:shd w:val="clear" w:color="auto" w:fill="auto"/>
        </w:rPr>
      </w:pPr>
      <w:r>
        <w:rPr>
          <w:color w:val="000000"/>
          <w:highlight w:val="none"/>
          <w:shd w:val="clear" w:color="auto" w:fill="auto"/>
        </w:rPr>
        <w:fldChar w:fldCharType="begin"/>
      </w:r>
      <w:r>
        <w:rPr>
          <w:color w:val="000000"/>
          <w:highlight w:val="none"/>
          <w:shd w:val="clear" w:color="auto" w:fill="auto"/>
        </w:rPr>
        <w:instrText xml:space="preserve">HYPERLINK \l "_Toc22282"</w:instrText>
      </w:r>
      <w:r>
        <w:rPr>
          <w:color w:val="000000"/>
          <w:highlight w:val="none"/>
          <w:shd w:val="clear" w:color="auto" w:fill="auto"/>
        </w:rPr>
        <w:fldChar w:fldCharType="separate"/>
      </w:r>
      <w:r>
        <w:rPr>
          <w:rFonts w:hint="eastAsia" w:ascii="宋体" w:hAnsi="宋体" w:cs="宋体"/>
          <w:color w:val="000000"/>
          <w:kern w:val="0"/>
          <w:sz w:val="28"/>
          <w:szCs w:val="28"/>
          <w:highlight w:val="none"/>
          <w:shd w:val="clear" w:color="auto" w:fill="auto"/>
        </w:rPr>
        <w:t>第六章  技术标准</w:t>
      </w:r>
      <w:r>
        <w:rPr>
          <w:color w:val="000000"/>
          <w:sz w:val="28"/>
          <w:szCs w:val="28"/>
          <w:highlight w:val="none"/>
          <w:shd w:val="clear" w:color="auto" w:fill="auto"/>
        </w:rPr>
        <w:tab/>
      </w:r>
      <w:r>
        <w:rPr>
          <w:color w:val="000000"/>
          <w:sz w:val="28"/>
          <w:szCs w:val="28"/>
          <w:highlight w:val="none"/>
          <w:shd w:val="clear" w:color="auto" w:fill="auto"/>
        </w:rPr>
        <w:fldChar w:fldCharType="begin"/>
      </w:r>
      <w:r>
        <w:rPr>
          <w:color w:val="000000"/>
          <w:sz w:val="28"/>
          <w:szCs w:val="28"/>
          <w:highlight w:val="none"/>
          <w:shd w:val="clear" w:color="auto" w:fill="auto"/>
        </w:rPr>
        <w:instrText xml:space="preserve"> PAGEREF _Toc22282 \h </w:instrText>
      </w:r>
      <w:r>
        <w:rPr>
          <w:color w:val="000000"/>
          <w:sz w:val="28"/>
          <w:szCs w:val="28"/>
          <w:highlight w:val="none"/>
          <w:shd w:val="clear" w:color="auto" w:fill="auto"/>
        </w:rPr>
        <w:fldChar w:fldCharType="separate"/>
      </w:r>
      <w:r>
        <w:rPr>
          <w:color w:val="000000"/>
          <w:sz w:val="28"/>
          <w:szCs w:val="28"/>
          <w:highlight w:val="none"/>
          <w:shd w:val="clear" w:color="auto" w:fill="auto"/>
        </w:rPr>
        <w:t>60</w:t>
      </w:r>
      <w:r>
        <w:rPr>
          <w:color w:val="000000"/>
          <w:sz w:val="28"/>
          <w:szCs w:val="28"/>
          <w:highlight w:val="none"/>
          <w:shd w:val="clear" w:color="auto" w:fill="auto"/>
        </w:rPr>
        <w:fldChar w:fldCharType="end"/>
      </w:r>
      <w:r>
        <w:rPr>
          <w:color w:val="000000"/>
          <w:highlight w:val="none"/>
          <w:shd w:val="clear" w:color="auto" w:fill="auto"/>
        </w:rPr>
        <w:fldChar w:fldCharType="end"/>
      </w:r>
    </w:p>
    <w:p w14:paraId="319A28EB">
      <w:pPr>
        <w:pStyle w:val="26"/>
        <w:tabs>
          <w:tab w:val="right" w:leader="dot" w:pos="9746"/>
        </w:tabs>
        <w:spacing w:line="720" w:lineRule="auto"/>
        <w:rPr>
          <w:color w:val="000000"/>
          <w:sz w:val="28"/>
          <w:szCs w:val="28"/>
          <w:highlight w:val="none"/>
          <w:shd w:val="clear" w:color="auto" w:fill="auto"/>
        </w:rPr>
      </w:pPr>
      <w:r>
        <w:rPr>
          <w:color w:val="000000"/>
          <w:highlight w:val="none"/>
          <w:shd w:val="clear" w:color="auto" w:fill="auto"/>
        </w:rPr>
        <w:fldChar w:fldCharType="begin"/>
      </w:r>
      <w:r>
        <w:rPr>
          <w:color w:val="000000"/>
          <w:highlight w:val="none"/>
          <w:shd w:val="clear" w:color="auto" w:fill="auto"/>
        </w:rPr>
        <w:instrText xml:space="preserve">HYPERLINK \l "_Toc26804"</w:instrText>
      </w:r>
      <w:r>
        <w:rPr>
          <w:color w:val="000000"/>
          <w:highlight w:val="none"/>
          <w:shd w:val="clear" w:color="auto" w:fill="auto"/>
        </w:rPr>
        <w:fldChar w:fldCharType="separate"/>
      </w:r>
      <w:r>
        <w:rPr>
          <w:rFonts w:hint="eastAsia" w:ascii="宋体" w:hAnsi="宋体" w:cs="宋体"/>
          <w:color w:val="000000"/>
          <w:kern w:val="0"/>
          <w:sz w:val="28"/>
          <w:szCs w:val="28"/>
          <w:highlight w:val="none"/>
          <w:shd w:val="clear" w:color="auto" w:fill="auto"/>
        </w:rPr>
        <w:t>第七章  图纸</w:t>
      </w:r>
      <w:r>
        <w:rPr>
          <w:color w:val="000000"/>
          <w:sz w:val="28"/>
          <w:szCs w:val="28"/>
          <w:highlight w:val="none"/>
          <w:shd w:val="clear" w:color="auto" w:fill="auto"/>
        </w:rPr>
        <w:tab/>
      </w:r>
      <w:r>
        <w:rPr>
          <w:color w:val="000000"/>
          <w:sz w:val="28"/>
          <w:szCs w:val="28"/>
          <w:highlight w:val="none"/>
          <w:shd w:val="clear" w:color="auto" w:fill="auto"/>
        </w:rPr>
        <w:fldChar w:fldCharType="begin"/>
      </w:r>
      <w:r>
        <w:rPr>
          <w:color w:val="000000"/>
          <w:sz w:val="28"/>
          <w:szCs w:val="28"/>
          <w:highlight w:val="none"/>
          <w:shd w:val="clear" w:color="auto" w:fill="auto"/>
        </w:rPr>
        <w:instrText xml:space="preserve"> PAGEREF _Toc26804 \h </w:instrText>
      </w:r>
      <w:r>
        <w:rPr>
          <w:color w:val="000000"/>
          <w:sz w:val="28"/>
          <w:szCs w:val="28"/>
          <w:highlight w:val="none"/>
          <w:shd w:val="clear" w:color="auto" w:fill="auto"/>
        </w:rPr>
        <w:fldChar w:fldCharType="separate"/>
      </w:r>
      <w:r>
        <w:rPr>
          <w:color w:val="000000"/>
          <w:sz w:val="28"/>
          <w:szCs w:val="28"/>
          <w:highlight w:val="none"/>
          <w:shd w:val="clear" w:color="auto" w:fill="auto"/>
        </w:rPr>
        <w:t>61</w:t>
      </w:r>
      <w:r>
        <w:rPr>
          <w:color w:val="000000"/>
          <w:sz w:val="28"/>
          <w:szCs w:val="28"/>
          <w:highlight w:val="none"/>
          <w:shd w:val="clear" w:color="auto" w:fill="auto"/>
        </w:rPr>
        <w:fldChar w:fldCharType="end"/>
      </w:r>
      <w:r>
        <w:rPr>
          <w:color w:val="000000"/>
          <w:highlight w:val="none"/>
          <w:shd w:val="clear" w:color="auto" w:fill="auto"/>
        </w:rPr>
        <w:fldChar w:fldCharType="end"/>
      </w:r>
    </w:p>
    <w:p w14:paraId="7C47A6EA">
      <w:pPr>
        <w:pStyle w:val="26"/>
        <w:tabs>
          <w:tab w:val="right" w:leader="dot" w:pos="9746"/>
        </w:tabs>
        <w:spacing w:line="720" w:lineRule="auto"/>
        <w:rPr>
          <w:color w:val="000000"/>
          <w:highlight w:val="none"/>
          <w:shd w:val="clear" w:color="auto" w:fill="auto"/>
        </w:rPr>
      </w:pPr>
      <w:r>
        <w:rPr>
          <w:color w:val="000000"/>
          <w:highlight w:val="none"/>
          <w:shd w:val="clear" w:color="auto" w:fill="auto"/>
        </w:rPr>
        <w:fldChar w:fldCharType="begin"/>
      </w:r>
      <w:r>
        <w:rPr>
          <w:color w:val="000000"/>
          <w:highlight w:val="none"/>
          <w:shd w:val="clear" w:color="auto" w:fill="auto"/>
        </w:rPr>
        <w:instrText xml:space="preserve">HYPERLINK \l "_Toc11330"</w:instrText>
      </w:r>
      <w:r>
        <w:rPr>
          <w:color w:val="000000"/>
          <w:highlight w:val="none"/>
          <w:shd w:val="clear" w:color="auto" w:fill="auto"/>
        </w:rPr>
        <w:fldChar w:fldCharType="separate"/>
      </w:r>
      <w:r>
        <w:rPr>
          <w:rFonts w:hint="eastAsia" w:ascii="宋体" w:hAnsi="宋体" w:cs="宋体"/>
          <w:color w:val="000000"/>
          <w:kern w:val="0"/>
          <w:sz w:val="28"/>
          <w:szCs w:val="28"/>
          <w:highlight w:val="none"/>
          <w:shd w:val="clear" w:color="auto" w:fill="auto"/>
        </w:rPr>
        <w:t>第八章  响应文件格式</w:t>
      </w:r>
      <w:r>
        <w:rPr>
          <w:color w:val="000000"/>
          <w:sz w:val="28"/>
          <w:szCs w:val="28"/>
          <w:highlight w:val="none"/>
          <w:shd w:val="clear" w:color="auto" w:fill="auto"/>
        </w:rPr>
        <w:tab/>
      </w:r>
      <w:r>
        <w:rPr>
          <w:color w:val="000000"/>
          <w:sz w:val="28"/>
          <w:szCs w:val="28"/>
          <w:highlight w:val="none"/>
          <w:shd w:val="clear" w:color="auto" w:fill="auto"/>
        </w:rPr>
        <w:fldChar w:fldCharType="begin"/>
      </w:r>
      <w:r>
        <w:rPr>
          <w:color w:val="000000"/>
          <w:sz w:val="28"/>
          <w:szCs w:val="28"/>
          <w:highlight w:val="none"/>
          <w:shd w:val="clear" w:color="auto" w:fill="auto"/>
        </w:rPr>
        <w:instrText xml:space="preserve"> PAGEREF _Toc11330 \h </w:instrText>
      </w:r>
      <w:r>
        <w:rPr>
          <w:color w:val="000000"/>
          <w:sz w:val="28"/>
          <w:szCs w:val="28"/>
          <w:highlight w:val="none"/>
          <w:shd w:val="clear" w:color="auto" w:fill="auto"/>
        </w:rPr>
        <w:fldChar w:fldCharType="separate"/>
      </w:r>
      <w:r>
        <w:rPr>
          <w:color w:val="000000"/>
          <w:sz w:val="28"/>
          <w:szCs w:val="28"/>
          <w:highlight w:val="none"/>
          <w:shd w:val="clear" w:color="auto" w:fill="auto"/>
        </w:rPr>
        <w:t>62</w:t>
      </w:r>
      <w:r>
        <w:rPr>
          <w:color w:val="000000"/>
          <w:sz w:val="28"/>
          <w:szCs w:val="28"/>
          <w:highlight w:val="none"/>
          <w:shd w:val="clear" w:color="auto" w:fill="auto"/>
        </w:rPr>
        <w:fldChar w:fldCharType="end"/>
      </w:r>
      <w:r>
        <w:rPr>
          <w:color w:val="000000"/>
          <w:highlight w:val="none"/>
          <w:shd w:val="clear" w:color="auto" w:fill="auto"/>
        </w:rPr>
        <w:fldChar w:fldCharType="end"/>
      </w:r>
    </w:p>
    <w:p w14:paraId="48F775FE">
      <w:pPr>
        <w:spacing w:line="720" w:lineRule="auto"/>
        <w:jc w:val="center"/>
        <w:rPr>
          <w:rFonts w:ascii="宋体" w:hAnsi="宋体" w:cs="宋体"/>
          <w:b/>
          <w:bCs/>
          <w:color w:val="000000"/>
          <w:sz w:val="32"/>
          <w:szCs w:val="32"/>
          <w:highlight w:val="none"/>
          <w:shd w:val="clear" w:color="auto" w:fill="auto"/>
        </w:rPr>
      </w:pPr>
      <w:r>
        <w:rPr>
          <w:rFonts w:ascii="宋体" w:hAnsi="宋体" w:cs="宋体"/>
          <w:bCs/>
          <w:color w:val="000000"/>
          <w:szCs w:val="32"/>
          <w:highlight w:val="none"/>
          <w:shd w:val="clear" w:color="auto" w:fill="auto"/>
        </w:rPr>
        <w:fldChar w:fldCharType="end"/>
      </w:r>
    </w:p>
    <w:p w14:paraId="3CA74B81">
      <w:pPr>
        <w:spacing w:line="460" w:lineRule="exact"/>
        <w:jc w:val="center"/>
        <w:rPr>
          <w:rFonts w:ascii="宋体" w:hAnsi="宋体" w:cs="宋体"/>
          <w:b/>
          <w:bCs/>
          <w:color w:val="000000"/>
          <w:sz w:val="32"/>
          <w:szCs w:val="32"/>
          <w:highlight w:val="none"/>
          <w:shd w:val="clear" w:color="auto" w:fill="auto"/>
        </w:rPr>
        <w:sectPr>
          <w:pgSz w:w="11906" w:h="16838"/>
          <w:pgMar w:top="1440" w:right="1080" w:bottom="1440" w:left="1080" w:header="851" w:footer="992" w:gutter="0"/>
          <w:pgBorders>
            <w:top w:val="none" w:sz="0" w:space="0"/>
            <w:left w:val="none" w:sz="0" w:space="0"/>
            <w:bottom w:val="none" w:sz="0" w:space="0"/>
            <w:right w:val="none" w:sz="0" w:space="0"/>
          </w:pgBorders>
          <w:pgNumType w:start="1"/>
          <w:cols w:space="720" w:num="1"/>
          <w:docGrid w:type="linesAndChars" w:linePitch="312" w:charSpace="0"/>
        </w:sectPr>
      </w:pPr>
    </w:p>
    <w:p w14:paraId="66586C9F">
      <w:pPr>
        <w:spacing w:line="460" w:lineRule="exact"/>
        <w:jc w:val="center"/>
        <w:outlineLvl w:val="0"/>
        <w:rPr>
          <w:rFonts w:ascii="宋体" w:hAnsi="宋体" w:cs="宋体"/>
          <w:b/>
          <w:bCs/>
          <w:color w:val="000000"/>
          <w:sz w:val="32"/>
          <w:szCs w:val="32"/>
          <w:highlight w:val="none"/>
          <w:shd w:val="clear" w:color="auto" w:fill="auto"/>
        </w:rPr>
      </w:pPr>
      <w:bookmarkStart w:id="2" w:name="_Toc28359011"/>
      <w:bookmarkStart w:id="3" w:name="_Toc1521"/>
      <w:bookmarkStart w:id="4" w:name="_Toc26809"/>
      <w:bookmarkStart w:id="5" w:name="_Toc35393797"/>
      <w:bookmarkStart w:id="6" w:name="_Toc32295"/>
      <w:bookmarkStart w:id="7" w:name="_Toc29698"/>
      <w:bookmarkStart w:id="8" w:name="_Toc30170"/>
      <w:r>
        <w:rPr>
          <w:rFonts w:hint="eastAsia" w:ascii="宋体" w:hAnsi="宋体" w:cs="宋体"/>
          <w:b/>
          <w:bCs/>
          <w:color w:val="000000"/>
          <w:sz w:val="32"/>
          <w:szCs w:val="32"/>
          <w:highlight w:val="none"/>
          <w:shd w:val="clear" w:color="auto" w:fill="auto"/>
        </w:rPr>
        <w:t>第一章  竞争性磋商公告</w:t>
      </w:r>
      <w:bookmarkEnd w:id="2"/>
      <w:bookmarkEnd w:id="3"/>
      <w:bookmarkEnd w:id="4"/>
      <w:bookmarkEnd w:id="5"/>
      <w:bookmarkEnd w:id="6"/>
      <w:bookmarkEnd w:id="7"/>
      <w:bookmarkEnd w:id="8"/>
    </w:p>
    <w:tbl>
      <w:tblPr>
        <w:tblStyle w:val="34"/>
        <w:tblpPr w:leftFromText="180" w:rightFromText="180" w:vertAnchor="text" w:tblpX="70" w:tblpY="1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0"/>
      </w:tblGrid>
      <w:tr w14:paraId="41DAE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20" w:type="dxa"/>
            <w:noWrap w:val="0"/>
            <w:vAlign w:val="top"/>
          </w:tcPr>
          <w:p w14:paraId="178B48FD">
            <w:pPr>
              <w:keepNext w:val="0"/>
              <w:keepLines w:val="0"/>
              <w:pageBreakBefore w:val="0"/>
              <w:kinsoku/>
              <w:wordWrap/>
              <w:overflowPunct/>
              <w:topLinePunct w:val="0"/>
              <w:bidi w:val="0"/>
              <w:spacing w:line="360" w:lineRule="auto"/>
              <w:ind w:firstLine="422" w:firstLineChars="200"/>
              <w:rPr>
                <w:rFonts w:hint="eastAsia" w:ascii="宋体" w:hAnsi="宋体" w:eastAsia="宋体" w:cs="宋体"/>
                <w:b/>
                <w:bCs/>
                <w:color w:val="000000"/>
                <w:sz w:val="21"/>
                <w:szCs w:val="21"/>
                <w:highlight w:val="none"/>
                <w:shd w:val="clear" w:color="auto" w:fill="auto"/>
              </w:rPr>
            </w:pPr>
            <w:r>
              <w:rPr>
                <w:rFonts w:hint="eastAsia" w:ascii="宋体" w:hAnsi="宋体" w:eastAsia="宋体" w:cs="宋体"/>
                <w:b/>
                <w:bCs/>
                <w:color w:val="000000"/>
                <w:sz w:val="21"/>
                <w:szCs w:val="21"/>
                <w:highlight w:val="none"/>
                <w:shd w:val="clear" w:color="auto" w:fill="auto"/>
              </w:rPr>
              <w:t>项目概况</w:t>
            </w:r>
          </w:p>
          <w:p w14:paraId="7A738894">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u w:val="single"/>
                <w:lang w:eastAsia="zh-CN"/>
              </w:rPr>
              <w:t>兴安县第三小学校园维修改造提升工程项目</w:t>
            </w:r>
            <w:r>
              <w:rPr>
                <w:rFonts w:hint="eastAsia" w:ascii="宋体" w:hAnsi="宋体" w:eastAsia="宋体" w:cs="宋体"/>
                <w:color w:val="000000"/>
                <w:sz w:val="21"/>
                <w:szCs w:val="21"/>
                <w:highlight w:val="none"/>
                <w:shd w:val="clear" w:color="auto" w:fill="auto"/>
              </w:rPr>
              <w:t>的潜在供应商应</w:t>
            </w:r>
            <w:r>
              <w:rPr>
                <w:rFonts w:hint="eastAsia" w:ascii="宋体" w:hAnsi="宋体" w:eastAsia="宋体" w:cs="宋体"/>
                <w:color w:val="000000"/>
                <w:sz w:val="21"/>
                <w:szCs w:val="21"/>
                <w:highlight w:val="none"/>
                <w:shd w:val="clear" w:color="auto" w:fill="auto"/>
                <w:lang w:val="en-US" w:eastAsia="zh-CN"/>
              </w:rPr>
              <w:t>在</w:t>
            </w:r>
            <w:r>
              <w:rPr>
                <w:rFonts w:hint="eastAsia" w:ascii="宋体" w:hAnsi="宋体" w:eastAsia="宋体" w:cs="宋体"/>
                <w:color w:val="000000"/>
                <w:sz w:val="21"/>
                <w:szCs w:val="21"/>
                <w:highlight w:val="none"/>
                <w:shd w:val="clear" w:color="auto" w:fill="auto"/>
                <w:lang w:eastAsia="zh-CN"/>
              </w:rPr>
              <w:t>广西政府采购云平台</w:t>
            </w:r>
            <w:r>
              <w:rPr>
                <w:rFonts w:hint="eastAsia" w:ascii="宋体" w:hAnsi="宋体" w:eastAsia="宋体" w:cs="宋体"/>
                <w:color w:val="000000"/>
                <w:sz w:val="21"/>
                <w:szCs w:val="21"/>
                <w:highlight w:val="none"/>
                <w:shd w:val="clear" w:color="auto" w:fill="auto"/>
              </w:rPr>
              <w:t>获取采购文件，</w:t>
            </w:r>
            <w:r>
              <w:rPr>
                <w:rFonts w:hint="eastAsia" w:ascii="宋体" w:hAnsi="宋体" w:eastAsia="宋体" w:cs="宋体"/>
                <w:color w:val="000000"/>
                <w:sz w:val="21"/>
                <w:szCs w:val="21"/>
                <w:highlight w:val="none"/>
                <w:shd w:val="clear" w:color="auto" w:fill="auto"/>
                <w:lang w:val="en-US" w:eastAsia="zh-CN"/>
              </w:rPr>
              <w:t>并于2025年</w:t>
            </w:r>
            <w:r>
              <w:rPr>
                <w:rFonts w:hint="eastAsia" w:ascii="宋体" w:hAnsi="宋体" w:cs="宋体"/>
                <w:color w:val="000000"/>
                <w:sz w:val="21"/>
                <w:szCs w:val="21"/>
                <w:highlight w:val="none"/>
                <w:shd w:val="clear" w:color="auto" w:fill="auto"/>
                <w:lang w:val="en-US" w:eastAsia="zh-CN"/>
              </w:rPr>
              <w:t>07月11日</w:t>
            </w:r>
            <w:r>
              <w:rPr>
                <w:rFonts w:hint="eastAsia" w:ascii="宋体" w:hAnsi="宋体" w:eastAsia="宋体" w:cs="宋体"/>
                <w:color w:val="000000"/>
                <w:sz w:val="21"/>
                <w:szCs w:val="21"/>
                <w:highlight w:val="none"/>
                <w:shd w:val="clear" w:color="auto" w:fill="auto"/>
                <w:lang w:val="en-US" w:eastAsia="zh-CN"/>
              </w:rPr>
              <w:t>09</w:t>
            </w:r>
            <w:r>
              <w:rPr>
                <w:rFonts w:hint="eastAsia" w:ascii="宋体" w:hAnsi="宋体" w:eastAsia="宋体" w:cs="宋体"/>
                <w:color w:val="000000"/>
                <w:sz w:val="21"/>
                <w:szCs w:val="21"/>
                <w:highlight w:val="none"/>
                <w:shd w:val="clear" w:color="auto" w:fill="auto"/>
              </w:rPr>
              <w:t>时30分（北京时间）前递交投标文件。</w:t>
            </w:r>
          </w:p>
        </w:tc>
      </w:tr>
    </w:tbl>
    <w:p w14:paraId="2119CC40">
      <w:pPr>
        <w:keepNext w:val="0"/>
        <w:keepLines w:val="0"/>
        <w:pageBreakBefore w:val="0"/>
        <w:kinsoku/>
        <w:wordWrap/>
        <w:overflowPunct/>
        <w:topLinePunct w:val="0"/>
        <w:bidi w:val="0"/>
        <w:spacing w:line="380" w:lineRule="exact"/>
        <w:ind w:left="0" w:right="0"/>
        <w:jc w:val="both"/>
        <w:outlineLvl w:val="1"/>
        <w:rPr>
          <w:rFonts w:hint="eastAsia" w:ascii="宋体" w:hAnsi="宋体" w:eastAsia="宋体" w:cs="宋体"/>
          <w:color w:val="000000"/>
          <w:sz w:val="21"/>
          <w:szCs w:val="21"/>
          <w:highlight w:val="none"/>
          <w:shd w:val="clear" w:color="auto" w:fill="auto"/>
        </w:rPr>
      </w:pPr>
      <w:bookmarkStart w:id="9" w:name="_Toc18337"/>
      <w:bookmarkStart w:id="10" w:name="_Toc35393798"/>
      <w:bookmarkStart w:id="11" w:name="_Toc28359089"/>
      <w:bookmarkStart w:id="12" w:name="_Toc35393629"/>
      <w:bookmarkStart w:id="13" w:name="_Toc28359012"/>
      <w:bookmarkStart w:id="14" w:name="_Toc16171"/>
      <w:r>
        <w:rPr>
          <w:rFonts w:hint="eastAsia" w:ascii="宋体" w:hAnsi="宋体" w:eastAsia="宋体" w:cs="宋体"/>
          <w:b/>
          <w:bCs/>
          <w:color w:val="000000"/>
          <w:sz w:val="21"/>
          <w:szCs w:val="21"/>
          <w:highlight w:val="none"/>
          <w:shd w:val="clear" w:color="auto" w:fill="auto"/>
        </w:rPr>
        <w:t>一、项目基本情况</w:t>
      </w:r>
      <w:bookmarkEnd w:id="9"/>
      <w:bookmarkEnd w:id="10"/>
      <w:bookmarkEnd w:id="11"/>
      <w:bookmarkEnd w:id="12"/>
      <w:bookmarkEnd w:id="13"/>
      <w:bookmarkEnd w:id="14"/>
    </w:p>
    <w:p w14:paraId="46E0A6C4">
      <w:pPr>
        <w:keepNext w:val="0"/>
        <w:keepLines w:val="0"/>
        <w:pageBreakBefore w:val="0"/>
        <w:kinsoku/>
        <w:wordWrap/>
        <w:overflowPunct/>
        <w:topLinePunct w:val="0"/>
        <w:bidi w:val="0"/>
        <w:spacing w:line="380" w:lineRule="exact"/>
        <w:ind w:left="0" w:right="0" w:firstLine="420" w:firstLineChars="200"/>
        <w:jc w:val="both"/>
        <w:rPr>
          <w:rFonts w:hint="eastAsia" w:ascii="宋体" w:hAnsi="宋体" w:eastAsia="宋体" w:cs="宋体"/>
          <w:color w:val="000000"/>
          <w:sz w:val="21"/>
          <w:szCs w:val="21"/>
          <w:highlight w:val="none"/>
          <w:shd w:val="clear" w:color="auto" w:fill="auto"/>
          <w:lang w:eastAsia="zh-CN"/>
        </w:rPr>
      </w:pPr>
      <w:r>
        <w:rPr>
          <w:rFonts w:hint="eastAsia" w:ascii="宋体" w:hAnsi="宋体" w:eastAsia="宋体" w:cs="宋体"/>
          <w:color w:val="000000"/>
          <w:sz w:val="21"/>
          <w:szCs w:val="21"/>
          <w:highlight w:val="none"/>
          <w:shd w:val="clear" w:color="auto" w:fill="auto"/>
        </w:rPr>
        <w:t>1、项目编号：</w:t>
      </w:r>
      <w:r>
        <w:rPr>
          <w:rFonts w:hint="eastAsia" w:ascii="宋体" w:hAnsi="宋体" w:eastAsia="宋体" w:cs="宋体"/>
          <w:color w:val="000000"/>
          <w:sz w:val="21"/>
          <w:szCs w:val="21"/>
          <w:highlight w:val="none"/>
          <w:shd w:val="clear" w:color="auto" w:fill="auto"/>
          <w:lang w:eastAsia="zh-CN"/>
        </w:rPr>
        <w:t>GLZC2025-C2-250049-GXJZ</w:t>
      </w:r>
    </w:p>
    <w:p w14:paraId="1B80A162">
      <w:pPr>
        <w:keepNext w:val="0"/>
        <w:keepLines w:val="0"/>
        <w:pageBreakBefore w:val="0"/>
        <w:kinsoku/>
        <w:wordWrap/>
        <w:overflowPunct/>
        <w:topLinePunct w:val="0"/>
        <w:bidi w:val="0"/>
        <w:spacing w:line="380" w:lineRule="exact"/>
        <w:ind w:left="0" w:right="0" w:firstLine="420" w:firstLineChars="200"/>
        <w:jc w:val="both"/>
        <w:rPr>
          <w:rFonts w:hint="eastAsia" w:ascii="宋体" w:hAnsi="宋体" w:eastAsia="宋体" w:cs="宋体"/>
          <w:color w:val="000000"/>
          <w:sz w:val="21"/>
          <w:szCs w:val="21"/>
          <w:highlight w:val="none"/>
          <w:shd w:val="clear" w:color="auto" w:fill="auto"/>
          <w:lang w:eastAsia="zh-CN"/>
        </w:rPr>
      </w:pPr>
      <w:r>
        <w:rPr>
          <w:rFonts w:hint="eastAsia" w:ascii="宋体" w:hAnsi="宋体" w:eastAsia="宋体" w:cs="宋体"/>
          <w:color w:val="000000"/>
          <w:sz w:val="21"/>
          <w:szCs w:val="21"/>
          <w:highlight w:val="none"/>
          <w:shd w:val="clear" w:color="auto" w:fill="auto"/>
        </w:rPr>
        <w:t>2、项目名称：</w:t>
      </w:r>
      <w:r>
        <w:rPr>
          <w:rFonts w:hint="eastAsia" w:ascii="宋体" w:hAnsi="宋体" w:eastAsia="宋体" w:cs="宋体"/>
          <w:color w:val="000000"/>
          <w:sz w:val="21"/>
          <w:szCs w:val="21"/>
          <w:highlight w:val="none"/>
          <w:lang w:eastAsia="zh-CN"/>
        </w:rPr>
        <w:t>兴安县第三小学校园维修改造提升工程项目</w:t>
      </w:r>
    </w:p>
    <w:p w14:paraId="50464597">
      <w:pPr>
        <w:keepNext w:val="0"/>
        <w:keepLines w:val="0"/>
        <w:pageBreakBefore w:val="0"/>
        <w:kinsoku/>
        <w:wordWrap/>
        <w:overflowPunct/>
        <w:topLinePunct w:val="0"/>
        <w:bidi w:val="0"/>
        <w:spacing w:line="380" w:lineRule="exact"/>
        <w:ind w:left="0" w:right="0" w:firstLine="420" w:firstLineChars="200"/>
        <w:jc w:val="both"/>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3、采购方式：竞争性磋商</w:t>
      </w:r>
    </w:p>
    <w:p w14:paraId="2DB773A3">
      <w:pPr>
        <w:keepNext w:val="0"/>
        <w:keepLines w:val="0"/>
        <w:pageBreakBefore w:val="0"/>
        <w:kinsoku/>
        <w:wordWrap/>
        <w:overflowPunct/>
        <w:topLinePunct w:val="0"/>
        <w:bidi w:val="0"/>
        <w:spacing w:line="380" w:lineRule="exact"/>
        <w:ind w:left="0" w:right="0" w:firstLine="420" w:firstLineChars="200"/>
        <w:jc w:val="both"/>
        <w:outlineLvl w:val="2"/>
        <w:rPr>
          <w:rFonts w:hint="eastAsia" w:ascii="宋体" w:hAnsi="宋体" w:eastAsia="宋体" w:cs="宋体"/>
          <w:color w:val="000000"/>
          <w:kern w:val="0"/>
          <w:sz w:val="21"/>
          <w:szCs w:val="21"/>
          <w:highlight w:val="none"/>
          <w:u w:val="none"/>
          <w:shd w:val="clear" w:color="auto" w:fill="auto"/>
          <w:lang w:val="en-US" w:eastAsia="zh-CN"/>
        </w:rPr>
      </w:pPr>
      <w:bookmarkStart w:id="15" w:name="_Toc4879"/>
      <w:bookmarkStart w:id="16" w:name="_Toc15911"/>
      <w:bookmarkStart w:id="17" w:name="_Toc22142"/>
      <w:bookmarkStart w:id="18" w:name="_Toc2148"/>
      <w:bookmarkStart w:id="19" w:name="_Toc26032"/>
      <w:r>
        <w:rPr>
          <w:rFonts w:hint="eastAsia" w:ascii="宋体" w:hAnsi="宋体" w:eastAsia="宋体" w:cs="宋体"/>
          <w:color w:val="000000"/>
          <w:sz w:val="21"/>
          <w:szCs w:val="21"/>
          <w:highlight w:val="none"/>
          <w:shd w:val="clear" w:color="auto" w:fill="auto"/>
        </w:rPr>
        <w:t>4、预算金额（人民币）</w:t>
      </w:r>
      <w:r>
        <w:rPr>
          <w:rFonts w:hint="eastAsia" w:ascii="宋体" w:hAnsi="宋体" w:eastAsia="宋体" w:cs="宋体"/>
          <w:color w:val="000000"/>
          <w:kern w:val="0"/>
          <w:sz w:val="21"/>
          <w:szCs w:val="21"/>
          <w:highlight w:val="none"/>
          <w:u w:val="none"/>
          <w:shd w:val="clear" w:color="auto" w:fill="auto"/>
          <w:lang w:val="en-US" w:eastAsia="zh-CN"/>
        </w:rPr>
        <w:t>：</w:t>
      </w:r>
      <w:bookmarkEnd w:id="15"/>
      <w:bookmarkEnd w:id="16"/>
      <w:bookmarkEnd w:id="17"/>
      <w:bookmarkEnd w:id="18"/>
      <w:bookmarkEnd w:id="19"/>
      <w:r>
        <w:rPr>
          <w:rFonts w:hint="eastAsia" w:ascii="宋体" w:hAnsi="宋体" w:eastAsia="宋体" w:cs="宋体"/>
          <w:color w:val="000000"/>
          <w:kern w:val="0"/>
          <w:sz w:val="21"/>
          <w:szCs w:val="21"/>
          <w:highlight w:val="none"/>
          <w:u w:val="none"/>
          <w:shd w:val="clear" w:color="auto" w:fill="auto"/>
          <w:lang w:val="en-US" w:eastAsia="zh-CN"/>
        </w:rPr>
        <w:t>1997253.27元</w:t>
      </w:r>
    </w:p>
    <w:p w14:paraId="6FC930B1">
      <w:pPr>
        <w:keepNext w:val="0"/>
        <w:keepLines w:val="0"/>
        <w:pageBreakBefore w:val="0"/>
        <w:kinsoku/>
        <w:wordWrap/>
        <w:overflowPunct/>
        <w:topLinePunct w:val="0"/>
        <w:bidi w:val="0"/>
        <w:spacing w:line="380" w:lineRule="exact"/>
        <w:ind w:left="0" w:right="0" w:firstLine="420" w:firstLineChars="200"/>
        <w:jc w:val="both"/>
        <w:outlineLvl w:val="2"/>
        <w:rPr>
          <w:rFonts w:hint="eastAsia" w:ascii="宋体" w:hAnsi="宋体" w:eastAsia="宋体" w:cs="宋体"/>
          <w:color w:val="000000"/>
          <w:sz w:val="21"/>
          <w:szCs w:val="21"/>
          <w:highlight w:val="none"/>
          <w:shd w:val="clear" w:color="auto" w:fill="auto"/>
        </w:rPr>
      </w:pPr>
      <w:bookmarkStart w:id="20" w:name="_Toc27692"/>
      <w:bookmarkStart w:id="21" w:name="_Toc5166"/>
      <w:bookmarkStart w:id="22" w:name="_Toc4369"/>
      <w:bookmarkStart w:id="23" w:name="_Toc15341"/>
      <w:bookmarkStart w:id="24" w:name="_Toc16880"/>
      <w:r>
        <w:rPr>
          <w:rFonts w:hint="eastAsia" w:ascii="宋体" w:hAnsi="宋体" w:eastAsia="宋体" w:cs="宋体"/>
          <w:color w:val="000000"/>
          <w:sz w:val="21"/>
          <w:szCs w:val="21"/>
          <w:highlight w:val="none"/>
          <w:shd w:val="clear" w:color="auto" w:fill="auto"/>
          <w:lang w:val="en-US" w:eastAsia="zh-CN"/>
        </w:rPr>
        <w:t>5</w:t>
      </w:r>
      <w:r>
        <w:rPr>
          <w:rFonts w:hint="eastAsia" w:ascii="宋体" w:hAnsi="宋体" w:eastAsia="宋体" w:cs="宋体"/>
          <w:color w:val="000000"/>
          <w:sz w:val="21"/>
          <w:szCs w:val="21"/>
          <w:highlight w:val="none"/>
          <w:shd w:val="clear" w:color="auto" w:fill="auto"/>
        </w:rPr>
        <w:t>、采购需求：</w:t>
      </w:r>
      <w:bookmarkEnd w:id="20"/>
      <w:bookmarkEnd w:id="21"/>
      <w:bookmarkEnd w:id="22"/>
    </w:p>
    <w:bookmarkEnd w:id="23"/>
    <w:bookmarkEnd w:id="24"/>
    <w:p w14:paraId="558413C5">
      <w:pPr>
        <w:keepNext w:val="0"/>
        <w:keepLines w:val="0"/>
        <w:pageBreakBefore w:val="0"/>
        <w:kinsoku/>
        <w:wordWrap/>
        <w:overflowPunct/>
        <w:topLinePunct w:val="0"/>
        <w:bidi w:val="0"/>
        <w:spacing w:line="380" w:lineRule="exact"/>
        <w:ind w:right="0"/>
        <w:jc w:val="left"/>
        <w:rPr>
          <w:rFonts w:hint="eastAsia" w:ascii="宋体" w:hAnsi="宋体" w:eastAsia="宋体" w:cs="宋体"/>
          <w:color w:val="000000"/>
          <w:sz w:val="21"/>
          <w:szCs w:val="21"/>
          <w:highlight w:val="none"/>
          <w:shd w:val="clear" w:color="auto" w:fill="auto"/>
          <w:lang w:val="en-US" w:eastAsia="zh-CN"/>
        </w:rPr>
      </w:pPr>
      <w:bookmarkStart w:id="25" w:name="_Toc18138"/>
      <w:bookmarkStart w:id="26" w:name="_Toc5842"/>
      <w:r>
        <w:rPr>
          <w:rFonts w:hint="eastAsia" w:ascii="宋体" w:hAnsi="宋体" w:eastAsia="宋体" w:cs="宋体"/>
          <w:color w:val="000000"/>
          <w:sz w:val="21"/>
          <w:szCs w:val="21"/>
          <w:highlight w:val="none"/>
          <w:shd w:val="clear" w:color="auto" w:fill="auto"/>
          <w:lang w:val="en-US" w:eastAsia="zh-CN"/>
        </w:rPr>
        <w:t>标项名称:兴安县第三小学校园维修改造提升工程项目</w:t>
      </w:r>
    </w:p>
    <w:p w14:paraId="118E0C85">
      <w:pPr>
        <w:keepNext w:val="0"/>
        <w:keepLines w:val="0"/>
        <w:pageBreakBefore w:val="0"/>
        <w:kinsoku/>
        <w:wordWrap/>
        <w:overflowPunct/>
        <w:topLinePunct w:val="0"/>
        <w:bidi w:val="0"/>
        <w:spacing w:line="380" w:lineRule="exact"/>
        <w:ind w:right="0"/>
        <w:jc w:val="left"/>
        <w:rPr>
          <w:rFonts w:hint="eastAsia" w:ascii="宋体" w:hAnsi="宋体" w:eastAsia="宋体" w:cs="宋体"/>
          <w:color w:val="000000"/>
          <w:sz w:val="21"/>
          <w:szCs w:val="21"/>
          <w:highlight w:val="none"/>
          <w:shd w:val="clear" w:color="auto" w:fill="auto"/>
          <w:lang w:val="en-US" w:eastAsia="zh-CN"/>
        </w:rPr>
      </w:pPr>
      <w:r>
        <w:rPr>
          <w:rFonts w:hint="eastAsia" w:ascii="宋体" w:hAnsi="宋体" w:eastAsia="宋体" w:cs="宋体"/>
          <w:color w:val="000000"/>
          <w:sz w:val="21"/>
          <w:szCs w:val="21"/>
          <w:highlight w:val="none"/>
          <w:shd w:val="clear" w:color="auto" w:fill="auto"/>
          <w:lang w:val="en-US" w:eastAsia="zh-CN"/>
        </w:rPr>
        <w:t>数量:1</w:t>
      </w:r>
    </w:p>
    <w:p w14:paraId="10EC0321">
      <w:pPr>
        <w:keepNext w:val="0"/>
        <w:keepLines w:val="0"/>
        <w:pageBreakBefore w:val="0"/>
        <w:kinsoku/>
        <w:wordWrap/>
        <w:overflowPunct/>
        <w:topLinePunct w:val="0"/>
        <w:bidi w:val="0"/>
        <w:spacing w:line="380" w:lineRule="exact"/>
        <w:ind w:right="0"/>
        <w:jc w:val="left"/>
        <w:rPr>
          <w:rFonts w:hint="eastAsia" w:ascii="宋体" w:hAnsi="宋体" w:eastAsia="宋体" w:cs="宋体"/>
          <w:color w:val="000000"/>
          <w:sz w:val="21"/>
          <w:szCs w:val="21"/>
          <w:highlight w:val="none"/>
          <w:shd w:val="clear" w:color="auto" w:fill="auto"/>
          <w:lang w:val="en-US" w:eastAsia="zh-CN"/>
        </w:rPr>
      </w:pPr>
      <w:r>
        <w:rPr>
          <w:rFonts w:hint="eastAsia" w:ascii="宋体" w:hAnsi="宋体" w:eastAsia="宋体" w:cs="宋体"/>
          <w:color w:val="000000"/>
          <w:sz w:val="21"/>
          <w:szCs w:val="21"/>
          <w:highlight w:val="none"/>
          <w:shd w:val="clear" w:color="auto" w:fill="auto"/>
          <w:lang w:val="en-US" w:eastAsia="zh-CN"/>
        </w:rPr>
        <w:t>预算金额（元）:1997253.27</w:t>
      </w:r>
    </w:p>
    <w:p w14:paraId="5155B490">
      <w:pPr>
        <w:keepNext w:val="0"/>
        <w:keepLines w:val="0"/>
        <w:pageBreakBefore w:val="0"/>
        <w:kinsoku/>
        <w:wordWrap/>
        <w:overflowPunct/>
        <w:topLinePunct w:val="0"/>
        <w:bidi w:val="0"/>
        <w:spacing w:line="380" w:lineRule="exact"/>
        <w:ind w:right="0"/>
        <w:jc w:val="left"/>
        <w:rPr>
          <w:rFonts w:hint="eastAsia" w:ascii="宋体" w:hAnsi="宋体" w:eastAsia="宋体" w:cs="宋体"/>
          <w:color w:val="000000"/>
          <w:sz w:val="21"/>
          <w:szCs w:val="21"/>
          <w:highlight w:val="none"/>
          <w:shd w:val="clear" w:color="auto" w:fill="auto"/>
          <w:lang w:val="en-US" w:eastAsia="zh-CN"/>
        </w:rPr>
      </w:pPr>
      <w:r>
        <w:rPr>
          <w:rFonts w:hint="eastAsia" w:ascii="宋体" w:hAnsi="宋体" w:eastAsia="宋体" w:cs="宋体"/>
          <w:color w:val="000000"/>
          <w:sz w:val="21"/>
          <w:szCs w:val="21"/>
          <w:highlight w:val="none"/>
          <w:shd w:val="clear" w:color="auto" w:fill="auto"/>
          <w:lang w:val="en-US" w:eastAsia="zh-CN"/>
        </w:rPr>
        <w:t>简要规格描述或项目基本概况介绍、用途：具体详见竞争性磋商文件、图纸和工程量清单。本项目为兴安县第三小学校园维修改造提升工程项目，兴安县教育局只办理本项目采购的相关手续。兴安县第三小学作为主体单位与中标人签订合同、付款。</w:t>
      </w:r>
    </w:p>
    <w:p w14:paraId="63F156DA">
      <w:pPr>
        <w:keepNext w:val="0"/>
        <w:keepLines w:val="0"/>
        <w:pageBreakBefore w:val="0"/>
        <w:kinsoku/>
        <w:wordWrap/>
        <w:overflowPunct/>
        <w:topLinePunct w:val="0"/>
        <w:bidi w:val="0"/>
        <w:spacing w:line="380" w:lineRule="exact"/>
        <w:ind w:right="0"/>
        <w:jc w:val="left"/>
        <w:rPr>
          <w:rFonts w:hint="eastAsia" w:ascii="宋体" w:hAnsi="宋体" w:eastAsia="宋体" w:cs="宋体"/>
          <w:color w:val="000000"/>
          <w:sz w:val="21"/>
          <w:szCs w:val="21"/>
          <w:highlight w:val="none"/>
          <w:shd w:val="clear" w:color="auto" w:fill="auto"/>
          <w:lang w:val="en-US" w:eastAsia="zh-CN"/>
        </w:rPr>
      </w:pPr>
      <w:r>
        <w:rPr>
          <w:rFonts w:hint="eastAsia" w:ascii="宋体" w:hAnsi="宋体" w:eastAsia="宋体" w:cs="宋体"/>
          <w:color w:val="000000"/>
          <w:sz w:val="21"/>
          <w:szCs w:val="21"/>
          <w:highlight w:val="none"/>
          <w:shd w:val="clear" w:color="auto" w:fill="auto"/>
          <w:lang w:val="en-US" w:eastAsia="zh-CN"/>
        </w:rPr>
        <w:t>最高限价（如有）：/</w:t>
      </w:r>
    </w:p>
    <w:p w14:paraId="5252D0AC">
      <w:pPr>
        <w:keepNext w:val="0"/>
        <w:keepLines w:val="0"/>
        <w:pageBreakBefore w:val="0"/>
        <w:kinsoku/>
        <w:wordWrap/>
        <w:overflowPunct/>
        <w:topLinePunct w:val="0"/>
        <w:bidi w:val="0"/>
        <w:spacing w:line="380" w:lineRule="exact"/>
        <w:ind w:right="0"/>
        <w:jc w:val="left"/>
        <w:rPr>
          <w:rFonts w:hint="eastAsia" w:ascii="宋体" w:hAnsi="宋体" w:eastAsia="宋体" w:cs="宋体"/>
          <w:b w:val="0"/>
          <w:bCs w:val="0"/>
          <w:color w:val="000000"/>
          <w:sz w:val="21"/>
          <w:szCs w:val="21"/>
          <w:highlight w:val="none"/>
          <w:shd w:val="clear" w:color="auto" w:fill="auto"/>
          <w:lang w:val="en-US" w:eastAsia="zh-CN"/>
        </w:rPr>
      </w:pPr>
      <w:r>
        <w:rPr>
          <w:rFonts w:hint="eastAsia" w:ascii="宋体" w:hAnsi="宋体" w:eastAsia="宋体" w:cs="宋体"/>
          <w:b w:val="0"/>
          <w:bCs w:val="0"/>
          <w:color w:val="000000"/>
          <w:sz w:val="21"/>
          <w:szCs w:val="21"/>
          <w:highlight w:val="none"/>
          <w:shd w:val="clear" w:color="auto" w:fill="auto"/>
          <w:lang w:val="en-US" w:eastAsia="zh-CN"/>
        </w:rPr>
        <w:t>合同履约期限：要求工期：</w:t>
      </w:r>
      <w:r>
        <w:rPr>
          <w:rFonts w:hint="eastAsia" w:ascii="宋体" w:hAnsi="宋体" w:eastAsia="宋体" w:cs="宋体"/>
          <w:b w:val="0"/>
          <w:bCs w:val="0"/>
          <w:color w:val="000000"/>
          <w:sz w:val="21"/>
          <w:szCs w:val="21"/>
          <w:highlight w:val="none"/>
          <w:u w:val="none"/>
          <w:shd w:val="clear" w:color="auto" w:fill="auto"/>
          <w:lang w:val="en-US" w:eastAsia="zh-CN"/>
        </w:rPr>
        <w:t>50日历天。</w:t>
      </w:r>
    </w:p>
    <w:bookmarkEnd w:id="25"/>
    <w:bookmarkEnd w:id="26"/>
    <w:p w14:paraId="428A118A">
      <w:pPr>
        <w:keepNext w:val="0"/>
        <w:keepLines w:val="0"/>
        <w:pageBreakBefore w:val="0"/>
        <w:kinsoku/>
        <w:wordWrap/>
        <w:overflowPunct/>
        <w:topLinePunct w:val="0"/>
        <w:bidi w:val="0"/>
        <w:spacing w:line="380" w:lineRule="exact"/>
        <w:ind w:right="0"/>
        <w:jc w:val="left"/>
        <w:rPr>
          <w:rFonts w:hint="eastAsia" w:ascii="宋体" w:hAnsi="宋体" w:eastAsia="宋体" w:cs="宋体"/>
          <w:color w:val="000000"/>
          <w:sz w:val="21"/>
          <w:szCs w:val="21"/>
          <w:highlight w:val="none"/>
          <w:shd w:val="clear" w:color="auto" w:fill="auto"/>
        </w:rPr>
      </w:pPr>
      <w:bookmarkStart w:id="27" w:name="_Toc849"/>
      <w:bookmarkStart w:id="28" w:name="_Toc17242"/>
      <w:bookmarkStart w:id="29" w:name="_Toc3678"/>
      <w:r>
        <w:rPr>
          <w:rFonts w:hint="eastAsia" w:ascii="宋体" w:hAnsi="宋体" w:eastAsia="宋体" w:cs="宋体"/>
          <w:color w:val="000000"/>
          <w:sz w:val="21"/>
          <w:szCs w:val="21"/>
          <w:highlight w:val="none"/>
          <w:shd w:val="clear" w:color="auto" w:fill="auto"/>
        </w:rPr>
        <w:t>本</w:t>
      </w:r>
      <w:r>
        <w:rPr>
          <w:rFonts w:hint="eastAsia" w:ascii="宋体" w:hAnsi="宋体" w:eastAsia="宋体" w:cs="宋体"/>
          <w:color w:val="000000"/>
          <w:sz w:val="21"/>
          <w:szCs w:val="21"/>
          <w:highlight w:val="none"/>
          <w:shd w:val="clear" w:color="auto" w:fill="auto"/>
          <w:lang w:val="en-US" w:eastAsia="zh-CN"/>
        </w:rPr>
        <w:t>标项</w:t>
      </w:r>
      <w:r>
        <w:rPr>
          <w:rFonts w:hint="eastAsia" w:ascii="宋体" w:hAnsi="宋体" w:eastAsia="宋体" w:cs="宋体"/>
          <w:color w:val="000000"/>
          <w:sz w:val="21"/>
          <w:szCs w:val="21"/>
          <w:highlight w:val="none"/>
          <w:shd w:val="clear" w:color="auto" w:fill="auto"/>
          <w:lang w:eastAsia="zh-CN"/>
        </w:rPr>
        <w:t>（</w:t>
      </w:r>
      <w:r>
        <w:rPr>
          <w:rFonts w:hint="eastAsia" w:ascii="宋体" w:hAnsi="宋体" w:eastAsia="宋体" w:cs="宋体"/>
          <w:color w:val="000000"/>
          <w:sz w:val="21"/>
          <w:szCs w:val="21"/>
          <w:highlight w:val="none"/>
          <w:shd w:val="clear" w:color="auto" w:fill="auto"/>
          <w:lang w:val="en-US" w:eastAsia="zh-CN"/>
        </w:rPr>
        <w:t>否</w:t>
      </w:r>
      <w:r>
        <w:rPr>
          <w:rFonts w:hint="eastAsia" w:ascii="宋体" w:hAnsi="宋体" w:eastAsia="宋体" w:cs="宋体"/>
          <w:color w:val="000000"/>
          <w:sz w:val="21"/>
          <w:szCs w:val="21"/>
          <w:highlight w:val="none"/>
          <w:shd w:val="clear" w:color="auto" w:fill="auto"/>
          <w:lang w:eastAsia="zh-CN"/>
        </w:rPr>
        <w:t>）</w:t>
      </w:r>
      <w:r>
        <w:rPr>
          <w:rFonts w:hint="eastAsia" w:ascii="宋体" w:hAnsi="宋体" w:eastAsia="宋体" w:cs="宋体"/>
          <w:color w:val="000000"/>
          <w:sz w:val="21"/>
          <w:szCs w:val="21"/>
          <w:highlight w:val="none"/>
          <w:shd w:val="clear" w:color="auto" w:fill="auto"/>
          <w:lang w:val="en-US" w:eastAsia="zh-CN"/>
        </w:rPr>
        <w:t>接受</w:t>
      </w:r>
      <w:r>
        <w:rPr>
          <w:rFonts w:hint="eastAsia" w:ascii="宋体" w:hAnsi="宋体" w:eastAsia="宋体" w:cs="宋体"/>
          <w:color w:val="000000"/>
          <w:sz w:val="21"/>
          <w:szCs w:val="21"/>
          <w:highlight w:val="none"/>
          <w:shd w:val="clear" w:color="auto" w:fill="auto"/>
        </w:rPr>
        <w:t>联合体</w:t>
      </w:r>
      <w:r>
        <w:rPr>
          <w:rFonts w:hint="eastAsia" w:ascii="宋体" w:hAnsi="宋体" w:eastAsia="宋体" w:cs="宋体"/>
          <w:color w:val="000000"/>
          <w:sz w:val="21"/>
          <w:szCs w:val="21"/>
          <w:highlight w:val="none"/>
          <w:shd w:val="clear" w:color="auto" w:fill="auto"/>
          <w:lang w:val="en-US" w:eastAsia="zh-CN"/>
        </w:rPr>
        <w:t>投标</w:t>
      </w:r>
      <w:r>
        <w:rPr>
          <w:rFonts w:hint="eastAsia" w:ascii="宋体" w:hAnsi="宋体" w:eastAsia="宋体" w:cs="宋体"/>
          <w:color w:val="000000"/>
          <w:sz w:val="21"/>
          <w:szCs w:val="21"/>
          <w:highlight w:val="none"/>
          <w:shd w:val="clear" w:color="auto" w:fill="auto"/>
        </w:rPr>
        <w:t>。</w:t>
      </w:r>
      <w:bookmarkEnd w:id="27"/>
      <w:bookmarkEnd w:id="28"/>
      <w:bookmarkEnd w:id="29"/>
      <w:bookmarkStart w:id="30" w:name="_Toc28359013"/>
      <w:bookmarkStart w:id="31" w:name="_Toc28359090"/>
      <w:bookmarkStart w:id="32" w:name="_Toc26905"/>
      <w:bookmarkStart w:id="33" w:name="_Toc29128"/>
      <w:bookmarkStart w:id="34" w:name="_Toc35393630"/>
      <w:bookmarkStart w:id="35" w:name="_Toc35393799"/>
    </w:p>
    <w:p w14:paraId="6592FE6F">
      <w:pPr>
        <w:keepNext w:val="0"/>
        <w:keepLines w:val="0"/>
        <w:pageBreakBefore w:val="0"/>
        <w:kinsoku/>
        <w:wordWrap/>
        <w:overflowPunct/>
        <w:topLinePunct w:val="0"/>
        <w:bidi w:val="0"/>
        <w:spacing w:line="380" w:lineRule="exact"/>
        <w:ind w:left="0" w:right="0"/>
        <w:jc w:val="both"/>
        <w:outlineLvl w:val="1"/>
        <w:rPr>
          <w:rFonts w:hint="eastAsia" w:ascii="宋体" w:hAnsi="宋体" w:eastAsia="宋体" w:cs="宋体"/>
          <w:b/>
          <w:bCs/>
          <w:color w:val="000000"/>
          <w:sz w:val="21"/>
          <w:szCs w:val="21"/>
          <w:highlight w:val="none"/>
          <w:shd w:val="clear" w:color="auto" w:fill="auto"/>
        </w:rPr>
      </w:pPr>
      <w:r>
        <w:rPr>
          <w:rFonts w:hint="eastAsia" w:ascii="宋体" w:hAnsi="宋体" w:eastAsia="宋体" w:cs="宋体"/>
          <w:b/>
          <w:bCs/>
          <w:color w:val="000000"/>
          <w:sz w:val="21"/>
          <w:szCs w:val="21"/>
          <w:highlight w:val="none"/>
          <w:shd w:val="clear" w:color="auto" w:fill="auto"/>
        </w:rPr>
        <w:t>二、申请人的资格要求：</w:t>
      </w:r>
      <w:bookmarkEnd w:id="30"/>
      <w:bookmarkEnd w:id="31"/>
      <w:bookmarkEnd w:id="32"/>
      <w:bookmarkEnd w:id="33"/>
      <w:bookmarkEnd w:id="34"/>
      <w:bookmarkEnd w:id="35"/>
    </w:p>
    <w:p w14:paraId="042EB3BE">
      <w:pPr>
        <w:keepNext w:val="0"/>
        <w:keepLines w:val="0"/>
        <w:pageBreakBefore w:val="0"/>
        <w:kinsoku/>
        <w:wordWrap/>
        <w:overflowPunct/>
        <w:topLinePunct w:val="0"/>
        <w:bidi w:val="0"/>
        <w:spacing w:line="380" w:lineRule="exact"/>
        <w:ind w:left="0" w:right="0" w:firstLine="420" w:firstLineChars="200"/>
        <w:jc w:val="both"/>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1、满足《中华人民共和国政府采购法》第二十二条规定；</w:t>
      </w:r>
    </w:p>
    <w:p w14:paraId="5046C30E">
      <w:pPr>
        <w:keepNext w:val="0"/>
        <w:keepLines w:val="0"/>
        <w:pageBreakBefore w:val="0"/>
        <w:kinsoku/>
        <w:wordWrap/>
        <w:overflowPunct/>
        <w:topLinePunct w:val="0"/>
        <w:bidi w:val="0"/>
        <w:spacing w:line="380" w:lineRule="exact"/>
        <w:ind w:left="0" w:right="0" w:firstLine="420" w:firstLineChars="200"/>
        <w:jc w:val="both"/>
        <w:rPr>
          <w:rFonts w:hint="eastAsia" w:ascii="宋体" w:hAnsi="宋体" w:eastAsia="宋体" w:cs="宋体"/>
          <w:b/>
          <w:bCs/>
          <w:color w:val="000000"/>
          <w:sz w:val="21"/>
          <w:szCs w:val="21"/>
          <w:highlight w:val="none"/>
          <w:shd w:val="clear" w:color="auto" w:fill="auto"/>
        </w:rPr>
      </w:pPr>
      <w:bookmarkStart w:id="36" w:name="_Toc28359091"/>
      <w:bookmarkStart w:id="37" w:name="_Toc28359014"/>
      <w:r>
        <w:rPr>
          <w:rFonts w:hint="eastAsia" w:ascii="宋体" w:hAnsi="宋体" w:eastAsia="宋体" w:cs="宋体"/>
          <w:color w:val="000000"/>
          <w:sz w:val="21"/>
          <w:szCs w:val="21"/>
          <w:highlight w:val="none"/>
          <w:shd w:val="clear" w:color="auto" w:fill="auto"/>
        </w:rPr>
        <w:t>2、落实政府采购政策需满足的资格要求：</w:t>
      </w:r>
      <w:r>
        <w:rPr>
          <w:rFonts w:hint="eastAsia" w:ascii="宋体" w:hAnsi="宋体" w:eastAsia="宋体" w:cs="宋体"/>
          <w:color w:val="000000"/>
          <w:sz w:val="21"/>
          <w:szCs w:val="21"/>
          <w:highlight w:val="none"/>
          <w:u w:val="single"/>
          <w:shd w:val="clear" w:color="auto" w:fill="auto"/>
        </w:rPr>
        <w:t>本项目为专门面向中小企业项目，按照《政府采购促进中小企业发展管理办法》（财库〔2020〕46号）规定，小微企业、监狱企业、残疾人福利性单位不再执行价格评审优惠的扶持政策</w:t>
      </w:r>
      <w:r>
        <w:rPr>
          <w:rFonts w:hint="eastAsia" w:ascii="宋体" w:hAnsi="宋体" w:eastAsia="宋体" w:cs="宋体"/>
          <w:color w:val="000000"/>
          <w:sz w:val="21"/>
          <w:szCs w:val="21"/>
          <w:highlight w:val="none"/>
          <w:shd w:val="clear" w:color="auto" w:fill="auto"/>
        </w:rPr>
        <w:t>。</w:t>
      </w:r>
    </w:p>
    <w:p w14:paraId="10677C1F">
      <w:pPr>
        <w:keepNext w:val="0"/>
        <w:keepLines w:val="0"/>
        <w:pageBreakBefore w:val="0"/>
        <w:kinsoku/>
        <w:wordWrap/>
        <w:overflowPunct/>
        <w:topLinePunct w:val="0"/>
        <w:bidi w:val="0"/>
        <w:spacing w:line="380" w:lineRule="exact"/>
        <w:ind w:left="0" w:right="0" w:firstLine="420" w:firstLineChars="200"/>
        <w:jc w:val="both"/>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3、本项目的特定资格要求：</w:t>
      </w:r>
      <w:bookmarkStart w:id="38" w:name="_Toc35393800"/>
      <w:bookmarkStart w:id="39" w:name="_Toc35393631"/>
    </w:p>
    <w:p w14:paraId="325FD28E">
      <w:pPr>
        <w:keepNext w:val="0"/>
        <w:keepLines w:val="0"/>
        <w:pageBreakBefore w:val="0"/>
        <w:kinsoku/>
        <w:wordWrap/>
        <w:overflowPunct/>
        <w:topLinePunct w:val="0"/>
        <w:bidi w:val="0"/>
        <w:spacing w:line="380" w:lineRule="exact"/>
        <w:ind w:left="0" w:right="0" w:firstLine="630" w:firstLineChars="300"/>
        <w:jc w:val="both"/>
        <w:rPr>
          <w:rFonts w:hint="eastAsia" w:ascii="宋体" w:hAnsi="宋体" w:eastAsia="宋体" w:cs="宋体"/>
          <w:color w:val="000000"/>
          <w:sz w:val="21"/>
          <w:szCs w:val="21"/>
          <w:highlight w:val="none"/>
          <w:u w:val="single"/>
          <w:shd w:val="clear" w:color="auto" w:fill="auto"/>
        </w:rPr>
      </w:pPr>
      <w:r>
        <w:rPr>
          <w:rFonts w:hint="eastAsia" w:ascii="宋体" w:hAnsi="宋体" w:eastAsia="宋体" w:cs="宋体"/>
          <w:color w:val="000000"/>
          <w:sz w:val="21"/>
          <w:szCs w:val="21"/>
          <w:highlight w:val="none"/>
          <w:shd w:val="clear" w:color="auto" w:fill="auto"/>
          <w:lang w:eastAsia="zh-CN"/>
        </w:rPr>
        <w:t>（</w:t>
      </w:r>
      <w:r>
        <w:rPr>
          <w:rFonts w:hint="eastAsia" w:ascii="宋体" w:hAnsi="宋体" w:eastAsia="宋体" w:cs="宋体"/>
          <w:color w:val="000000"/>
          <w:sz w:val="21"/>
          <w:szCs w:val="21"/>
          <w:highlight w:val="none"/>
          <w:shd w:val="clear" w:color="auto" w:fill="auto"/>
          <w:lang w:val="en-US" w:eastAsia="zh-CN"/>
        </w:rPr>
        <w:t>1</w:t>
      </w:r>
      <w:r>
        <w:rPr>
          <w:rFonts w:hint="eastAsia" w:ascii="宋体" w:hAnsi="宋体" w:eastAsia="宋体" w:cs="宋体"/>
          <w:color w:val="000000"/>
          <w:sz w:val="21"/>
          <w:szCs w:val="21"/>
          <w:highlight w:val="none"/>
          <w:shd w:val="clear" w:color="auto" w:fill="auto"/>
          <w:lang w:eastAsia="zh-CN"/>
        </w:rPr>
        <w:t>）</w:t>
      </w:r>
      <w:r>
        <w:rPr>
          <w:rFonts w:hint="eastAsia" w:ascii="宋体" w:hAnsi="宋体" w:eastAsia="宋体" w:cs="宋体"/>
          <w:color w:val="000000"/>
          <w:sz w:val="21"/>
          <w:szCs w:val="21"/>
          <w:highlight w:val="none"/>
          <w:u w:val="single"/>
          <w:shd w:val="clear" w:color="auto" w:fill="auto"/>
          <w:lang w:eastAsia="zh-CN"/>
        </w:rPr>
        <w:t>供应商须具备</w:t>
      </w:r>
      <w:r>
        <w:rPr>
          <w:rFonts w:hint="eastAsia" w:ascii="宋体" w:hAnsi="宋体" w:eastAsia="宋体" w:cs="宋体"/>
          <w:color w:val="000000"/>
          <w:sz w:val="21"/>
          <w:szCs w:val="21"/>
          <w:highlight w:val="none"/>
          <w:u w:val="single"/>
          <w:shd w:val="clear" w:color="auto" w:fill="auto"/>
          <w:lang w:val="en-US" w:eastAsia="zh-CN"/>
        </w:rPr>
        <w:t>市政公用工程</w:t>
      </w:r>
      <w:r>
        <w:rPr>
          <w:rFonts w:hint="eastAsia" w:ascii="宋体" w:hAnsi="宋体" w:eastAsia="宋体" w:cs="宋体"/>
          <w:color w:val="000000"/>
          <w:sz w:val="21"/>
          <w:szCs w:val="21"/>
          <w:highlight w:val="none"/>
          <w:u w:val="single"/>
          <w:shd w:val="clear" w:color="auto" w:fill="auto"/>
          <w:lang w:eastAsia="zh-CN"/>
        </w:rPr>
        <w:t>施工总承包贰级以上（含</w:t>
      </w:r>
      <w:r>
        <w:rPr>
          <w:rFonts w:hint="eastAsia" w:ascii="宋体" w:hAnsi="宋体" w:eastAsia="宋体" w:cs="宋体"/>
          <w:color w:val="000000"/>
          <w:sz w:val="21"/>
          <w:szCs w:val="21"/>
          <w:highlight w:val="none"/>
          <w:u w:val="single"/>
          <w:shd w:val="clear" w:color="auto" w:fill="auto"/>
          <w:lang w:val="en-US" w:eastAsia="zh-CN"/>
        </w:rPr>
        <w:t>贰</w:t>
      </w:r>
      <w:r>
        <w:rPr>
          <w:rFonts w:hint="eastAsia" w:ascii="宋体" w:hAnsi="宋体" w:eastAsia="宋体" w:cs="宋体"/>
          <w:color w:val="000000"/>
          <w:sz w:val="21"/>
          <w:szCs w:val="21"/>
          <w:highlight w:val="none"/>
          <w:u w:val="single"/>
          <w:shd w:val="clear" w:color="auto" w:fill="auto"/>
          <w:lang w:eastAsia="zh-CN"/>
        </w:rPr>
        <w:t>级）资质</w:t>
      </w:r>
      <w:r>
        <w:rPr>
          <w:rFonts w:hint="eastAsia" w:ascii="宋体" w:hAnsi="宋体" w:eastAsia="宋体" w:cs="宋体"/>
          <w:color w:val="000000"/>
          <w:sz w:val="21"/>
          <w:szCs w:val="21"/>
          <w:highlight w:val="none"/>
          <w:u w:val="single"/>
          <w:shd w:val="clear" w:color="auto" w:fill="auto"/>
        </w:rPr>
        <w:t>，及具有安全生产许可证；并在人员、设备、资金等方面具备相应的施工能力。</w:t>
      </w:r>
    </w:p>
    <w:p w14:paraId="6D09D45A">
      <w:pPr>
        <w:keepNext w:val="0"/>
        <w:keepLines w:val="0"/>
        <w:pageBreakBefore w:val="0"/>
        <w:kinsoku/>
        <w:wordWrap/>
        <w:overflowPunct/>
        <w:topLinePunct w:val="0"/>
        <w:bidi w:val="0"/>
        <w:spacing w:line="380" w:lineRule="exact"/>
        <w:ind w:left="0" w:right="0" w:firstLine="630" w:firstLineChars="300"/>
        <w:jc w:val="both"/>
        <w:rPr>
          <w:rFonts w:hint="eastAsia" w:ascii="宋体" w:hAnsi="宋体" w:eastAsia="宋体" w:cs="宋体"/>
          <w:color w:val="000000"/>
          <w:sz w:val="21"/>
          <w:szCs w:val="21"/>
          <w:highlight w:val="none"/>
          <w:u w:val="single"/>
          <w:shd w:val="clear" w:color="auto" w:fill="auto"/>
        </w:rPr>
      </w:pPr>
      <w:r>
        <w:rPr>
          <w:rFonts w:hint="eastAsia" w:ascii="宋体" w:hAnsi="宋体" w:eastAsia="宋体" w:cs="宋体"/>
          <w:color w:val="000000"/>
          <w:sz w:val="21"/>
          <w:szCs w:val="21"/>
          <w:highlight w:val="none"/>
          <w:u w:val="none"/>
          <w:shd w:val="clear" w:color="auto" w:fill="auto"/>
          <w:lang w:eastAsia="zh-CN"/>
        </w:rPr>
        <w:t>（</w:t>
      </w:r>
      <w:r>
        <w:rPr>
          <w:rFonts w:hint="eastAsia" w:ascii="宋体" w:hAnsi="宋体" w:eastAsia="宋体" w:cs="宋体"/>
          <w:color w:val="000000"/>
          <w:sz w:val="21"/>
          <w:szCs w:val="21"/>
          <w:highlight w:val="none"/>
          <w:u w:val="none"/>
          <w:shd w:val="clear" w:color="auto" w:fill="auto"/>
          <w:lang w:val="en-US" w:eastAsia="zh-CN"/>
        </w:rPr>
        <w:t>2</w:t>
      </w:r>
      <w:r>
        <w:rPr>
          <w:rFonts w:hint="eastAsia" w:ascii="宋体" w:hAnsi="宋体" w:eastAsia="宋体" w:cs="宋体"/>
          <w:color w:val="000000"/>
          <w:sz w:val="21"/>
          <w:szCs w:val="21"/>
          <w:highlight w:val="none"/>
          <w:u w:val="none"/>
          <w:shd w:val="clear" w:color="auto" w:fill="auto"/>
          <w:lang w:eastAsia="zh-CN"/>
        </w:rPr>
        <w:t>）</w:t>
      </w:r>
      <w:r>
        <w:rPr>
          <w:rFonts w:hint="eastAsia" w:ascii="宋体" w:hAnsi="宋体" w:eastAsia="宋体" w:cs="宋体"/>
          <w:color w:val="000000"/>
          <w:sz w:val="21"/>
          <w:szCs w:val="21"/>
          <w:highlight w:val="none"/>
          <w:u w:val="single"/>
          <w:shd w:val="clear" w:color="auto" w:fill="auto"/>
        </w:rPr>
        <w:t>供应商拟派项目经理须</w:t>
      </w:r>
      <w:r>
        <w:rPr>
          <w:rFonts w:hint="eastAsia" w:ascii="宋体" w:hAnsi="宋体" w:eastAsia="宋体" w:cs="宋体"/>
          <w:color w:val="000000"/>
          <w:sz w:val="21"/>
          <w:szCs w:val="21"/>
          <w:highlight w:val="none"/>
          <w:u w:val="single"/>
          <w:shd w:val="clear" w:color="auto" w:fill="auto"/>
          <w:lang w:eastAsia="zh-CN"/>
        </w:rPr>
        <w:t>具备</w:t>
      </w:r>
      <w:r>
        <w:rPr>
          <w:rFonts w:hint="eastAsia" w:ascii="宋体" w:hAnsi="宋体" w:eastAsia="宋体" w:cs="宋体"/>
          <w:color w:val="000000"/>
          <w:sz w:val="21"/>
          <w:szCs w:val="21"/>
          <w:highlight w:val="none"/>
          <w:u w:val="single"/>
          <w:shd w:val="clear" w:color="auto" w:fill="auto"/>
          <w:lang w:val="en-US" w:eastAsia="zh-CN"/>
        </w:rPr>
        <w:t>市政公用工程贰级</w:t>
      </w:r>
      <w:r>
        <w:rPr>
          <w:rFonts w:hint="eastAsia" w:ascii="宋体" w:hAnsi="宋体" w:eastAsia="宋体" w:cs="宋体"/>
          <w:color w:val="000000"/>
          <w:sz w:val="21"/>
          <w:szCs w:val="21"/>
          <w:highlight w:val="none"/>
          <w:u w:val="single"/>
          <w:shd w:val="clear" w:color="auto" w:fill="auto"/>
          <w:lang w:eastAsia="zh-CN"/>
        </w:rPr>
        <w:t>及以上注册建造师执业资格</w:t>
      </w:r>
      <w:r>
        <w:rPr>
          <w:rFonts w:hint="eastAsia" w:ascii="宋体" w:hAnsi="宋体" w:eastAsia="宋体" w:cs="宋体"/>
          <w:color w:val="000000"/>
          <w:sz w:val="21"/>
          <w:szCs w:val="21"/>
          <w:highlight w:val="none"/>
          <w:u w:val="single"/>
          <w:shd w:val="clear" w:color="auto" w:fill="auto"/>
        </w:rPr>
        <w:t>，具备有效的安全生产考核合格证书（B类）。本项目不接受有在建、已中标未开工或已列为其他项目中标候选人第一名的建造师作为项目经理。</w:t>
      </w:r>
    </w:p>
    <w:bookmarkEnd w:id="36"/>
    <w:bookmarkEnd w:id="37"/>
    <w:bookmarkEnd w:id="38"/>
    <w:bookmarkEnd w:id="39"/>
    <w:p w14:paraId="3565346C">
      <w:pPr>
        <w:keepNext w:val="0"/>
        <w:keepLines w:val="0"/>
        <w:pageBreakBefore w:val="0"/>
        <w:kinsoku/>
        <w:wordWrap/>
        <w:overflowPunct/>
        <w:topLinePunct w:val="0"/>
        <w:bidi w:val="0"/>
        <w:spacing w:line="380" w:lineRule="exact"/>
        <w:ind w:left="0" w:right="0"/>
        <w:jc w:val="both"/>
        <w:outlineLvl w:val="1"/>
        <w:rPr>
          <w:rFonts w:hint="eastAsia" w:ascii="宋体" w:hAnsi="宋体" w:eastAsia="宋体" w:cs="宋体"/>
          <w:b/>
          <w:bCs/>
          <w:color w:val="000000"/>
          <w:sz w:val="21"/>
          <w:szCs w:val="21"/>
          <w:highlight w:val="none"/>
          <w:shd w:val="clear" w:color="auto" w:fill="auto"/>
        </w:rPr>
      </w:pPr>
      <w:bookmarkStart w:id="40" w:name="_Toc35393623"/>
      <w:bookmarkStart w:id="41" w:name="_Toc35393792"/>
      <w:bookmarkStart w:id="42" w:name="_Toc6128"/>
      <w:bookmarkStart w:id="43" w:name="_Toc23376"/>
      <w:bookmarkStart w:id="44" w:name="_Toc35393636"/>
      <w:bookmarkStart w:id="45" w:name="_Toc28359018"/>
      <w:bookmarkStart w:id="46" w:name="_Toc28359095"/>
      <w:bookmarkStart w:id="47" w:name="_Toc35393805"/>
      <w:r>
        <w:rPr>
          <w:rFonts w:hint="eastAsia" w:ascii="宋体" w:hAnsi="宋体" w:eastAsia="宋体" w:cs="宋体"/>
          <w:b/>
          <w:bCs/>
          <w:color w:val="000000"/>
          <w:sz w:val="21"/>
          <w:szCs w:val="21"/>
          <w:highlight w:val="none"/>
          <w:shd w:val="clear" w:color="auto" w:fill="auto"/>
        </w:rPr>
        <w:t>三、获取采购文件</w:t>
      </w:r>
      <w:bookmarkEnd w:id="40"/>
      <w:bookmarkEnd w:id="41"/>
      <w:r>
        <w:rPr>
          <w:rFonts w:hint="eastAsia" w:ascii="宋体" w:hAnsi="宋体" w:eastAsia="宋体" w:cs="宋体"/>
          <w:b/>
          <w:bCs/>
          <w:color w:val="000000"/>
          <w:sz w:val="21"/>
          <w:szCs w:val="21"/>
          <w:highlight w:val="none"/>
          <w:shd w:val="clear" w:color="auto" w:fill="auto"/>
        </w:rPr>
        <w:t>：</w:t>
      </w:r>
      <w:bookmarkEnd w:id="42"/>
      <w:bookmarkEnd w:id="43"/>
    </w:p>
    <w:p w14:paraId="3528BE29">
      <w:pPr>
        <w:keepNext w:val="0"/>
        <w:keepLines w:val="0"/>
        <w:pageBreakBefore w:val="0"/>
        <w:kinsoku/>
        <w:wordWrap/>
        <w:overflowPunct/>
        <w:topLinePunct w:val="0"/>
        <w:bidi w:val="0"/>
        <w:spacing w:line="380" w:lineRule="exact"/>
        <w:ind w:left="0" w:right="0" w:firstLine="420" w:firstLineChars="200"/>
        <w:jc w:val="both"/>
        <w:rPr>
          <w:rFonts w:hint="eastAsia" w:ascii="宋体" w:hAnsi="宋体" w:eastAsia="宋体" w:cs="宋体"/>
          <w:bCs/>
          <w:color w:val="000000"/>
          <w:sz w:val="21"/>
          <w:szCs w:val="21"/>
          <w:highlight w:val="none"/>
          <w:shd w:val="clear" w:color="auto" w:fill="auto"/>
        </w:rPr>
      </w:pPr>
      <w:r>
        <w:rPr>
          <w:rFonts w:hint="eastAsia" w:ascii="宋体" w:hAnsi="宋体" w:eastAsia="宋体" w:cs="宋体"/>
          <w:bCs/>
          <w:color w:val="000000"/>
          <w:sz w:val="21"/>
          <w:szCs w:val="21"/>
          <w:highlight w:val="none"/>
          <w:shd w:val="clear" w:color="auto" w:fill="auto"/>
        </w:rPr>
        <w:t>时间：</w:t>
      </w:r>
      <w:r>
        <w:rPr>
          <w:rFonts w:hint="eastAsia" w:ascii="宋体" w:hAnsi="宋体" w:eastAsia="宋体" w:cs="宋体"/>
          <w:bCs/>
          <w:color w:val="000000"/>
          <w:sz w:val="21"/>
          <w:szCs w:val="21"/>
          <w:highlight w:val="none"/>
          <w:u w:val="single"/>
          <w:shd w:val="clear" w:color="auto" w:fill="auto"/>
          <w:lang w:val="en-US" w:eastAsia="zh-CN"/>
        </w:rPr>
        <w:t>/</w:t>
      </w:r>
      <w:r>
        <w:rPr>
          <w:rFonts w:hint="eastAsia" w:ascii="宋体" w:hAnsi="宋体" w:eastAsia="宋体" w:cs="宋体"/>
          <w:bCs/>
          <w:color w:val="000000"/>
          <w:sz w:val="21"/>
          <w:szCs w:val="21"/>
          <w:highlight w:val="none"/>
          <w:u w:val="single"/>
          <w:shd w:val="clear" w:color="auto" w:fill="auto"/>
        </w:rPr>
        <w:t>至</w:t>
      </w:r>
      <w:r>
        <w:rPr>
          <w:rFonts w:hint="eastAsia" w:ascii="宋体" w:hAnsi="宋体" w:eastAsia="宋体" w:cs="宋体"/>
          <w:bCs/>
          <w:color w:val="000000"/>
          <w:sz w:val="21"/>
          <w:szCs w:val="21"/>
          <w:highlight w:val="none"/>
          <w:u w:val="single"/>
          <w:shd w:val="clear" w:color="auto" w:fill="auto"/>
          <w:lang w:eastAsia="zh-CN"/>
        </w:rPr>
        <w:t>2025年07月11日</w:t>
      </w:r>
      <w:r>
        <w:rPr>
          <w:rFonts w:hint="eastAsia" w:ascii="宋体" w:hAnsi="宋体" w:eastAsia="宋体" w:cs="宋体"/>
          <w:bCs/>
          <w:color w:val="000000"/>
          <w:sz w:val="21"/>
          <w:szCs w:val="21"/>
          <w:highlight w:val="none"/>
          <w:u w:val="single"/>
          <w:shd w:val="clear" w:color="auto" w:fill="auto"/>
        </w:rPr>
        <w:t>，每天上午00:00至12:00，下午12:00至23:59（北京时间，法定节假日除外）</w:t>
      </w:r>
      <w:r>
        <w:rPr>
          <w:rFonts w:hint="eastAsia" w:ascii="宋体" w:hAnsi="宋体" w:eastAsia="宋体" w:cs="宋体"/>
          <w:bCs/>
          <w:color w:val="000000"/>
          <w:sz w:val="21"/>
          <w:szCs w:val="21"/>
          <w:highlight w:val="none"/>
          <w:shd w:val="clear" w:color="auto" w:fill="auto"/>
        </w:rPr>
        <w:t>。</w:t>
      </w:r>
    </w:p>
    <w:p w14:paraId="04B4659C">
      <w:pPr>
        <w:keepNext w:val="0"/>
        <w:keepLines w:val="0"/>
        <w:pageBreakBefore w:val="0"/>
        <w:kinsoku/>
        <w:wordWrap/>
        <w:overflowPunct/>
        <w:topLinePunct w:val="0"/>
        <w:bidi w:val="0"/>
        <w:spacing w:line="380" w:lineRule="exact"/>
        <w:ind w:left="0" w:right="0" w:firstLine="420" w:firstLineChars="200"/>
        <w:jc w:val="both"/>
        <w:rPr>
          <w:rFonts w:hint="eastAsia" w:ascii="宋体" w:hAnsi="宋体" w:eastAsia="宋体" w:cs="宋体"/>
          <w:bCs/>
          <w:color w:val="000000"/>
          <w:sz w:val="21"/>
          <w:szCs w:val="21"/>
          <w:highlight w:val="none"/>
          <w:shd w:val="clear" w:color="auto" w:fill="auto"/>
        </w:rPr>
      </w:pPr>
      <w:r>
        <w:rPr>
          <w:rFonts w:hint="eastAsia" w:ascii="宋体" w:hAnsi="宋体" w:eastAsia="宋体" w:cs="宋体"/>
          <w:bCs/>
          <w:color w:val="000000"/>
          <w:sz w:val="21"/>
          <w:szCs w:val="21"/>
          <w:highlight w:val="none"/>
          <w:shd w:val="clear" w:color="auto" w:fill="auto"/>
        </w:rPr>
        <w:t>地点（网址）：</w:t>
      </w:r>
      <w:r>
        <w:rPr>
          <w:rFonts w:hint="eastAsia" w:ascii="宋体" w:hAnsi="宋体" w:eastAsia="宋体" w:cs="宋体"/>
          <w:color w:val="000000"/>
          <w:kern w:val="0"/>
          <w:sz w:val="21"/>
          <w:szCs w:val="21"/>
          <w:highlight w:val="none"/>
          <w:shd w:val="clear" w:color="auto" w:fill="auto"/>
          <w:lang w:eastAsia="zh-CN"/>
        </w:rPr>
        <w:t>广西政府采购云平台https://www.gcy.zfcg.gxzf.gov.cn/</w:t>
      </w:r>
      <w:r>
        <w:rPr>
          <w:rFonts w:hint="eastAsia" w:ascii="宋体" w:hAnsi="宋体" w:eastAsia="宋体" w:cs="宋体"/>
          <w:bCs/>
          <w:color w:val="000000"/>
          <w:sz w:val="21"/>
          <w:szCs w:val="21"/>
          <w:highlight w:val="none"/>
          <w:shd w:val="clear" w:color="auto" w:fill="auto"/>
        </w:rPr>
        <w:t>。</w:t>
      </w:r>
    </w:p>
    <w:p w14:paraId="4DEBBA99">
      <w:pPr>
        <w:keepNext w:val="0"/>
        <w:keepLines w:val="0"/>
        <w:pageBreakBefore w:val="0"/>
        <w:kinsoku/>
        <w:wordWrap/>
        <w:overflowPunct/>
        <w:topLinePunct w:val="0"/>
        <w:bidi w:val="0"/>
        <w:spacing w:line="380" w:lineRule="exact"/>
        <w:ind w:left="0" w:right="0" w:firstLine="420" w:firstLineChars="200"/>
        <w:jc w:val="both"/>
        <w:rPr>
          <w:rFonts w:hint="eastAsia" w:ascii="宋体" w:hAnsi="宋体" w:eastAsia="宋体" w:cs="宋体"/>
          <w:bCs/>
          <w:color w:val="000000"/>
          <w:sz w:val="21"/>
          <w:szCs w:val="21"/>
          <w:highlight w:val="none"/>
          <w:shd w:val="clear" w:color="auto" w:fill="auto"/>
        </w:rPr>
      </w:pPr>
      <w:r>
        <w:rPr>
          <w:rFonts w:hint="eastAsia" w:ascii="宋体" w:hAnsi="宋体" w:eastAsia="宋体" w:cs="宋体"/>
          <w:bCs/>
          <w:color w:val="000000"/>
          <w:sz w:val="21"/>
          <w:szCs w:val="21"/>
          <w:highlight w:val="none"/>
          <w:shd w:val="clear" w:color="auto" w:fill="auto"/>
        </w:rPr>
        <w:t>方式：潜在供应商</w:t>
      </w:r>
      <w:r>
        <w:rPr>
          <w:rFonts w:hint="eastAsia" w:ascii="宋体" w:hAnsi="宋体" w:eastAsia="宋体" w:cs="宋体"/>
          <w:color w:val="000000"/>
          <w:sz w:val="21"/>
          <w:szCs w:val="21"/>
          <w:highlight w:val="none"/>
          <w:shd w:val="clear" w:color="auto" w:fill="auto"/>
        </w:rPr>
        <w:t>应</w:t>
      </w:r>
      <w:r>
        <w:rPr>
          <w:rFonts w:hint="eastAsia" w:ascii="宋体" w:hAnsi="宋体" w:eastAsia="宋体" w:cs="宋体"/>
          <w:color w:val="000000"/>
          <w:kern w:val="0"/>
          <w:sz w:val="21"/>
          <w:szCs w:val="21"/>
          <w:highlight w:val="none"/>
          <w:shd w:val="clear" w:color="auto" w:fill="auto"/>
        </w:rPr>
        <w:t>登录</w:t>
      </w:r>
      <w:r>
        <w:rPr>
          <w:rFonts w:hint="eastAsia" w:ascii="宋体" w:hAnsi="宋体" w:eastAsia="宋体" w:cs="宋体"/>
          <w:color w:val="000000"/>
          <w:kern w:val="0"/>
          <w:sz w:val="21"/>
          <w:szCs w:val="21"/>
          <w:highlight w:val="none"/>
          <w:shd w:val="clear" w:color="auto" w:fill="auto"/>
          <w:lang w:eastAsia="zh-CN"/>
        </w:rPr>
        <w:t>广西政府采购云平台https://www.gcy.zfcg.gxzf.gov.cn/</w:t>
      </w:r>
      <w:r>
        <w:rPr>
          <w:rFonts w:hint="eastAsia" w:ascii="宋体" w:hAnsi="宋体" w:eastAsia="宋体" w:cs="宋体"/>
          <w:color w:val="000000"/>
          <w:kern w:val="0"/>
          <w:sz w:val="21"/>
          <w:szCs w:val="21"/>
          <w:highlight w:val="none"/>
          <w:shd w:val="clear" w:color="auto" w:fill="auto"/>
        </w:rPr>
        <w:t>在线申请获取采购文件、工程量清单及图纸（进入“项目采购”应用，在获取采购文件菜单中选择项目，申请获取采购文件）</w:t>
      </w:r>
      <w:r>
        <w:rPr>
          <w:rFonts w:hint="eastAsia" w:ascii="宋体" w:hAnsi="宋体" w:eastAsia="宋体" w:cs="宋体"/>
          <w:bCs/>
          <w:color w:val="000000"/>
          <w:sz w:val="21"/>
          <w:szCs w:val="21"/>
          <w:highlight w:val="none"/>
          <w:shd w:val="clear" w:color="auto" w:fill="auto"/>
        </w:rPr>
        <w:t>。</w:t>
      </w:r>
    </w:p>
    <w:p w14:paraId="3484C3B5">
      <w:pPr>
        <w:keepNext w:val="0"/>
        <w:keepLines w:val="0"/>
        <w:pageBreakBefore w:val="0"/>
        <w:kinsoku/>
        <w:wordWrap/>
        <w:overflowPunct/>
        <w:topLinePunct w:val="0"/>
        <w:bidi w:val="0"/>
        <w:spacing w:line="380" w:lineRule="exact"/>
        <w:ind w:left="0" w:right="0" w:firstLine="420" w:firstLineChars="200"/>
        <w:jc w:val="both"/>
        <w:rPr>
          <w:rFonts w:hint="eastAsia" w:ascii="宋体" w:hAnsi="宋体" w:eastAsia="宋体" w:cs="宋体"/>
          <w:b/>
          <w:bCs/>
          <w:color w:val="000000"/>
          <w:sz w:val="21"/>
          <w:szCs w:val="21"/>
          <w:highlight w:val="none"/>
          <w:shd w:val="clear" w:color="auto" w:fill="auto"/>
        </w:rPr>
      </w:pPr>
      <w:r>
        <w:rPr>
          <w:rFonts w:hint="eastAsia" w:ascii="宋体" w:hAnsi="宋体" w:eastAsia="宋体" w:cs="宋体"/>
          <w:bCs/>
          <w:color w:val="000000"/>
          <w:sz w:val="21"/>
          <w:szCs w:val="21"/>
          <w:highlight w:val="none"/>
          <w:shd w:val="clear" w:color="auto" w:fill="auto"/>
        </w:rPr>
        <w:t>售价（元）：0。</w:t>
      </w:r>
      <w:bookmarkStart w:id="48" w:name="_Toc28359005"/>
      <w:bookmarkStart w:id="49" w:name="_Toc28359082"/>
      <w:bookmarkStart w:id="50" w:name="_Toc4371"/>
      <w:bookmarkStart w:id="51" w:name="_Toc35393624"/>
      <w:bookmarkStart w:id="52" w:name="_Toc35393793"/>
      <w:bookmarkStart w:id="53" w:name="_Toc14194"/>
    </w:p>
    <w:p w14:paraId="0D54AA29">
      <w:pPr>
        <w:keepNext w:val="0"/>
        <w:keepLines w:val="0"/>
        <w:pageBreakBefore w:val="0"/>
        <w:kinsoku/>
        <w:wordWrap/>
        <w:overflowPunct/>
        <w:topLinePunct w:val="0"/>
        <w:bidi w:val="0"/>
        <w:spacing w:line="380" w:lineRule="exact"/>
        <w:ind w:left="0" w:right="0"/>
        <w:jc w:val="both"/>
        <w:outlineLvl w:val="1"/>
        <w:rPr>
          <w:rFonts w:hint="eastAsia" w:ascii="宋体" w:hAnsi="宋体" w:eastAsia="宋体" w:cs="宋体"/>
          <w:b/>
          <w:bCs/>
          <w:color w:val="000000"/>
          <w:sz w:val="21"/>
          <w:szCs w:val="21"/>
          <w:highlight w:val="none"/>
          <w:shd w:val="clear" w:color="auto" w:fill="auto"/>
        </w:rPr>
      </w:pPr>
      <w:r>
        <w:rPr>
          <w:rFonts w:hint="eastAsia" w:ascii="宋体" w:hAnsi="宋体" w:eastAsia="宋体" w:cs="宋体"/>
          <w:b/>
          <w:bCs/>
          <w:color w:val="000000"/>
          <w:sz w:val="21"/>
          <w:szCs w:val="21"/>
          <w:highlight w:val="none"/>
          <w:shd w:val="clear" w:color="auto" w:fill="auto"/>
        </w:rPr>
        <w:t>四、响应文件</w:t>
      </w:r>
      <w:bookmarkEnd w:id="48"/>
      <w:bookmarkEnd w:id="49"/>
      <w:r>
        <w:rPr>
          <w:rFonts w:hint="eastAsia" w:ascii="宋体" w:hAnsi="宋体" w:eastAsia="宋体" w:cs="宋体"/>
          <w:b/>
          <w:bCs/>
          <w:color w:val="000000"/>
          <w:sz w:val="21"/>
          <w:szCs w:val="21"/>
          <w:highlight w:val="none"/>
          <w:shd w:val="clear" w:color="auto" w:fill="auto"/>
        </w:rPr>
        <w:t>提交时间和地点</w:t>
      </w:r>
      <w:bookmarkEnd w:id="50"/>
      <w:bookmarkEnd w:id="51"/>
      <w:bookmarkEnd w:id="52"/>
      <w:bookmarkEnd w:id="53"/>
    </w:p>
    <w:p w14:paraId="06EAECD1">
      <w:pPr>
        <w:keepNext w:val="0"/>
        <w:keepLines w:val="0"/>
        <w:pageBreakBefore w:val="0"/>
        <w:kinsoku/>
        <w:wordWrap/>
        <w:overflowPunct/>
        <w:topLinePunct w:val="0"/>
        <w:bidi w:val="0"/>
        <w:spacing w:line="380" w:lineRule="exact"/>
        <w:ind w:left="0" w:right="0" w:firstLine="420" w:firstLineChars="200"/>
        <w:jc w:val="both"/>
        <w:rPr>
          <w:rFonts w:hint="eastAsia" w:ascii="宋体" w:hAnsi="宋体" w:eastAsia="宋体" w:cs="宋体"/>
          <w:bCs/>
          <w:color w:val="000000"/>
          <w:sz w:val="21"/>
          <w:szCs w:val="21"/>
          <w:highlight w:val="none"/>
          <w:shd w:val="clear" w:color="auto" w:fill="auto"/>
        </w:rPr>
      </w:pPr>
      <w:r>
        <w:rPr>
          <w:rFonts w:hint="eastAsia" w:ascii="宋体" w:hAnsi="宋体" w:eastAsia="宋体" w:cs="宋体"/>
          <w:bCs/>
          <w:color w:val="000000"/>
          <w:sz w:val="21"/>
          <w:szCs w:val="21"/>
          <w:highlight w:val="none"/>
          <w:shd w:val="clear" w:color="auto" w:fill="auto"/>
        </w:rPr>
        <w:t>截止时间：</w:t>
      </w:r>
      <w:r>
        <w:rPr>
          <w:rFonts w:hint="eastAsia" w:ascii="宋体" w:hAnsi="宋体" w:eastAsia="宋体" w:cs="宋体"/>
          <w:color w:val="000000"/>
          <w:sz w:val="21"/>
          <w:szCs w:val="21"/>
          <w:highlight w:val="none"/>
          <w:shd w:val="clear" w:color="auto" w:fill="auto"/>
          <w:lang w:eastAsia="zh-CN"/>
        </w:rPr>
        <w:t>2025年07月11日</w:t>
      </w:r>
      <w:r>
        <w:rPr>
          <w:rFonts w:hint="eastAsia" w:ascii="宋体" w:hAnsi="宋体" w:eastAsia="宋体" w:cs="宋体"/>
          <w:color w:val="000000"/>
          <w:sz w:val="21"/>
          <w:szCs w:val="21"/>
          <w:highlight w:val="none"/>
          <w:shd w:val="clear" w:color="auto" w:fill="auto"/>
          <w:lang w:val="en-US" w:eastAsia="zh-CN"/>
        </w:rPr>
        <w:t>09</w:t>
      </w:r>
      <w:r>
        <w:rPr>
          <w:rFonts w:hint="eastAsia" w:ascii="宋体" w:hAnsi="宋体" w:eastAsia="宋体" w:cs="宋体"/>
          <w:color w:val="000000"/>
          <w:sz w:val="21"/>
          <w:szCs w:val="21"/>
          <w:highlight w:val="none"/>
          <w:shd w:val="clear" w:color="auto" w:fill="auto"/>
        </w:rPr>
        <w:t>时30分</w:t>
      </w:r>
      <w:r>
        <w:rPr>
          <w:rFonts w:hint="eastAsia" w:ascii="宋体" w:hAnsi="宋体" w:eastAsia="宋体" w:cs="宋体"/>
          <w:bCs/>
          <w:color w:val="000000"/>
          <w:sz w:val="21"/>
          <w:szCs w:val="21"/>
          <w:highlight w:val="none"/>
          <w:shd w:val="clear" w:color="auto" w:fill="auto"/>
        </w:rPr>
        <w:t>（北京时间）。</w:t>
      </w:r>
    </w:p>
    <w:p w14:paraId="78402C21">
      <w:pPr>
        <w:keepNext w:val="0"/>
        <w:keepLines w:val="0"/>
        <w:pageBreakBefore w:val="0"/>
        <w:kinsoku/>
        <w:wordWrap/>
        <w:overflowPunct/>
        <w:topLinePunct w:val="0"/>
        <w:bidi w:val="0"/>
        <w:spacing w:line="380" w:lineRule="exact"/>
        <w:ind w:left="0" w:right="0" w:firstLine="420" w:firstLineChars="200"/>
        <w:jc w:val="both"/>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地点：通过</w:t>
      </w:r>
      <w:r>
        <w:rPr>
          <w:rFonts w:hint="eastAsia" w:ascii="宋体" w:hAnsi="宋体" w:eastAsia="宋体" w:cs="宋体"/>
          <w:color w:val="000000"/>
          <w:sz w:val="21"/>
          <w:szCs w:val="21"/>
          <w:highlight w:val="none"/>
          <w:shd w:val="clear" w:color="auto" w:fill="auto"/>
          <w:lang w:eastAsia="zh-CN"/>
        </w:rPr>
        <w:t>广西政府采购云平台</w:t>
      </w:r>
      <w:r>
        <w:rPr>
          <w:rFonts w:hint="eastAsia" w:ascii="宋体" w:hAnsi="宋体" w:eastAsia="宋体" w:cs="宋体"/>
          <w:color w:val="000000"/>
          <w:sz w:val="21"/>
          <w:szCs w:val="21"/>
          <w:highlight w:val="none"/>
          <w:shd w:val="clear" w:color="auto" w:fill="auto"/>
        </w:rPr>
        <w:t>实行在线响应。</w:t>
      </w:r>
    </w:p>
    <w:p w14:paraId="3B7306C8">
      <w:pPr>
        <w:keepNext w:val="0"/>
        <w:keepLines w:val="0"/>
        <w:pageBreakBefore w:val="0"/>
        <w:kinsoku/>
        <w:wordWrap/>
        <w:overflowPunct/>
        <w:topLinePunct w:val="0"/>
        <w:bidi w:val="0"/>
        <w:spacing w:line="380" w:lineRule="exact"/>
        <w:ind w:left="0" w:right="0"/>
        <w:jc w:val="both"/>
        <w:outlineLvl w:val="1"/>
        <w:rPr>
          <w:rFonts w:hint="eastAsia" w:ascii="宋体" w:hAnsi="宋体" w:eastAsia="宋体" w:cs="宋体"/>
          <w:b/>
          <w:bCs/>
          <w:color w:val="000000"/>
          <w:sz w:val="21"/>
          <w:szCs w:val="21"/>
          <w:highlight w:val="none"/>
          <w:shd w:val="clear" w:color="auto" w:fill="auto"/>
        </w:rPr>
      </w:pPr>
      <w:bookmarkStart w:id="54" w:name="_Toc28839"/>
      <w:bookmarkStart w:id="55" w:name="_Toc4557"/>
      <w:r>
        <w:rPr>
          <w:rFonts w:hint="eastAsia" w:ascii="宋体" w:hAnsi="宋体" w:eastAsia="宋体" w:cs="宋体"/>
          <w:b/>
          <w:bCs/>
          <w:color w:val="000000"/>
          <w:sz w:val="21"/>
          <w:szCs w:val="21"/>
          <w:highlight w:val="none"/>
          <w:shd w:val="clear" w:color="auto" w:fill="auto"/>
        </w:rPr>
        <w:t>五、开启</w:t>
      </w:r>
      <w:bookmarkEnd w:id="54"/>
      <w:bookmarkEnd w:id="55"/>
    </w:p>
    <w:p w14:paraId="226DAE9C">
      <w:pPr>
        <w:keepNext w:val="0"/>
        <w:keepLines w:val="0"/>
        <w:pageBreakBefore w:val="0"/>
        <w:kinsoku/>
        <w:wordWrap/>
        <w:overflowPunct/>
        <w:topLinePunct w:val="0"/>
        <w:bidi w:val="0"/>
        <w:spacing w:line="380" w:lineRule="exact"/>
        <w:ind w:left="0" w:right="0" w:firstLine="420" w:firstLineChars="200"/>
        <w:jc w:val="both"/>
        <w:rPr>
          <w:rFonts w:hint="eastAsia" w:ascii="宋体" w:hAnsi="宋体" w:eastAsia="宋体" w:cs="宋体"/>
          <w:color w:val="000000"/>
          <w:sz w:val="21"/>
          <w:szCs w:val="21"/>
          <w:highlight w:val="none"/>
          <w:shd w:val="clear" w:color="auto" w:fill="auto"/>
        </w:rPr>
      </w:pPr>
      <w:r>
        <w:rPr>
          <w:rFonts w:hint="eastAsia" w:ascii="宋体" w:hAnsi="宋体" w:eastAsia="宋体" w:cs="宋体"/>
          <w:bCs/>
          <w:color w:val="000000"/>
          <w:sz w:val="21"/>
          <w:szCs w:val="21"/>
          <w:highlight w:val="none"/>
          <w:shd w:val="clear" w:color="auto" w:fill="auto"/>
        </w:rPr>
        <w:t>时间</w:t>
      </w:r>
      <w:r>
        <w:rPr>
          <w:rFonts w:hint="eastAsia" w:ascii="宋体" w:hAnsi="宋体" w:eastAsia="宋体" w:cs="宋体"/>
          <w:color w:val="000000"/>
          <w:sz w:val="21"/>
          <w:szCs w:val="21"/>
          <w:highlight w:val="none"/>
          <w:shd w:val="clear" w:color="auto" w:fill="auto"/>
        </w:rPr>
        <w:t>：</w:t>
      </w:r>
      <w:r>
        <w:rPr>
          <w:rFonts w:hint="eastAsia" w:ascii="宋体" w:hAnsi="宋体" w:eastAsia="宋体" w:cs="宋体"/>
          <w:color w:val="000000"/>
          <w:sz w:val="21"/>
          <w:szCs w:val="21"/>
          <w:highlight w:val="none"/>
          <w:shd w:val="clear" w:color="auto" w:fill="auto"/>
          <w:lang w:eastAsia="zh-CN"/>
        </w:rPr>
        <w:t>2025年07月11日</w:t>
      </w:r>
      <w:r>
        <w:rPr>
          <w:rFonts w:hint="eastAsia" w:ascii="宋体" w:hAnsi="宋体" w:eastAsia="宋体" w:cs="宋体"/>
          <w:color w:val="000000"/>
          <w:sz w:val="21"/>
          <w:szCs w:val="21"/>
          <w:highlight w:val="none"/>
          <w:shd w:val="clear" w:color="auto" w:fill="auto"/>
          <w:lang w:val="en-US" w:eastAsia="zh-CN"/>
        </w:rPr>
        <w:t>09</w:t>
      </w:r>
      <w:r>
        <w:rPr>
          <w:rFonts w:hint="eastAsia" w:ascii="宋体" w:hAnsi="宋体" w:eastAsia="宋体" w:cs="宋体"/>
          <w:color w:val="000000"/>
          <w:sz w:val="21"/>
          <w:szCs w:val="21"/>
          <w:highlight w:val="none"/>
          <w:shd w:val="clear" w:color="auto" w:fill="auto"/>
        </w:rPr>
        <w:t>时</w:t>
      </w:r>
      <w:r>
        <w:rPr>
          <w:rFonts w:hint="eastAsia" w:ascii="宋体" w:hAnsi="宋体" w:eastAsia="宋体" w:cs="宋体"/>
          <w:color w:val="000000"/>
          <w:sz w:val="21"/>
          <w:szCs w:val="21"/>
          <w:highlight w:val="none"/>
          <w:shd w:val="clear" w:color="auto" w:fill="auto"/>
          <w:lang w:val="en-US" w:eastAsia="zh-CN"/>
        </w:rPr>
        <w:t>3</w:t>
      </w:r>
      <w:r>
        <w:rPr>
          <w:rFonts w:hint="eastAsia" w:ascii="宋体" w:hAnsi="宋体" w:eastAsia="宋体" w:cs="宋体"/>
          <w:color w:val="000000"/>
          <w:sz w:val="21"/>
          <w:szCs w:val="21"/>
          <w:highlight w:val="none"/>
          <w:shd w:val="clear" w:color="auto" w:fill="auto"/>
        </w:rPr>
        <w:t>0分（北京时间）截标后。</w:t>
      </w:r>
    </w:p>
    <w:p w14:paraId="682B6E58">
      <w:pPr>
        <w:keepNext w:val="0"/>
        <w:keepLines w:val="0"/>
        <w:pageBreakBefore w:val="0"/>
        <w:kinsoku/>
        <w:wordWrap/>
        <w:overflowPunct/>
        <w:topLinePunct w:val="0"/>
        <w:bidi w:val="0"/>
        <w:spacing w:line="380" w:lineRule="exact"/>
        <w:ind w:left="0" w:right="0" w:firstLine="420" w:firstLineChars="200"/>
        <w:jc w:val="both"/>
        <w:rPr>
          <w:rFonts w:hint="eastAsia" w:ascii="宋体" w:hAnsi="宋体" w:eastAsia="宋体" w:cs="宋体"/>
          <w:color w:val="000000"/>
          <w:sz w:val="21"/>
          <w:szCs w:val="21"/>
          <w:highlight w:val="none"/>
          <w:shd w:val="clear" w:color="auto" w:fill="auto"/>
        </w:rPr>
      </w:pPr>
      <w:r>
        <w:rPr>
          <w:rFonts w:hint="eastAsia" w:ascii="宋体" w:hAnsi="宋体" w:eastAsia="宋体" w:cs="宋体"/>
          <w:bCs/>
          <w:color w:val="000000"/>
          <w:sz w:val="21"/>
          <w:szCs w:val="21"/>
          <w:highlight w:val="none"/>
          <w:shd w:val="clear" w:color="auto" w:fill="auto"/>
        </w:rPr>
        <w:t>地点</w:t>
      </w:r>
      <w:r>
        <w:rPr>
          <w:rFonts w:hint="eastAsia" w:ascii="宋体" w:hAnsi="宋体" w:eastAsia="宋体" w:cs="宋体"/>
          <w:color w:val="000000"/>
          <w:sz w:val="21"/>
          <w:szCs w:val="21"/>
          <w:highlight w:val="none"/>
          <w:shd w:val="clear" w:color="auto" w:fill="auto"/>
        </w:rPr>
        <w:t>：通过</w:t>
      </w:r>
      <w:r>
        <w:rPr>
          <w:rFonts w:hint="eastAsia" w:ascii="宋体" w:hAnsi="宋体" w:eastAsia="宋体" w:cs="宋体"/>
          <w:color w:val="000000"/>
          <w:sz w:val="21"/>
          <w:szCs w:val="21"/>
          <w:highlight w:val="none"/>
          <w:shd w:val="clear" w:color="auto" w:fill="auto"/>
          <w:lang w:eastAsia="zh-CN"/>
        </w:rPr>
        <w:t>广西政府采购云平台</w:t>
      </w:r>
      <w:r>
        <w:rPr>
          <w:rFonts w:hint="eastAsia" w:ascii="宋体" w:hAnsi="宋体" w:eastAsia="宋体" w:cs="宋体"/>
          <w:color w:val="000000"/>
          <w:sz w:val="21"/>
          <w:szCs w:val="21"/>
          <w:highlight w:val="none"/>
          <w:shd w:val="clear" w:color="auto" w:fill="auto"/>
        </w:rPr>
        <w:t>实行在线解密开启。</w:t>
      </w:r>
    </w:p>
    <w:p w14:paraId="4D0991C0">
      <w:pPr>
        <w:keepNext w:val="0"/>
        <w:keepLines w:val="0"/>
        <w:pageBreakBefore w:val="0"/>
        <w:kinsoku/>
        <w:wordWrap/>
        <w:overflowPunct/>
        <w:topLinePunct w:val="0"/>
        <w:bidi w:val="0"/>
        <w:spacing w:line="380" w:lineRule="exact"/>
        <w:ind w:left="0" w:right="0"/>
        <w:jc w:val="both"/>
        <w:outlineLvl w:val="1"/>
        <w:rPr>
          <w:rFonts w:hint="eastAsia" w:ascii="宋体" w:hAnsi="宋体" w:eastAsia="宋体" w:cs="宋体"/>
          <w:b/>
          <w:bCs/>
          <w:color w:val="000000"/>
          <w:sz w:val="21"/>
          <w:szCs w:val="21"/>
          <w:highlight w:val="none"/>
          <w:shd w:val="clear" w:color="auto" w:fill="auto"/>
        </w:rPr>
      </w:pPr>
      <w:bookmarkStart w:id="56" w:name="_Toc7459"/>
      <w:bookmarkStart w:id="57" w:name="_Toc35393794"/>
      <w:bookmarkStart w:id="58" w:name="_Toc19362"/>
      <w:bookmarkStart w:id="59" w:name="_Toc35393625"/>
      <w:bookmarkStart w:id="60" w:name="_Toc28359007"/>
      <w:bookmarkStart w:id="61" w:name="_Toc28359084"/>
      <w:r>
        <w:rPr>
          <w:rFonts w:hint="eastAsia" w:ascii="宋体" w:hAnsi="宋体" w:eastAsia="宋体" w:cs="宋体"/>
          <w:b/>
          <w:bCs/>
          <w:color w:val="000000"/>
          <w:sz w:val="21"/>
          <w:szCs w:val="21"/>
          <w:highlight w:val="none"/>
          <w:shd w:val="clear" w:color="auto" w:fill="auto"/>
        </w:rPr>
        <w:t>六、公告期限</w:t>
      </w:r>
      <w:bookmarkEnd w:id="56"/>
      <w:bookmarkEnd w:id="57"/>
      <w:bookmarkEnd w:id="58"/>
      <w:bookmarkEnd w:id="59"/>
      <w:bookmarkEnd w:id="60"/>
      <w:bookmarkEnd w:id="61"/>
    </w:p>
    <w:p w14:paraId="48F61CD5">
      <w:pPr>
        <w:keepNext w:val="0"/>
        <w:keepLines w:val="0"/>
        <w:pageBreakBefore w:val="0"/>
        <w:kinsoku/>
        <w:wordWrap/>
        <w:overflowPunct/>
        <w:topLinePunct w:val="0"/>
        <w:bidi w:val="0"/>
        <w:spacing w:line="380" w:lineRule="exact"/>
        <w:ind w:left="0" w:right="0" w:firstLine="420" w:firstLineChars="200"/>
        <w:jc w:val="both"/>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自本公告发布之日起</w:t>
      </w:r>
      <w:r>
        <w:rPr>
          <w:rFonts w:hint="eastAsia" w:ascii="宋体" w:hAnsi="宋体" w:eastAsia="宋体" w:cs="宋体"/>
          <w:color w:val="000000"/>
          <w:kern w:val="0"/>
          <w:sz w:val="21"/>
          <w:szCs w:val="21"/>
          <w:highlight w:val="none"/>
          <w:shd w:val="clear" w:color="auto" w:fill="auto"/>
          <w:lang w:val="en-US" w:eastAsia="zh-CN"/>
        </w:rPr>
        <w:t>5</w:t>
      </w:r>
      <w:r>
        <w:rPr>
          <w:rFonts w:hint="eastAsia" w:ascii="宋体" w:hAnsi="宋体" w:eastAsia="宋体" w:cs="宋体"/>
          <w:color w:val="000000"/>
          <w:kern w:val="0"/>
          <w:sz w:val="21"/>
          <w:szCs w:val="21"/>
          <w:highlight w:val="none"/>
          <w:shd w:val="clear" w:color="auto" w:fill="auto"/>
        </w:rPr>
        <w:t>个工作日。</w:t>
      </w:r>
    </w:p>
    <w:p w14:paraId="45D515F7">
      <w:pPr>
        <w:keepNext w:val="0"/>
        <w:keepLines w:val="0"/>
        <w:pageBreakBefore w:val="0"/>
        <w:kinsoku/>
        <w:wordWrap/>
        <w:overflowPunct/>
        <w:topLinePunct w:val="0"/>
        <w:bidi w:val="0"/>
        <w:spacing w:line="380" w:lineRule="exact"/>
        <w:ind w:left="0" w:right="0"/>
        <w:jc w:val="both"/>
        <w:outlineLvl w:val="1"/>
        <w:rPr>
          <w:rFonts w:hint="eastAsia" w:ascii="宋体" w:hAnsi="宋体" w:eastAsia="宋体" w:cs="宋体"/>
          <w:b/>
          <w:bCs/>
          <w:color w:val="000000"/>
          <w:sz w:val="21"/>
          <w:szCs w:val="21"/>
          <w:highlight w:val="none"/>
          <w:shd w:val="clear" w:color="auto" w:fill="auto"/>
        </w:rPr>
      </w:pPr>
      <w:bookmarkStart w:id="62" w:name="_Toc35393795"/>
      <w:bookmarkStart w:id="63" w:name="_Toc35393626"/>
      <w:bookmarkStart w:id="64" w:name="_Toc17380"/>
      <w:bookmarkStart w:id="65" w:name="_Toc29045"/>
      <w:r>
        <w:rPr>
          <w:rFonts w:hint="eastAsia" w:ascii="宋体" w:hAnsi="宋体" w:eastAsia="宋体" w:cs="宋体"/>
          <w:b/>
          <w:bCs/>
          <w:color w:val="000000"/>
          <w:sz w:val="21"/>
          <w:szCs w:val="21"/>
          <w:highlight w:val="none"/>
          <w:shd w:val="clear" w:color="auto" w:fill="auto"/>
        </w:rPr>
        <w:t>七、其他补充事宜</w:t>
      </w:r>
      <w:bookmarkEnd w:id="62"/>
      <w:bookmarkEnd w:id="63"/>
      <w:bookmarkEnd w:id="64"/>
      <w:bookmarkEnd w:id="65"/>
    </w:p>
    <w:p w14:paraId="47122127">
      <w:pPr>
        <w:keepNext w:val="0"/>
        <w:keepLines w:val="0"/>
        <w:pageBreakBefore w:val="0"/>
        <w:kinsoku/>
        <w:wordWrap/>
        <w:overflowPunct/>
        <w:topLinePunct w:val="0"/>
        <w:bidi w:val="0"/>
        <w:spacing w:line="380" w:lineRule="exact"/>
        <w:ind w:left="0" w:right="0" w:firstLine="420" w:firstLineChars="200"/>
        <w:jc w:val="both"/>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1、本项目无需交纳磋商保证金。</w:t>
      </w:r>
    </w:p>
    <w:p w14:paraId="611CFF9C">
      <w:pPr>
        <w:keepNext w:val="0"/>
        <w:keepLines w:val="0"/>
        <w:pageBreakBefore w:val="0"/>
        <w:kinsoku/>
        <w:wordWrap/>
        <w:overflowPunct/>
        <w:topLinePunct w:val="0"/>
        <w:bidi w:val="0"/>
        <w:spacing w:line="380" w:lineRule="exact"/>
        <w:ind w:left="0" w:right="0" w:firstLine="420" w:firstLineChars="200"/>
        <w:jc w:val="both"/>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单位负责人为同一人或者存在直接控股、管理关系的不同供应商，不得参加同一合同项下的政府采购活动。除单一来源采购项目外，为本项目提供过整体设计、规范编制或者项目管理、监理、检测等服务的供应商，不得再参加本项目上述服务以外的其他采购活动。</w:t>
      </w:r>
    </w:p>
    <w:p w14:paraId="1313AFEB">
      <w:pPr>
        <w:keepNext w:val="0"/>
        <w:keepLines w:val="0"/>
        <w:pageBreakBefore w:val="0"/>
        <w:kinsoku/>
        <w:wordWrap/>
        <w:overflowPunct/>
        <w:topLinePunct w:val="0"/>
        <w:bidi w:val="0"/>
        <w:spacing w:line="380" w:lineRule="exact"/>
        <w:ind w:left="0" w:right="0" w:firstLine="420" w:firstLineChars="200"/>
        <w:jc w:val="both"/>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3、对在“信用中国”网站(www.creditchina.gov.cn)、中国政府采购网(www.ccgp.gov.cn)等渠道列入失信被执行人、</w:t>
      </w:r>
      <w:r>
        <w:rPr>
          <w:rFonts w:hint="eastAsia" w:ascii="宋体" w:hAnsi="宋体" w:eastAsia="宋体" w:cs="宋体"/>
          <w:color w:val="000000"/>
          <w:sz w:val="21"/>
          <w:szCs w:val="21"/>
          <w:highlight w:val="none"/>
          <w:shd w:val="clear" w:color="auto" w:fill="auto"/>
          <w:lang w:eastAsia="zh-CN"/>
        </w:rPr>
        <w:t>重大税收违法失信主体</w:t>
      </w:r>
      <w:r>
        <w:rPr>
          <w:rFonts w:hint="eastAsia" w:ascii="宋体" w:hAnsi="宋体" w:eastAsia="宋体" w:cs="宋体"/>
          <w:color w:val="000000"/>
          <w:sz w:val="21"/>
          <w:szCs w:val="21"/>
          <w:highlight w:val="none"/>
          <w:shd w:val="clear" w:color="auto" w:fill="auto"/>
        </w:rPr>
        <w:t>、政府采购严重违法失信行为记录名单及其他不符合《中华人民共和国政府采购法》第二十二条规定条件的供应商，不得参与政府采购活动。</w:t>
      </w:r>
    </w:p>
    <w:p w14:paraId="56C1A821">
      <w:pPr>
        <w:keepNext w:val="0"/>
        <w:keepLines w:val="0"/>
        <w:pageBreakBefore w:val="0"/>
        <w:kinsoku/>
        <w:wordWrap/>
        <w:overflowPunct/>
        <w:topLinePunct w:val="0"/>
        <w:bidi w:val="0"/>
        <w:spacing w:line="380" w:lineRule="exact"/>
        <w:ind w:left="0" w:right="0" w:firstLine="420" w:firstLineChars="200"/>
        <w:jc w:val="both"/>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4、本项目信息发布媒体：http://www.ccgp.gov.cn（中国政府采购网）、http://www.ccgp-guangxi.gov.cn/（广西壮族自治区政府采购网）、http://zfcg.czj.guilin.gov.cn/（桂林市政府采购网）。</w:t>
      </w:r>
    </w:p>
    <w:p w14:paraId="02503EF9">
      <w:pPr>
        <w:pStyle w:val="78"/>
        <w:keepNext w:val="0"/>
        <w:keepLines w:val="0"/>
        <w:pageBreakBefore w:val="0"/>
        <w:kinsoku/>
        <w:wordWrap/>
        <w:overflowPunct/>
        <w:topLinePunct w:val="0"/>
        <w:bidi w:val="0"/>
        <w:spacing w:line="380" w:lineRule="exact"/>
        <w:ind w:left="0" w:right="0" w:firstLine="420" w:firstLineChars="200"/>
        <w:jc w:val="both"/>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5、磋商响应文件解密时间：</w:t>
      </w:r>
    </w:p>
    <w:p w14:paraId="1FF1ACDA">
      <w:pPr>
        <w:pStyle w:val="78"/>
        <w:keepNext w:val="0"/>
        <w:keepLines w:val="0"/>
        <w:pageBreakBefore w:val="0"/>
        <w:kinsoku/>
        <w:wordWrap/>
        <w:overflowPunct/>
        <w:topLinePunct w:val="0"/>
        <w:bidi w:val="0"/>
        <w:spacing w:line="380" w:lineRule="exact"/>
        <w:ind w:left="0" w:right="0" w:firstLine="420" w:firstLineChars="200"/>
        <w:jc w:val="both"/>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截标时间后</w:t>
      </w:r>
      <w:r>
        <w:rPr>
          <w:rFonts w:hint="eastAsia" w:ascii="宋体" w:hAnsi="宋体" w:eastAsia="宋体" w:cs="宋体"/>
          <w:color w:val="000000"/>
          <w:sz w:val="21"/>
          <w:szCs w:val="21"/>
          <w:highlight w:val="none"/>
          <w:u w:val="single"/>
          <w:shd w:val="clear" w:color="auto" w:fill="auto"/>
        </w:rPr>
        <w:t>30</w:t>
      </w:r>
      <w:r>
        <w:rPr>
          <w:rFonts w:hint="eastAsia" w:ascii="宋体" w:hAnsi="宋体" w:eastAsia="宋体" w:cs="宋体"/>
          <w:color w:val="000000"/>
          <w:sz w:val="21"/>
          <w:szCs w:val="21"/>
          <w:highlight w:val="none"/>
          <w:shd w:val="clear" w:color="auto" w:fill="auto"/>
        </w:rPr>
        <w:t>分钟内（</w:t>
      </w:r>
      <w:r>
        <w:rPr>
          <w:rFonts w:hint="eastAsia" w:ascii="宋体" w:hAnsi="宋体" w:eastAsia="宋体" w:cs="宋体"/>
          <w:color w:val="000000"/>
          <w:sz w:val="21"/>
          <w:szCs w:val="21"/>
          <w:highlight w:val="none"/>
          <w:u w:val="single"/>
          <w:shd w:val="clear" w:color="auto" w:fill="auto"/>
          <w:lang w:eastAsia="zh-CN"/>
        </w:rPr>
        <w:t>2025年07月11日</w:t>
      </w:r>
      <w:r>
        <w:rPr>
          <w:rFonts w:hint="eastAsia" w:ascii="宋体" w:hAnsi="宋体" w:eastAsia="宋体" w:cs="宋体"/>
          <w:color w:val="000000"/>
          <w:sz w:val="21"/>
          <w:szCs w:val="21"/>
          <w:highlight w:val="none"/>
          <w:u w:val="single"/>
          <w:shd w:val="clear" w:color="auto" w:fill="auto"/>
          <w:lang w:val="en-US" w:eastAsia="zh-CN"/>
        </w:rPr>
        <w:t>09</w:t>
      </w:r>
      <w:r>
        <w:rPr>
          <w:rFonts w:hint="eastAsia" w:ascii="宋体" w:hAnsi="宋体" w:eastAsia="宋体" w:cs="宋体"/>
          <w:color w:val="000000"/>
          <w:sz w:val="21"/>
          <w:szCs w:val="21"/>
          <w:highlight w:val="none"/>
          <w:u w:val="single"/>
          <w:shd w:val="clear" w:color="auto" w:fill="auto"/>
        </w:rPr>
        <w:t>时30分至1</w:t>
      </w:r>
      <w:r>
        <w:rPr>
          <w:rFonts w:hint="eastAsia" w:ascii="宋体" w:hAnsi="宋体" w:eastAsia="宋体" w:cs="宋体"/>
          <w:color w:val="000000"/>
          <w:sz w:val="21"/>
          <w:szCs w:val="21"/>
          <w:highlight w:val="none"/>
          <w:u w:val="single"/>
          <w:shd w:val="clear" w:color="auto" w:fill="auto"/>
          <w:lang w:val="en-US" w:eastAsia="zh-CN"/>
        </w:rPr>
        <w:t>0</w:t>
      </w:r>
      <w:r>
        <w:rPr>
          <w:rFonts w:hint="eastAsia" w:ascii="宋体" w:hAnsi="宋体" w:eastAsia="宋体" w:cs="宋体"/>
          <w:color w:val="000000"/>
          <w:sz w:val="21"/>
          <w:szCs w:val="21"/>
          <w:highlight w:val="none"/>
          <w:u w:val="single"/>
          <w:shd w:val="clear" w:color="auto" w:fill="auto"/>
        </w:rPr>
        <w:t>时00分</w:t>
      </w:r>
      <w:r>
        <w:rPr>
          <w:rFonts w:hint="eastAsia" w:ascii="宋体" w:hAnsi="宋体" w:eastAsia="宋体" w:cs="宋体"/>
          <w:color w:val="000000"/>
          <w:sz w:val="21"/>
          <w:szCs w:val="21"/>
          <w:highlight w:val="none"/>
          <w:shd w:val="clear" w:color="auto" w:fill="auto"/>
        </w:rPr>
        <w:t>)磋商供应商可以登录</w:t>
      </w:r>
      <w:r>
        <w:rPr>
          <w:rFonts w:hint="eastAsia" w:ascii="宋体" w:hAnsi="宋体" w:eastAsia="宋体" w:cs="宋体"/>
          <w:color w:val="000000"/>
          <w:sz w:val="21"/>
          <w:szCs w:val="21"/>
          <w:highlight w:val="none"/>
          <w:shd w:val="clear" w:color="auto" w:fill="auto"/>
          <w:lang w:eastAsia="zh-CN"/>
        </w:rPr>
        <w:t>广西政府采购云平台</w:t>
      </w:r>
      <w:r>
        <w:rPr>
          <w:rFonts w:hint="eastAsia" w:ascii="宋体" w:hAnsi="宋体" w:eastAsia="宋体" w:cs="宋体"/>
          <w:color w:val="000000"/>
          <w:sz w:val="21"/>
          <w:szCs w:val="21"/>
          <w:highlight w:val="none"/>
          <w:shd w:val="clear" w:color="auto" w:fill="auto"/>
        </w:rPr>
        <w:t>，用“项目采购-开标评标”功能进行解密电子磋商响应文件。若磋商供应商在规定时间内无法解密或解密失败，可以以电子备份磋商响应文件作为依据【</w:t>
      </w:r>
      <w:r>
        <w:rPr>
          <w:rFonts w:hint="eastAsia" w:ascii="宋体" w:hAnsi="宋体" w:eastAsia="宋体" w:cs="宋体"/>
          <w:bCs/>
          <w:color w:val="000000"/>
          <w:sz w:val="21"/>
          <w:szCs w:val="21"/>
          <w:highlight w:val="none"/>
          <w:shd w:val="clear" w:color="auto" w:fill="auto"/>
        </w:rPr>
        <w:t>在接到无法解密或解密失败的通知后，供应商可根据自身实际情况按通知时要求的时间到桂林市公共资源交易中心</w:t>
      </w:r>
      <w:r>
        <w:rPr>
          <w:rFonts w:hint="eastAsia" w:ascii="宋体" w:hAnsi="宋体" w:eastAsia="宋体" w:cs="宋体"/>
          <w:bCs/>
          <w:color w:val="000000"/>
          <w:sz w:val="21"/>
          <w:szCs w:val="21"/>
          <w:highlight w:val="none"/>
          <w:u w:val="single"/>
          <w:shd w:val="clear" w:color="auto" w:fill="auto"/>
          <w:lang w:val="en-US" w:eastAsia="zh-CN"/>
        </w:rPr>
        <w:t>10</w:t>
      </w:r>
      <w:r>
        <w:rPr>
          <w:rFonts w:hint="eastAsia" w:ascii="宋体" w:hAnsi="宋体" w:eastAsia="宋体" w:cs="宋体"/>
          <w:bCs/>
          <w:color w:val="000000"/>
          <w:sz w:val="21"/>
          <w:szCs w:val="21"/>
          <w:highlight w:val="none"/>
          <w:shd w:val="clear" w:color="auto" w:fill="auto"/>
        </w:rPr>
        <w:t>号政采开标仓现场提交或以电子邮件的形式（以通知时所告知的电子邮箱地址为准）提交电子备份磋商响应文件</w:t>
      </w:r>
      <w:r>
        <w:rPr>
          <w:rFonts w:hint="eastAsia" w:ascii="宋体" w:hAnsi="宋体" w:eastAsia="宋体" w:cs="宋体"/>
          <w:color w:val="000000"/>
          <w:sz w:val="21"/>
          <w:szCs w:val="21"/>
          <w:highlight w:val="none"/>
          <w:shd w:val="clear" w:color="auto" w:fill="auto"/>
        </w:rPr>
        <w:t>】，若磋商供应商在规定时间内无法解密或解密失败且未提供电子备份磋商响应文件的(包含提供的电子备份文件无效或无法解密的情况)，视为无效响应。</w:t>
      </w:r>
    </w:p>
    <w:p w14:paraId="517E3021">
      <w:pPr>
        <w:pStyle w:val="78"/>
        <w:keepNext w:val="0"/>
        <w:keepLines w:val="0"/>
        <w:pageBreakBefore w:val="0"/>
        <w:kinsoku/>
        <w:wordWrap/>
        <w:overflowPunct/>
        <w:topLinePunct w:val="0"/>
        <w:bidi w:val="0"/>
        <w:spacing w:line="380" w:lineRule="exact"/>
        <w:ind w:left="0" w:right="0" w:firstLine="420" w:firstLineChars="200"/>
        <w:jc w:val="both"/>
        <w:rPr>
          <w:rFonts w:hint="eastAsia" w:ascii="宋体" w:hAnsi="宋体" w:eastAsia="宋体" w:cs="宋体"/>
          <w:bCs/>
          <w:color w:val="000000"/>
          <w:sz w:val="21"/>
          <w:szCs w:val="21"/>
          <w:highlight w:val="none"/>
          <w:shd w:val="clear" w:color="auto" w:fill="auto"/>
        </w:rPr>
      </w:pPr>
      <w:r>
        <w:rPr>
          <w:rFonts w:hint="eastAsia" w:ascii="宋体" w:hAnsi="宋体" w:eastAsia="宋体" w:cs="宋体"/>
          <w:bCs/>
          <w:color w:val="000000"/>
          <w:sz w:val="21"/>
          <w:szCs w:val="21"/>
          <w:highlight w:val="none"/>
          <w:shd w:val="clear" w:color="auto" w:fill="auto"/>
        </w:rPr>
        <w:t>6、本项目需要落实的政府采购政策：</w:t>
      </w:r>
    </w:p>
    <w:p w14:paraId="2FDEF718">
      <w:pPr>
        <w:pStyle w:val="78"/>
        <w:keepNext w:val="0"/>
        <w:keepLines w:val="0"/>
        <w:pageBreakBefore w:val="0"/>
        <w:kinsoku/>
        <w:wordWrap/>
        <w:overflowPunct/>
        <w:topLinePunct w:val="0"/>
        <w:bidi w:val="0"/>
        <w:spacing w:line="380" w:lineRule="exact"/>
        <w:ind w:left="0" w:right="0" w:firstLine="420" w:firstLineChars="200"/>
        <w:jc w:val="both"/>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（1）政府采购促进中小企业发展。</w:t>
      </w:r>
    </w:p>
    <w:p w14:paraId="31AAA15C">
      <w:pPr>
        <w:pStyle w:val="78"/>
        <w:keepNext w:val="0"/>
        <w:keepLines w:val="0"/>
        <w:pageBreakBefore w:val="0"/>
        <w:kinsoku/>
        <w:wordWrap/>
        <w:overflowPunct/>
        <w:topLinePunct w:val="0"/>
        <w:bidi w:val="0"/>
        <w:spacing w:line="380" w:lineRule="exact"/>
        <w:ind w:left="0" w:right="0" w:firstLine="420" w:firstLineChars="200"/>
        <w:jc w:val="both"/>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（2）政府采购促进残疾人就业政策。</w:t>
      </w:r>
    </w:p>
    <w:p w14:paraId="23E5A047">
      <w:pPr>
        <w:pStyle w:val="78"/>
        <w:keepNext w:val="0"/>
        <w:keepLines w:val="0"/>
        <w:pageBreakBefore w:val="0"/>
        <w:kinsoku/>
        <w:wordWrap/>
        <w:overflowPunct/>
        <w:topLinePunct w:val="0"/>
        <w:bidi w:val="0"/>
        <w:spacing w:line="380" w:lineRule="exact"/>
        <w:ind w:left="0" w:right="0" w:firstLine="420" w:firstLineChars="200"/>
        <w:jc w:val="both"/>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（3）政府采购支持监狱企业发展。</w:t>
      </w:r>
    </w:p>
    <w:p w14:paraId="28BA9E4C">
      <w:pPr>
        <w:keepNext w:val="0"/>
        <w:keepLines w:val="0"/>
        <w:pageBreakBefore w:val="0"/>
        <w:kinsoku/>
        <w:wordWrap/>
        <w:overflowPunct/>
        <w:topLinePunct w:val="0"/>
        <w:bidi w:val="0"/>
        <w:spacing w:line="380" w:lineRule="exact"/>
        <w:ind w:left="0" w:right="0" w:firstLine="420" w:firstLineChars="200"/>
        <w:jc w:val="both"/>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7、本项目所属行业：</w:t>
      </w:r>
      <w:r>
        <w:rPr>
          <w:rFonts w:hint="eastAsia" w:ascii="宋体" w:hAnsi="宋体" w:eastAsia="宋体" w:cs="宋体"/>
          <w:color w:val="000000"/>
          <w:sz w:val="21"/>
          <w:szCs w:val="21"/>
          <w:highlight w:val="none"/>
          <w:u w:val="single"/>
          <w:shd w:val="clear" w:color="auto" w:fill="auto"/>
        </w:rPr>
        <w:t>建筑业</w:t>
      </w:r>
    </w:p>
    <w:p w14:paraId="0400E746">
      <w:pPr>
        <w:keepNext w:val="0"/>
        <w:keepLines w:val="0"/>
        <w:pageBreakBefore w:val="0"/>
        <w:kinsoku/>
        <w:wordWrap/>
        <w:overflowPunct/>
        <w:topLinePunct w:val="0"/>
        <w:bidi w:val="0"/>
        <w:spacing w:line="380" w:lineRule="exact"/>
        <w:ind w:left="0" w:right="0" w:firstLine="420" w:firstLineChars="200"/>
        <w:jc w:val="both"/>
        <w:outlineLvl w:val="1"/>
        <w:rPr>
          <w:rFonts w:hint="eastAsia" w:ascii="宋体" w:hAnsi="宋体" w:eastAsia="宋体" w:cs="宋体"/>
          <w:color w:val="000000"/>
          <w:sz w:val="21"/>
          <w:szCs w:val="21"/>
          <w:highlight w:val="none"/>
          <w:shd w:val="clear" w:color="auto" w:fill="auto"/>
        </w:rPr>
      </w:pPr>
      <w:bookmarkStart w:id="66" w:name="_Toc10383"/>
      <w:bookmarkStart w:id="67" w:name="_Toc29913"/>
      <w:r>
        <w:rPr>
          <w:rFonts w:hint="eastAsia" w:ascii="宋体" w:hAnsi="宋体" w:eastAsia="宋体" w:cs="宋体"/>
          <w:color w:val="000000"/>
          <w:sz w:val="21"/>
          <w:szCs w:val="21"/>
          <w:highlight w:val="none"/>
          <w:shd w:val="clear" w:color="auto" w:fill="auto"/>
        </w:rPr>
        <w:t>8、在线响应（电子响应）说明</w:t>
      </w:r>
      <w:bookmarkEnd w:id="66"/>
      <w:r>
        <w:rPr>
          <w:rFonts w:hint="eastAsia" w:ascii="宋体" w:hAnsi="宋体" w:eastAsia="宋体" w:cs="宋体"/>
          <w:color w:val="000000"/>
          <w:sz w:val="21"/>
          <w:szCs w:val="21"/>
          <w:highlight w:val="none"/>
          <w:shd w:val="clear" w:color="auto" w:fill="auto"/>
        </w:rPr>
        <w:t>：</w:t>
      </w:r>
      <w:bookmarkEnd w:id="67"/>
    </w:p>
    <w:p w14:paraId="7B1225A3">
      <w:pPr>
        <w:keepNext w:val="0"/>
        <w:keepLines w:val="0"/>
        <w:pageBreakBefore w:val="0"/>
        <w:kinsoku/>
        <w:wordWrap/>
        <w:overflowPunct/>
        <w:topLinePunct w:val="0"/>
        <w:bidi w:val="0"/>
        <w:spacing w:line="380" w:lineRule="exact"/>
        <w:ind w:left="0" w:right="0" w:firstLine="420" w:firstLineChars="200"/>
        <w:jc w:val="both"/>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（1）本项目通过</w:t>
      </w:r>
      <w:r>
        <w:rPr>
          <w:rFonts w:hint="eastAsia" w:ascii="宋体" w:hAnsi="宋体" w:eastAsia="宋体" w:cs="宋体"/>
          <w:color w:val="000000"/>
          <w:sz w:val="21"/>
          <w:szCs w:val="21"/>
          <w:highlight w:val="none"/>
          <w:shd w:val="clear" w:color="auto" w:fill="auto"/>
          <w:lang w:eastAsia="zh-CN"/>
        </w:rPr>
        <w:t>广西政府采购云平台</w:t>
      </w:r>
      <w:r>
        <w:rPr>
          <w:rFonts w:hint="eastAsia" w:ascii="宋体" w:hAnsi="宋体" w:eastAsia="宋体" w:cs="宋体"/>
          <w:color w:val="000000"/>
          <w:sz w:val="21"/>
          <w:szCs w:val="21"/>
          <w:highlight w:val="none"/>
          <w:shd w:val="clear" w:color="auto" w:fill="auto"/>
        </w:rPr>
        <w:t>实行在线响应（电子响应），供应商需要先安装“</w:t>
      </w:r>
      <w:r>
        <w:rPr>
          <w:rFonts w:hint="eastAsia" w:ascii="宋体" w:hAnsi="宋体" w:eastAsia="宋体" w:cs="宋体"/>
          <w:color w:val="000000"/>
          <w:sz w:val="21"/>
          <w:szCs w:val="21"/>
          <w:highlight w:val="none"/>
          <w:shd w:val="clear" w:color="auto" w:fill="auto"/>
          <w:lang w:eastAsia="zh-CN"/>
        </w:rPr>
        <w:t>广西政府采购云平台</w:t>
      </w:r>
      <w:r>
        <w:rPr>
          <w:rFonts w:hint="eastAsia" w:ascii="宋体" w:hAnsi="宋体" w:eastAsia="宋体" w:cs="宋体"/>
          <w:color w:val="000000"/>
          <w:sz w:val="21"/>
          <w:szCs w:val="21"/>
          <w:highlight w:val="none"/>
          <w:shd w:val="clear" w:color="auto" w:fill="auto"/>
        </w:rPr>
        <w:t>电子交易客户端”，并按照本磋商文件和</w:t>
      </w:r>
      <w:r>
        <w:rPr>
          <w:rFonts w:hint="eastAsia" w:ascii="宋体" w:hAnsi="宋体" w:eastAsia="宋体" w:cs="宋体"/>
          <w:color w:val="000000"/>
          <w:sz w:val="21"/>
          <w:szCs w:val="21"/>
          <w:highlight w:val="none"/>
          <w:shd w:val="clear" w:color="auto" w:fill="auto"/>
          <w:lang w:eastAsia="zh-CN"/>
        </w:rPr>
        <w:t>广西政府采购云平台</w:t>
      </w:r>
      <w:r>
        <w:rPr>
          <w:rFonts w:hint="eastAsia" w:ascii="宋体" w:hAnsi="宋体" w:eastAsia="宋体" w:cs="宋体"/>
          <w:color w:val="000000"/>
          <w:sz w:val="21"/>
          <w:szCs w:val="21"/>
          <w:highlight w:val="none"/>
          <w:shd w:val="clear" w:color="auto" w:fill="auto"/>
        </w:rPr>
        <w:t>的要求，通过“</w:t>
      </w:r>
      <w:r>
        <w:rPr>
          <w:rFonts w:hint="eastAsia" w:ascii="宋体" w:hAnsi="宋体" w:eastAsia="宋体" w:cs="宋体"/>
          <w:color w:val="000000"/>
          <w:sz w:val="21"/>
          <w:szCs w:val="21"/>
          <w:highlight w:val="none"/>
          <w:shd w:val="clear" w:color="auto" w:fill="auto"/>
          <w:lang w:eastAsia="zh-CN"/>
        </w:rPr>
        <w:t>广西政府采购云平台</w:t>
      </w:r>
      <w:r>
        <w:rPr>
          <w:rFonts w:hint="eastAsia" w:ascii="宋体" w:hAnsi="宋体" w:eastAsia="宋体" w:cs="宋体"/>
          <w:color w:val="000000"/>
          <w:sz w:val="21"/>
          <w:szCs w:val="21"/>
          <w:highlight w:val="none"/>
          <w:shd w:val="clear" w:color="auto" w:fill="auto"/>
        </w:rPr>
        <w:t>电子交易客户端”编制并加密响应文件。供应商未按规定编制并加密的响应文件，</w:t>
      </w:r>
      <w:r>
        <w:rPr>
          <w:rFonts w:hint="eastAsia" w:ascii="宋体" w:hAnsi="宋体" w:eastAsia="宋体" w:cs="宋体"/>
          <w:color w:val="000000"/>
          <w:sz w:val="21"/>
          <w:szCs w:val="21"/>
          <w:highlight w:val="none"/>
          <w:shd w:val="clear" w:color="auto" w:fill="auto"/>
          <w:lang w:eastAsia="zh-CN"/>
        </w:rPr>
        <w:t>广西政府采购云平台</w:t>
      </w:r>
      <w:r>
        <w:rPr>
          <w:rFonts w:hint="eastAsia" w:ascii="宋体" w:hAnsi="宋体" w:eastAsia="宋体" w:cs="宋体"/>
          <w:color w:val="000000"/>
          <w:sz w:val="21"/>
          <w:szCs w:val="21"/>
          <w:highlight w:val="none"/>
          <w:shd w:val="clear" w:color="auto" w:fill="auto"/>
        </w:rPr>
        <w:t>将予以拒收。</w:t>
      </w:r>
    </w:p>
    <w:p w14:paraId="359BB31C">
      <w:pPr>
        <w:pStyle w:val="78"/>
        <w:keepNext w:val="0"/>
        <w:keepLines w:val="0"/>
        <w:pageBreakBefore w:val="0"/>
        <w:kinsoku/>
        <w:wordWrap/>
        <w:overflowPunct/>
        <w:topLinePunct w:val="0"/>
        <w:bidi w:val="0"/>
        <w:spacing w:line="380" w:lineRule="exact"/>
        <w:ind w:left="0" w:right="0" w:firstLine="420" w:firstLineChars="200"/>
        <w:jc w:val="both"/>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w:t>
      </w:r>
      <w:r>
        <w:rPr>
          <w:rFonts w:hint="eastAsia" w:ascii="宋体" w:hAnsi="宋体" w:eastAsia="宋体" w:cs="宋体"/>
          <w:color w:val="000000"/>
          <w:sz w:val="21"/>
          <w:szCs w:val="21"/>
          <w:highlight w:val="none"/>
          <w:shd w:val="clear" w:color="auto" w:fill="auto"/>
          <w:lang w:eastAsia="zh-CN"/>
        </w:rPr>
        <w:t>广西政府采购云平台</w:t>
      </w:r>
      <w:r>
        <w:rPr>
          <w:rFonts w:hint="eastAsia" w:ascii="宋体" w:hAnsi="宋体" w:eastAsia="宋体" w:cs="宋体"/>
          <w:color w:val="000000"/>
          <w:sz w:val="21"/>
          <w:szCs w:val="21"/>
          <w:highlight w:val="none"/>
          <w:shd w:val="clear" w:color="auto" w:fill="auto"/>
        </w:rPr>
        <w:t>电子交易客户端”请自行前往广西政府采购网下载并安装（广西政府采购网（访问地址http://zfcg.gxzf.gov.cn/）—办事服务—下载专区）；电子响应具体操作流程参考《政府采购项目电子交易管理操作指南-供应商》；在使用</w:t>
      </w:r>
      <w:r>
        <w:rPr>
          <w:rFonts w:hint="eastAsia" w:ascii="宋体" w:hAnsi="宋体" w:eastAsia="宋体" w:cs="宋体"/>
          <w:color w:val="000000"/>
          <w:sz w:val="21"/>
          <w:szCs w:val="21"/>
          <w:highlight w:val="none"/>
          <w:shd w:val="clear" w:color="auto" w:fill="auto"/>
          <w:lang w:eastAsia="zh-CN"/>
        </w:rPr>
        <w:t>广西政府采购云平台</w:t>
      </w:r>
      <w:r>
        <w:rPr>
          <w:rFonts w:hint="eastAsia" w:ascii="宋体" w:hAnsi="宋体" w:eastAsia="宋体" w:cs="宋体"/>
          <w:color w:val="000000"/>
          <w:sz w:val="21"/>
          <w:szCs w:val="21"/>
          <w:highlight w:val="none"/>
          <w:shd w:val="clear" w:color="auto" w:fill="auto"/>
        </w:rPr>
        <w:t>投标客户端时，建议使用WIN7及以上操作系统，通过</w:t>
      </w:r>
      <w:r>
        <w:rPr>
          <w:rFonts w:hint="eastAsia" w:ascii="宋体" w:hAnsi="宋体" w:eastAsia="宋体" w:cs="宋体"/>
          <w:color w:val="000000"/>
          <w:sz w:val="21"/>
          <w:szCs w:val="21"/>
          <w:highlight w:val="none"/>
          <w:shd w:val="clear" w:color="auto" w:fill="auto"/>
          <w:lang w:eastAsia="zh-CN"/>
        </w:rPr>
        <w:t>广西政府采购云平台</w:t>
      </w:r>
      <w:r>
        <w:rPr>
          <w:rFonts w:hint="eastAsia" w:ascii="宋体" w:hAnsi="宋体" w:eastAsia="宋体" w:cs="宋体"/>
          <w:color w:val="000000"/>
          <w:sz w:val="21"/>
          <w:szCs w:val="21"/>
          <w:highlight w:val="none"/>
          <w:shd w:val="clear" w:color="auto" w:fill="auto"/>
        </w:rPr>
        <w:t>参与在线响应时如遇平台技术问题详询</w:t>
      </w:r>
      <w:r>
        <w:rPr>
          <w:rFonts w:hint="eastAsia" w:ascii="宋体" w:hAnsi="宋体" w:eastAsia="宋体" w:cs="宋体"/>
          <w:color w:val="000000"/>
          <w:sz w:val="21"/>
          <w:szCs w:val="21"/>
          <w:highlight w:val="none"/>
          <w:shd w:val="clear" w:color="auto" w:fill="auto"/>
          <w:lang w:eastAsia="zh-CN"/>
        </w:rPr>
        <w:t>400-881-7190或95763</w:t>
      </w:r>
      <w:r>
        <w:rPr>
          <w:rFonts w:hint="eastAsia" w:ascii="宋体" w:hAnsi="宋体" w:eastAsia="宋体" w:cs="宋体"/>
          <w:color w:val="000000"/>
          <w:sz w:val="21"/>
          <w:szCs w:val="21"/>
          <w:highlight w:val="none"/>
          <w:shd w:val="clear" w:color="auto" w:fill="auto"/>
        </w:rPr>
        <w:t>。</w:t>
      </w:r>
    </w:p>
    <w:p w14:paraId="5C83F126">
      <w:pPr>
        <w:keepNext w:val="0"/>
        <w:keepLines w:val="0"/>
        <w:pageBreakBefore w:val="0"/>
        <w:kinsoku/>
        <w:wordWrap/>
        <w:overflowPunct/>
        <w:topLinePunct w:val="0"/>
        <w:bidi w:val="0"/>
        <w:spacing w:line="380" w:lineRule="exact"/>
        <w:ind w:left="0" w:right="0" w:firstLine="420" w:firstLineChars="200"/>
        <w:jc w:val="both"/>
        <w:rPr>
          <w:rFonts w:hint="eastAsia" w:ascii="宋体" w:hAnsi="宋体" w:eastAsia="宋体" w:cs="宋体"/>
          <w:b/>
          <w:bCs/>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（2）为确保网上操作合法、有效和安全，磋商供应商应当在磋商截止时间前完成在“政府采购云平台”的身份认证，确保在电子响应过程中能够对相关数据电文进行加密和使用电子签章。使用“</w:t>
      </w:r>
      <w:r>
        <w:rPr>
          <w:rFonts w:hint="eastAsia" w:ascii="宋体" w:hAnsi="宋体" w:eastAsia="宋体" w:cs="宋体"/>
          <w:color w:val="000000"/>
          <w:sz w:val="21"/>
          <w:szCs w:val="21"/>
          <w:highlight w:val="none"/>
          <w:shd w:val="clear" w:color="auto" w:fill="auto"/>
          <w:lang w:eastAsia="zh-CN"/>
        </w:rPr>
        <w:t>广西政府采购云平台</w:t>
      </w:r>
      <w:r>
        <w:rPr>
          <w:rFonts w:hint="eastAsia" w:ascii="宋体" w:hAnsi="宋体" w:eastAsia="宋体" w:cs="宋体"/>
          <w:color w:val="000000"/>
          <w:sz w:val="21"/>
          <w:szCs w:val="21"/>
          <w:highlight w:val="none"/>
          <w:shd w:val="clear" w:color="auto" w:fill="auto"/>
        </w:rPr>
        <w:t>电子交易客户端”需要提前申领CA数字证书，申领流程请自行前往</w:t>
      </w:r>
      <w:r>
        <w:rPr>
          <w:rFonts w:hint="eastAsia" w:ascii="宋体" w:hAnsi="宋体" w:eastAsia="宋体" w:cs="宋体"/>
          <w:color w:val="000000"/>
          <w:sz w:val="21"/>
          <w:szCs w:val="21"/>
          <w:highlight w:val="none"/>
          <w:shd w:val="clear" w:color="auto" w:fill="auto"/>
          <w:lang w:eastAsia="zh-CN"/>
        </w:rPr>
        <w:t>广西政府采购云平台</w:t>
      </w:r>
      <w:r>
        <w:rPr>
          <w:rFonts w:hint="eastAsia" w:ascii="宋体" w:hAnsi="宋体" w:eastAsia="宋体" w:cs="宋体"/>
          <w:color w:val="000000"/>
          <w:sz w:val="21"/>
          <w:szCs w:val="21"/>
          <w:highlight w:val="none"/>
          <w:shd w:val="clear" w:color="auto" w:fill="auto"/>
        </w:rPr>
        <w:t>网站进行查阅；</w:t>
      </w:r>
      <w:r>
        <w:rPr>
          <w:rFonts w:hint="eastAsia" w:ascii="宋体" w:hAnsi="宋体" w:eastAsia="宋体" w:cs="宋体"/>
          <w:b/>
          <w:bCs/>
          <w:color w:val="000000"/>
          <w:sz w:val="21"/>
          <w:szCs w:val="21"/>
          <w:highlight w:val="none"/>
          <w:shd w:val="clear" w:color="auto" w:fill="auto"/>
        </w:rPr>
        <w:t>（完成CA数字证书办理预计一周左右，建议供应商获取竞争性磋商文件后立即办理。）</w:t>
      </w:r>
    </w:p>
    <w:p w14:paraId="5811E660">
      <w:pPr>
        <w:keepNext w:val="0"/>
        <w:keepLines w:val="0"/>
        <w:pageBreakBefore w:val="0"/>
        <w:kinsoku/>
        <w:wordWrap/>
        <w:overflowPunct/>
        <w:topLinePunct w:val="0"/>
        <w:bidi w:val="0"/>
        <w:spacing w:line="380" w:lineRule="exact"/>
        <w:ind w:left="0" w:right="0" w:firstLine="420" w:firstLineChars="200"/>
        <w:jc w:val="both"/>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（3）磋商供应商应当在磋商截止时间前，将生成的“电子磋商响应文件”上传递交至</w:t>
      </w:r>
      <w:r>
        <w:rPr>
          <w:rFonts w:hint="eastAsia" w:ascii="宋体" w:hAnsi="宋体" w:eastAsia="宋体" w:cs="宋体"/>
          <w:color w:val="000000"/>
          <w:sz w:val="21"/>
          <w:szCs w:val="21"/>
          <w:highlight w:val="none"/>
          <w:shd w:val="clear" w:color="auto" w:fill="auto"/>
          <w:lang w:eastAsia="zh-CN"/>
        </w:rPr>
        <w:t>广西政府采购云平台</w:t>
      </w:r>
      <w:r>
        <w:rPr>
          <w:rFonts w:hint="eastAsia" w:ascii="宋体" w:hAnsi="宋体" w:eastAsia="宋体" w:cs="宋体"/>
          <w:color w:val="000000"/>
          <w:sz w:val="21"/>
          <w:szCs w:val="21"/>
          <w:highlight w:val="none"/>
          <w:shd w:val="clear" w:color="auto" w:fill="auto"/>
        </w:rPr>
        <w:t>。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1F30DF1F">
      <w:pPr>
        <w:pStyle w:val="78"/>
        <w:keepNext w:val="0"/>
        <w:keepLines w:val="0"/>
        <w:pageBreakBefore w:val="0"/>
        <w:kinsoku/>
        <w:wordWrap/>
        <w:overflowPunct/>
        <w:topLinePunct w:val="0"/>
        <w:bidi w:val="0"/>
        <w:spacing w:line="380" w:lineRule="exact"/>
        <w:ind w:left="0" w:right="0" w:firstLine="420" w:firstLineChars="200"/>
        <w:jc w:val="both"/>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（4）</w:t>
      </w:r>
      <w:r>
        <w:rPr>
          <w:rFonts w:hint="eastAsia" w:ascii="宋体" w:hAnsi="宋体" w:eastAsia="宋体" w:cs="宋体"/>
          <w:b/>
          <w:color w:val="000000"/>
          <w:sz w:val="21"/>
          <w:szCs w:val="21"/>
          <w:highlight w:val="none"/>
          <w:shd w:val="clear" w:color="auto" w:fill="auto"/>
        </w:rPr>
        <w:t>本项目需要磋商供应商代表在截标当天截标后，按磋商小组要求及时登陆</w:t>
      </w:r>
      <w:r>
        <w:rPr>
          <w:rFonts w:hint="eastAsia" w:ascii="宋体" w:hAnsi="宋体" w:eastAsia="宋体" w:cs="宋体"/>
          <w:b/>
          <w:color w:val="000000"/>
          <w:sz w:val="21"/>
          <w:szCs w:val="21"/>
          <w:highlight w:val="none"/>
          <w:shd w:val="clear" w:color="auto" w:fill="auto"/>
          <w:lang w:eastAsia="zh-CN"/>
        </w:rPr>
        <w:t>广西政府采购云平台</w:t>
      </w:r>
      <w:r>
        <w:rPr>
          <w:rFonts w:hint="eastAsia" w:ascii="宋体" w:hAnsi="宋体" w:eastAsia="宋体" w:cs="宋体"/>
          <w:b/>
          <w:color w:val="000000"/>
          <w:sz w:val="21"/>
          <w:szCs w:val="21"/>
          <w:highlight w:val="none"/>
          <w:shd w:val="clear" w:color="auto" w:fill="auto"/>
        </w:rPr>
        <w:t>等候在线磋商及提交最后报价。</w:t>
      </w:r>
    </w:p>
    <w:p w14:paraId="17979137">
      <w:pPr>
        <w:pStyle w:val="78"/>
        <w:keepNext w:val="0"/>
        <w:keepLines w:val="0"/>
        <w:pageBreakBefore w:val="0"/>
        <w:kinsoku/>
        <w:wordWrap/>
        <w:overflowPunct/>
        <w:topLinePunct w:val="0"/>
        <w:bidi w:val="0"/>
        <w:spacing w:line="380" w:lineRule="exact"/>
        <w:ind w:left="0" w:right="0" w:firstLine="420" w:firstLineChars="200"/>
        <w:jc w:val="both"/>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本采购项目为</w:t>
      </w:r>
      <w:r>
        <w:rPr>
          <w:rFonts w:hint="eastAsia" w:ascii="宋体" w:hAnsi="宋体" w:eastAsia="宋体" w:cs="宋体"/>
          <w:color w:val="000000"/>
          <w:sz w:val="21"/>
          <w:szCs w:val="21"/>
          <w:highlight w:val="none"/>
          <w:shd w:val="clear" w:color="auto" w:fill="auto"/>
          <w:lang w:eastAsia="zh-CN"/>
        </w:rPr>
        <w:t>广西政府采购云平台</w:t>
      </w:r>
      <w:r>
        <w:rPr>
          <w:rFonts w:hint="eastAsia" w:ascii="宋体" w:hAnsi="宋体" w:eastAsia="宋体" w:cs="宋体"/>
          <w:color w:val="000000"/>
          <w:sz w:val="21"/>
          <w:szCs w:val="21"/>
          <w:highlight w:val="none"/>
          <w:shd w:val="clear" w:color="auto" w:fill="auto"/>
        </w:rPr>
        <w:t>全流程电子化操作，参与磋商的供应商需自备计算机和网络设备（设备需可视频通话和读取</w:t>
      </w:r>
      <w:r>
        <w:rPr>
          <w:rFonts w:hint="eastAsia" w:ascii="宋体" w:hAnsi="宋体" w:eastAsia="宋体" w:cs="宋体"/>
          <w:color w:val="000000"/>
          <w:sz w:val="21"/>
          <w:szCs w:val="21"/>
          <w:highlight w:val="none"/>
          <w:shd w:val="clear" w:color="auto" w:fill="auto"/>
          <w:lang w:eastAsia="zh-CN"/>
        </w:rPr>
        <w:t>广西政府采购云平台</w:t>
      </w:r>
      <w:r>
        <w:rPr>
          <w:rFonts w:hint="eastAsia" w:ascii="宋体" w:hAnsi="宋体" w:eastAsia="宋体" w:cs="宋体"/>
          <w:color w:val="000000"/>
          <w:sz w:val="21"/>
          <w:szCs w:val="21"/>
          <w:highlight w:val="none"/>
          <w:shd w:val="clear" w:color="auto" w:fill="auto"/>
        </w:rPr>
        <w:t>CA数字证书），确保磋商过程顺利进行；因供应商自身设备或网络原因造成的一切后果，由供应商自行承担。</w:t>
      </w:r>
    </w:p>
    <w:p w14:paraId="131BF596">
      <w:pPr>
        <w:pStyle w:val="78"/>
        <w:keepNext w:val="0"/>
        <w:keepLines w:val="0"/>
        <w:pageBreakBefore w:val="0"/>
        <w:kinsoku/>
        <w:wordWrap/>
        <w:overflowPunct/>
        <w:topLinePunct w:val="0"/>
        <w:bidi w:val="0"/>
        <w:spacing w:line="380" w:lineRule="exact"/>
        <w:ind w:left="0" w:right="0" w:firstLine="420" w:firstLineChars="200"/>
        <w:jc w:val="both"/>
        <w:rPr>
          <w:rFonts w:hint="eastAsia" w:ascii="宋体" w:hAnsi="宋体" w:eastAsia="宋体" w:cs="宋体"/>
          <w:color w:val="000000"/>
          <w:sz w:val="21"/>
          <w:szCs w:val="21"/>
          <w:highlight w:val="none"/>
          <w:shd w:val="clear" w:color="auto" w:fill="auto"/>
          <w:lang w:val="en-US" w:eastAsia="zh-CN"/>
        </w:rPr>
      </w:pPr>
      <w:r>
        <w:rPr>
          <w:rFonts w:hint="eastAsia" w:ascii="宋体" w:hAnsi="宋体" w:eastAsia="宋体" w:cs="宋体"/>
          <w:color w:val="000000"/>
          <w:sz w:val="21"/>
          <w:szCs w:val="21"/>
          <w:highlight w:val="none"/>
          <w:shd w:val="clear" w:color="auto" w:fill="auto"/>
          <w:lang w:val="en-US" w:eastAsia="zh-CN"/>
        </w:rPr>
        <w:t>9、本项目为兴安县第三小学校园维修改造提升工程项目，兴安县教育局只办理本项目采购的相关手续。兴安县第三小学作为主体单位与中标人签订合同、付款。</w:t>
      </w:r>
    </w:p>
    <w:p w14:paraId="5EDD39F2">
      <w:pPr>
        <w:keepNext w:val="0"/>
        <w:keepLines w:val="0"/>
        <w:pageBreakBefore w:val="0"/>
        <w:kinsoku/>
        <w:wordWrap/>
        <w:overflowPunct/>
        <w:topLinePunct w:val="0"/>
        <w:bidi w:val="0"/>
        <w:spacing w:line="380" w:lineRule="exact"/>
        <w:ind w:left="0" w:right="0"/>
        <w:jc w:val="both"/>
        <w:outlineLvl w:val="1"/>
        <w:rPr>
          <w:rFonts w:hint="eastAsia" w:ascii="宋体" w:hAnsi="宋体" w:eastAsia="宋体" w:cs="宋体"/>
          <w:b/>
          <w:bCs/>
          <w:color w:val="000000"/>
          <w:sz w:val="21"/>
          <w:szCs w:val="21"/>
          <w:highlight w:val="none"/>
          <w:shd w:val="clear" w:color="auto" w:fill="auto"/>
        </w:rPr>
      </w:pPr>
      <w:bookmarkStart w:id="68" w:name="_Toc148"/>
      <w:bookmarkStart w:id="69" w:name="_Toc5677"/>
      <w:r>
        <w:rPr>
          <w:rFonts w:hint="eastAsia" w:ascii="宋体" w:hAnsi="宋体" w:eastAsia="宋体" w:cs="宋体"/>
          <w:b/>
          <w:bCs/>
          <w:color w:val="000000"/>
          <w:sz w:val="21"/>
          <w:szCs w:val="21"/>
          <w:highlight w:val="none"/>
          <w:shd w:val="clear" w:color="auto" w:fill="auto"/>
        </w:rPr>
        <w:t>八、凡对本次采购提出询问，请按以下方式联系。</w:t>
      </w:r>
      <w:bookmarkEnd w:id="44"/>
      <w:bookmarkEnd w:id="45"/>
      <w:bookmarkEnd w:id="46"/>
      <w:bookmarkEnd w:id="47"/>
      <w:bookmarkEnd w:id="68"/>
      <w:bookmarkEnd w:id="69"/>
    </w:p>
    <w:p w14:paraId="7CFF5E3C">
      <w:pPr>
        <w:pStyle w:val="78"/>
        <w:keepNext w:val="0"/>
        <w:keepLines w:val="0"/>
        <w:pageBreakBefore w:val="0"/>
        <w:kinsoku/>
        <w:wordWrap/>
        <w:overflowPunct/>
        <w:topLinePunct w:val="0"/>
        <w:bidi w:val="0"/>
        <w:spacing w:line="380" w:lineRule="exact"/>
        <w:ind w:left="0" w:right="0" w:firstLine="420" w:firstLineChars="200"/>
        <w:jc w:val="both"/>
        <w:rPr>
          <w:rFonts w:hint="eastAsia" w:ascii="宋体" w:hAnsi="宋体" w:eastAsia="宋体" w:cs="宋体"/>
          <w:color w:val="000000"/>
          <w:sz w:val="21"/>
          <w:szCs w:val="21"/>
          <w:highlight w:val="none"/>
          <w:shd w:val="clear" w:color="auto" w:fill="auto"/>
        </w:rPr>
      </w:pPr>
      <w:bookmarkStart w:id="70" w:name="_Toc14195"/>
      <w:bookmarkStart w:id="71" w:name="_Toc13906"/>
      <w:bookmarkStart w:id="72" w:name="_Toc28750"/>
      <w:bookmarkStart w:id="73" w:name="_Toc5859"/>
      <w:bookmarkStart w:id="74" w:name="_Toc11940"/>
      <w:bookmarkStart w:id="75" w:name="_Toc19796"/>
      <w:r>
        <w:rPr>
          <w:rFonts w:hint="eastAsia" w:ascii="宋体" w:hAnsi="宋体" w:eastAsia="宋体" w:cs="宋体"/>
          <w:color w:val="000000"/>
          <w:sz w:val="21"/>
          <w:szCs w:val="21"/>
          <w:highlight w:val="none"/>
          <w:shd w:val="clear" w:color="auto" w:fill="auto"/>
        </w:rPr>
        <w:t>1、采购人信息</w:t>
      </w:r>
      <w:bookmarkEnd w:id="70"/>
      <w:bookmarkEnd w:id="71"/>
      <w:bookmarkEnd w:id="72"/>
      <w:bookmarkEnd w:id="73"/>
      <w:bookmarkEnd w:id="74"/>
      <w:bookmarkEnd w:id="75"/>
    </w:p>
    <w:p w14:paraId="6A68D28B">
      <w:pPr>
        <w:pStyle w:val="78"/>
        <w:keepNext w:val="0"/>
        <w:keepLines w:val="0"/>
        <w:pageBreakBefore w:val="0"/>
        <w:kinsoku/>
        <w:wordWrap/>
        <w:overflowPunct/>
        <w:topLinePunct w:val="0"/>
        <w:bidi w:val="0"/>
        <w:spacing w:line="380" w:lineRule="exact"/>
        <w:ind w:left="0" w:right="0" w:firstLine="630" w:firstLineChars="300"/>
        <w:jc w:val="both"/>
        <w:rPr>
          <w:rFonts w:hint="eastAsia" w:ascii="宋体" w:hAnsi="宋体" w:eastAsia="宋体" w:cs="宋体"/>
          <w:color w:val="000000"/>
          <w:sz w:val="21"/>
          <w:szCs w:val="21"/>
          <w:highlight w:val="none"/>
          <w:shd w:val="clear" w:color="auto" w:fill="auto"/>
          <w:lang w:eastAsia="zh-CN"/>
        </w:rPr>
      </w:pPr>
      <w:r>
        <w:rPr>
          <w:rFonts w:hint="eastAsia" w:ascii="宋体" w:hAnsi="宋体" w:eastAsia="宋体" w:cs="宋体"/>
          <w:color w:val="000000"/>
          <w:sz w:val="21"/>
          <w:szCs w:val="21"/>
          <w:highlight w:val="none"/>
          <w:shd w:val="clear" w:color="auto" w:fill="auto"/>
        </w:rPr>
        <w:t>名称：</w:t>
      </w:r>
      <w:r>
        <w:rPr>
          <w:rFonts w:hint="eastAsia" w:ascii="宋体" w:hAnsi="宋体" w:eastAsia="宋体" w:cs="宋体"/>
          <w:color w:val="000000"/>
          <w:sz w:val="21"/>
          <w:szCs w:val="21"/>
          <w:highlight w:val="none"/>
          <w:shd w:val="clear" w:color="auto" w:fill="auto"/>
          <w:lang w:eastAsia="zh-CN"/>
        </w:rPr>
        <w:t>兴安县教育局</w:t>
      </w:r>
    </w:p>
    <w:p w14:paraId="661DE1F0">
      <w:pPr>
        <w:pStyle w:val="78"/>
        <w:keepNext w:val="0"/>
        <w:keepLines w:val="0"/>
        <w:pageBreakBefore w:val="0"/>
        <w:kinsoku/>
        <w:wordWrap/>
        <w:overflowPunct/>
        <w:topLinePunct w:val="0"/>
        <w:bidi w:val="0"/>
        <w:spacing w:line="380" w:lineRule="exact"/>
        <w:ind w:left="0" w:right="0" w:firstLine="630" w:firstLineChars="300"/>
        <w:jc w:val="both"/>
        <w:rPr>
          <w:rFonts w:hint="eastAsia" w:ascii="宋体" w:hAnsi="宋体" w:eastAsia="宋体" w:cs="宋体"/>
          <w:color w:val="000000"/>
          <w:sz w:val="21"/>
          <w:szCs w:val="21"/>
          <w:highlight w:val="none"/>
          <w:shd w:val="clear" w:color="auto" w:fill="auto"/>
          <w:lang w:eastAsia="zh-CN"/>
        </w:rPr>
      </w:pPr>
      <w:r>
        <w:rPr>
          <w:rFonts w:hint="eastAsia" w:ascii="宋体" w:hAnsi="宋体" w:eastAsia="宋体" w:cs="宋体"/>
          <w:color w:val="000000"/>
          <w:sz w:val="21"/>
          <w:szCs w:val="21"/>
          <w:highlight w:val="none"/>
          <w:shd w:val="clear" w:color="auto" w:fill="auto"/>
        </w:rPr>
        <w:t>地址：兴安县兴安镇教育路132号</w:t>
      </w:r>
    </w:p>
    <w:p w14:paraId="592A0222">
      <w:pPr>
        <w:pStyle w:val="78"/>
        <w:keepNext w:val="0"/>
        <w:keepLines w:val="0"/>
        <w:pageBreakBefore w:val="0"/>
        <w:kinsoku/>
        <w:wordWrap/>
        <w:overflowPunct/>
        <w:topLinePunct w:val="0"/>
        <w:bidi w:val="0"/>
        <w:spacing w:line="380" w:lineRule="exact"/>
        <w:ind w:left="0" w:right="0" w:firstLine="630" w:firstLineChars="300"/>
        <w:jc w:val="both"/>
        <w:rPr>
          <w:rFonts w:hint="eastAsia" w:ascii="宋体" w:hAnsi="宋体" w:eastAsia="宋体" w:cs="宋体"/>
          <w:color w:val="000000"/>
          <w:sz w:val="21"/>
          <w:szCs w:val="21"/>
          <w:highlight w:val="none"/>
          <w:shd w:val="clear" w:color="auto" w:fill="auto"/>
          <w:lang w:val="en-US" w:eastAsia="zh-CN"/>
        </w:rPr>
      </w:pPr>
      <w:r>
        <w:rPr>
          <w:rFonts w:hint="eastAsia" w:ascii="宋体" w:hAnsi="宋体" w:eastAsia="宋体" w:cs="宋体"/>
          <w:color w:val="000000"/>
          <w:sz w:val="21"/>
          <w:szCs w:val="21"/>
          <w:highlight w:val="none"/>
          <w:shd w:val="clear" w:color="auto" w:fill="auto"/>
        </w:rPr>
        <w:t>联系方式：</w:t>
      </w:r>
      <w:bookmarkStart w:id="76" w:name="_Toc2568"/>
      <w:bookmarkStart w:id="77" w:name="_Toc25786"/>
      <w:bookmarkStart w:id="78" w:name="_Toc12722"/>
      <w:bookmarkStart w:id="79" w:name="_Toc20363"/>
      <w:bookmarkStart w:id="80" w:name="_Toc23917"/>
      <w:bookmarkStart w:id="81" w:name="_Toc12451"/>
      <w:r>
        <w:rPr>
          <w:rFonts w:hint="eastAsia" w:ascii="宋体" w:hAnsi="宋体" w:cs="宋体"/>
          <w:color w:val="000000"/>
          <w:sz w:val="21"/>
          <w:szCs w:val="21"/>
          <w:highlight w:val="none"/>
          <w:shd w:val="clear" w:color="auto" w:fill="auto"/>
          <w:lang w:val="en-US" w:eastAsia="zh-CN"/>
        </w:rPr>
        <w:t>夏</w:t>
      </w:r>
      <w:r>
        <w:rPr>
          <w:rFonts w:hint="eastAsia" w:ascii="宋体" w:hAnsi="宋体" w:eastAsia="宋体" w:cs="宋体"/>
          <w:color w:val="000000"/>
          <w:sz w:val="21"/>
          <w:szCs w:val="21"/>
          <w:highlight w:val="none"/>
          <w:shd w:val="clear" w:color="auto" w:fill="auto"/>
          <w:lang w:val="en-US" w:eastAsia="zh-CN"/>
        </w:rPr>
        <w:t>工</w:t>
      </w:r>
    </w:p>
    <w:p w14:paraId="1EAEA6A6">
      <w:pPr>
        <w:pStyle w:val="78"/>
        <w:keepNext w:val="0"/>
        <w:keepLines w:val="0"/>
        <w:pageBreakBefore w:val="0"/>
        <w:kinsoku/>
        <w:wordWrap/>
        <w:overflowPunct/>
        <w:topLinePunct w:val="0"/>
        <w:bidi w:val="0"/>
        <w:spacing w:line="380" w:lineRule="exact"/>
        <w:ind w:left="0" w:right="0" w:firstLine="630" w:firstLineChars="300"/>
        <w:jc w:val="both"/>
        <w:rPr>
          <w:rFonts w:hint="eastAsia" w:ascii="宋体" w:hAnsi="宋体" w:eastAsia="宋体" w:cs="宋体"/>
          <w:color w:val="000000"/>
          <w:sz w:val="21"/>
          <w:szCs w:val="21"/>
          <w:highlight w:val="none"/>
          <w:shd w:val="clear" w:color="auto" w:fill="auto"/>
          <w:lang w:val="en-US" w:eastAsia="zh-CN"/>
        </w:rPr>
      </w:pPr>
      <w:r>
        <w:rPr>
          <w:rFonts w:hint="eastAsia" w:ascii="宋体" w:hAnsi="宋体" w:eastAsia="宋体" w:cs="宋体"/>
          <w:color w:val="000000"/>
          <w:sz w:val="21"/>
          <w:szCs w:val="21"/>
          <w:highlight w:val="none"/>
          <w:shd w:val="clear" w:color="auto" w:fill="auto"/>
        </w:rPr>
        <w:t>联系方式：0773-6218921</w:t>
      </w:r>
    </w:p>
    <w:p w14:paraId="6B5FE11E">
      <w:pPr>
        <w:pStyle w:val="78"/>
        <w:keepNext w:val="0"/>
        <w:keepLines w:val="0"/>
        <w:pageBreakBefore w:val="0"/>
        <w:kinsoku/>
        <w:wordWrap/>
        <w:overflowPunct/>
        <w:topLinePunct w:val="0"/>
        <w:bidi w:val="0"/>
        <w:spacing w:line="380" w:lineRule="exact"/>
        <w:ind w:left="0" w:right="0" w:firstLine="420" w:firstLineChars="200"/>
        <w:jc w:val="both"/>
        <w:rPr>
          <w:rFonts w:hint="eastAsia" w:ascii="宋体" w:hAnsi="宋体" w:eastAsia="宋体" w:cs="宋体"/>
          <w:color w:val="000000"/>
          <w:kern w:val="0"/>
          <w:sz w:val="21"/>
          <w:szCs w:val="21"/>
          <w:highlight w:val="none"/>
          <w:shd w:val="clear" w:color="auto" w:fill="auto"/>
          <w:lang w:val="en-US" w:eastAsia="zh-CN" w:bidi="ar-SA"/>
        </w:rPr>
      </w:pPr>
      <w:bookmarkStart w:id="82" w:name="_Toc30180"/>
      <w:r>
        <w:rPr>
          <w:rFonts w:hint="eastAsia" w:ascii="宋体" w:hAnsi="宋体" w:eastAsia="宋体" w:cs="宋体"/>
          <w:color w:val="000000"/>
          <w:kern w:val="0"/>
          <w:sz w:val="21"/>
          <w:szCs w:val="21"/>
          <w:highlight w:val="none"/>
          <w:shd w:val="clear" w:color="auto" w:fill="auto"/>
          <w:lang w:val="en-US" w:eastAsia="zh-CN" w:bidi="ar-SA"/>
        </w:rPr>
        <w:t>2、采购代理机构信息</w:t>
      </w:r>
      <w:bookmarkEnd w:id="76"/>
      <w:bookmarkEnd w:id="77"/>
      <w:bookmarkEnd w:id="78"/>
      <w:bookmarkEnd w:id="79"/>
      <w:bookmarkEnd w:id="80"/>
      <w:bookmarkEnd w:id="81"/>
      <w:bookmarkEnd w:id="82"/>
    </w:p>
    <w:p w14:paraId="6F441484">
      <w:pPr>
        <w:pStyle w:val="78"/>
        <w:keepNext w:val="0"/>
        <w:keepLines w:val="0"/>
        <w:pageBreakBefore w:val="0"/>
        <w:kinsoku/>
        <w:wordWrap/>
        <w:overflowPunct/>
        <w:topLinePunct w:val="0"/>
        <w:bidi w:val="0"/>
        <w:spacing w:line="380" w:lineRule="exact"/>
        <w:ind w:left="0" w:right="0" w:firstLine="630" w:firstLineChars="300"/>
        <w:jc w:val="both"/>
        <w:rPr>
          <w:rFonts w:hint="eastAsia" w:ascii="宋体" w:hAnsi="宋体" w:eastAsia="宋体" w:cs="宋体"/>
          <w:color w:val="000000"/>
          <w:kern w:val="0"/>
          <w:sz w:val="21"/>
          <w:szCs w:val="21"/>
          <w:highlight w:val="none"/>
          <w:shd w:val="clear" w:color="auto" w:fill="auto"/>
          <w:lang w:val="en-US" w:eastAsia="zh-CN" w:bidi="ar-SA"/>
        </w:rPr>
      </w:pPr>
      <w:r>
        <w:rPr>
          <w:rFonts w:hint="eastAsia" w:ascii="宋体" w:hAnsi="宋体" w:eastAsia="宋体" w:cs="宋体"/>
          <w:color w:val="000000"/>
          <w:kern w:val="0"/>
          <w:sz w:val="21"/>
          <w:szCs w:val="21"/>
          <w:highlight w:val="none"/>
          <w:shd w:val="clear" w:color="auto" w:fill="auto"/>
          <w:lang w:val="en-US" w:eastAsia="zh-CN" w:bidi="ar-SA"/>
        </w:rPr>
        <w:t>名称：广西聚泽灵项目管理有限公司</w:t>
      </w:r>
    </w:p>
    <w:p w14:paraId="4686EB21">
      <w:pPr>
        <w:pStyle w:val="78"/>
        <w:keepNext w:val="0"/>
        <w:keepLines w:val="0"/>
        <w:pageBreakBefore w:val="0"/>
        <w:kinsoku/>
        <w:wordWrap/>
        <w:overflowPunct/>
        <w:topLinePunct w:val="0"/>
        <w:bidi w:val="0"/>
        <w:spacing w:line="380" w:lineRule="exact"/>
        <w:ind w:left="0" w:right="0" w:firstLine="630" w:firstLineChars="300"/>
        <w:jc w:val="both"/>
        <w:rPr>
          <w:rFonts w:hint="eastAsia" w:ascii="宋体" w:hAnsi="宋体" w:eastAsia="宋体" w:cs="宋体"/>
          <w:color w:val="000000"/>
          <w:kern w:val="0"/>
          <w:sz w:val="21"/>
          <w:szCs w:val="21"/>
          <w:highlight w:val="none"/>
          <w:shd w:val="clear" w:color="auto" w:fill="auto"/>
          <w:lang w:val="en-US" w:eastAsia="zh-CN" w:bidi="ar-SA"/>
        </w:rPr>
      </w:pPr>
      <w:r>
        <w:rPr>
          <w:rFonts w:hint="eastAsia" w:ascii="宋体" w:hAnsi="宋体" w:eastAsia="宋体" w:cs="宋体"/>
          <w:color w:val="000000"/>
          <w:kern w:val="0"/>
          <w:sz w:val="21"/>
          <w:szCs w:val="21"/>
          <w:highlight w:val="none"/>
          <w:shd w:val="clear" w:color="auto" w:fill="auto"/>
          <w:lang w:val="en-US" w:eastAsia="zh-CN" w:bidi="ar-SA"/>
        </w:rPr>
        <w:t>地址：桂林市七星区辰山路28号6-1楼</w:t>
      </w:r>
    </w:p>
    <w:p w14:paraId="262220AD">
      <w:pPr>
        <w:pStyle w:val="78"/>
        <w:keepNext w:val="0"/>
        <w:keepLines w:val="0"/>
        <w:pageBreakBefore w:val="0"/>
        <w:kinsoku/>
        <w:wordWrap/>
        <w:overflowPunct/>
        <w:topLinePunct w:val="0"/>
        <w:bidi w:val="0"/>
        <w:spacing w:line="380" w:lineRule="exact"/>
        <w:ind w:left="0" w:right="0" w:firstLine="630" w:firstLineChars="300"/>
        <w:jc w:val="both"/>
        <w:rPr>
          <w:rFonts w:hint="eastAsia" w:ascii="宋体" w:hAnsi="宋体" w:eastAsia="宋体" w:cs="宋体"/>
          <w:color w:val="000000"/>
          <w:kern w:val="0"/>
          <w:sz w:val="21"/>
          <w:szCs w:val="21"/>
          <w:highlight w:val="none"/>
          <w:shd w:val="clear" w:color="auto" w:fill="auto"/>
          <w:lang w:val="en-US" w:eastAsia="zh-CN" w:bidi="ar-SA"/>
        </w:rPr>
      </w:pPr>
      <w:r>
        <w:rPr>
          <w:rFonts w:hint="eastAsia" w:ascii="宋体" w:hAnsi="宋体" w:eastAsia="宋体" w:cs="宋体"/>
          <w:color w:val="000000"/>
          <w:kern w:val="0"/>
          <w:sz w:val="21"/>
          <w:szCs w:val="21"/>
          <w:highlight w:val="none"/>
          <w:shd w:val="clear" w:color="auto" w:fill="auto"/>
          <w:lang w:val="en-US" w:eastAsia="zh-CN" w:bidi="ar-SA"/>
        </w:rPr>
        <w:t>联系人：许工</w:t>
      </w:r>
    </w:p>
    <w:p w14:paraId="14AE178B">
      <w:pPr>
        <w:pStyle w:val="78"/>
        <w:keepNext w:val="0"/>
        <w:keepLines w:val="0"/>
        <w:pageBreakBefore w:val="0"/>
        <w:kinsoku/>
        <w:wordWrap/>
        <w:overflowPunct/>
        <w:topLinePunct w:val="0"/>
        <w:bidi w:val="0"/>
        <w:spacing w:line="380" w:lineRule="exact"/>
        <w:ind w:left="0" w:right="0" w:firstLine="630" w:firstLineChars="300"/>
        <w:jc w:val="both"/>
        <w:rPr>
          <w:rFonts w:hint="eastAsia" w:ascii="宋体" w:hAnsi="宋体" w:eastAsia="宋体" w:cs="宋体"/>
          <w:color w:val="000000"/>
          <w:sz w:val="21"/>
          <w:szCs w:val="21"/>
          <w:highlight w:val="none"/>
          <w:shd w:val="clear" w:color="auto" w:fill="auto"/>
          <w:lang w:val="en-US"/>
        </w:rPr>
      </w:pPr>
      <w:r>
        <w:rPr>
          <w:rFonts w:hint="eastAsia" w:ascii="宋体" w:hAnsi="宋体" w:eastAsia="宋体" w:cs="宋体"/>
          <w:color w:val="000000"/>
          <w:sz w:val="21"/>
          <w:szCs w:val="21"/>
          <w:highlight w:val="none"/>
          <w:shd w:val="clear" w:color="auto" w:fill="auto"/>
        </w:rPr>
        <w:t>联系方式：</w:t>
      </w:r>
      <w:r>
        <w:rPr>
          <w:rFonts w:hint="eastAsia" w:ascii="宋体" w:hAnsi="宋体" w:eastAsia="宋体" w:cs="宋体"/>
          <w:color w:val="000000"/>
          <w:sz w:val="21"/>
          <w:szCs w:val="21"/>
          <w:highlight w:val="none"/>
          <w:shd w:val="clear" w:color="auto" w:fill="auto"/>
          <w:lang w:val="en-US" w:eastAsia="zh-CN"/>
        </w:rPr>
        <w:t>0773-2535559</w:t>
      </w:r>
    </w:p>
    <w:p w14:paraId="0F284B37">
      <w:pPr>
        <w:pStyle w:val="81"/>
        <w:keepNext w:val="0"/>
        <w:keepLines w:val="0"/>
        <w:pageBreakBefore w:val="0"/>
        <w:kinsoku/>
        <w:wordWrap/>
        <w:overflowPunct/>
        <w:topLinePunct w:val="0"/>
        <w:bidi w:val="0"/>
        <w:spacing w:line="380" w:lineRule="exact"/>
        <w:ind w:left="0" w:right="0" w:firstLine="0"/>
        <w:jc w:val="right"/>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lang w:val="en-US" w:eastAsia="zh-CN"/>
        </w:rPr>
        <w:t>广西聚泽灵项目管理有限公司</w:t>
      </w:r>
    </w:p>
    <w:p w14:paraId="18DCD791">
      <w:pPr>
        <w:pStyle w:val="81"/>
        <w:keepNext w:val="0"/>
        <w:keepLines w:val="0"/>
        <w:pageBreakBefore w:val="0"/>
        <w:kinsoku/>
        <w:wordWrap/>
        <w:overflowPunct/>
        <w:topLinePunct w:val="0"/>
        <w:bidi w:val="0"/>
        <w:spacing w:line="380" w:lineRule="exact"/>
        <w:ind w:left="0" w:right="0" w:firstLine="480" w:firstLineChars="229"/>
        <w:jc w:val="right"/>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lang w:val="en-US" w:eastAsia="zh-CN"/>
        </w:rPr>
        <w:t>2025</w:t>
      </w:r>
      <w:r>
        <w:rPr>
          <w:rFonts w:hint="eastAsia" w:ascii="宋体" w:hAnsi="宋体" w:eastAsia="宋体" w:cs="宋体"/>
          <w:color w:val="000000"/>
          <w:sz w:val="21"/>
          <w:szCs w:val="21"/>
          <w:highlight w:val="none"/>
          <w:shd w:val="clear" w:color="auto" w:fill="auto"/>
        </w:rPr>
        <w:t>年</w:t>
      </w:r>
      <w:r>
        <w:rPr>
          <w:rFonts w:hint="eastAsia" w:ascii="宋体" w:hAnsi="宋体" w:eastAsia="宋体" w:cs="宋体"/>
          <w:color w:val="000000"/>
          <w:sz w:val="21"/>
          <w:szCs w:val="21"/>
          <w:highlight w:val="none"/>
          <w:shd w:val="clear" w:color="auto" w:fill="auto"/>
          <w:lang w:val="en-US" w:eastAsia="zh-CN"/>
        </w:rPr>
        <w:t>06</w:t>
      </w:r>
      <w:r>
        <w:rPr>
          <w:rFonts w:hint="eastAsia" w:ascii="宋体" w:hAnsi="宋体" w:eastAsia="宋体" w:cs="宋体"/>
          <w:color w:val="000000"/>
          <w:sz w:val="21"/>
          <w:szCs w:val="21"/>
          <w:highlight w:val="none"/>
          <w:shd w:val="clear" w:color="auto" w:fill="auto"/>
        </w:rPr>
        <w:t>月</w:t>
      </w:r>
      <w:r>
        <w:rPr>
          <w:rFonts w:hint="eastAsia" w:ascii="宋体" w:hAnsi="宋体" w:eastAsia="宋体" w:cs="宋体"/>
          <w:color w:val="000000"/>
          <w:sz w:val="21"/>
          <w:szCs w:val="21"/>
          <w:highlight w:val="none"/>
          <w:shd w:val="clear" w:color="auto" w:fill="auto"/>
          <w:lang w:val="en-US" w:eastAsia="zh-CN"/>
        </w:rPr>
        <w:t>30</w:t>
      </w:r>
      <w:r>
        <w:rPr>
          <w:rFonts w:hint="eastAsia" w:ascii="宋体" w:hAnsi="宋体" w:eastAsia="宋体" w:cs="宋体"/>
          <w:color w:val="000000"/>
          <w:sz w:val="21"/>
          <w:szCs w:val="21"/>
          <w:highlight w:val="none"/>
          <w:shd w:val="clear" w:color="auto" w:fill="auto"/>
        </w:rPr>
        <w:t>日</w:t>
      </w:r>
    </w:p>
    <w:p w14:paraId="2BCCABD7">
      <w:pPr>
        <w:rPr>
          <w:rFonts w:hint="eastAsia" w:ascii="宋体" w:hAnsi="宋体" w:cs="宋体"/>
          <w:b/>
          <w:bCs/>
          <w:color w:val="000000"/>
          <w:sz w:val="32"/>
          <w:szCs w:val="32"/>
          <w:highlight w:val="none"/>
          <w:shd w:val="clear" w:color="auto" w:fill="auto"/>
        </w:rPr>
      </w:pPr>
      <w:bookmarkStart w:id="83" w:name="_Toc13283"/>
      <w:bookmarkStart w:id="84" w:name="_Toc27017"/>
      <w:bookmarkStart w:id="85" w:name="_Toc18377"/>
      <w:r>
        <w:rPr>
          <w:rFonts w:hint="eastAsia" w:ascii="宋体" w:hAnsi="宋体" w:cs="宋体"/>
          <w:b/>
          <w:bCs/>
          <w:color w:val="000000"/>
          <w:sz w:val="32"/>
          <w:szCs w:val="32"/>
          <w:highlight w:val="none"/>
          <w:shd w:val="clear" w:color="auto" w:fill="auto"/>
        </w:rPr>
        <w:br w:type="page"/>
      </w:r>
    </w:p>
    <w:p w14:paraId="1322F6A5">
      <w:pPr>
        <w:spacing w:line="460" w:lineRule="exact"/>
        <w:jc w:val="center"/>
        <w:outlineLvl w:val="0"/>
        <w:rPr>
          <w:rFonts w:ascii="宋体" w:hAnsi="宋体" w:cs="宋体"/>
          <w:b/>
          <w:bCs/>
          <w:color w:val="000000"/>
          <w:sz w:val="32"/>
          <w:szCs w:val="32"/>
          <w:highlight w:val="none"/>
          <w:shd w:val="clear" w:color="auto" w:fill="auto"/>
        </w:rPr>
      </w:pPr>
      <w:r>
        <w:rPr>
          <w:rFonts w:hint="eastAsia" w:ascii="宋体" w:hAnsi="宋体" w:cs="宋体"/>
          <w:b/>
          <w:bCs/>
          <w:color w:val="000000"/>
          <w:sz w:val="32"/>
          <w:szCs w:val="32"/>
          <w:highlight w:val="none"/>
          <w:shd w:val="clear" w:color="auto" w:fill="auto"/>
        </w:rPr>
        <w:t>第二章  供应商须知</w:t>
      </w:r>
      <w:bookmarkEnd w:id="0"/>
      <w:bookmarkEnd w:id="1"/>
      <w:bookmarkEnd w:id="83"/>
      <w:bookmarkEnd w:id="84"/>
      <w:bookmarkEnd w:id="85"/>
    </w:p>
    <w:p w14:paraId="37A45CEA">
      <w:pPr>
        <w:pStyle w:val="3"/>
        <w:spacing w:line="460" w:lineRule="exact"/>
        <w:jc w:val="center"/>
        <w:rPr>
          <w:rFonts w:ascii="宋体" w:hAnsi="宋体" w:cs="宋体"/>
          <w:b/>
          <w:bCs w:val="0"/>
          <w:color w:val="000000"/>
          <w:sz w:val="24"/>
          <w:szCs w:val="24"/>
          <w:highlight w:val="none"/>
          <w:shd w:val="clear" w:color="auto" w:fill="auto"/>
        </w:rPr>
      </w:pPr>
      <w:bookmarkStart w:id="86" w:name="_Toc9508"/>
      <w:bookmarkStart w:id="87" w:name="_Toc25063"/>
      <w:bookmarkStart w:id="88" w:name="_Toc15649"/>
      <w:bookmarkStart w:id="89" w:name="_Toc13547"/>
      <w:bookmarkStart w:id="90" w:name="_Toc18257"/>
      <w:r>
        <w:rPr>
          <w:rFonts w:hint="eastAsia" w:ascii="宋体" w:hAnsi="宋体" w:cs="宋体"/>
          <w:b/>
          <w:bCs w:val="0"/>
          <w:color w:val="000000"/>
          <w:sz w:val="24"/>
          <w:szCs w:val="24"/>
          <w:highlight w:val="none"/>
          <w:shd w:val="clear" w:color="auto" w:fill="auto"/>
        </w:rPr>
        <w:t>供应商须知前附表</w:t>
      </w:r>
      <w:bookmarkEnd w:id="86"/>
      <w:bookmarkEnd w:id="87"/>
      <w:bookmarkEnd w:id="88"/>
      <w:bookmarkEnd w:id="89"/>
      <w:bookmarkEnd w:id="90"/>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405"/>
      </w:tblGrid>
      <w:tr w14:paraId="5856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662" w:type="dxa"/>
            <w:shd w:val="clear" w:color="auto" w:fill="D7D7D7"/>
            <w:noWrap w:val="0"/>
            <w:vAlign w:val="center"/>
          </w:tcPr>
          <w:p w14:paraId="39243060">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b/>
                <w:bCs/>
                <w:color w:val="000000"/>
                <w:sz w:val="21"/>
                <w:szCs w:val="21"/>
                <w:highlight w:val="none"/>
                <w:shd w:val="clear" w:color="auto" w:fill="auto"/>
              </w:rPr>
            </w:pPr>
            <w:r>
              <w:rPr>
                <w:rFonts w:hint="eastAsia" w:ascii="宋体" w:hAnsi="宋体" w:eastAsia="宋体" w:cs="宋体"/>
                <w:b/>
                <w:bCs/>
                <w:color w:val="000000"/>
                <w:sz w:val="21"/>
                <w:szCs w:val="21"/>
                <w:highlight w:val="none"/>
                <w:shd w:val="clear" w:color="auto" w:fill="auto"/>
              </w:rPr>
              <w:t>序号</w:t>
            </w:r>
          </w:p>
        </w:tc>
        <w:tc>
          <w:tcPr>
            <w:tcW w:w="942" w:type="dxa"/>
            <w:shd w:val="clear" w:color="auto" w:fill="D7D7D7"/>
            <w:noWrap w:val="0"/>
            <w:vAlign w:val="center"/>
          </w:tcPr>
          <w:p w14:paraId="3D56B2A9">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b/>
                <w:bCs/>
                <w:color w:val="000000"/>
                <w:sz w:val="21"/>
                <w:szCs w:val="21"/>
                <w:highlight w:val="none"/>
                <w:shd w:val="clear" w:color="auto" w:fill="auto"/>
              </w:rPr>
            </w:pPr>
            <w:r>
              <w:rPr>
                <w:rFonts w:hint="eastAsia" w:ascii="宋体" w:hAnsi="宋体" w:eastAsia="宋体" w:cs="宋体"/>
                <w:b/>
                <w:bCs/>
                <w:color w:val="000000"/>
                <w:sz w:val="21"/>
                <w:szCs w:val="21"/>
                <w:highlight w:val="none"/>
                <w:shd w:val="clear" w:color="auto" w:fill="auto"/>
              </w:rPr>
              <w:t>条款号</w:t>
            </w:r>
          </w:p>
        </w:tc>
        <w:tc>
          <w:tcPr>
            <w:tcW w:w="1775" w:type="dxa"/>
            <w:shd w:val="clear" w:color="auto" w:fill="D7D7D7"/>
            <w:noWrap w:val="0"/>
            <w:vAlign w:val="center"/>
          </w:tcPr>
          <w:p w14:paraId="73336A9C">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b/>
                <w:bCs/>
                <w:color w:val="000000"/>
                <w:sz w:val="21"/>
                <w:szCs w:val="21"/>
                <w:highlight w:val="none"/>
                <w:shd w:val="clear" w:color="auto" w:fill="auto"/>
              </w:rPr>
            </w:pPr>
            <w:r>
              <w:rPr>
                <w:rFonts w:hint="eastAsia" w:ascii="宋体" w:hAnsi="宋体" w:eastAsia="宋体" w:cs="宋体"/>
                <w:b/>
                <w:bCs/>
                <w:color w:val="000000"/>
                <w:sz w:val="21"/>
                <w:szCs w:val="21"/>
                <w:highlight w:val="none"/>
                <w:shd w:val="clear" w:color="auto" w:fill="auto"/>
              </w:rPr>
              <w:t>条款名称</w:t>
            </w:r>
          </w:p>
        </w:tc>
        <w:tc>
          <w:tcPr>
            <w:tcW w:w="6405" w:type="dxa"/>
            <w:shd w:val="clear" w:color="auto" w:fill="D7D7D7"/>
            <w:noWrap w:val="0"/>
            <w:vAlign w:val="center"/>
          </w:tcPr>
          <w:p w14:paraId="7DCD15D4">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b/>
                <w:bCs/>
                <w:color w:val="000000"/>
                <w:sz w:val="21"/>
                <w:szCs w:val="21"/>
                <w:highlight w:val="none"/>
                <w:shd w:val="clear" w:color="auto" w:fill="auto"/>
              </w:rPr>
            </w:pPr>
            <w:r>
              <w:rPr>
                <w:rFonts w:hint="eastAsia" w:ascii="宋体" w:hAnsi="宋体" w:eastAsia="宋体" w:cs="宋体"/>
                <w:b/>
                <w:bCs/>
                <w:color w:val="000000"/>
                <w:sz w:val="21"/>
                <w:szCs w:val="21"/>
                <w:highlight w:val="none"/>
                <w:shd w:val="clear" w:color="auto" w:fill="auto"/>
              </w:rPr>
              <w:t>内容、要求</w:t>
            </w:r>
          </w:p>
        </w:tc>
      </w:tr>
      <w:tr w14:paraId="7F42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69B0ACAE">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w:t>
            </w:r>
          </w:p>
        </w:tc>
        <w:tc>
          <w:tcPr>
            <w:tcW w:w="942" w:type="dxa"/>
            <w:noWrap w:val="0"/>
            <w:vAlign w:val="center"/>
          </w:tcPr>
          <w:p w14:paraId="209BCCE8">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1.1</w:t>
            </w:r>
          </w:p>
        </w:tc>
        <w:tc>
          <w:tcPr>
            <w:tcW w:w="1775" w:type="dxa"/>
            <w:noWrap w:val="0"/>
            <w:vAlign w:val="center"/>
          </w:tcPr>
          <w:p w14:paraId="085EFA86">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项目名称及项目编号</w:t>
            </w:r>
          </w:p>
        </w:tc>
        <w:tc>
          <w:tcPr>
            <w:tcW w:w="6405" w:type="dxa"/>
            <w:noWrap w:val="0"/>
            <w:vAlign w:val="center"/>
          </w:tcPr>
          <w:p w14:paraId="4CD2C24C">
            <w:pPr>
              <w:pageBreakBefore w:val="0"/>
              <w:kinsoku/>
              <w:wordWrap/>
              <w:overflowPunct/>
              <w:topLinePunct w:val="0"/>
              <w:autoSpaceDE/>
              <w:autoSpaceDN/>
              <w:bidi w:val="0"/>
              <w:adjustRightInd/>
              <w:spacing w:line="440" w:lineRule="exact"/>
              <w:textAlignment w:val="auto"/>
              <w:rPr>
                <w:rFonts w:hint="eastAsia" w:ascii="宋体" w:hAnsi="宋体" w:eastAsia="宋体" w:cs="宋体"/>
                <w:color w:val="000000"/>
                <w:sz w:val="21"/>
                <w:szCs w:val="21"/>
                <w:highlight w:val="none"/>
                <w:shd w:val="clear" w:color="auto" w:fill="auto"/>
                <w:lang w:eastAsia="zh-CN"/>
              </w:rPr>
            </w:pPr>
            <w:r>
              <w:rPr>
                <w:rFonts w:hint="eastAsia" w:ascii="宋体" w:hAnsi="宋体" w:eastAsia="宋体" w:cs="宋体"/>
                <w:color w:val="000000"/>
                <w:sz w:val="21"/>
                <w:szCs w:val="21"/>
                <w:highlight w:val="none"/>
                <w:shd w:val="clear" w:color="auto" w:fill="auto"/>
              </w:rPr>
              <w:t>项目名称：</w:t>
            </w:r>
            <w:r>
              <w:rPr>
                <w:rFonts w:hint="eastAsia" w:ascii="宋体" w:hAnsi="宋体" w:eastAsia="宋体" w:cs="宋体"/>
                <w:color w:val="000000"/>
                <w:sz w:val="21"/>
                <w:szCs w:val="21"/>
                <w:highlight w:val="none"/>
                <w:shd w:val="clear" w:color="auto" w:fill="auto"/>
                <w:lang w:eastAsia="zh-CN"/>
              </w:rPr>
              <w:t>兴安县第三小学校园维修改造提升工程项目</w:t>
            </w:r>
          </w:p>
          <w:p w14:paraId="5F216CDF">
            <w:pPr>
              <w:pageBreakBefore w:val="0"/>
              <w:kinsoku/>
              <w:wordWrap/>
              <w:overflowPunct/>
              <w:topLinePunct w:val="0"/>
              <w:autoSpaceDE/>
              <w:autoSpaceDN/>
              <w:bidi w:val="0"/>
              <w:adjustRightInd/>
              <w:spacing w:line="440" w:lineRule="exact"/>
              <w:textAlignment w:val="auto"/>
              <w:rPr>
                <w:rFonts w:hint="eastAsia" w:ascii="宋体" w:hAnsi="宋体" w:eastAsia="宋体" w:cs="宋体"/>
                <w:color w:val="000000"/>
                <w:sz w:val="21"/>
                <w:szCs w:val="21"/>
                <w:highlight w:val="none"/>
                <w:shd w:val="clear" w:color="auto" w:fill="auto"/>
                <w:lang w:eastAsia="zh-CN"/>
              </w:rPr>
            </w:pPr>
            <w:r>
              <w:rPr>
                <w:rFonts w:hint="eastAsia" w:ascii="宋体" w:hAnsi="宋体" w:eastAsia="宋体" w:cs="宋体"/>
                <w:color w:val="000000"/>
                <w:sz w:val="21"/>
                <w:szCs w:val="21"/>
                <w:highlight w:val="none"/>
                <w:shd w:val="clear" w:color="auto" w:fill="auto"/>
              </w:rPr>
              <w:t>项目编号：</w:t>
            </w:r>
            <w:r>
              <w:rPr>
                <w:rFonts w:hint="eastAsia" w:ascii="宋体" w:hAnsi="宋体" w:cs="宋体"/>
                <w:color w:val="000000"/>
                <w:sz w:val="21"/>
                <w:szCs w:val="21"/>
                <w:highlight w:val="none"/>
                <w:lang w:eastAsia="zh-CN"/>
              </w:rPr>
              <w:t>GLZC2025-C2-250049-GXJZ</w:t>
            </w:r>
          </w:p>
        </w:tc>
      </w:tr>
      <w:tr w14:paraId="02A5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13918DD0">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w:t>
            </w:r>
          </w:p>
        </w:tc>
        <w:tc>
          <w:tcPr>
            <w:tcW w:w="942" w:type="dxa"/>
            <w:noWrap w:val="0"/>
            <w:vAlign w:val="center"/>
          </w:tcPr>
          <w:p w14:paraId="2A601116">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3</w:t>
            </w:r>
          </w:p>
        </w:tc>
        <w:tc>
          <w:tcPr>
            <w:tcW w:w="1775" w:type="dxa"/>
            <w:noWrap w:val="0"/>
            <w:vAlign w:val="center"/>
          </w:tcPr>
          <w:p w14:paraId="7CD3279F">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供应商资格</w:t>
            </w:r>
          </w:p>
        </w:tc>
        <w:tc>
          <w:tcPr>
            <w:tcW w:w="6405" w:type="dxa"/>
            <w:noWrap w:val="0"/>
            <w:vAlign w:val="center"/>
          </w:tcPr>
          <w:p w14:paraId="4D724989">
            <w:pPr>
              <w:pageBreakBefore w:val="0"/>
              <w:kinsoku/>
              <w:wordWrap/>
              <w:overflowPunct/>
              <w:topLinePunct w:val="0"/>
              <w:autoSpaceDE/>
              <w:autoSpaceDN/>
              <w:bidi w:val="0"/>
              <w:adjustRightInd/>
              <w:spacing w:line="440" w:lineRule="exact"/>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3.1满足《中华人民共和国政府采购法》第二十二条规定；</w:t>
            </w:r>
          </w:p>
          <w:p w14:paraId="4FD2C5E1">
            <w:pPr>
              <w:pageBreakBefore w:val="0"/>
              <w:kinsoku/>
              <w:wordWrap/>
              <w:overflowPunct/>
              <w:topLinePunct w:val="0"/>
              <w:autoSpaceDE/>
              <w:autoSpaceDN/>
              <w:bidi w:val="0"/>
              <w:adjustRightInd/>
              <w:spacing w:line="440" w:lineRule="exact"/>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3.2落实政府采购政策需满足的资格要求：</w:t>
            </w:r>
            <w:r>
              <w:rPr>
                <w:rFonts w:hint="eastAsia" w:ascii="宋体" w:hAnsi="宋体" w:eastAsia="宋体" w:cs="宋体"/>
                <w:color w:val="000000"/>
                <w:sz w:val="21"/>
                <w:szCs w:val="21"/>
                <w:highlight w:val="none"/>
                <w:u w:val="single"/>
                <w:shd w:val="clear" w:color="auto" w:fill="auto"/>
              </w:rPr>
              <w:t>本项目为专门面向中小企业项目，按照《政府采购促进中小企业发展管理办法》（财库〔2020〕46号）规定，小微企业、监狱企业、残疾人福利性单位不再执行价格评审优惠的扶持政策</w:t>
            </w:r>
            <w:r>
              <w:rPr>
                <w:rFonts w:hint="eastAsia" w:ascii="宋体" w:hAnsi="宋体" w:eastAsia="宋体" w:cs="宋体"/>
                <w:color w:val="000000"/>
                <w:sz w:val="21"/>
                <w:szCs w:val="21"/>
                <w:highlight w:val="none"/>
                <w:shd w:val="clear" w:color="auto" w:fill="auto"/>
              </w:rPr>
              <w:t>。</w:t>
            </w:r>
          </w:p>
          <w:p w14:paraId="47E2B6F5">
            <w:pPr>
              <w:pStyle w:val="16"/>
              <w:pageBreakBefore w:val="0"/>
              <w:kinsoku/>
              <w:wordWrap/>
              <w:overflowPunct/>
              <w:topLinePunct w:val="0"/>
              <w:autoSpaceDE/>
              <w:autoSpaceDN/>
              <w:bidi w:val="0"/>
              <w:adjustRightInd/>
              <w:spacing w:line="440" w:lineRule="exact"/>
              <w:textAlignment w:val="auto"/>
              <w:rPr>
                <w:rFonts w:hint="eastAsia" w:ascii="宋体" w:hAnsi="宋体" w:eastAsia="宋体" w:cs="宋体"/>
                <w:color w:val="000000"/>
                <w:sz w:val="21"/>
                <w:szCs w:val="21"/>
                <w:highlight w:val="none"/>
                <w:shd w:val="clear" w:color="auto" w:fill="auto"/>
                <w:lang w:eastAsia="zh-CN"/>
              </w:rPr>
            </w:pPr>
            <w:r>
              <w:rPr>
                <w:rFonts w:hint="eastAsia" w:ascii="宋体" w:hAnsi="宋体" w:eastAsia="宋体" w:cs="宋体"/>
                <w:color w:val="000000"/>
                <w:sz w:val="21"/>
                <w:szCs w:val="21"/>
                <w:highlight w:val="none"/>
                <w:shd w:val="clear" w:color="auto" w:fill="auto"/>
              </w:rPr>
              <w:t>3.3本项目的特定资格要求</w:t>
            </w:r>
            <w:r>
              <w:rPr>
                <w:rFonts w:hint="eastAsia" w:ascii="宋体" w:hAnsi="宋体" w:eastAsia="宋体" w:cs="宋体"/>
                <w:color w:val="000000"/>
                <w:sz w:val="21"/>
                <w:szCs w:val="21"/>
                <w:highlight w:val="none"/>
                <w:shd w:val="clear" w:color="auto" w:fill="auto"/>
                <w:lang w:eastAsia="zh-CN"/>
              </w:rPr>
              <w:t>：</w:t>
            </w:r>
          </w:p>
          <w:p w14:paraId="6CAB7C5F">
            <w:pPr>
              <w:pStyle w:val="16"/>
              <w:pageBreakBefore w:val="0"/>
              <w:kinsoku/>
              <w:wordWrap/>
              <w:overflowPunct/>
              <w:topLinePunct w:val="0"/>
              <w:autoSpaceDE/>
              <w:autoSpaceDN/>
              <w:bidi w:val="0"/>
              <w:adjustRightInd/>
              <w:spacing w:line="440" w:lineRule="exact"/>
              <w:textAlignment w:val="auto"/>
              <w:rPr>
                <w:rFonts w:hint="eastAsia" w:ascii="宋体" w:hAnsi="宋体" w:eastAsia="宋体" w:cs="宋体"/>
                <w:color w:val="000000"/>
                <w:sz w:val="21"/>
                <w:szCs w:val="21"/>
                <w:highlight w:val="none"/>
                <w:u w:val="single"/>
                <w:shd w:val="clear" w:color="auto" w:fill="auto"/>
              </w:rPr>
            </w:pPr>
            <w:r>
              <w:rPr>
                <w:rFonts w:hint="eastAsia" w:ascii="宋体" w:hAnsi="宋体" w:eastAsia="宋体" w:cs="宋体"/>
                <w:color w:val="000000"/>
                <w:sz w:val="21"/>
                <w:szCs w:val="21"/>
                <w:highlight w:val="none"/>
                <w:shd w:val="clear" w:color="auto" w:fill="auto"/>
                <w:lang w:eastAsia="zh-CN"/>
              </w:rPr>
              <w:t>（</w:t>
            </w:r>
            <w:r>
              <w:rPr>
                <w:rFonts w:hint="eastAsia" w:ascii="宋体" w:hAnsi="宋体" w:eastAsia="宋体" w:cs="宋体"/>
                <w:color w:val="000000"/>
                <w:sz w:val="21"/>
                <w:szCs w:val="21"/>
                <w:highlight w:val="none"/>
                <w:shd w:val="clear" w:color="auto" w:fill="auto"/>
                <w:lang w:val="en-US" w:eastAsia="zh-CN"/>
              </w:rPr>
              <w:t>1</w:t>
            </w:r>
            <w:r>
              <w:rPr>
                <w:rFonts w:hint="eastAsia" w:ascii="宋体" w:hAnsi="宋体" w:eastAsia="宋体" w:cs="宋体"/>
                <w:color w:val="000000"/>
                <w:sz w:val="21"/>
                <w:szCs w:val="21"/>
                <w:highlight w:val="none"/>
                <w:shd w:val="clear" w:color="auto" w:fill="auto"/>
                <w:lang w:eastAsia="zh-CN"/>
              </w:rPr>
              <w:t>）</w:t>
            </w:r>
            <w:r>
              <w:rPr>
                <w:rFonts w:hint="eastAsia" w:ascii="宋体" w:hAnsi="宋体" w:eastAsia="宋体" w:cs="宋体"/>
                <w:color w:val="000000"/>
                <w:sz w:val="21"/>
                <w:szCs w:val="21"/>
                <w:highlight w:val="none"/>
                <w:u w:val="single"/>
                <w:shd w:val="clear" w:color="auto" w:fill="auto"/>
                <w:lang w:eastAsia="zh-CN"/>
              </w:rPr>
              <w:t>供应商须具备市政公用工程施工总承包贰级以上（含贰级）资质</w:t>
            </w:r>
            <w:r>
              <w:rPr>
                <w:rFonts w:hint="eastAsia" w:ascii="宋体" w:hAnsi="宋体" w:eastAsia="宋体" w:cs="宋体"/>
                <w:color w:val="000000"/>
                <w:sz w:val="21"/>
                <w:szCs w:val="21"/>
                <w:highlight w:val="none"/>
                <w:u w:val="single"/>
                <w:shd w:val="clear" w:color="auto" w:fill="auto"/>
              </w:rPr>
              <w:t>，及具有安全生产许可证；并在人员、设备、资金等方面具备相应的施工能力。</w:t>
            </w:r>
          </w:p>
          <w:p w14:paraId="3E07614A">
            <w:pPr>
              <w:pStyle w:val="16"/>
              <w:pageBreakBefore w:val="0"/>
              <w:kinsoku/>
              <w:wordWrap/>
              <w:overflowPunct/>
              <w:topLinePunct w:val="0"/>
              <w:autoSpaceDE/>
              <w:autoSpaceDN/>
              <w:bidi w:val="0"/>
              <w:adjustRightInd/>
              <w:spacing w:line="440" w:lineRule="exact"/>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u w:val="none"/>
                <w:shd w:val="clear" w:color="auto" w:fill="auto"/>
                <w:lang w:eastAsia="zh-CN"/>
              </w:rPr>
              <w:t>（</w:t>
            </w:r>
            <w:r>
              <w:rPr>
                <w:rFonts w:hint="eastAsia" w:ascii="宋体" w:hAnsi="宋体" w:eastAsia="宋体" w:cs="宋体"/>
                <w:color w:val="000000"/>
                <w:sz w:val="21"/>
                <w:szCs w:val="21"/>
                <w:highlight w:val="none"/>
                <w:u w:val="none"/>
                <w:shd w:val="clear" w:color="auto" w:fill="auto"/>
                <w:lang w:val="en-US" w:eastAsia="zh-CN"/>
              </w:rPr>
              <w:t>2</w:t>
            </w:r>
            <w:r>
              <w:rPr>
                <w:rFonts w:hint="eastAsia" w:ascii="宋体" w:hAnsi="宋体" w:eastAsia="宋体" w:cs="宋体"/>
                <w:color w:val="000000"/>
                <w:sz w:val="21"/>
                <w:szCs w:val="21"/>
                <w:highlight w:val="none"/>
                <w:u w:val="none"/>
                <w:shd w:val="clear" w:color="auto" w:fill="auto"/>
                <w:lang w:eastAsia="zh-CN"/>
              </w:rPr>
              <w:t>）</w:t>
            </w:r>
            <w:r>
              <w:rPr>
                <w:rFonts w:hint="eastAsia" w:ascii="宋体" w:hAnsi="宋体" w:eastAsia="宋体" w:cs="宋体"/>
                <w:color w:val="000000"/>
                <w:sz w:val="21"/>
                <w:szCs w:val="21"/>
                <w:highlight w:val="none"/>
                <w:u w:val="single"/>
                <w:shd w:val="clear" w:color="auto" w:fill="auto"/>
              </w:rPr>
              <w:t>供应商拟派项目经理须</w:t>
            </w:r>
            <w:r>
              <w:rPr>
                <w:rFonts w:hint="eastAsia" w:ascii="宋体" w:hAnsi="宋体" w:eastAsia="宋体" w:cs="宋体"/>
                <w:color w:val="000000"/>
                <w:sz w:val="21"/>
                <w:szCs w:val="21"/>
                <w:highlight w:val="none"/>
                <w:u w:val="single"/>
                <w:shd w:val="clear" w:color="auto" w:fill="auto"/>
                <w:lang w:eastAsia="zh-CN"/>
              </w:rPr>
              <w:t>具备</w:t>
            </w:r>
            <w:r>
              <w:rPr>
                <w:rFonts w:hint="eastAsia" w:ascii="宋体" w:hAnsi="宋体" w:cs="宋体"/>
                <w:color w:val="000000"/>
                <w:sz w:val="21"/>
                <w:szCs w:val="21"/>
                <w:highlight w:val="none"/>
                <w:u w:val="single"/>
                <w:shd w:val="clear" w:color="auto" w:fill="auto"/>
                <w:lang w:val="en-US" w:eastAsia="zh-CN"/>
              </w:rPr>
              <w:t>市政公用工程贰级</w:t>
            </w:r>
            <w:r>
              <w:rPr>
                <w:rFonts w:hint="eastAsia" w:ascii="宋体" w:hAnsi="宋体" w:eastAsia="宋体" w:cs="宋体"/>
                <w:color w:val="000000"/>
                <w:sz w:val="21"/>
                <w:szCs w:val="21"/>
                <w:highlight w:val="none"/>
                <w:u w:val="single"/>
                <w:shd w:val="clear" w:color="auto" w:fill="auto"/>
                <w:lang w:eastAsia="zh-CN"/>
              </w:rPr>
              <w:t>及以上注册建造师执业资格</w:t>
            </w:r>
            <w:r>
              <w:rPr>
                <w:rFonts w:hint="eastAsia" w:ascii="宋体" w:hAnsi="宋体" w:eastAsia="宋体" w:cs="宋体"/>
                <w:color w:val="000000"/>
                <w:sz w:val="21"/>
                <w:szCs w:val="21"/>
                <w:highlight w:val="none"/>
                <w:u w:val="single"/>
                <w:shd w:val="clear" w:color="auto" w:fill="auto"/>
              </w:rPr>
              <w:t>，具备有效的安全生产考核合格证书（B类）。本项目不接受有在建、已中标未开工或已列为其他项目中标候选人第一名的建造师作为项目经理。</w:t>
            </w:r>
          </w:p>
        </w:tc>
      </w:tr>
      <w:tr w14:paraId="4A78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0DF4221D">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3</w:t>
            </w:r>
          </w:p>
        </w:tc>
        <w:tc>
          <w:tcPr>
            <w:tcW w:w="942" w:type="dxa"/>
            <w:noWrap w:val="0"/>
            <w:vAlign w:val="center"/>
          </w:tcPr>
          <w:p w14:paraId="6452DFFD">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4</w:t>
            </w:r>
          </w:p>
        </w:tc>
        <w:tc>
          <w:tcPr>
            <w:tcW w:w="1775" w:type="dxa"/>
            <w:noWrap w:val="0"/>
            <w:vAlign w:val="center"/>
          </w:tcPr>
          <w:p w14:paraId="4A7BDB54">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磋商费用</w:t>
            </w:r>
          </w:p>
        </w:tc>
        <w:tc>
          <w:tcPr>
            <w:tcW w:w="6405" w:type="dxa"/>
            <w:noWrap w:val="0"/>
            <w:vAlign w:val="center"/>
          </w:tcPr>
          <w:p w14:paraId="22B98CA4">
            <w:pPr>
              <w:pageBreakBefore w:val="0"/>
              <w:kinsoku/>
              <w:wordWrap/>
              <w:overflowPunct/>
              <w:topLinePunct w:val="0"/>
              <w:autoSpaceDE/>
              <w:autoSpaceDN/>
              <w:bidi w:val="0"/>
              <w:adjustRightInd/>
              <w:spacing w:line="440" w:lineRule="exact"/>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不论磋商结果如何，供应商均应自行承担所有与磋商有关的全部费用。</w:t>
            </w:r>
          </w:p>
        </w:tc>
      </w:tr>
      <w:tr w14:paraId="0F21D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0861E448">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4</w:t>
            </w:r>
          </w:p>
        </w:tc>
        <w:tc>
          <w:tcPr>
            <w:tcW w:w="942" w:type="dxa"/>
            <w:noWrap w:val="0"/>
            <w:vAlign w:val="center"/>
          </w:tcPr>
          <w:p w14:paraId="1392624F">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position w:val="-2"/>
                <w:sz w:val="21"/>
                <w:szCs w:val="21"/>
                <w:highlight w:val="none"/>
                <w:shd w:val="clear" w:color="auto" w:fill="auto"/>
              </w:rPr>
            </w:pPr>
            <w:r>
              <w:rPr>
                <w:rFonts w:hint="eastAsia" w:ascii="宋体" w:hAnsi="宋体" w:eastAsia="宋体" w:cs="宋体"/>
                <w:color w:val="000000"/>
                <w:position w:val="-2"/>
                <w:sz w:val="21"/>
                <w:szCs w:val="21"/>
                <w:highlight w:val="none"/>
                <w:shd w:val="clear" w:color="auto" w:fill="auto"/>
              </w:rPr>
              <w:t>13</w:t>
            </w:r>
          </w:p>
        </w:tc>
        <w:tc>
          <w:tcPr>
            <w:tcW w:w="1775" w:type="dxa"/>
            <w:noWrap w:val="0"/>
            <w:vAlign w:val="center"/>
          </w:tcPr>
          <w:p w14:paraId="56BE103F">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position w:val="-2"/>
                <w:sz w:val="21"/>
                <w:szCs w:val="21"/>
                <w:highlight w:val="none"/>
                <w:shd w:val="clear" w:color="auto" w:fill="auto"/>
              </w:rPr>
            </w:pPr>
            <w:r>
              <w:rPr>
                <w:rFonts w:hint="eastAsia" w:ascii="宋体" w:hAnsi="宋体" w:eastAsia="宋体" w:cs="宋体"/>
                <w:color w:val="000000"/>
                <w:sz w:val="21"/>
                <w:szCs w:val="21"/>
                <w:highlight w:val="none"/>
                <w:shd w:val="clear" w:color="auto" w:fill="auto"/>
              </w:rPr>
              <w:t>磋商报价及采购预算金额</w:t>
            </w:r>
          </w:p>
        </w:tc>
        <w:tc>
          <w:tcPr>
            <w:tcW w:w="6405" w:type="dxa"/>
            <w:noWrap w:val="0"/>
            <w:vAlign w:val="center"/>
          </w:tcPr>
          <w:p w14:paraId="2781EC15">
            <w:pPr>
              <w:pageBreakBefore w:val="0"/>
              <w:kinsoku/>
              <w:wordWrap/>
              <w:overflowPunct/>
              <w:topLinePunct w:val="0"/>
              <w:autoSpaceDE/>
              <w:autoSpaceDN/>
              <w:bidi w:val="0"/>
              <w:adjustRightInd/>
              <w:spacing w:line="440" w:lineRule="exact"/>
              <w:textAlignment w:val="auto"/>
              <w:rPr>
                <w:rFonts w:hint="eastAsia" w:ascii="宋体" w:hAnsi="宋体" w:eastAsia="宋体" w:cs="宋体"/>
                <w:color w:val="000000"/>
                <w:sz w:val="21"/>
                <w:szCs w:val="21"/>
                <w:highlight w:val="none"/>
                <w:shd w:val="clear" w:color="auto" w:fill="auto"/>
                <w:lang w:eastAsia="zh-CN"/>
              </w:rPr>
            </w:pPr>
            <w:r>
              <w:rPr>
                <w:rFonts w:hint="eastAsia" w:ascii="宋体" w:hAnsi="宋体" w:eastAsia="宋体" w:cs="宋体"/>
                <w:color w:val="000000"/>
                <w:sz w:val="21"/>
                <w:szCs w:val="21"/>
                <w:highlight w:val="none"/>
                <w:shd w:val="clear" w:color="auto" w:fill="auto"/>
              </w:rPr>
              <w:t>13.1</w:t>
            </w:r>
            <w:r>
              <w:rPr>
                <w:rFonts w:hint="eastAsia" w:ascii="宋体" w:hAnsi="宋体" w:eastAsia="宋体" w:cs="宋体"/>
                <w:color w:val="000000"/>
                <w:kern w:val="0"/>
                <w:sz w:val="21"/>
                <w:szCs w:val="21"/>
                <w:highlight w:val="none"/>
                <w:shd w:val="clear" w:color="auto" w:fill="auto"/>
              </w:rPr>
              <w:t>本工程预算控制价（最高磋商限价）为人民币</w:t>
            </w:r>
            <w:r>
              <w:rPr>
                <w:rFonts w:hint="eastAsia" w:ascii="宋体" w:hAnsi="宋体" w:eastAsia="宋体" w:cs="宋体"/>
                <w:color w:val="000000"/>
                <w:kern w:val="0"/>
                <w:sz w:val="21"/>
                <w:szCs w:val="21"/>
                <w:highlight w:val="none"/>
                <w:u w:val="single"/>
                <w:shd w:val="clear" w:color="auto" w:fill="auto"/>
                <w:lang w:val="en-US" w:eastAsia="zh-CN"/>
              </w:rPr>
              <w:t>1997253.27元</w:t>
            </w:r>
            <w:r>
              <w:rPr>
                <w:rFonts w:hint="eastAsia" w:ascii="宋体" w:hAnsi="宋体" w:eastAsia="宋体" w:cs="宋体"/>
                <w:color w:val="000000"/>
                <w:sz w:val="21"/>
                <w:szCs w:val="21"/>
                <w:highlight w:val="none"/>
                <w:shd w:val="clear" w:color="auto" w:fill="auto"/>
              </w:rPr>
              <w:t>供应商磋商总报价不得高于本工程最高磋商限价，否则被视为无效报价，无效报价将不予评审。</w:t>
            </w:r>
          </w:p>
          <w:p w14:paraId="36B11194">
            <w:pPr>
              <w:pageBreakBefore w:val="0"/>
              <w:kinsoku/>
              <w:wordWrap/>
              <w:overflowPunct/>
              <w:topLinePunct w:val="0"/>
              <w:autoSpaceDE/>
              <w:autoSpaceDN/>
              <w:bidi w:val="0"/>
              <w:adjustRightInd/>
              <w:spacing w:line="440" w:lineRule="exact"/>
              <w:textAlignment w:val="auto"/>
              <w:rPr>
                <w:rFonts w:hint="eastAsia" w:ascii="宋体" w:hAnsi="宋体" w:eastAsia="宋体" w:cs="宋体"/>
                <w:color w:val="000000"/>
                <w:sz w:val="21"/>
                <w:szCs w:val="21"/>
                <w:highlight w:val="none"/>
                <w:shd w:val="clear" w:color="auto" w:fill="auto"/>
                <w:lang w:eastAsia="zh-CN"/>
              </w:rPr>
            </w:pPr>
            <w:r>
              <w:rPr>
                <w:rFonts w:hint="eastAsia" w:ascii="宋体" w:hAnsi="宋体" w:eastAsia="宋体" w:cs="宋体"/>
                <w:color w:val="000000"/>
                <w:sz w:val="21"/>
                <w:szCs w:val="21"/>
                <w:highlight w:val="none"/>
                <w:shd w:val="clear" w:color="auto" w:fill="auto"/>
              </w:rPr>
              <w:t>13.2供应商必须就“工程量清单”中所有内容作完整报价，否则，其响应文件无效。</w:t>
            </w:r>
          </w:p>
          <w:p w14:paraId="500D5660">
            <w:pPr>
              <w:pageBreakBefore w:val="0"/>
              <w:tabs>
                <w:tab w:val="left" w:pos="1305"/>
              </w:tabs>
              <w:kinsoku/>
              <w:wordWrap/>
              <w:overflowPunct/>
              <w:topLinePunct w:val="0"/>
              <w:autoSpaceDE/>
              <w:autoSpaceDN/>
              <w:bidi w:val="0"/>
              <w:adjustRightInd/>
              <w:spacing w:line="440" w:lineRule="exact"/>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13.3供应商磋商报价应综合考虑工程总造价（包含提供本次工程范围的所有成本、税金、利润等），报价不得超出最高磋商总价限价。</w:t>
            </w:r>
          </w:p>
          <w:p w14:paraId="379CAEF1">
            <w:pPr>
              <w:pageBreakBefore w:val="0"/>
              <w:kinsoku/>
              <w:wordWrap/>
              <w:overflowPunct/>
              <w:topLinePunct w:val="0"/>
              <w:autoSpaceDE/>
              <w:autoSpaceDN/>
              <w:bidi w:val="0"/>
              <w:adjustRightInd/>
              <w:spacing w:line="440" w:lineRule="exact"/>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13.4供应商应在规定时间内在</w:t>
            </w:r>
            <w:r>
              <w:rPr>
                <w:rFonts w:hint="eastAsia" w:ascii="宋体" w:hAnsi="宋体" w:eastAsia="宋体" w:cs="宋体"/>
                <w:color w:val="000000"/>
                <w:sz w:val="21"/>
                <w:szCs w:val="21"/>
                <w:highlight w:val="none"/>
                <w:shd w:val="clear" w:color="auto" w:fill="auto"/>
                <w:lang w:eastAsia="zh-CN"/>
              </w:rPr>
              <w:t>广西政府采购云平台</w:t>
            </w:r>
            <w:r>
              <w:rPr>
                <w:rFonts w:hint="eastAsia" w:ascii="宋体" w:hAnsi="宋体" w:eastAsia="宋体" w:cs="宋体"/>
                <w:color w:val="000000"/>
                <w:sz w:val="21"/>
                <w:szCs w:val="21"/>
                <w:highlight w:val="none"/>
                <w:shd w:val="clear" w:color="auto" w:fill="auto"/>
              </w:rPr>
              <w:t>系统上提交最后报价，超出磋商小组设定的最后报价时限或其最后报价超出最高限价导致已通过评审的响应文件无效的，按供应商在提交响应文件截止时间后撤回响应文件处理。</w:t>
            </w:r>
          </w:p>
          <w:p w14:paraId="2A70F191">
            <w:pPr>
              <w:pStyle w:val="4"/>
              <w:pageBreakBefore w:val="0"/>
              <w:kinsoku/>
              <w:wordWrap/>
              <w:overflowPunct/>
              <w:topLinePunct w:val="0"/>
              <w:autoSpaceDE/>
              <w:autoSpaceDN/>
              <w:bidi w:val="0"/>
              <w:adjustRightInd/>
              <w:spacing w:line="440" w:lineRule="exact"/>
              <w:textAlignment w:val="auto"/>
              <w:rPr>
                <w:rFonts w:hint="eastAsia" w:ascii="宋体" w:hAnsi="宋体" w:eastAsia="宋体" w:cs="宋体"/>
                <w:color w:val="000000"/>
                <w:kern w:val="2"/>
                <w:sz w:val="21"/>
                <w:szCs w:val="21"/>
                <w:highlight w:val="none"/>
                <w:shd w:val="clear" w:color="auto" w:fill="auto"/>
              </w:rPr>
            </w:pPr>
            <w:r>
              <w:rPr>
                <w:rFonts w:hint="eastAsia" w:ascii="宋体" w:hAnsi="宋体" w:eastAsia="宋体" w:cs="宋体"/>
                <w:color w:val="000000"/>
                <w:kern w:val="2"/>
                <w:sz w:val="21"/>
                <w:szCs w:val="21"/>
                <w:highlight w:val="none"/>
                <w:shd w:val="clear" w:color="auto" w:fill="auto"/>
              </w:rPr>
              <w:t>注：供应商的第二次磋商报价不得高于该供应商第一次磋商报价，否则做无效标处理。如供应商维持磋商报价不变，以原磋商报价作为供应商最后报价</w:t>
            </w:r>
            <w:r>
              <w:rPr>
                <w:rFonts w:hint="eastAsia" w:ascii="宋体" w:hAnsi="宋体" w:eastAsia="宋体" w:cs="宋体"/>
                <w:bCs/>
                <w:color w:val="000000"/>
                <w:kern w:val="2"/>
                <w:sz w:val="21"/>
                <w:szCs w:val="21"/>
                <w:highlight w:val="none"/>
                <w:shd w:val="clear" w:color="auto" w:fill="auto"/>
              </w:rPr>
              <w:t>；如供应商需要改变原磋商报价时，</w:t>
            </w:r>
            <w:r>
              <w:rPr>
                <w:rFonts w:hint="eastAsia" w:ascii="宋体" w:hAnsi="宋体" w:eastAsia="宋体" w:cs="宋体"/>
                <w:color w:val="000000"/>
                <w:kern w:val="2"/>
                <w:sz w:val="21"/>
                <w:szCs w:val="21"/>
                <w:highlight w:val="none"/>
                <w:shd w:val="clear" w:color="auto" w:fill="auto"/>
              </w:rPr>
              <w:t>供应商应预先准备好调整后的已标价的工程量清单（在提交最后报价时以附件形式上传）。如供应商在磋商过程中，改变原报价且未按竞争性磋商文件要求提供调整后的已标价的工程量清单，其报价不予认可，视供应商维持原磋商报价不变。</w:t>
            </w:r>
          </w:p>
        </w:tc>
      </w:tr>
      <w:tr w14:paraId="722A4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171D85ED">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5</w:t>
            </w:r>
          </w:p>
        </w:tc>
        <w:tc>
          <w:tcPr>
            <w:tcW w:w="942" w:type="dxa"/>
            <w:noWrap w:val="0"/>
            <w:vAlign w:val="center"/>
          </w:tcPr>
          <w:p w14:paraId="33D6B9A2">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position w:val="-2"/>
                <w:sz w:val="21"/>
                <w:szCs w:val="21"/>
                <w:highlight w:val="none"/>
                <w:shd w:val="clear" w:color="auto" w:fill="auto"/>
              </w:rPr>
            </w:pPr>
            <w:r>
              <w:rPr>
                <w:rFonts w:hint="eastAsia" w:ascii="宋体" w:hAnsi="宋体" w:eastAsia="宋体" w:cs="宋体"/>
                <w:color w:val="000000"/>
                <w:position w:val="-2"/>
                <w:sz w:val="21"/>
                <w:szCs w:val="21"/>
                <w:highlight w:val="none"/>
                <w:shd w:val="clear" w:color="auto" w:fill="auto"/>
              </w:rPr>
              <w:t>14.1</w:t>
            </w:r>
          </w:p>
        </w:tc>
        <w:tc>
          <w:tcPr>
            <w:tcW w:w="1775" w:type="dxa"/>
            <w:noWrap w:val="0"/>
            <w:vAlign w:val="center"/>
          </w:tcPr>
          <w:p w14:paraId="52ABD036">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position w:val="-2"/>
                <w:sz w:val="21"/>
                <w:szCs w:val="21"/>
                <w:highlight w:val="none"/>
                <w:shd w:val="clear" w:color="auto" w:fill="auto"/>
              </w:rPr>
            </w:pPr>
            <w:r>
              <w:rPr>
                <w:rFonts w:hint="eastAsia" w:ascii="宋体" w:hAnsi="宋体" w:eastAsia="宋体" w:cs="宋体"/>
                <w:color w:val="000000"/>
                <w:position w:val="-2"/>
                <w:sz w:val="21"/>
                <w:szCs w:val="21"/>
                <w:highlight w:val="none"/>
                <w:shd w:val="clear" w:color="auto" w:fill="auto"/>
              </w:rPr>
              <w:t>响应文件有效期</w:t>
            </w:r>
          </w:p>
        </w:tc>
        <w:tc>
          <w:tcPr>
            <w:tcW w:w="6405" w:type="dxa"/>
            <w:noWrap w:val="0"/>
            <w:vAlign w:val="top"/>
          </w:tcPr>
          <w:p w14:paraId="0CB2DFC7">
            <w:pPr>
              <w:pageBreakBefore w:val="0"/>
              <w:tabs>
                <w:tab w:val="left" w:pos="1305"/>
              </w:tabs>
              <w:kinsoku/>
              <w:wordWrap/>
              <w:overflowPunct/>
              <w:topLinePunct w:val="0"/>
              <w:autoSpaceDE/>
              <w:autoSpaceDN/>
              <w:bidi w:val="0"/>
              <w:adjustRightInd/>
              <w:spacing w:line="440" w:lineRule="exact"/>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自响应文件递交截止时间之日起90天，有效期不足的响应文件将被拒绝。</w:t>
            </w:r>
          </w:p>
        </w:tc>
      </w:tr>
      <w:tr w14:paraId="2B115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7850ADB1">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6</w:t>
            </w:r>
          </w:p>
        </w:tc>
        <w:tc>
          <w:tcPr>
            <w:tcW w:w="942" w:type="dxa"/>
            <w:noWrap w:val="0"/>
            <w:vAlign w:val="center"/>
          </w:tcPr>
          <w:p w14:paraId="5B70AA4D">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position w:val="-2"/>
                <w:sz w:val="21"/>
                <w:szCs w:val="21"/>
                <w:highlight w:val="none"/>
                <w:shd w:val="clear" w:color="auto" w:fill="auto"/>
              </w:rPr>
            </w:pPr>
            <w:r>
              <w:rPr>
                <w:rFonts w:hint="eastAsia" w:ascii="宋体" w:hAnsi="宋体" w:eastAsia="宋体" w:cs="宋体"/>
                <w:color w:val="000000"/>
                <w:position w:val="-2"/>
                <w:sz w:val="21"/>
                <w:szCs w:val="21"/>
                <w:highlight w:val="none"/>
                <w:shd w:val="clear" w:color="auto" w:fill="auto"/>
              </w:rPr>
              <w:t>15</w:t>
            </w:r>
          </w:p>
        </w:tc>
        <w:tc>
          <w:tcPr>
            <w:tcW w:w="1775" w:type="dxa"/>
            <w:noWrap w:val="0"/>
            <w:vAlign w:val="center"/>
          </w:tcPr>
          <w:p w14:paraId="695AD75C">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position w:val="-2"/>
                <w:sz w:val="21"/>
                <w:szCs w:val="21"/>
                <w:highlight w:val="none"/>
                <w:shd w:val="clear" w:color="auto" w:fill="auto"/>
              </w:rPr>
            </w:pPr>
            <w:r>
              <w:rPr>
                <w:rFonts w:hint="eastAsia" w:ascii="宋体" w:hAnsi="宋体" w:eastAsia="宋体" w:cs="宋体"/>
                <w:color w:val="000000"/>
                <w:position w:val="-2"/>
                <w:sz w:val="21"/>
                <w:szCs w:val="21"/>
                <w:highlight w:val="none"/>
                <w:shd w:val="clear" w:color="auto" w:fill="auto"/>
              </w:rPr>
              <w:t>保证金</w:t>
            </w:r>
          </w:p>
        </w:tc>
        <w:tc>
          <w:tcPr>
            <w:tcW w:w="6405" w:type="dxa"/>
            <w:noWrap w:val="0"/>
            <w:vAlign w:val="top"/>
          </w:tcPr>
          <w:p w14:paraId="1D9AD574">
            <w:pPr>
              <w:pageBreakBefore w:val="0"/>
              <w:tabs>
                <w:tab w:val="left" w:pos="1305"/>
              </w:tabs>
              <w:kinsoku/>
              <w:wordWrap/>
              <w:overflowPunct/>
              <w:topLinePunct w:val="0"/>
              <w:autoSpaceDE/>
              <w:autoSpaceDN/>
              <w:bidi w:val="0"/>
              <w:adjustRightInd/>
              <w:spacing w:line="440" w:lineRule="exact"/>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本项目无需交纳磋商保证金。</w:t>
            </w:r>
          </w:p>
        </w:tc>
      </w:tr>
      <w:tr w14:paraId="5C1C3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041E10C4">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7</w:t>
            </w:r>
          </w:p>
        </w:tc>
        <w:tc>
          <w:tcPr>
            <w:tcW w:w="942" w:type="dxa"/>
            <w:noWrap w:val="0"/>
            <w:vAlign w:val="center"/>
          </w:tcPr>
          <w:p w14:paraId="0645841A">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16</w:t>
            </w:r>
          </w:p>
        </w:tc>
        <w:tc>
          <w:tcPr>
            <w:tcW w:w="1775" w:type="dxa"/>
            <w:noWrap w:val="0"/>
            <w:vAlign w:val="center"/>
          </w:tcPr>
          <w:p w14:paraId="590DC334">
            <w:pPr>
              <w:keepNext/>
              <w:keepLines/>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1"/>
                <w:szCs w:val="21"/>
                <w:highlight w:val="none"/>
                <w:shd w:val="clear" w:color="auto" w:fill="auto"/>
              </w:rPr>
            </w:pPr>
            <w:bookmarkStart w:id="91" w:name="_Toc20646"/>
            <w:bookmarkStart w:id="92" w:name="_Toc19911"/>
            <w:bookmarkStart w:id="93" w:name="_Toc27452"/>
            <w:r>
              <w:rPr>
                <w:rFonts w:hint="eastAsia" w:ascii="宋体" w:hAnsi="宋体" w:eastAsia="宋体" w:cs="宋体"/>
                <w:bCs/>
                <w:color w:val="000000"/>
                <w:sz w:val="21"/>
                <w:szCs w:val="21"/>
                <w:highlight w:val="none"/>
                <w:shd w:val="clear" w:color="auto" w:fill="auto"/>
              </w:rPr>
              <w:t>竞争性磋商响应文件的制作</w:t>
            </w:r>
            <w:bookmarkEnd w:id="91"/>
            <w:bookmarkEnd w:id="92"/>
            <w:bookmarkEnd w:id="93"/>
          </w:p>
        </w:tc>
        <w:tc>
          <w:tcPr>
            <w:tcW w:w="6405" w:type="dxa"/>
            <w:noWrap w:val="0"/>
            <w:vAlign w:val="center"/>
          </w:tcPr>
          <w:p w14:paraId="5CD360E1">
            <w:pPr>
              <w:pageBreakBefore w:val="0"/>
              <w:kinsoku/>
              <w:wordWrap/>
              <w:overflowPunct/>
              <w:topLinePunct w:val="0"/>
              <w:autoSpaceDE/>
              <w:autoSpaceDN/>
              <w:bidi w:val="0"/>
              <w:adjustRightInd/>
              <w:snapToGrid w:val="0"/>
              <w:spacing w:line="440" w:lineRule="exact"/>
              <w:ind w:right="-57" w:rightChars="-27"/>
              <w:jc w:val="left"/>
              <w:textAlignment w:val="auto"/>
              <w:rPr>
                <w:rFonts w:hint="eastAsia" w:ascii="宋体" w:hAnsi="宋体" w:eastAsia="宋体" w:cs="宋体"/>
                <w:bCs/>
                <w:color w:val="00000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16.1</w:t>
            </w:r>
            <w:r>
              <w:rPr>
                <w:rFonts w:hint="eastAsia" w:ascii="宋体" w:hAnsi="宋体" w:eastAsia="宋体" w:cs="宋体"/>
                <w:color w:val="000000"/>
                <w:sz w:val="21"/>
                <w:szCs w:val="21"/>
                <w:highlight w:val="none"/>
                <w:shd w:val="clear" w:color="auto" w:fill="auto"/>
              </w:rPr>
              <w:t>供应商制作电子响应文件前，</w:t>
            </w:r>
            <w:r>
              <w:rPr>
                <w:rFonts w:hint="eastAsia" w:ascii="宋体" w:hAnsi="宋体" w:eastAsia="宋体" w:cs="宋体"/>
                <w:bCs/>
                <w:color w:val="000000"/>
                <w:sz w:val="21"/>
                <w:szCs w:val="21"/>
                <w:highlight w:val="none"/>
                <w:shd w:val="clear" w:color="auto" w:fill="auto"/>
              </w:rPr>
              <w:t>应登陆“</w:t>
            </w:r>
            <w:r>
              <w:rPr>
                <w:rFonts w:hint="eastAsia" w:ascii="宋体" w:hAnsi="宋体" w:eastAsia="宋体" w:cs="宋体"/>
                <w:bCs/>
                <w:color w:val="000000"/>
                <w:sz w:val="21"/>
                <w:szCs w:val="21"/>
                <w:highlight w:val="none"/>
                <w:shd w:val="clear" w:color="auto" w:fill="auto"/>
                <w:lang w:eastAsia="zh-CN"/>
              </w:rPr>
              <w:t>广西政府采购云平台</w:t>
            </w:r>
            <w:r>
              <w:rPr>
                <w:rFonts w:hint="eastAsia" w:ascii="宋体" w:hAnsi="宋体" w:eastAsia="宋体" w:cs="宋体"/>
                <w:bCs/>
                <w:color w:val="000000"/>
                <w:sz w:val="21"/>
                <w:szCs w:val="21"/>
                <w:highlight w:val="none"/>
                <w:shd w:val="clear" w:color="auto" w:fill="auto"/>
              </w:rPr>
              <w:t>”进行“申请获取采购文件”操作，否则，有可能导致无法在线编制响应文件并参与磋商，其不利后果由供应商自行承担。</w:t>
            </w:r>
          </w:p>
          <w:p w14:paraId="6E28D0E0">
            <w:pPr>
              <w:pageBreakBefore w:val="0"/>
              <w:kinsoku/>
              <w:wordWrap/>
              <w:overflowPunct/>
              <w:topLinePunct w:val="0"/>
              <w:autoSpaceDE/>
              <w:autoSpaceDN/>
              <w:bidi w:val="0"/>
              <w:adjustRightInd/>
              <w:snapToGrid w:val="0"/>
              <w:spacing w:line="440" w:lineRule="exact"/>
              <w:ind w:right="-57" w:rightChars="-27"/>
              <w:jc w:val="left"/>
              <w:textAlignment w:val="auto"/>
              <w:rPr>
                <w:rFonts w:hint="eastAsia" w:ascii="宋体" w:hAnsi="宋体" w:eastAsia="宋体" w:cs="宋体"/>
                <w:bCs/>
                <w:color w:val="000000"/>
                <w:sz w:val="21"/>
                <w:szCs w:val="21"/>
                <w:highlight w:val="none"/>
                <w:shd w:val="clear" w:color="auto" w:fill="auto"/>
              </w:rPr>
            </w:pPr>
            <w:r>
              <w:rPr>
                <w:rFonts w:hint="eastAsia" w:ascii="宋体" w:hAnsi="宋体" w:eastAsia="宋体" w:cs="宋体"/>
                <w:bCs/>
                <w:color w:val="000000"/>
                <w:sz w:val="21"/>
                <w:szCs w:val="21"/>
                <w:highlight w:val="none"/>
                <w:shd w:val="clear" w:color="auto" w:fill="auto"/>
              </w:rPr>
              <w:t>16.2供应商下载或获取竞争性磋商文件后，登录“</w:t>
            </w:r>
            <w:r>
              <w:rPr>
                <w:rFonts w:hint="eastAsia" w:ascii="宋体" w:hAnsi="宋体" w:eastAsia="宋体" w:cs="宋体"/>
                <w:bCs/>
                <w:color w:val="000000"/>
                <w:sz w:val="21"/>
                <w:szCs w:val="21"/>
                <w:highlight w:val="none"/>
                <w:shd w:val="clear" w:color="auto" w:fill="auto"/>
                <w:lang w:eastAsia="zh-CN"/>
              </w:rPr>
              <w:t>广西政府采购云平台</w:t>
            </w:r>
            <w:r>
              <w:rPr>
                <w:rFonts w:hint="eastAsia" w:ascii="宋体" w:hAnsi="宋体" w:eastAsia="宋体" w:cs="宋体"/>
                <w:bCs/>
                <w:color w:val="000000"/>
                <w:sz w:val="21"/>
                <w:szCs w:val="21"/>
                <w:highlight w:val="none"/>
                <w:shd w:val="clear" w:color="auto" w:fill="auto"/>
              </w:rPr>
              <w:t>电子投标客户端”，按照本磋商文件</w:t>
            </w:r>
            <w:r>
              <w:rPr>
                <w:rFonts w:hint="eastAsia" w:ascii="宋体" w:hAnsi="宋体" w:eastAsia="宋体" w:cs="宋体"/>
                <w:color w:val="000000"/>
                <w:sz w:val="21"/>
                <w:szCs w:val="21"/>
                <w:highlight w:val="none"/>
                <w:shd w:val="clear" w:color="auto" w:fill="auto"/>
              </w:rPr>
              <w:t>规定的响应文件格式、顺序</w:t>
            </w:r>
            <w:r>
              <w:rPr>
                <w:rFonts w:hint="eastAsia" w:ascii="宋体" w:hAnsi="宋体" w:eastAsia="宋体" w:cs="宋体"/>
                <w:bCs/>
                <w:color w:val="000000"/>
                <w:sz w:val="21"/>
                <w:szCs w:val="21"/>
                <w:highlight w:val="none"/>
                <w:shd w:val="clear" w:color="auto" w:fill="auto"/>
              </w:rPr>
              <w:t>以及“</w:t>
            </w:r>
            <w:r>
              <w:rPr>
                <w:rFonts w:hint="eastAsia" w:ascii="宋体" w:hAnsi="宋体" w:eastAsia="宋体" w:cs="宋体"/>
                <w:bCs/>
                <w:color w:val="000000"/>
                <w:sz w:val="21"/>
                <w:szCs w:val="21"/>
                <w:highlight w:val="none"/>
                <w:shd w:val="clear" w:color="auto" w:fill="auto"/>
                <w:lang w:eastAsia="zh-CN"/>
              </w:rPr>
              <w:t>广西政府采购云平台</w:t>
            </w:r>
            <w:r>
              <w:rPr>
                <w:rFonts w:hint="eastAsia" w:ascii="宋体" w:hAnsi="宋体" w:eastAsia="宋体" w:cs="宋体"/>
                <w:bCs/>
                <w:color w:val="000000"/>
                <w:sz w:val="21"/>
                <w:szCs w:val="21"/>
                <w:highlight w:val="none"/>
                <w:shd w:val="clear" w:color="auto" w:fill="auto"/>
              </w:rPr>
              <w:t>”的要求，通过“</w:t>
            </w:r>
            <w:r>
              <w:rPr>
                <w:rFonts w:hint="eastAsia" w:ascii="宋体" w:hAnsi="宋体" w:eastAsia="宋体" w:cs="宋体"/>
                <w:bCs/>
                <w:color w:val="000000"/>
                <w:sz w:val="21"/>
                <w:szCs w:val="21"/>
                <w:highlight w:val="none"/>
                <w:shd w:val="clear" w:color="auto" w:fill="auto"/>
                <w:lang w:eastAsia="zh-CN"/>
              </w:rPr>
              <w:t>广西政府采购云平台</w:t>
            </w:r>
            <w:r>
              <w:rPr>
                <w:rFonts w:hint="eastAsia" w:ascii="宋体" w:hAnsi="宋体" w:eastAsia="宋体" w:cs="宋体"/>
                <w:bCs/>
                <w:color w:val="000000"/>
                <w:sz w:val="21"/>
                <w:szCs w:val="21"/>
                <w:highlight w:val="none"/>
                <w:shd w:val="clear" w:color="auto" w:fill="auto"/>
              </w:rPr>
              <w:t>电子投标客户端”编制电子响应文件。</w:t>
            </w:r>
          </w:p>
          <w:p w14:paraId="27EDD171">
            <w:pPr>
              <w:pageBreakBefore w:val="0"/>
              <w:kinsoku/>
              <w:wordWrap/>
              <w:overflowPunct/>
              <w:topLinePunct w:val="0"/>
              <w:autoSpaceDE/>
              <w:autoSpaceDN/>
              <w:bidi w:val="0"/>
              <w:adjustRightInd/>
              <w:spacing w:line="440" w:lineRule="exact"/>
              <w:ind w:right="-57" w:rightChars="-27"/>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16.3电子磋商响应文件中须加盖供应商公章部分均采用CA签章，并根据“政府采购项目电子交易管理操作指南-供应商”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14:paraId="025EBD9F">
            <w:pPr>
              <w:pageBreakBefore w:val="0"/>
              <w:kinsoku/>
              <w:wordWrap/>
              <w:overflowPunct/>
              <w:topLinePunct w:val="0"/>
              <w:autoSpaceDE/>
              <w:autoSpaceDN/>
              <w:bidi w:val="0"/>
              <w:adjustRightInd/>
              <w:spacing w:line="440" w:lineRule="exact"/>
              <w:ind w:right="-57" w:rightChars="-27"/>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16.4供应商法人（负责人）或授权代表持有</w:t>
            </w:r>
            <w:r>
              <w:rPr>
                <w:rFonts w:hint="eastAsia" w:ascii="宋体" w:hAnsi="宋体" w:eastAsia="宋体" w:cs="宋体"/>
                <w:color w:val="000000"/>
                <w:sz w:val="21"/>
                <w:szCs w:val="21"/>
                <w:highlight w:val="none"/>
                <w:shd w:val="clear" w:color="auto" w:fill="auto"/>
                <w:lang w:eastAsia="zh-CN"/>
              </w:rPr>
              <w:t>广西政府采购云平台</w:t>
            </w:r>
            <w:r>
              <w:rPr>
                <w:rFonts w:hint="eastAsia" w:ascii="宋体" w:hAnsi="宋体" w:eastAsia="宋体" w:cs="宋体"/>
                <w:color w:val="000000"/>
                <w:sz w:val="21"/>
                <w:szCs w:val="21"/>
                <w:highlight w:val="none"/>
                <w:shd w:val="clear" w:color="auto" w:fill="auto"/>
              </w:rPr>
              <w:t>个人CA签章的，应在响应文件中涉及到签字的位置使用个人CA签章，没有办理</w:t>
            </w:r>
            <w:r>
              <w:rPr>
                <w:rFonts w:hint="eastAsia" w:ascii="宋体" w:hAnsi="宋体" w:eastAsia="宋体" w:cs="宋体"/>
                <w:color w:val="000000"/>
                <w:sz w:val="21"/>
                <w:szCs w:val="21"/>
                <w:highlight w:val="none"/>
                <w:shd w:val="clear" w:color="auto" w:fill="auto"/>
                <w:lang w:eastAsia="zh-CN"/>
              </w:rPr>
              <w:t>广西政府采购云平台</w:t>
            </w:r>
            <w:r>
              <w:rPr>
                <w:rFonts w:hint="eastAsia" w:ascii="宋体" w:hAnsi="宋体" w:eastAsia="宋体" w:cs="宋体"/>
                <w:color w:val="000000"/>
                <w:sz w:val="21"/>
                <w:szCs w:val="21"/>
                <w:highlight w:val="none"/>
                <w:shd w:val="clear" w:color="auto" w:fill="auto"/>
              </w:rPr>
              <w:t>个人CA签章的可在响应文件中涉及到签字的位置手写签字后扫描或者拍照做成PDF的格式上传即可。</w:t>
            </w:r>
          </w:p>
          <w:p w14:paraId="47633FEF">
            <w:pPr>
              <w:pageBreakBefore w:val="0"/>
              <w:kinsoku/>
              <w:wordWrap/>
              <w:overflowPunct/>
              <w:topLinePunct w:val="0"/>
              <w:autoSpaceDE/>
              <w:autoSpaceDN/>
              <w:bidi w:val="0"/>
              <w:adjustRightInd/>
              <w:spacing w:line="440" w:lineRule="exact"/>
              <w:ind w:right="-57" w:rightChars="-27"/>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16.5磋商响应文件不得涂改，若有修改错漏处，须法定代表人（负责人）或授权委托人签字（或个人CA签章）。磋商响应文件因字迹潦草或表达不清所引起的后果由供应商负责。</w:t>
            </w:r>
          </w:p>
          <w:p w14:paraId="36CE9AEC">
            <w:pPr>
              <w:pageBreakBefore w:val="0"/>
              <w:kinsoku/>
              <w:wordWrap/>
              <w:overflowPunct/>
              <w:topLinePunct w:val="0"/>
              <w:autoSpaceDE/>
              <w:autoSpaceDN/>
              <w:bidi w:val="0"/>
              <w:adjustRightInd/>
              <w:spacing w:line="440" w:lineRule="exact"/>
              <w:ind w:right="-57" w:rightChars="-27"/>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16.6磋商前准备</w:t>
            </w:r>
          </w:p>
          <w:p w14:paraId="5FDD1692">
            <w:pPr>
              <w:pageBreakBefore w:val="0"/>
              <w:kinsoku/>
              <w:wordWrap/>
              <w:overflowPunct/>
              <w:topLinePunct w:val="0"/>
              <w:autoSpaceDE/>
              <w:autoSpaceDN/>
              <w:bidi w:val="0"/>
              <w:adjustRightInd/>
              <w:spacing w:line="440" w:lineRule="exact"/>
              <w:ind w:right="-57" w:rightChars="-27"/>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16.6.1本项目实行在线磋商，采用电子磋商响应文件。若供应商参与磋商，自行承担磋商一切费用。</w:t>
            </w:r>
          </w:p>
          <w:p w14:paraId="268B69B3">
            <w:pPr>
              <w:pageBreakBefore w:val="0"/>
              <w:kinsoku/>
              <w:wordWrap/>
              <w:overflowPunct/>
              <w:topLinePunct w:val="0"/>
              <w:autoSpaceDE/>
              <w:autoSpaceDN/>
              <w:bidi w:val="0"/>
              <w:adjustRightInd/>
              <w:spacing w:line="440" w:lineRule="exact"/>
              <w:ind w:right="-57" w:rightChars="-27"/>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16.6.2各供应商应在截标前应确保成为</w:t>
            </w:r>
            <w:r>
              <w:rPr>
                <w:rFonts w:hint="eastAsia" w:ascii="宋体" w:hAnsi="宋体" w:eastAsia="宋体" w:cs="宋体"/>
                <w:color w:val="000000"/>
                <w:sz w:val="21"/>
                <w:szCs w:val="21"/>
                <w:highlight w:val="none"/>
                <w:shd w:val="clear" w:color="auto" w:fill="auto"/>
                <w:lang w:eastAsia="zh-CN"/>
              </w:rPr>
              <w:t>广西政府采购云平台</w:t>
            </w:r>
            <w:r>
              <w:rPr>
                <w:rFonts w:hint="eastAsia" w:ascii="宋体" w:hAnsi="宋体" w:eastAsia="宋体" w:cs="宋体"/>
                <w:color w:val="000000"/>
                <w:sz w:val="21"/>
                <w:szCs w:val="21"/>
                <w:highlight w:val="none"/>
                <w:shd w:val="clear" w:color="auto" w:fill="auto"/>
              </w:rPr>
              <w:t>正式注册入库供应商，并完成CA数字证书申领和绑定。因未注册入库、未办理CA数字证书等原因造成无法磋商或磋商失败等后果由供应商自行承担。</w:t>
            </w:r>
          </w:p>
          <w:p w14:paraId="6069DF63">
            <w:pPr>
              <w:pageBreakBefore w:val="0"/>
              <w:kinsoku/>
              <w:wordWrap/>
              <w:overflowPunct/>
              <w:topLinePunct w:val="0"/>
              <w:autoSpaceDE/>
              <w:autoSpaceDN/>
              <w:bidi w:val="0"/>
              <w:adjustRightInd/>
              <w:spacing w:line="440" w:lineRule="exact"/>
              <w:ind w:right="-57" w:rightChars="-27"/>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16.6.3供应商将</w:t>
            </w:r>
            <w:r>
              <w:rPr>
                <w:rFonts w:hint="eastAsia" w:ascii="宋体" w:hAnsi="宋体" w:eastAsia="宋体" w:cs="宋体"/>
                <w:color w:val="000000"/>
                <w:sz w:val="21"/>
                <w:szCs w:val="21"/>
                <w:highlight w:val="none"/>
                <w:shd w:val="clear" w:color="auto" w:fill="auto"/>
                <w:lang w:eastAsia="zh-CN"/>
              </w:rPr>
              <w:t>广西政府采购云平台</w:t>
            </w:r>
            <w:r>
              <w:rPr>
                <w:rFonts w:hint="eastAsia" w:ascii="宋体" w:hAnsi="宋体" w:eastAsia="宋体" w:cs="宋体"/>
                <w:color w:val="000000"/>
                <w:sz w:val="21"/>
                <w:szCs w:val="21"/>
                <w:highlight w:val="none"/>
                <w:shd w:val="clear" w:color="auto" w:fill="auto"/>
              </w:rPr>
              <w:t>电子交易客户端下载、安装完成后，可通过账号密码或CA登录客户端进行响应文件制作。客户端请至网站下载专区查看，如有问题可拨打</w:t>
            </w:r>
            <w:r>
              <w:rPr>
                <w:rFonts w:hint="eastAsia" w:ascii="宋体" w:hAnsi="宋体" w:eastAsia="宋体" w:cs="宋体"/>
                <w:color w:val="000000"/>
                <w:sz w:val="21"/>
                <w:szCs w:val="21"/>
                <w:highlight w:val="none"/>
                <w:shd w:val="clear" w:color="auto" w:fill="auto"/>
                <w:lang w:eastAsia="zh-CN"/>
              </w:rPr>
              <w:t>广西政府采购云平台</w:t>
            </w:r>
            <w:r>
              <w:rPr>
                <w:rFonts w:hint="eastAsia" w:ascii="宋体" w:hAnsi="宋体" w:eastAsia="宋体" w:cs="宋体"/>
                <w:color w:val="000000"/>
                <w:sz w:val="21"/>
                <w:szCs w:val="21"/>
                <w:highlight w:val="none"/>
                <w:shd w:val="clear" w:color="auto" w:fill="auto"/>
              </w:rPr>
              <w:t>客户服务热线</w:t>
            </w:r>
            <w:r>
              <w:rPr>
                <w:rFonts w:hint="eastAsia" w:ascii="宋体" w:hAnsi="宋体" w:eastAsia="宋体" w:cs="宋体"/>
                <w:color w:val="000000"/>
                <w:sz w:val="21"/>
                <w:szCs w:val="21"/>
                <w:highlight w:val="none"/>
                <w:shd w:val="clear" w:color="auto" w:fill="auto"/>
                <w:lang w:eastAsia="zh-CN"/>
              </w:rPr>
              <w:t>400-881-7190或95763</w:t>
            </w:r>
            <w:r>
              <w:rPr>
                <w:rFonts w:hint="eastAsia" w:ascii="宋体" w:hAnsi="宋体" w:eastAsia="宋体" w:cs="宋体"/>
                <w:color w:val="000000"/>
                <w:sz w:val="21"/>
                <w:szCs w:val="21"/>
                <w:highlight w:val="none"/>
                <w:shd w:val="clear" w:color="auto" w:fill="auto"/>
              </w:rPr>
              <w:t>进行咨询。</w:t>
            </w:r>
          </w:p>
        </w:tc>
      </w:tr>
      <w:tr w14:paraId="48EA7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534900CD">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8</w:t>
            </w:r>
          </w:p>
        </w:tc>
        <w:tc>
          <w:tcPr>
            <w:tcW w:w="942" w:type="dxa"/>
            <w:noWrap w:val="0"/>
            <w:vAlign w:val="center"/>
          </w:tcPr>
          <w:p w14:paraId="08D167A2">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18.1</w:t>
            </w:r>
          </w:p>
        </w:tc>
        <w:tc>
          <w:tcPr>
            <w:tcW w:w="1775" w:type="dxa"/>
            <w:noWrap w:val="0"/>
            <w:vAlign w:val="center"/>
          </w:tcPr>
          <w:p w14:paraId="3BFA90E1">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响应文件递交截止时间</w:t>
            </w:r>
          </w:p>
        </w:tc>
        <w:tc>
          <w:tcPr>
            <w:tcW w:w="6405" w:type="dxa"/>
            <w:noWrap w:val="0"/>
            <w:vAlign w:val="center"/>
          </w:tcPr>
          <w:p w14:paraId="218FE5F7">
            <w:pPr>
              <w:pageBreakBefore w:val="0"/>
              <w:kinsoku/>
              <w:wordWrap/>
              <w:overflowPunct/>
              <w:topLinePunct w:val="0"/>
              <w:autoSpaceDE/>
              <w:autoSpaceDN/>
              <w:bidi w:val="0"/>
              <w:adjustRightInd/>
              <w:spacing w:line="440" w:lineRule="exact"/>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u w:val="single"/>
                <w:shd w:val="clear" w:color="auto" w:fill="auto"/>
              </w:rPr>
              <w:t>于</w:t>
            </w:r>
            <w:r>
              <w:rPr>
                <w:rFonts w:hint="eastAsia" w:ascii="宋体" w:hAnsi="宋体" w:eastAsia="宋体" w:cs="宋体"/>
                <w:color w:val="000000"/>
                <w:sz w:val="21"/>
                <w:szCs w:val="21"/>
                <w:highlight w:val="none"/>
                <w:u w:val="single"/>
                <w:shd w:val="clear" w:color="auto" w:fill="auto"/>
                <w:lang w:eastAsia="zh-CN"/>
              </w:rPr>
              <w:t>2025年</w:t>
            </w:r>
            <w:r>
              <w:rPr>
                <w:rFonts w:hint="eastAsia" w:ascii="宋体" w:hAnsi="宋体" w:cs="宋体"/>
                <w:color w:val="000000"/>
                <w:sz w:val="21"/>
                <w:szCs w:val="21"/>
                <w:highlight w:val="none"/>
                <w:u w:val="single"/>
                <w:shd w:val="clear" w:color="auto" w:fill="auto"/>
                <w:lang w:eastAsia="zh-CN"/>
              </w:rPr>
              <w:t>07月11日</w:t>
            </w:r>
            <w:r>
              <w:rPr>
                <w:rFonts w:hint="eastAsia" w:ascii="宋体" w:hAnsi="宋体" w:eastAsia="宋体" w:cs="宋体"/>
                <w:color w:val="000000"/>
                <w:sz w:val="21"/>
                <w:szCs w:val="21"/>
                <w:highlight w:val="none"/>
                <w:u w:val="single"/>
                <w:shd w:val="clear" w:color="auto" w:fill="auto"/>
                <w:lang w:val="en-US" w:eastAsia="zh-CN"/>
              </w:rPr>
              <w:t>09</w:t>
            </w:r>
            <w:r>
              <w:rPr>
                <w:rFonts w:hint="eastAsia" w:ascii="宋体" w:hAnsi="宋体" w:eastAsia="宋体" w:cs="宋体"/>
                <w:color w:val="000000"/>
                <w:sz w:val="21"/>
                <w:szCs w:val="21"/>
                <w:highlight w:val="none"/>
                <w:u w:val="single"/>
                <w:shd w:val="clear" w:color="auto" w:fill="auto"/>
              </w:rPr>
              <w:t>时30分</w:t>
            </w:r>
            <w:r>
              <w:rPr>
                <w:rFonts w:hint="eastAsia" w:ascii="宋体" w:hAnsi="宋体" w:eastAsia="宋体" w:cs="宋体"/>
                <w:color w:val="000000"/>
                <w:sz w:val="21"/>
                <w:szCs w:val="21"/>
                <w:highlight w:val="none"/>
                <w:shd w:val="clear" w:color="auto" w:fill="auto"/>
              </w:rPr>
              <w:t>之前将电子磋商响应文件上传到</w:t>
            </w:r>
            <w:r>
              <w:rPr>
                <w:rFonts w:hint="eastAsia" w:ascii="宋体" w:hAnsi="宋体" w:eastAsia="宋体" w:cs="宋体"/>
                <w:color w:val="000000"/>
                <w:sz w:val="21"/>
                <w:szCs w:val="21"/>
                <w:highlight w:val="none"/>
                <w:shd w:val="clear" w:color="auto" w:fill="auto"/>
                <w:lang w:eastAsia="zh-CN"/>
              </w:rPr>
              <w:t>广西政府采购云平台</w:t>
            </w:r>
            <w:r>
              <w:rPr>
                <w:rFonts w:hint="eastAsia" w:ascii="宋体" w:hAnsi="宋体" w:eastAsia="宋体" w:cs="宋体"/>
                <w:color w:val="000000"/>
                <w:sz w:val="21"/>
                <w:szCs w:val="21"/>
                <w:highlight w:val="none"/>
                <w:shd w:val="clear" w:color="auto" w:fill="auto"/>
              </w:rPr>
              <w:t>。应按照本项目磋商文件和</w:t>
            </w:r>
            <w:r>
              <w:rPr>
                <w:rFonts w:hint="eastAsia" w:ascii="宋体" w:hAnsi="宋体" w:eastAsia="宋体" w:cs="宋体"/>
                <w:color w:val="000000"/>
                <w:sz w:val="21"/>
                <w:szCs w:val="21"/>
                <w:highlight w:val="none"/>
                <w:shd w:val="clear" w:color="auto" w:fill="auto"/>
                <w:lang w:eastAsia="zh-CN"/>
              </w:rPr>
              <w:t>广西政府采购云平台</w:t>
            </w:r>
            <w:r>
              <w:rPr>
                <w:rFonts w:hint="eastAsia" w:ascii="宋体" w:hAnsi="宋体" w:eastAsia="宋体" w:cs="宋体"/>
                <w:color w:val="000000"/>
                <w:sz w:val="21"/>
                <w:szCs w:val="21"/>
                <w:highlight w:val="none"/>
                <w:shd w:val="clear" w:color="auto" w:fill="auto"/>
              </w:rPr>
              <w:t>的要求编制、加密传输磋商响应文件。供应商在使用系统进行响应的过程中遇到涉及平台使用的任何问题，可致电</w:t>
            </w:r>
            <w:r>
              <w:rPr>
                <w:rFonts w:hint="eastAsia" w:ascii="宋体" w:hAnsi="宋体" w:eastAsia="宋体" w:cs="宋体"/>
                <w:color w:val="000000"/>
                <w:sz w:val="21"/>
                <w:szCs w:val="21"/>
                <w:highlight w:val="none"/>
                <w:shd w:val="clear" w:color="auto" w:fill="auto"/>
                <w:lang w:eastAsia="zh-CN"/>
              </w:rPr>
              <w:t>广西政府采购云平台</w:t>
            </w:r>
            <w:r>
              <w:rPr>
                <w:rFonts w:hint="eastAsia" w:ascii="宋体" w:hAnsi="宋体" w:eastAsia="宋体" w:cs="宋体"/>
                <w:color w:val="000000"/>
                <w:sz w:val="21"/>
                <w:szCs w:val="21"/>
                <w:highlight w:val="none"/>
                <w:shd w:val="clear" w:color="auto" w:fill="auto"/>
              </w:rPr>
              <w:t>技术支持热线咨询，联系方式：</w:t>
            </w:r>
            <w:r>
              <w:rPr>
                <w:rFonts w:hint="eastAsia" w:ascii="宋体" w:hAnsi="宋体" w:eastAsia="宋体" w:cs="宋体"/>
                <w:color w:val="000000"/>
                <w:sz w:val="21"/>
                <w:szCs w:val="21"/>
                <w:highlight w:val="none"/>
                <w:shd w:val="clear" w:color="auto" w:fill="auto"/>
                <w:lang w:eastAsia="zh-CN"/>
              </w:rPr>
              <w:t>400-881-7190或95763</w:t>
            </w:r>
            <w:r>
              <w:rPr>
                <w:rFonts w:hint="eastAsia" w:ascii="宋体" w:hAnsi="宋体" w:eastAsia="宋体" w:cs="宋体"/>
                <w:color w:val="000000"/>
                <w:sz w:val="21"/>
                <w:szCs w:val="21"/>
                <w:highlight w:val="none"/>
                <w:shd w:val="clear" w:color="auto" w:fill="auto"/>
              </w:rPr>
              <w:t>。</w:t>
            </w:r>
          </w:p>
        </w:tc>
      </w:tr>
      <w:tr w14:paraId="59278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0A2C96CC">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position w:val="-2"/>
                <w:sz w:val="21"/>
                <w:szCs w:val="21"/>
                <w:highlight w:val="none"/>
                <w:shd w:val="clear" w:color="auto" w:fill="auto"/>
              </w:rPr>
            </w:pPr>
            <w:r>
              <w:rPr>
                <w:rFonts w:hint="eastAsia" w:ascii="宋体" w:hAnsi="宋体" w:eastAsia="宋体" w:cs="宋体"/>
                <w:color w:val="000000"/>
                <w:position w:val="-2"/>
                <w:sz w:val="21"/>
                <w:szCs w:val="21"/>
                <w:highlight w:val="none"/>
                <w:shd w:val="clear" w:color="auto" w:fill="auto"/>
              </w:rPr>
              <w:t>9</w:t>
            </w:r>
          </w:p>
        </w:tc>
        <w:tc>
          <w:tcPr>
            <w:tcW w:w="942" w:type="dxa"/>
            <w:noWrap w:val="0"/>
            <w:vAlign w:val="center"/>
          </w:tcPr>
          <w:p w14:paraId="7F948098">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position w:val="-2"/>
                <w:sz w:val="21"/>
                <w:szCs w:val="21"/>
                <w:highlight w:val="none"/>
                <w:shd w:val="clear" w:color="auto" w:fill="auto"/>
              </w:rPr>
            </w:pPr>
            <w:r>
              <w:rPr>
                <w:rFonts w:hint="eastAsia" w:ascii="宋体" w:hAnsi="宋体" w:eastAsia="宋体" w:cs="宋体"/>
                <w:color w:val="000000"/>
                <w:position w:val="-2"/>
                <w:sz w:val="21"/>
                <w:szCs w:val="21"/>
                <w:highlight w:val="none"/>
                <w:shd w:val="clear" w:color="auto" w:fill="auto"/>
              </w:rPr>
              <w:t>18.2</w:t>
            </w:r>
          </w:p>
        </w:tc>
        <w:tc>
          <w:tcPr>
            <w:tcW w:w="1775" w:type="dxa"/>
            <w:noWrap w:val="0"/>
            <w:vAlign w:val="center"/>
          </w:tcPr>
          <w:p w14:paraId="03E3325A">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position w:val="-2"/>
                <w:sz w:val="21"/>
                <w:szCs w:val="21"/>
                <w:highlight w:val="none"/>
                <w:shd w:val="clear" w:color="auto" w:fill="auto"/>
              </w:rPr>
            </w:pPr>
            <w:r>
              <w:rPr>
                <w:rFonts w:hint="eastAsia" w:ascii="宋体" w:hAnsi="宋体" w:eastAsia="宋体" w:cs="宋体"/>
                <w:color w:val="000000"/>
                <w:sz w:val="21"/>
                <w:szCs w:val="21"/>
                <w:highlight w:val="none"/>
                <w:shd w:val="clear" w:color="auto" w:fill="auto"/>
              </w:rPr>
              <w:t>磋商响应文件解密时间</w:t>
            </w:r>
          </w:p>
        </w:tc>
        <w:tc>
          <w:tcPr>
            <w:tcW w:w="6405" w:type="dxa"/>
            <w:noWrap w:val="0"/>
            <w:vAlign w:val="center"/>
          </w:tcPr>
          <w:p w14:paraId="4DEEE525">
            <w:pPr>
              <w:pStyle w:val="14"/>
              <w:pageBreakBefore w:val="0"/>
              <w:kinsoku/>
              <w:wordWrap/>
              <w:overflowPunct/>
              <w:topLinePunct w:val="0"/>
              <w:autoSpaceDE/>
              <w:autoSpaceDN/>
              <w:bidi w:val="0"/>
              <w:adjustRightInd/>
              <w:spacing w:line="440" w:lineRule="exact"/>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磋商响应文件解密时间：截标时间后</w:t>
            </w:r>
            <w:r>
              <w:rPr>
                <w:rFonts w:hint="eastAsia" w:ascii="宋体" w:hAnsi="宋体" w:eastAsia="宋体" w:cs="宋体"/>
                <w:color w:val="000000"/>
                <w:sz w:val="21"/>
                <w:szCs w:val="21"/>
                <w:highlight w:val="none"/>
                <w:u w:val="single"/>
                <w:shd w:val="clear" w:color="auto" w:fill="auto"/>
              </w:rPr>
              <w:t>30</w:t>
            </w:r>
            <w:r>
              <w:rPr>
                <w:rFonts w:hint="eastAsia" w:ascii="宋体" w:hAnsi="宋体" w:eastAsia="宋体" w:cs="宋体"/>
                <w:color w:val="000000"/>
                <w:sz w:val="21"/>
                <w:szCs w:val="21"/>
                <w:highlight w:val="none"/>
                <w:shd w:val="clear" w:color="auto" w:fill="auto"/>
              </w:rPr>
              <w:t>分钟内（</w:t>
            </w:r>
            <w:r>
              <w:rPr>
                <w:rFonts w:hint="eastAsia" w:ascii="宋体" w:hAnsi="宋体" w:eastAsia="宋体" w:cs="宋体"/>
                <w:color w:val="000000"/>
                <w:sz w:val="21"/>
                <w:szCs w:val="21"/>
                <w:highlight w:val="none"/>
                <w:u w:val="single"/>
                <w:shd w:val="clear" w:color="auto" w:fill="auto"/>
                <w:lang w:eastAsia="zh-CN"/>
              </w:rPr>
              <w:t>2025年</w:t>
            </w:r>
            <w:r>
              <w:rPr>
                <w:rFonts w:hint="eastAsia" w:ascii="宋体" w:hAnsi="宋体" w:cs="宋体"/>
                <w:color w:val="000000"/>
                <w:sz w:val="21"/>
                <w:szCs w:val="21"/>
                <w:highlight w:val="none"/>
                <w:u w:val="single"/>
                <w:shd w:val="clear" w:color="auto" w:fill="auto"/>
                <w:lang w:eastAsia="zh-CN"/>
              </w:rPr>
              <w:t>07月11日</w:t>
            </w:r>
            <w:r>
              <w:rPr>
                <w:rFonts w:hint="eastAsia" w:ascii="宋体" w:hAnsi="宋体" w:eastAsia="宋体" w:cs="宋体"/>
                <w:color w:val="000000"/>
                <w:sz w:val="21"/>
                <w:szCs w:val="21"/>
                <w:highlight w:val="none"/>
                <w:u w:val="single"/>
                <w:shd w:val="clear" w:color="auto" w:fill="auto"/>
                <w:lang w:val="en-US" w:eastAsia="zh-CN"/>
              </w:rPr>
              <w:t>09</w:t>
            </w:r>
            <w:r>
              <w:rPr>
                <w:rFonts w:hint="eastAsia" w:ascii="宋体" w:hAnsi="宋体" w:eastAsia="宋体" w:cs="宋体"/>
                <w:color w:val="000000"/>
                <w:sz w:val="21"/>
                <w:szCs w:val="21"/>
                <w:highlight w:val="none"/>
                <w:u w:val="single"/>
                <w:shd w:val="clear" w:color="auto" w:fill="auto"/>
              </w:rPr>
              <w:t>时30分至1</w:t>
            </w:r>
            <w:r>
              <w:rPr>
                <w:rFonts w:hint="eastAsia" w:ascii="宋体" w:hAnsi="宋体" w:eastAsia="宋体" w:cs="宋体"/>
                <w:color w:val="000000"/>
                <w:sz w:val="21"/>
                <w:szCs w:val="21"/>
                <w:highlight w:val="none"/>
                <w:u w:val="single"/>
                <w:shd w:val="clear" w:color="auto" w:fill="auto"/>
                <w:lang w:val="en-US" w:eastAsia="zh-CN"/>
              </w:rPr>
              <w:t>0</w:t>
            </w:r>
            <w:r>
              <w:rPr>
                <w:rFonts w:hint="eastAsia" w:ascii="宋体" w:hAnsi="宋体" w:eastAsia="宋体" w:cs="宋体"/>
                <w:color w:val="000000"/>
                <w:sz w:val="21"/>
                <w:szCs w:val="21"/>
                <w:highlight w:val="none"/>
                <w:u w:val="single"/>
                <w:shd w:val="clear" w:color="auto" w:fill="auto"/>
              </w:rPr>
              <w:t>时00分</w:t>
            </w:r>
            <w:r>
              <w:rPr>
                <w:rFonts w:hint="eastAsia" w:ascii="宋体" w:hAnsi="宋体" w:eastAsia="宋体" w:cs="宋体"/>
                <w:color w:val="000000"/>
                <w:sz w:val="21"/>
                <w:szCs w:val="21"/>
                <w:highlight w:val="none"/>
                <w:shd w:val="clear" w:color="auto" w:fill="auto"/>
              </w:rPr>
              <w:t>)磋商供应商可以登录</w:t>
            </w:r>
            <w:r>
              <w:rPr>
                <w:rFonts w:hint="eastAsia" w:ascii="宋体" w:hAnsi="宋体" w:eastAsia="宋体" w:cs="宋体"/>
                <w:color w:val="000000"/>
                <w:sz w:val="21"/>
                <w:szCs w:val="21"/>
                <w:highlight w:val="none"/>
                <w:shd w:val="clear" w:color="auto" w:fill="auto"/>
                <w:lang w:eastAsia="zh-CN"/>
              </w:rPr>
              <w:t>广西政府采购云平台</w:t>
            </w:r>
            <w:r>
              <w:rPr>
                <w:rFonts w:hint="eastAsia" w:ascii="宋体" w:hAnsi="宋体" w:eastAsia="宋体" w:cs="宋体"/>
                <w:color w:val="000000"/>
                <w:sz w:val="21"/>
                <w:szCs w:val="21"/>
                <w:highlight w:val="none"/>
                <w:shd w:val="clear" w:color="auto" w:fill="auto"/>
              </w:rPr>
              <w:t>，用“项目采购-开标评标”功能进行解密磋商响应文件。若磋商供应商在规定时间内无法解密或解密失败，可以以电子备份磋商响应文件作为依据</w:t>
            </w:r>
            <w:r>
              <w:rPr>
                <w:rFonts w:hint="eastAsia" w:ascii="宋体" w:hAnsi="宋体" w:eastAsia="宋体" w:cs="宋体"/>
                <w:b/>
                <w:bCs/>
                <w:color w:val="000000"/>
                <w:sz w:val="21"/>
                <w:szCs w:val="21"/>
                <w:highlight w:val="none"/>
                <w:shd w:val="clear" w:color="auto" w:fill="auto"/>
              </w:rPr>
              <w:t>【在接到无法解密或解密失败的通知后，磋商供应商可根据自身实际情况按通知时要求的时间到桂林市公共资源交易中心</w:t>
            </w:r>
            <w:r>
              <w:rPr>
                <w:rFonts w:hint="eastAsia" w:ascii="宋体" w:hAnsi="宋体" w:eastAsia="宋体" w:cs="宋体"/>
                <w:b/>
                <w:bCs/>
                <w:color w:val="000000"/>
                <w:sz w:val="21"/>
                <w:szCs w:val="21"/>
                <w:highlight w:val="none"/>
                <w:u w:val="single"/>
                <w:shd w:val="clear" w:color="auto" w:fill="auto"/>
                <w:lang w:val="en-US" w:eastAsia="zh-CN"/>
              </w:rPr>
              <w:t>10</w:t>
            </w:r>
            <w:r>
              <w:rPr>
                <w:rFonts w:hint="eastAsia" w:ascii="宋体" w:hAnsi="宋体" w:eastAsia="宋体" w:cs="宋体"/>
                <w:b/>
                <w:bCs/>
                <w:color w:val="000000"/>
                <w:sz w:val="21"/>
                <w:szCs w:val="21"/>
                <w:highlight w:val="none"/>
                <w:u w:val="none"/>
                <w:shd w:val="clear" w:color="auto" w:fill="auto"/>
                <w:lang w:val="en-US" w:eastAsia="zh-CN"/>
              </w:rPr>
              <w:t>号政采开标仓</w:t>
            </w:r>
            <w:r>
              <w:rPr>
                <w:rFonts w:hint="eastAsia" w:ascii="宋体" w:hAnsi="宋体" w:eastAsia="宋体" w:cs="宋体"/>
                <w:b/>
                <w:bCs/>
                <w:color w:val="000000"/>
                <w:sz w:val="21"/>
                <w:szCs w:val="21"/>
                <w:highlight w:val="none"/>
                <w:shd w:val="clear" w:color="auto" w:fill="auto"/>
              </w:rPr>
              <w:t>现场提交或以电子邮件的形式（以通知时所告知的电子邮箱地址为准）提交电子备份磋商响应文件】</w:t>
            </w:r>
            <w:r>
              <w:rPr>
                <w:rFonts w:hint="eastAsia" w:ascii="宋体" w:hAnsi="宋体" w:eastAsia="宋体" w:cs="宋体"/>
                <w:color w:val="000000"/>
                <w:sz w:val="21"/>
                <w:szCs w:val="21"/>
                <w:highlight w:val="none"/>
                <w:shd w:val="clear" w:color="auto" w:fill="auto"/>
              </w:rPr>
              <w:t>，若磋商供应商在规定时间内无法解密或解密失败且未提供电子备份磋商响应文件的(包含提供的电子备份文件无效或无法解密的情况)，视为无效响应。</w:t>
            </w:r>
          </w:p>
        </w:tc>
      </w:tr>
      <w:tr w14:paraId="3758E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40E3337E">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10</w:t>
            </w:r>
          </w:p>
        </w:tc>
        <w:tc>
          <w:tcPr>
            <w:tcW w:w="942" w:type="dxa"/>
            <w:noWrap w:val="0"/>
            <w:vAlign w:val="center"/>
          </w:tcPr>
          <w:p w14:paraId="35AA2485">
            <w:pPr>
              <w:pageBreakBefore w:val="0"/>
              <w:kinsoku/>
              <w:wordWrap/>
              <w:overflowPunct/>
              <w:topLinePunct w:val="0"/>
              <w:autoSpaceDE/>
              <w:autoSpaceDN/>
              <w:bidi w:val="0"/>
              <w:adjustRightInd/>
              <w:spacing w:line="440" w:lineRule="exact"/>
              <w:ind w:firstLine="105" w:firstLineChars="50"/>
              <w:jc w:val="center"/>
              <w:textAlignment w:val="auto"/>
              <w:rPr>
                <w:rFonts w:hint="eastAsia" w:ascii="宋体" w:hAnsi="宋体" w:eastAsia="宋体" w:cs="宋体"/>
                <w:color w:val="000000"/>
                <w:position w:val="-2"/>
                <w:sz w:val="21"/>
                <w:szCs w:val="21"/>
                <w:highlight w:val="none"/>
                <w:shd w:val="clear" w:color="auto" w:fill="auto"/>
              </w:rPr>
            </w:pPr>
            <w:r>
              <w:rPr>
                <w:rFonts w:hint="eastAsia" w:ascii="宋体" w:hAnsi="宋体" w:eastAsia="宋体" w:cs="宋体"/>
                <w:color w:val="000000"/>
                <w:position w:val="-2"/>
                <w:sz w:val="21"/>
                <w:szCs w:val="21"/>
                <w:highlight w:val="none"/>
                <w:shd w:val="clear" w:color="auto" w:fill="auto"/>
              </w:rPr>
              <w:t>19.1</w:t>
            </w:r>
          </w:p>
        </w:tc>
        <w:tc>
          <w:tcPr>
            <w:tcW w:w="1775" w:type="dxa"/>
            <w:noWrap w:val="0"/>
            <w:vAlign w:val="center"/>
          </w:tcPr>
          <w:p w14:paraId="22922A1F">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磋商小组组成</w:t>
            </w:r>
          </w:p>
        </w:tc>
        <w:tc>
          <w:tcPr>
            <w:tcW w:w="6405" w:type="dxa"/>
            <w:noWrap w:val="0"/>
            <w:vAlign w:val="center"/>
          </w:tcPr>
          <w:p w14:paraId="53FD78BB">
            <w:pPr>
              <w:pageBreakBefore w:val="0"/>
              <w:kinsoku/>
              <w:wordWrap/>
              <w:overflowPunct/>
              <w:topLinePunct w:val="0"/>
              <w:autoSpaceDE/>
              <w:autoSpaceDN/>
              <w:bidi w:val="0"/>
              <w:adjustRightInd/>
              <w:spacing w:line="440" w:lineRule="exact"/>
              <w:ind w:left="15" w:hanging="14" w:hangingChars="7"/>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磋商及评审工作由采购代理机构负责组织，具体磋商、评审工作由依法组建的磋商小组负责，磋商小组由采购人代表和有关方面的专家组成。磋商小组的构成：</w:t>
            </w:r>
            <w:r>
              <w:rPr>
                <w:rFonts w:hint="eastAsia" w:ascii="宋体" w:hAnsi="宋体" w:eastAsia="宋体" w:cs="宋体"/>
                <w:color w:val="000000"/>
                <w:sz w:val="21"/>
                <w:szCs w:val="21"/>
                <w:highlight w:val="none"/>
                <w:u w:val="single"/>
                <w:shd w:val="clear" w:color="auto" w:fill="auto"/>
              </w:rPr>
              <w:t>3</w:t>
            </w:r>
            <w:r>
              <w:rPr>
                <w:rFonts w:hint="eastAsia" w:ascii="宋体" w:hAnsi="宋体" w:eastAsia="宋体" w:cs="宋体"/>
                <w:color w:val="000000"/>
                <w:sz w:val="21"/>
                <w:szCs w:val="21"/>
                <w:highlight w:val="none"/>
                <w:shd w:val="clear" w:color="auto" w:fill="auto"/>
              </w:rPr>
              <w:t>人，其中采购人代表</w:t>
            </w:r>
            <w:r>
              <w:rPr>
                <w:rFonts w:hint="eastAsia" w:ascii="宋体" w:hAnsi="宋体" w:eastAsia="宋体" w:cs="宋体"/>
                <w:color w:val="000000"/>
                <w:sz w:val="21"/>
                <w:szCs w:val="21"/>
                <w:highlight w:val="none"/>
                <w:u w:val="single"/>
                <w:shd w:val="clear" w:color="auto" w:fill="auto"/>
              </w:rPr>
              <w:t>1</w:t>
            </w:r>
            <w:r>
              <w:rPr>
                <w:rFonts w:hint="eastAsia" w:ascii="宋体" w:hAnsi="宋体" w:eastAsia="宋体" w:cs="宋体"/>
                <w:color w:val="000000"/>
                <w:sz w:val="21"/>
                <w:szCs w:val="21"/>
                <w:highlight w:val="none"/>
                <w:shd w:val="clear" w:color="auto" w:fill="auto"/>
              </w:rPr>
              <w:t>人，专家</w:t>
            </w:r>
            <w:r>
              <w:rPr>
                <w:rFonts w:hint="eastAsia" w:ascii="宋体" w:hAnsi="宋体" w:eastAsia="宋体" w:cs="宋体"/>
                <w:color w:val="000000"/>
                <w:sz w:val="21"/>
                <w:szCs w:val="21"/>
                <w:highlight w:val="none"/>
                <w:u w:val="single"/>
                <w:shd w:val="clear" w:color="auto" w:fill="auto"/>
              </w:rPr>
              <w:t>2</w:t>
            </w:r>
            <w:r>
              <w:rPr>
                <w:rFonts w:hint="eastAsia" w:ascii="宋体" w:hAnsi="宋体" w:eastAsia="宋体" w:cs="宋体"/>
                <w:color w:val="000000"/>
                <w:sz w:val="21"/>
                <w:szCs w:val="21"/>
                <w:highlight w:val="none"/>
                <w:shd w:val="clear" w:color="auto" w:fill="auto"/>
              </w:rPr>
              <w:t>人。</w:t>
            </w:r>
          </w:p>
        </w:tc>
      </w:tr>
      <w:tr w14:paraId="0472F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6C0DB924">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11</w:t>
            </w:r>
          </w:p>
        </w:tc>
        <w:tc>
          <w:tcPr>
            <w:tcW w:w="942" w:type="dxa"/>
            <w:noWrap w:val="0"/>
            <w:vAlign w:val="center"/>
          </w:tcPr>
          <w:p w14:paraId="1C88C34D">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19.2</w:t>
            </w:r>
          </w:p>
        </w:tc>
        <w:tc>
          <w:tcPr>
            <w:tcW w:w="1775" w:type="dxa"/>
            <w:noWrap w:val="0"/>
            <w:vAlign w:val="center"/>
          </w:tcPr>
          <w:p w14:paraId="053F8418">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磋商时间、地点、人员</w:t>
            </w:r>
          </w:p>
        </w:tc>
        <w:tc>
          <w:tcPr>
            <w:tcW w:w="6405" w:type="dxa"/>
            <w:noWrap w:val="0"/>
            <w:vAlign w:val="top"/>
          </w:tcPr>
          <w:p w14:paraId="67B61C6D">
            <w:pPr>
              <w:pageBreakBefore w:val="0"/>
              <w:kinsoku/>
              <w:wordWrap/>
              <w:overflowPunct/>
              <w:topLinePunct w:val="0"/>
              <w:autoSpaceDE/>
              <w:autoSpaceDN/>
              <w:bidi w:val="0"/>
              <w:adjustRightInd/>
              <w:spacing w:line="440" w:lineRule="exact"/>
              <w:ind w:left="315" w:hanging="315" w:hangingChars="150"/>
              <w:jc w:val="left"/>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19.2.1磋商时间：响应文件递交截止时间后。</w:t>
            </w:r>
          </w:p>
          <w:p w14:paraId="65614472">
            <w:pPr>
              <w:pageBreakBefore w:val="0"/>
              <w:kinsoku/>
              <w:wordWrap/>
              <w:overflowPunct/>
              <w:topLinePunct w:val="0"/>
              <w:autoSpaceDE/>
              <w:autoSpaceDN/>
              <w:bidi w:val="0"/>
              <w:adjustRightInd/>
              <w:spacing w:line="440" w:lineRule="exact"/>
              <w:textAlignment w:val="auto"/>
              <w:rPr>
                <w:rFonts w:hint="eastAsia" w:ascii="宋体" w:hAnsi="宋体" w:eastAsia="宋体" w:cs="宋体"/>
                <w:b/>
                <w:bCs/>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19.2.2磋商地点：</w:t>
            </w:r>
            <w:r>
              <w:rPr>
                <w:rFonts w:hint="eastAsia" w:ascii="宋体" w:hAnsi="宋体" w:eastAsia="宋体" w:cs="宋体"/>
                <w:b/>
                <w:bCs/>
                <w:color w:val="000000"/>
                <w:sz w:val="21"/>
                <w:szCs w:val="21"/>
                <w:highlight w:val="none"/>
                <w:shd w:val="clear" w:color="auto" w:fill="auto"/>
              </w:rPr>
              <w:t>供应商代表在响应文件提交当天实时登陆“</w:t>
            </w:r>
            <w:r>
              <w:rPr>
                <w:rFonts w:hint="eastAsia" w:ascii="宋体" w:hAnsi="宋体" w:eastAsia="宋体" w:cs="宋体"/>
                <w:b/>
                <w:bCs/>
                <w:color w:val="000000"/>
                <w:sz w:val="21"/>
                <w:szCs w:val="21"/>
                <w:highlight w:val="none"/>
                <w:shd w:val="clear" w:color="auto" w:fill="auto"/>
                <w:lang w:eastAsia="zh-CN"/>
              </w:rPr>
              <w:t>广西政府采购云平台</w:t>
            </w:r>
            <w:r>
              <w:rPr>
                <w:rFonts w:hint="eastAsia" w:ascii="宋体" w:hAnsi="宋体" w:eastAsia="宋体" w:cs="宋体"/>
                <w:b/>
                <w:bCs/>
                <w:color w:val="000000"/>
                <w:sz w:val="21"/>
                <w:szCs w:val="21"/>
                <w:highlight w:val="none"/>
                <w:shd w:val="clear" w:color="auto" w:fill="auto"/>
              </w:rPr>
              <w:t>”，按磋商小组要求在线等候参与磋商及提交最后报价。因供应商未保持实时在线，导致磋商小组无法及时与其取得联系，从而造成供应商未按规定参与磋商或报价的，其不利后果由供应商自行承担。</w:t>
            </w:r>
          </w:p>
          <w:p w14:paraId="54F56D0E">
            <w:pPr>
              <w:pageBreakBefore w:val="0"/>
              <w:tabs>
                <w:tab w:val="left" w:pos="1140"/>
              </w:tabs>
              <w:kinsoku/>
              <w:wordWrap/>
              <w:overflowPunct/>
              <w:topLinePunct w:val="0"/>
              <w:autoSpaceDE/>
              <w:autoSpaceDN/>
              <w:bidi w:val="0"/>
              <w:adjustRightInd/>
              <w:spacing w:line="440" w:lineRule="exact"/>
              <w:jc w:val="left"/>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19.2.3磋商参加人员：供应商法定代表人、负责人、自然人或相应的委托代理人持有效身份证原件和供应商</w:t>
            </w:r>
            <w:r>
              <w:rPr>
                <w:rFonts w:hint="eastAsia" w:ascii="宋体" w:hAnsi="宋体" w:eastAsia="宋体" w:cs="宋体"/>
                <w:color w:val="000000"/>
                <w:sz w:val="21"/>
                <w:szCs w:val="21"/>
                <w:highlight w:val="none"/>
                <w:shd w:val="clear" w:color="auto" w:fill="auto"/>
                <w:lang w:eastAsia="zh-CN"/>
              </w:rPr>
              <w:t>广西政府采购云平台</w:t>
            </w:r>
            <w:r>
              <w:rPr>
                <w:rFonts w:hint="eastAsia" w:ascii="宋体" w:hAnsi="宋体" w:eastAsia="宋体" w:cs="宋体"/>
                <w:color w:val="000000"/>
                <w:sz w:val="21"/>
                <w:szCs w:val="21"/>
                <w:highlight w:val="none"/>
                <w:shd w:val="clear" w:color="auto" w:fill="auto"/>
              </w:rPr>
              <w:t>CA数字证书参加磋商。</w:t>
            </w:r>
            <w:r>
              <w:rPr>
                <w:rFonts w:hint="eastAsia" w:ascii="宋体" w:hAnsi="宋体" w:eastAsia="宋体" w:cs="宋体"/>
                <w:color w:val="000000"/>
                <w:kern w:val="0"/>
                <w:sz w:val="21"/>
                <w:szCs w:val="21"/>
                <w:highlight w:val="none"/>
                <w:shd w:val="clear" w:color="auto" w:fill="auto"/>
              </w:rPr>
              <w:t>请供应商实时登陆“</w:t>
            </w:r>
            <w:r>
              <w:rPr>
                <w:rFonts w:hint="eastAsia" w:ascii="宋体" w:hAnsi="宋体" w:eastAsia="宋体" w:cs="宋体"/>
                <w:color w:val="000000"/>
                <w:kern w:val="0"/>
                <w:sz w:val="21"/>
                <w:szCs w:val="21"/>
                <w:highlight w:val="none"/>
                <w:shd w:val="clear" w:color="auto" w:fill="auto"/>
                <w:lang w:eastAsia="zh-CN"/>
              </w:rPr>
              <w:t>广西政府采购云平台</w:t>
            </w:r>
            <w:r>
              <w:rPr>
                <w:rFonts w:hint="eastAsia" w:ascii="宋体" w:hAnsi="宋体" w:eastAsia="宋体" w:cs="宋体"/>
                <w:color w:val="000000"/>
                <w:kern w:val="0"/>
                <w:sz w:val="21"/>
                <w:szCs w:val="21"/>
                <w:highlight w:val="none"/>
                <w:shd w:val="clear" w:color="auto" w:fill="auto"/>
              </w:rPr>
              <w:t>”等候在线磋商。</w:t>
            </w:r>
          </w:p>
          <w:p w14:paraId="57D828C6">
            <w:pPr>
              <w:pageBreakBefore w:val="0"/>
              <w:tabs>
                <w:tab w:val="left" w:pos="1140"/>
              </w:tabs>
              <w:kinsoku/>
              <w:wordWrap/>
              <w:overflowPunct/>
              <w:topLinePunct w:val="0"/>
              <w:autoSpaceDE/>
              <w:autoSpaceDN/>
              <w:bidi w:val="0"/>
              <w:adjustRightInd/>
              <w:spacing w:line="440" w:lineRule="exact"/>
              <w:jc w:val="left"/>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19.2.4响应文件递交截止时间后，由磋商小组在评标室内线上开启响应文件。</w:t>
            </w:r>
          </w:p>
        </w:tc>
      </w:tr>
      <w:tr w14:paraId="72BD1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0D48D678">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12</w:t>
            </w:r>
          </w:p>
        </w:tc>
        <w:tc>
          <w:tcPr>
            <w:tcW w:w="942" w:type="dxa"/>
            <w:noWrap w:val="0"/>
            <w:vAlign w:val="center"/>
          </w:tcPr>
          <w:p w14:paraId="7281A6DA">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20.2</w:t>
            </w:r>
          </w:p>
        </w:tc>
        <w:tc>
          <w:tcPr>
            <w:tcW w:w="1775" w:type="dxa"/>
            <w:noWrap w:val="0"/>
            <w:vAlign w:val="center"/>
          </w:tcPr>
          <w:p w14:paraId="5CA57C0F">
            <w:pPr>
              <w:pStyle w:val="2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评审办法</w:t>
            </w:r>
          </w:p>
        </w:tc>
        <w:tc>
          <w:tcPr>
            <w:tcW w:w="6405" w:type="dxa"/>
            <w:noWrap w:val="0"/>
            <w:vAlign w:val="center"/>
          </w:tcPr>
          <w:p w14:paraId="6278F06C">
            <w:pPr>
              <w:pageBreakBefore w:val="0"/>
              <w:tabs>
                <w:tab w:val="left" w:pos="1140"/>
              </w:tabs>
              <w:kinsoku/>
              <w:wordWrap/>
              <w:overflowPunct/>
              <w:topLinePunct w:val="0"/>
              <w:autoSpaceDE/>
              <w:autoSpaceDN/>
              <w:bidi w:val="0"/>
              <w:adjustRightInd/>
              <w:spacing w:line="440" w:lineRule="exact"/>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具体详见第三章评审办法。</w:t>
            </w:r>
          </w:p>
        </w:tc>
      </w:tr>
      <w:tr w14:paraId="7E5D0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3D517154">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13</w:t>
            </w:r>
          </w:p>
        </w:tc>
        <w:tc>
          <w:tcPr>
            <w:tcW w:w="942" w:type="dxa"/>
            <w:noWrap w:val="0"/>
            <w:vAlign w:val="center"/>
          </w:tcPr>
          <w:p w14:paraId="0CAB9CDB">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26</w:t>
            </w:r>
          </w:p>
        </w:tc>
        <w:tc>
          <w:tcPr>
            <w:tcW w:w="1775" w:type="dxa"/>
            <w:noWrap w:val="0"/>
            <w:vAlign w:val="center"/>
          </w:tcPr>
          <w:p w14:paraId="67DBD4A9">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信用查询</w:t>
            </w:r>
          </w:p>
        </w:tc>
        <w:tc>
          <w:tcPr>
            <w:tcW w:w="6405" w:type="dxa"/>
            <w:noWrap w:val="0"/>
            <w:vAlign w:val="center"/>
          </w:tcPr>
          <w:p w14:paraId="10B8C644">
            <w:pPr>
              <w:pageBreakBefore w:val="0"/>
              <w:kinsoku/>
              <w:wordWrap/>
              <w:overflowPunct/>
              <w:topLinePunct w:val="0"/>
              <w:autoSpaceDE/>
              <w:autoSpaceDN/>
              <w:bidi w:val="0"/>
              <w:adjustRightInd/>
              <w:spacing w:line="440" w:lineRule="exact"/>
              <w:ind w:left="15" w:hanging="14" w:hangingChars="7"/>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根据《关于做好政府采购有关信用主体标识码登记及在政府采购活动中查询使用信用记录有关问题的通知》（桂财采〔2016〕37），由采购代理机构对第一成交候选人进行信用查询：</w:t>
            </w:r>
          </w:p>
          <w:p w14:paraId="0471E85F">
            <w:pPr>
              <w:pageBreakBefore w:val="0"/>
              <w:kinsoku/>
              <w:wordWrap/>
              <w:overflowPunct/>
              <w:topLinePunct w:val="0"/>
              <w:autoSpaceDE/>
              <w:autoSpaceDN/>
              <w:bidi w:val="0"/>
              <w:adjustRightInd/>
              <w:spacing w:line="440" w:lineRule="exact"/>
              <w:ind w:left="15" w:hanging="14" w:hangingChars="7"/>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⑴查询渠道：“信用中国”网站(www.creditchina.gov.cn)、中国政府采购网(www.ccgp.gov.cn)等；</w:t>
            </w:r>
          </w:p>
          <w:p w14:paraId="4EA03B29">
            <w:pPr>
              <w:pageBreakBefore w:val="0"/>
              <w:kinsoku/>
              <w:wordWrap/>
              <w:overflowPunct/>
              <w:topLinePunct w:val="0"/>
              <w:autoSpaceDE/>
              <w:autoSpaceDN/>
              <w:bidi w:val="0"/>
              <w:adjustRightInd/>
              <w:spacing w:line="440" w:lineRule="exact"/>
              <w:ind w:left="315" w:hanging="315" w:hangingChars="15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⑵查询时间：成交通知书发出前；</w:t>
            </w:r>
          </w:p>
          <w:p w14:paraId="6AFCA98F">
            <w:pPr>
              <w:pageBreakBefore w:val="0"/>
              <w:kinsoku/>
              <w:wordWrap/>
              <w:overflowPunct/>
              <w:topLinePunct w:val="0"/>
              <w:autoSpaceDE/>
              <w:autoSpaceDN/>
              <w:bidi w:val="0"/>
              <w:adjustRightInd/>
              <w:spacing w:line="440" w:lineRule="exact"/>
              <w:ind w:left="15" w:hanging="14" w:hangingChars="7"/>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⑶信用信息查询记录和证据留存方式：在查询网站中直接打印查询记录，打印材料作为采购活动资料保存；</w:t>
            </w:r>
          </w:p>
          <w:p w14:paraId="031899E2">
            <w:pPr>
              <w:pageBreakBefore w:val="0"/>
              <w:kinsoku/>
              <w:wordWrap/>
              <w:overflowPunct/>
              <w:topLinePunct w:val="0"/>
              <w:autoSpaceDE/>
              <w:autoSpaceDN/>
              <w:bidi w:val="0"/>
              <w:adjustRightInd/>
              <w:spacing w:line="440" w:lineRule="exact"/>
              <w:ind w:left="15" w:hanging="14" w:hangingChars="7"/>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⑷信用信息使用规则：对在“信用中国”网站(www.creditchina.gov.cn)、中国政府采购网(www.ccgp.gov.cn)等渠道列入失信被执行人、</w:t>
            </w:r>
            <w:r>
              <w:rPr>
                <w:rFonts w:hint="eastAsia" w:ascii="宋体" w:hAnsi="宋体" w:eastAsia="宋体" w:cs="宋体"/>
                <w:color w:val="000000"/>
                <w:sz w:val="21"/>
                <w:szCs w:val="21"/>
                <w:highlight w:val="none"/>
                <w:shd w:val="clear" w:color="auto" w:fill="auto"/>
                <w:lang w:eastAsia="zh-CN"/>
              </w:rPr>
              <w:t>重大税收违法失信主体</w:t>
            </w:r>
            <w:r>
              <w:rPr>
                <w:rFonts w:hint="eastAsia" w:ascii="宋体" w:hAnsi="宋体" w:eastAsia="宋体" w:cs="宋体"/>
                <w:color w:val="000000"/>
                <w:sz w:val="21"/>
                <w:szCs w:val="21"/>
                <w:highlight w:val="none"/>
                <w:shd w:val="clear" w:color="auto" w:fill="auto"/>
              </w:rPr>
              <w:t>、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tc>
      </w:tr>
      <w:tr w14:paraId="4FEC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69E5B383">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14</w:t>
            </w:r>
          </w:p>
        </w:tc>
        <w:tc>
          <w:tcPr>
            <w:tcW w:w="942" w:type="dxa"/>
            <w:noWrap w:val="0"/>
            <w:vAlign w:val="center"/>
          </w:tcPr>
          <w:p w14:paraId="1C8FF073">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27</w:t>
            </w:r>
          </w:p>
        </w:tc>
        <w:tc>
          <w:tcPr>
            <w:tcW w:w="1775" w:type="dxa"/>
            <w:noWrap w:val="0"/>
            <w:vAlign w:val="center"/>
          </w:tcPr>
          <w:p w14:paraId="6DAB2C5E">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成交结果公告</w:t>
            </w:r>
          </w:p>
          <w:p w14:paraId="52EB475B">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及成交通知书</w:t>
            </w:r>
          </w:p>
        </w:tc>
        <w:tc>
          <w:tcPr>
            <w:tcW w:w="6405" w:type="dxa"/>
            <w:noWrap w:val="0"/>
            <w:vAlign w:val="top"/>
          </w:tcPr>
          <w:p w14:paraId="20E3C905">
            <w:pPr>
              <w:pageBreakBefore w:val="0"/>
              <w:kinsoku/>
              <w:wordWrap/>
              <w:overflowPunct/>
              <w:topLinePunct w:val="0"/>
              <w:autoSpaceDE/>
              <w:autoSpaceDN/>
              <w:bidi w:val="0"/>
              <w:adjustRightInd/>
              <w:spacing w:line="440" w:lineRule="exact"/>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19C6E95D">
            <w:pPr>
              <w:pageBreakBefore w:val="0"/>
              <w:kinsoku/>
              <w:wordWrap/>
              <w:overflowPunct/>
              <w:topLinePunct w:val="0"/>
              <w:autoSpaceDE/>
              <w:autoSpaceDN/>
              <w:bidi w:val="0"/>
              <w:adjustRightInd/>
              <w:spacing w:line="440" w:lineRule="exact"/>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27.2在发布成交公告的同时，采购代理机构向成交供应商发出成交通知书。成交供应商自接到通知之日起七个工作日内，办理成交通知书领取手续。</w:t>
            </w:r>
          </w:p>
        </w:tc>
      </w:tr>
      <w:tr w14:paraId="1D70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701BEB63">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15</w:t>
            </w:r>
          </w:p>
        </w:tc>
        <w:tc>
          <w:tcPr>
            <w:tcW w:w="942" w:type="dxa"/>
            <w:noWrap w:val="0"/>
            <w:vAlign w:val="center"/>
          </w:tcPr>
          <w:p w14:paraId="298ACAF6">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28</w:t>
            </w:r>
          </w:p>
        </w:tc>
        <w:tc>
          <w:tcPr>
            <w:tcW w:w="1775" w:type="dxa"/>
            <w:noWrap w:val="0"/>
            <w:vAlign w:val="center"/>
          </w:tcPr>
          <w:p w14:paraId="3318855C">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b w:val="0"/>
                <w:bCs w:val="0"/>
                <w:color w:val="000000"/>
                <w:sz w:val="21"/>
                <w:szCs w:val="21"/>
                <w:highlight w:val="none"/>
                <w:shd w:val="clear" w:color="auto" w:fill="auto"/>
              </w:rPr>
            </w:pPr>
            <w:r>
              <w:rPr>
                <w:rFonts w:hint="eastAsia" w:ascii="宋体" w:hAnsi="宋体" w:eastAsia="宋体" w:cs="宋体"/>
                <w:b w:val="0"/>
                <w:bCs w:val="0"/>
                <w:color w:val="000000"/>
                <w:sz w:val="21"/>
                <w:szCs w:val="21"/>
                <w:highlight w:val="none"/>
                <w:shd w:val="clear" w:color="auto" w:fill="auto"/>
              </w:rPr>
              <w:t>履约保证金</w:t>
            </w:r>
          </w:p>
        </w:tc>
        <w:tc>
          <w:tcPr>
            <w:tcW w:w="6405" w:type="dxa"/>
            <w:noWrap w:val="0"/>
            <w:vAlign w:val="center"/>
          </w:tcPr>
          <w:p w14:paraId="1022100F">
            <w:pPr>
              <w:pageBreakBefore w:val="0"/>
              <w:kinsoku/>
              <w:wordWrap/>
              <w:overflowPunct/>
              <w:topLinePunct w:val="0"/>
              <w:autoSpaceDE/>
              <w:autoSpaceDN/>
              <w:bidi w:val="0"/>
              <w:adjustRightInd/>
              <w:spacing w:line="440" w:lineRule="exact"/>
              <w:textAlignment w:val="auto"/>
              <w:rPr>
                <w:rFonts w:hint="eastAsia" w:ascii="宋体" w:hAnsi="宋体" w:eastAsia="宋体" w:cs="宋体"/>
                <w:b w:val="0"/>
                <w:bCs w:val="0"/>
                <w:color w:val="000000"/>
                <w:sz w:val="21"/>
                <w:szCs w:val="21"/>
                <w:highlight w:val="none"/>
                <w:shd w:val="clear" w:color="auto" w:fill="auto"/>
                <w:lang w:val="en-US" w:eastAsia="zh-CN"/>
              </w:rPr>
            </w:pPr>
            <w:r>
              <w:rPr>
                <w:rFonts w:hint="eastAsia" w:ascii="宋体" w:hAnsi="宋体" w:eastAsia="宋体" w:cs="宋体"/>
                <w:b w:val="0"/>
                <w:bCs w:val="0"/>
                <w:color w:val="000000"/>
                <w:kern w:val="2"/>
                <w:sz w:val="21"/>
                <w:szCs w:val="21"/>
                <w:highlight w:val="none"/>
                <w:shd w:val="clear" w:color="auto" w:fill="auto"/>
                <w:lang w:val="en-US" w:eastAsia="zh-CN"/>
              </w:rPr>
              <w:t>/</w:t>
            </w:r>
          </w:p>
        </w:tc>
      </w:tr>
      <w:tr w14:paraId="29776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5C65254D">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16</w:t>
            </w:r>
          </w:p>
        </w:tc>
        <w:tc>
          <w:tcPr>
            <w:tcW w:w="942" w:type="dxa"/>
            <w:noWrap w:val="0"/>
            <w:vAlign w:val="center"/>
          </w:tcPr>
          <w:p w14:paraId="38B10879">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29.1</w:t>
            </w:r>
          </w:p>
        </w:tc>
        <w:tc>
          <w:tcPr>
            <w:tcW w:w="1775" w:type="dxa"/>
            <w:noWrap w:val="0"/>
            <w:vAlign w:val="center"/>
          </w:tcPr>
          <w:p w14:paraId="0BA38275">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签订合同时间</w:t>
            </w:r>
          </w:p>
        </w:tc>
        <w:tc>
          <w:tcPr>
            <w:tcW w:w="6405" w:type="dxa"/>
            <w:noWrap w:val="0"/>
            <w:vAlign w:val="top"/>
          </w:tcPr>
          <w:p w14:paraId="055D39B8">
            <w:pPr>
              <w:pageBreakBefore w:val="0"/>
              <w:kinsoku/>
              <w:wordWrap/>
              <w:overflowPunct/>
              <w:topLinePunct w:val="0"/>
              <w:autoSpaceDE/>
              <w:autoSpaceDN/>
              <w:bidi w:val="0"/>
              <w:adjustRightInd/>
              <w:spacing w:line="440" w:lineRule="exact"/>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bCs/>
                <w:color w:val="000000"/>
                <w:kern w:val="0"/>
                <w:sz w:val="21"/>
                <w:szCs w:val="21"/>
                <w:highlight w:val="none"/>
                <w:shd w:val="clear" w:color="auto" w:fill="auto"/>
              </w:rPr>
              <w:t>成交通知书发出之日</w:t>
            </w:r>
            <w:r>
              <w:rPr>
                <w:rFonts w:hint="eastAsia" w:ascii="宋体" w:hAnsi="宋体" w:eastAsia="宋体" w:cs="宋体"/>
                <w:bCs/>
                <w:color w:val="000000"/>
                <w:kern w:val="0"/>
                <w:sz w:val="21"/>
                <w:szCs w:val="21"/>
                <w:highlight w:val="none"/>
                <w:shd w:val="clear" w:color="auto" w:fill="auto"/>
                <w:lang w:eastAsia="zh-CN"/>
              </w:rPr>
              <w:t>起8工作日内签订合同</w:t>
            </w:r>
            <w:r>
              <w:rPr>
                <w:rFonts w:hint="eastAsia" w:ascii="宋体" w:hAnsi="宋体" w:eastAsia="宋体" w:cs="宋体"/>
                <w:color w:val="000000"/>
                <w:sz w:val="21"/>
                <w:szCs w:val="21"/>
                <w:highlight w:val="none"/>
                <w:shd w:val="clear" w:color="auto" w:fill="auto"/>
              </w:rPr>
              <w:t>。成交供应商领取成交通知书后，应按规定与采购人签订合同。</w:t>
            </w:r>
          </w:p>
        </w:tc>
      </w:tr>
      <w:tr w14:paraId="2BBA3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20608253">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17</w:t>
            </w:r>
          </w:p>
        </w:tc>
        <w:tc>
          <w:tcPr>
            <w:tcW w:w="942" w:type="dxa"/>
            <w:noWrap w:val="0"/>
            <w:vAlign w:val="center"/>
          </w:tcPr>
          <w:p w14:paraId="4A53E208">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29.3</w:t>
            </w:r>
          </w:p>
        </w:tc>
        <w:tc>
          <w:tcPr>
            <w:tcW w:w="1775" w:type="dxa"/>
            <w:noWrap w:val="0"/>
            <w:vAlign w:val="center"/>
          </w:tcPr>
          <w:p w14:paraId="58B55E67">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合同备案存档</w:t>
            </w:r>
          </w:p>
        </w:tc>
        <w:tc>
          <w:tcPr>
            <w:tcW w:w="6405" w:type="dxa"/>
            <w:noWrap w:val="0"/>
            <w:vAlign w:val="center"/>
          </w:tcPr>
          <w:p w14:paraId="265AEE91">
            <w:pPr>
              <w:pageBreakBefore w:val="0"/>
              <w:kinsoku/>
              <w:wordWrap/>
              <w:overflowPunct/>
              <w:topLinePunct w:val="0"/>
              <w:autoSpaceDE/>
              <w:autoSpaceDN/>
              <w:bidi w:val="0"/>
              <w:adjustRightInd/>
              <w:spacing w:line="440" w:lineRule="exact"/>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bCs/>
                <w:color w:val="000000"/>
                <w:kern w:val="0"/>
                <w:sz w:val="21"/>
                <w:szCs w:val="21"/>
                <w:highlight w:val="none"/>
                <w:shd w:val="clear" w:color="auto" w:fill="auto"/>
              </w:rPr>
              <w:t>政府采购合同双方自签订之日起1个工作日内将合同原件</w:t>
            </w:r>
            <w:r>
              <w:rPr>
                <w:rFonts w:hint="eastAsia" w:ascii="宋体" w:hAnsi="宋体" w:eastAsia="宋体" w:cs="宋体"/>
                <w:bCs/>
                <w:color w:val="000000"/>
                <w:kern w:val="0"/>
                <w:sz w:val="21"/>
                <w:szCs w:val="21"/>
                <w:highlight w:val="none"/>
                <w:shd w:val="clear" w:color="auto" w:fill="auto"/>
                <w:lang w:val="en-US" w:eastAsia="zh-CN"/>
              </w:rPr>
              <w:t>壹</w:t>
            </w:r>
            <w:r>
              <w:rPr>
                <w:rFonts w:hint="eastAsia" w:ascii="宋体" w:hAnsi="宋体" w:eastAsia="宋体" w:cs="宋体"/>
                <w:bCs/>
                <w:color w:val="000000"/>
                <w:kern w:val="0"/>
                <w:sz w:val="21"/>
                <w:szCs w:val="21"/>
                <w:highlight w:val="none"/>
                <w:shd w:val="clear" w:color="auto" w:fill="auto"/>
              </w:rPr>
              <w:t>份交采购代理机构。采购代理机构将政府采购合同在省级以上人民政府财政部门指定媒体上公告。</w:t>
            </w:r>
          </w:p>
        </w:tc>
      </w:tr>
      <w:tr w14:paraId="56DFD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369722FB">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18</w:t>
            </w:r>
          </w:p>
        </w:tc>
        <w:tc>
          <w:tcPr>
            <w:tcW w:w="942" w:type="dxa"/>
            <w:noWrap w:val="0"/>
            <w:vAlign w:val="center"/>
          </w:tcPr>
          <w:p w14:paraId="23DC909F">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30.1</w:t>
            </w:r>
          </w:p>
        </w:tc>
        <w:tc>
          <w:tcPr>
            <w:tcW w:w="1775" w:type="dxa"/>
            <w:noWrap w:val="0"/>
            <w:vAlign w:val="center"/>
          </w:tcPr>
          <w:p w14:paraId="3CAB0D2C">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采购代理服务费</w:t>
            </w:r>
          </w:p>
        </w:tc>
        <w:tc>
          <w:tcPr>
            <w:tcW w:w="6405" w:type="dxa"/>
            <w:noWrap w:val="0"/>
            <w:vAlign w:val="top"/>
          </w:tcPr>
          <w:p w14:paraId="4D3C864E">
            <w:pPr>
              <w:pageBreakBefore w:val="0"/>
              <w:kinsoku/>
              <w:wordWrap/>
              <w:overflowPunct/>
              <w:topLinePunct w:val="0"/>
              <w:autoSpaceDE/>
              <w:autoSpaceDN/>
              <w:bidi w:val="0"/>
              <w:adjustRightInd/>
              <w:spacing w:line="440" w:lineRule="exact"/>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成交供应商在领取成交通知书前，向采购代理机构一次性付清采购代理服务费，本项目采购代理服务收费标准参照</w:t>
            </w:r>
            <w:r>
              <w:rPr>
                <w:rFonts w:hint="eastAsia" w:ascii="宋体" w:hAnsi="宋体" w:eastAsia="宋体" w:cs="宋体"/>
                <w:color w:val="000000"/>
                <w:sz w:val="21"/>
                <w:szCs w:val="21"/>
                <w:highlight w:val="none"/>
                <w:shd w:val="clear" w:color="auto" w:fill="auto"/>
                <w:lang w:val="en-US" w:eastAsia="zh-CN"/>
              </w:rPr>
              <w:t>计价格[2002]1980号《招标代理服务收费管理暂行办法》</w:t>
            </w:r>
            <w:r>
              <w:rPr>
                <w:rFonts w:hint="eastAsia" w:ascii="宋体" w:hAnsi="宋体" w:eastAsia="宋体" w:cs="宋体"/>
                <w:color w:val="000000"/>
                <w:sz w:val="21"/>
                <w:szCs w:val="21"/>
                <w:highlight w:val="none"/>
                <w:shd w:val="clear" w:color="auto" w:fill="auto"/>
              </w:rPr>
              <w:t>工程类收费标准向成交供应商收取。</w:t>
            </w:r>
          </w:p>
        </w:tc>
      </w:tr>
      <w:tr w14:paraId="78E01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01C71689">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19</w:t>
            </w:r>
          </w:p>
        </w:tc>
        <w:tc>
          <w:tcPr>
            <w:tcW w:w="942" w:type="dxa"/>
            <w:noWrap w:val="0"/>
            <w:vAlign w:val="center"/>
          </w:tcPr>
          <w:p w14:paraId="4A137644">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31</w:t>
            </w:r>
          </w:p>
        </w:tc>
        <w:tc>
          <w:tcPr>
            <w:tcW w:w="1775" w:type="dxa"/>
            <w:noWrap w:val="0"/>
            <w:vAlign w:val="center"/>
          </w:tcPr>
          <w:p w14:paraId="776E2FD2">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编制依据</w:t>
            </w:r>
          </w:p>
        </w:tc>
        <w:tc>
          <w:tcPr>
            <w:tcW w:w="6405" w:type="dxa"/>
            <w:noWrap w:val="0"/>
            <w:vAlign w:val="top"/>
          </w:tcPr>
          <w:p w14:paraId="555C843A">
            <w:pPr>
              <w:pageBreakBefore w:val="0"/>
              <w:kinsoku/>
              <w:wordWrap/>
              <w:overflowPunct/>
              <w:topLinePunct w:val="0"/>
              <w:autoSpaceDE/>
              <w:autoSpaceDN/>
              <w:bidi w:val="0"/>
              <w:adjustRightInd/>
              <w:spacing w:line="440" w:lineRule="exact"/>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本竞争性磋商文件是根据《中华人民共和国政府采购法》《中华人民共和国政府采购法实施条例》《政府采购竞争性磋商采购方式管理暂行办法》和政府采购管理有关规定编制。</w:t>
            </w:r>
          </w:p>
        </w:tc>
      </w:tr>
      <w:tr w14:paraId="1C6BC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2" w:type="dxa"/>
            <w:noWrap w:val="0"/>
            <w:vAlign w:val="center"/>
          </w:tcPr>
          <w:p w14:paraId="582E7405">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20</w:t>
            </w:r>
          </w:p>
        </w:tc>
        <w:tc>
          <w:tcPr>
            <w:tcW w:w="942" w:type="dxa"/>
            <w:noWrap w:val="0"/>
            <w:vAlign w:val="center"/>
          </w:tcPr>
          <w:p w14:paraId="03198C4E">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32</w:t>
            </w:r>
          </w:p>
        </w:tc>
        <w:tc>
          <w:tcPr>
            <w:tcW w:w="1775" w:type="dxa"/>
            <w:noWrap w:val="0"/>
            <w:vAlign w:val="center"/>
          </w:tcPr>
          <w:p w14:paraId="0C533E68">
            <w:pPr>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监督管理机构</w:t>
            </w:r>
          </w:p>
        </w:tc>
        <w:tc>
          <w:tcPr>
            <w:tcW w:w="6405" w:type="dxa"/>
            <w:noWrap w:val="0"/>
            <w:vAlign w:val="center"/>
          </w:tcPr>
          <w:p w14:paraId="15C8A2C6">
            <w:pPr>
              <w:pageBreakBefore w:val="0"/>
              <w:kinsoku/>
              <w:wordWrap/>
              <w:overflowPunct/>
              <w:topLinePunct w:val="0"/>
              <w:autoSpaceDE/>
              <w:autoSpaceDN/>
              <w:bidi w:val="0"/>
              <w:adjustRightInd/>
              <w:spacing w:line="440" w:lineRule="exact"/>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兴安县</w:t>
            </w:r>
            <w:r>
              <w:rPr>
                <w:rFonts w:hint="eastAsia" w:ascii="宋体" w:hAnsi="宋体" w:eastAsia="宋体" w:cs="宋体"/>
                <w:color w:val="000000"/>
                <w:sz w:val="21"/>
                <w:szCs w:val="21"/>
                <w:highlight w:val="none"/>
                <w:shd w:val="clear" w:color="auto" w:fill="auto"/>
                <w:lang w:val="en-US" w:eastAsia="zh-CN"/>
              </w:rPr>
              <w:t>采购中心</w:t>
            </w:r>
            <w:r>
              <w:rPr>
                <w:rFonts w:hint="eastAsia" w:ascii="宋体" w:hAnsi="宋体" w:eastAsia="宋体" w:cs="宋体"/>
                <w:color w:val="000000"/>
                <w:sz w:val="21"/>
                <w:szCs w:val="21"/>
                <w:highlight w:val="none"/>
                <w:shd w:val="clear" w:color="auto" w:fill="auto"/>
              </w:rPr>
              <w:t>；电话：0773-6220651。</w:t>
            </w:r>
          </w:p>
        </w:tc>
      </w:tr>
    </w:tbl>
    <w:p w14:paraId="4AF778BB">
      <w:pPr>
        <w:pStyle w:val="74"/>
        <w:rPr>
          <w:color w:val="000000"/>
          <w:highlight w:val="none"/>
        </w:rPr>
      </w:pPr>
      <w:bookmarkStart w:id="94" w:name="_Toc25406"/>
      <w:bookmarkStart w:id="95" w:name="_Toc22792"/>
      <w:bookmarkStart w:id="96" w:name="_Toc9480"/>
    </w:p>
    <w:p w14:paraId="3E274C22">
      <w:pPr>
        <w:pageBreakBefore w:val="0"/>
        <w:widowControl w:val="0"/>
        <w:kinsoku/>
        <w:wordWrap/>
        <w:overflowPunct/>
        <w:topLinePunct w:val="0"/>
        <w:autoSpaceDE/>
        <w:autoSpaceDN/>
        <w:bidi w:val="0"/>
        <w:adjustRightInd/>
        <w:spacing w:line="360" w:lineRule="auto"/>
        <w:ind w:left="0" w:leftChars="0"/>
        <w:jc w:val="center"/>
        <w:textAlignment w:val="auto"/>
        <w:outlineLvl w:val="1"/>
        <w:rPr>
          <w:rFonts w:hint="eastAsia" w:ascii="宋体" w:hAnsi="宋体" w:eastAsia="宋体" w:cs="宋体"/>
          <w:b/>
          <w:bCs/>
          <w:color w:val="000000"/>
          <w:sz w:val="21"/>
          <w:szCs w:val="21"/>
          <w:highlight w:val="none"/>
          <w:shd w:val="clear" w:color="auto" w:fill="auto"/>
        </w:rPr>
      </w:pPr>
      <w:r>
        <w:rPr>
          <w:rFonts w:hint="eastAsia"/>
          <w:b/>
          <w:bCs/>
          <w:color w:val="000000"/>
          <w:sz w:val="28"/>
          <w:szCs w:val="28"/>
          <w:highlight w:val="none"/>
          <w:shd w:val="clear" w:color="auto" w:fill="auto"/>
        </w:rPr>
        <w:br w:type="page"/>
      </w:r>
      <w:r>
        <w:rPr>
          <w:rFonts w:hint="eastAsia" w:ascii="宋体" w:hAnsi="宋体" w:eastAsia="宋体" w:cs="宋体"/>
          <w:b/>
          <w:bCs/>
          <w:color w:val="000000"/>
          <w:sz w:val="21"/>
          <w:szCs w:val="21"/>
          <w:highlight w:val="none"/>
          <w:shd w:val="clear" w:color="auto" w:fill="auto"/>
        </w:rPr>
        <w:t>一、总则</w:t>
      </w:r>
      <w:bookmarkEnd w:id="94"/>
      <w:bookmarkEnd w:id="95"/>
      <w:bookmarkEnd w:id="96"/>
    </w:p>
    <w:p w14:paraId="10D5B9BB">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bookmarkStart w:id="97" w:name="_Toc25853"/>
      <w:bookmarkStart w:id="98" w:name="_Toc6626"/>
      <w:bookmarkStart w:id="99" w:name="_Toc4439"/>
      <w:r>
        <w:rPr>
          <w:rFonts w:hint="eastAsia" w:ascii="宋体" w:hAnsi="宋体" w:eastAsia="宋体" w:cs="宋体"/>
          <w:color w:val="000000"/>
          <w:sz w:val="21"/>
          <w:szCs w:val="21"/>
          <w:highlight w:val="none"/>
          <w:shd w:val="clear" w:color="auto" w:fill="auto"/>
        </w:rPr>
        <w:t>1. 适应范围</w:t>
      </w:r>
      <w:bookmarkEnd w:id="97"/>
      <w:bookmarkEnd w:id="98"/>
      <w:bookmarkEnd w:id="99"/>
    </w:p>
    <w:p w14:paraId="3CC990B3">
      <w:pPr>
        <w:pageBreakBefore w:val="0"/>
        <w:widowControl w:val="0"/>
        <w:kinsoku/>
        <w:wordWrap/>
        <w:overflowPunct/>
        <w:topLinePunct w:val="0"/>
        <w:autoSpaceDE/>
        <w:autoSpaceDN/>
        <w:bidi w:val="0"/>
        <w:adjustRightInd/>
        <w:spacing w:line="360" w:lineRule="auto"/>
        <w:ind w:left="0" w:leftChars="0" w:firstLine="435"/>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1.1  项目名称及项目编号：</w:t>
      </w:r>
    </w:p>
    <w:p w14:paraId="04D4AB16">
      <w:pPr>
        <w:pageBreakBefore w:val="0"/>
        <w:widowControl w:val="0"/>
        <w:kinsoku/>
        <w:wordWrap/>
        <w:overflowPunct/>
        <w:topLinePunct w:val="0"/>
        <w:autoSpaceDE/>
        <w:autoSpaceDN/>
        <w:bidi w:val="0"/>
        <w:adjustRightInd/>
        <w:spacing w:line="360" w:lineRule="auto"/>
        <w:ind w:left="0" w:leftChars="0" w:firstLine="840" w:firstLineChars="400"/>
        <w:textAlignment w:val="auto"/>
        <w:rPr>
          <w:rFonts w:hint="eastAsia" w:ascii="宋体" w:hAnsi="宋体" w:eastAsia="宋体" w:cs="宋体"/>
          <w:color w:val="000000"/>
          <w:sz w:val="21"/>
          <w:szCs w:val="21"/>
          <w:highlight w:val="none"/>
          <w:shd w:val="clear" w:color="auto" w:fill="auto"/>
          <w:lang w:eastAsia="zh-CN"/>
        </w:rPr>
      </w:pPr>
      <w:r>
        <w:rPr>
          <w:rFonts w:hint="eastAsia" w:ascii="宋体" w:hAnsi="宋体" w:eastAsia="宋体" w:cs="宋体"/>
          <w:color w:val="000000"/>
          <w:sz w:val="21"/>
          <w:szCs w:val="21"/>
          <w:highlight w:val="none"/>
          <w:shd w:val="clear" w:color="auto" w:fill="auto"/>
        </w:rPr>
        <w:t>项目名称：</w:t>
      </w:r>
      <w:r>
        <w:rPr>
          <w:rFonts w:hint="eastAsia" w:ascii="宋体" w:hAnsi="宋体" w:eastAsia="宋体" w:cs="宋体"/>
          <w:color w:val="000000"/>
          <w:sz w:val="21"/>
          <w:szCs w:val="21"/>
          <w:highlight w:val="none"/>
          <w:shd w:val="clear" w:color="auto" w:fill="auto"/>
          <w:lang w:eastAsia="zh-CN"/>
        </w:rPr>
        <w:t>兴安县第三小学校园维修改造提升工程项目</w:t>
      </w:r>
    </w:p>
    <w:p w14:paraId="0630F8A9">
      <w:pPr>
        <w:pageBreakBefore w:val="0"/>
        <w:widowControl w:val="0"/>
        <w:kinsoku/>
        <w:wordWrap/>
        <w:overflowPunct/>
        <w:topLinePunct w:val="0"/>
        <w:autoSpaceDE/>
        <w:autoSpaceDN/>
        <w:bidi w:val="0"/>
        <w:adjustRightInd/>
        <w:spacing w:line="360" w:lineRule="auto"/>
        <w:ind w:left="0" w:leftChars="0" w:firstLine="840" w:firstLineChars="400"/>
        <w:textAlignment w:val="auto"/>
        <w:rPr>
          <w:rFonts w:hint="eastAsia" w:ascii="宋体" w:hAnsi="宋体" w:eastAsia="宋体" w:cs="宋体"/>
          <w:color w:val="000000"/>
          <w:sz w:val="21"/>
          <w:szCs w:val="21"/>
          <w:highlight w:val="none"/>
          <w:shd w:val="clear" w:color="auto" w:fill="auto"/>
          <w:lang w:eastAsia="zh-CN"/>
        </w:rPr>
      </w:pPr>
      <w:r>
        <w:rPr>
          <w:rFonts w:hint="eastAsia" w:ascii="宋体" w:hAnsi="宋体" w:eastAsia="宋体" w:cs="宋体"/>
          <w:color w:val="000000"/>
          <w:sz w:val="21"/>
          <w:szCs w:val="21"/>
          <w:highlight w:val="none"/>
          <w:shd w:val="clear" w:color="auto" w:fill="auto"/>
        </w:rPr>
        <w:t>项目编号：</w:t>
      </w:r>
      <w:r>
        <w:rPr>
          <w:rFonts w:hint="eastAsia" w:ascii="宋体" w:hAnsi="宋体" w:cs="宋体"/>
          <w:color w:val="000000"/>
          <w:sz w:val="21"/>
          <w:szCs w:val="21"/>
          <w:highlight w:val="none"/>
          <w:lang w:eastAsia="zh-CN"/>
        </w:rPr>
        <w:t>GLZC2025-C2-250049-GXJZ</w:t>
      </w:r>
    </w:p>
    <w:p w14:paraId="10C72BAF">
      <w:pPr>
        <w:pageBreakBefore w:val="0"/>
        <w:widowControl w:val="0"/>
        <w:kinsoku/>
        <w:wordWrap/>
        <w:overflowPunct/>
        <w:topLinePunct w:val="0"/>
        <w:autoSpaceDE/>
        <w:autoSpaceDN/>
        <w:bidi w:val="0"/>
        <w:adjustRightInd/>
        <w:spacing w:line="360" w:lineRule="auto"/>
        <w:ind w:left="0" w:leftChars="0" w:firstLine="411" w:firstLineChars="196"/>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1.2要求工期：</w:t>
      </w:r>
      <w:r>
        <w:rPr>
          <w:rFonts w:hint="eastAsia" w:ascii="宋体" w:hAnsi="宋体" w:cs="宋体"/>
          <w:color w:val="000000"/>
          <w:sz w:val="21"/>
          <w:szCs w:val="21"/>
          <w:highlight w:val="none"/>
          <w:shd w:val="clear" w:color="auto" w:fill="auto"/>
          <w:lang w:val="en-US" w:eastAsia="zh-CN"/>
        </w:rPr>
        <w:t>50</w:t>
      </w:r>
      <w:r>
        <w:rPr>
          <w:rFonts w:hint="eastAsia" w:ascii="宋体" w:hAnsi="宋体" w:eastAsia="宋体" w:cs="宋体"/>
          <w:color w:val="000000"/>
          <w:sz w:val="21"/>
          <w:szCs w:val="21"/>
          <w:highlight w:val="none"/>
          <w:shd w:val="clear" w:color="auto" w:fill="auto"/>
          <w:lang w:val="en-US" w:eastAsia="zh-CN"/>
        </w:rPr>
        <w:t>日历天</w:t>
      </w:r>
    </w:p>
    <w:p w14:paraId="6FACD310">
      <w:pPr>
        <w:pageBreakBefore w:val="0"/>
        <w:widowControl w:val="0"/>
        <w:kinsoku/>
        <w:wordWrap/>
        <w:overflowPunct/>
        <w:topLinePunct w:val="0"/>
        <w:autoSpaceDE/>
        <w:autoSpaceDN/>
        <w:bidi w:val="0"/>
        <w:adjustRightInd/>
        <w:spacing w:line="360" w:lineRule="auto"/>
        <w:ind w:left="0" w:leftChars="0" w:firstLine="411" w:firstLineChars="196"/>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1.3质量标准：</w:t>
      </w:r>
      <w:r>
        <w:rPr>
          <w:rFonts w:hint="eastAsia" w:ascii="宋体" w:hAnsi="宋体" w:eastAsia="宋体" w:cs="宋体"/>
          <w:color w:val="000000"/>
          <w:sz w:val="21"/>
          <w:szCs w:val="21"/>
          <w:highlight w:val="none"/>
          <w:u w:val="none"/>
          <w:shd w:val="clear" w:color="auto" w:fill="auto"/>
        </w:rPr>
        <w:t>国家现行有关工程施工质量验收规范合格标准</w:t>
      </w:r>
      <w:r>
        <w:rPr>
          <w:rFonts w:hint="eastAsia" w:ascii="宋体" w:hAnsi="宋体" w:eastAsia="宋体" w:cs="宋体"/>
          <w:color w:val="000000"/>
          <w:sz w:val="21"/>
          <w:szCs w:val="21"/>
          <w:highlight w:val="none"/>
          <w:shd w:val="clear" w:color="auto" w:fill="auto"/>
        </w:rPr>
        <w:t>。</w:t>
      </w:r>
    </w:p>
    <w:p w14:paraId="211ACE72">
      <w:pPr>
        <w:pageBreakBefore w:val="0"/>
        <w:widowControl w:val="0"/>
        <w:kinsoku/>
        <w:wordWrap/>
        <w:overflowPunct/>
        <w:topLinePunct w:val="0"/>
        <w:autoSpaceDE/>
        <w:autoSpaceDN/>
        <w:bidi w:val="0"/>
        <w:adjustRightInd/>
        <w:spacing w:line="360" w:lineRule="auto"/>
        <w:ind w:left="0" w:leftChars="0" w:firstLine="411" w:firstLineChars="196"/>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1.4本竞争性磋商文件（以下简称磋商文件）适用于本磋商项目的磋商、评审、合同履约、验收、付款等行为（法律、法规另有规定的，从其规定）。</w:t>
      </w:r>
    </w:p>
    <w:p w14:paraId="385A0D19">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bookmarkStart w:id="100" w:name="_Toc28336"/>
      <w:bookmarkStart w:id="101" w:name="_Toc28671"/>
      <w:bookmarkStart w:id="102" w:name="_Toc19742"/>
      <w:r>
        <w:rPr>
          <w:rFonts w:hint="eastAsia" w:ascii="宋体" w:hAnsi="宋体" w:eastAsia="宋体" w:cs="宋体"/>
          <w:color w:val="000000"/>
          <w:sz w:val="21"/>
          <w:szCs w:val="21"/>
          <w:highlight w:val="none"/>
          <w:shd w:val="clear" w:color="auto" w:fill="auto"/>
        </w:rPr>
        <w:t>2. 定义</w:t>
      </w:r>
      <w:bookmarkEnd w:id="100"/>
      <w:bookmarkEnd w:id="101"/>
      <w:bookmarkEnd w:id="102"/>
    </w:p>
    <w:p w14:paraId="1CCF1CDB">
      <w:pPr>
        <w:pageBreakBefore w:val="0"/>
        <w:widowControl w:val="0"/>
        <w:kinsoku/>
        <w:wordWrap/>
        <w:overflowPunct/>
        <w:topLinePunct w:val="0"/>
        <w:autoSpaceDE/>
        <w:autoSpaceDN/>
        <w:bidi w:val="0"/>
        <w:adjustRightInd/>
        <w:spacing w:line="360" w:lineRule="auto"/>
        <w:ind w:left="0" w:leftChars="0" w:firstLine="435"/>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2.1“供应商”是指符合本次采购项目的供应商资格并提交响应文件、参加磋商的供应商。如果该供应商在本次磋商中成交，即成为“成交供应商”。</w:t>
      </w:r>
    </w:p>
    <w:p w14:paraId="5A4EFE9F">
      <w:pPr>
        <w:pageBreakBefore w:val="0"/>
        <w:widowControl w:val="0"/>
        <w:kinsoku/>
        <w:wordWrap/>
        <w:overflowPunct/>
        <w:topLinePunct w:val="0"/>
        <w:autoSpaceDE/>
        <w:autoSpaceDN/>
        <w:bidi w:val="0"/>
        <w:adjustRightInd/>
        <w:spacing w:line="360" w:lineRule="auto"/>
        <w:ind w:left="0" w:leftChars="0" w:firstLine="435"/>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2.2“书面形式”包括信函、传真、电报等。</w:t>
      </w:r>
    </w:p>
    <w:p w14:paraId="51D3EFE8">
      <w:pPr>
        <w:pageBreakBefore w:val="0"/>
        <w:widowControl w:val="0"/>
        <w:kinsoku/>
        <w:wordWrap/>
        <w:overflowPunct/>
        <w:topLinePunct w:val="0"/>
        <w:autoSpaceDE/>
        <w:autoSpaceDN/>
        <w:bidi w:val="0"/>
        <w:adjustRightInd/>
        <w:spacing w:line="360" w:lineRule="auto"/>
        <w:ind w:left="0" w:leftChars="0" w:firstLine="435"/>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2.3 “项目”系指供应商按磋商文件规定向采购人提供施工图纸及工程量清单等所包含的施工内容。</w:t>
      </w:r>
    </w:p>
    <w:p w14:paraId="7CB749C9">
      <w:pPr>
        <w:pageBreakBefore w:val="0"/>
        <w:widowControl w:val="0"/>
        <w:kinsoku/>
        <w:wordWrap/>
        <w:overflowPunct/>
        <w:topLinePunct w:val="0"/>
        <w:autoSpaceDE/>
        <w:autoSpaceDN/>
        <w:bidi w:val="0"/>
        <w:adjustRightInd/>
        <w:spacing w:line="360" w:lineRule="auto"/>
        <w:ind w:left="0" w:leftChars="0" w:firstLine="435"/>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2.4“书面形式”包括信函、传真、电报等。</w:t>
      </w:r>
    </w:p>
    <w:p w14:paraId="4AB36C2F">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bookmarkStart w:id="103" w:name="_Toc25441"/>
      <w:bookmarkStart w:id="104" w:name="_Toc10187"/>
      <w:bookmarkStart w:id="105" w:name="_Toc9345"/>
      <w:r>
        <w:rPr>
          <w:rFonts w:hint="eastAsia" w:ascii="宋体" w:hAnsi="宋体" w:eastAsia="宋体" w:cs="宋体"/>
          <w:color w:val="000000"/>
          <w:sz w:val="21"/>
          <w:szCs w:val="21"/>
          <w:highlight w:val="none"/>
          <w:shd w:val="clear" w:color="auto" w:fill="auto"/>
        </w:rPr>
        <w:t>3. 供应商资格</w:t>
      </w:r>
      <w:bookmarkEnd w:id="103"/>
      <w:bookmarkEnd w:id="104"/>
      <w:bookmarkEnd w:id="105"/>
    </w:p>
    <w:p w14:paraId="0A20E07A">
      <w:pPr>
        <w:pStyle w:val="4"/>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b w:val="0"/>
          <w:color w:val="000000"/>
          <w:sz w:val="21"/>
          <w:szCs w:val="21"/>
          <w:highlight w:val="none"/>
          <w:shd w:val="clear" w:color="auto" w:fill="auto"/>
        </w:rPr>
      </w:pPr>
      <w:bookmarkStart w:id="106" w:name="_Toc19795"/>
      <w:bookmarkStart w:id="107" w:name="_Toc16496"/>
      <w:bookmarkStart w:id="108" w:name="_Toc10080"/>
      <w:r>
        <w:rPr>
          <w:rFonts w:hint="eastAsia" w:ascii="宋体" w:hAnsi="宋体" w:eastAsia="宋体" w:cs="宋体"/>
          <w:b w:val="0"/>
          <w:color w:val="000000"/>
          <w:sz w:val="21"/>
          <w:szCs w:val="21"/>
          <w:highlight w:val="none"/>
          <w:shd w:val="clear" w:color="auto" w:fill="auto"/>
        </w:rPr>
        <w:t>详见供应商须知前附表。</w:t>
      </w:r>
    </w:p>
    <w:p w14:paraId="0F5A024E">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4. 磋商费用</w:t>
      </w:r>
      <w:bookmarkEnd w:id="106"/>
      <w:bookmarkEnd w:id="107"/>
      <w:bookmarkEnd w:id="108"/>
    </w:p>
    <w:p w14:paraId="0D1DD86B">
      <w:pPr>
        <w:pageBreakBefore w:val="0"/>
        <w:widowControl w:val="0"/>
        <w:tabs>
          <w:tab w:val="left" w:pos="1635"/>
        </w:tabs>
        <w:kinsoku/>
        <w:wordWrap/>
        <w:overflowPunct/>
        <w:topLinePunct w:val="0"/>
        <w:autoSpaceDE/>
        <w:autoSpaceDN/>
        <w:bidi w:val="0"/>
        <w:adjustRightInd/>
        <w:spacing w:line="360" w:lineRule="auto"/>
        <w:ind w:left="0" w:leftChars="0" w:firstLine="435"/>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不论磋商结果如何，供应商均应自行承担所有与磋商有关的全部费用。</w:t>
      </w:r>
    </w:p>
    <w:p w14:paraId="5753B318">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bookmarkStart w:id="109" w:name="_Toc30661"/>
      <w:bookmarkStart w:id="110" w:name="_Toc31376"/>
      <w:bookmarkStart w:id="111" w:name="_Toc18464"/>
      <w:r>
        <w:rPr>
          <w:rFonts w:hint="eastAsia" w:ascii="宋体" w:hAnsi="宋体" w:eastAsia="宋体" w:cs="宋体"/>
          <w:color w:val="000000"/>
          <w:sz w:val="21"/>
          <w:szCs w:val="21"/>
          <w:highlight w:val="none"/>
          <w:shd w:val="clear" w:color="auto" w:fill="auto"/>
        </w:rPr>
        <w:t>5. 联合体要求</w:t>
      </w:r>
      <w:bookmarkEnd w:id="109"/>
      <w:bookmarkEnd w:id="110"/>
      <w:bookmarkEnd w:id="111"/>
    </w:p>
    <w:p w14:paraId="62439859">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bCs/>
          <w:color w:val="000000"/>
          <w:sz w:val="21"/>
          <w:szCs w:val="21"/>
          <w:highlight w:val="none"/>
          <w:shd w:val="clear" w:color="auto" w:fill="auto"/>
        </w:rPr>
      </w:pPr>
      <w:r>
        <w:rPr>
          <w:rFonts w:hint="eastAsia" w:ascii="宋体" w:hAnsi="宋体" w:eastAsia="宋体" w:cs="宋体"/>
          <w:bCs/>
          <w:color w:val="000000"/>
          <w:sz w:val="21"/>
          <w:szCs w:val="21"/>
          <w:highlight w:val="none"/>
          <w:shd w:val="clear" w:color="auto" w:fill="auto"/>
        </w:rPr>
        <w:t>本项目不接受联合体参与磋商</w:t>
      </w:r>
    </w:p>
    <w:p w14:paraId="2745CF0B">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bookmarkStart w:id="112" w:name="_Toc17501"/>
      <w:bookmarkStart w:id="113" w:name="_Toc23673"/>
      <w:bookmarkStart w:id="114" w:name="_Toc4152"/>
      <w:r>
        <w:rPr>
          <w:rFonts w:hint="eastAsia" w:ascii="宋体" w:hAnsi="宋体" w:eastAsia="宋体" w:cs="宋体"/>
          <w:color w:val="000000"/>
          <w:sz w:val="21"/>
          <w:szCs w:val="21"/>
          <w:highlight w:val="none"/>
          <w:shd w:val="clear" w:color="auto" w:fill="auto"/>
        </w:rPr>
        <w:t>6. 质疑和投诉</w:t>
      </w:r>
      <w:bookmarkEnd w:id="112"/>
      <w:bookmarkEnd w:id="113"/>
      <w:bookmarkEnd w:id="114"/>
    </w:p>
    <w:p w14:paraId="3BDC58BC">
      <w:pPr>
        <w:pageBreakBefore w:val="0"/>
        <w:widowControl w:val="0"/>
        <w:tabs>
          <w:tab w:val="left" w:pos="2190"/>
        </w:tabs>
        <w:kinsoku/>
        <w:wordWrap/>
        <w:overflowPunct/>
        <w:topLinePunct w:val="0"/>
        <w:autoSpaceDE/>
        <w:autoSpaceDN/>
        <w:bidi w:val="0"/>
        <w:adjustRightInd/>
        <w:spacing w:line="360" w:lineRule="auto"/>
        <w:ind w:left="0" w:leftChars="0" w:firstLine="435"/>
        <w:textAlignment w:val="auto"/>
        <w:rPr>
          <w:rFonts w:hint="eastAsia" w:ascii="宋体" w:hAnsi="宋体" w:eastAsia="宋体" w:cs="宋体"/>
          <w:color w:val="000000"/>
          <w:sz w:val="21"/>
          <w:szCs w:val="21"/>
          <w:highlight w:val="none"/>
          <w:shd w:val="clear" w:color="auto" w:fill="auto"/>
        </w:rPr>
      </w:pPr>
      <w:bookmarkStart w:id="115" w:name="_Toc26087"/>
      <w:bookmarkStart w:id="116" w:name="_Toc8195"/>
      <w:r>
        <w:rPr>
          <w:rFonts w:hint="eastAsia" w:ascii="宋体" w:hAnsi="宋体" w:eastAsia="宋体" w:cs="宋体"/>
          <w:color w:val="000000"/>
          <w:sz w:val="21"/>
          <w:szCs w:val="21"/>
          <w:highlight w:val="none"/>
          <w:shd w:val="clear" w:color="auto" w:fill="auto"/>
        </w:rPr>
        <w:t>6.1供应对政府采购活动事项有疑问的，可以向采购人提出询问。采购人应当及时作出答复，但答复的内容不得涉及商业秘密。</w:t>
      </w:r>
    </w:p>
    <w:p w14:paraId="48A860F2">
      <w:pPr>
        <w:pageBreakBefore w:val="0"/>
        <w:widowControl w:val="0"/>
        <w:tabs>
          <w:tab w:val="left" w:pos="2190"/>
        </w:tabs>
        <w:kinsoku/>
        <w:wordWrap/>
        <w:overflowPunct/>
        <w:topLinePunct w:val="0"/>
        <w:autoSpaceDE/>
        <w:autoSpaceDN/>
        <w:bidi w:val="0"/>
        <w:adjustRightInd/>
        <w:spacing w:line="360" w:lineRule="auto"/>
        <w:ind w:left="0" w:leftChars="0" w:firstLine="435"/>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6.2供应商认为磋商文件使自己的合法权益受到损害的，应当在竞争性磋商公告期限届满之日起七个工作日内，以书面形式向采购代理机构提出质疑。供应商认为采购过程或成交结果使自己的合法权益受到损害的，应当在各采购程序环节结束之日起七个工作日内，以书面形式向采购代理机构提出质疑。供应商在法定的质疑期内一次性提出针对同一采购程序环节的质疑，采购代理机构应认真做好质疑处理工作。</w:t>
      </w:r>
    </w:p>
    <w:p w14:paraId="70A832AB">
      <w:pPr>
        <w:pageBreakBefore w:val="0"/>
        <w:widowControl w:val="0"/>
        <w:tabs>
          <w:tab w:val="left" w:pos="2190"/>
        </w:tabs>
        <w:kinsoku/>
        <w:wordWrap/>
        <w:overflowPunct/>
        <w:topLinePunct w:val="0"/>
        <w:autoSpaceDE/>
        <w:autoSpaceDN/>
        <w:bidi w:val="0"/>
        <w:adjustRightInd/>
        <w:spacing w:line="360" w:lineRule="auto"/>
        <w:ind w:left="0" w:leftChars="0" w:firstLine="435"/>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6.3供应商对采购代理机构的质疑答复不满意或者采购代理机构未在规定的时间内作出答复的，可以在答复期满后十五个工作日内向本级财政部门投诉。</w:t>
      </w:r>
    </w:p>
    <w:p w14:paraId="53D9A898">
      <w:pPr>
        <w:pageBreakBefore w:val="0"/>
        <w:widowControl w:val="0"/>
        <w:tabs>
          <w:tab w:val="left" w:pos="2190"/>
        </w:tabs>
        <w:kinsoku/>
        <w:wordWrap/>
        <w:overflowPunct/>
        <w:topLinePunct w:val="0"/>
        <w:autoSpaceDE/>
        <w:autoSpaceDN/>
        <w:bidi w:val="0"/>
        <w:adjustRightInd/>
        <w:spacing w:line="360" w:lineRule="auto"/>
        <w:ind w:left="0" w:leftChars="0" w:firstLine="435"/>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6.4质疑、投诉应当采用书面形式，质疑书、投诉书实行实名制，均应明确阐述磋商文件、采购过程或成交结果中使自己合法权益受到损害的实质性内容，提供相关事实、明确的请求，并提供必要的证明材料。质疑函和投诉书格式详见附件。</w:t>
      </w:r>
    </w:p>
    <w:p w14:paraId="4F7F0A36">
      <w:pPr>
        <w:pageBreakBefore w:val="0"/>
        <w:widowControl w:val="0"/>
        <w:tabs>
          <w:tab w:val="left" w:pos="2190"/>
        </w:tabs>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6.5质疑联系部门及联系方式：</w:t>
      </w:r>
    </w:p>
    <w:p w14:paraId="081CACB3">
      <w:pPr>
        <w:pageBreakBefore w:val="0"/>
        <w:widowControl w:val="0"/>
        <w:tabs>
          <w:tab w:val="left" w:pos="2190"/>
        </w:tabs>
        <w:kinsoku/>
        <w:wordWrap/>
        <w:overflowPunct/>
        <w:topLinePunct w:val="0"/>
        <w:autoSpaceDE/>
        <w:autoSpaceDN/>
        <w:bidi w:val="0"/>
        <w:adjustRightInd/>
        <w:spacing w:line="360" w:lineRule="auto"/>
        <w:ind w:left="0" w:leftChars="0" w:firstLine="435"/>
        <w:textAlignment w:val="auto"/>
        <w:rPr>
          <w:rFonts w:hint="eastAsia" w:ascii="宋体" w:hAnsi="宋体" w:eastAsia="宋体" w:cs="宋体"/>
          <w:color w:val="000000"/>
          <w:sz w:val="21"/>
          <w:szCs w:val="21"/>
          <w:highlight w:val="none"/>
          <w:shd w:val="clear" w:color="auto" w:fill="auto"/>
          <w:lang w:val="en-US" w:eastAsia="zh-CN"/>
        </w:rPr>
      </w:pPr>
      <w:r>
        <w:rPr>
          <w:rFonts w:hint="eastAsia" w:ascii="宋体" w:hAnsi="宋体" w:eastAsia="宋体" w:cs="宋体"/>
          <w:color w:val="000000"/>
          <w:sz w:val="21"/>
          <w:szCs w:val="21"/>
          <w:highlight w:val="none"/>
          <w:shd w:val="clear" w:color="auto" w:fill="auto"/>
        </w:rPr>
        <w:t>质疑联系部门：</w:t>
      </w:r>
      <w:r>
        <w:rPr>
          <w:rFonts w:hint="eastAsia" w:ascii="宋体" w:hAnsi="宋体" w:eastAsia="宋体" w:cs="宋体"/>
          <w:color w:val="000000"/>
          <w:sz w:val="21"/>
          <w:szCs w:val="21"/>
          <w:highlight w:val="none"/>
          <w:shd w:val="clear" w:color="auto" w:fill="auto"/>
          <w:lang w:val="en-US" w:eastAsia="zh-CN"/>
        </w:rPr>
        <w:t>广西聚泽灵项目管理有限公司</w:t>
      </w:r>
      <w:r>
        <w:rPr>
          <w:rFonts w:hint="eastAsia" w:ascii="宋体" w:hAnsi="宋体" w:eastAsia="宋体" w:cs="宋体"/>
          <w:color w:val="000000"/>
          <w:sz w:val="21"/>
          <w:szCs w:val="21"/>
          <w:highlight w:val="none"/>
          <w:shd w:val="clear" w:color="auto" w:fill="auto"/>
        </w:rPr>
        <w:t xml:space="preserve">  联系电话：</w:t>
      </w:r>
      <w:r>
        <w:rPr>
          <w:rFonts w:hint="eastAsia" w:ascii="宋体" w:hAnsi="宋体" w:eastAsia="宋体" w:cs="宋体"/>
          <w:b w:val="0"/>
          <w:bCs w:val="0"/>
          <w:color w:val="000000"/>
          <w:spacing w:val="9"/>
          <w:sz w:val="21"/>
          <w:szCs w:val="21"/>
          <w:highlight w:val="none"/>
          <w:lang w:val="en-US" w:eastAsia="zh-CN"/>
        </w:rPr>
        <w:t>0773-2535559</w:t>
      </w:r>
    </w:p>
    <w:p w14:paraId="081969A4">
      <w:pPr>
        <w:pageBreakBefore w:val="0"/>
        <w:widowControl w:val="0"/>
        <w:tabs>
          <w:tab w:val="left" w:pos="2190"/>
        </w:tabs>
        <w:kinsoku/>
        <w:wordWrap/>
        <w:overflowPunct/>
        <w:topLinePunct w:val="0"/>
        <w:autoSpaceDE/>
        <w:autoSpaceDN/>
        <w:bidi w:val="0"/>
        <w:adjustRightInd/>
        <w:spacing w:line="360" w:lineRule="auto"/>
        <w:ind w:left="0" w:leftChars="0" w:firstLine="435"/>
        <w:textAlignment w:val="auto"/>
        <w:rPr>
          <w:rFonts w:hint="eastAsia" w:ascii="宋体" w:hAnsi="宋体" w:eastAsia="宋体" w:cs="宋体"/>
          <w:color w:val="000000"/>
          <w:sz w:val="21"/>
          <w:szCs w:val="21"/>
          <w:highlight w:val="none"/>
          <w:shd w:val="clear" w:color="auto" w:fill="auto"/>
          <w:lang w:val="en-US" w:eastAsia="zh-CN"/>
        </w:rPr>
      </w:pPr>
      <w:r>
        <w:rPr>
          <w:rFonts w:hint="eastAsia" w:ascii="宋体" w:hAnsi="宋体" w:eastAsia="宋体" w:cs="宋体"/>
          <w:color w:val="000000"/>
          <w:sz w:val="21"/>
          <w:szCs w:val="21"/>
          <w:highlight w:val="none"/>
          <w:shd w:val="clear" w:color="auto" w:fill="auto"/>
        </w:rPr>
        <w:t>通讯地址：桂林市七星区辰山路28号6-1楼</w:t>
      </w:r>
    </w:p>
    <w:p w14:paraId="7A5B2A16">
      <w:pPr>
        <w:pageBreakBefore w:val="0"/>
        <w:widowControl w:val="0"/>
        <w:tabs>
          <w:tab w:val="left" w:pos="2190"/>
        </w:tabs>
        <w:kinsoku/>
        <w:wordWrap/>
        <w:overflowPunct/>
        <w:topLinePunct w:val="0"/>
        <w:autoSpaceDE/>
        <w:autoSpaceDN/>
        <w:bidi w:val="0"/>
        <w:adjustRightInd/>
        <w:spacing w:line="360" w:lineRule="auto"/>
        <w:ind w:left="0" w:leftChars="0" w:firstLine="435"/>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现场提交质疑办理业务时间（北京时间）：每天9时00分到12时00分，14时30分到17时30分，业务时间以外、双休日和法定节假日不办理业务。</w:t>
      </w:r>
      <w:bookmarkEnd w:id="115"/>
      <w:bookmarkEnd w:id="116"/>
      <w:r>
        <w:rPr>
          <w:rFonts w:hint="eastAsia" w:ascii="宋体" w:hAnsi="宋体" w:eastAsia="宋体" w:cs="宋体"/>
          <w:color w:val="000000"/>
          <w:sz w:val="21"/>
          <w:szCs w:val="21"/>
          <w:highlight w:val="none"/>
          <w:shd w:val="clear" w:color="auto" w:fill="auto"/>
        </w:rPr>
        <w:t xml:space="preserve">       </w:t>
      </w:r>
    </w:p>
    <w:p w14:paraId="1DAAE19E">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bookmarkStart w:id="117" w:name="_Toc6998"/>
      <w:bookmarkStart w:id="118" w:name="_Toc9106"/>
      <w:bookmarkStart w:id="119" w:name="_Toc13690"/>
      <w:r>
        <w:rPr>
          <w:rFonts w:hint="eastAsia" w:ascii="宋体" w:hAnsi="宋体" w:eastAsia="宋体" w:cs="宋体"/>
          <w:color w:val="000000"/>
          <w:sz w:val="21"/>
          <w:szCs w:val="21"/>
          <w:highlight w:val="none"/>
          <w:shd w:val="clear" w:color="auto" w:fill="auto"/>
        </w:rPr>
        <w:t>7. 转包与分包</w:t>
      </w:r>
      <w:bookmarkEnd w:id="117"/>
      <w:bookmarkEnd w:id="118"/>
      <w:bookmarkEnd w:id="119"/>
    </w:p>
    <w:p w14:paraId="7806D6B3">
      <w:pPr>
        <w:pageBreakBefore w:val="0"/>
        <w:widowControl w:val="0"/>
        <w:tabs>
          <w:tab w:val="left" w:pos="2190"/>
        </w:tabs>
        <w:kinsoku/>
        <w:wordWrap/>
        <w:overflowPunct/>
        <w:topLinePunct w:val="0"/>
        <w:autoSpaceDE/>
        <w:autoSpaceDN/>
        <w:bidi w:val="0"/>
        <w:adjustRightInd/>
        <w:spacing w:line="360" w:lineRule="auto"/>
        <w:ind w:left="0" w:leftChars="0" w:firstLine="435"/>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7.1 本项目不允许转包。</w:t>
      </w:r>
    </w:p>
    <w:p w14:paraId="57EDABB0">
      <w:pPr>
        <w:pageBreakBefore w:val="0"/>
        <w:widowControl w:val="0"/>
        <w:tabs>
          <w:tab w:val="left" w:pos="2190"/>
        </w:tabs>
        <w:kinsoku/>
        <w:wordWrap/>
        <w:overflowPunct/>
        <w:topLinePunct w:val="0"/>
        <w:autoSpaceDE/>
        <w:autoSpaceDN/>
        <w:bidi w:val="0"/>
        <w:adjustRightInd/>
        <w:spacing w:line="360" w:lineRule="auto"/>
        <w:ind w:left="0" w:leftChars="0" w:firstLine="435"/>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7.2 本项目不可以分包。</w:t>
      </w:r>
    </w:p>
    <w:p w14:paraId="2CCBC1AC">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bookmarkStart w:id="120" w:name="_Toc3368"/>
      <w:bookmarkStart w:id="121" w:name="_Toc18955"/>
      <w:bookmarkStart w:id="122" w:name="_Toc28010"/>
      <w:r>
        <w:rPr>
          <w:rFonts w:hint="eastAsia" w:ascii="宋体" w:hAnsi="宋体" w:eastAsia="宋体" w:cs="宋体"/>
          <w:color w:val="000000"/>
          <w:sz w:val="21"/>
          <w:szCs w:val="21"/>
          <w:highlight w:val="none"/>
          <w:shd w:val="clear" w:color="auto" w:fill="auto"/>
        </w:rPr>
        <w:t>8. 特别说明</w:t>
      </w:r>
      <w:bookmarkEnd w:id="120"/>
      <w:bookmarkEnd w:id="121"/>
      <w:bookmarkEnd w:id="122"/>
    </w:p>
    <w:p w14:paraId="1C117772">
      <w:pPr>
        <w:pageBreakBefore w:val="0"/>
        <w:widowControl w:val="0"/>
        <w:tabs>
          <w:tab w:val="left" w:pos="1635"/>
        </w:tabs>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color w:val="000000"/>
          <w:sz w:val="21"/>
          <w:szCs w:val="21"/>
          <w:highlight w:val="none"/>
          <w:shd w:val="clear" w:color="auto" w:fill="auto"/>
        </w:rPr>
      </w:pPr>
      <w:r>
        <w:rPr>
          <w:rFonts w:hint="eastAsia" w:ascii="宋体" w:hAnsi="宋体" w:eastAsia="宋体" w:cs="宋体"/>
          <w:b/>
          <w:color w:val="000000"/>
          <w:sz w:val="21"/>
          <w:szCs w:val="21"/>
          <w:highlight w:val="none"/>
          <w:shd w:val="clear" w:color="auto" w:fill="auto"/>
        </w:rPr>
        <w:t>8.1关联供应商不得参加同一合同项下政府采购活动，否则响应文件将被视为无效：</w:t>
      </w:r>
    </w:p>
    <w:p w14:paraId="1478B7CB">
      <w:pPr>
        <w:pageBreakBefore w:val="0"/>
        <w:widowControl w:val="0"/>
        <w:tabs>
          <w:tab w:val="left" w:pos="1635"/>
        </w:tabs>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（1）单位负责人为同一人或者存在直接控股、管理关系的，不得参加同一合同项下的政府采购活动。</w:t>
      </w:r>
    </w:p>
    <w:p w14:paraId="7BF886EE">
      <w:pPr>
        <w:pageBreakBefore w:val="0"/>
        <w:widowControl w:val="0"/>
        <w:tabs>
          <w:tab w:val="left" w:pos="1635"/>
        </w:tabs>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（2）为本采购项目提供整体设计、规范编制或者项目管理、监理、检测等服务的供应商，不得再参加本次采购活动。</w:t>
      </w:r>
    </w:p>
    <w:p w14:paraId="42BA2E0A">
      <w:pPr>
        <w:pageBreakBefore w:val="0"/>
        <w:widowControl w:val="0"/>
        <w:kinsoku/>
        <w:wordWrap/>
        <w:overflowPunct/>
        <w:topLinePunct w:val="0"/>
        <w:autoSpaceDE/>
        <w:autoSpaceDN/>
        <w:bidi w:val="0"/>
        <w:adjustRightInd/>
        <w:spacing w:line="360" w:lineRule="auto"/>
        <w:ind w:left="0" w:leftChars="0"/>
        <w:jc w:val="center"/>
        <w:textAlignment w:val="auto"/>
        <w:outlineLvl w:val="1"/>
        <w:rPr>
          <w:rFonts w:hint="eastAsia" w:ascii="宋体" w:hAnsi="宋体" w:eastAsia="宋体" w:cs="宋体"/>
          <w:b/>
          <w:bCs/>
          <w:color w:val="000000"/>
          <w:sz w:val="21"/>
          <w:szCs w:val="21"/>
          <w:highlight w:val="none"/>
          <w:shd w:val="clear" w:color="auto" w:fill="auto"/>
        </w:rPr>
      </w:pPr>
      <w:bookmarkStart w:id="123" w:name="_Toc13302"/>
      <w:bookmarkStart w:id="124" w:name="_Toc2757"/>
      <w:bookmarkStart w:id="125" w:name="_Toc22498"/>
      <w:r>
        <w:rPr>
          <w:rFonts w:hint="eastAsia" w:ascii="宋体" w:hAnsi="宋体" w:eastAsia="宋体" w:cs="宋体"/>
          <w:b/>
          <w:bCs/>
          <w:color w:val="000000"/>
          <w:sz w:val="21"/>
          <w:szCs w:val="21"/>
          <w:highlight w:val="none"/>
          <w:shd w:val="clear" w:color="auto" w:fill="auto"/>
        </w:rPr>
        <w:t>二、磋商文件</w:t>
      </w:r>
      <w:bookmarkEnd w:id="123"/>
      <w:bookmarkEnd w:id="124"/>
      <w:bookmarkEnd w:id="125"/>
    </w:p>
    <w:p w14:paraId="0307D4AE">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lang w:val="pt-BR"/>
        </w:rPr>
      </w:pPr>
      <w:bookmarkStart w:id="126" w:name="_Toc18964"/>
      <w:bookmarkStart w:id="127" w:name="_Toc30164"/>
      <w:bookmarkStart w:id="128" w:name="_Toc9387"/>
      <w:r>
        <w:rPr>
          <w:rFonts w:hint="eastAsia" w:ascii="宋体" w:hAnsi="宋体" w:eastAsia="宋体" w:cs="宋体"/>
          <w:color w:val="000000"/>
          <w:sz w:val="21"/>
          <w:szCs w:val="21"/>
          <w:highlight w:val="none"/>
          <w:shd w:val="clear" w:color="auto" w:fill="auto"/>
          <w:lang w:val="pt-BR"/>
        </w:rPr>
        <w:t xml:space="preserve">9. </w:t>
      </w:r>
      <w:r>
        <w:rPr>
          <w:rFonts w:hint="eastAsia" w:ascii="宋体" w:hAnsi="宋体" w:eastAsia="宋体" w:cs="宋体"/>
          <w:color w:val="000000"/>
          <w:sz w:val="21"/>
          <w:szCs w:val="21"/>
          <w:highlight w:val="none"/>
          <w:shd w:val="clear" w:color="auto" w:fill="auto"/>
        </w:rPr>
        <w:t>磋商文件的构成</w:t>
      </w:r>
      <w:bookmarkEnd w:id="126"/>
      <w:bookmarkEnd w:id="127"/>
      <w:bookmarkEnd w:id="128"/>
    </w:p>
    <w:p w14:paraId="5DADC046">
      <w:pPr>
        <w:pageBreakBefore w:val="0"/>
        <w:widowControl w:val="0"/>
        <w:tabs>
          <w:tab w:val="left" w:pos="2190"/>
        </w:tabs>
        <w:kinsoku/>
        <w:wordWrap/>
        <w:overflowPunct/>
        <w:topLinePunct w:val="0"/>
        <w:autoSpaceDE/>
        <w:autoSpaceDN/>
        <w:bidi w:val="0"/>
        <w:adjustRightInd/>
        <w:spacing w:line="360" w:lineRule="auto"/>
        <w:ind w:left="0" w:leftChars="0" w:firstLine="437"/>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（1）竞争性磋商公告；</w:t>
      </w:r>
    </w:p>
    <w:p w14:paraId="402E1B3C">
      <w:pPr>
        <w:pageBreakBefore w:val="0"/>
        <w:widowControl w:val="0"/>
        <w:tabs>
          <w:tab w:val="left" w:pos="2190"/>
        </w:tabs>
        <w:kinsoku/>
        <w:wordWrap/>
        <w:overflowPunct/>
        <w:topLinePunct w:val="0"/>
        <w:autoSpaceDE/>
        <w:autoSpaceDN/>
        <w:bidi w:val="0"/>
        <w:adjustRightInd/>
        <w:spacing w:line="360" w:lineRule="auto"/>
        <w:ind w:left="0" w:leftChars="0" w:firstLine="437"/>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（2）供应商须知；</w:t>
      </w:r>
    </w:p>
    <w:p w14:paraId="251E11A5">
      <w:pPr>
        <w:pageBreakBefore w:val="0"/>
        <w:widowControl w:val="0"/>
        <w:tabs>
          <w:tab w:val="left" w:pos="2190"/>
        </w:tabs>
        <w:kinsoku/>
        <w:wordWrap/>
        <w:overflowPunct/>
        <w:topLinePunct w:val="0"/>
        <w:autoSpaceDE/>
        <w:autoSpaceDN/>
        <w:bidi w:val="0"/>
        <w:adjustRightInd/>
        <w:spacing w:line="360" w:lineRule="auto"/>
        <w:ind w:left="0" w:leftChars="0" w:firstLine="437"/>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（3）评标办法；</w:t>
      </w:r>
    </w:p>
    <w:p w14:paraId="3044CD2A">
      <w:pPr>
        <w:pageBreakBefore w:val="0"/>
        <w:widowControl w:val="0"/>
        <w:tabs>
          <w:tab w:val="left" w:pos="2190"/>
        </w:tabs>
        <w:kinsoku/>
        <w:wordWrap/>
        <w:overflowPunct/>
        <w:topLinePunct w:val="0"/>
        <w:autoSpaceDE/>
        <w:autoSpaceDN/>
        <w:bidi w:val="0"/>
        <w:adjustRightInd/>
        <w:spacing w:line="360" w:lineRule="auto"/>
        <w:ind w:left="0" w:leftChars="0" w:firstLine="437"/>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（4）采购合同（合同主要条款及格式）；</w:t>
      </w:r>
    </w:p>
    <w:p w14:paraId="1E4304E4">
      <w:pPr>
        <w:pageBreakBefore w:val="0"/>
        <w:widowControl w:val="0"/>
        <w:tabs>
          <w:tab w:val="left" w:pos="2190"/>
        </w:tabs>
        <w:kinsoku/>
        <w:wordWrap/>
        <w:overflowPunct/>
        <w:topLinePunct w:val="0"/>
        <w:autoSpaceDE/>
        <w:autoSpaceDN/>
        <w:bidi w:val="0"/>
        <w:adjustRightInd/>
        <w:spacing w:line="360" w:lineRule="auto"/>
        <w:ind w:left="0" w:leftChars="0" w:firstLine="437"/>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（5）工程量清单；</w:t>
      </w:r>
    </w:p>
    <w:p w14:paraId="3FA12E1D">
      <w:pPr>
        <w:pageBreakBefore w:val="0"/>
        <w:widowControl w:val="0"/>
        <w:tabs>
          <w:tab w:val="left" w:pos="2190"/>
        </w:tabs>
        <w:kinsoku/>
        <w:wordWrap/>
        <w:overflowPunct/>
        <w:topLinePunct w:val="0"/>
        <w:autoSpaceDE/>
        <w:autoSpaceDN/>
        <w:bidi w:val="0"/>
        <w:adjustRightInd/>
        <w:spacing w:line="360" w:lineRule="auto"/>
        <w:ind w:left="0" w:leftChars="0" w:firstLine="437"/>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（6）图纸（如有另附）；</w:t>
      </w:r>
    </w:p>
    <w:p w14:paraId="69101874">
      <w:pPr>
        <w:pageBreakBefore w:val="0"/>
        <w:widowControl w:val="0"/>
        <w:tabs>
          <w:tab w:val="left" w:pos="2190"/>
        </w:tabs>
        <w:kinsoku/>
        <w:wordWrap/>
        <w:overflowPunct/>
        <w:topLinePunct w:val="0"/>
        <w:autoSpaceDE/>
        <w:autoSpaceDN/>
        <w:bidi w:val="0"/>
        <w:adjustRightInd/>
        <w:spacing w:line="360" w:lineRule="auto"/>
        <w:ind w:left="0" w:leftChars="0" w:firstLine="437"/>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（7）技术标准；</w:t>
      </w:r>
    </w:p>
    <w:p w14:paraId="55C88972">
      <w:pPr>
        <w:pageBreakBefore w:val="0"/>
        <w:widowControl w:val="0"/>
        <w:tabs>
          <w:tab w:val="left" w:pos="2190"/>
        </w:tabs>
        <w:kinsoku/>
        <w:wordWrap/>
        <w:overflowPunct/>
        <w:topLinePunct w:val="0"/>
        <w:autoSpaceDE/>
        <w:autoSpaceDN/>
        <w:bidi w:val="0"/>
        <w:adjustRightInd/>
        <w:spacing w:line="360" w:lineRule="auto"/>
        <w:ind w:left="0" w:leftChars="0" w:firstLine="437"/>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（8）响应文件（格式）。</w:t>
      </w:r>
    </w:p>
    <w:p w14:paraId="37BC192E">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bookmarkStart w:id="129" w:name="_Toc9103"/>
      <w:bookmarkStart w:id="130" w:name="_Toc4068"/>
      <w:bookmarkStart w:id="131" w:name="_Toc5939"/>
      <w:r>
        <w:rPr>
          <w:rFonts w:hint="eastAsia" w:ascii="宋体" w:hAnsi="宋体" w:eastAsia="宋体" w:cs="宋体"/>
          <w:color w:val="000000"/>
          <w:sz w:val="21"/>
          <w:szCs w:val="21"/>
          <w:highlight w:val="none"/>
          <w:shd w:val="clear" w:color="auto" w:fill="auto"/>
        </w:rPr>
        <w:t>10. 磋商文件的澄清与修改</w:t>
      </w:r>
      <w:bookmarkEnd w:id="129"/>
      <w:bookmarkEnd w:id="130"/>
      <w:bookmarkEnd w:id="131"/>
    </w:p>
    <w:p w14:paraId="1B8F1D57">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10.1 提交首次响应文件截止之日前，采购代理机构可以对已发出的磋商文件进行必要澄清、答复、修改或补充，澄清或者修改的内容可能影响响应文件编制的，澄清或者修改的内容作为磋商文件的组成部分。采购代理机构应当在提交首次响应文件递交截止时间五日前在本项目竞争性磋商公告发布的同一媒体上发布更正公告，不足五日的，应当顺延首次响应文件递交截止时间。</w:t>
      </w:r>
    </w:p>
    <w:p w14:paraId="5B13E7C5">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eastAsia="宋体" w:cs="宋体"/>
          <w:b/>
          <w:bCs/>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10.2</w:t>
      </w:r>
      <w:r>
        <w:rPr>
          <w:rFonts w:hint="eastAsia" w:ascii="宋体" w:hAnsi="宋体" w:eastAsia="宋体" w:cs="宋体"/>
          <w:b/>
          <w:bCs/>
          <w:color w:val="000000"/>
          <w:sz w:val="21"/>
          <w:szCs w:val="21"/>
          <w:highlight w:val="none"/>
          <w:shd w:val="clear" w:color="auto" w:fill="auto"/>
        </w:rPr>
        <w:t>供应商应实时关注本项目信息公告发布媒体相关网站了解澄清、修改等与项目有关的内容，如因供应商未及时登录相关网站了解澄清、修改等与项目有关的内容，从而导致响应文件无效的，由供应商自行承担责任。</w:t>
      </w:r>
    </w:p>
    <w:p w14:paraId="175EA1A7">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10.3澄清或者修改的内容为磋商文件的组成部分。当澄清或者修改通知就同一内容的表述不一致</w:t>
      </w:r>
    </w:p>
    <w:p w14:paraId="0210F40D">
      <w:pPr>
        <w:pageBreakBefore w:val="0"/>
        <w:widowControl w:val="0"/>
        <w:kinsoku/>
        <w:wordWrap/>
        <w:overflowPunct/>
        <w:topLinePunct w:val="0"/>
        <w:autoSpaceDE/>
        <w:autoSpaceDN/>
        <w:bidi w:val="0"/>
        <w:adjustRightInd/>
        <w:spacing w:line="360" w:lineRule="auto"/>
        <w:ind w:left="0" w:leftChars="0"/>
        <w:jc w:val="left"/>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时，以最后发出的文件为准。</w:t>
      </w:r>
    </w:p>
    <w:p w14:paraId="70C6CAE0">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10.4 磋商文件的澄清或者修改都应该通过本项目采购代理机构以法定形式发布，采购人非通过本</w:t>
      </w:r>
    </w:p>
    <w:p w14:paraId="07DFB20F">
      <w:pPr>
        <w:pageBreakBefore w:val="0"/>
        <w:widowControl w:val="0"/>
        <w:kinsoku/>
        <w:wordWrap/>
        <w:overflowPunct/>
        <w:topLinePunct w:val="0"/>
        <w:autoSpaceDE/>
        <w:autoSpaceDN/>
        <w:bidi w:val="0"/>
        <w:adjustRightInd/>
        <w:spacing w:line="360" w:lineRule="auto"/>
        <w:ind w:left="0" w:leftChars="0"/>
        <w:jc w:val="left"/>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机构，不得擅自澄清或者修改磋商文件。</w:t>
      </w:r>
    </w:p>
    <w:p w14:paraId="2455965A">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10.5采购单位可以视采购具体情况，延长响应文件截止时间和磋商时间，在本项目竞争性磋商公</w:t>
      </w:r>
    </w:p>
    <w:p w14:paraId="4BE5C164">
      <w:pPr>
        <w:pageBreakBefore w:val="0"/>
        <w:widowControl w:val="0"/>
        <w:kinsoku/>
        <w:wordWrap/>
        <w:overflowPunct/>
        <w:topLinePunct w:val="0"/>
        <w:autoSpaceDE/>
        <w:autoSpaceDN/>
        <w:bidi w:val="0"/>
        <w:adjustRightInd/>
        <w:spacing w:line="360" w:lineRule="auto"/>
        <w:ind w:left="0" w:leftChars="0"/>
        <w:jc w:val="left"/>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告发布的同一媒体上发布变更公告。</w:t>
      </w:r>
    </w:p>
    <w:p w14:paraId="29B2E739">
      <w:pPr>
        <w:pageBreakBefore w:val="0"/>
        <w:widowControl w:val="0"/>
        <w:kinsoku/>
        <w:wordWrap/>
        <w:overflowPunct/>
        <w:topLinePunct w:val="0"/>
        <w:autoSpaceDE/>
        <w:autoSpaceDN/>
        <w:bidi w:val="0"/>
        <w:adjustRightInd/>
        <w:spacing w:line="360" w:lineRule="auto"/>
        <w:ind w:left="0" w:leftChars="0"/>
        <w:jc w:val="center"/>
        <w:textAlignment w:val="auto"/>
        <w:outlineLvl w:val="1"/>
        <w:rPr>
          <w:rFonts w:hint="eastAsia" w:ascii="宋体" w:hAnsi="宋体" w:eastAsia="宋体" w:cs="宋体"/>
          <w:b/>
          <w:bCs/>
          <w:color w:val="000000"/>
          <w:sz w:val="21"/>
          <w:szCs w:val="21"/>
          <w:highlight w:val="none"/>
          <w:shd w:val="clear" w:color="auto" w:fill="auto"/>
        </w:rPr>
      </w:pPr>
      <w:bookmarkStart w:id="132" w:name="_Toc20830"/>
      <w:bookmarkStart w:id="133" w:name="_Toc31896"/>
      <w:bookmarkStart w:id="134" w:name="_Toc18223"/>
      <w:r>
        <w:rPr>
          <w:rFonts w:hint="eastAsia" w:ascii="宋体" w:hAnsi="宋体" w:eastAsia="宋体" w:cs="宋体"/>
          <w:b/>
          <w:bCs/>
          <w:color w:val="000000"/>
          <w:sz w:val="21"/>
          <w:szCs w:val="21"/>
          <w:highlight w:val="none"/>
          <w:shd w:val="clear" w:color="auto" w:fill="auto"/>
        </w:rPr>
        <w:t>三、竞争性磋商响应文件的编制</w:t>
      </w:r>
      <w:bookmarkEnd w:id="132"/>
      <w:bookmarkEnd w:id="133"/>
      <w:bookmarkEnd w:id="134"/>
    </w:p>
    <w:p w14:paraId="17398647">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bookmarkStart w:id="135" w:name="_Toc13470"/>
      <w:bookmarkStart w:id="136" w:name="_Toc2889"/>
      <w:r>
        <w:rPr>
          <w:rFonts w:hint="eastAsia" w:ascii="宋体" w:hAnsi="宋体" w:eastAsia="宋体" w:cs="宋体"/>
          <w:color w:val="000000"/>
          <w:sz w:val="21"/>
          <w:szCs w:val="21"/>
          <w:highlight w:val="none"/>
          <w:shd w:val="clear" w:color="auto" w:fill="auto"/>
        </w:rPr>
        <w:t>11.竞争性磋商响应文件编制基本要求</w:t>
      </w:r>
      <w:bookmarkEnd w:id="135"/>
      <w:bookmarkEnd w:id="136"/>
    </w:p>
    <w:p w14:paraId="11A6BD89">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bCs/>
          <w:color w:val="000000"/>
          <w:sz w:val="21"/>
          <w:szCs w:val="21"/>
          <w:highlight w:val="none"/>
          <w:shd w:val="clear" w:color="auto" w:fill="auto"/>
        </w:rPr>
      </w:pPr>
      <w:r>
        <w:rPr>
          <w:rFonts w:hint="eastAsia" w:ascii="宋体" w:hAnsi="宋体" w:eastAsia="宋体" w:cs="宋体"/>
          <w:b/>
          <w:bCs/>
          <w:color w:val="000000"/>
          <w:sz w:val="21"/>
          <w:szCs w:val="21"/>
          <w:highlight w:val="none"/>
          <w:shd w:val="clear" w:color="auto" w:fill="auto"/>
        </w:rPr>
        <w:t>11.1 本项目实行电子响应，供应商应准备电子磋商响应文件：</w:t>
      </w:r>
    </w:p>
    <w:p w14:paraId="4B085B64">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bCs/>
          <w:color w:val="000000"/>
          <w:sz w:val="21"/>
          <w:szCs w:val="21"/>
          <w:highlight w:val="none"/>
          <w:shd w:val="clear" w:color="auto" w:fill="auto"/>
        </w:rPr>
      </w:pPr>
      <w:r>
        <w:rPr>
          <w:rFonts w:hint="eastAsia" w:ascii="宋体" w:hAnsi="宋体" w:eastAsia="宋体" w:cs="宋体"/>
          <w:b/>
          <w:bCs/>
          <w:color w:val="000000"/>
          <w:sz w:val="21"/>
          <w:szCs w:val="21"/>
          <w:highlight w:val="none"/>
          <w:shd w:val="clear" w:color="auto" w:fill="auto"/>
        </w:rPr>
        <w:t>11.1.1 电子响应文件按</w:t>
      </w:r>
      <w:r>
        <w:rPr>
          <w:rFonts w:hint="eastAsia" w:ascii="宋体" w:hAnsi="宋体" w:eastAsia="宋体" w:cs="宋体"/>
          <w:b/>
          <w:bCs/>
          <w:color w:val="000000"/>
          <w:sz w:val="21"/>
          <w:szCs w:val="21"/>
          <w:highlight w:val="none"/>
          <w:shd w:val="clear" w:color="auto" w:fill="auto"/>
          <w:lang w:eastAsia="zh-CN"/>
        </w:rPr>
        <w:t>广西政府采购云平台</w:t>
      </w:r>
      <w:r>
        <w:rPr>
          <w:rFonts w:hint="eastAsia" w:ascii="宋体" w:hAnsi="宋体" w:eastAsia="宋体" w:cs="宋体"/>
          <w:b/>
          <w:bCs/>
          <w:color w:val="000000"/>
          <w:sz w:val="21"/>
          <w:szCs w:val="21"/>
          <w:highlight w:val="none"/>
          <w:shd w:val="clear" w:color="auto" w:fill="auto"/>
        </w:rPr>
        <w:t>要求及本磋商文件要求制作、加密并递交。具体操作流程可参考《政府采购项目电子交易管理操作指南-供应商》，指南可在广西政府采购网（访问地址http://zfcg.gxzf.gov.cn/）—办事服务—下载专区下载。</w:t>
      </w:r>
    </w:p>
    <w:p w14:paraId="49DEA317">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bCs/>
          <w:color w:val="000000"/>
          <w:sz w:val="21"/>
          <w:szCs w:val="21"/>
          <w:highlight w:val="none"/>
          <w:shd w:val="clear" w:color="auto" w:fill="auto"/>
        </w:rPr>
      </w:pPr>
      <w:r>
        <w:rPr>
          <w:rFonts w:hint="eastAsia" w:ascii="宋体" w:hAnsi="宋体" w:eastAsia="宋体" w:cs="宋体"/>
          <w:b/>
          <w:bCs/>
          <w:color w:val="000000"/>
          <w:sz w:val="21"/>
          <w:szCs w:val="21"/>
          <w:highlight w:val="none"/>
          <w:shd w:val="clear" w:color="auto" w:fill="auto"/>
        </w:rPr>
        <w:t>11.2竞争性磋商响应文件（以下简称响应文件）的组成及要求</w:t>
      </w:r>
    </w:p>
    <w:p w14:paraId="71E0E26C">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bCs/>
          <w:color w:val="000000"/>
          <w:sz w:val="21"/>
          <w:szCs w:val="21"/>
          <w:highlight w:val="none"/>
          <w:shd w:val="clear" w:color="auto" w:fill="auto"/>
        </w:rPr>
      </w:pPr>
      <w:r>
        <w:rPr>
          <w:rFonts w:hint="eastAsia" w:ascii="宋体" w:hAnsi="宋体" w:eastAsia="宋体" w:cs="宋体"/>
          <w:b/>
          <w:bCs/>
          <w:color w:val="000000"/>
          <w:sz w:val="21"/>
          <w:szCs w:val="21"/>
          <w:highlight w:val="none"/>
          <w:shd w:val="clear" w:color="auto" w:fill="auto"/>
        </w:rPr>
        <w:t>11.2.1响应文件组成【格式见第八章“响应文件（格式）”】</w:t>
      </w:r>
    </w:p>
    <w:p w14:paraId="7994C016">
      <w:pPr>
        <w:pageBreakBefore w:val="0"/>
        <w:widowControl w:val="0"/>
        <w:kinsoku/>
        <w:wordWrap/>
        <w:overflowPunct/>
        <w:topLinePunct w:val="0"/>
        <w:autoSpaceDE/>
        <w:autoSpaceDN/>
        <w:bidi w:val="0"/>
        <w:adjustRightInd/>
        <w:spacing w:line="360" w:lineRule="auto"/>
        <w:ind w:left="0" w:leftChars="0" w:firstLine="200"/>
        <w:textAlignment w:val="auto"/>
        <w:rPr>
          <w:rFonts w:hint="eastAsia" w:ascii="宋体" w:hAnsi="宋体" w:eastAsia="宋体" w:cs="宋体"/>
          <w:b/>
          <w:bCs/>
          <w:color w:val="000000"/>
          <w:kern w:val="0"/>
          <w:sz w:val="21"/>
          <w:szCs w:val="21"/>
          <w:highlight w:val="none"/>
          <w:shd w:val="clear" w:color="auto" w:fill="auto"/>
        </w:rPr>
      </w:pPr>
      <w:r>
        <w:rPr>
          <w:rFonts w:hint="eastAsia" w:ascii="宋体" w:hAnsi="宋体" w:eastAsia="宋体" w:cs="宋体"/>
          <w:b/>
          <w:bCs/>
          <w:color w:val="000000"/>
          <w:kern w:val="0"/>
          <w:sz w:val="21"/>
          <w:szCs w:val="21"/>
          <w:highlight w:val="none"/>
          <w:shd w:val="clear" w:color="auto" w:fill="auto"/>
        </w:rPr>
        <w:t>11.2.1.1资格性响应证明材料：</w:t>
      </w:r>
    </w:p>
    <w:p w14:paraId="54EB4EAF">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1、供应商基本情况表（必须提供）；</w:t>
      </w:r>
    </w:p>
    <w:p w14:paraId="39702BA2">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2、法定代表人身份证明（必须提供）附：供应商相应的法定代表人、负责人、自然人身份证正反两面复印件；</w:t>
      </w:r>
    </w:p>
    <w:p w14:paraId="4BEF12C5">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3、供应商的授权委托书原件、委托代理人身份证正反面复印件（委托代理时必须提供）</w:t>
      </w:r>
    </w:p>
    <w:p w14:paraId="23D01DC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4、供应商参加政府采购活动前3年内在经营活动中没有重大违法记录及有关信用信息的书面声明（必须提供）；</w:t>
      </w:r>
    </w:p>
    <w:p w14:paraId="36CED742">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5、供应商的法人或者其他组织营业执照等证明文件复印件（必须提供）；</w:t>
      </w:r>
    </w:p>
    <w:p w14:paraId="5DB9747F">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bCs/>
          <w:color w:val="000000"/>
          <w:sz w:val="21"/>
          <w:szCs w:val="21"/>
          <w:highlight w:val="none"/>
          <w:shd w:val="clear" w:color="auto" w:fill="auto"/>
        </w:rPr>
      </w:pPr>
      <w:r>
        <w:rPr>
          <w:rFonts w:hint="eastAsia" w:ascii="宋体" w:hAnsi="宋体" w:eastAsia="宋体" w:cs="宋体"/>
          <w:bCs/>
          <w:color w:val="000000"/>
          <w:sz w:val="21"/>
          <w:szCs w:val="21"/>
          <w:highlight w:val="none"/>
          <w:shd w:val="clear" w:color="auto" w:fill="auto"/>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0522404E">
      <w:pPr>
        <w:pStyle w:val="16"/>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b/>
          <w:bCs/>
          <w:color w:val="000000"/>
          <w:sz w:val="21"/>
          <w:szCs w:val="21"/>
          <w:highlight w:val="none"/>
          <w:shd w:val="clear" w:color="auto" w:fill="auto"/>
        </w:rPr>
        <w:t>6、中小</w:t>
      </w:r>
      <w:r>
        <w:rPr>
          <w:rFonts w:hint="eastAsia" w:ascii="宋体" w:hAnsi="宋体" w:eastAsia="宋体" w:cs="宋体"/>
          <w:b/>
          <w:bCs/>
          <w:color w:val="000000"/>
          <w:sz w:val="21"/>
          <w:szCs w:val="21"/>
          <w:highlight w:val="none"/>
          <w:shd w:val="clear" w:color="auto" w:fill="auto"/>
          <w:lang w:eastAsia="zh-CN"/>
        </w:rPr>
        <w:t>企业或监狱企业或残疾人福利性单位的证明材料</w:t>
      </w:r>
      <w:r>
        <w:rPr>
          <w:rFonts w:hint="eastAsia" w:ascii="宋体" w:hAnsi="宋体" w:eastAsia="宋体" w:cs="宋体"/>
          <w:b/>
          <w:bCs/>
          <w:color w:val="000000"/>
          <w:sz w:val="21"/>
          <w:szCs w:val="21"/>
          <w:highlight w:val="none"/>
          <w:shd w:val="clear" w:color="auto" w:fill="auto"/>
        </w:rPr>
        <w:t>（必须提供）</w:t>
      </w:r>
      <w:r>
        <w:rPr>
          <w:rFonts w:hint="eastAsia" w:ascii="宋体" w:hAnsi="宋体" w:eastAsia="宋体" w:cs="宋体"/>
          <w:color w:val="000000"/>
          <w:sz w:val="21"/>
          <w:szCs w:val="21"/>
          <w:highlight w:val="none"/>
          <w:shd w:val="clear" w:color="auto" w:fill="auto"/>
        </w:rPr>
        <w:t>【①如属于中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②如属于监狱企业的，应当提供由省级以上监狱管理局、戒毒管理局(含新疆生产建设兵团)出具的属于监狱企业的证明文件复印件；③如符合条件的残疾人福利性单位在参加政府采购活动时，应当提供《残疾人福利性单位声明函》（格式见附件），并对声明的真实性负责】；</w:t>
      </w:r>
    </w:p>
    <w:p w14:paraId="547D2454">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7、供应商有效的资质证书复印件和安全生产许可证复印件（必须提供）；</w:t>
      </w:r>
    </w:p>
    <w:p w14:paraId="54CBFD7D">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lang w:val="en-US" w:eastAsia="zh-CN"/>
        </w:rPr>
        <w:t>8</w:t>
      </w:r>
      <w:r>
        <w:rPr>
          <w:rFonts w:hint="eastAsia" w:ascii="宋体" w:hAnsi="宋体" w:eastAsia="宋体" w:cs="宋体"/>
          <w:color w:val="000000"/>
          <w:kern w:val="0"/>
          <w:sz w:val="21"/>
          <w:szCs w:val="21"/>
          <w:highlight w:val="none"/>
          <w:shd w:val="clear" w:color="auto" w:fill="auto"/>
        </w:rPr>
        <w:t>、项目经理的注册建造师注册证书复印件、安全生产考核合格证书复印件（B类）（必须提供）；</w:t>
      </w:r>
    </w:p>
    <w:p w14:paraId="04C50627">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lang w:val="en-US" w:eastAsia="zh-CN"/>
        </w:rPr>
        <w:t>9</w:t>
      </w:r>
      <w:r>
        <w:rPr>
          <w:rFonts w:hint="eastAsia" w:ascii="宋体" w:hAnsi="宋体" w:eastAsia="宋体" w:cs="宋体"/>
          <w:color w:val="000000"/>
          <w:kern w:val="0"/>
          <w:sz w:val="21"/>
          <w:szCs w:val="21"/>
          <w:highlight w:val="none"/>
          <w:shd w:val="clear" w:color="auto" w:fill="auto"/>
        </w:rPr>
        <w:t>、项目管理机构配备情况表（必须提供）；</w:t>
      </w:r>
      <w:r>
        <w:rPr>
          <w:rFonts w:hint="eastAsia" w:ascii="宋体" w:hAnsi="宋体" w:eastAsia="宋体" w:cs="宋体"/>
          <w:color w:val="000000"/>
          <w:kern w:val="0"/>
          <w:sz w:val="21"/>
          <w:szCs w:val="21"/>
          <w:highlight w:val="none"/>
          <w:shd w:val="clear" w:color="auto" w:fill="auto"/>
        </w:rPr>
        <w:tab/>
      </w:r>
    </w:p>
    <w:p w14:paraId="138B22B9">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bCs/>
          <w:color w:val="000000"/>
          <w:kern w:val="0"/>
          <w:sz w:val="21"/>
          <w:szCs w:val="21"/>
          <w:highlight w:val="none"/>
          <w:shd w:val="clear" w:color="auto" w:fill="auto"/>
        </w:rPr>
      </w:pPr>
      <w:r>
        <w:rPr>
          <w:rFonts w:hint="eastAsia" w:ascii="宋体" w:hAnsi="宋体" w:eastAsia="宋体" w:cs="宋体"/>
          <w:b/>
          <w:bCs/>
          <w:color w:val="000000"/>
          <w:kern w:val="0"/>
          <w:sz w:val="21"/>
          <w:szCs w:val="21"/>
          <w:highlight w:val="none"/>
          <w:shd w:val="clear" w:color="auto" w:fill="auto"/>
        </w:rPr>
        <w:t>11.2.1.2符合性响应证明材料：</w:t>
      </w:r>
    </w:p>
    <w:p w14:paraId="3AE58D17">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1、响应函及响应函附录（必须提供）；</w:t>
      </w:r>
    </w:p>
    <w:p w14:paraId="66374D55">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2、已标价工程量清单（必须提供）；</w:t>
      </w:r>
      <w:r>
        <w:rPr>
          <w:rFonts w:hint="eastAsia" w:ascii="宋体" w:hAnsi="宋体" w:eastAsia="宋体" w:cs="宋体"/>
          <w:color w:val="000000"/>
          <w:kern w:val="0"/>
          <w:sz w:val="21"/>
          <w:szCs w:val="21"/>
          <w:highlight w:val="none"/>
          <w:shd w:val="clear" w:color="auto" w:fill="auto"/>
        </w:rPr>
        <w:tab/>
      </w:r>
    </w:p>
    <w:p w14:paraId="5E0F63E5">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lang w:val="en-US" w:eastAsia="zh-CN"/>
        </w:rPr>
        <w:t>3</w:t>
      </w:r>
      <w:r>
        <w:rPr>
          <w:rFonts w:hint="eastAsia" w:ascii="宋体" w:hAnsi="宋体" w:eastAsia="宋体" w:cs="宋体"/>
          <w:color w:val="000000"/>
          <w:kern w:val="0"/>
          <w:sz w:val="21"/>
          <w:szCs w:val="21"/>
          <w:highlight w:val="none"/>
          <w:shd w:val="clear" w:color="auto" w:fill="auto"/>
        </w:rPr>
        <w:t>、农民工工资保证金的交纳与使用承诺书（必须提供）；</w:t>
      </w:r>
    </w:p>
    <w:p w14:paraId="394EB5A1">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lang w:val="en-US" w:eastAsia="zh-CN"/>
        </w:rPr>
        <w:t>4</w:t>
      </w:r>
      <w:r>
        <w:rPr>
          <w:rFonts w:hint="eastAsia" w:ascii="宋体" w:hAnsi="宋体" w:eastAsia="宋体" w:cs="宋体"/>
          <w:color w:val="000000"/>
          <w:kern w:val="0"/>
          <w:sz w:val="21"/>
          <w:szCs w:val="21"/>
          <w:highlight w:val="none"/>
          <w:shd w:val="clear" w:color="auto" w:fill="auto"/>
        </w:rPr>
        <w:t>、工程渣土清运承诺书（必须提供）；</w:t>
      </w:r>
    </w:p>
    <w:p w14:paraId="49123560">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lang w:val="en-US" w:eastAsia="zh-CN"/>
        </w:rPr>
        <w:t>5</w:t>
      </w:r>
      <w:r>
        <w:rPr>
          <w:rFonts w:hint="eastAsia" w:ascii="宋体" w:hAnsi="宋体" w:eastAsia="宋体" w:cs="宋体"/>
          <w:color w:val="000000"/>
          <w:kern w:val="0"/>
          <w:sz w:val="21"/>
          <w:szCs w:val="21"/>
          <w:highlight w:val="none"/>
          <w:shd w:val="clear" w:color="auto" w:fill="auto"/>
        </w:rPr>
        <w:t>、施工组织设计（如有，请提供）；</w:t>
      </w:r>
      <w:r>
        <w:rPr>
          <w:rFonts w:hint="eastAsia" w:ascii="宋体" w:hAnsi="宋体" w:eastAsia="宋体" w:cs="宋体"/>
          <w:color w:val="000000"/>
          <w:kern w:val="0"/>
          <w:sz w:val="21"/>
          <w:szCs w:val="21"/>
          <w:highlight w:val="none"/>
          <w:shd w:val="clear" w:color="auto" w:fill="auto"/>
        </w:rPr>
        <w:tab/>
      </w:r>
    </w:p>
    <w:p w14:paraId="15810AE2">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lang w:val="en-US" w:eastAsia="zh-CN"/>
        </w:rPr>
        <w:t>6</w:t>
      </w:r>
      <w:r>
        <w:rPr>
          <w:rFonts w:hint="eastAsia" w:ascii="宋体" w:hAnsi="宋体" w:eastAsia="宋体" w:cs="宋体"/>
          <w:color w:val="000000"/>
          <w:kern w:val="0"/>
          <w:sz w:val="21"/>
          <w:szCs w:val="21"/>
          <w:highlight w:val="none"/>
          <w:shd w:val="clear" w:color="auto" w:fill="auto"/>
        </w:rPr>
        <w:t>、供应商可结合本项目的评审办法视自身情况自行提交其它相关证明材料（如有，请提供）。</w:t>
      </w:r>
      <w:r>
        <w:rPr>
          <w:rFonts w:hint="eastAsia" w:ascii="宋体" w:hAnsi="宋体" w:eastAsia="宋体" w:cs="宋体"/>
          <w:color w:val="000000"/>
          <w:kern w:val="0"/>
          <w:sz w:val="21"/>
          <w:szCs w:val="21"/>
          <w:highlight w:val="none"/>
          <w:shd w:val="clear" w:color="auto" w:fill="auto"/>
        </w:rPr>
        <w:tab/>
      </w:r>
    </w:p>
    <w:p w14:paraId="24279AE1">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b/>
          <w:bCs/>
          <w:color w:val="000000"/>
          <w:sz w:val="21"/>
          <w:szCs w:val="21"/>
          <w:highlight w:val="none"/>
          <w:shd w:val="clear" w:color="auto" w:fill="auto"/>
        </w:rPr>
        <w:t>供应商提供的以上相关证明材料属于“必须提供”的文件应加盖磋商供应商公章（CA签章）/自然人签字或个人CA签章，否则响应无效。</w:t>
      </w:r>
    </w:p>
    <w:p w14:paraId="51676200">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11.3 供应商应按竞争性磋商文件第八章“响应文件（格式）”编制响应文件。</w:t>
      </w:r>
    </w:p>
    <w:p w14:paraId="05015235">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bCs/>
          <w:color w:val="000000"/>
          <w:sz w:val="21"/>
          <w:szCs w:val="21"/>
          <w:highlight w:val="none"/>
          <w:shd w:val="clear" w:color="auto" w:fill="auto"/>
        </w:rPr>
      </w:pPr>
      <w:r>
        <w:rPr>
          <w:rFonts w:hint="eastAsia" w:ascii="宋体" w:hAnsi="宋体" w:eastAsia="宋体" w:cs="宋体"/>
          <w:b/>
          <w:bCs/>
          <w:color w:val="000000"/>
          <w:sz w:val="21"/>
          <w:szCs w:val="21"/>
          <w:highlight w:val="none"/>
          <w:shd w:val="clear" w:color="auto" w:fill="auto"/>
        </w:rPr>
        <w:t>特别说明：</w:t>
      </w:r>
    </w:p>
    <w:p w14:paraId="272B5E37">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color w:val="000000"/>
          <w:sz w:val="21"/>
          <w:szCs w:val="21"/>
          <w:highlight w:val="none"/>
          <w:shd w:val="clear" w:color="auto" w:fill="auto"/>
        </w:rPr>
      </w:pPr>
      <w:r>
        <w:rPr>
          <w:rFonts w:hint="eastAsia" w:ascii="宋体" w:hAnsi="宋体" w:eastAsia="宋体" w:cs="宋体"/>
          <w:b/>
          <w:bCs/>
          <w:color w:val="000000"/>
          <w:sz w:val="21"/>
          <w:szCs w:val="21"/>
          <w:highlight w:val="none"/>
          <w:shd w:val="clear" w:color="auto" w:fill="auto"/>
        </w:rPr>
        <w:t>（1）响</w:t>
      </w:r>
      <w:r>
        <w:rPr>
          <w:rFonts w:hint="eastAsia" w:ascii="宋体" w:hAnsi="宋体" w:eastAsia="宋体" w:cs="宋体"/>
          <w:b/>
          <w:color w:val="000000"/>
          <w:sz w:val="21"/>
          <w:szCs w:val="21"/>
          <w:highlight w:val="none"/>
          <w:shd w:val="clear" w:color="auto" w:fill="auto"/>
        </w:rPr>
        <w:t>应文件（电子响应文件），其中电子响应文件中所须加盖公章部分均采用CA签章。若磋商文件中有专门标注的某关联点，并要求供应商在电子响应系统中作出磋商响应的，如供应商未对关联点进行响应或者在响应文件其它内容进行描述，造成电子评审不能查询的责任由供应商自行承担。</w:t>
      </w:r>
    </w:p>
    <w:p w14:paraId="7D360614">
      <w:pPr>
        <w:pageBreakBefore w:val="0"/>
        <w:widowControl w:val="0"/>
        <w:numPr>
          <w:ilvl w:val="0"/>
          <w:numId w:val="1"/>
        </w:numPr>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color w:val="000000"/>
          <w:sz w:val="21"/>
          <w:szCs w:val="21"/>
          <w:highlight w:val="none"/>
          <w:shd w:val="clear" w:color="auto" w:fill="auto"/>
        </w:rPr>
      </w:pPr>
      <w:r>
        <w:rPr>
          <w:rFonts w:hint="eastAsia" w:ascii="宋体" w:hAnsi="宋体" w:eastAsia="宋体" w:cs="宋体"/>
          <w:b/>
          <w:bCs/>
          <w:color w:val="000000"/>
          <w:sz w:val="21"/>
          <w:szCs w:val="21"/>
          <w:highlight w:val="none"/>
          <w:shd w:val="clear" w:color="auto" w:fill="auto"/>
        </w:rPr>
        <w:t>磋商文件要求法定代表人（负责人）或委托代理人签字的部分必须签字然后扫描或者拍照做成.pdf格式上传（签字可以以加盖个人CA签章代替），无签字的视为响应无效。</w:t>
      </w:r>
    </w:p>
    <w:p w14:paraId="26ABA9FC">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bookmarkStart w:id="137" w:name="_Toc13916"/>
      <w:bookmarkStart w:id="138" w:name="_Toc2180"/>
      <w:bookmarkStart w:id="139" w:name="_Toc20919"/>
      <w:r>
        <w:rPr>
          <w:rFonts w:hint="eastAsia" w:ascii="宋体" w:hAnsi="宋体" w:eastAsia="宋体" w:cs="宋体"/>
          <w:color w:val="000000"/>
          <w:sz w:val="21"/>
          <w:szCs w:val="21"/>
          <w:highlight w:val="none"/>
          <w:shd w:val="clear" w:color="auto" w:fill="auto"/>
        </w:rPr>
        <w:t>12. 响应文件的语言及计量</w:t>
      </w:r>
      <w:bookmarkEnd w:id="137"/>
      <w:bookmarkEnd w:id="138"/>
      <w:bookmarkEnd w:id="139"/>
    </w:p>
    <w:p w14:paraId="24BAA0F6">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3B338DB4">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12.2 磋商计量单位，磋商文件已有明确规定的，使用磋商文件规定的计量单位；磋商文件没有规定的，应采用中华人民共和国法定计量单位（货币单位：人民币元），否则视同未响应。</w:t>
      </w:r>
    </w:p>
    <w:p w14:paraId="0FC90D29">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bookmarkStart w:id="140" w:name="_Toc5165"/>
      <w:bookmarkStart w:id="141" w:name="_Toc10838"/>
      <w:bookmarkStart w:id="142" w:name="_Toc19558"/>
      <w:r>
        <w:rPr>
          <w:rFonts w:hint="eastAsia" w:ascii="宋体" w:hAnsi="宋体" w:eastAsia="宋体" w:cs="宋体"/>
          <w:color w:val="000000"/>
          <w:sz w:val="21"/>
          <w:szCs w:val="21"/>
          <w:highlight w:val="none"/>
          <w:shd w:val="clear" w:color="auto" w:fill="auto"/>
        </w:rPr>
        <w:t>13. 磋商报价及采购预算金额</w:t>
      </w:r>
      <w:bookmarkEnd w:id="140"/>
      <w:bookmarkEnd w:id="141"/>
      <w:bookmarkEnd w:id="142"/>
      <w:bookmarkStart w:id="143" w:name="_Toc11881"/>
      <w:bookmarkStart w:id="144" w:name="_Toc26881"/>
      <w:bookmarkStart w:id="145" w:name="_Toc25020"/>
    </w:p>
    <w:p w14:paraId="0AC7FF2E">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sz w:val="21"/>
          <w:szCs w:val="21"/>
          <w:highlight w:val="none"/>
          <w:shd w:val="clear" w:color="auto" w:fill="auto"/>
        </w:rPr>
        <w:t xml:space="preserve">13.1 </w:t>
      </w:r>
      <w:r>
        <w:rPr>
          <w:rFonts w:hint="eastAsia" w:ascii="宋体" w:hAnsi="宋体" w:eastAsia="宋体" w:cs="宋体"/>
          <w:color w:val="000000"/>
          <w:kern w:val="0"/>
          <w:sz w:val="21"/>
          <w:szCs w:val="21"/>
          <w:highlight w:val="none"/>
          <w:shd w:val="clear" w:color="auto" w:fill="auto"/>
        </w:rPr>
        <w:t>本工程总造价</w:t>
      </w:r>
      <w:r>
        <w:rPr>
          <w:rFonts w:hint="eastAsia" w:ascii="宋体" w:hAnsi="宋体" w:eastAsia="宋体" w:cs="宋体"/>
          <w:color w:val="000000"/>
          <w:kern w:val="0"/>
          <w:sz w:val="21"/>
          <w:szCs w:val="21"/>
          <w:highlight w:val="none"/>
          <w:shd w:val="clear" w:color="auto" w:fill="auto"/>
          <w:lang w:eastAsia="zh-CN"/>
        </w:rPr>
        <w:t>：</w:t>
      </w:r>
      <w:r>
        <w:rPr>
          <w:rFonts w:hint="eastAsia" w:ascii="宋体" w:hAnsi="宋体" w:eastAsia="宋体" w:cs="宋体"/>
          <w:b w:val="0"/>
          <w:color w:val="000000"/>
          <w:sz w:val="21"/>
          <w:szCs w:val="21"/>
          <w:highlight w:val="none"/>
          <w:shd w:val="clear" w:color="auto" w:fill="auto"/>
        </w:rPr>
        <w:t>详见供应商须知前附表</w:t>
      </w:r>
      <w:r>
        <w:rPr>
          <w:rFonts w:hint="eastAsia" w:ascii="宋体" w:hAnsi="宋体" w:eastAsia="宋体" w:cs="宋体"/>
          <w:color w:val="000000"/>
          <w:kern w:val="0"/>
          <w:sz w:val="21"/>
          <w:szCs w:val="21"/>
          <w:highlight w:val="none"/>
          <w:shd w:val="clear" w:color="auto" w:fill="auto"/>
        </w:rPr>
        <w:t>。</w:t>
      </w:r>
    </w:p>
    <w:p w14:paraId="1F9EBB5F">
      <w:pPr>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 xml:space="preserve">    本工程最高磋商限价</w:t>
      </w:r>
      <w:r>
        <w:rPr>
          <w:rFonts w:hint="eastAsia" w:ascii="宋体" w:hAnsi="宋体" w:eastAsia="宋体" w:cs="宋体"/>
          <w:b w:val="0"/>
          <w:color w:val="000000"/>
          <w:sz w:val="21"/>
          <w:szCs w:val="21"/>
          <w:highlight w:val="none"/>
          <w:shd w:val="clear" w:color="auto" w:fill="auto"/>
        </w:rPr>
        <w:t>详见供应商须知前附表</w:t>
      </w:r>
      <w:r>
        <w:rPr>
          <w:rFonts w:hint="eastAsia" w:ascii="宋体" w:hAnsi="宋体" w:eastAsia="宋体" w:cs="宋体"/>
          <w:color w:val="000000"/>
          <w:kern w:val="0"/>
          <w:sz w:val="21"/>
          <w:szCs w:val="21"/>
          <w:highlight w:val="none"/>
          <w:shd w:val="clear" w:color="auto" w:fill="auto"/>
        </w:rPr>
        <w:t>。</w:t>
      </w:r>
    </w:p>
    <w:p w14:paraId="47902C19">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13.2供应商必须就“工程量清单”中所有内容作完整报价，否则，其响应文件无效。</w:t>
      </w:r>
    </w:p>
    <w:p w14:paraId="3DFB4723">
      <w:pPr>
        <w:pageBreakBefore w:val="0"/>
        <w:widowControl w:val="0"/>
        <w:tabs>
          <w:tab w:val="left" w:pos="1305"/>
        </w:tabs>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13.3 供应商磋商报价应综合考虑工程总造价（包含提供本次工程范围的所有成本、税金、利润等），报价不得超出最高磋商总价限价。</w:t>
      </w:r>
    </w:p>
    <w:p w14:paraId="05AADA73">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13.4供应商应在规定时间内在</w:t>
      </w:r>
      <w:r>
        <w:rPr>
          <w:rFonts w:hint="eastAsia" w:ascii="宋体" w:hAnsi="宋体" w:eastAsia="宋体" w:cs="宋体"/>
          <w:color w:val="000000"/>
          <w:sz w:val="21"/>
          <w:szCs w:val="21"/>
          <w:highlight w:val="none"/>
          <w:shd w:val="clear" w:color="auto" w:fill="auto"/>
          <w:lang w:eastAsia="zh-CN"/>
        </w:rPr>
        <w:t>广西政府采购云平台</w:t>
      </w:r>
      <w:r>
        <w:rPr>
          <w:rFonts w:hint="eastAsia" w:ascii="宋体" w:hAnsi="宋体" w:eastAsia="宋体" w:cs="宋体"/>
          <w:color w:val="000000"/>
          <w:sz w:val="21"/>
          <w:szCs w:val="21"/>
          <w:highlight w:val="none"/>
          <w:shd w:val="clear" w:color="auto" w:fill="auto"/>
        </w:rPr>
        <w:t>系统上提交最后报价，超出磋商小组设定的最后报价时限或其最后报价超出最高限价导致已通过评审的响应文件无效的，按供应商在提交响应文件截止时间后撤回响应文件处理。</w:t>
      </w:r>
    </w:p>
    <w:p w14:paraId="7DB02406">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color w:val="000000"/>
          <w:kern w:val="0"/>
          <w:sz w:val="21"/>
          <w:szCs w:val="21"/>
          <w:highlight w:val="none"/>
          <w:shd w:val="clear" w:color="auto" w:fill="auto"/>
          <w:lang w:val="en-US" w:eastAsia="zh-CN" w:bidi="ar-SA"/>
        </w:rPr>
      </w:pPr>
      <w:r>
        <w:rPr>
          <w:rFonts w:hint="eastAsia" w:ascii="宋体" w:hAnsi="宋体" w:eastAsia="宋体" w:cs="宋体"/>
          <w:b/>
          <w:color w:val="000000"/>
          <w:kern w:val="0"/>
          <w:sz w:val="21"/>
          <w:szCs w:val="21"/>
          <w:highlight w:val="none"/>
          <w:shd w:val="clear" w:color="auto" w:fill="auto"/>
          <w:lang w:val="en-US" w:eastAsia="zh-CN" w:bidi="ar-SA"/>
        </w:rPr>
        <w:t xml:space="preserve">注：供应商的第二次磋商报价不得高于该供应商第一次磋商报价，否则做无效标处理。如供应商维持磋商报价不变，以原磋商报价作为供应商最后报价；如供应商需要改变原磋商报价时，供应商应预先准备好调整后的已标价的工程量清单（在提交最后报价时以附件形式上传）。如供应商在磋商过程中，改变原报价且未按竞争性磋商文件要求提供调整后的已标价的工程量清单，其报价不予认可，视供应商维持原磋商报价不变。 </w:t>
      </w:r>
    </w:p>
    <w:p w14:paraId="6E45D1B5">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14. 响应文件有效期</w:t>
      </w:r>
      <w:bookmarkEnd w:id="143"/>
      <w:bookmarkEnd w:id="144"/>
      <w:bookmarkEnd w:id="145"/>
    </w:p>
    <w:p w14:paraId="4857677A">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14.1 响应文件有效期：响应文件递交截止时间之日起90天，有效期不足的响应文件将被拒绝。</w:t>
      </w:r>
    </w:p>
    <w:p w14:paraId="2D613026">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14.2 出现特殊情况下，需要延长响应文件有效期的，采购代理机构书面通知供应商延长响应文件有效期。供应商同意延长的，但不能修改响应文件。供应商拒绝延长的，其响应文件无效。</w:t>
      </w:r>
    </w:p>
    <w:p w14:paraId="78D66A34">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bookmarkStart w:id="146" w:name="_Toc30637"/>
      <w:bookmarkStart w:id="147" w:name="_Toc22602"/>
      <w:bookmarkStart w:id="148" w:name="_Toc31274"/>
      <w:r>
        <w:rPr>
          <w:rFonts w:hint="eastAsia" w:ascii="宋体" w:hAnsi="宋体" w:eastAsia="宋体" w:cs="宋体"/>
          <w:color w:val="000000"/>
          <w:sz w:val="21"/>
          <w:szCs w:val="21"/>
          <w:highlight w:val="none"/>
          <w:shd w:val="clear" w:color="auto" w:fill="auto"/>
        </w:rPr>
        <w:t>15. 保证金</w:t>
      </w:r>
      <w:bookmarkEnd w:id="146"/>
      <w:bookmarkEnd w:id="147"/>
      <w:bookmarkEnd w:id="148"/>
    </w:p>
    <w:p w14:paraId="5A9481A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b/>
          <w:bCs/>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本项目无需交纳磋商保证金。</w:t>
      </w:r>
    </w:p>
    <w:p w14:paraId="2DF8E33A">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bookmarkStart w:id="149" w:name="_Toc387"/>
      <w:bookmarkStart w:id="150" w:name="_Toc26360"/>
      <w:bookmarkStart w:id="151" w:name="_Toc16814"/>
      <w:r>
        <w:rPr>
          <w:rFonts w:hint="eastAsia" w:ascii="宋体" w:hAnsi="宋体" w:eastAsia="宋体" w:cs="宋体"/>
          <w:color w:val="000000"/>
          <w:sz w:val="21"/>
          <w:szCs w:val="21"/>
          <w:highlight w:val="none"/>
          <w:shd w:val="clear" w:color="auto" w:fill="auto"/>
        </w:rPr>
        <w:t>16. 竞争性磋商响应文件的</w:t>
      </w:r>
      <w:bookmarkEnd w:id="149"/>
      <w:r>
        <w:rPr>
          <w:rFonts w:hint="eastAsia" w:ascii="宋体" w:hAnsi="宋体" w:eastAsia="宋体" w:cs="宋体"/>
          <w:color w:val="000000"/>
          <w:sz w:val="21"/>
          <w:szCs w:val="21"/>
          <w:highlight w:val="none"/>
          <w:shd w:val="clear" w:color="auto" w:fill="auto"/>
        </w:rPr>
        <w:t>制作</w:t>
      </w:r>
      <w:bookmarkEnd w:id="150"/>
      <w:bookmarkEnd w:id="151"/>
    </w:p>
    <w:p w14:paraId="34E9E3B1">
      <w:pPr>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宋体" w:hAnsi="宋体" w:eastAsia="宋体" w:cs="宋体"/>
          <w:bCs/>
          <w:color w:val="000000"/>
          <w:sz w:val="21"/>
          <w:szCs w:val="21"/>
          <w:highlight w:val="none"/>
          <w:shd w:val="clear" w:color="auto" w:fill="auto"/>
        </w:rPr>
      </w:pPr>
      <w:bookmarkStart w:id="152" w:name="_Toc26908"/>
      <w:bookmarkStart w:id="153" w:name="_Toc12"/>
      <w:r>
        <w:rPr>
          <w:rFonts w:hint="eastAsia" w:ascii="宋体" w:hAnsi="宋体" w:eastAsia="宋体" w:cs="宋体"/>
          <w:color w:val="000000"/>
          <w:kern w:val="0"/>
          <w:sz w:val="21"/>
          <w:szCs w:val="21"/>
          <w:highlight w:val="none"/>
          <w:shd w:val="clear" w:color="auto" w:fill="auto"/>
        </w:rPr>
        <w:t>16.1</w:t>
      </w:r>
      <w:r>
        <w:rPr>
          <w:rFonts w:hint="eastAsia" w:ascii="宋体" w:hAnsi="宋体" w:eastAsia="宋体" w:cs="宋体"/>
          <w:color w:val="000000"/>
          <w:sz w:val="21"/>
          <w:szCs w:val="21"/>
          <w:highlight w:val="none"/>
          <w:shd w:val="clear" w:color="auto" w:fill="auto"/>
        </w:rPr>
        <w:t>供应商制作电子响应文件前，</w:t>
      </w:r>
      <w:r>
        <w:rPr>
          <w:rFonts w:hint="eastAsia" w:ascii="宋体" w:hAnsi="宋体" w:eastAsia="宋体" w:cs="宋体"/>
          <w:bCs/>
          <w:color w:val="000000"/>
          <w:sz w:val="21"/>
          <w:szCs w:val="21"/>
          <w:highlight w:val="none"/>
          <w:shd w:val="clear" w:color="auto" w:fill="auto"/>
        </w:rPr>
        <w:t>应登陆“</w:t>
      </w:r>
      <w:r>
        <w:rPr>
          <w:rFonts w:hint="eastAsia" w:ascii="宋体" w:hAnsi="宋体" w:eastAsia="宋体" w:cs="宋体"/>
          <w:bCs/>
          <w:color w:val="000000"/>
          <w:sz w:val="21"/>
          <w:szCs w:val="21"/>
          <w:highlight w:val="none"/>
          <w:shd w:val="clear" w:color="auto" w:fill="auto"/>
          <w:lang w:eastAsia="zh-CN"/>
        </w:rPr>
        <w:t>广西政府采购云平台</w:t>
      </w:r>
      <w:r>
        <w:rPr>
          <w:rFonts w:hint="eastAsia" w:ascii="宋体" w:hAnsi="宋体" w:eastAsia="宋体" w:cs="宋体"/>
          <w:bCs/>
          <w:color w:val="000000"/>
          <w:sz w:val="21"/>
          <w:szCs w:val="21"/>
          <w:highlight w:val="none"/>
          <w:shd w:val="clear" w:color="auto" w:fill="auto"/>
        </w:rPr>
        <w:t>”进行“申请获取采购文件”操作，否则，有可能导致无法在线编制响应文件并参与磋商，其不利后果由供应商自行承担。</w:t>
      </w:r>
    </w:p>
    <w:p w14:paraId="28C95F45">
      <w:pPr>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宋体" w:hAnsi="宋体" w:eastAsia="宋体" w:cs="宋体"/>
          <w:bCs/>
          <w:color w:val="000000"/>
          <w:sz w:val="21"/>
          <w:szCs w:val="21"/>
          <w:highlight w:val="none"/>
          <w:shd w:val="clear" w:color="auto" w:fill="auto"/>
        </w:rPr>
      </w:pPr>
      <w:r>
        <w:rPr>
          <w:rFonts w:hint="eastAsia" w:ascii="宋体" w:hAnsi="宋体" w:eastAsia="宋体" w:cs="宋体"/>
          <w:bCs/>
          <w:color w:val="000000"/>
          <w:sz w:val="21"/>
          <w:szCs w:val="21"/>
          <w:highlight w:val="none"/>
          <w:shd w:val="clear" w:color="auto" w:fill="auto"/>
        </w:rPr>
        <w:t>16.2供应商下载或获取竞争性磋商文件后，登录“</w:t>
      </w:r>
      <w:r>
        <w:rPr>
          <w:rFonts w:hint="eastAsia" w:ascii="宋体" w:hAnsi="宋体" w:eastAsia="宋体" w:cs="宋体"/>
          <w:bCs/>
          <w:color w:val="000000"/>
          <w:sz w:val="21"/>
          <w:szCs w:val="21"/>
          <w:highlight w:val="none"/>
          <w:shd w:val="clear" w:color="auto" w:fill="auto"/>
          <w:lang w:eastAsia="zh-CN"/>
        </w:rPr>
        <w:t>广西政府采购云平台</w:t>
      </w:r>
      <w:r>
        <w:rPr>
          <w:rFonts w:hint="eastAsia" w:ascii="宋体" w:hAnsi="宋体" w:eastAsia="宋体" w:cs="宋体"/>
          <w:bCs/>
          <w:color w:val="000000"/>
          <w:sz w:val="21"/>
          <w:szCs w:val="21"/>
          <w:highlight w:val="none"/>
          <w:shd w:val="clear" w:color="auto" w:fill="auto"/>
        </w:rPr>
        <w:t>电子投标客户端”，按照本磋商文件</w:t>
      </w:r>
      <w:r>
        <w:rPr>
          <w:rFonts w:hint="eastAsia" w:ascii="宋体" w:hAnsi="宋体" w:eastAsia="宋体" w:cs="宋体"/>
          <w:color w:val="000000"/>
          <w:sz w:val="21"/>
          <w:szCs w:val="21"/>
          <w:highlight w:val="none"/>
          <w:shd w:val="clear" w:color="auto" w:fill="auto"/>
        </w:rPr>
        <w:t>规定的响应文件格式、顺序</w:t>
      </w:r>
      <w:r>
        <w:rPr>
          <w:rFonts w:hint="eastAsia" w:ascii="宋体" w:hAnsi="宋体" w:eastAsia="宋体" w:cs="宋体"/>
          <w:bCs/>
          <w:color w:val="000000"/>
          <w:sz w:val="21"/>
          <w:szCs w:val="21"/>
          <w:highlight w:val="none"/>
          <w:shd w:val="clear" w:color="auto" w:fill="auto"/>
        </w:rPr>
        <w:t>以及“</w:t>
      </w:r>
      <w:r>
        <w:rPr>
          <w:rFonts w:hint="eastAsia" w:ascii="宋体" w:hAnsi="宋体" w:eastAsia="宋体" w:cs="宋体"/>
          <w:bCs/>
          <w:color w:val="000000"/>
          <w:sz w:val="21"/>
          <w:szCs w:val="21"/>
          <w:highlight w:val="none"/>
          <w:shd w:val="clear" w:color="auto" w:fill="auto"/>
          <w:lang w:eastAsia="zh-CN"/>
        </w:rPr>
        <w:t>广西政府采购云平台</w:t>
      </w:r>
      <w:r>
        <w:rPr>
          <w:rFonts w:hint="eastAsia" w:ascii="宋体" w:hAnsi="宋体" w:eastAsia="宋体" w:cs="宋体"/>
          <w:bCs/>
          <w:color w:val="000000"/>
          <w:sz w:val="21"/>
          <w:szCs w:val="21"/>
          <w:highlight w:val="none"/>
          <w:shd w:val="clear" w:color="auto" w:fill="auto"/>
        </w:rPr>
        <w:t>”的要求，通过“</w:t>
      </w:r>
      <w:r>
        <w:rPr>
          <w:rFonts w:hint="eastAsia" w:ascii="宋体" w:hAnsi="宋体" w:eastAsia="宋体" w:cs="宋体"/>
          <w:bCs/>
          <w:color w:val="000000"/>
          <w:sz w:val="21"/>
          <w:szCs w:val="21"/>
          <w:highlight w:val="none"/>
          <w:shd w:val="clear" w:color="auto" w:fill="auto"/>
          <w:lang w:eastAsia="zh-CN"/>
        </w:rPr>
        <w:t>广西政府采购云平台</w:t>
      </w:r>
      <w:r>
        <w:rPr>
          <w:rFonts w:hint="eastAsia" w:ascii="宋体" w:hAnsi="宋体" w:eastAsia="宋体" w:cs="宋体"/>
          <w:bCs/>
          <w:color w:val="000000"/>
          <w:sz w:val="21"/>
          <w:szCs w:val="21"/>
          <w:highlight w:val="none"/>
          <w:shd w:val="clear" w:color="auto" w:fill="auto"/>
        </w:rPr>
        <w:t>电子投标客户端”编制电子响应文件。</w:t>
      </w:r>
    </w:p>
    <w:p w14:paraId="09A4C7D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16.3 电子磋商响应文件中须加盖供应商公章部分均采用 CA 签章，并根据“政府采购项目电子交易管理操作指南-供应商”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14:paraId="3C9A1049">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16.4供应商法人（负责人）或授权代表持有</w:t>
      </w:r>
      <w:r>
        <w:rPr>
          <w:rFonts w:hint="eastAsia" w:ascii="宋体" w:hAnsi="宋体" w:eastAsia="宋体" w:cs="宋体"/>
          <w:color w:val="000000"/>
          <w:sz w:val="21"/>
          <w:szCs w:val="21"/>
          <w:highlight w:val="none"/>
          <w:shd w:val="clear" w:color="auto" w:fill="auto"/>
          <w:lang w:eastAsia="zh-CN"/>
        </w:rPr>
        <w:t>广西政府采购云平台</w:t>
      </w:r>
      <w:r>
        <w:rPr>
          <w:rFonts w:hint="eastAsia" w:ascii="宋体" w:hAnsi="宋体" w:eastAsia="宋体" w:cs="宋体"/>
          <w:color w:val="000000"/>
          <w:sz w:val="21"/>
          <w:szCs w:val="21"/>
          <w:highlight w:val="none"/>
          <w:shd w:val="clear" w:color="auto" w:fill="auto"/>
        </w:rPr>
        <w:t>个人CA签章的，应在响应文件中涉及到签字的位置使用个人CA签章，没有办理</w:t>
      </w:r>
      <w:r>
        <w:rPr>
          <w:rFonts w:hint="eastAsia" w:ascii="宋体" w:hAnsi="宋体" w:eastAsia="宋体" w:cs="宋体"/>
          <w:color w:val="000000"/>
          <w:sz w:val="21"/>
          <w:szCs w:val="21"/>
          <w:highlight w:val="none"/>
          <w:shd w:val="clear" w:color="auto" w:fill="auto"/>
          <w:lang w:eastAsia="zh-CN"/>
        </w:rPr>
        <w:t>广西政府采购云平台</w:t>
      </w:r>
      <w:r>
        <w:rPr>
          <w:rFonts w:hint="eastAsia" w:ascii="宋体" w:hAnsi="宋体" w:eastAsia="宋体" w:cs="宋体"/>
          <w:color w:val="000000"/>
          <w:sz w:val="21"/>
          <w:szCs w:val="21"/>
          <w:highlight w:val="none"/>
          <w:shd w:val="clear" w:color="auto" w:fill="auto"/>
        </w:rPr>
        <w:t>个人CA签章的可在响应文件中涉及到签字的位置手写签字后扫描或者拍照做成PDF的格式上传即可。</w:t>
      </w:r>
    </w:p>
    <w:p w14:paraId="27838F3A">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16.5 磋商响应文件不得涂改，若有修改错漏处，须法定代表人（负责人）或授权委托人签字（或个人CA签章）。磋商响应文件因字迹潦草或表达不清所引起的后果由供应商负责。</w:t>
      </w:r>
    </w:p>
    <w:p w14:paraId="4B77BB96">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 xml:space="preserve">16.6磋商前准备 </w:t>
      </w:r>
    </w:p>
    <w:p w14:paraId="199F81E7">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16.6.1本项目实行在线磋商，采用电子磋商响应文件。若供应商参与磋商，自行承担磋商一切费用。</w:t>
      </w:r>
    </w:p>
    <w:p w14:paraId="117BD1EE">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color w:val="000000"/>
          <w:sz w:val="21"/>
          <w:szCs w:val="21"/>
          <w:highlight w:val="none"/>
          <w:shd w:val="clear" w:color="auto" w:fill="auto"/>
        </w:rPr>
      </w:pPr>
      <w:r>
        <w:rPr>
          <w:rFonts w:hint="eastAsia" w:ascii="宋体" w:hAnsi="宋体" w:eastAsia="宋体" w:cs="宋体"/>
          <w:b/>
          <w:color w:val="000000"/>
          <w:sz w:val="21"/>
          <w:szCs w:val="21"/>
          <w:highlight w:val="none"/>
          <w:shd w:val="clear" w:color="auto" w:fill="auto"/>
        </w:rPr>
        <w:t>16.6.2各供应商应在截标前应确保成为</w:t>
      </w:r>
      <w:r>
        <w:rPr>
          <w:rFonts w:hint="eastAsia" w:ascii="宋体" w:hAnsi="宋体" w:eastAsia="宋体" w:cs="宋体"/>
          <w:b/>
          <w:color w:val="000000"/>
          <w:sz w:val="21"/>
          <w:szCs w:val="21"/>
          <w:highlight w:val="none"/>
          <w:shd w:val="clear" w:color="auto" w:fill="auto"/>
          <w:lang w:eastAsia="zh-CN"/>
        </w:rPr>
        <w:t>广西政府采购云平台</w:t>
      </w:r>
      <w:r>
        <w:rPr>
          <w:rFonts w:hint="eastAsia" w:ascii="宋体" w:hAnsi="宋体" w:eastAsia="宋体" w:cs="宋体"/>
          <w:b/>
          <w:color w:val="000000"/>
          <w:sz w:val="21"/>
          <w:szCs w:val="21"/>
          <w:highlight w:val="none"/>
          <w:shd w:val="clear" w:color="auto" w:fill="auto"/>
        </w:rPr>
        <w:t>正式注册入库供应商，并完成 CA 数字证书申领和绑定。因未注册入库、未办理 CA 数字证书等原因造成无法磋商或磋商失败等后果由供应商自行承担。</w:t>
      </w:r>
    </w:p>
    <w:p w14:paraId="61DB9D5D">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color w:val="000000"/>
          <w:sz w:val="21"/>
          <w:szCs w:val="21"/>
          <w:highlight w:val="none"/>
          <w:shd w:val="clear" w:color="auto" w:fill="auto"/>
        </w:rPr>
      </w:pPr>
      <w:r>
        <w:rPr>
          <w:rFonts w:hint="eastAsia" w:ascii="宋体" w:hAnsi="宋体" w:eastAsia="宋体" w:cs="宋体"/>
          <w:b/>
          <w:color w:val="000000"/>
          <w:sz w:val="21"/>
          <w:szCs w:val="21"/>
          <w:highlight w:val="none"/>
          <w:shd w:val="clear" w:color="auto" w:fill="auto"/>
        </w:rPr>
        <w:t>16.6.3供应商将</w:t>
      </w:r>
      <w:r>
        <w:rPr>
          <w:rFonts w:hint="eastAsia" w:ascii="宋体" w:hAnsi="宋体" w:eastAsia="宋体" w:cs="宋体"/>
          <w:b/>
          <w:color w:val="000000"/>
          <w:sz w:val="21"/>
          <w:szCs w:val="21"/>
          <w:highlight w:val="none"/>
          <w:shd w:val="clear" w:color="auto" w:fill="auto"/>
          <w:lang w:eastAsia="zh-CN"/>
        </w:rPr>
        <w:t>广西政府采购云平台</w:t>
      </w:r>
      <w:r>
        <w:rPr>
          <w:rFonts w:hint="eastAsia" w:ascii="宋体" w:hAnsi="宋体" w:eastAsia="宋体" w:cs="宋体"/>
          <w:b/>
          <w:color w:val="000000"/>
          <w:sz w:val="21"/>
          <w:szCs w:val="21"/>
          <w:highlight w:val="none"/>
          <w:shd w:val="clear" w:color="auto" w:fill="auto"/>
        </w:rPr>
        <w:t>电子交易客户端下载、安装完成后，可通过账号密码或 CA 登录客户端进行响应文件制作。客户端请至网站下载专区查看，如有问题可拨打</w:t>
      </w:r>
      <w:r>
        <w:rPr>
          <w:rFonts w:hint="eastAsia" w:ascii="宋体" w:hAnsi="宋体" w:eastAsia="宋体" w:cs="宋体"/>
          <w:b/>
          <w:color w:val="000000"/>
          <w:sz w:val="21"/>
          <w:szCs w:val="21"/>
          <w:highlight w:val="none"/>
          <w:shd w:val="clear" w:color="auto" w:fill="auto"/>
          <w:lang w:eastAsia="zh-CN"/>
        </w:rPr>
        <w:t>广西政府采购云平台</w:t>
      </w:r>
      <w:r>
        <w:rPr>
          <w:rFonts w:hint="eastAsia" w:ascii="宋体" w:hAnsi="宋体" w:eastAsia="宋体" w:cs="宋体"/>
          <w:b/>
          <w:color w:val="000000"/>
          <w:sz w:val="21"/>
          <w:szCs w:val="21"/>
          <w:highlight w:val="none"/>
          <w:shd w:val="clear" w:color="auto" w:fill="auto"/>
        </w:rPr>
        <w:t xml:space="preserve">客户服务热线 </w:t>
      </w:r>
      <w:r>
        <w:rPr>
          <w:rFonts w:hint="eastAsia" w:ascii="宋体" w:hAnsi="宋体" w:eastAsia="宋体" w:cs="宋体"/>
          <w:b/>
          <w:color w:val="000000"/>
          <w:sz w:val="21"/>
          <w:szCs w:val="21"/>
          <w:highlight w:val="none"/>
          <w:shd w:val="clear" w:color="auto" w:fill="auto"/>
          <w:lang w:eastAsia="zh-CN"/>
        </w:rPr>
        <w:t>400-881-7190或95763</w:t>
      </w:r>
      <w:r>
        <w:rPr>
          <w:rFonts w:hint="eastAsia" w:ascii="宋体" w:hAnsi="宋体" w:eastAsia="宋体" w:cs="宋体"/>
          <w:b/>
          <w:color w:val="000000"/>
          <w:sz w:val="21"/>
          <w:szCs w:val="21"/>
          <w:highlight w:val="none"/>
          <w:shd w:val="clear" w:color="auto" w:fill="auto"/>
        </w:rPr>
        <w:t xml:space="preserve"> 进行咨询。</w:t>
      </w:r>
    </w:p>
    <w:p w14:paraId="38D66806">
      <w:pPr>
        <w:pStyle w:val="4"/>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b w:val="0"/>
          <w:color w:val="000000"/>
          <w:sz w:val="21"/>
          <w:szCs w:val="21"/>
          <w:highlight w:val="none"/>
          <w:shd w:val="clear" w:color="auto" w:fill="auto"/>
        </w:rPr>
      </w:pPr>
      <w:r>
        <w:rPr>
          <w:rFonts w:hint="eastAsia" w:ascii="宋体" w:hAnsi="宋体" w:eastAsia="宋体" w:cs="宋体"/>
          <w:b w:val="0"/>
          <w:color w:val="000000"/>
          <w:sz w:val="21"/>
          <w:szCs w:val="21"/>
          <w:highlight w:val="none"/>
          <w:shd w:val="clear" w:color="auto" w:fill="auto"/>
        </w:rPr>
        <w:t>16.7供应商公章及签字</w:t>
      </w:r>
    </w:p>
    <w:p w14:paraId="3A41A71A">
      <w:pPr>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16.7.1本竞争性磋商文件中描述供应商的“公章”是指供应商通过指定电子化政府采购平台办理数字证书（CA认证证书）获得的以法定主体行为名称制作的电子印章。</w:t>
      </w:r>
    </w:p>
    <w:p w14:paraId="01F7D435">
      <w:pPr>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16.7.2本竞争性磋商文件中要求供应商对其电子响应文件的相关内容加盖公章的，均指采用CA证书签章。</w:t>
      </w:r>
    </w:p>
    <w:p w14:paraId="22F069B7">
      <w:pPr>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16.7.3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p w14:paraId="2339D6A1">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17. 响应文件的修改和撤回</w:t>
      </w:r>
      <w:bookmarkEnd w:id="152"/>
      <w:bookmarkEnd w:id="153"/>
    </w:p>
    <w:p w14:paraId="2C7CE3CD">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17.1 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12D44C01">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17.2 在响应文件递交截止时间后的响应文件有效期内，供应商不得撤回其响应文件。</w:t>
      </w:r>
    </w:p>
    <w:p w14:paraId="71AF58E4">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bookmarkStart w:id="154" w:name="_Toc30156"/>
      <w:bookmarkStart w:id="155" w:name="_Toc26434"/>
      <w:bookmarkStart w:id="156" w:name="_Toc10164"/>
      <w:r>
        <w:rPr>
          <w:rFonts w:hint="eastAsia" w:ascii="宋体" w:hAnsi="宋体" w:eastAsia="宋体" w:cs="宋体"/>
          <w:color w:val="000000"/>
          <w:sz w:val="21"/>
          <w:szCs w:val="21"/>
          <w:highlight w:val="none"/>
          <w:shd w:val="clear" w:color="auto" w:fill="auto"/>
        </w:rPr>
        <w:t>18. 响应文件的递交和解密</w:t>
      </w:r>
      <w:bookmarkEnd w:id="154"/>
      <w:bookmarkEnd w:id="155"/>
      <w:bookmarkEnd w:id="156"/>
    </w:p>
    <w:p w14:paraId="0DA5C613">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18.1响应文件递交截止时间：于</w:t>
      </w:r>
      <w:r>
        <w:rPr>
          <w:rFonts w:hint="eastAsia" w:ascii="宋体" w:hAnsi="宋体" w:eastAsia="宋体" w:cs="宋体"/>
          <w:color w:val="000000"/>
          <w:sz w:val="21"/>
          <w:szCs w:val="21"/>
          <w:highlight w:val="none"/>
          <w:u w:val="single"/>
          <w:shd w:val="clear" w:color="auto" w:fill="auto"/>
          <w:lang w:eastAsia="zh-CN"/>
        </w:rPr>
        <w:t>2025年</w:t>
      </w:r>
      <w:r>
        <w:rPr>
          <w:rFonts w:hint="eastAsia" w:ascii="宋体" w:hAnsi="宋体" w:cs="宋体"/>
          <w:color w:val="000000"/>
          <w:sz w:val="21"/>
          <w:szCs w:val="21"/>
          <w:highlight w:val="none"/>
          <w:u w:val="single"/>
          <w:shd w:val="clear" w:color="auto" w:fill="auto"/>
          <w:lang w:eastAsia="zh-CN"/>
        </w:rPr>
        <w:t>07月11日</w:t>
      </w:r>
      <w:r>
        <w:rPr>
          <w:rFonts w:hint="eastAsia" w:ascii="宋体" w:hAnsi="宋体" w:eastAsia="宋体" w:cs="宋体"/>
          <w:color w:val="000000"/>
          <w:sz w:val="21"/>
          <w:szCs w:val="21"/>
          <w:highlight w:val="none"/>
          <w:u w:val="single"/>
          <w:shd w:val="clear" w:color="auto" w:fill="auto"/>
          <w:lang w:val="en-US" w:eastAsia="zh-CN"/>
        </w:rPr>
        <w:t>09</w:t>
      </w:r>
      <w:r>
        <w:rPr>
          <w:rFonts w:hint="eastAsia" w:ascii="宋体" w:hAnsi="宋体" w:eastAsia="宋体" w:cs="宋体"/>
          <w:color w:val="000000"/>
          <w:sz w:val="21"/>
          <w:szCs w:val="21"/>
          <w:highlight w:val="none"/>
          <w:u w:val="single"/>
          <w:shd w:val="clear" w:color="auto" w:fill="auto"/>
        </w:rPr>
        <w:t>时30分</w:t>
      </w:r>
      <w:r>
        <w:rPr>
          <w:rFonts w:hint="eastAsia" w:ascii="宋体" w:hAnsi="宋体" w:eastAsia="宋体" w:cs="宋体"/>
          <w:color w:val="000000"/>
          <w:sz w:val="21"/>
          <w:szCs w:val="21"/>
          <w:highlight w:val="none"/>
          <w:shd w:val="clear" w:color="auto" w:fill="auto"/>
        </w:rPr>
        <w:t>之前将电子磋商响应文件上传到</w:t>
      </w:r>
      <w:r>
        <w:rPr>
          <w:rFonts w:hint="eastAsia" w:ascii="宋体" w:hAnsi="宋体" w:eastAsia="宋体" w:cs="宋体"/>
          <w:color w:val="000000"/>
          <w:sz w:val="21"/>
          <w:szCs w:val="21"/>
          <w:highlight w:val="none"/>
          <w:shd w:val="clear" w:color="auto" w:fill="auto"/>
          <w:lang w:eastAsia="zh-CN"/>
        </w:rPr>
        <w:t>广西政府采购云平台</w:t>
      </w:r>
      <w:r>
        <w:rPr>
          <w:rFonts w:hint="eastAsia" w:ascii="宋体" w:hAnsi="宋体" w:eastAsia="宋体" w:cs="宋体"/>
          <w:color w:val="000000"/>
          <w:sz w:val="21"/>
          <w:szCs w:val="21"/>
          <w:highlight w:val="none"/>
          <w:shd w:val="clear" w:color="auto" w:fill="auto"/>
        </w:rPr>
        <w:t>。应按照本项目磋商文件和</w:t>
      </w:r>
      <w:r>
        <w:rPr>
          <w:rFonts w:hint="eastAsia" w:ascii="宋体" w:hAnsi="宋体" w:eastAsia="宋体" w:cs="宋体"/>
          <w:color w:val="000000"/>
          <w:sz w:val="21"/>
          <w:szCs w:val="21"/>
          <w:highlight w:val="none"/>
          <w:shd w:val="clear" w:color="auto" w:fill="auto"/>
          <w:lang w:eastAsia="zh-CN"/>
        </w:rPr>
        <w:t>广西政府采购云平台</w:t>
      </w:r>
      <w:r>
        <w:rPr>
          <w:rFonts w:hint="eastAsia" w:ascii="宋体" w:hAnsi="宋体" w:eastAsia="宋体" w:cs="宋体"/>
          <w:color w:val="000000"/>
          <w:sz w:val="21"/>
          <w:szCs w:val="21"/>
          <w:highlight w:val="none"/>
          <w:shd w:val="clear" w:color="auto" w:fill="auto"/>
        </w:rPr>
        <w:t>的要求编制、加密传输磋商响应文件。供应商在使用系统进行响应的过程中遇到涉及平台使用的任何问题，可致电</w:t>
      </w:r>
      <w:r>
        <w:rPr>
          <w:rFonts w:hint="eastAsia" w:ascii="宋体" w:hAnsi="宋体" w:eastAsia="宋体" w:cs="宋体"/>
          <w:color w:val="000000"/>
          <w:sz w:val="21"/>
          <w:szCs w:val="21"/>
          <w:highlight w:val="none"/>
          <w:shd w:val="clear" w:color="auto" w:fill="auto"/>
          <w:lang w:eastAsia="zh-CN"/>
        </w:rPr>
        <w:t>广西政府采购云平台</w:t>
      </w:r>
      <w:r>
        <w:rPr>
          <w:rFonts w:hint="eastAsia" w:ascii="宋体" w:hAnsi="宋体" w:eastAsia="宋体" w:cs="宋体"/>
          <w:color w:val="000000"/>
          <w:sz w:val="21"/>
          <w:szCs w:val="21"/>
          <w:highlight w:val="none"/>
          <w:shd w:val="clear" w:color="auto" w:fill="auto"/>
        </w:rPr>
        <w:t>技术支持热线咨询，联系方式：</w:t>
      </w:r>
      <w:r>
        <w:rPr>
          <w:rFonts w:hint="eastAsia" w:ascii="宋体" w:hAnsi="宋体" w:eastAsia="宋体" w:cs="宋体"/>
          <w:color w:val="000000"/>
          <w:sz w:val="21"/>
          <w:szCs w:val="21"/>
          <w:highlight w:val="none"/>
          <w:shd w:val="clear" w:color="auto" w:fill="auto"/>
          <w:lang w:eastAsia="zh-CN"/>
        </w:rPr>
        <w:t>400-881-7190或95763</w:t>
      </w:r>
      <w:r>
        <w:rPr>
          <w:rFonts w:hint="eastAsia" w:ascii="宋体" w:hAnsi="宋体" w:eastAsia="宋体" w:cs="宋体"/>
          <w:color w:val="000000"/>
          <w:sz w:val="21"/>
          <w:szCs w:val="21"/>
          <w:highlight w:val="none"/>
          <w:shd w:val="clear" w:color="auto" w:fill="auto"/>
        </w:rPr>
        <w:t>。</w:t>
      </w:r>
    </w:p>
    <w:p w14:paraId="6ABFA5A3">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18.2磋商响应文件解密时间：截标时间后</w:t>
      </w:r>
      <w:r>
        <w:rPr>
          <w:rFonts w:hint="eastAsia" w:ascii="宋体" w:hAnsi="宋体" w:eastAsia="宋体" w:cs="宋体"/>
          <w:color w:val="000000"/>
          <w:sz w:val="21"/>
          <w:szCs w:val="21"/>
          <w:highlight w:val="none"/>
          <w:u w:val="single"/>
          <w:shd w:val="clear" w:color="auto" w:fill="auto"/>
        </w:rPr>
        <w:t>30</w:t>
      </w:r>
      <w:r>
        <w:rPr>
          <w:rFonts w:hint="eastAsia" w:ascii="宋体" w:hAnsi="宋体" w:eastAsia="宋体" w:cs="宋体"/>
          <w:color w:val="000000"/>
          <w:sz w:val="21"/>
          <w:szCs w:val="21"/>
          <w:highlight w:val="none"/>
          <w:shd w:val="clear" w:color="auto" w:fill="auto"/>
        </w:rPr>
        <w:t>分钟内（</w:t>
      </w:r>
      <w:r>
        <w:rPr>
          <w:rFonts w:hint="eastAsia" w:ascii="宋体" w:hAnsi="宋体" w:eastAsia="宋体" w:cs="宋体"/>
          <w:color w:val="000000"/>
          <w:sz w:val="21"/>
          <w:szCs w:val="21"/>
          <w:highlight w:val="none"/>
          <w:u w:val="single"/>
          <w:shd w:val="clear" w:color="auto" w:fill="auto"/>
          <w:lang w:eastAsia="zh-CN"/>
        </w:rPr>
        <w:t>2025年</w:t>
      </w:r>
      <w:r>
        <w:rPr>
          <w:rFonts w:hint="eastAsia" w:ascii="宋体" w:hAnsi="宋体" w:cs="宋体"/>
          <w:color w:val="000000"/>
          <w:sz w:val="21"/>
          <w:szCs w:val="21"/>
          <w:highlight w:val="none"/>
          <w:u w:val="single"/>
          <w:shd w:val="clear" w:color="auto" w:fill="auto"/>
          <w:lang w:eastAsia="zh-CN"/>
        </w:rPr>
        <w:t>07月11日</w:t>
      </w:r>
      <w:r>
        <w:rPr>
          <w:rFonts w:hint="eastAsia" w:ascii="宋体" w:hAnsi="宋体" w:eastAsia="宋体" w:cs="宋体"/>
          <w:color w:val="000000"/>
          <w:sz w:val="21"/>
          <w:szCs w:val="21"/>
          <w:highlight w:val="none"/>
          <w:u w:val="single"/>
          <w:shd w:val="clear" w:color="auto" w:fill="auto"/>
          <w:lang w:val="en-US" w:eastAsia="zh-CN"/>
        </w:rPr>
        <w:t>09</w:t>
      </w:r>
      <w:r>
        <w:rPr>
          <w:rFonts w:hint="eastAsia" w:ascii="宋体" w:hAnsi="宋体" w:eastAsia="宋体" w:cs="宋体"/>
          <w:color w:val="000000"/>
          <w:sz w:val="21"/>
          <w:szCs w:val="21"/>
          <w:highlight w:val="none"/>
          <w:u w:val="single"/>
          <w:shd w:val="clear" w:color="auto" w:fill="auto"/>
        </w:rPr>
        <w:t>时30分至1</w:t>
      </w:r>
      <w:r>
        <w:rPr>
          <w:rFonts w:hint="eastAsia" w:ascii="宋体" w:hAnsi="宋体" w:eastAsia="宋体" w:cs="宋体"/>
          <w:color w:val="000000"/>
          <w:sz w:val="21"/>
          <w:szCs w:val="21"/>
          <w:highlight w:val="none"/>
          <w:u w:val="single"/>
          <w:shd w:val="clear" w:color="auto" w:fill="auto"/>
          <w:lang w:val="en-US" w:eastAsia="zh-CN"/>
        </w:rPr>
        <w:t>0</w:t>
      </w:r>
      <w:r>
        <w:rPr>
          <w:rFonts w:hint="eastAsia" w:ascii="宋体" w:hAnsi="宋体" w:eastAsia="宋体" w:cs="宋体"/>
          <w:color w:val="000000"/>
          <w:sz w:val="21"/>
          <w:szCs w:val="21"/>
          <w:highlight w:val="none"/>
          <w:u w:val="single"/>
          <w:shd w:val="clear" w:color="auto" w:fill="auto"/>
        </w:rPr>
        <w:t>时00分</w:t>
      </w:r>
      <w:r>
        <w:rPr>
          <w:rFonts w:hint="eastAsia" w:ascii="宋体" w:hAnsi="宋体" w:eastAsia="宋体" w:cs="宋体"/>
          <w:color w:val="000000"/>
          <w:sz w:val="21"/>
          <w:szCs w:val="21"/>
          <w:highlight w:val="none"/>
          <w:shd w:val="clear" w:color="auto" w:fill="auto"/>
        </w:rPr>
        <w:t>)磋商供应商可以登录</w:t>
      </w:r>
      <w:r>
        <w:rPr>
          <w:rFonts w:hint="eastAsia" w:ascii="宋体" w:hAnsi="宋体" w:eastAsia="宋体" w:cs="宋体"/>
          <w:color w:val="000000"/>
          <w:sz w:val="21"/>
          <w:szCs w:val="21"/>
          <w:highlight w:val="none"/>
          <w:shd w:val="clear" w:color="auto" w:fill="auto"/>
          <w:lang w:eastAsia="zh-CN"/>
        </w:rPr>
        <w:t>广西政府采购云平台</w:t>
      </w:r>
      <w:r>
        <w:rPr>
          <w:rFonts w:hint="eastAsia" w:ascii="宋体" w:hAnsi="宋体" w:eastAsia="宋体" w:cs="宋体"/>
          <w:color w:val="000000"/>
          <w:sz w:val="21"/>
          <w:szCs w:val="21"/>
          <w:highlight w:val="none"/>
          <w:shd w:val="clear" w:color="auto" w:fill="auto"/>
        </w:rPr>
        <w:t>，用“项目采购-开标评标”功能进行解密磋商文件。若磋商供应商在规定时间内无法解密或解密失败，可以以电子备份磋商响应文件作为依据</w:t>
      </w:r>
      <w:r>
        <w:rPr>
          <w:rFonts w:hint="eastAsia" w:ascii="宋体" w:hAnsi="宋体" w:eastAsia="宋体" w:cs="宋体"/>
          <w:b/>
          <w:bCs/>
          <w:color w:val="000000"/>
          <w:sz w:val="21"/>
          <w:szCs w:val="21"/>
          <w:highlight w:val="none"/>
          <w:shd w:val="clear" w:color="auto" w:fill="auto"/>
        </w:rPr>
        <w:t>【在接到无法解密或解密失败的通知后，磋商供应商可根据自身实际情况按通知时要求的时间到桂林市公共资源交易中心</w:t>
      </w:r>
      <w:r>
        <w:rPr>
          <w:rFonts w:hint="eastAsia" w:ascii="宋体" w:hAnsi="宋体" w:eastAsia="宋体" w:cs="宋体"/>
          <w:b/>
          <w:bCs/>
          <w:color w:val="000000"/>
          <w:sz w:val="21"/>
          <w:szCs w:val="21"/>
          <w:highlight w:val="none"/>
          <w:u w:val="single"/>
          <w:shd w:val="clear" w:color="auto" w:fill="auto"/>
          <w:lang w:val="en-US" w:eastAsia="zh-CN"/>
        </w:rPr>
        <w:t xml:space="preserve"> 10 </w:t>
      </w:r>
      <w:r>
        <w:rPr>
          <w:rFonts w:hint="eastAsia" w:ascii="宋体" w:hAnsi="宋体" w:eastAsia="宋体" w:cs="宋体"/>
          <w:b/>
          <w:bCs/>
          <w:color w:val="000000"/>
          <w:sz w:val="21"/>
          <w:szCs w:val="21"/>
          <w:highlight w:val="none"/>
          <w:shd w:val="clear" w:color="auto" w:fill="auto"/>
        </w:rPr>
        <w:t>号</w:t>
      </w:r>
      <w:r>
        <w:rPr>
          <w:rFonts w:hint="eastAsia" w:ascii="宋体" w:hAnsi="宋体" w:eastAsia="宋体" w:cs="宋体"/>
          <w:b/>
          <w:bCs/>
          <w:color w:val="000000"/>
          <w:sz w:val="21"/>
          <w:szCs w:val="21"/>
          <w:highlight w:val="none"/>
          <w:shd w:val="clear" w:color="auto" w:fill="auto"/>
          <w:lang w:val="en-US" w:eastAsia="zh-CN"/>
        </w:rPr>
        <w:t>政采开标仓</w:t>
      </w:r>
      <w:r>
        <w:rPr>
          <w:rFonts w:hint="eastAsia" w:ascii="宋体" w:hAnsi="宋体" w:eastAsia="宋体" w:cs="宋体"/>
          <w:b/>
          <w:bCs/>
          <w:color w:val="000000"/>
          <w:sz w:val="21"/>
          <w:szCs w:val="21"/>
          <w:highlight w:val="none"/>
          <w:shd w:val="clear" w:color="auto" w:fill="auto"/>
        </w:rPr>
        <w:t>现场提交或以电子邮件的形式（以通知时所告知的电子邮箱地址为准）提交电子备份磋商响应文件】</w:t>
      </w:r>
      <w:r>
        <w:rPr>
          <w:rFonts w:hint="eastAsia" w:ascii="宋体" w:hAnsi="宋体" w:eastAsia="宋体" w:cs="宋体"/>
          <w:color w:val="000000"/>
          <w:sz w:val="21"/>
          <w:szCs w:val="21"/>
          <w:highlight w:val="none"/>
          <w:shd w:val="clear" w:color="auto" w:fill="auto"/>
        </w:rPr>
        <w:t>，若磋商供应商在规定时间内无法解密或解密失败且未提供电子备份磋商响应文件的(包含提供的电子备份文件无效或无法解密的情况)，视为响应文件撤回。</w:t>
      </w:r>
    </w:p>
    <w:p w14:paraId="64FD8D44">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18.3 除竞争性磋商文件另有规定外，供应商所递交的响应文件不予退还。</w:t>
      </w:r>
    </w:p>
    <w:p w14:paraId="2B20D0B7">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18.4 电子响应文件的相关说明</w:t>
      </w:r>
    </w:p>
    <w:p w14:paraId="32A1D07B">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 xml:space="preserve">（1）供应商进行电子响应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 </w:t>
      </w:r>
    </w:p>
    <w:p w14:paraId="2BA6B3F0">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（2）如有特殊情况，采购代理机构延长截止时间和开标时间，采购代理机构和供应商的权利和义务将受到新的截止时间和开标时间的约束。</w:t>
      </w:r>
      <w:bookmarkStart w:id="157" w:name="_Toc2433"/>
      <w:bookmarkStart w:id="158" w:name="_Toc26492"/>
      <w:bookmarkStart w:id="159" w:name="_Toc15799"/>
    </w:p>
    <w:p w14:paraId="57F92BEE">
      <w:pPr>
        <w:pageBreakBefore w:val="0"/>
        <w:widowControl w:val="0"/>
        <w:kinsoku/>
        <w:wordWrap/>
        <w:overflowPunct/>
        <w:topLinePunct w:val="0"/>
        <w:autoSpaceDE/>
        <w:autoSpaceDN/>
        <w:bidi w:val="0"/>
        <w:adjustRightInd/>
        <w:spacing w:line="360" w:lineRule="auto"/>
        <w:ind w:left="0" w:leftChars="0"/>
        <w:jc w:val="center"/>
        <w:textAlignment w:val="auto"/>
        <w:outlineLvl w:val="1"/>
        <w:rPr>
          <w:rFonts w:hint="eastAsia" w:ascii="宋体" w:hAnsi="宋体" w:eastAsia="宋体" w:cs="宋体"/>
          <w:b/>
          <w:bCs/>
          <w:color w:val="000000"/>
          <w:sz w:val="21"/>
          <w:szCs w:val="21"/>
          <w:highlight w:val="none"/>
          <w:shd w:val="clear" w:color="auto" w:fill="auto"/>
        </w:rPr>
      </w:pPr>
      <w:r>
        <w:rPr>
          <w:rFonts w:hint="eastAsia" w:ascii="宋体" w:hAnsi="宋体" w:eastAsia="宋体" w:cs="宋体"/>
          <w:b/>
          <w:bCs/>
          <w:color w:val="000000"/>
          <w:sz w:val="21"/>
          <w:szCs w:val="21"/>
          <w:highlight w:val="none"/>
          <w:shd w:val="clear" w:color="auto" w:fill="auto"/>
        </w:rPr>
        <w:t>四、竞争性磋商（简称磋商）与评审</w:t>
      </w:r>
      <w:bookmarkEnd w:id="157"/>
      <w:bookmarkEnd w:id="158"/>
      <w:bookmarkEnd w:id="159"/>
    </w:p>
    <w:p w14:paraId="24BD9829">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bookmarkStart w:id="160" w:name="_Toc7595"/>
      <w:bookmarkStart w:id="161" w:name="_Toc29946"/>
      <w:bookmarkStart w:id="162" w:name="_Toc31588"/>
      <w:r>
        <w:rPr>
          <w:rFonts w:hint="eastAsia" w:ascii="宋体" w:hAnsi="宋体" w:eastAsia="宋体" w:cs="宋体"/>
          <w:color w:val="000000"/>
          <w:sz w:val="21"/>
          <w:szCs w:val="21"/>
          <w:highlight w:val="none"/>
          <w:shd w:val="clear" w:color="auto" w:fill="auto"/>
        </w:rPr>
        <w:t>19. 磋商小组组成及磋商时间、地点、人员</w:t>
      </w:r>
      <w:bookmarkEnd w:id="160"/>
      <w:bookmarkEnd w:id="161"/>
      <w:bookmarkEnd w:id="162"/>
    </w:p>
    <w:p w14:paraId="60C0D9AC">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19.1 磋商小组组成：</w:t>
      </w:r>
    </w:p>
    <w:p w14:paraId="2C97099C">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磋商及评审工作由采购代理机构负责组织，具体磋商、评审工作由依法组建的磋商小组负责，磋商小组由采购人代表和有关方面的专家组成。磋商小组的构成：</w:t>
      </w:r>
      <w:r>
        <w:rPr>
          <w:rFonts w:hint="eastAsia" w:ascii="宋体" w:hAnsi="宋体" w:eastAsia="宋体" w:cs="宋体"/>
          <w:color w:val="000000"/>
          <w:sz w:val="21"/>
          <w:szCs w:val="21"/>
          <w:highlight w:val="none"/>
          <w:u w:val="single"/>
          <w:shd w:val="clear" w:color="auto" w:fill="auto"/>
        </w:rPr>
        <w:t xml:space="preserve"> 3 </w:t>
      </w:r>
      <w:r>
        <w:rPr>
          <w:rFonts w:hint="eastAsia" w:ascii="宋体" w:hAnsi="宋体" w:eastAsia="宋体" w:cs="宋体"/>
          <w:color w:val="000000"/>
          <w:sz w:val="21"/>
          <w:szCs w:val="21"/>
          <w:highlight w:val="none"/>
          <w:shd w:val="clear" w:color="auto" w:fill="auto"/>
        </w:rPr>
        <w:t>人，其中采购人代表</w:t>
      </w:r>
      <w:r>
        <w:rPr>
          <w:rFonts w:hint="eastAsia" w:ascii="宋体" w:hAnsi="宋体" w:eastAsia="宋体" w:cs="宋体"/>
          <w:color w:val="000000"/>
          <w:sz w:val="21"/>
          <w:szCs w:val="21"/>
          <w:highlight w:val="none"/>
          <w:u w:val="single"/>
          <w:shd w:val="clear" w:color="auto" w:fill="auto"/>
        </w:rPr>
        <w:t xml:space="preserve"> 1 </w:t>
      </w:r>
      <w:r>
        <w:rPr>
          <w:rFonts w:hint="eastAsia" w:ascii="宋体" w:hAnsi="宋体" w:eastAsia="宋体" w:cs="宋体"/>
          <w:color w:val="000000"/>
          <w:sz w:val="21"/>
          <w:szCs w:val="21"/>
          <w:highlight w:val="none"/>
          <w:shd w:val="clear" w:color="auto" w:fill="auto"/>
        </w:rPr>
        <w:t>人， 专家</w:t>
      </w:r>
      <w:r>
        <w:rPr>
          <w:rFonts w:hint="eastAsia" w:ascii="宋体" w:hAnsi="宋体" w:eastAsia="宋体" w:cs="宋体"/>
          <w:color w:val="000000"/>
          <w:sz w:val="21"/>
          <w:szCs w:val="21"/>
          <w:highlight w:val="none"/>
          <w:u w:val="single"/>
          <w:shd w:val="clear" w:color="auto" w:fill="auto"/>
        </w:rPr>
        <w:t xml:space="preserve"> 2 </w:t>
      </w:r>
      <w:r>
        <w:rPr>
          <w:rFonts w:hint="eastAsia" w:ascii="宋体" w:hAnsi="宋体" w:eastAsia="宋体" w:cs="宋体"/>
          <w:color w:val="000000"/>
          <w:sz w:val="21"/>
          <w:szCs w:val="21"/>
          <w:highlight w:val="none"/>
          <w:shd w:val="clear" w:color="auto" w:fill="auto"/>
        </w:rPr>
        <w:t>人。</w:t>
      </w:r>
    </w:p>
    <w:p w14:paraId="12691FF1">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19.2 磋商时间、地点、人员：</w:t>
      </w:r>
    </w:p>
    <w:p w14:paraId="7CC9170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bookmarkStart w:id="163" w:name="_Toc9878"/>
      <w:r>
        <w:rPr>
          <w:rFonts w:hint="eastAsia" w:ascii="宋体" w:hAnsi="宋体" w:eastAsia="宋体" w:cs="宋体"/>
          <w:color w:val="000000"/>
          <w:sz w:val="21"/>
          <w:szCs w:val="21"/>
          <w:highlight w:val="none"/>
          <w:shd w:val="clear" w:color="auto" w:fill="auto"/>
        </w:rPr>
        <w:t>19.2.1磋商时间：响应文件递交截止时间后。</w:t>
      </w:r>
      <w:bookmarkEnd w:id="163"/>
    </w:p>
    <w:p w14:paraId="038BE6E7">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bCs/>
          <w:color w:val="000000"/>
          <w:sz w:val="21"/>
          <w:szCs w:val="21"/>
          <w:highlight w:val="none"/>
          <w:shd w:val="clear" w:color="auto" w:fill="auto"/>
        </w:rPr>
      </w:pPr>
      <w:bookmarkStart w:id="164" w:name="_Toc29268"/>
      <w:r>
        <w:rPr>
          <w:rFonts w:hint="eastAsia" w:ascii="宋体" w:hAnsi="宋体" w:eastAsia="宋体" w:cs="宋体"/>
          <w:color w:val="000000"/>
          <w:sz w:val="21"/>
          <w:szCs w:val="21"/>
          <w:highlight w:val="none"/>
          <w:shd w:val="clear" w:color="auto" w:fill="auto"/>
        </w:rPr>
        <w:t>19.2.2磋商地点：</w:t>
      </w:r>
      <w:bookmarkEnd w:id="164"/>
      <w:bookmarkStart w:id="165" w:name="_Toc21307"/>
      <w:r>
        <w:rPr>
          <w:rFonts w:hint="eastAsia" w:ascii="宋体" w:hAnsi="宋体" w:eastAsia="宋体" w:cs="宋体"/>
          <w:bCs/>
          <w:color w:val="000000"/>
          <w:sz w:val="21"/>
          <w:szCs w:val="21"/>
          <w:highlight w:val="none"/>
          <w:shd w:val="clear" w:color="auto" w:fill="auto"/>
        </w:rPr>
        <w:t>供应商代表在响应文件提交当天实时登陆“</w:t>
      </w:r>
      <w:r>
        <w:rPr>
          <w:rFonts w:hint="eastAsia" w:ascii="宋体" w:hAnsi="宋体" w:eastAsia="宋体" w:cs="宋体"/>
          <w:bCs/>
          <w:color w:val="000000"/>
          <w:sz w:val="21"/>
          <w:szCs w:val="21"/>
          <w:highlight w:val="none"/>
          <w:shd w:val="clear" w:color="auto" w:fill="auto"/>
          <w:lang w:eastAsia="zh-CN"/>
        </w:rPr>
        <w:t>广西政府采购云平台</w:t>
      </w:r>
      <w:r>
        <w:rPr>
          <w:rFonts w:hint="eastAsia" w:ascii="宋体" w:hAnsi="宋体" w:eastAsia="宋体" w:cs="宋体"/>
          <w:bCs/>
          <w:color w:val="000000"/>
          <w:sz w:val="21"/>
          <w:szCs w:val="21"/>
          <w:highlight w:val="none"/>
          <w:shd w:val="clear" w:color="auto" w:fill="auto"/>
        </w:rPr>
        <w:t>”，按磋商小组要求在线等候参与磋商及提交最后报价。因供应商未保持实时在线，导致磋商小组无法及时与其取得联系，从而造成供应商未按规定参与磋商或报价的，其不利后果由供应商自行承担。</w:t>
      </w:r>
    </w:p>
    <w:p w14:paraId="3B16B6F2">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color w:val="000000"/>
          <w:kern w:val="0"/>
          <w:sz w:val="21"/>
          <w:szCs w:val="21"/>
          <w:highlight w:val="none"/>
          <w:shd w:val="clear" w:color="auto" w:fill="auto"/>
        </w:rPr>
      </w:pPr>
      <w:r>
        <w:rPr>
          <w:rFonts w:hint="eastAsia" w:ascii="宋体" w:hAnsi="宋体" w:eastAsia="宋体" w:cs="宋体"/>
          <w:b/>
          <w:bCs/>
          <w:color w:val="000000"/>
          <w:sz w:val="21"/>
          <w:szCs w:val="21"/>
          <w:highlight w:val="none"/>
          <w:shd w:val="clear" w:color="auto" w:fill="auto"/>
        </w:rPr>
        <w:t>19.2.3磋商参加人员：</w:t>
      </w:r>
      <w:bookmarkEnd w:id="165"/>
      <w:bookmarkStart w:id="166" w:name="_Toc6288"/>
      <w:r>
        <w:rPr>
          <w:rFonts w:hint="eastAsia" w:ascii="宋体" w:hAnsi="宋体" w:eastAsia="宋体" w:cs="宋体"/>
          <w:b/>
          <w:bCs/>
          <w:color w:val="000000"/>
          <w:sz w:val="21"/>
          <w:szCs w:val="21"/>
          <w:highlight w:val="none"/>
          <w:shd w:val="clear" w:color="auto" w:fill="auto"/>
        </w:rPr>
        <w:t>供应商法定代表人、负责人、自然人或相应的委托代理人持</w:t>
      </w:r>
      <w:r>
        <w:rPr>
          <w:rFonts w:hint="eastAsia" w:ascii="宋体" w:hAnsi="宋体" w:eastAsia="宋体" w:cs="宋体"/>
          <w:b/>
          <w:bCs/>
          <w:color w:val="000000"/>
          <w:sz w:val="21"/>
          <w:szCs w:val="21"/>
          <w:highlight w:val="none"/>
          <w:u w:val="single"/>
          <w:shd w:val="clear" w:color="auto" w:fill="auto"/>
        </w:rPr>
        <w:t>有效身份证原件</w:t>
      </w:r>
      <w:r>
        <w:rPr>
          <w:rFonts w:hint="eastAsia" w:ascii="宋体" w:hAnsi="宋体" w:eastAsia="宋体" w:cs="宋体"/>
          <w:b/>
          <w:bCs/>
          <w:color w:val="000000"/>
          <w:sz w:val="21"/>
          <w:szCs w:val="21"/>
          <w:highlight w:val="none"/>
          <w:shd w:val="clear" w:color="auto" w:fill="auto"/>
        </w:rPr>
        <w:t>和供应商</w:t>
      </w:r>
      <w:r>
        <w:rPr>
          <w:rFonts w:hint="eastAsia" w:ascii="宋体" w:hAnsi="宋体" w:eastAsia="宋体" w:cs="宋体"/>
          <w:b/>
          <w:bCs/>
          <w:color w:val="000000"/>
          <w:sz w:val="21"/>
          <w:szCs w:val="21"/>
          <w:highlight w:val="none"/>
          <w:u w:val="single"/>
          <w:shd w:val="clear" w:color="auto" w:fill="auto"/>
          <w:lang w:eastAsia="zh-CN"/>
        </w:rPr>
        <w:t>广西政府采购云平台</w:t>
      </w:r>
      <w:r>
        <w:rPr>
          <w:rFonts w:hint="eastAsia" w:ascii="宋体" w:hAnsi="宋体" w:eastAsia="宋体" w:cs="宋体"/>
          <w:b/>
          <w:bCs/>
          <w:color w:val="000000"/>
          <w:sz w:val="21"/>
          <w:szCs w:val="21"/>
          <w:highlight w:val="none"/>
          <w:u w:val="single"/>
          <w:shd w:val="clear" w:color="auto" w:fill="auto"/>
        </w:rPr>
        <w:t>CA数字证书</w:t>
      </w:r>
      <w:r>
        <w:rPr>
          <w:rFonts w:hint="eastAsia" w:ascii="宋体" w:hAnsi="宋体" w:eastAsia="宋体" w:cs="宋体"/>
          <w:b/>
          <w:bCs/>
          <w:color w:val="000000"/>
          <w:sz w:val="21"/>
          <w:szCs w:val="21"/>
          <w:highlight w:val="none"/>
          <w:shd w:val="clear" w:color="auto" w:fill="auto"/>
        </w:rPr>
        <w:t>参加磋商。</w:t>
      </w:r>
      <w:r>
        <w:rPr>
          <w:rFonts w:hint="eastAsia" w:ascii="宋体" w:hAnsi="宋体" w:eastAsia="宋体" w:cs="宋体"/>
          <w:b/>
          <w:color w:val="000000"/>
          <w:kern w:val="0"/>
          <w:sz w:val="21"/>
          <w:szCs w:val="21"/>
          <w:highlight w:val="none"/>
          <w:shd w:val="clear" w:color="auto" w:fill="auto"/>
        </w:rPr>
        <w:t>请供应商实时登陆“</w:t>
      </w:r>
      <w:r>
        <w:rPr>
          <w:rFonts w:hint="eastAsia" w:ascii="宋体" w:hAnsi="宋体" w:eastAsia="宋体" w:cs="宋体"/>
          <w:b/>
          <w:color w:val="000000"/>
          <w:kern w:val="0"/>
          <w:sz w:val="21"/>
          <w:szCs w:val="21"/>
          <w:highlight w:val="none"/>
          <w:shd w:val="clear" w:color="auto" w:fill="auto"/>
          <w:lang w:eastAsia="zh-CN"/>
        </w:rPr>
        <w:t>广西政府采购云平台</w:t>
      </w:r>
      <w:r>
        <w:rPr>
          <w:rFonts w:hint="eastAsia" w:ascii="宋体" w:hAnsi="宋体" w:eastAsia="宋体" w:cs="宋体"/>
          <w:b/>
          <w:color w:val="000000"/>
          <w:kern w:val="0"/>
          <w:sz w:val="21"/>
          <w:szCs w:val="21"/>
          <w:highlight w:val="none"/>
          <w:shd w:val="clear" w:color="auto" w:fill="auto"/>
        </w:rPr>
        <w:t>”等候在线磋商。</w:t>
      </w:r>
    </w:p>
    <w:p w14:paraId="384B34B7">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bCs/>
          <w:color w:val="000000"/>
          <w:sz w:val="21"/>
          <w:szCs w:val="21"/>
          <w:highlight w:val="none"/>
          <w:shd w:val="clear" w:color="auto" w:fill="auto"/>
        </w:rPr>
      </w:pPr>
      <w:r>
        <w:rPr>
          <w:rFonts w:hint="eastAsia" w:ascii="宋体" w:hAnsi="宋体" w:eastAsia="宋体" w:cs="宋体"/>
          <w:bCs/>
          <w:color w:val="000000"/>
          <w:sz w:val="21"/>
          <w:szCs w:val="21"/>
          <w:highlight w:val="none"/>
          <w:shd w:val="clear" w:color="auto" w:fill="auto"/>
        </w:rPr>
        <w:t>19.2.4响应文件递交截止时间后，由磋商小组在评标室内线上开启响应文件。</w:t>
      </w:r>
      <w:bookmarkEnd w:id="166"/>
    </w:p>
    <w:p w14:paraId="1E2D136C">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bookmarkStart w:id="167" w:name="_Toc22332"/>
      <w:bookmarkStart w:id="168" w:name="_Toc3381"/>
      <w:bookmarkStart w:id="169" w:name="_Toc25258"/>
      <w:r>
        <w:rPr>
          <w:rFonts w:hint="eastAsia" w:ascii="宋体" w:hAnsi="宋体" w:eastAsia="宋体" w:cs="宋体"/>
          <w:color w:val="000000"/>
          <w:sz w:val="21"/>
          <w:szCs w:val="21"/>
          <w:highlight w:val="none"/>
          <w:shd w:val="clear" w:color="auto" w:fill="auto"/>
        </w:rPr>
        <w:t>20. 评审原则</w:t>
      </w:r>
      <w:bookmarkEnd w:id="167"/>
      <w:bookmarkEnd w:id="168"/>
      <w:bookmarkEnd w:id="169"/>
    </w:p>
    <w:p w14:paraId="08A1D75D">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20.1 磋商小组必须坚持公平、公正、科学和择优的原则。</w:t>
      </w:r>
    </w:p>
    <w:p w14:paraId="66279863">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20.2 评审办法：综合评分法，具体详见第三章评审办法。</w:t>
      </w:r>
    </w:p>
    <w:p w14:paraId="16787E50">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20.3 磋商小组应按磋商文件进行评审，不得擅自更改评审办法。</w:t>
      </w:r>
    </w:p>
    <w:p w14:paraId="0238D69C">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20.4 在评审过程中，磋商小组任何人不得对某个供应商发表任何倾向性意见，不得向其他磋商小组成员明示或者暗示自己的评审意见。</w:t>
      </w:r>
    </w:p>
    <w:p w14:paraId="14E9FF9D">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20.5 磋商小组成员对需要共同认定的事项存在争议的，按照少数服从多数的原则作出结论。持不同意见的磋商小组成员应当在评审报告上签署不同意见并说明理由，否则视为同意。</w:t>
      </w:r>
    </w:p>
    <w:p w14:paraId="6F0920B3">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20.6 响应文件最后报价出现前后不一致的，除竞争性磋商文件另有规定外，按照下列规定修正：</w:t>
      </w:r>
    </w:p>
    <w:p w14:paraId="72777FA3">
      <w:pPr>
        <w:pStyle w:val="80"/>
        <w:pageBreakBefore w:val="0"/>
        <w:widowControl w:val="0"/>
        <w:tabs>
          <w:tab w:val="left" w:pos="1099"/>
        </w:tabs>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 响应文件中磋商报价表内容与响应文件中相应内容不一致的，以最后磋商报价表为准；</w:t>
      </w:r>
    </w:p>
    <w:p w14:paraId="65BD4148">
      <w:pPr>
        <w:pStyle w:val="80"/>
        <w:pageBreakBefore w:val="0"/>
        <w:widowControl w:val="0"/>
        <w:tabs>
          <w:tab w:val="left" w:pos="1099"/>
        </w:tabs>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 大写金额和小写金额不一致的，以大写金额为准；</w:t>
      </w:r>
    </w:p>
    <w:p w14:paraId="69B6BDA4">
      <w:pPr>
        <w:pStyle w:val="80"/>
        <w:pageBreakBefore w:val="0"/>
        <w:widowControl w:val="0"/>
        <w:tabs>
          <w:tab w:val="left" w:pos="1099"/>
        </w:tabs>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(3) 单价金额小数点或者百分比有明显错位的，以报价表的总价为准，并修改单价；</w:t>
      </w:r>
    </w:p>
    <w:p w14:paraId="7F5DF823">
      <w:pPr>
        <w:pStyle w:val="80"/>
        <w:pageBreakBefore w:val="0"/>
        <w:widowControl w:val="0"/>
        <w:tabs>
          <w:tab w:val="left" w:pos="1099"/>
        </w:tabs>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(4) 总价金额与按单价汇总金额不一致的，以单价金额计算结果为准。</w:t>
      </w:r>
    </w:p>
    <w:p w14:paraId="66A4DD1C">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3C9FC8A7">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bookmarkStart w:id="170" w:name="_Toc9284"/>
      <w:bookmarkStart w:id="171" w:name="_Toc27193"/>
      <w:bookmarkStart w:id="172" w:name="_Toc31876"/>
      <w:r>
        <w:rPr>
          <w:rFonts w:hint="eastAsia" w:ascii="宋体" w:hAnsi="宋体" w:eastAsia="宋体" w:cs="宋体"/>
          <w:color w:val="000000"/>
          <w:sz w:val="21"/>
          <w:szCs w:val="21"/>
          <w:highlight w:val="none"/>
          <w:shd w:val="clear" w:color="auto" w:fill="auto"/>
        </w:rPr>
        <w:t>21. 评审程序及磋商要求</w:t>
      </w:r>
      <w:bookmarkEnd w:id="170"/>
      <w:bookmarkEnd w:id="171"/>
      <w:bookmarkEnd w:id="172"/>
    </w:p>
    <w:p w14:paraId="4D2085A4">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21.1磋商小组成员的通讯工具或相关电子设备交由桂林市公共资源交易中心统一保管后到达评标室，采购代理机构核实磋商小组成员身份，告知回避要求，宣布评审工作纪律和程序，推选磋商小组组长。</w:t>
      </w:r>
    </w:p>
    <w:p w14:paraId="7743C9C1">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281A0611">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 xml:space="preserve">21.3磋商小组依据竞争性磋商文件的规定，首先对响应文件进行资格性审查，以确定供应商是否具备本项 目供应商资格；再对通过资格性审查的供应商响应文件的有效性、完整性和对磋商文件的响应程度进行符合性审查，以确定是否对磋商文件的实质性要求做出响应。 </w:t>
      </w:r>
    </w:p>
    <w:p w14:paraId="49D50668">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bCs/>
          <w:color w:val="000000"/>
          <w:sz w:val="21"/>
          <w:szCs w:val="21"/>
          <w:highlight w:val="none"/>
          <w:shd w:val="clear" w:color="auto" w:fill="auto"/>
        </w:rPr>
      </w:pPr>
      <w:r>
        <w:rPr>
          <w:rFonts w:hint="eastAsia" w:ascii="宋体" w:hAnsi="宋体" w:eastAsia="宋体" w:cs="宋体"/>
          <w:b/>
          <w:bCs/>
          <w:color w:val="000000"/>
          <w:sz w:val="21"/>
          <w:szCs w:val="21"/>
          <w:highlight w:val="none"/>
          <w:shd w:val="clear" w:color="auto" w:fill="auto"/>
        </w:rPr>
        <w:t>21.4 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44EB430F">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21.4.1 查询渠道：《国家企业信用信息公示系统》（网址：www.gsxt.gov.cn/index.html）</w:t>
      </w:r>
    </w:p>
    <w:p w14:paraId="62CAA241">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21.4.2 审查流程：</w:t>
      </w:r>
    </w:p>
    <w:p w14:paraId="4C5FEE11">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（1）进入《国家企业信用信息公示系统》（网址：www.gsxt.gov.cn/index.html），输入企业名称，进入企业信息主页面；</w:t>
      </w:r>
    </w:p>
    <w:p w14:paraId="717790C3">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（2）查看主页“股东及出资信息”栏，或年报中的“股东及出资信息”栏信息；</w:t>
      </w:r>
    </w:p>
    <w:p w14:paraId="32CF2F7A">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（3）将各供应商的股东及出资信息进行比对，得出审查结论；</w:t>
      </w:r>
    </w:p>
    <w:p w14:paraId="074F6542">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（4）将相关资料作为评审资料打印存档。</w:t>
      </w:r>
    </w:p>
    <w:p w14:paraId="7392E8B7">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bCs/>
          <w:color w:val="000000"/>
          <w:sz w:val="21"/>
          <w:szCs w:val="21"/>
          <w:highlight w:val="none"/>
          <w:shd w:val="clear" w:color="auto" w:fill="auto"/>
        </w:rPr>
      </w:pPr>
      <w:r>
        <w:rPr>
          <w:rFonts w:hint="eastAsia" w:ascii="宋体" w:hAnsi="宋体" w:eastAsia="宋体" w:cs="宋体"/>
          <w:b/>
          <w:bCs/>
          <w:color w:val="000000"/>
          <w:sz w:val="21"/>
          <w:szCs w:val="21"/>
          <w:highlight w:val="none"/>
          <w:shd w:val="clear" w:color="auto" w:fill="auto"/>
        </w:rPr>
        <w:t>21.5 磋商小组如发现供应商提供的证明文件不齐全或不符合规定格式的，应一次性告知供应商，供应商应在规定的时间内线上补正或更正。</w:t>
      </w:r>
    </w:p>
    <w:p w14:paraId="157B0B67">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21.6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个人CA签章)或者加盖供应商公章(CA签章)。</w:t>
      </w:r>
    </w:p>
    <w:p w14:paraId="020940EB">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根据磋商文件规定的程序、评定成交的标准等事项与实质性响应竞争性磋商文件要求的供应商进行磋商。</w:t>
      </w:r>
    </w:p>
    <w:p w14:paraId="256E49D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 xml:space="preserve">未实质性响应磋商文件的响应文件按无效处理，磋商小组应当告知有关供应商。 </w:t>
      </w:r>
    </w:p>
    <w:p w14:paraId="182E54E7">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磋商小组所有成员应当按已确定的磋商顺序集中与单一供应商分别进行磋商，并给予所有实质性响应竞争性磋商文件要求的供应商平等的磋商机会。</w:t>
      </w:r>
    </w:p>
    <w:p w14:paraId="2CE8ACF9">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 xml:space="preserve">磋商中，磋商小组不得透露与磋商有关的其他供应商的技术资料、价格和其他信息。 </w:t>
      </w:r>
    </w:p>
    <w:p w14:paraId="7E9B0CEA">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磋商小组对磋商过程和重要磋商内容进行记录，磋商双方在记录上签字确认（个人CA签章)或者加盖供应商公章(CA签章)。</w:t>
      </w:r>
    </w:p>
    <w:p w14:paraId="04B558E2">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747868CF">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 xml:space="preserve">21.8 在磋商过程中，磋商小组可以根据磋商文件和磋商情况实质性变动项目需求中的技术、服务要求以及合同草案条款，但不得变动磋商文件中的其他内容。实质性变动的内容，须经采购人代表确认。 </w:t>
      </w:r>
    </w:p>
    <w:p w14:paraId="5D196EEF">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对磋商文件作出的实质性变动是磋商文件的有效组成部分，磋商小组应当及时通过</w:t>
      </w:r>
      <w:r>
        <w:rPr>
          <w:rFonts w:hint="eastAsia" w:ascii="宋体" w:hAnsi="宋体" w:eastAsia="宋体" w:cs="宋体"/>
          <w:color w:val="000000"/>
          <w:sz w:val="21"/>
          <w:szCs w:val="21"/>
          <w:highlight w:val="none"/>
          <w:shd w:val="clear" w:color="auto" w:fill="auto"/>
          <w:lang w:eastAsia="zh-CN"/>
        </w:rPr>
        <w:t>广西政府采购云平台</w:t>
      </w:r>
      <w:r>
        <w:rPr>
          <w:rFonts w:hint="eastAsia" w:ascii="宋体" w:hAnsi="宋体" w:eastAsia="宋体" w:cs="宋体"/>
          <w:color w:val="000000"/>
          <w:sz w:val="21"/>
          <w:szCs w:val="21"/>
          <w:highlight w:val="none"/>
          <w:shd w:val="clear" w:color="auto" w:fill="auto"/>
        </w:rPr>
        <w:t xml:space="preserve">同时通知所有参加磋商的供应商。 </w:t>
      </w:r>
    </w:p>
    <w:p w14:paraId="7978B6C0">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 xml:space="preserve">供应商应当按照磋商文件的变动情况和磋商小组的要求重新提交响应文件，并由其法定代表人、负责人、自然人或相应的授权委托代表签字（个人CA签章）或者加盖供应商公章(CA签章)。逾时不交的，视同放弃磋商。 </w:t>
      </w:r>
    </w:p>
    <w:p w14:paraId="54F960FC">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21.9 第二轮磋商</w:t>
      </w:r>
    </w:p>
    <w:p w14:paraId="3E71BF61">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磋商小组集中就重新提交的响应文件或磋商小组提出的磋商意见与单一响应供应商分别进行磋商。磋商小组对磋商过程和重要磋商内容进行记录，磋商双方在记录上签字确认（CA签章确认）。</w:t>
      </w:r>
    </w:p>
    <w:p w14:paraId="2EBE868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磋商后，供应商根据磋商小组统一整理的书面磋商记录要求做出书面承诺，并由其法定代表人或授权代表签字或者加盖公章（CA签章）后按时线上提交。</w:t>
      </w:r>
    </w:p>
    <w:p w14:paraId="6646359D">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5162DFF7">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 xml:space="preserve">21.10 在采购过程中符合竞争要求的供应商或者报价未超过采购预算的供应商不足3家的，采购人或者采购代理机构应当终止竞争性磋商采购活动。 </w:t>
      </w:r>
    </w:p>
    <w:p w14:paraId="6B11BBF1">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 xml:space="preserve">21.11 最后报价 </w:t>
      </w:r>
    </w:p>
    <w:p w14:paraId="79C66396">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 xml:space="preserve">21.11.1 磋商文件能够详细列明采购标的的技术、服务要求的，磋商结束后，磋商小组应当要求所有继续参加磋商的供应商在规定时间内线上提交最后报价，提交最后报价的供应商不得少于3家。 </w:t>
      </w:r>
    </w:p>
    <w:p w14:paraId="039801B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 xml:space="preserve">21.11.2 磋商文件不能详细列明采购标的的技术、服务要求的，需由磋商供应商提供最终设计方案或解决方案的，磋商结束后，磋商小组应当按照少数服从多数的原则投票推荐3家以上（含3家）供应商的设计方案或者解决方案，并要求其在规定时间内线上提交最后报价。 </w:t>
      </w:r>
    </w:p>
    <w:p w14:paraId="3982B714">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21.11.3 根据《财政部关于政府采购竞争性磋商采购方式管理暂行办法有关问题的补充通知》(财库〔2014〕214号)的规定，如采购项目为政府购买服务项目（含政府和社会资本合作项目），在采购过程中符合要求的供应商（社会资本）只有2家的，竞争性磋商采购活动可以继续进行，并要求其在规定时间内线上提交最后报价；采购过程中符合要求的供应商（社会资本）只有1家的，采购人或者采购代理机构应当终止竞争性磋商采购活动，发布项目终止公告并说明原因，重新开展采购活动。</w:t>
      </w:r>
    </w:p>
    <w:p w14:paraId="1A59DB5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bCs/>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21.11.4 根据《政府采购竞争性磋商采购方式管理暂行办法》(财库〔2014〕214号)的规定：</w:t>
      </w:r>
      <w:r>
        <w:rPr>
          <w:rFonts w:hint="eastAsia" w:ascii="宋体" w:hAnsi="宋体" w:eastAsia="宋体" w:cs="宋体"/>
          <w:bCs/>
          <w:color w:val="000000"/>
          <w:sz w:val="21"/>
          <w:szCs w:val="21"/>
          <w:highlight w:val="none"/>
          <w:shd w:val="clear" w:color="auto" w:fill="auto"/>
        </w:rPr>
        <w:t>最后报价是供应商响应文件的有效组成部分。</w:t>
      </w:r>
      <w:r>
        <w:rPr>
          <w:rFonts w:hint="eastAsia" w:ascii="宋体" w:hAnsi="宋体" w:eastAsia="宋体" w:cs="宋体"/>
          <w:color w:val="000000"/>
          <w:sz w:val="21"/>
          <w:szCs w:val="21"/>
          <w:highlight w:val="none"/>
          <w:shd w:val="clear" w:color="auto" w:fill="auto"/>
        </w:rPr>
        <w:t>符合本办法(财库〔2014〕214号文)第三条第四项情形的，提交最后报价的供应商可以为2家。</w:t>
      </w:r>
      <w:r>
        <w:rPr>
          <w:rFonts w:hint="eastAsia" w:ascii="宋体" w:hAnsi="宋体" w:eastAsia="宋体" w:cs="宋体"/>
          <w:bCs/>
          <w:color w:val="000000"/>
          <w:sz w:val="21"/>
          <w:szCs w:val="21"/>
          <w:highlight w:val="none"/>
          <w:shd w:val="clear" w:color="auto" w:fill="auto"/>
        </w:rPr>
        <w:t>（财库〔2014〕214号文第三条第四项：市场竞争不充分的科研项目，以及需要扶持的科技成果转化项目。）</w:t>
      </w:r>
    </w:p>
    <w:p w14:paraId="1F34A9F1">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21.12 已提交响应文件的供应商，在提交最后报价之前，可以根据磋商情况书面退出磋商。</w:t>
      </w:r>
    </w:p>
    <w:p w14:paraId="5FCC89F9">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未书面退出磋商的供应商在规定时间内线上提交最后报价，其最后报价超出采购预算导致已通过评审的响应文件无效的，按供应商在提交响应文件截止时间后撤回响应文件处理。</w:t>
      </w:r>
    </w:p>
    <w:p w14:paraId="12F0C00F">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21.13 评审报告</w:t>
      </w:r>
    </w:p>
    <w:p w14:paraId="2373B63C">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磋商小组应当从质量和服务均能满足磋商文件全部实质性响应要求的供应商中，按照最后综合得分由高到低的顺序提出3名以上（含3名）成交候选人，并编写评审报告。</w:t>
      </w:r>
    </w:p>
    <w:p w14:paraId="2CDD5674">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21.14 在评审过程中出现法律法规和磋商文件均没有明确规定的情形时，由磋商小组现场协商解决，协商不一致的，由全体磋商小组投票表决，以得票率二分之一以上磋商小组成员的意见为准。</w:t>
      </w:r>
    </w:p>
    <w:p w14:paraId="0EEE5F89">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21.15 采购代理机构发现磋商小组有明显的违规倾向或歧视现象，或不按评审办法进行，或其他不正常行为的，应当及时制止。如制止无效，应及时向</w:t>
      </w:r>
      <w:r>
        <w:rPr>
          <w:rFonts w:hint="eastAsia" w:ascii="宋体" w:hAnsi="宋体" w:eastAsia="宋体" w:cs="宋体"/>
          <w:color w:val="000000"/>
          <w:kern w:val="0"/>
          <w:sz w:val="21"/>
          <w:szCs w:val="21"/>
          <w:highlight w:val="none"/>
          <w:shd w:val="clear" w:color="auto" w:fill="auto"/>
          <w:lang w:eastAsia="zh-CN"/>
        </w:rPr>
        <w:t>桂林市</w:t>
      </w:r>
      <w:r>
        <w:rPr>
          <w:rFonts w:hint="eastAsia" w:ascii="宋体" w:hAnsi="宋体" w:eastAsia="宋体" w:cs="宋体"/>
          <w:color w:val="000000"/>
          <w:kern w:val="0"/>
          <w:sz w:val="21"/>
          <w:szCs w:val="21"/>
          <w:highlight w:val="none"/>
          <w:shd w:val="clear" w:color="auto" w:fill="auto"/>
          <w:lang w:val="en-US" w:eastAsia="zh-CN"/>
        </w:rPr>
        <w:t>兴安县</w:t>
      </w:r>
      <w:r>
        <w:rPr>
          <w:rFonts w:hint="eastAsia" w:ascii="宋体" w:hAnsi="宋体" w:eastAsia="宋体" w:cs="宋体"/>
          <w:color w:val="000000"/>
          <w:kern w:val="0"/>
          <w:sz w:val="21"/>
          <w:szCs w:val="21"/>
          <w:highlight w:val="none"/>
          <w:shd w:val="clear" w:color="auto" w:fill="auto"/>
          <w:lang w:eastAsia="zh-CN"/>
        </w:rPr>
        <w:t>政府采购办公室</w:t>
      </w:r>
      <w:r>
        <w:rPr>
          <w:rFonts w:hint="eastAsia" w:ascii="宋体" w:hAnsi="宋体" w:eastAsia="宋体" w:cs="宋体"/>
          <w:color w:val="000000"/>
          <w:sz w:val="21"/>
          <w:szCs w:val="21"/>
          <w:highlight w:val="none"/>
          <w:shd w:val="clear" w:color="auto" w:fill="auto"/>
        </w:rPr>
        <w:t>监督管理机构报告。</w:t>
      </w:r>
    </w:p>
    <w:p w14:paraId="0EC0325F">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b/>
          <w:bCs/>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21.16 本采购项目的评审依据为竞争性磋商文件和竞争性磋商响应文件，采用的评审方法为</w:t>
      </w:r>
      <w:r>
        <w:rPr>
          <w:rFonts w:hint="eastAsia" w:ascii="宋体" w:hAnsi="宋体" w:eastAsia="宋体" w:cs="宋体"/>
          <w:b/>
          <w:bCs/>
          <w:color w:val="000000"/>
          <w:sz w:val="21"/>
          <w:szCs w:val="21"/>
          <w:highlight w:val="none"/>
          <w:shd w:val="clear" w:color="auto" w:fill="auto"/>
        </w:rPr>
        <w:t>综合评分法。</w:t>
      </w:r>
    </w:p>
    <w:p w14:paraId="40D79C79">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bookmarkStart w:id="173" w:name="_Toc6719"/>
      <w:bookmarkStart w:id="174" w:name="_Toc32470"/>
      <w:bookmarkStart w:id="175" w:name="_Toc15346"/>
      <w:r>
        <w:rPr>
          <w:rFonts w:hint="eastAsia" w:ascii="宋体" w:hAnsi="宋体" w:eastAsia="宋体" w:cs="宋体"/>
          <w:color w:val="000000"/>
          <w:sz w:val="21"/>
          <w:szCs w:val="21"/>
          <w:highlight w:val="none"/>
          <w:shd w:val="clear" w:color="auto" w:fill="auto"/>
        </w:rPr>
        <w:t>22. 确定成交供应商</w:t>
      </w:r>
      <w:bookmarkEnd w:id="173"/>
      <w:bookmarkEnd w:id="174"/>
      <w:bookmarkEnd w:id="175"/>
    </w:p>
    <w:p w14:paraId="42889ECC">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22.1磋商小组应当根据综合得分情况，按照综合得分由高到低顺序推荐成交候选人，并编写评审报告。磋商小组根据综合得分由高到低排列次序，若得分相同时，以最后报价由低到高顺序排列；若得分相同且最后报价相同的，由磋商小组按照技术指标优劣顺序推荐。</w:t>
      </w:r>
    </w:p>
    <w:p w14:paraId="26FDFDF9">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22.2采购单位应当确定磋商小组推荐排名第一的成交候选人为成交供应商。</w:t>
      </w:r>
    </w:p>
    <w:p w14:paraId="3FBA76C3">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22.3排名第一的成交候选人放弃成交、因不可抗力提出不能履行合同，或信用信息记录不符合相关规定的，或者磋商文件规定应当提交履约保证金而在规定的期限内未能提交的，采购单位可以依法确定排名第二的成交候选人为成交供应商。</w:t>
      </w:r>
    </w:p>
    <w:p w14:paraId="146E1556">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22.4排名第二的成交候选人因前款规定的同样原因不能签订合同的，采购单位可以依法确定排名第三的成交候选人为成交供应商。</w:t>
      </w:r>
    </w:p>
    <w:p w14:paraId="456BB883">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bookmarkStart w:id="176" w:name="_Toc582"/>
      <w:bookmarkStart w:id="177" w:name="_Toc21715"/>
      <w:bookmarkStart w:id="178" w:name="_Toc30087"/>
      <w:r>
        <w:rPr>
          <w:rFonts w:hint="eastAsia" w:ascii="宋体" w:hAnsi="宋体" w:eastAsia="宋体" w:cs="宋体"/>
          <w:color w:val="000000"/>
          <w:sz w:val="21"/>
          <w:szCs w:val="21"/>
          <w:highlight w:val="none"/>
          <w:shd w:val="clear" w:color="auto" w:fill="auto"/>
        </w:rPr>
        <w:t>23. 属于下列情况之一者，响应文件无效</w:t>
      </w:r>
      <w:bookmarkEnd w:id="176"/>
      <w:bookmarkEnd w:id="177"/>
      <w:bookmarkEnd w:id="178"/>
    </w:p>
    <w:p w14:paraId="2152163A">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（1）未按磋商文件规定完整线上提交响应文件或未按规定要求线上签字、签章的；</w:t>
      </w:r>
    </w:p>
    <w:p w14:paraId="1F7F6E85">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（2）不具备磋商文件规定的资格要求的；</w:t>
      </w:r>
    </w:p>
    <w:p w14:paraId="5F5617CD">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（3）响应文件未按磋商文件的内容和要求编制，或提供虚假材料的；</w:t>
      </w:r>
    </w:p>
    <w:p w14:paraId="19B45282">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（4）响应文件有效期、工期、工程质保期、工程承诺服务不能满足磋商文件要求的；</w:t>
      </w:r>
    </w:p>
    <w:p w14:paraId="1460795B">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（5）供应商未就“采购需求”中的所有内容作完整报价的，或报价总金额超出最高限价的，或经评审磋商报价低于成本价的；</w:t>
      </w:r>
    </w:p>
    <w:p w14:paraId="2080F451">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（6）未在磋商小组规定的时间内提交响应文件(包括最后报价)的；</w:t>
      </w:r>
    </w:p>
    <w:p w14:paraId="05B5230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（7）超越了按照法律法规规定必须获得行政许可或者行政审批的经营范围的；</w:t>
      </w:r>
    </w:p>
    <w:p w14:paraId="73F41092">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（8）未满足磋商文件实质性要求的或者响应文件有采购人不能接受的附加条件的；</w:t>
      </w:r>
    </w:p>
    <w:p w14:paraId="3E9AB1B7">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（9）响应文件实质性要求未做变动，供应商最后报价高于第一次报价的；</w:t>
      </w:r>
    </w:p>
    <w:p w14:paraId="7C948D14">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（10）不符合法律、法规和磋商文件规定的其他实质性要求和条件的。</w:t>
      </w:r>
    </w:p>
    <w:p w14:paraId="36FB45A9">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b/>
          <w:bCs/>
          <w:color w:val="000000"/>
          <w:sz w:val="21"/>
          <w:szCs w:val="21"/>
          <w:highlight w:val="none"/>
          <w:shd w:val="clear" w:color="auto" w:fill="auto"/>
        </w:rPr>
      </w:pPr>
      <w:r>
        <w:rPr>
          <w:rFonts w:hint="eastAsia" w:ascii="宋体" w:hAnsi="宋体" w:eastAsia="宋体" w:cs="宋体"/>
          <w:b/>
          <w:bCs/>
          <w:color w:val="000000"/>
          <w:sz w:val="21"/>
          <w:szCs w:val="21"/>
          <w:highlight w:val="none"/>
          <w:shd w:val="clear" w:color="auto" w:fill="auto"/>
        </w:rPr>
        <w:t>供应商有下列情形之一的视为供应商相互串通磋商，响应文件将被视为无效</w:t>
      </w:r>
    </w:p>
    <w:p w14:paraId="01E12863">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（1）不同供应商的响应文件由同一单位或者个人编制；或不同供应商报名的IP地址一致的；</w:t>
      </w:r>
    </w:p>
    <w:p w14:paraId="5D77B31C">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（2）不同供应商委托同一单位或者个人办理磋商事宜；</w:t>
      </w:r>
    </w:p>
    <w:p w14:paraId="2DC6D68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（3）不同的供应商的响应文件载明的项目管理员为同一个人；</w:t>
      </w:r>
    </w:p>
    <w:p w14:paraId="23FB06F2">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（4）不同供应商的响应文件异常一致或磋商报价呈规律性差异；</w:t>
      </w:r>
    </w:p>
    <w:p w14:paraId="34EC5B0B">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（5）不同供应商的响应文件相互混编。</w:t>
      </w:r>
    </w:p>
    <w:p w14:paraId="37C592A0">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bookmarkStart w:id="179" w:name="_Toc14842"/>
      <w:bookmarkStart w:id="180" w:name="_Toc4124"/>
      <w:bookmarkStart w:id="181" w:name="_Toc5714"/>
      <w:r>
        <w:rPr>
          <w:rFonts w:hint="eastAsia" w:ascii="宋体" w:hAnsi="宋体" w:eastAsia="宋体" w:cs="宋体"/>
          <w:color w:val="000000"/>
          <w:sz w:val="21"/>
          <w:szCs w:val="21"/>
          <w:highlight w:val="none"/>
          <w:shd w:val="clear" w:color="auto" w:fill="auto"/>
        </w:rPr>
        <w:t>24. 出现下列情形之一的，采购人或者采购代理机构应当终止竞争性磋商采购活动，发布项目终止公告并说明原因，重新开展采购活动</w:t>
      </w:r>
      <w:bookmarkEnd w:id="179"/>
      <w:bookmarkEnd w:id="180"/>
      <w:bookmarkEnd w:id="181"/>
    </w:p>
    <w:p w14:paraId="26261776">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（1）因情况变化，不再符合规定的竞争性磋商采购方式适用情形的；</w:t>
      </w:r>
    </w:p>
    <w:p w14:paraId="6A81C48A">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 xml:space="preserve">（2）出现影响采购公正的违法、违规行为的； </w:t>
      </w:r>
    </w:p>
    <w:p w14:paraId="0126C79C">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 xml:space="preserve">（3）在采购过程中符合竞争要求的供应商或者报价未超过采购预算的供应商不足3家的。（除财库〔2014〕214 号《政府采购竞争性磋商采购方式管理暂行办法》第二十一条第三款规定的情形外） </w:t>
      </w:r>
    </w:p>
    <w:p w14:paraId="5B7C4E4B">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bookmarkStart w:id="182" w:name="_Toc19105"/>
      <w:bookmarkStart w:id="183" w:name="_Toc6771"/>
      <w:bookmarkStart w:id="184" w:name="_Toc7572"/>
      <w:r>
        <w:rPr>
          <w:rFonts w:hint="eastAsia" w:ascii="宋体" w:hAnsi="宋体" w:eastAsia="宋体" w:cs="宋体"/>
          <w:color w:val="000000"/>
          <w:sz w:val="21"/>
          <w:szCs w:val="21"/>
          <w:highlight w:val="none"/>
          <w:shd w:val="clear" w:color="auto" w:fill="auto"/>
        </w:rPr>
        <w:t>25. 磋商过程的监控</w:t>
      </w:r>
      <w:bookmarkEnd w:id="182"/>
      <w:bookmarkEnd w:id="183"/>
      <w:bookmarkEnd w:id="184"/>
    </w:p>
    <w:p w14:paraId="48599BED">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本项目磋商过程实行全程录音、录像监控，供应商在磋商过程中所进行的试图影响磋商结果的不公正活动，可能导致其磋商被拒绝。</w:t>
      </w:r>
    </w:p>
    <w:p w14:paraId="2B1E79F1">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bookmarkStart w:id="185" w:name="_Toc14787"/>
      <w:bookmarkStart w:id="186" w:name="_Toc1014"/>
      <w:bookmarkStart w:id="187" w:name="_Toc7544"/>
      <w:r>
        <w:rPr>
          <w:rFonts w:hint="eastAsia" w:ascii="宋体" w:hAnsi="宋体" w:eastAsia="宋体" w:cs="宋体"/>
          <w:color w:val="000000"/>
          <w:sz w:val="21"/>
          <w:szCs w:val="21"/>
          <w:highlight w:val="none"/>
          <w:shd w:val="clear" w:color="auto" w:fill="auto"/>
        </w:rPr>
        <w:t>26. 信用查询</w:t>
      </w:r>
      <w:bookmarkEnd w:id="185"/>
      <w:bookmarkEnd w:id="186"/>
      <w:bookmarkEnd w:id="187"/>
    </w:p>
    <w:p w14:paraId="06BC3BA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根据《关于做好政府采购有关信用主体标识码登记及在政府采购活动中查询使用信用记录有关问题的通知》桂财采〔2016〕37号的通知，采购代理机构对成交供应商的成交资格进行信用查询：</w:t>
      </w:r>
    </w:p>
    <w:p w14:paraId="6194E1BA">
      <w:pPr>
        <w:pageBreakBefore w:val="0"/>
        <w:widowControl w:val="0"/>
        <w:kinsoku/>
        <w:wordWrap/>
        <w:overflowPunct/>
        <w:topLinePunct w:val="0"/>
        <w:autoSpaceDE/>
        <w:autoSpaceDN/>
        <w:bidi w:val="0"/>
        <w:adjustRightInd/>
        <w:spacing w:line="360" w:lineRule="auto"/>
        <w:ind w:left="0" w:leftChars="0" w:firstLine="210" w:firstLineChars="1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（1）查询渠道：“信用中国”网站(www.creditchina.gov.cn)、中国政府采购网(www.ccgp.gov.cn)等；</w:t>
      </w:r>
    </w:p>
    <w:p w14:paraId="21D87B36">
      <w:pPr>
        <w:pageBreakBefore w:val="0"/>
        <w:widowControl w:val="0"/>
        <w:kinsoku/>
        <w:wordWrap/>
        <w:overflowPunct/>
        <w:topLinePunct w:val="0"/>
        <w:autoSpaceDE/>
        <w:autoSpaceDN/>
        <w:bidi w:val="0"/>
        <w:adjustRightInd/>
        <w:spacing w:line="360" w:lineRule="auto"/>
        <w:ind w:left="0" w:leftChars="0" w:firstLine="210" w:firstLineChars="1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（2）查询时间：成交通知书发出前；</w:t>
      </w:r>
    </w:p>
    <w:p w14:paraId="485628C3">
      <w:pPr>
        <w:pageBreakBefore w:val="0"/>
        <w:widowControl w:val="0"/>
        <w:kinsoku/>
        <w:wordWrap/>
        <w:overflowPunct/>
        <w:topLinePunct w:val="0"/>
        <w:autoSpaceDE/>
        <w:autoSpaceDN/>
        <w:bidi w:val="0"/>
        <w:adjustRightInd/>
        <w:spacing w:line="360" w:lineRule="auto"/>
        <w:ind w:left="0" w:leftChars="0" w:firstLine="210" w:firstLineChars="1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（3）信用信息查询记录和证据留存方式：在查询网站中直接打印查询记录，打印材料作为采购活动资料保存。</w:t>
      </w:r>
    </w:p>
    <w:p w14:paraId="2C67525F">
      <w:pPr>
        <w:pageBreakBefore w:val="0"/>
        <w:widowControl w:val="0"/>
        <w:kinsoku/>
        <w:wordWrap/>
        <w:overflowPunct/>
        <w:topLinePunct w:val="0"/>
        <w:autoSpaceDE/>
        <w:autoSpaceDN/>
        <w:bidi w:val="0"/>
        <w:adjustRightInd/>
        <w:spacing w:line="360" w:lineRule="auto"/>
        <w:ind w:left="0" w:leftChars="0" w:firstLine="210" w:firstLineChars="1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（4）信用信息使用规则：对在“信用中国”网站(www.creditchina.gov.cn)、中国政府采购网(www.ccgp.gov.cn)等渠道列入失信被执行人、</w:t>
      </w:r>
      <w:r>
        <w:rPr>
          <w:rFonts w:hint="eastAsia" w:ascii="宋体" w:hAnsi="宋体" w:eastAsia="宋体" w:cs="宋体"/>
          <w:color w:val="000000"/>
          <w:sz w:val="21"/>
          <w:szCs w:val="21"/>
          <w:highlight w:val="none"/>
          <w:shd w:val="clear" w:color="auto" w:fill="auto"/>
          <w:lang w:eastAsia="zh-CN"/>
        </w:rPr>
        <w:t>重大税收违法失信主体</w:t>
      </w:r>
      <w:r>
        <w:rPr>
          <w:rFonts w:hint="eastAsia" w:ascii="宋体" w:hAnsi="宋体" w:eastAsia="宋体" w:cs="宋体"/>
          <w:color w:val="000000"/>
          <w:sz w:val="21"/>
          <w:szCs w:val="21"/>
          <w:highlight w:val="none"/>
          <w:shd w:val="clear" w:color="auto" w:fill="auto"/>
        </w:rPr>
        <w:t>、政府采购严重违法失信行为记录名单及其他不符合《中华人民共和国政府采购法》第二十二条规定条件的供应商，不得参与政府采购活动，取消其成交候选人资格。采购人依法按照评审报告中磋商小组推荐成交候选人排序表依法确定排名第二的成交候选人为成交供应商或者重新组织采购。</w:t>
      </w:r>
    </w:p>
    <w:p w14:paraId="3FFF25BE">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bookmarkStart w:id="188" w:name="_Toc28958"/>
      <w:bookmarkStart w:id="189" w:name="_Toc9438"/>
      <w:bookmarkStart w:id="190" w:name="_Toc13703"/>
      <w:r>
        <w:rPr>
          <w:rFonts w:hint="eastAsia" w:ascii="宋体" w:hAnsi="宋体" w:eastAsia="宋体" w:cs="宋体"/>
          <w:color w:val="000000"/>
          <w:sz w:val="21"/>
          <w:szCs w:val="21"/>
          <w:highlight w:val="none"/>
          <w:shd w:val="clear" w:color="auto" w:fill="auto"/>
        </w:rPr>
        <w:t>27. 成交结果公告及成交通知书</w:t>
      </w:r>
      <w:bookmarkEnd w:id="188"/>
      <w:bookmarkEnd w:id="189"/>
      <w:bookmarkEnd w:id="190"/>
    </w:p>
    <w:p w14:paraId="36AAC114">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6503F72D">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27.2 在发布成交公告的同时，采购代理机构向成交供应商发出成交通知书。成交供应商自接到通知之日起七个工作日内，办理成交通知书领取手续。</w:t>
      </w:r>
    </w:p>
    <w:p w14:paraId="567B943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27.3 采购代理机构无义务向未成交的供应商解释未成交原因和退还响应文件。</w:t>
      </w:r>
      <w:bookmarkStart w:id="191" w:name="_Toc7859"/>
      <w:bookmarkStart w:id="192" w:name="_Toc25593"/>
    </w:p>
    <w:p w14:paraId="2D95CC42">
      <w:pPr>
        <w:pageBreakBefore w:val="0"/>
        <w:widowControl w:val="0"/>
        <w:kinsoku/>
        <w:wordWrap/>
        <w:overflowPunct/>
        <w:topLinePunct w:val="0"/>
        <w:autoSpaceDE/>
        <w:autoSpaceDN/>
        <w:bidi w:val="0"/>
        <w:adjustRightInd/>
        <w:spacing w:line="360" w:lineRule="auto"/>
        <w:ind w:left="0" w:leftChars="0"/>
        <w:jc w:val="center"/>
        <w:textAlignment w:val="auto"/>
        <w:outlineLvl w:val="1"/>
        <w:rPr>
          <w:rFonts w:hint="eastAsia" w:ascii="宋体" w:hAnsi="宋体" w:eastAsia="宋体" w:cs="宋体"/>
          <w:b/>
          <w:bCs/>
          <w:color w:val="000000"/>
          <w:sz w:val="21"/>
          <w:szCs w:val="21"/>
          <w:highlight w:val="none"/>
          <w:shd w:val="clear" w:color="auto" w:fill="auto"/>
        </w:rPr>
      </w:pPr>
      <w:bookmarkStart w:id="193" w:name="_Toc8877"/>
      <w:r>
        <w:rPr>
          <w:rFonts w:hint="eastAsia" w:ascii="宋体" w:hAnsi="宋体" w:eastAsia="宋体" w:cs="宋体"/>
          <w:b/>
          <w:bCs/>
          <w:color w:val="000000"/>
          <w:sz w:val="21"/>
          <w:szCs w:val="21"/>
          <w:highlight w:val="none"/>
          <w:shd w:val="clear" w:color="auto" w:fill="auto"/>
        </w:rPr>
        <w:t>五、签订合同</w:t>
      </w:r>
      <w:bookmarkEnd w:id="191"/>
      <w:bookmarkEnd w:id="192"/>
      <w:bookmarkEnd w:id="193"/>
    </w:p>
    <w:p w14:paraId="096C5332">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default" w:ascii="宋体" w:hAnsi="宋体" w:eastAsia="宋体" w:cs="宋体"/>
          <w:color w:val="000000"/>
          <w:sz w:val="21"/>
          <w:szCs w:val="21"/>
          <w:highlight w:val="none"/>
          <w:shd w:val="clear" w:color="auto" w:fill="auto"/>
          <w:lang w:val="en-US" w:eastAsia="zh-CN"/>
        </w:rPr>
      </w:pPr>
      <w:bookmarkStart w:id="194" w:name="_Toc26520"/>
      <w:bookmarkStart w:id="195" w:name="_Toc21789"/>
      <w:bookmarkStart w:id="196" w:name="_Toc20760"/>
      <w:r>
        <w:rPr>
          <w:rFonts w:hint="eastAsia" w:ascii="宋体" w:hAnsi="宋体" w:eastAsia="宋体" w:cs="宋体"/>
          <w:color w:val="000000"/>
          <w:sz w:val="21"/>
          <w:szCs w:val="21"/>
          <w:highlight w:val="none"/>
          <w:shd w:val="clear" w:color="auto" w:fill="auto"/>
        </w:rPr>
        <w:t>28. 履约保证金</w:t>
      </w:r>
      <w:bookmarkEnd w:id="194"/>
      <w:bookmarkEnd w:id="195"/>
      <w:bookmarkEnd w:id="196"/>
      <w:bookmarkStart w:id="197" w:name="_Toc8924"/>
      <w:bookmarkStart w:id="198" w:name="_Toc10846"/>
      <w:bookmarkStart w:id="199" w:name="_Toc4956"/>
      <w:r>
        <w:rPr>
          <w:rFonts w:hint="eastAsia" w:ascii="宋体" w:hAnsi="宋体" w:eastAsia="宋体" w:cs="宋体"/>
          <w:color w:val="000000"/>
          <w:sz w:val="21"/>
          <w:szCs w:val="21"/>
          <w:highlight w:val="none"/>
          <w:shd w:val="clear" w:color="auto" w:fill="auto"/>
          <w:lang w:val="en-US" w:eastAsia="zh-CN"/>
        </w:rPr>
        <w:t xml:space="preserve">  无。</w:t>
      </w:r>
    </w:p>
    <w:p w14:paraId="3FCEE627">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29. 签订合同</w:t>
      </w:r>
      <w:bookmarkEnd w:id="197"/>
      <w:bookmarkEnd w:id="198"/>
      <w:bookmarkEnd w:id="199"/>
    </w:p>
    <w:p w14:paraId="08CF00D5">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29.1 签订合同时间：成交通知书发出之日</w:t>
      </w:r>
      <w:r>
        <w:rPr>
          <w:rFonts w:hint="eastAsia" w:ascii="宋体" w:hAnsi="宋体" w:eastAsia="宋体" w:cs="宋体"/>
          <w:color w:val="000000"/>
          <w:sz w:val="21"/>
          <w:szCs w:val="21"/>
          <w:highlight w:val="none"/>
          <w:shd w:val="clear" w:color="auto" w:fill="auto"/>
          <w:lang w:eastAsia="zh-CN"/>
        </w:rPr>
        <w:t>起8工作日内签订合同</w:t>
      </w:r>
      <w:r>
        <w:rPr>
          <w:rFonts w:hint="eastAsia" w:ascii="宋体" w:hAnsi="宋体" w:eastAsia="宋体" w:cs="宋体"/>
          <w:color w:val="000000"/>
          <w:sz w:val="21"/>
          <w:szCs w:val="21"/>
          <w:highlight w:val="none"/>
          <w:shd w:val="clear" w:color="auto" w:fill="auto"/>
        </w:rPr>
        <w:t>。成交供应商领取成交通知书后，应按规定与采购人签订合同。</w:t>
      </w:r>
    </w:p>
    <w:p w14:paraId="5EC87BA7">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07251C49">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（1）成交后不与采购人签订合同的（不可抗力除外）；</w:t>
      </w:r>
    </w:p>
    <w:p w14:paraId="148DD831">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（2）将成交项目转让给他人，或者在响应文件中未说明，且未经采购人同意，将成交项目分包给他人的；</w:t>
      </w:r>
    </w:p>
    <w:p w14:paraId="2854BA85">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（3）拒绝履行合同义务的。</w:t>
      </w:r>
    </w:p>
    <w:p w14:paraId="01C421DC">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29.3 合同备案存档：</w:t>
      </w:r>
      <w:r>
        <w:rPr>
          <w:rFonts w:hint="eastAsia" w:ascii="宋体" w:hAnsi="宋体" w:eastAsia="宋体" w:cs="宋体"/>
          <w:bCs/>
          <w:color w:val="000000"/>
          <w:kern w:val="0"/>
          <w:sz w:val="21"/>
          <w:szCs w:val="21"/>
          <w:highlight w:val="none"/>
          <w:shd w:val="clear" w:color="auto" w:fill="auto"/>
        </w:rPr>
        <w:t>政府采购合同双方自签订之日起1个工作日内将合同原件</w:t>
      </w:r>
      <w:r>
        <w:rPr>
          <w:rFonts w:hint="eastAsia" w:ascii="宋体" w:hAnsi="宋体" w:eastAsia="宋体" w:cs="宋体"/>
          <w:bCs/>
          <w:color w:val="000000"/>
          <w:kern w:val="0"/>
          <w:sz w:val="21"/>
          <w:szCs w:val="21"/>
          <w:highlight w:val="none"/>
          <w:shd w:val="clear" w:color="auto" w:fill="auto"/>
          <w:lang w:val="en-US" w:eastAsia="zh-CN"/>
        </w:rPr>
        <w:t>壹</w:t>
      </w:r>
      <w:r>
        <w:rPr>
          <w:rFonts w:hint="eastAsia" w:ascii="宋体" w:hAnsi="宋体" w:eastAsia="宋体" w:cs="宋体"/>
          <w:bCs/>
          <w:color w:val="000000"/>
          <w:kern w:val="0"/>
          <w:sz w:val="21"/>
          <w:szCs w:val="21"/>
          <w:highlight w:val="none"/>
          <w:shd w:val="clear" w:color="auto" w:fill="auto"/>
        </w:rPr>
        <w:t>份交采购代理机构。采购代理机构将政府采购合同在省级以上人民政府财政部门指定媒体上公告。</w:t>
      </w:r>
      <w:bookmarkStart w:id="200" w:name="_Toc3819"/>
      <w:bookmarkStart w:id="201" w:name="_Toc16348"/>
      <w:bookmarkStart w:id="202" w:name="_Toc24218"/>
    </w:p>
    <w:p w14:paraId="6E6DF33F">
      <w:pPr>
        <w:pageBreakBefore w:val="0"/>
        <w:widowControl w:val="0"/>
        <w:kinsoku/>
        <w:wordWrap/>
        <w:overflowPunct/>
        <w:topLinePunct w:val="0"/>
        <w:autoSpaceDE/>
        <w:autoSpaceDN/>
        <w:bidi w:val="0"/>
        <w:adjustRightInd/>
        <w:spacing w:line="360" w:lineRule="auto"/>
        <w:ind w:left="0" w:leftChars="0"/>
        <w:jc w:val="center"/>
        <w:textAlignment w:val="auto"/>
        <w:outlineLvl w:val="1"/>
        <w:rPr>
          <w:rFonts w:hint="eastAsia" w:ascii="宋体" w:hAnsi="宋体" w:eastAsia="宋体" w:cs="宋体"/>
          <w:b/>
          <w:bCs/>
          <w:color w:val="000000"/>
          <w:sz w:val="21"/>
          <w:szCs w:val="21"/>
          <w:highlight w:val="none"/>
          <w:shd w:val="clear" w:color="auto" w:fill="auto"/>
        </w:rPr>
      </w:pPr>
      <w:r>
        <w:rPr>
          <w:rFonts w:hint="eastAsia" w:ascii="宋体" w:hAnsi="宋体" w:eastAsia="宋体" w:cs="宋体"/>
          <w:b/>
          <w:bCs/>
          <w:color w:val="000000"/>
          <w:sz w:val="21"/>
          <w:szCs w:val="21"/>
          <w:highlight w:val="none"/>
          <w:shd w:val="clear" w:color="auto" w:fill="auto"/>
        </w:rPr>
        <w:t>六、其他事项</w:t>
      </w:r>
      <w:bookmarkEnd w:id="200"/>
      <w:bookmarkEnd w:id="201"/>
      <w:bookmarkEnd w:id="202"/>
    </w:p>
    <w:p w14:paraId="62CC08F6">
      <w:pPr>
        <w:pStyle w:val="4"/>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bookmarkStart w:id="203" w:name="_Toc20283"/>
      <w:bookmarkStart w:id="204" w:name="_Toc28647"/>
      <w:bookmarkStart w:id="205" w:name="_Toc3434"/>
      <w:r>
        <w:rPr>
          <w:rFonts w:hint="eastAsia" w:ascii="宋体" w:hAnsi="宋体" w:eastAsia="宋体" w:cs="宋体"/>
          <w:color w:val="000000"/>
          <w:sz w:val="21"/>
          <w:szCs w:val="21"/>
          <w:highlight w:val="none"/>
          <w:shd w:val="clear" w:color="auto" w:fill="auto"/>
        </w:rPr>
        <w:t>30. 采购代理服务费</w:t>
      </w:r>
      <w:bookmarkEnd w:id="203"/>
      <w:bookmarkEnd w:id="204"/>
      <w:bookmarkEnd w:id="205"/>
    </w:p>
    <w:p w14:paraId="77D3462D">
      <w:pPr>
        <w:pageBreakBefore w:val="0"/>
        <w:widowControl w:val="0"/>
        <w:kinsoku/>
        <w:wordWrap/>
        <w:overflowPunct/>
        <w:topLinePunct w:val="0"/>
        <w:autoSpaceDE/>
        <w:autoSpaceDN/>
        <w:bidi w:val="0"/>
        <w:adjustRightInd/>
        <w:spacing w:line="360" w:lineRule="auto"/>
        <w:ind w:left="0" w:leftChars="0" w:firstLine="420"/>
        <w:textAlignment w:val="auto"/>
        <w:rPr>
          <w:rFonts w:hint="eastAsia" w:ascii="宋体" w:hAnsi="宋体" w:eastAsia="宋体" w:cs="宋体"/>
          <w:color w:val="000000"/>
          <w:sz w:val="21"/>
          <w:szCs w:val="21"/>
          <w:highlight w:val="none"/>
          <w:shd w:val="clear" w:color="auto" w:fill="auto"/>
        </w:rPr>
      </w:pPr>
      <w:bookmarkStart w:id="206" w:name="_Toc12374"/>
      <w:r>
        <w:rPr>
          <w:rFonts w:hint="eastAsia" w:ascii="宋体" w:hAnsi="宋体" w:eastAsia="宋体" w:cs="宋体"/>
          <w:color w:val="000000"/>
          <w:sz w:val="21"/>
          <w:szCs w:val="21"/>
          <w:highlight w:val="none"/>
          <w:shd w:val="clear" w:color="auto" w:fill="auto"/>
        </w:rPr>
        <w:t>30.1成交供应商在领取成交通知书前，向采购代理机构一次性付清采购代理服务费，本项目采购代理服务收费标准参照计价格〔2002〕1980号《招标代理服务收费管理暂行办法》工程类收费标准向成交供应商收取。</w:t>
      </w:r>
    </w:p>
    <w:tbl>
      <w:tblPr>
        <w:tblStyle w:val="3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00DAF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noWrap w:val="0"/>
            <w:vAlign w:val="top"/>
          </w:tcPr>
          <w:p w14:paraId="37E0B152">
            <w:pPr>
              <w:wordWrap w:val="0"/>
              <w:spacing w:line="360" w:lineRule="exact"/>
              <w:ind w:left="25"/>
              <w:rPr>
                <w:rFonts w:hint="eastAsia" w:ascii="宋体" w:hAnsi="宋体"/>
                <w:szCs w:val="21"/>
                <w:highlight w:val="none"/>
              </w:rPr>
            </w:pPr>
            <w:r>
              <w:rPr>
                <w:rFonts w:ascii="宋体" w:hAnsi="宋体"/>
                <w:szCs w:val="21"/>
                <w:highlight w:val="none"/>
              </w:rPr>
              <mc:AlternateContent>
                <mc:Choice Requires="wps">
                  <w:drawing>
                    <wp:anchor distT="0" distB="0" distL="114300" distR="114300" simplePos="0" relativeHeight="251660288"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2" name="直线 6"/>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23.35pt;margin-top:0.85pt;height:51.45pt;width:115.25pt;z-index:251660288;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gFT&#10;NNYAAAAIAQAADwAAAAAAAAABACAAAAAiAAAAZHJzL2Rvd25yZXYueG1sUEsBAhQAFAAAAAgAh07i&#10;QJiR+ODrAQAA4AMAAA4AAAAAAAAAAQAgAAAAJQEAAGRycy9lMm9Eb2MueG1sUEsFBgAAAAAGAAYA&#10;WQEAAIIFAAAAAA==&#10;">
                      <v:fill on="f" focussize="0,0"/>
                      <v:stroke color="#000000" joinstyle="round"/>
                      <v:imagedata o:title=""/>
                      <o:lock v:ext="edit" aspectratio="f"/>
                    </v:line>
                  </w:pict>
                </mc:Fallback>
              </mc:AlternateContent>
            </w:r>
            <w:r>
              <w:rPr>
                <w:rFonts w:hint="eastAsia" w:ascii="宋体" w:hAnsi="宋体"/>
                <w:szCs w:val="21"/>
                <w:highlight w:val="none"/>
              </w:rPr>
              <w:t>费率         服务类型</w:t>
            </w:r>
          </w:p>
          <w:p w14:paraId="6235A343">
            <w:pPr>
              <w:wordWrap w:val="0"/>
              <w:spacing w:line="360" w:lineRule="exact"/>
              <w:ind w:left="25"/>
              <w:rPr>
                <w:rFonts w:hint="eastAsia" w:ascii="宋体" w:hAnsi="宋体"/>
                <w:szCs w:val="21"/>
                <w:highlight w:val="none"/>
              </w:rPr>
            </w:pPr>
            <w:r>
              <w:rPr>
                <w:rFonts w:ascii="宋体" w:hAnsi="宋体"/>
                <w:szCs w:val="21"/>
                <w:highlight w:val="none"/>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3" name="直线 7"/>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5.4pt;margin-top:3.1pt;height:31.2pt;width:144pt;z-index:251661312;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AOr0TWAAAACAEAAA8AAAAAAAAAAQAgAAAAIgAAAGRycy9kb3ducmV2LnhtbFBLAQIUABQAAAAI&#10;AIdO4kBO/4i57wEAAOADAAAOAAAAAAAAAAEAIAAAACUBAABkcnMvZTJvRG9jLnhtbFBLBQYAAAAA&#10;BgAGAFkBAACGBQAAAAA=&#10;">
                      <v:fill on="f" focussize="0,0"/>
                      <v:stroke color="#000000" joinstyle="round"/>
                      <v:imagedata o:title=""/>
                      <o:lock v:ext="edit" aspectratio="f"/>
                    </v:line>
                  </w:pict>
                </mc:Fallback>
              </mc:AlternateContent>
            </w:r>
          </w:p>
          <w:p w14:paraId="5B355001">
            <w:pPr>
              <w:wordWrap w:val="0"/>
              <w:spacing w:line="360" w:lineRule="exact"/>
              <w:ind w:left="25"/>
              <w:rPr>
                <w:rFonts w:hint="eastAsia" w:ascii="宋体" w:hAnsi="宋体"/>
                <w:szCs w:val="21"/>
                <w:highlight w:val="none"/>
              </w:rPr>
            </w:pPr>
            <w:r>
              <w:rPr>
                <w:rFonts w:hint="eastAsia" w:ascii="宋体" w:hAnsi="宋体"/>
                <w:szCs w:val="21"/>
                <w:highlight w:val="none"/>
              </w:rPr>
              <w:t>中标金额（万元）</w:t>
            </w:r>
          </w:p>
        </w:tc>
        <w:tc>
          <w:tcPr>
            <w:tcW w:w="1841" w:type="dxa"/>
            <w:noWrap w:val="0"/>
            <w:vAlign w:val="center"/>
          </w:tcPr>
          <w:p w14:paraId="12EA1202">
            <w:pPr>
              <w:wordWrap w:val="0"/>
              <w:spacing w:line="360" w:lineRule="exact"/>
              <w:ind w:left="25"/>
              <w:jc w:val="center"/>
              <w:rPr>
                <w:rFonts w:hint="eastAsia" w:ascii="宋体" w:hAnsi="宋体"/>
                <w:szCs w:val="21"/>
                <w:highlight w:val="none"/>
              </w:rPr>
            </w:pPr>
            <w:r>
              <w:rPr>
                <w:rFonts w:hint="eastAsia" w:ascii="宋体" w:hAnsi="宋体"/>
                <w:szCs w:val="21"/>
                <w:highlight w:val="none"/>
              </w:rPr>
              <w:t>货物招标</w:t>
            </w:r>
          </w:p>
        </w:tc>
        <w:tc>
          <w:tcPr>
            <w:tcW w:w="1992" w:type="dxa"/>
            <w:noWrap w:val="0"/>
            <w:vAlign w:val="center"/>
          </w:tcPr>
          <w:p w14:paraId="2770B4E4">
            <w:pPr>
              <w:wordWrap w:val="0"/>
              <w:spacing w:line="360" w:lineRule="exact"/>
              <w:ind w:left="25"/>
              <w:jc w:val="center"/>
              <w:rPr>
                <w:rFonts w:hint="eastAsia" w:ascii="宋体" w:hAnsi="宋体"/>
                <w:szCs w:val="21"/>
                <w:highlight w:val="none"/>
              </w:rPr>
            </w:pPr>
            <w:r>
              <w:rPr>
                <w:rFonts w:hint="eastAsia" w:ascii="宋体" w:hAnsi="宋体"/>
                <w:szCs w:val="21"/>
                <w:highlight w:val="none"/>
              </w:rPr>
              <w:t>服务招标</w:t>
            </w:r>
          </w:p>
        </w:tc>
        <w:tc>
          <w:tcPr>
            <w:tcW w:w="2293" w:type="dxa"/>
            <w:noWrap w:val="0"/>
            <w:vAlign w:val="center"/>
          </w:tcPr>
          <w:p w14:paraId="39CCE043">
            <w:pPr>
              <w:wordWrap w:val="0"/>
              <w:spacing w:line="360" w:lineRule="exact"/>
              <w:ind w:left="25"/>
              <w:jc w:val="center"/>
              <w:rPr>
                <w:rFonts w:hint="eastAsia" w:ascii="宋体" w:hAnsi="宋体"/>
                <w:szCs w:val="21"/>
                <w:highlight w:val="none"/>
              </w:rPr>
            </w:pPr>
            <w:r>
              <w:rPr>
                <w:rFonts w:hint="eastAsia" w:ascii="宋体" w:hAnsi="宋体"/>
                <w:szCs w:val="21"/>
                <w:highlight w:val="none"/>
              </w:rPr>
              <w:t>工程招标</w:t>
            </w:r>
          </w:p>
        </w:tc>
      </w:tr>
      <w:tr w14:paraId="35F4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noWrap w:val="0"/>
            <w:vAlign w:val="top"/>
          </w:tcPr>
          <w:p w14:paraId="393E1415">
            <w:pPr>
              <w:wordWrap w:val="0"/>
              <w:spacing w:line="360" w:lineRule="exact"/>
              <w:ind w:left="25"/>
              <w:rPr>
                <w:rFonts w:hint="eastAsia" w:ascii="宋体" w:hAnsi="宋体"/>
                <w:szCs w:val="21"/>
                <w:highlight w:val="none"/>
              </w:rPr>
            </w:pPr>
            <w:r>
              <w:rPr>
                <w:rFonts w:hint="eastAsia" w:ascii="宋体" w:hAnsi="宋体"/>
                <w:szCs w:val="21"/>
                <w:highlight w:val="none"/>
              </w:rPr>
              <w:t>100以下</w:t>
            </w:r>
          </w:p>
        </w:tc>
        <w:tc>
          <w:tcPr>
            <w:tcW w:w="1841" w:type="dxa"/>
            <w:noWrap w:val="0"/>
            <w:vAlign w:val="top"/>
          </w:tcPr>
          <w:p w14:paraId="6754311A">
            <w:pPr>
              <w:wordWrap w:val="0"/>
              <w:spacing w:line="360" w:lineRule="exact"/>
              <w:ind w:left="25"/>
              <w:jc w:val="center"/>
              <w:rPr>
                <w:rFonts w:hint="eastAsia" w:ascii="宋体" w:hAnsi="宋体"/>
                <w:szCs w:val="21"/>
                <w:highlight w:val="none"/>
              </w:rPr>
            </w:pPr>
            <w:r>
              <w:rPr>
                <w:rFonts w:hint="eastAsia" w:ascii="宋体" w:hAnsi="宋体"/>
                <w:szCs w:val="21"/>
                <w:highlight w:val="none"/>
              </w:rPr>
              <w:t>1.5%</w:t>
            </w:r>
          </w:p>
        </w:tc>
        <w:tc>
          <w:tcPr>
            <w:tcW w:w="1992" w:type="dxa"/>
            <w:noWrap w:val="0"/>
            <w:vAlign w:val="top"/>
          </w:tcPr>
          <w:p w14:paraId="2626F9C7">
            <w:pPr>
              <w:wordWrap w:val="0"/>
              <w:spacing w:line="360" w:lineRule="exact"/>
              <w:ind w:left="25"/>
              <w:jc w:val="center"/>
              <w:rPr>
                <w:rFonts w:hint="eastAsia" w:ascii="宋体" w:hAnsi="宋体"/>
                <w:szCs w:val="21"/>
                <w:highlight w:val="none"/>
              </w:rPr>
            </w:pPr>
            <w:r>
              <w:rPr>
                <w:rFonts w:hint="eastAsia" w:ascii="宋体" w:hAnsi="宋体"/>
                <w:szCs w:val="21"/>
                <w:highlight w:val="none"/>
              </w:rPr>
              <w:t>1.5%</w:t>
            </w:r>
          </w:p>
        </w:tc>
        <w:tc>
          <w:tcPr>
            <w:tcW w:w="2293" w:type="dxa"/>
            <w:noWrap w:val="0"/>
            <w:vAlign w:val="top"/>
          </w:tcPr>
          <w:p w14:paraId="1B61C371">
            <w:pPr>
              <w:wordWrap w:val="0"/>
              <w:spacing w:line="360" w:lineRule="exact"/>
              <w:ind w:left="25"/>
              <w:jc w:val="center"/>
              <w:rPr>
                <w:rFonts w:hint="eastAsia" w:ascii="宋体" w:hAnsi="宋体"/>
                <w:szCs w:val="21"/>
                <w:highlight w:val="none"/>
              </w:rPr>
            </w:pPr>
            <w:r>
              <w:rPr>
                <w:rFonts w:hint="eastAsia" w:ascii="宋体" w:hAnsi="宋体"/>
                <w:szCs w:val="21"/>
                <w:highlight w:val="none"/>
              </w:rPr>
              <w:t>1.0%</w:t>
            </w:r>
          </w:p>
        </w:tc>
      </w:tr>
      <w:tr w14:paraId="60AF5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noWrap w:val="0"/>
            <w:vAlign w:val="top"/>
          </w:tcPr>
          <w:p w14:paraId="1987F8E6">
            <w:pPr>
              <w:wordWrap w:val="0"/>
              <w:spacing w:line="360" w:lineRule="exact"/>
              <w:ind w:left="25"/>
              <w:rPr>
                <w:rFonts w:hint="eastAsia" w:ascii="宋体" w:hAnsi="宋体"/>
                <w:szCs w:val="21"/>
                <w:highlight w:val="none"/>
              </w:rPr>
            </w:pPr>
            <w:r>
              <w:rPr>
                <w:rFonts w:hint="eastAsia" w:ascii="宋体" w:hAnsi="宋体"/>
                <w:szCs w:val="21"/>
                <w:highlight w:val="none"/>
              </w:rPr>
              <w:t>100-500</w:t>
            </w:r>
          </w:p>
        </w:tc>
        <w:tc>
          <w:tcPr>
            <w:tcW w:w="1841" w:type="dxa"/>
            <w:noWrap w:val="0"/>
            <w:vAlign w:val="top"/>
          </w:tcPr>
          <w:p w14:paraId="46AEAFAD">
            <w:pPr>
              <w:wordWrap w:val="0"/>
              <w:spacing w:line="360" w:lineRule="exact"/>
              <w:ind w:left="25"/>
              <w:jc w:val="center"/>
              <w:rPr>
                <w:rFonts w:hint="eastAsia" w:ascii="宋体" w:hAnsi="宋体"/>
                <w:szCs w:val="21"/>
                <w:highlight w:val="none"/>
              </w:rPr>
            </w:pPr>
            <w:r>
              <w:rPr>
                <w:rFonts w:hint="eastAsia" w:ascii="宋体" w:hAnsi="宋体"/>
                <w:szCs w:val="21"/>
                <w:highlight w:val="none"/>
              </w:rPr>
              <w:t>1.1%</w:t>
            </w:r>
          </w:p>
        </w:tc>
        <w:tc>
          <w:tcPr>
            <w:tcW w:w="1992" w:type="dxa"/>
            <w:noWrap w:val="0"/>
            <w:vAlign w:val="top"/>
          </w:tcPr>
          <w:p w14:paraId="530130DE">
            <w:pPr>
              <w:wordWrap w:val="0"/>
              <w:spacing w:line="360" w:lineRule="exact"/>
              <w:ind w:left="25"/>
              <w:jc w:val="center"/>
              <w:rPr>
                <w:rFonts w:hint="eastAsia" w:ascii="宋体" w:hAnsi="宋体"/>
                <w:szCs w:val="21"/>
                <w:highlight w:val="none"/>
              </w:rPr>
            </w:pPr>
            <w:r>
              <w:rPr>
                <w:rFonts w:hint="eastAsia" w:ascii="宋体" w:hAnsi="宋体"/>
                <w:szCs w:val="21"/>
                <w:highlight w:val="none"/>
              </w:rPr>
              <w:t>0.8%</w:t>
            </w:r>
          </w:p>
        </w:tc>
        <w:tc>
          <w:tcPr>
            <w:tcW w:w="2293" w:type="dxa"/>
            <w:noWrap w:val="0"/>
            <w:vAlign w:val="top"/>
          </w:tcPr>
          <w:p w14:paraId="513E7E9D">
            <w:pPr>
              <w:wordWrap w:val="0"/>
              <w:spacing w:line="360" w:lineRule="exact"/>
              <w:ind w:left="25"/>
              <w:jc w:val="center"/>
              <w:rPr>
                <w:rFonts w:hint="eastAsia" w:ascii="宋体" w:hAnsi="宋体"/>
                <w:szCs w:val="21"/>
                <w:highlight w:val="none"/>
              </w:rPr>
            </w:pPr>
            <w:r>
              <w:rPr>
                <w:rFonts w:hint="eastAsia" w:ascii="宋体" w:hAnsi="宋体"/>
                <w:szCs w:val="21"/>
                <w:highlight w:val="none"/>
              </w:rPr>
              <w:t>0.7%</w:t>
            </w:r>
          </w:p>
        </w:tc>
      </w:tr>
      <w:tr w14:paraId="7B078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4A7E85ED">
            <w:pPr>
              <w:wordWrap w:val="0"/>
              <w:spacing w:line="360" w:lineRule="exact"/>
              <w:ind w:left="25"/>
              <w:rPr>
                <w:rFonts w:hint="eastAsia" w:ascii="宋体" w:hAnsi="宋体"/>
                <w:szCs w:val="21"/>
                <w:highlight w:val="none"/>
              </w:rPr>
            </w:pPr>
            <w:r>
              <w:rPr>
                <w:rFonts w:hint="eastAsia" w:ascii="宋体" w:hAnsi="宋体"/>
                <w:szCs w:val="21"/>
                <w:highlight w:val="none"/>
              </w:rPr>
              <w:t>500-1000</w:t>
            </w:r>
          </w:p>
        </w:tc>
        <w:tc>
          <w:tcPr>
            <w:tcW w:w="1841" w:type="dxa"/>
            <w:noWrap w:val="0"/>
            <w:vAlign w:val="top"/>
          </w:tcPr>
          <w:p w14:paraId="6D1D22A1">
            <w:pPr>
              <w:wordWrap w:val="0"/>
              <w:spacing w:line="360" w:lineRule="exact"/>
              <w:ind w:left="25"/>
              <w:jc w:val="center"/>
              <w:rPr>
                <w:rFonts w:hint="eastAsia" w:ascii="宋体" w:hAnsi="宋体"/>
                <w:szCs w:val="21"/>
                <w:highlight w:val="none"/>
              </w:rPr>
            </w:pPr>
            <w:r>
              <w:rPr>
                <w:rFonts w:hint="eastAsia" w:ascii="宋体" w:hAnsi="宋体"/>
                <w:szCs w:val="21"/>
                <w:highlight w:val="none"/>
              </w:rPr>
              <w:t>0.8%</w:t>
            </w:r>
          </w:p>
        </w:tc>
        <w:tc>
          <w:tcPr>
            <w:tcW w:w="1992" w:type="dxa"/>
            <w:noWrap w:val="0"/>
            <w:vAlign w:val="top"/>
          </w:tcPr>
          <w:p w14:paraId="10C67575">
            <w:pPr>
              <w:wordWrap w:val="0"/>
              <w:spacing w:line="360" w:lineRule="exact"/>
              <w:ind w:left="25"/>
              <w:jc w:val="center"/>
              <w:rPr>
                <w:rFonts w:hint="eastAsia" w:ascii="宋体" w:hAnsi="宋体"/>
                <w:szCs w:val="21"/>
                <w:highlight w:val="none"/>
              </w:rPr>
            </w:pPr>
            <w:r>
              <w:rPr>
                <w:rFonts w:hint="eastAsia" w:ascii="宋体" w:hAnsi="宋体"/>
                <w:szCs w:val="21"/>
                <w:highlight w:val="none"/>
              </w:rPr>
              <w:t>0.45%</w:t>
            </w:r>
          </w:p>
        </w:tc>
        <w:tc>
          <w:tcPr>
            <w:tcW w:w="2293" w:type="dxa"/>
            <w:noWrap w:val="0"/>
            <w:vAlign w:val="top"/>
          </w:tcPr>
          <w:p w14:paraId="1AB7B6E4">
            <w:pPr>
              <w:wordWrap w:val="0"/>
              <w:spacing w:line="360" w:lineRule="exact"/>
              <w:ind w:left="25"/>
              <w:jc w:val="center"/>
              <w:rPr>
                <w:rFonts w:hint="eastAsia" w:ascii="宋体" w:hAnsi="宋体"/>
                <w:szCs w:val="21"/>
                <w:highlight w:val="none"/>
              </w:rPr>
            </w:pPr>
            <w:r>
              <w:rPr>
                <w:rFonts w:hint="eastAsia" w:ascii="宋体" w:hAnsi="宋体"/>
                <w:szCs w:val="21"/>
                <w:highlight w:val="none"/>
              </w:rPr>
              <w:t>0.55%</w:t>
            </w:r>
          </w:p>
        </w:tc>
      </w:tr>
      <w:tr w14:paraId="2AD4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500786DB">
            <w:pPr>
              <w:wordWrap w:val="0"/>
              <w:spacing w:line="360" w:lineRule="exact"/>
              <w:ind w:left="25"/>
              <w:rPr>
                <w:rFonts w:hint="eastAsia" w:ascii="宋体" w:hAnsi="宋体"/>
                <w:szCs w:val="21"/>
                <w:highlight w:val="none"/>
              </w:rPr>
            </w:pPr>
            <w:r>
              <w:rPr>
                <w:rFonts w:hint="eastAsia" w:ascii="宋体" w:hAnsi="宋体"/>
                <w:szCs w:val="21"/>
                <w:highlight w:val="none"/>
              </w:rPr>
              <w:t>1000-5000</w:t>
            </w:r>
          </w:p>
        </w:tc>
        <w:tc>
          <w:tcPr>
            <w:tcW w:w="1841" w:type="dxa"/>
            <w:noWrap w:val="0"/>
            <w:vAlign w:val="top"/>
          </w:tcPr>
          <w:p w14:paraId="2FE1468D">
            <w:pPr>
              <w:wordWrap w:val="0"/>
              <w:spacing w:line="360" w:lineRule="exact"/>
              <w:ind w:left="25"/>
              <w:jc w:val="center"/>
              <w:rPr>
                <w:rFonts w:hint="eastAsia" w:ascii="宋体" w:hAnsi="宋体"/>
                <w:szCs w:val="21"/>
                <w:highlight w:val="none"/>
              </w:rPr>
            </w:pPr>
            <w:r>
              <w:rPr>
                <w:rFonts w:hint="eastAsia" w:ascii="宋体" w:hAnsi="宋体"/>
                <w:szCs w:val="21"/>
                <w:highlight w:val="none"/>
              </w:rPr>
              <w:t>0.5%</w:t>
            </w:r>
          </w:p>
        </w:tc>
        <w:tc>
          <w:tcPr>
            <w:tcW w:w="1992" w:type="dxa"/>
            <w:noWrap w:val="0"/>
            <w:vAlign w:val="top"/>
          </w:tcPr>
          <w:p w14:paraId="1BE54592">
            <w:pPr>
              <w:wordWrap w:val="0"/>
              <w:spacing w:line="360" w:lineRule="exact"/>
              <w:ind w:left="25"/>
              <w:jc w:val="center"/>
              <w:rPr>
                <w:rFonts w:hint="eastAsia" w:ascii="宋体" w:hAnsi="宋体"/>
                <w:szCs w:val="21"/>
                <w:highlight w:val="none"/>
              </w:rPr>
            </w:pPr>
            <w:r>
              <w:rPr>
                <w:rFonts w:hint="eastAsia" w:ascii="宋体" w:hAnsi="宋体"/>
                <w:szCs w:val="21"/>
                <w:highlight w:val="none"/>
              </w:rPr>
              <w:t>0.25%</w:t>
            </w:r>
          </w:p>
        </w:tc>
        <w:tc>
          <w:tcPr>
            <w:tcW w:w="2293" w:type="dxa"/>
            <w:noWrap w:val="0"/>
            <w:vAlign w:val="top"/>
          </w:tcPr>
          <w:p w14:paraId="717A58FE">
            <w:pPr>
              <w:wordWrap w:val="0"/>
              <w:spacing w:line="360" w:lineRule="exact"/>
              <w:ind w:left="25"/>
              <w:jc w:val="center"/>
              <w:rPr>
                <w:rFonts w:hint="eastAsia" w:ascii="宋体" w:hAnsi="宋体"/>
                <w:szCs w:val="21"/>
                <w:highlight w:val="none"/>
              </w:rPr>
            </w:pPr>
            <w:r>
              <w:rPr>
                <w:rFonts w:hint="eastAsia" w:ascii="宋体" w:hAnsi="宋体"/>
                <w:szCs w:val="21"/>
                <w:highlight w:val="none"/>
              </w:rPr>
              <w:t>0.35%</w:t>
            </w:r>
          </w:p>
        </w:tc>
      </w:tr>
      <w:tr w14:paraId="1A47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223461C7">
            <w:pPr>
              <w:wordWrap w:val="0"/>
              <w:spacing w:line="360" w:lineRule="exact"/>
              <w:ind w:left="25"/>
              <w:rPr>
                <w:rFonts w:hint="eastAsia" w:ascii="宋体" w:hAnsi="宋体"/>
                <w:szCs w:val="21"/>
                <w:highlight w:val="none"/>
              </w:rPr>
            </w:pPr>
            <w:r>
              <w:rPr>
                <w:rFonts w:hint="eastAsia" w:ascii="宋体" w:hAnsi="宋体"/>
                <w:szCs w:val="21"/>
                <w:highlight w:val="none"/>
              </w:rPr>
              <w:t>5000-10000</w:t>
            </w:r>
          </w:p>
        </w:tc>
        <w:tc>
          <w:tcPr>
            <w:tcW w:w="1841" w:type="dxa"/>
            <w:noWrap w:val="0"/>
            <w:vAlign w:val="top"/>
          </w:tcPr>
          <w:p w14:paraId="2B41A598">
            <w:pPr>
              <w:wordWrap w:val="0"/>
              <w:spacing w:line="360" w:lineRule="exact"/>
              <w:ind w:left="25"/>
              <w:jc w:val="center"/>
              <w:rPr>
                <w:rFonts w:hint="eastAsia" w:ascii="宋体" w:hAnsi="宋体"/>
                <w:szCs w:val="21"/>
                <w:highlight w:val="none"/>
              </w:rPr>
            </w:pPr>
            <w:r>
              <w:rPr>
                <w:rFonts w:hint="eastAsia" w:ascii="宋体" w:hAnsi="宋体"/>
                <w:szCs w:val="21"/>
                <w:highlight w:val="none"/>
              </w:rPr>
              <w:t>0.25%</w:t>
            </w:r>
          </w:p>
        </w:tc>
        <w:tc>
          <w:tcPr>
            <w:tcW w:w="1992" w:type="dxa"/>
            <w:noWrap w:val="0"/>
            <w:vAlign w:val="top"/>
          </w:tcPr>
          <w:p w14:paraId="6B61C3D8">
            <w:pPr>
              <w:wordWrap w:val="0"/>
              <w:spacing w:line="360" w:lineRule="exact"/>
              <w:ind w:left="25"/>
              <w:jc w:val="center"/>
              <w:rPr>
                <w:rFonts w:hint="eastAsia" w:ascii="宋体" w:hAnsi="宋体"/>
                <w:szCs w:val="21"/>
                <w:highlight w:val="none"/>
              </w:rPr>
            </w:pPr>
            <w:r>
              <w:rPr>
                <w:rFonts w:hint="eastAsia" w:ascii="宋体" w:hAnsi="宋体"/>
                <w:szCs w:val="21"/>
                <w:highlight w:val="none"/>
              </w:rPr>
              <w:t>0.1%</w:t>
            </w:r>
          </w:p>
        </w:tc>
        <w:tc>
          <w:tcPr>
            <w:tcW w:w="2293" w:type="dxa"/>
            <w:noWrap w:val="0"/>
            <w:vAlign w:val="top"/>
          </w:tcPr>
          <w:p w14:paraId="23DE83CE">
            <w:pPr>
              <w:wordWrap w:val="0"/>
              <w:spacing w:line="360" w:lineRule="exact"/>
              <w:ind w:left="25"/>
              <w:jc w:val="center"/>
              <w:rPr>
                <w:rFonts w:hint="eastAsia" w:ascii="宋体" w:hAnsi="宋体"/>
                <w:szCs w:val="21"/>
                <w:highlight w:val="none"/>
              </w:rPr>
            </w:pPr>
            <w:r>
              <w:rPr>
                <w:rFonts w:hint="eastAsia" w:ascii="宋体" w:hAnsi="宋体"/>
                <w:szCs w:val="21"/>
                <w:highlight w:val="none"/>
              </w:rPr>
              <w:t>0.2%</w:t>
            </w:r>
          </w:p>
        </w:tc>
      </w:tr>
    </w:tbl>
    <w:p w14:paraId="4F265FB9">
      <w:pPr>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注：采购代理服务收费按差额定率累进法计算。</w:t>
      </w:r>
    </w:p>
    <w:p w14:paraId="061C7452">
      <w:pPr>
        <w:pageBreakBefore w:val="0"/>
        <w:widowControl w:val="0"/>
        <w:kinsoku/>
        <w:wordWrap/>
        <w:overflowPunct/>
        <w:topLinePunct w:val="0"/>
        <w:autoSpaceDE/>
        <w:autoSpaceDN/>
        <w:bidi w:val="0"/>
        <w:adjustRightInd/>
        <w:spacing w:line="360" w:lineRule="auto"/>
        <w:ind w:left="0" w:leftChars="0" w:firstLine="422"/>
        <w:textAlignment w:val="auto"/>
        <w:rPr>
          <w:rFonts w:hint="eastAsia" w:ascii="宋体" w:hAnsi="宋体" w:eastAsia="宋体" w:cs="宋体"/>
          <w:bCs/>
          <w:color w:val="000000"/>
          <w:sz w:val="21"/>
          <w:szCs w:val="21"/>
          <w:highlight w:val="none"/>
          <w:shd w:val="clear" w:color="auto" w:fill="auto"/>
        </w:rPr>
      </w:pPr>
      <w:r>
        <w:rPr>
          <w:rFonts w:hint="eastAsia" w:ascii="宋体" w:hAnsi="宋体" w:eastAsia="宋体" w:cs="宋体"/>
          <w:bCs/>
          <w:color w:val="000000"/>
          <w:sz w:val="21"/>
          <w:szCs w:val="21"/>
          <w:highlight w:val="none"/>
          <w:shd w:val="clear" w:color="auto" w:fill="auto"/>
        </w:rPr>
        <w:t>30.2采购代理服务费交纳账户：</w:t>
      </w:r>
    </w:p>
    <w:p w14:paraId="61A00AA6">
      <w:pPr>
        <w:pageBreakBefore w:val="0"/>
        <w:widowControl w:val="0"/>
        <w:kinsoku/>
        <w:wordWrap/>
        <w:overflowPunct/>
        <w:topLinePunct w:val="0"/>
        <w:autoSpaceDE/>
        <w:autoSpaceDN/>
        <w:bidi w:val="0"/>
        <w:adjustRightInd/>
        <w:spacing w:line="360" w:lineRule="auto"/>
        <w:ind w:left="0" w:leftChars="0" w:firstLine="630" w:firstLineChars="300"/>
        <w:textAlignment w:val="auto"/>
        <w:rPr>
          <w:rStyle w:val="52"/>
          <w:rFonts w:hint="eastAsia" w:ascii="宋体" w:hAnsi="宋体" w:eastAsia="宋体" w:cs="宋体"/>
          <w:b w:val="0"/>
          <w:bCs/>
          <w:color w:val="000000"/>
          <w:sz w:val="21"/>
          <w:szCs w:val="21"/>
          <w:highlight w:val="none"/>
          <w:shd w:val="clear" w:color="auto" w:fill="auto"/>
        </w:rPr>
      </w:pPr>
      <w:bookmarkStart w:id="207" w:name="_Toc7494"/>
      <w:bookmarkStart w:id="208" w:name="_Toc15204"/>
      <w:r>
        <w:rPr>
          <w:rStyle w:val="52"/>
          <w:rFonts w:hint="eastAsia" w:ascii="宋体" w:hAnsi="宋体" w:eastAsia="宋体" w:cs="宋体"/>
          <w:b w:val="0"/>
          <w:bCs/>
          <w:color w:val="000000"/>
          <w:sz w:val="21"/>
          <w:szCs w:val="21"/>
          <w:highlight w:val="none"/>
          <w:shd w:val="clear" w:color="auto" w:fill="auto"/>
        </w:rPr>
        <w:t>账户名称：广西聚泽灵项目管理有限公司</w:t>
      </w:r>
    </w:p>
    <w:p w14:paraId="475575FD">
      <w:pPr>
        <w:pageBreakBefore w:val="0"/>
        <w:widowControl w:val="0"/>
        <w:kinsoku/>
        <w:wordWrap/>
        <w:overflowPunct/>
        <w:topLinePunct w:val="0"/>
        <w:autoSpaceDE/>
        <w:autoSpaceDN/>
        <w:bidi w:val="0"/>
        <w:adjustRightInd/>
        <w:spacing w:line="360" w:lineRule="auto"/>
        <w:ind w:left="0" w:leftChars="0" w:firstLine="630" w:firstLineChars="300"/>
        <w:textAlignment w:val="auto"/>
        <w:rPr>
          <w:rStyle w:val="52"/>
          <w:rFonts w:hint="eastAsia" w:ascii="宋体" w:hAnsi="宋体" w:eastAsia="宋体" w:cs="宋体"/>
          <w:b w:val="0"/>
          <w:bCs/>
          <w:color w:val="000000"/>
          <w:sz w:val="21"/>
          <w:szCs w:val="21"/>
          <w:highlight w:val="none"/>
          <w:shd w:val="clear" w:color="auto" w:fill="auto"/>
        </w:rPr>
      </w:pPr>
      <w:r>
        <w:rPr>
          <w:rStyle w:val="52"/>
          <w:rFonts w:hint="eastAsia" w:ascii="宋体" w:hAnsi="宋体" w:eastAsia="宋体" w:cs="宋体"/>
          <w:b w:val="0"/>
          <w:bCs/>
          <w:color w:val="000000"/>
          <w:sz w:val="21"/>
          <w:szCs w:val="21"/>
          <w:highlight w:val="none"/>
          <w:shd w:val="clear" w:color="auto" w:fill="auto"/>
        </w:rPr>
        <w:t>开户银行：中国工商银行股份有限公司桂林市漓江支行</w:t>
      </w:r>
    </w:p>
    <w:p w14:paraId="03CCFFE1">
      <w:pPr>
        <w:pageBreakBefore w:val="0"/>
        <w:widowControl w:val="0"/>
        <w:kinsoku/>
        <w:wordWrap/>
        <w:overflowPunct/>
        <w:topLinePunct w:val="0"/>
        <w:autoSpaceDE/>
        <w:autoSpaceDN/>
        <w:bidi w:val="0"/>
        <w:adjustRightInd/>
        <w:spacing w:line="360" w:lineRule="auto"/>
        <w:ind w:left="0" w:leftChars="0" w:firstLine="630" w:firstLineChars="300"/>
        <w:textAlignment w:val="auto"/>
        <w:rPr>
          <w:rStyle w:val="52"/>
          <w:rFonts w:hint="eastAsia" w:ascii="宋体" w:hAnsi="宋体" w:eastAsia="宋体" w:cs="宋体"/>
          <w:b w:val="0"/>
          <w:bCs/>
          <w:color w:val="000000"/>
          <w:sz w:val="21"/>
          <w:szCs w:val="21"/>
          <w:highlight w:val="none"/>
          <w:shd w:val="clear" w:color="auto" w:fill="auto"/>
        </w:rPr>
      </w:pPr>
      <w:r>
        <w:rPr>
          <w:rStyle w:val="52"/>
          <w:rFonts w:hint="eastAsia" w:ascii="宋体" w:hAnsi="宋体" w:eastAsia="宋体" w:cs="宋体"/>
          <w:b w:val="0"/>
          <w:bCs/>
          <w:color w:val="000000"/>
          <w:sz w:val="21"/>
          <w:szCs w:val="21"/>
          <w:highlight w:val="none"/>
          <w:shd w:val="clear" w:color="auto" w:fill="auto"/>
        </w:rPr>
        <w:t>银行账号：2103 2153 0930 0129 695</w:t>
      </w:r>
    </w:p>
    <w:p w14:paraId="09C76D0D">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r>
        <w:rPr>
          <w:rStyle w:val="52"/>
          <w:rFonts w:hint="eastAsia" w:ascii="宋体" w:hAnsi="宋体" w:eastAsia="宋体" w:cs="宋体"/>
          <w:color w:val="000000"/>
          <w:sz w:val="21"/>
          <w:szCs w:val="21"/>
          <w:highlight w:val="none"/>
          <w:shd w:val="clear" w:color="auto" w:fill="auto"/>
        </w:rPr>
        <w:t xml:space="preserve">31. </w:t>
      </w:r>
      <w:bookmarkEnd w:id="206"/>
      <w:r>
        <w:rPr>
          <w:rStyle w:val="52"/>
          <w:rFonts w:hint="eastAsia" w:ascii="宋体" w:hAnsi="宋体" w:eastAsia="宋体" w:cs="宋体"/>
          <w:color w:val="000000"/>
          <w:sz w:val="21"/>
          <w:szCs w:val="21"/>
          <w:highlight w:val="none"/>
          <w:shd w:val="clear" w:color="auto" w:fill="auto"/>
        </w:rPr>
        <w:t>编制依据</w:t>
      </w:r>
      <w:bookmarkEnd w:id="207"/>
      <w:bookmarkEnd w:id="208"/>
      <w:r>
        <w:rPr>
          <w:rFonts w:hint="eastAsia" w:ascii="宋体" w:hAnsi="宋体" w:eastAsia="宋体" w:cs="宋体"/>
          <w:color w:val="000000"/>
          <w:sz w:val="21"/>
          <w:szCs w:val="21"/>
          <w:highlight w:val="none"/>
          <w:shd w:val="clear" w:color="auto" w:fill="auto"/>
        </w:rPr>
        <w:t>：本竞争性磋商文件是根据《中华人民共和国政府采购法》、《中华人民共和国政府采购法实施条例》、《政府采购竞争性磋商采购方式管理暂行办法》和政府采购管理有关规定编制。</w:t>
      </w:r>
      <w:bookmarkStart w:id="209" w:name="_Toc27500"/>
      <w:bookmarkStart w:id="210" w:name="_Toc28899"/>
    </w:p>
    <w:p w14:paraId="7B556CFB">
      <w:pPr>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color w:val="000000"/>
          <w:sz w:val="21"/>
          <w:szCs w:val="21"/>
          <w:highlight w:val="none"/>
          <w:shd w:val="clear" w:color="auto" w:fill="auto"/>
        </w:rPr>
      </w:pPr>
      <w:r>
        <w:rPr>
          <w:rStyle w:val="52"/>
          <w:rFonts w:hint="eastAsia" w:ascii="宋体" w:hAnsi="宋体" w:eastAsia="宋体" w:cs="宋体"/>
          <w:color w:val="000000"/>
          <w:sz w:val="21"/>
          <w:szCs w:val="21"/>
          <w:highlight w:val="none"/>
          <w:shd w:val="clear" w:color="auto" w:fill="auto"/>
        </w:rPr>
        <w:t>32. 监督管理机构</w:t>
      </w:r>
      <w:bookmarkEnd w:id="209"/>
      <w:bookmarkEnd w:id="210"/>
      <w:r>
        <w:rPr>
          <w:rFonts w:hint="eastAsia" w:ascii="宋体" w:hAnsi="宋体" w:eastAsia="宋体" w:cs="宋体"/>
          <w:color w:val="000000"/>
          <w:sz w:val="21"/>
          <w:szCs w:val="21"/>
          <w:highlight w:val="none"/>
          <w:shd w:val="clear" w:color="auto" w:fill="auto"/>
        </w:rPr>
        <w:t>：兴安县采购中心；电话：0773-6220651。</w:t>
      </w:r>
      <w:bookmarkStart w:id="211" w:name="_Toc12767"/>
      <w:bookmarkStart w:id="212" w:name="_Toc30995"/>
      <w:bookmarkStart w:id="213" w:name="_Toc15551"/>
    </w:p>
    <w:bookmarkEnd w:id="211"/>
    <w:bookmarkEnd w:id="212"/>
    <w:bookmarkEnd w:id="213"/>
    <w:p w14:paraId="7AE2FA23">
      <w:pPr>
        <w:spacing w:line="460" w:lineRule="exact"/>
        <w:jc w:val="center"/>
        <w:rPr>
          <w:rFonts w:ascii="宋体" w:hAnsi="宋体" w:cs="宋体"/>
          <w:b/>
          <w:bCs/>
          <w:color w:val="000000"/>
          <w:sz w:val="32"/>
          <w:szCs w:val="32"/>
          <w:highlight w:val="none"/>
          <w:shd w:val="clear" w:color="auto" w:fill="auto"/>
        </w:rPr>
      </w:pPr>
      <w:bookmarkStart w:id="214" w:name="_Toc4687"/>
      <w:bookmarkStart w:id="215" w:name="_Toc21742"/>
      <w:bookmarkStart w:id="216" w:name="_Toc2989"/>
      <w:bookmarkStart w:id="217" w:name="_Toc2725"/>
      <w:r>
        <w:rPr>
          <w:rFonts w:hint="eastAsia" w:ascii="宋体" w:hAnsi="宋体" w:cs="宋体"/>
          <w:b/>
          <w:bCs/>
          <w:color w:val="000000"/>
          <w:sz w:val="32"/>
          <w:szCs w:val="32"/>
          <w:highlight w:val="none"/>
          <w:shd w:val="clear" w:color="auto" w:fill="auto"/>
        </w:rPr>
        <w:br w:type="page"/>
      </w:r>
      <w:r>
        <w:rPr>
          <w:rFonts w:hint="eastAsia" w:ascii="宋体" w:hAnsi="宋体" w:cs="宋体"/>
          <w:b/>
          <w:bCs/>
          <w:color w:val="000000"/>
          <w:sz w:val="32"/>
          <w:szCs w:val="32"/>
          <w:highlight w:val="none"/>
          <w:shd w:val="clear" w:color="auto" w:fill="auto"/>
        </w:rPr>
        <w:t>第三章  评审办法</w:t>
      </w:r>
      <w:bookmarkEnd w:id="214"/>
      <w:bookmarkEnd w:id="215"/>
      <w:bookmarkEnd w:id="216"/>
      <w:bookmarkEnd w:id="217"/>
    </w:p>
    <w:p w14:paraId="616852FA">
      <w:pPr>
        <w:keepNext w:val="0"/>
        <w:keepLines w:val="0"/>
        <w:pageBreakBefore w:val="0"/>
        <w:kinsoku/>
        <w:wordWrap/>
        <w:overflowPunct/>
        <w:topLinePunct w:val="0"/>
        <w:autoSpaceDE/>
        <w:autoSpaceDN/>
        <w:bidi w:val="0"/>
        <w:adjustRightInd/>
        <w:spacing w:line="360" w:lineRule="auto"/>
        <w:ind w:left="0" w:leftChars="0" w:right="0" w:firstLine="422" w:firstLineChars="200"/>
        <w:textAlignment w:val="auto"/>
        <w:outlineLvl w:val="1"/>
        <w:rPr>
          <w:rFonts w:hint="eastAsia" w:ascii="宋体" w:hAnsi="宋体" w:eastAsia="宋体" w:cs="宋体"/>
          <w:b/>
          <w:bCs/>
          <w:color w:val="000000"/>
          <w:sz w:val="21"/>
          <w:szCs w:val="21"/>
          <w:highlight w:val="none"/>
          <w:shd w:val="clear" w:color="auto" w:fill="auto"/>
        </w:rPr>
      </w:pPr>
      <w:bookmarkStart w:id="218" w:name="_Toc23076"/>
      <w:bookmarkStart w:id="219" w:name="_Toc16364"/>
      <w:r>
        <w:rPr>
          <w:rFonts w:hint="eastAsia" w:ascii="宋体" w:hAnsi="宋体" w:eastAsia="宋体" w:cs="宋体"/>
          <w:b/>
          <w:bCs/>
          <w:color w:val="000000"/>
          <w:sz w:val="21"/>
          <w:szCs w:val="21"/>
          <w:highlight w:val="none"/>
          <w:shd w:val="clear" w:color="auto" w:fill="auto"/>
        </w:rPr>
        <w:t>一、评审依据</w:t>
      </w:r>
      <w:bookmarkEnd w:id="218"/>
      <w:bookmarkEnd w:id="219"/>
    </w:p>
    <w:p w14:paraId="76C32E22">
      <w:pPr>
        <w:keepNext w:val="0"/>
        <w:keepLines w:val="0"/>
        <w:pageBreakBefore w:val="0"/>
        <w:kinsoku/>
        <w:wordWrap/>
        <w:overflowPunct/>
        <w:topLinePunct w:val="0"/>
        <w:autoSpaceDE/>
        <w:autoSpaceDN/>
        <w:bidi w:val="0"/>
        <w:adjustRightInd/>
        <w:spacing w:line="360" w:lineRule="auto"/>
        <w:ind w:left="0" w:leftChars="0" w:right="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（一）评审依据：磋商小组以竞争性磋商文件和响应文件为评审依据，对供应商的响应文件进行评审。</w:t>
      </w:r>
    </w:p>
    <w:p w14:paraId="632FFBBD">
      <w:pPr>
        <w:keepNext w:val="0"/>
        <w:keepLines w:val="0"/>
        <w:pageBreakBefore w:val="0"/>
        <w:kinsoku/>
        <w:wordWrap/>
        <w:overflowPunct/>
        <w:topLinePunct w:val="0"/>
        <w:autoSpaceDE/>
        <w:autoSpaceDN/>
        <w:bidi w:val="0"/>
        <w:adjustRightInd/>
        <w:spacing w:line="360" w:lineRule="auto"/>
        <w:ind w:left="0" w:leftChars="0" w:right="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（二）评审方式：以封闭方式进行评审。</w:t>
      </w:r>
    </w:p>
    <w:p w14:paraId="4C70A0C1">
      <w:pPr>
        <w:keepNext w:val="0"/>
        <w:keepLines w:val="0"/>
        <w:pageBreakBefore w:val="0"/>
        <w:kinsoku/>
        <w:wordWrap/>
        <w:overflowPunct/>
        <w:topLinePunct w:val="0"/>
        <w:autoSpaceDE/>
        <w:autoSpaceDN/>
        <w:bidi w:val="0"/>
        <w:adjustRightInd/>
        <w:spacing w:line="360" w:lineRule="auto"/>
        <w:ind w:left="0" w:leftChars="0" w:right="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（三）采购人和采购代理机构、竞争性磋商小组成员要严格遵守政府采购相关法律制度，依法履行各自职责，公正、客观、审慎地组织和参与评审工作。</w:t>
      </w:r>
    </w:p>
    <w:p w14:paraId="4B3DB461">
      <w:pPr>
        <w:keepNext w:val="0"/>
        <w:keepLines w:val="0"/>
        <w:pageBreakBefore w:val="0"/>
        <w:kinsoku/>
        <w:wordWrap/>
        <w:overflowPunct/>
        <w:topLinePunct w:val="0"/>
        <w:autoSpaceDE/>
        <w:autoSpaceDN/>
        <w:bidi w:val="0"/>
        <w:adjustRightInd/>
        <w:spacing w:line="360" w:lineRule="auto"/>
        <w:ind w:left="0" w:leftChars="0" w:right="0" w:firstLine="422" w:firstLineChars="200"/>
        <w:textAlignment w:val="auto"/>
        <w:outlineLvl w:val="1"/>
        <w:rPr>
          <w:rFonts w:hint="eastAsia" w:ascii="宋体" w:hAnsi="宋体" w:eastAsia="宋体" w:cs="宋体"/>
          <w:b/>
          <w:bCs/>
          <w:color w:val="000000"/>
          <w:sz w:val="21"/>
          <w:szCs w:val="21"/>
          <w:highlight w:val="none"/>
          <w:shd w:val="clear" w:color="auto" w:fill="auto"/>
        </w:rPr>
      </w:pPr>
      <w:bookmarkStart w:id="220" w:name="_Toc29526"/>
      <w:bookmarkStart w:id="221" w:name="_Toc2014"/>
      <w:r>
        <w:rPr>
          <w:rFonts w:hint="eastAsia" w:ascii="宋体" w:hAnsi="宋体" w:eastAsia="宋体" w:cs="宋体"/>
          <w:b/>
          <w:bCs/>
          <w:color w:val="000000"/>
          <w:sz w:val="21"/>
          <w:szCs w:val="21"/>
          <w:highlight w:val="none"/>
          <w:shd w:val="clear" w:color="auto" w:fill="auto"/>
        </w:rPr>
        <w:t>二、评审办法</w:t>
      </w:r>
      <w:bookmarkEnd w:id="220"/>
      <w:bookmarkEnd w:id="221"/>
    </w:p>
    <w:p w14:paraId="64D6D40D">
      <w:pPr>
        <w:keepNext w:val="0"/>
        <w:keepLines w:val="0"/>
        <w:pageBreakBefore w:val="0"/>
        <w:kinsoku/>
        <w:wordWrap/>
        <w:overflowPunct/>
        <w:topLinePunct w:val="0"/>
        <w:autoSpaceDE/>
        <w:autoSpaceDN/>
        <w:bidi w:val="0"/>
        <w:adjustRightInd/>
        <w:spacing w:line="360" w:lineRule="auto"/>
        <w:ind w:left="0" w:leftChars="0" w:right="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（一）对进入详评的，采用</w:t>
      </w:r>
      <w:r>
        <w:rPr>
          <w:rFonts w:hint="eastAsia" w:ascii="宋体" w:hAnsi="宋体" w:eastAsia="宋体" w:cs="宋体"/>
          <w:b/>
          <w:bCs/>
          <w:color w:val="000000"/>
          <w:sz w:val="21"/>
          <w:szCs w:val="21"/>
          <w:highlight w:val="none"/>
          <w:shd w:val="clear" w:color="auto" w:fill="auto"/>
        </w:rPr>
        <w:t>综合评分法</w:t>
      </w:r>
      <w:r>
        <w:rPr>
          <w:rFonts w:hint="eastAsia" w:ascii="宋体" w:hAnsi="宋体" w:eastAsia="宋体" w:cs="宋体"/>
          <w:color w:val="000000"/>
          <w:sz w:val="21"/>
          <w:szCs w:val="21"/>
          <w:highlight w:val="none"/>
          <w:shd w:val="clear" w:color="auto" w:fill="auto"/>
        </w:rPr>
        <w:t>。</w:t>
      </w:r>
    </w:p>
    <w:p w14:paraId="79E92627">
      <w:pPr>
        <w:keepNext w:val="0"/>
        <w:keepLines w:val="0"/>
        <w:pageBreakBefore w:val="0"/>
        <w:kinsoku/>
        <w:wordWrap/>
        <w:overflowPunct/>
        <w:topLinePunct w:val="0"/>
        <w:autoSpaceDE/>
        <w:autoSpaceDN/>
        <w:bidi w:val="0"/>
        <w:adjustRightInd/>
        <w:spacing w:line="360" w:lineRule="auto"/>
        <w:ind w:left="0" w:leftChars="0" w:right="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（二）计分办法（按四舍五入取至小数点后二位）</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309"/>
        <w:gridCol w:w="2495"/>
        <w:gridCol w:w="5200"/>
      </w:tblGrid>
      <w:tr w14:paraId="2397F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53" w:type="dxa"/>
            <w:gridSpan w:val="2"/>
            <w:tcBorders>
              <w:top w:val="single" w:color="auto" w:sz="4" w:space="0"/>
              <w:left w:val="single" w:color="auto" w:sz="4" w:space="0"/>
              <w:right w:val="single" w:color="auto" w:sz="4" w:space="0"/>
            </w:tcBorders>
            <w:noWrap w:val="0"/>
            <w:vAlign w:val="center"/>
          </w:tcPr>
          <w:p w14:paraId="22A46BD4">
            <w:pPr>
              <w:keepNext w:val="0"/>
              <w:keepLines w:val="0"/>
              <w:pageBreakBefore w:val="0"/>
              <w:kinsoku/>
              <w:wordWrap/>
              <w:overflowPunct/>
              <w:topLinePunct w:val="0"/>
              <w:autoSpaceDE/>
              <w:autoSpaceDN/>
              <w:bidi w:val="0"/>
              <w:adjustRightInd/>
              <w:spacing w:line="360" w:lineRule="auto"/>
              <w:ind w:left="0" w:leftChars="0" w:right="0"/>
              <w:jc w:val="center"/>
              <w:textAlignment w:val="auto"/>
              <w:rPr>
                <w:rFonts w:hint="eastAsia" w:ascii="宋体" w:hAnsi="宋体" w:eastAsia="宋体" w:cs="宋体"/>
                <w:b/>
                <w:bCs/>
                <w:color w:val="000000"/>
                <w:sz w:val="21"/>
                <w:szCs w:val="21"/>
                <w:highlight w:val="none"/>
                <w:shd w:val="clear" w:color="auto" w:fill="auto"/>
              </w:rPr>
            </w:pPr>
            <w:bookmarkStart w:id="222" w:name="_Toc27766"/>
            <w:r>
              <w:rPr>
                <w:rFonts w:hint="eastAsia" w:ascii="宋体" w:hAnsi="宋体" w:eastAsia="宋体" w:cs="宋体"/>
                <w:b/>
                <w:bCs/>
                <w:color w:val="000000"/>
                <w:kern w:val="0"/>
                <w:sz w:val="21"/>
                <w:szCs w:val="21"/>
                <w:highlight w:val="none"/>
                <w:shd w:val="clear" w:color="auto" w:fill="auto"/>
              </w:rPr>
              <w:t>条款号</w:t>
            </w:r>
          </w:p>
        </w:tc>
        <w:tc>
          <w:tcPr>
            <w:tcW w:w="2495" w:type="dxa"/>
            <w:tcBorders>
              <w:top w:val="single" w:color="auto" w:sz="4" w:space="0"/>
              <w:left w:val="single" w:color="auto" w:sz="4" w:space="0"/>
              <w:bottom w:val="single" w:color="auto" w:sz="4" w:space="0"/>
              <w:right w:val="single" w:color="auto" w:sz="4" w:space="0"/>
            </w:tcBorders>
            <w:noWrap w:val="0"/>
            <w:vAlign w:val="center"/>
          </w:tcPr>
          <w:p w14:paraId="6D89D283">
            <w:pPr>
              <w:keepNext w:val="0"/>
              <w:keepLines w:val="0"/>
              <w:pageBreakBefore w:val="0"/>
              <w:kinsoku/>
              <w:wordWrap/>
              <w:overflowPunct/>
              <w:topLinePunct w:val="0"/>
              <w:autoSpaceDE/>
              <w:autoSpaceDN/>
              <w:bidi w:val="0"/>
              <w:adjustRightInd/>
              <w:spacing w:line="360" w:lineRule="auto"/>
              <w:ind w:left="0" w:leftChars="0" w:right="0"/>
              <w:jc w:val="center"/>
              <w:textAlignment w:val="auto"/>
              <w:rPr>
                <w:rFonts w:hint="eastAsia" w:ascii="宋体" w:hAnsi="宋体" w:eastAsia="宋体" w:cs="宋体"/>
                <w:b/>
                <w:bCs/>
                <w:color w:val="000000"/>
                <w:sz w:val="21"/>
                <w:szCs w:val="21"/>
                <w:highlight w:val="none"/>
                <w:shd w:val="clear" w:color="auto" w:fill="auto"/>
              </w:rPr>
            </w:pPr>
            <w:r>
              <w:rPr>
                <w:rFonts w:hint="eastAsia" w:ascii="宋体" w:hAnsi="宋体" w:eastAsia="宋体" w:cs="宋体"/>
                <w:b/>
                <w:bCs/>
                <w:color w:val="000000"/>
                <w:kern w:val="0"/>
                <w:sz w:val="21"/>
                <w:szCs w:val="21"/>
                <w:highlight w:val="none"/>
                <w:shd w:val="clear" w:color="auto" w:fill="auto"/>
              </w:rPr>
              <w:t>条款内容</w:t>
            </w:r>
          </w:p>
        </w:tc>
        <w:tc>
          <w:tcPr>
            <w:tcW w:w="5200" w:type="dxa"/>
            <w:tcBorders>
              <w:top w:val="single" w:color="auto" w:sz="4" w:space="0"/>
              <w:left w:val="single" w:color="auto" w:sz="4" w:space="0"/>
              <w:right w:val="single" w:color="auto" w:sz="4" w:space="0"/>
            </w:tcBorders>
            <w:noWrap w:val="0"/>
            <w:vAlign w:val="center"/>
          </w:tcPr>
          <w:p w14:paraId="46ACFB9B">
            <w:pPr>
              <w:keepNext w:val="0"/>
              <w:keepLines w:val="0"/>
              <w:pageBreakBefore w:val="0"/>
              <w:kinsoku/>
              <w:wordWrap/>
              <w:overflowPunct/>
              <w:topLinePunct w:val="0"/>
              <w:autoSpaceDE/>
              <w:autoSpaceDN/>
              <w:bidi w:val="0"/>
              <w:adjustRightInd/>
              <w:spacing w:line="360" w:lineRule="auto"/>
              <w:ind w:left="0" w:leftChars="0" w:right="0"/>
              <w:jc w:val="center"/>
              <w:textAlignment w:val="auto"/>
              <w:rPr>
                <w:rFonts w:hint="eastAsia" w:ascii="宋体" w:hAnsi="宋体" w:eastAsia="宋体" w:cs="宋体"/>
                <w:b/>
                <w:bCs/>
                <w:color w:val="000000"/>
                <w:sz w:val="21"/>
                <w:szCs w:val="21"/>
                <w:highlight w:val="none"/>
                <w:shd w:val="clear" w:color="auto" w:fill="auto"/>
              </w:rPr>
            </w:pPr>
            <w:r>
              <w:rPr>
                <w:rFonts w:hint="eastAsia" w:ascii="宋体" w:hAnsi="宋体" w:eastAsia="宋体" w:cs="宋体"/>
                <w:b/>
                <w:bCs/>
                <w:color w:val="000000"/>
                <w:kern w:val="0"/>
                <w:sz w:val="21"/>
                <w:szCs w:val="21"/>
                <w:highlight w:val="none"/>
                <w:shd w:val="clear" w:color="auto" w:fill="auto"/>
              </w:rPr>
              <w:t>编列内容</w:t>
            </w:r>
          </w:p>
        </w:tc>
      </w:tr>
      <w:tr w14:paraId="552D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44" w:type="dxa"/>
            <w:tcBorders>
              <w:top w:val="single" w:color="auto" w:sz="4" w:space="0"/>
              <w:left w:val="single" w:color="auto" w:sz="4" w:space="0"/>
              <w:right w:val="single" w:color="auto" w:sz="4" w:space="0"/>
            </w:tcBorders>
            <w:noWrap w:val="0"/>
            <w:vAlign w:val="center"/>
          </w:tcPr>
          <w:p w14:paraId="72D771B7">
            <w:pPr>
              <w:keepNext w:val="0"/>
              <w:keepLines w:val="0"/>
              <w:pageBreakBefore w:val="0"/>
              <w:kinsoku/>
              <w:wordWrap/>
              <w:overflowPunct/>
              <w:topLinePunct w:val="0"/>
              <w:autoSpaceDE/>
              <w:autoSpaceDN/>
              <w:bidi w:val="0"/>
              <w:adjustRightInd/>
              <w:spacing w:line="360" w:lineRule="auto"/>
              <w:ind w:left="0" w:leftChars="0" w:right="0"/>
              <w:jc w:val="center"/>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2.2.1</w:t>
            </w:r>
          </w:p>
        </w:tc>
        <w:tc>
          <w:tcPr>
            <w:tcW w:w="1309" w:type="dxa"/>
            <w:tcBorders>
              <w:top w:val="single" w:color="auto" w:sz="4" w:space="0"/>
              <w:left w:val="single" w:color="auto" w:sz="4" w:space="0"/>
              <w:right w:val="single" w:color="auto" w:sz="4" w:space="0"/>
            </w:tcBorders>
            <w:noWrap w:val="0"/>
            <w:vAlign w:val="center"/>
          </w:tcPr>
          <w:p w14:paraId="034DA76D">
            <w:pPr>
              <w:keepNext w:val="0"/>
              <w:keepLines w:val="0"/>
              <w:pageBreakBefore w:val="0"/>
              <w:kinsoku/>
              <w:wordWrap/>
              <w:overflowPunct/>
              <w:topLinePunct w:val="0"/>
              <w:autoSpaceDE/>
              <w:autoSpaceDN/>
              <w:bidi w:val="0"/>
              <w:adjustRightInd/>
              <w:spacing w:line="360" w:lineRule="auto"/>
              <w:ind w:left="0" w:leftChars="0" w:right="0"/>
              <w:jc w:val="center"/>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分值构成</w:t>
            </w:r>
          </w:p>
        </w:tc>
        <w:tc>
          <w:tcPr>
            <w:tcW w:w="2495" w:type="dxa"/>
            <w:tcBorders>
              <w:top w:val="single" w:color="auto" w:sz="4" w:space="0"/>
              <w:left w:val="single" w:color="auto" w:sz="4" w:space="0"/>
              <w:bottom w:val="single" w:color="auto" w:sz="4" w:space="0"/>
              <w:right w:val="single" w:color="auto" w:sz="4" w:space="0"/>
            </w:tcBorders>
            <w:noWrap w:val="0"/>
            <w:vAlign w:val="center"/>
          </w:tcPr>
          <w:p w14:paraId="4E6AB938">
            <w:pPr>
              <w:keepNext w:val="0"/>
              <w:keepLines w:val="0"/>
              <w:pageBreakBefore w:val="0"/>
              <w:kinsoku/>
              <w:wordWrap/>
              <w:overflowPunct/>
              <w:topLinePunct w:val="0"/>
              <w:autoSpaceDE/>
              <w:autoSpaceDN/>
              <w:bidi w:val="0"/>
              <w:adjustRightInd/>
              <w:spacing w:line="360" w:lineRule="auto"/>
              <w:ind w:right="0"/>
              <w:jc w:val="center"/>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分值构成（总分100分）</w:t>
            </w:r>
          </w:p>
        </w:tc>
        <w:tc>
          <w:tcPr>
            <w:tcW w:w="5200" w:type="dxa"/>
            <w:tcBorders>
              <w:top w:val="single" w:color="auto" w:sz="4" w:space="0"/>
              <w:left w:val="single" w:color="auto" w:sz="4" w:space="0"/>
              <w:right w:val="single" w:color="auto" w:sz="4" w:space="0"/>
            </w:tcBorders>
            <w:noWrap w:val="0"/>
            <w:vAlign w:val="top"/>
          </w:tcPr>
          <w:p w14:paraId="3141E47C">
            <w:pPr>
              <w:keepNext w:val="0"/>
              <w:keepLines w:val="0"/>
              <w:pageBreakBefore w:val="0"/>
              <w:kinsoku/>
              <w:wordWrap/>
              <w:overflowPunct/>
              <w:topLinePunct w:val="0"/>
              <w:autoSpaceDE/>
              <w:autoSpaceDN/>
              <w:bidi w:val="0"/>
              <w:adjustRightInd/>
              <w:spacing w:line="360" w:lineRule="auto"/>
              <w:ind w:left="0" w:leftChars="0" w:right="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（1）施工组织设计：</w:t>
            </w:r>
            <w:r>
              <w:rPr>
                <w:rFonts w:hint="eastAsia" w:ascii="宋体" w:hAnsi="宋体" w:eastAsia="宋体" w:cs="宋体"/>
                <w:color w:val="000000"/>
                <w:kern w:val="0"/>
                <w:sz w:val="21"/>
                <w:szCs w:val="21"/>
                <w:highlight w:val="none"/>
                <w:u w:val="single"/>
                <w:shd w:val="clear" w:color="auto" w:fill="auto"/>
              </w:rPr>
              <w:t>60</w:t>
            </w:r>
            <w:r>
              <w:rPr>
                <w:rFonts w:hint="eastAsia" w:ascii="宋体" w:hAnsi="宋体" w:eastAsia="宋体" w:cs="宋体"/>
                <w:color w:val="000000"/>
                <w:kern w:val="0"/>
                <w:sz w:val="21"/>
                <w:szCs w:val="21"/>
                <w:highlight w:val="none"/>
                <w:shd w:val="clear" w:color="auto" w:fill="auto"/>
              </w:rPr>
              <w:t>分</w:t>
            </w:r>
          </w:p>
          <w:p w14:paraId="1C50F8BF">
            <w:pPr>
              <w:keepNext w:val="0"/>
              <w:keepLines w:val="0"/>
              <w:pageBreakBefore w:val="0"/>
              <w:kinsoku/>
              <w:wordWrap/>
              <w:overflowPunct/>
              <w:topLinePunct w:val="0"/>
              <w:autoSpaceDE/>
              <w:autoSpaceDN/>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（2）拟投入本项目管理人员配备情况</w:t>
            </w:r>
            <w:r>
              <w:rPr>
                <w:rFonts w:hint="eastAsia" w:ascii="宋体" w:hAnsi="宋体" w:eastAsia="宋体" w:cs="宋体"/>
                <w:color w:val="000000"/>
                <w:kern w:val="0"/>
                <w:sz w:val="21"/>
                <w:szCs w:val="21"/>
                <w:highlight w:val="none"/>
                <w:shd w:val="clear" w:color="auto" w:fill="auto"/>
              </w:rPr>
              <w:t>：</w:t>
            </w:r>
            <w:r>
              <w:rPr>
                <w:rFonts w:hint="eastAsia" w:ascii="宋体" w:hAnsi="宋体" w:eastAsia="宋体" w:cs="宋体"/>
                <w:color w:val="000000"/>
                <w:kern w:val="0"/>
                <w:sz w:val="21"/>
                <w:szCs w:val="21"/>
                <w:highlight w:val="none"/>
                <w:u w:val="single"/>
                <w:shd w:val="clear" w:color="auto" w:fill="auto"/>
              </w:rPr>
              <w:t>10</w:t>
            </w:r>
            <w:r>
              <w:rPr>
                <w:rFonts w:hint="eastAsia" w:ascii="宋体" w:hAnsi="宋体" w:eastAsia="宋体" w:cs="宋体"/>
                <w:color w:val="000000"/>
                <w:kern w:val="0"/>
                <w:sz w:val="21"/>
                <w:szCs w:val="21"/>
                <w:highlight w:val="none"/>
                <w:shd w:val="clear" w:color="auto" w:fill="auto"/>
              </w:rPr>
              <w:t>分</w:t>
            </w:r>
          </w:p>
          <w:p w14:paraId="59769633">
            <w:pPr>
              <w:keepNext w:val="0"/>
              <w:keepLines w:val="0"/>
              <w:pageBreakBefore w:val="0"/>
              <w:kinsoku/>
              <w:wordWrap/>
              <w:overflowPunct/>
              <w:topLinePunct w:val="0"/>
              <w:autoSpaceDE/>
              <w:autoSpaceDN/>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sz w:val="21"/>
                <w:szCs w:val="21"/>
                <w:highlight w:val="none"/>
                <w:shd w:val="clear" w:color="auto" w:fill="auto"/>
              </w:rPr>
              <w:t>（3）商务部分：</w:t>
            </w:r>
            <w:r>
              <w:rPr>
                <w:rFonts w:hint="eastAsia" w:ascii="宋体" w:hAnsi="宋体" w:eastAsia="宋体" w:cs="宋体"/>
                <w:color w:val="000000"/>
                <w:sz w:val="21"/>
                <w:szCs w:val="21"/>
                <w:highlight w:val="none"/>
                <w:u w:val="single"/>
                <w:shd w:val="clear" w:color="auto" w:fill="auto"/>
              </w:rPr>
              <w:t>30</w:t>
            </w:r>
            <w:r>
              <w:rPr>
                <w:rFonts w:hint="eastAsia" w:ascii="宋体" w:hAnsi="宋体" w:eastAsia="宋体" w:cs="宋体"/>
                <w:color w:val="000000"/>
                <w:sz w:val="21"/>
                <w:szCs w:val="21"/>
                <w:highlight w:val="none"/>
                <w:shd w:val="clear" w:color="auto" w:fill="auto"/>
              </w:rPr>
              <w:t>分</w:t>
            </w:r>
          </w:p>
        </w:tc>
      </w:tr>
      <w:tr w14:paraId="02915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44" w:type="dxa"/>
            <w:vMerge w:val="restart"/>
            <w:tcBorders>
              <w:top w:val="single" w:color="auto" w:sz="4" w:space="0"/>
              <w:left w:val="single" w:color="auto" w:sz="4" w:space="0"/>
              <w:right w:val="single" w:color="auto" w:sz="4" w:space="0"/>
            </w:tcBorders>
            <w:noWrap w:val="0"/>
            <w:vAlign w:val="center"/>
          </w:tcPr>
          <w:p w14:paraId="71762B5B">
            <w:pPr>
              <w:keepNext w:val="0"/>
              <w:keepLines w:val="0"/>
              <w:pageBreakBefore w:val="0"/>
              <w:kinsoku/>
              <w:wordWrap/>
              <w:overflowPunct/>
              <w:topLinePunct w:val="0"/>
              <w:autoSpaceDE/>
              <w:autoSpaceDN/>
              <w:bidi w:val="0"/>
              <w:adjustRightInd/>
              <w:spacing w:line="360" w:lineRule="auto"/>
              <w:ind w:left="0" w:leftChars="0" w:right="0"/>
              <w:jc w:val="center"/>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2.2.1（1）</w:t>
            </w:r>
            <w:r>
              <w:rPr>
                <w:rFonts w:hint="eastAsia" w:ascii="宋体" w:hAnsi="宋体" w:eastAsia="宋体" w:cs="宋体"/>
                <w:color w:val="000000"/>
                <w:kern w:val="0"/>
                <w:sz w:val="21"/>
                <w:szCs w:val="21"/>
                <w:highlight w:val="none"/>
                <w:shd w:val="clear" w:color="auto" w:fill="auto"/>
                <w:lang w:val="en-US" w:eastAsia="zh-CN"/>
              </w:rPr>
              <w:t>技术评分</w:t>
            </w:r>
          </w:p>
        </w:tc>
        <w:tc>
          <w:tcPr>
            <w:tcW w:w="1309" w:type="dxa"/>
            <w:vMerge w:val="restart"/>
            <w:tcBorders>
              <w:top w:val="single" w:color="auto" w:sz="4" w:space="0"/>
              <w:left w:val="single" w:color="auto" w:sz="4" w:space="0"/>
              <w:right w:val="single" w:color="auto" w:sz="4" w:space="0"/>
            </w:tcBorders>
            <w:noWrap w:val="0"/>
            <w:vAlign w:val="center"/>
          </w:tcPr>
          <w:p w14:paraId="559FD184">
            <w:pPr>
              <w:keepNext w:val="0"/>
              <w:keepLines w:val="0"/>
              <w:pageBreakBefore w:val="0"/>
              <w:widowControl/>
              <w:kinsoku/>
              <w:wordWrap/>
              <w:overflowPunct/>
              <w:topLinePunct w:val="0"/>
              <w:autoSpaceDE/>
              <w:autoSpaceDN/>
              <w:bidi w:val="0"/>
              <w:adjustRightInd/>
              <w:spacing w:line="360" w:lineRule="auto"/>
              <w:ind w:left="0" w:leftChars="0" w:right="0"/>
              <w:jc w:val="center"/>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（1）施工组织设计（满分60分）</w:t>
            </w:r>
          </w:p>
        </w:tc>
        <w:tc>
          <w:tcPr>
            <w:tcW w:w="2495" w:type="dxa"/>
            <w:tcBorders>
              <w:top w:val="single" w:color="auto" w:sz="4" w:space="0"/>
              <w:left w:val="single" w:color="auto" w:sz="4" w:space="0"/>
              <w:bottom w:val="single" w:color="auto" w:sz="4" w:space="0"/>
              <w:right w:val="single" w:color="auto" w:sz="4" w:space="0"/>
            </w:tcBorders>
            <w:noWrap w:val="0"/>
            <w:vAlign w:val="center"/>
          </w:tcPr>
          <w:p w14:paraId="479602CF">
            <w:pPr>
              <w:keepNext w:val="0"/>
              <w:keepLines w:val="0"/>
              <w:pageBreakBefore w:val="0"/>
              <w:widowControl/>
              <w:kinsoku/>
              <w:wordWrap/>
              <w:overflowPunct/>
              <w:topLinePunct w:val="0"/>
              <w:autoSpaceDE/>
              <w:autoSpaceDN/>
              <w:bidi w:val="0"/>
              <w:adjustRightInd/>
              <w:spacing w:line="360" w:lineRule="auto"/>
              <w:ind w:left="0" w:leftChars="0" w:right="0"/>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b/>
                <w:bCs/>
                <w:color w:val="000000"/>
                <w:kern w:val="0"/>
                <w:sz w:val="21"/>
                <w:szCs w:val="21"/>
                <w:highlight w:val="none"/>
                <w:shd w:val="clear" w:color="auto" w:fill="auto"/>
              </w:rPr>
              <w:t>总体概述（4分）</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68BB0967">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b/>
                <w:bCs/>
                <w:color w:val="000000"/>
                <w:kern w:val="0"/>
                <w:sz w:val="21"/>
                <w:szCs w:val="21"/>
                <w:highlight w:val="none"/>
                <w:shd w:val="clear" w:color="auto" w:fill="auto"/>
              </w:rPr>
              <w:t>优（4分）</w:t>
            </w:r>
            <w:r>
              <w:rPr>
                <w:rFonts w:hint="eastAsia" w:ascii="宋体" w:hAnsi="宋体" w:eastAsia="宋体" w:cs="宋体"/>
                <w:color w:val="000000"/>
                <w:kern w:val="0"/>
                <w:sz w:val="21"/>
                <w:szCs w:val="21"/>
                <w:highlight w:val="none"/>
                <w:shd w:val="clear" w:color="auto" w:fill="auto"/>
              </w:rPr>
              <w:t>：对项目总体 有深刻认识，表达清晰、完整、严谨、合理，措施先进、具体、有效、成熟；施工段划分清晰、合理，符合规范要求。</w:t>
            </w:r>
          </w:p>
          <w:p w14:paraId="4E0FAEBA">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b/>
                <w:bCs/>
                <w:color w:val="000000"/>
                <w:kern w:val="0"/>
                <w:sz w:val="21"/>
                <w:szCs w:val="21"/>
                <w:highlight w:val="none"/>
                <w:shd w:val="clear" w:color="auto" w:fill="auto"/>
              </w:rPr>
              <w:t>良（2.5分）</w:t>
            </w:r>
            <w:r>
              <w:rPr>
                <w:rFonts w:hint="eastAsia" w:ascii="宋体" w:hAnsi="宋体" w:eastAsia="宋体" w:cs="宋体"/>
                <w:color w:val="000000"/>
                <w:kern w:val="0"/>
                <w:sz w:val="21"/>
                <w:szCs w:val="21"/>
                <w:highlight w:val="none"/>
                <w:shd w:val="clear" w:color="auto" w:fill="auto"/>
              </w:rPr>
              <w:t>：对项目总体有一定认识，表达清晰、完整，措施具体有效；施工段划分清晰，符合规范要求。</w:t>
            </w:r>
          </w:p>
          <w:p w14:paraId="2A200976">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b/>
                <w:bCs/>
                <w:color w:val="000000"/>
                <w:kern w:val="0"/>
                <w:sz w:val="21"/>
                <w:szCs w:val="21"/>
                <w:highlight w:val="none"/>
                <w:shd w:val="clear" w:color="auto" w:fill="auto"/>
              </w:rPr>
              <w:t>中（1分）</w:t>
            </w:r>
            <w:r>
              <w:rPr>
                <w:rFonts w:hint="eastAsia" w:ascii="宋体" w:hAnsi="宋体" w:eastAsia="宋体" w:cs="宋体"/>
                <w:color w:val="000000"/>
                <w:kern w:val="0"/>
                <w:sz w:val="21"/>
                <w:szCs w:val="21"/>
                <w:highlight w:val="none"/>
                <w:shd w:val="clear" w:color="auto" w:fill="auto"/>
              </w:rPr>
              <w:t>：对项目总体有认识，有一定的措施但部分不具体；施工段划分较合理，符合规范要求。</w:t>
            </w:r>
          </w:p>
          <w:p w14:paraId="14F21FE0">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b/>
                <w:bCs/>
                <w:color w:val="000000"/>
                <w:kern w:val="0"/>
                <w:sz w:val="21"/>
                <w:szCs w:val="21"/>
                <w:highlight w:val="none"/>
                <w:shd w:val="clear" w:color="auto" w:fill="auto"/>
              </w:rPr>
              <w:t>差（0分）</w:t>
            </w:r>
            <w:r>
              <w:rPr>
                <w:rFonts w:hint="eastAsia" w:ascii="宋体" w:hAnsi="宋体" w:eastAsia="宋体" w:cs="宋体"/>
                <w:color w:val="000000"/>
                <w:kern w:val="0"/>
                <w:sz w:val="21"/>
                <w:szCs w:val="21"/>
                <w:highlight w:val="none"/>
                <w:shd w:val="clear" w:color="auto" w:fill="auto"/>
              </w:rPr>
              <w:t>：对项目认识不足，表达不清晰，措施不具体；施工段划分不合理。</w:t>
            </w:r>
          </w:p>
        </w:tc>
      </w:tr>
      <w:tr w14:paraId="40E78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44" w:type="dxa"/>
            <w:vMerge w:val="continue"/>
            <w:tcBorders>
              <w:left w:val="single" w:color="auto" w:sz="4" w:space="0"/>
              <w:right w:val="single" w:color="auto" w:sz="4" w:space="0"/>
            </w:tcBorders>
            <w:noWrap w:val="0"/>
            <w:vAlign w:val="center"/>
          </w:tcPr>
          <w:p w14:paraId="77B93D6C">
            <w:pPr>
              <w:keepNext w:val="0"/>
              <w:keepLines w:val="0"/>
              <w:pageBreakBefore w:val="0"/>
              <w:kinsoku/>
              <w:wordWrap/>
              <w:overflowPunct/>
              <w:topLinePunct w:val="0"/>
              <w:autoSpaceDE/>
              <w:autoSpaceDN/>
              <w:bidi w:val="0"/>
              <w:adjustRightInd/>
              <w:spacing w:line="360" w:lineRule="auto"/>
              <w:ind w:left="0" w:leftChars="0" w:right="0"/>
              <w:jc w:val="center"/>
              <w:textAlignment w:val="auto"/>
              <w:rPr>
                <w:rFonts w:hint="eastAsia" w:ascii="宋体" w:hAnsi="宋体" w:eastAsia="宋体" w:cs="宋体"/>
                <w:color w:val="000000"/>
                <w:kern w:val="0"/>
                <w:sz w:val="21"/>
                <w:szCs w:val="21"/>
                <w:highlight w:val="none"/>
                <w:shd w:val="clear" w:color="auto" w:fill="auto"/>
              </w:rPr>
            </w:pPr>
          </w:p>
        </w:tc>
        <w:tc>
          <w:tcPr>
            <w:tcW w:w="1309" w:type="dxa"/>
            <w:vMerge w:val="continue"/>
            <w:tcBorders>
              <w:left w:val="single" w:color="auto" w:sz="4" w:space="0"/>
              <w:right w:val="single" w:color="auto" w:sz="4" w:space="0"/>
            </w:tcBorders>
            <w:noWrap w:val="0"/>
            <w:vAlign w:val="center"/>
          </w:tcPr>
          <w:p w14:paraId="09D549F3">
            <w:pPr>
              <w:keepNext w:val="0"/>
              <w:keepLines w:val="0"/>
              <w:pageBreakBefore w:val="0"/>
              <w:kinsoku/>
              <w:wordWrap/>
              <w:overflowPunct/>
              <w:topLinePunct w:val="0"/>
              <w:autoSpaceDE/>
              <w:autoSpaceDN/>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c>
          <w:tcPr>
            <w:tcW w:w="2495" w:type="dxa"/>
            <w:tcBorders>
              <w:top w:val="single" w:color="auto" w:sz="4" w:space="0"/>
              <w:left w:val="single" w:color="auto" w:sz="4" w:space="0"/>
              <w:bottom w:val="single" w:color="auto" w:sz="4" w:space="0"/>
              <w:right w:val="single" w:color="auto" w:sz="4" w:space="0"/>
            </w:tcBorders>
            <w:noWrap w:val="0"/>
            <w:vAlign w:val="center"/>
          </w:tcPr>
          <w:p w14:paraId="3E68D98B">
            <w:pPr>
              <w:keepNext w:val="0"/>
              <w:keepLines w:val="0"/>
              <w:pageBreakBefore w:val="0"/>
              <w:kinsoku/>
              <w:wordWrap/>
              <w:overflowPunct/>
              <w:topLinePunct w:val="0"/>
              <w:autoSpaceDE/>
              <w:autoSpaceDN/>
              <w:bidi w:val="0"/>
              <w:adjustRightInd/>
              <w:spacing w:line="360" w:lineRule="auto"/>
              <w:ind w:left="0" w:leftChars="0" w:right="0"/>
              <w:jc w:val="center"/>
              <w:textAlignment w:val="auto"/>
              <w:rPr>
                <w:rFonts w:hint="eastAsia" w:ascii="宋体" w:hAnsi="宋体" w:eastAsia="宋体" w:cs="宋体"/>
                <w:b/>
                <w:bCs/>
                <w:color w:val="000000"/>
                <w:kern w:val="0"/>
                <w:sz w:val="21"/>
                <w:szCs w:val="21"/>
                <w:highlight w:val="none"/>
                <w:shd w:val="clear" w:color="auto" w:fill="auto"/>
              </w:rPr>
            </w:pPr>
            <w:r>
              <w:rPr>
                <w:rFonts w:hint="eastAsia" w:ascii="宋体" w:hAnsi="宋体" w:eastAsia="宋体" w:cs="宋体"/>
                <w:b/>
                <w:bCs/>
                <w:color w:val="000000"/>
                <w:kern w:val="0"/>
                <w:sz w:val="21"/>
                <w:szCs w:val="21"/>
                <w:highlight w:val="none"/>
                <w:shd w:val="clear" w:color="auto" w:fill="auto"/>
              </w:rPr>
              <w:t>主要施工方法</w:t>
            </w:r>
          </w:p>
          <w:p w14:paraId="1A8E166F">
            <w:pPr>
              <w:keepNext w:val="0"/>
              <w:keepLines w:val="0"/>
              <w:pageBreakBefore w:val="0"/>
              <w:kinsoku/>
              <w:wordWrap/>
              <w:overflowPunct/>
              <w:topLinePunct w:val="0"/>
              <w:autoSpaceDE/>
              <w:autoSpaceDN/>
              <w:bidi w:val="0"/>
              <w:adjustRightInd/>
              <w:spacing w:line="360" w:lineRule="auto"/>
              <w:ind w:left="0" w:leftChars="0" w:right="0"/>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b/>
                <w:bCs/>
                <w:color w:val="000000"/>
                <w:kern w:val="0"/>
                <w:sz w:val="21"/>
                <w:szCs w:val="21"/>
                <w:highlight w:val="none"/>
                <w:shd w:val="clear" w:color="auto" w:fill="auto"/>
              </w:rPr>
              <w:t>（10分）</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1F79DE9A">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b/>
                <w:bCs/>
                <w:color w:val="000000"/>
                <w:kern w:val="0"/>
                <w:sz w:val="21"/>
                <w:szCs w:val="21"/>
                <w:highlight w:val="none"/>
                <w:shd w:val="clear" w:color="auto" w:fill="auto"/>
              </w:rPr>
              <w:t>优（10分）</w:t>
            </w:r>
            <w:r>
              <w:rPr>
                <w:rFonts w:hint="eastAsia" w:ascii="宋体" w:hAnsi="宋体" w:eastAsia="宋体" w:cs="宋体"/>
                <w:color w:val="000000"/>
                <w:kern w:val="0"/>
                <w:sz w:val="21"/>
                <w:szCs w:val="21"/>
                <w:highlight w:val="none"/>
                <w:shd w:val="clear" w:color="auto" w:fill="auto"/>
              </w:rPr>
              <w:t>：各主要分部施工方法符合项目实际，有详尽的施工技术方案，工艺先进、方法科学合理、可行，能指导具体施工并确保安全；</w:t>
            </w:r>
          </w:p>
          <w:p w14:paraId="2444EE61">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b/>
                <w:bCs/>
                <w:color w:val="000000"/>
                <w:kern w:val="0"/>
                <w:sz w:val="21"/>
                <w:szCs w:val="21"/>
                <w:highlight w:val="none"/>
                <w:shd w:val="clear" w:color="auto" w:fill="auto"/>
              </w:rPr>
              <w:t>良（6.5分）</w:t>
            </w:r>
            <w:r>
              <w:rPr>
                <w:rFonts w:hint="eastAsia" w:ascii="宋体" w:hAnsi="宋体" w:eastAsia="宋体" w:cs="宋体"/>
                <w:color w:val="000000"/>
                <w:kern w:val="0"/>
                <w:sz w:val="21"/>
                <w:szCs w:val="21"/>
                <w:highlight w:val="none"/>
                <w:shd w:val="clear" w:color="auto" w:fill="auto"/>
              </w:rPr>
              <w:t>：各主要分部施工方法符合项目实际，有较详尽的施工技术方案，工艺较好、方法科学合理、可行，能指导具体施工并确保安全；</w:t>
            </w:r>
          </w:p>
          <w:p w14:paraId="50A438C9">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b/>
                <w:bCs/>
                <w:color w:val="000000"/>
                <w:kern w:val="0"/>
                <w:sz w:val="21"/>
                <w:szCs w:val="21"/>
                <w:highlight w:val="none"/>
                <w:shd w:val="clear" w:color="auto" w:fill="auto"/>
              </w:rPr>
              <w:t>中（3分）</w:t>
            </w:r>
            <w:r>
              <w:rPr>
                <w:rFonts w:hint="eastAsia" w:ascii="宋体" w:hAnsi="宋体" w:eastAsia="宋体" w:cs="宋体"/>
                <w:color w:val="000000"/>
                <w:kern w:val="0"/>
                <w:sz w:val="21"/>
                <w:szCs w:val="21"/>
                <w:highlight w:val="none"/>
                <w:shd w:val="clear" w:color="auto" w:fill="auto"/>
              </w:rPr>
              <w:t>：各主要分部施工方法能满足项目需求，有施工技术方案，能指导具体施工并确保安全；</w:t>
            </w:r>
          </w:p>
          <w:p w14:paraId="1E9C8A38">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b/>
                <w:bCs/>
                <w:color w:val="000000"/>
                <w:kern w:val="0"/>
                <w:sz w:val="21"/>
                <w:szCs w:val="21"/>
                <w:highlight w:val="none"/>
                <w:shd w:val="clear" w:color="auto" w:fill="auto"/>
              </w:rPr>
              <w:t>差（0分）</w:t>
            </w:r>
            <w:r>
              <w:rPr>
                <w:rFonts w:hint="eastAsia" w:ascii="宋体" w:hAnsi="宋体" w:eastAsia="宋体" w:cs="宋体"/>
                <w:color w:val="000000"/>
                <w:kern w:val="0"/>
                <w:sz w:val="21"/>
                <w:szCs w:val="21"/>
                <w:highlight w:val="none"/>
                <w:shd w:val="clear" w:color="auto" w:fill="auto"/>
              </w:rPr>
              <w:t>：各主要分部施工方法不能满足项目需求，没有施工技术方案，不能指导具体施工并确保安全；</w:t>
            </w:r>
          </w:p>
        </w:tc>
      </w:tr>
      <w:tr w14:paraId="24480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44" w:type="dxa"/>
            <w:vMerge w:val="continue"/>
            <w:tcBorders>
              <w:left w:val="single" w:color="auto" w:sz="4" w:space="0"/>
              <w:right w:val="single" w:color="auto" w:sz="4" w:space="0"/>
            </w:tcBorders>
            <w:noWrap w:val="0"/>
            <w:vAlign w:val="center"/>
          </w:tcPr>
          <w:p w14:paraId="420219C5">
            <w:pPr>
              <w:keepNext w:val="0"/>
              <w:keepLines w:val="0"/>
              <w:pageBreakBefore w:val="0"/>
              <w:kinsoku/>
              <w:wordWrap/>
              <w:overflowPunct/>
              <w:topLinePunct w:val="0"/>
              <w:autoSpaceDE/>
              <w:autoSpaceDN/>
              <w:bidi w:val="0"/>
              <w:adjustRightInd/>
              <w:spacing w:line="360" w:lineRule="auto"/>
              <w:ind w:left="0" w:leftChars="0" w:right="0"/>
              <w:jc w:val="center"/>
              <w:textAlignment w:val="auto"/>
              <w:rPr>
                <w:rFonts w:hint="eastAsia" w:ascii="宋体" w:hAnsi="宋体" w:eastAsia="宋体" w:cs="宋体"/>
                <w:color w:val="000000"/>
                <w:kern w:val="0"/>
                <w:sz w:val="21"/>
                <w:szCs w:val="21"/>
                <w:highlight w:val="none"/>
                <w:shd w:val="clear" w:color="auto" w:fill="auto"/>
              </w:rPr>
            </w:pPr>
          </w:p>
        </w:tc>
        <w:tc>
          <w:tcPr>
            <w:tcW w:w="1309" w:type="dxa"/>
            <w:vMerge w:val="continue"/>
            <w:tcBorders>
              <w:left w:val="single" w:color="auto" w:sz="4" w:space="0"/>
              <w:right w:val="single" w:color="auto" w:sz="4" w:space="0"/>
            </w:tcBorders>
            <w:noWrap w:val="0"/>
            <w:vAlign w:val="center"/>
          </w:tcPr>
          <w:p w14:paraId="7D7E092E">
            <w:pPr>
              <w:keepNext w:val="0"/>
              <w:keepLines w:val="0"/>
              <w:pageBreakBefore w:val="0"/>
              <w:widowControl/>
              <w:kinsoku/>
              <w:wordWrap/>
              <w:overflowPunct/>
              <w:topLinePunct w:val="0"/>
              <w:autoSpaceDE/>
              <w:autoSpaceDN/>
              <w:bidi w:val="0"/>
              <w:adjustRightInd/>
              <w:spacing w:line="360" w:lineRule="auto"/>
              <w:ind w:left="0" w:leftChars="0" w:right="0" w:firstLine="210"/>
              <w:textAlignment w:val="auto"/>
              <w:rPr>
                <w:rFonts w:hint="eastAsia" w:ascii="宋体" w:hAnsi="宋体" w:eastAsia="宋体" w:cs="宋体"/>
                <w:color w:val="000000"/>
                <w:kern w:val="0"/>
                <w:sz w:val="21"/>
                <w:szCs w:val="21"/>
                <w:highlight w:val="none"/>
                <w:shd w:val="clear" w:color="auto" w:fill="auto"/>
              </w:rPr>
            </w:pPr>
          </w:p>
        </w:tc>
        <w:tc>
          <w:tcPr>
            <w:tcW w:w="2495" w:type="dxa"/>
            <w:tcBorders>
              <w:top w:val="single" w:color="auto" w:sz="4" w:space="0"/>
              <w:left w:val="single" w:color="auto" w:sz="4" w:space="0"/>
              <w:bottom w:val="single" w:color="auto" w:sz="4" w:space="0"/>
              <w:right w:val="single" w:color="auto" w:sz="4" w:space="0"/>
            </w:tcBorders>
            <w:noWrap w:val="0"/>
            <w:vAlign w:val="center"/>
          </w:tcPr>
          <w:p w14:paraId="41515BAE">
            <w:pPr>
              <w:keepNext w:val="0"/>
              <w:keepLines w:val="0"/>
              <w:pageBreakBefore w:val="0"/>
              <w:widowControl/>
              <w:kinsoku/>
              <w:wordWrap/>
              <w:overflowPunct/>
              <w:topLinePunct w:val="0"/>
              <w:autoSpaceDE/>
              <w:autoSpaceDN/>
              <w:bidi w:val="0"/>
              <w:adjustRightInd/>
              <w:spacing w:line="360" w:lineRule="auto"/>
              <w:ind w:left="0" w:leftChars="0" w:right="0" w:hanging="29"/>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b/>
                <w:bCs/>
                <w:color w:val="000000"/>
                <w:kern w:val="0"/>
                <w:sz w:val="21"/>
                <w:szCs w:val="21"/>
                <w:highlight w:val="none"/>
                <w:shd w:val="clear" w:color="auto" w:fill="auto"/>
              </w:rPr>
              <w:t>施工进度计划和各阶段进度的保证措施及违约责任承诺（6分）</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03142943">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b/>
                <w:bCs/>
                <w:color w:val="000000"/>
                <w:kern w:val="0"/>
                <w:sz w:val="21"/>
                <w:szCs w:val="21"/>
                <w:highlight w:val="none"/>
                <w:shd w:val="clear" w:color="auto" w:fill="auto"/>
              </w:rPr>
              <w:t>优（6分）</w:t>
            </w:r>
            <w:r>
              <w:rPr>
                <w:rFonts w:hint="eastAsia" w:ascii="宋体" w:hAnsi="宋体" w:eastAsia="宋体" w:cs="宋体"/>
                <w:color w:val="000000"/>
                <w:kern w:val="0"/>
                <w:sz w:val="21"/>
                <w:szCs w:val="21"/>
                <w:highlight w:val="none"/>
                <w:shd w:val="clear" w:color="auto" w:fill="auto"/>
              </w:rPr>
              <w:t>：关键线路清晰、准确、完整，计划编制合理、可行，关键节点的控制措施有力、合理、可行。</w:t>
            </w:r>
          </w:p>
          <w:p w14:paraId="43015C6C">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b/>
                <w:bCs/>
                <w:color w:val="000000"/>
                <w:kern w:val="0"/>
                <w:sz w:val="21"/>
                <w:szCs w:val="21"/>
                <w:highlight w:val="none"/>
                <w:shd w:val="clear" w:color="auto" w:fill="auto"/>
              </w:rPr>
              <w:t>良（4分）</w:t>
            </w:r>
            <w:r>
              <w:rPr>
                <w:rFonts w:hint="eastAsia" w:ascii="宋体" w:hAnsi="宋体" w:eastAsia="宋体" w:cs="宋体"/>
                <w:color w:val="000000"/>
                <w:kern w:val="0"/>
                <w:sz w:val="21"/>
                <w:szCs w:val="21"/>
                <w:highlight w:val="none"/>
                <w:shd w:val="clear" w:color="auto" w:fill="auto"/>
              </w:rPr>
              <w:t>：关键线路清晰、准确、完整，计划编制可行，关键节点的控制措施合理、可行。</w:t>
            </w:r>
          </w:p>
          <w:p w14:paraId="3D6F5DD2">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b/>
                <w:bCs/>
                <w:color w:val="000000"/>
                <w:kern w:val="0"/>
                <w:sz w:val="21"/>
                <w:szCs w:val="21"/>
                <w:highlight w:val="none"/>
                <w:shd w:val="clear" w:color="auto" w:fill="auto"/>
              </w:rPr>
              <w:t>中（2分）</w:t>
            </w:r>
            <w:r>
              <w:rPr>
                <w:rFonts w:hint="eastAsia" w:ascii="宋体" w:hAnsi="宋体" w:eastAsia="宋体" w:cs="宋体"/>
                <w:color w:val="000000"/>
                <w:kern w:val="0"/>
                <w:sz w:val="21"/>
                <w:szCs w:val="21"/>
                <w:highlight w:val="none"/>
                <w:shd w:val="clear" w:color="auto" w:fill="auto"/>
              </w:rPr>
              <w:t>：关键线路基本准确，计划编制合理，关键节点的控制措施基本可行。</w:t>
            </w:r>
          </w:p>
          <w:p w14:paraId="3EF6A28F">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b/>
                <w:bCs/>
                <w:color w:val="000000"/>
                <w:kern w:val="0"/>
                <w:sz w:val="21"/>
                <w:szCs w:val="21"/>
                <w:highlight w:val="none"/>
                <w:shd w:val="clear" w:color="auto" w:fill="auto"/>
              </w:rPr>
              <w:t>差（0分）</w:t>
            </w:r>
            <w:r>
              <w:rPr>
                <w:rFonts w:hint="eastAsia" w:ascii="宋体" w:hAnsi="宋体" w:eastAsia="宋体" w:cs="宋体"/>
                <w:color w:val="000000"/>
                <w:kern w:val="0"/>
                <w:sz w:val="21"/>
                <w:szCs w:val="21"/>
                <w:highlight w:val="none"/>
                <w:shd w:val="clear" w:color="auto" w:fill="auto"/>
              </w:rPr>
              <w:t>：关键线路不准确，计划编制不合理，关键节点的控制不可行。</w:t>
            </w:r>
          </w:p>
        </w:tc>
      </w:tr>
      <w:tr w14:paraId="3660A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44" w:type="dxa"/>
            <w:vMerge w:val="continue"/>
            <w:tcBorders>
              <w:left w:val="single" w:color="auto" w:sz="4" w:space="0"/>
              <w:right w:val="single" w:color="auto" w:sz="4" w:space="0"/>
            </w:tcBorders>
            <w:noWrap w:val="0"/>
            <w:vAlign w:val="center"/>
          </w:tcPr>
          <w:p w14:paraId="3BDA2B4D">
            <w:pPr>
              <w:keepNext w:val="0"/>
              <w:keepLines w:val="0"/>
              <w:pageBreakBefore w:val="0"/>
              <w:kinsoku/>
              <w:wordWrap/>
              <w:overflowPunct/>
              <w:topLinePunct w:val="0"/>
              <w:autoSpaceDE/>
              <w:autoSpaceDN/>
              <w:bidi w:val="0"/>
              <w:adjustRightInd/>
              <w:spacing w:line="360" w:lineRule="auto"/>
              <w:ind w:left="0" w:leftChars="0" w:right="0"/>
              <w:jc w:val="center"/>
              <w:textAlignment w:val="auto"/>
              <w:rPr>
                <w:rFonts w:hint="eastAsia" w:ascii="宋体" w:hAnsi="宋体" w:eastAsia="宋体" w:cs="宋体"/>
                <w:color w:val="000000"/>
                <w:kern w:val="0"/>
                <w:sz w:val="21"/>
                <w:szCs w:val="21"/>
                <w:highlight w:val="none"/>
                <w:shd w:val="clear" w:color="auto" w:fill="auto"/>
              </w:rPr>
            </w:pPr>
          </w:p>
        </w:tc>
        <w:tc>
          <w:tcPr>
            <w:tcW w:w="1309" w:type="dxa"/>
            <w:vMerge w:val="continue"/>
            <w:tcBorders>
              <w:left w:val="single" w:color="auto" w:sz="4" w:space="0"/>
              <w:right w:val="single" w:color="auto" w:sz="4" w:space="0"/>
            </w:tcBorders>
            <w:noWrap w:val="0"/>
            <w:vAlign w:val="center"/>
          </w:tcPr>
          <w:p w14:paraId="38179B51">
            <w:pPr>
              <w:keepNext w:val="0"/>
              <w:keepLines w:val="0"/>
              <w:pageBreakBefore w:val="0"/>
              <w:widowControl/>
              <w:kinsoku/>
              <w:wordWrap/>
              <w:overflowPunct/>
              <w:topLinePunct w:val="0"/>
              <w:autoSpaceDE/>
              <w:autoSpaceDN/>
              <w:bidi w:val="0"/>
              <w:adjustRightInd/>
              <w:spacing w:line="360" w:lineRule="auto"/>
              <w:ind w:left="0" w:leftChars="0" w:right="0" w:firstLine="27" w:firstLineChars="13"/>
              <w:textAlignment w:val="auto"/>
              <w:rPr>
                <w:rFonts w:hint="eastAsia" w:ascii="宋体" w:hAnsi="宋体" w:eastAsia="宋体" w:cs="宋体"/>
                <w:color w:val="000000"/>
                <w:kern w:val="0"/>
                <w:sz w:val="21"/>
                <w:szCs w:val="21"/>
                <w:highlight w:val="none"/>
                <w:shd w:val="clear" w:color="auto" w:fill="auto"/>
              </w:rPr>
            </w:pPr>
          </w:p>
        </w:tc>
        <w:tc>
          <w:tcPr>
            <w:tcW w:w="2495" w:type="dxa"/>
            <w:tcBorders>
              <w:top w:val="single" w:color="auto" w:sz="4" w:space="0"/>
              <w:left w:val="single" w:color="auto" w:sz="4" w:space="0"/>
              <w:bottom w:val="single" w:color="auto" w:sz="4" w:space="0"/>
              <w:right w:val="single" w:color="auto" w:sz="4" w:space="0"/>
            </w:tcBorders>
            <w:noWrap w:val="0"/>
            <w:vAlign w:val="center"/>
          </w:tcPr>
          <w:p w14:paraId="6D6D2BEE">
            <w:pPr>
              <w:keepNext w:val="0"/>
              <w:keepLines w:val="0"/>
              <w:pageBreakBefore w:val="0"/>
              <w:widowControl/>
              <w:kinsoku/>
              <w:wordWrap/>
              <w:overflowPunct/>
              <w:topLinePunct w:val="0"/>
              <w:autoSpaceDE/>
              <w:autoSpaceDN/>
              <w:bidi w:val="0"/>
              <w:adjustRightInd/>
              <w:spacing w:line="360" w:lineRule="auto"/>
              <w:ind w:left="0" w:leftChars="0" w:right="0" w:firstLine="27" w:firstLineChars="13"/>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b/>
                <w:bCs/>
                <w:color w:val="000000"/>
                <w:kern w:val="0"/>
                <w:sz w:val="21"/>
                <w:szCs w:val="21"/>
                <w:highlight w:val="none"/>
                <w:shd w:val="clear" w:color="auto" w:fill="auto"/>
              </w:rPr>
              <w:t>劳动力和材料投入计划及其保证措施（3分）</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72EE5BA5">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b/>
                <w:bCs/>
                <w:color w:val="000000"/>
                <w:kern w:val="0"/>
                <w:sz w:val="21"/>
                <w:szCs w:val="21"/>
                <w:highlight w:val="none"/>
                <w:shd w:val="clear" w:color="auto" w:fill="auto"/>
              </w:rPr>
              <w:t>优（3分）</w:t>
            </w:r>
            <w:r>
              <w:rPr>
                <w:rFonts w:hint="eastAsia" w:ascii="宋体" w:hAnsi="宋体" w:eastAsia="宋体" w:cs="宋体"/>
                <w:color w:val="000000"/>
                <w:kern w:val="0"/>
                <w:sz w:val="21"/>
                <w:szCs w:val="21"/>
                <w:highlight w:val="none"/>
                <w:shd w:val="clear" w:color="auto" w:fill="auto"/>
              </w:rPr>
              <w:t>：投入计划与进度计划呼应，较好满足施工需要，调配投入计划合理、准确。</w:t>
            </w:r>
          </w:p>
          <w:p w14:paraId="3F62EC94">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b/>
                <w:bCs/>
                <w:color w:val="000000"/>
                <w:kern w:val="0"/>
                <w:sz w:val="21"/>
                <w:szCs w:val="21"/>
                <w:highlight w:val="none"/>
                <w:shd w:val="clear" w:color="auto" w:fill="auto"/>
              </w:rPr>
              <w:t>良（2分）</w:t>
            </w:r>
            <w:r>
              <w:rPr>
                <w:rFonts w:hint="eastAsia" w:ascii="宋体" w:hAnsi="宋体" w:eastAsia="宋体" w:cs="宋体"/>
                <w:color w:val="000000"/>
                <w:kern w:val="0"/>
                <w:sz w:val="21"/>
                <w:szCs w:val="21"/>
                <w:highlight w:val="none"/>
                <w:shd w:val="clear" w:color="auto" w:fill="auto"/>
              </w:rPr>
              <w:t>：投入计划与进度计划呼应，基本满足施工需要，调配投入计划基本合理、准确。</w:t>
            </w:r>
          </w:p>
          <w:p w14:paraId="2F5497D0">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b/>
                <w:bCs/>
                <w:color w:val="000000"/>
                <w:kern w:val="0"/>
                <w:sz w:val="21"/>
                <w:szCs w:val="21"/>
                <w:highlight w:val="none"/>
                <w:shd w:val="clear" w:color="auto" w:fill="auto"/>
              </w:rPr>
              <w:t>中（1分）</w:t>
            </w:r>
            <w:r>
              <w:rPr>
                <w:rFonts w:hint="eastAsia" w:ascii="宋体" w:hAnsi="宋体" w:eastAsia="宋体" w:cs="宋体"/>
                <w:color w:val="000000"/>
                <w:kern w:val="0"/>
                <w:sz w:val="21"/>
                <w:szCs w:val="21"/>
                <w:highlight w:val="none"/>
                <w:shd w:val="clear" w:color="auto" w:fill="auto"/>
              </w:rPr>
              <w:t>：投入计划与进度计划呼应，基本满足施工需要，调配投入计划基本合理。</w:t>
            </w:r>
          </w:p>
          <w:p w14:paraId="248A3B0E">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b/>
                <w:bCs/>
                <w:color w:val="000000"/>
                <w:kern w:val="0"/>
                <w:sz w:val="21"/>
                <w:szCs w:val="21"/>
                <w:highlight w:val="none"/>
                <w:shd w:val="clear" w:color="auto" w:fill="auto"/>
              </w:rPr>
              <w:t>差（0分）</w:t>
            </w:r>
            <w:r>
              <w:rPr>
                <w:rFonts w:hint="eastAsia" w:ascii="宋体" w:hAnsi="宋体" w:eastAsia="宋体" w:cs="宋体"/>
                <w:color w:val="000000"/>
                <w:kern w:val="0"/>
                <w:sz w:val="21"/>
                <w:szCs w:val="21"/>
                <w:highlight w:val="none"/>
                <w:shd w:val="clear" w:color="auto" w:fill="auto"/>
              </w:rPr>
              <w:t>：投入计划与进度计划不呼应，不能满足施工需要。</w:t>
            </w:r>
          </w:p>
        </w:tc>
      </w:tr>
      <w:tr w14:paraId="2FA46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44" w:type="dxa"/>
            <w:vMerge w:val="continue"/>
            <w:tcBorders>
              <w:left w:val="single" w:color="auto" w:sz="4" w:space="0"/>
              <w:right w:val="single" w:color="auto" w:sz="4" w:space="0"/>
            </w:tcBorders>
            <w:noWrap w:val="0"/>
            <w:vAlign w:val="center"/>
          </w:tcPr>
          <w:p w14:paraId="3FD2BA88">
            <w:pPr>
              <w:keepNext w:val="0"/>
              <w:keepLines w:val="0"/>
              <w:pageBreakBefore w:val="0"/>
              <w:kinsoku/>
              <w:wordWrap/>
              <w:overflowPunct/>
              <w:topLinePunct w:val="0"/>
              <w:autoSpaceDE/>
              <w:autoSpaceDN/>
              <w:bidi w:val="0"/>
              <w:adjustRightInd/>
              <w:spacing w:line="360" w:lineRule="auto"/>
              <w:ind w:left="0" w:leftChars="0" w:right="0"/>
              <w:jc w:val="center"/>
              <w:textAlignment w:val="auto"/>
              <w:rPr>
                <w:rFonts w:hint="eastAsia" w:ascii="宋体" w:hAnsi="宋体" w:eastAsia="宋体" w:cs="宋体"/>
                <w:color w:val="000000"/>
                <w:kern w:val="0"/>
                <w:sz w:val="21"/>
                <w:szCs w:val="21"/>
                <w:highlight w:val="none"/>
                <w:shd w:val="clear" w:color="auto" w:fill="auto"/>
              </w:rPr>
            </w:pPr>
          </w:p>
        </w:tc>
        <w:tc>
          <w:tcPr>
            <w:tcW w:w="1309" w:type="dxa"/>
            <w:vMerge w:val="continue"/>
            <w:tcBorders>
              <w:left w:val="single" w:color="auto" w:sz="4" w:space="0"/>
              <w:right w:val="single" w:color="auto" w:sz="4" w:space="0"/>
            </w:tcBorders>
            <w:noWrap w:val="0"/>
            <w:vAlign w:val="center"/>
          </w:tcPr>
          <w:p w14:paraId="34772794">
            <w:pPr>
              <w:keepNext w:val="0"/>
              <w:keepLines w:val="0"/>
              <w:pageBreakBefore w:val="0"/>
              <w:widowControl/>
              <w:kinsoku/>
              <w:wordWrap/>
              <w:overflowPunct/>
              <w:topLinePunct w:val="0"/>
              <w:autoSpaceDE/>
              <w:autoSpaceDN/>
              <w:bidi w:val="0"/>
              <w:adjustRightInd/>
              <w:spacing w:line="360" w:lineRule="auto"/>
              <w:ind w:left="0" w:leftChars="0" w:right="0" w:firstLine="27" w:firstLineChars="13"/>
              <w:textAlignment w:val="auto"/>
              <w:rPr>
                <w:rFonts w:hint="eastAsia" w:ascii="宋体" w:hAnsi="宋体" w:eastAsia="宋体" w:cs="宋体"/>
                <w:color w:val="000000"/>
                <w:kern w:val="0"/>
                <w:sz w:val="21"/>
                <w:szCs w:val="21"/>
                <w:highlight w:val="none"/>
                <w:shd w:val="clear" w:color="auto" w:fill="auto"/>
              </w:rPr>
            </w:pPr>
          </w:p>
        </w:tc>
        <w:tc>
          <w:tcPr>
            <w:tcW w:w="2495" w:type="dxa"/>
            <w:tcBorders>
              <w:top w:val="single" w:color="auto" w:sz="4" w:space="0"/>
              <w:left w:val="single" w:color="auto" w:sz="4" w:space="0"/>
              <w:bottom w:val="single" w:color="auto" w:sz="4" w:space="0"/>
              <w:right w:val="single" w:color="auto" w:sz="4" w:space="0"/>
            </w:tcBorders>
            <w:noWrap w:val="0"/>
            <w:vAlign w:val="center"/>
          </w:tcPr>
          <w:p w14:paraId="1CBD7F1C">
            <w:pPr>
              <w:keepNext w:val="0"/>
              <w:keepLines w:val="0"/>
              <w:pageBreakBefore w:val="0"/>
              <w:widowControl/>
              <w:kinsoku/>
              <w:wordWrap/>
              <w:overflowPunct/>
              <w:topLinePunct w:val="0"/>
              <w:autoSpaceDE/>
              <w:autoSpaceDN/>
              <w:bidi w:val="0"/>
              <w:adjustRightInd/>
              <w:spacing w:line="360" w:lineRule="auto"/>
              <w:ind w:left="0" w:leftChars="0" w:right="0" w:firstLine="27" w:firstLineChars="13"/>
              <w:jc w:val="center"/>
              <w:textAlignment w:val="auto"/>
              <w:rPr>
                <w:rFonts w:hint="eastAsia" w:ascii="宋体" w:hAnsi="宋体" w:eastAsia="宋体" w:cs="宋体"/>
                <w:b/>
                <w:bCs/>
                <w:color w:val="000000"/>
                <w:kern w:val="0"/>
                <w:sz w:val="21"/>
                <w:szCs w:val="21"/>
                <w:highlight w:val="none"/>
                <w:shd w:val="clear" w:color="auto" w:fill="auto"/>
              </w:rPr>
            </w:pPr>
            <w:r>
              <w:rPr>
                <w:rFonts w:hint="eastAsia" w:ascii="宋体" w:hAnsi="宋体" w:eastAsia="宋体" w:cs="宋体"/>
                <w:b/>
                <w:bCs/>
                <w:color w:val="000000"/>
                <w:kern w:val="0"/>
                <w:sz w:val="21"/>
                <w:szCs w:val="21"/>
                <w:highlight w:val="none"/>
                <w:shd w:val="clear" w:color="auto" w:fill="auto"/>
              </w:rPr>
              <w:t>施工平面布置和临时设施布置总布置</w:t>
            </w:r>
          </w:p>
          <w:p w14:paraId="20B47EAB">
            <w:pPr>
              <w:keepNext w:val="0"/>
              <w:keepLines w:val="0"/>
              <w:pageBreakBefore w:val="0"/>
              <w:widowControl/>
              <w:kinsoku/>
              <w:wordWrap/>
              <w:overflowPunct/>
              <w:topLinePunct w:val="0"/>
              <w:autoSpaceDE/>
              <w:autoSpaceDN/>
              <w:bidi w:val="0"/>
              <w:adjustRightInd/>
              <w:spacing w:line="360" w:lineRule="auto"/>
              <w:ind w:left="0" w:leftChars="0" w:right="0" w:firstLine="27" w:firstLineChars="13"/>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b/>
                <w:bCs/>
                <w:color w:val="000000"/>
                <w:kern w:val="0"/>
                <w:sz w:val="21"/>
                <w:szCs w:val="21"/>
                <w:highlight w:val="none"/>
                <w:shd w:val="clear" w:color="auto" w:fill="auto"/>
              </w:rPr>
              <w:t>（3分）</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2385A876">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b/>
                <w:bCs/>
                <w:color w:val="000000"/>
                <w:kern w:val="0"/>
                <w:sz w:val="21"/>
                <w:szCs w:val="21"/>
                <w:highlight w:val="none"/>
                <w:shd w:val="clear" w:color="auto" w:fill="auto"/>
              </w:rPr>
              <w:t>优（3分）</w:t>
            </w:r>
            <w:r>
              <w:rPr>
                <w:rFonts w:hint="eastAsia" w:ascii="宋体" w:hAnsi="宋体" w:eastAsia="宋体" w:cs="宋体"/>
                <w:color w:val="000000"/>
                <w:kern w:val="0"/>
                <w:sz w:val="21"/>
                <w:szCs w:val="21"/>
                <w:highlight w:val="none"/>
                <w:shd w:val="clear" w:color="auto" w:fill="auto"/>
              </w:rPr>
              <w:t>：总体布置有针对性、合理，较好满足施工需要，符合安全、文明生产要求。</w:t>
            </w:r>
          </w:p>
          <w:p w14:paraId="25AD9AD5">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b/>
                <w:bCs/>
                <w:color w:val="000000"/>
                <w:kern w:val="0"/>
                <w:sz w:val="21"/>
                <w:szCs w:val="21"/>
                <w:highlight w:val="none"/>
                <w:shd w:val="clear" w:color="auto" w:fill="auto"/>
              </w:rPr>
              <w:t>良（2分）</w:t>
            </w:r>
            <w:r>
              <w:rPr>
                <w:rFonts w:hint="eastAsia" w:ascii="宋体" w:hAnsi="宋体" w:eastAsia="宋体" w:cs="宋体"/>
                <w:color w:val="000000"/>
                <w:kern w:val="0"/>
                <w:sz w:val="21"/>
                <w:szCs w:val="21"/>
                <w:highlight w:val="none"/>
                <w:shd w:val="clear" w:color="auto" w:fill="auto"/>
              </w:rPr>
              <w:t>：总体布置合理，能满足施工需要，基本符合安全、文明生产要求。</w:t>
            </w:r>
          </w:p>
          <w:p w14:paraId="626E9F2C">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b/>
                <w:bCs/>
                <w:color w:val="000000"/>
                <w:kern w:val="0"/>
                <w:sz w:val="21"/>
                <w:szCs w:val="21"/>
                <w:highlight w:val="none"/>
                <w:shd w:val="clear" w:color="auto" w:fill="auto"/>
              </w:rPr>
              <w:t>中（1分）</w:t>
            </w:r>
            <w:r>
              <w:rPr>
                <w:rFonts w:hint="eastAsia" w:ascii="宋体" w:hAnsi="宋体" w:eastAsia="宋体" w:cs="宋体"/>
                <w:color w:val="000000"/>
                <w:kern w:val="0"/>
                <w:sz w:val="21"/>
                <w:szCs w:val="21"/>
                <w:highlight w:val="none"/>
                <w:shd w:val="clear" w:color="auto" w:fill="auto"/>
              </w:rPr>
              <w:t>：总体布置基本合理，基本满足施工需要。</w:t>
            </w:r>
          </w:p>
          <w:p w14:paraId="6BCEE168">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b/>
                <w:bCs/>
                <w:color w:val="000000"/>
                <w:kern w:val="0"/>
                <w:sz w:val="21"/>
                <w:szCs w:val="21"/>
                <w:highlight w:val="none"/>
                <w:shd w:val="clear" w:color="auto" w:fill="auto"/>
              </w:rPr>
              <w:t>差（0分）</w:t>
            </w:r>
            <w:r>
              <w:rPr>
                <w:rFonts w:hint="eastAsia" w:ascii="宋体" w:hAnsi="宋体" w:eastAsia="宋体" w:cs="宋体"/>
                <w:color w:val="000000"/>
                <w:kern w:val="0"/>
                <w:sz w:val="21"/>
                <w:szCs w:val="21"/>
                <w:highlight w:val="none"/>
                <w:shd w:val="clear" w:color="auto" w:fill="auto"/>
              </w:rPr>
              <w:t>：总体布置不合理，不符合安全、文明生产要求。</w:t>
            </w:r>
          </w:p>
        </w:tc>
      </w:tr>
      <w:tr w14:paraId="3A5BA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44" w:type="dxa"/>
            <w:vMerge w:val="continue"/>
            <w:tcBorders>
              <w:left w:val="single" w:color="auto" w:sz="4" w:space="0"/>
              <w:right w:val="single" w:color="auto" w:sz="4" w:space="0"/>
            </w:tcBorders>
            <w:noWrap w:val="0"/>
            <w:vAlign w:val="center"/>
          </w:tcPr>
          <w:p w14:paraId="7E91A593">
            <w:pPr>
              <w:keepNext w:val="0"/>
              <w:keepLines w:val="0"/>
              <w:pageBreakBefore w:val="0"/>
              <w:kinsoku/>
              <w:wordWrap/>
              <w:overflowPunct/>
              <w:topLinePunct w:val="0"/>
              <w:autoSpaceDE/>
              <w:autoSpaceDN/>
              <w:bidi w:val="0"/>
              <w:adjustRightInd/>
              <w:spacing w:line="360" w:lineRule="auto"/>
              <w:ind w:left="0" w:leftChars="0" w:right="0"/>
              <w:jc w:val="center"/>
              <w:textAlignment w:val="auto"/>
              <w:rPr>
                <w:rFonts w:hint="eastAsia" w:ascii="宋体" w:hAnsi="宋体" w:eastAsia="宋体" w:cs="宋体"/>
                <w:color w:val="000000"/>
                <w:kern w:val="0"/>
                <w:sz w:val="21"/>
                <w:szCs w:val="21"/>
                <w:highlight w:val="none"/>
                <w:shd w:val="clear" w:color="auto" w:fill="auto"/>
              </w:rPr>
            </w:pPr>
          </w:p>
        </w:tc>
        <w:tc>
          <w:tcPr>
            <w:tcW w:w="1309" w:type="dxa"/>
            <w:vMerge w:val="continue"/>
            <w:tcBorders>
              <w:left w:val="single" w:color="auto" w:sz="4" w:space="0"/>
              <w:right w:val="single" w:color="auto" w:sz="4" w:space="0"/>
            </w:tcBorders>
            <w:noWrap w:val="0"/>
            <w:vAlign w:val="center"/>
          </w:tcPr>
          <w:p w14:paraId="680E2A9D">
            <w:pPr>
              <w:keepNext w:val="0"/>
              <w:keepLines w:val="0"/>
              <w:pageBreakBefore w:val="0"/>
              <w:widowControl/>
              <w:kinsoku/>
              <w:wordWrap/>
              <w:overflowPunct/>
              <w:topLinePunct w:val="0"/>
              <w:autoSpaceDE/>
              <w:autoSpaceDN/>
              <w:bidi w:val="0"/>
              <w:adjustRightInd/>
              <w:spacing w:line="360" w:lineRule="auto"/>
              <w:ind w:left="0" w:leftChars="0" w:right="0" w:firstLine="27" w:firstLineChars="13"/>
              <w:textAlignment w:val="auto"/>
              <w:rPr>
                <w:rFonts w:hint="eastAsia" w:ascii="宋体" w:hAnsi="宋体" w:eastAsia="宋体" w:cs="宋体"/>
                <w:color w:val="000000"/>
                <w:kern w:val="0"/>
                <w:sz w:val="21"/>
                <w:szCs w:val="21"/>
                <w:highlight w:val="none"/>
                <w:shd w:val="clear" w:color="auto" w:fill="auto"/>
              </w:rPr>
            </w:pPr>
          </w:p>
        </w:tc>
        <w:tc>
          <w:tcPr>
            <w:tcW w:w="2495" w:type="dxa"/>
            <w:tcBorders>
              <w:top w:val="single" w:color="auto" w:sz="4" w:space="0"/>
              <w:left w:val="single" w:color="auto" w:sz="4" w:space="0"/>
              <w:bottom w:val="single" w:color="auto" w:sz="4" w:space="0"/>
              <w:right w:val="single" w:color="auto" w:sz="4" w:space="0"/>
            </w:tcBorders>
            <w:noWrap w:val="0"/>
            <w:vAlign w:val="center"/>
          </w:tcPr>
          <w:p w14:paraId="1AA97933">
            <w:pPr>
              <w:keepNext w:val="0"/>
              <w:keepLines w:val="0"/>
              <w:pageBreakBefore w:val="0"/>
              <w:widowControl/>
              <w:kinsoku/>
              <w:wordWrap/>
              <w:overflowPunct/>
              <w:topLinePunct w:val="0"/>
              <w:autoSpaceDE/>
              <w:autoSpaceDN/>
              <w:bidi w:val="0"/>
              <w:adjustRightInd/>
              <w:spacing w:line="360" w:lineRule="auto"/>
              <w:ind w:left="0" w:leftChars="0" w:right="0" w:firstLine="27" w:firstLineChars="13"/>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b/>
                <w:bCs/>
                <w:color w:val="000000"/>
                <w:kern w:val="0"/>
                <w:sz w:val="21"/>
                <w:szCs w:val="21"/>
                <w:highlight w:val="none"/>
                <w:shd w:val="clear" w:color="auto" w:fill="auto"/>
              </w:rPr>
              <w:t>关键施工技术、工艺及工程实施的重点、难点和解决方案（12分）</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2F851DB0">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优</w:t>
            </w:r>
            <w:r>
              <w:rPr>
                <w:rFonts w:hint="eastAsia" w:ascii="宋体" w:hAnsi="宋体" w:eastAsia="宋体" w:cs="宋体"/>
                <w:b/>
                <w:bCs/>
                <w:color w:val="000000"/>
                <w:kern w:val="0"/>
                <w:sz w:val="21"/>
                <w:szCs w:val="21"/>
                <w:highlight w:val="none"/>
                <w:shd w:val="clear" w:color="auto" w:fill="auto"/>
              </w:rPr>
              <w:t>（12分）</w:t>
            </w:r>
            <w:r>
              <w:rPr>
                <w:rFonts w:hint="eastAsia" w:ascii="宋体" w:hAnsi="宋体" w:eastAsia="宋体" w:cs="宋体"/>
                <w:color w:val="000000"/>
                <w:kern w:val="0"/>
                <w:sz w:val="21"/>
                <w:szCs w:val="21"/>
                <w:highlight w:val="none"/>
                <w:shd w:val="clear" w:color="auto" w:fill="auto"/>
              </w:rPr>
              <w:t>：对项目关键技术、工艺有深入的表达，对重点、难点有先进合理的施工措施并有可行的安全措施，解决方案完整、经济、安全、切实可行，措施得力。</w:t>
            </w:r>
          </w:p>
          <w:p w14:paraId="36B623A5">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良</w:t>
            </w:r>
            <w:r>
              <w:rPr>
                <w:rFonts w:hint="eastAsia" w:ascii="宋体" w:hAnsi="宋体" w:eastAsia="宋体" w:cs="宋体"/>
                <w:b/>
                <w:bCs/>
                <w:color w:val="000000"/>
                <w:kern w:val="0"/>
                <w:sz w:val="21"/>
                <w:szCs w:val="21"/>
                <w:highlight w:val="none"/>
                <w:shd w:val="clear" w:color="auto" w:fill="auto"/>
              </w:rPr>
              <w:t>（8分）</w:t>
            </w:r>
            <w:r>
              <w:rPr>
                <w:rFonts w:hint="eastAsia" w:ascii="宋体" w:hAnsi="宋体" w:eastAsia="宋体" w:cs="宋体"/>
                <w:color w:val="000000"/>
                <w:kern w:val="0"/>
                <w:sz w:val="21"/>
                <w:szCs w:val="21"/>
                <w:highlight w:val="none"/>
                <w:shd w:val="clear" w:color="auto" w:fill="auto"/>
              </w:rPr>
              <w:t>：对项目关键技术、工艺有深入的表达，对重点、难点有合理的建议，解决方案经济、安全、基本可行。</w:t>
            </w:r>
          </w:p>
          <w:p w14:paraId="24D8A3F5">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中</w:t>
            </w:r>
            <w:r>
              <w:rPr>
                <w:rFonts w:hint="eastAsia" w:ascii="宋体" w:hAnsi="宋体" w:eastAsia="宋体" w:cs="宋体"/>
                <w:b/>
                <w:bCs/>
                <w:color w:val="000000"/>
                <w:kern w:val="0"/>
                <w:sz w:val="21"/>
                <w:szCs w:val="21"/>
                <w:highlight w:val="none"/>
                <w:shd w:val="clear" w:color="auto" w:fill="auto"/>
              </w:rPr>
              <w:t>（4分）</w:t>
            </w:r>
            <w:r>
              <w:rPr>
                <w:rFonts w:hint="eastAsia" w:ascii="宋体" w:hAnsi="宋体" w:eastAsia="宋体" w:cs="宋体"/>
                <w:color w:val="000000"/>
                <w:kern w:val="0"/>
                <w:sz w:val="21"/>
                <w:szCs w:val="21"/>
                <w:highlight w:val="none"/>
                <w:shd w:val="clear" w:color="auto" w:fill="auto"/>
              </w:rPr>
              <w:t>：对项目关键技术有一定了解，对重点、难点有建议，解决方案基本可行。</w:t>
            </w:r>
          </w:p>
          <w:p w14:paraId="3381E916">
            <w:pPr>
              <w:keepNext w:val="0"/>
              <w:keepLines w:val="0"/>
              <w:pageBreakBefore w:val="0"/>
              <w:widowControl/>
              <w:kinsoku/>
              <w:wordWrap/>
              <w:overflowPunct/>
              <w:topLinePunct w:val="0"/>
              <w:autoSpaceDE/>
              <w:autoSpaceDN/>
              <w:bidi w:val="0"/>
              <w:adjustRightInd/>
              <w:spacing w:line="360" w:lineRule="auto"/>
              <w:ind w:left="0" w:leftChars="0" w:right="0" w:firstLine="315"/>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差</w:t>
            </w:r>
            <w:r>
              <w:rPr>
                <w:rFonts w:hint="eastAsia" w:ascii="宋体" w:hAnsi="宋体" w:eastAsia="宋体" w:cs="宋体"/>
                <w:b/>
                <w:bCs/>
                <w:color w:val="000000"/>
                <w:kern w:val="0"/>
                <w:sz w:val="21"/>
                <w:szCs w:val="21"/>
                <w:highlight w:val="none"/>
                <w:shd w:val="clear" w:color="auto" w:fill="auto"/>
              </w:rPr>
              <w:t>（0分）</w:t>
            </w:r>
            <w:r>
              <w:rPr>
                <w:rFonts w:hint="eastAsia" w:ascii="宋体" w:hAnsi="宋体" w:eastAsia="宋体" w:cs="宋体"/>
                <w:color w:val="000000"/>
                <w:kern w:val="0"/>
                <w:sz w:val="21"/>
                <w:szCs w:val="21"/>
                <w:highlight w:val="none"/>
                <w:shd w:val="clear" w:color="auto" w:fill="auto"/>
              </w:rPr>
              <w:t>：对项目关键技术有表述，对重点、难点有建议，解决方案不可行。</w:t>
            </w:r>
          </w:p>
        </w:tc>
      </w:tr>
      <w:tr w14:paraId="6999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44" w:type="dxa"/>
            <w:vMerge w:val="continue"/>
            <w:tcBorders>
              <w:left w:val="single" w:color="auto" w:sz="4" w:space="0"/>
              <w:right w:val="single" w:color="auto" w:sz="4" w:space="0"/>
            </w:tcBorders>
            <w:noWrap w:val="0"/>
            <w:vAlign w:val="center"/>
          </w:tcPr>
          <w:p w14:paraId="4245B07D">
            <w:pPr>
              <w:keepNext w:val="0"/>
              <w:keepLines w:val="0"/>
              <w:pageBreakBefore w:val="0"/>
              <w:kinsoku/>
              <w:wordWrap/>
              <w:overflowPunct/>
              <w:topLinePunct w:val="0"/>
              <w:autoSpaceDE/>
              <w:autoSpaceDN/>
              <w:bidi w:val="0"/>
              <w:adjustRightInd/>
              <w:spacing w:line="360" w:lineRule="auto"/>
              <w:ind w:left="0" w:leftChars="0" w:right="0"/>
              <w:jc w:val="center"/>
              <w:textAlignment w:val="auto"/>
              <w:rPr>
                <w:rFonts w:hint="eastAsia" w:ascii="宋体" w:hAnsi="宋体" w:eastAsia="宋体" w:cs="宋体"/>
                <w:color w:val="000000"/>
                <w:kern w:val="0"/>
                <w:sz w:val="21"/>
                <w:szCs w:val="21"/>
                <w:highlight w:val="none"/>
                <w:shd w:val="clear" w:color="auto" w:fill="auto"/>
              </w:rPr>
            </w:pPr>
          </w:p>
        </w:tc>
        <w:tc>
          <w:tcPr>
            <w:tcW w:w="1309" w:type="dxa"/>
            <w:vMerge w:val="continue"/>
            <w:tcBorders>
              <w:left w:val="single" w:color="auto" w:sz="4" w:space="0"/>
              <w:right w:val="single" w:color="auto" w:sz="4" w:space="0"/>
            </w:tcBorders>
            <w:noWrap w:val="0"/>
            <w:vAlign w:val="center"/>
          </w:tcPr>
          <w:p w14:paraId="662A63CE">
            <w:pPr>
              <w:keepNext w:val="0"/>
              <w:keepLines w:val="0"/>
              <w:pageBreakBefore w:val="0"/>
              <w:widowControl/>
              <w:kinsoku/>
              <w:wordWrap/>
              <w:overflowPunct/>
              <w:topLinePunct w:val="0"/>
              <w:autoSpaceDE/>
              <w:autoSpaceDN/>
              <w:bidi w:val="0"/>
              <w:adjustRightInd/>
              <w:spacing w:line="360" w:lineRule="auto"/>
              <w:ind w:left="0" w:leftChars="0" w:right="0" w:firstLine="27" w:firstLineChars="13"/>
              <w:textAlignment w:val="auto"/>
              <w:rPr>
                <w:rFonts w:hint="eastAsia" w:ascii="宋体" w:hAnsi="宋体" w:eastAsia="宋体" w:cs="宋体"/>
                <w:color w:val="000000"/>
                <w:kern w:val="0"/>
                <w:sz w:val="21"/>
                <w:szCs w:val="21"/>
                <w:highlight w:val="none"/>
                <w:shd w:val="clear" w:color="auto" w:fill="auto"/>
              </w:rPr>
            </w:pPr>
          </w:p>
        </w:tc>
        <w:tc>
          <w:tcPr>
            <w:tcW w:w="2495" w:type="dxa"/>
            <w:tcBorders>
              <w:top w:val="single" w:color="auto" w:sz="4" w:space="0"/>
              <w:left w:val="single" w:color="auto" w:sz="4" w:space="0"/>
              <w:bottom w:val="single" w:color="auto" w:sz="4" w:space="0"/>
              <w:right w:val="single" w:color="auto" w:sz="4" w:space="0"/>
            </w:tcBorders>
            <w:noWrap w:val="0"/>
            <w:vAlign w:val="center"/>
          </w:tcPr>
          <w:p w14:paraId="39F60998">
            <w:pPr>
              <w:keepNext w:val="0"/>
              <w:keepLines w:val="0"/>
              <w:pageBreakBefore w:val="0"/>
              <w:widowControl/>
              <w:kinsoku/>
              <w:wordWrap/>
              <w:overflowPunct/>
              <w:topLinePunct w:val="0"/>
              <w:autoSpaceDE/>
              <w:autoSpaceDN/>
              <w:bidi w:val="0"/>
              <w:adjustRightInd/>
              <w:spacing w:line="360" w:lineRule="auto"/>
              <w:ind w:left="0" w:leftChars="0" w:right="0" w:firstLine="27" w:firstLineChars="13"/>
              <w:jc w:val="center"/>
              <w:textAlignment w:val="auto"/>
              <w:rPr>
                <w:rFonts w:hint="eastAsia" w:ascii="宋体" w:hAnsi="宋体" w:eastAsia="宋体" w:cs="宋体"/>
                <w:b/>
                <w:bCs/>
                <w:color w:val="000000"/>
                <w:kern w:val="0"/>
                <w:sz w:val="21"/>
                <w:szCs w:val="21"/>
                <w:highlight w:val="none"/>
                <w:shd w:val="clear" w:color="auto" w:fill="auto"/>
              </w:rPr>
            </w:pPr>
            <w:r>
              <w:rPr>
                <w:rFonts w:hint="eastAsia" w:ascii="宋体" w:hAnsi="宋体" w:eastAsia="宋体" w:cs="宋体"/>
                <w:b/>
                <w:bCs/>
                <w:color w:val="000000"/>
                <w:kern w:val="0"/>
                <w:sz w:val="21"/>
                <w:szCs w:val="21"/>
                <w:highlight w:val="none"/>
                <w:shd w:val="clear" w:color="auto" w:fill="auto"/>
              </w:rPr>
              <w:t>安全文明施工措施</w:t>
            </w:r>
          </w:p>
          <w:p w14:paraId="48ED0D3E">
            <w:pPr>
              <w:keepNext w:val="0"/>
              <w:keepLines w:val="0"/>
              <w:pageBreakBefore w:val="0"/>
              <w:widowControl/>
              <w:kinsoku/>
              <w:wordWrap/>
              <w:overflowPunct/>
              <w:topLinePunct w:val="0"/>
              <w:autoSpaceDE/>
              <w:autoSpaceDN/>
              <w:bidi w:val="0"/>
              <w:adjustRightInd/>
              <w:spacing w:line="360" w:lineRule="auto"/>
              <w:ind w:left="0" w:leftChars="0" w:right="0" w:firstLine="27" w:firstLineChars="13"/>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b/>
                <w:bCs/>
                <w:color w:val="000000"/>
                <w:kern w:val="0"/>
                <w:sz w:val="21"/>
                <w:szCs w:val="21"/>
                <w:highlight w:val="none"/>
                <w:shd w:val="clear" w:color="auto" w:fill="auto"/>
              </w:rPr>
              <w:t>（14分）</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37175B8E">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优</w:t>
            </w:r>
            <w:r>
              <w:rPr>
                <w:rFonts w:hint="eastAsia" w:ascii="宋体" w:hAnsi="宋体" w:eastAsia="宋体" w:cs="宋体"/>
                <w:b/>
                <w:bCs/>
                <w:color w:val="000000"/>
                <w:kern w:val="0"/>
                <w:sz w:val="21"/>
                <w:szCs w:val="21"/>
                <w:highlight w:val="none"/>
                <w:shd w:val="clear" w:color="auto" w:fill="auto"/>
              </w:rPr>
              <w:t>（14分）</w:t>
            </w:r>
            <w:r>
              <w:rPr>
                <w:rFonts w:hint="eastAsia" w:ascii="宋体" w:hAnsi="宋体" w:eastAsia="宋体" w:cs="宋体"/>
                <w:color w:val="000000"/>
                <w:kern w:val="0"/>
                <w:sz w:val="21"/>
                <w:szCs w:val="21"/>
                <w:highlight w:val="none"/>
                <w:shd w:val="clear" w:color="auto" w:fill="auto"/>
              </w:rPr>
              <w:t>：针对项目实际情况，有先进、具体、完整、可行的实施措施，采用规范正确、清晰。</w:t>
            </w:r>
          </w:p>
          <w:p w14:paraId="774460EA">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良</w:t>
            </w:r>
            <w:r>
              <w:rPr>
                <w:rFonts w:hint="eastAsia" w:ascii="宋体" w:hAnsi="宋体" w:eastAsia="宋体" w:cs="宋体"/>
                <w:b/>
                <w:bCs/>
                <w:color w:val="000000"/>
                <w:kern w:val="0"/>
                <w:sz w:val="21"/>
                <w:szCs w:val="21"/>
                <w:highlight w:val="none"/>
                <w:shd w:val="clear" w:color="auto" w:fill="auto"/>
              </w:rPr>
              <w:t>（9分）</w:t>
            </w:r>
            <w:r>
              <w:rPr>
                <w:rFonts w:hint="eastAsia" w:ascii="宋体" w:hAnsi="宋体" w:eastAsia="宋体" w:cs="宋体"/>
                <w:color w:val="000000"/>
                <w:kern w:val="0"/>
                <w:sz w:val="21"/>
                <w:szCs w:val="21"/>
                <w:highlight w:val="none"/>
                <w:shd w:val="clear" w:color="auto" w:fill="auto"/>
              </w:rPr>
              <w:t>：针对项目实际情况，有合理的措施且具体、完整，采用规范正确。</w:t>
            </w:r>
          </w:p>
          <w:p w14:paraId="5A12ED3D">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中</w:t>
            </w:r>
            <w:r>
              <w:rPr>
                <w:rFonts w:hint="eastAsia" w:ascii="宋体" w:hAnsi="宋体" w:eastAsia="宋体" w:cs="宋体"/>
                <w:b/>
                <w:bCs/>
                <w:color w:val="000000"/>
                <w:kern w:val="0"/>
                <w:sz w:val="21"/>
                <w:szCs w:val="21"/>
                <w:highlight w:val="none"/>
                <w:shd w:val="clear" w:color="auto" w:fill="auto"/>
              </w:rPr>
              <w:t>（4.5分）</w:t>
            </w:r>
            <w:r>
              <w:rPr>
                <w:rFonts w:hint="eastAsia" w:ascii="宋体" w:hAnsi="宋体" w:eastAsia="宋体" w:cs="宋体"/>
                <w:color w:val="000000"/>
                <w:kern w:val="0"/>
                <w:sz w:val="21"/>
                <w:szCs w:val="21"/>
                <w:highlight w:val="none"/>
                <w:shd w:val="clear" w:color="auto" w:fill="auto"/>
              </w:rPr>
              <w:t>：有基本合理的措施，采用规范正确。</w:t>
            </w:r>
          </w:p>
          <w:p w14:paraId="3CD2DE96">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差</w:t>
            </w:r>
            <w:r>
              <w:rPr>
                <w:rFonts w:hint="eastAsia" w:ascii="宋体" w:hAnsi="宋体" w:eastAsia="宋体" w:cs="宋体"/>
                <w:b/>
                <w:bCs/>
                <w:color w:val="000000"/>
                <w:kern w:val="0"/>
                <w:sz w:val="21"/>
                <w:szCs w:val="21"/>
                <w:highlight w:val="none"/>
                <w:shd w:val="clear" w:color="auto" w:fill="auto"/>
              </w:rPr>
              <w:t>（0分）</w:t>
            </w:r>
            <w:r>
              <w:rPr>
                <w:rFonts w:hint="eastAsia" w:ascii="宋体" w:hAnsi="宋体" w:eastAsia="宋体" w:cs="宋体"/>
                <w:color w:val="000000"/>
                <w:kern w:val="0"/>
                <w:sz w:val="21"/>
                <w:szCs w:val="21"/>
                <w:highlight w:val="none"/>
                <w:shd w:val="clear" w:color="auto" w:fill="auto"/>
              </w:rPr>
              <w:t>：安全文明措施不得力，采用规范不正确。</w:t>
            </w:r>
          </w:p>
        </w:tc>
      </w:tr>
      <w:tr w14:paraId="0473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44" w:type="dxa"/>
            <w:vMerge w:val="continue"/>
            <w:tcBorders>
              <w:left w:val="single" w:color="auto" w:sz="4" w:space="0"/>
              <w:right w:val="single" w:color="auto" w:sz="4" w:space="0"/>
            </w:tcBorders>
            <w:noWrap w:val="0"/>
            <w:vAlign w:val="center"/>
          </w:tcPr>
          <w:p w14:paraId="425075B4">
            <w:pPr>
              <w:keepNext w:val="0"/>
              <w:keepLines w:val="0"/>
              <w:pageBreakBefore w:val="0"/>
              <w:kinsoku/>
              <w:wordWrap/>
              <w:overflowPunct/>
              <w:topLinePunct w:val="0"/>
              <w:autoSpaceDE/>
              <w:autoSpaceDN/>
              <w:bidi w:val="0"/>
              <w:adjustRightInd/>
              <w:spacing w:line="360" w:lineRule="auto"/>
              <w:ind w:left="0" w:leftChars="0" w:right="0"/>
              <w:jc w:val="center"/>
              <w:textAlignment w:val="auto"/>
              <w:rPr>
                <w:rFonts w:hint="eastAsia" w:ascii="宋体" w:hAnsi="宋体" w:eastAsia="宋体" w:cs="宋体"/>
                <w:color w:val="000000"/>
                <w:kern w:val="0"/>
                <w:sz w:val="21"/>
                <w:szCs w:val="21"/>
                <w:highlight w:val="none"/>
                <w:shd w:val="clear" w:color="auto" w:fill="auto"/>
              </w:rPr>
            </w:pPr>
          </w:p>
        </w:tc>
        <w:tc>
          <w:tcPr>
            <w:tcW w:w="1309" w:type="dxa"/>
            <w:vMerge w:val="continue"/>
            <w:tcBorders>
              <w:left w:val="single" w:color="auto" w:sz="4" w:space="0"/>
              <w:right w:val="single" w:color="auto" w:sz="4" w:space="0"/>
            </w:tcBorders>
            <w:noWrap w:val="0"/>
            <w:vAlign w:val="center"/>
          </w:tcPr>
          <w:p w14:paraId="4194494C">
            <w:pPr>
              <w:keepNext w:val="0"/>
              <w:keepLines w:val="0"/>
              <w:pageBreakBefore w:val="0"/>
              <w:widowControl/>
              <w:kinsoku/>
              <w:wordWrap/>
              <w:overflowPunct/>
              <w:topLinePunct w:val="0"/>
              <w:autoSpaceDE/>
              <w:autoSpaceDN/>
              <w:bidi w:val="0"/>
              <w:adjustRightInd/>
              <w:spacing w:line="360" w:lineRule="auto"/>
              <w:ind w:left="0" w:leftChars="0" w:right="0" w:firstLine="27" w:firstLineChars="13"/>
              <w:textAlignment w:val="auto"/>
              <w:rPr>
                <w:rFonts w:hint="eastAsia" w:ascii="宋体" w:hAnsi="宋体" w:eastAsia="宋体" w:cs="宋体"/>
                <w:color w:val="000000"/>
                <w:kern w:val="0"/>
                <w:sz w:val="21"/>
                <w:szCs w:val="21"/>
                <w:highlight w:val="none"/>
                <w:shd w:val="clear" w:color="auto" w:fill="auto"/>
              </w:rPr>
            </w:pPr>
          </w:p>
        </w:tc>
        <w:tc>
          <w:tcPr>
            <w:tcW w:w="2495" w:type="dxa"/>
            <w:tcBorders>
              <w:top w:val="single" w:color="auto" w:sz="4" w:space="0"/>
              <w:left w:val="single" w:color="auto" w:sz="4" w:space="0"/>
              <w:bottom w:val="single" w:color="auto" w:sz="4" w:space="0"/>
              <w:right w:val="single" w:color="auto" w:sz="4" w:space="0"/>
            </w:tcBorders>
            <w:noWrap w:val="0"/>
            <w:vAlign w:val="center"/>
          </w:tcPr>
          <w:p w14:paraId="7EDFD84C">
            <w:pPr>
              <w:keepNext w:val="0"/>
              <w:keepLines w:val="0"/>
              <w:pageBreakBefore w:val="0"/>
              <w:widowControl/>
              <w:kinsoku/>
              <w:wordWrap/>
              <w:overflowPunct/>
              <w:topLinePunct w:val="0"/>
              <w:autoSpaceDE/>
              <w:autoSpaceDN/>
              <w:bidi w:val="0"/>
              <w:adjustRightInd/>
              <w:spacing w:line="360" w:lineRule="auto"/>
              <w:ind w:left="0" w:leftChars="0" w:right="0" w:firstLine="27" w:firstLineChars="13"/>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b/>
                <w:bCs/>
                <w:color w:val="000000"/>
                <w:kern w:val="0"/>
                <w:sz w:val="21"/>
                <w:szCs w:val="21"/>
                <w:highlight w:val="none"/>
                <w:shd w:val="clear" w:color="auto" w:fill="auto"/>
              </w:rPr>
              <w:t>质量保证与承诺（6分）</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1439CA16">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b/>
                <w:bCs/>
                <w:color w:val="000000"/>
                <w:kern w:val="0"/>
                <w:sz w:val="21"/>
                <w:szCs w:val="21"/>
                <w:highlight w:val="none"/>
                <w:shd w:val="clear" w:color="auto" w:fill="auto"/>
              </w:rPr>
              <w:t>优（6分）</w:t>
            </w:r>
            <w:r>
              <w:rPr>
                <w:rFonts w:hint="eastAsia" w:ascii="宋体" w:hAnsi="宋体" w:eastAsia="宋体" w:cs="宋体"/>
                <w:color w:val="000000"/>
                <w:kern w:val="0"/>
                <w:sz w:val="21"/>
                <w:szCs w:val="21"/>
                <w:highlight w:val="none"/>
                <w:shd w:val="clear" w:color="auto" w:fill="auto"/>
              </w:rPr>
              <w:t>：针对项目实际提出先进、可行、具体的保证措施，超过招标文件的质量要求及施工验收规范要求。</w:t>
            </w:r>
          </w:p>
          <w:p w14:paraId="4B173BD2">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b/>
                <w:bCs/>
                <w:color w:val="000000"/>
                <w:kern w:val="0"/>
                <w:sz w:val="21"/>
                <w:szCs w:val="21"/>
                <w:highlight w:val="none"/>
                <w:shd w:val="clear" w:color="auto" w:fill="auto"/>
              </w:rPr>
              <w:t>良（4分）</w:t>
            </w:r>
            <w:r>
              <w:rPr>
                <w:rFonts w:hint="eastAsia" w:ascii="宋体" w:hAnsi="宋体" w:eastAsia="宋体" w:cs="宋体"/>
                <w:color w:val="000000"/>
                <w:kern w:val="0"/>
                <w:sz w:val="21"/>
                <w:szCs w:val="21"/>
                <w:highlight w:val="none"/>
                <w:shd w:val="clear" w:color="auto" w:fill="auto"/>
              </w:rPr>
              <w:t>：针对项目实际提出先进、可行、具体的保证措施，满足招标文件的质量要求。</w:t>
            </w:r>
          </w:p>
          <w:p w14:paraId="50CF0B55">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b/>
                <w:bCs/>
                <w:color w:val="000000"/>
                <w:kern w:val="0"/>
                <w:sz w:val="21"/>
                <w:szCs w:val="21"/>
                <w:highlight w:val="none"/>
                <w:shd w:val="clear" w:color="auto" w:fill="auto"/>
              </w:rPr>
              <w:t>中（2分）</w:t>
            </w:r>
            <w:r>
              <w:rPr>
                <w:rFonts w:hint="eastAsia" w:ascii="宋体" w:hAnsi="宋体" w:eastAsia="宋体" w:cs="宋体"/>
                <w:color w:val="000000"/>
                <w:kern w:val="0"/>
                <w:sz w:val="21"/>
                <w:szCs w:val="21"/>
                <w:highlight w:val="none"/>
                <w:shd w:val="clear" w:color="auto" w:fill="auto"/>
              </w:rPr>
              <w:t>：具体措施可行，满足招标文件的质量要求。</w:t>
            </w:r>
          </w:p>
          <w:p w14:paraId="60DD0CFC">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b/>
                <w:bCs/>
                <w:color w:val="000000"/>
                <w:kern w:val="0"/>
                <w:sz w:val="21"/>
                <w:szCs w:val="21"/>
                <w:highlight w:val="none"/>
                <w:shd w:val="clear" w:color="auto" w:fill="auto"/>
              </w:rPr>
              <w:t>差（0分）</w:t>
            </w:r>
            <w:r>
              <w:rPr>
                <w:rFonts w:hint="eastAsia" w:ascii="宋体" w:hAnsi="宋体" w:eastAsia="宋体" w:cs="宋体"/>
                <w:color w:val="000000"/>
                <w:kern w:val="0"/>
                <w:sz w:val="21"/>
                <w:szCs w:val="21"/>
                <w:highlight w:val="none"/>
                <w:shd w:val="clear" w:color="auto" w:fill="auto"/>
              </w:rPr>
              <w:t>：措施不可行。</w:t>
            </w:r>
          </w:p>
        </w:tc>
      </w:tr>
      <w:tr w14:paraId="184D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44" w:type="dxa"/>
            <w:vMerge w:val="continue"/>
            <w:tcBorders>
              <w:left w:val="single" w:color="auto" w:sz="4" w:space="0"/>
              <w:right w:val="single" w:color="auto" w:sz="4" w:space="0"/>
            </w:tcBorders>
            <w:noWrap w:val="0"/>
            <w:vAlign w:val="center"/>
          </w:tcPr>
          <w:p w14:paraId="13A7D16B">
            <w:pPr>
              <w:keepNext w:val="0"/>
              <w:keepLines w:val="0"/>
              <w:pageBreakBefore w:val="0"/>
              <w:kinsoku/>
              <w:wordWrap/>
              <w:overflowPunct/>
              <w:topLinePunct w:val="0"/>
              <w:autoSpaceDE/>
              <w:autoSpaceDN/>
              <w:bidi w:val="0"/>
              <w:adjustRightInd/>
              <w:spacing w:line="360" w:lineRule="auto"/>
              <w:ind w:left="0" w:leftChars="0" w:right="0"/>
              <w:jc w:val="center"/>
              <w:textAlignment w:val="auto"/>
              <w:rPr>
                <w:rFonts w:hint="eastAsia" w:ascii="宋体" w:hAnsi="宋体" w:eastAsia="宋体" w:cs="宋体"/>
                <w:color w:val="000000"/>
                <w:kern w:val="0"/>
                <w:sz w:val="21"/>
                <w:szCs w:val="21"/>
                <w:highlight w:val="none"/>
                <w:shd w:val="clear" w:color="auto" w:fill="auto"/>
              </w:rPr>
            </w:pPr>
          </w:p>
        </w:tc>
        <w:tc>
          <w:tcPr>
            <w:tcW w:w="1309" w:type="dxa"/>
            <w:vMerge w:val="continue"/>
            <w:tcBorders>
              <w:left w:val="single" w:color="auto" w:sz="4" w:space="0"/>
              <w:right w:val="single" w:color="auto" w:sz="4" w:space="0"/>
            </w:tcBorders>
            <w:noWrap w:val="0"/>
            <w:vAlign w:val="center"/>
          </w:tcPr>
          <w:p w14:paraId="7D39D2E1">
            <w:pPr>
              <w:keepNext w:val="0"/>
              <w:keepLines w:val="0"/>
              <w:pageBreakBefore w:val="0"/>
              <w:widowControl/>
              <w:kinsoku/>
              <w:wordWrap/>
              <w:overflowPunct/>
              <w:topLinePunct w:val="0"/>
              <w:autoSpaceDE/>
              <w:autoSpaceDN/>
              <w:bidi w:val="0"/>
              <w:adjustRightInd/>
              <w:spacing w:line="360" w:lineRule="auto"/>
              <w:ind w:left="0" w:leftChars="0" w:right="0" w:firstLine="27" w:firstLineChars="13"/>
              <w:textAlignment w:val="auto"/>
              <w:rPr>
                <w:rFonts w:hint="eastAsia" w:ascii="宋体" w:hAnsi="宋体" w:eastAsia="宋体" w:cs="宋体"/>
                <w:color w:val="000000"/>
                <w:kern w:val="0"/>
                <w:sz w:val="21"/>
                <w:szCs w:val="21"/>
                <w:highlight w:val="none"/>
                <w:shd w:val="clear" w:color="auto" w:fill="auto"/>
              </w:rPr>
            </w:pPr>
          </w:p>
        </w:tc>
        <w:tc>
          <w:tcPr>
            <w:tcW w:w="2495" w:type="dxa"/>
            <w:tcBorders>
              <w:top w:val="single" w:color="auto" w:sz="4" w:space="0"/>
              <w:left w:val="single" w:color="auto" w:sz="4" w:space="0"/>
              <w:bottom w:val="single" w:color="auto" w:sz="4" w:space="0"/>
              <w:right w:val="single" w:color="auto" w:sz="4" w:space="0"/>
            </w:tcBorders>
            <w:noWrap w:val="0"/>
            <w:vAlign w:val="center"/>
          </w:tcPr>
          <w:p w14:paraId="56E79FC3">
            <w:pPr>
              <w:keepNext w:val="0"/>
              <w:keepLines w:val="0"/>
              <w:pageBreakBefore w:val="0"/>
              <w:widowControl/>
              <w:kinsoku/>
              <w:wordWrap/>
              <w:overflowPunct/>
              <w:topLinePunct w:val="0"/>
              <w:autoSpaceDE/>
              <w:autoSpaceDN/>
              <w:bidi w:val="0"/>
              <w:adjustRightInd/>
              <w:spacing w:line="360" w:lineRule="auto"/>
              <w:ind w:left="0" w:leftChars="0" w:right="0" w:firstLine="27" w:firstLineChars="13"/>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b/>
                <w:bCs/>
                <w:color w:val="000000"/>
                <w:kern w:val="0"/>
                <w:sz w:val="21"/>
                <w:szCs w:val="21"/>
                <w:highlight w:val="none"/>
                <w:shd w:val="clear" w:color="auto" w:fill="auto"/>
              </w:rPr>
              <w:t>新技术应用与承诺（2分）</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41E32594">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b/>
                <w:bCs/>
                <w:color w:val="000000"/>
                <w:sz w:val="21"/>
                <w:szCs w:val="21"/>
                <w:highlight w:val="none"/>
                <w:shd w:val="clear" w:color="auto" w:fill="auto"/>
              </w:rPr>
              <w:t>优（2分）</w:t>
            </w:r>
            <w:r>
              <w:rPr>
                <w:rFonts w:hint="eastAsia" w:ascii="宋体" w:hAnsi="宋体" w:eastAsia="宋体" w:cs="宋体"/>
                <w:color w:val="000000"/>
                <w:sz w:val="21"/>
                <w:szCs w:val="21"/>
                <w:highlight w:val="none"/>
                <w:shd w:val="clear" w:color="auto" w:fill="auto"/>
              </w:rPr>
              <w:t>：针对项目实际，提出采用新技术的具体措施。新技术的验证材料可靠，对节约投资和工期的保证措施得力、具体、严谨。对采用新技术可能产生的风险预见充分，对新技术的实施有安全生产的可靠方案。</w:t>
            </w:r>
          </w:p>
          <w:p w14:paraId="3C8AC56F">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b/>
                <w:bCs/>
                <w:color w:val="000000"/>
                <w:sz w:val="21"/>
                <w:szCs w:val="21"/>
                <w:highlight w:val="none"/>
                <w:shd w:val="clear" w:color="auto" w:fill="auto"/>
              </w:rPr>
              <w:t>良（1.2分）</w:t>
            </w:r>
            <w:r>
              <w:rPr>
                <w:rFonts w:hint="eastAsia" w:ascii="宋体" w:hAnsi="宋体" w:eastAsia="宋体" w:cs="宋体"/>
                <w:color w:val="000000"/>
                <w:sz w:val="21"/>
                <w:szCs w:val="21"/>
                <w:highlight w:val="none"/>
                <w:shd w:val="clear" w:color="auto" w:fill="auto"/>
              </w:rPr>
              <w:t>：针对项目实际，提出采用新技术的具体措施。新技术的验证材料可靠，对节约投资和工期有保证措施。对采用新技术可能产生的风险有一定的预见。</w:t>
            </w:r>
          </w:p>
          <w:p w14:paraId="06406F97">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b/>
                <w:bCs/>
                <w:color w:val="000000"/>
                <w:sz w:val="21"/>
                <w:szCs w:val="21"/>
                <w:highlight w:val="none"/>
                <w:shd w:val="clear" w:color="auto" w:fill="auto"/>
              </w:rPr>
              <w:t>中（0.6分）</w:t>
            </w:r>
            <w:r>
              <w:rPr>
                <w:rFonts w:hint="eastAsia" w:ascii="宋体" w:hAnsi="宋体" w:eastAsia="宋体" w:cs="宋体"/>
                <w:color w:val="000000"/>
                <w:sz w:val="21"/>
                <w:szCs w:val="21"/>
                <w:highlight w:val="none"/>
                <w:shd w:val="clear" w:color="auto" w:fill="auto"/>
              </w:rPr>
              <w:t>：有新技术措施，但验证材料不充分，对节约投资和工期可能有一定收益，对采用新技术可能产生的风险预见不足。</w:t>
            </w:r>
          </w:p>
          <w:p w14:paraId="65B53457">
            <w:pPr>
              <w:keepNext w:val="0"/>
              <w:keepLines w:val="0"/>
              <w:pageBreakBefore w:val="0"/>
              <w:widowControl/>
              <w:kinsoku/>
              <w:wordWrap/>
              <w:overflowPunct/>
              <w:topLinePunct w:val="0"/>
              <w:autoSpaceDE/>
              <w:autoSpaceDN/>
              <w:bidi w:val="0"/>
              <w:adjustRightInd/>
              <w:spacing w:line="360" w:lineRule="auto"/>
              <w:ind w:left="0" w:leftChars="0" w:right="0" w:firstLine="42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b/>
                <w:bCs/>
                <w:color w:val="000000"/>
                <w:sz w:val="21"/>
                <w:szCs w:val="21"/>
                <w:highlight w:val="none"/>
                <w:shd w:val="clear" w:color="auto" w:fill="auto"/>
              </w:rPr>
              <w:t>差（0分）</w:t>
            </w:r>
            <w:r>
              <w:rPr>
                <w:rFonts w:hint="eastAsia" w:ascii="宋体" w:hAnsi="宋体" w:eastAsia="宋体" w:cs="宋体"/>
                <w:color w:val="000000"/>
                <w:sz w:val="21"/>
                <w:szCs w:val="21"/>
                <w:highlight w:val="none"/>
                <w:shd w:val="clear" w:color="auto" w:fill="auto"/>
              </w:rPr>
              <w:t>：采用的新技术针对性不强或验证材料不可靠，对节约投资和工期没有具体收益。</w:t>
            </w:r>
          </w:p>
        </w:tc>
      </w:tr>
      <w:tr w14:paraId="31F7E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44" w:type="dxa"/>
            <w:tcBorders>
              <w:left w:val="single" w:color="auto" w:sz="4" w:space="0"/>
              <w:right w:val="single" w:color="auto" w:sz="4" w:space="0"/>
            </w:tcBorders>
            <w:noWrap w:val="0"/>
            <w:vAlign w:val="center"/>
          </w:tcPr>
          <w:p w14:paraId="7C111EBF">
            <w:pPr>
              <w:keepNext w:val="0"/>
              <w:keepLines w:val="0"/>
              <w:pageBreakBefore w:val="0"/>
              <w:kinsoku/>
              <w:wordWrap/>
              <w:overflowPunct/>
              <w:topLinePunct w:val="0"/>
              <w:autoSpaceDE/>
              <w:autoSpaceDN/>
              <w:bidi w:val="0"/>
              <w:adjustRightInd/>
              <w:spacing w:line="360" w:lineRule="auto"/>
              <w:ind w:left="0" w:leftChars="0" w:right="0"/>
              <w:jc w:val="center"/>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2.2.1（2）</w:t>
            </w:r>
          </w:p>
        </w:tc>
        <w:tc>
          <w:tcPr>
            <w:tcW w:w="1309" w:type="dxa"/>
            <w:tcBorders>
              <w:top w:val="single" w:color="auto" w:sz="4" w:space="0"/>
              <w:left w:val="single" w:color="auto" w:sz="4" w:space="0"/>
              <w:right w:val="single" w:color="auto" w:sz="4" w:space="0"/>
            </w:tcBorders>
            <w:noWrap w:val="0"/>
            <w:vAlign w:val="center"/>
          </w:tcPr>
          <w:p w14:paraId="58E31502">
            <w:pPr>
              <w:keepNext w:val="0"/>
              <w:keepLines w:val="0"/>
              <w:pageBreakBefore w:val="0"/>
              <w:kinsoku/>
              <w:wordWrap/>
              <w:overflowPunct/>
              <w:topLinePunct w:val="0"/>
              <w:autoSpaceDE/>
              <w:autoSpaceDN/>
              <w:bidi w:val="0"/>
              <w:adjustRightInd/>
              <w:spacing w:line="360" w:lineRule="auto"/>
              <w:ind w:left="0" w:leftChars="0" w:right="0"/>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（2）业绩</w:t>
            </w:r>
            <w:r>
              <w:rPr>
                <w:rFonts w:hint="eastAsia" w:ascii="宋体" w:hAnsi="宋体" w:eastAsia="宋体" w:cs="宋体"/>
                <w:color w:val="000000"/>
                <w:sz w:val="21"/>
                <w:szCs w:val="21"/>
                <w:highlight w:val="none"/>
                <w:shd w:val="clear" w:color="auto" w:fill="auto"/>
                <w:lang w:val="en-US" w:eastAsia="zh-CN"/>
              </w:rPr>
              <w:t>分</w:t>
            </w:r>
            <w:r>
              <w:rPr>
                <w:rFonts w:hint="eastAsia" w:ascii="宋体" w:hAnsi="宋体" w:eastAsia="宋体" w:cs="宋体"/>
                <w:color w:val="000000"/>
                <w:sz w:val="21"/>
                <w:szCs w:val="21"/>
                <w:highlight w:val="none"/>
                <w:shd w:val="clear" w:color="auto" w:fill="auto"/>
              </w:rPr>
              <w:t>（满分10分）</w:t>
            </w:r>
          </w:p>
        </w:tc>
        <w:tc>
          <w:tcPr>
            <w:tcW w:w="7695" w:type="dxa"/>
            <w:gridSpan w:val="2"/>
            <w:tcBorders>
              <w:top w:val="single" w:color="auto" w:sz="4" w:space="0"/>
              <w:left w:val="single" w:color="auto" w:sz="4" w:space="0"/>
              <w:bottom w:val="single" w:color="auto" w:sz="4" w:space="0"/>
              <w:right w:val="single" w:color="auto" w:sz="4" w:space="0"/>
            </w:tcBorders>
            <w:noWrap w:val="0"/>
            <w:vAlign w:val="center"/>
          </w:tcPr>
          <w:p w14:paraId="51D241A0">
            <w:pPr>
              <w:pStyle w:val="75"/>
              <w:keepNext w:val="0"/>
              <w:keepLines w:val="0"/>
              <w:pageBreakBefore w:val="0"/>
              <w:widowControl w:val="0"/>
              <w:kinsoku/>
              <w:wordWrap/>
              <w:overflowPunct/>
              <w:topLinePunct w:val="0"/>
              <w:autoSpaceDE/>
              <w:autoSpaceDN/>
              <w:bidi w:val="0"/>
              <w:adjustRightInd/>
              <w:snapToGrid/>
              <w:spacing w:line="360" w:lineRule="auto"/>
              <w:ind w:left="0" w:leftChars="0" w:right="0"/>
              <w:textAlignment w:val="auto"/>
              <w:rPr>
                <w:rFonts w:hint="eastAsia" w:ascii="宋体" w:hAnsi="宋体" w:eastAsia="宋体" w:cs="宋体"/>
                <w:color w:val="000000"/>
                <w:sz w:val="21"/>
                <w:szCs w:val="21"/>
                <w:highlight w:val="none"/>
                <w:shd w:val="clear" w:color="auto" w:fill="auto"/>
                <w:lang w:eastAsia="zh-CN"/>
              </w:rPr>
            </w:pPr>
            <w:r>
              <w:rPr>
                <w:rFonts w:hint="eastAsia" w:ascii="宋体" w:hAnsi="宋体" w:eastAsia="宋体" w:cs="宋体"/>
                <w:color w:val="000000"/>
                <w:sz w:val="21"/>
                <w:szCs w:val="21"/>
                <w:highlight w:val="none"/>
                <w:shd w:val="clear" w:color="auto" w:fill="auto"/>
                <w:lang w:eastAsia="zh-CN"/>
              </w:rPr>
              <w:t>业绩分（满分10分）：</w:t>
            </w:r>
          </w:p>
          <w:p w14:paraId="709EA97B">
            <w:pPr>
              <w:pStyle w:val="75"/>
              <w:keepNext w:val="0"/>
              <w:keepLines w:val="0"/>
              <w:pageBreakBefore w:val="0"/>
              <w:widowControl w:val="0"/>
              <w:kinsoku/>
              <w:wordWrap/>
              <w:overflowPunct/>
              <w:topLinePunct w:val="0"/>
              <w:autoSpaceDE/>
              <w:autoSpaceDN/>
              <w:bidi w:val="0"/>
              <w:adjustRightInd/>
              <w:snapToGrid/>
              <w:spacing w:line="360" w:lineRule="auto"/>
              <w:ind w:left="0" w:leftChars="0" w:right="0"/>
              <w:textAlignment w:val="auto"/>
              <w:rPr>
                <w:rFonts w:hint="eastAsia" w:ascii="宋体" w:hAnsi="宋体" w:eastAsia="宋体" w:cs="宋体"/>
                <w:color w:val="000000"/>
                <w:sz w:val="21"/>
                <w:szCs w:val="21"/>
                <w:highlight w:val="none"/>
                <w:shd w:val="clear" w:color="auto" w:fill="auto"/>
                <w:lang w:eastAsia="zh-CN"/>
              </w:rPr>
            </w:pPr>
            <w:r>
              <w:rPr>
                <w:rFonts w:hint="eastAsia" w:ascii="宋体" w:hAnsi="宋体" w:eastAsia="宋体" w:cs="宋体"/>
                <w:color w:val="000000"/>
                <w:sz w:val="21"/>
                <w:szCs w:val="21"/>
                <w:highlight w:val="none"/>
                <w:shd w:val="clear" w:color="auto" w:fill="auto"/>
                <w:lang w:eastAsia="zh-CN"/>
              </w:rPr>
              <w:t>企业2022年1月1日以来具有类似工程施工业绩（每个得5分，满分10分。）应附中标通知书或合同协议书扫描件。</w:t>
            </w:r>
          </w:p>
        </w:tc>
      </w:tr>
      <w:tr w14:paraId="0766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44" w:type="dxa"/>
            <w:tcBorders>
              <w:top w:val="single" w:color="auto" w:sz="4" w:space="0"/>
              <w:left w:val="single" w:color="auto" w:sz="4" w:space="0"/>
              <w:right w:val="single" w:color="auto" w:sz="4" w:space="0"/>
            </w:tcBorders>
            <w:noWrap w:val="0"/>
            <w:vAlign w:val="center"/>
          </w:tcPr>
          <w:p w14:paraId="1E6CDC5E">
            <w:pPr>
              <w:keepNext w:val="0"/>
              <w:keepLines w:val="0"/>
              <w:pageBreakBefore w:val="0"/>
              <w:widowControl/>
              <w:kinsoku/>
              <w:wordWrap/>
              <w:overflowPunct/>
              <w:topLinePunct w:val="0"/>
              <w:autoSpaceDE/>
              <w:autoSpaceDN/>
              <w:bidi w:val="0"/>
              <w:adjustRightInd/>
              <w:spacing w:line="360" w:lineRule="auto"/>
              <w:ind w:left="0" w:leftChars="0" w:right="0"/>
              <w:jc w:val="center"/>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2.2.1（3）</w:t>
            </w:r>
          </w:p>
        </w:tc>
        <w:tc>
          <w:tcPr>
            <w:tcW w:w="1309" w:type="dxa"/>
            <w:tcBorders>
              <w:top w:val="single" w:color="auto" w:sz="4" w:space="0"/>
              <w:left w:val="single" w:color="auto" w:sz="4" w:space="0"/>
              <w:right w:val="single" w:color="auto" w:sz="4" w:space="0"/>
            </w:tcBorders>
            <w:noWrap w:val="0"/>
            <w:vAlign w:val="center"/>
          </w:tcPr>
          <w:p w14:paraId="1694B553">
            <w:pPr>
              <w:keepNext w:val="0"/>
              <w:keepLines w:val="0"/>
              <w:pageBreakBefore w:val="0"/>
              <w:kinsoku/>
              <w:wordWrap/>
              <w:overflowPunct/>
              <w:topLinePunct w:val="0"/>
              <w:autoSpaceDE/>
              <w:autoSpaceDN/>
              <w:bidi w:val="0"/>
              <w:adjustRightInd/>
              <w:spacing w:line="360" w:lineRule="auto"/>
              <w:ind w:left="0" w:leftChars="0" w:right="0"/>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商务磋商总报价评分（满分30分）</w:t>
            </w:r>
          </w:p>
        </w:tc>
        <w:tc>
          <w:tcPr>
            <w:tcW w:w="7695" w:type="dxa"/>
            <w:gridSpan w:val="2"/>
            <w:tcBorders>
              <w:top w:val="single" w:color="auto" w:sz="4" w:space="0"/>
              <w:left w:val="single" w:color="auto" w:sz="4" w:space="0"/>
              <w:bottom w:val="single" w:color="auto" w:sz="4" w:space="0"/>
              <w:right w:val="single" w:color="auto" w:sz="4" w:space="0"/>
            </w:tcBorders>
            <w:noWrap w:val="0"/>
            <w:vAlign w:val="center"/>
          </w:tcPr>
          <w:p w14:paraId="19955980">
            <w:pPr>
              <w:pStyle w:val="20"/>
              <w:keepNext w:val="0"/>
              <w:keepLines w:val="0"/>
              <w:pageBreakBefore w:val="0"/>
              <w:kinsoku/>
              <w:wordWrap/>
              <w:overflowPunct/>
              <w:topLinePunct w:val="0"/>
              <w:autoSpaceDE/>
              <w:autoSpaceDN/>
              <w:bidi w:val="0"/>
              <w:adjustRightInd/>
              <w:spacing w:line="360" w:lineRule="auto"/>
              <w:ind w:left="0" w:leftChars="0" w:right="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评审报价=最后磋商总报价。最终成交供应商的成交金额＝最后磋商总报价。</w:t>
            </w:r>
          </w:p>
          <w:p w14:paraId="232AEA27">
            <w:pPr>
              <w:pStyle w:val="20"/>
              <w:keepNext w:val="0"/>
              <w:keepLines w:val="0"/>
              <w:pageBreakBefore w:val="0"/>
              <w:kinsoku/>
              <w:wordWrap/>
              <w:overflowPunct/>
              <w:topLinePunct w:val="0"/>
              <w:autoSpaceDE/>
              <w:autoSpaceDN/>
              <w:bidi w:val="0"/>
              <w:adjustRightInd/>
              <w:spacing w:line="360" w:lineRule="auto"/>
              <w:ind w:left="0" w:leftChars="0" w:right="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（1）以进入综合评分环节的最低的评审报价为基准价，基准价报价得分为30分。</w:t>
            </w:r>
          </w:p>
          <w:p w14:paraId="4229A2E6">
            <w:pPr>
              <w:pStyle w:val="20"/>
              <w:keepNext w:val="0"/>
              <w:keepLines w:val="0"/>
              <w:pageBreakBefore w:val="0"/>
              <w:kinsoku/>
              <w:wordWrap/>
              <w:overflowPunct/>
              <w:topLinePunct w:val="0"/>
              <w:autoSpaceDE/>
              <w:autoSpaceDN/>
              <w:bidi w:val="0"/>
              <w:adjustRightInd/>
              <w:spacing w:line="360" w:lineRule="auto"/>
              <w:ind w:left="0" w:leftChars="0" w:right="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（2）供应商磋商总报价得分=（磋商基准价/供应商的评审报价）×30分。</w:t>
            </w:r>
          </w:p>
        </w:tc>
      </w:tr>
      <w:tr w14:paraId="21265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53" w:type="dxa"/>
            <w:gridSpan w:val="2"/>
            <w:tcBorders>
              <w:left w:val="single" w:color="auto" w:sz="4" w:space="0"/>
              <w:bottom w:val="single" w:color="auto" w:sz="4" w:space="0"/>
              <w:right w:val="single" w:color="auto" w:sz="4" w:space="0"/>
            </w:tcBorders>
            <w:noWrap w:val="0"/>
            <w:vAlign w:val="center"/>
          </w:tcPr>
          <w:p w14:paraId="4FAC787C">
            <w:pPr>
              <w:pStyle w:val="83"/>
              <w:keepNext w:val="0"/>
              <w:keepLines w:val="0"/>
              <w:pageBreakBefore w:val="0"/>
              <w:kinsoku/>
              <w:wordWrap/>
              <w:overflowPunct/>
              <w:topLinePunct w:val="0"/>
              <w:autoSpaceDE/>
              <w:autoSpaceDN/>
              <w:bidi w:val="0"/>
              <w:adjustRightInd/>
              <w:snapToGrid w:val="0"/>
              <w:spacing w:line="360" w:lineRule="auto"/>
              <w:ind w:left="0" w:leftChars="0" w:right="0"/>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供应商汇总得分</w:t>
            </w:r>
          </w:p>
          <w:p w14:paraId="38C714DD">
            <w:pPr>
              <w:pStyle w:val="83"/>
              <w:keepNext w:val="0"/>
              <w:keepLines w:val="0"/>
              <w:pageBreakBefore w:val="0"/>
              <w:kinsoku/>
              <w:wordWrap/>
              <w:overflowPunct/>
              <w:topLinePunct w:val="0"/>
              <w:autoSpaceDE/>
              <w:autoSpaceDN/>
              <w:bidi w:val="0"/>
              <w:adjustRightInd/>
              <w:snapToGrid w:val="0"/>
              <w:spacing w:line="360" w:lineRule="auto"/>
              <w:ind w:left="0" w:leftChars="0" w:right="0"/>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（满分100分）</w:t>
            </w:r>
          </w:p>
        </w:tc>
        <w:tc>
          <w:tcPr>
            <w:tcW w:w="7695" w:type="dxa"/>
            <w:gridSpan w:val="2"/>
            <w:tcBorders>
              <w:top w:val="single" w:color="auto" w:sz="4" w:space="0"/>
              <w:left w:val="single" w:color="auto" w:sz="4" w:space="0"/>
              <w:bottom w:val="single" w:color="auto" w:sz="4" w:space="0"/>
              <w:right w:val="single" w:color="auto" w:sz="4" w:space="0"/>
            </w:tcBorders>
            <w:noWrap w:val="0"/>
            <w:vAlign w:val="center"/>
          </w:tcPr>
          <w:p w14:paraId="3AFB9B9E">
            <w:pPr>
              <w:pStyle w:val="16"/>
              <w:keepNext w:val="0"/>
              <w:keepLines w:val="0"/>
              <w:pageBreakBefore w:val="0"/>
              <w:kinsoku/>
              <w:wordWrap/>
              <w:overflowPunct/>
              <w:topLinePunct w:val="0"/>
              <w:autoSpaceDE/>
              <w:autoSpaceDN/>
              <w:bidi w:val="0"/>
              <w:adjustRightInd/>
              <w:spacing w:line="360" w:lineRule="auto"/>
              <w:ind w:left="0" w:leftChars="0" w:right="0"/>
              <w:jc w:val="left"/>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供应商汇总得分=施工组织设计得分+</w:t>
            </w:r>
            <w:r>
              <w:rPr>
                <w:rFonts w:hint="eastAsia" w:ascii="宋体" w:hAnsi="宋体" w:eastAsia="宋体" w:cs="宋体"/>
                <w:color w:val="000000"/>
                <w:sz w:val="21"/>
                <w:szCs w:val="21"/>
                <w:highlight w:val="none"/>
                <w:shd w:val="clear" w:color="auto" w:fill="auto"/>
                <w:lang w:eastAsia="zh-CN"/>
              </w:rPr>
              <w:t>拟投入本项目管理人员配备情况</w:t>
            </w:r>
            <w:r>
              <w:rPr>
                <w:rFonts w:hint="eastAsia" w:ascii="宋体" w:hAnsi="宋体" w:eastAsia="宋体" w:cs="宋体"/>
                <w:color w:val="000000"/>
                <w:sz w:val="21"/>
                <w:szCs w:val="21"/>
                <w:highlight w:val="none"/>
                <w:shd w:val="clear" w:color="auto" w:fill="auto"/>
              </w:rPr>
              <w:t>得分+商务部分得分</w:t>
            </w:r>
          </w:p>
        </w:tc>
      </w:tr>
      <w:bookmarkEnd w:id="222"/>
    </w:tbl>
    <w:p w14:paraId="66FD9845">
      <w:pPr>
        <w:pStyle w:val="20"/>
        <w:keepNext w:val="0"/>
        <w:keepLines w:val="0"/>
        <w:pageBreakBefore w:val="0"/>
        <w:tabs>
          <w:tab w:val="left" w:pos="4214"/>
        </w:tabs>
        <w:kinsoku/>
        <w:wordWrap/>
        <w:overflowPunct/>
        <w:topLinePunct w:val="0"/>
        <w:autoSpaceDE/>
        <w:autoSpaceDN/>
        <w:bidi w:val="0"/>
        <w:adjustRightInd/>
        <w:spacing w:line="360" w:lineRule="auto"/>
        <w:ind w:left="0" w:leftChars="0" w:right="0" w:firstLine="422" w:firstLineChars="200"/>
        <w:textAlignment w:val="auto"/>
        <w:outlineLvl w:val="1"/>
        <w:rPr>
          <w:rFonts w:hint="eastAsia" w:ascii="宋体" w:hAnsi="宋体" w:eastAsia="宋体" w:cs="宋体"/>
          <w:b/>
          <w:color w:val="000000"/>
          <w:sz w:val="21"/>
          <w:szCs w:val="21"/>
          <w:highlight w:val="none"/>
          <w:shd w:val="clear" w:color="auto" w:fill="auto"/>
        </w:rPr>
      </w:pPr>
      <w:bookmarkStart w:id="223" w:name="_Toc10268"/>
      <w:bookmarkStart w:id="224" w:name="_Toc73275790"/>
      <w:bookmarkStart w:id="225" w:name="_Toc8466"/>
      <w:bookmarkStart w:id="226" w:name="_Toc4774"/>
      <w:bookmarkStart w:id="227" w:name="_Toc16092"/>
      <w:r>
        <w:rPr>
          <w:rFonts w:hint="eastAsia" w:ascii="宋体" w:hAnsi="宋体" w:eastAsia="宋体" w:cs="宋体"/>
          <w:b/>
          <w:color w:val="000000"/>
          <w:sz w:val="21"/>
          <w:szCs w:val="21"/>
          <w:highlight w:val="none"/>
          <w:shd w:val="clear" w:color="auto" w:fill="auto"/>
        </w:rPr>
        <w:t>三、推荐成交候选供应商原则</w:t>
      </w:r>
      <w:bookmarkEnd w:id="223"/>
    </w:p>
    <w:p w14:paraId="6C64E288">
      <w:pPr>
        <w:keepNext w:val="0"/>
        <w:keepLines w:val="0"/>
        <w:pageBreakBefore w:val="0"/>
        <w:kinsoku/>
        <w:wordWrap/>
        <w:overflowPunct/>
        <w:topLinePunct w:val="0"/>
        <w:autoSpaceDE/>
        <w:autoSpaceDN/>
        <w:bidi w:val="0"/>
        <w:adjustRightInd/>
        <w:spacing w:line="360" w:lineRule="auto"/>
        <w:ind w:left="0" w:leftChars="0" w:right="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磋商小组应当根据综合得分情况，按照综合得分由高到低顺序推荐成交候选人，并编写评审报告。磋商小组根据综合得分由高到低排列次序，若得分相同时，以最后报价由低到高顺序排列；若得分相同且最后报价相同的，由磋商小组按照技术指标优劣顺序推荐。</w:t>
      </w:r>
    </w:p>
    <w:p w14:paraId="246F8CE0">
      <w:pPr>
        <w:keepNext w:val="0"/>
        <w:keepLines w:val="0"/>
        <w:pageBreakBefore w:val="0"/>
        <w:kinsoku/>
        <w:wordWrap/>
        <w:overflowPunct/>
        <w:topLinePunct w:val="0"/>
        <w:autoSpaceDE/>
        <w:autoSpaceDN/>
        <w:bidi w:val="0"/>
        <w:adjustRightInd/>
        <w:spacing w:line="360" w:lineRule="auto"/>
        <w:ind w:left="0" w:leftChars="0" w:right="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（2）磋商小组可推荐前三名为成交候选供应商。采购单位应当确定磋商小组推荐排名第一的成交候选供应商为成交供应商。</w:t>
      </w:r>
    </w:p>
    <w:p w14:paraId="252146AE">
      <w:pPr>
        <w:keepNext w:val="0"/>
        <w:keepLines w:val="0"/>
        <w:pageBreakBefore w:val="0"/>
        <w:kinsoku/>
        <w:wordWrap/>
        <w:overflowPunct/>
        <w:topLinePunct w:val="0"/>
        <w:autoSpaceDE/>
        <w:autoSpaceDN/>
        <w:bidi w:val="0"/>
        <w:adjustRightInd/>
        <w:spacing w:line="360" w:lineRule="auto"/>
        <w:ind w:left="0" w:leftChars="0" w:right="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（3）排名第一的成交候选供应商放弃成交、因不可抗力提出不能履行合同的，采购单位可以依法确定排名第二的成交候选供应商为成交供应商。</w:t>
      </w:r>
    </w:p>
    <w:p w14:paraId="6862C978">
      <w:pPr>
        <w:keepNext w:val="0"/>
        <w:keepLines w:val="0"/>
        <w:pageBreakBefore w:val="0"/>
        <w:kinsoku/>
        <w:wordWrap/>
        <w:overflowPunct/>
        <w:topLinePunct w:val="0"/>
        <w:autoSpaceDE/>
        <w:autoSpaceDN/>
        <w:bidi w:val="0"/>
        <w:adjustRightInd/>
        <w:spacing w:line="360" w:lineRule="auto"/>
        <w:ind w:left="0" w:leftChars="0" w:right="0" w:firstLine="420" w:firstLineChars="2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（4）排名第二的成交候选供应商因前款规定的同样原因不能签订合同的，采购单位可以依法确定排名第三的成交候选供应商为成交供应商。</w:t>
      </w:r>
    </w:p>
    <w:p w14:paraId="3F9B66DA">
      <w:pPr>
        <w:pStyle w:val="16"/>
        <w:rPr>
          <w:color w:val="000000"/>
          <w:highlight w:val="none"/>
          <w:shd w:val="clear" w:color="auto" w:fill="auto"/>
        </w:rPr>
      </w:pPr>
    </w:p>
    <w:p w14:paraId="30E6791A">
      <w:pPr>
        <w:rPr>
          <w:color w:val="000000"/>
          <w:highlight w:val="none"/>
          <w:shd w:val="clear" w:color="auto" w:fill="auto"/>
        </w:rPr>
      </w:pPr>
    </w:p>
    <w:p w14:paraId="0FF130EC">
      <w:pPr>
        <w:pStyle w:val="16"/>
        <w:rPr>
          <w:color w:val="000000"/>
          <w:highlight w:val="none"/>
          <w:shd w:val="clear" w:color="auto" w:fill="auto"/>
        </w:rPr>
      </w:pPr>
    </w:p>
    <w:p w14:paraId="6249AADD">
      <w:pPr>
        <w:rPr>
          <w:color w:val="000000"/>
          <w:highlight w:val="none"/>
          <w:shd w:val="clear" w:color="auto" w:fill="auto"/>
        </w:rPr>
      </w:pPr>
    </w:p>
    <w:p w14:paraId="5E2A33FE">
      <w:pPr>
        <w:pStyle w:val="16"/>
        <w:rPr>
          <w:color w:val="000000"/>
          <w:highlight w:val="none"/>
          <w:shd w:val="clear" w:color="auto" w:fill="auto"/>
        </w:rPr>
      </w:pPr>
    </w:p>
    <w:p w14:paraId="048E84E0">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宋体"/>
          <w:b/>
          <w:bCs/>
          <w:color w:val="000000"/>
          <w:sz w:val="24"/>
          <w:highlight w:val="none"/>
          <w:shd w:val="clear" w:color="auto" w:fill="auto"/>
        </w:rPr>
      </w:pPr>
      <w:bookmarkStart w:id="228" w:name="_Toc17369"/>
      <w:r>
        <w:rPr>
          <w:rFonts w:hint="eastAsia" w:ascii="宋体" w:hAnsi="宋体" w:cs="宋体"/>
          <w:b/>
          <w:bCs/>
          <w:color w:val="000000"/>
          <w:sz w:val="24"/>
          <w:highlight w:val="none"/>
          <w:shd w:val="clear" w:color="auto" w:fill="auto"/>
        </w:rPr>
        <w:br w:type="page"/>
      </w:r>
      <w:r>
        <w:rPr>
          <w:rFonts w:hint="eastAsia" w:ascii="宋体" w:hAnsi="宋体" w:cs="宋体"/>
          <w:b/>
          <w:bCs/>
          <w:color w:val="000000"/>
          <w:sz w:val="24"/>
          <w:highlight w:val="none"/>
          <w:shd w:val="clear" w:color="auto" w:fill="auto"/>
        </w:rPr>
        <w:t>附表</w:t>
      </w:r>
      <w:bookmarkEnd w:id="228"/>
    </w:p>
    <w:p w14:paraId="09C5FD3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000000"/>
          <w:kern w:val="0"/>
          <w:sz w:val="30"/>
          <w:szCs w:val="30"/>
          <w:highlight w:val="none"/>
          <w:shd w:val="clear" w:color="auto" w:fill="auto"/>
        </w:rPr>
      </w:pPr>
      <w:bookmarkStart w:id="229" w:name="_Toc28361_WPSOffice_Level2"/>
      <w:r>
        <w:rPr>
          <w:rFonts w:hint="eastAsia" w:ascii="宋体" w:hAnsi="宋体" w:cs="宋体"/>
          <w:b/>
          <w:bCs/>
          <w:color w:val="000000"/>
          <w:kern w:val="0"/>
          <w:sz w:val="30"/>
          <w:szCs w:val="30"/>
          <w:highlight w:val="none"/>
          <w:shd w:val="clear" w:color="auto" w:fill="auto"/>
        </w:rPr>
        <w:t>统计上大中小微型企业划分标准</w:t>
      </w:r>
      <w:bookmarkEnd w:id="229"/>
    </w:p>
    <w:tbl>
      <w:tblPr>
        <w:tblStyle w:val="34"/>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1372"/>
        <w:gridCol w:w="710"/>
        <w:gridCol w:w="1127"/>
        <w:gridCol w:w="1705"/>
        <w:gridCol w:w="1429"/>
        <w:gridCol w:w="994"/>
      </w:tblGrid>
      <w:tr w14:paraId="0EEA6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tblHeader/>
          <w:jc w:val="center"/>
        </w:trPr>
        <w:tc>
          <w:tcPr>
            <w:tcW w:w="2118" w:type="dxa"/>
            <w:shd w:val="clear" w:color="auto" w:fill="8DB3E2"/>
            <w:noWrap w:val="0"/>
            <w:vAlign w:val="center"/>
          </w:tcPr>
          <w:p w14:paraId="31C4B761">
            <w:pPr>
              <w:widowControl/>
              <w:spacing w:line="240" w:lineRule="auto"/>
              <w:jc w:val="center"/>
              <w:rPr>
                <w:rFonts w:ascii="宋体" w:hAnsi="宋体" w:cs="宋体"/>
                <w:b/>
                <w:bCs/>
                <w:color w:val="000000"/>
                <w:kern w:val="0"/>
                <w:sz w:val="18"/>
                <w:szCs w:val="21"/>
                <w:highlight w:val="none"/>
                <w:shd w:val="clear" w:color="auto" w:fill="auto"/>
              </w:rPr>
            </w:pPr>
            <w:r>
              <w:rPr>
                <w:rFonts w:hint="eastAsia" w:ascii="宋体" w:hAnsi="宋体" w:cs="宋体"/>
                <w:b/>
                <w:bCs/>
                <w:color w:val="000000"/>
                <w:kern w:val="0"/>
                <w:sz w:val="18"/>
                <w:szCs w:val="21"/>
                <w:highlight w:val="none"/>
                <w:shd w:val="clear" w:color="auto" w:fill="auto"/>
              </w:rPr>
              <w:t>行业名称</w:t>
            </w:r>
          </w:p>
        </w:tc>
        <w:tc>
          <w:tcPr>
            <w:tcW w:w="1372" w:type="dxa"/>
            <w:shd w:val="clear" w:color="auto" w:fill="8DB3E2"/>
            <w:noWrap w:val="0"/>
            <w:vAlign w:val="center"/>
          </w:tcPr>
          <w:p w14:paraId="36A59A37">
            <w:pPr>
              <w:widowControl/>
              <w:spacing w:line="240" w:lineRule="auto"/>
              <w:jc w:val="center"/>
              <w:rPr>
                <w:rFonts w:ascii="宋体" w:hAnsi="宋体" w:cs="宋体"/>
                <w:b/>
                <w:bCs/>
                <w:color w:val="000000"/>
                <w:kern w:val="0"/>
                <w:sz w:val="18"/>
                <w:szCs w:val="18"/>
                <w:highlight w:val="none"/>
                <w:shd w:val="clear" w:color="auto" w:fill="auto"/>
              </w:rPr>
            </w:pPr>
            <w:r>
              <w:rPr>
                <w:rFonts w:hint="eastAsia" w:ascii="宋体" w:hAnsi="宋体" w:cs="宋体"/>
                <w:b/>
                <w:bCs/>
                <w:color w:val="000000"/>
                <w:kern w:val="0"/>
                <w:sz w:val="18"/>
                <w:szCs w:val="18"/>
                <w:highlight w:val="none"/>
                <w:shd w:val="clear" w:color="auto" w:fill="auto"/>
              </w:rPr>
              <w:t>指标名称</w:t>
            </w:r>
          </w:p>
        </w:tc>
        <w:tc>
          <w:tcPr>
            <w:tcW w:w="710" w:type="dxa"/>
            <w:shd w:val="clear" w:color="auto" w:fill="8DB3E2"/>
            <w:noWrap w:val="0"/>
            <w:vAlign w:val="center"/>
          </w:tcPr>
          <w:p w14:paraId="66E0B8D8">
            <w:pPr>
              <w:widowControl/>
              <w:spacing w:line="240" w:lineRule="auto"/>
              <w:jc w:val="center"/>
              <w:rPr>
                <w:rFonts w:ascii="宋体" w:hAnsi="宋体" w:cs="宋体"/>
                <w:b/>
                <w:bCs/>
                <w:color w:val="000000"/>
                <w:kern w:val="0"/>
                <w:sz w:val="18"/>
                <w:szCs w:val="18"/>
                <w:highlight w:val="none"/>
                <w:shd w:val="clear" w:color="auto" w:fill="auto"/>
              </w:rPr>
            </w:pPr>
            <w:r>
              <w:rPr>
                <w:rFonts w:hint="eastAsia" w:ascii="宋体" w:hAnsi="宋体" w:cs="宋体"/>
                <w:b/>
                <w:bCs/>
                <w:color w:val="000000"/>
                <w:kern w:val="0"/>
                <w:sz w:val="18"/>
                <w:szCs w:val="18"/>
                <w:highlight w:val="none"/>
                <w:shd w:val="clear" w:color="auto" w:fill="auto"/>
              </w:rPr>
              <w:t>计量</w:t>
            </w:r>
          </w:p>
          <w:p w14:paraId="179315AD">
            <w:pPr>
              <w:widowControl/>
              <w:spacing w:line="240" w:lineRule="auto"/>
              <w:jc w:val="center"/>
              <w:rPr>
                <w:rFonts w:ascii="宋体" w:hAnsi="宋体" w:cs="宋体"/>
                <w:b/>
                <w:bCs/>
                <w:color w:val="000000"/>
                <w:kern w:val="0"/>
                <w:sz w:val="18"/>
                <w:szCs w:val="18"/>
                <w:highlight w:val="none"/>
                <w:shd w:val="clear" w:color="auto" w:fill="auto"/>
              </w:rPr>
            </w:pPr>
            <w:r>
              <w:rPr>
                <w:rFonts w:hint="eastAsia" w:ascii="宋体" w:hAnsi="宋体" w:cs="宋体"/>
                <w:b/>
                <w:bCs/>
                <w:color w:val="000000"/>
                <w:kern w:val="0"/>
                <w:sz w:val="18"/>
                <w:szCs w:val="18"/>
                <w:highlight w:val="none"/>
                <w:shd w:val="clear" w:color="auto" w:fill="auto"/>
              </w:rPr>
              <w:t>单位</w:t>
            </w:r>
          </w:p>
        </w:tc>
        <w:tc>
          <w:tcPr>
            <w:tcW w:w="1127" w:type="dxa"/>
            <w:shd w:val="clear" w:color="auto" w:fill="8DB3E2"/>
            <w:noWrap w:val="0"/>
            <w:vAlign w:val="center"/>
          </w:tcPr>
          <w:p w14:paraId="220EF3FD">
            <w:pPr>
              <w:widowControl/>
              <w:spacing w:line="240" w:lineRule="auto"/>
              <w:jc w:val="center"/>
              <w:rPr>
                <w:rFonts w:ascii="宋体" w:hAnsi="宋体" w:cs="宋体"/>
                <w:b/>
                <w:bCs/>
                <w:color w:val="000000"/>
                <w:kern w:val="0"/>
                <w:sz w:val="18"/>
                <w:szCs w:val="18"/>
                <w:highlight w:val="none"/>
                <w:shd w:val="clear" w:color="auto" w:fill="auto"/>
              </w:rPr>
            </w:pPr>
            <w:r>
              <w:rPr>
                <w:rFonts w:hint="eastAsia" w:ascii="宋体" w:hAnsi="宋体" w:cs="宋体"/>
                <w:b/>
                <w:bCs/>
                <w:color w:val="000000"/>
                <w:kern w:val="0"/>
                <w:sz w:val="18"/>
                <w:szCs w:val="18"/>
                <w:highlight w:val="none"/>
                <w:shd w:val="clear" w:color="auto" w:fill="auto"/>
              </w:rPr>
              <w:t>大型</w:t>
            </w:r>
          </w:p>
        </w:tc>
        <w:tc>
          <w:tcPr>
            <w:tcW w:w="1705" w:type="dxa"/>
            <w:shd w:val="clear" w:color="auto" w:fill="8DB3E2"/>
            <w:noWrap w:val="0"/>
            <w:vAlign w:val="center"/>
          </w:tcPr>
          <w:p w14:paraId="7F563CE2">
            <w:pPr>
              <w:widowControl/>
              <w:spacing w:line="240" w:lineRule="auto"/>
              <w:jc w:val="center"/>
              <w:rPr>
                <w:rFonts w:ascii="宋体" w:hAnsi="宋体" w:cs="宋体"/>
                <w:b/>
                <w:bCs/>
                <w:color w:val="000000"/>
                <w:kern w:val="0"/>
                <w:sz w:val="18"/>
                <w:szCs w:val="18"/>
                <w:highlight w:val="none"/>
                <w:shd w:val="clear" w:color="auto" w:fill="auto"/>
              </w:rPr>
            </w:pPr>
            <w:r>
              <w:rPr>
                <w:rFonts w:hint="eastAsia" w:ascii="宋体" w:hAnsi="宋体" w:cs="宋体"/>
                <w:b/>
                <w:bCs/>
                <w:color w:val="000000"/>
                <w:kern w:val="0"/>
                <w:sz w:val="18"/>
                <w:szCs w:val="18"/>
                <w:highlight w:val="none"/>
                <w:shd w:val="clear" w:color="auto" w:fill="auto"/>
              </w:rPr>
              <w:t>中型</w:t>
            </w:r>
          </w:p>
        </w:tc>
        <w:tc>
          <w:tcPr>
            <w:tcW w:w="1429" w:type="dxa"/>
            <w:shd w:val="clear" w:color="auto" w:fill="8DB3E2"/>
            <w:noWrap w:val="0"/>
            <w:vAlign w:val="center"/>
          </w:tcPr>
          <w:p w14:paraId="131002DC">
            <w:pPr>
              <w:widowControl/>
              <w:spacing w:line="240" w:lineRule="auto"/>
              <w:jc w:val="center"/>
              <w:rPr>
                <w:rFonts w:ascii="宋体" w:hAnsi="宋体" w:cs="宋体"/>
                <w:b/>
                <w:bCs/>
                <w:color w:val="000000"/>
                <w:kern w:val="0"/>
                <w:sz w:val="18"/>
                <w:szCs w:val="18"/>
                <w:highlight w:val="none"/>
                <w:shd w:val="clear" w:color="auto" w:fill="auto"/>
              </w:rPr>
            </w:pPr>
            <w:r>
              <w:rPr>
                <w:rFonts w:hint="eastAsia" w:ascii="宋体" w:hAnsi="宋体" w:cs="宋体"/>
                <w:b/>
                <w:bCs/>
                <w:color w:val="000000"/>
                <w:kern w:val="0"/>
                <w:sz w:val="18"/>
                <w:szCs w:val="18"/>
                <w:highlight w:val="none"/>
                <w:shd w:val="clear" w:color="auto" w:fill="auto"/>
              </w:rPr>
              <w:t>小型</w:t>
            </w:r>
          </w:p>
        </w:tc>
        <w:tc>
          <w:tcPr>
            <w:tcW w:w="994" w:type="dxa"/>
            <w:shd w:val="clear" w:color="auto" w:fill="8DB3E2"/>
            <w:noWrap w:val="0"/>
            <w:vAlign w:val="center"/>
          </w:tcPr>
          <w:p w14:paraId="58EA26EC">
            <w:pPr>
              <w:widowControl/>
              <w:spacing w:line="240" w:lineRule="auto"/>
              <w:jc w:val="center"/>
              <w:rPr>
                <w:rFonts w:ascii="宋体" w:hAnsi="宋体" w:cs="宋体"/>
                <w:b/>
                <w:bCs/>
                <w:color w:val="000000"/>
                <w:kern w:val="0"/>
                <w:sz w:val="18"/>
                <w:szCs w:val="18"/>
                <w:highlight w:val="none"/>
                <w:shd w:val="clear" w:color="auto" w:fill="auto"/>
              </w:rPr>
            </w:pPr>
            <w:r>
              <w:rPr>
                <w:rFonts w:hint="eastAsia" w:ascii="宋体" w:hAnsi="宋体" w:cs="宋体"/>
                <w:b/>
                <w:bCs/>
                <w:color w:val="000000"/>
                <w:kern w:val="0"/>
                <w:sz w:val="18"/>
                <w:szCs w:val="18"/>
                <w:highlight w:val="none"/>
                <w:shd w:val="clear" w:color="auto" w:fill="auto"/>
              </w:rPr>
              <w:t>微型</w:t>
            </w:r>
          </w:p>
        </w:tc>
      </w:tr>
      <w:tr w14:paraId="5CDEA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noWrap w:val="0"/>
            <w:vAlign w:val="center"/>
          </w:tcPr>
          <w:p w14:paraId="5B2EC1B4">
            <w:pPr>
              <w:widowControl/>
              <w:spacing w:line="240" w:lineRule="auto"/>
              <w:jc w:val="left"/>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农、林、牧、渔业</w:t>
            </w:r>
          </w:p>
        </w:tc>
        <w:tc>
          <w:tcPr>
            <w:tcW w:w="1372" w:type="dxa"/>
            <w:noWrap w:val="0"/>
            <w:vAlign w:val="center"/>
          </w:tcPr>
          <w:p w14:paraId="2124EF0B">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营业收入(Y)</w:t>
            </w:r>
          </w:p>
        </w:tc>
        <w:tc>
          <w:tcPr>
            <w:tcW w:w="710" w:type="dxa"/>
            <w:noWrap w:val="0"/>
            <w:vAlign w:val="center"/>
          </w:tcPr>
          <w:p w14:paraId="6E7D29A2">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万元</w:t>
            </w:r>
          </w:p>
        </w:tc>
        <w:tc>
          <w:tcPr>
            <w:tcW w:w="1127" w:type="dxa"/>
            <w:noWrap w:val="0"/>
            <w:vAlign w:val="center"/>
          </w:tcPr>
          <w:p w14:paraId="6B782420">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Y≥20000</w:t>
            </w:r>
          </w:p>
        </w:tc>
        <w:tc>
          <w:tcPr>
            <w:tcW w:w="1705" w:type="dxa"/>
            <w:noWrap w:val="0"/>
            <w:vAlign w:val="center"/>
          </w:tcPr>
          <w:p w14:paraId="69CC8E52">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500≤Y＜20000</w:t>
            </w:r>
          </w:p>
        </w:tc>
        <w:tc>
          <w:tcPr>
            <w:tcW w:w="1429" w:type="dxa"/>
            <w:noWrap w:val="0"/>
            <w:vAlign w:val="center"/>
          </w:tcPr>
          <w:p w14:paraId="1EEF106F">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50≤Y＜500</w:t>
            </w:r>
          </w:p>
        </w:tc>
        <w:tc>
          <w:tcPr>
            <w:tcW w:w="994" w:type="dxa"/>
            <w:noWrap w:val="0"/>
            <w:vAlign w:val="center"/>
          </w:tcPr>
          <w:p w14:paraId="697DB058">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Y＜50</w:t>
            </w:r>
          </w:p>
        </w:tc>
      </w:tr>
      <w:tr w14:paraId="5AB6A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restart"/>
            <w:noWrap w:val="0"/>
            <w:vAlign w:val="center"/>
          </w:tcPr>
          <w:p w14:paraId="1B6A783A">
            <w:pPr>
              <w:widowControl/>
              <w:spacing w:line="240" w:lineRule="auto"/>
              <w:jc w:val="left"/>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工业 *</w:t>
            </w:r>
          </w:p>
        </w:tc>
        <w:tc>
          <w:tcPr>
            <w:tcW w:w="1372" w:type="dxa"/>
            <w:noWrap w:val="0"/>
            <w:vAlign w:val="center"/>
          </w:tcPr>
          <w:p w14:paraId="752C85F4">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从业人员(X)</w:t>
            </w:r>
          </w:p>
        </w:tc>
        <w:tc>
          <w:tcPr>
            <w:tcW w:w="710" w:type="dxa"/>
            <w:noWrap w:val="0"/>
            <w:vAlign w:val="center"/>
          </w:tcPr>
          <w:p w14:paraId="5FDE0986">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人</w:t>
            </w:r>
          </w:p>
        </w:tc>
        <w:tc>
          <w:tcPr>
            <w:tcW w:w="1127" w:type="dxa"/>
            <w:noWrap w:val="0"/>
            <w:vAlign w:val="center"/>
          </w:tcPr>
          <w:p w14:paraId="73119089">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X≥1000</w:t>
            </w:r>
          </w:p>
        </w:tc>
        <w:tc>
          <w:tcPr>
            <w:tcW w:w="1705" w:type="dxa"/>
            <w:noWrap w:val="0"/>
            <w:vAlign w:val="center"/>
          </w:tcPr>
          <w:p w14:paraId="1EF97681">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300≤X＜1000</w:t>
            </w:r>
          </w:p>
        </w:tc>
        <w:tc>
          <w:tcPr>
            <w:tcW w:w="1429" w:type="dxa"/>
            <w:noWrap w:val="0"/>
            <w:vAlign w:val="center"/>
          </w:tcPr>
          <w:p w14:paraId="71D1D6D4">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20≤X＜300</w:t>
            </w:r>
          </w:p>
        </w:tc>
        <w:tc>
          <w:tcPr>
            <w:tcW w:w="994" w:type="dxa"/>
            <w:noWrap w:val="0"/>
            <w:vAlign w:val="center"/>
          </w:tcPr>
          <w:p w14:paraId="40E578D5">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X＜20</w:t>
            </w:r>
          </w:p>
        </w:tc>
      </w:tr>
      <w:tr w14:paraId="28179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continue"/>
            <w:noWrap w:val="0"/>
            <w:vAlign w:val="center"/>
          </w:tcPr>
          <w:p w14:paraId="343D52ED">
            <w:pPr>
              <w:widowControl/>
              <w:spacing w:line="240" w:lineRule="auto"/>
              <w:jc w:val="left"/>
              <w:rPr>
                <w:rFonts w:ascii="宋体" w:hAnsi="宋体" w:cs="宋体"/>
                <w:color w:val="000000"/>
                <w:kern w:val="0"/>
                <w:sz w:val="18"/>
                <w:szCs w:val="18"/>
                <w:highlight w:val="none"/>
                <w:shd w:val="clear" w:color="auto" w:fill="auto"/>
              </w:rPr>
            </w:pPr>
          </w:p>
        </w:tc>
        <w:tc>
          <w:tcPr>
            <w:tcW w:w="1372" w:type="dxa"/>
            <w:noWrap w:val="0"/>
            <w:vAlign w:val="center"/>
          </w:tcPr>
          <w:p w14:paraId="09430AA7">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营业收入(Y)</w:t>
            </w:r>
          </w:p>
        </w:tc>
        <w:tc>
          <w:tcPr>
            <w:tcW w:w="710" w:type="dxa"/>
            <w:noWrap w:val="0"/>
            <w:vAlign w:val="center"/>
          </w:tcPr>
          <w:p w14:paraId="052D0223">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万元</w:t>
            </w:r>
          </w:p>
        </w:tc>
        <w:tc>
          <w:tcPr>
            <w:tcW w:w="1127" w:type="dxa"/>
            <w:noWrap w:val="0"/>
            <w:vAlign w:val="center"/>
          </w:tcPr>
          <w:p w14:paraId="7CDC7EA6">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Y≥40000</w:t>
            </w:r>
          </w:p>
        </w:tc>
        <w:tc>
          <w:tcPr>
            <w:tcW w:w="1705" w:type="dxa"/>
            <w:noWrap w:val="0"/>
            <w:vAlign w:val="center"/>
          </w:tcPr>
          <w:p w14:paraId="70EE2B72">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2000≤Y＜40000</w:t>
            </w:r>
          </w:p>
        </w:tc>
        <w:tc>
          <w:tcPr>
            <w:tcW w:w="1429" w:type="dxa"/>
            <w:noWrap w:val="0"/>
            <w:vAlign w:val="center"/>
          </w:tcPr>
          <w:p w14:paraId="20BE2464">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300≤Y＜2000</w:t>
            </w:r>
          </w:p>
        </w:tc>
        <w:tc>
          <w:tcPr>
            <w:tcW w:w="994" w:type="dxa"/>
            <w:noWrap w:val="0"/>
            <w:vAlign w:val="center"/>
          </w:tcPr>
          <w:p w14:paraId="74815AAF">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Y＜300</w:t>
            </w:r>
          </w:p>
        </w:tc>
      </w:tr>
      <w:tr w14:paraId="475C0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restart"/>
            <w:noWrap w:val="0"/>
            <w:vAlign w:val="center"/>
          </w:tcPr>
          <w:p w14:paraId="2E8191BA">
            <w:pPr>
              <w:widowControl/>
              <w:spacing w:line="240" w:lineRule="auto"/>
              <w:jc w:val="left"/>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建筑业</w:t>
            </w:r>
          </w:p>
        </w:tc>
        <w:tc>
          <w:tcPr>
            <w:tcW w:w="1372" w:type="dxa"/>
            <w:noWrap w:val="0"/>
            <w:vAlign w:val="center"/>
          </w:tcPr>
          <w:p w14:paraId="5EEC9A19">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营业收入(Y)</w:t>
            </w:r>
          </w:p>
        </w:tc>
        <w:tc>
          <w:tcPr>
            <w:tcW w:w="710" w:type="dxa"/>
            <w:noWrap w:val="0"/>
            <w:vAlign w:val="center"/>
          </w:tcPr>
          <w:p w14:paraId="5090E26E">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万元</w:t>
            </w:r>
          </w:p>
        </w:tc>
        <w:tc>
          <w:tcPr>
            <w:tcW w:w="1127" w:type="dxa"/>
            <w:noWrap w:val="0"/>
            <w:vAlign w:val="center"/>
          </w:tcPr>
          <w:p w14:paraId="5E2A56DB">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Y≥80000</w:t>
            </w:r>
          </w:p>
        </w:tc>
        <w:tc>
          <w:tcPr>
            <w:tcW w:w="1705" w:type="dxa"/>
            <w:noWrap w:val="0"/>
            <w:vAlign w:val="center"/>
          </w:tcPr>
          <w:p w14:paraId="27E7B126">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6000≤Y＜80000</w:t>
            </w:r>
          </w:p>
        </w:tc>
        <w:tc>
          <w:tcPr>
            <w:tcW w:w="1429" w:type="dxa"/>
            <w:noWrap w:val="0"/>
            <w:vAlign w:val="center"/>
          </w:tcPr>
          <w:p w14:paraId="103F3B64">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300≤Y＜6000</w:t>
            </w:r>
          </w:p>
        </w:tc>
        <w:tc>
          <w:tcPr>
            <w:tcW w:w="994" w:type="dxa"/>
            <w:noWrap w:val="0"/>
            <w:vAlign w:val="center"/>
          </w:tcPr>
          <w:p w14:paraId="191A5A08">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Y＜300</w:t>
            </w:r>
          </w:p>
        </w:tc>
      </w:tr>
      <w:tr w14:paraId="3CCEE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continue"/>
            <w:noWrap w:val="0"/>
            <w:vAlign w:val="center"/>
          </w:tcPr>
          <w:p w14:paraId="09DDDFF9">
            <w:pPr>
              <w:widowControl/>
              <w:spacing w:line="240" w:lineRule="auto"/>
              <w:jc w:val="left"/>
              <w:rPr>
                <w:rFonts w:ascii="宋体" w:hAnsi="宋体" w:cs="宋体"/>
                <w:color w:val="000000"/>
                <w:kern w:val="0"/>
                <w:sz w:val="18"/>
                <w:szCs w:val="18"/>
                <w:highlight w:val="none"/>
                <w:shd w:val="clear" w:color="auto" w:fill="auto"/>
              </w:rPr>
            </w:pPr>
          </w:p>
        </w:tc>
        <w:tc>
          <w:tcPr>
            <w:tcW w:w="1372" w:type="dxa"/>
            <w:noWrap w:val="0"/>
            <w:vAlign w:val="center"/>
          </w:tcPr>
          <w:p w14:paraId="7C80AEFB">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资产总额(Z)</w:t>
            </w:r>
          </w:p>
        </w:tc>
        <w:tc>
          <w:tcPr>
            <w:tcW w:w="710" w:type="dxa"/>
            <w:noWrap w:val="0"/>
            <w:vAlign w:val="center"/>
          </w:tcPr>
          <w:p w14:paraId="426FC3F5">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万元</w:t>
            </w:r>
          </w:p>
        </w:tc>
        <w:tc>
          <w:tcPr>
            <w:tcW w:w="1127" w:type="dxa"/>
            <w:noWrap w:val="0"/>
            <w:vAlign w:val="center"/>
          </w:tcPr>
          <w:p w14:paraId="149198A4">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Z≥80000</w:t>
            </w:r>
          </w:p>
        </w:tc>
        <w:tc>
          <w:tcPr>
            <w:tcW w:w="1705" w:type="dxa"/>
            <w:noWrap w:val="0"/>
            <w:vAlign w:val="center"/>
          </w:tcPr>
          <w:p w14:paraId="6B39F2AE">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5000≤Z＜80000</w:t>
            </w:r>
          </w:p>
        </w:tc>
        <w:tc>
          <w:tcPr>
            <w:tcW w:w="1429" w:type="dxa"/>
            <w:noWrap w:val="0"/>
            <w:vAlign w:val="center"/>
          </w:tcPr>
          <w:p w14:paraId="1D0C2CD4">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300≤Z＜5000</w:t>
            </w:r>
          </w:p>
        </w:tc>
        <w:tc>
          <w:tcPr>
            <w:tcW w:w="994" w:type="dxa"/>
            <w:noWrap w:val="0"/>
            <w:vAlign w:val="center"/>
          </w:tcPr>
          <w:p w14:paraId="658724FA">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Z＜300</w:t>
            </w:r>
          </w:p>
        </w:tc>
      </w:tr>
      <w:tr w14:paraId="1058A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restart"/>
            <w:noWrap w:val="0"/>
            <w:vAlign w:val="center"/>
          </w:tcPr>
          <w:p w14:paraId="7CCD78E2">
            <w:pPr>
              <w:widowControl/>
              <w:spacing w:line="240" w:lineRule="auto"/>
              <w:jc w:val="left"/>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批发业</w:t>
            </w:r>
          </w:p>
        </w:tc>
        <w:tc>
          <w:tcPr>
            <w:tcW w:w="1372" w:type="dxa"/>
            <w:noWrap w:val="0"/>
            <w:vAlign w:val="center"/>
          </w:tcPr>
          <w:p w14:paraId="1AC6267A">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从业人员(X)</w:t>
            </w:r>
          </w:p>
        </w:tc>
        <w:tc>
          <w:tcPr>
            <w:tcW w:w="710" w:type="dxa"/>
            <w:noWrap w:val="0"/>
            <w:vAlign w:val="center"/>
          </w:tcPr>
          <w:p w14:paraId="6D036635">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人</w:t>
            </w:r>
          </w:p>
        </w:tc>
        <w:tc>
          <w:tcPr>
            <w:tcW w:w="1127" w:type="dxa"/>
            <w:noWrap w:val="0"/>
            <w:vAlign w:val="center"/>
          </w:tcPr>
          <w:p w14:paraId="24A1BFED">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X≥200</w:t>
            </w:r>
          </w:p>
        </w:tc>
        <w:tc>
          <w:tcPr>
            <w:tcW w:w="1705" w:type="dxa"/>
            <w:noWrap w:val="0"/>
            <w:vAlign w:val="center"/>
          </w:tcPr>
          <w:p w14:paraId="51966757">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20≤X＜200</w:t>
            </w:r>
          </w:p>
        </w:tc>
        <w:tc>
          <w:tcPr>
            <w:tcW w:w="1429" w:type="dxa"/>
            <w:noWrap w:val="0"/>
            <w:vAlign w:val="center"/>
          </w:tcPr>
          <w:p w14:paraId="47A8061A">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5≤X＜20</w:t>
            </w:r>
          </w:p>
        </w:tc>
        <w:tc>
          <w:tcPr>
            <w:tcW w:w="994" w:type="dxa"/>
            <w:noWrap w:val="0"/>
            <w:vAlign w:val="center"/>
          </w:tcPr>
          <w:p w14:paraId="4FD3C1D2">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X＜5</w:t>
            </w:r>
          </w:p>
        </w:tc>
      </w:tr>
      <w:tr w14:paraId="5A65B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continue"/>
            <w:noWrap w:val="0"/>
            <w:vAlign w:val="center"/>
          </w:tcPr>
          <w:p w14:paraId="3F6D9F4A">
            <w:pPr>
              <w:widowControl/>
              <w:spacing w:line="240" w:lineRule="auto"/>
              <w:jc w:val="left"/>
              <w:rPr>
                <w:rFonts w:ascii="宋体" w:hAnsi="宋体" w:cs="宋体"/>
                <w:color w:val="000000"/>
                <w:kern w:val="0"/>
                <w:sz w:val="18"/>
                <w:szCs w:val="18"/>
                <w:highlight w:val="none"/>
                <w:shd w:val="clear" w:color="auto" w:fill="auto"/>
              </w:rPr>
            </w:pPr>
          </w:p>
        </w:tc>
        <w:tc>
          <w:tcPr>
            <w:tcW w:w="1372" w:type="dxa"/>
            <w:noWrap w:val="0"/>
            <w:vAlign w:val="center"/>
          </w:tcPr>
          <w:p w14:paraId="3939C6F3">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营业收入(Y)</w:t>
            </w:r>
          </w:p>
        </w:tc>
        <w:tc>
          <w:tcPr>
            <w:tcW w:w="710" w:type="dxa"/>
            <w:noWrap w:val="0"/>
            <w:vAlign w:val="center"/>
          </w:tcPr>
          <w:p w14:paraId="427D62AF">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万元</w:t>
            </w:r>
          </w:p>
        </w:tc>
        <w:tc>
          <w:tcPr>
            <w:tcW w:w="1127" w:type="dxa"/>
            <w:noWrap w:val="0"/>
            <w:vAlign w:val="center"/>
          </w:tcPr>
          <w:p w14:paraId="31B16BCC">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Y≥40000</w:t>
            </w:r>
          </w:p>
        </w:tc>
        <w:tc>
          <w:tcPr>
            <w:tcW w:w="1705" w:type="dxa"/>
            <w:noWrap w:val="0"/>
            <w:vAlign w:val="center"/>
          </w:tcPr>
          <w:p w14:paraId="55B2F887">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5000≤Y＜40000</w:t>
            </w:r>
          </w:p>
        </w:tc>
        <w:tc>
          <w:tcPr>
            <w:tcW w:w="1429" w:type="dxa"/>
            <w:noWrap w:val="0"/>
            <w:vAlign w:val="center"/>
          </w:tcPr>
          <w:p w14:paraId="491E9F55">
            <w:pPr>
              <w:widowControl/>
              <w:spacing w:line="240" w:lineRule="auto"/>
              <w:ind w:left="-1" w:leftChars="-1" w:hanging="1"/>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1000≤Y＜5000</w:t>
            </w:r>
          </w:p>
        </w:tc>
        <w:tc>
          <w:tcPr>
            <w:tcW w:w="994" w:type="dxa"/>
            <w:noWrap w:val="0"/>
            <w:vAlign w:val="center"/>
          </w:tcPr>
          <w:p w14:paraId="5DEDB7BF">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Y＜1000</w:t>
            </w:r>
          </w:p>
        </w:tc>
      </w:tr>
      <w:tr w14:paraId="638D5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2118" w:type="dxa"/>
            <w:vMerge w:val="restart"/>
            <w:noWrap w:val="0"/>
            <w:vAlign w:val="center"/>
          </w:tcPr>
          <w:p w14:paraId="583AEDF9">
            <w:pPr>
              <w:widowControl/>
              <w:spacing w:line="240" w:lineRule="auto"/>
              <w:jc w:val="left"/>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零售业</w:t>
            </w:r>
          </w:p>
        </w:tc>
        <w:tc>
          <w:tcPr>
            <w:tcW w:w="1372" w:type="dxa"/>
            <w:noWrap w:val="0"/>
            <w:vAlign w:val="center"/>
          </w:tcPr>
          <w:p w14:paraId="003468A5">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从业人员(X)</w:t>
            </w:r>
          </w:p>
        </w:tc>
        <w:tc>
          <w:tcPr>
            <w:tcW w:w="710" w:type="dxa"/>
            <w:noWrap w:val="0"/>
            <w:vAlign w:val="center"/>
          </w:tcPr>
          <w:p w14:paraId="3D06C8CC">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人</w:t>
            </w:r>
          </w:p>
        </w:tc>
        <w:tc>
          <w:tcPr>
            <w:tcW w:w="1127" w:type="dxa"/>
            <w:noWrap w:val="0"/>
            <w:vAlign w:val="center"/>
          </w:tcPr>
          <w:p w14:paraId="72EF1BBF">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X≥300</w:t>
            </w:r>
          </w:p>
        </w:tc>
        <w:tc>
          <w:tcPr>
            <w:tcW w:w="1705" w:type="dxa"/>
            <w:noWrap w:val="0"/>
            <w:vAlign w:val="center"/>
          </w:tcPr>
          <w:p w14:paraId="39D1CC2D">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50≤X＜300</w:t>
            </w:r>
          </w:p>
        </w:tc>
        <w:tc>
          <w:tcPr>
            <w:tcW w:w="1429" w:type="dxa"/>
            <w:noWrap w:val="0"/>
            <w:vAlign w:val="center"/>
          </w:tcPr>
          <w:p w14:paraId="0871EDDB">
            <w:pPr>
              <w:widowControl/>
              <w:spacing w:line="240" w:lineRule="auto"/>
              <w:ind w:left="-1" w:leftChars="-1" w:hanging="1"/>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10≤X＜50</w:t>
            </w:r>
          </w:p>
        </w:tc>
        <w:tc>
          <w:tcPr>
            <w:tcW w:w="994" w:type="dxa"/>
            <w:noWrap w:val="0"/>
            <w:vAlign w:val="center"/>
          </w:tcPr>
          <w:p w14:paraId="7A79FD55">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X＜10</w:t>
            </w:r>
          </w:p>
        </w:tc>
      </w:tr>
      <w:tr w14:paraId="5E971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continue"/>
            <w:noWrap w:val="0"/>
            <w:vAlign w:val="center"/>
          </w:tcPr>
          <w:p w14:paraId="522A300F">
            <w:pPr>
              <w:widowControl/>
              <w:spacing w:line="240" w:lineRule="auto"/>
              <w:jc w:val="left"/>
              <w:rPr>
                <w:rFonts w:ascii="宋体" w:hAnsi="宋体" w:cs="宋体"/>
                <w:color w:val="000000"/>
                <w:kern w:val="0"/>
                <w:sz w:val="18"/>
                <w:szCs w:val="18"/>
                <w:highlight w:val="none"/>
                <w:shd w:val="clear" w:color="auto" w:fill="auto"/>
              </w:rPr>
            </w:pPr>
          </w:p>
        </w:tc>
        <w:tc>
          <w:tcPr>
            <w:tcW w:w="1372" w:type="dxa"/>
            <w:noWrap w:val="0"/>
            <w:vAlign w:val="center"/>
          </w:tcPr>
          <w:p w14:paraId="0D89DACD">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营业收入(Y)</w:t>
            </w:r>
          </w:p>
        </w:tc>
        <w:tc>
          <w:tcPr>
            <w:tcW w:w="710" w:type="dxa"/>
            <w:noWrap w:val="0"/>
            <w:vAlign w:val="center"/>
          </w:tcPr>
          <w:p w14:paraId="6C7F59D2">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万元</w:t>
            </w:r>
          </w:p>
        </w:tc>
        <w:tc>
          <w:tcPr>
            <w:tcW w:w="1127" w:type="dxa"/>
            <w:noWrap w:val="0"/>
            <w:vAlign w:val="center"/>
          </w:tcPr>
          <w:p w14:paraId="1E6C44A4">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Y≥20000</w:t>
            </w:r>
          </w:p>
        </w:tc>
        <w:tc>
          <w:tcPr>
            <w:tcW w:w="1705" w:type="dxa"/>
            <w:noWrap w:val="0"/>
            <w:vAlign w:val="center"/>
          </w:tcPr>
          <w:p w14:paraId="7BB3A4F6">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500≤Y＜20000</w:t>
            </w:r>
          </w:p>
        </w:tc>
        <w:tc>
          <w:tcPr>
            <w:tcW w:w="1429" w:type="dxa"/>
            <w:noWrap w:val="0"/>
            <w:vAlign w:val="center"/>
          </w:tcPr>
          <w:p w14:paraId="108413AB">
            <w:pPr>
              <w:widowControl/>
              <w:spacing w:line="240" w:lineRule="auto"/>
              <w:ind w:left="-1" w:leftChars="-1" w:hanging="1"/>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100≤Y＜500</w:t>
            </w:r>
          </w:p>
        </w:tc>
        <w:tc>
          <w:tcPr>
            <w:tcW w:w="994" w:type="dxa"/>
            <w:noWrap w:val="0"/>
            <w:vAlign w:val="center"/>
          </w:tcPr>
          <w:p w14:paraId="5DE3D297">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Y＜100</w:t>
            </w:r>
          </w:p>
        </w:tc>
      </w:tr>
      <w:tr w14:paraId="6CE2D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restart"/>
            <w:noWrap w:val="0"/>
            <w:vAlign w:val="center"/>
          </w:tcPr>
          <w:p w14:paraId="46AAA226">
            <w:pPr>
              <w:widowControl/>
              <w:spacing w:line="240" w:lineRule="auto"/>
              <w:jc w:val="left"/>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交通运输业 *</w:t>
            </w:r>
          </w:p>
        </w:tc>
        <w:tc>
          <w:tcPr>
            <w:tcW w:w="1372" w:type="dxa"/>
            <w:noWrap w:val="0"/>
            <w:vAlign w:val="center"/>
          </w:tcPr>
          <w:p w14:paraId="340D0FB0">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从业人员(X)</w:t>
            </w:r>
          </w:p>
        </w:tc>
        <w:tc>
          <w:tcPr>
            <w:tcW w:w="710" w:type="dxa"/>
            <w:noWrap w:val="0"/>
            <w:vAlign w:val="center"/>
          </w:tcPr>
          <w:p w14:paraId="5735EC4D">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人</w:t>
            </w:r>
          </w:p>
        </w:tc>
        <w:tc>
          <w:tcPr>
            <w:tcW w:w="1127" w:type="dxa"/>
            <w:noWrap w:val="0"/>
            <w:vAlign w:val="center"/>
          </w:tcPr>
          <w:p w14:paraId="179A08F3">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X≥1000</w:t>
            </w:r>
          </w:p>
        </w:tc>
        <w:tc>
          <w:tcPr>
            <w:tcW w:w="1705" w:type="dxa"/>
            <w:noWrap w:val="0"/>
            <w:vAlign w:val="center"/>
          </w:tcPr>
          <w:p w14:paraId="62AD88F5">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300≤X＜1000</w:t>
            </w:r>
          </w:p>
        </w:tc>
        <w:tc>
          <w:tcPr>
            <w:tcW w:w="1429" w:type="dxa"/>
            <w:noWrap w:val="0"/>
            <w:vAlign w:val="center"/>
          </w:tcPr>
          <w:p w14:paraId="21DF5D38">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20≤X＜300</w:t>
            </w:r>
          </w:p>
        </w:tc>
        <w:tc>
          <w:tcPr>
            <w:tcW w:w="994" w:type="dxa"/>
            <w:noWrap w:val="0"/>
            <w:vAlign w:val="center"/>
          </w:tcPr>
          <w:p w14:paraId="3A4D3EB0">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X＜20</w:t>
            </w:r>
          </w:p>
        </w:tc>
      </w:tr>
      <w:tr w14:paraId="7AA6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continue"/>
            <w:noWrap w:val="0"/>
            <w:vAlign w:val="center"/>
          </w:tcPr>
          <w:p w14:paraId="24016B77">
            <w:pPr>
              <w:widowControl/>
              <w:spacing w:line="240" w:lineRule="auto"/>
              <w:jc w:val="left"/>
              <w:rPr>
                <w:rFonts w:ascii="宋体" w:hAnsi="宋体" w:cs="宋体"/>
                <w:color w:val="000000"/>
                <w:kern w:val="0"/>
                <w:sz w:val="18"/>
                <w:szCs w:val="18"/>
                <w:highlight w:val="none"/>
                <w:shd w:val="clear" w:color="auto" w:fill="auto"/>
              </w:rPr>
            </w:pPr>
          </w:p>
        </w:tc>
        <w:tc>
          <w:tcPr>
            <w:tcW w:w="1372" w:type="dxa"/>
            <w:noWrap w:val="0"/>
            <w:vAlign w:val="center"/>
          </w:tcPr>
          <w:p w14:paraId="7AD887EA">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营业收入(Y)</w:t>
            </w:r>
          </w:p>
        </w:tc>
        <w:tc>
          <w:tcPr>
            <w:tcW w:w="710" w:type="dxa"/>
            <w:noWrap w:val="0"/>
            <w:vAlign w:val="center"/>
          </w:tcPr>
          <w:p w14:paraId="3574E390">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万元</w:t>
            </w:r>
          </w:p>
        </w:tc>
        <w:tc>
          <w:tcPr>
            <w:tcW w:w="1127" w:type="dxa"/>
            <w:noWrap w:val="0"/>
            <w:vAlign w:val="center"/>
          </w:tcPr>
          <w:p w14:paraId="320AC564">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Y≥30000</w:t>
            </w:r>
          </w:p>
        </w:tc>
        <w:tc>
          <w:tcPr>
            <w:tcW w:w="1705" w:type="dxa"/>
            <w:noWrap w:val="0"/>
            <w:vAlign w:val="center"/>
          </w:tcPr>
          <w:p w14:paraId="54005969">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3000≤Y＜30000</w:t>
            </w:r>
          </w:p>
        </w:tc>
        <w:tc>
          <w:tcPr>
            <w:tcW w:w="1429" w:type="dxa"/>
            <w:noWrap w:val="0"/>
            <w:vAlign w:val="center"/>
          </w:tcPr>
          <w:p w14:paraId="42596F61">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200≤Y＜3000</w:t>
            </w:r>
          </w:p>
        </w:tc>
        <w:tc>
          <w:tcPr>
            <w:tcW w:w="994" w:type="dxa"/>
            <w:noWrap w:val="0"/>
            <w:vAlign w:val="center"/>
          </w:tcPr>
          <w:p w14:paraId="5922FBEB">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Y＜200</w:t>
            </w:r>
          </w:p>
        </w:tc>
      </w:tr>
      <w:tr w14:paraId="6D711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restart"/>
            <w:noWrap w:val="0"/>
            <w:vAlign w:val="center"/>
          </w:tcPr>
          <w:p w14:paraId="6F205D2E">
            <w:pPr>
              <w:widowControl/>
              <w:spacing w:line="240" w:lineRule="auto"/>
              <w:jc w:val="left"/>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仓储业*</w:t>
            </w:r>
          </w:p>
        </w:tc>
        <w:tc>
          <w:tcPr>
            <w:tcW w:w="1372" w:type="dxa"/>
            <w:noWrap w:val="0"/>
            <w:vAlign w:val="center"/>
          </w:tcPr>
          <w:p w14:paraId="1D570851">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从业人员(X)</w:t>
            </w:r>
          </w:p>
        </w:tc>
        <w:tc>
          <w:tcPr>
            <w:tcW w:w="710" w:type="dxa"/>
            <w:noWrap w:val="0"/>
            <w:vAlign w:val="center"/>
          </w:tcPr>
          <w:p w14:paraId="56117011">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人</w:t>
            </w:r>
          </w:p>
        </w:tc>
        <w:tc>
          <w:tcPr>
            <w:tcW w:w="1127" w:type="dxa"/>
            <w:noWrap w:val="0"/>
            <w:vAlign w:val="center"/>
          </w:tcPr>
          <w:p w14:paraId="6A8C5FD0">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X≥200</w:t>
            </w:r>
          </w:p>
        </w:tc>
        <w:tc>
          <w:tcPr>
            <w:tcW w:w="1705" w:type="dxa"/>
            <w:noWrap w:val="0"/>
            <w:vAlign w:val="center"/>
          </w:tcPr>
          <w:p w14:paraId="1C3BBF95">
            <w:pPr>
              <w:widowControl/>
              <w:spacing w:line="240" w:lineRule="auto"/>
              <w:ind w:left="1" w:leftChars="-51" w:hanging="108" w:hangingChars="60"/>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100≤X＜200</w:t>
            </w:r>
          </w:p>
        </w:tc>
        <w:tc>
          <w:tcPr>
            <w:tcW w:w="1429" w:type="dxa"/>
            <w:noWrap w:val="0"/>
            <w:vAlign w:val="center"/>
          </w:tcPr>
          <w:p w14:paraId="1697084C">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20≤X＜100</w:t>
            </w:r>
          </w:p>
        </w:tc>
        <w:tc>
          <w:tcPr>
            <w:tcW w:w="994" w:type="dxa"/>
            <w:noWrap w:val="0"/>
            <w:vAlign w:val="center"/>
          </w:tcPr>
          <w:p w14:paraId="0D003CEF">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X＜20</w:t>
            </w:r>
          </w:p>
        </w:tc>
      </w:tr>
      <w:tr w14:paraId="2C262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continue"/>
            <w:noWrap w:val="0"/>
            <w:vAlign w:val="center"/>
          </w:tcPr>
          <w:p w14:paraId="656F21A1">
            <w:pPr>
              <w:widowControl/>
              <w:spacing w:line="240" w:lineRule="auto"/>
              <w:jc w:val="left"/>
              <w:rPr>
                <w:rFonts w:ascii="宋体" w:hAnsi="宋体" w:cs="宋体"/>
                <w:color w:val="000000"/>
                <w:kern w:val="0"/>
                <w:sz w:val="18"/>
                <w:szCs w:val="18"/>
                <w:highlight w:val="none"/>
                <w:shd w:val="clear" w:color="auto" w:fill="auto"/>
              </w:rPr>
            </w:pPr>
          </w:p>
        </w:tc>
        <w:tc>
          <w:tcPr>
            <w:tcW w:w="1372" w:type="dxa"/>
            <w:noWrap w:val="0"/>
            <w:vAlign w:val="center"/>
          </w:tcPr>
          <w:p w14:paraId="69AEDB4A">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营业收入(Y)</w:t>
            </w:r>
          </w:p>
        </w:tc>
        <w:tc>
          <w:tcPr>
            <w:tcW w:w="710" w:type="dxa"/>
            <w:noWrap w:val="0"/>
            <w:vAlign w:val="center"/>
          </w:tcPr>
          <w:p w14:paraId="41970B4A">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万元</w:t>
            </w:r>
          </w:p>
        </w:tc>
        <w:tc>
          <w:tcPr>
            <w:tcW w:w="1127" w:type="dxa"/>
            <w:noWrap w:val="0"/>
            <w:vAlign w:val="center"/>
          </w:tcPr>
          <w:p w14:paraId="0A725E29">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Y≥30000</w:t>
            </w:r>
          </w:p>
        </w:tc>
        <w:tc>
          <w:tcPr>
            <w:tcW w:w="1705" w:type="dxa"/>
            <w:noWrap w:val="0"/>
            <w:vAlign w:val="center"/>
          </w:tcPr>
          <w:p w14:paraId="59611D57">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1000≤Y＜30000</w:t>
            </w:r>
          </w:p>
        </w:tc>
        <w:tc>
          <w:tcPr>
            <w:tcW w:w="1429" w:type="dxa"/>
            <w:noWrap w:val="0"/>
            <w:vAlign w:val="center"/>
          </w:tcPr>
          <w:p w14:paraId="37A3D92D">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100≤Y＜1000</w:t>
            </w:r>
          </w:p>
        </w:tc>
        <w:tc>
          <w:tcPr>
            <w:tcW w:w="994" w:type="dxa"/>
            <w:noWrap w:val="0"/>
            <w:vAlign w:val="center"/>
          </w:tcPr>
          <w:p w14:paraId="4D6E00F1">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Y＜100</w:t>
            </w:r>
          </w:p>
        </w:tc>
      </w:tr>
      <w:tr w14:paraId="54B8B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restart"/>
            <w:noWrap w:val="0"/>
            <w:vAlign w:val="center"/>
          </w:tcPr>
          <w:p w14:paraId="7095654D">
            <w:pPr>
              <w:widowControl/>
              <w:spacing w:line="240" w:lineRule="auto"/>
              <w:jc w:val="left"/>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邮政业</w:t>
            </w:r>
          </w:p>
        </w:tc>
        <w:tc>
          <w:tcPr>
            <w:tcW w:w="1372" w:type="dxa"/>
            <w:noWrap w:val="0"/>
            <w:vAlign w:val="center"/>
          </w:tcPr>
          <w:p w14:paraId="6945F4A3">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从业人员(X)</w:t>
            </w:r>
          </w:p>
        </w:tc>
        <w:tc>
          <w:tcPr>
            <w:tcW w:w="710" w:type="dxa"/>
            <w:noWrap w:val="0"/>
            <w:vAlign w:val="center"/>
          </w:tcPr>
          <w:p w14:paraId="4B08963D">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人</w:t>
            </w:r>
          </w:p>
        </w:tc>
        <w:tc>
          <w:tcPr>
            <w:tcW w:w="1127" w:type="dxa"/>
            <w:noWrap w:val="0"/>
            <w:vAlign w:val="center"/>
          </w:tcPr>
          <w:p w14:paraId="0DB4B06E">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X≥1000</w:t>
            </w:r>
          </w:p>
        </w:tc>
        <w:tc>
          <w:tcPr>
            <w:tcW w:w="1705" w:type="dxa"/>
            <w:noWrap w:val="0"/>
            <w:vAlign w:val="center"/>
          </w:tcPr>
          <w:p w14:paraId="7DE0D59E">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300≤X＜1000</w:t>
            </w:r>
          </w:p>
        </w:tc>
        <w:tc>
          <w:tcPr>
            <w:tcW w:w="1429" w:type="dxa"/>
            <w:noWrap w:val="0"/>
            <w:vAlign w:val="center"/>
          </w:tcPr>
          <w:p w14:paraId="699A54A0">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20≤X＜300</w:t>
            </w:r>
          </w:p>
        </w:tc>
        <w:tc>
          <w:tcPr>
            <w:tcW w:w="994" w:type="dxa"/>
            <w:noWrap w:val="0"/>
            <w:vAlign w:val="center"/>
          </w:tcPr>
          <w:p w14:paraId="2C199513">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X＜20</w:t>
            </w:r>
          </w:p>
        </w:tc>
      </w:tr>
      <w:tr w14:paraId="7332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continue"/>
            <w:noWrap w:val="0"/>
            <w:vAlign w:val="center"/>
          </w:tcPr>
          <w:p w14:paraId="3C13F047">
            <w:pPr>
              <w:widowControl/>
              <w:spacing w:line="240" w:lineRule="auto"/>
              <w:jc w:val="left"/>
              <w:rPr>
                <w:rFonts w:ascii="宋体" w:hAnsi="宋体" w:cs="宋体"/>
                <w:color w:val="000000"/>
                <w:kern w:val="0"/>
                <w:sz w:val="18"/>
                <w:szCs w:val="18"/>
                <w:highlight w:val="none"/>
                <w:shd w:val="clear" w:color="auto" w:fill="auto"/>
              </w:rPr>
            </w:pPr>
          </w:p>
        </w:tc>
        <w:tc>
          <w:tcPr>
            <w:tcW w:w="1372" w:type="dxa"/>
            <w:noWrap w:val="0"/>
            <w:vAlign w:val="center"/>
          </w:tcPr>
          <w:p w14:paraId="6A4E1B4E">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营业收入(Y)</w:t>
            </w:r>
          </w:p>
        </w:tc>
        <w:tc>
          <w:tcPr>
            <w:tcW w:w="710" w:type="dxa"/>
            <w:noWrap w:val="0"/>
            <w:vAlign w:val="center"/>
          </w:tcPr>
          <w:p w14:paraId="11CE5BBE">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万元</w:t>
            </w:r>
          </w:p>
        </w:tc>
        <w:tc>
          <w:tcPr>
            <w:tcW w:w="1127" w:type="dxa"/>
            <w:noWrap w:val="0"/>
            <w:vAlign w:val="center"/>
          </w:tcPr>
          <w:p w14:paraId="5C70BEE6">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Y≥30000</w:t>
            </w:r>
          </w:p>
        </w:tc>
        <w:tc>
          <w:tcPr>
            <w:tcW w:w="1705" w:type="dxa"/>
            <w:noWrap w:val="0"/>
            <w:vAlign w:val="center"/>
          </w:tcPr>
          <w:p w14:paraId="2E40120D">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2000≤Y＜30000</w:t>
            </w:r>
          </w:p>
        </w:tc>
        <w:tc>
          <w:tcPr>
            <w:tcW w:w="1429" w:type="dxa"/>
            <w:noWrap w:val="0"/>
            <w:vAlign w:val="center"/>
          </w:tcPr>
          <w:p w14:paraId="141681BB">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100≤Y＜2000</w:t>
            </w:r>
          </w:p>
        </w:tc>
        <w:tc>
          <w:tcPr>
            <w:tcW w:w="994" w:type="dxa"/>
            <w:noWrap w:val="0"/>
            <w:vAlign w:val="center"/>
          </w:tcPr>
          <w:p w14:paraId="7D8E32AF">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Y＜100</w:t>
            </w:r>
          </w:p>
        </w:tc>
      </w:tr>
      <w:tr w14:paraId="340E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restart"/>
            <w:noWrap w:val="0"/>
            <w:vAlign w:val="center"/>
          </w:tcPr>
          <w:p w14:paraId="13D75D69">
            <w:pPr>
              <w:widowControl/>
              <w:spacing w:line="240" w:lineRule="auto"/>
              <w:jc w:val="left"/>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住宿业</w:t>
            </w:r>
          </w:p>
        </w:tc>
        <w:tc>
          <w:tcPr>
            <w:tcW w:w="1372" w:type="dxa"/>
            <w:noWrap w:val="0"/>
            <w:vAlign w:val="center"/>
          </w:tcPr>
          <w:p w14:paraId="1449DDEF">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从业人员(X)</w:t>
            </w:r>
          </w:p>
        </w:tc>
        <w:tc>
          <w:tcPr>
            <w:tcW w:w="710" w:type="dxa"/>
            <w:noWrap w:val="0"/>
            <w:vAlign w:val="center"/>
          </w:tcPr>
          <w:p w14:paraId="2C8795E5">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人</w:t>
            </w:r>
          </w:p>
        </w:tc>
        <w:tc>
          <w:tcPr>
            <w:tcW w:w="1127" w:type="dxa"/>
            <w:noWrap w:val="0"/>
            <w:vAlign w:val="center"/>
          </w:tcPr>
          <w:p w14:paraId="50E746DA">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X≥300</w:t>
            </w:r>
          </w:p>
        </w:tc>
        <w:tc>
          <w:tcPr>
            <w:tcW w:w="1705" w:type="dxa"/>
            <w:noWrap w:val="0"/>
            <w:vAlign w:val="center"/>
          </w:tcPr>
          <w:p w14:paraId="00C84CA8">
            <w:pPr>
              <w:widowControl/>
              <w:spacing w:line="240" w:lineRule="auto"/>
              <w:ind w:left="1" w:leftChars="-51" w:hanging="108" w:hangingChars="60"/>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100≤X＜300</w:t>
            </w:r>
          </w:p>
        </w:tc>
        <w:tc>
          <w:tcPr>
            <w:tcW w:w="1429" w:type="dxa"/>
            <w:noWrap w:val="0"/>
            <w:vAlign w:val="center"/>
          </w:tcPr>
          <w:p w14:paraId="5FEB21A1">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10≤X＜100</w:t>
            </w:r>
          </w:p>
        </w:tc>
        <w:tc>
          <w:tcPr>
            <w:tcW w:w="994" w:type="dxa"/>
            <w:noWrap w:val="0"/>
            <w:vAlign w:val="center"/>
          </w:tcPr>
          <w:p w14:paraId="1E7DD071">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X＜10</w:t>
            </w:r>
          </w:p>
        </w:tc>
      </w:tr>
      <w:tr w14:paraId="305E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continue"/>
            <w:noWrap w:val="0"/>
            <w:vAlign w:val="center"/>
          </w:tcPr>
          <w:p w14:paraId="310616C6">
            <w:pPr>
              <w:widowControl/>
              <w:spacing w:line="240" w:lineRule="auto"/>
              <w:jc w:val="left"/>
              <w:rPr>
                <w:rFonts w:ascii="宋体" w:hAnsi="宋体" w:cs="宋体"/>
                <w:color w:val="000000"/>
                <w:kern w:val="0"/>
                <w:sz w:val="18"/>
                <w:szCs w:val="18"/>
                <w:highlight w:val="none"/>
                <w:shd w:val="clear" w:color="auto" w:fill="auto"/>
              </w:rPr>
            </w:pPr>
          </w:p>
        </w:tc>
        <w:tc>
          <w:tcPr>
            <w:tcW w:w="1372" w:type="dxa"/>
            <w:noWrap w:val="0"/>
            <w:vAlign w:val="center"/>
          </w:tcPr>
          <w:p w14:paraId="3D6EA4E6">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营业收入(Y)</w:t>
            </w:r>
          </w:p>
        </w:tc>
        <w:tc>
          <w:tcPr>
            <w:tcW w:w="710" w:type="dxa"/>
            <w:noWrap w:val="0"/>
            <w:vAlign w:val="center"/>
          </w:tcPr>
          <w:p w14:paraId="53B02034">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万元</w:t>
            </w:r>
          </w:p>
        </w:tc>
        <w:tc>
          <w:tcPr>
            <w:tcW w:w="1127" w:type="dxa"/>
            <w:noWrap w:val="0"/>
            <w:vAlign w:val="center"/>
          </w:tcPr>
          <w:p w14:paraId="05934F4B">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Y≥10000</w:t>
            </w:r>
          </w:p>
        </w:tc>
        <w:tc>
          <w:tcPr>
            <w:tcW w:w="1705" w:type="dxa"/>
            <w:noWrap w:val="0"/>
            <w:vAlign w:val="center"/>
          </w:tcPr>
          <w:p w14:paraId="7483B4FD">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2000≤Y＜10000</w:t>
            </w:r>
          </w:p>
        </w:tc>
        <w:tc>
          <w:tcPr>
            <w:tcW w:w="1429" w:type="dxa"/>
            <w:noWrap w:val="0"/>
            <w:vAlign w:val="center"/>
          </w:tcPr>
          <w:p w14:paraId="5679452E">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100≤Y＜2000</w:t>
            </w:r>
          </w:p>
        </w:tc>
        <w:tc>
          <w:tcPr>
            <w:tcW w:w="994" w:type="dxa"/>
            <w:noWrap w:val="0"/>
            <w:vAlign w:val="center"/>
          </w:tcPr>
          <w:p w14:paraId="392FA081">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Y＜100</w:t>
            </w:r>
          </w:p>
        </w:tc>
      </w:tr>
      <w:tr w14:paraId="4C29F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restart"/>
            <w:noWrap w:val="0"/>
            <w:vAlign w:val="center"/>
          </w:tcPr>
          <w:p w14:paraId="31FCD68D">
            <w:pPr>
              <w:widowControl/>
              <w:spacing w:line="240" w:lineRule="auto"/>
              <w:jc w:val="left"/>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餐饮业</w:t>
            </w:r>
          </w:p>
        </w:tc>
        <w:tc>
          <w:tcPr>
            <w:tcW w:w="1372" w:type="dxa"/>
            <w:noWrap w:val="0"/>
            <w:vAlign w:val="center"/>
          </w:tcPr>
          <w:p w14:paraId="1DA04F0A">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从业人员(X)</w:t>
            </w:r>
          </w:p>
        </w:tc>
        <w:tc>
          <w:tcPr>
            <w:tcW w:w="710" w:type="dxa"/>
            <w:noWrap w:val="0"/>
            <w:vAlign w:val="center"/>
          </w:tcPr>
          <w:p w14:paraId="63F3F8CD">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人</w:t>
            </w:r>
          </w:p>
        </w:tc>
        <w:tc>
          <w:tcPr>
            <w:tcW w:w="1127" w:type="dxa"/>
            <w:noWrap w:val="0"/>
            <w:vAlign w:val="center"/>
          </w:tcPr>
          <w:p w14:paraId="660B2B50">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X≥300</w:t>
            </w:r>
          </w:p>
        </w:tc>
        <w:tc>
          <w:tcPr>
            <w:tcW w:w="1705" w:type="dxa"/>
            <w:noWrap w:val="0"/>
            <w:vAlign w:val="center"/>
          </w:tcPr>
          <w:p w14:paraId="67F15432">
            <w:pPr>
              <w:widowControl/>
              <w:spacing w:line="240" w:lineRule="auto"/>
              <w:ind w:left="1" w:leftChars="-51" w:hanging="108" w:hangingChars="60"/>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100≤X＜300</w:t>
            </w:r>
          </w:p>
        </w:tc>
        <w:tc>
          <w:tcPr>
            <w:tcW w:w="1429" w:type="dxa"/>
            <w:noWrap w:val="0"/>
            <w:vAlign w:val="center"/>
          </w:tcPr>
          <w:p w14:paraId="38CCE9A6">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10≤X＜100</w:t>
            </w:r>
          </w:p>
        </w:tc>
        <w:tc>
          <w:tcPr>
            <w:tcW w:w="994" w:type="dxa"/>
            <w:noWrap w:val="0"/>
            <w:vAlign w:val="center"/>
          </w:tcPr>
          <w:p w14:paraId="67FA5ADF">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X＜10</w:t>
            </w:r>
          </w:p>
        </w:tc>
      </w:tr>
      <w:tr w14:paraId="0E109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continue"/>
            <w:noWrap w:val="0"/>
            <w:vAlign w:val="center"/>
          </w:tcPr>
          <w:p w14:paraId="1BA5D422">
            <w:pPr>
              <w:widowControl/>
              <w:spacing w:line="240" w:lineRule="auto"/>
              <w:jc w:val="left"/>
              <w:rPr>
                <w:rFonts w:ascii="宋体" w:hAnsi="宋体" w:cs="宋体"/>
                <w:color w:val="000000"/>
                <w:kern w:val="0"/>
                <w:sz w:val="18"/>
                <w:szCs w:val="18"/>
                <w:highlight w:val="none"/>
                <w:shd w:val="clear" w:color="auto" w:fill="auto"/>
              </w:rPr>
            </w:pPr>
          </w:p>
        </w:tc>
        <w:tc>
          <w:tcPr>
            <w:tcW w:w="1372" w:type="dxa"/>
            <w:noWrap w:val="0"/>
            <w:vAlign w:val="center"/>
          </w:tcPr>
          <w:p w14:paraId="6D394B2A">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营业收入(Y)</w:t>
            </w:r>
          </w:p>
        </w:tc>
        <w:tc>
          <w:tcPr>
            <w:tcW w:w="710" w:type="dxa"/>
            <w:noWrap w:val="0"/>
            <w:vAlign w:val="center"/>
          </w:tcPr>
          <w:p w14:paraId="197247B8">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万元</w:t>
            </w:r>
          </w:p>
        </w:tc>
        <w:tc>
          <w:tcPr>
            <w:tcW w:w="1127" w:type="dxa"/>
            <w:noWrap w:val="0"/>
            <w:vAlign w:val="center"/>
          </w:tcPr>
          <w:p w14:paraId="66A45948">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Y≥10000</w:t>
            </w:r>
          </w:p>
        </w:tc>
        <w:tc>
          <w:tcPr>
            <w:tcW w:w="1705" w:type="dxa"/>
            <w:noWrap w:val="0"/>
            <w:vAlign w:val="center"/>
          </w:tcPr>
          <w:p w14:paraId="6D27C5D8">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2000≤Y＜10000</w:t>
            </w:r>
          </w:p>
        </w:tc>
        <w:tc>
          <w:tcPr>
            <w:tcW w:w="1429" w:type="dxa"/>
            <w:noWrap w:val="0"/>
            <w:vAlign w:val="center"/>
          </w:tcPr>
          <w:p w14:paraId="25D798B0">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100≤Y＜2000</w:t>
            </w:r>
          </w:p>
        </w:tc>
        <w:tc>
          <w:tcPr>
            <w:tcW w:w="994" w:type="dxa"/>
            <w:noWrap w:val="0"/>
            <w:vAlign w:val="center"/>
          </w:tcPr>
          <w:p w14:paraId="22FE5E3A">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Y＜100</w:t>
            </w:r>
          </w:p>
        </w:tc>
      </w:tr>
      <w:tr w14:paraId="631CC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restart"/>
            <w:noWrap w:val="0"/>
            <w:vAlign w:val="center"/>
          </w:tcPr>
          <w:p w14:paraId="1EEBCB99">
            <w:pPr>
              <w:widowControl/>
              <w:spacing w:line="240" w:lineRule="auto"/>
              <w:jc w:val="left"/>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信息传输业 *</w:t>
            </w:r>
          </w:p>
        </w:tc>
        <w:tc>
          <w:tcPr>
            <w:tcW w:w="1372" w:type="dxa"/>
            <w:noWrap w:val="0"/>
            <w:vAlign w:val="center"/>
          </w:tcPr>
          <w:p w14:paraId="0475DA10">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从业人员(X)</w:t>
            </w:r>
          </w:p>
        </w:tc>
        <w:tc>
          <w:tcPr>
            <w:tcW w:w="710" w:type="dxa"/>
            <w:noWrap w:val="0"/>
            <w:vAlign w:val="center"/>
          </w:tcPr>
          <w:p w14:paraId="66ED132F">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人</w:t>
            </w:r>
          </w:p>
        </w:tc>
        <w:tc>
          <w:tcPr>
            <w:tcW w:w="1127" w:type="dxa"/>
            <w:noWrap w:val="0"/>
            <w:vAlign w:val="center"/>
          </w:tcPr>
          <w:p w14:paraId="3703931F">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X≥2000</w:t>
            </w:r>
          </w:p>
        </w:tc>
        <w:tc>
          <w:tcPr>
            <w:tcW w:w="1705" w:type="dxa"/>
            <w:noWrap w:val="0"/>
            <w:vAlign w:val="center"/>
          </w:tcPr>
          <w:p w14:paraId="05C29A8F">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100≤X＜2000</w:t>
            </w:r>
          </w:p>
        </w:tc>
        <w:tc>
          <w:tcPr>
            <w:tcW w:w="1429" w:type="dxa"/>
            <w:noWrap w:val="0"/>
            <w:vAlign w:val="center"/>
          </w:tcPr>
          <w:p w14:paraId="2E99E707">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10≤X＜100</w:t>
            </w:r>
          </w:p>
        </w:tc>
        <w:tc>
          <w:tcPr>
            <w:tcW w:w="994" w:type="dxa"/>
            <w:noWrap w:val="0"/>
            <w:vAlign w:val="center"/>
          </w:tcPr>
          <w:p w14:paraId="6A0FE391">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X＜10</w:t>
            </w:r>
          </w:p>
        </w:tc>
      </w:tr>
      <w:tr w14:paraId="299B0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continue"/>
            <w:noWrap w:val="0"/>
            <w:vAlign w:val="center"/>
          </w:tcPr>
          <w:p w14:paraId="6AC8E456">
            <w:pPr>
              <w:widowControl/>
              <w:spacing w:line="240" w:lineRule="auto"/>
              <w:jc w:val="left"/>
              <w:rPr>
                <w:rFonts w:ascii="宋体" w:hAnsi="宋体" w:cs="宋体"/>
                <w:color w:val="000000"/>
                <w:kern w:val="0"/>
                <w:sz w:val="18"/>
                <w:szCs w:val="18"/>
                <w:highlight w:val="none"/>
                <w:shd w:val="clear" w:color="auto" w:fill="auto"/>
              </w:rPr>
            </w:pPr>
          </w:p>
        </w:tc>
        <w:tc>
          <w:tcPr>
            <w:tcW w:w="1372" w:type="dxa"/>
            <w:noWrap w:val="0"/>
            <w:vAlign w:val="center"/>
          </w:tcPr>
          <w:p w14:paraId="70279739">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营业收入(Y)</w:t>
            </w:r>
          </w:p>
        </w:tc>
        <w:tc>
          <w:tcPr>
            <w:tcW w:w="710" w:type="dxa"/>
            <w:noWrap w:val="0"/>
            <w:vAlign w:val="center"/>
          </w:tcPr>
          <w:p w14:paraId="43D2D851">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万元</w:t>
            </w:r>
          </w:p>
        </w:tc>
        <w:tc>
          <w:tcPr>
            <w:tcW w:w="1127" w:type="dxa"/>
            <w:noWrap w:val="0"/>
            <w:vAlign w:val="center"/>
          </w:tcPr>
          <w:p w14:paraId="5219515B">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Y≥100000</w:t>
            </w:r>
          </w:p>
        </w:tc>
        <w:tc>
          <w:tcPr>
            <w:tcW w:w="1705" w:type="dxa"/>
            <w:noWrap w:val="0"/>
            <w:vAlign w:val="center"/>
          </w:tcPr>
          <w:p w14:paraId="61919757">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1000≤Y＜100000</w:t>
            </w:r>
          </w:p>
        </w:tc>
        <w:tc>
          <w:tcPr>
            <w:tcW w:w="1429" w:type="dxa"/>
            <w:noWrap w:val="0"/>
            <w:vAlign w:val="center"/>
          </w:tcPr>
          <w:p w14:paraId="017F65AE">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100≤Y＜1000</w:t>
            </w:r>
          </w:p>
        </w:tc>
        <w:tc>
          <w:tcPr>
            <w:tcW w:w="994" w:type="dxa"/>
            <w:noWrap w:val="0"/>
            <w:vAlign w:val="center"/>
          </w:tcPr>
          <w:p w14:paraId="6A0411E4">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Y＜100</w:t>
            </w:r>
          </w:p>
        </w:tc>
      </w:tr>
      <w:tr w14:paraId="6AD34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2118" w:type="dxa"/>
            <w:vMerge w:val="restart"/>
            <w:noWrap w:val="0"/>
            <w:vAlign w:val="center"/>
          </w:tcPr>
          <w:p w14:paraId="0036C122">
            <w:pPr>
              <w:widowControl/>
              <w:spacing w:line="240" w:lineRule="auto"/>
              <w:jc w:val="left"/>
              <w:rPr>
                <w:rFonts w:ascii="宋体" w:hAnsi="宋体" w:cs="宋体"/>
                <w:color w:val="000000"/>
                <w:spacing w:val="-12"/>
                <w:kern w:val="0"/>
                <w:sz w:val="18"/>
                <w:szCs w:val="18"/>
                <w:highlight w:val="none"/>
                <w:shd w:val="clear" w:color="auto" w:fill="auto"/>
              </w:rPr>
            </w:pPr>
            <w:r>
              <w:rPr>
                <w:rFonts w:hint="eastAsia" w:ascii="宋体" w:hAnsi="宋体" w:cs="宋体"/>
                <w:color w:val="000000"/>
                <w:spacing w:val="-12"/>
                <w:kern w:val="0"/>
                <w:sz w:val="18"/>
                <w:szCs w:val="18"/>
                <w:highlight w:val="none"/>
                <w:shd w:val="clear" w:color="auto" w:fill="auto"/>
              </w:rPr>
              <w:t>软件和信息技术服</w:t>
            </w:r>
            <w:r>
              <w:rPr>
                <w:rFonts w:hint="eastAsia" w:ascii="宋体" w:hAnsi="宋体" w:cs="宋体"/>
                <w:color w:val="000000"/>
                <w:kern w:val="0"/>
                <w:sz w:val="18"/>
                <w:szCs w:val="18"/>
                <w:highlight w:val="none"/>
                <w:shd w:val="clear" w:color="auto" w:fill="auto"/>
              </w:rPr>
              <w:t>务业</w:t>
            </w:r>
          </w:p>
        </w:tc>
        <w:tc>
          <w:tcPr>
            <w:tcW w:w="1372" w:type="dxa"/>
            <w:noWrap w:val="0"/>
            <w:vAlign w:val="center"/>
          </w:tcPr>
          <w:p w14:paraId="3F07A5CA">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从业人员(X)</w:t>
            </w:r>
          </w:p>
        </w:tc>
        <w:tc>
          <w:tcPr>
            <w:tcW w:w="710" w:type="dxa"/>
            <w:noWrap w:val="0"/>
            <w:vAlign w:val="center"/>
          </w:tcPr>
          <w:p w14:paraId="02643265">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人</w:t>
            </w:r>
          </w:p>
        </w:tc>
        <w:tc>
          <w:tcPr>
            <w:tcW w:w="1127" w:type="dxa"/>
            <w:noWrap w:val="0"/>
            <w:vAlign w:val="center"/>
          </w:tcPr>
          <w:p w14:paraId="42F3DDE2">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X≥300</w:t>
            </w:r>
          </w:p>
        </w:tc>
        <w:tc>
          <w:tcPr>
            <w:tcW w:w="1705" w:type="dxa"/>
            <w:noWrap w:val="0"/>
            <w:vAlign w:val="center"/>
          </w:tcPr>
          <w:p w14:paraId="6DBADAF1">
            <w:pPr>
              <w:widowControl/>
              <w:spacing w:line="240" w:lineRule="auto"/>
              <w:ind w:left="1" w:leftChars="-51" w:hanging="108" w:hangingChars="60"/>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100≤X＜300</w:t>
            </w:r>
          </w:p>
        </w:tc>
        <w:tc>
          <w:tcPr>
            <w:tcW w:w="1429" w:type="dxa"/>
            <w:noWrap w:val="0"/>
            <w:vAlign w:val="center"/>
          </w:tcPr>
          <w:p w14:paraId="7E94BE95">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10≤X＜100</w:t>
            </w:r>
          </w:p>
        </w:tc>
        <w:tc>
          <w:tcPr>
            <w:tcW w:w="994" w:type="dxa"/>
            <w:noWrap w:val="0"/>
            <w:vAlign w:val="center"/>
          </w:tcPr>
          <w:p w14:paraId="1E9D6578">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X＜10</w:t>
            </w:r>
          </w:p>
        </w:tc>
      </w:tr>
      <w:tr w14:paraId="100F5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2118" w:type="dxa"/>
            <w:vMerge w:val="continue"/>
            <w:noWrap w:val="0"/>
            <w:vAlign w:val="center"/>
          </w:tcPr>
          <w:p w14:paraId="26D8CFB0">
            <w:pPr>
              <w:widowControl/>
              <w:spacing w:line="240" w:lineRule="auto"/>
              <w:jc w:val="left"/>
              <w:rPr>
                <w:rFonts w:ascii="宋体" w:hAnsi="宋体" w:cs="宋体"/>
                <w:color w:val="000000"/>
                <w:spacing w:val="-12"/>
                <w:kern w:val="0"/>
                <w:sz w:val="18"/>
                <w:szCs w:val="18"/>
                <w:highlight w:val="none"/>
                <w:shd w:val="clear" w:color="auto" w:fill="auto"/>
              </w:rPr>
            </w:pPr>
          </w:p>
        </w:tc>
        <w:tc>
          <w:tcPr>
            <w:tcW w:w="1372" w:type="dxa"/>
            <w:noWrap w:val="0"/>
            <w:vAlign w:val="center"/>
          </w:tcPr>
          <w:p w14:paraId="595827B5">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营业收入(Y)</w:t>
            </w:r>
          </w:p>
        </w:tc>
        <w:tc>
          <w:tcPr>
            <w:tcW w:w="710" w:type="dxa"/>
            <w:noWrap w:val="0"/>
            <w:vAlign w:val="center"/>
          </w:tcPr>
          <w:p w14:paraId="6B8324C3">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万元</w:t>
            </w:r>
          </w:p>
        </w:tc>
        <w:tc>
          <w:tcPr>
            <w:tcW w:w="1127" w:type="dxa"/>
            <w:noWrap w:val="0"/>
            <w:vAlign w:val="center"/>
          </w:tcPr>
          <w:p w14:paraId="7BB343D0">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Y≥10000</w:t>
            </w:r>
          </w:p>
        </w:tc>
        <w:tc>
          <w:tcPr>
            <w:tcW w:w="1705" w:type="dxa"/>
            <w:noWrap w:val="0"/>
            <w:vAlign w:val="center"/>
          </w:tcPr>
          <w:p w14:paraId="29A529AB">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1000≤Y＜10000</w:t>
            </w:r>
          </w:p>
        </w:tc>
        <w:tc>
          <w:tcPr>
            <w:tcW w:w="1429" w:type="dxa"/>
            <w:noWrap w:val="0"/>
            <w:vAlign w:val="center"/>
          </w:tcPr>
          <w:p w14:paraId="016697EC">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50≤Y＜1000</w:t>
            </w:r>
          </w:p>
        </w:tc>
        <w:tc>
          <w:tcPr>
            <w:tcW w:w="994" w:type="dxa"/>
            <w:noWrap w:val="0"/>
            <w:vAlign w:val="center"/>
          </w:tcPr>
          <w:p w14:paraId="4038BF6F">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Y＜50</w:t>
            </w:r>
          </w:p>
        </w:tc>
      </w:tr>
      <w:tr w14:paraId="3E65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2118" w:type="dxa"/>
            <w:vMerge w:val="restart"/>
            <w:noWrap w:val="0"/>
            <w:vAlign w:val="center"/>
          </w:tcPr>
          <w:p w14:paraId="5EE4F028">
            <w:pPr>
              <w:widowControl/>
              <w:spacing w:line="240" w:lineRule="auto"/>
              <w:jc w:val="left"/>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房地产开发经营</w:t>
            </w:r>
          </w:p>
        </w:tc>
        <w:tc>
          <w:tcPr>
            <w:tcW w:w="1372" w:type="dxa"/>
            <w:noWrap w:val="0"/>
            <w:vAlign w:val="center"/>
          </w:tcPr>
          <w:p w14:paraId="734F3C1A">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营业收入(Y)</w:t>
            </w:r>
          </w:p>
        </w:tc>
        <w:tc>
          <w:tcPr>
            <w:tcW w:w="710" w:type="dxa"/>
            <w:noWrap w:val="0"/>
            <w:vAlign w:val="center"/>
          </w:tcPr>
          <w:p w14:paraId="056A27B7">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万元</w:t>
            </w:r>
          </w:p>
        </w:tc>
        <w:tc>
          <w:tcPr>
            <w:tcW w:w="1127" w:type="dxa"/>
            <w:noWrap w:val="0"/>
            <w:vAlign w:val="center"/>
          </w:tcPr>
          <w:p w14:paraId="0044B37C">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Y≥200000</w:t>
            </w:r>
          </w:p>
        </w:tc>
        <w:tc>
          <w:tcPr>
            <w:tcW w:w="1705" w:type="dxa"/>
            <w:noWrap w:val="0"/>
            <w:vAlign w:val="center"/>
          </w:tcPr>
          <w:p w14:paraId="33D03E8D">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1000≤Y＜200000</w:t>
            </w:r>
          </w:p>
        </w:tc>
        <w:tc>
          <w:tcPr>
            <w:tcW w:w="1429" w:type="dxa"/>
            <w:noWrap w:val="0"/>
            <w:vAlign w:val="center"/>
          </w:tcPr>
          <w:p w14:paraId="04FC462E">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100≤Y＜1000</w:t>
            </w:r>
          </w:p>
        </w:tc>
        <w:tc>
          <w:tcPr>
            <w:tcW w:w="994" w:type="dxa"/>
            <w:noWrap w:val="0"/>
            <w:vAlign w:val="center"/>
          </w:tcPr>
          <w:p w14:paraId="0ED29DC5">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Y＜100</w:t>
            </w:r>
          </w:p>
        </w:tc>
      </w:tr>
      <w:tr w14:paraId="2BA4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2118" w:type="dxa"/>
            <w:vMerge w:val="continue"/>
            <w:noWrap w:val="0"/>
            <w:vAlign w:val="center"/>
          </w:tcPr>
          <w:p w14:paraId="501868CD">
            <w:pPr>
              <w:widowControl/>
              <w:spacing w:line="240" w:lineRule="auto"/>
              <w:jc w:val="left"/>
              <w:rPr>
                <w:rFonts w:ascii="宋体" w:hAnsi="宋体" w:cs="宋体"/>
                <w:color w:val="000000"/>
                <w:kern w:val="0"/>
                <w:sz w:val="18"/>
                <w:szCs w:val="18"/>
                <w:highlight w:val="none"/>
                <w:shd w:val="clear" w:color="auto" w:fill="auto"/>
              </w:rPr>
            </w:pPr>
          </w:p>
        </w:tc>
        <w:tc>
          <w:tcPr>
            <w:tcW w:w="1372" w:type="dxa"/>
            <w:noWrap w:val="0"/>
            <w:vAlign w:val="center"/>
          </w:tcPr>
          <w:p w14:paraId="1A76A0AB">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资产总额(Z)</w:t>
            </w:r>
          </w:p>
        </w:tc>
        <w:tc>
          <w:tcPr>
            <w:tcW w:w="710" w:type="dxa"/>
            <w:noWrap w:val="0"/>
            <w:vAlign w:val="center"/>
          </w:tcPr>
          <w:p w14:paraId="5B618742">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万元</w:t>
            </w:r>
          </w:p>
        </w:tc>
        <w:tc>
          <w:tcPr>
            <w:tcW w:w="1127" w:type="dxa"/>
            <w:noWrap w:val="0"/>
            <w:vAlign w:val="center"/>
          </w:tcPr>
          <w:p w14:paraId="76A4C266">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Z≥10000</w:t>
            </w:r>
          </w:p>
        </w:tc>
        <w:tc>
          <w:tcPr>
            <w:tcW w:w="1705" w:type="dxa"/>
            <w:noWrap w:val="0"/>
            <w:vAlign w:val="center"/>
          </w:tcPr>
          <w:p w14:paraId="73BD003C">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5000≤Z＜10000</w:t>
            </w:r>
          </w:p>
        </w:tc>
        <w:tc>
          <w:tcPr>
            <w:tcW w:w="1429" w:type="dxa"/>
            <w:noWrap w:val="0"/>
            <w:vAlign w:val="center"/>
          </w:tcPr>
          <w:p w14:paraId="7E7585EF">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2000≤Z＜5000</w:t>
            </w:r>
          </w:p>
        </w:tc>
        <w:tc>
          <w:tcPr>
            <w:tcW w:w="994" w:type="dxa"/>
            <w:noWrap w:val="0"/>
            <w:vAlign w:val="center"/>
          </w:tcPr>
          <w:p w14:paraId="0ABCCB7D">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Z＜2000</w:t>
            </w:r>
          </w:p>
        </w:tc>
      </w:tr>
      <w:tr w14:paraId="356B6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jc w:val="center"/>
        </w:trPr>
        <w:tc>
          <w:tcPr>
            <w:tcW w:w="2118" w:type="dxa"/>
            <w:vMerge w:val="restart"/>
            <w:noWrap w:val="0"/>
            <w:vAlign w:val="center"/>
          </w:tcPr>
          <w:p w14:paraId="37720C48">
            <w:pPr>
              <w:widowControl/>
              <w:spacing w:line="240" w:lineRule="auto"/>
              <w:jc w:val="left"/>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物业管理</w:t>
            </w:r>
          </w:p>
        </w:tc>
        <w:tc>
          <w:tcPr>
            <w:tcW w:w="1372" w:type="dxa"/>
            <w:noWrap w:val="0"/>
            <w:vAlign w:val="center"/>
          </w:tcPr>
          <w:p w14:paraId="28706174">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从业人员(X)</w:t>
            </w:r>
          </w:p>
        </w:tc>
        <w:tc>
          <w:tcPr>
            <w:tcW w:w="710" w:type="dxa"/>
            <w:noWrap w:val="0"/>
            <w:vAlign w:val="center"/>
          </w:tcPr>
          <w:p w14:paraId="5765C35A">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人</w:t>
            </w:r>
          </w:p>
        </w:tc>
        <w:tc>
          <w:tcPr>
            <w:tcW w:w="1127" w:type="dxa"/>
            <w:noWrap w:val="0"/>
            <w:vAlign w:val="center"/>
          </w:tcPr>
          <w:p w14:paraId="0B880E74">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X≥1000</w:t>
            </w:r>
          </w:p>
        </w:tc>
        <w:tc>
          <w:tcPr>
            <w:tcW w:w="1705" w:type="dxa"/>
            <w:noWrap w:val="0"/>
            <w:vAlign w:val="center"/>
          </w:tcPr>
          <w:p w14:paraId="4ADB6770">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300≤X＜1000</w:t>
            </w:r>
          </w:p>
        </w:tc>
        <w:tc>
          <w:tcPr>
            <w:tcW w:w="1429" w:type="dxa"/>
            <w:noWrap w:val="0"/>
            <w:vAlign w:val="center"/>
          </w:tcPr>
          <w:p w14:paraId="5719CDCA">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100≤X＜300</w:t>
            </w:r>
          </w:p>
        </w:tc>
        <w:tc>
          <w:tcPr>
            <w:tcW w:w="994" w:type="dxa"/>
            <w:noWrap w:val="0"/>
            <w:vAlign w:val="center"/>
          </w:tcPr>
          <w:p w14:paraId="6414365F">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X＜100</w:t>
            </w:r>
          </w:p>
        </w:tc>
      </w:tr>
      <w:tr w14:paraId="00A98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2118" w:type="dxa"/>
            <w:vMerge w:val="continue"/>
            <w:noWrap w:val="0"/>
            <w:vAlign w:val="center"/>
          </w:tcPr>
          <w:p w14:paraId="5DD7B21B">
            <w:pPr>
              <w:widowControl/>
              <w:spacing w:line="240" w:lineRule="auto"/>
              <w:jc w:val="left"/>
              <w:rPr>
                <w:rFonts w:ascii="宋体" w:hAnsi="宋体" w:cs="宋体"/>
                <w:color w:val="000000"/>
                <w:kern w:val="0"/>
                <w:sz w:val="18"/>
                <w:szCs w:val="18"/>
                <w:highlight w:val="none"/>
                <w:shd w:val="clear" w:color="auto" w:fill="auto"/>
              </w:rPr>
            </w:pPr>
          </w:p>
        </w:tc>
        <w:tc>
          <w:tcPr>
            <w:tcW w:w="1372" w:type="dxa"/>
            <w:noWrap w:val="0"/>
            <w:vAlign w:val="center"/>
          </w:tcPr>
          <w:p w14:paraId="1368BFB8">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营业收入(Y)</w:t>
            </w:r>
          </w:p>
        </w:tc>
        <w:tc>
          <w:tcPr>
            <w:tcW w:w="710" w:type="dxa"/>
            <w:noWrap w:val="0"/>
            <w:vAlign w:val="center"/>
          </w:tcPr>
          <w:p w14:paraId="39B8439A">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万元</w:t>
            </w:r>
          </w:p>
        </w:tc>
        <w:tc>
          <w:tcPr>
            <w:tcW w:w="1127" w:type="dxa"/>
            <w:noWrap w:val="0"/>
            <w:vAlign w:val="center"/>
          </w:tcPr>
          <w:p w14:paraId="1200EAE6">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Y≥5000</w:t>
            </w:r>
          </w:p>
        </w:tc>
        <w:tc>
          <w:tcPr>
            <w:tcW w:w="1705" w:type="dxa"/>
            <w:noWrap w:val="0"/>
            <w:vAlign w:val="center"/>
          </w:tcPr>
          <w:p w14:paraId="0276E9F2">
            <w:pPr>
              <w:widowControl/>
              <w:spacing w:line="240" w:lineRule="auto"/>
              <w:ind w:left="1" w:leftChars="-51" w:hanging="108" w:hangingChars="60"/>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1000≤Y＜5000</w:t>
            </w:r>
          </w:p>
        </w:tc>
        <w:tc>
          <w:tcPr>
            <w:tcW w:w="1429" w:type="dxa"/>
            <w:noWrap w:val="0"/>
            <w:vAlign w:val="center"/>
          </w:tcPr>
          <w:p w14:paraId="568B6638">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500≤Y＜1000</w:t>
            </w:r>
          </w:p>
        </w:tc>
        <w:tc>
          <w:tcPr>
            <w:tcW w:w="994" w:type="dxa"/>
            <w:noWrap w:val="0"/>
            <w:vAlign w:val="center"/>
          </w:tcPr>
          <w:p w14:paraId="1D2C2949">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Y＜500</w:t>
            </w:r>
          </w:p>
        </w:tc>
      </w:tr>
      <w:tr w14:paraId="7CA4D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2118" w:type="dxa"/>
            <w:vMerge w:val="restart"/>
            <w:noWrap w:val="0"/>
            <w:vAlign w:val="center"/>
          </w:tcPr>
          <w:p w14:paraId="1FCE446D">
            <w:pPr>
              <w:widowControl/>
              <w:spacing w:line="240" w:lineRule="auto"/>
              <w:jc w:val="left"/>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租赁和商务服务业</w:t>
            </w:r>
          </w:p>
        </w:tc>
        <w:tc>
          <w:tcPr>
            <w:tcW w:w="1372" w:type="dxa"/>
            <w:noWrap w:val="0"/>
            <w:vAlign w:val="center"/>
          </w:tcPr>
          <w:p w14:paraId="36FDEA9E">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从业人员(X)</w:t>
            </w:r>
          </w:p>
        </w:tc>
        <w:tc>
          <w:tcPr>
            <w:tcW w:w="710" w:type="dxa"/>
            <w:noWrap w:val="0"/>
            <w:vAlign w:val="center"/>
          </w:tcPr>
          <w:p w14:paraId="1FDF431A">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人</w:t>
            </w:r>
          </w:p>
        </w:tc>
        <w:tc>
          <w:tcPr>
            <w:tcW w:w="1127" w:type="dxa"/>
            <w:noWrap w:val="0"/>
            <w:vAlign w:val="center"/>
          </w:tcPr>
          <w:p w14:paraId="118BA35A">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X≥300</w:t>
            </w:r>
          </w:p>
        </w:tc>
        <w:tc>
          <w:tcPr>
            <w:tcW w:w="1705" w:type="dxa"/>
            <w:noWrap w:val="0"/>
            <w:vAlign w:val="center"/>
          </w:tcPr>
          <w:p w14:paraId="7273EF9B">
            <w:pPr>
              <w:widowControl/>
              <w:spacing w:line="240" w:lineRule="auto"/>
              <w:ind w:left="1" w:leftChars="-51" w:hanging="108" w:hangingChars="60"/>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100≤X＜300</w:t>
            </w:r>
          </w:p>
        </w:tc>
        <w:tc>
          <w:tcPr>
            <w:tcW w:w="1429" w:type="dxa"/>
            <w:noWrap w:val="0"/>
            <w:vAlign w:val="center"/>
          </w:tcPr>
          <w:p w14:paraId="65EF4381">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10≤X＜100</w:t>
            </w:r>
          </w:p>
        </w:tc>
        <w:tc>
          <w:tcPr>
            <w:tcW w:w="994" w:type="dxa"/>
            <w:noWrap w:val="0"/>
            <w:vAlign w:val="center"/>
          </w:tcPr>
          <w:p w14:paraId="35855909">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X＜10</w:t>
            </w:r>
          </w:p>
        </w:tc>
      </w:tr>
      <w:tr w14:paraId="3F607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2118" w:type="dxa"/>
            <w:vMerge w:val="continue"/>
            <w:noWrap w:val="0"/>
            <w:vAlign w:val="center"/>
          </w:tcPr>
          <w:p w14:paraId="158466D1">
            <w:pPr>
              <w:widowControl/>
              <w:spacing w:line="240" w:lineRule="auto"/>
              <w:jc w:val="left"/>
              <w:rPr>
                <w:rFonts w:ascii="宋体" w:hAnsi="宋体" w:cs="宋体"/>
                <w:color w:val="000000"/>
                <w:kern w:val="0"/>
                <w:sz w:val="18"/>
                <w:szCs w:val="18"/>
                <w:highlight w:val="none"/>
                <w:shd w:val="clear" w:color="auto" w:fill="auto"/>
              </w:rPr>
            </w:pPr>
          </w:p>
        </w:tc>
        <w:tc>
          <w:tcPr>
            <w:tcW w:w="1372" w:type="dxa"/>
            <w:noWrap w:val="0"/>
            <w:vAlign w:val="center"/>
          </w:tcPr>
          <w:p w14:paraId="4430B1E0">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资产总额(Z)</w:t>
            </w:r>
          </w:p>
        </w:tc>
        <w:tc>
          <w:tcPr>
            <w:tcW w:w="710" w:type="dxa"/>
            <w:noWrap w:val="0"/>
            <w:vAlign w:val="center"/>
          </w:tcPr>
          <w:p w14:paraId="1EADAC4F">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万元</w:t>
            </w:r>
          </w:p>
        </w:tc>
        <w:tc>
          <w:tcPr>
            <w:tcW w:w="1127" w:type="dxa"/>
            <w:noWrap w:val="0"/>
            <w:vAlign w:val="center"/>
          </w:tcPr>
          <w:p w14:paraId="6C7FCB5F">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Z≥120000</w:t>
            </w:r>
          </w:p>
        </w:tc>
        <w:tc>
          <w:tcPr>
            <w:tcW w:w="1705" w:type="dxa"/>
            <w:noWrap w:val="0"/>
            <w:vAlign w:val="center"/>
          </w:tcPr>
          <w:p w14:paraId="08A62B07">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8000≤Z＜120000</w:t>
            </w:r>
          </w:p>
        </w:tc>
        <w:tc>
          <w:tcPr>
            <w:tcW w:w="1429" w:type="dxa"/>
            <w:noWrap w:val="0"/>
            <w:vAlign w:val="center"/>
          </w:tcPr>
          <w:p w14:paraId="22AEE488">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100≤Z＜8000</w:t>
            </w:r>
          </w:p>
        </w:tc>
        <w:tc>
          <w:tcPr>
            <w:tcW w:w="994" w:type="dxa"/>
            <w:noWrap w:val="0"/>
            <w:vAlign w:val="center"/>
          </w:tcPr>
          <w:p w14:paraId="2BA1A466">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Z＜100</w:t>
            </w:r>
          </w:p>
        </w:tc>
      </w:tr>
      <w:tr w14:paraId="1B5E3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jc w:val="center"/>
        </w:trPr>
        <w:tc>
          <w:tcPr>
            <w:tcW w:w="2118" w:type="dxa"/>
            <w:noWrap w:val="0"/>
            <w:vAlign w:val="center"/>
          </w:tcPr>
          <w:p w14:paraId="1894420F">
            <w:pPr>
              <w:widowControl/>
              <w:spacing w:line="240" w:lineRule="auto"/>
              <w:jc w:val="left"/>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其他未列明行业 *</w:t>
            </w:r>
          </w:p>
        </w:tc>
        <w:tc>
          <w:tcPr>
            <w:tcW w:w="1372" w:type="dxa"/>
            <w:noWrap w:val="0"/>
            <w:vAlign w:val="center"/>
          </w:tcPr>
          <w:p w14:paraId="71606650">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从业人员(X)</w:t>
            </w:r>
          </w:p>
        </w:tc>
        <w:tc>
          <w:tcPr>
            <w:tcW w:w="710" w:type="dxa"/>
            <w:noWrap w:val="0"/>
            <w:vAlign w:val="center"/>
          </w:tcPr>
          <w:p w14:paraId="5863FF60">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人</w:t>
            </w:r>
          </w:p>
        </w:tc>
        <w:tc>
          <w:tcPr>
            <w:tcW w:w="1127" w:type="dxa"/>
            <w:noWrap w:val="0"/>
            <w:vAlign w:val="center"/>
          </w:tcPr>
          <w:p w14:paraId="3A5101DC">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X≥300</w:t>
            </w:r>
          </w:p>
        </w:tc>
        <w:tc>
          <w:tcPr>
            <w:tcW w:w="1705" w:type="dxa"/>
            <w:noWrap w:val="0"/>
            <w:vAlign w:val="center"/>
          </w:tcPr>
          <w:p w14:paraId="108311F7">
            <w:pPr>
              <w:widowControl/>
              <w:spacing w:line="240" w:lineRule="auto"/>
              <w:ind w:left="1" w:leftChars="-51" w:hanging="108" w:hangingChars="60"/>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100≤X＜300</w:t>
            </w:r>
          </w:p>
        </w:tc>
        <w:tc>
          <w:tcPr>
            <w:tcW w:w="1429" w:type="dxa"/>
            <w:noWrap w:val="0"/>
            <w:vAlign w:val="center"/>
          </w:tcPr>
          <w:p w14:paraId="1FCCFBEC">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10≤X＜100</w:t>
            </w:r>
          </w:p>
        </w:tc>
        <w:tc>
          <w:tcPr>
            <w:tcW w:w="994" w:type="dxa"/>
            <w:noWrap w:val="0"/>
            <w:vAlign w:val="center"/>
          </w:tcPr>
          <w:p w14:paraId="23499E5F">
            <w:pPr>
              <w:widowControl/>
              <w:spacing w:line="240" w:lineRule="auto"/>
              <w:jc w:val="center"/>
              <w:rPr>
                <w:rFonts w:ascii="宋体" w:hAnsi="宋体" w:cs="宋体"/>
                <w:color w:val="000000"/>
                <w:kern w:val="0"/>
                <w:sz w:val="18"/>
                <w:szCs w:val="18"/>
                <w:highlight w:val="none"/>
                <w:shd w:val="clear" w:color="auto" w:fill="auto"/>
              </w:rPr>
            </w:pPr>
            <w:r>
              <w:rPr>
                <w:rFonts w:hint="eastAsia" w:ascii="宋体" w:hAnsi="宋体" w:cs="宋体"/>
                <w:color w:val="000000"/>
                <w:kern w:val="0"/>
                <w:sz w:val="18"/>
                <w:szCs w:val="18"/>
                <w:highlight w:val="none"/>
                <w:shd w:val="clear" w:color="auto" w:fill="auto"/>
              </w:rPr>
              <w:t>X＜10</w:t>
            </w:r>
          </w:p>
        </w:tc>
      </w:tr>
    </w:tbl>
    <w:p w14:paraId="2F2C4354">
      <w:pPr>
        <w:widowControl/>
        <w:spacing w:line="460" w:lineRule="exact"/>
        <w:rPr>
          <w:rFonts w:ascii="宋体" w:hAnsi="宋体" w:cs="宋体"/>
          <w:color w:val="000000"/>
          <w:spacing w:val="8"/>
          <w:kern w:val="0"/>
          <w:szCs w:val="21"/>
          <w:highlight w:val="none"/>
          <w:shd w:val="clear" w:color="auto" w:fill="auto"/>
        </w:rPr>
      </w:pPr>
      <w:r>
        <w:rPr>
          <w:rFonts w:hint="eastAsia" w:ascii="宋体" w:hAnsi="宋体" w:cs="宋体"/>
          <w:color w:val="000000"/>
          <w:spacing w:val="8"/>
          <w:kern w:val="0"/>
          <w:szCs w:val="21"/>
          <w:highlight w:val="none"/>
          <w:shd w:val="clear" w:color="auto" w:fill="auto"/>
        </w:rPr>
        <w:t>说明：</w:t>
      </w:r>
    </w:p>
    <w:p w14:paraId="4DFAAB85">
      <w:pPr>
        <w:pStyle w:val="20"/>
        <w:adjustRightInd w:val="0"/>
        <w:spacing w:line="460" w:lineRule="exact"/>
        <w:ind w:firstLine="452" w:firstLineChars="200"/>
        <w:contextualSpacing/>
        <w:rPr>
          <w:rFonts w:hAnsi="宋体" w:cs="宋体"/>
          <w:color w:val="000000"/>
          <w:spacing w:val="8"/>
          <w:kern w:val="0"/>
          <w:szCs w:val="21"/>
          <w:highlight w:val="none"/>
          <w:shd w:val="clear" w:color="auto" w:fill="auto"/>
        </w:rPr>
      </w:pPr>
      <w:r>
        <w:rPr>
          <w:rFonts w:hint="eastAsia" w:hAnsi="宋体" w:cs="宋体"/>
          <w:color w:val="000000"/>
          <w:spacing w:val="8"/>
          <w:kern w:val="0"/>
          <w:szCs w:val="21"/>
          <w:highlight w:val="none"/>
          <w:shd w:val="clear" w:color="auto" w:fill="auto"/>
        </w:rPr>
        <w:t>1.大型、中型和小型企业须同时满足所列指标的下限，否则下划一档；微型企业只须满足所列指标中的一项即可。</w:t>
      </w:r>
    </w:p>
    <w:p w14:paraId="324C0909">
      <w:pPr>
        <w:pStyle w:val="20"/>
        <w:adjustRightInd w:val="0"/>
        <w:spacing w:line="460" w:lineRule="exact"/>
        <w:ind w:firstLine="452" w:firstLineChars="200"/>
        <w:contextualSpacing/>
        <w:rPr>
          <w:rFonts w:hAnsi="宋体" w:cs="宋体"/>
          <w:color w:val="000000"/>
          <w:spacing w:val="8"/>
          <w:kern w:val="0"/>
          <w:szCs w:val="21"/>
          <w:highlight w:val="none"/>
          <w:shd w:val="clear" w:color="auto" w:fill="auto"/>
        </w:rPr>
      </w:pPr>
      <w:r>
        <w:rPr>
          <w:rFonts w:hint="eastAsia" w:hAnsi="宋体" w:cs="宋体"/>
          <w:color w:val="000000"/>
          <w:spacing w:val="8"/>
          <w:kern w:val="0"/>
          <w:szCs w:val="21"/>
          <w:highlight w:val="none"/>
          <w:shd w:val="clear" w:color="auto" w:fill="auto"/>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63E78FE">
      <w:pPr>
        <w:pStyle w:val="20"/>
        <w:spacing w:line="460" w:lineRule="exact"/>
        <w:ind w:firstLine="452" w:firstLineChars="200"/>
        <w:rPr>
          <w:rFonts w:hAnsi="宋体" w:cs="宋体"/>
          <w:color w:val="000000"/>
          <w:spacing w:val="8"/>
          <w:kern w:val="0"/>
          <w:sz w:val="24"/>
          <w:szCs w:val="24"/>
          <w:highlight w:val="none"/>
          <w:shd w:val="clear" w:color="auto" w:fill="auto"/>
        </w:rPr>
      </w:pPr>
      <w:r>
        <w:rPr>
          <w:rFonts w:hint="eastAsia" w:hAnsi="宋体" w:cs="宋体"/>
          <w:color w:val="000000"/>
          <w:spacing w:val="8"/>
          <w:kern w:val="0"/>
          <w:szCs w:val="21"/>
          <w:highlight w:val="none"/>
          <w:shd w:val="clear" w:color="auto" w:fill="auto"/>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C4B1B4D">
      <w:pPr>
        <w:spacing w:line="460" w:lineRule="exact"/>
        <w:rPr>
          <w:rFonts w:ascii="宋体" w:hAnsi="宋体" w:cs="宋体"/>
          <w:color w:val="000000"/>
          <w:sz w:val="32"/>
          <w:szCs w:val="32"/>
          <w:highlight w:val="none"/>
          <w:shd w:val="clear" w:color="auto" w:fill="auto"/>
        </w:rPr>
      </w:pPr>
      <w:r>
        <w:rPr>
          <w:rFonts w:hint="eastAsia" w:ascii="宋体" w:hAnsi="宋体" w:cs="宋体"/>
          <w:color w:val="000000"/>
          <w:sz w:val="32"/>
          <w:szCs w:val="32"/>
          <w:highlight w:val="none"/>
          <w:shd w:val="clear" w:color="auto" w:fill="auto"/>
        </w:rPr>
        <w:br w:type="page"/>
      </w:r>
    </w:p>
    <w:p w14:paraId="121CF874">
      <w:pPr>
        <w:pStyle w:val="2"/>
        <w:spacing w:line="500" w:lineRule="exact"/>
        <w:jc w:val="center"/>
        <w:rPr>
          <w:color w:val="000000"/>
          <w:sz w:val="32"/>
          <w:szCs w:val="32"/>
          <w:highlight w:val="none"/>
          <w:shd w:val="clear" w:color="auto" w:fill="auto"/>
        </w:rPr>
      </w:pPr>
      <w:bookmarkStart w:id="230" w:name="_Toc20844"/>
      <w:bookmarkStart w:id="231" w:name="_Toc10473"/>
      <w:r>
        <w:rPr>
          <w:rFonts w:hint="eastAsia" w:ascii="宋体" w:hAnsi="宋体" w:cs="宋体"/>
          <w:color w:val="000000"/>
          <w:sz w:val="32"/>
          <w:szCs w:val="32"/>
          <w:highlight w:val="none"/>
          <w:shd w:val="clear" w:color="auto" w:fill="auto"/>
        </w:rPr>
        <w:t>第四章  合同条款及格式</w:t>
      </w:r>
      <w:bookmarkEnd w:id="224"/>
      <w:bookmarkEnd w:id="230"/>
      <w:bookmarkEnd w:id="231"/>
    </w:p>
    <w:p w14:paraId="1D2017E1">
      <w:pPr>
        <w:spacing w:line="500" w:lineRule="exact"/>
        <w:jc w:val="left"/>
        <w:rPr>
          <w:rFonts w:ascii="宋体" w:hAnsi="宋体" w:cs="宋体"/>
          <w:bCs/>
          <w:color w:val="000000"/>
          <w:sz w:val="32"/>
          <w:szCs w:val="32"/>
          <w:highlight w:val="none"/>
          <w:shd w:val="clear" w:color="auto" w:fill="auto"/>
        </w:rPr>
      </w:pPr>
      <w:r>
        <w:rPr>
          <w:rFonts w:hint="eastAsia" w:ascii="宋体" w:hAnsi="宋体" w:cs="宋体"/>
          <w:bCs/>
          <w:color w:val="000000"/>
          <w:sz w:val="32"/>
          <w:szCs w:val="32"/>
          <w:highlight w:val="none"/>
          <w:shd w:val="clear" w:color="auto" w:fill="auto"/>
        </w:rPr>
        <w:t xml:space="preserve"> </w:t>
      </w:r>
    </w:p>
    <w:p w14:paraId="6EF3D3AA">
      <w:pPr>
        <w:spacing w:line="500" w:lineRule="exact"/>
        <w:ind w:firstLine="3200" w:firstLineChars="1000"/>
        <w:jc w:val="left"/>
        <w:rPr>
          <w:rFonts w:ascii="宋体" w:hAnsi="宋体" w:cs="宋体"/>
          <w:bCs/>
          <w:color w:val="000000"/>
          <w:sz w:val="32"/>
          <w:szCs w:val="32"/>
          <w:highlight w:val="none"/>
          <w:shd w:val="clear" w:color="auto" w:fill="auto"/>
        </w:rPr>
      </w:pPr>
      <w:r>
        <w:rPr>
          <w:rFonts w:hint="eastAsia" w:ascii="宋体" w:hAnsi="宋体" w:cs="宋体"/>
          <w:bCs/>
          <w:color w:val="000000"/>
          <w:sz w:val="32"/>
          <w:szCs w:val="32"/>
          <w:highlight w:val="none"/>
          <w:shd w:val="clear" w:color="auto" w:fill="auto"/>
        </w:rPr>
        <w:t>（GF—2017—0201）</w:t>
      </w:r>
    </w:p>
    <w:p w14:paraId="64906B82">
      <w:pPr>
        <w:spacing w:line="500" w:lineRule="exact"/>
        <w:jc w:val="center"/>
        <w:rPr>
          <w:rFonts w:ascii="宋体" w:hAnsi="宋体" w:cs="宋体"/>
          <w:b/>
          <w:color w:val="000000"/>
          <w:sz w:val="52"/>
          <w:szCs w:val="52"/>
          <w:highlight w:val="none"/>
          <w:shd w:val="clear" w:color="auto" w:fill="auto"/>
        </w:rPr>
      </w:pPr>
    </w:p>
    <w:p w14:paraId="4FFCD66A">
      <w:pPr>
        <w:spacing w:line="500" w:lineRule="exact"/>
        <w:jc w:val="center"/>
        <w:rPr>
          <w:rFonts w:ascii="宋体" w:hAnsi="宋体" w:cs="宋体"/>
          <w:b/>
          <w:color w:val="000000"/>
          <w:sz w:val="52"/>
          <w:szCs w:val="52"/>
          <w:highlight w:val="none"/>
          <w:shd w:val="clear" w:color="auto" w:fill="auto"/>
        </w:rPr>
      </w:pPr>
    </w:p>
    <w:p w14:paraId="71E891EA">
      <w:pPr>
        <w:spacing w:line="500" w:lineRule="exact"/>
        <w:jc w:val="center"/>
        <w:rPr>
          <w:rFonts w:ascii="宋体" w:hAnsi="宋体" w:cs="宋体"/>
          <w:b/>
          <w:color w:val="000000"/>
          <w:sz w:val="52"/>
          <w:szCs w:val="52"/>
          <w:highlight w:val="none"/>
          <w:shd w:val="clear" w:color="auto" w:fill="auto"/>
        </w:rPr>
      </w:pPr>
    </w:p>
    <w:p w14:paraId="6059B3A3">
      <w:pPr>
        <w:spacing w:line="500" w:lineRule="exact"/>
        <w:jc w:val="center"/>
        <w:rPr>
          <w:rFonts w:ascii="宋体" w:hAnsi="宋体" w:cs="宋体"/>
          <w:b/>
          <w:color w:val="000000"/>
          <w:sz w:val="52"/>
          <w:szCs w:val="52"/>
          <w:highlight w:val="none"/>
          <w:shd w:val="clear" w:color="auto" w:fill="auto"/>
        </w:rPr>
      </w:pPr>
    </w:p>
    <w:p w14:paraId="385331EA">
      <w:pPr>
        <w:spacing w:line="600" w:lineRule="exact"/>
        <w:jc w:val="center"/>
        <w:rPr>
          <w:rFonts w:ascii="宋体" w:hAnsi="宋体" w:cs="宋体"/>
          <w:b/>
          <w:color w:val="000000"/>
          <w:sz w:val="52"/>
          <w:szCs w:val="52"/>
          <w:highlight w:val="none"/>
          <w:shd w:val="clear" w:color="auto" w:fill="auto"/>
        </w:rPr>
      </w:pPr>
      <w:r>
        <w:rPr>
          <w:rFonts w:hint="eastAsia" w:ascii="宋体" w:hAnsi="宋体" w:cs="宋体"/>
          <w:b/>
          <w:color w:val="000000"/>
          <w:sz w:val="52"/>
          <w:szCs w:val="52"/>
          <w:highlight w:val="none"/>
          <w:shd w:val="clear" w:color="auto" w:fill="auto"/>
        </w:rPr>
        <w:t>建设工程施工合同</w:t>
      </w:r>
    </w:p>
    <w:p w14:paraId="264EA859">
      <w:pPr>
        <w:spacing w:line="600" w:lineRule="exact"/>
        <w:jc w:val="center"/>
        <w:rPr>
          <w:rFonts w:ascii="宋体" w:hAnsi="宋体" w:cs="宋体"/>
          <w:b/>
          <w:color w:val="000000"/>
          <w:sz w:val="52"/>
          <w:szCs w:val="52"/>
          <w:highlight w:val="none"/>
          <w:shd w:val="clear" w:color="auto" w:fill="auto"/>
        </w:rPr>
      </w:pPr>
      <w:r>
        <w:rPr>
          <w:rFonts w:hint="eastAsia" w:ascii="宋体" w:hAnsi="宋体" w:cs="宋体"/>
          <w:b/>
          <w:color w:val="000000"/>
          <w:sz w:val="32"/>
          <w:szCs w:val="32"/>
          <w:highlight w:val="none"/>
          <w:shd w:val="clear" w:color="auto" w:fill="auto"/>
        </w:rPr>
        <w:t>（示范文本）</w:t>
      </w:r>
    </w:p>
    <w:p w14:paraId="63431EDD">
      <w:pPr>
        <w:spacing w:line="500" w:lineRule="exact"/>
        <w:jc w:val="center"/>
        <w:rPr>
          <w:rFonts w:ascii="宋体" w:hAnsi="宋体" w:cs="宋体"/>
          <w:b/>
          <w:color w:val="000000"/>
          <w:sz w:val="52"/>
          <w:szCs w:val="52"/>
          <w:highlight w:val="none"/>
          <w:shd w:val="clear" w:color="auto" w:fill="auto"/>
        </w:rPr>
      </w:pPr>
    </w:p>
    <w:p w14:paraId="156A986F">
      <w:pPr>
        <w:spacing w:line="500" w:lineRule="exact"/>
        <w:jc w:val="center"/>
        <w:rPr>
          <w:rFonts w:ascii="宋体" w:hAnsi="宋体" w:cs="宋体"/>
          <w:b/>
          <w:color w:val="000000"/>
          <w:sz w:val="72"/>
          <w:szCs w:val="72"/>
          <w:highlight w:val="none"/>
          <w:shd w:val="clear" w:color="auto" w:fill="auto"/>
        </w:rPr>
      </w:pPr>
    </w:p>
    <w:p w14:paraId="3624F863">
      <w:pPr>
        <w:spacing w:line="500" w:lineRule="exact"/>
        <w:jc w:val="center"/>
        <w:rPr>
          <w:rFonts w:ascii="宋体" w:hAnsi="宋体" w:cs="宋体"/>
          <w:b/>
          <w:color w:val="000000"/>
          <w:sz w:val="72"/>
          <w:szCs w:val="72"/>
          <w:highlight w:val="none"/>
          <w:shd w:val="clear" w:color="auto" w:fill="auto"/>
        </w:rPr>
      </w:pPr>
    </w:p>
    <w:p w14:paraId="60B10DDB">
      <w:pPr>
        <w:spacing w:line="500" w:lineRule="exact"/>
        <w:rPr>
          <w:rFonts w:ascii="宋体" w:hAnsi="宋体" w:cs="宋体"/>
          <w:b/>
          <w:color w:val="000000"/>
          <w:sz w:val="28"/>
          <w:szCs w:val="28"/>
          <w:highlight w:val="none"/>
          <w:shd w:val="clear" w:color="auto" w:fill="auto"/>
        </w:rPr>
      </w:pPr>
    </w:p>
    <w:p w14:paraId="45C724F2">
      <w:pPr>
        <w:spacing w:line="500" w:lineRule="exact"/>
        <w:rPr>
          <w:rFonts w:ascii="宋体" w:hAnsi="宋体" w:cs="宋体"/>
          <w:b/>
          <w:color w:val="000000"/>
          <w:sz w:val="28"/>
          <w:szCs w:val="28"/>
          <w:highlight w:val="none"/>
          <w:shd w:val="clear" w:color="auto" w:fill="auto"/>
        </w:rPr>
      </w:pPr>
    </w:p>
    <w:p w14:paraId="089D54A2">
      <w:pPr>
        <w:spacing w:line="500" w:lineRule="exact"/>
        <w:rPr>
          <w:rFonts w:ascii="宋体" w:hAnsi="宋体" w:cs="宋体"/>
          <w:b/>
          <w:color w:val="000000"/>
          <w:sz w:val="28"/>
          <w:szCs w:val="28"/>
          <w:highlight w:val="none"/>
          <w:shd w:val="clear" w:color="auto" w:fill="auto"/>
        </w:rPr>
      </w:pPr>
    </w:p>
    <w:p w14:paraId="1C0F94B6">
      <w:pPr>
        <w:spacing w:line="500" w:lineRule="exact"/>
        <w:ind w:right="2719" w:rightChars="1295"/>
        <w:jc w:val="distribute"/>
        <w:rPr>
          <w:rFonts w:ascii="宋体" w:hAnsi="宋体" w:cs="宋体"/>
          <w:b/>
          <w:color w:val="000000"/>
          <w:sz w:val="32"/>
          <w:szCs w:val="28"/>
          <w:highlight w:val="none"/>
          <w:shd w:val="clear" w:color="auto" w:fill="auto"/>
        </w:rPr>
      </w:pPr>
      <w:r>
        <w:rPr>
          <w:rFonts w:ascii="宋体" w:hAnsi="宋体" w:cs="宋体"/>
          <w:color w:val="000000"/>
          <w:highlight w:val="none"/>
          <w:shd w:val="clear" w:color="auto" w:fill="auto"/>
        </w:rPr>
        <mc:AlternateContent>
          <mc:Choice Requires="wps">
            <w:drawing>
              <wp:anchor distT="0" distB="0" distL="114300" distR="114300" simplePos="0" relativeHeight="251659264" behindDoc="0" locked="0" layoutInCell="1" allowOverlap="1">
                <wp:simplePos x="0" y="0"/>
                <wp:positionH relativeFrom="column">
                  <wp:posOffset>4579620</wp:posOffset>
                </wp:positionH>
                <wp:positionV relativeFrom="paragraph">
                  <wp:posOffset>120015</wp:posOffset>
                </wp:positionV>
                <wp:extent cx="638175" cy="457200"/>
                <wp:effectExtent l="4445" t="4445" r="5080" b="14605"/>
                <wp:wrapNone/>
                <wp:docPr id="1" name="文本框 5"/>
                <wp:cNvGraphicFramePr/>
                <a:graphic xmlns:a="http://schemas.openxmlformats.org/drawingml/2006/main">
                  <a:graphicData uri="http://schemas.microsoft.com/office/word/2010/wordprocessingShape">
                    <wps:wsp>
                      <wps:cNvSpPr txBox="1"/>
                      <wps:spPr>
                        <a:xfrm>
                          <a:off x="0" y="0"/>
                          <a:ext cx="638175" cy="457200"/>
                        </a:xfrm>
                        <a:prstGeom prst="rect">
                          <a:avLst/>
                        </a:prstGeom>
                        <a:noFill/>
                        <a:ln w="9525" cap="flat" cmpd="sng">
                          <a:solidFill>
                            <a:srgbClr val="FFFFFF"/>
                          </a:solidFill>
                          <a:prstDash val="solid"/>
                          <a:miter/>
                          <a:headEnd type="none" w="med" len="med"/>
                          <a:tailEnd type="none" w="med" len="med"/>
                        </a:ln>
                        <a:effectLst/>
                      </wps:spPr>
                      <wps:txbx>
                        <w:txbxContent>
                          <w:p w14:paraId="4BC92C66">
                            <w:pPr>
                              <w:rPr>
                                <w:b/>
                                <w:bCs/>
                                <w:sz w:val="32"/>
                              </w:rPr>
                            </w:pPr>
                            <w:r>
                              <w:rPr>
                                <w:rFonts w:hint="eastAsia"/>
                                <w:b/>
                                <w:bCs/>
                                <w:sz w:val="32"/>
                              </w:rPr>
                              <w:t>制定</w:t>
                            </w:r>
                          </w:p>
                        </w:txbxContent>
                      </wps:txbx>
                      <wps:bodyPr wrap="square" upright="1"/>
                    </wps:wsp>
                  </a:graphicData>
                </a:graphic>
              </wp:anchor>
            </w:drawing>
          </mc:Choice>
          <mc:Fallback>
            <w:pict>
              <v:shape id="文本框 5" o:spid="_x0000_s1026" o:spt="202" type="#_x0000_t202" style="position:absolute;left:0pt;margin-left:360.6pt;margin-top:9.45pt;height:36pt;width:50.25pt;z-index:251659264;mso-width-relative:page;mso-height-relative:page;" filled="f" stroked="t" coordsize="21600,21600" o:gfxdata="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puuF9gAAAAJAQAADwAAAAAA&#10;AAABACAAAAAiAAAAZHJzL2Rvd25yZXYueG1sUEsBAhQAFAAAAAgAh07iQDEXgQ0TAgAAKAQAAA4A&#10;AAAAAAAAAQAgAAAAJwEAAGRycy9lMm9Eb2MueG1sUEsFBgAAAAAGAAYAWQEAAKwFAAAAAA==&#10;">
                <v:fill on="f" focussize="0,0"/>
                <v:stroke color="#FFFFFF" joinstyle="miter"/>
                <v:imagedata o:title=""/>
                <o:lock v:ext="edit" aspectratio="f"/>
                <v:textbox>
                  <w:txbxContent>
                    <w:p w14:paraId="4BC92C66">
                      <w:pPr>
                        <w:rPr>
                          <w:b/>
                          <w:bCs/>
                          <w:sz w:val="32"/>
                        </w:rPr>
                      </w:pPr>
                      <w:r>
                        <w:rPr>
                          <w:rFonts w:hint="eastAsia"/>
                          <w:b/>
                          <w:bCs/>
                          <w:sz w:val="32"/>
                        </w:rPr>
                        <w:t>制定</w:t>
                      </w:r>
                    </w:p>
                  </w:txbxContent>
                </v:textbox>
              </v:shape>
            </w:pict>
          </mc:Fallback>
        </mc:AlternateContent>
      </w:r>
      <w:r>
        <w:rPr>
          <w:rFonts w:hint="eastAsia" w:ascii="宋体" w:hAnsi="宋体" w:cs="宋体"/>
          <w:b/>
          <w:color w:val="000000"/>
          <w:sz w:val="32"/>
          <w:szCs w:val="28"/>
          <w:highlight w:val="none"/>
          <w:shd w:val="clear" w:color="auto" w:fill="auto"/>
        </w:rPr>
        <w:t xml:space="preserve">               住房城乡建设部</w:t>
      </w:r>
    </w:p>
    <w:p w14:paraId="63DEEE1D">
      <w:pPr>
        <w:spacing w:line="500" w:lineRule="exact"/>
        <w:ind w:right="2719" w:rightChars="1295"/>
        <w:jc w:val="distribute"/>
        <w:rPr>
          <w:rFonts w:ascii="宋体" w:hAnsi="宋体" w:cs="宋体"/>
          <w:b/>
          <w:color w:val="000000"/>
          <w:sz w:val="32"/>
          <w:szCs w:val="28"/>
          <w:highlight w:val="none"/>
          <w:shd w:val="clear" w:color="auto" w:fill="auto"/>
        </w:rPr>
      </w:pPr>
      <w:r>
        <w:rPr>
          <w:rFonts w:hint="eastAsia" w:ascii="宋体" w:hAnsi="宋体" w:cs="宋体"/>
          <w:b/>
          <w:color w:val="000000"/>
          <w:sz w:val="32"/>
          <w:szCs w:val="28"/>
          <w:highlight w:val="none"/>
          <w:shd w:val="clear" w:color="auto" w:fill="auto"/>
        </w:rPr>
        <w:t xml:space="preserve">               国家工商行政管理总局</w:t>
      </w:r>
    </w:p>
    <w:p w14:paraId="6119EB9F">
      <w:pPr>
        <w:spacing w:line="500" w:lineRule="exact"/>
        <w:rPr>
          <w:rFonts w:ascii="宋体" w:hAnsi="宋体" w:cs="宋体"/>
          <w:b/>
          <w:color w:val="000000"/>
          <w:highlight w:val="none"/>
          <w:shd w:val="clear" w:color="auto" w:fill="auto"/>
        </w:rPr>
      </w:pPr>
    </w:p>
    <w:p w14:paraId="47D1BAEE">
      <w:pPr>
        <w:spacing w:line="400" w:lineRule="exact"/>
        <w:jc w:val="center"/>
        <w:rPr>
          <w:rFonts w:ascii="宋体"/>
          <w:color w:val="000000"/>
          <w:sz w:val="32"/>
          <w:highlight w:val="none"/>
        </w:rPr>
      </w:pPr>
      <w:r>
        <w:rPr>
          <w:rFonts w:hint="eastAsia" w:ascii="宋体" w:hAnsi="宋体" w:cs="宋体"/>
          <w:b/>
          <w:color w:val="000000"/>
          <w:highlight w:val="none"/>
          <w:shd w:val="clear" w:color="auto" w:fill="auto"/>
        </w:rPr>
        <w:br w:type="page"/>
      </w:r>
      <w:bookmarkEnd w:id="225"/>
      <w:bookmarkEnd w:id="226"/>
      <w:bookmarkEnd w:id="227"/>
      <w:bookmarkStart w:id="232" w:name="_Toc256000031"/>
      <w:bookmarkStart w:id="233" w:name="_Toc522201558"/>
      <w:bookmarkStart w:id="234" w:name="_Toc24269"/>
      <w:bookmarkStart w:id="235" w:name="_Toc10014"/>
      <w:r>
        <w:rPr>
          <w:rFonts w:ascii="宋体"/>
          <w:color w:val="000000"/>
          <w:sz w:val="32"/>
          <w:highlight w:val="none"/>
        </w:rPr>
        <w:t>第一部分 合同协议书</w:t>
      </w:r>
      <w:bookmarkEnd w:id="232"/>
      <w:bookmarkEnd w:id="233"/>
    </w:p>
    <w:p w14:paraId="5D61E0FA">
      <w:pPr>
        <w:pStyle w:val="98"/>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rPr>
        <w:t>发包人（全称）：</w:t>
      </w:r>
      <w:r>
        <w:rPr>
          <w:rFonts w:hint="eastAsia" w:ascii="宋体" w:hAnsi="宋体" w:eastAsia="宋体" w:cs="宋体"/>
          <w:color w:val="000000"/>
          <w:sz w:val="21"/>
          <w:szCs w:val="21"/>
          <w:highlight w:val="none"/>
          <w:u w:val="single"/>
          <w:lang w:eastAsia="zh-CN"/>
        </w:rPr>
        <w:t>兴安县第三小学</w:t>
      </w:r>
    </w:p>
    <w:p w14:paraId="24FD5C41">
      <w:pPr>
        <w:pStyle w:val="98"/>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承包人（全称）：</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p>
    <w:p w14:paraId="4577BB23">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w:t>
      </w:r>
      <w:r>
        <w:rPr>
          <w:rFonts w:hint="eastAsia" w:ascii="宋体" w:hAnsi="宋体" w:eastAsia="宋体" w:cs="宋体"/>
          <w:color w:val="000000"/>
          <w:sz w:val="21"/>
          <w:szCs w:val="21"/>
          <w:highlight w:val="none"/>
          <w:lang w:eastAsia="zh-CN"/>
        </w:rPr>
        <w:t>民法典</w:t>
      </w:r>
      <w:r>
        <w:rPr>
          <w:rFonts w:hint="eastAsia" w:ascii="宋体" w:hAnsi="宋体" w:eastAsia="宋体" w:cs="宋体"/>
          <w:color w:val="000000"/>
          <w:sz w:val="21"/>
          <w:szCs w:val="21"/>
          <w:highlight w:val="none"/>
        </w:rPr>
        <w:t>》、《中华人民共和国建筑法》及有关法律规定，遵循平等、自愿、公平和诚实信用的原则，双方就</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bCs/>
          <w:color w:val="000000"/>
          <w:sz w:val="21"/>
          <w:szCs w:val="21"/>
          <w:highlight w:val="none"/>
          <w:u w:val="single"/>
          <w:lang w:eastAsia="zh-CN"/>
        </w:rPr>
        <w:t>兴安县第三小学校园维修改造提升工程项目</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施工及有关事项协商一致，共同达成如下协议：</w:t>
      </w:r>
      <w:bookmarkStart w:id="236" w:name="_Toc351203481"/>
    </w:p>
    <w:p w14:paraId="2CA877F2">
      <w:pPr>
        <w:pStyle w:val="99"/>
        <w:keepNext w:val="0"/>
        <w:keepLines w:val="0"/>
        <w:pageBreakBefore w:val="0"/>
        <w:widowControl w:val="0"/>
        <w:kinsoku/>
        <w:wordWrap/>
        <w:overflowPunct/>
        <w:topLinePunct w:val="0"/>
        <w:autoSpaceDE/>
        <w:autoSpaceDN/>
        <w:bidi w:val="0"/>
        <w:adjustRightInd w:val="0"/>
        <w:snapToGrid w:val="0"/>
        <w:spacing w:line="440" w:lineRule="exact"/>
        <w:ind w:firstLine="422"/>
        <w:textAlignment w:val="auto"/>
        <w:outlineLvl w:val="0"/>
        <w:rPr>
          <w:rFonts w:hint="eastAsia" w:ascii="宋体" w:hAnsi="宋体" w:eastAsia="宋体" w:cs="宋体"/>
          <w:b/>
          <w:color w:val="000000"/>
          <w:sz w:val="21"/>
          <w:szCs w:val="21"/>
          <w:highlight w:val="none"/>
        </w:rPr>
      </w:pPr>
      <w:bookmarkStart w:id="237" w:name="_Toc20764"/>
      <w:bookmarkStart w:id="238" w:name="_Toc406522028"/>
      <w:bookmarkStart w:id="239" w:name="_Toc522201559"/>
      <w:bookmarkStart w:id="240" w:name="_Toc406419153"/>
      <w:r>
        <w:rPr>
          <w:rFonts w:hint="eastAsia" w:ascii="宋体" w:hAnsi="宋体" w:eastAsia="宋体" w:cs="宋体"/>
          <w:b/>
          <w:color w:val="000000"/>
          <w:sz w:val="21"/>
          <w:szCs w:val="21"/>
          <w:highlight w:val="none"/>
        </w:rPr>
        <w:t>一、工程概况</w:t>
      </w:r>
      <w:bookmarkEnd w:id="236"/>
      <w:bookmarkEnd w:id="237"/>
      <w:bookmarkEnd w:id="238"/>
      <w:bookmarkEnd w:id="239"/>
      <w:bookmarkEnd w:id="240"/>
    </w:p>
    <w:p w14:paraId="4647748A">
      <w:pPr>
        <w:pStyle w:val="98"/>
        <w:keepNext w:val="0"/>
        <w:keepLines w:val="0"/>
        <w:pageBreakBefore w:val="0"/>
        <w:widowControl w:val="0"/>
        <w:kinsoku/>
        <w:wordWrap/>
        <w:overflowPunct/>
        <w:topLinePunct w:val="0"/>
        <w:autoSpaceDE/>
        <w:autoSpaceDN/>
        <w:bidi w:val="0"/>
        <w:adjustRightInd w:val="0"/>
        <w:snapToGrid w:val="0"/>
        <w:spacing w:line="440" w:lineRule="exact"/>
        <w:ind w:firstLine="459"/>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1.工程名称：</w:t>
      </w:r>
      <w:r>
        <w:rPr>
          <w:rFonts w:hint="eastAsia" w:ascii="宋体" w:hAnsi="宋体" w:eastAsia="宋体" w:cs="宋体"/>
          <w:bCs/>
          <w:color w:val="000000"/>
          <w:sz w:val="21"/>
          <w:szCs w:val="21"/>
          <w:highlight w:val="none"/>
          <w:u w:val="single"/>
          <w:lang w:val="en-US" w:eastAsia="zh-CN"/>
        </w:rPr>
        <w:t xml:space="preserve"> </w:t>
      </w:r>
      <w:r>
        <w:rPr>
          <w:rFonts w:hint="eastAsia" w:ascii="宋体" w:hAnsi="宋体" w:eastAsia="宋体" w:cs="宋体"/>
          <w:bCs/>
          <w:color w:val="000000"/>
          <w:sz w:val="21"/>
          <w:szCs w:val="21"/>
          <w:highlight w:val="none"/>
          <w:u w:val="single"/>
          <w:lang w:eastAsia="zh-CN"/>
        </w:rPr>
        <w:t>兴安县第三小学校园维修改造提升工程项目</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5B057F3">
      <w:pPr>
        <w:pStyle w:val="98"/>
        <w:keepNext w:val="0"/>
        <w:keepLines w:val="0"/>
        <w:pageBreakBefore w:val="0"/>
        <w:widowControl w:val="0"/>
        <w:kinsoku/>
        <w:wordWrap/>
        <w:overflowPunct/>
        <w:topLinePunct w:val="0"/>
        <w:autoSpaceDE/>
        <w:autoSpaceDN/>
        <w:bidi w:val="0"/>
        <w:adjustRightInd w:val="0"/>
        <w:snapToGrid w:val="0"/>
        <w:spacing w:line="440" w:lineRule="exact"/>
        <w:ind w:firstLine="459"/>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2.工程地点：</w:t>
      </w:r>
      <w:r>
        <w:rPr>
          <w:rFonts w:hint="eastAsia" w:ascii="宋体" w:hAnsi="宋体" w:eastAsia="宋体" w:cs="宋体"/>
          <w:color w:val="000000"/>
          <w:sz w:val="21"/>
          <w:szCs w:val="21"/>
          <w:highlight w:val="none"/>
          <w:u w:val="single"/>
        </w:rPr>
        <w:t xml:space="preserve"> </w:t>
      </w:r>
      <w:r>
        <w:rPr>
          <w:rFonts w:hint="eastAsia" w:ascii="宋体" w:hAnsi="宋体" w:eastAsia="宋体" w:cs="宋体"/>
          <w:bCs/>
          <w:color w:val="000000"/>
          <w:sz w:val="21"/>
          <w:szCs w:val="21"/>
          <w:highlight w:val="none"/>
          <w:u w:val="single"/>
        </w:rPr>
        <w:t>广西桂林市</w:t>
      </w:r>
      <w:r>
        <w:rPr>
          <w:rFonts w:hint="eastAsia" w:ascii="宋体" w:hAnsi="宋体" w:eastAsia="宋体" w:cs="宋体"/>
          <w:bCs/>
          <w:color w:val="000000"/>
          <w:sz w:val="21"/>
          <w:szCs w:val="21"/>
          <w:highlight w:val="none"/>
          <w:u w:val="single"/>
          <w:lang w:val="en-US" w:eastAsia="zh-CN"/>
        </w:rPr>
        <w:t>兴安县</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3BAFD6B">
      <w:pPr>
        <w:pStyle w:val="98"/>
        <w:keepNext w:val="0"/>
        <w:keepLines w:val="0"/>
        <w:pageBreakBefore w:val="0"/>
        <w:widowControl w:val="0"/>
        <w:kinsoku/>
        <w:wordWrap/>
        <w:overflowPunct/>
        <w:topLinePunct w:val="0"/>
        <w:autoSpaceDE/>
        <w:autoSpaceDN/>
        <w:bidi w:val="0"/>
        <w:adjustRightInd w:val="0"/>
        <w:snapToGrid w:val="0"/>
        <w:spacing w:line="440" w:lineRule="exact"/>
        <w:ind w:firstLine="459"/>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.工程内容：</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shd w:val="clear" w:color="auto" w:fill="auto"/>
        </w:rPr>
        <w:t>详见施工图及工程量清单</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2F64C0C">
      <w:pPr>
        <w:pStyle w:val="98"/>
        <w:keepNext w:val="0"/>
        <w:keepLines w:val="0"/>
        <w:pageBreakBefore w:val="0"/>
        <w:widowControl w:val="0"/>
        <w:kinsoku/>
        <w:wordWrap/>
        <w:overflowPunct/>
        <w:topLinePunct w:val="0"/>
        <w:autoSpaceDE/>
        <w:autoSpaceDN/>
        <w:bidi w:val="0"/>
        <w:adjustRightInd w:val="0"/>
        <w:snapToGrid w:val="0"/>
        <w:spacing w:line="440" w:lineRule="exact"/>
        <w:ind w:firstLine="459"/>
        <w:textAlignment w:val="auto"/>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.工程承包范围：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shd w:val="clear" w:color="auto" w:fill="auto"/>
        </w:rPr>
        <w:t>详见施工图及工程量清单</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CAF7822">
      <w:pPr>
        <w:pStyle w:val="99"/>
        <w:keepNext w:val="0"/>
        <w:keepLines w:val="0"/>
        <w:pageBreakBefore w:val="0"/>
        <w:widowControl w:val="0"/>
        <w:kinsoku/>
        <w:wordWrap/>
        <w:overflowPunct/>
        <w:topLinePunct w:val="0"/>
        <w:autoSpaceDE/>
        <w:autoSpaceDN/>
        <w:bidi w:val="0"/>
        <w:adjustRightInd w:val="0"/>
        <w:snapToGrid w:val="0"/>
        <w:spacing w:line="440" w:lineRule="exact"/>
        <w:ind w:firstLine="422"/>
        <w:textAlignment w:val="auto"/>
        <w:outlineLvl w:val="0"/>
        <w:rPr>
          <w:rFonts w:hint="eastAsia" w:ascii="宋体" w:hAnsi="宋体" w:eastAsia="宋体" w:cs="宋体"/>
          <w:b/>
          <w:color w:val="000000"/>
          <w:sz w:val="21"/>
          <w:szCs w:val="21"/>
          <w:highlight w:val="none"/>
        </w:rPr>
      </w:pPr>
      <w:bookmarkStart w:id="241" w:name="_Toc406522029"/>
      <w:bookmarkStart w:id="242" w:name="_Toc351203482"/>
      <w:bookmarkStart w:id="243" w:name="_Toc349"/>
      <w:bookmarkStart w:id="244" w:name="_Toc406419154"/>
      <w:bookmarkStart w:id="245" w:name="_Toc522201560"/>
      <w:r>
        <w:rPr>
          <w:rFonts w:hint="eastAsia" w:ascii="宋体" w:hAnsi="宋体" w:eastAsia="宋体" w:cs="宋体"/>
          <w:b/>
          <w:color w:val="000000"/>
          <w:sz w:val="21"/>
          <w:szCs w:val="21"/>
          <w:highlight w:val="none"/>
        </w:rPr>
        <w:t>二、合同工期</w:t>
      </w:r>
      <w:bookmarkEnd w:id="241"/>
      <w:bookmarkEnd w:id="242"/>
      <w:bookmarkEnd w:id="243"/>
      <w:bookmarkEnd w:id="244"/>
      <w:bookmarkEnd w:id="245"/>
    </w:p>
    <w:p w14:paraId="6E1DF699">
      <w:pPr>
        <w:pStyle w:val="98"/>
        <w:keepNext w:val="0"/>
        <w:keepLines w:val="0"/>
        <w:pageBreakBefore w:val="0"/>
        <w:widowControl w:val="0"/>
        <w:kinsoku/>
        <w:wordWrap/>
        <w:overflowPunct/>
        <w:topLinePunct w:val="0"/>
        <w:autoSpaceDE/>
        <w:autoSpaceDN/>
        <w:bidi w:val="0"/>
        <w:adjustRightInd w:val="0"/>
        <w:snapToGrid w:val="0"/>
        <w:spacing w:line="440" w:lineRule="exact"/>
        <w:ind w:firstLine="459"/>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计划开工日期：</w:t>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rPr>
        <w:t>日。（实际开工日期以开工令为准）</w:t>
      </w:r>
    </w:p>
    <w:p w14:paraId="51E8C739">
      <w:pPr>
        <w:pStyle w:val="98"/>
        <w:keepNext w:val="0"/>
        <w:keepLines w:val="0"/>
        <w:pageBreakBefore w:val="0"/>
        <w:widowControl w:val="0"/>
        <w:kinsoku/>
        <w:wordWrap/>
        <w:overflowPunct/>
        <w:topLinePunct w:val="0"/>
        <w:autoSpaceDE/>
        <w:autoSpaceDN/>
        <w:bidi w:val="0"/>
        <w:adjustRightInd w:val="0"/>
        <w:snapToGrid w:val="0"/>
        <w:spacing w:line="440" w:lineRule="exact"/>
        <w:ind w:firstLine="459"/>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计划竣工日期：</w:t>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rPr>
        <w:t>日。</w:t>
      </w:r>
    </w:p>
    <w:p w14:paraId="0D39E54B">
      <w:pPr>
        <w:pStyle w:val="98"/>
        <w:keepNext w:val="0"/>
        <w:keepLines w:val="0"/>
        <w:pageBreakBefore w:val="0"/>
        <w:widowControl w:val="0"/>
        <w:kinsoku/>
        <w:wordWrap/>
        <w:overflowPunct/>
        <w:topLinePunct w:val="0"/>
        <w:autoSpaceDE/>
        <w:autoSpaceDN/>
        <w:bidi w:val="0"/>
        <w:adjustRightInd w:val="0"/>
        <w:snapToGrid w:val="0"/>
        <w:spacing w:line="440" w:lineRule="exact"/>
        <w:ind w:firstLine="459"/>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工期总日历天数：</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cs="宋体"/>
          <w:color w:val="000000"/>
          <w:sz w:val="21"/>
          <w:szCs w:val="21"/>
          <w:highlight w:val="none"/>
          <w:u w:val="single"/>
          <w:lang w:val="en-US" w:eastAsia="zh-CN"/>
        </w:rPr>
        <w:t>50</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none"/>
          <w:lang w:val="en-US" w:eastAsia="zh-CN"/>
        </w:rPr>
        <w:t>日历天</w:t>
      </w:r>
      <w:r>
        <w:rPr>
          <w:rFonts w:hint="eastAsia" w:ascii="宋体" w:hAnsi="宋体" w:eastAsia="宋体" w:cs="宋体"/>
          <w:color w:val="000000"/>
          <w:sz w:val="21"/>
          <w:szCs w:val="21"/>
          <w:highlight w:val="none"/>
        </w:rPr>
        <w:t>。工期总日历天数与根据前述计划开竣工日期计算的工期天数不一致的，以工期总日历天数为准。</w:t>
      </w:r>
    </w:p>
    <w:p w14:paraId="665CF7F2">
      <w:pPr>
        <w:pStyle w:val="99"/>
        <w:keepNext w:val="0"/>
        <w:keepLines w:val="0"/>
        <w:pageBreakBefore w:val="0"/>
        <w:widowControl w:val="0"/>
        <w:kinsoku/>
        <w:wordWrap/>
        <w:overflowPunct/>
        <w:topLinePunct w:val="0"/>
        <w:autoSpaceDE/>
        <w:autoSpaceDN/>
        <w:bidi w:val="0"/>
        <w:adjustRightInd w:val="0"/>
        <w:snapToGrid w:val="0"/>
        <w:spacing w:line="440" w:lineRule="exact"/>
        <w:ind w:firstLine="422"/>
        <w:textAlignment w:val="auto"/>
        <w:outlineLvl w:val="0"/>
        <w:rPr>
          <w:rFonts w:hint="eastAsia" w:ascii="宋体" w:hAnsi="宋体" w:eastAsia="宋体" w:cs="宋体"/>
          <w:b/>
          <w:color w:val="000000"/>
          <w:sz w:val="21"/>
          <w:szCs w:val="21"/>
          <w:highlight w:val="none"/>
        </w:rPr>
      </w:pPr>
      <w:bookmarkStart w:id="246" w:name="_Toc406522030"/>
      <w:bookmarkStart w:id="247" w:name="_Toc522201561"/>
      <w:bookmarkStart w:id="248" w:name="_Toc15140"/>
      <w:bookmarkStart w:id="249" w:name="_Toc351203483"/>
      <w:bookmarkStart w:id="250" w:name="_Toc406419155"/>
      <w:r>
        <w:rPr>
          <w:rFonts w:hint="eastAsia" w:ascii="宋体" w:hAnsi="宋体" w:eastAsia="宋体" w:cs="宋体"/>
          <w:b/>
          <w:color w:val="000000"/>
          <w:sz w:val="21"/>
          <w:szCs w:val="21"/>
          <w:highlight w:val="none"/>
        </w:rPr>
        <w:t>三、质量标准</w:t>
      </w:r>
      <w:bookmarkEnd w:id="246"/>
      <w:bookmarkEnd w:id="247"/>
      <w:bookmarkEnd w:id="248"/>
      <w:bookmarkEnd w:id="249"/>
      <w:bookmarkEnd w:id="250"/>
    </w:p>
    <w:p w14:paraId="78C086E4">
      <w:pPr>
        <w:pStyle w:val="98"/>
        <w:keepNext w:val="0"/>
        <w:keepLines w:val="0"/>
        <w:pageBreakBefore w:val="0"/>
        <w:widowControl w:val="0"/>
        <w:kinsoku/>
        <w:wordWrap/>
        <w:overflowPunct/>
        <w:topLinePunct w:val="0"/>
        <w:autoSpaceDE/>
        <w:autoSpaceDN/>
        <w:bidi w:val="0"/>
        <w:adjustRightInd w:val="0"/>
        <w:snapToGrid w:val="0"/>
        <w:spacing w:line="440" w:lineRule="exact"/>
        <w:ind w:firstLine="459"/>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工程质量符合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shd w:val="clear" w:color="auto" w:fill="auto"/>
        </w:rPr>
        <w:t>国家现行有关工程施工质量验收规范合格标准</w:t>
      </w:r>
      <w:r>
        <w:rPr>
          <w:rFonts w:hint="eastAsia" w:ascii="宋体" w:hAnsi="宋体" w:eastAsia="宋体" w:cs="宋体"/>
          <w:color w:val="000000"/>
          <w:sz w:val="21"/>
          <w:szCs w:val="21"/>
          <w:highlight w:val="none"/>
        </w:rPr>
        <w:t>。</w:t>
      </w:r>
    </w:p>
    <w:p w14:paraId="7C043EE3">
      <w:pPr>
        <w:pStyle w:val="99"/>
        <w:keepNext w:val="0"/>
        <w:keepLines w:val="0"/>
        <w:pageBreakBefore w:val="0"/>
        <w:widowControl w:val="0"/>
        <w:kinsoku/>
        <w:wordWrap/>
        <w:overflowPunct/>
        <w:topLinePunct w:val="0"/>
        <w:autoSpaceDE/>
        <w:autoSpaceDN/>
        <w:bidi w:val="0"/>
        <w:adjustRightInd w:val="0"/>
        <w:snapToGrid w:val="0"/>
        <w:spacing w:line="440" w:lineRule="exact"/>
        <w:ind w:firstLine="422"/>
        <w:textAlignment w:val="auto"/>
        <w:outlineLvl w:val="0"/>
        <w:rPr>
          <w:rFonts w:hint="eastAsia" w:ascii="宋体" w:hAnsi="宋体" w:eastAsia="宋体" w:cs="宋体"/>
          <w:b/>
          <w:color w:val="000000"/>
          <w:sz w:val="21"/>
          <w:szCs w:val="21"/>
          <w:highlight w:val="none"/>
        </w:rPr>
      </w:pPr>
      <w:bookmarkStart w:id="251" w:name="_Toc351203484"/>
      <w:bookmarkStart w:id="252" w:name="_Toc8031"/>
      <w:bookmarkStart w:id="253" w:name="_Toc522201562"/>
      <w:bookmarkStart w:id="254" w:name="_Toc406522031"/>
      <w:bookmarkStart w:id="255" w:name="_Toc406419156"/>
      <w:r>
        <w:rPr>
          <w:rFonts w:hint="eastAsia" w:ascii="宋体" w:hAnsi="宋体" w:eastAsia="宋体" w:cs="宋体"/>
          <w:b/>
          <w:color w:val="000000"/>
          <w:sz w:val="21"/>
          <w:szCs w:val="21"/>
          <w:highlight w:val="none"/>
        </w:rPr>
        <w:t>四、签约合同价与合同价格形式</w:t>
      </w:r>
      <w:bookmarkEnd w:id="251"/>
      <w:bookmarkEnd w:id="252"/>
      <w:bookmarkEnd w:id="253"/>
      <w:bookmarkEnd w:id="254"/>
      <w:bookmarkEnd w:id="255"/>
    </w:p>
    <w:p w14:paraId="2C552CBE">
      <w:pPr>
        <w:pStyle w:val="98"/>
        <w:keepNext w:val="0"/>
        <w:keepLines w:val="0"/>
        <w:pageBreakBefore w:val="0"/>
        <w:widowControl w:val="0"/>
        <w:kinsoku/>
        <w:wordWrap/>
        <w:overflowPunct/>
        <w:topLinePunct w:val="0"/>
        <w:autoSpaceDE/>
        <w:autoSpaceDN/>
        <w:bidi w:val="0"/>
        <w:adjustRightInd w:val="0"/>
        <w:snapToGrid w:val="0"/>
        <w:spacing w:line="440" w:lineRule="exact"/>
        <w:ind w:firstLine="459"/>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 签约合同价为：</w:t>
      </w:r>
    </w:p>
    <w:p w14:paraId="0A7CB477">
      <w:pPr>
        <w:pStyle w:val="98"/>
        <w:keepNext w:val="0"/>
        <w:keepLines w:val="0"/>
        <w:pageBreakBefore w:val="0"/>
        <w:widowControl w:val="0"/>
        <w:kinsoku/>
        <w:wordWrap/>
        <w:overflowPunct/>
        <w:topLinePunct w:val="0"/>
        <w:autoSpaceDE/>
        <w:autoSpaceDN/>
        <w:bidi w:val="0"/>
        <w:adjustRightInd w:val="0"/>
        <w:snapToGrid w:val="0"/>
        <w:spacing w:line="440" w:lineRule="exact"/>
        <w:ind w:firstLine="525" w:firstLineChars="25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总价：人民币（大写）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p w14:paraId="5DC01E89">
      <w:pPr>
        <w:pStyle w:val="98"/>
        <w:keepNext w:val="0"/>
        <w:keepLines w:val="0"/>
        <w:pageBreakBefore w:val="0"/>
        <w:widowControl w:val="0"/>
        <w:kinsoku/>
        <w:wordWrap/>
        <w:overflowPunct/>
        <w:topLinePunct w:val="0"/>
        <w:autoSpaceDE/>
        <w:autoSpaceDN/>
        <w:bidi w:val="0"/>
        <w:adjustRightInd w:val="0"/>
        <w:snapToGrid w:val="0"/>
        <w:spacing w:line="440" w:lineRule="exact"/>
        <w:ind w:firstLine="525" w:firstLineChars="250"/>
        <w:textAlignment w:val="auto"/>
        <w:rPr>
          <w:rFonts w:hint="eastAsia" w:ascii="宋体" w:hAnsi="宋体" w:eastAsia="宋体" w:cs="宋体"/>
          <w:strike w:val="0"/>
          <w:color w:val="000000"/>
          <w:sz w:val="21"/>
          <w:szCs w:val="21"/>
          <w:highlight w:val="none"/>
        </w:rPr>
      </w:pPr>
      <w:r>
        <w:rPr>
          <w:rFonts w:hint="eastAsia" w:ascii="宋体" w:hAnsi="宋体" w:eastAsia="宋体" w:cs="宋体"/>
          <w:strike w:val="0"/>
          <w:color w:val="000000"/>
          <w:sz w:val="21"/>
          <w:szCs w:val="21"/>
          <w:highlight w:val="none"/>
        </w:rPr>
        <w:t>其中：</w:t>
      </w:r>
    </w:p>
    <w:p w14:paraId="013B5525">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分部分项工程和单价措施项目费用合计</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none"/>
          <w:lang w:val="en-US" w:eastAsia="zh-CN"/>
        </w:rPr>
        <w:t>元</w:t>
      </w:r>
    </w:p>
    <w:p w14:paraId="76D20381">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总价措施项目费用合计</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none"/>
          <w:lang w:val="en-US" w:eastAsia="zh-CN"/>
        </w:rPr>
        <w:t>元</w:t>
      </w:r>
    </w:p>
    <w:p w14:paraId="26D44D3A">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 xml:space="preserve"> 其中:安全文明施工费</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none"/>
          <w:lang w:val="en-US" w:eastAsia="zh-CN"/>
        </w:rPr>
        <w:t>元</w:t>
      </w:r>
    </w:p>
    <w:p w14:paraId="7900D58B">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其他项目费用合计</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none"/>
          <w:lang w:val="en-US" w:eastAsia="zh-CN"/>
        </w:rPr>
        <w:t>元</w:t>
      </w:r>
    </w:p>
    <w:p w14:paraId="1F472CAD">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 合同价格形式：</w:t>
      </w:r>
      <w:r>
        <w:rPr>
          <w:rFonts w:hint="eastAsia" w:ascii="宋体" w:hAnsi="宋体" w:eastAsia="宋体" w:cs="宋体"/>
          <w:color w:val="000000"/>
          <w:sz w:val="21"/>
          <w:szCs w:val="21"/>
          <w:highlight w:val="none"/>
          <w:u w:val="single"/>
        </w:rPr>
        <w:t>采用固定综合单价合同形式</w:t>
      </w:r>
      <w:r>
        <w:rPr>
          <w:rFonts w:hint="eastAsia" w:ascii="宋体" w:hAnsi="宋体" w:eastAsia="宋体" w:cs="宋体"/>
          <w:color w:val="000000"/>
          <w:sz w:val="21"/>
          <w:szCs w:val="21"/>
          <w:highlight w:val="none"/>
        </w:rPr>
        <w:t>。</w:t>
      </w:r>
    </w:p>
    <w:p w14:paraId="6D4D9AC1">
      <w:pPr>
        <w:pStyle w:val="99"/>
        <w:keepNext w:val="0"/>
        <w:keepLines w:val="0"/>
        <w:pageBreakBefore w:val="0"/>
        <w:widowControl w:val="0"/>
        <w:kinsoku/>
        <w:wordWrap/>
        <w:overflowPunct/>
        <w:topLinePunct w:val="0"/>
        <w:autoSpaceDE/>
        <w:autoSpaceDN/>
        <w:bidi w:val="0"/>
        <w:adjustRightInd w:val="0"/>
        <w:snapToGrid w:val="0"/>
        <w:spacing w:line="440" w:lineRule="exact"/>
        <w:ind w:firstLine="422"/>
        <w:textAlignment w:val="auto"/>
        <w:outlineLvl w:val="0"/>
        <w:rPr>
          <w:rFonts w:hint="eastAsia" w:ascii="宋体" w:hAnsi="宋体" w:eastAsia="宋体" w:cs="宋体"/>
          <w:b/>
          <w:color w:val="000000"/>
          <w:sz w:val="21"/>
          <w:szCs w:val="21"/>
          <w:highlight w:val="none"/>
        </w:rPr>
      </w:pPr>
      <w:bookmarkStart w:id="256" w:name="_Toc351203485"/>
      <w:bookmarkStart w:id="257" w:name="_Toc406419157"/>
      <w:bookmarkStart w:id="258" w:name="_Toc522201563"/>
      <w:bookmarkStart w:id="259" w:name="_Toc10860"/>
      <w:bookmarkStart w:id="260" w:name="_Toc406522032"/>
      <w:r>
        <w:rPr>
          <w:rFonts w:hint="eastAsia" w:ascii="宋体" w:hAnsi="宋体" w:eastAsia="宋体" w:cs="宋体"/>
          <w:b/>
          <w:color w:val="000000"/>
          <w:sz w:val="21"/>
          <w:szCs w:val="21"/>
          <w:highlight w:val="none"/>
        </w:rPr>
        <w:t>五、</w:t>
      </w:r>
      <w:bookmarkEnd w:id="256"/>
      <w:r>
        <w:rPr>
          <w:rFonts w:hint="eastAsia" w:ascii="宋体" w:hAnsi="宋体" w:eastAsia="宋体" w:cs="宋体"/>
          <w:b/>
          <w:color w:val="000000"/>
          <w:sz w:val="21"/>
          <w:szCs w:val="21"/>
          <w:highlight w:val="none"/>
        </w:rPr>
        <w:t>项目经理</w:t>
      </w:r>
      <w:bookmarkEnd w:id="257"/>
      <w:bookmarkEnd w:id="258"/>
      <w:bookmarkEnd w:id="259"/>
      <w:bookmarkEnd w:id="260"/>
    </w:p>
    <w:p w14:paraId="02D1F327">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承包人项目经理：</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E9B5257">
      <w:pPr>
        <w:pStyle w:val="99"/>
        <w:keepNext w:val="0"/>
        <w:keepLines w:val="0"/>
        <w:pageBreakBefore w:val="0"/>
        <w:widowControl w:val="0"/>
        <w:kinsoku/>
        <w:wordWrap/>
        <w:overflowPunct/>
        <w:topLinePunct w:val="0"/>
        <w:autoSpaceDE/>
        <w:autoSpaceDN/>
        <w:bidi w:val="0"/>
        <w:adjustRightInd w:val="0"/>
        <w:snapToGrid w:val="0"/>
        <w:spacing w:line="440" w:lineRule="exact"/>
        <w:ind w:firstLine="422"/>
        <w:textAlignment w:val="auto"/>
        <w:outlineLvl w:val="0"/>
        <w:rPr>
          <w:rFonts w:hint="eastAsia" w:ascii="宋体" w:hAnsi="宋体" w:eastAsia="宋体" w:cs="宋体"/>
          <w:b/>
          <w:color w:val="000000"/>
          <w:sz w:val="21"/>
          <w:szCs w:val="21"/>
          <w:highlight w:val="none"/>
        </w:rPr>
      </w:pPr>
      <w:bookmarkStart w:id="261" w:name="_Toc522201564"/>
      <w:bookmarkStart w:id="262" w:name="_Toc406522033"/>
      <w:bookmarkStart w:id="263" w:name="_Toc23735"/>
      <w:bookmarkStart w:id="264" w:name="_Toc351203486"/>
      <w:bookmarkStart w:id="265" w:name="_Toc406419158"/>
      <w:r>
        <w:rPr>
          <w:rFonts w:hint="eastAsia" w:ascii="宋体" w:hAnsi="宋体" w:eastAsia="宋体" w:cs="宋体"/>
          <w:b/>
          <w:color w:val="000000"/>
          <w:sz w:val="21"/>
          <w:szCs w:val="21"/>
          <w:highlight w:val="none"/>
        </w:rPr>
        <w:t>六、合同文件构成</w:t>
      </w:r>
      <w:bookmarkEnd w:id="261"/>
      <w:bookmarkEnd w:id="262"/>
      <w:bookmarkEnd w:id="263"/>
      <w:bookmarkEnd w:id="264"/>
      <w:bookmarkEnd w:id="265"/>
    </w:p>
    <w:p w14:paraId="05768E03">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sz w:val="21"/>
          <w:szCs w:val="21"/>
          <w:highlight w:val="none"/>
        </w:rPr>
      </w:pPr>
      <w:bookmarkStart w:id="266" w:name="_Toc406419159"/>
      <w:bookmarkStart w:id="267" w:name="_Toc351203487"/>
      <w:bookmarkStart w:id="268" w:name="_Toc406522034"/>
      <w:bookmarkStart w:id="269" w:name="_Toc7021"/>
      <w:r>
        <w:rPr>
          <w:rFonts w:hint="eastAsia" w:ascii="宋体" w:hAnsi="宋体" w:eastAsia="宋体" w:cs="宋体"/>
          <w:color w:val="000000"/>
          <w:sz w:val="21"/>
          <w:szCs w:val="21"/>
          <w:highlight w:val="none"/>
        </w:rPr>
        <w:t>本协议书与下列文件一起构成合同文件：</w:t>
      </w:r>
    </w:p>
    <w:p w14:paraId="23F2A3B5">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（1）中标通知书（如果有）；</w:t>
      </w:r>
    </w:p>
    <w:p w14:paraId="250FE62A">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（2）投标函及其附录（如果有）； </w:t>
      </w:r>
    </w:p>
    <w:p w14:paraId="07A6B7B0">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（3）专用合同条款及其附件；</w:t>
      </w:r>
    </w:p>
    <w:p w14:paraId="2F8A5986">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（4）通用合同条款；</w:t>
      </w:r>
    </w:p>
    <w:p w14:paraId="7A96DA95">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（5）技术标准和要求；</w:t>
      </w:r>
    </w:p>
    <w:p w14:paraId="100268E2">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（6）图纸；</w:t>
      </w:r>
    </w:p>
    <w:p w14:paraId="075999CB">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（7）已标价工程量清单或预算书；</w:t>
      </w:r>
    </w:p>
    <w:p w14:paraId="5189E415">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（8）其他合同文件。</w:t>
      </w:r>
    </w:p>
    <w:p w14:paraId="1DC24007">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在合同订立及履行过程中形成的与合同有关的文件均构成合同文件组成部分。</w:t>
      </w:r>
    </w:p>
    <w:p w14:paraId="24FDF310">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5BC1D6F6">
      <w:pPr>
        <w:pStyle w:val="99"/>
        <w:keepNext w:val="0"/>
        <w:keepLines w:val="0"/>
        <w:pageBreakBefore w:val="0"/>
        <w:widowControl w:val="0"/>
        <w:kinsoku/>
        <w:wordWrap/>
        <w:overflowPunct/>
        <w:topLinePunct w:val="0"/>
        <w:autoSpaceDE/>
        <w:autoSpaceDN/>
        <w:bidi w:val="0"/>
        <w:adjustRightInd w:val="0"/>
        <w:snapToGrid w:val="0"/>
        <w:spacing w:line="440" w:lineRule="exact"/>
        <w:ind w:firstLine="422"/>
        <w:textAlignment w:val="auto"/>
        <w:outlineLvl w:val="0"/>
        <w:rPr>
          <w:rFonts w:hint="eastAsia" w:ascii="宋体" w:hAnsi="宋体" w:eastAsia="宋体" w:cs="宋体"/>
          <w:b/>
          <w:color w:val="000000"/>
          <w:sz w:val="21"/>
          <w:szCs w:val="21"/>
          <w:highlight w:val="none"/>
        </w:rPr>
      </w:pPr>
      <w:bookmarkStart w:id="270" w:name="_Toc522201565"/>
      <w:r>
        <w:rPr>
          <w:rFonts w:hint="eastAsia" w:ascii="宋体" w:hAnsi="宋体" w:eastAsia="宋体" w:cs="宋体"/>
          <w:b/>
          <w:color w:val="000000"/>
          <w:sz w:val="21"/>
          <w:szCs w:val="21"/>
          <w:highlight w:val="none"/>
        </w:rPr>
        <w:t>七、承诺</w:t>
      </w:r>
      <w:bookmarkEnd w:id="266"/>
      <w:bookmarkEnd w:id="267"/>
      <w:bookmarkEnd w:id="268"/>
      <w:bookmarkEnd w:id="269"/>
      <w:bookmarkEnd w:id="270"/>
    </w:p>
    <w:p w14:paraId="1FAB15C4">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sz w:val="21"/>
          <w:szCs w:val="21"/>
          <w:highlight w:val="none"/>
        </w:rPr>
      </w:pPr>
      <w:bookmarkStart w:id="271" w:name="_Toc11962"/>
      <w:bookmarkStart w:id="272" w:name="_Toc406419160"/>
      <w:bookmarkStart w:id="273" w:name="_Toc351203488"/>
      <w:bookmarkStart w:id="274" w:name="_Toc406522035"/>
      <w:r>
        <w:rPr>
          <w:rFonts w:hint="eastAsia" w:ascii="宋体" w:hAnsi="宋体" w:eastAsia="宋体" w:cs="宋体"/>
          <w:color w:val="000000"/>
          <w:sz w:val="21"/>
          <w:szCs w:val="21"/>
          <w:highlight w:val="none"/>
        </w:rPr>
        <w:t>1.发包人承诺按照法律规定履行项目审批手续、筹集工程建设资金并按照合同约定的期限和方式支付合同价款。</w:t>
      </w:r>
    </w:p>
    <w:p w14:paraId="292F41B6">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2.承包人承诺按照法律规定及合同约定组织完成工程施工，确保工程质量和安全，不进行转包及违法分包，并在缺陷责任期及保修期内承担相应的工程维修责任。</w:t>
      </w:r>
    </w:p>
    <w:p w14:paraId="534A248F">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3.发包人和承包人通过招投标形式签订合同的，双方理解并承诺不再就同一工程另行签订与合同实质性内容相背离的协议。</w:t>
      </w:r>
    </w:p>
    <w:p w14:paraId="180485A4">
      <w:pPr>
        <w:pStyle w:val="99"/>
        <w:keepNext w:val="0"/>
        <w:keepLines w:val="0"/>
        <w:pageBreakBefore w:val="0"/>
        <w:widowControl w:val="0"/>
        <w:kinsoku/>
        <w:wordWrap/>
        <w:overflowPunct/>
        <w:topLinePunct w:val="0"/>
        <w:autoSpaceDE/>
        <w:autoSpaceDN/>
        <w:bidi w:val="0"/>
        <w:adjustRightInd w:val="0"/>
        <w:snapToGrid w:val="0"/>
        <w:spacing w:line="440" w:lineRule="exact"/>
        <w:ind w:firstLine="422"/>
        <w:textAlignment w:val="auto"/>
        <w:outlineLvl w:val="0"/>
        <w:rPr>
          <w:rFonts w:hint="eastAsia" w:ascii="宋体" w:hAnsi="宋体" w:eastAsia="宋体" w:cs="宋体"/>
          <w:b/>
          <w:color w:val="000000"/>
          <w:sz w:val="21"/>
          <w:szCs w:val="21"/>
          <w:highlight w:val="none"/>
        </w:rPr>
      </w:pPr>
      <w:bookmarkStart w:id="275" w:name="_Toc522201566"/>
      <w:r>
        <w:rPr>
          <w:rFonts w:hint="eastAsia" w:ascii="宋体" w:hAnsi="宋体" w:eastAsia="宋体" w:cs="宋体"/>
          <w:b/>
          <w:color w:val="000000"/>
          <w:sz w:val="21"/>
          <w:szCs w:val="21"/>
          <w:highlight w:val="none"/>
        </w:rPr>
        <w:t>八、词语含义</w:t>
      </w:r>
      <w:bookmarkEnd w:id="271"/>
      <w:bookmarkEnd w:id="272"/>
      <w:bookmarkEnd w:id="273"/>
      <w:bookmarkEnd w:id="274"/>
      <w:bookmarkEnd w:id="275"/>
    </w:p>
    <w:p w14:paraId="0847EB08">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本协议书中词语含义与第二部分通用合同条款中赋予的含义相同。</w:t>
      </w:r>
    </w:p>
    <w:p w14:paraId="5DB2BB8B">
      <w:pPr>
        <w:pStyle w:val="99"/>
        <w:keepNext w:val="0"/>
        <w:keepLines w:val="0"/>
        <w:pageBreakBefore w:val="0"/>
        <w:widowControl w:val="0"/>
        <w:kinsoku/>
        <w:wordWrap/>
        <w:overflowPunct/>
        <w:topLinePunct w:val="0"/>
        <w:autoSpaceDE/>
        <w:autoSpaceDN/>
        <w:bidi w:val="0"/>
        <w:adjustRightInd w:val="0"/>
        <w:snapToGrid w:val="0"/>
        <w:spacing w:line="440" w:lineRule="exact"/>
        <w:ind w:firstLine="422"/>
        <w:textAlignment w:val="auto"/>
        <w:outlineLvl w:val="0"/>
        <w:rPr>
          <w:rFonts w:hint="eastAsia" w:ascii="宋体" w:hAnsi="宋体" w:eastAsia="宋体" w:cs="宋体"/>
          <w:b/>
          <w:color w:val="000000"/>
          <w:sz w:val="21"/>
          <w:szCs w:val="21"/>
          <w:highlight w:val="none"/>
        </w:rPr>
      </w:pPr>
      <w:bookmarkStart w:id="276" w:name="_Toc406419161"/>
      <w:bookmarkStart w:id="277" w:name="_Toc22011"/>
      <w:bookmarkStart w:id="278" w:name="_Toc406522036"/>
      <w:bookmarkStart w:id="279" w:name="_Toc351203489"/>
      <w:bookmarkStart w:id="280" w:name="_Toc522201567"/>
      <w:r>
        <w:rPr>
          <w:rFonts w:hint="eastAsia" w:ascii="宋体" w:hAnsi="宋体" w:eastAsia="宋体" w:cs="宋体"/>
          <w:b/>
          <w:color w:val="000000"/>
          <w:sz w:val="21"/>
          <w:szCs w:val="21"/>
          <w:highlight w:val="none"/>
        </w:rPr>
        <w:t>九、签订时间</w:t>
      </w:r>
      <w:bookmarkEnd w:id="276"/>
      <w:bookmarkEnd w:id="277"/>
      <w:bookmarkEnd w:id="278"/>
      <w:bookmarkEnd w:id="279"/>
      <w:bookmarkEnd w:id="280"/>
    </w:p>
    <w:p w14:paraId="4994E768">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本合同于</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u w:val="single"/>
          <w:lang w:val="en-US" w:eastAsia="zh-CN"/>
        </w:rPr>
        <w:t xml:space="preserve">   </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年</w:t>
      </w:r>
      <w:r>
        <w:rPr>
          <w:rFonts w:hint="eastAsia" w:ascii="宋体" w:hAnsi="宋体" w:eastAsia="宋体" w:cs="宋体"/>
          <w:bCs/>
          <w:color w:val="000000"/>
          <w:sz w:val="21"/>
          <w:szCs w:val="21"/>
          <w:highlight w:val="none"/>
          <w:u w:val="single"/>
          <w:lang w:val="en-US" w:eastAsia="zh-CN"/>
        </w:rPr>
        <w:t xml:space="preserve">    </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月</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u w:val="single"/>
          <w:lang w:val="en-US" w:eastAsia="zh-CN"/>
        </w:rPr>
        <w:t xml:space="preserve">    </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日签订。</w:t>
      </w:r>
    </w:p>
    <w:p w14:paraId="471C35D6">
      <w:pPr>
        <w:pStyle w:val="99"/>
        <w:keepNext w:val="0"/>
        <w:keepLines w:val="0"/>
        <w:pageBreakBefore w:val="0"/>
        <w:widowControl w:val="0"/>
        <w:kinsoku/>
        <w:wordWrap/>
        <w:overflowPunct/>
        <w:topLinePunct w:val="0"/>
        <w:autoSpaceDE/>
        <w:autoSpaceDN/>
        <w:bidi w:val="0"/>
        <w:adjustRightInd w:val="0"/>
        <w:snapToGrid w:val="0"/>
        <w:spacing w:line="440" w:lineRule="exact"/>
        <w:ind w:firstLine="422"/>
        <w:textAlignment w:val="auto"/>
        <w:outlineLvl w:val="0"/>
        <w:rPr>
          <w:rFonts w:hint="eastAsia" w:ascii="宋体" w:hAnsi="宋体" w:eastAsia="宋体" w:cs="宋体"/>
          <w:b/>
          <w:color w:val="000000"/>
          <w:sz w:val="21"/>
          <w:szCs w:val="21"/>
          <w:highlight w:val="none"/>
        </w:rPr>
      </w:pPr>
      <w:bookmarkStart w:id="281" w:name="_Toc522201568"/>
      <w:bookmarkStart w:id="282" w:name="_Toc406419162"/>
      <w:bookmarkStart w:id="283" w:name="_Toc406522037"/>
      <w:bookmarkStart w:id="284" w:name="_Toc351203490"/>
      <w:bookmarkStart w:id="285" w:name="_Toc3692"/>
      <w:r>
        <w:rPr>
          <w:rFonts w:hint="eastAsia" w:ascii="宋体" w:hAnsi="宋体" w:eastAsia="宋体" w:cs="宋体"/>
          <w:b/>
          <w:color w:val="000000"/>
          <w:sz w:val="21"/>
          <w:szCs w:val="21"/>
          <w:highlight w:val="none"/>
        </w:rPr>
        <w:t>十、签订地点</w:t>
      </w:r>
      <w:bookmarkEnd w:id="281"/>
      <w:bookmarkEnd w:id="282"/>
      <w:bookmarkEnd w:id="283"/>
      <w:bookmarkEnd w:id="284"/>
      <w:bookmarkEnd w:id="285"/>
    </w:p>
    <w:p w14:paraId="6F84AA83">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本合同在</w:t>
      </w:r>
      <w:r>
        <w:rPr>
          <w:rFonts w:hint="eastAsia" w:ascii="宋体" w:hAnsi="宋体" w:eastAsia="宋体" w:cs="宋体"/>
          <w:bCs/>
          <w:color w:val="000000"/>
          <w:sz w:val="21"/>
          <w:szCs w:val="21"/>
          <w:highlight w:val="none"/>
          <w:u w:val="single"/>
        </w:rPr>
        <w:t xml:space="preserve">  广西桂林市</w:t>
      </w:r>
      <w:r>
        <w:rPr>
          <w:rFonts w:hint="eastAsia" w:ascii="宋体" w:hAnsi="宋体" w:eastAsia="宋体" w:cs="宋体"/>
          <w:bCs/>
          <w:color w:val="000000"/>
          <w:sz w:val="21"/>
          <w:szCs w:val="21"/>
          <w:highlight w:val="none"/>
          <w:u w:val="single"/>
          <w:lang w:val="en-US" w:eastAsia="zh-CN"/>
        </w:rPr>
        <w:t>兴安县</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签订。</w:t>
      </w:r>
    </w:p>
    <w:p w14:paraId="5336BB2A">
      <w:pPr>
        <w:pStyle w:val="99"/>
        <w:keepNext w:val="0"/>
        <w:keepLines w:val="0"/>
        <w:pageBreakBefore w:val="0"/>
        <w:widowControl w:val="0"/>
        <w:kinsoku/>
        <w:wordWrap/>
        <w:overflowPunct/>
        <w:topLinePunct w:val="0"/>
        <w:autoSpaceDE/>
        <w:autoSpaceDN/>
        <w:bidi w:val="0"/>
        <w:adjustRightInd w:val="0"/>
        <w:snapToGrid w:val="0"/>
        <w:spacing w:line="440" w:lineRule="exact"/>
        <w:ind w:firstLine="422"/>
        <w:textAlignment w:val="auto"/>
        <w:outlineLvl w:val="0"/>
        <w:rPr>
          <w:rFonts w:hint="eastAsia" w:ascii="宋体" w:hAnsi="宋体" w:eastAsia="宋体" w:cs="宋体"/>
          <w:b/>
          <w:color w:val="000000"/>
          <w:sz w:val="21"/>
          <w:szCs w:val="21"/>
          <w:highlight w:val="none"/>
        </w:rPr>
      </w:pPr>
      <w:bookmarkStart w:id="286" w:name="_Toc522201569"/>
      <w:bookmarkStart w:id="287" w:name="_Toc9576"/>
      <w:bookmarkStart w:id="288" w:name="_Toc406419163"/>
      <w:bookmarkStart w:id="289" w:name="_Toc351203491"/>
      <w:bookmarkStart w:id="290" w:name="_Toc406522038"/>
      <w:r>
        <w:rPr>
          <w:rFonts w:hint="eastAsia" w:ascii="宋体" w:hAnsi="宋体" w:eastAsia="宋体" w:cs="宋体"/>
          <w:b/>
          <w:color w:val="000000"/>
          <w:sz w:val="21"/>
          <w:szCs w:val="21"/>
          <w:highlight w:val="none"/>
        </w:rPr>
        <w:t>十一、补充协议</w:t>
      </w:r>
      <w:bookmarkEnd w:id="286"/>
      <w:bookmarkEnd w:id="287"/>
      <w:bookmarkEnd w:id="288"/>
      <w:bookmarkEnd w:id="289"/>
      <w:bookmarkEnd w:id="290"/>
    </w:p>
    <w:p w14:paraId="206561B9">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合同未尽事宜，合同当事人另行签订补充协议，补充协议是合同的组成部分。</w:t>
      </w:r>
    </w:p>
    <w:p w14:paraId="5B6EB956">
      <w:pPr>
        <w:pStyle w:val="99"/>
        <w:keepNext w:val="0"/>
        <w:keepLines w:val="0"/>
        <w:pageBreakBefore w:val="0"/>
        <w:widowControl w:val="0"/>
        <w:kinsoku/>
        <w:wordWrap/>
        <w:overflowPunct/>
        <w:topLinePunct w:val="0"/>
        <w:autoSpaceDE/>
        <w:autoSpaceDN/>
        <w:bidi w:val="0"/>
        <w:adjustRightInd w:val="0"/>
        <w:snapToGrid w:val="0"/>
        <w:spacing w:line="440" w:lineRule="exact"/>
        <w:ind w:firstLine="422"/>
        <w:textAlignment w:val="auto"/>
        <w:outlineLvl w:val="0"/>
        <w:rPr>
          <w:rFonts w:hint="eastAsia" w:ascii="宋体" w:hAnsi="宋体" w:eastAsia="宋体" w:cs="宋体"/>
          <w:b/>
          <w:color w:val="000000"/>
          <w:sz w:val="21"/>
          <w:szCs w:val="21"/>
          <w:highlight w:val="none"/>
        </w:rPr>
      </w:pPr>
      <w:bookmarkStart w:id="291" w:name="_Toc406522039"/>
      <w:bookmarkStart w:id="292" w:name="_Toc406419164"/>
      <w:bookmarkStart w:id="293" w:name="_Toc32443"/>
      <w:bookmarkStart w:id="294" w:name="_Toc522201570"/>
      <w:bookmarkStart w:id="295" w:name="_Toc351203492"/>
      <w:r>
        <w:rPr>
          <w:rFonts w:hint="eastAsia" w:ascii="宋体" w:hAnsi="宋体" w:eastAsia="宋体" w:cs="宋体"/>
          <w:b/>
          <w:color w:val="000000"/>
          <w:sz w:val="21"/>
          <w:szCs w:val="21"/>
          <w:highlight w:val="none"/>
        </w:rPr>
        <w:t>十二、合同生效</w:t>
      </w:r>
      <w:bookmarkEnd w:id="291"/>
      <w:bookmarkEnd w:id="292"/>
      <w:bookmarkEnd w:id="293"/>
      <w:bookmarkEnd w:id="294"/>
      <w:bookmarkEnd w:id="295"/>
    </w:p>
    <w:p w14:paraId="08476DC6">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本合同自</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color w:val="000000"/>
          <w:sz w:val="21"/>
          <w:szCs w:val="21"/>
          <w:highlight w:val="none"/>
          <w:u w:val="single"/>
        </w:rPr>
        <w:t>双方法定代表人或其委托代理人签字或盖章并加盖单位</w:t>
      </w:r>
      <w:r>
        <w:rPr>
          <w:rFonts w:hint="eastAsia" w:ascii="宋体" w:hAnsi="宋体" w:eastAsia="宋体" w:cs="宋体"/>
          <w:color w:val="000000"/>
          <w:sz w:val="21"/>
          <w:szCs w:val="21"/>
          <w:highlight w:val="none"/>
          <w:u w:val="single"/>
          <w:lang w:eastAsia="zh-CN"/>
        </w:rPr>
        <w:t>公</w:t>
      </w:r>
      <w:r>
        <w:rPr>
          <w:rFonts w:hint="eastAsia" w:ascii="宋体" w:hAnsi="宋体" w:eastAsia="宋体" w:cs="宋体"/>
          <w:color w:val="000000"/>
          <w:sz w:val="21"/>
          <w:szCs w:val="21"/>
          <w:highlight w:val="none"/>
          <w:u w:val="single"/>
        </w:rPr>
        <w:t>章后</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生效。</w:t>
      </w:r>
    </w:p>
    <w:p w14:paraId="5E9DA316">
      <w:pPr>
        <w:pStyle w:val="99"/>
        <w:keepNext w:val="0"/>
        <w:keepLines w:val="0"/>
        <w:pageBreakBefore w:val="0"/>
        <w:widowControl w:val="0"/>
        <w:kinsoku/>
        <w:wordWrap/>
        <w:overflowPunct/>
        <w:topLinePunct w:val="0"/>
        <w:autoSpaceDE/>
        <w:autoSpaceDN/>
        <w:bidi w:val="0"/>
        <w:adjustRightInd w:val="0"/>
        <w:snapToGrid w:val="0"/>
        <w:spacing w:line="440" w:lineRule="exact"/>
        <w:ind w:firstLine="422"/>
        <w:textAlignment w:val="auto"/>
        <w:outlineLvl w:val="0"/>
        <w:rPr>
          <w:rFonts w:hint="eastAsia" w:ascii="宋体" w:hAnsi="宋体" w:eastAsia="宋体" w:cs="宋体"/>
          <w:b/>
          <w:color w:val="000000"/>
          <w:sz w:val="21"/>
          <w:szCs w:val="21"/>
          <w:highlight w:val="none"/>
        </w:rPr>
      </w:pPr>
      <w:bookmarkStart w:id="296" w:name="_Toc406522040"/>
      <w:bookmarkStart w:id="297" w:name="_Toc522201571"/>
      <w:bookmarkStart w:id="298" w:name="_Toc406419165"/>
      <w:bookmarkStart w:id="299" w:name="_Toc351203493"/>
      <w:bookmarkStart w:id="300" w:name="_Toc14945"/>
      <w:r>
        <w:rPr>
          <w:rFonts w:hint="eastAsia" w:ascii="宋体" w:hAnsi="宋体" w:eastAsia="宋体" w:cs="宋体"/>
          <w:b/>
          <w:color w:val="000000"/>
          <w:sz w:val="21"/>
          <w:szCs w:val="21"/>
          <w:highlight w:val="none"/>
        </w:rPr>
        <w:t>十三、合同份数</w:t>
      </w:r>
      <w:bookmarkEnd w:id="296"/>
      <w:bookmarkEnd w:id="297"/>
      <w:bookmarkEnd w:id="298"/>
      <w:bookmarkEnd w:id="299"/>
      <w:bookmarkEnd w:id="300"/>
    </w:p>
    <w:p w14:paraId="5AA5D44C">
      <w:pPr>
        <w:pStyle w:val="98"/>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本合同一式</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u w:val="single"/>
          <w:lang w:val="en-US" w:eastAsia="zh-CN"/>
        </w:rPr>
        <w:t>柒</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份，均具有同等法律效力，发包人执</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u w:val="single"/>
          <w:lang w:val="en-US" w:eastAsia="zh-CN"/>
        </w:rPr>
        <w:t>叁</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份，承包人执</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u w:val="single"/>
          <w:lang w:val="en-US" w:eastAsia="zh-CN"/>
        </w:rPr>
        <w:t>叁</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份，招标代理机构执</w:t>
      </w:r>
      <w:r>
        <w:rPr>
          <w:rFonts w:hint="eastAsia" w:ascii="宋体" w:hAnsi="宋体" w:eastAsia="宋体" w:cs="宋体"/>
          <w:bCs/>
          <w:color w:val="000000"/>
          <w:sz w:val="21"/>
          <w:szCs w:val="21"/>
          <w:highlight w:val="none"/>
          <w:u w:val="single"/>
        </w:rPr>
        <w:t xml:space="preserve"> 壹 </w:t>
      </w:r>
      <w:r>
        <w:rPr>
          <w:rFonts w:hint="eastAsia" w:ascii="宋体" w:hAnsi="宋体" w:eastAsia="宋体" w:cs="宋体"/>
          <w:bCs/>
          <w:color w:val="000000"/>
          <w:sz w:val="21"/>
          <w:szCs w:val="21"/>
          <w:highlight w:val="none"/>
        </w:rPr>
        <w:t>份。</w:t>
      </w:r>
    </w:p>
    <w:tbl>
      <w:tblPr>
        <w:tblStyle w:val="35"/>
        <w:tblW w:w="8900" w:type="dxa"/>
        <w:tblInd w:w="4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03"/>
        <w:gridCol w:w="4597"/>
      </w:tblGrid>
      <w:tr w14:paraId="4DDEB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4246CF1F">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000000"/>
                <w:kern w:val="0"/>
                <w:sz w:val="21"/>
                <w:szCs w:val="21"/>
                <w:highlight w:val="none"/>
                <w:u w:val="none"/>
                <w:lang w:val="en-US" w:eastAsia="zh-CN"/>
              </w:rPr>
            </w:pPr>
            <w:r>
              <w:rPr>
                <w:rFonts w:hint="eastAsia" w:ascii="宋体" w:hAnsi="宋体" w:eastAsia="宋体" w:cs="宋体"/>
                <w:color w:val="000000"/>
                <w:kern w:val="0"/>
                <w:sz w:val="21"/>
                <w:szCs w:val="21"/>
                <w:highlight w:val="none"/>
                <w:u w:val="none"/>
                <w:lang w:val="en-US" w:eastAsia="zh-CN"/>
              </w:rPr>
              <w:t>发包人：（公章）</w:t>
            </w:r>
          </w:p>
          <w:p w14:paraId="44F017EE">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000000"/>
                <w:kern w:val="0"/>
                <w:sz w:val="21"/>
                <w:szCs w:val="21"/>
                <w:highlight w:val="none"/>
                <w:u w:val="none"/>
                <w:lang w:val="en-US" w:eastAsia="zh-CN"/>
              </w:rPr>
            </w:pPr>
            <w:r>
              <w:rPr>
                <w:rFonts w:hint="eastAsia" w:ascii="宋体" w:hAnsi="宋体" w:eastAsia="宋体" w:cs="宋体"/>
                <w:b/>
                <w:bCs/>
                <w:color w:val="000000"/>
                <w:kern w:val="0"/>
                <w:sz w:val="21"/>
                <w:szCs w:val="21"/>
                <w:highlight w:val="none"/>
                <w:u w:val="none"/>
                <w:lang w:val="en-US" w:eastAsia="zh-CN"/>
              </w:rPr>
              <w:t xml:space="preserve"> </w:t>
            </w:r>
          </w:p>
        </w:tc>
        <w:tc>
          <w:tcPr>
            <w:tcW w:w="4597" w:type="dxa"/>
            <w:noWrap w:val="0"/>
            <w:vAlign w:val="top"/>
          </w:tcPr>
          <w:p w14:paraId="0C3240D0">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000000"/>
                <w:kern w:val="0"/>
                <w:sz w:val="21"/>
                <w:szCs w:val="21"/>
                <w:highlight w:val="none"/>
                <w:u w:val="none"/>
                <w:lang w:val="en-US" w:eastAsia="zh-CN"/>
              </w:rPr>
            </w:pPr>
            <w:r>
              <w:rPr>
                <w:rFonts w:hint="eastAsia" w:ascii="宋体" w:hAnsi="宋体" w:eastAsia="宋体" w:cs="宋体"/>
                <w:color w:val="000000"/>
                <w:kern w:val="0"/>
                <w:sz w:val="21"/>
                <w:szCs w:val="21"/>
                <w:highlight w:val="none"/>
                <w:u w:val="none"/>
                <w:lang w:val="en-US" w:eastAsia="zh-CN"/>
              </w:rPr>
              <w:t>承包人：（公章）</w:t>
            </w:r>
          </w:p>
          <w:p w14:paraId="2410BEC7">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000000"/>
                <w:kern w:val="0"/>
                <w:sz w:val="21"/>
                <w:szCs w:val="21"/>
                <w:highlight w:val="none"/>
                <w:u w:val="none"/>
                <w:lang w:val="en-US" w:eastAsia="zh-CN"/>
              </w:rPr>
            </w:pPr>
            <w:r>
              <w:rPr>
                <w:rFonts w:hint="eastAsia" w:ascii="宋体" w:hAnsi="宋体" w:eastAsia="宋体" w:cs="宋体"/>
                <w:b/>
                <w:bCs/>
                <w:color w:val="000000"/>
                <w:sz w:val="21"/>
                <w:szCs w:val="21"/>
                <w:highlight w:val="none"/>
                <w:u w:val="none"/>
                <w:lang w:val="en-US" w:eastAsia="zh-CN"/>
              </w:rPr>
              <w:t xml:space="preserve"> </w:t>
            </w:r>
          </w:p>
        </w:tc>
      </w:tr>
      <w:tr w14:paraId="0959B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0C210680">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000000"/>
                <w:kern w:val="0"/>
                <w:sz w:val="21"/>
                <w:szCs w:val="21"/>
                <w:highlight w:val="none"/>
                <w:u w:val="none"/>
                <w:lang w:val="en-US" w:eastAsia="zh-CN"/>
              </w:rPr>
            </w:pPr>
            <w:r>
              <w:rPr>
                <w:rFonts w:hint="eastAsia" w:ascii="宋体" w:hAnsi="宋体" w:eastAsia="宋体" w:cs="宋体"/>
                <w:color w:val="000000"/>
                <w:kern w:val="0"/>
                <w:sz w:val="21"/>
                <w:szCs w:val="21"/>
                <w:highlight w:val="none"/>
                <w:u w:val="none"/>
                <w:lang w:val="en-US" w:eastAsia="zh-CN"/>
              </w:rPr>
              <w:t>法定代表人</w:t>
            </w:r>
            <w:r>
              <w:rPr>
                <w:rFonts w:hint="eastAsia" w:ascii="宋体" w:hAnsi="宋体" w:eastAsia="宋体" w:cs="宋体"/>
                <w:color w:val="000000"/>
                <w:sz w:val="21"/>
                <w:szCs w:val="21"/>
                <w:highlight w:val="none"/>
              </w:rPr>
              <w:t>或其委托代理人</w:t>
            </w:r>
            <w:r>
              <w:rPr>
                <w:rFonts w:hint="eastAsia" w:ascii="宋体" w:hAnsi="宋体" w:eastAsia="宋体" w:cs="宋体"/>
                <w:color w:val="000000"/>
                <w:kern w:val="0"/>
                <w:sz w:val="21"/>
                <w:szCs w:val="21"/>
                <w:highlight w:val="none"/>
                <w:u w:val="none"/>
                <w:lang w:val="en-US" w:eastAsia="zh-CN"/>
              </w:rPr>
              <w:t>：</w:t>
            </w:r>
          </w:p>
          <w:p w14:paraId="39FF2644">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000000"/>
                <w:kern w:val="0"/>
                <w:sz w:val="21"/>
                <w:szCs w:val="21"/>
                <w:highlight w:val="none"/>
                <w:u w:val="none"/>
                <w:lang w:val="en-US" w:eastAsia="zh-CN"/>
              </w:rPr>
            </w:pPr>
            <w:r>
              <w:rPr>
                <w:rFonts w:hint="eastAsia" w:ascii="宋体" w:hAnsi="宋体" w:eastAsia="宋体" w:cs="宋体"/>
                <w:color w:val="000000"/>
                <w:kern w:val="0"/>
                <w:sz w:val="21"/>
                <w:szCs w:val="21"/>
                <w:highlight w:val="none"/>
                <w:u w:val="none"/>
                <w:lang w:val="en-US" w:eastAsia="zh-CN"/>
              </w:rPr>
              <w:t>（签字或盖章）</w:t>
            </w:r>
          </w:p>
        </w:tc>
        <w:tc>
          <w:tcPr>
            <w:tcW w:w="4597" w:type="dxa"/>
            <w:noWrap w:val="0"/>
            <w:vAlign w:val="top"/>
          </w:tcPr>
          <w:p w14:paraId="7545F4E6">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000000"/>
                <w:kern w:val="0"/>
                <w:sz w:val="21"/>
                <w:szCs w:val="21"/>
                <w:highlight w:val="none"/>
                <w:u w:val="none"/>
                <w:lang w:val="en-US" w:eastAsia="zh-CN"/>
              </w:rPr>
            </w:pPr>
            <w:r>
              <w:rPr>
                <w:rFonts w:hint="eastAsia" w:ascii="宋体" w:hAnsi="宋体" w:eastAsia="宋体" w:cs="宋体"/>
                <w:color w:val="000000"/>
                <w:kern w:val="0"/>
                <w:sz w:val="21"/>
                <w:szCs w:val="21"/>
                <w:highlight w:val="none"/>
                <w:u w:val="none"/>
                <w:lang w:val="en-US" w:eastAsia="zh-CN"/>
              </w:rPr>
              <w:t>法定代表人</w:t>
            </w:r>
            <w:r>
              <w:rPr>
                <w:rFonts w:hint="eastAsia" w:ascii="宋体" w:hAnsi="宋体" w:eastAsia="宋体" w:cs="宋体"/>
                <w:color w:val="000000"/>
                <w:sz w:val="21"/>
                <w:szCs w:val="21"/>
                <w:highlight w:val="none"/>
              </w:rPr>
              <w:t>或其委托代理人</w:t>
            </w:r>
            <w:r>
              <w:rPr>
                <w:rFonts w:hint="eastAsia" w:ascii="宋体" w:hAnsi="宋体" w:eastAsia="宋体" w:cs="宋体"/>
                <w:color w:val="000000"/>
                <w:kern w:val="0"/>
                <w:sz w:val="21"/>
                <w:szCs w:val="21"/>
                <w:highlight w:val="none"/>
                <w:u w:val="none"/>
                <w:lang w:val="en-US" w:eastAsia="zh-CN"/>
              </w:rPr>
              <w:t>：</w:t>
            </w:r>
          </w:p>
          <w:p w14:paraId="33694CA0">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000000"/>
                <w:kern w:val="0"/>
                <w:sz w:val="21"/>
                <w:szCs w:val="21"/>
                <w:highlight w:val="none"/>
                <w:u w:val="none"/>
                <w:lang w:val="en-US" w:eastAsia="zh-CN"/>
              </w:rPr>
            </w:pPr>
            <w:r>
              <w:rPr>
                <w:rFonts w:hint="eastAsia" w:ascii="宋体" w:hAnsi="宋体" w:eastAsia="宋体" w:cs="宋体"/>
                <w:color w:val="000000"/>
                <w:kern w:val="0"/>
                <w:sz w:val="21"/>
                <w:szCs w:val="21"/>
                <w:highlight w:val="none"/>
                <w:u w:val="none"/>
                <w:lang w:val="en-US" w:eastAsia="zh-CN"/>
              </w:rPr>
              <w:t>（签字或盖章）</w:t>
            </w:r>
          </w:p>
        </w:tc>
      </w:tr>
      <w:tr w14:paraId="3A85F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303" w:type="dxa"/>
            <w:noWrap w:val="0"/>
            <w:vAlign w:val="top"/>
          </w:tcPr>
          <w:p w14:paraId="3C63BDC7">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000000"/>
                <w:kern w:val="0"/>
                <w:sz w:val="21"/>
                <w:szCs w:val="21"/>
                <w:highlight w:val="none"/>
                <w:u w:val="none"/>
                <w:lang w:val="en-US" w:eastAsia="zh-CN"/>
              </w:rPr>
            </w:pPr>
            <w:r>
              <w:rPr>
                <w:rFonts w:hint="eastAsia" w:ascii="宋体" w:hAnsi="宋体" w:eastAsia="宋体" w:cs="宋体"/>
                <w:color w:val="000000"/>
                <w:kern w:val="0"/>
                <w:sz w:val="21"/>
                <w:szCs w:val="21"/>
                <w:highlight w:val="none"/>
                <w:u w:val="none"/>
                <w:lang w:val="en-US" w:eastAsia="zh-CN"/>
              </w:rPr>
              <w:t>统一社会信用代码：</w:t>
            </w:r>
            <w:r>
              <w:rPr>
                <w:rFonts w:hint="eastAsia" w:ascii="宋体" w:hAnsi="宋体" w:eastAsia="宋体" w:cs="宋体"/>
                <w:color w:val="000000"/>
                <w:kern w:val="0"/>
                <w:sz w:val="21"/>
                <w:szCs w:val="21"/>
                <w:highlight w:val="none"/>
                <w:lang w:val="en-US" w:eastAsia="zh-CN"/>
              </w:rPr>
              <w:t xml:space="preserve"> </w:t>
            </w:r>
          </w:p>
        </w:tc>
        <w:tc>
          <w:tcPr>
            <w:tcW w:w="4597" w:type="dxa"/>
            <w:noWrap w:val="0"/>
            <w:vAlign w:val="top"/>
          </w:tcPr>
          <w:p w14:paraId="3113C61A">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000000"/>
                <w:kern w:val="0"/>
                <w:sz w:val="21"/>
                <w:szCs w:val="21"/>
                <w:highlight w:val="none"/>
                <w:u w:val="none"/>
                <w:lang w:val="en-US" w:eastAsia="zh-CN"/>
              </w:rPr>
            </w:pPr>
            <w:r>
              <w:rPr>
                <w:rFonts w:hint="eastAsia" w:ascii="宋体" w:hAnsi="宋体" w:eastAsia="宋体" w:cs="宋体"/>
                <w:color w:val="000000"/>
                <w:kern w:val="0"/>
                <w:sz w:val="21"/>
                <w:szCs w:val="21"/>
                <w:highlight w:val="none"/>
                <w:u w:val="none"/>
                <w:lang w:val="en-US" w:eastAsia="zh-CN"/>
              </w:rPr>
              <w:t xml:space="preserve">统一社会信用代码： </w:t>
            </w:r>
          </w:p>
        </w:tc>
      </w:tr>
      <w:tr w14:paraId="06CA2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4D9B48BB">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000000"/>
                <w:kern w:val="0"/>
                <w:sz w:val="21"/>
                <w:szCs w:val="21"/>
                <w:highlight w:val="none"/>
                <w:u w:val="none"/>
                <w:lang w:val="en-US" w:eastAsia="zh-CN"/>
              </w:rPr>
            </w:pPr>
            <w:r>
              <w:rPr>
                <w:rFonts w:hint="eastAsia" w:ascii="宋体" w:hAnsi="宋体" w:eastAsia="宋体" w:cs="宋体"/>
                <w:color w:val="000000"/>
                <w:kern w:val="0"/>
                <w:sz w:val="21"/>
                <w:szCs w:val="21"/>
                <w:highlight w:val="none"/>
                <w:u w:val="none"/>
                <w:lang w:val="en-US" w:eastAsia="zh-CN"/>
              </w:rPr>
              <w:t xml:space="preserve">地址： </w:t>
            </w:r>
          </w:p>
        </w:tc>
        <w:tc>
          <w:tcPr>
            <w:tcW w:w="4597" w:type="dxa"/>
            <w:noWrap w:val="0"/>
            <w:vAlign w:val="top"/>
          </w:tcPr>
          <w:p w14:paraId="2481AADE">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000000"/>
                <w:kern w:val="0"/>
                <w:sz w:val="21"/>
                <w:szCs w:val="21"/>
                <w:highlight w:val="none"/>
                <w:u w:val="none"/>
                <w:lang w:val="en-US" w:eastAsia="zh-CN"/>
              </w:rPr>
            </w:pPr>
            <w:r>
              <w:rPr>
                <w:rFonts w:hint="eastAsia" w:ascii="宋体" w:hAnsi="宋体" w:eastAsia="宋体" w:cs="宋体"/>
                <w:color w:val="000000"/>
                <w:kern w:val="0"/>
                <w:sz w:val="21"/>
                <w:szCs w:val="21"/>
                <w:highlight w:val="none"/>
                <w:u w:val="none"/>
                <w:lang w:val="en-US" w:eastAsia="zh-CN"/>
              </w:rPr>
              <w:t>地址：</w:t>
            </w:r>
            <w:r>
              <w:rPr>
                <w:rFonts w:hint="eastAsia" w:ascii="宋体" w:hAnsi="宋体" w:eastAsia="宋体" w:cs="宋体"/>
                <w:color w:val="000000"/>
                <w:sz w:val="21"/>
                <w:szCs w:val="21"/>
                <w:highlight w:val="none"/>
                <w:u w:val="none"/>
                <w:lang w:val="en-US" w:eastAsia="zh-CN"/>
              </w:rPr>
              <w:t xml:space="preserve">  </w:t>
            </w:r>
          </w:p>
        </w:tc>
      </w:tr>
      <w:tr w14:paraId="0D023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72057E0E">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000000"/>
                <w:kern w:val="0"/>
                <w:sz w:val="21"/>
                <w:szCs w:val="21"/>
                <w:highlight w:val="none"/>
                <w:u w:val="none"/>
                <w:lang w:val="en-US" w:eastAsia="zh-CN"/>
              </w:rPr>
            </w:pPr>
            <w:r>
              <w:rPr>
                <w:rFonts w:hint="eastAsia" w:ascii="宋体" w:hAnsi="宋体" w:eastAsia="宋体" w:cs="宋体"/>
                <w:color w:val="000000"/>
                <w:kern w:val="0"/>
                <w:sz w:val="21"/>
                <w:szCs w:val="21"/>
                <w:highlight w:val="none"/>
                <w:u w:val="none"/>
                <w:lang w:val="en-US" w:eastAsia="zh-CN"/>
              </w:rPr>
              <w:t>邮政编码：</w:t>
            </w:r>
          </w:p>
        </w:tc>
        <w:tc>
          <w:tcPr>
            <w:tcW w:w="4597" w:type="dxa"/>
            <w:noWrap w:val="0"/>
            <w:vAlign w:val="top"/>
          </w:tcPr>
          <w:p w14:paraId="7B4AF578">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000000"/>
                <w:kern w:val="0"/>
                <w:sz w:val="21"/>
                <w:szCs w:val="21"/>
                <w:highlight w:val="none"/>
                <w:u w:val="none"/>
                <w:lang w:val="en-US" w:eastAsia="zh-CN"/>
              </w:rPr>
            </w:pPr>
            <w:r>
              <w:rPr>
                <w:rFonts w:hint="eastAsia" w:ascii="宋体" w:hAnsi="宋体" w:eastAsia="宋体" w:cs="宋体"/>
                <w:color w:val="000000"/>
                <w:kern w:val="0"/>
                <w:sz w:val="21"/>
                <w:szCs w:val="21"/>
                <w:highlight w:val="none"/>
                <w:u w:val="none"/>
                <w:lang w:val="en-US" w:eastAsia="zh-CN"/>
              </w:rPr>
              <w:t xml:space="preserve">邮政编码：  </w:t>
            </w:r>
          </w:p>
        </w:tc>
      </w:tr>
      <w:tr w14:paraId="1B354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3D32CCCB">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000000"/>
                <w:kern w:val="0"/>
                <w:sz w:val="21"/>
                <w:szCs w:val="21"/>
                <w:highlight w:val="none"/>
                <w:u w:val="none"/>
                <w:lang w:val="en-US" w:eastAsia="zh-CN"/>
              </w:rPr>
            </w:pPr>
            <w:r>
              <w:rPr>
                <w:rFonts w:hint="eastAsia" w:ascii="宋体" w:hAnsi="宋体" w:eastAsia="宋体" w:cs="宋体"/>
                <w:color w:val="000000"/>
                <w:kern w:val="0"/>
                <w:sz w:val="21"/>
                <w:szCs w:val="21"/>
                <w:highlight w:val="none"/>
                <w:u w:val="none"/>
                <w:lang w:val="en-US" w:eastAsia="zh-CN"/>
              </w:rPr>
              <w:t>联系人：</w:t>
            </w:r>
          </w:p>
        </w:tc>
        <w:tc>
          <w:tcPr>
            <w:tcW w:w="4597" w:type="dxa"/>
            <w:noWrap w:val="0"/>
            <w:vAlign w:val="top"/>
          </w:tcPr>
          <w:p w14:paraId="61F0502E">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000000"/>
                <w:kern w:val="0"/>
                <w:sz w:val="21"/>
                <w:szCs w:val="21"/>
                <w:highlight w:val="none"/>
                <w:u w:val="none"/>
                <w:lang w:val="en-US" w:eastAsia="zh-CN"/>
              </w:rPr>
            </w:pPr>
            <w:r>
              <w:rPr>
                <w:rFonts w:hint="eastAsia" w:ascii="宋体" w:hAnsi="宋体" w:eastAsia="宋体" w:cs="宋体"/>
                <w:color w:val="000000"/>
                <w:kern w:val="0"/>
                <w:sz w:val="21"/>
                <w:szCs w:val="21"/>
                <w:highlight w:val="none"/>
                <w:u w:val="none"/>
                <w:lang w:val="en-US" w:eastAsia="zh-CN"/>
              </w:rPr>
              <w:t xml:space="preserve">联系人： </w:t>
            </w:r>
          </w:p>
        </w:tc>
      </w:tr>
      <w:tr w14:paraId="6FCA3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3D2D0436">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000000"/>
                <w:kern w:val="0"/>
                <w:sz w:val="21"/>
                <w:szCs w:val="21"/>
                <w:highlight w:val="none"/>
                <w:u w:val="none"/>
                <w:lang w:val="en-US" w:eastAsia="zh-CN"/>
              </w:rPr>
            </w:pPr>
            <w:r>
              <w:rPr>
                <w:rFonts w:hint="eastAsia" w:ascii="宋体" w:hAnsi="宋体" w:eastAsia="宋体" w:cs="宋体"/>
                <w:color w:val="000000"/>
                <w:kern w:val="0"/>
                <w:sz w:val="21"/>
                <w:szCs w:val="21"/>
                <w:highlight w:val="none"/>
                <w:u w:val="none"/>
                <w:lang w:val="en-US" w:eastAsia="zh-CN"/>
              </w:rPr>
              <w:t>电话：</w:t>
            </w:r>
          </w:p>
        </w:tc>
        <w:tc>
          <w:tcPr>
            <w:tcW w:w="4597" w:type="dxa"/>
            <w:noWrap w:val="0"/>
            <w:vAlign w:val="top"/>
          </w:tcPr>
          <w:p w14:paraId="53E90573">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000000"/>
                <w:kern w:val="0"/>
                <w:sz w:val="21"/>
                <w:szCs w:val="21"/>
                <w:highlight w:val="none"/>
                <w:u w:val="none"/>
                <w:lang w:val="en-US" w:eastAsia="zh-CN"/>
              </w:rPr>
            </w:pPr>
            <w:r>
              <w:rPr>
                <w:rFonts w:hint="eastAsia" w:ascii="宋体" w:hAnsi="宋体" w:eastAsia="宋体" w:cs="宋体"/>
                <w:color w:val="000000"/>
                <w:kern w:val="0"/>
                <w:sz w:val="21"/>
                <w:szCs w:val="21"/>
                <w:highlight w:val="none"/>
                <w:u w:val="none"/>
                <w:lang w:val="en-US" w:eastAsia="zh-CN"/>
              </w:rPr>
              <w:t xml:space="preserve">电话： </w:t>
            </w:r>
          </w:p>
        </w:tc>
      </w:tr>
      <w:tr w14:paraId="7935B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42FA04F2">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000000"/>
                <w:kern w:val="0"/>
                <w:sz w:val="21"/>
                <w:szCs w:val="21"/>
                <w:highlight w:val="none"/>
                <w:u w:val="none"/>
                <w:lang w:val="en-US" w:eastAsia="zh-CN"/>
              </w:rPr>
            </w:pPr>
            <w:r>
              <w:rPr>
                <w:rFonts w:hint="eastAsia" w:ascii="宋体" w:hAnsi="宋体" w:eastAsia="宋体" w:cs="宋体"/>
                <w:color w:val="000000"/>
                <w:kern w:val="0"/>
                <w:sz w:val="21"/>
                <w:szCs w:val="21"/>
                <w:highlight w:val="none"/>
                <w:u w:val="none"/>
                <w:lang w:val="en-US" w:eastAsia="zh-CN"/>
              </w:rPr>
              <w:t>传真：</w:t>
            </w:r>
          </w:p>
        </w:tc>
        <w:tc>
          <w:tcPr>
            <w:tcW w:w="4597" w:type="dxa"/>
            <w:noWrap w:val="0"/>
            <w:vAlign w:val="top"/>
          </w:tcPr>
          <w:p w14:paraId="1EFA8282">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000000"/>
                <w:kern w:val="0"/>
                <w:sz w:val="21"/>
                <w:szCs w:val="21"/>
                <w:highlight w:val="none"/>
                <w:u w:val="none"/>
                <w:lang w:val="en-US" w:eastAsia="zh-CN"/>
              </w:rPr>
            </w:pPr>
            <w:r>
              <w:rPr>
                <w:rFonts w:hint="eastAsia" w:ascii="宋体" w:hAnsi="宋体" w:eastAsia="宋体" w:cs="宋体"/>
                <w:color w:val="000000"/>
                <w:kern w:val="0"/>
                <w:sz w:val="21"/>
                <w:szCs w:val="21"/>
                <w:highlight w:val="none"/>
                <w:u w:val="none"/>
                <w:lang w:val="en-US" w:eastAsia="zh-CN"/>
              </w:rPr>
              <w:t xml:space="preserve">传真：  </w:t>
            </w:r>
          </w:p>
        </w:tc>
      </w:tr>
      <w:tr w14:paraId="2116A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50559804">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000000"/>
                <w:kern w:val="0"/>
                <w:sz w:val="21"/>
                <w:szCs w:val="21"/>
                <w:highlight w:val="none"/>
                <w:u w:val="none"/>
                <w:lang w:val="en-US" w:eastAsia="zh-CN"/>
              </w:rPr>
            </w:pPr>
            <w:r>
              <w:rPr>
                <w:rFonts w:hint="eastAsia" w:ascii="宋体" w:hAnsi="宋体" w:eastAsia="宋体" w:cs="宋体"/>
                <w:color w:val="000000"/>
                <w:kern w:val="0"/>
                <w:sz w:val="21"/>
                <w:szCs w:val="21"/>
                <w:highlight w:val="none"/>
                <w:u w:val="none"/>
                <w:lang w:val="en-US" w:eastAsia="zh-CN"/>
              </w:rPr>
              <w:t>电子信箱：</w:t>
            </w:r>
          </w:p>
        </w:tc>
        <w:tc>
          <w:tcPr>
            <w:tcW w:w="4597" w:type="dxa"/>
            <w:noWrap w:val="0"/>
            <w:vAlign w:val="top"/>
          </w:tcPr>
          <w:p w14:paraId="780F849B">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000000"/>
                <w:kern w:val="0"/>
                <w:sz w:val="21"/>
                <w:szCs w:val="21"/>
                <w:highlight w:val="none"/>
                <w:u w:val="none"/>
                <w:lang w:val="en-US" w:eastAsia="zh-CN"/>
              </w:rPr>
            </w:pPr>
            <w:r>
              <w:rPr>
                <w:rFonts w:hint="eastAsia" w:ascii="宋体" w:hAnsi="宋体" w:eastAsia="宋体" w:cs="宋体"/>
                <w:color w:val="000000"/>
                <w:kern w:val="0"/>
                <w:sz w:val="21"/>
                <w:szCs w:val="21"/>
                <w:highlight w:val="none"/>
                <w:u w:val="none"/>
                <w:lang w:val="en-US" w:eastAsia="zh-CN"/>
              </w:rPr>
              <w:t xml:space="preserve">电子信箱： </w:t>
            </w:r>
          </w:p>
        </w:tc>
      </w:tr>
      <w:tr w14:paraId="18D20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1702988B">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000000"/>
                <w:kern w:val="0"/>
                <w:sz w:val="21"/>
                <w:szCs w:val="21"/>
                <w:highlight w:val="none"/>
                <w:u w:val="none"/>
                <w:lang w:val="en-US" w:eastAsia="zh-CN"/>
              </w:rPr>
            </w:pPr>
            <w:r>
              <w:rPr>
                <w:rFonts w:hint="eastAsia" w:ascii="宋体" w:hAnsi="宋体" w:eastAsia="宋体" w:cs="宋体"/>
                <w:color w:val="000000"/>
                <w:kern w:val="0"/>
                <w:sz w:val="21"/>
                <w:szCs w:val="21"/>
                <w:highlight w:val="none"/>
                <w:u w:val="none"/>
                <w:lang w:val="en-US" w:eastAsia="zh-CN"/>
              </w:rPr>
              <w:t>开户银行：</w:t>
            </w:r>
          </w:p>
        </w:tc>
        <w:tc>
          <w:tcPr>
            <w:tcW w:w="4597" w:type="dxa"/>
            <w:noWrap w:val="0"/>
            <w:vAlign w:val="top"/>
          </w:tcPr>
          <w:p w14:paraId="05FAE9A8">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000000"/>
                <w:kern w:val="0"/>
                <w:sz w:val="21"/>
                <w:szCs w:val="21"/>
                <w:highlight w:val="none"/>
                <w:u w:val="none"/>
                <w:lang w:val="en-US" w:eastAsia="zh-CN"/>
              </w:rPr>
            </w:pPr>
            <w:r>
              <w:rPr>
                <w:rFonts w:hint="eastAsia" w:ascii="宋体" w:hAnsi="宋体" w:eastAsia="宋体" w:cs="宋体"/>
                <w:color w:val="000000"/>
                <w:kern w:val="0"/>
                <w:sz w:val="21"/>
                <w:szCs w:val="21"/>
                <w:highlight w:val="none"/>
                <w:u w:val="none"/>
                <w:lang w:val="en-US" w:eastAsia="zh-CN"/>
              </w:rPr>
              <w:t xml:space="preserve">开户银行：  </w:t>
            </w:r>
          </w:p>
        </w:tc>
      </w:tr>
      <w:tr w14:paraId="37A19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10044FC3">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000000"/>
                <w:kern w:val="0"/>
                <w:sz w:val="21"/>
                <w:szCs w:val="21"/>
                <w:highlight w:val="none"/>
                <w:u w:val="none"/>
                <w:lang w:val="en-US" w:eastAsia="zh-CN"/>
              </w:rPr>
            </w:pPr>
            <w:r>
              <w:rPr>
                <w:rFonts w:hint="eastAsia" w:ascii="宋体" w:hAnsi="宋体" w:eastAsia="宋体" w:cs="宋体"/>
                <w:color w:val="000000"/>
                <w:kern w:val="0"/>
                <w:sz w:val="21"/>
                <w:szCs w:val="21"/>
                <w:highlight w:val="none"/>
                <w:u w:val="none"/>
                <w:lang w:val="en-US" w:eastAsia="zh-CN"/>
              </w:rPr>
              <w:t>开户名称：</w:t>
            </w:r>
          </w:p>
        </w:tc>
        <w:tc>
          <w:tcPr>
            <w:tcW w:w="4597" w:type="dxa"/>
            <w:noWrap w:val="0"/>
            <w:vAlign w:val="top"/>
          </w:tcPr>
          <w:p w14:paraId="59DF360A">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000000"/>
                <w:kern w:val="0"/>
                <w:sz w:val="21"/>
                <w:szCs w:val="21"/>
                <w:highlight w:val="none"/>
                <w:u w:val="none"/>
                <w:lang w:val="en-US" w:eastAsia="zh-CN"/>
              </w:rPr>
            </w:pPr>
            <w:r>
              <w:rPr>
                <w:rFonts w:hint="eastAsia" w:ascii="宋体" w:hAnsi="宋体" w:eastAsia="宋体" w:cs="宋体"/>
                <w:color w:val="000000"/>
                <w:kern w:val="0"/>
                <w:sz w:val="21"/>
                <w:szCs w:val="21"/>
                <w:highlight w:val="none"/>
                <w:u w:val="none"/>
                <w:lang w:val="en-US" w:eastAsia="zh-CN"/>
              </w:rPr>
              <w:t xml:space="preserve">开户名称： </w:t>
            </w:r>
          </w:p>
        </w:tc>
      </w:tr>
      <w:tr w14:paraId="5F6DC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7D47928C">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000000"/>
                <w:kern w:val="0"/>
                <w:sz w:val="21"/>
                <w:szCs w:val="21"/>
                <w:highlight w:val="none"/>
                <w:u w:val="none"/>
                <w:lang w:val="en-US" w:eastAsia="zh-CN" w:bidi="ar-SA"/>
              </w:rPr>
            </w:pPr>
            <w:r>
              <w:rPr>
                <w:rFonts w:hint="eastAsia" w:ascii="宋体" w:hAnsi="宋体" w:eastAsia="宋体" w:cs="宋体"/>
                <w:color w:val="000000"/>
                <w:kern w:val="0"/>
                <w:sz w:val="21"/>
                <w:szCs w:val="21"/>
                <w:highlight w:val="none"/>
                <w:u w:val="none"/>
                <w:lang w:val="en-US" w:eastAsia="zh-CN"/>
              </w:rPr>
              <w:t>账号：</w:t>
            </w:r>
          </w:p>
        </w:tc>
        <w:tc>
          <w:tcPr>
            <w:tcW w:w="4597" w:type="dxa"/>
            <w:noWrap w:val="0"/>
            <w:vAlign w:val="top"/>
          </w:tcPr>
          <w:p w14:paraId="43A5CEC3">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000000"/>
                <w:kern w:val="0"/>
                <w:sz w:val="21"/>
                <w:szCs w:val="21"/>
                <w:highlight w:val="none"/>
                <w:u w:val="none"/>
                <w:lang w:val="en-US" w:eastAsia="zh-CN" w:bidi="ar-SA"/>
              </w:rPr>
            </w:pPr>
            <w:r>
              <w:rPr>
                <w:rFonts w:hint="eastAsia" w:ascii="宋体" w:hAnsi="宋体" w:eastAsia="宋体" w:cs="宋体"/>
                <w:color w:val="000000"/>
                <w:kern w:val="0"/>
                <w:sz w:val="21"/>
                <w:szCs w:val="21"/>
                <w:highlight w:val="none"/>
                <w:u w:val="none"/>
                <w:lang w:val="en-US" w:eastAsia="zh-CN"/>
              </w:rPr>
              <w:t xml:space="preserve">账号：  </w:t>
            </w:r>
          </w:p>
        </w:tc>
      </w:tr>
    </w:tbl>
    <w:p w14:paraId="01CFDB98">
      <w:pPr>
        <w:pStyle w:val="92"/>
        <w:jc w:val="center"/>
        <w:rPr>
          <w:rFonts w:eastAsia="黑体"/>
          <w:b w:val="0"/>
          <w:bCs w:val="0"/>
          <w:color w:val="000000"/>
          <w:sz w:val="32"/>
          <w:szCs w:val="32"/>
          <w:highlight w:val="none"/>
        </w:rPr>
      </w:pPr>
      <w:r>
        <w:rPr>
          <w:b w:val="0"/>
          <w:bCs w:val="0"/>
          <w:color w:val="000000"/>
          <w:highlight w:val="none"/>
        </w:rPr>
        <w:br w:type="page"/>
      </w:r>
      <w:bookmarkStart w:id="301" w:name="_Toc351203494"/>
      <w:bookmarkStart w:id="302" w:name="_Toc256000032"/>
      <w:bookmarkStart w:id="303" w:name="_Toc2370"/>
      <w:bookmarkStart w:id="304" w:name="_Toc522201572"/>
      <w:r>
        <w:rPr>
          <w:rFonts w:ascii="宋体"/>
          <w:color w:val="000000"/>
          <w:sz w:val="32"/>
          <w:highlight w:val="none"/>
        </w:rPr>
        <w:t>第二部分 通用合同条款</w:t>
      </w:r>
      <w:bookmarkEnd w:id="301"/>
      <w:bookmarkEnd w:id="302"/>
      <w:bookmarkEnd w:id="303"/>
      <w:bookmarkEnd w:id="304"/>
      <w:bookmarkStart w:id="305" w:name="_Toc337558727"/>
    </w:p>
    <w:bookmarkEnd w:id="305"/>
    <w:p w14:paraId="1B789AFC">
      <w:pPr>
        <w:pStyle w:val="4"/>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b w:val="0"/>
          <w:bCs w:val="0"/>
          <w:color w:val="000000"/>
          <w:sz w:val="28"/>
          <w:szCs w:val="28"/>
          <w:highlight w:val="none"/>
        </w:rPr>
      </w:pPr>
      <w:bookmarkStart w:id="306" w:name="_Toc16978"/>
    </w:p>
    <w:p w14:paraId="7BF35847">
      <w:pPr>
        <w:pStyle w:val="95"/>
        <w:ind w:left="63" w:right="63"/>
        <w:rPr>
          <w:rFonts w:hint="eastAsia" w:eastAsia="宋体"/>
          <w:color w:val="000000"/>
          <w:highlight w:val="none"/>
          <w:lang w:eastAsia="zh-CN"/>
        </w:rPr>
      </w:pPr>
      <w:r>
        <w:rPr>
          <w:rFonts w:hint="eastAsia" w:ascii="宋体" w:hAnsi="宋体" w:eastAsia="宋体" w:cs="宋体"/>
          <w:b w:val="0"/>
          <w:bCs w:val="0"/>
          <w:color w:val="000000"/>
          <w:sz w:val="24"/>
          <w:szCs w:val="24"/>
          <w:highlight w:val="none"/>
        </w:rPr>
        <w:t>本工程的施工合同通用条款按国家工商行政管理局和建设部颁布的：</w:t>
      </w:r>
      <w:bookmarkEnd w:id="306"/>
      <w:r>
        <w:rPr>
          <w:rFonts w:hint="eastAsia" w:ascii="宋体" w:hAnsi="宋体" w:eastAsia="宋体" w:cs="宋体"/>
          <w:b w:val="0"/>
          <w:bCs w:val="0"/>
          <w:color w:val="000000"/>
          <w:sz w:val="24"/>
          <w:szCs w:val="24"/>
          <w:highlight w:val="none"/>
        </w:rPr>
        <w:t>《建设工程施工合同（示范文本）》（GF-2017-0201）</w:t>
      </w:r>
      <w:r>
        <w:rPr>
          <w:rFonts w:hint="eastAsia" w:ascii="宋体" w:hAnsi="宋体" w:eastAsia="宋体" w:cs="宋体"/>
          <w:b w:val="0"/>
          <w:bCs w:val="0"/>
          <w:color w:val="000000"/>
          <w:sz w:val="24"/>
          <w:szCs w:val="24"/>
          <w:highlight w:val="none"/>
          <w:lang w:eastAsia="zh-CN"/>
        </w:rPr>
        <w:t>。</w:t>
      </w:r>
    </w:p>
    <w:p w14:paraId="003F76AE">
      <w:pPr>
        <w:pStyle w:val="95"/>
        <w:ind w:left="63" w:right="63"/>
        <w:rPr>
          <w:color w:val="000000"/>
          <w:highlight w:val="none"/>
        </w:rPr>
      </w:pPr>
    </w:p>
    <w:p w14:paraId="56C9C5E4">
      <w:pPr>
        <w:pStyle w:val="95"/>
        <w:ind w:left="63" w:right="63"/>
        <w:rPr>
          <w:color w:val="000000"/>
          <w:highlight w:val="none"/>
        </w:rPr>
      </w:pPr>
    </w:p>
    <w:p w14:paraId="0E3409E6">
      <w:pPr>
        <w:pStyle w:val="95"/>
        <w:ind w:left="63" w:right="63"/>
        <w:rPr>
          <w:color w:val="000000"/>
          <w:highlight w:val="none"/>
        </w:rPr>
      </w:pPr>
    </w:p>
    <w:p w14:paraId="4549FC4B">
      <w:pPr>
        <w:pStyle w:val="95"/>
        <w:ind w:left="63" w:right="63"/>
        <w:rPr>
          <w:color w:val="000000"/>
          <w:highlight w:val="none"/>
        </w:rPr>
      </w:pPr>
    </w:p>
    <w:p w14:paraId="5A3C107C">
      <w:pPr>
        <w:pStyle w:val="95"/>
        <w:ind w:left="63" w:right="63"/>
        <w:rPr>
          <w:color w:val="000000"/>
          <w:highlight w:val="none"/>
        </w:rPr>
      </w:pPr>
    </w:p>
    <w:p w14:paraId="358307E6">
      <w:pPr>
        <w:pStyle w:val="95"/>
        <w:ind w:left="63" w:right="63"/>
        <w:rPr>
          <w:color w:val="000000"/>
          <w:highlight w:val="none"/>
        </w:rPr>
      </w:pPr>
    </w:p>
    <w:p w14:paraId="2EF0D72A">
      <w:pPr>
        <w:pStyle w:val="95"/>
        <w:ind w:left="63" w:right="63"/>
        <w:rPr>
          <w:color w:val="000000"/>
          <w:highlight w:val="none"/>
        </w:rPr>
      </w:pPr>
    </w:p>
    <w:p w14:paraId="65C548C3">
      <w:pPr>
        <w:pStyle w:val="95"/>
        <w:ind w:left="63" w:right="63"/>
        <w:rPr>
          <w:color w:val="000000"/>
          <w:highlight w:val="none"/>
        </w:rPr>
      </w:pPr>
    </w:p>
    <w:p w14:paraId="2DA1EF57">
      <w:pPr>
        <w:pStyle w:val="95"/>
        <w:ind w:left="63" w:right="63"/>
        <w:rPr>
          <w:color w:val="000000"/>
          <w:highlight w:val="none"/>
        </w:rPr>
      </w:pPr>
    </w:p>
    <w:p w14:paraId="0550FB3F">
      <w:pPr>
        <w:pStyle w:val="95"/>
        <w:ind w:left="63" w:right="63"/>
        <w:rPr>
          <w:color w:val="000000"/>
          <w:highlight w:val="none"/>
        </w:rPr>
      </w:pPr>
    </w:p>
    <w:p w14:paraId="5A282C11">
      <w:pPr>
        <w:pStyle w:val="95"/>
        <w:ind w:left="63" w:right="63"/>
        <w:rPr>
          <w:color w:val="000000"/>
          <w:highlight w:val="none"/>
        </w:rPr>
      </w:pPr>
    </w:p>
    <w:p w14:paraId="7E229426">
      <w:pPr>
        <w:pStyle w:val="95"/>
        <w:ind w:left="63" w:right="63"/>
        <w:rPr>
          <w:color w:val="000000"/>
          <w:highlight w:val="none"/>
        </w:rPr>
      </w:pPr>
    </w:p>
    <w:p w14:paraId="37654298">
      <w:pPr>
        <w:pStyle w:val="95"/>
        <w:ind w:left="63" w:right="63"/>
        <w:rPr>
          <w:color w:val="000000"/>
          <w:highlight w:val="none"/>
        </w:rPr>
      </w:pPr>
    </w:p>
    <w:p w14:paraId="2CE383A9">
      <w:pPr>
        <w:pStyle w:val="95"/>
        <w:ind w:left="63" w:right="63"/>
        <w:rPr>
          <w:color w:val="000000"/>
          <w:highlight w:val="none"/>
        </w:rPr>
      </w:pPr>
    </w:p>
    <w:p w14:paraId="1501A25C">
      <w:pPr>
        <w:pStyle w:val="95"/>
        <w:ind w:left="63" w:right="63"/>
        <w:rPr>
          <w:color w:val="000000"/>
          <w:highlight w:val="none"/>
        </w:rPr>
      </w:pPr>
    </w:p>
    <w:p w14:paraId="6464911F">
      <w:pPr>
        <w:pStyle w:val="95"/>
        <w:ind w:left="63" w:right="63"/>
        <w:rPr>
          <w:color w:val="000000"/>
          <w:highlight w:val="none"/>
        </w:rPr>
      </w:pPr>
    </w:p>
    <w:p w14:paraId="29586CB3">
      <w:pPr>
        <w:pStyle w:val="95"/>
        <w:ind w:left="63" w:right="63"/>
        <w:rPr>
          <w:color w:val="000000"/>
          <w:highlight w:val="none"/>
        </w:rPr>
      </w:pPr>
    </w:p>
    <w:p w14:paraId="6E3ED026">
      <w:pPr>
        <w:pStyle w:val="95"/>
        <w:ind w:left="63" w:right="63"/>
        <w:rPr>
          <w:color w:val="000000"/>
          <w:highlight w:val="none"/>
        </w:rPr>
      </w:pPr>
    </w:p>
    <w:p w14:paraId="40D2CED9">
      <w:pPr>
        <w:pStyle w:val="95"/>
        <w:ind w:left="63" w:right="63"/>
        <w:rPr>
          <w:color w:val="000000"/>
          <w:highlight w:val="none"/>
        </w:rPr>
      </w:pPr>
    </w:p>
    <w:p w14:paraId="244EBABF">
      <w:pPr>
        <w:pStyle w:val="95"/>
        <w:ind w:left="63" w:right="63"/>
        <w:rPr>
          <w:color w:val="000000"/>
          <w:highlight w:val="none"/>
        </w:rPr>
      </w:pPr>
    </w:p>
    <w:p w14:paraId="0B69A495">
      <w:pPr>
        <w:pStyle w:val="95"/>
        <w:ind w:left="63" w:right="63"/>
        <w:rPr>
          <w:color w:val="000000"/>
          <w:highlight w:val="none"/>
        </w:rPr>
      </w:pPr>
    </w:p>
    <w:p w14:paraId="1AA5F1C8">
      <w:pPr>
        <w:pStyle w:val="95"/>
        <w:ind w:left="63" w:right="63"/>
        <w:rPr>
          <w:color w:val="000000"/>
          <w:highlight w:val="none"/>
        </w:rPr>
      </w:pPr>
    </w:p>
    <w:p w14:paraId="1AFC1A29">
      <w:pPr>
        <w:pStyle w:val="95"/>
        <w:ind w:left="63" w:right="63"/>
        <w:rPr>
          <w:color w:val="000000"/>
          <w:highlight w:val="none"/>
        </w:rPr>
      </w:pPr>
    </w:p>
    <w:p w14:paraId="108F1686">
      <w:pPr>
        <w:pStyle w:val="95"/>
        <w:ind w:left="63" w:right="63"/>
        <w:rPr>
          <w:color w:val="000000"/>
          <w:highlight w:val="none"/>
        </w:rPr>
      </w:pPr>
    </w:p>
    <w:p w14:paraId="66F2F0E8">
      <w:pPr>
        <w:pStyle w:val="95"/>
        <w:ind w:left="63" w:right="63"/>
        <w:rPr>
          <w:color w:val="000000"/>
          <w:highlight w:val="none"/>
        </w:rPr>
      </w:pPr>
    </w:p>
    <w:p w14:paraId="52913A6A">
      <w:pPr>
        <w:pStyle w:val="95"/>
        <w:ind w:left="63" w:right="63"/>
        <w:rPr>
          <w:color w:val="000000"/>
          <w:highlight w:val="none"/>
        </w:rPr>
      </w:pPr>
    </w:p>
    <w:p w14:paraId="7CD84BBA">
      <w:pPr>
        <w:pStyle w:val="95"/>
        <w:ind w:left="63" w:right="63"/>
        <w:rPr>
          <w:color w:val="000000"/>
          <w:highlight w:val="none"/>
        </w:rPr>
      </w:pPr>
    </w:p>
    <w:p w14:paraId="76E3C9F8">
      <w:pPr>
        <w:pStyle w:val="95"/>
        <w:ind w:left="63" w:right="63"/>
        <w:rPr>
          <w:color w:val="000000"/>
          <w:highlight w:val="none"/>
        </w:rPr>
      </w:pPr>
    </w:p>
    <w:p w14:paraId="6A199020">
      <w:pPr>
        <w:pStyle w:val="95"/>
        <w:ind w:left="63" w:right="63"/>
        <w:rPr>
          <w:color w:val="000000"/>
          <w:highlight w:val="none"/>
        </w:rPr>
      </w:pPr>
    </w:p>
    <w:p w14:paraId="7A405C7A">
      <w:pPr>
        <w:pStyle w:val="92"/>
        <w:spacing w:line="400" w:lineRule="atLeast"/>
        <w:jc w:val="center"/>
        <w:rPr>
          <w:color w:val="000000"/>
          <w:highlight w:val="none"/>
        </w:rPr>
      </w:pPr>
      <w:bookmarkStart w:id="307" w:name="_Toc256000171"/>
      <w:r>
        <w:rPr>
          <w:rFonts w:ascii="宋体"/>
          <w:color w:val="000000"/>
          <w:sz w:val="32"/>
          <w:highlight w:val="none"/>
        </w:rPr>
        <w:t>第</w:t>
      </w:r>
      <w:r>
        <w:rPr>
          <w:rFonts w:hint="eastAsia" w:ascii="宋体"/>
          <w:color w:val="000000"/>
          <w:sz w:val="32"/>
          <w:highlight w:val="none"/>
        </w:rPr>
        <w:t>三</w:t>
      </w:r>
      <w:r>
        <w:rPr>
          <w:rFonts w:ascii="宋体"/>
          <w:color w:val="000000"/>
          <w:sz w:val="32"/>
          <w:highlight w:val="none"/>
        </w:rPr>
        <w:t>部分 专用合同条款</w:t>
      </w:r>
      <w:bookmarkEnd w:id="307"/>
    </w:p>
    <w:p w14:paraId="1D67579E">
      <w:pPr>
        <w:pStyle w:val="92"/>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bookmarkStart w:id="308" w:name="_Toc522201723"/>
      <w:bookmarkStart w:id="309" w:name="_Toc351203633"/>
      <w:bookmarkStart w:id="310" w:name="_Toc497746774"/>
      <w:bookmarkStart w:id="311" w:name="_Toc418752235"/>
      <w:bookmarkStart w:id="312" w:name="_Toc497747171"/>
      <w:bookmarkStart w:id="313" w:name="_Toc256000172"/>
      <w:bookmarkStart w:id="314" w:name="_Toc418751789"/>
      <w:bookmarkStart w:id="315" w:name="_Toc406522213"/>
      <w:bookmarkStart w:id="316" w:name="_Toc484024116"/>
      <w:r>
        <w:rPr>
          <w:rFonts w:hint="eastAsia" w:ascii="宋体" w:hAnsi="宋体" w:eastAsia="宋体" w:cs="宋体"/>
          <w:color w:val="000000"/>
          <w:sz w:val="21"/>
          <w:szCs w:val="21"/>
          <w:highlight w:val="none"/>
        </w:rPr>
        <w:t>1</w:t>
      </w:r>
      <w:bookmarkStart w:id="317" w:name="_Toc297048342"/>
      <w:bookmarkStart w:id="318" w:name="_Toc296346657"/>
      <w:bookmarkStart w:id="319" w:name="_Toc292559361"/>
      <w:bookmarkStart w:id="320" w:name="_Toc296944495"/>
      <w:bookmarkStart w:id="321" w:name="_Toc292559866"/>
      <w:bookmarkStart w:id="322" w:name="_Toc297120456"/>
      <w:bookmarkStart w:id="323" w:name="_Toc296503156"/>
      <w:bookmarkStart w:id="324" w:name="_Toc296890984"/>
      <w:bookmarkStart w:id="325" w:name="_Toc296347155"/>
      <w:bookmarkStart w:id="326" w:name="_Toc296891196"/>
      <w:r>
        <w:rPr>
          <w:rFonts w:hint="eastAsia" w:ascii="宋体" w:hAnsi="宋体" w:eastAsia="宋体" w:cs="宋体"/>
          <w:color w:val="000000"/>
          <w:sz w:val="21"/>
          <w:szCs w:val="21"/>
          <w:highlight w:val="none"/>
        </w:rPr>
        <w:t>. 一般约定</w:t>
      </w:r>
      <w:bookmarkEnd w:id="308"/>
      <w:bookmarkEnd w:id="309"/>
      <w:bookmarkEnd w:id="310"/>
      <w:bookmarkEnd w:id="311"/>
      <w:bookmarkEnd w:id="312"/>
      <w:bookmarkEnd w:id="313"/>
      <w:bookmarkEnd w:id="314"/>
      <w:bookmarkEnd w:id="315"/>
    </w:p>
    <w:bookmarkEnd w:id="317"/>
    <w:bookmarkEnd w:id="318"/>
    <w:bookmarkEnd w:id="319"/>
    <w:bookmarkEnd w:id="320"/>
    <w:bookmarkEnd w:id="321"/>
    <w:bookmarkEnd w:id="322"/>
    <w:bookmarkEnd w:id="323"/>
    <w:bookmarkEnd w:id="324"/>
    <w:bookmarkEnd w:id="325"/>
    <w:bookmarkEnd w:id="326"/>
    <w:p w14:paraId="61A700AC">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327" w:name="_Toc406522214"/>
      <w:bookmarkStart w:id="328" w:name="_Toc497746775"/>
      <w:bookmarkStart w:id="329" w:name="_Toc418751790"/>
      <w:bookmarkStart w:id="330" w:name="_Toc418752236"/>
      <w:bookmarkStart w:id="331" w:name="_Toc256000173"/>
      <w:bookmarkStart w:id="332" w:name="_Toc497747172"/>
      <w:bookmarkStart w:id="333" w:name="_Toc522201724"/>
      <w:r>
        <w:rPr>
          <w:rFonts w:hint="eastAsia" w:ascii="宋体" w:hAnsi="宋体" w:eastAsia="宋体" w:cs="宋体"/>
          <w:color w:val="000000"/>
          <w:sz w:val="21"/>
          <w:szCs w:val="21"/>
          <w:highlight w:val="none"/>
        </w:rPr>
        <w:t>1.1 词语定义</w:t>
      </w:r>
      <w:bookmarkEnd w:id="327"/>
      <w:bookmarkEnd w:id="328"/>
      <w:bookmarkEnd w:id="329"/>
      <w:bookmarkEnd w:id="330"/>
      <w:bookmarkEnd w:id="331"/>
      <w:bookmarkEnd w:id="332"/>
      <w:bookmarkEnd w:id="333"/>
    </w:p>
    <w:p w14:paraId="54F5F8BB">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1.1.1合同</w:t>
      </w:r>
    </w:p>
    <w:p w14:paraId="4A83C354">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1.1.1.10其他合同文件包括：</w:t>
      </w:r>
      <w:r>
        <w:rPr>
          <w:rFonts w:hint="eastAsia" w:ascii="宋体" w:hAnsi="宋体" w:eastAsia="宋体" w:cs="宋体"/>
          <w:color w:val="000000"/>
          <w:sz w:val="21"/>
          <w:szCs w:val="21"/>
          <w:highlight w:val="none"/>
          <w:u w:val="single"/>
        </w:rPr>
        <w:t>（1）本合同协议书；（2）中标通知书；（3）投标书及其附件；（4）本合同专用条款及补充条款；（5）本合同通用条款；（6）标准、规范及有关技术文件；（7）图纸（含图纸修改通知单及图纸设计变更文件）；（8）工程量清单；（9）本工程预算控制价造价成果文件及其他合同文件</w:t>
      </w:r>
      <w:r>
        <w:rPr>
          <w:rFonts w:hint="eastAsia" w:ascii="宋体" w:hAnsi="宋体" w:eastAsia="宋体" w:cs="宋体"/>
          <w:color w:val="000000"/>
          <w:sz w:val="21"/>
          <w:szCs w:val="21"/>
          <w:highlight w:val="none"/>
        </w:rPr>
        <w:t>。</w:t>
      </w:r>
    </w:p>
    <w:p w14:paraId="376D0313">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1.1.2 合同当事人及其他相关方</w:t>
      </w:r>
    </w:p>
    <w:p w14:paraId="68BA3A21">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1.1.2.4监理人：</w:t>
      </w:r>
    </w:p>
    <w:p w14:paraId="32DB9894">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名    称：</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以发包人书面通知为准</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CF4B403">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资质类别和等级：</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以发包人书面通知为准</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8A4A309">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以发包人书面通知为准</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AA743D1">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电子信箱：</w:t>
      </w:r>
      <w:r>
        <w:rPr>
          <w:rFonts w:hint="eastAsia" w:ascii="宋体" w:hAnsi="宋体" w:eastAsia="宋体" w:cs="宋体"/>
          <w:color w:val="000000"/>
          <w:sz w:val="21"/>
          <w:szCs w:val="21"/>
          <w:highlight w:val="none"/>
          <w:u w:val="single"/>
          <w:lang w:val="en-US" w:eastAsia="zh-CN"/>
        </w:rPr>
        <w:t xml:space="preserve"> 以发包人书面通知为准 </w:t>
      </w:r>
      <w:r>
        <w:rPr>
          <w:rFonts w:hint="eastAsia" w:ascii="宋体" w:hAnsi="宋体" w:eastAsia="宋体" w:cs="宋体"/>
          <w:color w:val="000000"/>
          <w:sz w:val="21"/>
          <w:szCs w:val="21"/>
          <w:highlight w:val="none"/>
        </w:rPr>
        <w:t>；</w:t>
      </w:r>
    </w:p>
    <w:p w14:paraId="6B04244A">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通信地址：</w:t>
      </w:r>
      <w:r>
        <w:rPr>
          <w:rFonts w:hint="eastAsia" w:ascii="宋体" w:hAnsi="宋体" w:eastAsia="宋体" w:cs="宋体"/>
          <w:color w:val="000000"/>
          <w:sz w:val="21"/>
          <w:szCs w:val="21"/>
          <w:highlight w:val="none"/>
          <w:u w:val="single"/>
          <w:lang w:val="en-US" w:eastAsia="zh-CN"/>
        </w:rPr>
        <w:t xml:space="preserve"> 以发包人书面通知为准 </w:t>
      </w:r>
      <w:r>
        <w:rPr>
          <w:rFonts w:hint="eastAsia" w:ascii="宋体" w:hAnsi="宋体" w:eastAsia="宋体" w:cs="宋体"/>
          <w:color w:val="000000"/>
          <w:sz w:val="21"/>
          <w:szCs w:val="21"/>
          <w:highlight w:val="none"/>
        </w:rPr>
        <w:t>。</w:t>
      </w:r>
    </w:p>
    <w:p w14:paraId="00AEF48E">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1.1.2.5 设计人：</w:t>
      </w:r>
    </w:p>
    <w:p w14:paraId="780BC797">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名    称：</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p>
    <w:p w14:paraId="40500009">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资质类别和等级：</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p>
    <w:p w14:paraId="1D3D35F3">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p>
    <w:p w14:paraId="2EC272C6">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电子信箱：</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p>
    <w:p w14:paraId="2543ED3C">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通信地址：</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p>
    <w:p w14:paraId="559CB683">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1.1.3 工程和设备</w:t>
      </w:r>
    </w:p>
    <w:p w14:paraId="532569C4">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1.1.3.7 作为施工现场组成部分的其他场所包括：</w:t>
      </w:r>
      <w:r>
        <w:rPr>
          <w:rFonts w:hint="eastAsia" w:ascii="宋体" w:hAnsi="宋体" w:eastAsia="宋体" w:cs="宋体"/>
          <w:color w:val="000000"/>
          <w:sz w:val="21"/>
          <w:szCs w:val="21"/>
          <w:highlight w:val="none"/>
          <w:u w:val="single"/>
        </w:rPr>
        <w:t xml:space="preserve">  按通用条款执行</w:t>
      </w:r>
      <w:r>
        <w:rPr>
          <w:rFonts w:hint="eastAsia" w:ascii="宋体" w:hAnsi="宋体" w:eastAsia="宋体" w:cs="宋体"/>
          <w:color w:val="000000"/>
          <w:sz w:val="21"/>
          <w:szCs w:val="21"/>
          <w:highlight w:val="none"/>
        </w:rPr>
        <w:t>。</w:t>
      </w:r>
    </w:p>
    <w:p w14:paraId="23A4D261">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1.1.3.9 永久占地包括：</w:t>
      </w:r>
      <w:r>
        <w:rPr>
          <w:rFonts w:hint="eastAsia" w:ascii="宋体" w:hAnsi="宋体" w:eastAsia="宋体" w:cs="宋体"/>
          <w:color w:val="000000"/>
          <w:sz w:val="21"/>
          <w:szCs w:val="21"/>
          <w:highlight w:val="none"/>
          <w:u w:val="single"/>
        </w:rPr>
        <w:t xml:space="preserve">  为实施工程需永久占用的土地</w:t>
      </w:r>
      <w:r>
        <w:rPr>
          <w:rFonts w:hint="eastAsia" w:ascii="宋体" w:hAnsi="宋体" w:eastAsia="宋体" w:cs="宋体"/>
          <w:color w:val="000000"/>
          <w:sz w:val="21"/>
          <w:szCs w:val="21"/>
          <w:highlight w:val="none"/>
        </w:rPr>
        <w:t>。</w:t>
      </w:r>
    </w:p>
    <w:p w14:paraId="0E40BEA2">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1.1.3.10 临时占地包括：</w:t>
      </w:r>
      <w:r>
        <w:rPr>
          <w:rFonts w:hint="eastAsia" w:ascii="宋体" w:hAnsi="宋体" w:eastAsia="宋体" w:cs="宋体"/>
          <w:color w:val="000000"/>
          <w:sz w:val="21"/>
          <w:szCs w:val="21"/>
          <w:highlight w:val="none"/>
          <w:u w:val="single"/>
        </w:rPr>
        <w:t xml:space="preserve"> 为实施工程需临时占用的土地 </w:t>
      </w:r>
      <w:r>
        <w:rPr>
          <w:rFonts w:hint="eastAsia" w:ascii="宋体" w:hAnsi="宋体" w:eastAsia="宋体" w:cs="宋体"/>
          <w:color w:val="000000"/>
          <w:sz w:val="21"/>
          <w:szCs w:val="21"/>
          <w:highlight w:val="none"/>
        </w:rPr>
        <w:t>。</w:t>
      </w:r>
    </w:p>
    <w:p w14:paraId="1270404E">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334" w:name="_Toc522201725"/>
      <w:bookmarkStart w:id="335" w:name="_Toc497746776"/>
      <w:bookmarkStart w:id="336" w:name="_Toc256000174"/>
      <w:bookmarkStart w:id="337" w:name="_Toc418752237"/>
      <w:bookmarkStart w:id="338" w:name="_Toc418751791"/>
      <w:bookmarkStart w:id="339" w:name="_Toc497747173"/>
      <w:bookmarkStart w:id="340" w:name="_Toc406522215"/>
      <w:r>
        <w:rPr>
          <w:rFonts w:hint="eastAsia" w:ascii="宋体" w:hAnsi="宋体" w:eastAsia="宋体" w:cs="宋体"/>
          <w:color w:val="000000"/>
          <w:sz w:val="21"/>
          <w:szCs w:val="21"/>
          <w:highlight w:val="none"/>
        </w:rPr>
        <w:t>1.3法律</w:t>
      </w:r>
      <w:bookmarkEnd w:id="334"/>
      <w:bookmarkEnd w:id="335"/>
      <w:bookmarkEnd w:id="336"/>
      <w:bookmarkEnd w:id="337"/>
      <w:bookmarkEnd w:id="338"/>
      <w:bookmarkEnd w:id="339"/>
      <w:bookmarkEnd w:id="340"/>
      <w:r>
        <w:rPr>
          <w:rFonts w:hint="eastAsia" w:ascii="宋体" w:hAnsi="宋体" w:eastAsia="宋体" w:cs="宋体"/>
          <w:color w:val="000000"/>
          <w:sz w:val="21"/>
          <w:szCs w:val="21"/>
          <w:highlight w:val="none"/>
        </w:rPr>
        <w:t xml:space="preserve"> </w:t>
      </w:r>
    </w:p>
    <w:p w14:paraId="6FB11EF6">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适用于合同的其他规范性文件：</w:t>
      </w:r>
      <w:r>
        <w:rPr>
          <w:rFonts w:hint="eastAsia" w:ascii="宋体" w:hAnsi="宋体" w:eastAsia="宋体" w:cs="宋体"/>
          <w:color w:val="000000"/>
          <w:sz w:val="21"/>
          <w:szCs w:val="21"/>
          <w:highlight w:val="none"/>
          <w:u w:val="single"/>
        </w:rPr>
        <w:t>同通用条款</w:t>
      </w:r>
      <w:r>
        <w:rPr>
          <w:rFonts w:hint="eastAsia" w:ascii="宋体" w:hAnsi="宋体" w:eastAsia="宋体" w:cs="宋体"/>
          <w:color w:val="000000"/>
          <w:sz w:val="21"/>
          <w:szCs w:val="21"/>
          <w:highlight w:val="none"/>
        </w:rPr>
        <w:t>。</w:t>
      </w:r>
    </w:p>
    <w:p w14:paraId="3CD4A3A5">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341" w:name="_Toc497746777"/>
      <w:bookmarkStart w:id="342" w:name="_Toc418752238"/>
      <w:bookmarkStart w:id="343" w:name="_Toc406522216"/>
      <w:bookmarkStart w:id="344" w:name="_Toc497747174"/>
      <w:bookmarkStart w:id="345" w:name="_Toc522201726"/>
      <w:bookmarkStart w:id="346" w:name="_Toc418751792"/>
      <w:bookmarkStart w:id="347" w:name="_Toc256000175"/>
      <w:r>
        <w:rPr>
          <w:rFonts w:hint="eastAsia" w:ascii="宋体" w:hAnsi="宋体" w:eastAsia="宋体" w:cs="宋体"/>
          <w:color w:val="000000"/>
          <w:sz w:val="21"/>
          <w:szCs w:val="21"/>
          <w:highlight w:val="none"/>
        </w:rPr>
        <w:t>1.4 标准和规范</w:t>
      </w:r>
      <w:bookmarkEnd w:id="341"/>
      <w:bookmarkEnd w:id="342"/>
      <w:bookmarkEnd w:id="343"/>
      <w:bookmarkEnd w:id="344"/>
      <w:bookmarkEnd w:id="345"/>
      <w:bookmarkEnd w:id="346"/>
      <w:bookmarkEnd w:id="347"/>
    </w:p>
    <w:p w14:paraId="27308652">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1.4.1适用于工程的标准规范包括：</w:t>
      </w:r>
      <w:r>
        <w:rPr>
          <w:rFonts w:hint="eastAsia" w:ascii="宋体" w:hAnsi="宋体" w:eastAsia="宋体" w:cs="宋体"/>
          <w:color w:val="000000"/>
          <w:sz w:val="21"/>
          <w:szCs w:val="21"/>
          <w:highlight w:val="none"/>
          <w:u w:val="single"/>
        </w:rPr>
        <w:t>现行国家、地方、部门有关标准规范</w:t>
      </w:r>
      <w:r>
        <w:rPr>
          <w:rFonts w:hint="eastAsia" w:ascii="宋体" w:hAnsi="宋体" w:eastAsia="宋体" w:cs="宋体"/>
          <w:color w:val="000000"/>
          <w:sz w:val="21"/>
          <w:szCs w:val="21"/>
          <w:highlight w:val="none"/>
        </w:rPr>
        <w:t>。</w:t>
      </w:r>
    </w:p>
    <w:p w14:paraId="24C1A853">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1.4.2 发包人提供国外标准、规范的名称：</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无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p>
    <w:p w14:paraId="157394F4">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发包人提供国外标准、规范的份数：</w:t>
      </w:r>
      <w:r>
        <w:rPr>
          <w:rFonts w:hint="eastAsia" w:ascii="宋体" w:hAnsi="宋体" w:eastAsia="宋体" w:cs="宋体"/>
          <w:color w:val="000000"/>
          <w:sz w:val="21"/>
          <w:szCs w:val="21"/>
          <w:highlight w:val="none"/>
          <w:u w:val="single"/>
        </w:rPr>
        <w:t xml:space="preserve">  无</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5E35B2A">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发包人提供国外标准、规范的名称：</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无</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F134B5E">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1.4.3发包人对工程的技术标准和功能要求的特殊要求：</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无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p>
    <w:p w14:paraId="4B7FC6F8">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348" w:name="_Toc418751793"/>
      <w:bookmarkStart w:id="349" w:name="_Toc418752239"/>
      <w:bookmarkStart w:id="350" w:name="_Toc497747175"/>
      <w:bookmarkStart w:id="351" w:name="_Toc256000176"/>
      <w:bookmarkStart w:id="352" w:name="_Toc522201727"/>
      <w:bookmarkStart w:id="353" w:name="_Toc406522217"/>
      <w:bookmarkStart w:id="354" w:name="_Toc497746778"/>
      <w:r>
        <w:rPr>
          <w:rFonts w:hint="eastAsia" w:ascii="宋体" w:hAnsi="宋体" w:eastAsia="宋体" w:cs="宋体"/>
          <w:color w:val="000000"/>
          <w:sz w:val="21"/>
          <w:szCs w:val="21"/>
          <w:highlight w:val="none"/>
        </w:rPr>
        <w:t>1.5 合同文件的优先顺序</w:t>
      </w:r>
      <w:bookmarkEnd w:id="348"/>
      <w:bookmarkEnd w:id="349"/>
      <w:bookmarkEnd w:id="350"/>
      <w:bookmarkEnd w:id="351"/>
      <w:bookmarkEnd w:id="352"/>
      <w:bookmarkEnd w:id="353"/>
      <w:bookmarkEnd w:id="354"/>
    </w:p>
    <w:p w14:paraId="03EFA0FA">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合同文件组成及优先顺序为：</w:t>
      </w:r>
    </w:p>
    <w:p w14:paraId="2FECDE16">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（1）合同协议书；</w:t>
      </w:r>
    </w:p>
    <w:p w14:paraId="604824C7">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（2）中标通知书（如果有）；</w:t>
      </w:r>
    </w:p>
    <w:p w14:paraId="569FECB2">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（3）投标函及其附录（如果有）；</w:t>
      </w:r>
    </w:p>
    <w:p w14:paraId="15149E31">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（4）专用合同条款及其附件；</w:t>
      </w:r>
    </w:p>
    <w:p w14:paraId="6EFDD53B">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（5）通用合同条款；</w:t>
      </w:r>
    </w:p>
    <w:p w14:paraId="5C3E24B6">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（6）技术标准和要求 ；</w:t>
      </w:r>
    </w:p>
    <w:p w14:paraId="6E3554B9">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（7）图纸（含图纸修改通知单及图纸设计变更文件） ；</w:t>
      </w:r>
    </w:p>
    <w:p w14:paraId="1E694FFF">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（8）已标价工程量清单 ；</w:t>
      </w:r>
    </w:p>
    <w:p w14:paraId="5130D519">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（9）其他合同文件（包括本工程预算控制价造价成果文件、招标文件等文件）；</w:t>
      </w:r>
    </w:p>
    <w:p w14:paraId="55FBE96B">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建设工程工程量清单计价规范（GB5050-2013）》及其广西实施细则及《关于建筑业实施营业税改征增值税后广西壮族自治区建设工程计价依据调整的通知》（桂建标〔2016〕17号）、《建设工程工程量清单计算规范（</w:t>
      </w:r>
      <w:r>
        <w:rPr>
          <w:rFonts w:hint="eastAsia" w:ascii="宋体" w:hAnsi="宋体" w:eastAsia="宋体" w:cs="宋体"/>
          <w:color w:val="000000"/>
          <w:kern w:val="0"/>
          <w:sz w:val="21"/>
          <w:szCs w:val="21"/>
          <w:highlight w:val="none"/>
          <w:lang w:eastAsia="zh-CN"/>
        </w:rPr>
        <w:t>GB50854</w:t>
      </w:r>
      <w:r>
        <w:rPr>
          <w:rFonts w:hint="eastAsia" w:ascii="宋体" w:hAnsi="宋体" w:eastAsia="宋体" w:cs="宋体"/>
          <w:color w:val="000000"/>
          <w:kern w:val="0"/>
          <w:sz w:val="21"/>
          <w:szCs w:val="21"/>
          <w:highlight w:val="none"/>
        </w:rPr>
        <w:t>～50862-2013）》及其广西实施细则（修订本）。</w:t>
      </w:r>
    </w:p>
    <w:p w14:paraId="7695615B">
      <w:pPr>
        <w:pStyle w:val="92"/>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b w:val="0"/>
          <w:bCs w:val="0"/>
          <w:color w:val="000000"/>
          <w:kern w:val="0"/>
          <w:sz w:val="21"/>
          <w:szCs w:val="21"/>
          <w:highlight w:val="none"/>
        </w:rPr>
      </w:pPr>
      <w:bookmarkStart w:id="355" w:name="_Toc256000177"/>
      <w:bookmarkStart w:id="356" w:name="_Toc418752240"/>
      <w:bookmarkStart w:id="357" w:name="_Toc406522218"/>
      <w:bookmarkStart w:id="358" w:name="_Toc497747176"/>
      <w:bookmarkStart w:id="359" w:name="_Toc418751794"/>
      <w:bookmarkStart w:id="360" w:name="_Toc497746779"/>
      <w:bookmarkStart w:id="361" w:name="_Toc522201728"/>
      <w:r>
        <w:rPr>
          <w:rFonts w:hint="eastAsia" w:ascii="宋体" w:hAnsi="宋体" w:eastAsia="宋体" w:cs="宋体"/>
          <w:b w:val="0"/>
          <w:bCs w:val="0"/>
          <w:color w:val="000000"/>
          <w:kern w:val="0"/>
          <w:sz w:val="21"/>
          <w:szCs w:val="21"/>
          <w:highlight w:val="none"/>
        </w:rPr>
        <w:t>说明：（6）、（7）、（8）、（9）填空内容分别限于技术标准和要求、图纸、已标价工程量清单或预算书、其他合同文件四者之一，其优先顺序可根据采取的不同合同方式由双方约定。</w:t>
      </w:r>
      <w:bookmarkEnd w:id="355"/>
    </w:p>
    <w:p w14:paraId="4249DFC5">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362" w:name="_Toc256000178"/>
      <w:r>
        <w:rPr>
          <w:rFonts w:hint="eastAsia" w:ascii="宋体" w:hAnsi="宋体" w:eastAsia="宋体" w:cs="宋体"/>
          <w:color w:val="000000"/>
          <w:sz w:val="21"/>
          <w:szCs w:val="21"/>
          <w:highlight w:val="none"/>
        </w:rPr>
        <w:t>1.6 图纸和承包人文件</w:t>
      </w:r>
      <w:bookmarkEnd w:id="356"/>
      <w:bookmarkEnd w:id="357"/>
      <w:bookmarkEnd w:id="358"/>
      <w:bookmarkEnd w:id="359"/>
      <w:bookmarkEnd w:id="360"/>
      <w:bookmarkEnd w:id="361"/>
      <w:bookmarkEnd w:id="362"/>
      <w:r>
        <w:rPr>
          <w:rFonts w:hint="eastAsia" w:ascii="宋体" w:hAnsi="宋体" w:eastAsia="宋体" w:cs="宋体"/>
          <w:color w:val="000000"/>
          <w:sz w:val="21"/>
          <w:szCs w:val="21"/>
          <w:highlight w:val="none"/>
        </w:rPr>
        <w:tab/>
      </w:r>
    </w:p>
    <w:p w14:paraId="0CC29A1A">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1.6.1 图纸的提供</w:t>
      </w:r>
    </w:p>
    <w:p w14:paraId="246A4FA6">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发包人向承包人提供图纸的期限：</w:t>
      </w:r>
      <w:r>
        <w:rPr>
          <w:rFonts w:hint="eastAsia" w:ascii="宋体" w:hAnsi="宋体" w:eastAsia="宋体" w:cs="宋体"/>
          <w:color w:val="000000"/>
          <w:sz w:val="21"/>
          <w:szCs w:val="21"/>
          <w:highlight w:val="none"/>
          <w:u w:val="single"/>
        </w:rPr>
        <w:t>合同签订生效后7天内</w:t>
      </w:r>
      <w:r>
        <w:rPr>
          <w:rFonts w:hint="eastAsia" w:ascii="宋体" w:hAnsi="宋体" w:eastAsia="宋体" w:cs="宋体"/>
          <w:color w:val="000000"/>
          <w:sz w:val="21"/>
          <w:szCs w:val="21"/>
          <w:highlight w:val="none"/>
        </w:rPr>
        <w:t>；</w:t>
      </w:r>
    </w:p>
    <w:p w14:paraId="5673BC04">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发包人向承包人提供图纸的数量：</w:t>
      </w:r>
      <w:r>
        <w:rPr>
          <w:rFonts w:hint="eastAsia" w:ascii="宋体" w:hAnsi="宋体" w:eastAsia="宋体" w:cs="宋体"/>
          <w:strike w:val="0"/>
          <w:dstrike w:val="0"/>
          <w:color w:val="000000"/>
          <w:sz w:val="21"/>
          <w:szCs w:val="21"/>
          <w:highlight w:val="none"/>
          <w:u w:val="single"/>
        </w:rPr>
        <w:t>贰</w:t>
      </w:r>
      <w:r>
        <w:rPr>
          <w:rFonts w:hint="eastAsia" w:ascii="宋体" w:hAnsi="宋体" w:eastAsia="宋体" w:cs="宋体"/>
          <w:color w:val="000000"/>
          <w:sz w:val="21"/>
          <w:szCs w:val="21"/>
          <w:highlight w:val="none"/>
          <w:u w:val="single"/>
        </w:rPr>
        <w:t>份，上述图纸及技术资料，未经监理工程师和发包人同意，承包人不得提供给与本工程无关的第三方。承包人需要增加图纸套数的，承包人自行复制，复制费用由承包人承担。</w:t>
      </w:r>
    </w:p>
    <w:p w14:paraId="70A17116">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发包人向承包人提供图纸的内容：</w:t>
      </w:r>
      <w:r>
        <w:rPr>
          <w:rFonts w:hint="eastAsia" w:ascii="宋体" w:hAnsi="宋体" w:eastAsia="宋体" w:cs="宋体"/>
          <w:color w:val="000000"/>
          <w:kern w:val="0"/>
          <w:sz w:val="21"/>
          <w:szCs w:val="21"/>
          <w:highlight w:val="none"/>
          <w:u w:val="single"/>
        </w:rPr>
        <w:t>全套施工图纸和其他技术资料</w:t>
      </w:r>
      <w:r>
        <w:rPr>
          <w:rFonts w:hint="eastAsia" w:ascii="宋体" w:hAnsi="宋体" w:eastAsia="宋体" w:cs="宋体"/>
          <w:color w:val="000000"/>
          <w:sz w:val="21"/>
          <w:szCs w:val="21"/>
          <w:highlight w:val="none"/>
        </w:rPr>
        <w:t>。</w:t>
      </w:r>
    </w:p>
    <w:p w14:paraId="7C65ED4F">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1.6.4 承包人文件</w:t>
      </w:r>
    </w:p>
    <w:p w14:paraId="00CE6461">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需要由承包人提供的文件，包括：</w:t>
      </w:r>
      <w:r>
        <w:rPr>
          <w:rFonts w:hint="eastAsia" w:ascii="宋体" w:hAnsi="宋体" w:eastAsia="宋体" w:cs="宋体"/>
          <w:color w:val="000000"/>
          <w:sz w:val="21"/>
          <w:szCs w:val="21"/>
          <w:highlight w:val="none"/>
          <w:u w:val="single"/>
        </w:rPr>
        <w:t>1、施工组织设计；2、工程进度计划；3、管理人员名单、职称、职务、上岗证等；4、安全文明施工措施；5、质量保证体系；6、每月25日前提供当月施工统计报表和下月进度计划各一份交监理工程师及发包人；7</w:t>
      </w:r>
      <w:r>
        <w:rPr>
          <w:rFonts w:hint="eastAsia" w:ascii="宋体" w:hAnsi="宋体" w:eastAsia="宋体" w:cs="宋体"/>
          <w:color w:val="000000"/>
          <w:sz w:val="21"/>
          <w:szCs w:val="21"/>
          <w:highlight w:val="none"/>
          <w:u w:val="single"/>
          <w:lang w:val="zh-CN"/>
        </w:rPr>
        <w:t>、</w:t>
      </w:r>
      <w:r>
        <w:rPr>
          <w:rFonts w:hint="eastAsia" w:ascii="宋体" w:hAnsi="宋体" w:eastAsia="宋体" w:cs="宋体"/>
          <w:color w:val="000000"/>
          <w:sz w:val="21"/>
          <w:szCs w:val="21"/>
          <w:highlight w:val="none"/>
          <w:u w:val="single"/>
        </w:rPr>
        <w:t>施工图以外的大样图、加工图、标准图、以及建筑装饰深化设计图纸设计优化建议等。但设计成果文件需经原设计单位审核及认可。最终设计成果归发包人所有。</w:t>
      </w:r>
    </w:p>
    <w:p w14:paraId="0CAB3FA5">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承包人提供的文件的期限为：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u w:val="single"/>
        </w:rPr>
        <w:t xml:space="preserve">开始施工前7天内  </w:t>
      </w:r>
      <w:r>
        <w:rPr>
          <w:rFonts w:hint="eastAsia" w:ascii="宋体" w:hAnsi="宋体" w:eastAsia="宋体" w:cs="宋体"/>
          <w:color w:val="000000"/>
          <w:sz w:val="21"/>
          <w:szCs w:val="21"/>
          <w:highlight w:val="none"/>
        </w:rPr>
        <w:t>；</w:t>
      </w:r>
    </w:p>
    <w:p w14:paraId="06C53708">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承包人提供的文件的数量为：</w:t>
      </w:r>
      <w:r>
        <w:rPr>
          <w:rFonts w:hint="eastAsia" w:ascii="宋体" w:hAnsi="宋体" w:eastAsia="宋体" w:cs="宋体"/>
          <w:color w:val="000000"/>
          <w:sz w:val="21"/>
          <w:szCs w:val="21"/>
          <w:highlight w:val="none"/>
          <w:u w:val="single"/>
        </w:rPr>
        <w:t xml:space="preserve">  6</w:t>
      </w:r>
      <w:r>
        <w:rPr>
          <w:rFonts w:hint="eastAsia" w:ascii="宋体" w:hAnsi="宋体" w:eastAsia="宋体" w:cs="宋体"/>
          <w:color w:val="000000"/>
          <w:kern w:val="0"/>
          <w:sz w:val="21"/>
          <w:szCs w:val="21"/>
          <w:highlight w:val="none"/>
          <w:u w:val="single"/>
        </w:rPr>
        <w:t>份</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5AE3B6A">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承包人提供的文件的形式为：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u w:val="single"/>
        </w:rPr>
        <w:t>纸质版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498ED82">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发包人审批承包人文件的期限：</w:t>
      </w:r>
      <w:r>
        <w:rPr>
          <w:rFonts w:hint="eastAsia" w:ascii="宋体" w:hAnsi="宋体" w:eastAsia="宋体" w:cs="宋体"/>
          <w:color w:val="000000"/>
          <w:sz w:val="21"/>
          <w:szCs w:val="21"/>
          <w:highlight w:val="none"/>
          <w:u w:val="single"/>
        </w:rPr>
        <w:t xml:space="preserve"> 收到承包人提供的文件后七天内 </w:t>
      </w:r>
      <w:r>
        <w:rPr>
          <w:rFonts w:hint="eastAsia" w:ascii="宋体" w:hAnsi="宋体" w:eastAsia="宋体" w:cs="宋体"/>
          <w:color w:val="000000"/>
          <w:sz w:val="21"/>
          <w:szCs w:val="21"/>
          <w:highlight w:val="none"/>
        </w:rPr>
        <w:t>。</w:t>
      </w:r>
    </w:p>
    <w:p w14:paraId="16A5F214">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1.6.5 现场图纸准备</w:t>
      </w:r>
    </w:p>
    <w:p w14:paraId="150EED48">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关于现场图纸准备的约定：</w:t>
      </w:r>
      <w:r>
        <w:rPr>
          <w:rFonts w:hint="eastAsia" w:ascii="宋体" w:hAnsi="宋体" w:eastAsia="宋体" w:cs="宋体"/>
          <w:color w:val="000000"/>
          <w:sz w:val="21"/>
          <w:szCs w:val="21"/>
          <w:highlight w:val="none"/>
          <w:u w:val="single"/>
        </w:rPr>
        <w:t xml:space="preserve">  按通用条款执行</w:t>
      </w:r>
      <w:r>
        <w:rPr>
          <w:rFonts w:hint="eastAsia" w:ascii="宋体" w:hAnsi="宋体" w:eastAsia="宋体" w:cs="宋体"/>
          <w:color w:val="000000"/>
          <w:sz w:val="21"/>
          <w:szCs w:val="21"/>
          <w:highlight w:val="none"/>
        </w:rPr>
        <w:t>。</w:t>
      </w:r>
    </w:p>
    <w:p w14:paraId="56DBB005">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363" w:name="_Toc497747177"/>
      <w:bookmarkStart w:id="364" w:name="_Toc256000179"/>
      <w:bookmarkStart w:id="365" w:name="_Toc497746780"/>
      <w:bookmarkStart w:id="366" w:name="_Toc406522219"/>
      <w:bookmarkStart w:id="367" w:name="_Toc418752241"/>
      <w:bookmarkStart w:id="368" w:name="_Toc522201729"/>
      <w:bookmarkStart w:id="369" w:name="_Toc418751795"/>
      <w:r>
        <w:rPr>
          <w:rFonts w:hint="eastAsia" w:ascii="宋体" w:hAnsi="宋体" w:eastAsia="宋体" w:cs="宋体"/>
          <w:color w:val="000000"/>
          <w:sz w:val="21"/>
          <w:szCs w:val="21"/>
          <w:highlight w:val="none"/>
        </w:rPr>
        <w:t>1.7 联络</w:t>
      </w:r>
      <w:bookmarkEnd w:id="363"/>
      <w:bookmarkEnd w:id="364"/>
      <w:bookmarkEnd w:id="365"/>
      <w:bookmarkEnd w:id="366"/>
      <w:bookmarkEnd w:id="367"/>
      <w:bookmarkEnd w:id="368"/>
      <w:bookmarkEnd w:id="369"/>
    </w:p>
    <w:p w14:paraId="43DE45F9">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1.7.1发包人和承包人应当在</w:t>
      </w:r>
      <w:r>
        <w:rPr>
          <w:rFonts w:hint="eastAsia" w:ascii="宋体" w:hAnsi="宋体" w:eastAsia="宋体" w:cs="宋体"/>
          <w:color w:val="000000"/>
          <w:sz w:val="21"/>
          <w:szCs w:val="21"/>
          <w:highlight w:val="none"/>
          <w:u w:val="single"/>
        </w:rPr>
        <w:t xml:space="preserve">  7 </w:t>
      </w:r>
      <w:r>
        <w:rPr>
          <w:rFonts w:hint="eastAsia" w:ascii="宋体" w:hAnsi="宋体" w:eastAsia="宋体" w:cs="宋体"/>
          <w:color w:val="000000"/>
          <w:sz w:val="21"/>
          <w:szCs w:val="21"/>
          <w:highlight w:val="none"/>
        </w:rPr>
        <w:t>天内将与合同有关的通知、批准、证明、证书、指示、指令、要求、请求、同意、意见、确定和决定等书面函件送达对方当事人。</w:t>
      </w:r>
    </w:p>
    <w:p w14:paraId="3B514A66">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1.7.2发包人接收文件的地点：</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rPr>
        <w:t>；</w:t>
      </w:r>
    </w:p>
    <w:p w14:paraId="1B5E987B">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发包人指定的接收人为：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p w14:paraId="0D3DD71F">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承包人接收文件的地点：</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u w:val="single"/>
        </w:rPr>
        <w:t>施工现场项目部</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rPr>
        <w:t>；</w:t>
      </w:r>
    </w:p>
    <w:p w14:paraId="6BA1091C">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承包人指定的接收人为：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rPr>
        <w:t>。</w:t>
      </w:r>
    </w:p>
    <w:p w14:paraId="0D4DD911">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监理人接收文件的地点：</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rPr>
        <w:t>；</w:t>
      </w:r>
    </w:p>
    <w:p w14:paraId="643F03C3">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监理人指定的接收人为：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p>
    <w:p w14:paraId="04A99C41">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370" w:name="_Toc406522220"/>
      <w:bookmarkStart w:id="371" w:name="_Toc522201730"/>
      <w:bookmarkStart w:id="372" w:name="_Toc497746781"/>
      <w:bookmarkStart w:id="373" w:name="_Toc256000180"/>
      <w:bookmarkStart w:id="374" w:name="_Toc497747178"/>
      <w:bookmarkStart w:id="375" w:name="_Toc418751796"/>
      <w:bookmarkStart w:id="376" w:name="_Toc418752242"/>
      <w:r>
        <w:rPr>
          <w:rFonts w:hint="eastAsia" w:ascii="宋体" w:hAnsi="宋体" w:eastAsia="宋体" w:cs="宋体"/>
          <w:color w:val="000000"/>
          <w:sz w:val="21"/>
          <w:szCs w:val="21"/>
          <w:highlight w:val="none"/>
        </w:rPr>
        <w:t>1.10 交通运输</w:t>
      </w:r>
      <w:bookmarkEnd w:id="370"/>
      <w:bookmarkEnd w:id="371"/>
      <w:bookmarkEnd w:id="372"/>
      <w:bookmarkEnd w:id="373"/>
      <w:bookmarkEnd w:id="374"/>
      <w:bookmarkEnd w:id="375"/>
      <w:bookmarkEnd w:id="376"/>
    </w:p>
    <w:p w14:paraId="7B8E6363">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bookmarkStart w:id="377" w:name="_Toc304295521"/>
      <w:bookmarkStart w:id="378" w:name="_Toc300934943"/>
      <w:bookmarkStart w:id="379" w:name="_Toc312677986"/>
      <w:bookmarkStart w:id="380" w:name="_Toc318581155"/>
      <w:bookmarkStart w:id="381" w:name="_Toc303539100"/>
      <w:r>
        <w:rPr>
          <w:rFonts w:hint="eastAsia" w:ascii="宋体" w:hAnsi="宋体" w:eastAsia="宋体" w:cs="宋体"/>
          <w:color w:val="000000"/>
          <w:sz w:val="21"/>
          <w:szCs w:val="21"/>
          <w:highlight w:val="none"/>
        </w:rPr>
        <w:t>.10.1 出入现场的权利</w:t>
      </w:r>
    </w:p>
    <w:p w14:paraId="4ABAE23C">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关于出入现场的权利的约定：</w:t>
      </w:r>
      <w:r>
        <w:rPr>
          <w:rFonts w:hint="eastAsia" w:ascii="宋体" w:hAnsi="宋体" w:eastAsia="宋体" w:cs="宋体"/>
          <w:color w:val="000000"/>
          <w:sz w:val="21"/>
          <w:szCs w:val="21"/>
          <w:highlight w:val="none"/>
          <w:u w:val="single"/>
        </w:rPr>
        <w:t xml:space="preserve"> 除正常施工涉及的人员及车辆外，其他人员及车辆进出场内须经过发包人同意，且由承包人进行管理登记 </w:t>
      </w:r>
      <w:r>
        <w:rPr>
          <w:rFonts w:hint="eastAsia" w:ascii="宋体" w:hAnsi="宋体" w:eastAsia="宋体" w:cs="宋体"/>
          <w:color w:val="000000"/>
          <w:sz w:val="21"/>
          <w:szCs w:val="21"/>
          <w:highlight w:val="none"/>
        </w:rPr>
        <w:t>。</w:t>
      </w:r>
    </w:p>
    <w:bookmarkEnd w:id="377"/>
    <w:bookmarkEnd w:id="378"/>
    <w:bookmarkEnd w:id="379"/>
    <w:bookmarkEnd w:id="380"/>
    <w:bookmarkEnd w:id="381"/>
    <w:p w14:paraId="64817757">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bookmarkStart w:id="382" w:name="_Toc300934944"/>
      <w:bookmarkStart w:id="383" w:name="_Toc304295522"/>
      <w:bookmarkStart w:id="384" w:name="_Toc318581156"/>
      <w:bookmarkStart w:id="385" w:name="_Toc312677987"/>
      <w:bookmarkStart w:id="386" w:name="_Toc303539101"/>
      <w:r>
        <w:rPr>
          <w:rFonts w:hint="eastAsia" w:ascii="宋体" w:hAnsi="宋体" w:eastAsia="宋体" w:cs="宋体"/>
          <w:color w:val="000000"/>
          <w:sz w:val="21"/>
          <w:szCs w:val="21"/>
          <w:highlight w:val="none"/>
        </w:rPr>
        <w:t>.10.3 场内交通</w:t>
      </w:r>
    </w:p>
    <w:p w14:paraId="25810C5E">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关于场外交通和场内交通的边界的约定：</w:t>
      </w:r>
      <w:r>
        <w:rPr>
          <w:rFonts w:hint="eastAsia" w:ascii="宋体" w:hAnsi="宋体" w:eastAsia="宋体" w:cs="宋体"/>
          <w:color w:val="000000"/>
          <w:sz w:val="21"/>
          <w:szCs w:val="21"/>
          <w:highlight w:val="none"/>
          <w:u w:val="single"/>
        </w:rPr>
        <w:t xml:space="preserve">  规划批复总平用地红线  </w:t>
      </w:r>
      <w:r>
        <w:rPr>
          <w:rFonts w:hint="eastAsia" w:ascii="宋体" w:hAnsi="宋体" w:eastAsia="宋体" w:cs="宋体"/>
          <w:color w:val="000000"/>
          <w:sz w:val="21"/>
          <w:szCs w:val="21"/>
          <w:highlight w:val="none"/>
        </w:rPr>
        <w:t>。</w:t>
      </w:r>
    </w:p>
    <w:p w14:paraId="3BFCDD8F">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关于发包人向承包人免费提供满足工程施工需要的场内道路和交通设施的约定：</w:t>
      </w:r>
      <w:r>
        <w:rPr>
          <w:rFonts w:hint="eastAsia" w:ascii="宋体" w:hAnsi="宋体" w:eastAsia="宋体" w:cs="宋体"/>
          <w:color w:val="000000"/>
          <w:sz w:val="21"/>
          <w:szCs w:val="21"/>
          <w:highlight w:val="none"/>
          <w:u w:val="single"/>
        </w:rPr>
        <w:t>承包人负责场内道路和交通设施的修建并承担相应费用</w:t>
      </w:r>
      <w:r>
        <w:rPr>
          <w:rFonts w:hint="eastAsia" w:ascii="宋体" w:hAnsi="宋体" w:eastAsia="宋体" w:cs="宋体"/>
          <w:color w:val="000000"/>
          <w:sz w:val="21"/>
          <w:szCs w:val="21"/>
          <w:highlight w:val="none"/>
        </w:rPr>
        <w:t>。</w:t>
      </w:r>
      <w:bookmarkEnd w:id="382"/>
      <w:bookmarkEnd w:id="383"/>
      <w:bookmarkEnd w:id="384"/>
      <w:bookmarkEnd w:id="385"/>
      <w:bookmarkEnd w:id="386"/>
      <w:r>
        <w:rPr>
          <w:rFonts w:hint="eastAsia" w:ascii="宋体" w:hAnsi="宋体" w:eastAsia="宋体" w:cs="宋体"/>
          <w:color w:val="000000"/>
          <w:sz w:val="21"/>
          <w:szCs w:val="21"/>
          <w:highlight w:val="none"/>
        </w:rPr>
        <w:t xml:space="preserve">  </w:t>
      </w:r>
      <w:bookmarkStart w:id="387" w:name="_Toc318581157"/>
    </w:p>
    <w:p w14:paraId="4FAADF96">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1.10.4超大件和超重件的运输</w:t>
      </w:r>
    </w:p>
    <w:p w14:paraId="43E5C612">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运输超大件或超重件所需的道路和桥梁临时加固改造费用和其他有关费用由</w:t>
      </w:r>
      <w:r>
        <w:rPr>
          <w:rFonts w:hint="eastAsia" w:ascii="宋体" w:hAnsi="宋体" w:eastAsia="宋体" w:cs="宋体"/>
          <w:color w:val="000000"/>
          <w:sz w:val="21"/>
          <w:szCs w:val="21"/>
          <w:highlight w:val="none"/>
          <w:u w:val="single"/>
        </w:rPr>
        <w:t>承包人</w:t>
      </w:r>
      <w:r>
        <w:rPr>
          <w:rFonts w:hint="eastAsia" w:ascii="宋体" w:hAnsi="宋体" w:eastAsia="宋体" w:cs="宋体"/>
          <w:color w:val="000000"/>
          <w:sz w:val="21"/>
          <w:szCs w:val="21"/>
          <w:highlight w:val="none"/>
        </w:rPr>
        <w:t>承担。</w:t>
      </w:r>
    </w:p>
    <w:bookmarkEnd w:id="387"/>
    <w:p w14:paraId="4C27D9B0">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388" w:name="_Toc497747179"/>
      <w:bookmarkStart w:id="389" w:name="_Toc497746782"/>
      <w:bookmarkStart w:id="390" w:name="_Toc522201731"/>
      <w:bookmarkStart w:id="391" w:name="_Toc418751797"/>
      <w:bookmarkStart w:id="392" w:name="_Toc418752243"/>
      <w:bookmarkStart w:id="393" w:name="_Toc406522221"/>
      <w:bookmarkStart w:id="394" w:name="_Toc256000181"/>
      <w:r>
        <w:rPr>
          <w:rFonts w:hint="eastAsia" w:ascii="宋体" w:hAnsi="宋体" w:eastAsia="宋体" w:cs="宋体"/>
          <w:color w:val="000000"/>
          <w:sz w:val="21"/>
          <w:szCs w:val="21"/>
          <w:highlight w:val="none"/>
        </w:rPr>
        <w:t>1.11 知识产权</w:t>
      </w:r>
      <w:bookmarkEnd w:id="388"/>
      <w:bookmarkEnd w:id="389"/>
      <w:bookmarkEnd w:id="390"/>
      <w:bookmarkEnd w:id="391"/>
      <w:bookmarkEnd w:id="392"/>
      <w:bookmarkEnd w:id="393"/>
      <w:bookmarkEnd w:id="394"/>
    </w:p>
    <w:p w14:paraId="56AEBC54">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sz w:val="21"/>
          <w:szCs w:val="21"/>
          <w:highlight w:val="none"/>
          <w:u w:val="single"/>
        </w:rPr>
        <w:t>著作权属于发包人</w:t>
      </w:r>
      <w:r>
        <w:rPr>
          <w:rFonts w:hint="eastAsia" w:ascii="宋体" w:hAnsi="宋体" w:eastAsia="宋体" w:cs="宋体"/>
          <w:color w:val="000000"/>
          <w:sz w:val="21"/>
          <w:szCs w:val="21"/>
          <w:highlight w:val="none"/>
        </w:rPr>
        <w:t>。</w:t>
      </w:r>
    </w:p>
    <w:p w14:paraId="1A782C85">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关于发包人提供的上述文件的使用限制的要求：</w:t>
      </w:r>
      <w:r>
        <w:rPr>
          <w:rFonts w:hint="eastAsia" w:ascii="宋体" w:hAnsi="宋体" w:eastAsia="宋体" w:cs="宋体"/>
          <w:color w:val="000000"/>
          <w:sz w:val="21"/>
          <w:szCs w:val="21"/>
          <w:highlight w:val="none"/>
          <w:u w:val="single"/>
        </w:rPr>
        <w:t>未经发包人同意，承包人不得为了合同以外的目的而复制、使用上述文件或将之提供给任何第三方</w:t>
      </w:r>
      <w:r>
        <w:rPr>
          <w:rFonts w:hint="eastAsia" w:ascii="宋体" w:hAnsi="宋体" w:eastAsia="宋体" w:cs="宋体"/>
          <w:color w:val="000000"/>
          <w:sz w:val="21"/>
          <w:szCs w:val="21"/>
          <w:highlight w:val="none"/>
        </w:rPr>
        <w:t>。</w:t>
      </w:r>
    </w:p>
    <w:p w14:paraId="29DACA78">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1.11.2 关于承包人为实施工程所编制文件的著作权的归属：</w:t>
      </w:r>
      <w:r>
        <w:rPr>
          <w:rFonts w:hint="eastAsia" w:ascii="宋体" w:hAnsi="宋体" w:eastAsia="宋体" w:cs="宋体"/>
          <w:color w:val="000000"/>
          <w:sz w:val="21"/>
          <w:szCs w:val="21"/>
          <w:highlight w:val="none"/>
          <w:u w:val="single"/>
        </w:rPr>
        <w:t>除署名以外著作权属于发包人</w:t>
      </w:r>
      <w:r>
        <w:rPr>
          <w:rFonts w:hint="eastAsia" w:ascii="宋体" w:hAnsi="宋体" w:eastAsia="宋体" w:cs="宋体"/>
          <w:color w:val="000000"/>
          <w:sz w:val="21"/>
          <w:szCs w:val="21"/>
          <w:highlight w:val="none"/>
        </w:rPr>
        <w:t>。</w:t>
      </w:r>
    </w:p>
    <w:p w14:paraId="027EE1BF">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关于承包人提供的上述文件的使用限制的要求：</w:t>
      </w:r>
      <w:r>
        <w:rPr>
          <w:rFonts w:hint="eastAsia" w:ascii="宋体" w:hAnsi="宋体" w:eastAsia="宋体" w:cs="宋体"/>
          <w:color w:val="000000"/>
          <w:sz w:val="21"/>
          <w:szCs w:val="21"/>
          <w:highlight w:val="none"/>
          <w:u w:val="single"/>
        </w:rPr>
        <w:t>未经发包人同意，承包人不得为了合同以外的目的而复制、使用上述文件或将之提供给任何第三方</w:t>
      </w:r>
      <w:r>
        <w:rPr>
          <w:rFonts w:hint="eastAsia" w:ascii="宋体" w:hAnsi="宋体" w:eastAsia="宋体" w:cs="宋体"/>
          <w:color w:val="000000"/>
          <w:sz w:val="21"/>
          <w:szCs w:val="21"/>
          <w:highlight w:val="none"/>
        </w:rPr>
        <w:t>。</w:t>
      </w:r>
    </w:p>
    <w:p w14:paraId="43FC0C97">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1.11.4 承包人在施工过程中所采用的专利、专有技术、技术秘密的使用费的承担方式：</w:t>
      </w:r>
      <w:r>
        <w:rPr>
          <w:rFonts w:hint="eastAsia" w:ascii="宋体" w:hAnsi="宋体" w:eastAsia="宋体" w:cs="宋体"/>
          <w:color w:val="000000"/>
          <w:sz w:val="21"/>
          <w:szCs w:val="21"/>
          <w:highlight w:val="none"/>
          <w:u w:val="single"/>
        </w:rPr>
        <w:t>由承包人承担</w:t>
      </w:r>
      <w:r>
        <w:rPr>
          <w:rFonts w:hint="eastAsia" w:ascii="宋体" w:hAnsi="宋体" w:eastAsia="宋体" w:cs="宋体"/>
          <w:color w:val="000000"/>
          <w:sz w:val="21"/>
          <w:szCs w:val="21"/>
          <w:highlight w:val="none"/>
        </w:rPr>
        <w:t>。</w:t>
      </w:r>
    </w:p>
    <w:p w14:paraId="6168C5BF">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1.13工程量清单错误的修正</w:t>
      </w:r>
    </w:p>
    <w:p w14:paraId="3C6FA695">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出现工程量清单错误时，是否调整合同价格：</w:t>
      </w:r>
      <w:r>
        <w:rPr>
          <w:rFonts w:hint="eastAsia" w:ascii="宋体" w:hAnsi="宋体" w:eastAsia="宋体" w:cs="宋体"/>
          <w:color w:val="000000"/>
          <w:sz w:val="21"/>
          <w:szCs w:val="21"/>
          <w:highlight w:val="none"/>
          <w:u w:val="single"/>
        </w:rPr>
        <w:t>按《建设工程工程量清单计价规范（GB5050-2013）》及其广西实施细则、《建设工程工程量清单计算规范（</w:t>
      </w:r>
      <w:r>
        <w:rPr>
          <w:rFonts w:hint="eastAsia" w:ascii="宋体" w:hAnsi="宋体" w:eastAsia="宋体" w:cs="宋体"/>
          <w:color w:val="000000"/>
          <w:sz w:val="21"/>
          <w:szCs w:val="21"/>
          <w:highlight w:val="none"/>
          <w:u w:val="single"/>
          <w:lang w:eastAsia="zh-CN"/>
        </w:rPr>
        <w:t>GB50854</w:t>
      </w:r>
      <w:r>
        <w:rPr>
          <w:rFonts w:hint="eastAsia" w:ascii="宋体" w:hAnsi="宋体" w:eastAsia="宋体" w:cs="宋体"/>
          <w:color w:val="000000"/>
          <w:sz w:val="21"/>
          <w:szCs w:val="21"/>
          <w:highlight w:val="none"/>
          <w:u w:val="single"/>
        </w:rPr>
        <w:t>～50862-2013）》及其广西实施细则（修订本）等规定。</w:t>
      </w:r>
    </w:p>
    <w:p w14:paraId="34C2C381">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允许调整合同价格的工程量偏差范围： </w:t>
      </w:r>
      <w:r>
        <w:rPr>
          <w:rFonts w:hint="eastAsia" w:ascii="宋体" w:hAnsi="宋体" w:eastAsia="宋体" w:cs="宋体"/>
          <w:color w:val="000000"/>
          <w:sz w:val="21"/>
          <w:szCs w:val="21"/>
          <w:highlight w:val="none"/>
          <w:u w:val="single"/>
        </w:rPr>
        <w:t>按《建设工程工程量清单计价规范（GB5050-2013）》及其广西实施细则、《建设工程工程量清单计算规范（</w:t>
      </w:r>
      <w:r>
        <w:rPr>
          <w:rFonts w:hint="eastAsia" w:ascii="宋体" w:hAnsi="宋体" w:eastAsia="宋体" w:cs="宋体"/>
          <w:color w:val="000000"/>
          <w:sz w:val="21"/>
          <w:szCs w:val="21"/>
          <w:highlight w:val="none"/>
          <w:u w:val="single"/>
          <w:lang w:eastAsia="zh-CN"/>
        </w:rPr>
        <w:t>GB50854</w:t>
      </w:r>
      <w:r>
        <w:rPr>
          <w:rFonts w:hint="eastAsia" w:ascii="宋体" w:hAnsi="宋体" w:eastAsia="宋体" w:cs="宋体"/>
          <w:color w:val="000000"/>
          <w:sz w:val="21"/>
          <w:szCs w:val="21"/>
          <w:highlight w:val="none"/>
          <w:u w:val="single"/>
        </w:rPr>
        <w:t>～50862-2013）》及其广西实施细则（修订本）等规定</w:t>
      </w:r>
      <w:r>
        <w:rPr>
          <w:rFonts w:hint="eastAsia" w:ascii="宋体" w:hAnsi="宋体" w:eastAsia="宋体" w:cs="宋体"/>
          <w:color w:val="000000"/>
          <w:sz w:val="21"/>
          <w:szCs w:val="21"/>
          <w:highlight w:val="none"/>
        </w:rPr>
        <w:t>。</w:t>
      </w:r>
    </w:p>
    <w:p w14:paraId="0F7DC5A4">
      <w:pPr>
        <w:pStyle w:val="92"/>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bookmarkStart w:id="395" w:name="_Toc418752244"/>
      <w:bookmarkStart w:id="396" w:name="_Toc418751798"/>
      <w:bookmarkStart w:id="397" w:name="_Toc406522222"/>
      <w:bookmarkStart w:id="398" w:name="_Toc497747180"/>
      <w:bookmarkStart w:id="399" w:name="_Toc351203634"/>
      <w:bookmarkStart w:id="400" w:name="_Toc522201732"/>
      <w:bookmarkStart w:id="401" w:name="_Toc497746783"/>
      <w:bookmarkStart w:id="402" w:name="_Toc256000182"/>
      <w:r>
        <w:rPr>
          <w:rFonts w:hint="eastAsia" w:ascii="宋体" w:hAnsi="宋体" w:eastAsia="宋体" w:cs="宋体"/>
          <w:color w:val="000000"/>
          <w:sz w:val="21"/>
          <w:szCs w:val="21"/>
          <w:highlight w:val="none"/>
        </w:rPr>
        <w:t>2</w:t>
      </w:r>
      <w:bookmarkStart w:id="403" w:name="_Toc296503157"/>
      <w:bookmarkStart w:id="404" w:name="_Toc296347156"/>
      <w:bookmarkStart w:id="405" w:name="_Toc296891197"/>
      <w:bookmarkStart w:id="406" w:name="_Toc297120457"/>
      <w:bookmarkStart w:id="407" w:name="_Toc292559362"/>
      <w:bookmarkStart w:id="408" w:name="_Toc292559867"/>
      <w:bookmarkStart w:id="409" w:name="_Toc297048343"/>
      <w:bookmarkStart w:id="410" w:name="_Toc296346658"/>
      <w:bookmarkStart w:id="411" w:name="_Toc296944496"/>
      <w:bookmarkStart w:id="412" w:name="_Toc296890985"/>
      <w:r>
        <w:rPr>
          <w:rFonts w:hint="eastAsia" w:ascii="宋体" w:hAnsi="宋体" w:eastAsia="宋体" w:cs="宋体"/>
          <w:color w:val="000000"/>
          <w:sz w:val="21"/>
          <w:szCs w:val="21"/>
          <w:highlight w:val="none"/>
        </w:rPr>
        <w:t>. 发包人</w:t>
      </w:r>
      <w:bookmarkEnd w:id="395"/>
      <w:bookmarkEnd w:id="396"/>
      <w:bookmarkEnd w:id="397"/>
      <w:bookmarkEnd w:id="398"/>
      <w:bookmarkEnd w:id="399"/>
      <w:bookmarkEnd w:id="400"/>
      <w:bookmarkEnd w:id="401"/>
      <w:bookmarkEnd w:id="402"/>
    </w:p>
    <w:bookmarkEnd w:id="403"/>
    <w:bookmarkEnd w:id="404"/>
    <w:bookmarkEnd w:id="405"/>
    <w:bookmarkEnd w:id="406"/>
    <w:bookmarkEnd w:id="407"/>
    <w:bookmarkEnd w:id="408"/>
    <w:bookmarkEnd w:id="409"/>
    <w:bookmarkEnd w:id="410"/>
    <w:bookmarkEnd w:id="411"/>
    <w:bookmarkEnd w:id="412"/>
    <w:p w14:paraId="639EED9F">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413" w:name="_Toc497747181"/>
      <w:bookmarkStart w:id="414" w:name="_Toc418751799"/>
      <w:bookmarkStart w:id="415" w:name="_Toc522201733"/>
      <w:bookmarkStart w:id="416" w:name="_Toc418752245"/>
      <w:bookmarkStart w:id="417" w:name="_Toc406522223"/>
      <w:bookmarkStart w:id="418" w:name="_Toc256000183"/>
      <w:bookmarkStart w:id="419" w:name="_Toc497746784"/>
      <w:r>
        <w:rPr>
          <w:rFonts w:hint="eastAsia" w:ascii="宋体" w:hAnsi="宋体" w:eastAsia="宋体" w:cs="宋体"/>
          <w:color w:val="000000"/>
          <w:sz w:val="21"/>
          <w:szCs w:val="21"/>
          <w:highlight w:val="none"/>
        </w:rPr>
        <w:t>2.2 发包人代表</w:t>
      </w:r>
      <w:bookmarkEnd w:id="413"/>
      <w:bookmarkEnd w:id="414"/>
      <w:bookmarkEnd w:id="415"/>
      <w:bookmarkEnd w:id="416"/>
      <w:bookmarkEnd w:id="417"/>
      <w:bookmarkEnd w:id="418"/>
      <w:bookmarkEnd w:id="419"/>
    </w:p>
    <w:p w14:paraId="60B2020D">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发包人代表：</w:t>
      </w:r>
    </w:p>
    <w:p w14:paraId="699DB7DA">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    名：</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617372E">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职    务：</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DCAE622">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AAB1E4F">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电子信箱：</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678F38D">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通信地址：</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p>
    <w:p w14:paraId="61F29A58">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发包人对发包人代表的授权范围如下：</w:t>
      </w:r>
      <w:r>
        <w:rPr>
          <w:rFonts w:hint="eastAsia" w:ascii="宋体" w:hAnsi="宋体" w:eastAsia="宋体" w:cs="宋体"/>
          <w:color w:val="000000"/>
          <w:sz w:val="21"/>
          <w:szCs w:val="21"/>
          <w:highlight w:val="none"/>
          <w:u w:val="single"/>
        </w:rPr>
        <w:t>对工程进度、质量进行监督、办理中间交工工程验收手续，负责现场签证，解决由发包人授权处理的事宜</w:t>
      </w:r>
      <w:r>
        <w:rPr>
          <w:rFonts w:hint="eastAsia" w:ascii="宋体" w:hAnsi="宋体" w:eastAsia="宋体" w:cs="宋体"/>
          <w:color w:val="000000"/>
          <w:sz w:val="21"/>
          <w:szCs w:val="21"/>
          <w:highlight w:val="none"/>
        </w:rPr>
        <w:t>。</w:t>
      </w:r>
    </w:p>
    <w:p w14:paraId="2DA8212F">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420" w:name="_Toc418751800"/>
      <w:bookmarkStart w:id="421" w:name="_Toc406522224"/>
      <w:bookmarkStart w:id="422" w:name="_Toc522201734"/>
      <w:bookmarkStart w:id="423" w:name="_Toc256000184"/>
      <w:bookmarkStart w:id="424" w:name="_Toc497747182"/>
      <w:bookmarkStart w:id="425" w:name="_Toc497746785"/>
      <w:bookmarkStart w:id="426" w:name="_Toc418752246"/>
      <w:r>
        <w:rPr>
          <w:rFonts w:hint="eastAsia" w:ascii="宋体" w:hAnsi="宋体" w:eastAsia="宋体" w:cs="宋体"/>
          <w:color w:val="000000"/>
          <w:sz w:val="21"/>
          <w:szCs w:val="21"/>
          <w:highlight w:val="none"/>
        </w:rPr>
        <w:t>2.4 施工现场、施工条件和基础资料的提供</w:t>
      </w:r>
      <w:bookmarkEnd w:id="420"/>
      <w:bookmarkEnd w:id="421"/>
      <w:bookmarkEnd w:id="422"/>
      <w:bookmarkEnd w:id="423"/>
      <w:bookmarkEnd w:id="424"/>
      <w:bookmarkEnd w:id="425"/>
      <w:bookmarkEnd w:id="426"/>
    </w:p>
    <w:p w14:paraId="22F7D7A9">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2.4.1 提供施工现场</w:t>
      </w:r>
    </w:p>
    <w:p w14:paraId="3E9801FA">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关于发包人移交施工现场的期限要求：</w:t>
      </w:r>
      <w:r>
        <w:rPr>
          <w:rFonts w:hint="eastAsia" w:ascii="宋体" w:hAnsi="宋体" w:eastAsia="宋体" w:cs="宋体"/>
          <w:color w:val="000000"/>
          <w:sz w:val="21"/>
          <w:szCs w:val="21"/>
          <w:highlight w:val="none"/>
          <w:u w:val="single"/>
        </w:rPr>
        <w:t xml:space="preserve"> 施工场地应当在监理人发出的开工通知中载明的开工日期前七天具备施工条件并移交给承包人，具体施工条件在施工合同中约定。发包人最迟应当在移交施工场地的同时向承包人提供施工场地内地下管线和地下设施等有关资料，并保证资料的真实、准确和完整</w:t>
      </w:r>
      <w:r>
        <w:rPr>
          <w:rFonts w:hint="eastAsia" w:ascii="宋体" w:hAnsi="宋体" w:eastAsia="宋体" w:cs="宋体"/>
          <w:color w:val="000000"/>
          <w:sz w:val="21"/>
          <w:szCs w:val="21"/>
          <w:highlight w:val="none"/>
        </w:rPr>
        <w:t>。</w:t>
      </w:r>
    </w:p>
    <w:p w14:paraId="1833952D">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2.4.2 提供施工条件</w:t>
      </w:r>
    </w:p>
    <w:p w14:paraId="06D4BB1C">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关于发包人应负责提供施工所需要的条件，包括：</w:t>
      </w:r>
      <w:r>
        <w:rPr>
          <w:rFonts w:hint="eastAsia" w:ascii="宋体" w:hAnsi="宋体" w:eastAsia="宋体" w:cs="宋体"/>
          <w:color w:val="000000"/>
          <w:sz w:val="21"/>
          <w:szCs w:val="21"/>
          <w:highlight w:val="none"/>
          <w:u w:val="single"/>
        </w:rPr>
        <w:t>发包人可配合承包人办理开工所需手续及相关申请，费用由承包人自行解决，施工场地与公共道路的通道，由承包人负责实施，费用已包含在合同价中</w:t>
      </w:r>
      <w:r>
        <w:rPr>
          <w:rFonts w:hint="eastAsia" w:ascii="宋体" w:hAnsi="宋体" w:eastAsia="宋体" w:cs="宋体"/>
          <w:color w:val="000000"/>
          <w:sz w:val="21"/>
          <w:szCs w:val="21"/>
          <w:highlight w:val="none"/>
        </w:rPr>
        <w:t>。</w:t>
      </w:r>
    </w:p>
    <w:p w14:paraId="2C7A0DC3">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427" w:name="_Toc418751801"/>
      <w:bookmarkStart w:id="428" w:name="_Toc256000185"/>
      <w:bookmarkStart w:id="429" w:name="_Toc522201735"/>
      <w:bookmarkStart w:id="430" w:name="_Toc497746786"/>
      <w:bookmarkStart w:id="431" w:name="_Toc497747183"/>
      <w:bookmarkStart w:id="432" w:name="_Toc418752247"/>
      <w:bookmarkStart w:id="433" w:name="_Toc406522225"/>
      <w:r>
        <w:rPr>
          <w:rFonts w:hint="eastAsia" w:ascii="宋体" w:hAnsi="宋体" w:eastAsia="宋体" w:cs="宋体"/>
          <w:color w:val="000000"/>
          <w:sz w:val="21"/>
          <w:szCs w:val="21"/>
          <w:highlight w:val="none"/>
        </w:rPr>
        <w:t>2.5 资金来源证明及支付担保</w:t>
      </w:r>
      <w:bookmarkEnd w:id="427"/>
      <w:bookmarkEnd w:id="428"/>
      <w:bookmarkEnd w:id="429"/>
      <w:bookmarkEnd w:id="430"/>
      <w:bookmarkEnd w:id="431"/>
      <w:bookmarkEnd w:id="432"/>
      <w:bookmarkEnd w:id="433"/>
    </w:p>
    <w:p w14:paraId="1894AA40">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发包人提供资金来源证明的期限要求：</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无</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B53B8D2">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发包人是否提供支付担保：</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否　　　   </w:t>
      </w:r>
      <w:r>
        <w:rPr>
          <w:rFonts w:hint="eastAsia" w:ascii="宋体" w:hAnsi="宋体" w:eastAsia="宋体" w:cs="宋体"/>
          <w:color w:val="000000"/>
          <w:sz w:val="21"/>
          <w:szCs w:val="21"/>
          <w:highlight w:val="none"/>
        </w:rPr>
        <w:t>。</w:t>
      </w:r>
    </w:p>
    <w:p w14:paraId="385CA365">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发包人提供支付担保的形式：</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2F37815">
      <w:pPr>
        <w:pStyle w:val="92"/>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bookmarkStart w:id="434" w:name="_Toc522201736"/>
      <w:bookmarkStart w:id="435" w:name="_Toc418751802"/>
      <w:bookmarkStart w:id="436" w:name="_Toc497747184"/>
      <w:bookmarkStart w:id="437" w:name="_Toc256000186"/>
      <w:bookmarkStart w:id="438" w:name="_Toc406522226"/>
      <w:bookmarkStart w:id="439" w:name="_Toc497746787"/>
      <w:bookmarkStart w:id="440" w:name="_Toc418752248"/>
      <w:bookmarkStart w:id="441" w:name="_Toc351203635"/>
      <w:r>
        <w:rPr>
          <w:rFonts w:hint="eastAsia" w:ascii="宋体" w:hAnsi="宋体" w:eastAsia="宋体" w:cs="宋体"/>
          <w:color w:val="000000"/>
          <w:sz w:val="21"/>
          <w:szCs w:val="21"/>
          <w:highlight w:val="none"/>
        </w:rPr>
        <w:t>3</w:t>
      </w:r>
      <w:bookmarkStart w:id="442" w:name="_Toc296944497"/>
      <w:bookmarkStart w:id="443" w:name="_Toc296890986"/>
      <w:bookmarkStart w:id="444" w:name="_Toc296891198"/>
      <w:bookmarkStart w:id="445" w:name="_Toc296346659"/>
      <w:bookmarkStart w:id="446" w:name="_Toc292559363"/>
      <w:bookmarkStart w:id="447" w:name="_Toc297048344"/>
      <w:bookmarkStart w:id="448" w:name="_Toc296347157"/>
      <w:bookmarkStart w:id="449" w:name="_Toc292559868"/>
      <w:bookmarkStart w:id="450" w:name="_Toc297120458"/>
      <w:bookmarkStart w:id="451" w:name="_Toc296503158"/>
      <w:r>
        <w:rPr>
          <w:rFonts w:hint="eastAsia" w:ascii="宋体" w:hAnsi="宋体" w:eastAsia="宋体" w:cs="宋体"/>
          <w:color w:val="000000"/>
          <w:sz w:val="21"/>
          <w:szCs w:val="21"/>
          <w:highlight w:val="none"/>
        </w:rPr>
        <w:t>. 承包人</w:t>
      </w:r>
      <w:bookmarkEnd w:id="434"/>
      <w:bookmarkEnd w:id="435"/>
      <w:bookmarkEnd w:id="436"/>
      <w:bookmarkEnd w:id="437"/>
      <w:bookmarkEnd w:id="438"/>
      <w:bookmarkEnd w:id="439"/>
      <w:bookmarkEnd w:id="440"/>
      <w:bookmarkEnd w:id="441"/>
    </w:p>
    <w:bookmarkEnd w:id="442"/>
    <w:bookmarkEnd w:id="443"/>
    <w:bookmarkEnd w:id="444"/>
    <w:bookmarkEnd w:id="445"/>
    <w:bookmarkEnd w:id="446"/>
    <w:bookmarkEnd w:id="447"/>
    <w:bookmarkEnd w:id="448"/>
    <w:bookmarkEnd w:id="449"/>
    <w:bookmarkEnd w:id="450"/>
    <w:bookmarkEnd w:id="451"/>
    <w:p w14:paraId="7C06B52E">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452" w:name="_Toc406522227"/>
      <w:bookmarkStart w:id="453" w:name="_Toc256000187"/>
      <w:bookmarkStart w:id="454" w:name="_Toc418752249"/>
      <w:bookmarkStart w:id="455" w:name="_Toc418751803"/>
      <w:bookmarkStart w:id="456" w:name="_Toc497746788"/>
      <w:bookmarkStart w:id="457" w:name="_Toc522201737"/>
      <w:bookmarkStart w:id="458" w:name="_Toc497747185"/>
      <w:r>
        <w:rPr>
          <w:rFonts w:hint="eastAsia" w:ascii="宋体" w:hAnsi="宋体" w:eastAsia="宋体" w:cs="宋体"/>
          <w:color w:val="000000"/>
          <w:sz w:val="21"/>
          <w:szCs w:val="21"/>
          <w:highlight w:val="none"/>
        </w:rPr>
        <w:t>3.1 承包人的一般义务</w:t>
      </w:r>
      <w:bookmarkEnd w:id="452"/>
      <w:bookmarkEnd w:id="453"/>
      <w:bookmarkEnd w:id="454"/>
      <w:bookmarkEnd w:id="455"/>
      <w:bookmarkEnd w:id="456"/>
      <w:bookmarkEnd w:id="457"/>
      <w:bookmarkEnd w:id="458"/>
    </w:p>
    <w:p w14:paraId="30875C15">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kern w:val="0"/>
          <w:sz w:val="21"/>
          <w:szCs w:val="21"/>
          <w:highlight w:val="none"/>
        </w:rPr>
        <w:t>（9）</w:t>
      </w:r>
      <w:r>
        <w:rPr>
          <w:rFonts w:hint="eastAsia" w:ascii="宋体" w:hAnsi="宋体" w:eastAsia="宋体" w:cs="宋体"/>
          <w:color w:val="000000"/>
          <w:sz w:val="21"/>
          <w:szCs w:val="21"/>
          <w:highlight w:val="none"/>
        </w:rPr>
        <w:t>承包人提交的竣工资料的内容：</w:t>
      </w:r>
      <w:r>
        <w:rPr>
          <w:rFonts w:hint="eastAsia" w:ascii="宋体" w:hAnsi="宋体" w:eastAsia="宋体" w:cs="宋体"/>
          <w:color w:val="000000"/>
          <w:sz w:val="21"/>
          <w:szCs w:val="21"/>
          <w:highlight w:val="none"/>
          <w:u w:val="single"/>
        </w:rPr>
        <w:t>工程具备竣工验收条件，承包人按工程竣工验收有关规定，向发包人提交符合《建设工程文件归档整理规范》内容</w:t>
      </w:r>
      <w:r>
        <w:rPr>
          <w:rFonts w:hint="eastAsia" w:ascii="宋体" w:hAnsi="宋体" w:eastAsia="宋体" w:cs="宋体"/>
          <w:strike w:val="0"/>
          <w:color w:val="000000"/>
          <w:sz w:val="21"/>
          <w:szCs w:val="21"/>
          <w:highlight w:val="none"/>
          <w:u w:val="single"/>
        </w:rPr>
        <w:t>装订成册</w:t>
      </w:r>
      <w:r>
        <w:rPr>
          <w:rFonts w:hint="eastAsia" w:ascii="宋体" w:hAnsi="宋体" w:eastAsia="宋体" w:cs="宋体"/>
          <w:color w:val="000000"/>
          <w:sz w:val="21"/>
          <w:szCs w:val="21"/>
          <w:highlight w:val="none"/>
          <w:u w:val="single"/>
        </w:rPr>
        <w:t>的完整竣工资料及竣工验收报告、工程竣工图</w:t>
      </w:r>
      <w:r>
        <w:rPr>
          <w:rFonts w:hint="eastAsia" w:ascii="宋体" w:hAnsi="宋体" w:eastAsia="宋体" w:cs="宋体"/>
          <w:color w:val="000000"/>
          <w:sz w:val="21"/>
          <w:szCs w:val="21"/>
          <w:highlight w:val="none"/>
        </w:rPr>
        <w:t>。</w:t>
      </w:r>
    </w:p>
    <w:p w14:paraId="4B00652E">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承包人需要提交的竣工资料套数：</w:t>
      </w:r>
      <w:r>
        <w:rPr>
          <w:rFonts w:hint="eastAsia" w:ascii="宋体" w:hAnsi="宋体" w:eastAsia="宋体" w:cs="宋体"/>
          <w:color w:val="000000"/>
          <w:sz w:val="21"/>
          <w:szCs w:val="21"/>
          <w:highlight w:val="none"/>
          <w:u w:val="single"/>
        </w:rPr>
        <w:t xml:space="preserve">  承包人向发包人提交竣工档案份数为一式四份；备案资料一式两份；建设工程质量监督档案一式两份  </w:t>
      </w:r>
      <w:r>
        <w:rPr>
          <w:rFonts w:hint="eastAsia" w:ascii="宋体" w:hAnsi="宋体" w:eastAsia="宋体" w:cs="宋体"/>
          <w:color w:val="000000"/>
          <w:sz w:val="21"/>
          <w:szCs w:val="21"/>
          <w:highlight w:val="none"/>
        </w:rPr>
        <w:t>。</w:t>
      </w:r>
    </w:p>
    <w:p w14:paraId="77FF4434">
      <w:pPr>
        <w:pStyle w:val="94"/>
        <w:pageBreakBefore w:val="0"/>
        <w:widowControl w:val="0"/>
        <w:kinsoku/>
        <w:wordWrap/>
        <w:overflowPunct/>
        <w:topLinePunct w:val="0"/>
        <w:bidi w:val="0"/>
        <w:snapToGrid/>
        <w:spacing w:line="360" w:lineRule="auto"/>
        <w:ind w:left="0" w:leftChars="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承包人提交的竣工资料的费用承担：</w:t>
      </w:r>
      <w:r>
        <w:rPr>
          <w:rFonts w:hint="eastAsia" w:ascii="宋体" w:hAnsi="宋体" w:eastAsia="宋体" w:cs="宋体"/>
          <w:color w:val="000000"/>
          <w:sz w:val="21"/>
          <w:szCs w:val="21"/>
          <w:highlight w:val="none"/>
          <w:u w:val="single"/>
        </w:rPr>
        <w:t xml:space="preserve">  由承包人承担相关费用 </w:t>
      </w:r>
      <w:r>
        <w:rPr>
          <w:rFonts w:hint="eastAsia" w:ascii="宋体" w:hAnsi="宋体" w:eastAsia="宋体" w:cs="宋体"/>
          <w:color w:val="000000"/>
          <w:sz w:val="21"/>
          <w:szCs w:val="21"/>
          <w:highlight w:val="none"/>
        </w:rPr>
        <w:t>。</w:t>
      </w:r>
    </w:p>
    <w:p w14:paraId="55C5F2F1">
      <w:pPr>
        <w:pStyle w:val="94"/>
        <w:pageBreakBefore w:val="0"/>
        <w:widowControl w:val="0"/>
        <w:kinsoku/>
        <w:wordWrap/>
        <w:overflowPunct/>
        <w:topLinePunct w:val="0"/>
        <w:bidi w:val="0"/>
        <w:snapToGrid/>
        <w:spacing w:line="360" w:lineRule="auto"/>
        <w:ind w:left="0" w:leftChars="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承包人提交的竣工资料移交时间：</w:t>
      </w:r>
      <w:r>
        <w:rPr>
          <w:rFonts w:hint="eastAsia" w:ascii="宋体" w:hAnsi="宋体" w:eastAsia="宋体" w:cs="宋体"/>
          <w:color w:val="000000"/>
          <w:sz w:val="21"/>
          <w:szCs w:val="21"/>
          <w:highlight w:val="none"/>
          <w:u w:val="single"/>
        </w:rPr>
        <w:t xml:space="preserve">  工程竣工验收合格后30天内  </w:t>
      </w:r>
      <w:r>
        <w:rPr>
          <w:rFonts w:hint="eastAsia" w:ascii="宋体" w:hAnsi="宋体" w:eastAsia="宋体" w:cs="宋体"/>
          <w:color w:val="000000"/>
          <w:sz w:val="21"/>
          <w:szCs w:val="21"/>
          <w:highlight w:val="none"/>
        </w:rPr>
        <w:t>。</w:t>
      </w:r>
    </w:p>
    <w:p w14:paraId="1AE87905">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承包人提交的竣工资料形式要求：</w:t>
      </w:r>
      <w:r>
        <w:rPr>
          <w:rFonts w:hint="eastAsia" w:ascii="宋体" w:hAnsi="宋体" w:eastAsia="宋体" w:cs="宋体"/>
          <w:color w:val="000000"/>
          <w:sz w:val="21"/>
          <w:szCs w:val="21"/>
          <w:highlight w:val="none"/>
          <w:u w:val="single"/>
        </w:rPr>
        <w:t>竣工档案（竣工档案的内容：施工单位竣工验收文件、施工文件、竣工图（按城市建设档案馆要求整理，相关费用由承包人承担）、备案资料（应由承包人提供的部分按桂林市住建局要求整理）、建设工程质量监督档案（应由承包人提供的部分按桂林市建设工程质量监督管理站要求整理）</w:t>
      </w:r>
      <w:r>
        <w:rPr>
          <w:rFonts w:hint="eastAsia" w:ascii="宋体" w:hAnsi="宋体" w:eastAsia="宋体" w:cs="宋体"/>
          <w:color w:val="000000"/>
          <w:sz w:val="21"/>
          <w:szCs w:val="21"/>
          <w:highlight w:val="none"/>
        </w:rPr>
        <w:t>。</w:t>
      </w:r>
    </w:p>
    <w:p w14:paraId="706AD3AB">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（10）承包人应履行的其他义务：</w:t>
      </w:r>
    </w:p>
    <w:p w14:paraId="05E234D6">
      <w:pPr>
        <w:pStyle w:val="94"/>
        <w:pageBreakBefore w:val="0"/>
        <w:widowControl w:val="0"/>
        <w:kinsoku/>
        <w:wordWrap/>
        <w:overflowPunct/>
        <w:topLinePunct w:val="0"/>
        <w:bidi w:val="0"/>
        <w:snapToGrid/>
        <w:spacing w:line="360" w:lineRule="auto"/>
        <w:ind w:left="0" w:leftChars="0" w:firstLine="630" w:firstLineChars="30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single"/>
        </w:rPr>
        <w:t>①施工用水、用电按表计量，费用由承包人承担，由承包人指派专人配合发包人的计量工作，水费及电费按发包人要求进行交付；单位工程内其他单位用水、用电由承包人与相关用水、用电单位协商解决。</w:t>
      </w:r>
    </w:p>
    <w:p w14:paraId="73D943ED">
      <w:pPr>
        <w:pStyle w:val="94"/>
        <w:pageBreakBefore w:val="0"/>
        <w:widowControl w:val="0"/>
        <w:kinsoku/>
        <w:wordWrap/>
        <w:overflowPunct/>
        <w:topLinePunct w:val="0"/>
        <w:bidi w:val="0"/>
        <w:snapToGrid/>
        <w:spacing w:line="360" w:lineRule="auto"/>
        <w:ind w:left="0" w:leftChars="0" w:firstLine="630" w:firstLineChars="30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single"/>
        </w:rPr>
        <w:t>②本工程在施工过程中如存在多个施工单位同时作业时，承包人必须顾全大局、相互协作、密切配合，严格服从发包人和监理单位的协调指挥；承包人须积极协调解决施工过程中存在的各类问题，处理好与相邻施工单位的施工接口关系，否则，发包人有权要求承包人整改或另行指定其他单位来完成相关配合工作，其发生的费用从承包人的工程进度款中扣除，且并不需要承包人同意。承包人应始终采取各种合理的预防措施，对于存在的问题及时反映，对于需要发包人协调解决的问题，要提前提出，否则，由此所造成的损失由承包人承担 。</w:t>
      </w:r>
    </w:p>
    <w:p w14:paraId="216E1924">
      <w:pPr>
        <w:pStyle w:val="94"/>
        <w:pageBreakBefore w:val="0"/>
        <w:widowControl w:val="0"/>
        <w:kinsoku/>
        <w:wordWrap/>
        <w:overflowPunct/>
        <w:topLinePunct w:val="0"/>
        <w:bidi w:val="0"/>
        <w:snapToGrid/>
        <w:spacing w:line="360" w:lineRule="auto"/>
        <w:ind w:left="0" w:leftChars="0" w:firstLine="630" w:firstLineChars="30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single"/>
        </w:rPr>
        <w:t>③承包人负责办理施工有关的交通特别通告证、有害污水、环卫、环保和噪音等审批手续，并承担费用，如因承包人未交纳相关费用，发包人有权从工程款中扣除用于支付相关费用并计入结算。承包人负责满足施工期间政府职能部门对工地消防设施有关要求，并承担相关费用。</w:t>
      </w:r>
    </w:p>
    <w:p w14:paraId="0A90670A">
      <w:pPr>
        <w:pStyle w:val="94"/>
        <w:pageBreakBefore w:val="0"/>
        <w:widowControl w:val="0"/>
        <w:kinsoku/>
        <w:wordWrap/>
        <w:overflowPunct/>
        <w:topLinePunct w:val="0"/>
        <w:bidi w:val="0"/>
        <w:snapToGrid/>
        <w:spacing w:line="360" w:lineRule="auto"/>
        <w:ind w:left="0" w:leftChars="0" w:firstLine="630" w:firstLineChars="30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single"/>
        </w:rPr>
        <w:t>④承包人应负责协调解决本项目当地居民对工程施工的人为干扰，施工机械进出、材料运输如需通过村道及村民土地；承包人应当协调与施工现场周边农村及村民的关系，并承担相关费用，确保项目施工顺利进行。</w:t>
      </w:r>
    </w:p>
    <w:p w14:paraId="456B9272">
      <w:pPr>
        <w:pStyle w:val="94"/>
        <w:pageBreakBefore w:val="0"/>
        <w:widowControl w:val="0"/>
        <w:kinsoku/>
        <w:wordWrap/>
        <w:overflowPunct/>
        <w:topLinePunct w:val="0"/>
        <w:bidi w:val="0"/>
        <w:snapToGrid/>
        <w:spacing w:line="360" w:lineRule="auto"/>
        <w:ind w:left="0" w:leftChars="0" w:firstLine="630" w:firstLineChars="30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single"/>
        </w:rPr>
        <w:t>⑤承包人应始终采取各种合理的预防措施，防止承包人员或其内部发生任何非法的、骚动的或无序的行为，以保持安定，保护现场及第三人的财产和人身安全。</w:t>
      </w:r>
    </w:p>
    <w:p w14:paraId="65C22CE4">
      <w:pPr>
        <w:pStyle w:val="94"/>
        <w:pageBreakBefore w:val="0"/>
        <w:widowControl w:val="0"/>
        <w:kinsoku/>
        <w:wordWrap/>
        <w:overflowPunct/>
        <w:topLinePunct w:val="0"/>
        <w:bidi w:val="0"/>
        <w:snapToGrid/>
        <w:spacing w:line="360" w:lineRule="auto"/>
        <w:ind w:left="0" w:leftChars="0" w:firstLine="630" w:firstLineChars="30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single"/>
        </w:rPr>
        <w:t>⑥为发包人依法发包的专业工程承包商提供总承包管理与协调服务，并为专业工程承包商提供一切施工方便。为发包人和监理人在施工现场提供必要的办公室和办公桌椅等设备。</w:t>
      </w:r>
    </w:p>
    <w:p w14:paraId="4442934D">
      <w:pPr>
        <w:pStyle w:val="94"/>
        <w:pageBreakBefore w:val="0"/>
        <w:widowControl w:val="0"/>
        <w:kinsoku/>
        <w:wordWrap/>
        <w:overflowPunct/>
        <w:topLinePunct w:val="0"/>
        <w:bidi w:val="0"/>
        <w:snapToGrid/>
        <w:spacing w:line="360" w:lineRule="auto"/>
        <w:ind w:left="0" w:leftChars="0" w:firstLine="630" w:firstLineChars="30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single"/>
        </w:rPr>
        <w:t>⑦按建设行政主管部门有关规定配合发包人其他工程的施工等。</w:t>
      </w:r>
    </w:p>
    <w:p w14:paraId="36615AE7">
      <w:pPr>
        <w:pStyle w:val="94"/>
        <w:pageBreakBefore w:val="0"/>
        <w:widowControl w:val="0"/>
        <w:kinsoku/>
        <w:wordWrap/>
        <w:overflowPunct/>
        <w:topLinePunct w:val="0"/>
        <w:bidi w:val="0"/>
        <w:snapToGrid/>
        <w:spacing w:line="360" w:lineRule="auto"/>
        <w:ind w:left="0" w:leftChars="0" w:firstLine="630" w:firstLineChars="30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single"/>
        </w:rPr>
        <w:t>⑧施工期间和施工完毕后，均应及时对施工场地和为其施工提供的公共道路进行保洁、维护以及维修，产生的垃圾和被破坏的场地，必须遵照监理人和发包人的指示进行清理、修复，并根据实际情况将场地恢复到原有状态，费用自理。</w:t>
      </w:r>
    </w:p>
    <w:p w14:paraId="11000784">
      <w:pPr>
        <w:pStyle w:val="94"/>
        <w:pageBreakBefore w:val="0"/>
        <w:widowControl w:val="0"/>
        <w:kinsoku/>
        <w:wordWrap/>
        <w:overflowPunct/>
        <w:topLinePunct w:val="0"/>
        <w:bidi w:val="0"/>
        <w:snapToGrid/>
        <w:spacing w:line="360" w:lineRule="auto"/>
        <w:ind w:left="0" w:leftChars="0" w:firstLine="630" w:firstLineChars="30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single"/>
        </w:rPr>
        <w:t>⑨由于本工程施工现场为居民区，承包人应合理安排施工时间，确保做到不影响周边居民的正常生活，对居民的合理意见应积极整改，确保工程顺利进行。</w:t>
      </w:r>
    </w:p>
    <w:p w14:paraId="7DD7859A">
      <w:pPr>
        <w:pStyle w:val="94"/>
        <w:pageBreakBefore w:val="0"/>
        <w:widowControl w:val="0"/>
        <w:kinsoku/>
        <w:wordWrap/>
        <w:overflowPunct/>
        <w:topLinePunct w:val="0"/>
        <w:bidi w:val="0"/>
        <w:snapToGrid/>
        <w:spacing w:line="360" w:lineRule="auto"/>
        <w:ind w:left="0" w:leftChars="0" w:firstLine="630" w:firstLineChars="30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single"/>
        </w:rPr>
        <w:t>⑩配合发包人做好安全文明工程、领导检查、宣传等工作。以上相关费用均由承包人承担，并在投标报价清单中综合考虑，不再另计。</w:t>
      </w:r>
    </w:p>
    <w:p w14:paraId="002C437D">
      <w:pPr>
        <w:pStyle w:val="94"/>
        <w:pageBreakBefore w:val="0"/>
        <w:widowControl w:val="0"/>
        <w:kinsoku/>
        <w:wordWrap/>
        <w:overflowPunct/>
        <w:topLinePunct w:val="0"/>
        <w:bidi w:val="0"/>
        <w:snapToGrid/>
        <w:spacing w:line="360" w:lineRule="auto"/>
        <w:ind w:left="0" w:leftChars="0" w:firstLine="630" w:firstLineChars="30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single"/>
        </w:rPr>
        <w:t>⑪承包人在工程施工期间由于承包人原因引起的责任事故，全部由承包人承担经济责任和法律责任。</w:t>
      </w:r>
    </w:p>
    <w:p w14:paraId="70BEF851">
      <w:pPr>
        <w:pStyle w:val="94"/>
        <w:pageBreakBefore w:val="0"/>
        <w:widowControl w:val="0"/>
        <w:kinsoku/>
        <w:wordWrap/>
        <w:overflowPunct/>
        <w:topLinePunct w:val="0"/>
        <w:bidi w:val="0"/>
        <w:snapToGrid/>
        <w:spacing w:line="360" w:lineRule="auto"/>
        <w:ind w:left="0" w:leftChars="0" w:firstLine="630" w:firstLineChars="30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single"/>
        </w:rPr>
        <w:t>⑫满足国家、行业、控制标准和验收规范，在质量管理过程中达到或超过质量标准，杜绝重大设备一般及以上质量事故，确保工程无永久性缺陷。</w:t>
      </w:r>
    </w:p>
    <w:p w14:paraId="2307261D">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459" w:name="_Toc418751804"/>
      <w:bookmarkStart w:id="460" w:name="_Toc373227708"/>
      <w:bookmarkStart w:id="461" w:name="_Toc522201738"/>
      <w:bookmarkStart w:id="462" w:name="_Toc418061319"/>
      <w:bookmarkStart w:id="463" w:name="_Toc497747186"/>
      <w:bookmarkStart w:id="464" w:name="_Toc418518354"/>
      <w:bookmarkStart w:id="465" w:name="_Toc418752250"/>
      <w:bookmarkStart w:id="466" w:name="_Toc256000188"/>
      <w:bookmarkStart w:id="467" w:name="_Toc418518118"/>
      <w:bookmarkStart w:id="468" w:name="_Toc373478355"/>
      <w:bookmarkStart w:id="469" w:name="_Toc497746789"/>
      <w:bookmarkStart w:id="470" w:name="_Toc389065274"/>
      <w:bookmarkStart w:id="471" w:name="_Toc403578942"/>
      <w:r>
        <w:rPr>
          <w:rFonts w:hint="eastAsia" w:ascii="宋体" w:hAnsi="宋体" w:eastAsia="宋体" w:cs="宋体"/>
          <w:color w:val="000000"/>
          <w:sz w:val="21"/>
          <w:szCs w:val="21"/>
          <w:highlight w:val="none"/>
        </w:rPr>
        <w:t>3.2 项目经理</w:t>
      </w:r>
      <w:bookmarkEnd w:id="459"/>
      <w:bookmarkEnd w:id="460"/>
      <w:bookmarkEnd w:id="461"/>
      <w:bookmarkEnd w:id="462"/>
      <w:bookmarkEnd w:id="463"/>
      <w:bookmarkEnd w:id="464"/>
      <w:bookmarkEnd w:id="465"/>
      <w:bookmarkEnd w:id="466"/>
      <w:bookmarkEnd w:id="467"/>
      <w:bookmarkEnd w:id="468"/>
      <w:bookmarkEnd w:id="469"/>
      <w:bookmarkEnd w:id="470"/>
      <w:bookmarkEnd w:id="471"/>
    </w:p>
    <w:p w14:paraId="0F7FC6D7">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 xml:space="preserve">3.2.1 </w:t>
      </w:r>
      <w:r>
        <w:rPr>
          <w:rFonts w:hint="eastAsia" w:ascii="宋体" w:hAnsi="宋体" w:eastAsia="宋体" w:cs="宋体"/>
          <w:color w:val="000000"/>
          <w:sz w:val="21"/>
          <w:szCs w:val="21"/>
          <w:highlight w:val="none"/>
        </w:rPr>
        <w:t>项目经理：</w:t>
      </w:r>
    </w:p>
    <w:p w14:paraId="5D676F28">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    名：</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4C0080E">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身份证号：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455A113">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建造师执业资格等级：</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6EBA297">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建造师注册证书号：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B5BC6DF">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建造师执业印章号：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989FED6">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安全生产考核合格证书号：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4323753">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FD50722">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电子信箱：</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AF186AF">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通信地址：</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p>
    <w:p w14:paraId="335A29D1">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 xml:space="preserve">承包人对项目经理的授权范围如下： </w:t>
      </w:r>
      <w:r>
        <w:rPr>
          <w:rFonts w:hint="eastAsia" w:ascii="宋体" w:hAnsi="宋体" w:eastAsia="宋体" w:cs="宋体"/>
          <w:color w:val="000000"/>
          <w:sz w:val="21"/>
          <w:szCs w:val="21"/>
          <w:highlight w:val="none"/>
          <w:u w:val="single"/>
        </w:rPr>
        <w:t>（1）对本工程的建设进行全面管理，行使合同约定的权利，履行合同约定的义务；（2）负责本工程的施工组织方案制定和施工组织设计；（3）负责本工程的劳动力组织和机械设备组织；（4）经发包人同意分包的专业工程，项目经理参与选择并使用具有相应资质的分包人； （5）合同约定由承包人采购的材料、工程设备，项目经理参与选择物资供应单位；（6）在授权范围内协调与项目有关的内、外部关系；（7）负责与发包人、监理人办理设计变更、现场签证等手续，及时办理本工程相关索赔；（8）负责签收发包人、监理人往来函件，承包人的要求、通知均应以书面形式由承包人项目经理签字并加盖承包人公司公章后递交发包人；（9）代表承包人接受监理工程师或发包人现场代表发出的指示和指令。但未经承包人盖章同意不得以承包人名义向外融资、 采购材料设备、 租用建筑周转材料、 雇佣劳动力、签订分包合同等从事一切为承包人设立义务或责任的行为</w:t>
      </w:r>
      <w:r>
        <w:rPr>
          <w:rFonts w:hint="eastAsia" w:ascii="宋体" w:hAnsi="宋体" w:eastAsia="宋体" w:cs="宋体"/>
          <w:color w:val="000000"/>
          <w:sz w:val="21"/>
          <w:szCs w:val="21"/>
          <w:highlight w:val="none"/>
        </w:rPr>
        <w:t>。</w:t>
      </w:r>
    </w:p>
    <w:p w14:paraId="614738C7">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关于项目经理每月在施工现场的时间要求：</w:t>
      </w:r>
      <w:r>
        <w:rPr>
          <w:rFonts w:hint="eastAsia" w:ascii="宋体" w:hAnsi="宋体" w:eastAsia="宋体" w:cs="宋体"/>
          <w:color w:val="000000"/>
          <w:sz w:val="21"/>
          <w:szCs w:val="21"/>
          <w:highlight w:val="none"/>
          <w:u w:val="single"/>
        </w:rPr>
        <w:t xml:space="preserve">  不少于22个工作日,若项目经理每月在岗时间少于22个工作日，发包人有权更换项目经理，由此造成的一切损失由承包人承担</w:t>
      </w:r>
      <w:r>
        <w:rPr>
          <w:rFonts w:hint="eastAsia" w:ascii="宋体" w:hAnsi="宋体" w:eastAsia="宋体" w:cs="宋体"/>
          <w:color w:val="000000"/>
          <w:sz w:val="21"/>
          <w:szCs w:val="21"/>
          <w:highlight w:val="none"/>
        </w:rPr>
        <w:t>。</w:t>
      </w:r>
    </w:p>
    <w:p w14:paraId="02A1159A">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kern w:val="0"/>
          <w:sz w:val="21"/>
          <w:szCs w:val="21"/>
          <w:highlight w:val="none"/>
        </w:rPr>
        <w:t>承包人未提交劳动合同，以及没有为项目经理缴纳社会保险证明的违约责任：</w:t>
      </w:r>
      <w:r>
        <w:rPr>
          <w:rFonts w:hint="eastAsia" w:ascii="宋体" w:hAnsi="宋体" w:eastAsia="宋体" w:cs="宋体"/>
          <w:color w:val="000000"/>
          <w:sz w:val="21"/>
          <w:szCs w:val="21"/>
          <w:highlight w:val="none"/>
          <w:u w:val="single"/>
        </w:rPr>
        <w:t>承包人不提交上述文件的，项目经理无权履行职责，发包人有权要求更换项目经理，由此增加的费用和延误的工期由承包人承担</w:t>
      </w:r>
      <w:r>
        <w:rPr>
          <w:rFonts w:hint="eastAsia" w:ascii="宋体" w:hAnsi="宋体" w:eastAsia="宋体" w:cs="宋体"/>
          <w:color w:val="000000"/>
          <w:sz w:val="21"/>
          <w:szCs w:val="21"/>
          <w:highlight w:val="none"/>
        </w:rPr>
        <w:t>。</w:t>
      </w:r>
    </w:p>
    <w:p w14:paraId="233CFA4A">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kern w:val="0"/>
          <w:sz w:val="21"/>
          <w:szCs w:val="21"/>
          <w:highlight w:val="none"/>
        </w:rPr>
        <w:t>项目经理未经批准，擅自离开施工现场的违约责任：</w:t>
      </w:r>
      <w:r>
        <w:rPr>
          <w:rFonts w:hint="eastAsia" w:ascii="宋体" w:hAnsi="宋体" w:eastAsia="宋体" w:cs="宋体"/>
          <w:color w:val="000000"/>
          <w:sz w:val="21"/>
          <w:szCs w:val="21"/>
          <w:highlight w:val="none"/>
          <w:u w:val="single"/>
        </w:rPr>
        <w:t>项目经理每月在岗带班时间不得少于22天。未经发包人同意或正当理由，项目经理每月在岗带班时间少于22天的，少在岗带班一天，发包人有权处违约金 500元/日（人民币）</w:t>
      </w:r>
      <w:r>
        <w:rPr>
          <w:rFonts w:hint="eastAsia" w:ascii="宋体" w:hAnsi="宋体" w:eastAsia="宋体" w:cs="宋体"/>
          <w:color w:val="000000"/>
          <w:sz w:val="21"/>
          <w:szCs w:val="21"/>
          <w:highlight w:val="none"/>
        </w:rPr>
        <w:t>。</w:t>
      </w:r>
    </w:p>
    <w:p w14:paraId="2C6BFBF1">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3.2.3 承包人擅自更换项目经理的违约责任：</w:t>
      </w:r>
      <w:r>
        <w:rPr>
          <w:rFonts w:hint="eastAsia" w:ascii="宋体" w:hAnsi="宋体" w:eastAsia="宋体" w:cs="宋体"/>
          <w:color w:val="000000"/>
          <w:sz w:val="21"/>
          <w:szCs w:val="21"/>
          <w:highlight w:val="none"/>
          <w:u w:val="single"/>
        </w:rPr>
        <w:t>承包人项目经理必须与承包人投标时所承诺的人员一致，并在（开工日期）前到任。在监理人向承包人颁发（竣工证明材料名称）前，项目经理不得同时兼任其他任何项目的项目经理（符合桂建管﹝2013﹞17号和桂建管﹝2014﹞25号文除外）。未经发包人书面同意，承包人擅自更换项目经理的视为违约，违约金处10000元/人•次（人民币）</w:t>
      </w:r>
      <w:r>
        <w:rPr>
          <w:rFonts w:hint="eastAsia" w:ascii="宋体" w:hAnsi="宋体" w:eastAsia="宋体" w:cs="宋体"/>
          <w:color w:val="000000"/>
          <w:sz w:val="21"/>
          <w:szCs w:val="21"/>
          <w:highlight w:val="none"/>
        </w:rPr>
        <w:t>。</w:t>
      </w:r>
    </w:p>
    <w:p w14:paraId="0BE02B96">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3.2.4 承包人无正当理由拒绝更换项目经理的违约责任：</w:t>
      </w:r>
      <w:r>
        <w:rPr>
          <w:rFonts w:hint="eastAsia" w:ascii="宋体" w:hAnsi="宋体" w:eastAsia="宋体" w:cs="宋体"/>
          <w:color w:val="000000"/>
          <w:sz w:val="21"/>
          <w:szCs w:val="21"/>
          <w:highlight w:val="none"/>
          <w:u w:val="single"/>
        </w:rPr>
        <w:t>因承包人项目经理不称职，发包人要求调换而未及时调换的，视为承包人违约，必须向发包人交纳处罚金5000元/人•次（人民币）</w:t>
      </w:r>
      <w:r>
        <w:rPr>
          <w:rFonts w:hint="eastAsia" w:ascii="宋体" w:hAnsi="宋体" w:eastAsia="宋体" w:cs="宋体"/>
          <w:color w:val="000000"/>
          <w:sz w:val="21"/>
          <w:szCs w:val="21"/>
          <w:highlight w:val="none"/>
        </w:rPr>
        <w:t>。</w:t>
      </w:r>
    </w:p>
    <w:p w14:paraId="22BBCA8B">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472" w:name="_Toc418061320"/>
      <w:bookmarkStart w:id="473" w:name="_Toc256000189"/>
      <w:bookmarkStart w:id="474" w:name="_Toc373478356"/>
      <w:bookmarkStart w:id="475" w:name="_Toc403578943"/>
      <w:bookmarkStart w:id="476" w:name="_Toc522201739"/>
      <w:bookmarkStart w:id="477" w:name="_Toc373227709"/>
      <w:bookmarkStart w:id="478" w:name="_Toc418752251"/>
      <w:bookmarkStart w:id="479" w:name="_Toc418751805"/>
      <w:bookmarkStart w:id="480" w:name="_Toc389065275"/>
      <w:bookmarkStart w:id="481" w:name="_Toc418518119"/>
      <w:bookmarkStart w:id="482" w:name="_Toc497746790"/>
      <w:bookmarkStart w:id="483" w:name="_Toc497747187"/>
      <w:bookmarkStart w:id="484" w:name="_Toc418518355"/>
      <w:r>
        <w:rPr>
          <w:rFonts w:hint="eastAsia" w:ascii="宋体" w:hAnsi="宋体" w:eastAsia="宋体" w:cs="宋体"/>
          <w:color w:val="000000"/>
          <w:sz w:val="21"/>
          <w:szCs w:val="21"/>
          <w:highlight w:val="none"/>
        </w:rPr>
        <w:t>3.3 承包人人员</w:t>
      </w:r>
      <w:bookmarkEnd w:id="472"/>
      <w:bookmarkEnd w:id="473"/>
      <w:bookmarkEnd w:id="474"/>
      <w:bookmarkEnd w:id="475"/>
      <w:bookmarkEnd w:id="476"/>
      <w:bookmarkEnd w:id="477"/>
      <w:bookmarkEnd w:id="478"/>
      <w:bookmarkEnd w:id="479"/>
      <w:bookmarkEnd w:id="480"/>
      <w:bookmarkEnd w:id="481"/>
      <w:bookmarkEnd w:id="482"/>
      <w:bookmarkEnd w:id="483"/>
      <w:bookmarkEnd w:id="484"/>
    </w:p>
    <w:p w14:paraId="77F63102">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3.3.1 承包人提交项目管理机构及施工现场管理人员安排报告（格式见合同附件6）的期限：</w:t>
      </w:r>
      <w:r>
        <w:rPr>
          <w:rFonts w:hint="eastAsia" w:ascii="宋体" w:hAnsi="宋体" w:eastAsia="宋体" w:cs="宋体"/>
          <w:color w:val="000000"/>
          <w:sz w:val="21"/>
          <w:szCs w:val="21"/>
          <w:highlight w:val="none"/>
          <w:u w:val="single"/>
        </w:rPr>
        <w:t>开工前7日内</w:t>
      </w:r>
      <w:r>
        <w:rPr>
          <w:rFonts w:hint="eastAsia" w:ascii="宋体" w:hAnsi="宋体" w:eastAsia="宋体" w:cs="宋体"/>
          <w:color w:val="000000"/>
          <w:sz w:val="21"/>
          <w:szCs w:val="21"/>
          <w:highlight w:val="none"/>
        </w:rPr>
        <w:t>。</w:t>
      </w:r>
    </w:p>
    <w:p w14:paraId="53C6BD77">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3.3.3 承包人无正当理由拒绝撤换主要施工管理人员的违约责任：</w:t>
      </w:r>
      <w:r>
        <w:rPr>
          <w:rFonts w:hint="eastAsia" w:ascii="宋体" w:hAnsi="宋体" w:eastAsia="宋体" w:cs="宋体"/>
          <w:color w:val="000000"/>
          <w:sz w:val="21"/>
          <w:szCs w:val="21"/>
          <w:highlight w:val="none"/>
          <w:u w:val="single"/>
        </w:rPr>
        <w:t>因承包人主要施工管理人员不称职，发包人要求调换而无正当理由拒绝撤换或未及时调换的，视为承包人违约，必须向发包人交纳处罚金，处罚标准：技术负责人3000元/人•次（人民币）；专业工程师1000元/人•次（人民币）</w:t>
      </w:r>
      <w:r>
        <w:rPr>
          <w:rFonts w:hint="eastAsia" w:ascii="宋体" w:hAnsi="宋体" w:eastAsia="宋体" w:cs="宋体"/>
          <w:color w:val="000000"/>
          <w:sz w:val="21"/>
          <w:szCs w:val="21"/>
          <w:highlight w:val="none"/>
        </w:rPr>
        <w:t>。</w:t>
      </w:r>
    </w:p>
    <w:p w14:paraId="6CC4E207">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3.3.4 承包人主要施工管理人员离开施工现场的批准要求：</w:t>
      </w:r>
      <w:r>
        <w:rPr>
          <w:rFonts w:hint="eastAsia" w:ascii="宋体" w:hAnsi="宋体" w:eastAsia="宋体" w:cs="宋体"/>
          <w:color w:val="000000"/>
          <w:sz w:val="21"/>
          <w:szCs w:val="21"/>
          <w:highlight w:val="none"/>
          <w:u w:val="single"/>
        </w:rPr>
        <w:t>经建设单位及监理单位批准同意后</w:t>
      </w:r>
      <w:r>
        <w:rPr>
          <w:rFonts w:hint="eastAsia" w:ascii="宋体" w:hAnsi="宋体" w:eastAsia="宋体" w:cs="宋体"/>
          <w:color w:val="000000"/>
          <w:sz w:val="21"/>
          <w:szCs w:val="21"/>
          <w:highlight w:val="none"/>
        </w:rPr>
        <w:t>。</w:t>
      </w:r>
    </w:p>
    <w:p w14:paraId="5D023827">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3.3.5 承包人擅自更换主要施工管理人员的违约责任：</w:t>
      </w:r>
      <w:r>
        <w:rPr>
          <w:rFonts w:hint="eastAsia" w:ascii="宋体" w:hAnsi="宋体" w:eastAsia="宋体" w:cs="宋体"/>
          <w:color w:val="000000"/>
          <w:sz w:val="21"/>
          <w:szCs w:val="21"/>
          <w:highlight w:val="none"/>
          <w:u w:val="single"/>
        </w:rPr>
        <w:t>项目技术负责人、专职安全员及其承诺的其它在场管理人员未经发包人书面同意不准擅自更换，擅自更换项目技术负责人处 3000元/人•次（人民币）违约金；擅自更换专职安全员处1000元/人•次（人民币）违约金；擅自更换其它在场管理人员处500元/人•次（人民币）违约金</w:t>
      </w:r>
      <w:r>
        <w:rPr>
          <w:rFonts w:hint="eastAsia" w:ascii="宋体" w:hAnsi="宋体" w:eastAsia="宋体" w:cs="宋体"/>
          <w:color w:val="000000"/>
          <w:sz w:val="21"/>
          <w:szCs w:val="21"/>
          <w:highlight w:val="none"/>
        </w:rPr>
        <w:t>。</w:t>
      </w:r>
    </w:p>
    <w:p w14:paraId="6B770766">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承包人主要施工管理人员擅自离开施工现场的违约责任：</w:t>
      </w:r>
      <w:r>
        <w:rPr>
          <w:rFonts w:hint="eastAsia" w:ascii="宋体" w:hAnsi="宋体" w:eastAsia="宋体" w:cs="宋体"/>
          <w:color w:val="000000"/>
          <w:sz w:val="21"/>
          <w:szCs w:val="21"/>
          <w:highlight w:val="none"/>
          <w:u w:val="single"/>
        </w:rPr>
        <w:t>未经发包人同意，项目技术负责人擅自离岗的，视为承包人违约，发包人有权处违约金500元/人•次（人民币）；未经发包人同意，专职安全员擅自离岗的，视为承包人违约，发包人有权处违约金500元/人•次（人民币）；其它在场管理人员擅自离岗的，视为承包人违约，发包人有权处违约金300元/人•次（人民币）</w:t>
      </w:r>
      <w:r>
        <w:rPr>
          <w:rFonts w:hint="eastAsia" w:ascii="宋体" w:hAnsi="宋体" w:eastAsia="宋体" w:cs="宋体"/>
          <w:color w:val="000000"/>
          <w:sz w:val="21"/>
          <w:szCs w:val="21"/>
          <w:highlight w:val="none"/>
        </w:rPr>
        <w:t>。</w:t>
      </w:r>
    </w:p>
    <w:p w14:paraId="7B1AD6CE">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485" w:name="_Toc403578944"/>
      <w:bookmarkStart w:id="486" w:name="_Toc418751806"/>
      <w:bookmarkStart w:id="487" w:name="_Toc373227710"/>
      <w:bookmarkStart w:id="488" w:name="_Toc418061321"/>
      <w:bookmarkStart w:id="489" w:name="_Toc256000190"/>
      <w:bookmarkStart w:id="490" w:name="_Toc418518356"/>
      <w:bookmarkStart w:id="491" w:name="_Toc497747188"/>
      <w:bookmarkStart w:id="492" w:name="_Toc418752252"/>
      <w:bookmarkStart w:id="493" w:name="_Toc497746791"/>
      <w:bookmarkStart w:id="494" w:name="_Toc418518120"/>
      <w:bookmarkStart w:id="495" w:name="_Toc389065276"/>
      <w:bookmarkStart w:id="496" w:name="_Toc373478357"/>
      <w:bookmarkStart w:id="497" w:name="_Toc522201740"/>
      <w:r>
        <w:rPr>
          <w:rFonts w:hint="eastAsia" w:ascii="宋体" w:hAnsi="宋体" w:eastAsia="宋体" w:cs="宋体"/>
          <w:color w:val="000000"/>
          <w:sz w:val="21"/>
          <w:szCs w:val="21"/>
          <w:highlight w:val="none"/>
        </w:rPr>
        <w:t>3</w:t>
      </w:r>
      <w:bookmarkStart w:id="498" w:name="_Toc304295523"/>
      <w:bookmarkStart w:id="499" w:name="_Toc297048345"/>
      <w:bookmarkStart w:id="500" w:name="_Toc296891199"/>
      <w:bookmarkStart w:id="501" w:name="_Toc297120459"/>
      <w:bookmarkStart w:id="502" w:name="_Toc292559364"/>
      <w:bookmarkStart w:id="503" w:name="_Toc297216151"/>
      <w:bookmarkStart w:id="504" w:name="_Toc296503159"/>
      <w:bookmarkStart w:id="505" w:name="_Toc312677988"/>
      <w:bookmarkStart w:id="506" w:name="_Toc292559869"/>
      <w:bookmarkStart w:id="507" w:name="_Toc300934945"/>
      <w:bookmarkStart w:id="508" w:name="_Toc296890987"/>
      <w:bookmarkStart w:id="509" w:name="_Toc296944498"/>
      <w:bookmarkStart w:id="510" w:name="_Toc296347158"/>
      <w:bookmarkStart w:id="511" w:name="_Toc296346660"/>
      <w:bookmarkStart w:id="512" w:name="_Toc297123492"/>
      <w:bookmarkStart w:id="513" w:name="_Toc303539102"/>
      <w:r>
        <w:rPr>
          <w:rFonts w:hint="eastAsia" w:ascii="宋体" w:hAnsi="宋体" w:eastAsia="宋体" w:cs="宋体"/>
          <w:color w:val="000000"/>
          <w:sz w:val="21"/>
          <w:szCs w:val="21"/>
          <w:highlight w:val="none"/>
        </w:rPr>
        <w:t>.5 分包</w:t>
      </w:r>
      <w:bookmarkEnd w:id="485"/>
      <w:bookmarkEnd w:id="486"/>
      <w:bookmarkEnd w:id="487"/>
      <w:bookmarkEnd w:id="488"/>
      <w:bookmarkEnd w:id="489"/>
      <w:bookmarkEnd w:id="490"/>
      <w:bookmarkEnd w:id="491"/>
      <w:bookmarkEnd w:id="492"/>
      <w:bookmarkEnd w:id="493"/>
      <w:bookmarkEnd w:id="494"/>
      <w:bookmarkEnd w:id="495"/>
      <w:bookmarkEnd w:id="496"/>
      <w:bookmarkEnd w:id="497"/>
    </w:p>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14:paraId="66AD155F">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bookmarkStart w:id="514" w:name="_Toc296944499"/>
      <w:bookmarkStart w:id="515" w:name="_Toc300934946"/>
      <w:bookmarkStart w:id="516" w:name="_Toc296346661"/>
      <w:bookmarkStart w:id="517" w:name="_Toc297048346"/>
      <w:bookmarkStart w:id="518" w:name="_Toc297120460"/>
      <w:bookmarkStart w:id="519" w:name="_Toc296891200"/>
      <w:bookmarkStart w:id="520" w:name="_Toc292559870"/>
      <w:bookmarkStart w:id="521" w:name="_Toc297123493"/>
      <w:bookmarkStart w:id="522" w:name="_Toc296347159"/>
      <w:bookmarkStart w:id="523" w:name="_Toc303539103"/>
      <w:bookmarkStart w:id="524" w:name="_Toc312677989"/>
      <w:bookmarkStart w:id="525" w:name="_Toc296890988"/>
      <w:bookmarkStart w:id="526" w:name="_Toc292559365"/>
      <w:bookmarkStart w:id="527" w:name="_Toc297216152"/>
      <w:bookmarkStart w:id="528" w:name="_Toc296503160"/>
      <w:bookmarkStart w:id="529" w:name="_Toc318581158"/>
      <w:bookmarkStart w:id="530" w:name="_Toc304295524"/>
      <w:r>
        <w:rPr>
          <w:rFonts w:hint="eastAsia" w:ascii="宋体" w:hAnsi="宋体" w:eastAsia="宋体" w:cs="宋体"/>
          <w:color w:val="000000"/>
          <w:sz w:val="21"/>
          <w:szCs w:val="21"/>
          <w:highlight w:val="none"/>
        </w:rPr>
        <w:t>.5.1 分包的一般约定</w:t>
      </w:r>
    </w:p>
    <w:p w14:paraId="2375AD5C">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禁止分包的工程包括：</w:t>
      </w:r>
      <w:r>
        <w:rPr>
          <w:rFonts w:hint="eastAsia" w:ascii="宋体" w:hAnsi="宋体" w:eastAsia="宋体" w:cs="宋体"/>
          <w:color w:val="000000"/>
          <w:sz w:val="21"/>
          <w:szCs w:val="21"/>
          <w:highlight w:val="none"/>
          <w:u w:val="single"/>
        </w:rPr>
        <w:t xml:space="preserve">除劳务工程外 </w:t>
      </w:r>
      <w:r>
        <w:rPr>
          <w:rFonts w:hint="eastAsia" w:ascii="宋体" w:hAnsi="宋体" w:eastAsia="宋体" w:cs="宋体"/>
          <w:color w:val="000000"/>
          <w:sz w:val="21"/>
          <w:szCs w:val="21"/>
          <w:highlight w:val="none"/>
        </w:rPr>
        <w:t>。</w:t>
      </w:r>
    </w:p>
    <w:p w14:paraId="1DD04255">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主体结构、关键性工作的范围：</w:t>
      </w:r>
      <w:r>
        <w:rPr>
          <w:rFonts w:hint="eastAsia" w:ascii="宋体" w:hAnsi="宋体" w:eastAsia="宋体" w:cs="宋体"/>
          <w:color w:val="000000"/>
          <w:sz w:val="21"/>
          <w:szCs w:val="21"/>
          <w:highlight w:val="none"/>
          <w:u w:val="single"/>
        </w:rPr>
        <w:t xml:space="preserve">禁止分包  </w:t>
      </w:r>
      <w:r>
        <w:rPr>
          <w:rFonts w:hint="eastAsia" w:ascii="宋体" w:hAnsi="宋体" w:eastAsia="宋体" w:cs="宋体"/>
          <w:color w:val="000000"/>
          <w:sz w:val="21"/>
          <w:szCs w:val="21"/>
          <w:highlight w:val="none"/>
        </w:rPr>
        <w:t>。</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23C7A8F3">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bookmarkStart w:id="531" w:name="_Toc312677990"/>
      <w:bookmarkStart w:id="532" w:name="_Toc318581159"/>
      <w:r>
        <w:rPr>
          <w:rFonts w:hint="eastAsia" w:ascii="宋体" w:hAnsi="宋体" w:eastAsia="宋体" w:cs="宋体"/>
          <w:color w:val="000000"/>
          <w:sz w:val="21"/>
          <w:szCs w:val="21"/>
          <w:highlight w:val="none"/>
        </w:rPr>
        <w:t>.5.2 分包的确定</w:t>
      </w:r>
    </w:p>
    <w:p w14:paraId="19393CD2">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允许分包的专业工程包括：</w:t>
      </w:r>
      <w:r>
        <w:rPr>
          <w:rFonts w:hint="eastAsia" w:ascii="宋体" w:hAnsi="宋体" w:eastAsia="宋体" w:cs="宋体"/>
          <w:color w:val="000000"/>
          <w:sz w:val="21"/>
          <w:szCs w:val="21"/>
          <w:highlight w:val="none"/>
          <w:u w:val="single"/>
        </w:rPr>
        <w:t xml:space="preserve">劳务工程  </w:t>
      </w:r>
      <w:r>
        <w:rPr>
          <w:rFonts w:hint="eastAsia" w:ascii="宋体" w:hAnsi="宋体" w:eastAsia="宋体" w:cs="宋体"/>
          <w:color w:val="000000"/>
          <w:sz w:val="21"/>
          <w:szCs w:val="21"/>
          <w:highlight w:val="none"/>
        </w:rPr>
        <w:t>。</w:t>
      </w:r>
    </w:p>
    <w:p w14:paraId="6FCE2B96">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其他关于分包的约定：</w:t>
      </w:r>
    </w:p>
    <w:p w14:paraId="4F6FBF0A">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single"/>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7。</w:t>
      </w:r>
    </w:p>
    <w:p w14:paraId="31B98253">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single"/>
        </w:rPr>
        <w:t>（2）在相关分包合同签订并报送有关建设行政主管部门备案后7天内，承包人应当将一份副本提交给监理人，承包人应保障分包工作不得再次分包。</w:t>
      </w:r>
    </w:p>
    <w:p w14:paraId="1E110CB7">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single"/>
        </w:rPr>
        <w:t>（3）未经承包人和监理人审批同意的分包工程和分包人，承包人有权拒绝验收分包工程和支付相应款项，由此引起的发包人费用增加和(或)延误的工期由发包人承担。</w:t>
      </w:r>
    </w:p>
    <w:p w14:paraId="7CA58477">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3.5.4 分包合同价款 </w:t>
      </w:r>
    </w:p>
    <w:p w14:paraId="2464664F">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关于分包合同价款支付的约定：</w:t>
      </w:r>
      <w:r>
        <w:rPr>
          <w:rFonts w:hint="eastAsia" w:ascii="宋体" w:hAnsi="宋体" w:eastAsia="宋体" w:cs="宋体"/>
          <w:color w:val="000000"/>
          <w:sz w:val="21"/>
          <w:szCs w:val="21"/>
          <w:highlight w:val="none"/>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bookmarkEnd w:id="531"/>
    <w:bookmarkEnd w:id="532"/>
    <w:p w14:paraId="61B78EF7">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533" w:name="_Toc418751807"/>
      <w:bookmarkStart w:id="534" w:name="_Toc256000191"/>
      <w:bookmarkStart w:id="535" w:name="_Toc389065277"/>
      <w:bookmarkStart w:id="536" w:name="_Toc522201741"/>
      <w:bookmarkStart w:id="537" w:name="_Toc497747189"/>
      <w:bookmarkStart w:id="538" w:name="_Toc497746792"/>
      <w:bookmarkStart w:id="539" w:name="_Toc418518357"/>
      <w:bookmarkStart w:id="540" w:name="_Toc403578945"/>
      <w:bookmarkStart w:id="541" w:name="_Toc418518121"/>
      <w:bookmarkStart w:id="542" w:name="_Toc418061322"/>
      <w:bookmarkStart w:id="543" w:name="_Toc373478358"/>
      <w:bookmarkStart w:id="544" w:name="_Toc418752253"/>
      <w:bookmarkStart w:id="545" w:name="_Toc373227711"/>
      <w:r>
        <w:rPr>
          <w:rFonts w:hint="eastAsia" w:ascii="宋体" w:hAnsi="宋体" w:eastAsia="宋体" w:cs="宋体"/>
          <w:color w:val="000000"/>
          <w:sz w:val="21"/>
          <w:szCs w:val="21"/>
          <w:highlight w:val="none"/>
        </w:rPr>
        <w:t>3.6 工程照管与成品、半成品保护</w:t>
      </w:r>
      <w:bookmarkEnd w:id="533"/>
      <w:bookmarkEnd w:id="534"/>
      <w:bookmarkEnd w:id="535"/>
      <w:bookmarkEnd w:id="536"/>
      <w:bookmarkEnd w:id="537"/>
      <w:bookmarkEnd w:id="538"/>
      <w:bookmarkEnd w:id="539"/>
      <w:bookmarkEnd w:id="540"/>
      <w:bookmarkEnd w:id="541"/>
      <w:bookmarkEnd w:id="542"/>
      <w:bookmarkEnd w:id="543"/>
      <w:bookmarkEnd w:id="544"/>
      <w:bookmarkEnd w:id="545"/>
    </w:p>
    <w:p w14:paraId="7B7F5322">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承包人负责照管工程及工程相关的材料、工程设备的起始时间：</w:t>
      </w:r>
      <w:r>
        <w:rPr>
          <w:rFonts w:hint="eastAsia" w:ascii="宋体" w:hAnsi="宋体" w:eastAsia="宋体" w:cs="宋体"/>
          <w:color w:val="000000"/>
          <w:sz w:val="21"/>
          <w:szCs w:val="21"/>
          <w:highlight w:val="none"/>
          <w:u w:val="single"/>
        </w:rPr>
        <w:t>自发包人向承包人移交施工现场之日起，到颁发工程接收证书之日止</w:t>
      </w:r>
      <w:r>
        <w:rPr>
          <w:rFonts w:hint="eastAsia" w:ascii="宋体" w:hAnsi="宋体" w:eastAsia="宋体" w:cs="宋体"/>
          <w:color w:val="000000"/>
          <w:kern w:val="0"/>
          <w:sz w:val="21"/>
          <w:szCs w:val="21"/>
          <w:highlight w:val="none"/>
        </w:rPr>
        <w:t>。</w:t>
      </w:r>
    </w:p>
    <w:p w14:paraId="6FF338E4">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承包人负责照管工程及工程相关的材料、工程设备的范围：</w:t>
      </w:r>
      <w:r>
        <w:rPr>
          <w:rFonts w:hint="eastAsia" w:ascii="宋体" w:hAnsi="宋体" w:eastAsia="宋体" w:cs="宋体"/>
          <w:strike w:val="0"/>
          <w:color w:val="000000"/>
          <w:sz w:val="21"/>
          <w:szCs w:val="21"/>
          <w:highlight w:val="none"/>
          <w:u w:val="single"/>
        </w:rPr>
        <w:t>除承包人自身承包范围内的材料、工程设备外，也有义务照管与本项目相关的由发包人另行发包的其他专业工程设备。</w:t>
      </w:r>
      <w:r>
        <w:rPr>
          <w:rFonts w:hint="eastAsia" w:ascii="宋体" w:hAnsi="宋体" w:eastAsia="宋体" w:cs="宋体"/>
          <w:color w:val="000000"/>
          <w:sz w:val="21"/>
          <w:szCs w:val="21"/>
          <w:highlight w:val="none"/>
          <w:u w:val="single"/>
        </w:rPr>
        <w:t>并有义务避免因自身的原因造成对其他承包人的成品、半成品的损坏、污染</w:t>
      </w:r>
      <w:r>
        <w:rPr>
          <w:rFonts w:hint="eastAsia" w:ascii="宋体" w:hAnsi="宋体" w:eastAsia="宋体" w:cs="宋体"/>
          <w:color w:val="000000"/>
          <w:sz w:val="21"/>
          <w:szCs w:val="21"/>
          <w:highlight w:val="none"/>
        </w:rPr>
        <w:t>。</w:t>
      </w:r>
    </w:p>
    <w:p w14:paraId="1E795F27">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546" w:name="_Toc497747190"/>
      <w:bookmarkStart w:id="547" w:name="_Toc418752254"/>
      <w:bookmarkStart w:id="548" w:name="_Toc389065278"/>
      <w:bookmarkStart w:id="549" w:name="_Toc403578946"/>
      <w:bookmarkStart w:id="550" w:name="_Toc418518358"/>
      <w:bookmarkStart w:id="551" w:name="_Toc418518122"/>
      <w:bookmarkStart w:id="552" w:name="_Toc418061323"/>
      <w:bookmarkStart w:id="553" w:name="_Toc522201742"/>
      <w:bookmarkStart w:id="554" w:name="_Toc373478359"/>
      <w:bookmarkStart w:id="555" w:name="_Toc418751808"/>
      <w:bookmarkStart w:id="556" w:name="_Toc373227712"/>
      <w:bookmarkStart w:id="557" w:name="_Toc497746793"/>
      <w:bookmarkStart w:id="558" w:name="_Toc256000192"/>
      <w:r>
        <w:rPr>
          <w:rFonts w:hint="eastAsia" w:ascii="宋体" w:hAnsi="宋体" w:eastAsia="宋体" w:cs="宋体"/>
          <w:color w:val="000000"/>
          <w:sz w:val="21"/>
          <w:szCs w:val="21"/>
          <w:highlight w:val="none"/>
        </w:rPr>
        <w:t>3.7 履约</w:t>
      </w:r>
      <w:bookmarkEnd w:id="546"/>
      <w:bookmarkEnd w:id="547"/>
      <w:bookmarkEnd w:id="548"/>
      <w:bookmarkEnd w:id="549"/>
      <w:bookmarkEnd w:id="550"/>
      <w:bookmarkEnd w:id="551"/>
      <w:bookmarkEnd w:id="552"/>
      <w:bookmarkEnd w:id="553"/>
      <w:bookmarkEnd w:id="554"/>
      <w:bookmarkEnd w:id="555"/>
      <w:bookmarkEnd w:id="556"/>
      <w:bookmarkEnd w:id="557"/>
      <w:r>
        <w:rPr>
          <w:rFonts w:hint="eastAsia" w:ascii="宋体" w:hAnsi="宋体" w:eastAsia="宋体" w:cs="宋体"/>
          <w:color w:val="000000"/>
          <w:sz w:val="21"/>
          <w:szCs w:val="21"/>
          <w:highlight w:val="none"/>
        </w:rPr>
        <w:t>担保</w:t>
      </w:r>
      <w:bookmarkEnd w:id="558"/>
    </w:p>
    <w:p w14:paraId="64A57F57">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bookmarkStart w:id="559" w:name="_Toc418061324"/>
      <w:bookmarkStart w:id="560" w:name="_Toc418752255"/>
      <w:bookmarkStart w:id="561" w:name="_Toc373478360"/>
      <w:bookmarkStart w:id="562" w:name="_Toc418518359"/>
      <w:bookmarkStart w:id="563" w:name="_Toc373227713"/>
      <w:bookmarkStart w:id="564" w:name="_Toc403578947"/>
      <w:bookmarkStart w:id="565" w:name="_Toc351203636"/>
      <w:bookmarkStart w:id="566" w:name="_Toc418518123"/>
      <w:bookmarkStart w:id="567" w:name="_Toc418751809"/>
      <w:bookmarkStart w:id="568" w:name="_Toc389065279"/>
      <w:r>
        <w:rPr>
          <w:rFonts w:hint="eastAsia" w:ascii="宋体" w:hAnsi="宋体" w:eastAsia="宋体" w:cs="宋体"/>
          <w:b/>
          <w:bCs/>
          <w:color w:val="000000"/>
          <w:sz w:val="21"/>
          <w:szCs w:val="21"/>
          <w:highlight w:val="none"/>
        </w:rPr>
        <w:t>承包人是否提供履约担保：</w:t>
      </w:r>
      <w:r>
        <w:rPr>
          <w:rFonts w:hint="eastAsia" w:ascii="宋体" w:hAnsi="宋体" w:eastAsia="宋体" w:cs="宋体"/>
          <w:b/>
          <w:bCs/>
          <w:color w:val="000000"/>
          <w:sz w:val="21"/>
          <w:szCs w:val="21"/>
          <w:highlight w:val="none"/>
          <w:u w:val="single"/>
        </w:rPr>
        <w:t xml:space="preserve">  </w:t>
      </w:r>
      <w:r>
        <w:rPr>
          <w:rFonts w:hint="eastAsia" w:ascii="宋体" w:hAnsi="宋体" w:eastAsia="宋体" w:cs="宋体"/>
          <w:b/>
          <w:bCs/>
          <w:color w:val="000000"/>
          <w:sz w:val="21"/>
          <w:szCs w:val="21"/>
          <w:highlight w:val="none"/>
          <w:u w:val="single"/>
          <w:lang w:val="en-US" w:eastAsia="zh-CN"/>
        </w:rPr>
        <w:t>否</w:t>
      </w:r>
      <w:r>
        <w:rPr>
          <w:rFonts w:hint="eastAsia" w:ascii="宋体" w:hAnsi="宋体" w:eastAsia="宋体" w:cs="宋体"/>
          <w:b/>
          <w:bCs/>
          <w:color w:val="000000"/>
          <w:sz w:val="21"/>
          <w:szCs w:val="21"/>
          <w:highlight w:val="none"/>
          <w:u w:val="single"/>
        </w:rPr>
        <w:t>　</w:t>
      </w:r>
      <w:r>
        <w:rPr>
          <w:rFonts w:hint="eastAsia" w:ascii="宋体" w:hAnsi="宋体" w:eastAsia="宋体" w:cs="宋体"/>
          <w:color w:val="000000"/>
          <w:sz w:val="21"/>
          <w:szCs w:val="21"/>
          <w:highlight w:val="none"/>
        </w:rPr>
        <w:t>。</w:t>
      </w:r>
    </w:p>
    <w:p w14:paraId="78834B5F">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kern w:val="0"/>
          <w:sz w:val="21"/>
          <w:szCs w:val="21"/>
          <w:highlight w:val="none"/>
          <w:u w:val="single"/>
        </w:rPr>
      </w:pPr>
      <w:r>
        <w:rPr>
          <w:rFonts w:hint="eastAsia" w:ascii="宋体" w:hAnsi="宋体" w:eastAsia="宋体" w:cs="宋体"/>
          <w:color w:val="000000"/>
          <w:kern w:val="0"/>
          <w:sz w:val="21"/>
          <w:szCs w:val="21"/>
          <w:highlight w:val="none"/>
        </w:rPr>
        <w:t>承包人</w:t>
      </w:r>
      <w:r>
        <w:rPr>
          <w:rFonts w:hint="eastAsia" w:ascii="宋体" w:hAnsi="宋体" w:eastAsia="宋体" w:cs="宋体"/>
          <w:color w:val="000000"/>
          <w:kern w:val="0"/>
          <w:sz w:val="21"/>
          <w:szCs w:val="21"/>
          <w:highlight w:val="none"/>
          <w:lang w:val="en-US" w:eastAsia="zh-CN"/>
        </w:rPr>
        <w:t>如需</w:t>
      </w:r>
      <w:r>
        <w:rPr>
          <w:rFonts w:hint="eastAsia" w:ascii="宋体" w:hAnsi="宋体" w:eastAsia="宋体" w:cs="宋体"/>
          <w:color w:val="000000"/>
          <w:kern w:val="0"/>
          <w:sz w:val="21"/>
          <w:szCs w:val="21"/>
          <w:highlight w:val="none"/>
        </w:rPr>
        <w:t>提供履约担保的形式、金额及期限的：</w:t>
      </w:r>
      <w:r>
        <w:rPr>
          <w:rFonts w:hint="eastAsia" w:ascii="宋体" w:hAnsi="宋体" w:eastAsia="宋体" w:cs="宋体"/>
          <w:color w:val="000000"/>
          <w:sz w:val="21"/>
          <w:szCs w:val="21"/>
          <w:highlight w:val="none"/>
          <w:u w:val="single"/>
        </w:rPr>
        <w:t>在收到中标通知书后，承包人须在30日内向发包人足额提交合同价款的</w:t>
      </w:r>
      <w:r>
        <w:rPr>
          <w:rFonts w:hint="eastAsia" w:ascii="宋体" w:hAnsi="宋体" w:eastAsia="宋体" w:cs="宋体"/>
          <w:color w:val="000000"/>
          <w:sz w:val="21"/>
          <w:szCs w:val="21"/>
          <w:highlight w:val="none"/>
          <w:u w:val="single"/>
          <w:lang w:val="en-US" w:eastAsia="zh-CN"/>
        </w:rPr>
        <w:t>3</w:t>
      </w:r>
      <w:r>
        <w:rPr>
          <w:rFonts w:hint="eastAsia" w:ascii="宋体" w:hAnsi="宋体" w:eastAsia="宋体" w:cs="宋体"/>
          <w:color w:val="000000"/>
          <w:sz w:val="21"/>
          <w:szCs w:val="21"/>
          <w:highlight w:val="none"/>
          <w:u w:val="single"/>
        </w:rPr>
        <w:t>%的现金或银行保函或保证保险的履约担保（格式见合同附件8）。履约担保的有效期应当自本合同生效之日起至发包人签认并由监理人向承包人出具（竣工证明材料名称）之日止。如果承包人无法获得一份不带具体截止日期的担保，履约担保中应当有“变更工程竣工日期的，保证期间按照变更后的竣工日期做相应调整”或类似约定的条款。</w:t>
      </w:r>
    </w:p>
    <w:p w14:paraId="3066B6B9">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工程竣工验收合格并对验收发现的问题完成整改后的7个日历天内，</w:t>
      </w:r>
      <w:r>
        <w:rPr>
          <w:rFonts w:hint="eastAsia" w:ascii="宋体" w:hAnsi="宋体" w:eastAsia="宋体" w:cs="宋体"/>
          <w:color w:val="000000"/>
          <w:sz w:val="21"/>
          <w:szCs w:val="21"/>
          <w:highlight w:val="none"/>
        </w:rPr>
        <w:t>承包人可向发包人申请退还履约保证金。发包人应在收到申请之日起28个日历天内</w:t>
      </w:r>
      <w:r>
        <w:rPr>
          <w:rFonts w:hint="eastAsia" w:ascii="宋体" w:hAnsi="宋体" w:eastAsia="宋体" w:cs="宋体"/>
          <w:color w:val="000000"/>
          <w:kern w:val="0"/>
          <w:sz w:val="21"/>
          <w:szCs w:val="21"/>
          <w:highlight w:val="none"/>
        </w:rPr>
        <w:t>扣减承包人赔偿金和其他应从承包人扣回的款项后，</w:t>
      </w:r>
      <w:r>
        <w:rPr>
          <w:rFonts w:hint="eastAsia" w:ascii="宋体" w:hAnsi="宋体" w:eastAsia="宋体" w:cs="宋体"/>
          <w:color w:val="000000"/>
          <w:sz w:val="21"/>
          <w:szCs w:val="21"/>
          <w:highlight w:val="none"/>
        </w:rPr>
        <w:t>将履约保证金退还给承包人（无息）。</w:t>
      </w:r>
    </w:p>
    <w:p w14:paraId="5B25ECB2">
      <w:pPr>
        <w:pStyle w:val="92"/>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bookmarkStart w:id="569" w:name="_Toc522201743"/>
      <w:bookmarkStart w:id="570" w:name="_Toc256000193"/>
      <w:bookmarkStart w:id="571" w:name="_Toc497746794"/>
      <w:bookmarkStart w:id="572" w:name="_Toc497747191"/>
      <w:r>
        <w:rPr>
          <w:rFonts w:hint="eastAsia" w:ascii="宋体" w:hAnsi="宋体" w:eastAsia="宋体" w:cs="宋体"/>
          <w:color w:val="000000"/>
          <w:sz w:val="21"/>
          <w:szCs w:val="21"/>
          <w:highlight w:val="none"/>
        </w:rPr>
        <w:t>4</w:t>
      </w:r>
      <w:bookmarkStart w:id="573" w:name="_Toc267251413"/>
      <w:bookmarkStart w:id="574" w:name="_Toc297048348"/>
      <w:bookmarkStart w:id="575" w:name="_Toc296890990"/>
      <w:bookmarkStart w:id="576" w:name="_Toc297120462"/>
      <w:bookmarkStart w:id="577" w:name="_Toc296891202"/>
      <w:bookmarkStart w:id="578" w:name="_Toc296346663"/>
      <w:bookmarkStart w:id="579" w:name="_Toc296347161"/>
      <w:bookmarkStart w:id="580" w:name="_Toc296503162"/>
      <w:bookmarkStart w:id="581" w:name="_Toc292559366"/>
      <w:bookmarkStart w:id="582" w:name="_Toc292559871"/>
      <w:bookmarkStart w:id="583" w:name="_Toc296944501"/>
      <w:r>
        <w:rPr>
          <w:rFonts w:hint="eastAsia" w:ascii="宋体" w:hAnsi="宋体" w:eastAsia="宋体" w:cs="宋体"/>
          <w:color w:val="000000"/>
          <w:sz w:val="21"/>
          <w:szCs w:val="21"/>
          <w:highlight w:val="none"/>
        </w:rPr>
        <w:t>. 监</w:t>
      </w:r>
      <w:bookmarkEnd w:id="573"/>
      <w:bookmarkEnd w:id="574"/>
      <w:bookmarkEnd w:id="575"/>
      <w:bookmarkEnd w:id="576"/>
      <w:bookmarkEnd w:id="577"/>
      <w:bookmarkEnd w:id="578"/>
      <w:bookmarkEnd w:id="579"/>
      <w:bookmarkEnd w:id="580"/>
      <w:bookmarkEnd w:id="581"/>
      <w:bookmarkEnd w:id="582"/>
      <w:bookmarkEnd w:id="583"/>
      <w:r>
        <w:rPr>
          <w:rFonts w:hint="eastAsia" w:ascii="宋体" w:hAnsi="宋体" w:eastAsia="宋体" w:cs="宋体"/>
          <w:color w:val="000000"/>
          <w:sz w:val="21"/>
          <w:szCs w:val="21"/>
          <w:highlight w:val="none"/>
        </w:rPr>
        <w:t>理人</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14:paraId="67817BAC">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584" w:name="_Toc256000194"/>
      <w:bookmarkStart w:id="585" w:name="_Toc418752256"/>
      <w:bookmarkStart w:id="586" w:name="_Toc497747192"/>
      <w:bookmarkStart w:id="587" w:name="_Toc418751810"/>
      <w:bookmarkStart w:id="588" w:name="_Toc497746795"/>
      <w:bookmarkStart w:id="589" w:name="_Toc403578948"/>
      <w:bookmarkStart w:id="590" w:name="_Toc418061325"/>
      <w:bookmarkStart w:id="591" w:name="_Toc418518360"/>
      <w:bookmarkStart w:id="592" w:name="_Toc522201744"/>
      <w:bookmarkStart w:id="593" w:name="_Toc373478361"/>
      <w:bookmarkStart w:id="594" w:name="_Toc389065280"/>
      <w:bookmarkStart w:id="595" w:name="_Toc373227714"/>
      <w:bookmarkStart w:id="596" w:name="_Toc418518124"/>
      <w:r>
        <w:rPr>
          <w:rFonts w:hint="eastAsia" w:ascii="宋体" w:hAnsi="宋体" w:eastAsia="宋体" w:cs="宋体"/>
          <w:color w:val="000000"/>
          <w:sz w:val="21"/>
          <w:szCs w:val="21"/>
          <w:highlight w:val="none"/>
        </w:rPr>
        <w:t>4.1 监理人的一般规定</w:t>
      </w:r>
      <w:bookmarkEnd w:id="584"/>
      <w:bookmarkEnd w:id="585"/>
      <w:bookmarkEnd w:id="586"/>
      <w:bookmarkEnd w:id="587"/>
      <w:bookmarkEnd w:id="588"/>
      <w:bookmarkEnd w:id="589"/>
      <w:bookmarkEnd w:id="590"/>
      <w:bookmarkEnd w:id="591"/>
      <w:bookmarkEnd w:id="592"/>
      <w:bookmarkEnd w:id="593"/>
      <w:bookmarkEnd w:id="594"/>
      <w:bookmarkEnd w:id="595"/>
      <w:bookmarkEnd w:id="596"/>
    </w:p>
    <w:p w14:paraId="00F3C929">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关于监理人的监理内容：</w:t>
      </w:r>
      <w:r>
        <w:rPr>
          <w:rFonts w:hint="eastAsia" w:ascii="宋体" w:hAnsi="宋体" w:eastAsia="宋体" w:cs="宋体"/>
          <w:color w:val="000000"/>
          <w:sz w:val="21"/>
          <w:szCs w:val="21"/>
          <w:highlight w:val="none"/>
          <w:u w:val="single"/>
        </w:rPr>
        <w:t xml:space="preserve"> 检查施工承包人工程质量，安全生产管理制度及组织机构人员资格；审查施工承包人员提交的施工进度计划及工程施工范围内所有内容。</w:t>
      </w:r>
    </w:p>
    <w:p w14:paraId="35F910E7">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关于监理人的监理权限：</w:t>
      </w:r>
      <w:r>
        <w:rPr>
          <w:rFonts w:hint="eastAsia" w:ascii="宋体" w:hAnsi="宋体" w:eastAsia="宋体" w:cs="宋体"/>
          <w:color w:val="000000"/>
          <w:sz w:val="21"/>
          <w:szCs w:val="21"/>
          <w:highlight w:val="none"/>
          <w:u w:val="single"/>
        </w:rPr>
        <w:t>代表发包人对工程施工相关事项进行检查、查验、审核、验收，并签发相关指示，但监理人无权修改合同，且无权减轻或免除合同约定的承包人的任何责任与义务: 1、在发出施工进度计划和施工方案说明以及有关能引起工程费用实际增加（减少）或延长工期的指令前，应得到发包人的书面批准。2、监理工程师在向承包人发出有关技术规范的重大变更或有关变更合同条款的任何指令前均应获得发包人书面批准。3、工程实际竣工日期提前或超过工程承包合同规定的竣工期限的签证之前应得到发包人的书面批准。4、签证单监理只有证明权，无确认权。5、工程内容和材料变更确认应得到发包人的书面批准。不管通用合同条款如何约定，监理人履行须经发包人批准行使的权利时，应当向承包人出示其行使该权利已经取得发包人批准的文件或者其他合法有效的证明 。</w:t>
      </w:r>
      <w:r>
        <w:rPr>
          <w:rFonts w:hint="eastAsia" w:ascii="宋体" w:hAnsi="宋体" w:eastAsia="宋体" w:cs="宋体"/>
          <w:color w:val="000000"/>
          <w:sz w:val="21"/>
          <w:szCs w:val="21"/>
          <w:highlight w:val="none"/>
        </w:rPr>
        <w:t xml:space="preserve">  </w:t>
      </w:r>
    </w:p>
    <w:p w14:paraId="67CE078D">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关于监理人在施工现场的办公场所、生活场所的提供和费用承担的约定：</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p>
    <w:p w14:paraId="5C844709">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597" w:name="_Toc403578949"/>
      <w:bookmarkStart w:id="598" w:name="_Toc389065281"/>
      <w:bookmarkStart w:id="599" w:name="_Toc522201745"/>
      <w:bookmarkStart w:id="600" w:name="_Toc497746796"/>
      <w:bookmarkStart w:id="601" w:name="_Toc418061326"/>
      <w:bookmarkStart w:id="602" w:name="_Toc497747193"/>
      <w:bookmarkStart w:id="603" w:name="_Toc418752257"/>
      <w:bookmarkStart w:id="604" w:name="_Toc373478362"/>
      <w:bookmarkStart w:id="605" w:name="_Toc418518361"/>
      <w:bookmarkStart w:id="606" w:name="_Toc256000195"/>
      <w:bookmarkStart w:id="607" w:name="_Toc373227715"/>
      <w:bookmarkStart w:id="608" w:name="_Toc418518125"/>
      <w:bookmarkStart w:id="609" w:name="_Toc418751811"/>
      <w:r>
        <w:rPr>
          <w:rFonts w:hint="eastAsia" w:ascii="宋体" w:hAnsi="宋体" w:eastAsia="宋体" w:cs="宋体"/>
          <w:color w:val="000000"/>
          <w:sz w:val="21"/>
          <w:szCs w:val="21"/>
          <w:highlight w:val="none"/>
        </w:rPr>
        <w:t>4.2 监理人员</w:t>
      </w:r>
      <w:bookmarkEnd w:id="597"/>
      <w:bookmarkEnd w:id="598"/>
      <w:bookmarkEnd w:id="599"/>
      <w:bookmarkEnd w:id="600"/>
      <w:bookmarkEnd w:id="601"/>
      <w:bookmarkEnd w:id="602"/>
      <w:bookmarkEnd w:id="603"/>
      <w:bookmarkEnd w:id="604"/>
      <w:bookmarkEnd w:id="605"/>
      <w:bookmarkEnd w:id="606"/>
      <w:bookmarkEnd w:id="607"/>
      <w:bookmarkEnd w:id="608"/>
      <w:bookmarkEnd w:id="609"/>
    </w:p>
    <w:p w14:paraId="308B48F3">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总监理工程师：</w:t>
      </w:r>
    </w:p>
    <w:p w14:paraId="2AE55660">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    名：</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p>
    <w:p w14:paraId="5D2933EF">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职    务：</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9077AB3">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监理工程师执业资格证书号：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0E7A19E">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none"/>
        </w:rPr>
        <w:t>；</w:t>
      </w:r>
    </w:p>
    <w:p w14:paraId="54305C92">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电子信箱：</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none"/>
        </w:rPr>
        <w:t>；</w:t>
      </w:r>
    </w:p>
    <w:p w14:paraId="52B59E82">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u w:val="none"/>
        </w:rPr>
      </w:pPr>
      <w:r>
        <w:rPr>
          <w:rFonts w:hint="eastAsia" w:ascii="宋体" w:hAnsi="宋体" w:eastAsia="宋体" w:cs="宋体"/>
          <w:color w:val="000000"/>
          <w:sz w:val="21"/>
          <w:szCs w:val="21"/>
          <w:highlight w:val="none"/>
        </w:rPr>
        <w:t>通信地址：</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none"/>
        </w:rPr>
        <w:t>；</w:t>
      </w:r>
    </w:p>
    <w:p w14:paraId="60815C0A">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关于监理人的其他约定：</w:t>
      </w:r>
      <w:r>
        <w:rPr>
          <w:rFonts w:hint="eastAsia" w:ascii="宋体" w:hAnsi="宋体" w:eastAsia="宋体" w:cs="宋体"/>
          <w:color w:val="000000"/>
          <w:sz w:val="21"/>
          <w:szCs w:val="21"/>
          <w:highlight w:val="none"/>
          <w:u w:val="single"/>
        </w:rPr>
        <w:t xml:space="preserve"> 见监理合同</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none"/>
        </w:rPr>
        <w:t>。</w:t>
      </w:r>
    </w:p>
    <w:p w14:paraId="46AA67AD">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610" w:name="_Toc389065282"/>
      <w:bookmarkStart w:id="611" w:name="_Toc418752258"/>
      <w:bookmarkStart w:id="612" w:name="_Toc418518126"/>
      <w:bookmarkStart w:id="613" w:name="_Toc418751812"/>
      <w:bookmarkStart w:id="614" w:name="_Toc522201746"/>
      <w:bookmarkStart w:id="615" w:name="_Toc373227716"/>
      <w:bookmarkStart w:id="616" w:name="_Toc418061327"/>
      <w:bookmarkStart w:id="617" w:name="_Toc256000196"/>
      <w:bookmarkStart w:id="618" w:name="_Toc403578950"/>
      <w:bookmarkStart w:id="619" w:name="_Toc373478363"/>
      <w:bookmarkStart w:id="620" w:name="_Toc497746797"/>
      <w:bookmarkStart w:id="621" w:name="_Toc497747194"/>
      <w:bookmarkStart w:id="622" w:name="_Toc418518362"/>
      <w:r>
        <w:rPr>
          <w:rFonts w:hint="eastAsia" w:ascii="宋体" w:hAnsi="宋体" w:eastAsia="宋体" w:cs="宋体"/>
          <w:color w:val="000000"/>
          <w:sz w:val="21"/>
          <w:szCs w:val="21"/>
          <w:highlight w:val="none"/>
        </w:rPr>
        <w:t>4.4 商定或确定</w:t>
      </w:r>
      <w:bookmarkEnd w:id="610"/>
      <w:bookmarkEnd w:id="611"/>
      <w:bookmarkEnd w:id="612"/>
      <w:bookmarkEnd w:id="613"/>
      <w:bookmarkEnd w:id="614"/>
      <w:bookmarkEnd w:id="615"/>
      <w:bookmarkEnd w:id="616"/>
      <w:bookmarkEnd w:id="617"/>
      <w:bookmarkEnd w:id="618"/>
      <w:bookmarkEnd w:id="619"/>
      <w:bookmarkEnd w:id="620"/>
      <w:bookmarkEnd w:id="621"/>
      <w:bookmarkEnd w:id="622"/>
    </w:p>
    <w:p w14:paraId="3E0FEB52">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rPr>
      </w:pPr>
      <w:bookmarkStart w:id="623" w:name="_Toc267251418"/>
      <w:r>
        <w:rPr>
          <w:rFonts w:hint="eastAsia" w:ascii="宋体" w:hAnsi="宋体" w:eastAsia="宋体" w:cs="宋体"/>
          <w:color w:val="000000"/>
          <w:sz w:val="21"/>
          <w:szCs w:val="21"/>
          <w:highlight w:val="none"/>
        </w:rPr>
        <w:t>在发包人和承包人不能通过协商达成一致意见时，发包人授权监理人对以下事项进行确定：</w:t>
      </w:r>
      <w:r>
        <w:rPr>
          <w:rFonts w:hint="eastAsia" w:ascii="宋体" w:hAnsi="宋体" w:eastAsia="宋体" w:cs="宋体"/>
          <w:color w:val="000000"/>
          <w:kern w:val="0"/>
          <w:sz w:val="21"/>
          <w:szCs w:val="21"/>
          <w:highlight w:val="none"/>
          <w:u w:val="single"/>
        </w:rPr>
        <w:t>无</w:t>
      </w:r>
      <w:r>
        <w:rPr>
          <w:rFonts w:hint="eastAsia" w:ascii="宋体" w:hAnsi="宋体" w:eastAsia="宋体" w:cs="宋体"/>
          <w:color w:val="000000"/>
          <w:sz w:val="21"/>
          <w:szCs w:val="21"/>
          <w:highlight w:val="none"/>
        </w:rPr>
        <w:t>；</w:t>
      </w:r>
    </w:p>
    <w:p w14:paraId="3DD9435F">
      <w:pPr>
        <w:pStyle w:val="92"/>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bookmarkStart w:id="624" w:name="_Toc373227717"/>
      <w:bookmarkStart w:id="625" w:name="_Toc497747195"/>
      <w:bookmarkStart w:id="626" w:name="_Toc418518127"/>
      <w:bookmarkStart w:id="627" w:name="_Toc256000197"/>
      <w:bookmarkStart w:id="628" w:name="_Toc418518363"/>
      <w:bookmarkStart w:id="629" w:name="_Toc497746798"/>
      <w:bookmarkStart w:id="630" w:name="_Toc522201747"/>
      <w:bookmarkStart w:id="631" w:name="_Toc418752259"/>
      <w:bookmarkStart w:id="632" w:name="_Toc403578951"/>
      <w:bookmarkStart w:id="633" w:name="_Toc373478364"/>
      <w:bookmarkStart w:id="634" w:name="_Toc389065283"/>
      <w:bookmarkStart w:id="635" w:name="_Toc351203637"/>
      <w:bookmarkStart w:id="636" w:name="_Toc418751813"/>
      <w:bookmarkStart w:id="637" w:name="_Toc418061328"/>
      <w:r>
        <w:rPr>
          <w:rFonts w:hint="eastAsia" w:ascii="宋体" w:hAnsi="宋体" w:eastAsia="宋体" w:cs="宋体"/>
          <w:color w:val="000000"/>
          <w:sz w:val="21"/>
          <w:szCs w:val="21"/>
          <w:highlight w:val="none"/>
        </w:rPr>
        <w:t>5</w:t>
      </w:r>
      <w:bookmarkEnd w:id="623"/>
      <w:bookmarkStart w:id="638" w:name="_Toc297048349"/>
      <w:bookmarkStart w:id="639" w:name="_Toc297120463"/>
      <w:bookmarkStart w:id="640" w:name="_Toc296503163"/>
      <w:bookmarkStart w:id="641" w:name="_Toc296944502"/>
      <w:bookmarkStart w:id="642" w:name="_Toc296346664"/>
      <w:bookmarkStart w:id="643" w:name="_Toc296890991"/>
      <w:bookmarkStart w:id="644" w:name="_Toc292559872"/>
      <w:bookmarkStart w:id="645" w:name="_Toc296347162"/>
      <w:bookmarkStart w:id="646" w:name="_Toc296891203"/>
      <w:bookmarkStart w:id="647" w:name="_Toc292559367"/>
      <w:r>
        <w:rPr>
          <w:rFonts w:hint="eastAsia" w:ascii="宋体" w:hAnsi="宋体" w:eastAsia="宋体" w:cs="宋体"/>
          <w:color w:val="000000"/>
          <w:sz w:val="21"/>
          <w:szCs w:val="21"/>
          <w:highlight w:val="none"/>
        </w:rPr>
        <w:t>. 工程质量</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14:paraId="406912F8">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648" w:name="_Toc373227718"/>
      <w:bookmarkStart w:id="649" w:name="_Toc418518364"/>
      <w:bookmarkStart w:id="650" w:name="_Toc256000198"/>
      <w:bookmarkStart w:id="651" w:name="_Toc418752260"/>
      <w:bookmarkStart w:id="652" w:name="_Toc418061329"/>
      <w:bookmarkStart w:id="653" w:name="_Toc418751814"/>
      <w:bookmarkStart w:id="654" w:name="_Toc373478365"/>
      <w:bookmarkStart w:id="655" w:name="_Toc403578952"/>
      <w:bookmarkStart w:id="656" w:name="_Toc389065284"/>
      <w:bookmarkStart w:id="657" w:name="_Toc418518128"/>
      <w:bookmarkStart w:id="658" w:name="_Toc497747196"/>
      <w:bookmarkStart w:id="659" w:name="_Toc497746799"/>
      <w:bookmarkStart w:id="660" w:name="_Toc522201748"/>
      <w:r>
        <w:rPr>
          <w:rFonts w:hint="eastAsia" w:ascii="宋体" w:hAnsi="宋体" w:eastAsia="宋体" w:cs="宋体"/>
          <w:color w:val="000000"/>
          <w:sz w:val="21"/>
          <w:szCs w:val="21"/>
          <w:highlight w:val="none"/>
        </w:rPr>
        <w:t>5.1 质量要求</w:t>
      </w:r>
      <w:bookmarkEnd w:id="648"/>
      <w:bookmarkEnd w:id="649"/>
      <w:bookmarkEnd w:id="650"/>
      <w:bookmarkEnd w:id="651"/>
      <w:bookmarkEnd w:id="652"/>
      <w:bookmarkEnd w:id="653"/>
      <w:bookmarkEnd w:id="654"/>
      <w:bookmarkEnd w:id="655"/>
      <w:bookmarkEnd w:id="656"/>
      <w:bookmarkEnd w:id="657"/>
      <w:bookmarkEnd w:id="658"/>
      <w:bookmarkEnd w:id="659"/>
      <w:bookmarkEnd w:id="660"/>
    </w:p>
    <w:p w14:paraId="7EFFF9E3">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5</w:t>
      </w:r>
      <w:bookmarkStart w:id="661" w:name="_Toc318581164"/>
      <w:bookmarkStart w:id="662" w:name="_Toc303539106"/>
      <w:bookmarkStart w:id="663" w:name="_Toc300934949"/>
      <w:bookmarkStart w:id="664" w:name="_Toc297123496"/>
      <w:bookmarkStart w:id="665" w:name="_Toc304295527"/>
      <w:bookmarkStart w:id="666" w:name="_Toc312677997"/>
      <w:bookmarkStart w:id="667" w:name="_Toc297216155"/>
      <w:r>
        <w:rPr>
          <w:rFonts w:hint="eastAsia" w:ascii="宋体" w:hAnsi="宋体" w:eastAsia="宋体" w:cs="宋体"/>
          <w:color w:val="000000"/>
          <w:sz w:val="21"/>
          <w:szCs w:val="21"/>
          <w:highlight w:val="none"/>
        </w:rPr>
        <w:t>.1.1 特殊质量标准和要求：</w:t>
      </w:r>
      <w:r>
        <w:rPr>
          <w:rFonts w:hint="eastAsia" w:ascii="宋体" w:hAnsi="宋体" w:eastAsia="宋体" w:cs="宋体"/>
          <w:color w:val="000000"/>
          <w:sz w:val="21"/>
          <w:szCs w:val="21"/>
          <w:highlight w:val="none"/>
          <w:u w:val="single"/>
        </w:rPr>
        <w:t xml:space="preserve"> 工程质量达到国家验收合格标准 </w:t>
      </w:r>
      <w:r>
        <w:rPr>
          <w:rFonts w:hint="eastAsia" w:ascii="宋体" w:hAnsi="宋体" w:eastAsia="宋体" w:cs="宋体"/>
          <w:color w:val="000000"/>
          <w:sz w:val="21"/>
          <w:szCs w:val="21"/>
          <w:highlight w:val="none"/>
        </w:rPr>
        <w:t>。</w:t>
      </w:r>
    </w:p>
    <w:p w14:paraId="2332585E">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关于工程奖项的约定：</w:t>
      </w:r>
      <w:r>
        <w:rPr>
          <w:rFonts w:hint="eastAsia" w:ascii="宋体" w:hAnsi="宋体" w:eastAsia="宋体" w:cs="宋体"/>
          <w:color w:val="000000"/>
          <w:sz w:val="21"/>
          <w:szCs w:val="21"/>
          <w:highlight w:val="none"/>
          <w:u w:val="single"/>
        </w:rPr>
        <w:t xml:space="preserve"> 无 </w:t>
      </w:r>
      <w:r>
        <w:rPr>
          <w:rFonts w:hint="eastAsia" w:ascii="宋体" w:hAnsi="宋体" w:eastAsia="宋体" w:cs="宋体"/>
          <w:color w:val="000000"/>
          <w:sz w:val="21"/>
          <w:szCs w:val="21"/>
          <w:highlight w:val="none"/>
        </w:rPr>
        <w:t>。</w:t>
      </w:r>
    </w:p>
    <w:p w14:paraId="2B43A391">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5.3 隐蔽工程检查</w:t>
      </w:r>
    </w:p>
    <w:p w14:paraId="07301B69">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kern w:val="0"/>
          <w:sz w:val="21"/>
          <w:szCs w:val="21"/>
          <w:highlight w:val="none"/>
          <w:u w:val="single"/>
        </w:rPr>
      </w:pPr>
      <w:r>
        <w:rPr>
          <w:rFonts w:hint="eastAsia" w:ascii="宋体" w:hAnsi="宋体" w:eastAsia="宋体" w:cs="宋体"/>
          <w:color w:val="000000"/>
          <w:sz w:val="21"/>
          <w:szCs w:val="21"/>
          <w:highlight w:val="none"/>
        </w:rPr>
        <w:t>5.3.2承包人提前通知监理人隐蔽工程检查的期限的约定：</w:t>
      </w:r>
      <w:r>
        <w:rPr>
          <w:rFonts w:hint="eastAsia" w:ascii="宋体" w:hAnsi="宋体" w:eastAsia="宋体" w:cs="宋体"/>
          <w:color w:val="000000"/>
          <w:kern w:val="0"/>
          <w:sz w:val="21"/>
          <w:szCs w:val="21"/>
          <w:highlight w:val="none"/>
          <w:u w:val="single"/>
        </w:rPr>
        <w:t>任何部位的隐蔽工程需要覆盖或隐蔽前，承包人均应提前 48 小时通知发包人、监理工程师和质量监督站进行中间验收并拍照</w:t>
      </w:r>
      <w:r>
        <w:rPr>
          <w:rFonts w:hint="eastAsia" w:ascii="宋体" w:hAnsi="宋体" w:eastAsia="宋体" w:cs="宋体"/>
          <w:strike w:val="0"/>
          <w:color w:val="000000"/>
          <w:kern w:val="0"/>
          <w:sz w:val="21"/>
          <w:szCs w:val="21"/>
          <w:highlight w:val="none"/>
          <w:u w:val="single"/>
        </w:rPr>
        <w:t>，没有发包人、监理工程师和质量监督站的批准，均不得隐蔽或验收。对相关单位所提出涉及工程质量、</w:t>
      </w:r>
      <w:r>
        <w:rPr>
          <w:rFonts w:hint="eastAsia" w:ascii="宋体" w:hAnsi="宋体" w:eastAsia="宋体" w:cs="宋体"/>
          <w:color w:val="000000"/>
          <w:kern w:val="0"/>
          <w:sz w:val="21"/>
          <w:szCs w:val="21"/>
          <w:highlight w:val="none"/>
          <w:u w:val="single"/>
        </w:rPr>
        <w:t>安全管理等存在问题时，必须进行整改，承包人应在监理人及相关人员指示的时间内修正返工后，由监理人及相关人员重新检查。否则发包人按规定有权进行经济处罚</w:t>
      </w:r>
      <w:r>
        <w:rPr>
          <w:rFonts w:hint="eastAsia" w:ascii="宋体" w:hAnsi="宋体" w:eastAsia="宋体" w:cs="宋体"/>
          <w:bCs/>
          <w:color w:val="000000"/>
          <w:sz w:val="21"/>
          <w:szCs w:val="21"/>
          <w:highlight w:val="none"/>
          <w:u w:val="single"/>
        </w:rPr>
        <w:t>。</w:t>
      </w:r>
    </w:p>
    <w:p w14:paraId="3406CD14">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监理人不能按时进行检查时，应提前</w:t>
      </w:r>
      <w:r>
        <w:rPr>
          <w:rFonts w:hint="eastAsia" w:ascii="宋体" w:hAnsi="宋体" w:eastAsia="宋体" w:cs="宋体"/>
          <w:color w:val="000000"/>
          <w:sz w:val="21"/>
          <w:szCs w:val="21"/>
          <w:highlight w:val="none"/>
          <w:u w:val="single"/>
        </w:rPr>
        <w:t xml:space="preserve"> 24 </w:t>
      </w:r>
      <w:r>
        <w:rPr>
          <w:rFonts w:hint="eastAsia" w:ascii="宋体" w:hAnsi="宋体" w:eastAsia="宋体" w:cs="宋体"/>
          <w:color w:val="000000"/>
          <w:sz w:val="21"/>
          <w:szCs w:val="21"/>
          <w:highlight w:val="none"/>
        </w:rPr>
        <w:t>小时提交书面延期要求。</w:t>
      </w:r>
    </w:p>
    <w:p w14:paraId="5B5115AC">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关于延期最长不得超过：</w:t>
      </w:r>
      <w:r>
        <w:rPr>
          <w:rFonts w:hint="eastAsia" w:ascii="宋体" w:hAnsi="宋体" w:eastAsia="宋体" w:cs="宋体"/>
          <w:color w:val="000000"/>
          <w:sz w:val="21"/>
          <w:szCs w:val="21"/>
          <w:highlight w:val="none"/>
          <w:u w:val="single"/>
        </w:rPr>
        <w:t xml:space="preserve"> 48 </w:t>
      </w:r>
      <w:r>
        <w:rPr>
          <w:rFonts w:hint="eastAsia" w:ascii="宋体" w:hAnsi="宋体" w:eastAsia="宋体" w:cs="宋体"/>
          <w:color w:val="000000"/>
          <w:sz w:val="21"/>
          <w:szCs w:val="21"/>
          <w:highlight w:val="none"/>
        </w:rPr>
        <w:t>小时。</w:t>
      </w:r>
    </w:p>
    <w:p w14:paraId="2806F7FF">
      <w:pPr>
        <w:pStyle w:val="92"/>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bookmarkStart w:id="668" w:name="_Toc497746800"/>
      <w:bookmarkStart w:id="669" w:name="_Toc418518129"/>
      <w:bookmarkStart w:id="670" w:name="_Toc403578953"/>
      <w:bookmarkStart w:id="671" w:name="_Toc497747197"/>
      <w:bookmarkStart w:id="672" w:name="_Toc522201749"/>
      <w:bookmarkStart w:id="673" w:name="_Toc418061330"/>
      <w:bookmarkStart w:id="674" w:name="_Toc256000199"/>
      <w:bookmarkStart w:id="675" w:name="_Toc373478366"/>
      <w:bookmarkStart w:id="676" w:name="_Toc418751815"/>
      <w:bookmarkStart w:id="677" w:name="_Toc351203638"/>
      <w:bookmarkStart w:id="678" w:name="_Toc418518365"/>
      <w:bookmarkStart w:id="679" w:name="_Toc373227719"/>
      <w:bookmarkStart w:id="680" w:name="_Toc418752261"/>
      <w:bookmarkStart w:id="681" w:name="_Toc389065285"/>
      <w:r>
        <w:rPr>
          <w:rFonts w:hint="eastAsia" w:ascii="宋体" w:hAnsi="宋体" w:eastAsia="宋体" w:cs="宋体"/>
          <w:color w:val="000000"/>
          <w:sz w:val="21"/>
          <w:szCs w:val="21"/>
          <w:highlight w:val="none"/>
        </w:rPr>
        <w:t>6. 安全文明施工与环境保护</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14:paraId="64BC5D36">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682" w:name="_Toc373478367"/>
      <w:bookmarkStart w:id="683" w:name="_Toc373227720"/>
      <w:bookmarkStart w:id="684" w:name="_Toc497747198"/>
      <w:bookmarkStart w:id="685" w:name="_Toc497746801"/>
      <w:bookmarkStart w:id="686" w:name="_Toc522201750"/>
      <w:bookmarkStart w:id="687" w:name="_Toc418752262"/>
      <w:bookmarkStart w:id="688" w:name="_Toc256000200"/>
      <w:bookmarkStart w:id="689" w:name="_Toc403578954"/>
      <w:bookmarkStart w:id="690" w:name="_Toc418518366"/>
      <w:bookmarkStart w:id="691" w:name="_Toc418751816"/>
      <w:bookmarkStart w:id="692" w:name="_Toc418518130"/>
      <w:bookmarkStart w:id="693" w:name="_Toc389065286"/>
      <w:bookmarkStart w:id="694" w:name="_Toc418061331"/>
      <w:r>
        <w:rPr>
          <w:rFonts w:hint="eastAsia" w:ascii="宋体" w:hAnsi="宋体" w:eastAsia="宋体" w:cs="宋体"/>
          <w:color w:val="000000"/>
          <w:sz w:val="21"/>
          <w:szCs w:val="21"/>
          <w:highlight w:val="none"/>
        </w:rPr>
        <w:t>6.1 安全文明施工</w:t>
      </w:r>
      <w:bookmarkEnd w:id="682"/>
      <w:bookmarkEnd w:id="683"/>
      <w:bookmarkEnd w:id="684"/>
      <w:bookmarkEnd w:id="685"/>
      <w:bookmarkEnd w:id="686"/>
      <w:bookmarkEnd w:id="687"/>
      <w:bookmarkEnd w:id="688"/>
      <w:bookmarkEnd w:id="689"/>
      <w:bookmarkEnd w:id="690"/>
      <w:bookmarkEnd w:id="691"/>
      <w:bookmarkEnd w:id="692"/>
      <w:bookmarkEnd w:id="693"/>
      <w:bookmarkEnd w:id="694"/>
    </w:p>
    <w:p w14:paraId="66417251">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6.1.1 项目安全生产的达标目标及相应事项的约定：</w:t>
      </w:r>
      <w:r>
        <w:rPr>
          <w:rFonts w:hint="eastAsia" w:ascii="宋体" w:hAnsi="宋体" w:eastAsia="宋体" w:cs="宋体"/>
          <w:color w:val="000000"/>
          <w:sz w:val="21"/>
          <w:szCs w:val="21"/>
          <w:highlight w:val="none"/>
          <w:u w:val="single"/>
        </w:rPr>
        <w:t xml:space="preserve"> 按照国家及地方安全文明施工的有关规定执行 </w:t>
      </w:r>
      <w:r>
        <w:rPr>
          <w:rFonts w:hint="eastAsia" w:ascii="宋体" w:hAnsi="宋体" w:eastAsia="宋体" w:cs="宋体"/>
          <w:color w:val="000000"/>
          <w:sz w:val="21"/>
          <w:szCs w:val="21"/>
          <w:highlight w:val="none"/>
        </w:rPr>
        <w:t>。</w:t>
      </w:r>
    </w:p>
    <w:p w14:paraId="4EA1AC27">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关于安全文明施工奖项的约定：</w:t>
      </w:r>
      <w:r>
        <w:rPr>
          <w:rFonts w:hint="eastAsia" w:ascii="宋体" w:hAnsi="宋体" w:eastAsia="宋体" w:cs="宋体"/>
          <w:color w:val="000000"/>
          <w:sz w:val="21"/>
          <w:szCs w:val="21"/>
          <w:highlight w:val="none"/>
          <w:u w:val="single"/>
        </w:rPr>
        <w:t xml:space="preserve">  承包人应当负责统一管理施工场地的治安保卫事项，履行合同工程的治安保卫职责  </w:t>
      </w:r>
      <w:r>
        <w:rPr>
          <w:rFonts w:hint="eastAsia" w:ascii="宋体" w:hAnsi="宋体" w:eastAsia="宋体" w:cs="宋体"/>
          <w:color w:val="000000"/>
          <w:sz w:val="21"/>
          <w:szCs w:val="21"/>
          <w:highlight w:val="none"/>
        </w:rPr>
        <w:t>。</w:t>
      </w:r>
    </w:p>
    <w:p w14:paraId="69314855">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6.1.4 关于治安保卫的特别约定：</w:t>
      </w:r>
      <w:r>
        <w:rPr>
          <w:rFonts w:hint="eastAsia" w:ascii="宋体" w:hAnsi="宋体" w:eastAsia="宋体" w:cs="宋体"/>
          <w:color w:val="000000"/>
          <w:sz w:val="21"/>
          <w:szCs w:val="21"/>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r>
        <w:rPr>
          <w:rFonts w:hint="eastAsia" w:ascii="宋体" w:hAnsi="宋体" w:eastAsia="宋体" w:cs="宋体"/>
          <w:color w:val="000000"/>
          <w:sz w:val="21"/>
          <w:szCs w:val="21"/>
          <w:highlight w:val="none"/>
        </w:rPr>
        <w:t>。</w:t>
      </w:r>
    </w:p>
    <w:p w14:paraId="156A0198">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关于编制施工场地治安管理计划的约定：</w:t>
      </w:r>
      <w:r>
        <w:rPr>
          <w:rFonts w:hint="eastAsia" w:ascii="宋体" w:hAnsi="宋体" w:eastAsia="宋体" w:cs="宋体"/>
          <w:color w:val="000000"/>
          <w:sz w:val="21"/>
          <w:szCs w:val="21"/>
          <w:highlight w:val="none"/>
          <w:u w:val="single"/>
        </w:rPr>
        <w:t xml:space="preserve">  开工前7天内承包人编制施工场地治安管理计划和突发治安事件紧急预案</w:t>
      </w:r>
      <w:r>
        <w:rPr>
          <w:rFonts w:hint="eastAsia" w:ascii="宋体" w:hAnsi="宋体" w:eastAsia="宋体" w:cs="宋体"/>
          <w:color w:val="000000"/>
          <w:sz w:val="21"/>
          <w:szCs w:val="21"/>
          <w:highlight w:val="none"/>
        </w:rPr>
        <w:t>。</w:t>
      </w:r>
    </w:p>
    <w:p w14:paraId="55F3D68D">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6.1.5 文明施工</w:t>
      </w:r>
    </w:p>
    <w:p w14:paraId="557194CD">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合同当事人对文明施工的要求：</w:t>
      </w:r>
      <w:r>
        <w:rPr>
          <w:rFonts w:hint="eastAsia" w:ascii="宋体" w:hAnsi="宋体" w:eastAsia="宋体" w:cs="宋体"/>
          <w:color w:val="000000"/>
          <w:sz w:val="21"/>
          <w:szCs w:val="21"/>
          <w:highlight w:val="none"/>
          <w:u w:val="single"/>
        </w:rPr>
        <w:t>按照国家及地方安全文明施工的有关规定执行</w:t>
      </w:r>
      <w:r>
        <w:rPr>
          <w:rFonts w:hint="eastAsia" w:ascii="宋体" w:hAnsi="宋体" w:eastAsia="宋体" w:cs="宋体"/>
          <w:color w:val="000000"/>
          <w:sz w:val="21"/>
          <w:szCs w:val="21"/>
          <w:highlight w:val="none"/>
        </w:rPr>
        <w:t>。</w:t>
      </w:r>
    </w:p>
    <w:p w14:paraId="3EA11D3C">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6.1.6 关于安全文明施工费支付比例和支付期限的约定：</w:t>
      </w:r>
      <w:r>
        <w:rPr>
          <w:rFonts w:hint="eastAsia" w:ascii="宋体" w:hAnsi="宋体" w:eastAsia="宋体" w:cs="宋体"/>
          <w:color w:val="000000"/>
          <w:kern w:val="0"/>
          <w:sz w:val="21"/>
          <w:szCs w:val="21"/>
          <w:highlight w:val="none"/>
          <w:u w:val="single"/>
        </w:rPr>
        <w:t>专款专用</w:t>
      </w:r>
      <w:r>
        <w:rPr>
          <w:rFonts w:hint="eastAsia" w:ascii="宋体" w:hAnsi="宋体" w:eastAsia="宋体" w:cs="宋体"/>
          <w:color w:val="000000"/>
          <w:kern w:val="0"/>
          <w:sz w:val="21"/>
          <w:szCs w:val="21"/>
          <w:highlight w:val="none"/>
        </w:rPr>
        <w:t>。具体按《广西壮族自治区建筑工程安全防护、文明施工措施费及管理细则》（桂建质〔2006〕22号）和</w:t>
      </w:r>
      <w:r>
        <w:rPr>
          <w:rFonts w:hint="eastAsia" w:ascii="宋体" w:hAnsi="宋体" w:eastAsia="宋体" w:cs="宋体"/>
          <w:color w:val="000000"/>
          <w:sz w:val="21"/>
          <w:szCs w:val="21"/>
          <w:highlight w:val="none"/>
          <w:u w:val="single"/>
        </w:rPr>
        <w:t>桂林市建规[2007]131号文及市建规[2008]224号文</w:t>
      </w:r>
      <w:r>
        <w:rPr>
          <w:rFonts w:hint="eastAsia" w:ascii="宋体" w:hAnsi="宋体" w:eastAsia="宋体" w:cs="宋体"/>
          <w:color w:val="000000"/>
          <w:kern w:val="0"/>
          <w:sz w:val="21"/>
          <w:szCs w:val="21"/>
          <w:highlight w:val="none"/>
        </w:rPr>
        <w:t>相关规定执行。</w:t>
      </w:r>
    </w:p>
    <w:p w14:paraId="764ECB6A">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（3）支付约定：</w:t>
      </w:r>
      <w:r>
        <w:rPr>
          <w:rFonts w:hint="eastAsia" w:ascii="宋体" w:hAnsi="宋体" w:eastAsia="宋体" w:cs="宋体"/>
          <w:color w:val="000000"/>
          <w:sz w:val="21"/>
          <w:szCs w:val="21"/>
          <w:highlight w:val="none"/>
          <w:u w:val="single"/>
        </w:rPr>
        <w:t>具体按《广西壮族自治区建筑工程安全防护、文明施工措施费及管理细则》（桂建质〔2006〕22号）和桂林市建规[2007]131号文及市建规[2008]224号文相关规定执行。</w:t>
      </w:r>
      <w:r>
        <w:rPr>
          <w:rFonts w:hint="eastAsia" w:ascii="宋体" w:hAnsi="宋体" w:eastAsia="宋体" w:cs="宋体"/>
          <w:color w:val="000000"/>
          <w:sz w:val="21"/>
          <w:szCs w:val="21"/>
          <w:highlight w:val="none"/>
        </w:rPr>
        <w:t xml:space="preserve"> </w:t>
      </w:r>
    </w:p>
    <w:p w14:paraId="487F85A5">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u w:val="single"/>
        </w:rPr>
      </w:pPr>
      <w:bookmarkStart w:id="695" w:name="_Toc403578955"/>
      <w:bookmarkStart w:id="696" w:name="_Toc373478368"/>
      <w:bookmarkStart w:id="697" w:name="_Toc418752263"/>
      <w:bookmarkStart w:id="698" w:name="_Toc418751817"/>
      <w:bookmarkStart w:id="699" w:name="_Toc418518131"/>
      <w:bookmarkStart w:id="700" w:name="_Toc418518367"/>
      <w:bookmarkStart w:id="701" w:name="_Toc418061332"/>
      <w:bookmarkStart w:id="702" w:name="_Toc497747199"/>
      <w:bookmarkStart w:id="703" w:name="_Toc373227721"/>
      <w:bookmarkStart w:id="704" w:name="_Toc389065287"/>
      <w:bookmarkStart w:id="705" w:name="_Toc497746802"/>
      <w:r>
        <w:rPr>
          <w:rFonts w:hint="eastAsia" w:ascii="宋体" w:hAnsi="宋体" w:eastAsia="宋体" w:cs="宋体"/>
          <w:color w:val="000000"/>
          <w:sz w:val="21"/>
          <w:szCs w:val="21"/>
          <w:highlight w:val="none"/>
        </w:rPr>
        <w:t>6.2职业健康</w:t>
      </w:r>
    </w:p>
    <w:p w14:paraId="6AFC6997">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6.2.3 扬尘防治：严格执行市住建【2016】71号《关于进一步加强全市建筑工地扬尘治理工作的通知》的相关规定。关于扬尘防治费支付比例和支付期限的约定为：</w:t>
      </w:r>
      <w:r>
        <w:rPr>
          <w:rFonts w:hint="eastAsia" w:ascii="宋体" w:hAnsi="宋体" w:eastAsia="宋体" w:cs="宋体"/>
          <w:color w:val="000000"/>
          <w:sz w:val="21"/>
          <w:szCs w:val="21"/>
          <w:highlight w:val="none"/>
          <w:u w:val="single"/>
        </w:rPr>
        <w:t>市住建〔2016〕34号文规定 。</w:t>
      </w:r>
    </w:p>
    <w:p w14:paraId="2DD36617">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6.3 环境保护</w:t>
      </w:r>
      <w:bookmarkEnd w:id="695"/>
      <w:bookmarkEnd w:id="696"/>
      <w:bookmarkEnd w:id="697"/>
      <w:bookmarkEnd w:id="698"/>
      <w:bookmarkEnd w:id="699"/>
      <w:bookmarkEnd w:id="700"/>
      <w:bookmarkEnd w:id="701"/>
      <w:bookmarkEnd w:id="702"/>
      <w:bookmarkEnd w:id="703"/>
      <w:bookmarkEnd w:id="704"/>
      <w:bookmarkEnd w:id="705"/>
      <w:r>
        <w:rPr>
          <w:rFonts w:hint="eastAsia" w:ascii="宋体" w:hAnsi="宋体" w:eastAsia="宋体" w:cs="宋体"/>
          <w:color w:val="000000"/>
          <w:sz w:val="21"/>
          <w:szCs w:val="21"/>
          <w:highlight w:val="none"/>
        </w:rPr>
        <w:t>因施工需要，经发包人批准，由承包人办理有关施工场地交通、环卫和施工噪音管理等手续，费用由承包人负责。</w:t>
      </w:r>
    </w:p>
    <w:p w14:paraId="1B7E403B">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经过城市道路的施工车辆，必须按交警、城管、运输等部门相关规定执行。由于施工车辆造成的道路、环境等污染，其责任和费用均由承包人承担。</w:t>
      </w:r>
    </w:p>
    <w:p w14:paraId="1C915DAA">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环保工作的约定：</w:t>
      </w:r>
      <w:r>
        <w:rPr>
          <w:rFonts w:hint="eastAsia" w:ascii="宋体" w:hAnsi="宋体" w:eastAsia="宋体" w:cs="宋体"/>
          <w:color w:val="000000"/>
          <w:sz w:val="21"/>
          <w:szCs w:val="21"/>
          <w:highlight w:val="none"/>
          <w:u w:val="single"/>
          <w:lang w:eastAsia="zh-CN"/>
        </w:rPr>
        <w:t>发包</w:t>
      </w:r>
      <w:r>
        <w:rPr>
          <w:rFonts w:hint="eastAsia" w:ascii="宋体" w:hAnsi="宋体" w:eastAsia="宋体" w:cs="宋体"/>
          <w:color w:val="000000"/>
          <w:sz w:val="21"/>
          <w:szCs w:val="21"/>
          <w:highlight w:val="none"/>
          <w:u w:val="single"/>
        </w:rPr>
        <w:t>人负责办理有关环保报批手续。在施工期间对环境主要影响是机械声和废水、废渣、尘埃，对此承包人应采取相应的防治措施和严格管理，严格控制污染物排放，污染物排放前必须处理，达到排污标准后再排放。严禁把污染物直接排入江中。控制标准：《地面环境质量标准》GB3838-88Ⅱ。施工完毕后，承包人应及时将被破坏的场地，遵照监理工程师的指示进行清理、修正，并根据实际情况将场地恢复到原有状态，费用自理。</w:t>
      </w:r>
    </w:p>
    <w:bookmarkEnd w:id="661"/>
    <w:bookmarkEnd w:id="662"/>
    <w:bookmarkEnd w:id="663"/>
    <w:bookmarkEnd w:id="664"/>
    <w:bookmarkEnd w:id="665"/>
    <w:bookmarkEnd w:id="666"/>
    <w:bookmarkEnd w:id="667"/>
    <w:p w14:paraId="0BB43A59">
      <w:pPr>
        <w:pStyle w:val="92"/>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bookmarkStart w:id="706" w:name="_Toc418061333"/>
      <w:bookmarkStart w:id="707" w:name="_Toc418751818"/>
      <w:bookmarkStart w:id="708" w:name="_Toc403578956"/>
      <w:bookmarkStart w:id="709" w:name="_Toc418518132"/>
      <w:bookmarkStart w:id="710" w:name="_Toc389065288"/>
      <w:bookmarkStart w:id="711" w:name="_Toc351203639"/>
      <w:bookmarkStart w:id="712" w:name="_Toc256000201"/>
      <w:bookmarkStart w:id="713" w:name="_Toc497746803"/>
      <w:bookmarkStart w:id="714" w:name="_Toc373478369"/>
      <w:bookmarkStart w:id="715" w:name="_Toc418518368"/>
      <w:bookmarkStart w:id="716" w:name="_Toc373227722"/>
      <w:bookmarkStart w:id="717" w:name="_Toc497747200"/>
      <w:bookmarkStart w:id="718" w:name="_Toc418752264"/>
      <w:bookmarkStart w:id="719" w:name="_Toc522201751"/>
      <w:r>
        <w:rPr>
          <w:rFonts w:hint="eastAsia" w:ascii="宋体" w:hAnsi="宋体" w:eastAsia="宋体" w:cs="宋体"/>
          <w:color w:val="000000"/>
          <w:sz w:val="21"/>
          <w:szCs w:val="21"/>
          <w:highlight w:val="none"/>
        </w:rPr>
        <w:t>7. 工期和进度</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14:paraId="5D225D0E">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720" w:name="_Toc403578957"/>
      <w:bookmarkStart w:id="721" w:name="_Toc418061334"/>
      <w:bookmarkStart w:id="722" w:name="_Toc497746804"/>
      <w:bookmarkStart w:id="723" w:name="_Toc418518133"/>
      <w:bookmarkStart w:id="724" w:name="_Toc373478370"/>
      <w:bookmarkStart w:id="725" w:name="_Toc418752265"/>
      <w:bookmarkStart w:id="726" w:name="_Toc373227723"/>
      <w:bookmarkStart w:id="727" w:name="_Toc256000202"/>
      <w:bookmarkStart w:id="728" w:name="_Toc418751819"/>
      <w:bookmarkStart w:id="729" w:name="_Toc389065289"/>
      <w:bookmarkStart w:id="730" w:name="_Toc497747201"/>
      <w:bookmarkStart w:id="731" w:name="_Toc522201752"/>
      <w:bookmarkStart w:id="732" w:name="_Toc418518369"/>
      <w:r>
        <w:rPr>
          <w:rFonts w:hint="eastAsia" w:ascii="宋体" w:hAnsi="宋体" w:eastAsia="宋体" w:cs="宋体"/>
          <w:color w:val="000000"/>
          <w:sz w:val="21"/>
          <w:szCs w:val="21"/>
          <w:highlight w:val="none"/>
        </w:rPr>
        <w:t>7.1 施工组织设计</w:t>
      </w:r>
      <w:bookmarkEnd w:id="720"/>
      <w:bookmarkEnd w:id="721"/>
      <w:bookmarkEnd w:id="722"/>
      <w:bookmarkEnd w:id="723"/>
      <w:bookmarkEnd w:id="724"/>
      <w:bookmarkEnd w:id="725"/>
      <w:bookmarkEnd w:id="726"/>
      <w:bookmarkEnd w:id="727"/>
      <w:bookmarkEnd w:id="728"/>
      <w:bookmarkEnd w:id="729"/>
      <w:bookmarkEnd w:id="730"/>
      <w:bookmarkEnd w:id="731"/>
      <w:bookmarkEnd w:id="732"/>
    </w:p>
    <w:p w14:paraId="48430D62">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7.1.1 合同当事人约定的施工组织设计应包括的其他内容：</w:t>
      </w:r>
      <w:r>
        <w:rPr>
          <w:rFonts w:hint="eastAsia" w:ascii="宋体" w:hAnsi="宋体" w:eastAsia="宋体" w:cs="宋体"/>
          <w:color w:val="000000"/>
          <w:sz w:val="21"/>
          <w:szCs w:val="21"/>
          <w:highlight w:val="none"/>
          <w:u w:val="single"/>
        </w:rPr>
        <w:t>(1)管理人员名单，含职称、职务并附相关人员岗位证书等复印件；（2）施工进度计划包括总进度计划、分阶段和分项进度计划、设备材料人员进场计划；施工方案说明包括分部、分项工程或工程部位的名称及施工顺序和方法；（3）国家及地方有关规定应当提交的内容。</w:t>
      </w:r>
    </w:p>
    <w:p w14:paraId="1600EA92">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 xml:space="preserve">7.1.2 </w:t>
      </w:r>
      <w:r>
        <w:rPr>
          <w:rFonts w:hint="eastAsia" w:ascii="宋体" w:hAnsi="宋体" w:eastAsia="宋体" w:cs="宋体"/>
          <w:color w:val="000000"/>
          <w:kern w:val="0"/>
          <w:sz w:val="21"/>
          <w:szCs w:val="21"/>
          <w:highlight w:val="none"/>
        </w:rPr>
        <w:t>施工组织设计的提交和修改</w:t>
      </w:r>
    </w:p>
    <w:p w14:paraId="514B8CA5">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kern w:val="0"/>
          <w:sz w:val="21"/>
          <w:szCs w:val="21"/>
          <w:highlight w:val="none"/>
        </w:rPr>
        <w:t>承包人提交详细施工组织设计的期限的约定：</w:t>
      </w:r>
      <w:r>
        <w:rPr>
          <w:rFonts w:hint="eastAsia" w:ascii="宋体" w:hAnsi="宋体" w:eastAsia="宋体" w:cs="宋体"/>
          <w:color w:val="000000"/>
          <w:sz w:val="21"/>
          <w:szCs w:val="21"/>
          <w:highlight w:val="none"/>
          <w:u w:val="single"/>
        </w:rPr>
        <w:t xml:space="preserve">  合同签订后14天内，最迟不得晚于开工通知载明的开工日期前7天  </w:t>
      </w:r>
      <w:r>
        <w:rPr>
          <w:rFonts w:hint="eastAsia" w:ascii="宋体" w:hAnsi="宋体" w:eastAsia="宋体" w:cs="宋体"/>
          <w:color w:val="000000"/>
          <w:sz w:val="21"/>
          <w:szCs w:val="21"/>
          <w:highlight w:val="none"/>
        </w:rPr>
        <w:t>。</w:t>
      </w:r>
    </w:p>
    <w:p w14:paraId="63CFF257">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发包人和监理人在收到详细的施工组织设计后确认或提出修改意见的期限：</w:t>
      </w:r>
      <w:r>
        <w:rPr>
          <w:rFonts w:hint="eastAsia" w:ascii="宋体" w:hAnsi="宋体" w:eastAsia="宋体" w:cs="宋体"/>
          <w:color w:val="000000"/>
          <w:sz w:val="21"/>
          <w:szCs w:val="21"/>
          <w:highlight w:val="none"/>
          <w:u w:val="single"/>
        </w:rPr>
        <w:t>收到施工组织设计后7天内确认或提出修改意见。</w:t>
      </w:r>
    </w:p>
    <w:p w14:paraId="2EEFB93D">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733" w:name="_Toc256000203"/>
      <w:bookmarkStart w:id="734" w:name="_Toc497747202"/>
      <w:bookmarkStart w:id="735" w:name="_Toc418518134"/>
      <w:bookmarkStart w:id="736" w:name="_Toc373227724"/>
      <w:bookmarkStart w:id="737" w:name="_Toc418061335"/>
      <w:bookmarkStart w:id="738" w:name="_Toc418751820"/>
      <w:bookmarkStart w:id="739" w:name="_Toc522201753"/>
      <w:bookmarkStart w:id="740" w:name="_Toc418752266"/>
      <w:bookmarkStart w:id="741" w:name="_Toc497746805"/>
      <w:bookmarkStart w:id="742" w:name="_Toc403578958"/>
      <w:bookmarkStart w:id="743" w:name="_Toc418518370"/>
      <w:bookmarkStart w:id="744" w:name="_Toc373478371"/>
      <w:bookmarkStart w:id="745" w:name="_Toc389065290"/>
      <w:r>
        <w:rPr>
          <w:rFonts w:hint="eastAsia" w:ascii="宋体" w:hAnsi="宋体" w:eastAsia="宋体" w:cs="宋体"/>
          <w:color w:val="000000"/>
          <w:sz w:val="21"/>
          <w:szCs w:val="21"/>
          <w:highlight w:val="none"/>
        </w:rPr>
        <w:t>7</w:t>
      </w:r>
      <w:bookmarkStart w:id="746" w:name="_Toc304295541"/>
      <w:bookmarkStart w:id="747" w:name="_Toc312678005"/>
      <w:bookmarkStart w:id="748" w:name="_Toc297216173"/>
      <w:bookmarkStart w:id="749" w:name="_Toc300934966"/>
      <w:bookmarkStart w:id="750" w:name="_Toc312677479"/>
      <w:bookmarkStart w:id="751" w:name="_Toc303539123"/>
      <w:bookmarkStart w:id="752" w:name="_Toc297123514"/>
      <w:r>
        <w:rPr>
          <w:rFonts w:hint="eastAsia" w:ascii="宋体" w:hAnsi="宋体" w:eastAsia="宋体" w:cs="宋体"/>
          <w:color w:val="000000"/>
          <w:sz w:val="21"/>
          <w:szCs w:val="21"/>
          <w:highlight w:val="none"/>
        </w:rPr>
        <w:t>.2 施工进度计划</w:t>
      </w:r>
      <w:bookmarkEnd w:id="733"/>
      <w:bookmarkEnd w:id="734"/>
      <w:bookmarkEnd w:id="735"/>
      <w:bookmarkEnd w:id="736"/>
      <w:bookmarkEnd w:id="737"/>
      <w:bookmarkEnd w:id="738"/>
      <w:bookmarkEnd w:id="739"/>
      <w:bookmarkEnd w:id="740"/>
      <w:bookmarkEnd w:id="741"/>
      <w:bookmarkEnd w:id="742"/>
      <w:bookmarkEnd w:id="743"/>
      <w:bookmarkEnd w:id="744"/>
      <w:bookmarkEnd w:id="745"/>
    </w:p>
    <w:p w14:paraId="4907FE03">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7.2.2 施工进度计划的修订</w:t>
      </w:r>
    </w:p>
    <w:p w14:paraId="7A9B0A8F">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（1）发包人和监理人在收到修订的施工进度计划后确认或提出修改意见的期限：</w:t>
      </w:r>
      <w:r>
        <w:rPr>
          <w:rFonts w:hint="eastAsia" w:ascii="宋体" w:hAnsi="宋体" w:eastAsia="宋体" w:cs="宋体"/>
          <w:color w:val="000000"/>
          <w:sz w:val="21"/>
          <w:szCs w:val="21"/>
          <w:highlight w:val="none"/>
          <w:u w:val="single"/>
        </w:rPr>
        <w:t>自监理人收到承包人报送的相关进度计划后 7天内。</w:t>
      </w:r>
      <w:r>
        <w:rPr>
          <w:rFonts w:hint="eastAsia" w:ascii="宋体" w:hAnsi="宋体" w:eastAsia="宋体" w:cs="宋体"/>
          <w:color w:val="000000"/>
          <w:sz w:val="21"/>
          <w:szCs w:val="21"/>
          <w:highlight w:val="none"/>
        </w:rPr>
        <w:t xml:space="preserve"> </w:t>
      </w:r>
    </w:p>
    <w:p w14:paraId="6FBF11CD">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（2）承包人编制分阶段或分项施工进度计划和施工方案说明的内容：</w:t>
      </w:r>
      <w:r>
        <w:rPr>
          <w:rFonts w:hint="eastAsia" w:ascii="宋体" w:hAnsi="宋体" w:eastAsia="宋体" w:cs="宋体"/>
          <w:color w:val="000000"/>
          <w:sz w:val="21"/>
          <w:szCs w:val="21"/>
          <w:highlight w:val="none"/>
          <w:u w:val="single"/>
        </w:rPr>
        <w:t>包含但不限于月进度计划、原地面测量方案、不良地基处理方案等。</w:t>
      </w:r>
      <w:r>
        <w:rPr>
          <w:rFonts w:hint="eastAsia" w:ascii="宋体" w:hAnsi="宋体" w:eastAsia="宋体" w:cs="宋体"/>
          <w:color w:val="000000"/>
          <w:sz w:val="21"/>
          <w:szCs w:val="21"/>
          <w:highlight w:val="none"/>
        </w:rPr>
        <w:t xml:space="preserve"> </w:t>
      </w:r>
    </w:p>
    <w:p w14:paraId="6C2CD242">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（3） 承包人报送分阶段或分项施工进度计划和施工方案说明的期限： </w:t>
      </w:r>
      <w:r>
        <w:rPr>
          <w:rFonts w:hint="eastAsia" w:ascii="宋体" w:hAnsi="宋体" w:eastAsia="宋体" w:cs="宋体"/>
          <w:color w:val="000000"/>
          <w:sz w:val="21"/>
          <w:szCs w:val="21"/>
          <w:highlight w:val="none"/>
          <w:u w:val="single"/>
        </w:rPr>
        <w:t>月进度计划于上月 30 日前提交，分项施工进度计划和施工方案说明应不迟于该分项工程施工前14 天提交。</w:t>
      </w:r>
    </w:p>
    <w:p w14:paraId="0772382D">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753" w:name="_Toc418061336"/>
      <w:bookmarkStart w:id="754" w:name="_Toc497747203"/>
      <w:bookmarkStart w:id="755" w:name="_Toc418752267"/>
      <w:bookmarkStart w:id="756" w:name="_Toc418518135"/>
      <w:bookmarkStart w:id="757" w:name="_Toc403578959"/>
      <w:bookmarkStart w:id="758" w:name="_Toc389065291"/>
      <w:bookmarkStart w:id="759" w:name="_Toc418751821"/>
      <w:bookmarkStart w:id="760" w:name="_Toc418518371"/>
      <w:bookmarkStart w:id="761" w:name="_Toc256000204"/>
      <w:bookmarkStart w:id="762" w:name="_Toc522201754"/>
      <w:bookmarkStart w:id="763" w:name="_Toc497746806"/>
      <w:bookmarkStart w:id="764" w:name="_Toc373478372"/>
      <w:bookmarkStart w:id="765" w:name="_Toc373227725"/>
      <w:r>
        <w:rPr>
          <w:rFonts w:hint="eastAsia" w:ascii="宋体" w:hAnsi="宋体" w:eastAsia="宋体" w:cs="宋体"/>
          <w:color w:val="000000"/>
          <w:sz w:val="21"/>
          <w:szCs w:val="21"/>
          <w:highlight w:val="none"/>
        </w:rPr>
        <w:t>7.3 开工</w:t>
      </w:r>
      <w:bookmarkEnd w:id="753"/>
      <w:bookmarkEnd w:id="754"/>
      <w:bookmarkEnd w:id="755"/>
      <w:bookmarkEnd w:id="756"/>
      <w:bookmarkEnd w:id="757"/>
      <w:bookmarkEnd w:id="758"/>
      <w:bookmarkEnd w:id="759"/>
      <w:bookmarkEnd w:id="760"/>
      <w:bookmarkEnd w:id="761"/>
      <w:bookmarkEnd w:id="762"/>
      <w:bookmarkEnd w:id="763"/>
      <w:bookmarkEnd w:id="764"/>
      <w:bookmarkEnd w:id="765"/>
    </w:p>
    <w:p w14:paraId="61EC206A">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7.3.1 开工准备</w:t>
      </w:r>
    </w:p>
    <w:p w14:paraId="65B4A8BB">
      <w:pPr>
        <w:pStyle w:val="94"/>
        <w:pageBreakBefore w:val="0"/>
        <w:widowControl w:val="0"/>
        <w:kinsoku/>
        <w:wordWrap/>
        <w:overflowPunct/>
        <w:topLinePunct w:val="0"/>
        <w:bidi w:val="0"/>
        <w:snapToGrid/>
        <w:spacing w:line="360" w:lineRule="auto"/>
        <w:ind w:left="0" w:leftChars="0" w:firstLine="525" w:firstLineChars="250"/>
        <w:jc w:val="left"/>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关于承包人提交</w:t>
      </w:r>
      <w:r>
        <w:rPr>
          <w:rFonts w:hint="eastAsia" w:ascii="宋体" w:hAnsi="宋体" w:eastAsia="宋体" w:cs="宋体"/>
          <w:color w:val="000000"/>
          <w:kern w:val="0"/>
          <w:sz w:val="21"/>
          <w:szCs w:val="21"/>
          <w:highlight w:val="none"/>
        </w:rPr>
        <w:t>工程开工报审表的期限：</w:t>
      </w:r>
      <w:r>
        <w:rPr>
          <w:rFonts w:hint="eastAsia" w:ascii="宋体" w:hAnsi="宋体" w:eastAsia="宋体" w:cs="宋体"/>
          <w:color w:val="000000"/>
          <w:sz w:val="21"/>
          <w:szCs w:val="21"/>
          <w:highlight w:val="none"/>
          <w:u w:val="single"/>
        </w:rPr>
        <w:t xml:space="preserve">  7天   </w:t>
      </w:r>
      <w:r>
        <w:rPr>
          <w:rFonts w:hint="eastAsia" w:ascii="宋体" w:hAnsi="宋体" w:eastAsia="宋体" w:cs="宋体"/>
          <w:color w:val="000000"/>
          <w:sz w:val="21"/>
          <w:szCs w:val="21"/>
          <w:highlight w:val="none"/>
        </w:rPr>
        <w:t>。</w:t>
      </w:r>
    </w:p>
    <w:p w14:paraId="1DA44E2C">
      <w:pPr>
        <w:pStyle w:val="94"/>
        <w:pageBreakBefore w:val="0"/>
        <w:widowControl w:val="0"/>
        <w:kinsoku/>
        <w:wordWrap/>
        <w:overflowPunct/>
        <w:topLinePunct w:val="0"/>
        <w:bidi w:val="0"/>
        <w:snapToGrid/>
        <w:spacing w:line="360" w:lineRule="auto"/>
        <w:ind w:left="0" w:leftChars="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关于发包人应完成的其他开工准备工作及期限：</w:t>
      </w:r>
      <w:r>
        <w:rPr>
          <w:rFonts w:hint="eastAsia" w:ascii="宋体" w:hAnsi="宋体" w:eastAsia="宋体" w:cs="宋体"/>
          <w:color w:val="000000"/>
          <w:sz w:val="21"/>
          <w:szCs w:val="21"/>
          <w:highlight w:val="none"/>
          <w:u w:val="single"/>
        </w:rPr>
        <w:t xml:space="preserve">   7天    </w:t>
      </w:r>
      <w:r>
        <w:rPr>
          <w:rFonts w:hint="eastAsia" w:ascii="宋体" w:hAnsi="宋体" w:eastAsia="宋体" w:cs="宋体"/>
          <w:color w:val="000000"/>
          <w:sz w:val="21"/>
          <w:szCs w:val="21"/>
          <w:highlight w:val="none"/>
        </w:rPr>
        <w:t>。</w:t>
      </w:r>
    </w:p>
    <w:p w14:paraId="6F59C4D1">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 xml:space="preserve"> 关于承包人应完成的其他开工准备工作及期限：</w:t>
      </w:r>
      <w:r>
        <w:rPr>
          <w:rFonts w:hint="eastAsia" w:ascii="宋体" w:hAnsi="宋体" w:eastAsia="宋体" w:cs="宋体"/>
          <w:color w:val="000000"/>
          <w:sz w:val="21"/>
          <w:szCs w:val="21"/>
          <w:highlight w:val="none"/>
          <w:u w:val="single"/>
        </w:rPr>
        <w:t xml:space="preserve">   7天   </w:t>
      </w:r>
      <w:r>
        <w:rPr>
          <w:rFonts w:hint="eastAsia" w:ascii="宋体" w:hAnsi="宋体" w:eastAsia="宋体" w:cs="宋体"/>
          <w:color w:val="000000"/>
          <w:sz w:val="21"/>
          <w:szCs w:val="21"/>
          <w:highlight w:val="none"/>
        </w:rPr>
        <w:t>。</w:t>
      </w:r>
    </w:p>
    <w:p w14:paraId="310C3FC8">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7.3.2 开工通知</w:t>
      </w:r>
    </w:p>
    <w:p w14:paraId="44E93A42">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因发包人原因造成监理人未能在计划开工日期之日起</w:t>
      </w:r>
      <w:r>
        <w:rPr>
          <w:rFonts w:hint="eastAsia" w:ascii="宋体" w:hAnsi="宋体" w:eastAsia="宋体" w:cs="宋体"/>
          <w:color w:val="000000"/>
          <w:sz w:val="21"/>
          <w:szCs w:val="21"/>
          <w:highlight w:val="none"/>
          <w:u w:val="single"/>
        </w:rPr>
        <w:t xml:space="preserve"> </w:t>
      </w:r>
      <w:r>
        <w:rPr>
          <w:rFonts w:hint="eastAsia" w:ascii="宋体" w:hAnsi="宋体" w:eastAsia="宋体" w:cs="宋体"/>
          <w:strike w:val="0"/>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天内发出开工通知的，承包人有权提出价格调整要求，或者解除合同。</w:t>
      </w:r>
    </w:p>
    <w:bookmarkEnd w:id="746"/>
    <w:bookmarkEnd w:id="747"/>
    <w:bookmarkEnd w:id="748"/>
    <w:bookmarkEnd w:id="749"/>
    <w:bookmarkEnd w:id="750"/>
    <w:bookmarkEnd w:id="751"/>
    <w:bookmarkEnd w:id="752"/>
    <w:p w14:paraId="59C9840D">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766" w:name="_Toc403578960"/>
      <w:bookmarkStart w:id="767" w:name="_Toc418752268"/>
      <w:bookmarkStart w:id="768" w:name="_Toc522201755"/>
      <w:bookmarkStart w:id="769" w:name="_Toc373227726"/>
      <w:bookmarkStart w:id="770" w:name="_Toc389065292"/>
      <w:bookmarkStart w:id="771" w:name="_Toc418518372"/>
      <w:bookmarkStart w:id="772" w:name="_Toc418061337"/>
      <w:bookmarkStart w:id="773" w:name="_Toc497747204"/>
      <w:bookmarkStart w:id="774" w:name="_Toc418751822"/>
      <w:bookmarkStart w:id="775" w:name="_Toc497746807"/>
      <w:bookmarkStart w:id="776" w:name="_Toc373478373"/>
      <w:bookmarkStart w:id="777" w:name="_Toc418518136"/>
      <w:bookmarkStart w:id="778" w:name="_Toc256000205"/>
      <w:r>
        <w:rPr>
          <w:rFonts w:hint="eastAsia" w:ascii="宋体" w:hAnsi="宋体" w:eastAsia="宋体" w:cs="宋体"/>
          <w:color w:val="000000"/>
          <w:sz w:val="21"/>
          <w:szCs w:val="21"/>
          <w:highlight w:val="none"/>
        </w:rPr>
        <w:t>7.4 测量放线</w:t>
      </w:r>
      <w:bookmarkEnd w:id="766"/>
      <w:bookmarkEnd w:id="767"/>
      <w:bookmarkEnd w:id="768"/>
      <w:bookmarkEnd w:id="769"/>
      <w:bookmarkEnd w:id="770"/>
      <w:bookmarkEnd w:id="771"/>
      <w:bookmarkEnd w:id="772"/>
      <w:bookmarkEnd w:id="773"/>
      <w:bookmarkEnd w:id="774"/>
      <w:bookmarkEnd w:id="775"/>
      <w:bookmarkEnd w:id="776"/>
      <w:bookmarkEnd w:id="777"/>
      <w:bookmarkEnd w:id="778"/>
    </w:p>
    <w:p w14:paraId="071BD04E">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7.4.1发包人通过监理人向承包人提供测量基准点、基准线和水准点及其书面资料的期限：</w:t>
      </w:r>
      <w:r>
        <w:rPr>
          <w:rFonts w:hint="eastAsia" w:ascii="宋体" w:hAnsi="宋体" w:eastAsia="宋体" w:cs="宋体"/>
          <w:color w:val="000000"/>
          <w:sz w:val="21"/>
          <w:szCs w:val="21"/>
          <w:highlight w:val="none"/>
          <w:u w:val="single"/>
        </w:rPr>
        <w:t>开工通知载明的开工日前 7 天，承包人进入工地后进行现场书面交桩。水准点、座标控制点交验完毕，即由承包人负责保护，此后由于破坏或失准带来的重新测量、放点费用及由此造成的其他损失均由承包人负担； 承包人应于开工通知后七天内现场校验，并根据国家测绘基准、测绘系统和工程测量技术规范，按上述基准点（线）以及合同工程精度要求，测设施工控制网，三方做好签认工作；承包人应于开工前3天，并在工程竣工后将施工控制网点移交发包人 。</w:t>
      </w:r>
    </w:p>
    <w:p w14:paraId="5FC1E35A">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779" w:name="_Toc373478374"/>
      <w:bookmarkStart w:id="780" w:name="_Toc389065293"/>
      <w:bookmarkStart w:id="781" w:name="_Toc418751823"/>
      <w:bookmarkStart w:id="782" w:name="_Toc256000206"/>
      <w:bookmarkStart w:id="783" w:name="_Toc418752269"/>
      <w:bookmarkStart w:id="784" w:name="_Toc418518373"/>
      <w:bookmarkStart w:id="785" w:name="_Toc403578961"/>
      <w:bookmarkStart w:id="786" w:name="_Toc418061338"/>
      <w:bookmarkStart w:id="787" w:name="_Toc522201756"/>
      <w:bookmarkStart w:id="788" w:name="_Toc418518137"/>
      <w:bookmarkStart w:id="789" w:name="_Toc497747205"/>
      <w:bookmarkStart w:id="790" w:name="_Toc373227727"/>
      <w:bookmarkStart w:id="791" w:name="_Toc497746808"/>
      <w:r>
        <w:rPr>
          <w:rFonts w:hint="eastAsia" w:ascii="宋体" w:hAnsi="宋体" w:eastAsia="宋体" w:cs="宋体"/>
          <w:color w:val="000000"/>
          <w:sz w:val="21"/>
          <w:szCs w:val="21"/>
          <w:highlight w:val="none"/>
        </w:rPr>
        <w:t>7</w:t>
      </w:r>
      <w:bookmarkStart w:id="792" w:name="_Toc312678010"/>
      <w:bookmarkStart w:id="793" w:name="_Toc304295546"/>
      <w:bookmarkStart w:id="794" w:name="_Toc312677484"/>
      <w:bookmarkStart w:id="795" w:name="_Toc303539125"/>
      <w:bookmarkStart w:id="796" w:name="_Toc297123516"/>
      <w:bookmarkStart w:id="797" w:name="_Toc300934968"/>
      <w:bookmarkStart w:id="798" w:name="_Toc297216175"/>
      <w:r>
        <w:rPr>
          <w:rFonts w:hint="eastAsia" w:ascii="宋体" w:hAnsi="宋体" w:eastAsia="宋体" w:cs="宋体"/>
          <w:color w:val="000000"/>
          <w:sz w:val="21"/>
          <w:szCs w:val="21"/>
          <w:highlight w:val="none"/>
        </w:rPr>
        <w:t>.5 工期延误</w:t>
      </w:r>
      <w:bookmarkEnd w:id="779"/>
      <w:bookmarkEnd w:id="780"/>
      <w:bookmarkEnd w:id="781"/>
      <w:bookmarkEnd w:id="782"/>
      <w:bookmarkEnd w:id="783"/>
      <w:bookmarkEnd w:id="784"/>
      <w:bookmarkEnd w:id="785"/>
      <w:bookmarkEnd w:id="786"/>
      <w:bookmarkEnd w:id="787"/>
      <w:bookmarkEnd w:id="788"/>
      <w:bookmarkEnd w:id="789"/>
      <w:bookmarkEnd w:id="790"/>
      <w:bookmarkEnd w:id="791"/>
    </w:p>
    <w:bookmarkEnd w:id="792"/>
    <w:bookmarkEnd w:id="793"/>
    <w:bookmarkEnd w:id="794"/>
    <w:bookmarkEnd w:id="795"/>
    <w:bookmarkEnd w:id="796"/>
    <w:bookmarkEnd w:id="797"/>
    <w:bookmarkEnd w:id="798"/>
    <w:p w14:paraId="47E51767">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7.5.1 因发包人原因导致工期延误</w:t>
      </w:r>
    </w:p>
    <w:p w14:paraId="54578C80">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（7）因发包人原因导致工期延误的其他情形：</w:t>
      </w:r>
      <w:r>
        <w:rPr>
          <w:rFonts w:hint="eastAsia" w:ascii="宋体" w:hAnsi="宋体" w:eastAsia="宋体" w:cs="宋体"/>
          <w:color w:val="000000"/>
          <w:sz w:val="21"/>
          <w:szCs w:val="21"/>
          <w:highlight w:val="none"/>
          <w:u w:val="single"/>
        </w:rPr>
        <w:t xml:space="preserve">无  </w:t>
      </w:r>
      <w:r>
        <w:rPr>
          <w:rFonts w:hint="eastAsia" w:ascii="宋体" w:hAnsi="宋体" w:eastAsia="宋体" w:cs="宋体"/>
          <w:color w:val="000000"/>
          <w:sz w:val="21"/>
          <w:szCs w:val="21"/>
          <w:highlight w:val="none"/>
        </w:rPr>
        <w:t>。</w:t>
      </w:r>
    </w:p>
    <w:p w14:paraId="3CD1F8C2">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w:t>
      </w:r>
      <w:bookmarkStart w:id="799" w:name="_Toc312678012"/>
      <w:bookmarkStart w:id="800" w:name="_Toc312677486"/>
      <w:bookmarkStart w:id="801" w:name="_Toc318581169"/>
      <w:bookmarkStart w:id="802" w:name="_Toc297216177"/>
      <w:bookmarkStart w:id="803" w:name="_Toc297123518"/>
      <w:bookmarkStart w:id="804" w:name="_Toc300934970"/>
      <w:bookmarkStart w:id="805" w:name="_Toc304295548"/>
      <w:bookmarkStart w:id="806" w:name="_Toc303539127"/>
      <w:r>
        <w:rPr>
          <w:rFonts w:hint="eastAsia" w:ascii="宋体" w:hAnsi="宋体" w:eastAsia="宋体" w:cs="宋体"/>
          <w:color w:val="000000"/>
          <w:sz w:val="21"/>
          <w:szCs w:val="21"/>
          <w:highlight w:val="none"/>
        </w:rPr>
        <w:t>.5.2 因承包人原因导致工期延误</w:t>
      </w:r>
    </w:p>
    <w:bookmarkEnd w:id="799"/>
    <w:bookmarkEnd w:id="800"/>
    <w:bookmarkEnd w:id="801"/>
    <w:p w14:paraId="0FD2D217">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双方约定经监理工程师确认，工期相应顺延的情况：</w:t>
      </w:r>
      <w:r>
        <w:rPr>
          <w:rFonts w:hint="eastAsia" w:ascii="宋体" w:hAnsi="宋体" w:eastAsia="宋体" w:cs="宋体"/>
          <w:color w:val="000000"/>
          <w:sz w:val="21"/>
          <w:szCs w:val="21"/>
          <w:highlight w:val="none"/>
          <w:u w:val="single"/>
        </w:rPr>
        <w:t xml:space="preserve">  非承包人原因导致的工期延误，合同工期相应顺延</w:t>
      </w:r>
      <w:r>
        <w:rPr>
          <w:rFonts w:hint="eastAsia" w:ascii="宋体" w:hAnsi="宋体" w:eastAsia="宋体" w:cs="宋体"/>
          <w:color w:val="000000"/>
          <w:sz w:val="21"/>
          <w:szCs w:val="21"/>
          <w:highlight w:val="none"/>
        </w:rPr>
        <w:t>。</w:t>
      </w:r>
    </w:p>
    <w:p w14:paraId="0997765B">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因</w:t>
      </w:r>
      <w:bookmarkStart w:id="807" w:name="_Toc318581170"/>
      <w:bookmarkStart w:id="808" w:name="_Toc312677487"/>
      <w:bookmarkStart w:id="809" w:name="_Toc312678013"/>
      <w:r>
        <w:rPr>
          <w:rFonts w:hint="eastAsia" w:ascii="宋体" w:hAnsi="宋体" w:eastAsia="宋体" w:cs="宋体"/>
          <w:color w:val="000000"/>
          <w:sz w:val="21"/>
          <w:szCs w:val="21"/>
          <w:highlight w:val="none"/>
        </w:rPr>
        <w:t>承包人原因造成工期延误，逾期竣工违约金的计算方法为：</w:t>
      </w:r>
      <w:r>
        <w:rPr>
          <w:rFonts w:hint="eastAsia" w:ascii="宋体" w:hAnsi="宋体" w:eastAsia="宋体" w:cs="宋体"/>
          <w:strike w:val="0"/>
          <w:color w:val="000000"/>
          <w:sz w:val="21"/>
          <w:szCs w:val="21"/>
          <w:highlight w:val="none"/>
          <w:u w:val="single"/>
        </w:rPr>
        <w:t>非上述原因，</w:t>
      </w:r>
      <w:r>
        <w:rPr>
          <w:rFonts w:hint="eastAsia" w:ascii="宋体" w:hAnsi="宋体" w:eastAsia="宋体" w:cs="宋体"/>
          <w:color w:val="000000"/>
          <w:sz w:val="21"/>
          <w:szCs w:val="21"/>
          <w:highlight w:val="none"/>
          <w:u w:val="single"/>
        </w:rPr>
        <w:t xml:space="preserve">承包人不能按合同约定的时间竣工，承包人应承担违约责任，并应向发包人支付误期赔偿费（每天赔偿金额为合同价款扣除社会保险费、发包人材料价款、暂估专业工程、暂列金额后的的万分之四），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如非承包人原因造成工期延误则承包人须在规定的时间内提出书面意见，逾期则视为承包人自行放弃。由于承包人原因造成本工程延期三个月的，除按上述标准赔偿给发包人外，发包人有权中止合同，并依法追究承包人的违约责任，由此造成的一切损失均由责任人负责。 </w:t>
      </w:r>
    </w:p>
    <w:bookmarkEnd w:id="802"/>
    <w:bookmarkEnd w:id="803"/>
    <w:bookmarkEnd w:id="804"/>
    <w:bookmarkEnd w:id="805"/>
    <w:bookmarkEnd w:id="806"/>
    <w:bookmarkEnd w:id="807"/>
    <w:bookmarkEnd w:id="808"/>
    <w:bookmarkEnd w:id="809"/>
    <w:p w14:paraId="73AF5335">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因承包人原因造成工期延误，逾</w:t>
      </w:r>
      <w:bookmarkStart w:id="810" w:name="_Toc318581171"/>
      <w:bookmarkStart w:id="811" w:name="_Toc312678014"/>
      <w:r>
        <w:rPr>
          <w:rFonts w:hint="eastAsia" w:ascii="宋体" w:hAnsi="宋体" w:eastAsia="宋体" w:cs="宋体"/>
          <w:color w:val="000000"/>
          <w:sz w:val="21"/>
          <w:szCs w:val="21"/>
          <w:highlight w:val="none"/>
        </w:rPr>
        <w:t>期竣工违约金的上限：</w:t>
      </w:r>
      <w:r>
        <w:rPr>
          <w:rFonts w:hint="eastAsia" w:ascii="宋体" w:hAnsi="宋体" w:eastAsia="宋体" w:cs="宋体"/>
          <w:color w:val="000000"/>
          <w:sz w:val="21"/>
          <w:szCs w:val="21"/>
          <w:highlight w:val="none"/>
          <w:u w:val="single"/>
          <w:lang w:eastAsia="zh-CN"/>
        </w:rPr>
        <w:t>结算</w:t>
      </w:r>
      <w:r>
        <w:rPr>
          <w:rFonts w:hint="eastAsia" w:ascii="宋体" w:hAnsi="宋体" w:eastAsia="宋体" w:cs="宋体"/>
          <w:color w:val="000000"/>
          <w:sz w:val="21"/>
          <w:szCs w:val="21"/>
          <w:highlight w:val="none"/>
          <w:u w:val="single"/>
        </w:rPr>
        <w:t>价扣除社会保险费、发包人材料价款、暂估专业工程、暂列金额后的3%</w:t>
      </w:r>
      <w:r>
        <w:rPr>
          <w:rFonts w:hint="eastAsia" w:ascii="宋体" w:hAnsi="宋体" w:eastAsia="宋体" w:cs="宋体"/>
          <w:color w:val="000000"/>
          <w:sz w:val="21"/>
          <w:szCs w:val="21"/>
          <w:highlight w:val="none"/>
        </w:rPr>
        <w:t>。</w:t>
      </w:r>
    </w:p>
    <w:bookmarkEnd w:id="810"/>
    <w:bookmarkEnd w:id="811"/>
    <w:p w14:paraId="596CCB15">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812" w:name="_Toc418751824"/>
      <w:bookmarkStart w:id="813" w:name="_Toc256000207"/>
      <w:bookmarkStart w:id="814" w:name="_Toc418752270"/>
      <w:bookmarkStart w:id="815" w:name="_Toc497747206"/>
      <w:bookmarkStart w:id="816" w:name="_Toc497746809"/>
      <w:bookmarkStart w:id="817" w:name="_Toc418518374"/>
      <w:bookmarkStart w:id="818" w:name="_Toc373227728"/>
      <w:bookmarkStart w:id="819" w:name="_Toc418518138"/>
      <w:bookmarkStart w:id="820" w:name="_Toc373478375"/>
      <w:bookmarkStart w:id="821" w:name="_Toc403578962"/>
      <w:bookmarkStart w:id="822" w:name="_Toc522201757"/>
      <w:bookmarkStart w:id="823" w:name="_Toc418061339"/>
      <w:bookmarkStart w:id="824" w:name="_Toc389065294"/>
      <w:r>
        <w:rPr>
          <w:rFonts w:hint="eastAsia" w:ascii="宋体" w:hAnsi="宋体" w:eastAsia="宋体" w:cs="宋体"/>
          <w:color w:val="000000"/>
          <w:sz w:val="21"/>
          <w:szCs w:val="21"/>
          <w:highlight w:val="none"/>
        </w:rPr>
        <w:t>7</w:t>
      </w:r>
      <w:bookmarkStart w:id="825" w:name="_Toc297216178"/>
      <w:bookmarkStart w:id="826" w:name="_Toc304295549"/>
      <w:bookmarkStart w:id="827" w:name="_Toc300934971"/>
      <w:bookmarkStart w:id="828" w:name="_Toc297123519"/>
      <w:bookmarkStart w:id="829" w:name="_Toc312678015"/>
      <w:bookmarkStart w:id="830" w:name="_Toc303539128"/>
      <w:r>
        <w:rPr>
          <w:rFonts w:hint="eastAsia" w:ascii="宋体" w:hAnsi="宋体" w:eastAsia="宋体" w:cs="宋体"/>
          <w:color w:val="000000"/>
          <w:sz w:val="21"/>
          <w:szCs w:val="21"/>
          <w:highlight w:val="none"/>
        </w:rPr>
        <w:t>.6 不</w:t>
      </w:r>
      <w:bookmarkEnd w:id="825"/>
      <w:bookmarkEnd w:id="826"/>
      <w:bookmarkEnd w:id="827"/>
      <w:bookmarkEnd w:id="828"/>
      <w:bookmarkEnd w:id="829"/>
      <w:bookmarkEnd w:id="830"/>
      <w:r>
        <w:rPr>
          <w:rFonts w:hint="eastAsia" w:ascii="宋体" w:hAnsi="宋体" w:eastAsia="宋体" w:cs="宋体"/>
          <w:color w:val="000000"/>
          <w:sz w:val="21"/>
          <w:szCs w:val="21"/>
          <w:highlight w:val="none"/>
        </w:rPr>
        <w:t>利物质条件</w:t>
      </w:r>
      <w:bookmarkEnd w:id="812"/>
      <w:bookmarkEnd w:id="813"/>
      <w:bookmarkEnd w:id="814"/>
      <w:bookmarkEnd w:id="815"/>
      <w:bookmarkEnd w:id="816"/>
      <w:bookmarkEnd w:id="817"/>
      <w:bookmarkEnd w:id="818"/>
      <w:bookmarkEnd w:id="819"/>
      <w:bookmarkEnd w:id="820"/>
      <w:bookmarkEnd w:id="821"/>
      <w:bookmarkEnd w:id="822"/>
      <w:bookmarkEnd w:id="823"/>
      <w:bookmarkEnd w:id="824"/>
    </w:p>
    <w:p w14:paraId="6D8CC001">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u w:val="single"/>
        </w:rPr>
      </w:pPr>
      <w:bookmarkStart w:id="831" w:name="_Toc297123520"/>
      <w:bookmarkStart w:id="832" w:name="_Toc318581172"/>
      <w:bookmarkStart w:id="833" w:name="_Toc303539129"/>
      <w:bookmarkStart w:id="834" w:name="_Toc297216179"/>
      <w:bookmarkStart w:id="835" w:name="_Toc300934972"/>
      <w:bookmarkStart w:id="836" w:name="_Toc312678016"/>
      <w:bookmarkStart w:id="837" w:name="_Toc304295550"/>
      <w:r>
        <w:rPr>
          <w:rFonts w:hint="eastAsia" w:ascii="宋体" w:hAnsi="宋体" w:eastAsia="宋体" w:cs="宋体"/>
          <w:color w:val="000000"/>
          <w:sz w:val="21"/>
          <w:szCs w:val="21"/>
          <w:highlight w:val="none"/>
        </w:rPr>
        <w:t>不利物质条件的其他情形和有关约定：</w:t>
      </w:r>
      <w:r>
        <w:rPr>
          <w:rFonts w:hint="eastAsia" w:ascii="宋体" w:hAnsi="宋体" w:eastAsia="宋体" w:cs="宋体"/>
          <w:color w:val="000000"/>
          <w:sz w:val="21"/>
          <w:szCs w:val="21"/>
          <w:highlight w:val="none"/>
          <w:u w:val="single"/>
        </w:rPr>
        <w:t xml:space="preserve">  一周内非承包人原因，停水、停电、停气造成停工连续超过8小时；重大设计变更和工程量增加；发包人手续不全致使施工不能正常进行；发包人未能按约定时间支付工程款致使施工不能正常进行的；非承包人原因的政府及发包人有关的停工通知，以上不利物质条件延误工期的相应延长工期，因发包人原因给承包人造成损失的由发包人相应赔偿承包人，属政府和环境等原因的，双方协商处理</w:t>
      </w:r>
      <w:r>
        <w:rPr>
          <w:rFonts w:hint="eastAsia" w:ascii="宋体" w:hAnsi="宋体" w:eastAsia="宋体" w:cs="宋体"/>
          <w:color w:val="000000"/>
          <w:sz w:val="21"/>
          <w:szCs w:val="21"/>
          <w:highlight w:val="none"/>
        </w:rPr>
        <w:t>。</w:t>
      </w:r>
    </w:p>
    <w:bookmarkEnd w:id="831"/>
    <w:bookmarkEnd w:id="832"/>
    <w:bookmarkEnd w:id="833"/>
    <w:bookmarkEnd w:id="834"/>
    <w:bookmarkEnd w:id="835"/>
    <w:bookmarkEnd w:id="836"/>
    <w:bookmarkEnd w:id="837"/>
    <w:p w14:paraId="77E9EDF1">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838" w:name="_Toc373227729"/>
      <w:bookmarkStart w:id="839" w:name="_Toc497747207"/>
      <w:bookmarkStart w:id="840" w:name="_Toc418751825"/>
      <w:bookmarkStart w:id="841" w:name="_Toc418752271"/>
      <w:bookmarkStart w:id="842" w:name="_Toc418061340"/>
      <w:bookmarkStart w:id="843" w:name="_Toc256000208"/>
      <w:bookmarkStart w:id="844" w:name="_Toc389065295"/>
      <w:bookmarkStart w:id="845" w:name="_Toc497746810"/>
      <w:bookmarkStart w:id="846" w:name="_Toc418518139"/>
      <w:bookmarkStart w:id="847" w:name="_Toc403578963"/>
      <w:bookmarkStart w:id="848" w:name="_Toc373478376"/>
      <w:bookmarkStart w:id="849" w:name="_Toc418518375"/>
      <w:bookmarkStart w:id="850" w:name="_Toc522201758"/>
      <w:r>
        <w:rPr>
          <w:rFonts w:hint="eastAsia" w:ascii="宋体" w:hAnsi="宋体" w:eastAsia="宋体" w:cs="宋体"/>
          <w:color w:val="000000"/>
          <w:sz w:val="21"/>
          <w:szCs w:val="21"/>
          <w:highlight w:val="none"/>
        </w:rPr>
        <w:t>7</w:t>
      </w:r>
      <w:bookmarkStart w:id="851" w:name="_Toc312678017"/>
      <w:bookmarkStart w:id="852" w:name="_Toc303539130"/>
      <w:bookmarkStart w:id="853" w:name="_Toc300934973"/>
      <w:bookmarkStart w:id="854" w:name="_Toc304295551"/>
      <w:bookmarkStart w:id="855" w:name="_Toc297123521"/>
      <w:bookmarkStart w:id="856" w:name="_Toc297216180"/>
      <w:r>
        <w:rPr>
          <w:rFonts w:hint="eastAsia" w:ascii="宋体" w:hAnsi="宋体" w:eastAsia="宋体" w:cs="宋体"/>
          <w:color w:val="000000"/>
          <w:sz w:val="21"/>
          <w:szCs w:val="21"/>
          <w:highlight w:val="none"/>
        </w:rPr>
        <w:t>.7 异常恶劣的气候条件</w:t>
      </w:r>
      <w:bookmarkEnd w:id="838"/>
      <w:bookmarkEnd w:id="839"/>
      <w:bookmarkEnd w:id="840"/>
      <w:bookmarkEnd w:id="841"/>
      <w:bookmarkEnd w:id="842"/>
      <w:bookmarkEnd w:id="843"/>
      <w:bookmarkEnd w:id="844"/>
      <w:bookmarkEnd w:id="845"/>
      <w:bookmarkEnd w:id="846"/>
      <w:bookmarkEnd w:id="847"/>
      <w:bookmarkEnd w:id="848"/>
      <w:bookmarkEnd w:id="849"/>
      <w:bookmarkEnd w:id="850"/>
    </w:p>
    <w:bookmarkEnd w:id="851"/>
    <w:bookmarkEnd w:id="852"/>
    <w:bookmarkEnd w:id="853"/>
    <w:bookmarkEnd w:id="854"/>
    <w:bookmarkEnd w:id="855"/>
    <w:bookmarkEnd w:id="856"/>
    <w:p w14:paraId="0988AC8E">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发包人和承包人同意以下情形视为异常恶劣的气候条件：</w:t>
      </w:r>
    </w:p>
    <w:p w14:paraId="726AE27A">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u w:val="single"/>
        </w:rPr>
      </w:pPr>
      <w:bookmarkStart w:id="857" w:name="_Toc418061341"/>
      <w:bookmarkStart w:id="858" w:name="_Toc418752272"/>
      <w:bookmarkStart w:id="859" w:name="_Toc418518140"/>
      <w:bookmarkStart w:id="860" w:name="_Toc373478377"/>
      <w:bookmarkStart w:id="861" w:name="_Toc389065296"/>
      <w:bookmarkStart w:id="862" w:name="_Toc418518376"/>
      <w:bookmarkStart w:id="863" w:name="_Toc418751826"/>
      <w:bookmarkStart w:id="864" w:name="_Toc497746811"/>
      <w:bookmarkStart w:id="865" w:name="_Toc373227730"/>
      <w:bookmarkStart w:id="866" w:name="_Toc403578964"/>
      <w:bookmarkStart w:id="867" w:name="_Toc497747208"/>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u w:val="single"/>
        </w:rPr>
        <w:t>10级以上持续1天的大风；</w:t>
      </w:r>
    </w:p>
    <w:p w14:paraId="6A797D5F">
      <w:pPr>
        <w:pStyle w:val="94"/>
        <w:pageBreakBefore w:val="0"/>
        <w:widowControl w:val="0"/>
        <w:numPr>
          <w:ilvl w:val="0"/>
          <w:numId w:val="2"/>
        </w:numPr>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single"/>
        </w:rPr>
        <w:t>暴雨级以上持续2天的大雨；</w:t>
      </w:r>
    </w:p>
    <w:p w14:paraId="5C2A7326">
      <w:pPr>
        <w:pStyle w:val="94"/>
        <w:pageBreakBefore w:val="0"/>
        <w:widowControl w:val="0"/>
        <w:numPr>
          <w:ilvl w:val="0"/>
          <w:numId w:val="2"/>
        </w:numPr>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single"/>
        </w:rPr>
        <w:t>当地6级以上的破坏性地震；</w:t>
      </w:r>
    </w:p>
    <w:p w14:paraId="76554019">
      <w:pPr>
        <w:pStyle w:val="94"/>
        <w:pageBreakBefore w:val="0"/>
        <w:widowControl w:val="0"/>
        <w:numPr>
          <w:ilvl w:val="0"/>
          <w:numId w:val="2"/>
        </w:numPr>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single"/>
        </w:rPr>
        <w:t>50年以上未发生过的持续2天的高温天气；</w:t>
      </w:r>
    </w:p>
    <w:p w14:paraId="1EE3B843">
      <w:pPr>
        <w:pStyle w:val="94"/>
        <w:pageBreakBefore w:val="0"/>
        <w:widowControl w:val="0"/>
        <w:numPr>
          <w:ilvl w:val="0"/>
          <w:numId w:val="2"/>
        </w:numPr>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single"/>
        </w:rPr>
        <w:t>50年以上未发生的持续2天的低温天气。</w:t>
      </w:r>
    </w:p>
    <w:p w14:paraId="4D03100A">
      <w:pPr>
        <w:pStyle w:val="94"/>
        <w:pageBreakBefore w:val="0"/>
        <w:widowControl w:val="0"/>
        <w:kinsoku/>
        <w:wordWrap/>
        <w:overflowPunct/>
        <w:topLinePunct w:val="0"/>
        <w:bidi w:val="0"/>
        <w:snapToGrid/>
        <w:spacing w:line="360" w:lineRule="auto"/>
        <w:ind w:left="0" w:leftChars="0" w:firstLine="630" w:firstLineChars="30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single"/>
        </w:rPr>
        <w:t>施工场地受淹超过发包人提供设计图纸指明的设计洪水位以及因天气原因无法施工并经监理确认引起延误的情况。承包人有权要求发包人延长工期, 但对上述几种情形，对工程施工造成影响和灾害的，需提供政府相关部门对不可抗力认定的证明材料为依据。</w:t>
      </w:r>
    </w:p>
    <w:p w14:paraId="7F59A791">
      <w:pPr>
        <w:pStyle w:val="94"/>
        <w:pageBreakBefore w:val="0"/>
        <w:widowControl w:val="0"/>
        <w:kinsoku/>
        <w:wordWrap/>
        <w:overflowPunct/>
        <w:topLinePunct w:val="0"/>
        <w:bidi w:val="0"/>
        <w:snapToGrid/>
        <w:spacing w:line="360" w:lineRule="auto"/>
        <w:ind w:left="0" w:leftChars="0"/>
        <w:jc w:val="left"/>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7.8暂停施工</w:t>
      </w:r>
    </w:p>
    <w:p w14:paraId="3DFAF49F">
      <w:pPr>
        <w:pStyle w:val="160"/>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7.8.2承包人原因引起的暂停施工</w:t>
      </w:r>
    </w:p>
    <w:p w14:paraId="10BA1E77">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承包人承担暂停施工责任的其他情形：</w:t>
      </w:r>
      <w:r>
        <w:rPr>
          <w:rFonts w:hint="eastAsia" w:ascii="宋体" w:hAnsi="宋体" w:eastAsia="宋体" w:cs="宋体"/>
          <w:color w:val="000000"/>
          <w:sz w:val="21"/>
          <w:szCs w:val="21"/>
          <w:highlight w:val="none"/>
          <w:u w:val="single"/>
        </w:rPr>
        <w:t>（1）监理工程师为保证工程质量和施工安全所指令的暂停施工；（2）因质量安全隐患或事故，被建设行政主管部门及安全生产监督责令暂停施工或自行暂停施工；（3）因承包人违反规范或任何工程质量不合格而进行返工、重建、修建的工期；（4）未按设计要求进行施工、或因施工组织方案不可行导致发包人未能按时审批而影响开工的；（5）工程验收不合格发现存在质量问题或技术问题需要修改的；（6）承包人与发包人未能在约定时间内达成一致而暂停施工；（7）工程质量未达到等级标准要求，发包人要求承包人返工的；（8）承包人因农忙时期而暂停施工；综述其工期不予顺延，责任自负。</w:t>
      </w:r>
    </w:p>
    <w:p w14:paraId="604F6652">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single"/>
        </w:rPr>
        <w:t>因承包人责任暂停施工延误施工时机而导致遭遇不利条件物质条件和异常恶劣的气候条件、不可抗力造成的工期延误和费用增加由承包人承担。</w:t>
      </w:r>
    </w:p>
    <w:p w14:paraId="1D8D9A2D">
      <w:pPr>
        <w:pStyle w:val="160"/>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7.8.5暂停施工后的复工</w:t>
      </w:r>
    </w:p>
    <w:p w14:paraId="6585E755">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641F18C1">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868" w:name="_Toc256000209"/>
      <w:bookmarkStart w:id="869" w:name="_Toc522201759"/>
      <w:r>
        <w:rPr>
          <w:rFonts w:hint="eastAsia" w:ascii="宋体" w:hAnsi="宋体" w:eastAsia="宋体" w:cs="宋体"/>
          <w:color w:val="000000"/>
          <w:sz w:val="21"/>
          <w:szCs w:val="21"/>
          <w:highlight w:val="none"/>
        </w:rPr>
        <w:t>7.9 提前竣工</w:t>
      </w:r>
      <w:bookmarkEnd w:id="857"/>
      <w:bookmarkEnd w:id="858"/>
      <w:bookmarkEnd w:id="859"/>
      <w:bookmarkEnd w:id="860"/>
      <w:bookmarkEnd w:id="861"/>
      <w:bookmarkEnd w:id="862"/>
      <w:bookmarkEnd w:id="863"/>
      <w:bookmarkEnd w:id="864"/>
      <w:bookmarkEnd w:id="865"/>
      <w:bookmarkEnd w:id="866"/>
      <w:bookmarkEnd w:id="867"/>
      <w:bookmarkEnd w:id="868"/>
      <w:bookmarkEnd w:id="869"/>
    </w:p>
    <w:p w14:paraId="112406CC">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7.9.2提前竣工的奖励：</w:t>
      </w:r>
      <w:r>
        <w:rPr>
          <w:rFonts w:hint="eastAsia" w:ascii="宋体" w:hAnsi="宋体" w:eastAsia="宋体" w:cs="宋体"/>
          <w:color w:val="000000"/>
          <w:sz w:val="21"/>
          <w:szCs w:val="21"/>
          <w:highlight w:val="none"/>
          <w:u w:val="single"/>
        </w:rPr>
        <w:t xml:space="preserve"> 无 </w:t>
      </w:r>
      <w:r>
        <w:rPr>
          <w:rFonts w:hint="eastAsia" w:ascii="宋体" w:hAnsi="宋体" w:eastAsia="宋体" w:cs="宋体"/>
          <w:color w:val="000000"/>
          <w:sz w:val="21"/>
          <w:szCs w:val="21"/>
          <w:highlight w:val="none"/>
        </w:rPr>
        <w:t>。</w:t>
      </w:r>
    </w:p>
    <w:p w14:paraId="4A12ECE2">
      <w:pPr>
        <w:pStyle w:val="92"/>
        <w:pageBreakBefore w:val="0"/>
        <w:widowControl w:val="0"/>
        <w:numPr>
          <w:ilvl w:val="0"/>
          <w:numId w:val="3"/>
        </w:numPr>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bookmarkStart w:id="870" w:name="_Toc418518377"/>
      <w:bookmarkStart w:id="871" w:name="_Toc373478378"/>
      <w:bookmarkStart w:id="872" w:name="_Toc403578965"/>
      <w:bookmarkStart w:id="873" w:name="_Toc418061342"/>
      <w:bookmarkStart w:id="874" w:name="_Toc522201760"/>
      <w:bookmarkStart w:id="875" w:name="_Toc418518141"/>
      <w:bookmarkStart w:id="876" w:name="_Toc389065297"/>
      <w:bookmarkStart w:id="877" w:name="_Toc418751827"/>
      <w:bookmarkStart w:id="878" w:name="_Toc418752273"/>
      <w:bookmarkStart w:id="879" w:name="_Toc373227731"/>
      <w:bookmarkStart w:id="880" w:name="_Toc351203640"/>
      <w:bookmarkStart w:id="881" w:name="_Toc256000210"/>
      <w:bookmarkStart w:id="882" w:name="_Toc497746812"/>
      <w:bookmarkStart w:id="883" w:name="_Toc497747209"/>
      <w:r>
        <w:rPr>
          <w:rFonts w:hint="eastAsia" w:ascii="宋体" w:hAnsi="宋体" w:eastAsia="宋体" w:cs="宋体"/>
          <w:color w:val="000000"/>
          <w:sz w:val="21"/>
          <w:szCs w:val="21"/>
          <w:highlight w:val="none"/>
        </w:rPr>
        <w:t>材料与设备</w:t>
      </w:r>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p>
    <w:p w14:paraId="5BF282BE">
      <w:pPr>
        <w:pStyle w:val="16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承包人采购材料和设备的约定：</w:t>
      </w:r>
    </w:p>
    <w:bookmarkEnd w:id="638"/>
    <w:bookmarkEnd w:id="639"/>
    <w:bookmarkEnd w:id="640"/>
    <w:bookmarkEnd w:id="641"/>
    <w:bookmarkEnd w:id="642"/>
    <w:bookmarkEnd w:id="643"/>
    <w:bookmarkEnd w:id="644"/>
    <w:bookmarkEnd w:id="645"/>
    <w:bookmarkEnd w:id="646"/>
    <w:bookmarkEnd w:id="647"/>
    <w:p w14:paraId="3EB8412D">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884" w:name="_Toc418061343"/>
      <w:bookmarkStart w:id="885" w:name="_Toc497747210"/>
      <w:bookmarkStart w:id="886" w:name="_Toc418751828"/>
      <w:bookmarkStart w:id="887" w:name="_Toc373478379"/>
      <w:bookmarkStart w:id="888" w:name="_Toc389065298"/>
      <w:bookmarkStart w:id="889" w:name="_Toc403578966"/>
      <w:bookmarkStart w:id="890" w:name="_Toc522201761"/>
      <w:bookmarkStart w:id="891" w:name="_Toc418518378"/>
      <w:bookmarkStart w:id="892" w:name="_Toc418752274"/>
      <w:bookmarkStart w:id="893" w:name="_Toc418518142"/>
      <w:bookmarkStart w:id="894" w:name="_Toc256000211"/>
      <w:bookmarkStart w:id="895" w:name="_Toc497746813"/>
      <w:bookmarkStart w:id="896" w:name="_Toc373227732"/>
      <w:r>
        <w:rPr>
          <w:rFonts w:hint="eastAsia" w:ascii="宋体" w:hAnsi="宋体" w:eastAsia="宋体" w:cs="宋体"/>
          <w:color w:val="000000"/>
          <w:sz w:val="21"/>
          <w:szCs w:val="21"/>
          <w:highlight w:val="none"/>
        </w:rPr>
        <w:t>8.2 承包人采购材料与工程设备</w:t>
      </w:r>
      <w:bookmarkEnd w:id="884"/>
      <w:bookmarkEnd w:id="885"/>
      <w:bookmarkEnd w:id="886"/>
      <w:bookmarkEnd w:id="887"/>
      <w:bookmarkEnd w:id="888"/>
      <w:bookmarkEnd w:id="889"/>
      <w:bookmarkEnd w:id="890"/>
      <w:bookmarkEnd w:id="891"/>
      <w:bookmarkEnd w:id="892"/>
      <w:bookmarkEnd w:id="893"/>
      <w:bookmarkEnd w:id="894"/>
      <w:bookmarkEnd w:id="895"/>
      <w:bookmarkEnd w:id="896"/>
    </w:p>
    <w:p w14:paraId="71B4AC61">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除已标价工程量清单《发包人提供主要材料和工程设备一览表》（表-21）中明确的材料、工程设备外，由承包人负责材料和工程设备的采购、运输和保管。《</w:t>
      </w:r>
      <w:r>
        <w:rPr>
          <w:rFonts w:hint="eastAsia" w:ascii="宋体" w:hAnsi="宋体" w:eastAsia="宋体" w:cs="宋体"/>
          <w:color w:val="000000"/>
          <w:sz w:val="21"/>
          <w:szCs w:val="21"/>
          <w:highlight w:val="none"/>
        </w:rPr>
        <w:t>承包人提供主要材料和工程设备一览表》</w:t>
      </w:r>
      <w:r>
        <w:rPr>
          <w:rFonts w:hint="eastAsia" w:ascii="宋体" w:hAnsi="宋体" w:eastAsia="宋体" w:cs="宋体"/>
          <w:color w:val="000000"/>
          <w:kern w:val="0"/>
          <w:sz w:val="21"/>
          <w:szCs w:val="21"/>
          <w:highlight w:val="none"/>
        </w:rPr>
        <w:t>（表-22）见已标价工程量清单。</w:t>
      </w:r>
    </w:p>
    <w:p w14:paraId="5B55F9CE">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897" w:name="_Toc522201762"/>
      <w:bookmarkStart w:id="898" w:name="_Toc418518143"/>
      <w:bookmarkStart w:id="899" w:name="_Toc256000212"/>
      <w:bookmarkStart w:id="900" w:name="_Toc497746814"/>
      <w:bookmarkStart w:id="901" w:name="_Toc373227733"/>
      <w:bookmarkStart w:id="902" w:name="_Toc418752275"/>
      <w:bookmarkStart w:id="903" w:name="_Toc497747211"/>
      <w:bookmarkStart w:id="904" w:name="_Toc418751829"/>
      <w:bookmarkStart w:id="905" w:name="_Toc389065299"/>
      <w:bookmarkStart w:id="906" w:name="_Toc373478380"/>
      <w:bookmarkStart w:id="907" w:name="_Toc403578967"/>
      <w:bookmarkStart w:id="908" w:name="_Toc418061344"/>
      <w:bookmarkStart w:id="909" w:name="_Toc418518379"/>
      <w:r>
        <w:rPr>
          <w:rFonts w:hint="eastAsia" w:ascii="宋体" w:hAnsi="宋体" w:eastAsia="宋体" w:cs="宋体"/>
          <w:color w:val="000000"/>
          <w:sz w:val="21"/>
          <w:szCs w:val="21"/>
          <w:highlight w:val="none"/>
        </w:rPr>
        <w:t>8</w:t>
      </w:r>
      <w:bookmarkStart w:id="910" w:name="_Toc296503167"/>
      <w:bookmarkStart w:id="911" w:name="_Toc312677493"/>
      <w:bookmarkStart w:id="912" w:name="_Toc296347166"/>
      <w:bookmarkStart w:id="913" w:name="_Toc297048353"/>
      <w:bookmarkStart w:id="914" w:name="_Toc303539136"/>
      <w:bookmarkStart w:id="915" w:name="_Toc280868654"/>
      <w:bookmarkStart w:id="916" w:name="_Toc312678019"/>
      <w:bookmarkStart w:id="917" w:name="_Toc292559372"/>
      <w:bookmarkStart w:id="918" w:name="_Toc296944506"/>
      <w:bookmarkStart w:id="919" w:name="_Toc296346668"/>
      <w:bookmarkStart w:id="920" w:name="_Toc300934979"/>
      <w:bookmarkStart w:id="921" w:name="_Toc296891207"/>
      <w:bookmarkStart w:id="922" w:name="_Toc297120467"/>
      <w:bookmarkStart w:id="923" w:name="_Toc297123527"/>
      <w:bookmarkStart w:id="924" w:name="_Toc297216186"/>
      <w:bookmarkStart w:id="925" w:name="_Toc296890995"/>
      <w:bookmarkStart w:id="926" w:name="_Toc304295556"/>
      <w:bookmarkStart w:id="927" w:name="_Toc292559877"/>
      <w:bookmarkStart w:id="928" w:name="_Toc280868656"/>
      <w:bookmarkStart w:id="929" w:name="_Toc267251424"/>
      <w:bookmarkStart w:id="930" w:name="_Toc280868655"/>
      <w:r>
        <w:rPr>
          <w:rFonts w:hint="eastAsia" w:ascii="宋体" w:hAnsi="宋体" w:eastAsia="宋体" w:cs="宋体"/>
          <w:color w:val="000000"/>
          <w:sz w:val="21"/>
          <w:szCs w:val="21"/>
          <w:highlight w:val="none"/>
        </w:rPr>
        <w:t>.4 材料与工程设备的保管与使用</w:t>
      </w:r>
      <w:bookmarkEnd w:id="897"/>
      <w:bookmarkEnd w:id="898"/>
      <w:bookmarkEnd w:id="899"/>
      <w:bookmarkEnd w:id="900"/>
      <w:bookmarkEnd w:id="901"/>
      <w:bookmarkEnd w:id="902"/>
      <w:bookmarkEnd w:id="903"/>
      <w:bookmarkEnd w:id="904"/>
      <w:bookmarkEnd w:id="905"/>
      <w:bookmarkEnd w:id="906"/>
      <w:bookmarkEnd w:id="907"/>
      <w:bookmarkEnd w:id="908"/>
      <w:bookmarkEnd w:id="909"/>
    </w:p>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14:paraId="0E28C5AE">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8</w:t>
      </w:r>
      <w:bookmarkStart w:id="931" w:name="_Toc292559373"/>
      <w:bookmarkStart w:id="932" w:name="_Toc292559878"/>
      <w:bookmarkStart w:id="933" w:name="_Toc297216187"/>
      <w:bookmarkStart w:id="934" w:name="_Toc296503168"/>
      <w:bookmarkStart w:id="935" w:name="_Toc300934980"/>
      <w:bookmarkStart w:id="936" w:name="_Toc296347167"/>
      <w:bookmarkStart w:id="937" w:name="_Toc296891208"/>
      <w:bookmarkStart w:id="938" w:name="_Toc297123528"/>
      <w:bookmarkStart w:id="939" w:name="_Toc312678020"/>
      <w:bookmarkStart w:id="940" w:name="_Toc312677494"/>
      <w:bookmarkStart w:id="941" w:name="_Toc303539137"/>
      <w:bookmarkStart w:id="942" w:name="_Toc296944507"/>
      <w:bookmarkStart w:id="943" w:name="_Toc318581173"/>
      <w:bookmarkStart w:id="944" w:name="_Toc297048354"/>
      <w:bookmarkStart w:id="945" w:name="_Toc297120468"/>
      <w:bookmarkStart w:id="946" w:name="_Toc296890996"/>
      <w:bookmarkStart w:id="947" w:name="_Toc296346669"/>
      <w:bookmarkStart w:id="948" w:name="_Toc304295557"/>
      <w:r>
        <w:rPr>
          <w:rFonts w:hint="eastAsia" w:ascii="宋体" w:hAnsi="宋体" w:eastAsia="宋体" w:cs="宋体"/>
          <w:color w:val="000000"/>
          <w:sz w:val="21"/>
          <w:szCs w:val="21"/>
          <w:highlight w:val="none"/>
        </w:rPr>
        <w:t>.4.1发包人供应的材料设备的保管费用的承担：</w:t>
      </w:r>
      <w:r>
        <w:rPr>
          <w:rFonts w:hint="eastAsia" w:ascii="宋体" w:hAnsi="宋体" w:eastAsia="宋体" w:cs="宋体"/>
          <w:color w:val="000000"/>
          <w:sz w:val="21"/>
          <w:szCs w:val="21"/>
          <w:highlight w:val="none"/>
          <w:u w:val="single"/>
        </w:rPr>
        <w:t>发包人供应的材料和设备经三方验收合格后，保管费用由承包人承担</w:t>
      </w:r>
      <w:r>
        <w:rPr>
          <w:rFonts w:hint="eastAsia" w:ascii="宋体" w:hAnsi="宋体" w:eastAsia="宋体" w:cs="宋体"/>
          <w:color w:val="000000"/>
          <w:sz w:val="21"/>
          <w:szCs w:val="21"/>
          <w:highlight w:val="none"/>
        </w:rPr>
        <w:t>。</w:t>
      </w:r>
    </w:p>
    <w:bookmarkEnd w:id="931"/>
    <w:bookmarkEnd w:id="932"/>
    <w:p w14:paraId="7FF08A10">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949" w:name="_Toc256000213"/>
      <w:bookmarkStart w:id="950" w:name="_Toc418061345"/>
      <w:bookmarkStart w:id="951" w:name="_Toc373227734"/>
      <w:bookmarkStart w:id="952" w:name="_Toc373478381"/>
      <w:bookmarkStart w:id="953" w:name="_Toc522201763"/>
      <w:bookmarkStart w:id="954" w:name="_Toc389065300"/>
      <w:bookmarkStart w:id="955" w:name="_Toc418751830"/>
      <w:bookmarkStart w:id="956" w:name="_Toc418518144"/>
      <w:bookmarkStart w:id="957" w:name="_Toc497747212"/>
      <w:bookmarkStart w:id="958" w:name="_Toc418752276"/>
      <w:bookmarkStart w:id="959" w:name="_Toc497746815"/>
      <w:bookmarkStart w:id="960" w:name="_Toc403578968"/>
      <w:bookmarkStart w:id="961" w:name="_Toc418518380"/>
      <w:r>
        <w:rPr>
          <w:rFonts w:hint="eastAsia" w:ascii="宋体" w:hAnsi="宋体" w:eastAsia="宋体" w:cs="宋体"/>
          <w:color w:val="000000"/>
          <w:sz w:val="21"/>
          <w:szCs w:val="21"/>
          <w:highlight w:val="none"/>
        </w:rPr>
        <w:t>8.6 样品</w:t>
      </w:r>
      <w:bookmarkEnd w:id="949"/>
      <w:bookmarkEnd w:id="950"/>
      <w:bookmarkEnd w:id="951"/>
      <w:bookmarkEnd w:id="952"/>
      <w:bookmarkEnd w:id="953"/>
      <w:bookmarkEnd w:id="954"/>
      <w:bookmarkEnd w:id="955"/>
      <w:bookmarkEnd w:id="956"/>
      <w:bookmarkEnd w:id="957"/>
      <w:bookmarkEnd w:id="958"/>
      <w:bookmarkEnd w:id="959"/>
      <w:bookmarkEnd w:id="960"/>
      <w:bookmarkEnd w:id="961"/>
    </w:p>
    <w:p w14:paraId="044E7898">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8.6.1 样品的报送与封存</w:t>
      </w:r>
    </w:p>
    <w:p w14:paraId="359A570F">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kern w:val="0"/>
          <w:sz w:val="21"/>
          <w:szCs w:val="21"/>
          <w:highlight w:val="none"/>
        </w:rPr>
        <w:t>需要承包人报送样品的材料或工程设备，样品的种类、名称、规格、数量要求：</w:t>
      </w:r>
      <w:r>
        <w:rPr>
          <w:rFonts w:hint="eastAsia" w:ascii="宋体" w:hAnsi="宋体" w:eastAsia="宋体" w:cs="宋体"/>
          <w:color w:val="000000"/>
          <w:sz w:val="21"/>
          <w:szCs w:val="21"/>
          <w:highlight w:val="none"/>
          <w:u w:val="single"/>
        </w:rPr>
        <w:t>主要材料涉及品种、款式、颜色等方面内容的，承包人在进货前需将货物样品报送监理或发包人现场办公室，待设计及发包人确认样品，并封存样品后，承包人方可订货。除上述材料外招标文件和招标工程量清单中对材料、设备有档次或质量要求的，按招标文件和招标工程量清单确定；其他由合同各方协商确定。</w:t>
      </w:r>
    </w:p>
    <w:p w14:paraId="42A0AFBE">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962" w:name="_Toc497746816"/>
      <w:bookmarkStart w:id="963" w:name="_Toc418752277"/>
      <w:bookmarkStart w:id="964" w:name="_Toc418751831"/>
      <w:bookmarkStart w:id="965" w:name="_Toc497747213"/>
      <w:bookmarkStart w:id="966" w:name="_Toc373227735"/>
      <w:bookmarkStart w:id="967" w:name="_Toc418518145"/>
      <w:bookmarkStart w:id="968" w:name="_Toc418061346"/>
      <w:bookmarkStart w:id="969" w:name="_Toc522201764"/>
      <w:bookmarkStart w:id="970" w:name="_Toc373478382"/>
      <w:bookmarkStart w:id="971" w:name="_Toc418518381"/>
      <w:bookmarkStart w:id="972" w:name="_Toc256000214"/>
      <w:bookmarkStart w:id="973" w:name="_Toc403578969"/>
      <w:bookmarkStart w:id="974" w:name="_Toc389065301"/>
      <w:r>
        <w:rPr>
          <w:rFonts w:hint="eastAsia" w:ascii="宋体" w:hAnsi="宋体" w:eastAsia="宋体" w:cs="宋体"/>
          <w:color w:val="000000"/>
          <w:sz w:val="21"/>
          <w:szCs w:val="21"/>
          <w:highlight w:val="none"/>
        </w:rPr>
        <w:t>8.8 施工设备和临时设施</w:t>
      </w:r>
      <w:bookmarkEnd w:id="962"/>
      <w:bookmarkEnd w:id="963"/>
      <w:bookmarkEnd w:id="964"/>
      <w:bookmarkEnd w:id="965"/>
      <w:bookmarkEnd w:id="966"/>
      <w:bookmarkEnd w:id="967"/>
      <w:bookmarkEnd w:id="968"/>
      <w:bookmarkEnd w:id="969"/>
      <w:bookmarkEnd w:id="970"/>
      <w:bookmarkEnd w:id="971"/>
      <w:bookmarkEnd w:id="972"/>
      <w:bookmarkEnd w:id="973"/>
      <w:bookmarkEnd w:id="974"/>
    </w:p>
    <w:p w14:paraId="0EA7DF06">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8.8.1 承包人提供的施工设备和临时设施</w:t>
      </w:r>
    </w:p>
    <w:p w14:paraId="5FED6FCC">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5。</w:t>
      </w:r>
    </w:p>
    <w:p w14:paraId="33265860">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关于修建临时设施费用承担的约定：</w:t>
      </w:r>
    </w:p>
    <w:p w14:paraId="0B84417E">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single"/>
        </w:rPr>
        <w:t xml:space="preserve">①承包人的临时用地（含项目部驻地等）租用费（含拆迁补偿）、临时用地的环保、恢复、临时用地的青苗补偿及地面附着物拆除等费用均由承包人负责，以上费用在投标报价中综合考虑。 </w:t>
      </w:r>
    </w:p>
    <w:p w14:paraId="13A262AE">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single"/>
        </w:rPr>
        <w:t xml:space="preserve">②承包人负责合同实施期间其合同段内临时交通道路和交通设施的修建、维修、养护和交通管理工作，并承担一切费用。 </w:t>
      </w:r>
    </w:p>
    <w:p w14:paraId="02CAEC58">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single"/>
        </w:rPr>
        <w:t xml:space="preserve">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 </w:t>
      </w:r>
    </w:p>
    <w:p w14:paraId="332145E1">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single"/>
        </w:rPr>
        <w:t>④承包人在发包人拟开发区域内已经搭设的施工现场办公等临时设施，一旦发包人因开发需要，通知承包人搬迁、拆除的，承包人应无条件在规定期限内搬迁、拆除，发包人不另行支付搬迁、拆除等费用。承包人自行解决民工住宿问题，并承担因此而增加的交通费用、工人生产降效等相关费用。</w:t>
      </w:r>
    </w:p>
    <w:p w14:paraId="3360849C">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8.8.2 发包人提供的施工设备和临时设施</w:t>
      </w:r>
    </w:p>
    <w:p w14:paraId="3B2EA341">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发包人提供的施工设备和临时设施：</w:t>
      </w:r>
      <w:r>
        <w:rPr>
          <w:rFonts w:hint="eastAsia" w:ascii="宋体" w:hAnsi="宋体" w:eastAsia="宋体" w:cs="宋体"/>
          <w:color w:val="000000"/>
          <w:sz w:val="21"/>
          <w:szCs w:val="21"/>
          <w:highlight w:val="none"/>
          <w:u w:val="single"/>
        </w:rPr>
        <w:t xml:space="preserve">  无 </w:t>
      </w:r>
      <w:r>
        <w:rPr>
          <w:rFonts w:hint="eastAsia" w:ascii="宋体" w:hAnsi="宋体" w:eastAsia="宋体" w:cs="宋体"/>
          <w:color w:val="000000"/>
          <w:sz w:val="21"/>
          <w:szCs w:val="21"/>
          <w:highlight w:val="none"/>
        </w:rPr>
        <w:t>。</w:t>
      </w:r>
    </w:p>
    <w:p w14:paraId="5310D5F5">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发包人提供的施工设备和临时设施的运行、维护、拆除、清运费用的承担人：</w:t>
      </w:r>
      <w:r>
        <w:rPr>
          <w:rFonts w:hint="eastAsia" w:ascii="宋体" w:hAnsi="宋体" w:eastAsia="宋体" w:cs="宋体"/>
          <w:color w:val="000000"/>
          <w:sz w:val="21"/>
          <w:szCs w:val="21"/>
          <w:highlight w:val="none"/>
          <w:u w:val="single"/>
        </w:rPr>
        <w:t xml:space="preserve">  承包人  </w:t>
      </w:r>
      <w:r>
        <w:rPr>
          <w:rFonts w:hint="eastAsia" w:ascii="宋体" w:hAnsi="宋体" w:eastAsia="宋体" w:cs="宋体"/>
          <w:color w:val="000000"/>
          <w:sz w:val="21"/>
          <w:szCs w:val="21"/>
          <w:highlight w:val="none"/>
        </w:rPr>
        <w:t>。</w:t>
      </w:r>
    </w:p>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p w14:paraId="4C8ACC89">
      <w:pPr>
        <w:pStyle w:val="92"/>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bookmarkStart w:id="975" w:name="_Toc256000215"/>
      <w:bookmarkStart w:id="976" w:name="_Toc389065302"/>
      <w:bookmarkStart w:id="977" w:name="_Toc497746817"/>
      <w:bookmarkStart w:id="978" w:name="_Toc418752278"/>
      <w:bookmarkStart w:id="979" w:name="_Toc418061347"/>
      <w:bookmarkStart w:id="980" w:name="_Toc373478383"/>
      <w:bookmarkStart w:id="981" w:name="_Toc418518382"/>
      <w:bookmarkStart w:id="982" w:name="_Toc418518146"/>
      <w:bookmarkStart w:id="983" w:name="_Toc351203641"/>
      <w:bookmarkStart w:id="984" w:name="_Toc497747214"/>
      <w:bookmarkStart w:id="985" w:name="_Toc522201765"/>
      <w:bookmarkStart w:id="986" w:name="_Toc373227736"/>
      <w:bookmarkStart w:id="987" w:name="_Toc403578970"/>
      <w:bookmarkStart w:id="988" w:name="_Toc418751832"/>
      <w:r>
        <w:rPr>
          <w:rFonts w:hint="eastAsia" w:ascii="宋体" w:hAnsi="宋体" w:eastAsia="宋体" w:cs="宋体"/>
          <w:color w:val="000000"/>
          <w:sz w:val="21"/>
          <w:szCs w:val="21"/>
          <w:highlight w:val="none"/>
        </w:rPr>
        <w:t>9</w:t>
      </w:r>
      <w:bookmarkEnd w:id="928"/>
      <w:bookmarkEnd w:id="929"/>
      <w:bookmarkEnd w:id="930"/>
      <w:bookmarkStart w:id="989" w:name="_Toc312678021"/>
      <w:bookmarkStart w:id="990" w:name="_Toc304295559"/>
      <w:bookmarkStart w:id="991" w:name="_Toc300934982"/>
      <w:bookmarkStart w:id="992" w:name="_Toc297216192"/>
      <w:bookmarkStart w:id="993" w:name="_Toc312677495"/>
      <w:bookmarkStart w:id="994" w:name="_Toc303539139"/>
      <w:bookmarkStart w:id="995" w:name="_Toc297123533"/>
      <w:bookmarkStart w:id="996" w:name="_Toc267251428"/>
      <w:bookmarkStart w:id="997" w:name="_Toc296503173"/>
      <w:bookmarkStart w:id="998" w:name="_Toc296346674"/>
      <w:bookmarkStart w:id="999" w:name="_Toc297048359"/>
      <w:bookmarkStart w:id="1000" w:name="_Toc297120473"/>
      <w:bookmarkStart w:id="1001" w:name="_Toc296347172"/>
      <w:bookmarkStart w:id="1002" w:name="_Toc296891213"/>
      <w:bookmarkStart w:id="1003" w:name="_Toc267251427"/>
      <w:bookmarkStart w:id="1004" w:name="_Toc296891001"/>
      <w:bookmarkStart w:id="1005" w:name="_Toc296944512"/>
      <w:bookmarkStart w:id="1006" w:name="_Toc292559883"/>
      <w:bookmarkStart w:id="1007" w:name="_Toc292559378"/>
      <w:r>
        <w:rPr>
          <w:rFonts w:hint="eastAsia" w:ascii="宋体" w:hAnsi="宋体" w:eastAsia="宋体" w:cs="宋体"/>
          <w:color w:val="000000"/>
          <w:sz w:val="21"/>
          <w:szCs w:val="21"/>
          <w:highlight w:val="none"/>
        </w:rPr>
        <w:t>. 试验与检验</w:t>
      </w:r>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p>
    <w:bookmarkEnd w:id="989"/>
    <w:bookmarkEnd w:id="990"/>
    <w:bookmarkEnd w:id="991"/>
    <w:bookmarkEnd w:id="992"/>
    <w:bookmarkEnd w:id="993"/>
    <w:bookmarkEnd w:id="994"/>
    <w:bookmarkEnd w:id="995"/>
    <w:p w14:paraId="5E9A354A">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1008" w:name="_Toc389065303"/>
      <w:bookmarkStart w:id="1009" w:name="_Toc418061348"/>
      <w:bookmarkStart w:id="1010" w:name="_Toc497746818"/>
      <w:bookmarkStart w:id="1011" w:name="_Toc256000216"/>
      <w:bookmarkStart w:id="1012" w:name="_Toc497747215"/>
      <w:bookmarkStart w:id="1013" w:name="_Toc418518383"/>
      <w:bookmarkStart w:id="1014" w:name="_Toc418518147"/>
      <w:bookmarkStart w:id="1015" w:name="_Toc418751833"/>
      <w:bookmarkStart w:id="1016" w:name="_Toc522201766"/>
      <w:bookmarkStart w:id="1017" w:name="_Toc373227737"/>
      <w:bookmarkStart w:id="1018" w:name="_Toc373478384"/>
      <w:bookmarkStart w:id="1019" w:name="_Toc403578971"/>
      <w:bookmarkStart w:id="1020" w:name="_Toc418752279"/>
      <w:r>
        <w:rPr>
          <w:rFonts w:hint="eastAsia" w:ascii="宋体" w:hAnsi="宋体" w:eastAsia="宋体" w:cs="宋体"/>
          <w:color w:val="000000"/>
          <w:sz w:val="21"/>
          <w:szCs w:val="21"/>
          <w:highlight w:val="none"/>
        </w:rPr>
        <w:t>9</w:t>
      </w:r>
      <w:bookmarkStart w:id="1021" w:name="_Toc297216193"/>
      <w:bookmarkStart w:id="1022" w:name="_Toc303539140"/>
      <w:bookmarkStart w:id="1023" w:name="_Toc304295560"/>
      <w:bookmarkStart w:id="1024" w:name="_Toc312678022"/>
      <w:bookmarkStart w:id="1025" w:name="_Toc297123534"/>
      <w:bookmarkStart w:id="1026" w:name="_Toc300934983"/>
      <w:bookmarkStart w:id="1027" w:name="_Toc312677496"/>
      <w:r>
        <w:rPr>
          <w:rFonts w:hint="eastAsia" w:ascii="宋体" w:hAnsi="宋体" w:eastAsia="宋体" w:cs="宋体"/>
          <w:color w:val="000000"/>
          <w:sz w:val="21"/>
          <w:szCs w:val="21"/>
          <w:highlight w:val="none"/>
        </w:rPr>
        <w:t>.1 试验设备与试验人员</w:t>
      </w:r>
      <w:bookmarkEnd w:id="1008"/>
      <w:bookmarkEnd w:id="1009"/>
      <w:bookmarkEnd w:id="1010"/>
      <w:bookmarkEnd w:id="1011"/>
      <w:bookmarkEnd w:id="1012"/>
      <w:bookmarkEnd w:id="1013"/>
      <w:bookmarkEnd w:id="1014"/>
      <w:bookmarkEnd w:id="1015"/>
      <w:bookmarkEnd w:id="1016"/>
      <w:bookmarkEnd w:id="1017"/>
      <w:bookmarkEnd w:id="1018"/>
      <w:bookmarkEnd w:id="1019"/>
      <w:bookmarkEnd w:id="1020"/>
    </w:p>
    <w:bookmarkEnd w:id="1021"/>
    <w:bookmarkEnd w:id="1022"/>
    <w:bookmarkEnd w:id="1023"/>
    <w:bookmarkEnd w:id="1024"/>
    <w:bookmarkEnd w:id="1025"/>
    <w:bookmarkEnd w:id="1026"/>
    <w:bookmarkEnd w:id="1027"/>
    <w:p w14:paraId="164E63AF">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w:t>
      </w:r>
      <w:bookmarkStart w:id="1028" w:name="_Toc312678023"/>
      <w:bookmarkStart w:id="1029" w:name="_Toc312677497"/>
      <w:bookmarkStart w:id="1030" w:name="_Toc304295561"/>
      <w:bookmarkStart w:id="1031" w:name="_Toc303539141"/>
      <w:bookmarkStart w:id="1032" w:name="_Toc297216194"/>
      <w:bookmarkStart w:id="1033" w:name="_Toc300934984"/>
      <w:bookmarkStart w:id="1034" w:name="_Toc297123535"/>
      <w:bookmarkStart w:id="1035" w:name="_Toc318581174"/>
      <w:r>
        <w:rPr>
          <w:rFonts w:hint="eastAsia" w:ascii="宋体" w:hAnsi="宋体" w:eastAsia="宋体" w:cs="宋体"/>
          <w:color w:val="000000"/>
          <w:sz w:val="21"/>
          <w:szCs w:val="21"/>
          <w:highlight w:val="none"/>
        </w:rPr>
        <w:t>.1.2 试验设备</w:t>
      </w:r>
    </w:p>
    <w:bookmarkEnd w:id="1028"/>
    <w:bookmarkEnd w:id="1029"/>
    <w:bookmarkEnd w:id="1030"/>
    <w:bookmarkEnd w:id="1031"/>
    <w:bookmarkEnd w:id="1032"/>
    <w:bookmarkEnd w:id="1033"/>
    <w:bookmarkEnd w:id="1034"/>
    <w:p w14:paraId="29947E08">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bookmarkStart w:id="1036" w:name="_Toc312678024"/>
      <w:bookmarkStart w:id="1037" w:name="_Toc300934985"/>
      <w:bookmarkStart w:id="1038" w:name="_Toc297123536"/>
      <w:bookmarkStart w:id="1039" w:name="_Toc312677498"/>
      <w:bookmarkStart w:id="1040" w:name="_Toc304295562"/>
      <w:bookmarkStart w:id="1041" w:name="_Toc303539142"/>
      <w:bookmarkStart w:id="1042" w:name="_Toc297216195"/>
      <w:r>
        <w:rPr>
          <w:rFonts w:hint="eastAsia" w:ascii="宋体" w:hAnsi="宋体" w:eastAsia="宋体" w:cs="宋体"/>
          <w:color w:val="000000"/>
          <w:sz w:val="21"/>
          <w:szCs w:val="21"/>
          <w:highlight w:val="none"/>
        </w:rPr>
        <w:t>施工现场需要配置的试验场所：</w:t>
      </w:r>
      <w:r>
        <w:rPr>
          <w:rFonts w:hint="eastAsia" w:ascii="宋体" w:hAnsi="宋体" w:eastAsia="宋体" w:cs="宋体"/>
          <w:color w:val="000000"/>
          <w:sz w:val="21"/>
          <w:szCs w:val="21"/>
          <w:highlight w:val="none"/>
          <w:u w:val="single"/>
        </w:rPr>
        <w:t xml:space="preserve"> 由承包人承担，所需费用包含在投标报价中 </w:t>
      </w:r>
      <w:r>
        <w:rPr>
          <w:rFonts w:hint="eastAsia" w:ascii="宋体" w:hAnsi="宋体" w:eastAsia="宋体" w:cs="宋体"/>
          <w:color w:val="000000"/>
          <w:sz w:val="21"/>
          <w:szCs w:val="21"/>
          <w:highlight w:val="none"/>
        </w:rPr>
        <w:t xml:space="preserve">。 </w:t>
      </w:r>
    </w:p>
    <w:p w14:paraId="3DE9F953">
      <w:pPr>
        <w:pStyle w:val="94"/>
        <w:pageBreakBefore w:val="0"/>
        <w:widowControl w:val="0"/>
        <w:kinsoku/>
        <w:wordWrap/>
        <w:overflowPunct/>
        <w:topLinePunct w:val="0"/>
        <w:bidi w:val="0"/>
        <w:snapToGrid/>
        <w:spacing w:line="360" w:lineRule="auto"/>
        <w:ind w:left="0" w:leftChars="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施工现场需要配备的试验设备：</w:t>
      </w:r>
      <w:r>
        <w:rPr>
          <w:rFonts w:hint="eastAsia" w:ascii="宋体" w:hAnsi="宋体" w:eastAsia="宋体" w:cs="宋体"/>
          <w:color w:val="000000"/>
          <w:sz w:val="21"/>
          <w:szCs w:val="21"/>
          <w:highlight w:val="none"/>
          <w:u w:val="single"/>
        </w:rPr>
        <w:t xml:space="preserve"> 由承包人承担，所需费用包含在投标报价中 </w:t>
      </w:r>
      <w:r>
        <w:rPr>
          <w:rFonts w:hint="eastAsia" w:ascii="宋体" w:hAnsi="宋体" w:eastAsia="宋体" w:cs="宋体"/>
          <w:color w:val="000000"/>
          <w:sz w:val="21"/>
          <w:szCs w:val="21"/>
          <w:highlight w:val="none"/>
        </w:rPr>
        <w:t>。</w:t>
      </w:r>
    </w:p>
    <w:p w14:paraId="32EAF9AF">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施工现场需要具备的其他试验条件：</w:t>
      </w:r>
      <w:r>
        <w:rPr>
          <w:rFonts w:hint="eastAsia" w:ascii="宋体" w:hAnsi="宋体" w:eastAsia="宋体" w:cs="宋体"/>
          <w:color w:val="000000"/>
          <w:sz w:val="21"/>
          <w:szCs w:val="21"/>
          <w:highlight w:val="none"/>
          <w:u w:val="single"/>
        </w:rPr>
        <w:t xml:space="preserve"> 由承包人承担，所需费用包含在投标报价中 </w:t>
      </w:r>
      <w:r>
        <w:rPr>
          <w:rFonts w:hint="eastAsia" w:ascii="宋体" w:hAnsi="宋体" w:eastAsia="宋体" w:cs="宋体"/>
          <w:color w:val="000000"/>
          <w:sz w:val="21"/>
          <w:szCs w:val="21"/>
          <w:highlight w:val="none"/>
        </w:rPr>
        <w:t>。</w:t>
      </w:r>
    </w:p>
    <w:p w14:paraId="70EADD18">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1043" w:name="_Toc403578972"/>
      <w:bookmarkStart w:id="1044" w:name="_Toc256000217"/>
      <w:bookmarkStart w:id="1045" w:name="_Toc497746819"/>
      <w:bookmarkStart w:id="1046" w:name="_Toc373227738"/>
      <w:bookmarkStart w:id="1047" w:name="_Toc418518384"/>
      <w:bookmarkStart w:id="1048" w:name="_Toc418061349"/>
      <w:bookmarkStart w:id="1049" w:name="_Toc497747216"/>
      <w:bookmarkStart w:id="1050" w:name="_Toc418518148"/>
      <w:bookmarkStart w:id="1051" w:name="_Toc373478385"/>
      <w:bookmarkStart w:id="1052" w:name="_Toc522201767"/>
      <w:bookmarkStart w:id="1053" w:name="_Toc418751834"/>
      <w:bookmarkStart w:id="1054" w:name="_Toc418752280"/>
      <w:bookmarkStart w:id="1055" w:name="_Toc389065304"/>
      <w:r>
        <w:rPr>
          <w:rFonts w:hint="eastAsia" w:ascii="宋体" w:hAnsi="宋体" w:eastAsia="宋体" w:cs="宋体"/>
          <w:color w:val="000000"/>
          <w:sz w:val="21"/>
          <w:szCs w:val="21"/>
          <w:highlight w:val="none"/>
        </w:rPr>
        <w:t>9.4 现场工艺试验</w:t>
      </w:r>
      <w:bookmarkEnd w:id="1043"/>
      <w:bookmarkEnd w:id="1044"/>
      <w:bookmarkEnd w:id="1045"/>
      <w:bookmarkEnd w:id="1046"/>
      <w:bookmarkEnd w:id="1047"/>
      <w:bookmarkEnd w:id="1048"/>
      <w:bookmarkEnd w:id="1049"/>
      <w:bookmarkEnd w:id="1050"/>
      <w:bookmarkEnd w:id="1051"/>
      <w:bookmarkEnd w:id="1052"/>
      <w:bookmarkEnd w:id="1053"/>
      <w:bookmarkEnd w:id="1054"/>
      <w:bookmarkEnd w:id="1055"/>
      <w:r>
        <w:rPr>
          <w:rFonts w:hint="eastAsia" w:ascii="宋体" w:hAnsi="宋体" w:eastAsia="宋体" w:cs="宋体"/>
          <w:color w:val="000000"/>
          <w:sz w:val="21"/>
          <w:szCs w:val="21"/>
          <w:highlight w:val="none"/>
        </w:rPr>
        <w:t xml:space="preserve"> </w:t>
      </w:r>
    </w:p>
    <w:p w14:paraId="6629A31D">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现场工艺试验的有关约定：</w:t>
      </w:r>
      <w:r>
        <w:rPr>
          <w:rFonts w:hint="eastAsia" w:ascii="宋体" w:hAnsi="宋体" w:eastAsia="宋体" w:cs="宋体"/>
          <w:color w:val="000000"/>
          <w:sz w:val="21"/>
          <w:szCs w:val="21"/>
          <w:highlight w:val="none"/>
          <w:u w:val="single"/>
        </w:rPr>
        <w:t xml:space="preserve">  按通用条款执行</w:t>
      </w:r>
      <w:r>
        <w:rPr>
          <w:rFonts w:hint="eastAsia" w:ascii="宋体" w:hAnsi="宋体" w:eastAsia="宋体" w:cs="宋体"/>
          <w:color w:val="000000"/>
          <w:sz w:val="21"/>
          <w:szCs w:val="21"/>
          <w:highlight w:val="none"/>
        </w:rPr>
        <w:t>。</w:t>
      </w:r>
      <w:bookmarkStart w:id="1056" w:name="_Toc395382541"/>
      <w:bookmarkStart w:id="1057" w:name="_Toc406522259"/>
      <w:bookmarkStart w:id="1058" w:name="_Toc406420990"/>
      <w:bookmarkStart w:id="1059" w:name="OLE_LINK1"/>
    </w:p>
    <w:p w14:paraId="6F89DF5D">
      <w:pPr>
        <w:pStyle w:val="94"/>
        <w:pageBreakBefore w:val="0"/>
        <w:widowControl w:val="0"/>
        <w:kinsoku/>
        <w:wordWrap/>
        <w:overflowPunct/>
        <w:topLinePunct w:val="0"/>
        <w:bidi w:val="0"/>
        <w:snapToGrid/>
        <w:spacing w:line="360" w:lineRule="auto"/>
        <w:ind w:left="0" w:leftChars="0" w:firstLine="422" w:firstLineChars="200"/>
        <w:jc w:val="left"/>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9.5 检验费用</w:t>
      </w:r>
      <w:bookmarkEnd w:id="1056"/>
      <w:bookmarkEnd w:id="1057"/>
      <w:bookmarkEnd w:id="1058"/>
    </w:p>
    <w:p w14:paraId="17666F19">
      <w:pPr>
        <w:pStyle w:val="94"/>
        <w:pageBreakBefore w:val="0"/>
        <w:widowControl w:val="0"/>
        <w:kinsoku/>
        <w:wordWrap/>
        <w:overflowPunct/>
        <w:topLinePunct w:val="0"/>
        <w:bidi w:val="0"/>
        <w:snapToGrid/>
        <w:spacing w:line="360" w:lineRule="auto"/>
        <w:ind w:left="0" w:leftChars="0" w:firstLine="411" w:firstLineChars="196"/>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根据《建设工程质量检测管理办法》（建设部令第141号）以及</w:t>
      </w:r>
      <w:r>
        <w:rPr>
          <w:rFonts w:hint="eastAsia" w:ascii="宋体" w:hAnsi="宋体" w:eastAsia="宋体" w:cs="宋体"/>
          <w:bCs/>
          <w:color w:val="000000"/>
          <w:sz w:val="21"/>
          <w:szCs w:val="21"/>
          <w:highlight w:val="none"/>
        </w:rPr>
        <w:t>《广西壮族自治区建设工程质量检测管理规定》（桂建管〔2013〕11号）</w:t>
      </w:r>
      <w:r>
        <w:rPr>
          <w:rFonts w:hint="eastAsia" w:ascii="宋体" w:hAnsi="宋体" w:eastAsia="宋体" w:cs="宋体"/>
          <w:color w:val="000000"/>
          <w:sz w:val="21"/>
          <w:szCs w:val="21"/>
          <w:highlight w:val="none"/>
        </w:rPr>
        <w:t>规定，工程质量检测业务由发包人委托有相应资质的检测机构检测。费用从发包人的项目建设经费中支出并直接支付给检测机构，不计入合同价款内。</w:t>
      </w:r>
      <w:bookmarkEnd w:id="1059"/>
    </w:p>
    <w:bookmarkEnd w:id="1035"/>
    <w:bookmarkEnd w:id="1036"/>
    <w:bookmarkEnd w:id="1037"/>
    <w:bookmarkEnd w:id="1038"/>
    <w:bookmarkEnd w:id="1039"/>
    <w:bookmarkEnd w:id="1040"/>
    <w:bookmarkEnd w:id="1041"/>
    <w:bookmarkEnd w:id="1042"/>
    <w:p w14:paraId="6C9D4DE5">
      <w:pPr>
        <w:pStyle w:val="92"/>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bookmarkStart w:id="1060" w:name="_Toc418518150"/>
      <w:bookmarkStart w:id="1061" w:name="_Toc497747218"/>
      <w:bookmarkStart w:id="1062" w:name="_Toc418751836"/>
      <w:bookmarkStart w:id="1063" w:name="_Toc418518386"/>
      <w:bookmarkStart w:id="1064" w:name="_Toc522201768"/>
      <w:bookmarkStart w:id="1065" w:name="_Toc389065305"/>
      <w:bookmarkStart w:id="1066" w:name="_Toc418061351"/>
      <w:bookmarkStart w:id="1067" w:name="_Toc418752282"/>
      <w:bookmarkStart w:id="1068" w:name="_Toc373227739"/>
      <w:bookmarkStart w:id="1069" w:name="_Toc351203642"/>
      <w:bookmarkStart w:id="1070" w:name="_Toc403578974"/>
      <w:bookmarkStart w:id="1071" w:name="_Toc497746821"/>
      <w:bookmarkStart w:id="1072" w:name="_Toc256000218"/>
      <w:bookmarkStart w:id="1073" w:name="_Toc373478386"/>
      <w:r>
        <w:rPr>
          <w:rFonts w:hint="eastAsia" w:ascii="宋体" w:hAnsi="宋体" w:eastAsia="宋体" w:cs="宋体"/>
          <w:color w:val="000000"/>
          <w:sz w:val="21"/>
          <w:szCs w:val="21"/>
          <w:highlight w:val="none"/>
        </w:rPr>
        <w:t>1</w:t>
      </w:r>
      <w:bookmarkEnd w:id="996"/>
      <w:bookmarkEnd w:id="997"/>
      <w:bookmarkEnd w:id="998"/>
      <w:bookmarkEnd w:id="999"/>
      <w:bookmarkEnd w:id="1000"/>
      <w:bookmarkEnd w:id="1001"/>
      <w:bookmarkEnd w:id="1002"/>
      <w:bookmarkEnd w:id="1003"/>
      <w:bookmarkEnd w:id="1004"/>
      <w:bookmarkEnd w:id="1005"/>
      <w:bookmarkEnd w:id="1006"/>
      <w:bookmarkEnd w:id="1007"/>
      <w:bookmarkStart w:id="1074" w:name="_Toc304295566"/>
      <w:bookmarkStart w:id="1075" w:name="_Toc296944532"/>
      <w:bookmarkStart w:id="1076" w:name="_Toc296891233"/>
      <w:bookmarkStart w:id="1077" w:name="_Toc292559398"/>
      <w:bookmarkStart w:id="1078" w:name="_Toc297048379"/>
      <w:bookmarkStart w:id="1079" w:name="_Toc296346694"/>
      <w:bookmarkStart w:id="1080" w:name="_Toc297216199"/>
      <w:bookmarkStart w:id="1081" w:name="_Toc296347192"/>
      <w:bookmarkStart w:id="1082" w:name="_Toc303539146"/>
      <w:bookmarkStart w:id="1083" w:name="_Toc297120493"/>
      <w:bookmarkStart w:id="1084" w:name="_Toc300934989"/>
      <w:bookmarkStart w:id="1085" w:name="_Toc296891021"/>
      <w:bookmarkStart w:id="1086" w:name="_Toc292559903"/>
      <w:bookmarkStart w:id="1087" w:name="_Toc297123540"/>
      <w:bookmarkStart w:id="1088" w:name="_Toc296503193"/>
      <w:bookmarkStart w:id="1089" w:name="_Toc312677499"/>
      <w:bookmarkStart w:id="1090" w:name="_Toc312678025"/>
      <w:bookmarkStart w:id="1091" w:name="_Toc267251441"/>
      <w:bookmarkStart w:id="1092" w:name="_Toc267251437"/>
      <w:bookmarkStart w:id="1093" w:name="_Toc267251439"/>
      <w:bookmarkStart w:id="1094" w:name="_Toc267251433"/>
      <w:bookmarkStart w:id="1095" w:name="_Toc267251435"/>
      <w:bookmarkStart w:id="1096" w:name="_Toc267251440"/>
      <w:bookmarkStart w:id="1097" w:name="_Toc267251442"/>
      <w:r>
        <w:rPr>
          <w:rFonts w:hint="eastAsia" w:ascii="宋体" w:hAnsi="宋体" w:eastAsia="宋体" w:cs="宋体"/>
          <w:color w:val="000000"/>
          <w:sz w:val="21"/>
          <w:szCs w:val="21"/>
          <w:highlight w:val="none"/>
        </w:rPr>
        <w:t>0. 变更</w:t>
      </w:r>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p>
    <w:bookmarkEnd w:id="1089"/>
    <w:bookmarkEnd w:id="1090"/>
    <w:p w14:paraId="16C1EDE2">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1098" w:name="_Toc373478387"/>
      <w:bookmarkStart w:id="1099" w:name="_Toc256000219"/>
      <w:bookmarkStart w:id="1100" w:name="_Toc522201769"/>
      <w:bookmarkStart w:id="1101" w:name="_Toc403578975"/>
      <w:bookmarkStart w:id="1102" w:name="_Toc389065306"/>
      <w:bookmarkStart w:id="1103" w:name="_Toc418518151"/>
      <w:bookmarkStart w:id="1104" w:name="_Toc418752283"/>
      <w:bookmarkStart w:id="1105" w:name="_Toc418518387"/>
      <w:bookmarkStart w:id="1106" w:name="_Toc497746822"/>
      <w:bookmarkStart w:id="1107" w:name="_Toc418061352"/>
      <w:bookmarkStart w:id="1108" w:name="_Toc373227740"/>
      <w:bookmarkStart w:id="1109" w:name="_Toc497747219"/>
      <w:bookmarkStart w:id="1110" w:name="_Toc418751837"/>
      <w:r>
        <w:rPr>
          <w:rFonts w:hint="eastAsia" w:ascii="宋体" w:hAnsi="宋体" w:eastAsia="宋体" w:cs="宋体"/>
          <w:color w:val="000000"/>
          <w:sz w:val="21"/>
          <w:szCs w:val="21"/>
          <w:highlight w:val="none"/>
        </w:rPr>
        <w:t>1</w:t>
      </w:r>
      <w:bookmarkStart w:id="1111" w:name="_Toc296347193"/>
      <w:bookmarkStart w:id="1112" w:name="_Toc312678026"/>
      <w:bookmarkStart w:id="1113" w:name="_Toc296891234"/>
      <w:bookmarkStart w:id="1114" w:name="_Toc304295567"/>
      <w:bookmarkStart w:id="1115" w:name="_Toc297048380"/>
      <w:bookmarkStart w:id="1116" w:name="_Toc296891022"/>
      <w:bookmarkStart w:id="1117" w:name="_Toc300934990"/>
      <w:bookmarkStart w:id="1118" w:name="_Toc297216200"/>
      <w:bookmarkStart w:id="1119" w:name="_Toc297120494"/>
      <w:bookmarkStart w:id="1120" w:name="_Toc296346695"/>
      <w:bookmarkStart w:id="1121" w:name="_Toc296503194"/>
      <w:bookmarkStart w:id="1122" w:name="_Toc296944533"/>
      <w:bookmarkStart w:id="1123" w:name="_Toc303539147"/>
      <w:bookmarkStart w:id="1124" w:name="_Toc292559904"/>
      <w:bookmarkStart w:id="1125" w:name="_Toc312677500"/>
      <w:bookmarkStart w:id="1126" w:name="_Toc297123541"/>
      <w:bookmarkStart w:id="1127" w:name="_Toc292559399"/>
      <w:r>
        <w:rPr>
          <w:rFonts w:hint="eastAsia" w:ascii="宋体" w:hAnsi="宋体" w:eastAsia="宋体" w:cs="宋体"/>
          <w:color w:val="000000"/>
          <w:sz w:val="21"/>
          <w:szCs w:val="21"/>
          <w:highlight w:val="none"/>
        </w:rPr>
        <w:t>0.1 变更的范围</w:t>
      </w:r>
      <w:bookmarkEnd w:id="1098"/>
      <w:bookmarkEnd w:id="1099"/>
      <w:bookmarkEnd w:id="1100"/>
      <w:bookmarkEnd w:id="1101"/>
      <w:bookmarkEnd w:id="1102"/>
      <w:bookmarkEnd w:id="1103"/>
      <w:bookmarkEnd w:id="1104"/>
      <w:bookmarkEnd w:id="1105"/>
      <w:bookmarkEnd w:id="1106"/>
      <w:bookmarkEnd w:id="1107"/>
      <w:bookmarkEnd w:id="1108"/>
      <w:bookmarkEnd w:id="1109"/>
      <w:bookmarkEnd w:id="1110"/>
    </w:p>
    <w:p w14:paraId="4A32A95A">
      <w:pPr>
        <w:pStyle w:val="94"/>
        <w:pageBreakBefore w:val="0"/>
        <w:widowControl w:val="0"/>
        <w:kinsoku/>
        <w:wordWrap/>
        <w:overflowPunct/>
        <w:topLinePunct w:val="0"/>
        <w:bidi w:val="0"/>
        <w:snapToGrid/>
        <w:spacing w:line="360" w:lineRule="auto"/>
        <w:ind w:left="0" w:leftChars="0" w:firstLine="411" w:firstLineChars="196"/>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关于变更的范围的约定：</w:t>
      </w:r>
      <w:r>
        <w:rPr>
          <w:rFonts w:hint="eastAsia" w:ascii="宋体" w:hAnsi="宋体" w:eastAsia="宋体" w:cs="宋体"/>
          <w:color w:val="000000"/>
          <w:sz w:val="21"/>
          <w:szCs w:val="21"/>
          <w:highlight w:val="none"/>
          <w:u w:val="single"/>
        </w:rPr>
        <w:t>施工期间因不可预见因素或发包人要求所发生的工程量增减（由变更、签证产生），其工程量按实际发生并经监理工程师及发包人签证认可，工程变更综合单价按专用条款第10.4点规定执行</w:t>
      </w:r>
      <w:r>
        <w:rPr>
          <w:rFonts w:hint="eastAsia" w:ascii="宋体" w:hAnsi="宋体" w:eastAsia="宋体" w:cs="宋体"/>
          <w:color w:val="000000"/>
          <w:sz w:val="21"/>
          <w:szCs w:val="21"/>
          <w:highlight w:val="none"/>
        </w:rPr>
        <w:t>。</w:t>
      </w:r>
      <w:bookmarkStart w:id="1128" w:name="_Toc389065307"/>
      <w:bookmarkStart w:id="1129" w:name="_Toc395382544"/>
      <w:bookmarkStart w:id="1130" w:name="_Toc373478388"/>
      <w:bookmarkStart w:id="1131" w:name="_Toc406522262"/>
      <w:bookmarkStart w:id="1132" w:name="_Toc373227741"/>
    </w:p>
    <w:p w14:paraId="102A50FB">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1133" w:name="_Toc256000220"/>
      <w:r>
        <w:rPr>
          <w:rFonts w:hint="eastAsia" w:ascii="宋体" w:hAnsi="宋体" w:eastAsia="宋体" w:cs="宋体"/>
          <w:color w:val="000000"/>
          <w:sz w:val="21"/>
          <w:szCs w:val="21"/>
          <w:highlight w:val="none"/>
        </w:rPr>
        <w:t>10.3 变更程序</w:t>
      </w:r>
      <w:bookmarkEnd w:id="1128"/>
      <w:bookmarkEnd w:id="1129"/>
      <w:bookmarkEnd w:id="1130"/>
      <w:bookmarkEnd w:id="1131"/>
      <w:bookmarkEnd w:id="1132"/>
      <w:bookmarkEnd w:id="1133"/>
    </w:p>
    <w:p w14:paraId="42D2D7E4">
      <w:pPr>
        <w:pStyle w:val="94"/>
        <w:pageBreakBefore w:val="0"/>
        <w:widowControl w:val="0"/>
        <w:kinsoku/>
        <w:wordWrap/>
        <w:overflowPunct/>
        <w:topLinePunct w:val="0"/>
        <w:bidi w:val="0"/>
        <w:snapToGrid/>
        <w:spacing w:line="360" w:lineRule="auto"/>
        <w:ind w:left="0" w:leftChars="0" w:firstLine="411" w:firstLineChars="196"/>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10.3.1 国有投资项目：</w:t>
      </w:r>
    </w:p>
    <w:p w14:paraId="185B85DD">
      <w:pPr>
        <w:pStyle w:val="94"/>
        <w:pageBreakBefore w:val="0"/>
        <w:widowControl w:val="0"/>
        <w:kinsoku/>
        <w:wordWrap/>
        <w:overflowPunct/>
        <w:topLinePunct w:val="0"/>
        <w:bidi w:val="0"/>
        <w:snapToGrid/>
        <w:spacing w:line="360" w:lineRule="auto"/>
        <w:ind w:left="0" w:leftChars="0" w:firstLine="411" w:firstLineChars="196"/>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⑴设计变更和工程签证，按各市政府或相关部门的规定办理。属不可抗力（自然灾害、突发事件等）造成变更的，按特事特办原则予以办理。</w:t>
      </w:r>
    </w:p>
    <w:p w14:paraId="7158BAD6">
      <w:pPr>
        <w:pStyle w:val="94"/>
        <w:pageBreakBefore w:val="0"/>
        <w:widowControl w:val="0"/>
        <w:kinsoku/>
        <w:wordWrap/>
        <w:overflowPunct/>
        <w:topLinePunct w:val="0"/>
        <w:bidi w:val="0"/>
        <w:snapToGrid/>
        <w:spacing w:line="360" w:lineRule="auto"/>
        <w:ind w:left="0" w:leftChars="0" w:firstLine="411" w:firstLineChars="196"/>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⑵发包人在实施项目过程中，若发生单价变动，由发包人、监理单位、承包人及其他相关单位共同商定并签字确认。</w:t>
      </w:r>
    </w:p>
    <w:p w14:paraId="09ED6C4F">
      <w:pPr>
        <w:pStyle w:val="94"/>
        <w:pageBreakBefore w:val="0"/>
        <w:widowControl w:val="0"/>
        <w:kinsoku/>
        <w:wordWrap/>
        <w:overflowPunct/>
        <w:topLinePunct w:val="0"/>
        <w:bidi w:val="0"/>
        <w:snapToGrid/>
        <w:spacing w:line="360" w:lineRule="auto"/>
        <w:ind w:left="0" w:leftChars="0" w:firstLine="411" w:firstLineChars="196"/>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⑶ 当合同规定的合同价款调整情况发生后，承包人未在规定时间内通知发包人，或者未在规定时间内提出调整报告，发包人可以根据有关资料，决定是否调整和调整的金额，并书面通知承包人。</w:t>
      </w:r>
    </w:p>
    <w:p w14:paraId="3923707C">
      <w:pPr>
        <w:pStyle w:val="94"/>
        <w:pageBreakBefore w:val="0"/>
        <w:widowControl w:val="0"/>
        <w:kinsoku/>
        <w:wordWrap/>
        <w:overflowPunct/>
        <w:topLinePunct w:val="0"/>
        <w:bidi w:val="0"/>
        <w:snapToGrid/>
        <w:spacing w:line="360" w:lineRule="auto"/>
        <w:ind w:left="0" w:leftChars="0" w:firstLine="411" w:firstLineChars="196"/>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10.3.2 非国有投资项目： 同通用条款。</w:t>
      </w:r>
    </w:p>
    <w:p w14:paraId="3EB57651">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1134" w:name="_Toc256000221"/>
      <w:bookmarkStart w:id="1135" w:name="_Toc418518153"/>
      <w:bookmarkStart w:id="1136" w:name="_Toc418752285"/>
      <w:bookmarkStart w:id="1137" w:name="_Toc418061354"/>
      <w:bookmarkStart w:id="1138" w:name="_Toc522201770"/>
      <w:bookmarkStart w:id="1139" w:name="_Toc373227742"/>
      <w:bookmarkStart w:id="1140" w:name="_Toc497746824"/>
      <w:bookmarkStart w:id="1141" w:name="_Toc373478389"/>
      <w:bookmarkStart w:id="1142" w:name="_Toc497747221"/>
      <w:bookmarkStart w:id="1143" w:name="_Toc403578977"/>
      <w:bookmarkStart w:id="1144" w:name="_Toc418751839"/>
      <w:bookmarkStart w:id="1145" w:name="_Toc418518389"/>
      <w:bookmarkStart w:id="1146" w:name="_Toc389065308"/>
      <w:r>
        <w:rPr>
          <w:rFonts w:hint="eastAsia" w:ascii="宋体" w:hAnsi="宋体" w:eastAsia="宋体" w:cs="宋体"/>
          <w:color w:val="000000"/>
          <w:sz w:val="21"/>
          <w:szCs w:val="21"/>
          <w:highlight w:val="none"/>
        </w:rPr>
        <w:t>10.4 变更估价</w:t>
      </w:r>
      <w:bookmarkEnd w:id="1134"/>
      <w:bookmarkEnd w:id="1135"/>
      <w:bookmarkEnd w:id="1136"/>
      <w:bookmarkEnd w:id="1137"/>
      <w:bookmarkEnd w:id="1138"/>
      <w:bookmarkEnd w:id="1139"/>
      <w:bookmarkEnd w:id="1140"/>
      <w:bookmarkEnd w:id="1141"/>
      <w:bookmarkEnd w:id="1142"/>
      <w:bookmarkEnd w:id="1143"/>
      <w:bookmarkEnd w:id="1144"/>
      <w:bookmarkEnd w:id="1145"/>
      <w:bookmarkEnd w:id="1146"/>
    </w:p>
    <w:p w14:paraId="3D16AA65">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10.4.1 变更估价原则</w:t>
      </w:r>
    </w:p>
    <w:p w14:paraId="38053F0E">
      <w:pPr>
        <w:pStyle w:val="94"/>
        <w:pageBreakBefore w:val="0"/>
        <w:widowControl w:val="0"/>
        <w:kinsoku/>
        <w:wordWrap/>
        <w:overflowPunct/>
        <w:topLinePunct w:val="0"/>
        <w:bidi w:val="0"/>
        <w:snapToGrid/>
        <w:spacing w:line="360" w:lineRule="auto"/>
        <w:ind w:left="0" w:leftChars="0" w:firstLine="426"/>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 xml:space="preserve">关于变更估价的约定: </w:t>
      </w:r>
      <w:r>
        <w:rPr>
          <w:rFonts w:hint="eastAsia" w:ascii="宋体" w:hAnsi="宋体" w:eastAsia="宋体" w:cs="宋体"/>
          <w:color w:val="000000"/>
          <w:sz w:val="21"/>
          <w:szCs w:val="21"/>
          <w:highlight w:val="none"/>
          <w:u w:val="single"/>
        </w:rPr>
        <w:t>（1）、投标报价中已有适用于变更工程的综合单价，按已有的综合单价；（2）、投标报价中有类似变更工程的综合单价，可参照投标报价中类似的综合单价确定；（3）、投标报价中没有适用或类似于变更工程的综合单价，则有定额的套用定额计算，执行本工程编制招标控制价的参考依据，其中材料价格有信息价的按合同该新增子项实施期间《桂林市建设工程造价信息》中的平均价计取（信息价无相关信息的参照信息价中桂林市的平均价），无信息价时按市场价格共同协商初步确定；此类工程结算综合单价=按现行定额计算（管理费、利润取中值）的综合单价×中标</w:t>
      </w:r>
      <w:r>
        <w:rPr>
          <w:rFonts w:hint="eastAsia" w:ascii="宋体" w:hAnsi="宋体" w:eastAsia="宋体" w:cs="宋体"/>
          <w:strike w:val="0"/>
          <w:color w:val="000000"/>
          <w:sz w:val="21"/>
          <w:szCs w:val="21"/>
          <w:highlight w:val="none"/>
          <w:u w:val="single"/>
        </w:rPr>
        <w:t>下浮</w:t>
      </w:r>
      <w:r>
        <w:rPr>
          <w:rFonts w:hint="eastAsia" w:ascii="宋体" w:hAnsi="宋体" w:eastAsia="宋体" w:cs="宋体"/>
          <w:color w:val="000000"/>
          <w:sz w:val="21"/>
          <w:szCs w:val="21"/>
          <w:highlight w:val="none"/>
          <w:u w:val="single"/>
        </w:rPr>
        <w:t>系数（中标人的投标报价÷经财政部门审核后的预算价），新增项目无定额可套用时，由发包人、承包人及监理三方共同协商初步确定，最终以</w:t>
      </w:r>
      <w:r>
        <w:rPr>
          <w:rFonts w:hint="eastAsia" w:ascii="宋体" w:hAnsi="宋体" w:eastAsia="宋体" w:cs="宋体"/>
          <w:color w:val="000000"/>
          <w:sz w:val="21"/>
          <w:szCs w:val="21"/>
          <w:highlight w:val="none"/>
          <w:u w:val="single"/>
          <w:lang w:eastAsia="zh-CN"/>
        </w:rPr>
        <w:t>桂林市</w:t>
      </w:r>
      <w:r>
        <w:rPr>
          <w:rFonts w:hint="eastAsia" w:ascii="宋体" w:hAnsi="宋体" w:eastAsia="宋体" w:cs="宋体"/>
          <w:color w:val="000000"/>
          <w:sz w:val="21"/>
          <w:szCs w:val="21"/>
          <w:highlight w:val="none"/>
          <w:u w:val="single"/>
          <w:lang w:val="en-US" w:eastAsia="zh-CN"/>
        </w:rPr>
        <w:t>兴安县</w:t>
      </w:r>
      <w:r>
        <w:rPr>
          <w:rFonts w:hint="eastAsia" w:ascii="宋体" w:hAnsi="宋体" w:eastAsia="宋体" w:cs="宋体"/>
          <w:color w:val="000000"/>
          <w:sz w:val="21"/>
          <w:szCs w:val="21"/>
          <w:highlight w:val="none"/>
          <w:u w:val="single"/>
          <w:lang w:eastAsia="zh-CN"/>
        </w:rPr>
        <w:t>财政局</w:t>
      </w:r>
      <w:r>
        <w:rPr>
          <w:rFonts w:hint="eastAsia" w:ascii="宋体" w:hAnsi="宋体" w:eastAsia="宋体" w:cs="宋体"/>
          <w:color w:val="000000"/>
          <w:sz w:val="21"/>
          <w:szCs w:val="21"/>
          <w:highlight w:val="none"/>
          <w:u w:val="single"/>
        </w:rPr>
        <w:t>审定或审计单位审定并经发包人及承包人双方确认的金额为准。（4）若发包人和监理人认为有关的工作不能以实物工程量的方法计算及估值时，则按以下的方法计算：若工程量清单中有计日工价目表，则以计日工价目表中相应的项目计价；若计日工作价目表中无类似项目，则按三方协商的价格估值。附带条件为，承包人须提交每天用于该项工作的时间的记录、相关工人的姓名及经发包人、监理人复核的所用物料的清单。上述数据须于该项工作执行后的一星期内提交给发包人及监理人。（5）暂定价调整方法为：暂定材料价格部分仅调整合同实施期间材料市场价与暂定价之间的材差并计相应的规费和增值税，投标书中相应的综合单价不再调整。专业工程暂估价的确定方法：由承包人申报单价，发包人组织监理人、造价审核机构共同询价确定。如发包人认为材料暂估价及专业工程暂估价需要进行市场询价的，应以询价小组（询价小组由发包人、承包人、监理人组成）调查确认的单价为准。（6）无约定的参照我区现行《建设工程工程量清单计价规范》及配套定额相关规定执行。（7） 本工程最终结算以</w:t>
      </w:r>
      <w:r>
        <w:rPr>
          <w:rFonts w:hint="eastAsia" w:ascii="宋体" w:hAnsi="宋体" w:eastAsia="宋体" w:cs="宋体"/>
          <w:color w:val="000000"/>
          <w:sz w:val="21"/>
          <w:szCs w:val="21"/>
          <w:highlight w:val="none"/>
          <w:u w:val="single"/>
          <w:lang w:eastAsia="zh-CN"/>
        </w:rPr>
        <w:t>桂林市</w:t>
      </w:r>
      <w:r>
        <w:rPr>
          <w:rFonts w:hint="eastAsia" w:ascii="宋体" w:hAnsi="宋体" w:eastAsia="宋体" w:cs="宋体"/>
          <w:color w:val="000000"/>
          <w:sz w:val="21"/>
          <w:szCs w:val="21"/>
          <w:highlight w:val="none"/>
          <w:u w:val="single"/>
          <w:lang w:val="en-US" w:eastAsia="zh-CN"/>
        </w:rPr>
        <w:t>兴安县</w:t>
      </w:r>
      <w:r>
        <w:rPr>
          <w:rFonts w:hint="eastAsia" w:ascii="宋体" w:hAnsi="宋体" w:eastAsia="宋体" w:cs="宋体"/>
          <w:color w:val="000000"/>
          <w:sz w:val="21"/>
          <w:szCs w:val="21"/>
          <w:highlight w:val="none"/>
          <w:u w:val="single"/>
          <w:lang w:eastAsia="zh-CN"/>
        </w:rPr>
        <w:t>财政局</w:t>
      </w:r>
      <w:r>
        <w:rPr>
          <w:rFonts w:hint="eastAsia" w:ascii="宋体" w:hAnsi="宋体" w:eastAsia="宋体" w:cs="宋体"/>
          <w:color w:val="000000"/>
          <w:sz w:val="21"/>
          <w:szCs w:val="21"/>
          <w:highlight w:val="none"/>
          <w:u w:val="single"/>
        </w:rPr>
        <w:t>或发包人委托的造价咨询机构审定并经发包人及承包人双方确认的金额为准。</w:t>
      </w:r>
    </w:p>
    <w:p w14:paraId="5369FB92">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1147" w:name="_Toc522201771"/>
      <w:bookmarkStart w:id="1148" w:name="_Toc418751840"/>
      <w:bookmarkStart w:id="1149" w:name="_Toc497746825"/>
      <w:bookmarkStart w:id="1150" w:name="_Toc256000222"/>
      <w:bookmarkStart w:id="1151" w:name="_Toc403578978"/>
      <w:bookmarkStart w:id="1152" w:name="_Toc418518390"/>
      <w:bookmarkStart w:id="1153" w:name="_Toc389065309"/>
      <w:bookmarkStart w:id="1154" w:name="_Toc418752286"/>
      <w:bookmarkStart w:id="1155" w:name="_Toc497747222"/>
      <w:bookmarkStart w:id="1156" w:name="_Toc418061355"/>
      <w:bookmarkStart w:id="1157" w:name="_Toc373227743"/>
      <w:bookmarkStart w:id="1158" w:name="_Toc373478390"/>
      <w:bookmarkStart w:id="1159" w:name="_Toc418518154"/>
      <w:r>
        <w:rPr>
          <w:rFonts w:hint="eastAsia" w:ascii="宋体" w:hAnsi="宋体" w:eastAsia="宋体" w:cs="宋体"/>
          <w:color w:val="000000"/>
          <w:sz w:val="21"/>
          <w:szCs w:val="21"/>
          <w:highlight w:val="none"/>
        </w:rPr>
        <w:t>1</w:t>
      </w:r>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Start w:id="1160" w:name="_Toc296347196"/>
      <w:bookmarkStart w:id="1161" w:name="_Toc297123544"/>
      <w:bookmarkStart w:id="1162" w:name="_Toc297216203"/>
      <w:bookmarkStart w:id="1163" w:name="_Toc292559402"/>
      <w:bookmarkStart w:id="1164" w:name="_Toc303539150"/>
      <w:bookmarkStart w:id="1165" w:name="_Toc297048383"/>
      <w:bookmarkStart w:id="1166" w:name="_Toc296346698"/>
      <w:bookmarkStart w:id="1167" w:name="_Toc296891237"/>
      <w:bookmarkStart w:id="1168" w:name="_Toc292559907"/>
      <w:bookmarkStart w:id="1169" w:name="_Toc296503197"/>
      <w:bookmarkStart w:id="1170" w:name="_Toc296891025"/>
      <w:bookmarkStart w:id="1171" w:name="_Toc296944536"/>
      <w:bookmarkStart w:id="1172" w:name="_Toc297120497"/>
      <w:bookmarkStart w:id="1173" w:name="_Toc300934993"/>
      <w:bookmarkStart w:id="1174" w:name="_Toc304295570"/>
      <w:bookmarkStart w:id="1175" w:name="_Toc312677503"/>
      <w:bookmarkStart w:id="1176" w:name="_Toc312678029"/>
      <w:r>
        <w:rPr>
          <w:rFonts w:hint="eastAsia" w:ascii="宋体" w:hAnsi="宋体" w:eastAsia="宋体" w:cs="宋体"/>
          <w:color w:val="000000"/>
          <w:sz w:val="21"/>
          <w:szCs w:val="21"/>
          <w:highlight w:val="none"/>
        </w:rPr>
        <w:t>0.5 承</w:t>
      </w:r>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Start w:id="1177" w:name="_Toc292559913"/>
      <w:bookmarkStart w:id="1178" w:name="_Toc296891031"/>
      <w:bookmarkStart w:id="1179" w:name="_Toc300934994"/>
      <w:bookmarkStart w:id="1180" w:name="_Toc297123545"/>
      <w:bookmarkStart w:id="1181" w:name="_Toc296347202"/>
      <w:bookmarkStart w:id="1182" w:name="_Toc297048389"/>
      <w:bookmarkStart w:id="1183" w:name="_Toc297216204"/>
      <w:bookmarkStart w:id="1184" w:name="_Toc296346704"/>
      <w:bookmarkStart w:id="1185" w:name="_Toc296891243"/>
      <w:bookmarkStart w:id="1186" w:name="_Toc303539151"/>
      <w:bookmarkStart w:id="1187" w:name="_Toc296503203"/>
      <w:bookmarkStart w:id="1188" w:name="_Toc292559408"/>
      <w:bookmarkStart w:id="1189" w:name="_Toc297120503"/>
      <w:bookmarkStart w:id="1190" w:name="_Toc296944542"/>
      <w:r>
        <w:rPr>
          <w:rFonts w:hint="eastAsia" w:ascii="宋体" w:hAnsi="宋体" w:eastAsia="宋体" w:cs="宋体"/>
          <w:color w:val="000000"/>
          <w:sz w:val="21"/>
          <w:szCs w:val="21"/>
          <w:highlight w:val="none"/>
        </w:rPr>
        <w:t>包人的合理化建议</w:t>
      </w:r>
      <w:bookmarkEnd w:id="1147"/>
      <w:bookmarkEnd w:id="1148"/>
      <w:bookmarkEnd w:id="1149"/>
      <w:bookmarkEnd w:id="1150"/>
      <w:bookmarkEnd w:id="1151"/>
      <w:bookmarkEnd w:id="1152"/>
      <w:bookmarkEnd w:id="1153"/>
      <w:bookmarkEnd w:id="1154"/>
      <w:bookmarkEnd w:id="1155"/>
      <w:bookmarkEnd w:id="1156"/>
      <w:bookmarkEnd w:id="1157"/>
      <w:bookmarkEnd w:id="1158"/>
      <w:bookmarkEnd w:id="1159"/>
    </w:p>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p w14:paraId="6BD6AB0F">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监理人审查承包人合理化建议的期限：</w:t>
      </w:r>
      <w:r>
        <w:rPr>
          <w:rFonts w:hint="eastAsia" w:ascii="宋体" w:hAnsi="宋体" w:eastAsia="宋体" w:cs="宋体"/>
          <w:color w:val="000000"/>
          <w:sz w:val="21"/>
          <w:szCs w:val="21"/>
          <w:highlight w:val="none"/>
          <w:u w:val="single"/>
        </w:rPr>
        <w:t>监理人应在收到承包人提交的合理化建议后7天内审查完毕并报送发包人，发现其中存在技术上的缺陷，应通知承包人修改</w:t>
      </w:r>
      <w:r>
        <w:rPr>
          <w:rFonts w:hint="eastAsia" w:ascii="宋体" w:hAnsi="宋体" w:eastAsia="宋体" w:cs="宋体"/>
          <w:color w:val="000000"/>
          <w:sz w:val="21"/>
          <w:szCs w:val="21"/>
          <w:highlight w:val="none"/>
        </w:rPr>
        <w:t>。</w:t>
      </w:r>
    </w:p>
    <w:p w14:paraId="18C735C3">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发包人审批承包人合理化建议的期限：</w:t>
      </w:r>
      <w:r>
        <w:rPr>
          <w:rFonts w:hint="eastAsia" w:ascii="宋体" w:hAnsi="宋体" w:eastAsia="宋体" w:cs="宋体"/>
          <w:color w:val="000000"/>
          <w:sz w:val="21"/>
          <w:szCs w:val="21"/>
          <w:highlight w:val="none"/>
          <w:u w:val="single"/>
        </w:rPr>
        <w:t>发包人应在收到监理人报送的合理化建议后7天内审批完毕</w:t>
      </w:r>
      <w:r>
        <w:rPr>
          <w:rFonts w:hint="eastAsia" w:ascii="宋体" w:hAnsi="宋体" w:eastAsia="宋体" w:cs="宋体"/>
          <w:color w:val="000000"/>
          <w:sz w:val="21"/>
          <w:szCs w:val="21"/>
          <w:highlight w:val="none"/>
        </w:rPr>
        <w:t>。</w:t>
      </w:r>
    </w:p>
    <w:p w14:paraId="3044D97D">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承</w:t>
      </w:r>
      <w:bookmarkStart w:id="1191" w:name="_Toc303539152"/>
      <w:bookmarkStart w:id="1192" w:name="_Toc296891244"/>
      <w:bookmarkStart w:id="1193" w:name="_Toc292559409"/>
      <w:bookmarkStart w:id="1194" w:name="_Toc296347203"/>
      <w:bookmarkStart w:id="1195" w:name="_Toc312678030"/>
      <w:bookmarkStart w:id="1196" w:name="_Toc296346705"/>
      <w:bookmarkStart w:id="1197" w:name="_Toc304295571"/>
      <w:bookmarkStart w:id="1198" w:name="_Toc296944543"/>
      <w:bookmarkStart w:id="1199" w:name="_Toc297123546"/>
      <w:bookmarkStart w:id="1200" w:name="_Toc318581175"/>
      <w:bookmarkStart w:id="1201" w:name="_Toc300934995"/>
      <w:bookmarkStart w:id="1202" w:name="_Toc297216205"/>
      <w:bookmarkStart w:id="1203" w:name="_Toc296503204"/>
      <w:bookmarkStart w:id="1204" w:name="_Toc297048390"/>
      <w:bookmarkStart w:id="1205" w:name="_Toc296891032"/>
      <w:bookmarkStart w:id="1206" w:name="_Toc292559914"/>
      <w:bookmarkStart w:id="1207" w:name="_Toc297120504"/>
      <w:bookmarkStart w:id="1208" w:name="_Toc312677504"/>
      <w:r>
        <w:rPr>
          <w:rFonts w:hint="eastAsia" w:ascii="宋体" w:hAnsi="宋体" w:eastAsia="宋体" w:cs="宋体"/>
          <w:color w:val="000000"/>
          <w:sz w:val="21"/>
          <w:szCs w:val="21"/>
          <w:highlight w:val="none"/>
        </w:rPr>
        <w:t>包人提出的合理化建议降低了合同价格或者提高了工程经济效益的奖励的方法和金额为：</w:t>
      </w:r>
      <w:r>
        <w:rPr>
          <w:rFonts w:hint="eastAsia" w:ascii="宋体" w:hAnsi="宋体" w:eastAsia="宋体" w:cs="宋体"/>
          <w:color w:val="000000"/>
          <w:sz w:val="21"/>
          <w:szCs w:val="21"/>
          <w:highlight w:val="none"/>
          <w:u w:val="single"/>
        </w:rPr>
        <w:t xml:space="preserve"> 无 </w:t>
      </w:r>
      <w:r>
        <w:rPr>
          <w:rFonts w:hint="eastAsia" w:ascii="宋体" w:hAnsi="宋体" w:eastAsia="宋体" w:cs="宋体"/>
          <w:color w:val="000000"/>
          <w:sz w:val="21"/>
          <w:szCs w:val="21"/>
          <w:highlight w:val="none"/>
        </w:rPr>
        <w:t>。</w:t>
      </w:r>
    </w:p>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p w14:paraId="43181FB8">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1209" w:name="_Toc403578979"/>
      <w:bookmarkStart w:id="1210" w:name="_Toc418518391"/>
      <w:bookmarkStart w:id="1211" w:name="_Toc497746826"/>
      <w:bookmarkStart w:id="1212" w:name="_Toc256000223"/>
      <w:bookmarkStart w:id="1213" w:name="_Toc373227744"/>
      <w:bookmarkStart w:id="1214" w:name="_Toc418061356"/>
      <w:bookmarkStart w:id="1215" w:name="_Toc418752287"/>
      <w:bookmarkStart w:id="1216" w:name="_Toc389065310"/>
      <w:bookmarkStart w:id="1217" w:name="_Toc373478391"/>
      <w:bookmarkStart w:id="1218" w:name="_Toc522201772"/>
      <w:bookmarkStart w:id="1219" w:name="_Toc418751841"/>
      <w:bookmarkStart w:id="1220" w:name="_Toc418518155"/>
      <w:bookmarkStart w:id="1221" w:name="_Toc497747223"/>
      <w:r>
        <w:rPr>
          <w:rFonts w:hint="eastAsia" w:ascii="宋体" w:hAnsi="宋体" w:eastAsia="宋体" w:cs="宋体"/>
          <w:color w:val="000000"/>
          <w:sz w:val="21"/>
          <w:szCs w:val="21"/>
          <w:highlight w:val="none"/>
        </w:rPr>
        <w:t>1</w:t>
      </w:r>
      <w:bookmarkStart w:id="1222" w:name="_Toc312678033"/>
      <w:bookmarkStart w:id="1223" w:name="_Toc296503199"/>
      <w:bookmarkStart w:id="1224" w:name="_Toc300934997"/>
      <w:bookmarkStart w:id="1225" w:name="_Toc312677507"/>
      <w:bookmarkStart w:id="1226" w:name="_Toc297216207"/>
      <w:bookmarkStart w:id="1227" w:name="_Toc303539154"/>
      <w:bookmarkStart w:id="1228" w:name="_Toc296944538"/>
      <w:bookmarkStart w:id="1229" w:name="_Toc297048385"/>
      <w:bookmarkStart w:id="1230" w:name="_Toc297120499"/>
      <w:bookmarkStart w:id="1231" w:name="_Toc297123548"/>
      <w:bookmarkStart w:id="1232" w:name="_Toc296347198"/>
      <w:bookmarkStart w:id="1233" w:name="_Toc296891239"/>
      <w:bookmarkStart w:id="1234" w:name="_Toc292559909"/>
      <w:bookmarkStart w:id="1235" w:name="_Toc296891027"/>
      <w:bookmarkStart w:id="1236" w:name="_Toc296346700"/>
      <w:bookmarkStart w:id="1237" w:name="_Toc292559404"/>
      <w:bookmarkStart w:id="1238" w:name="_Toc304295574"/>
      <w:r>
        <w:rPr>
          <w:rFonts w:hint="eastAsia" w:ascii="宋体" w:hAnsi="宋体" w:eastAsia="宋体" w:cs="宋体"/>
          <w:color w:val="000000"/>
          <w:sz w:val="21"/>
          <w:szCs w:val="21"/>
          <w:highlight w:val="none"/>
        </w:rPr>
        <w:t>0.7 暂估价</w:t>
      </w:r>
      <w:bookmarkEnd w:id="1209"/>
      <w:bookmarkEnd w:id="1210"/>
      <w:bookmarkEnd w:id="1211"/>
      <w:bookmarkEnd w:id="1212"/>
      <w:bookmarkEnd w:id="1213"/>
      <w:bookmarkEnd w:id="1214"/>
      <w:bookmarkEnd w:id="1215"/>
      <w:bookmarkEnd w:id="1216"/>
      <w:bookmarkEnd w:id="1217"/>
      <w:bookmarkEnd w:id="1218"/>
      <w:bookmarkEnd w:id="1219"/>
      <w:bookmarkEnd w:id="1220"/>
      <w:bookmarkEnd w:id="1221"/>
    </w:p>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p w14:paraId="68D45028">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暂</w:t>
      </w:r>
      <w:bookmarkStart w:id="1239" w:name="_Toc312677508"/>
      <w:bookmarkStart w:id="1240" w:name="_Toc318581176"/>
      <w:bookmarkStart w:id="1241" w:name="_Toc312678034"/>
      <w:r>
        <w:rPr>
          <w:rFonts w:hint="eastAsia" w:ascii="宋体" w:hAnsi="宋体" w:eastAsia="宋体" w:cs="宋体"/>
          <w:color w:val="000000"/>
          <w:kern w:val="0"/>
          <w:sz w:val="21"/>
          <w:szCs w:val="21"/>
          <w:highlight w:val="none"/>
        </w:rPr>
        <w:t>估价材料和工程设备的明细详见已标价工程量清单《</w:t>
      </w:r>
      <w:r>
        <w:rPr>
          <w:rFonts w:hint="eastAsia" w:ascii="宋体" w:hAnsi="宋体" w:eastAsia="宋体" w:cs="宋体"/>
          <w:color w:val="000000"/>
          <w:sz w:val="21"/>
          <w:szCs w:val="21"/>
          <w:highlight w:val="none"/>
        </w:rPr>
        <w:t>材料（工程设备）暂估价格及调整表》</w:t>
      </w:r>
      <w:r>
        <w:rPr>
          <w:rFonts w:hint="eastAsia" w:ascii="宋体" w:hAnsi="宋体" w:eastAsia="宋体" w:cs="宋体"/>
          <w:color w:val="000000"/>
          <w:kern w:val="0"/>
          <w:sz w:val="21"/>
          <w:szCs w:val="21"/>
          <w:highlight w:val="none"/>
        </w:rPr>
        <w:t>（表12-2）和《</w:t>
      </w:r>
      <w:r>
        <w:rPr>
          <w:rFonts w:hint="eastAsia" w:ascii="宋体" w:hAnsi="宋体" w:eastAsia="宋体" w:cs="宋体"/>
          <w:color w:val="000000"/>
          <w:sz w:val="21"/>
          <w:szCs w:val="21"/>
          <w:highlight w:val="none"/>
        </w:rPr>
        <w:t>专业工程暂估价表》（</w:t>
      </w:r>
      <w:r>
        <w:rPr>
          <w:rFonts w:hint="eastAsia" w:ascii="宋体" w:hAnsi="宋体" w:eastAsia="宋体" w:cs="宋体"/>
          <w:color w:val="000000"/>
          <w:kern w:val="0"/>
          <w:sz w:val="21"/>
          <w:szCs w:val="21"/>
          <w:highlight w:val="none"/>
        </w:rPr>
        <w:t>表12-3）。</w:t>
      </w:r>
    </w:p>
    <w:bookmarkEnd w:id="1239"/>
    <w:bookmarkEnd w:id="1240"/>
    <w:bookmarkEnd w:id="1241"/>
    <w:p w14:paraId="74ED9CFD">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bookmarkStart w:id="1242" w:name="_Toc312678035"/>
      <w:bookmarkStart w:id="1243" w:name="_Toc318581177"/>
      <w:bookmarkStart w:id="1244" w:name="_Toc312677509"/>
      <w:r>
        <w:rPr>
          <w:rFonts w:hint="eastAsia" w:ascii="宋体" w:hAnsi="宋体" w:eastAsia="宋体" w:cs="宋体"/>
          <w:color w:val="000000"/>
          <w:sz w:val="21"/>
          <w:szCs w:val="21"/>
          <w:highlight w:val="none"/>
        </w:rPr>
        <w:t>0.7.1 依法必须招标的暂估价项目</w:t>
      </w:r>
    </w:p>
    <w:bookmarkEnd w:id="1242"/>
    <w:bookmarkEnd w:id="1243"/>
    <w:bookmarkEnd w:id="1244"/>
    <w:p w14:paraId="13C4AB8D">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对于依法必须招标的暂估价项目的确认和批准采取第</w:t>
      </w:r>
      <w:r>
        <w:rPr>
          <w:rFonts w:hint="eastAsia" w:ascii="宋体" w:hAnsi="宋体" w:eastAsia="宋体" w:cs="宋体"/>
          <w:color w:val="000000"/>
          <w:sz w:val="21"/>
          <w:szCs w:val="21"/>
          <w:highlight w:val="none"/>
          <w:u w:val="single"/>
        </w:rPr>
        <w:t xml:space="preserve">  2  </w:t>
      </w:r>
      <w:r>
        <w:rPr>
          <w:rFonts w:hint="eastAsia" w:ascii="宋体" w:hAnsi="宋体" w:eastAsia="宋体" w:cs="宋体"/>
          <w:color w:val="000000"/>
          <w:sz w:val="21"/>
          <w:szCs w:val="21"/>
          <w:highlight w:val="none"/>
        </w:rPr>
        <w:t>种方式确定。</w:t>
      </w:r>
    </w:p>
    <w:p w14:paraId="63759020">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10.7.2 不属于依法必须招标的暂估价项目</w:t>
      </w:r>
    </w:p>
    <w:p w14:paraId="09956BB8">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对于不属于依法必须招标的暂估价项目的确认和批准采取第</w:t>
      </w:r>
      <w:r>
        <w:rPr>
          <w:rFonts w:hint="eastAsia" w:ascii="宋体" w:hAnsi="宋体" w:eastAsia="宋体" w:cs="宋体"/>
          <w:color w:val="000000"/>
          <w:sz w:val="21"/>
          <w:szCs w:val="21"/>
          <w:highlight w:val="none"/>
          <w:u w:val="single"/>
        </w:rPr>
        <w:t xml:space="preserve"> 1 </w:t>
      </w:r>
      <w:r>
        <w:rPr>
          <w:rFonts w:hint="eastAsia" w:ascii="宋体" w:hAnsi="宋体" w:eastAsia="宋体" w:cs="宋体"/>
          <w:color w:val="000000"/>
          <w:sz w:val="21"/>
          <w:szCs w:val="21"/>
          <w:highlight w:val="none"/>
        </w:rPr>
        <w:t xml:space="preserve"> 种方式确定。</w:t>
      </w:r>
    </w:p>
    <w:p w14:paraId="53057E06">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第3种方式：</w:t>
      </w:r>
      <w:r>
        <w:rPr>
          <w:rFonts w:hint="eastAsia" w:ascii="宋体" w:hAnsi="宋体" w:eastAsia="宋体" w:cs="宋体"/>
          <w:color w:val="000000"/>
          <w:kern w:val="0"/>
          <w:sz w:val="21"/>
          <w:szCs w:val="21"/>
          <w:highlight w:val="none"/>
        </w:rPr>
        <w:t>承包人直接实施的暂估价项目</w:t>
      </w:r>
    </w:p>
    <w:p w14:paraId="1A468960">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承包人直接实施的暂估价项目的约定：</w:t>
      </w:r>
      <w:r>
        <w:rPr>
          <w:rFonts w:hint="eastAsia" w:ascii="宋体" w:hAnsi="宋体" w:eastAsia="宋体" w:cs="宋体"/>
          <w:color w:val="000000"/>
          <w:sz w:val="21"/>
          <w:szCs w:val="21"/>
          <w:highlight w:val="none"/>
          <w:u w:val="single"/>
        </w:rPr>
        <w:t xml:space="preserve"> 无 </w:t>
      </w:r>
      <w:r>
        <w:rPr>
          <w:rFonts w:hint="eastAsia" w:ascii="宋体" w:hAnsi="宋体" w:eastAsia="宋体" w:cs="宋体"/>
          <w:color w:val="000000"/>
          <w:sz w:val="21"/>
          <w:szCs w:val="21"/>
          <w:highlight w:val="none"/>
        </w:rPr>
        <w:t>。</w:t>
      </w:r>
    </w:p>
    <w:p w14:paraId="71E557BD">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1245" w:name="_Toc418752288"/>
      <w:bookmarkStart w:id="1246" w:name="_Toc418518392"/>
      <w:bookmarkStart w:id="1247" w:name="_Toc497746827"/>
      <w:bookmarkStart w:id="1248" w:name="_Toc373478392"/>
      <w:bookmarkStart w:id="1249" w:name="_Toc403578980"/>
      <w:bookmarkStart w:id="1250" w:name="_Toc418061357"/>
      <w:bookmarkStart w:id="1251" w:name="_Toc256000224"/>
      <w:bookmarkStart w:id="1252" w:name="_Toc497747224"/>
      <w:bookmarkStart w:id="1253" w:name="_Toc418518156"/>
      <w:bookmarkStart w:id="1254" w:name="_Toc373227745"/>
      <w:bookmarkStart w:id="1255" w:name="_Toc389065311"/>
      <w:bookmarkStart w:id="1256" w:name="_Toc522201773"/>
      <w:bookmarkStart w:id="1257" w:name="_Toc418751842"/>
      <w:r>
        <w:rPr>
          <w:rFonts w:hint="eastAsia" w:ascii="宋体" w:hAnsi="宋体" w:eastAsia="宋体" w:cs="宋体"/>
          <w:color w:val="000000"/>
          <w:sz w:val="21"/>
          <w:szCs w:val="21"/>
          <w:highlight w:val="none"/>
        </w:rPr>
        <w:t>10.8 暂列金额</w:t>
      </w:r>
      <w:bookmarkEnd w:id="1245"/>
      <w:bookmarkEnd w:id="1246"/>
      <w:bookmarkEnd w:id="1247"/>
      <w:bookmarkEnd w:id="1248"/>
      <w:bookmarkEnd w:id="1249"/>
      <w:bookmarkEnd w:id="1250"/>
      <w:bookmarkEnd w:id="1251"/>
      <w:bookmarkEnd w:id="1252"/>
      <w:bookmarkEnd w:id="1253"/>
      <w:bookmarkEnd w:id="1254"/>
      <w:bookmarkEnd w:id="1255"/>
      <w:bookmarkEnd w:id="1256"/>
      <w:bookmarkEnd w:id="1257"/>
    </w:p>
    <w:p w14:paraId="3ED3A622">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kern w:val="0"/>
          <w:sz w:val="21"/>
          <w:szCs w:val="21"/>
          <w:highlight w:val="none"/>
        </w:rPr>
        <w:t>合同当事人关于暂列金额使用的约定：</w:t>
      </w:r>
      <w:r>
        <w:rPr>
          <w:rFonts w:hint="eastAsia" w:ascii="宋体" w:hAnsi="宋体" w:eastAsia="宋体" w:cs="宋体"/>
          <w:color w:val="000000"/>
          <w:sz w:val="21"/>
          <w:szCs w:val="21"/>
          <w:highlight w:val="none"/>
          <w:u w:val="single"/>
        </w:rPr>
        <w:t xml:space="preserve">（1）已签约合同价中的暂列金额由发包人掌握使用。（2）发包人按照规定所作支付后，暂列金额如有余额归发包人 </w:t>
      </w:r>
      <w:r>
        <w:rPr>
          <w:rFonts w:hint="eastAsia" w:ascii="宋体" w:hAnsi="宋体" w:eastAsia="宋体" w:cs="宋体"/>
          <w:color w:val="000000"/>
          <w:kern w:val="0"/>
          <w:sz w:val="21"/>
          <w:szCs w:val="21"/>
          <w:highlight w:val="none"/>
        </w:rPr>
        <w:t>。</w:t>
      </w:r>
    </w:p>
    <w:p w14:paraId="34AFF0B2">
      <w:pPr>
        <w:pStyle w:val="92"/>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bookmarkStart w:id="1258" w:name="_Toc373227746"/>
      <w:bookmarkStart w:id="1259" w:name="_Toc418518157"/>
      <w:bookmarkStart w:id="1260" w:name="_Toc497746828"/>
      <w:bookmarkStart w:id="1261" w:name="_Toc373478393"/>
      <w:bookmarkStart w:id="1262" w:name="_Toc418061358"/>
      <w:bookmarkStart w:id="1263" w:name="_Toc418751843"/>
      <w:bookmarkStart w:id="1264" w:name="_Toc256000225"/>
      <w:bookmarkStart w:id="1265" w:name="_Toc418518393"/>
      <w:bookmarkStart w:id="1266" w:name="_Toc403578981"/>
      <w:bookmarkStart w:id="1267" w:name="_Toc389065312"/>
      <w:bookmarkStart w:id="1268" w:name="_Toc351203643"/>
      <w:bookmarkStart w:id="1269" w:name="_Toc497747225"/>
      <w:bookmarkStart w:id="1270" w:name="_Toc522201774"/>
      <w:bookmarkStart w:id="1271" w:name="_Toc418752289"/>
      <w:r>
        <w:rPr>
          <w:rFonts w:hint="eastAsia" w:ascii="宋体" w:hAnsi="宋体" w:eastAsia="宋体" w:cs="宋体"/>
          <w:color w:val="000000"/>
          <w:sz w:val="21"/>
          <w:szCs w:val="21"/>
          <w:highlight w:val="none"/>
        </w:rPr>
        <w:t>11. 价格调整</w:t>
      </w:r>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p>
    <w:p w14:paraId="276BB79F">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1272" w:name="_Toc418518158"/>
      <w:bookmarkStart w:id="1273" w:name="_Toc389065313"/>
      <w:bookmarkStart w:id="1274" w:name="_Toc373478394"/>
      <w:bookmarkStart w:id="1275" w:name="_Toc497746829"/>
      <w:bookmarkStart w:id="1276" w:name="_Toc522201775"/>
      <w:bookmarkStart w:id="1277" w:name="_Toc403578982"/>
      <w:bookmarkStart w:id="1278" w:name="_Toc418751844"/>
      <w:bookmarkStart w:id="1279" w:name="_Toc418061359"/>
      <w:bookmarkStart w:id="1280" w:name="_Toc418752290"/>
      <w:bookmarkStart w:id="1281" w:name="_Toc373227747"/>
      <w:bookmarkStart w:id="1282" w:name="_Toc418518394"/>
      <w:bookmarkStart w:id="1283" w:name="_Toc497747226"/>
      <w:bookmarkStart w:id="1284" w:name="_Toc256000226"/>
      <w:bookmarkStart w:id="1285" w:name="_Toc297120501"/>
      <w:bookmarkStart w:id="1286" w:name="_Toc304295577"/>
      <w:bookmarkStart w:id="1287" w:name="_Toc296503201"/>
      <w:bookmarkStart w:id="1288" w:name="_Toc296346702"/>
      <w:bookmarkStart w:id="1289" w:name="_Toc303539157"/>
      <w:bookmarkStart w:id="1290" w:name="_Toc297123550"/>
      <w:bookmarkStart w:id="1291" w:name="_Toc297216209"/>
      <w:bookmarkStart w:id="1292" w:name="_Toc292559911"/>
      <w:bookmarkStart w:id="1293" w:name="_Toc300935000"/>
      <w:bookmarkStart w:id="1294" w:name="_Toc296347200"/>
      <w:bookmarkStart w:id="1295" w:name="_Toc312678039"/>
      <w:bookmarkStart w:id="1296" w:name="_Toc296891029"/>
      <w:bookmarkStart w:id="1297" w:name="_Toc297048387"/>
      <w:bookmarkStart w:id="1298" w:name="_Toc292559406"/>
      <w:bookmarkStart w:id="1299" w:name="_Toc296944540"/>
      <w:bookmarkStart w:id="1300" w:name="_Toc296891241"/>
      <w:r>
        <w:rPr>
          <w:rFonts w:hint="eastAsia" w:ascii="宋体" w:hAnsi="宋体" w:eastAsia="宋体" w:cs="宋体"/>
          <w:color w:val="000000"/>
          <w:sz w:val="21"/>
          <w:szCs w:val="21"/>
          <w:highlight w:val="none"/>
        </w:rPr>
        <w:t>11.1 市场价格波动引起的调整</w:t>
      </w:r>
      <w:bookmarkEnd w:id="1272"/>
      <w:bookmarkEnd w:id="1273"/>
      <w:bookmarkEnd w:id="1274"/>
      <w:bookmarkEnd w:id="1275"/>
      <w:bookmarkEnd w:id="1276"/>
      <w:bookmarkEnd w:id="1277"/>
      <w:bookmarkEnd w:id="1278"/>
      <w:bookmarkEnd w:id="1279"/>
      <w:bookmarkEnd w:id="1280"/>
      <w:bookmarkEnd w:id="1281"/>
      <w:bookmarkEnd w:id="1282"/>
      <w:bookmarkEnd w:id="1283"/>
      <w:bookmarkEnd w:id="1284"/>
    </w:p>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p w14:paraId="39B7DB33">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市场价格波动是否调整合同价格的约定：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不</w:t>
      </w:r>
      <w:r>
        <w:rPr>
          <w:rFonts w:hint="eastAsia" w:ascii="宋体" w:hAnsi="宋体" w:eastAsia="宋体" w:cs="宋体"/>
          <w:color w:val="000000"/>
          <w:sz w:val="21"/>
          <w:szCs w:val="21"/>
          <w:highlight w:val="none"/>
          <w:u w:val="single"/>
        </w:rPr>
        <w:t xml:space="preserve">调整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p>
    <w:p w14:paraId="1E7C3F25">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因市场价格波动调整合同价格，采用以下第</w:t>
      </w:r>
      <w:r>
        <w:rPr>
          <w:rFonts w:hint="eastAsia" w:ascii="宋体" w:hAnsi="宋体" w:eastAsia="宋体" w:cs="宋体"/>
          <w:color w:val="000000"/>
          <w:sz w:val="21"/>
          <w:szCs w:val="21"/>
          <w:highlight w:val="none"/>
          <w:u w:val="single"/>
        </w:rPr>
        <w:t>2</w:t>
      </w:r>
      <w:r>
        <w:rPr>
          <w:rFonts w:hint="eastAsia" w:ascii="宋体" w:hAnsi="宋体" w:eastAsia="宋体" w:cs="宋体"/>
          <w:color w:val="000000"/>
          <w:sz w:val="21"/>
          <w:szCs w:val="21"/>
          <w:highlight w:val="none"/>
        </w:rPr>
        <w:t>种方式对合同价格进行调整：</w:t>
      </w:r>
    </w:p>
    <w:p w14:paraId="7EC39D66">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第1种方式：采用价格指数进行价格调整。</w:t>
      </w:r>
    </w:p>
    <w:p w14:paraId="39528687">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关于各可调因子、定值和变值权重，以及基本价格指数及其来源的约定：</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 xml:space="preserve">；  </w:t>
      </w:r>
    </w:p>
    <w:p w14:paraId="3BD85FDB">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第2种方式：采用造价信息进行价格调整。</w:t>
      </w:r>
    </w:p>
    <w:p w14:paraId="10794B25">
      <w:pPr>
        <w:pStyle w:val="94"/>
        <w:pageBreakBefore w:val="0"/>
        <w:widowControl w:val="0"/>
        <w:kinsoku/>
        <w:wordWrap/>
        <w:overflowPunct/>
        <w:topLinePunct w:val="0"/>
        <w:bidi w:val="0"/>
        <w:snapToGrid/>
        <w:spacing w:line="360" w:lineRule="auto"/>
        <w:ind w:left="0" w:leftChars="0" w:firstLine="315" w:firstLineChars="15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（1）关于基准价格的约定：</w:t>
      </w:r>
      <w:r>
        <w:rPr>
          <w:rFonts w:hint="eastAsia" w:ascii="宋体" w:hAnsi="宋体" w:eastAsia="宋体" w:cs="宋体"/>
          <w:color w:val="000000"/>
          <w:sz w:val="21"/>
          <w:szCs w:val="21"/>
          <w:highlight w:val="none"/>
          <w:u w:val="single"/>
        </w:rPr>
        <w:t>编制招标控制价时采用的当期《桂林市建设工程造价信息》价格计算，若地方材料价格中没有的以《桂林建设工程造价信息》为准。</w:t>
      </w:r>
    </w:p>
    <w:p w14:paraId="325CBC45">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投</w:t>
      </w:r>
      <w:r>
        <w:rPr>
          <w:rFonts w:hint="eastAsia" w:ascii="宋体" w:hAnsi="宋体" w:eastAsia="宋体" w:cs="宋体"/>
          <w:color w:val="000000"/>
          <w:kern w:val="0"/>
          <w:sz w:val="21"/>
          <w:szCs w:val="21"/>
          <w:highlight w:val="none"/>
        </w:rPr>
        <w:t>标人应根据施工期间材料可能由于市场价格上涨（或下跌）因素自行考虑由此引起的风险并计入投标报价中，投标人应对自己的报价承担风险，除本合同约定的钢筋、水泥、商品混凝土、沥青混凝土、碎石、砂、片石、沥青、管材、石材、土方（含购土与弃土）等项材料价格可做调整外，其余材料价格不作调整。</w:t>
      </w:r>
    </w:p>
    <w:p w14:paraId="5A5DEBCA">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①承包人在已标价工程量清单或预算书中载明的材料单价低于基准价格的，合同履行期间材料单价涨幅以基准价格为基础超过</w:t>
      </w:r>
      <w:r>
        <w:rPr>
          <w:rFonts w:hint="eastAsia" w:ascii="宋体" w:hAnsi="宋体" w:eastAsia="宋体" w:cs="宋体"/>
          <w:color w:val="000000"/>
          <w:kern w:val="0"/>
          <w:sz w:val="21"/>
          <w:szCs w:val="21"/>
          <w:highlight w:val="none"/>
          <w:lang w:eastAsia="zh-CN"/>
        </w:rPr>
        <w:t>5</w:t>
      </w:r>
      <w:r>
        <w:rPr>
          <w:rFonts w:hint="eastAsia" w:ascii="宋体" w:hAnsi="宋体" w:eastAsia="宋体" w:cs="宋体"/>
          <w:color w:val="000000"/>
          <w:kern w:val="0"/>
          <w:sz w:val="21"/>
          <w:szCs w:val="21"/>
          <w:highlight w:val="none"/>
        </w:rPr>
        <w:t>%时，或材料单价跌幅以已标价工程量清单或预算书中载明材料单价为基础超过</w:t>
      </w:r>
      <w:r>
        <w:rPr>
          <w:rFonts w:hint="eastAsia" w:ascii="宋体" w:hAnsi="宋体" w:eastAsia="宋体" w:cs="宋体"/>
          <w:color w:val="000000"/>
          <w:kern w:val="0"/>
          <w:sz w:val="21"/>
          <w:szCs w:val="21"/>
          <w:highlight w:val="none"/>
          <w:lang w:eastAsia="zh-CN"/>
        </w:rPr>
        <w:t>5</w:t>
      </w:r>
      <w:r>
        <w:rPr>
          <w:rFonts w:hint="eastAsia" w:ascii="宋体" w:hAnsi="宋体" w:eastAsia="宋体" w:cs="宋体"/>
          <w:color w:val="000000"/>
          <w:kern w:val="0"/>
          <w:sz w:val="21"/>
          <w:szCs w:val="21"/>
          <w:highlight w:val="none"/>
        </w:rPr>
        <w:t>%时，其超过部分据实调整。</w:t>
      </w:r>
    </w:p>
    <w:p w14:paraId="29244368">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000000"/>
          <w:kern w:val="0"/>
          <w:sz w:val="21"/>
          <w:szCs w:val="21"/>
          <w:highlight w:val="none"/>
          <w:lang w:eastAsia="zh-CN"/>
        </w:rPr>
        <w:t>5</w:t>
      </w:r>
      <w:r>
        <w:rPr>
          <w:rFonts w:hint="eastAsia" w:ascii="宋体" w:hAnsi="宋体" w:eastAsia="宋体" w:cs="宋体"/>
          <w:color w:val="000000"/>
          <w:kern w:val="0"/>
          <w:sz w:val="21"/>
          <w:szCs w:val="21"/>
          <w:highlight w:val="none"/>
        </w:rPr>
        <w:t>%时，材料单价涨幅以已标价工程量清单或预算书中载明材料单价为基础超过</w:t>
      </w:r>
      <w:r>
        <w:rPr>
          <w:rFonts w:hint="eastAsia" w:ascii="宋体" w:hAnsi="宋体" w:eastAsia="宋体" w:cs="宋体"/>
          <w:color w:val="000000"/>
          <w:kern w:val="0"/>
          <w:sz w:val="21"/>
          <w:szCs w:val="21"/>
          <w:highlight w:val="none"/>
          <w:lang w:eastAsia="zh-CN"/>
        </w:rPr>
        <w:t>5</w:t>
      </w:r>
      <w:r>
        <w:rPr>
          <w:rFonts w:hint="eastAsia" w:ascii="宋体" w:hAnsi="宋体" w:eastAsia="宋体" w:cs="宋体"/>
          <w:color w:val="000000"/>
          <w:kern w:val="0"/>
          <w:sz w:val="21"/>
          <w:szCs w:val="21"/>
          <w:highlight w:val="none"/>
        </w:rPr>
        <w:t>%时，其超过部分据实调整。</w:t>
      </w:r>
    </w:p>
    <w:p w14:paraId="6214DD04">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000000"/>
          <w:sz w:val="21"/>
          <w:szCs w:val="21"/>
          <w:highlight w:val="none"/>
          <w:lang w:eastAsia="zh-CN"/>
        </w:rPr>
        <w:t>5</w:t>
      </w:r>
      <w:r>
        <w:rPr>
          <w:rFonts w:hint="eastAsia" w:ascii="宋体" w:hAnsi="宋体" w:eastAsia="宋体" w:cs="宋体"/>
          <w:color w:val="000000"/>
          <w:sz w:val="21"/>
          <w:szCs w:val="21"/>
          <w:highlight w:val="none"/>
        </w:rPr>
        <w:t>%时，其超过部分据实调整。</w:t>
      </w:r>
    </w:p>
    <w:p w14:paraId="4C63EE41">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④除专用合同约定的钢筋、水泥、商品混凝土、沥青混凝土、碎石、砂、片石、沥青、管材、石材、土方</w:t>
      </w:r>
      <w:r>
        <w:rPr>
          <w:rFonts w:hint="eastAsia" w:ascii="宋体" w:hAnsi="宋体" w:eastAsia="宋体" w:cs="宋体"/>
          <w:color w:val="000000"/>
          <w:kern w:val="0"/>
          <w:sz w:val="21"/>
          <w:szCs w:val="21"/>
          <w:highlight w:val="none"/>
        </w:rPr>
        <w:t>（含购土与弃土）</w:t>
      </w:r>
      <w:r>
        <w:rPr>
          <w:rFonts w:hint="eastAsia" w:ascii="宋体" w:hAnsi="宋体" w:eastAsia="宋体" w:cs="宋体"/>
          <w:color w:val="000000"/>
          <w:sz w:val="21"/>
          <w:szCs w:val="21"/>
          <w:highlight w:val="none"/>
        </w:rPr>
        <w:t>等项材料外，其余材料价格不做调整。调整方法：钢筋、水泥、商品混凝土、沥青混凝土、碎石、砂、片石、沥青、管材、石材、土方</w:t>
      </w:r>
      <w:r>
        <w:rPr>
          <w:rFonts w:hint="eastAsia" w:ascii="宋体" w:hAnsi="宋体" w:eastAsia="宋体" w:cs="宋体"/>
          <w:color w:val="000000"/>
          <w:kern w:val="0"/>
          <w:sz w:val="21"/>
          <w:szCs w:val="21"/>
          <w:highlight w:val="none"/>
        </w:rPr>
        <w:t>（含购土与弃土）</w:t>
      </w:r>
      <w:r>
        <w:rPr>
          <w:rFonts w:hint="eastAsia" w:ascii="宋体" w:hAnsi="宋体" w:eastAsia="宋体" w:cs="宋体"/>
          <w:color w:val="000000"/>
          <w:sz w:val="21"/>
          <w:szCs w:val="21"/>
          <w:highlight w:val="none"/>
        </w:rPr>
        <w:t>价格超过部分×中标下浮系数（中标人的投标报价÷预算价），该部分费用列入税前独立费。</w:t>
      </w:r>
    </w:p>
    <w:p w14:paraId="3D96925B">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在工程施工期间，国家及地区如有新的人工费调整政策文件出台，可按国家及地区相关文件进行人工费调差。</w:t>
      </w:r>
    </w:p>
    <w:p w14:paraId="5AD85F56">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第3种方式：</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bookmarkEnd w:id="1091"/>
    <w:bookmarkEnd w:id="1092"/>
    <w:bookmarkEnd w:id="1093"/>
    <w:bookmarkEnd w:id="1094"/>
    <w:bookmarkEnd w:id="1095"/>
    <w:bookmarkEnd w:id="1096"/>
    <w:p w14:paraId="391EBC05">
      <w:pPr>
        <w:pStyle w:val="92"/>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bookmarkStart w:id="1301" w:name="_Toc292559915"/>
      <w:bookmarkStart w:id="1302" w:name="_Toc292559410"/>
      <w:bookmarkStart w:id="1303" w:name="_Toc297048391"/>
      <w:bookmarkStart w:id="1304" w:name="_Toc297120505"/>
      <w:bookmarkStart w:id="1305" w:name="_Toc296891245"/>
      <w:bookmarkStart w:id="1306" w:name="_Toc296944544"/>
      <w:bookmarkStart w:id="1307" w:name="_Toc296891033"/>
      <w:bookmarkStart w:id="1308" w:name="_Toc296347204"/>
      <w:bookmarkStart w:id="1309" w:name="_Toc296503205"/>
      <w:bookmarkStart w:id="1310" w:name="_Toc296346706"/>
      <w:bookmarkStart w:id="1311" w:name="_Toc351203644"/>
      <w:bookmarkStart w:id="1312" w:name="_Toc373478395"/>
      <w:bookmarkStart w:id="1313" w:name="_Toc403578983"/>
      <w:bookmarkStart w:id="1314" w:name="_Toc418752291"/>
      <w:bookmarkStart w:id="1315" w:name="_Toc373227748"/>
      <w:bookmarkStart w:id="1316" w:name="_Toc522201776"/>
      <w:bookmarkStart w:id="1317" w:name="_Toc418751845"/>
      <w:bookmarkStart w:id="1318" w:name="_Toc418518159"/>
      <w:bookmarkStart w:id="1319" w:name="_Toc497747227"/>
      <w:bookmarkStart w:id="1320" w:name="_Toc418518395"/>
      <w:bookmarkStart w:id="1321" w:name="_Toc497746830"/>
      <w:bookmarkStart w:id="1322" w:name="_Toc418061360"/>
      <w:bookmarkStart w:id="1323" w:name="_Toc256000227"/>
      <w:bookmarkStart w:id="1324" w:name="_Toc297216211"/>
      <w:bookmarkStart w:id="1325" w:name="_Toc312678040"/>
      <w:bookmarkStart w:id="1326" w:name="_Toc297123552"/>
      <w:bookmarkStart w:id="1327" w:name="_Toc303539159"/>
      <w:bookmarkStart w:id="1328" w:name="_Toc300935002"/>
      <w:bookmarkStart w:id="1329" w:name="_Toc304295579"/>
      <w:r>
        <w:rPr>
          <w:rFonts w:hint="eastAsia" w:ascii="宋体" w:hAnsi="宋体" w:eastAsia="宋体" w:cs="宋体"/>
          <w:color w:val="000000"/>
          <w:sz w:val="21"/>
          <w:szCs w:val="21"/>
          <w:highlight w:val="none"/>
        </w:rPr>
        <w:t xml:space="preserve">12. </w:t>
      </w:r>
      <w:bookmarkEnd w:id="1301"/>
      <w:bookmarkEnd w:id="1302"/>
      <w:bookmarkEnd w:id="1303"/>
      <w:bookmarkEnd w:id="1304"/>
      <w:bookmarkEnd w:id="1305"/>
      <w:bookmarkEnd w:id="1306"/>
      <w:bookmarkEnd w:id="1307"/>
      <w:bookmarkEnd w:id="1308"/>
      <w:bookmarkEnd w:id="1309"/>
      <w:bookmarkEnd w:id="1310"/>
      <w:r>
        <w:rPr>
          <w:rFonts w:hint="eastAsia" w:ascii="宋体" w:hAnsi="宋体" w:eastAsia="宋体" w:cs="宋体"/>
          <w:color w:val="000000"/>
          <w:sz w:val="21"/>
          <w:szCs w:val="21"/>
          <w:highlight w:val="none"/>
        </w:rPr>
        <w:t>合同价格、计量与支付</w:t>
      </w:r>
      <w:bookmarkEnd w:id="1311"/>
      <w:bookmarkEnd w:id="1312"/>
      <w:bookmarkEnd w:id="1313"/>
      <w:bookmarkEnd w:id="1314"/>
      <w:bookmarkEnd w:id="1315"/>
      <w:bookmarkEnd w:id="1316"/>
      <w:bookmarkEnd w:id="1317"/>
      <w:bookmarkEnd w:id="1318"/>
      <w:bookmarkEnd w:id="1319"/>
      <w:bookmarkEnd w:id="1320"/>
      <w:bookmarkEnd w:id="1321"/>
      <w:bookmarkEnd w:id="1322"/>
      <w:bookmarkEnd w:id="1323"/>
    </w:p>
    <w:bookmarkEnd w:id="1324"/>
    <w:bookmarkEnd w:id="1325"/>
    <w:bookmarkEnd w:id="1326"/>
    <w:bookmarkEnd w:id="1327"/>
    <w:bookmarkEnd w:id="1328"/>
    <w:bookmarkEnd w:id="1329"/>
    <w:p w14:paraId="66517A65">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1330" w:name="_Toc267251461"/>
      <w:bookmarkStart w:id="1331" w:name="_Toc292559916"/>
      <w:bookmarkStart w:id="1332" w:name="_Toc292559411"/>
      <w:bookmarkStart w:id="1333" w:name="_Toc296891246"/>
      <w:bookmarkStart w:id="1334" w:name="_Toc296944545"/>
      <w:bookmarkStart w:id="1335" w:name="_Toc297120506"/>
      <w:bookmarkStart w:id="1336" w:name="_Toc296347205"/>
      <w:bookmarkStart w:id="1337" w:name="_Toc296891034"/>
      <w:bookmarkStart w:id="1338" w:name="_Toc296503206"/>
      <w:bookmarkStart w:id="1339" w:name="_Toc297048392"/>
      <w:bookmarkStart w:id="1340" w:name="_Toc296346707"/>
      <w:bookmarkStart w:id="1341" w:name="_Toc418752292"/>
      <w:bookmarkStart w:id="1342" w:name="_Toc418518396"/>
      <w:bookmarkStart w:id="1343" w:name="_Toc373227749"/>
      <w:bookmarkStart w:id="1344" w:name="_Toc373478396"/>
      <w:bookmarkStart w:id="1345" w:name="_Toc418518160"/>
      <w:bookmarkStart w:id="1346" w:name="_Toc418751846"/>
      <w:bookmarkStart w:id="1347" w:name="_Toc389065314"/>
      <w:bookmarkStart w:id="1348" w:name="_Toc418061361"/>
      <w:bookmarkStart w:id="1349" w:name="_Toc522201777"/>
      <w:bookmarkStart w:id="1350" w:name="_Toc497746831"/>
      <w:bookmarkStart w:id="1351" w:name="_Toc497747228"/>
      <w:bookmarkStart w:id="1352" w:name="_Toc403578984"/>
      <w:bookmarkStart w:id="1353" w:name="_Toc256000228"/>
      <w:bookmarkStart w:id="1354" w:name="_Toc297123553"/>
      <w:bookmarkStart w:id="1355" w:name="_Toc300935003"/>
      <w:bookmarkStart w:id="1356" w:name="_Toc297216212"/>
      <w:bookmarkStart w:id="1357" w:name="_Toc303539160"/>
      <w:bookmarkStart w:id="1358" w:name="_Toc304295580"/>
      <w:bookmarkStart w:id="1359" w:name="_Toc312678041"/>
      <w:r>
        <w:rPr>
          <w:rFonts w:hint="eastAsia" w:ascii="宋体" w:hAnsi="宋体" w:eastAsia="宋体" w:cs="宋体"/>
          <w:color w:val="000000"/>
          <w:sz w:val="21"/>
          <w:szCs w:val="21"/>
          <w:highlight w:val="none"/>
        </w:rPr>
        <w:t>12.1 合</w:t>
      </w:r>
      <w:bookmarkEnd w:id="1330"/>
      <w:bookmarkEnd w:id="1331"/>
      <w:bookmarkEnd w:id="1332"/>
      <w:r>
        <w:rPr>
          <w:rFonts w:hint="eastAsia" w:ascii="宋体" w:hAnsi="宋体" w:eastAsia="宋体" w:cs="宋体"/>
          <w:color w:val="000000"/>
          <w:sz w:val="21"/>
          <w:szCs w:val="21"/>
          <w:highlight w:val="none"/>
        </w:rPr>
        <w:t>同价</w:t>
      </w:r>
      <w:bookmarkEnd w:id="1333"/>
      <w:bookmarkEnd w:id="1334"/>
      <w:bookmarkEnd w:id="1335"/>
      <w:bookmarkEnd w:id="1336"/>
      <w:bookmarkEnd w:id="1337"/>
      <w:bookmarkEnd w:id="1338"/>
      <w:bookmarkEnd w:id="1339"/>
      <w:bookmarkEnd w:id="1340"/>
      <w:r>
        <w:rPr>
          <w:rFonts w:hint="eastAsia" w:ascii="宋体" w:hAnsi="宋体" w:eastAsia="宋体" w:cs="宋体"/>
          <w:color w:val="000000"/>
          <w:sz w:val="21"/>
          <w:szCs w:val="21"/>
          <w:highlight w:val="none"/>
        </w:rPr>
        <w:t>格形式</w:t>
      </w:r>
      <w:bookmarkEnd w:id="1341"/>
      <w:bookmarkEnd w:id="1342"/>
      <w:bookmarkEnd w:id="1343"/>
      <w:bookmarkEnd w:id="1344"/>
      <w:bookmarkEnd w:id="1345"/>
      <w:bookmarkEnd w:id="1346"/>
      <w:bookmarkEnd w:id="1347"/>
      <w:bookmarkEnd w:id="1348"/>
      <w:bookmarkEnd w:id="1349"/>
      <w:bookmarkEnd w:id="1350"/>
      <w:bookmarkEnd w:id="1351"/>
      <w:bookmarkEnd w:id="1352"/>
      <w:bookmarkEnd w:id="1353"/>
    </w:p>
    <w:bookmarkEnd w:id="1354"/>
    <w:bookmarkEnd w:id="1355"/>
    <w:bookmarkEnd w:id="1356"/>
    <w:bookmarkEnd w:id="1357"/>
    <w:bookmarkEnd w:id="1358"/>
    <w:bookmarkEnd w:id="1359"/>
    <w:p w14:paraId="0369E1A3">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bookmarkStart w:id="1360" w:name="_Toc373227750"/>
      <w:bookmarkStart w:id="1361" w:name="_Toc373478397"/>
      <w:bookmarkStart w:id="1362" w:name="_Toc389065315"/>
      <w:bookmarkStart w:id="1363" w:name="_Toc297216213"/>
      <w:bookmarkStart w:id="1364" w:name="_Toc297123554"/>
      <w:bookmarkStart w:id="1365" w:name="_Toc304295581"/>
      <w:bookmarkStart w:id="1366" w:name="_Toc303539161"/>
      <w:bookmarkStart w:id="1367" w:name="_Toc312678042"/>
      <w:bookmarkStart w:id="1368" w:name="_Toc300935004"/>
      <w:bookmarkStart w:id="1369" w:name="_Toc292559917"/>
      <w:bookmarkStart w:id="1370" w:name="_Toc296891035"/>
      <w:bookmarkStart w:id="1371" w:name="_Toc296891247"/>
      <w:bookmarkStart w:id="1372" w:name="_Toc297048393"/>
      <w:bookmarkStart w:id="1373" w:name="_Toc292559412"/>
      <w:bookmarkStart w:id="1374" w:name="_Toc296346708"/>
      <w:bookmarkStart w:id="1375" w:name="_Toc296944546"/>
      <w:bookmarkStart w:id="1376" w:name="_Toc296503207"/>
      <w:bookmarkStart w:id="1377" w:name="_Toc297120507"/>
      <w:bookmarkStart w:id="1378" w:name="_Toc296347206"/>
      <w:r>
        <w:rPr>
          <w:rFonts w:hint="eastAsia" w:ascii="宋体" w:hAnsi="宋体" w:eastAsia="宋体" w:cs="宋体"/>
          <w:color w:val="000000"/>
          <w:sz w:val="21"/>
          <w:szCs w:val="21"/>
          <w:highlight w:val="none"/>
        </w:rPr>
        <w:t>（1）单价合同。</w:t>
      </w:r>
    </w:p>
    <w:p w14:paraId="0F28BF57">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本合同价款采用</w:t>
      </w:r>
      <w:r>
        <w:rPr>
          <w:rFonts w:hint="eastAsia" w:ascii="宋体" w:hAnsi="宋体" w:eastAsia="宋体" w:cs="宋体"/>
          <w:color w:val="000000"/>
          <w:sz w:val="21"/>
          <w:szCs w:val="21"/>
          <w:highlight w:val="none"/>
          <w:u w:val="single"/>
        </w:rPr>
        <w:t>固定综合单价方式</w:t>
      </w:r>
      <w:r>
        <w:rPr>
          <w:rFonts w:hint="eastAsia" w:ascii="宋体" w:hAnsi="宋体" w:eastAsia="宋体" w:cs="宋体"/>
          <w:color w:val="000000"/>
          <w:sz w:val="21"/>
          <w:szCs w:val="21"/>
          <w:highlight w:val="none"/>
        </w:rPr>
        <w:t>确定。</w:t>
      </w:r>
    </w:p>
    <w:p w14:paraId="652FF43F">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综合单价包含的风险范围：</w:t>
      </w:r>
      <w:r>
        <w:rPr>
          <w:rFonts w:hint="eastAsia" w:ascii="宋体" w:hAnsi="宋体" w:eastAsia="宋体" w:cs="宋体"/>
          <w:color w:val="000000"/>
          <w:sz w:val="21"/>
          <w:szCs w:val="21"/>
          <w:highlight w:val="none"/>
          <w:u w:val="single"/>
        </w:rPr>
        <w:t>除工程变更、政策性调整、本合同约定的材料、设备价格变动风险以外因素。</w:t>
      </w:r>
    </w:p>
    <w:p w14:paraId="2959AF3B">
      <w:pPr>
        <w:pStyle w:val="136"/>
        <w:pageBreakBefore w:val="0"/>
        <w:widowControl w:val="0"/>
        <w:kinsoku/>
        <w:wordWrap/>
        <w:overflowPunct/>
        <w:topLinePunct w:val="0"/>
        <w:bidi w:val="0"/>
        <w:snapToGrid/>
        <w:spacing w:line="360" w:lineRule="auto"/>
        <w:ind w:left="0" w:leftChars="0" w:firstLine="441" w:firstLineChars="21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风险范围以外合同价格的调整方法：</w:t>
      </w:r>
    </w:p>
    <w:p w14:paraId="0C3EFCA0">
      <w:pPr>
        <w:pStyle w:val="136"/>
        <w:pageBreakBefore w:val="0"/>
        <w:widowControl w:val="0"/>
        <w:kinsoku/>
        <w:wordWrap/>
        <w:overflowPunct/>
        <w:topLinePunct w:val="0"/>
        <w:bidi w:val="0"/>
        <w:snapToGrid/>
        <w:spacing w:line="360" w:lineRule="auto"/>
        <w:ind w:left="0" w:leftChars="0" w:firstLine="441" w:firstLineChars="21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①工程变更：按10.4.1变更估价原则的约定调整。</w:t>
      </w:r>
    </w:p>
    <w:p w14:paraId="3A3CBA33">
      <w:pPr>
        <w:pStyle w:val="136"/>
        <w:pageBreakBefore w:val="0"/>
        <w:widowControl w:val="0"/>
        <w:kinsoku/>
        <w:wordWrap/>
        <w:overflowPunct/>
        <w:topLinePunct w:val="0"/>
        <w:bidi w:val="0"/>
        <w:snapToGrid/>
        <w:spacing w:line="360" w:lineRule="auto"/>
        <w:ind w:left="0" w:leftChars="0" w:firstLine="441" w:firstLineChars="21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②政策性调整：按自治区建设行政主管部门颁布的文件执行。</w:t>
      </w:r>
    </w:p>
    <w:p w14:paraId="22BABCBF">
      <w:pPr>
        <w:pStyle w:val="136"/>
        <w:pageBreakBefore w:val="0"/>
        <w:widowControl w:val="0"/>
        <w:kinsoku/>
        <w:wordWrap/>
        <w:overflowPunct/>
        <w:topLinePunct w:val="0"/>
        <w:bidi w:val="0"/>
        <w:snapToGrid/>
        <w:spacing w:line="360" w:lineRule="auto"/>
        <w:ind w:left="0" w:leftChars="0" w:firstLine="441" w:firstLineChars="21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③材料、设备价格变动风险：按11.1的约定调整。</w:t>
      </w:r>
    </w:p>
    <w:p w14:paraId="3B464B7B">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④其它：</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4397B443">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（2）总价合同。</w:t>
      </w:r>
    </w:p>
    <w:p w14:paraId="2610574E">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总价包含的风险范围：</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2E64AE09">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风险范围以外合同价格的调整方法：</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41CA43E5">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（3）其他价格方式：</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48B0DAEF">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1379" w:name="_Toc497746832"/>
      <w:bookmarkStart w:id="1380" w:name="_Toc418518397"/>
      <w:bookmarkStart w:id="1381" w:name="_Toc403578985"/>
      <w:bookmarkStart w:id="1382" w:name="_Toc497747229"/>
      <w:bookmarkStart w:id="1383" w:name="_Toc418752293"/>
      <w:bookmarkStart w:id="1384" w:name="_Toc418751847"/>
      <w:bookmarkStart w:id="1385" w:name="_Toc522201778"/>
      <w:bookmarkStart w:id="1386" w:name="_Toc418518161"/>
      <w:bookmarkStart w:id="1387" w:name="_Toc418061362"/>
      <w:bookmarkStart w:id="1388" w:name="_Toc256000229"/>
      <w:r>
        <w:rPr>
          <w:rFonts w:hint="eastAsia" w:ascii="宋体" w:hAnsi="宋体" w:eastAsia="宋体" w:cs="宋体"/>
          <w:color w:val="000000"/>
          <w:sz w:val="21"/>
          <w:szCs w:val="21"/>
          <w:highlight w:val="none"/>
        </w:rPr>
        <w:t>12.2 预付款</w:t>
      </w:r>
      <w:bookmarkEnd w:id="1360"/>
      <w:bookmarkEnd w:id="1361"/>
      <w:bookmarkEnd w:id="1362"/>
      <w:bookmarkEnd w:id="1379"/>
      <w:bookmarkEnd w:id="1380"/>
      <w:bookmarkEnd w:id="1381"/>
      <w:bookmarkEnd w:id="1382"/>
      <w:bookmarkEnd w:id="1383"/>
      <w:bookmarkEnd w:id="1384"/>
      <w:bookmarkEnd w:id="1385"/>
      <w:bookmarkEnd w:id="1386"/>
      <w:bookmarkEnd w:id="1387"/>
      <w:bookmarkEnd w:id="1388"/>
    </w:p>
    <w:bookmarkEnd w:id="1363"/>
    <w:bookmarkEnd w:id="1364"/>
    <w:bookmarkEnd w:id="1365"/>
    <w:bookmarkEnd w:id="1366"/>
    <w:bookmarkEnd w:id="1367"/>
    <w:bookmarkEnd w:id="1368"/>
    <w:p w14:paraId="37CA32B0">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12.2.1 预付款的支付</w:t>
      </w:r>
    </w:p>
    <w:p w14:paraId="6D6249A8">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预付款支付比例或金额：</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合同价的30%</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042B98C8">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预付款支付期限：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签订合同后支付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DD7B651">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预付款扣回的方式：</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61A2315">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12.2.2 预付款担保</w:t>
      </w:r>
    </w:p>
    <w:p w14:paraId="2EC5323A">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承包人提交预付款担保的期限：</w:t>
      </w:r>
      <w:r>
        <w:rPr>
          <w:rFonts w:hint="eastAsia" w:ascii="宋体" w:hAnsi="宋体" w:eastAsia="宋体" w:cs="宋体"/>
          <w:color w:val="000000"/>
          <w:sz w:val="21"/>
          <w:szCs w:val="21"/>
          <w:highlight w:val="none"/>
          <w:u w:val="single"/>
        </w:rPr>
        <w:t xml:space="preserve">  无  </w:t>
      </w:r>
      <w:r>
        <w:rPr>
          <w:rFonts w:hint="eastAsia" w:ascii="宋体" w:hAnsi="宋体" w:eastAsia="宋体" w:cs="宋体"/>
          <w:color w:val="000000"/>
          <w:sz w:val="21"/>
          <w:szCs w:val="21"/>
          <w:highlight w:val="none"/>
        </w:rPr>
        <w:t>。</w:t>
      </w:r>
    </w:p>
    <w:p w14:paraId="006CB33C">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预付款担保的形式为：</w:t>
      </w:r>
      <w:r>
        <w:rPr>
          <w:rFonts w:hint="eastAsia" w:ascii="宋体" w:hAnsi="宋体" w:eastAsia="宋体" w:cs="宋体"/>
          <w:color w:val="000000"/>
          <w:sz w:val="21"/>
          <w:szCs w:val="21"/>
          <w:highlight w:val="none"/>
          <w:u w:val="single"/>
        </w:rPr>
        <w:t xml:space="preserve">   无   </w:t>
      </w:r>
      <w:r>
        <w:rPr>
          <w:rFonts w:hint="eastAsia" w:ascii="宋体" w:hAnsi="宋体" w:eastAsia="宋体" w:cs="宋体"/>
          <w:color w:val="000000"/>
          <w:sz w:val="21"/>
          <w:szCs w:val="21"/>
          <w:highlight w:val="none"/>
        </w:rPr>
        <w:t>。</w:t>
      </w:r>
    </w:p>
    <w:p w14:paraId="4179D355">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预付款担保格式见合同附件9。</w:t>
      </w:r>
    </w:p>
    <w:bookmarkEnd w:id="1369"/>
    <w:bookmarkEnd w:id="1370"/>
    <w:bookmarkEnd w:id="1371"/>
    <w:bookmarkEnd w:id="1372"/>
    <w:bookmarkEnd w:id="1373"/>
    <w:bookmarkEnd w:id="1374"/>
    <w:bookmarkEnd w:id="1375"/>
    <w:bookmarkEnd w:id="1376"/>
    <w:bookmarkEnd w:id="1377"/>
    <w:bookmarkEnd w:id="1378"/>
    <w:p w14:paraId="7C8C3213">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1389" w:name="_Toc497747230"/>
      <w:bookmarkStart w:id="1390" w:name="_Toc389065316"/>
      <w:bookmarkStart w:id="1391" w:name="_Toc373478398"/>
      <w:bookmarkStart w:id="1392" w:name="_Toc403578986"/>
      <w:bookmarkStart w:id="1393" w:name="_Toc418518398"/>
      <w:bookmarkStart w:id="1394" w:name="_Toc256000230"/>
      <w:bookmarkStart w:id="1395" w:name="_Toc418752294"/>
      <w:bookmarkStart w:id="1396" w:name="_Toc373227751"/>
      <w:bookmarkStart w:id="1397" w:name="_Toc418518162"/>
      <w:bookmarkStart w:id="1398" w:name="_Toc497746833"/>
      <w:bookmarkStart w:id="1399" w:name="_Toc522201779"/>
      <w:bookmarkStart w:id="1400" w:name="_Toc418061363"/>
      <w:bookmarkStart w:id="1401" w:name="_Toc418751848"/>
      <w:r>
        <w:rPr>
          <w:rFonts w:hint="eastAsia" w:ascii="宋体" w:hAnsi="宋体" w:eastAsia="宋体" w:cs="宋体"/>
          <w:color w:val="000000"/>
          <w:sz w:val="21"/>
          <w:szCs w:val="21"/>
          <w:highlight w:val="none"/>
        </w:rPr>
        <w:t>12.3 计量</w:t>
      </w:r>
      <w:bookmarkEnd w:id="1389"/>
      <w:bookmarkEnd w:id="1390"/>
      <w:bookmarkEnd w:id="1391"/>
      <w:bookmarkEnd w:id="1392"/>
      <w:bookmarkEnd w:id="1393"/>
      <w:bookmarkEnd w:id="1394"/>
      <w:bookmarkEnd w:id="1395"/>
      <w:bookmarkEnd w:id="1396"/>
      <w:bookmarkEnd w:id="1397"/>
      <w:bookmarkEnd w:id="1398"/>
      <w:bookmarkEnd w:id="1399"/>
      <w:bookmarkEnd w:id="1400"/>
      <w:bookmarkEnd w:id="1401"/>
    </w:p>
    <w:p w14:paraId="3AB97D78">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bookmarkStart w:id="1402" w:name="_Toc418518399"/>
      <w:bookmarkStart w:id="1403" w:name="_Toc373478399"/>
      <w:bookmarkStart w:id="1404" w:name="_Toc418518163"/>
      <w:bookmarkStart w:id="1405" w:name="_Toc403578987"/>
      <w:bookmarkStart w:id="1406" w:name="_Toc497746834"/>
      <w:bookmarkStart w:id="1407" w:name="_Toc418752295"/>
      <w:bookmarkStart w:id="1408" w:name="_Toc418061364"/>
      <w:bookmarkStart w:id="1409" w:name="_Toc389065317"/>
      <w:bookmarkStart w:id="1410" w:name="_Toc418751849"/>
      <w:bookmarkStart w:id="1411" w:name="_Toc373227752"/>
      <w:bookmarkStart w:id="1412" w:name="_Toc497747231"/>
      <w:r>
        <w:rPr>
          <w:rFonts w:hint="eastAsia" w:ascii="宋体" w:hAnsi="宋体" w:eastAsia="宋体" w:cs="宋体"/>
          <w:color w:val="000000"/>
          <w:sz w:val="21"/>
          <w:szCs w:val="21"/>
          <w:highlight w:val="none"/>
        </w:rPr>
        <w:t xml:space="preserve">12.3.1 计量原则 </w:t>
      </w:r>
    </w:p>
    <w:p w14:paraId="5FC7C543">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工程量计算规则：</w:t>
      </w:r>
      <w:r>
        <w:rPr>
          <w:rFonts w:hint="eastAsia" w:ascii="宋体" w:hAnsi="宋体" w:eastAsia="宋体" w:cs="宋体"/>
          <w:color w:val="000000"/>
          <w:sz w:val="21"/>
          <w:szCs w:val="21"/>
          <w:highlight w:val="none"/>
          <w:u w:val="single"/>
        </w:rPr>
        <w:t>工程的计量均以《建设工程工程量清单计价规范》 （GB50500－2013）和及其广西壮族自治区实施细则、 《建设工程工程量清单计算规范》 （GB50854～50862－2013）及其广西实施细则（修订本）、本工程补充项目清单为准。</w:t>
      </w:r>
      <w:r>
        <w:rPr>
          <w:rFonts w:hint="eastAsia" w:ascii="宋体" w:hAnsi="宋体" w:eastAsia="宋体" w:cs="宋体"/>
          <w:color w:val="000000"/>
          <w:sz w:val="21"/>
          <w:szCs w:val="21"/>
          <w:highlight w:val="none"/>
        </w:rPr>
        <w:t xml:space="preserve"> </w:t>
      </w:r>
    </w:p>
    <w:p w14:paraId="1623D1D7">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 xml:space="preserve">12.3.2 计量周期 </w:t>
      </w:r>
    </w:p>
    <w:p w14:paraId="26DC0D3E">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关于计量周期的约定：</w:t>
      </w:r>
      <w:r>
        <w:rPr>
          <w:rFonts w:hint="eastAsia" w:ascii="宋体" w:hAnsi="宋体" w:eastAsia="宋体" w:cs="宋体"/>
          <w:color w:val="000000"/>
          <w:sz w:val="21"/>
          <w:szCs w:val="21"/>
          <w:highlight w:val="none"/>
          <w:u w:val="single"/>
        </w:rPr>
        <w:t xml:space="preserve"> 承包人每月25日前向监理人报送上月20日至本月19日完成的工程量报告，并附具进度款申请单、已完成工程量报表和有关资料。</w:t>
      </w:r>
      <w:r>
        <w:rPr>
          <w:rFonts w:hint="eastAsia" w:ascii="宋体" w:hAnsi="宋体" w:eastAsia="宋体" w:cs="宋体"/>
          <w:color w:val="000000"/>
          <w:sz w:val="21"/>
          <w:szCs w:val="21"/>
          <w:highlight w:val="none"/>
        </w:rPr>
        <w:t xml:space="preserve"> </w:t>
      </w:r>
    </w:p>
    <w:p w14:paraId="4A0FCD5B">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12.3.3 单价合同的计量 </w:t>
      </w:r>
    </w:p>
    <w:p w14:paraId="3CF4BDD8">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关于单价合同计量的约定：</w:t>
      </w:r>
      <w:r>
        <w:rPr>
          <w:rFonts w:hint="eastAsia" w:ascii="宋体" w:hAnsi="宋体" w:eastAsia="宋体" w:cs="宋体"/>
          <w:color w:val="000000"/>
          <w:sz w:val="21"/>
          <w:szCs w:val="21"/>
          <w:highlight w:val="none"/>
          <w:u w:val="single"/>
        </w:rPr>
        <w:t xml:space="preserve"> (1) 工程量清单所列的工程量，不能作为承包人按合同履行其责任依据，实际施工中发生的工程量增加或减少并不影响承包人履行合同的责任，工程结算以完成的实际工程量为准。(2) 除另有规定外，工程师应按照合同通过计量来核实确定已完成的工程量和价款，承包人应得到该价款扣除保留金后的金额。当工程师要对已完工的工程量进行计量时，应适时地通知承包人参加</w:t>
      </w:r>
      <w:r>
        <w:rPr>
          <w:rFonts w:hint="eastAsia" w:ascii="宋体" w:hAnsi="宋体" w:eastAsia="宋体" w:cs="宋体"/>
          <w:color w:val="000000"/>
          <w:sz w:val="21"/>
          <w:szCs w:val="21"/>
          <w:highlight w:val="none"/>
        </w:rPr>
        <w:t xml:space="preserve">。 </w:t>
      </w:r>
    </w:p>
    <w:p w14:paraId="7E6DD9DB">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12.3.4 总价合同的计量 </w:t>
      </w:r>
    </w:p>
    <w:p w14:paraId="6C74964D">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关于总价合同计量的约定：</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28AD121F">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12.3.5 总价合同采用支付分解表计量支付的，是否适用第 12.3.4 项〔总价合同的计量〕约定进行计量：</w:t>
      </w:r>
      <w:r>
        <w:rPr>
          <w:rFonts w:hint="eastAsia" w:ascii="宋体" w:hAnsi="宋体" w:eastAsia="宋体" w:cs="宋体"/>
          <w:color w:val="000000"/>
          <w:sz w:val="21"/>
          <w:szCs w:val="21"/>
          <w:highlight w:val="none"/>
          <w:u w:val="single"/>
        </w:rPr>
        <w:t xml:space="preserve">无 </w:t>
      </w:r>
      <w:r>
        <w:rPr>
          <w:rFonts w:hint="eastAsia" w:ascii="宋体" w:hAnsi="宋体" w:eastAsia="宋体" w:cs="宋体"/>
          <w:color w:val="000000"/>
          <w:sz w:val="21"/>
          <w:szCs w:val="21"/>
          <w:highlight w:val="none"/>
        </w:rPr>
        <w:t xml:space="preserve">。 </w:t>
      </w:r>
    </w:p>
    <w:p w14:paraId="54299E1B">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12.3.6 其他价格形式合同的计量 </w:t>
      </w:r>
    </w:p>
    <w:p w14:paraId="32146D52">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其他价格形式的计量方式和程序：</w:t>
      </w:r>
      <w:r>
        <w:rPr>
          <w:rFonts w:hint="eastAsia" w:ascii="宋体" w:hAnsi="宋体" w:eastAsia="宋体" w:cs="宋体"/>
          <w:color w:val="000000"/>
          <w:sz w:val="21"/>
          <w:szCs w:val="21"/>
          <w:highlight w:val="none"/>
          <w:u w:val="single"/>
        </w:rPr>
        <w:t xml:space="preserve"> 无 </w:t>
      </w:r>
      <w:r>
        <w:rPr>
          <w:rFonts w:hint="eastAsia" w:ascii="宋体" w:hAnsi="宋体" w:eastAsia="宋体" w:cs="宋体"/>
          <w:color w:val="000000"/>
          <w:sz w:val="21"/>
          <w:szCs w:val="21"/>
          <w:highlight w:val="none"/>
        </w:rPr>
        <w:t xml:space="preserve">。 </w:t>
      </w:r>
    </w:p>
    <w:p w14:paraId="304A214B">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12.4 工程进度款支付</w:t>
      </w:r>
      <w:bookmarkEnd w:id="1402"/>
      <w:bookmarkEnd w:id="1403"/>
      <w:bookmarkEnd w:id="1404"/>
      <w:bookmarkEnd w:id="1405"/>
      <w:bookmarkEnd w:id="1406"/>
      <w:bookmarkEnd w:id="1407"/>
      <w:bookmarkEnd w:id="1408"/>
      <w:bookmarkEnd w:id="1409"/>
      <w:bookmarkEnd w:id="1410"/>
      <w:bookmarkEnd w:id="1411"/>
      <w:bookmarkEnd w:id="1412"/>
    </w:p>
    <w:p w14:paraId="0989567F">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bookmarkStart w:id="1413" w:name="_Toc296944550"/>
      <w:bookmarkStart w:id="1414" w:name="_Toc296346712"/>
      <w:bookmarkStart w:id="1415" w:name="_Toc297123556"/>
      <w:bookmarkStart w:id="1416" w:name="_Toc296891039"/>
      <w:bookmarkStart w:id="1417" w:name="_Toc292559416"/>
      <w:bookmarkStart w:id="1418" w:name="_Toc297048397"/>
      <w:bookmarkStart w:id="1419" w:name="_Toc296347210"/>
      <w:bookmarkStart w:id="1420" w:name="_Toc292559921"/>
      <w:bookmarkStart w:id="1421" w:name="_Toc300935006"/>
      <w:bookmarkStart w:id="1422" w:name="_Toc296503211"/>
      <w:bookmarkStart w:id="1423" w:name="_Toc296891251"/>
      <w:bookmarkStart w:id="1424" w:name="_Toc297120511"/>
      <w:bookmarkStart w:id="1425" w:name="_Toc303539163"/>
      <w:bookmarkStart w:id="1426" w:name="_Toc297216215"/>
      <w:r>
        <w:rPr>
          <w:rFonts w:hint="eastAsia" w:ascii="宋体" w:hAnsi="宋体" w:eastAsia="宋体" w:cs="宋体"/>
          <w:color w:val="000000"/>
          <w:sz w:val="21"/>
          <w:szCs w:val="21"/>
          <w:highlight w:val="none"/>
        </w:rPr>
        <w:t>12.4.1 付款周期</w:t>
      </w:r>
    </w:p>
    <w:p w14:paraId="1E3EDE15">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关于付款周期的约定：</w:t>
      </w:r>
      <w:r>
        <w:rPr>
          <w:rFonts w:hint="eastAsia" w:ascii="宋体" w:hAnsi="宋体" w:eastAsia="宋体" w:cs="宋体"/>
          <w:bCs/>
          <w:color w:val="000000"/>
          <w:sz w:val="21"/>
          <w:szCs w:val="21"/>
          <w:highlight w:val="none"/>
          <w:u w:val="single"/>
        </w:rPr>
        <w:t xml:space="preserve">工程款按月支付，合同内进度款支付额为已完成工程量的 80%，工程变更部分进度款支付额为已完成工程量的 60%；工程竣工验收达到质量要求，合同内进度款支付至实际完成工程量（经监理审核、发包人同意的）的 </w:t>
      </w:r>
      <w:r>
        <w:rPr>
          <w:rFonts w:hint="eastAsia" w:ascii="宋体" w:hAnsi="宋体" w:eastAsia="宋体" w:cs="宋体"/>
          <w:bCs/>
          <w:color w:val="000000"/>
          <w:sz w:val="21"/>
          <w:szCs w:val="21"/>
          <w:highlight w:val="none"/>
          <w:u w:val="single"/>
          <w:lang w:val="en-US" w:eastAsia="zh-CN"/>
        </w:rPr>
        <w:t>85</w:t>
      </w:r>
      <w:r>
        <w:rPr>
          <w:rFonts w:hint="eastAsia" w:ascii="宋体" w:hAnsi="宋体" w:eastAsia="宋体" w:cs="宋体"/>
          <w:bCs/>
          <w:color w:val="000000"/>
          <w:sz w:val="21"/>
          <w:szCs w:val="21"/>
          <w:highlight w:val="none"/>
          <w:u w:val="single"/>
        </w:rPr>
        <w:t>%</w:t>
      </w:r>
      <w:r>
        <w:rPr>
          <w:rFonts w:hint="eastAsia" w:ascii="宋体" w:hAnsi="宋体" w:eastAsia="宋体" w:cs="宋体"/>
          <w:bCs/>
          <w:color w:val="000000"/>
          <w:sz w:val="21"/>
          <w:szCs w:val="21"/>
          <w:highlight w:val="none"/>
          <w:u w:val="single"/>
          <w:lang w:eastAsia="zh-CN"/>
        </w:rPr>
        <w:t>（</w:t>
      </w:r>
      <w:r>
        <w:rPr>
          <w:rFonts w:hint="eastAsia" w:ascii="宋体" w:hAnsi="宋体" w:eastAsia="宋体" w:cs="宋体"/>
          <w:bCs/>
          <w:color w:val="000000"/>
          <w:sz w:val="21"/>
          <w:szCs w:val="21"/>
          <w:highlight w:val="none"/>
          <w:u w:val="single"/>
          <w:lang w:val="en-US" w:eastAsia="zh-CN"/>
        </w:rPr>
        <w:t>含预付款</w:t>
      </w:r>
      <w:r>
        <w:rPr>
          <w:rFonts w:hint="eastAsia" w:ascii="宋体" w:hAnsi="宋体" w:eastAsia="宋体" w:cs="宋体"/>
          <w:bCs/>
          <w:color w:val="000000"/>
          <w:sz w:val="21"/>
          <w:szCs w:val="21"/>
          <w:highlight w:val="none"/>
          <w:u w:val="single"/>
          <w:lang w:eastAsia="zh-CN"/>
        </w:rPr>
        <w:t>）</w:t>
      </w:r>
      <w:r>
        <w:rPr>
          <w:rFonts w:hint="eastAsia" w:ascii="宋体" w:hAnsi="宋体" w:eastAsia="宋体" w:cs="宋体"/>
          <w:bCs/>
          <w:color w:val="000000"/>
          <w:sz w:val="21"/>
          <w:szCs w:val="21"/>
          <w:highlight w:val="none"/>
          <w:u w:val="single"/>
        </w:rPr>
        <w:t>，合同外进度款支付至实际完成工程量（经监理审核、发包人同意的）的 70%。结算经</w:t>
      </w:r>
      <w:r>
        <w:rPr>
          <w:rFonts w:hint="eastAsia" w:ascii="宋体" w:hAnsi="宋体" w:eastAsia="宋体" w:cs="宋体"/>
          <w:bCs/>
          <w:color w:val="000000"/>
          <w:sz w:val="21"/>
          <w:szCs w:val="21"/>
          <w:highlight w:val="none"/>
          <w:u w:val="single"/>
          <w:lang w:eastAsia="zh-CN"/>
        </w:rPr>
        <w:t>桂林市</w:t>
      </w:r>
      <w:r>
        <w:rPr>
          <w:rFonts w:hint="eastAsia" w:ascii="宋体" w:hAnsi="宋体" w:eastAsia="宋体" w:cs="宋体"/>
          <w:bCs/>
          <w:color w:val="000000"/>
          <w:sz w:val="21"/>
          <w:szCs w:val="21"/>
          <w:highlight w:val="none"/>
          <w:u w:val="single"/>
          <w:lang w:val="en-US" w:eastAsia="zh-CN"/>
        </w:rPr>
        <w:t>先</w:t>
      </w:r>
      <w:r>
        <w:rPr>
          <w:rFonts w:hint="eastAsia" w:ascii="宋体" w:hAnsi="宋体" w:cs="宋体"/>
          <w:bCs/>
          <w:color w:val="000000"/>
          <w:sz w:val="21"/>
          <w:szCs w:val="21"/>
          <w:highlight w:val="none"/>
          <w:u w:val="single"/>
          <w:lang w:val="en-US" w:eastAsia="zh-CN"/>
        </w:rPr>
        <w:t>经</w:t>
      </w:r>
      <w:r>
        <w:rPr>
          <w:rFonts w:hint="eastAsia" w:ascii="宋体" w:hAnsi="宋体" w:eastAsia="宋体" w:cs="宋体"/>
          <w:bCs/>
          <w:color w:val="000000"/>
          <w:sz w:val="21"/>
          <w:szCs w:val="21"/>
          <w:highlight w:val="none"/>
          <w:u w:val="single"/>
          <w:lang w:eastAsia="zh-CN"/>
        </w:rPr>
        <w:t>财政局</w:t>
      </w:r>
      <w:r>
        <w:rPr>
          <w:rFonts w:hint="eastAsia" w:ascii="宋体" w:hAnsi="宋体" w:eastAsia="宋体" w:cs="宋体"/>
          <w:bCs/>
          <w:color w:val="000000"/>
          <w:sz w:val="21"/>
          <w:szCs w:val="21"/>
          <w:highlight w:val="none"/>
          <w:u w:val="single"/>
        </w:rPr>
        <w:t>审定后，工程款支付至结算总价的 97%（承包人同时开具含质保金在内的符合相关法律规定的正规发票） ；发包人按工程价款结算总额的</w:t>
      </w:r>
      <w:r>
        <w:rPr>
          <w:rFonts w:hint="eastAsia" w:ascii="宋体" w:hAnsi="宋体" w:eastAsia="宋体" w:cs="宋体"/>
          <w:bCs/>
          <w:color w:val="000000"/>
          <w:sz w:val="21"/>
          <w:szCs w:val="21"/>
          <w:highlight w:val="none"/>
          <w:u w:val="single"/>
          <w:lang w:val="en-US" w:eastAsia="zh-CN"/>
        </w:rPr>
        <w:t>3</w:t>
      </w:r>
      <w:r>
        <w:rPr>
          <w:rFonts w:hint="eastAsia" w:ascii="宋体" w:hAnsi="宋体" w:eastAsia="宋体" w:cs="宋体"/>
          <w:bCs/>
          <w:color w:val="000000"/>
          <w:sz w:val="21"/>
          <w:szCs w:val="21"/>
          <w:highlight w:val="none"/>
          <w:u w:val="single"/>
        </w:rPr>
        <w:t>%预留工程</w:t>
      </w:r>
      <w:r>
        <w:rPr>
          <w:rFonts w:hint="eastAsia" w:ascii="宋体" w:hAnsi="宋体" w:eastAsia="宋体" w:cs="宋体"/>
          <w:bCs/>
          <w:color w:val="000000"/>
          <w:sz w:val="21"/>
          <w:szCs w:val="21"/>
          <w:highlight w:val="none"/>
          <w:u w:val="single"/>
          <w:lang w:eastAsia="zh-CN"/>
        </w:rPr>
        <w:t>质量保证金</w:t>
      </w:r>
      <w:r>
        <w:rPr>
          <w:rFonts w:hint="eastAsia" w:ascii="宋体" w:hAnsi="宋体" w:eastAsia="宋体" w:cs="宋体"/>
          <w:bCs/>
          <w:color w:val="000000"/>
          <w:sz w:val="21"/>
          <w:szCs w:val="21"/>
          <w:highlight w:val="none"/>
          <w:u w:val="single"/>
        </w:rPr>
        <w:t>，待工程缺陷责任期满后，双方确认无质量返修问题后返还（无息）。</w:t>
      </w:r>
    </w:p>
    <w:p w14:paraId="3B1C77F7">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single"/>
        </w:rPr>
        <w:t>每次付款前，承包人应按发包人的要求提供符合相关法律法规的增值税发票，如发票不符合要求，发包人有权拒收，承包人应承担因不合格发票产生的所有责任。</w:t>
      </w:r>
    </w:p>
    <w:p w14:paraId="441BA47D">
      <w:pPr>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single"/>
        </w:rPr>
        <w:t>根据自治区办公厅 《关于全面治理拖欠农民工工资问题的实施意见》(桂政办发[2016]113号)、《关于印发广西壮族自治区工程建设领域工人工资支付专用账户管理办法的通知》(桂薪联发[2016]1号)、《桂林市财政局关于落实政府投资工程项目工程款与农民工工资分帐拨款的通知》市财建【2018】73号等文件规定，在全区工程建设领域，实行人工费用和其他工程款分账管理。</w:t>
      </w:r>
    </w:p>
    <w:p w14:paraId="25F47553">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12.4.2 进度付款申请单的编制</w:t>
      </w:r>
    </w:p>
    <w:p w14:paraId="44012AFE">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bCs/>
          <w:color w:val="000000"/>
          <w:sz w:val="21"/>
          <w:szCs w:val="21"/>
          <w:highlight w:val="none"/>
          <w:u w:val="single"/>
        </w:rPr>
      </w:pPr>
      <w:r>
        <w:rPr>
          <w:rFonts w:hint="eastAsia" w:ascii="宋体" w:hAnsi="宋体" w:eastAsia="宋体" w:cs="宋体"/>
          <w:color w:val="000000"/>
          <w:sz w:val="21"/>
          <w:szCs w:val="21"/>
          <w:highlight w:val="none"/>
        </w:rPr>
        <w:t>关于进度付款申请单编制的约定：</w:t>
      </w:r>
      <w:r>
        <w:rPr>
          <w:rFonts w:hint="eastAsia" w:ascii="宋体" w:hAnsi="宋体" w:eastAsia="宋体" w:cs="宋体"/>
          <w:bCs/>
          <w:color w:val="000000"/>
          <w:sz w:val="21"/>
          <w:szCs w:val="21"/>
          <w:highlight w:val="none"/>
          <w:u w:val="single"/>
        </w:rPr>
        <w:t>承包人应在每个计量周期到期后的7天内向发包人提交已完工程进度款支付申请一式四份，详细说明此周期自己认为有权得到的款额，包括分包人已完工程的价款，内容包括已完工程预算书、工程量计算式及劳务队组提供的民工工资支付证明。</w:t>
      </w:r>
    </w:p>
    <w:p w14:paraId="27EC5BD9">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r>
        <w:rPr>
          <w:rFonts w:hint="eastAsia" w:ascii="宋体" w:hAnsi="宋体" w:eastAsia="宋体" w:cs="宋体"/>
          <w:color w:val="000000"/>
          <w:sz w:val="21"/>
          <w:szCs w:val="21"/>
          <w:highlight w:val="none"/>
        </w:rPr>
        <w:t>2.4.3 进度付款申请单的提交</w:t>
      </w:r>
    </w:p>
    <w:p w14:paraId="6558911B">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bCs/>
          <w:color w:val="000000"/>
          <w:sz w:val="21"/>
          <w:szCs w:val="21"/>
          <w:highlight w:val="none"/>
          <w:u w:val="single"/>
        </w:rPr>
      </w:pPr>
      <w:r>
        <w:rPr>
          <w:rFonts w:hint="eastAsia" w:ascii="宋体" w:hAnsi="宋体" w:eastAsia="宋体" w:cs="宋体"/>
          <w:color w:val="000000"/>
          <w:sz w:val="21"/>
          <w:szCs w:val="21"/>
          <w:highlight w:val="none"/>
        </w:rPr>
        <w:t>（1）单价合同进度付款申请单提交的约定：</w:t>
      </w:r>
      <w:r>
        <w:rPr>
          <w:rFonts w:hint="eastAsia" w:ascii="宋体" w:hAnsi="宋体" w:eastAsia="宋体" w:cs="宋体"/>
          <w:bCs/>
          <w:color w:val="000000"/>
          <w:sz w:val="21"/>
          <w:szCs w:val="21"/>
          <w:highlight w:val="none"/>
          <w:u w:val="single"/>
        </w:rPr>
        <w:t>承包人应在每个计量周期到期后的3天内向发包人提交支付申请一式三份，承包人当月完成的产值不足合同价的1％时，不支付进度款，累计至下月一并支付。承包人应随投标文件提交不拖欠民工工资的承诺函和措施。具体支付手续按财政性资金支付程序有关规定办理。</w:t>
      </w:r>
    </w:p>
    <w:p w14:paraId="6E13BC60">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（2）总价合同进度付款申请单提交的约定：</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2E2D4AA4">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（3）其他价格形式合同进度付款申请单提交的约定：</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7854B97D">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12.4.4 进度款审核和支付</w:t>
      </w:r>
    </w:p>
    <w:p w14:paraId="237FDE59">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（1）监理人审查并报送发包人的期限：</w:t>
      </w:r>
      <w:r>
        <w:rPr>
          <w:rFonts w:hint="eastAsia" w:ascii="宋体" w:hAnsi="宋体" w:eastAsia="宋体" w:cs="宋体"/>
          <w:color w:val="000000"/>
          <w:sz w:val="21"/>
          <w:szCs w:val="21"/>
          <w:highlight w:val="none"/>
          <w:u w:val="single"/>
        </w:rPr>
        <w:t>监理人收到承包人进度付款申请单以及相关资料后 7 天内完成审查并报送发包人</w:t>
      </w:r>
      <w:r>
        <w:rPr>
          <w:rFonts w:hint="eastAsia" w:ascii="宋体" w:hAnsi="宋体" w:eastAsia="宋体" w:cs="宋体"/>
          <w:color w:val="000000"/>
          <w:sz w:val="21"/>
          <w:szCs w:val="21"/>
          <w:highlight w:val="none"/>
        </w:rPr>
        <w:t>。</w:t>
      </w:r>
    </w:p>
    <w:p w14:paraId="0BA40C81">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发包人完成审批并签发进度款支付证书的期限：</w:t>
      </w:r>
      <w:r>
        <w:rPr>
          <w:rFonts w:hint="eastAsia" w:ascii="宋体" w:hAnsi="宋体" w:eastAsia="宋体" w:cs="宋体"/>
          <w:color w:val="000000"/>
          <w:sz w:val="21"/>
          <w:szCs w:val="21"/>
          <w:highlight w:val="none"/>
          <w:u w:val="single"/>
        </w:rPr>
        <w:t>收到后 7 天内完成审批并签发</w:t>
      </w:r>
      <w:r>
        <w:rPr>
          <w:rFonts w:hint="eastAsia" w:ascii="宋体" w:hAnsi="宋体" w:eastAsia="宋体" w:cs="宋体"/>
          <w:color w:val="000000"/>
          <w:sz w:val="21"/>
          <w:szCs w:val="21"/>
          <w:highlight w:val="none"/>
        </w:rPr>
        <w:t>。</w:t>
      </w:r>
    </w:p>
    <w:p w14:paraId="57364B98">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（2）发包人支付进度款的期限：</w:t>
      </w:r>
      <w:r>
        <w:rPr>
          <w:rFonts w:hint="eastAsia" w:ascii="宋体" w:hAnsi="宋体" w:eastAsia="宋体" w:cs="宋体"/>
          <w:color w:val="000000"/>
          <w:sz w:val="21"/>
          <w:szCs w:val="21"/>
          <w:highlight w:val="none"/>
          <w:u w:val="single"/>
        </w:rPr>
        <w:t xml:space="preserve">办理相关付款手续后的7天内 </w:t>
      </w:r>
      <w:r>
        <w:rPr>
          <w:rFonts w:hint="eastAsia" w:ascii="宋体" w:hAnsi="宋体" w:eastAsia="宋体" w:cs="宋体"/>
          <w:color w:val="000000"/>
          <w:sz w:val="21"/>
          <w:szCs w:val="21"/>
          <w:highlight w:val="none"/>
        </w:rPr>
        <w:t>。</w:t>
      </w:r>
    </w:p>
    <w:p w14:paraId="2921ECD6">
      <w:pPr>
        <w:pStyle w:val="94"/>
        <w:pageBreakBefore w:val="0"/>
        <w:widowControl w:val="0"/>
        <w:kinsoku/>
        <w:wordWrap/>
        <w:overflowPunct/>
        <w:topLinePunct w:val="0"/>
        <w:bidi w:val="0"/>
        <w:snapToGrid/>
        <w:spacing w:line="360" w:lineRule="auto"/>
        <w:ind w:left="0" w:leftChars="0" w:firstLine="525" w:firstLineChars="25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发包人逾期支付进度款的违约金的计算方式：</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01BC8990">
      <w:pPr>
        <w:pStyle w:val="94"/>
        <w:pageBreakBefore w:val="0"/>
        <w:widowControl w:val="0"/>
        <w:kinsoku/>
        <w:wordWrap/>
        <w:overflowPunct/>
        <w:topLinePunct w:val="0"/>
        <w:bidi w:val="0"/>
        <w:snapToGrid/>
        <w:spacing w:line="360" w:lineRule="auto"/>
        <w:ind w:left="0" w:leftChars="0" w:firstLine="525" w:firstLineChars="25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进度款支付方式：</w:t>
      </w:r>
      <w:r>
        <w:rPr>
          <w:rFonts w:hint="eastAsia" w:ascii="宋体" w:hAnsi="宋体" w:eastAsia="宋体" w:cs="宋体"/>
          <w:color w:val="000000"/>
          <w:sz w:val="21"/>
          <w:szCs w:val="21"/>
          <w:highlight w:val="none"/>
          <w:u w:val="single"/>
        </w:rPr>
        <w:t>银行转账</w:t>
      </w:r>
      <w:r>
        <w:rPr>
          <w:rFonts w:hint="eastAsia" w:ascii="宋体" w:hAnsi="宋体" w:eastAsia="宋体" w:cs="宋体"/>
          <w:color w:val="000000"/>
          <w:sz w:val="21"/>
          <w:szCs w:val="21"/>
          <w:highlight w:val="none"/>
        </w:rPr>
        <w:t>。</w:t>
      </w:r>
    </w:p>
    <w:p w14:paraId="4AAEED5D">
      <w:pPr>
        <w:pStyle w:val="94"/>
        <w:pageBreakBefore w:val="0"/>
        <w:widowControl w:val="0"/>
        <w:kinsoku/>
        <w:wordWrap/>
        <w:overflowPunct/>
        <w:topLinePunct w:val="0"/>
        <w:bidi w:val="0"/>
        <w:snapToGrid/>
        <w:spacing w:line="360" w:lineRule="auto"/>
        <w:ind w:left="0" w:leftChars="0" w:firstLine="525" w:firstLineChars="25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12.4.6 支付分解表的编制</w:t>
      </w:r>
    </w:p>
    <w:p w14:paraId="5227D661">
      <w:pPr>
        <w:pStyle w:val="94"/>
        <w:pageBreakBefore w:val="0"/>
        <w:widowControl w:val="0"/>
        <w:kinsoku/>
        <w:wordWrap/>
        <w:overflowPunct/>
        <w:topLinePunct w:val="0"/>
        <w:bidi w:val="0"/>
        <w:snapToGrid/>
        <w:spacing w:line="360" w:lineRule="auto"/>
        <w:ind w:left="0" w:leftChars="0" w:firstLine="525" w:firstLineChars="250"/>
        <w:jc w:val="left"/>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2. 总价合同支付分解表的编制与审批：</w:t>
      </w:r>
      <w:r>
        <w:rPr>
          <w:rFonts w:hint="eastAsia" w:ascii="宋体" w:hAnsi="宋体" w:eastAsia="宋体" w:cs="宋体"/>
          <w:color w:val="000000"/>
          <w:sz w:val="21"/>
          <w:szCs w:val="21"/>
          <w:highlight w:val="none"/>
          <w:u w:val="single"/>
        </w:rPr>
        <w:t xml:space="preserve"> 无 </w:t>
      </w:r>
      <w:r>
        <w:rPr>
          <w:rFonts w:hint="eastAsia" w:ascii="宋体" w:hAnsi="宋体" w:eastAsia="宋体" w:cs="宋体"/>
          <w:color w:val="000000"/>
          <w:sz w:val="21"/>
          <w:szCs w:val="21"/>
          <w:highlight w:val="none"/>
        </w:rPr>
        <w:t>。</w:t>
      </w:r>
    </w:p>
    <w:p w14:paraId="0D761A7E">
      <w:pPr>
        <w:pStyle w:val="94"/>
        <w:pageBreakBefore w:val="0"/>
        <w:widowControl w:val="0"/>
        <w:kinsoku/>
        <w:wordWrap/>
        <w:overflowPunct/>
        <w:topLinePunct w:val="0"/>
        <w:bidi w:val="0"/>
        <w:snapToGrid/>
        <w:spacing w:line="360" w:lineRule="auto"/>
        <w:ind w:left="0" w:leftChars="0" w:firstLine="525" w:firstLineChars="250"/>
        <w:jc w:val="left"/>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3. 单价合同的总价项目支付分解表的编制与审批：</w:t>
      </w:r>
      <w:r>
        <w:rPr>
          <w:rFonts w:hint="eastAsia" w:ascii="宋体" w:hAnsi="宋体" w:eastAsia="宋体" w:cs="宋体"/>
          <w:color w:val="000000"/>
          <w:sz w:val="21"/>
          <w:szCs w:val="21"/>
          <w:highlight w:val="none"/>
          <w:u w:val="single"/>
        </w:rPr>
        <w:t>单价项目不采用支付分解表的方式计算，而按《建设工程工程量清单计价规范（GB50500-2013）广西壮族自治区实施细则（修订本）》的规定执行。</w:t>
      </w:r>
    </w:p>
    <w:bookmarkEnd w:id="1097"/>
    <w:p w14:paraId="17F67007">
      <w:pPr>
        <w:pStyle w:val="92"/>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bookmarkStart w:id="1427" w:name="_Toc418061365"/>
      <w:bookmarkStart w:id="1428" w:name="_Toc522201780"/>
      <w:bookmarkStart w:id="1429" w:name="_Toc351203645"/>
      <w:bookmarkStart w:id="1430" w:name="_Toc418518400"/>
      <w:bookmarkStart w:id="1431" w:name="_Toc373227753"/>
      <w:bookmarkStart w:id="1432" w:name="_Toc497747232"/>
      <w:bookmarkStart w:id="1433" w:name="_Toc497746835"/>
      <w:bookmarkStart w:id="1434" w:name="_Toc403578988"/>
      <w:bookmarkStart w:id="1435" w:name="_Toc389065318"/>
      <w:bookmarkStart w:id="1436" w:name="_Toc418518164"/>
      <w:bookmarkStart w:id="1437" w:name="_Toc418752296"/>
      <w:bookmarkStart w:id="1438" w:name="_Toc256000231"/>
      <w:bookmarkStart w:id="1439" w:name="_Toc373478400"/>
      <w:bookmarkStart w:id="1440" w:name="_Toc418751850"/>
      <w:bookmarkStart w:id="1441" w:name="_Toc292559929"/>
      <w:bookmarkStart w:id="1442" w:name="_Toc300935015"/>
      <w:bookmarkStart w:id="1443" w:name="_Toc296891047"/>
      <w:bookmarkStart w:id="1444" w:name="_Toc292559424"/>
      <w:bookmarkStart w:id="1445" w:name="_Toc297048405"/>
      <w:bookmarkStart w:id="1446" w:name="_Toc296891259"/>
      <w:bookmarkStart w:id="1447" w:name="_Toc297123564"/>
      <w:bookmarkStart w:id="1448" w:name="_Toc312678053"/>
      <w:bookmarkStart w:id="1449" w:name="_Toc304295593"/>
      <w:bookmarkStart w:id="1450" w:name="_Toc297120519"/>
      <w:bookmarkStart w:id="1451" w:name="_Toc297216223"/>
      <w:bookmarkStart w:id="1452" w:name="_Toc296346720"/>
      <w:bookmarkStart w:id="1453" w:name="_Toc296347218"/>
      <w:bookmarkStart w:id="1454" w:name="_Toc296503219"/>
      <w:bookmarkStart w:id="1455" w:name="_Toc296944558"/>
      <w:bookmarkStart w:id="1456" w:name="_Toc303539172"/>
      <w:r>
        <w:rPr>
          <w:rFonts w:hint="eastAsia" w:ascii="宋体" w:hAnsi="宋体" w:eastAsia="宋体" w:cs="宋体"/>
          <w:color w:val="000000"/>
          <w:sz w:val="21"/>
          <w:szCs w:val="21"/>
          <w:highlight w:val="none"/>
        </w:rPr>
        <w:t>13. 验收和工程试车</w:t>
      </w:r>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p>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p w14:paraId="1A30E42F">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1457" w:name="_Toc522201781"/>
      <w:bookmarkStart w:id="1458" w:name="_Toc497747233"/>
      <w:bookmarkStart w:id="1459" w:name="_Toc256000232"/>
      <w:bookmarkStart w:id="1460" w:name="_Toc418518401"/>
      <w:bookmarkStart w:id="1461" w:name="_Toc403578989"/>
      <w:bookmarkStart w:id="1462" w:name="_Toc418061366"/>
      <w:bookmarkStart w:id="1463" w:name="_Toc418752297"/>
      <w:bookmarkStart w:id="1464" w:name="_Toc497746836"/>
      <w:bookmarkStart w:id="1465" w:name="_Toc373227754"/>
      <w:bookmarkStart w:id="1466" w:name="_Toc389065319"/>
      <w:bookmarkStart w:id="1467" w:name="_Toc418518165"/>
      <w:bookmarkStart w:id="1468" w:name="_Toc373478401"/>
      <w:bookmarkStart w:id="1469" w:name="_Toc418751851"/>
      <w:r>
        <w:rPr>
          <w:rFonts w:hint="eastAsia" w:ascii="宋体" w:hAnsi="宋体" w:eastAsia="宋体" w:cs="宋体"/>
          <w:color w:val="000000"/>
          <w:sz w:val="21"/>
          <w:szCs w:val="21"/>
          <w:highlight w:val="none"/>
        </w:rPr>
        <w:t>13.1 分部分项工程验收</w:t>
      </w:r>
      <w:bookmarkEnd w:id="1457"/>
      <w:bookmarkEnd w:id="1458"/>
      <w:bookmarkEnd w:id="1459"/>
      <w:bookmarkEnd w:id="1460"/>
      <w:bookmarkEnd w:id="1461"/>
      <w:bookmarkEnd w:id="1462"/>
      <w:bookmarkEnd w:id="1463"/>
      <w:bookmarkEnd w:id="1464"/>
      <w:bookmarkEnd w:id="1465"/>
      <w:bookmarkEnd w:id="1466"/>
      <w:bookmarkEnd w:id="1467"/>
      <w:bookmarkEnd w:id="1468"/>
      <w:bookmarkEnd w:id="1469"/>
    </w:p>
    <w:p w14:paraId="66B77ADA">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13.1.2监理人不能按时进行验收时，应提前</w:t>
      </w:r>
      <w:r>
        <w:rPr>
          <w:rFonts w:hint="eastAsia" w:ascii="宋体" w:hAnsi="宋体" w:eastAsia="宋体" w:cs="宋体"/>
          <w:color w:val="000000"/>
          <w:sz w:val="21"/>
          <w:szCs w:val="21"/>
          <w:highlight w:val="none"/>
          <w:u w:val="single"/>
        </w:rPr>
        <w:t xml:space="preserve"> 24 </w:t>
      </w:r>
      <w:r>
        <w:rPr>
          <w:rFonts w:hint="eastAsia" w:ascii="宋体" w:hAnsi="宋体" w:eastAsia="宋体" w:cs="宋体"/>
          <w:color w:val="000000"/>
          <w:sz w:val="21"/>
          <w:szCs w:val="21"/>
          <w:highlight w:val="none"/>
        </w:rPr>
        <w:t>小时提交书面延期要求。</w:t>
      </w:r>
    </w:p>
    <w:p w14:paraId="10A6FF97">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关于延期最长不得超过：</w:t>
      </w:r>
      <w:r>
        <w:rPr>
          <w:rFonts w:hint="eastAsia" w:ascii="宋体" w:hAnsi="宋体" w:eastAsia="宋体" w:cs="宋体"/>
          <w:color w:val="000000"/>
          <w:sz w:val="21"/>
          <w:szCs w:val="21"/>
          <w:highlight w:val="none"/>
          <w:u w:val="single"/>
        </w:rPr>
        <w:t xml:space="preserve"> 48 </w:t>
      </w:r>
      <w:r>
        <w:rPr>
          <w:rFonts w:hint="eastAsia" w:ascii="宋体" w:hAnsi="宋体" w:eastAsia="宋体" w:cs="宋体"/>
          <w:color w:val="000000"/>
          <w:sz w:val="21"/>
          <w:szCs w:val="21"/>
          <w:highlight w:val="none"/>
        </w:rPr>
        <w:t>小时。</w:t>
      </w:r>
    </w:p>
    <w:p w14:paraId="4D407F10">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1470" w:name="_Toc418061367"/>
      <w:bookmarkStart w:id="1471" w:name="_Toc522201782"/>
      <w:bookmarkStart w:id="1472" w:name="_Toc418752298"/>
      <w:bookmarkStart w:id="1473" w:name="_Toc373227755"/>
      <w:bookmarkStart w:id="1474" w:name="_Toc256000233"/>
      <w:bookmarkStart w:id="1475" w:name="_Toc497747234"/>
      <w:bookmarkStart w:id="1476" w:name="_Toc418518166"/>
      <w:bookmarkStart w:id="1477" w:name="_Toc403578990"/>
      <w:bookmarkStart w:id="1478" w:name="_Toc389065320"/>
      <w:bookmarkStart w:id="1479" w:name="_Toc418518402"/>
      <w:bookmarkStart w:id="1480" w:name="_Toc497746837"/>
      <w:bookmarkStart w:id="1481" w:name="_Toc373478402"/>
      <w:bookmarkStart w:id="1482" w:name="_Toc418751852"/>
      <w:bookmarkStart w:id="1483" w:name="_Toc303539173"/>
      <w:bookmarkStart w:id="1484" w:name="_Toc304295596"/>
      <w:bookmarkStart w:id="1485" w:name="_Toc296503223"/>
      <w:bookmarkStart w:id="1486" w:name="_Toc296346724"/>
      <w:bookmarkStart w:id="1487" w:name="_Toc296347222"/>
      <w:bookmarkStart w:id="1488" w:name="_Toc292559428"/>
      <w:bookmarkStart w:id="1489" w:name="_Toc292559933"/>
      <w:bookmarkStart w:id="1490" w:name="_Toc296891263"/>
      <w:bookmarkStart w:id="1491" w:name="_Toc297048409"/>
      <w:bookmarkStart w:id="1492" w:name="_Toc312678056"/>
      <w:bookmarkStart w:id="1493" w:name="_Toc297120523"/>
      <w:bookmarkStart w:id="1494" w:name="_Toc300935016"/>
      <w:bookmarkStart w:id="1495" w:name="_Toc297123565"/>
      <w:bookmarkStart w:id="1496" w:name="_Toc296944562"/>
      <w:bookmarkStart w:id="1497" w:name="_Toc297216224"/>
      <w:bookmarkStart w:id="1498" w:name="_Toc296891051"/>
      <w:bookmarkStart w:id="1499" w:name="_Toc267251474"/>
      <w:bookmarkStart w:id="1500" w:name="_Toc267251476"/>
      <w:bookmarkStart w:id="1501" w:name="_Toc267251471"/>
      <w:bookmarkStart w:id="1502" w:name="_Toc267251470"/>
      <w:bookmarkStart w:id="1503" w:name="_Toc267251472"/>
      <w:bookmarkStart w:id="1504" w:name="_Toc267251475"/>
      <w:bookmarkStart w:id="1505" w:name="_Toc267251473"/>
      <w:r>
        <w:rPr>
          <w:rFonts w:hint="eastAsia" w:ascii="宋体" w:hAnsi="宋体" w:eastAsia="宋体" w:cs="宋体"/>
          <w:color w:val="000000"/>
          <w:sz w:val="21"/>
          <w:szCs w:val="21"/>
          <w:highlight w:val="none"/>
        </w:rPr>
        <w:t>13.2 竣工验收</w:t>
      </w:r>
      <w:bookmarkEnd w:id="1470"/>
      <w:bookmarkEnd w:id="1471"/>
      <w:bookmarkEnd w:id="1472"/>
      <w:bookmarkEnd w:id="1473"/>
      <w:bookmarkEnd w:id="1474"/>
      <w:bookmarkEnd w:id="1475"/>
      <w:bookmarkEnd w:id="1476"/>
      <w:bookmarkEnd w:id="1477"/>
      <w:bookmarkEnd w:id="1478"/>
      <w:bookmarkEnd w:id="1479"/>
      <w:bookmarkEnd w:id="1480"/>
      <w:bookmarkEnd w:id="1481"/>
      <w:bookmarkEnd w:id="1482"/>
    </w:p>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p w14:paraId="34B6E6DC">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bookmarkStart w:id="1506" w:name="_Toc280868704"/>
      <w:bookmarkStart w:id="1507" w:name="_Toc280868705"/>
      <w:bookmarkStart w:id="1508" w:name="_Toc280868706"/>
      <w:bookmarkStart w:id="1509" w:name="_Toc280868707"/>
      <w:bookmarkStart w:id="1510" w:name="_Toc280868708"/>
      <w:bookmarkStart w:id="1511" w:name="_Toc280868709"/>
      <w:r>
        <w:rPr>
          <w:rFonts w:hint="eastAsia" w:ascii="宋体" w:hAnsi="宋体" w:eastAsia="宋体" w:cs="宋体"/>
          <w:color w:val="000000"/>
          <w:sz w:val="21"/>
          <w:szCs w:val="21"/>
          <w:highlight w:val="none"/>
        </w:rPr>
        <w:t>13.2.1竣工验收条件</w:t>
      </w:r>
    </w:p>
    <w:p w14:paraId="3DC0F3C1">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000000"/>
          <w:sz w:val="21"/>
          <w:szCs w:val="21"/>
          <w:highlight w:val="none"/>
          <w:u w:val="single"/>
        </w:rPr>
        <w:t xml:space="preserve">  1、工程具备竣工验收条件，承包人按工期竣工验收有关规定，向发包人提交符合桂林市城建档案馆归档要求内</w:t>
      </w:r>
      <w:r>
        <w:rPr>
          <w:rFonts w:hint="eastAsia" w:ascii="宋体" w:hAnsi="宋体" w:eastAsia="宋体" w:cs="宋体"/>
          <w:strike w:val="0"/>
          <w:dstrike w:val="0"/>
          <w:color w:val="000000"/>
          <w:sz w:val="21"/>
          <w:szCs w:val="21"/>
          <w:highlight w:val="none"/>
          <w:u w:val="single"/>
        </w:rPr>
        <w:t>容装订成册的完整竣工资料及竣工验收报告、工程竣工图。2、承包人所提交的竣工资料必须符合《建设工程归档整理规范》要求，并在结算审批时出具《工程档案验收合格证明》及建设单位接收档</w:t>
      </w:r>
      <w:r>
        <w:rPr>
          <w:rFonts w:hint="eastAsia" w:ascii="宋体" w:hAnsi="宋体" w:eastAsia="宋体" w:cs="宋体"/>
          <w:color w:val="000000"/>
          <w:sz w:val="21"/>
          <w:szCs w:val="21"/>
          <w:highlight w:val="none"/>
          <w:u w:val="single"/>
        </w:rPr>
        <w:t xml:space="preserve">案资料清单证明   </w:t>
      </w:r>
      <w:r>
        <w:rPr>
          <w:rFonts w:hint="eastAsia" w:ascii="宋体" w:hAnsi="宋体" w:eastAsia="宋体" w:cs="宋体"/>
          <w:color w:val="000000"/>
          <w:sz w:val="21"/>
          <w:szCs w:val="21"/>
          <w:highlight w:val="none"/>
        </w:rPr>
        <w:t>。</w:t>
      </w:r>
    </w:p>
    <w:p w14:paraId="1AB9BB4A">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竣工验收资料的份数：</w:t>
      </w:r>
      <w:r>
        <w:rPr>
          <w:rFonts w:hint="eastAsia" w:ascii="宋体" w:hAnsi="宋体" w:eastAsia="宋体" w:cs="宋体"/>
          <w:color w:val="000000"/>
          <w:sz w:val="21"/>
          <w:szCs w:val="21"/>
          <w:highlight w:val="none"/>
          <w:u w:val="single"/>
        </w:rPr>
        <w:t>肆份，承包人承担竣工验收资料编制、立卷及至档案馆归档等一切费用</w:t>
      </w:r>
      <w:r>
        <w:rPr>
          <w:rFonts w:hint="eastAsia" w:ascii="宋体" w:hAnsi="宋体" w:eastAsia="宋体" w:cs="宋体"/>
          <w:color w:val="000000"/>
          <w:sz w:val="21"/>
          <w:szCs w:val="21"/>
          <w:highlight w:val="none"/>
        </w:rPr>
        <w:t>。</w:t>
      </w:r>
    </w:p>
    <w:p w14:paraId="28FD7759">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承包人提供竣工图的约定：</w:t>
      </w:r>
      <w:r>
        <w:rPr>
          <w:rFonts w:hint="eastAsia" w:ascii="宋体" w:hAnsi="宋体" w:eastAsia="宋体" w:cs="宋体"/>
          <w:bCs/>
          <w:color w:val="000000"/>
          <w:sz w:val="21"/>
          <w:szCs w:val="21"/>
          <w:highlight w:val="none"/>
          <w:u w:val="single"/>
        </w:rPr>
        <w:t>竣工验收正式通过后15天，提供4套竣工图。</w:t>
      </w:r>
    </w:p>
    <w:p w14:paraId="52CF29DA">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13.2.2竣工验收程序</w:t>
      </w:r>
    </w:p>
    <w:bookmarkEnd w:id="1506"/>
    <w:p w14:paraId="65C873A8">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kern w:val="0"/>
          <w:sz w:val="21"/>
          <w:szCs w:val="21"/>
          <w:highlight w:val="none"/>
        </w:rPr>
        <w:t>关于竣工验收程序的约定</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sz w:val="21"/>
          <w:szCs w:val="21"/>
          <w:highlight w:val="none"/>
          <w:u w:val="single"/>
        </w:rPr>
        <w:t>由承包人提出申请，经监理工程师及承包人同意后，通知各质检及监督部门进行竣工验收。本工程竣工验收合格后，双方应在验收报告上签字认可，本工程实际竣工日期以建设、设计、勘察、监理、施工五家单位验收小组正式验收签字日期为准。工程保修按合同附件3《工程质量保修书》有关规定执行。</w:t>
      </w:r>
    </w:p>
    <w:p w14:paraId="1C5D7C99">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kern w:val="0"/>
          <w:sz w:val="21"/>
          <w:szCs w:val="21"/>
          <w:highlight w:val="none"/>
        </w:rPr>
        <w:t>发包人不按照本项约定组织竣工验收、颁发工程接收证书的违约金的计算方法：</w:t>
      </w:r>
      <w:r>
        <w:rPr>
          <w:rFonts w:hint="eastAsia" w:ascii="宋体" w:hAnsi="宋体" w:eastAsia="宋体" w:cs="宋体"/>
          <w:color w:val="000000"/>
          <w:sz w:val="21"/>
          <w:szCs w:val="21"/>
          <w:highlight w:val="none"/>
          <w:u w:val="single"/>
        </w:rPr>
        <w:t xml:space="preserve"> 无  </w:t>
      </w:r>
      <w:r>
        <w:rPr>
          <w:rFonts w:hint="eastAsia" w:ascii="宋体" w:hAnsi="宋体" w:eastAsia="宋体" w:cs="宋体"/>
          <w:color w:val="000000"/>
          <w:sz w:val="21"/>
          <w:szCs w:val="21"/>
          <w:highlight w:val="none"/>
        </w:rPr>
        <w:t>。</w:t>
      </w:r>
    </w:p>
    <w:bookmarkEnd w:id="1507"/>
    <w:p w14:paraId="3296C0E2">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13.2.5移交、接收全部与部分工程</w:t>
      </w:r>
    </w:p>
    <w:bookmarkEnd w:id="1508"/>
    <w:p w14:paraId="1A31257F">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承包人向发包人移交工程的期限：</w:t>
      </w:r>
      <w:r>
        <w:rPr>
          <w:rFonts w:hint="eastAsia" w:ascii="宋体" w:hAnsi="宋体" w:eastAsia="宋体" w:cs="宋体"/>
          <w:color w:val="000000"/>
          <w:sz w:val="21"/>
          <w:szCs w:val="21"/>
          <w:highlight w:val="none"/>
          <w:u w:val="single"/>
        </w:rPr>
        <w:t xml:space="preserve"> 竣工验收整改完毕三日内 </w:t>
      </w:r>
      <w:r>
        <w:rPr>
          <w:rFonts w:hint="eastAsia" w:ascii="宋体" w:hAnsi="宋体" w:eastAsia="宋体" w:cs="宋体"/>
          <w:color w:val="000000"/>
          <w:sz w:val="21"/>
          <w:szCs w:val="21"/>
          <w:highlight w:val="none"/>
        </w:rPr>
        <w:t>。</w:t>
      </w:r>
    </w:p>
    <w:p w14:paraId="73A77AC5">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kern w:val="0"/>
          <w:sz w:val="21"/>
          <w:szCs w:val="21"/>
          <w:highlight w:val="none"/>
        </w:rPr>
        <w:t>发包人未按本合同约定接收全部或部分工程的，违约金的计算方法为：</w:t>
      </w:r>
      <w:r>
        <w:rPr>
          <w:rFonts w:hint="eastAsia" w:ascii="宋体" w:hAnsi="宋体" w:eastAsia="宋体" w:cs="宋体"/>
          <w:color w:val="000000"/>
          <w:sz w:val="21"/>
          <w:szCs w:val="21"/>
          <w:highlight w:val="none"/>
          <w:u w:val="single"/>
        </w:rPr>
        <w:t xml:space="preserve">  </w:t>
      </w:r>
      <w:r>
        <w:rPr>
          <w:rFonts w:hint="eastAsia" w:ascii="宋体" w:hAnsi="宋体" w:eastAsia="宋体" w:cs="宋体"/>
          <w:bCs/>
          <w:color w:val="000000"/>
          <w:sz w:val="21"/>
          <w:szCs w:val="21"/>
          <w:highlight w:val="none"/>
          <w:u w:val="single"/>
        </w:rPr>
        <w:t>每逾期一天，按</w:t>
      </w:r>
      <w:r>
        <w:rPr>
          <w:rFonts w:hint="eastAsia" w:ascii="宋体" w:hAnsi="宋体" w:eastAsia="宋体" w:cs="宋体"/>
          <w:color w:val="000000"/>
          <w:sz w:val="21"/>
          <w:szCs w:val="21"/>
          <w:highlight w:val="none"/>
          <w:u w:val="single"/>
          <w:lang w:val="zh-CN"/>
        </w:rPr>
        <w:t>签约合同价</w:t>
      </w:r>
      <w:r>
        <w:rPr>
          <w:rFonts w:hint="eastAsia" w:ascii="宋体" w:hAnsi="宋体" w:eastAsia="宋体" w:cs="宋体"/>
          <w:color w:val="000000"/>
          <w:sz w:val="21"/>
          <w:szCs w:val="21"/>
          <w:highlight w:val="none"/>
          <w:u w:val="single"/>
        </w:rPr>
        <w:t>款扣除社会保险费、发包人材料价款、暂估专业工程、暂列金额后的万分之四/天</w:t>
      </w:r>
      <w:r>
        <w:rPr>
          <w:rFonts w:hint="eastAsia" w:ascii="宋体" w:hAnsi="宋体" w:eastAsia="宋体" w:cs="宋体"/>
          <w:bCs/>
          <w:color w:val="000000"/>
          <w:sz w:val="21"/>
          <w:szCs w:val="21"/>
          <w:highlight w:val="none"/>
          <w:u w:val="single"/>
        </w:rPr>
        <w:t xml:space="preserve">支付违约金，最高限额为结算价的3% </w:t>
      </w:r>
      <w:r>
        <w:rPr>
          <w:rFonts w:hint="eastAsia" w:ascii="宋体" w:hAnsi="宋体" w:eastAsia="宋体" w:cs="宋体"/>
          <w:color w:val="000000"/>
          <w:sz w:val="21"/>
          <w:szCs w:val="21"/>
          <w:highlight w:val="none"/>
        </w:rPr>
        <w:t>。</w:t>
      </w:r>
    </w:p>
    <w:bookmarkEnd w:id="1509"/>
    <w:p w14:paraId="2E2794D7">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承包人未按时移交工程的，违约金的计算方法为：</w:t>
      </w:r>
      <w:r>
        <w:rPr>
          <w:rFonts w:hint="eastAsia" w:ascii="宋体" w:hAnsi="宋体" w:eastAsia="宋体" w:cs="宋体"/>
          <w:color w:val="000000"/>
          <w:sz w:val="21"/>
          <w:szCs w:val="21"/>
          <w:highlight w:val="none"/>
          <w:u w:val="single"/>
        </w:rPr>
        <w:t xml:space="preserve">  </w:t>
      </w:r>
      <w:r>
        <w:rPr>
          <w:rFonts w:hint="eastAsia" w:ascii="宋体" w:hAnsi="宋体" w:eastAsia="宋体" w:cs="宋体"/>
          <w:bCs/>
          <w:color w:val="000000"/>
          <w:sz w:val="21"/>
          <w:szCs w:val="21"/>
          <w:highlight w:val="none"/>
          <w:u w:val="single"/>
        </w:rPr>
        <w:t>每逾期一天</w:t>
      </w:r>
      <w:r>
        <w:rPr>
          <w:rFonts w:hint="eastAsia" w:ascii="宋体" w:hAnsi="宋体" w:eastAsia="宋体" w:cs="宋体"/>
          <w:color w:val="000000"/>
          <w:sz w:val="21"/>
          <w:szCs w:val="21"/>
          <w:highlight w:val="none"/>
          <w:u w:val="single"/>
        </w:rPr>
        <w:t>，按</w:t>
      </w:r>
      <w:r>
        <w:rPr>
          <w:rFonts w:hint="eastAsia" w:ascii="宋体" w:hAnsi="宋体" w:eastAsia="宋体" w:cs="宋体"/>
          <w:color w:val="000000"/>
          <w:sz w:val="21"/>
          <w:szCs w:val="21"/>
          <w:highlight w:val="none"/>
          <w:u w:val="single"/>
          <w:lang w:val="zh-CN"/>
        </w:rPr>
        <w:t>签约合同价</w:t>
      </w:r>
      <w:r>
        <w:rPr>
          <w:rFonts w:hint="eastAsia" w:ascii="宋体" w:hAnsi="宋体" w:eastAsia="宋体" w:cs="宋体"/>
          <w:color w:val="000000"/>
          <w:sz w:val="21"/>
          <w:szCs w:val="21"/>
          <w:highlight w:val="none"/>
          <w:u w:val="single"/>
        </w:rPr>
        <w:t xml:space="preserve">款扣除社会保险费、发包人材料价款、暂估专业工程、暂列金额后的万分之四/天支付违约金，最高限额为结算价的3%  </w:t>
      </w:r>
      <w:r>
        <w:rPr>
          <w:rFonts w:hint="eastAsia" w:ascii="宋体" w:hAnsi="宋体" w:eastAsia="宋体" w:cs="宋体"/>
          <w:color w:val="000000"/>
          <w:sz w:val="21"/>
          <w:szCs w:val="21"/>
          <w:highlight w:val="none"/>
        </w:rPr>
        <w:t>。</w:t>
      </w:r>
    </w:p>
    <w:p w14:paraId="5F01BBE6">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1512" w:name="_Toc256000234"/>
      <w:bookmarkStart w:id="1513" w:name="_Toc418752299"/>
      <w:bookmarkStart w:id="1514" w:name="_Toc418061368"/>
      <w:bookmarkStart w:id="1515" w:name="_Toc418518403"/>
      <w:bookmarkStart w:id="1516" w:name="_Toc373227756"/>
      <w:bookmarkStart w:id="1517" w:name="_Toc497747235"/>
      <w:bookmarkStart w:id="1518" w:name="_Toc373478403"/>
      <w:bookmarkStart w:id="1519" w:name="_Toc418751853"/>
      <w:bookmarkStart w:id="1520" w:name="_Toc497746838"/>
      <w:bookmarkStart w:id="1521" w:name="_Toc418518167"/>
      <w:bookmarkStart w:id="1522" w:name="_Toc403578991"/>
      <w:bookmarkStart w:id="1523" w:name="_Toc522201783"/>
      <w:bookmarkStart w:id="1524" w:name="_Toc389065321"/>
      <w:r>
        <w:rPr>
          <w:rFonts w:hint="eastAsia" w:ascii="宋体" w:hAnsi="宋体" w:eastAsia="宋体" w:cs="宋体"/>
          <w:color w:val="000000"/>
          <w:sz w:val="21"/>
          <w:szCs w:val="21"/>
          <w:highlight w:val="none"/>
        </w:rPr>
        <w:t>13.3 工程试车</w:t>
      </w:r>
      <w:bookmarkEnd w:id="1512"/>
      <w:bookmarkEnd w:id="1513"/>
      <w:bookmarkEnd w:id="1514"/>
      <w:bookmarkEnd w:id="1515"/>
      <w:bookmarkEnd w:id="1516"/>
      <w:bookmarkEnd w:id="1517"/>
      <w:bookmarkEnd w:id="1518"/>
      <w:bookmarkEnd w:id="1519"/>
      <w:bookmarkEnd w:id="1520"/>
      <w:bookmarkEnd w:id="1521"/>
      <w:bookmarkEnd w:id="1522"/>
      <w:bookmarkEnd w:id="1523"/>
      <w:bookmarkEnd w:id="1524"/>
    </w:p>
    <w:bookmarkEnd w:id="1510"/>
    <w:p w14:paraId="3E90CB6C">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13.3.1 试车程序</w:t>
      </w:r>
    </w:p>
    <w:p w14:paraId="485D9070">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kern w:val="0"/>
          <w:sz w:val="21"/>
          <w:szCs w:val="21"/>
          <w:highlight w:val="none"/>
        </w:rPr>
        <w:t>工程试车内容：</w:t>
      </w:r>
      <w:r>
        <w:rPr>
          <w:rFonts w:hint="eastAsia" w:ascii="宋体" w:hAnsi="宋体" w:eastAsia="宋体" w:cs="宋体"/>
          <w:color w:val="000000"/>
          <w:sz w:val="21"/>
          <w:szCs w:val="21"/>
          <w:highlight w:val="none"/>
          <w:u w:val="single"/>
        </w:rPr>
        <w:t xml:space="preserve">  为达到本工程的验收标准，工程范围内的设施和承包人安装的设备应进行试运行调试，费用由承包人自行负责并已包括在投标报价中 </w:t>
      </w:r>
      <w:r>
        <w:rPr>
          <w:rFonts w:hint="eastAsia" w:ascii="宋体" w:hAnsi="宋体" w:eastAsia="宋体" w:cs="宋体"/>
          <w:color w:val="000000"/>
          <w:sz w:val="21"/>
          <w:szCs w:val="21"/>
          <w:highlight w:val="none"/>
        </w:rPr>
        <w:t>。</w:t>
      </w:r>
    </w:p>
    <w:p w14:paraId="146470F3">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（1）单机无负荷试车费用由</w:t>
      </w:r>
      <w:r>
        <w:rPr>
          <w:rFonts w:hint="eastAsia" w:ascii="宋体" w:hAnsi="宋体" w:eastAsia="宋体" w:cs="宋体"/>
          <w:color w:val="000000"/>
          <w:sz w:val="21"/>
          <w:szCs w:val="21"/>
          <w:highlight w:val="none"/>
          <w:u w:val="single"/>
        </w:rPr>
        <w:t xml:space="preserve">  承包人组织试运行，费用由承包人</w:t>
      </w:r>
      <w:r>
        <w:rPr>
          <w:rFonts w:hint="eastAsia" w:ascii="宋体" w:hAnsi="宋体" w:eastAsia="宋体" w:cs="宋体"/>
          <w:color w:val="000000"/>
          <w:kern w:val="0"/>
          <w:sz w:val="21"/>
          <w:szCs w:val="21"/>
          <w:highlight w:val="none"/>
        </w:rPr>
        <w:t>承担；</w:t>
      </w:r>
    </w:p>
    <w:p w14:paraId="53AFDC01">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（2）无负荷联动试车费用由</w:t>
      </w:r>
      <w:r>
        <w:rPr>
          <w:rFonts w:hint="eastAsia" w:ascii="宋体" w:hAnsi="宋体" w:eastAsia="宋体" w:cs="宋体"/>
          <w:color w:val="000000"/>
          <w:sz w:val="21"/>
          <w:szCs w:val="21"/>
          <w:highlight w:val="none"/>
          <w:u w:val="single"/>
        </w:rPr>
        <w:t xml:space="preserve">  承包人组织试运行，费用由承包人</w:t>
      </w:r>
      <w:r>
        <w:rPr>
          <w:rFonts w:hint="eastAsia" w:ascii="宋体" w:hAnsi="宋体" w:eastAsia="宋体" w:cs="宋体"/>
          <w:color w:val="000000"/>
          <w:kern w:val="0"/>
          <w:sz w:val="21"/>
          <w:szCs w:val="21"/>
          <w:highlight w:val="none"/>
        </w:rPr>
        <w:t>承担。</w:t>
      </w:r>
    </w:p>
    <w:p w14:paraId="2D287F59">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13.3.3 投料试车</w:t>
      </w:r>
    </w:p>
    <w:p w14:paraId="57D12771">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kern w:val="0"/>
          <w:sz w:val="21"/>
          <w:szCs w:val="21"/>
          <w:highlight w:val="none"/>
        </w:rPr>
        <w:t>关于投料试车相关事项的约定：</w:t>
      </w:r>
      <w:r>
        <w:rPr>
          <w:rFonts w:hint="eastAsia" w:ascii="宋体" w:hAnsi="宋体" w:eastAsia="宋体" w:cs="宋体"/>
          <w:color w:val="000000"/>
          <w:sz w:val="21"/>
          <w:szCs w:val="21"/>
          <w:highlight w:val="none"/>
          <w:u w:val="single"/>
        </w:rPr>
        <w:t xml:space="preserve"> 由承包人组织试运行，费用由承包人承担 </w:t>
      </w:r>
      <w:r>
        <w:rPr>
          <w:rFonts w:hint="eastAsia" w:ascii="宋体" w:hAnsi="宋体" w:eastAsia="宋体" w:cs="宋体"/>
          <w:color w:val="000000"/>
          <w:sz w:val="21"/>
          <w:szCs w:val="21"/>
          <w:highlight w:val="none"/>
        </w:rPr>
        <w:t>。</w:t>
      </w:r>
    </w:p>
    <w:p w14:paraId="4878BD7F">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1525" w:name="_Toc256000235"/>
      <w:bookmarkStart w:id="1526" w:name="_Toc418061369"/>
      <w:bookmarkStart w:id="1527" w:name="_Toc418518168"/>
      <w:bookmarkStart w:id="1528" w:name="_Toc373478404"/>
      <w:bookmarkStart w:id="1529" w:name="_Toc403578992"/>
      <w:bookmarkStart w:id="1530" w:name="_Toc418752300"/>
      <w:bookmarkStart w:id="1531" w:name="_Toc497746839"/>
      <w:bookmarkStart w:id="1532" w:name="_Toc418751854"/>
      <w:bookmarkStart w:id="1533" w:name="_Toc497747236"/>
      <w:bookmarkStart w:id="1534" w:name="_Toc389065322"/>
      <w:bookmarkStart w:id="1535" w:name="_Toc522201784"/>
      <w:bookmarkStart w:id="1536" w:name="_Toc373227757"/>
      <w:bookmarkStart w:id="1537" w:name="_Toc418518404"/>
      <w:r>
        <w:rPr>
          <w:rFonts w:hint="eastAsia" w:ascii="宋体" w:hAnsi="宋体" w:eastAsia="宋体" w:cs="宋体"/>
          <w:color w:val="000000"/>
          <w:sz w:val="21"/>
          <w:szCs w:val="21"/>
          <w:highlight w:val="none"/>
        </w:rPr>
        <w:t>13.6 竣工退场</w:t>
      </w:r>
      <w:bookmarkEnd w:id="1525"/>
      <w:bookmarkEnd w:id="1526"/>
      <w:bookmarkEnd w:id="1527"/>
      <w:bookmarkEnd w:id="1528"/>
      <w:bookmarkEnd w:id="1529"/>
      <w:bookmarkEnd w:id="1530"/>
      <w:bookmarkEnd w:id="1531"/>
      <w:bookmarkEnd w:id="1532"/>
      <w:bookmarkEnd w:id="1533"/>
      <w:bookmarkEnd w:id="1534"/>
      <w:bookmarkEnd w:id="1535"/>
      <w:bookmarkEnd w:id="1536"/>
      <w:bookmarkEnd w:id="1537"/>
    </w:p>
    <w:p w14:paraId="4525B232">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13.6.1 竣工退场</w:t>
      </w:r>
    </w:p>
    <w:p w14:paraId="7C5702ED">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承包人完成竣工退场的期限：</w:t>
      </w:r>
      <w:r>
        <w:rPr>
          <w:rFonts w:hint="eastAsia" w:ascii="宋体" w:hAnsi="宋体" w:eastAsia="宋体" w:cs="宋体"/>
          <w:color w:val="000000"/>
          <w:sz w:val="21"/>
          <w:szCs w:val="21"/>
          <w:highlight w:val="none"/>
          <w:u w:val="single"/>
        </w:rPr>
        <w:t>监理人颁发(出具)工程接收证书后，承包人负责按照通用合同条款本项约定的要求对施工场地进行清理并承担相关费用，直至监理人检验合格后七日内，如承包人到期后不退场，发包人有权安排其他人员进行清理，费用从承包人工程款中扣除。</w:t>
      </w:r>
    </w:p>
    <w:p w14:paraId="69B5D401">
      <w:pPr>
        <w:pStyle w:val="92"/>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bookmarkStart w:id="1538" w:name="_Toc418061370"/>
      <w:bookmarkStart w:id="1539" w:name="_Toc522201785"/>
      <w:bookmarkStart w:id="1540" w:name="_Toc373478405"/>
      <w:bookmarkStart w:id="1541" w:name="_Toc418752301"/>
      <w:bookmarkStart w:id="1542" w:name="_Toc418751855"/>
      <w:bookmarkStart w:id="1543" w:name="_Toc497746840"/>
      <w:bookmarkStart w:id="1544" w:name="_Toc418518405"/>
      <w:bookmarkStart w:id="1545" w:name="_Toc373227758"/>
      <w:bookmarkStart w:id="1546" w:name="_Toc403578993"/>
      <w:bookmarkStart w:id="1547" w:name="_Toc497747237"/>
      <w:bookmarkStart w:id="1548" w:name="_Toc351203646"/>
      <w:bookmarkStart w:id="1549" w:name="_Toc389065323"/>
      <w:bookmarkStart w:id="1550" w:name="_Toc418518169"/>
      <w:bookmarkStart w:id="1551" w:name="_Toc256000236"/>
      <w:r>
        <w:rPr>
          <w:rFonts w:hint="eastAsia" w:ascii="宋体" w:hAnsi="宋体" w:eastAsia="宋体" w:cs="宋体"/>
          <w:color w:val="000000"/>
          <w:sz w:val="21"/>
          <w:szCs w:val="21"/>
          <w:highlight w:val="none"/>
        </w:rPr>
        <w:t>14. 竣工结算</w:t>
      </w:r>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p>
    <w:p w14:paraId="723EA913">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1552" w:name="_Toc497746841"/>
      <w:bookmarkStart w:id="1553" w:name="_Toc373227759"/>
      <w:bookmarkStart w:id="1554" w:name="_Toc418518170"/>
      <w:bookmarkStart w:id="1555" w:name="_Toc497747238"/>
      <w:bookmarkStart w:id="1556" w:name="_Toc403578994"/>
      <w:bookmarkStart w:id="1557" w:name="_Toc256000237"/>
      <w:bookmarkStart w:id="1558" w:name="_Toc373478406"/>
      <w:bookmarkStart w:id="1559" w:name="_Toc418751856"/>
      <w:bookmarkStart w:id="1560" w:name="_Toc522201786"/>
      <w:bookmarkStart w:id="1561" w:name="_Toc418752302"/>
      <w:bookmarkStart w:id="1562" w:name="_Toc418518406"/>
      <w:bookmarkStart w:id="1563" w:name="_Toc389065324"/>
      <w:bookmarkStart w:id="1564" w:name="_Toc418061371"/>
      <w:r>
        <w:rPr>
          <w:rFonts w:hint="eastAsia" w:ascii="宋体" w:hAnsi="宋体" w:eastAsia="宋体" w:cs="宋体"/>
          <w:color w:val="000000"/>
          <w:sz w:val="21"/>
          <w:szCs w:val="21"/>
          <w:highlight w:val="none"/>
        </w:rPr>
        <w:t>14.1 竣工结算申请</w:t>
      </w:r>
      <w:bookmarkEnd w:id="1552"/>
      <w:bookmarkEnd w:id="1553"/>
      <w:bookmarkEnd w:id="1554"/>
      <w:bookmarkEnd w:id="1555"/>
      <w:bookmarkEnd w:id="1556"/>
      <w:bookmarkEnd w:id="1557"/>
      <w:bookmarkEnd w:id="1558"/>
      <w:bookmarkEnd w:id="1559"/>
      <w:bookmarkEnd w:id="1560"/>
      <w:bookmarkEnd w:id="1561"/>
      <w:bookmarkEnd w:id="1562"/>
      <w:bookmarkEnd w:id="1563"/>
      <w:bookmarkEnd w:id="1564"/>
    </w:p>
    <w:p w14:paraId="21440F83">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承包人提交竣工结算申请单的期限：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u w:val="single"/>
        </w:rPr>
        <w:t>具备竣工收条件后28天内</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CC4AB36">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竣工结算申请单应包括的内容：</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u w:val="single"/>
        </w:rPr>
        <w:t>竣工结算由承包人提交相关结算资料（主要包括合同、工程量计算书、结算书、变更设计通知单、签证单、竣工图）齐全后经监理初审、发包人审核后，</w:t>
      </w:r>
      <w:r>
        <w:rPr>
          <w:rFonts w:hint="eastAsia" w:ascii="宋体" w:hAnsi="宋体" w:eastAsia="宋体" w:cs="宋体"/>
          <w:color w:val="000000"/>
          <w:sz w:val="21"/>
          <w:szCs w:val="21"/>
          <w:highlight w:val="none"/>
          <w:u w:val="single"/>
        </w:rPr>
        <w:t>最终结算以</w:t>
      </w:r>
      <w:r>
        <w:rPr>
          <w:rFonts w:hint="eastAsia" w:ascii="宋体" w:hAnsi="宋体" w:eastAsia="宋体" w:cs="宋体"/>
          <w:color w:val="000000"/>
          <w:sz w:val="21"/>
          <w:szCs w:val="21"/>
          <w:highlight w:val="none"/>
          <w:u w:val="single"/>
          <w:lang w:val="en-US" w:eastAsia="zh-CN"/>
        </w:rPr>
        <w:t>兴安县</w:t>
      </w:r>
      <w:r>
        <w:rPr>
          <w:rFonts w:hint="eastAsia" w:ascii="宋体" w:hAnsi="宋体" w:eastAsia="宋体" w:cs="宋体"/>
          <w:color w:val="000000"/>
          <w:sz w:val="21"/>
          <w:szCs w:val="21"/>
          <w:highlight w:val="none"/>
          <w:u w:val="single"/>
          <w:lang w:eastAsia="zh-CN"/>
        </w:rPr>
        <w:t>财政局</w:t>
      </w:r>
      <w:r>
        <w:rPr>
          <w:rFonts w:hint="eastAsia" w:ascii="宋体" w:hAnsi="宋体" w:eastAsia="宋体" w:cs="宋体"/>
          <w:color w:val="000000"/>
          <w:sz w:val="21"/>
          <w:szCs w:val="21"/>
          <w:highlight w:val="none"/>
          <w:u w:val="single"/>
        </w:rPr>
        <w:t xml:space="preserve">或发包人委托的造价咨询机构审定并经发包人及承包人双方确认的金额为准 </w:t>
      </w:r>
      <w:r>
        <w:rPr>
          <w:rFonts w:hint="eastAsia" w:ascii="宋体" w:hAnsi="宋体" w:eastAsia="宋体" w:cs="宋体"/>
          <w:color w:val="000000"/>
          <w:sz w:val="21"/>
          <w:szCs w:val="21"/>
          <w:highlight w:val="none"/>
        </w:rPr>
        <w:t>。</w:t>
      </w:r>
    </w:p>
    <w:p w14:paraId="2718847C">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1565" w:name="_Toc418518171"/>
      <w:bookmarkStart w:id="1566" w:name="_Toc256000238"/>
      <w:bookmarkStart w:id="1567" w:name="_Toc373227760"/>
      <w:bookmarkStart w:id="1568" w:name="_Toc403578995"/>
      <w:bookmarkStart w:id="1569" w:name="_Toc497746842"/>
      <w:bookmarkStart w:id="1570" w:name="_Toc418752303"/>
      <w:bookmarkStart w:id="1571" w:name="_Toc418751857"/>
      <w:bookmarkStart w:id="1572" w:name="_Toc418518407"/>
      <w:bookmarkStart w:id="1573" w:name="_Toc497747239"/>
      <w:bookmarkStart w:id="1574" w:name="_Toc522201787"/>
      <w:bookmarkStart w:id="1575" w:name="_Toc418061372"/>
      <w:bookmarkStart w:id="1576" w:name="_Toc389065325"/>
      <w:bookmarkStart w:id="1577" w:name="_Toc373478407"/>
      <w:r>
        <w:rPr>
          <w:rFonts w:hint="eastAsia" w:ascii="宋体" w:hAnsi="宋体" w:eastAsia="宋体" w:cs="宋体"/>
          <w:color w:val="000000"/>
          <w:sz w:val="21"/>
          <w:szCs w:val="21"/>
          <w:highlight w:val="none"/>
        </w:rPr>
        <w:t>14.2 竣工结算审核</w:t>
      </w:r>
      <w:bookmarkEnd w:id="1565"/>
      <w:bookmarkEnd w:id="1566"/>
      <w:bookmarkEnd w:id="1567"/>
      <w:bookmarkEnd w:id="1568"/>
      <w:bookmarkEnd w:id="1569"/>
      <w:bookmarkEnd w:id="1570"/>
      <w:bookmarkEnd w:id="1571"/>
      <w:bookmarkEnd w:id="1572"/>
      <w:bookmarkEnd w:id="1573"/>
      <w:bookmarkEnd w:id="1574"/>
      <w:bookmarkEnd w:id="1575"/>
      <w:bookmarkEnd w:id="1576"/>
      <w:bookmarkEnd w:id="1577"/>
    </w:p>
    <w:p w14:paraId="20DBA681">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发包人审批竣工付款申请单的期限：</w:t>
      </w:r>
    </w:p>
    <w:tbl>
      <w:tblPr>
        <w:tblStyle w:val="3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616"/>
        <w:gridCol w:w="5817"/>
      </w:tblGrid>
      <w:tr w14:paraId="0F3DA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3E647A6D">
            <w:pPr>
              <w:pStyle w:val="94"/>
              <w:pageBreakBefore w:val="0"/>
              <w:widowControl w:val="0"/>
              <w:kinsoku/>
              <w:wordWrap/>
              <w:overflowPunct/>
              <w:topLinePunct w:val="0"/>
              <w:bidi w:val="0"/>
              <w:snapToGrid/>
              <w:spacing w:line="360" w:lineRule="auto"/>
              <w:ind w:left="0" w:leftChars="0"/>
              <w:jc w:val="center"/>
              <w:textAlignment w:val="auto"/>
              <w:rPr>
                <w:rFonts w:hint="eastAsia" w:ascii="宋体" w:hAnsi="宋体" w:eastAsia="宋体" w:cs="宋体"/>
                <w:bCs/>
                <w:color w:val="000000"/>
                <w:sz w:val="21"/>
                <w:szCs w:val="21"/>
                <w:highlight w:val="none"/>
              </w:rPr>
            </w:pPr>
          </w:p>
        </w:tc>
        <w:tc>
          <w:tcPr>
            <w:tcW w:w="2616" w:type="dxa"/>
            <w:noWrap w:val="0"/>
            <w:vAlign w:val="center"/>
          </w:tcPr>
          <w:p w14:paraId="0019BABC">
            <w:pPr>
              <w:pStyle w:val="94"/>
              <w:pageBreakBefore w:val="0"/>
              <w:widowControl w:val="0"/>
              <w:kinsoku/>
              <w:wordWrap/>
              <w:overflowPunct/>
              <w:topLinePunct w:val="0"/>
              <w:bidi w:val="0"/>
              <w:snapToGrid/>
              <w:spacing w:line="360" w:lineRule="auto"/>
              <w:ind w:left="0" w:leftChars="0" w:firstLine="27" w:firstLineChars="13"/>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工程竣工结算报告金额</w:t>
            </w:r>
          </w:p>
        </w:tc>
        <w:tc>
          <w:tcPr>
            <w:tcW w:w="5817" w:type="dxa"/>
            <w:noWrap w:val="0"/>
            <w:vAlign w:val="center"/>
          </w:tcPr>
          <w:p w14:paraId="6B0868EF">
            <w:pPr>
              <w:pStyle w:val="94"/>
              <w:pageBreakBefore w:val="0"/>
              <w:widowControl w:val="0"/>
              <w:kinsoku/>
              <w:wordWrap/>
              <w:overflowPunct/>
              <w:topLinePunct w:val="0"/>
              <w:bidi w:val="0"/>
              <w:snapToGrid/>
              <w:spacing w:line="360" w:lineRule="auto"/>
              <w:ind w:left="0" w:leftChars="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发包人审查时间</w:t>
            </w:r>
          </w:p>
        </w:tc>
      </w:tr>
      <w:tr w14:paraId="5F66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3CFB4EFF">
            <w:pPr>
              <w:pStyle w:val="94"/>
              <w:pageBreakBefore w:val="0"/>
              <w:widowControl w:val="0"/>
              <w:kinsoku/>
              <w:wordWrap/>
              <w:overflowPunct/>
              <w:topLinePunct w:val="0"/>
              <w:bidi w:val="0"/>
              <w:snapToGrid/>
              <w:spacing w:line="360" w:lineRule="auto"/>
              <w:ind w:left="0" w:leftChars="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w:t>
            </w:r>
          </w:p>
        </w:tc>
        <w:tc>
          <w:tcPr>
            <w:tcW w:w="2616" w:type="dxa"/>
            <w:noWrap w:val="0"/>
            <w:vAlign w:val="center"/>
          </w:tcPr>
          <w:p w14:paraId="39BFAAA7">
            <w:pPr>
              <w:pStyle w:val="94"/>
              <w:pageBreakBefore w:val="0"/>
              <w:widowControl w:val="0"/>
              <w:kinsoku/>
              <w:wordWrap/>
              <w:overflowPunct/>
              <w:topLinePunct w:val="0"/>
              <w:bidi w:val="0"/>
              <w:snapToGrid/>
              <w:spacing w:line="360" w:lineRule="auto"/>
              <w:ind w:left="0" w:leftChars="0" w:firstLine="27" w:firstLineChars="13"/>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500万元以下</w:t>
            </w:r>
          </w:p>
        </w:tc>
        <w:tc>
          <w:tcPr>
            <w:tcW w:w="5817" w:type="dxa"/>
            <w:noWrap w:val="0"/>
            <w:vAlign w:val="center"/>
          </w:tcPr>
          <w:p w14:paraId="4B791676">
            <w:pPr>
              <w:pStyle w:val="94"/>
              <w:pageBreakBefore w:val="0"/>
              <w:widowControl w:val="0"/>
              <w:kinsoku/>
              <w:wordWrap/>
              <w:overflowPunct/>
              <w:topLinePunct w:val="0"/>
              <w:bidi w:val="0"/>
              <w:snapToGrid/>
              <w:spacing w:line="360" w:lineRule="auto"/>
              <w:ind w:left="0" w:leftChars="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从接到竣工结算报告和完整的竣工结算资料之日起20天</w:t>
            </w:r>
          </w:p>
        </w:tc>
      </w:tr>
      <w:tr w14:paraId="2E686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6546BD9B">
            <w:pPr>
              <w:pStyle w:val="94"/>
              <w:pageBreakBefore w:val="0"/>
              <w:widowControl w:val="0"/>
              <w:kinsoku/>
              <w:wordWrap/>
              <w:overflowPunct/>
              <w:topLinePunct w:val="0"/>
              <w:bidi w:val="0"/>
              <w:snapToGrid/>
              <w:spacing w:line="360" w:lineRule="auto"/>
              <w:ind w:left="0" w:leftChars="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w:t>
            </w:r>
          </w:p>
        </w:tc>
        <w:tc>
          <w:tcPr>
            <w:tcW w:w="2616" w:type="dxa"/>
            <w:noWrap w:val="0"/>
            <w:vAlign w:val="center"/>
          </w:tcPr>
          <w:p w14:paraId="615EBEAF">
            <w:pPr>
              <w:pStyle w:val="94"/>
              <w:pageBreakBefore w:val="0"/>
              <w:widowControl w:val="0"/>
              <w:kinsoku/>
              <w:wordWrap/>
              <w:overflowPunct/>
              <w:topLinePunct w:val="0"/>
              <w:bidi w:val="0"/>
              <w:snapToGrid/>
              <w:spacing w:line="360" w:lineRule="auto"/>
              <w:ind w:left="0" w:leftChars="0" w:firstLine="27" w:firstLineChars="13"/>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500万元-2000万元</w:t>
            </w:r>
          </w:p>
        </w:tc>
        <w:tc>
          <w:tcPr>
            <w:tcW w:w="5817" w:type="dxa"/>
            <w:noWrap w:val="0"/>
            <w:vAlign w:val="center"/>
          </w:tcPr>
          <w:p w14:paraId="7B74520F">
            <w:pPr>
              <w:pStyle w:val="94"/>
              <w:pageBreakBefore w:val="0"/>
              <w:widowControl w:val="0"/>
              <w:kinsoku/>
              <w:wordWrap/>
              <w:overflowPunct/>
              <w:topLinePunct w:val="0"/>
              <w:bidi w:val="0"/>
              <w:snapToGrid/>
              <w:spacing w:line="360" w:lineRule="auto"/>
              <w:ind w:left="0" w:leftChars="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从接到竣工结算报告和完整的竣工结算资料之日起30天</w:t>
            </w:r>
          </w:p>
        </w:tc>
      </w:tr>
      <w:tr w14:paraId="3DD88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469E5805">
            <w:pPr>
              <w:pStyle w:val="94"/>
              <w:pageBreakBefore w:val="0"/>
              <w:widowControl w:val="0"/>
              <w:kinsoku/>
              <w:wordWrap/>
              <w:overflowPunct/>
              <w:topLinePunct w:val="0"/>
              <w:bidi w:val="0"/>
              <w:snapToGrid/>
              <w:spacing w:line="360" w:lineRule="auto"/>
              <w:ind w:left="0" w:leftChars="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3</w:t>
            </w:r>
          </w:p>
        </w:tc>
        <w:tc>
          <w:tcPr>
            <w:tcW w:w="2616" w:type="dxa"/>
            <w:noWrap w:val="0"/>
            <w:vAlign w:val="center"/>
          </w:tcPr>
          <w:p w14:paraId="6AA63401">
            <w:pPr>
              <w:pStyle w:val="94"/>
              <w:pageBreakBefore w:val="0"/>
              <w:widowControl w:val="0"/>
              <w:kinsoku/>
              <w:wordWrap/>
              <w:overflowPunct/>
              <w:topLinePunct w:val="0"/>
              <w:bidi w:val="0"/>
              <w:snapToGrid/>
              <w:spacing w:line="360" w:lineRule="auto"/>
              <w:ind w:left="0" w:leftChars="0" w:firstLine="27" w:firstLineChars="13"/>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2000万元-5000万元</w:t>
            </w:r>
          </w:p>
        </w:tc>
        <w:tc>
          <w:tcPr>
            <w:tcW w:w="5817" w:type="dxa"/>
            <w:noWrap w:val="0"/>
            <w:vAlign w:val="center"/>
          </w:tcPr>
          <w:p w14:paraId="603FCAA5">
            <w:pPr>
              <w:pStyle w:val="94"/>
              <w:pageBreakBefore w:val="0"/>
              <w:widowControl w:val="0"/>
              <w:kinsoku/>
              <w:wordWrap/>
              <w:overflowPunct/>
              <w:topLinePunct w:val="0"/>
              <w:bidi w:val="0"/>
              <w:snapToGrid/>
              <w:spacing w:line="360" w:lineRule="auto"/>
              <w:ind w:left="0" w:leftChars="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从接到竣工结算报告和完整的竣工结算资料之日起45天</w:t>
            </w:r>
          </w:p>
        </w:tc>
      </w:tr>
      <w:tr w14:paraId="70B68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1EF87AEF">
            <w:pPr>
              <w:pStyle w:val="94"/>
              <w:pageBreakBefore w:val="0"/>
              <w:widowControl w:val="0"/>
              <w:kinsoku/>
              <w:wordWrap/>
              <w:overflowPunct/>
              <w:topLinePunct w:val="0"/>
              <w:bidi w:val="0"/>
              <w:snapToGrid/>
              <w:spacing w:line="360" w:lineRule="auto"/>
              <w:ind w:left="0" w:leftChars="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w:t>
            </w:r>
          </w:p>
        </w:tc>
        <w:tc>
          <w:tcPr>
            <w:tcW w:w="2616" w:type="dxa"/>
            <w:noWrap w:val="0"/>
            <w:vAlign w:val="center"/>
          </w:tcPr>
          <w:p w14:paraId="7325C58D">
            <w:pPr>
              <w:pStyle w:val="94"/>
              <w:pageBreakBefore w:val="0"/>
              <w:widowControl w:val="0"/>
              <w:kinsoku/>
              <w:wordWrap/>
              <w:overflowPunct/>
              <w:topLinePunct w:val="0"/>
              <w:bidi w:val="0"/>
              <w:snapToGrid/>
              <w:spacing w:line="360" w:lineRule="auto"/>
              <w:ind w:left="0" w:leftChars="0" w:firstLine="27" w:firstLineChars="13"/>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5000万元以上</w:t>
            </w:r>
          </w:p>
        </w:tc>
        <w:tc>
          <w:tcPr>
            <w:tcW w:w="5817" w:type="dxa"/>
            <w:noWrap w:val="0"/>
            <w:vAlign w:val="center"/>
          </w:tcPr>
          <w:p w14:paraId="7F7ED6DA">
            <w:pPr>
              <w:pStyle w:val="94"/>
              <w:pageBreakBefore w:val="0"/>
              <w:widowControl w:val="0"/>
              <w:kinsoku/>
              <w:wordWrap/>
              <w:overflowPunct/>
              <w:topLinePunct w:val="0"/>
              <w:bidi w:val="0"/>
              <w:snapToGrid/>
              <w:spacing w:line="360" w:lineRule="auto"/>
              <w:ind w:left="0" w:leftChars="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从接到竣工结算报告和完整的竣工结算资料之日起60天</w:t>
            </w:r>
          </w:p>
        </w:tc>
      </w:tr>
    </w:tbl>
    <w:p w14:paraId="30025242">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因承包人提供的结算资料不完整而需要补充或承包人不按时对账耽误时间时，审查时间应相应顺延</w:t>
      </w:r>
      <w:r>
        <w:rPr>
          <w:rFonts w:hint="eastAsia" w:ascii="宋体" w:hAnsi="宋体" w:eastAsia="宋体" w:cs="宋体"/>
          <w:color w:val="000000"/>
          <w:sz w:val="21"/>
          <w:szCs w:val="21"/>
          <w:highlight w:val="none"/>
        </w:rPr>
        <w:t>。</w:t>
      </w:r>
    </w:p>
    <w:p w14:paraId="52382F3F">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发包人完成竣工付款的期限：</w:t>
      </w:r>
      <w:r>
        <w:rPr>
          <w:rFonts w:hint="eastAsia" w:ascii="宋体" w:hAnsi="宋体" w:eastAsia="宋体" w:cs="宋体"/>
          <w:color w:val="000000"/>
          <w:sz w:val="21"/>
          <w:szCs w:val="21"/>
          <w:highlight w:val="none"/>
          <w:u w:val="single"/>
        </w:rPr>
        <w:t>结算审核报告出具后且审核完承包人的竣工付款申请单30天内</w:t>
      </w:r>
      <w:r>
        <w:rPr>
          <w:rFonts w:hint="eastAsia" w:ascii="宋体" w:hAnsi="宋体" w:eastAsia="宋体" w:cs="宋体"/>
          <w:color w:val="000000"/>
          <w:sz w:val="21"/>
          <w:szCs w:val="21"/>
          <w:highlight w:val="none"/>
        </w:rPr>
        <w:t>。</w:t>
      </w:r>
    </w:p>
    <w:p w14:paraId="6B90675A">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关于竣工付款证书异议部分复核的方式和程序：</w:t>
      </w:r>
      <w:r>
        <w:rPr>
          <w:rFonts w:hint="eastAsia" w:ascii="宋体" w:hAnsi="宋体" w:eastAsia="宋体" w:cs="宋体"/>
          <w:color w:val="000000"/>
          <w:sz w:val="21"/>
          <w:szCs w:val="21"/>
          <w:highlight w:val="none"/>
          <w:u w:val="single"/>
        </w:rPr>
        <w:t>存在异议的部分，由承包人核对后对异议部分进行书面描叙，并交由发包人再次审定。</w:t>
      </w:r>
    </w:p>
    <w:p w14:paraId="767852B2">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1578" w:name="_Toc256000239"/>
      <w:bookmarkStart w:id="1579" w:name="_Toc373227761"/>
      <w:bookmarkStart w:id="1580" w:name="_Toc418518408"/>
      <w:bookmarkStart w:id="1581" w:name="_Toc418752304"/>
      <w:bookmarkStart w:id="1582" w:name="_Toc522201788"/>
      <w:bookmarkStart w:id="1583" w:name="_Toc403578996"/>
      <w:bookmarkStart w:id="1584" w:name="_Toc418061373"/>
      <w:bookmarkStart w:id="1585" w:name="_Toc418518172"/>
      <w:bookmarkStart w:id="1586" w:name="_Toc497747240"/>
      <w:bookmarkStart w:id="1587" w:name="_Toc389065326"/>
      <w:bookmarkStart w:id="1588" w:name="_Toc373478408"/>
      <w:bookmarkStart w:id="1589" w:name="_Toc418751858"/>
      <w:bookmarkStart w:id="1590" w:name="_Toc497746843"/>
      <w:r>
        <w:rPr>
          <w:rFonts w:hint="eastAsia" w:ascii="宋体" w:hAnsi="宋体" w:eastAsia="宋体" w:cs="宋体"/>
          <w:color w:val="000000"/>
          <w:sz w:val="21"/>
          <w:szCs w:val="21"/>
          <w:highlight w:val="none"/>
        </w:rPr>
        <w:t>14.4 最终结清</w:t>
      </w:r>
      <w:bookmarkEnd w:id="1578"/>
      <w:bookmarkEnd w:id="1579"/>
      <w:bookmarkEnd w:id="1580"/>
      <w:bookmarkEnd w:id="1581"/>
      <w:bookmarkEnd w:id="1582"/>
      <w:bookmarkEnd w:id="1583"/>
      <w:bookmarkEnd w:id="1584"/>
      <w:bookmarkEnd w:id="1585"/>
      <w:bookmarkEnd w:id="1586"/>
      <w:bookmarkEnd w:id="1587"/>
      <w:bookmarkEnd w:id="1588"/>
      <w:bookmarkEnd w:id="1589"/>
      <w:bookmarkEnd w:id="1590"/>
    </w:p>
    <w:p w14:paraId="3A36D7A3">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14.4.1 最终结清申请单</w:t>
      </w:r>
    </w:p>
    <w:p w14:paraId="5E1488C2">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承包人提交最终结清申请单的份数：</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u w:val="single"/>
        </w:rPr>
        <w:t xml:space="preserve">一式四份 </w:t>
      </w:r>
      <w:r>
        <w:rPr>
          <w:rFonts w:hint="eastAsia" w:ascii="宋体" w:hAnsi="宋体" w:eastAsia="宋体" w:cs="宋体"/>
          <w:color w:val="000000"/>
          <w:sz w:val="21"/>
          <w:szCs w:val="21"/>
          <w:highlight w:val="none"/>
        </w:rPr>
        <w:t>。</w:t>
      </w:r>
    </w:p>
    <w:p w14:paraId="71025BA9">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承包人提交最终结算申请单的期限：</w:t>
      </w:r>
      <w:r>
        <w:rPr>
          <w:rFonts w:hint="eastAsia" w:ascii="宋体" w:hAnsi="宋体" w:eastAsia="宋体" w:cs="宋体"/>
          <w:color w:val="000000"/>
          <w:kern w:val="0"/>
          <w:sz w:val="21"/>
          <w:szCs w:val="21"/>
          <w:highlight w:val="none"/>
          <w:u w:val="single"/>
        </w:rPr>
        <w:t>缺陷责任期终止证书签发后14天内向监理人提交4份竣工付款申请单及相关证明材料</w:t>
      </w:r>
      <w:r>
        <w:rPr>
          <w:rFonts w:hint="eastAsia" w:ascii="宋体" w:hAnsi="宋体" w:eastAsia="宋体" w:cs="宋体"/>
          <w:color w:val="000000"/>
          <w:sz w:val="21"/>
          <w:szCs w:val="21"/>
          <w:highlight w:val="none"/>
        </w:rPr>
        <w:t xml:space="preserve">。 </w:t>
      </w:r>
    </w:p>
    <w:p w14:paraId="4FF9B3F2">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14.4.2 最终结清证书和支付</w:t>
      </w:r>
    </w:p>
    <w:p w14:paraId="4AF2D270">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（1）发包人完成最终结清申请单的审批并颁发最终结清证书的期限：</w:t>
      </w:r>
      <w:r>
        <w:rPr>
          <w:rFonts w:hint="eastAsia" w:ascii="宋体" w:hAnsi="宋体" w:eastAsia="宋体" w:cs="宋体"/>
          <w:color w:val="000000"/>
          <w:kern w:val="0"/>
          <w:sz w:val="21"/>
          <w:szCs w:val="21"/>
          <w:highlight w:val="none"/>
          <w:u w:val="single"/>
        </w:rPr>
        <w:t xml:space="preserve">按通用条款执行 </w:t>
      </w:r>
      <w:r>
        <w:rPr>
          <w:rFonts w:hint="eastAsia" w:ascii="宋体" w:hAnsi="宋体" w:eastAsia="宋体" w:cs="宋体"/>
          <w:color w:val="000000"/>
          <w:sz w:val="21"/>
          <w:szCs w:val="21"/>
          <w:highlight w:val="none"/>
        </w:rPr>
        <w:t>。</w:t>
      </w:r>
    </w:p>
    <w:p w14:paraId="2F0A35E7">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（2）发包人完成支付的期限：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u w:val="single"/>
        </w:rPr>
        <w:t xml:space="preserve">在颁发最终结清证书后的30天内 </w:t>
      </w:r>
      <w:r>
        <w:rPr>
          <w:rFonts w:hint="eastAsia" w:ascii="宋体" w:hAnsi="宋体" w:eastAsia="宋体" w:cs="宋体"/>
          <w:color w:val="000000"/>
          <w:sz w:val="21"/>
          <w:szCs w:val="21"/>
          <w:highlight w:val="none"/>
        </w:rPr>
        <w:t>。</w:t>
      </w:r>
    </w:p>
    <w:bookmarkEnd w:id="1499"/>
    <w:bookmarkEnd w:id="1500"/>
    <w:bookmarkEnd w:id="1501"/>
    <w:bookmarkEnd w:id="1502"/>
    <w:bookmarkEnd w:id="1503"/>
    <w:bookmarkEnd w:id="1504"/>
    <w:bookmarkEnd w:id="1505"/>
    <w:bookmarkEnd w:id="1511"/>
    <w:p w14:paraId="5F12D671">
      <w:pPr>
        <w:pStyle w:val="92"/>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bookmarkStart w:id="1591" w:name="_Toc497747241"/>
      <w:bookmarkStart w:id="1592" w:name="_Toc497746844"/>
      <w:bookmarkStart w:id="1593" w:name="_Toc403578997"/>
      <w:bookmarkStart w:id="1594" w:name="_Toc256000240"/>
      <w:bookmarkStart w:id="1595" w:name="_Toc351203647"/>
      <w:bookmarkStart w:id="1596" w:name="_Toc418061374"/>
      <w:bookmarkStart w:id="1597" w:name="_Toc522201789"/>
      <w:bookmarkStart w:id="1598" w:name="_Toc418751859"/>
      <w:bookmarkStart w:id="1599" w:name="_Toc418752305"/>
      <w:bookmarkStart w:id="1600" w:name="_Toc418518409"/>
      <w:bookmarkStart w:id="1601" w:name="_Toc373227762"/>
      <w:bookmarkStart w:id="1602" w:name="_Toc373478409"/>
      <w:bookmarkStart w:id="1603" w:name="_Toc418518173"/>
      <w:bookmarkStart w:id="1604" w:name="_Toc389065327"/>
      <w:bookmarkStart w:id="1605" w:name="_Toc267251483"/>
      <w:bookmarkStart w:id="1606" w:name="_Toc267251482"/>
      <w:bookmarkStart w:id="1607" w:name="_Toc267251484"/>
      <w:bookmarkStart w:id="1608" w:name="_Toc267251485"/>
      <w:bookmarkStart w:id="1609" w:name="_Toc267251490"/>
      <w:bookmarkStart w:id="1610" w:name="_Toc267251489"/>
      <w:bookmarkStart w:id="1611" w:name="_Toc267251486"/>
      <w:bookmarkStart w:id="1612" w:name="_Toc267251488"/>
      <w:bookmarkStart w:id="1613" w:name="_Toc267251496"/>
      <w:bookmarkStart w:id="1614" w:name="_Toc267251493"/>
      <w:bookmarkStart w:id="1615" w:name="_Toc267251497"/>
      <w:bookmarkStart w:id="1616" w:name="_Toc267251501"/>
      <w:bookmarkStart w:id="1617" w:name="_Toc267251492"/>
      <w:bookmarkStart w:id="1618" w:name="_Toc267251498"/>
      <w:bookmarkStart w:id="1619" w:name="_Toc267251503"/>
      <w:bookmarkStart w:id="1620" w:name="_Toc267251491"/>
      <w:bookmarkStart w:id="1621" w:name="_Toc267251494"/>
      <w:bookmarkStart w:id="1622" w:name="_Toc267251495"/>
      <w:bookmarkStart w:id="1623" w:name="_Toc267251502"/>
      <w:bookmarkStart w:id="1624" w:name="_Toc267251499"/>
      <w:bookmarkStart w:id="1625" w:name="_Toc267251504"/>
      <w:bookmarkStart w:id="1626" w:name="_Toc267251506"/>
      <w:bookmarkStart w:id="1627" w:name="_Toc267251507"/>
      <w:bookmarkStart w:id="1628" w:name="_Toc267251508"/>
      <w:bookmarkStart w:id="1629" w:name="_Toc267251514"/>
      <w:bookmarkStart w:id="1630" w:name="_Toc267251511"/>
      <w:bookmarkStart w:id="1631" w:name="_Toc267251513"/>
      <w:bookmarkStart w:id="1632" w:name="_Toc267251510"/>
      <w:bookmarkStart w:id="1633" w:name="_Toc267251515"/>
      <w:bookmarkStart w:id="1634" w:name="_Toc267251509"/>
      <w:r>
        <w:rPr>
          <w:rFonts w:hint="eastAsia" w:ascii="宋体" w:hAnsi="宋体" w:eastAsia="宋体" w:cs="宋体"/>
          <w:color w:val="000000"/>
          <w:sz w:val="21"/>
          <w:szCs w:val="21"/>
          <w:highlight w:val="none"/>
        </w:rPr>
        <w:t>15. 缺陷责任期与保修</w:t>
      </w:r>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p>
    <w:p w14:paraId="0723C601">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1635" w:name="_Toc418751860"/>
      <w:bookmarkStart w:id="1636" w:name="_Toc373478410"/>
      <w:bookmarkStart w:id="1637" w:name="_Toc418518174"/>
      <w:bookmarkStart w:id="1638" w:name="_Toc403578998"/>
      <w:bookmarkStart w:id="1639" w:name="_Toc497746845"/>
      <w:bookmarkStart w:id="1640" w:name="_Toc522201790"/>
      <w:bookmarkStart w:id="1641" w:name="_Toc497747242"/>
      <w:bookmarkStart w:id="1642" w:name="_Toc373227763"/>
      <w:bookmarkStart w:id="1643" w:name="_Toc389065328"/>
      <w:bookmarkStart w:id="1644" w:name="_Toc418752306"/>
      <w:bookmarkStart w:id="1645" w:name="_Toc418061375"/>
      <w:bookmarkStart w:id="1646" w:name="_Toc418518410"/>
      <w:bookmarkStart w:id="1647" w:name="_Toc256000241"/>
      <w:r>
        <w:rPr>
          <w:rFonts w:hint="eastAsia" w:ascii="宋体" w:hAnsi="宋体" w:eastAsia="宋体" w:cs="宋体"/>
          <w:color w:val="000000"/>
          <w:sz w:val="21"/>
          <w:szCs w:val="21"/>
          <w:highlight w:val="none"/>
        </w:rPr>
        <w:t>15.2 缺陷责任期</w:t>
      </w:r>
      <w:bookmarkEnd w:id="1605"/>
      <w:bookmarkEnd w:id="1635"/>
      <w:bookmarkEnd w:id="1636"/>
      <w:bookmarkEnd w:id="1637"/>
      <w:bookmarkEnd w:id="1638"/>
      <w:bookmarkEnd w:id="1639"/>
      <w:bookmarkEnd w:id="1640"/>
      <w:bookmarkEnd w:id="1641"/>
      <w:bookmarkEnd w:id="1642"/>
      <w:bookmarkEnd w:id="1643"/>
      <w:bookmarkEnd w:id="1644"/>
      <w:bookmarkEnd w:id="1645"/>
      <w:bookmarkEnd w:id="1646"/>
      <w:bookmarkEnd w:id="1647"/>
    </w:p>
    <w:p w14:paraId="620A32E9">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缺陷责任期的具体期限：</w:t>
      </w:r>
      <w:r>
        <w:rPr>
          <w:rFonts w:hint="eastAsia" w:ascii="宋体" w:hAnsi="宋体" w:cs="宋体"/>
          <w:color w:val="000000"/>
          <w:sz w:val="21"/>
          <w:szCs w:val="21"/>
          <w:highlight w:val="none"/>
          <w:u w:val="single"/>
          <w:lang w:val="en-US" w:eastAsia="zh-CN"/>
        </w:rPr>
        <w:t>24</w:t>
      </w:r>
      <w:r>
        <w:rPr>
          <w:rFonts w:hint="eastAsia" w:ascii="宋体" w:hAnsi="宋体" w:eastAsia="宋体" w:cs="宋体"/>
          <w:color w:val="000000"/>
          <w:sz w:val="21"/>
          <w:szCs w:val="21"/>
          <w:highlight w:val="none"/>
          <w:u w:val="single"/>
        </w:rPr>
        <w:t>个月，</w:t>
      </w:r>
      <w:r>
        <w:rPr>
          <w:rFonts w:hint="eastAsia" w:ascii="宋体" w:hAnsi="宋体" w:eastAsia="宋体" w:cs="宋体"/>
          <w:color w:val="000000"/>
          <w:kern w:val="0"/>
          <w:sz w:val="21"/>
          <w:szCs w:val="21"/>
          <w:highlight w:val="none"/>
          <w:u w:val="single"/>
        </w:rPr>
        <w:t>工程竣工验收合格，自交付使用之日起计算</w:t>
      </w:r>
      <w:r>
        <w:rPr>
          <w:rFonts w:hint="eastAsia" w:ascii="宋体" w:hAnsi="宋体" w:eastAsia="宋体" w:cs="宋体"/>
          <w:color w:val="000000"/>
          <w:sz w:val="21"/>
          <w:szCs w:val="21"/>
          <w:highlight w:val="none"/>
          <w:u w:val="single"/>
        </w:rPr>
        <w:t xml:space="preserve"> ，按照《建设工程质量管理条例》执行，</w:t>
      </w:r>
      <w:r>
        <w:rPr>
          <w:rFonts w:hint="eastAsia" w:ascii="宋体" w:hAnsi="宋体" w:eastAsia="宋体" w:cs="宋体"/>
          <w:bCs/>
          <w:color w:val="000000"/>
          <w:sz w:val="21"/>
          <w:szCs w:val="21"/>
          <w:highlight w:val="none"/>
          <w:u w:val="single"/>
        </w:rPr>
        <w:t xml:space="preserve">详见本合同附件3：《工程质量保修书》 </w:t>
      </w:r>
      <w:r>
        <w:rPr>
          <w:rFonts w:hint="eastAsia" w:ascii="宋体" w:hAnsi="宋体" w:eastAsia="宋体" w:cs="宋体"/>
          <w:color w:val="000000"/>
          <w:sz w:val="21"/>
          <w:szCs w:val="21"/>
          <w:highlight w:val="none"/>
        </w:rPr>
        <w:t>。</w:t>
      </w:r>
    </w:p>
    <w:p w14:paraId="0B4B9AB8">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1648" w:name="_Toc522201791"/>
      <w:bookmarkStart w:id="1649" w:name="_Toc403578999"/>
      <w:bookmarkStart w:id="1650" w:name="_Toc497746846"/>
      <w:bookmarkStart w:id="1651" w:name="_Toc418518175"/>
      <w:bookmarkStart w:id="1652" w:name="_Toc418518411"/>
      <w:bookmarkStart w:id="1653" w:name="_Toc418751861"/>
      <w:bookmarkStart w:id="1654" w:name="_Toc497747243"/>
      <w:bookmarkStart w:id="1655" w:name="_Toc373227764"/>
      <w:bookmarkStart w:id="1656" w:name="_Toc389065329"/>
      <w:bookmarkStart w:id="1657" w:name="_Toc418752307"/>
      <w:bookmarkStart w:id="1658" w:name="_Toc418061376"/>
      <w:bookmarkStart w:id="1659" w:name="_Toc373478411"/>
      <w:bookmarkStart w:id="1660" w:name="_Toc256000242"/>
      <w:r>
        <w:rPr>
          <w:rFonts w:hint="eastAsia" w:ascii="宋体" w:hAnsi="宋体" w:eastAsia="宋体" w:cs="宋体"/>
          <w:color w:val="000000"/>
          <w:sz w:val="21"/>
          <w:szCs w:val="21"/>
          <w:highlight w:val="none"/>
        </w:rPr>
        <w:t>15.3 质量保证金</w:t>
      </w:r>
      <w:bookmarkEnd w:id="1648"/>
      <w:bookmarkEnd w:id="1649"/>
      <w:bookmarkEnd w:id="1650"/>
      <w:bookmarkEnd w:id="1651"/>
      <w:bookmarkEnd w:id="1652"/>
      <w:bookmarkEnd w:id="1653"/>
      <w:bookmarkEnd w:id="1654"/>
      <w:bookmarkEnd w:id="1655"/>
      <w:bookmarkEnd w:id="1656"/>
      <w:bookmarkEnd w:id="1657"/>
      <w:bookmarkEnd w:id="1658"/>
      <w:bookmarkEnd w:id="1659"/>
      <w:bookmarkEnd w:id="1660"/>
    </w:p>
    <w:p w14:paraId="2D15D2A2">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关于是否扣留质量保证金的约定：</w:t>
      </w:r>
      <w:r>
        <w:rPr>
          <w:rFonts w:hint="eastAsia" w:ascii="宋体" w:hAnsi="宋体" w:eastAsia="宋体" w:cs="宋体"/>
          <w:color w:val="000000"/>
          <w:kern w:val="0"/>
          <w:sz w:val="21"/>
          <w:szCs w:val="21"/>
          <w:highlight w:val="none"/>
          <w:u w:val="single"/>
        </w:rPr>
        <w:t>按工程价款结算总额的</w:t>
      </w:r>
      <w:r>
        <w:rPr>
          <w:rFonts w:hint="eastAsia" w:ascii="宋体" w:hAnsi="宋体" w:eastAsia="宋体" w:cs="宋体"/>
          <w:color w:val="000000"/>
          <w:kern w:val="0"/>
          <w:sz w:val="21"/>
          <w:szCs w:val="21"/>
          <w:highlight w:val="none"/>
          <w:u w:val="single"/>
          <w:lang w:val="en-US" w:eastAsia="zh-CN"/>
        </w:rPr>
        <w:t>3</w:t>
      </w:r>
      <w:r>
        <w:rPr>
          <w:rFonts w:hint="eastAsia" w:ascii="宋体" w:hAnsi="宋体" w:eastAsia="宋体" w:cs="宋体"/>
          <w:color w:val="000000"/>
          <w:kern w:val="0"/>
          <w:sz w:val="21"/>
          <w:szCs w:val="21"/>
          <w:highlight w:val="none"/>
          <w:u w:val="single"/>
        </w:rPr>
        <w:t xml:space="preserve">%作为质保金 </w:t>
      </w:r>
      <w:r>
        <w:rPr>
          <w:rFonts w:hint="eastAsia" w:ascii="宋体" w:hAnsi="宋体" w:eastAsia="宋体" w:cs="宋体"/>
          <w:color w:val="000000"/>
          <w:sz w:val="21"/>
          <w:szCs w:val="21"/>
          <w:highlight w:val="none"/>
        </w:rPr>
        <w:t>。</w:t>
      </w:r>
    </w:p>
    <w:p w14:paraId="4BBFECDC">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15.3.1 承包人提供质量保证金的方式</w:t>
      </w:r>
    </w:p>
    <w:p w14:paraId="07C60F8A">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质量保证金采用以下第</w:t>
      </w:r>
      <w:r>
        <w:rPr>
          <w:rFonts w:hint="eastAsia" w:ascii="宋体" w:hAnsi="宋体" w:eastAsia="宋体" w:cs="宋体"/>
          <w:color w:val="000000"/>
          <w:sz w:val="21"/>
          <w:szCs w:val="21"/>
          <w:highlight w:val="none"/>
          <w:u w:val="single"/>
        </w:rPr>
        <w:t xml:space="preserve">  （2）   </w:t>
      </w:r>
      <w:r>
        <w:rPr>
          <w:rFonts w:hint="eastAsia" w:ascii="宋体" w:hAnsi="宋体" w:eastAsia="宋体" w:cs="宋体"/>
          <w:color w:val="000000"/>
          <w:sz w:val="21"/>
          <w:szCs w:val="21"/>
          <w:highlight w:val="none"/>
        </w:rPr>
        <w:t>种方式：</w:t>
      </w:r>
    </w:p>
    <w:p w14:paraId="35A67C00">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（1）质量保证金保函，保证金额为：</w:t>
      </w:r>
      <w:r>
        <w:rPr>
          <w:rFonts w:hint="eastAsia" w:ascii="宋体" w:hAnsi="宋体" w:eastAsia="宋体" w:cs="宋体"/>
          <w:color w:val="000000"/>
          <w:kern w:val="0"/>
          <w:sz w:val="21"/>
          <w:szCs w:val="21"/>
          <w:highlight w:val="none"/>
          <w:u w:val="single"/>
        </w:rPr>
        <w:t xml:space="preserve">  /   </w:t>
      </w:r>
      <w:r>
        <w:rPr>
          <w:rFonts w:hint="eastAsia" w:ascii="宋体" w:hAnsi="宋体" w:eastAsia="宋体" w:cs="宋体"/>
          <w:color w:val="000000"/>
          <w:kern w:val="0"/>
          <w:sz w:val="21"/>
          <w:szCs w:val="21"/>
          <w:highlight w:val="none"/>
        </w:rPr>
        <w:t>；</w:t>
      </w:r>
    </w:p>
    <w:p w14:paraId="217B6F19">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r>
        <w:rPr>
          <w:rFonts w:hint="eastAsia" w:ascii="宋体" w:hAnsi="宋体" w:eastAsia="宋体" w:cs="宋体"/>
          <w:bCs/>
          <w:color w:val="000000"/>
          <w:sz w:val="21"/>
          <w:szCs w:val="21"/>
          <w:highlight w:val="none"/>
        </w:rPr>
        <w:t>发包人按工程价款结算总额的</w:t>
      </w:r>
      <w:r>
        <w:rPr>
          <w:rFonts w:hint="eastAsia" w:ascii="宋体" w:hAnsi="宋体" w:eastAsia="宋体" w:cs="宋体"/>
          <w:bCs/>
          <w:color w:val="000000"/>
          <w:sz w:val="21"/>
          <w:szCs w:val="21"/>
          <w:highlight w:val="none"/>
          <w:u w:val="single"/>
        </w:rPr>
        <w:t xml:space="preserve"> 3 </w:t>
      </w:r>
      <w:r>
        <w:rPr>
          <w:rFonts w:hint="eastAsia" w:ascii="宋体" w:hAnsi="宋体" w:eastAsia="宋体" w:cs="宋体"/>
          <w:bCs/>
          <w:color w:val="000000"/>
          <w:sz w:val="21"/>
          <w:szCs w:val="21"/>
          <w:highlight w:val="none"/>
        </w:rPr>
        <w:t>%预留工程</w:t>
      </w:r>
      <w:r>
        <w:rPr>
          <w:rFonts w:hint="eastAsia" w:ascii="宋体" w:hAnsi="宋体" w:eastAsia="宋体" w:cs="宋体"/>
          <w:bCs/>
          <w:color w:val="000000"/>
          <w:sz w:val="21"/>
          <w:szCs w:val="21"/>
          <w:highlight w:val="none"/>
          <w:lang w:eastAsia="zh-CN"/>
        </w:rPr>
        <w:t>质量保证金</w:t>
      </w:r>
      <w:r>
        <w:rPr>
          <w:rFonts w:hint="eastAsia" w:ascii="宋体" w:hAnsi="宋体" w:eastAsia="宋体" w:cs="宋体"/>
          <w:bCs/>
          <w:color w:val="000000"/>
          <w:sz w:val="21"/>
          <w:szCs w:val="21"/>
          <w:highlight w:val="none"/>
        </w:rPr>
        <w:t>，待缺陷责任期满后返还</w:t>
      </w:r>
      <w:r>
        <w:rPr>
          <w:rFonts w:hint="eastAsia" w:ascii="宋体" w:hAnsi="宋体" w:eastAsia="宋体" w:cs="宋体"/>
          <w:color w:val="000000"/>
          <w:kern w:val="0"/>
          <w:sz w:val="21"/>
          <w:szCs w:val="21"/>
          <w:highlight w:val="none"/>
        </w:rPr>
        <w:t>；</w:t>
      </w:r>
    </w:p>
    <w:p w14:paraId="5D99933F">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（3）其他方式：</w:t>
      </w:r>
      <w:r>
        <w:rPr>
          <w:rFonts w:hint="eastAsia" w:ascii="宋体" w:hAnsi="宋体" w:eastAsia="宋体" w:cs="宋体"/>
          <w:bCs/>
          <w:color w:val="000000"/>
          <w:sz w:val="21"/>
          <w:szCs w:val="21"/>
          <w:highlight w:val="none"/>
          <w:u w:val="single"/>
        </w:rPr>
        <w:t xml:space="preserve">   /        </w:t>
      </w:r>
      <w:r>
        <w:rPr>
          <w:rFonts w:hint="eastAsia" w:ascii="宋体" w:hAnsi="宋体" w:eastAsia="宋体" w:cs="宋体"/>
          <w:bCs/>
          <w:color w:val="000000"/>
          <w:sz w:val="21"/>
          <w:szCs w:val="21"/>
          <w:highlight w:val="none"/>
        </w:rPr>
        <w:t>。</w:t>
      </w:r>
    </w:p>
    <w:p w14:paraId="7967892E">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15.3.2 质量保证金的扣留</w:t>
      </w:r>
    </w:p>
    <w:p w14:paraId="3CC0C34E">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质量保证金的扣留采取以下第</w:t>
      </w:r>
      <w:r>
        <w:rPr>
          <w:rFonts w:hint="eastAsia" w:ascii="宋体" w:hAnsi="宋体" w:eastAsia="宋体" w:cs="宋体"/>
          <w:color w:val="000000"/>
          <w:sz w:val="21"/>
          <w:szCs w:val="21"/>
          <w:highlight w:val="none"/>
          <w:u w:val="single"/>
        </w:rPr>
        <w:t xml:space="preserve">   （2）   </w:t>
      </w:r>
      <w:r>
        <w:rPr>
          <w:rFonts w:hint="eastAsia" w:ascii="宋体" w:hAnsi="宋体" w:eastAsia="宋体" w:cs="宋体"/>
          <w:color w:val="000000"/>
          <w:sz w:val="21"/>
          <w:szCs w:val="21"/>
          <w:highlight w:val="none"/>
        </w:rPr>
        <w:t>种方式：</w:t>
      </w:r>
    </w:p>
    <w:p w14:paraId="67C0B4E0">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（1）在支付工程进度款时逐次扣留，在此情形下，质量保证金的计算基数不包括预付款的支付、扣回以及价格调整的金额；</w:t>
      </w:r>
    </w:p>
    <w:p w14:paraId="2E7DE0C4">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（2）工程竣工结算时一次性扣留质量保证金；</w:t>
      </w:r>
    </w:p>
    <w:p w14:paraId="7850F9A1">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（3）其他扣留方式:</w:t>
      </w:r>
      <w:r>
        <w:rPr>
          <w:rFonts w:hint="eastAsia" w:ascii="宋体" w:hAnsi="宋体" w:eastAsia="宋体" w:cs="宋体"/>
          <w:color w:val="000000"/>
          <w:kern w:val="0"/>
          <w:sz w:val="21"/>
          <w:szCs w:val="21"/>
          <w:highlight w:val="none"/>
          <w:u w:val="single"/>
        </w:rPr>
        <w:t xml:space="preserve">    /                </w:t>
      </w:r>
      <w:r>
        <w:rPr>
          <w:rFonts w:hint="eastAsia" w:ascii="宋体" w:hAnsi="宋体" w:eastAsia="宋体" w:cs="宋体"/>
          <w:color w:val="000000"/>
          <w:kern w:val="0"/>
          <w:sz w:val="21"/>
          <w:szCs w:val="21"/>
          <w:highlight w:val="none"/>
        </w:rPr>
        <w:t>。</w:t>
      </w:r>
    </w:p>
    <w:p w14:paraId="0E68900D">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kern w:val="0"/>
          <w:sz w:val="21"/>
          <w:szCs w:val="21"/>
          <w:highlight w:val="none"/>
          <w:u w:val="single"/>
        </w:rPr>
      </w:pPr>
      <w:r>
        <w:rPr>
          <w:rFonts w:hint="eastAsia" w:ascii="宋体" w:hAnsi="宋体" w:eastAsia="宋体" w:cs="宋体"/>
          <w:color w:val="000000"/>
          <w:sz w:val="21"/>
          <w:szCs w:val="21"/>
          <w:highlight w:val="none"/>
        </w:rPr>
        <w:t>关于质量保证金的补充约定：</w:t>
      </w:r>
      <w:r>
        <w:rPr>
          <w:rFonts w:hint="eastAsia" w:ascii="宋体" w:hAnsi="宋体" w:eastAsia="宋体" w:cs="宋体"/>
          <w:color w:val="000000"/>
          <w:sz w:val="21"/>
          <w:szCs w:val="21"/>
          <w:highlight w:val="none"/>
          <w:u w:val="single"/>
        </w:rPr>
        <w:t>承包人未按照法律法规有关规定和合同约定履行质量保修义务的，发包人有权从质量保证金中扣留用于质量保修的各项支出。</w:t>
      </w:r>
      <w:r>
        <w:rPr>
          <w:rFonts w:hint="eastAsia" w:ascii="宋体" w:hAnsi="宋体" w:eastAsia="宋体" w:cs="宋体"/>
          <w:color w:val="000000"/>
          <w:kern w:val="0"/>
          <w:sz w:val="21"/>
          <w:szCs w:val="21"/>
          <w:highlight w:val="none"/>
          <w:u w:val="single"/>
        </w:rPr>
        <w:t>发包人在工程缺陷责任期满后 14 天内将保修金一次性返回给承包人（无息）。质量保证金的返还，并不能免除承包人按照合同约定应承担的质量保修责任和应履行的质量保修义务。</w:t>
      </w:r>
    </w:p>
    <w:bookmarkEnd w:id="1606"/>
    <w:bookmarkEnd w:id="1607"/>
    <w:p w14:paraId="755F58B8">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1661" w:name="_Toc403579000"/>
      <w:bookmarkStart w:id="1662" w:name="_Toc373478412"/>
      <w:bookmarkStart w:id="1663" w:name="_Toc418061377"/>
      <w:bookmarkStart w:id="1664" w:name="_Toc373227765"/>
      <w:bookmarkStart w:id="1665" w:name="_Toc497747244"/>
      <w:bookmarkStart w:id="1666" w:name="_Toc418752308"/>
      <w:bookmarkStart w:id="1667" w:name="_Toc497746847"/>
      <w:bookmarkStart w:id="1668" w:name="_Toc418518176"/>
      <w:bookmarkStart w:id="1669" w:name="_Toc256000243"/>
      <w:bookmarkStart w:id="1670" w:name="_Toc418751862"/>
      <w:bookmarkStart w:id="1671" w:name="_Toc389065330"/>
      <w:bookmarkStart w:id="1672" w:name="_Toc522201792"/>
      <w:bookmarkStart w:id="1673" w:name="_Toc418518412"/>
      <w:r>
        <w:rPr>
          <w:rFonts w:hint="eastAsia" w:ascii="宋体" w:hAnsi="宋体" w:eastAsia="宋体" w:cs="宋体"/>
          <w:color w:val="000000"/>
          <w:sz w:val="21"/>
          <w:szCs w:val="21"/>
          <w:highlight w:val="none"/>
        </w:rPr>
        <w:t>15.4 保修</w:t>
      </w:r>
      <w:bookmarkEnd w:id="1661"/>
      <w:bookmarkEnd w:id="1662"/>
      <w:bookmarkEnd w:id="1663"/>
      <w:bookmarkEnd w:id="1664"/>
      <w:bookmarkEnd w:id="1665"/>
      <w:bookmarkEnd w:id="1666"/>
      <w:bookmarkEnd w:id="1667"/>
      <w:bookmarkEnd w:id="1668"/>
      <w:bookmarkEnd w:id="1669"/>
      <w:bookmarkEnd w:id="1670"/>
      <w:bookmarkEnd w:id="1671"/>
      <w:bookmarkEnd w:id="1672"/>
      <w:bookmarkEnd w:id="1673"/>
    </w:p>
    <w:bookmarkEnd w:id="1608"/>
    <w:p w14:paraId="3FD9B1B4">
      <w:pPr>
        <w:pStyle w:val="94"/>
        <w:pageBreakBefore w:val="0"/>
        <w:widowControl w:val="0"/>
        <w:kinsoku/>
        <w:wordWrap/>
        <w:overflowPunct/>
        <w:topLinePunct w:val="0"/>
        <w:bidi w:val="0"/>
        <w:snapToGrid/>
        <w:spacing w:line="360" w:lineRule="auto"/>
        <w:ind w:left="0" w:leftChars="0" w:firstLine="409" w:firstLineChars="195"/>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15.4.1 保修责任</w:t>
      </w:r>
    </w:p>
    <w:p w14:paraId="0EC49C06">
      <w:pPr>
        <w:pStyle w:val="94"/>
        <w:pageBreakBefore w:val="0"/>
        <w:widowControl w:val="0"/>
        <w:kinsoku/>
        <w:wordWrap/>
        <w:overflowPunct/>
        <w:topLinePunct w:val="0"/>
        <w:bidi w:val="0"/>
        <w:snapToGrid/>
        <w:spacing w:line="360" w:lineRule="auto"/>
        <w:ind w:left="0" w:leftChars="0" w:firstLine="409" w:firstLineChars="195"/>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工程保修期为：</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sz w:val="21"/>
          <w:szCs w:val="21"/>
          <w:highlight w:val="none"/>
          <w:u w:val="single"/>
        </w:rPr>
        <w:t>根据《建设工程质量管理条例》及有关规定，约定本工程的保修期详见《工程质量保修书》。</w:t>
      </w:r>
    </w:p>
    <w:p w14:paraId="70A8A60D">
      <w:pPr>
        <w:pStyle w:val="94"/>
        <w:pageBreakBefore w:val="0"/>
        <w:widowControl w:val="0"/>
        <w:kinsoku/>
        <w:wordWrap/>
        <w:overflowPunct/>
        <w:topLinePunct w:val="0"/>
        <w:bidi w:val="0"/>
        <w:snapToGrid/>
        <w:spacing w:line="360" w:lineRule="auto"/>
        <w:ind w:left="0" w:leftChars="0" w:firstLine="409" w:firstLineChars="195"/>
        <w:jc w:val="left"/>
        <w:textAlignment w:val="auto"/>
        <w:rPr>
          <w:rFonts w:hint="eastAsia" w:ascii="宋体" w:hAnsi="宋体" w:eastAsia="宋体" w:cs="宋体"/>
          <w:color w:val="000000"/>
          <w:kern w:val="0"/>
          <w:sz w:val="21"/>
          <w:szCs w:val="21"/>
          <w:highlight w:val="none"/>
          <w:u w:val="single"/>
        </w:rPr>
      </w:pPr>
      <w:r>
        <w:rPr>
          <w:rFonts w:hint="eastAsia" w:ascii="宋体" w:hAnsi="宋体" w:eastAsia="宋体" w:cs="宋体"/>
          <w:color w:val="000000"/>
          <w:sz w:val="21"/>
          <w:szCs w:val="21"/>
          <w:highlight w:val="none"/>
        </w:rPr>
        <w:t>工程保修书具体内容见合同附件。</w:t>
      </w:r>
    </w:p>
    <w:p w14:paraId="1B1466E1">
      <w:pPr>
        <w:pStyle w:val="94"/>
        <w:pageBreakBefore w:val="0"/>
        <w:widowControl w:val="0"/>
        <w:kinsoku/>
        <w:wordWrap/>
        <w:overflowPunct/>
        <w:topLinePunct w:val="0"/>
        <w:bidi w:val="0"/>
        <w:snapToGrid/>
        <w:spacing w:line="360" w:lineRule="auto"/>
        <w:ind w:left="0" w:leftChars="0" w:firstLine="409" w:firstLineChars="195"/>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15.4.3 修复通知</w:t>
      </w:r>
    </w:p>
    <w:p w14:paraId="7CA5875C">
      <w:pPr>
        <w:pStyle w:val="94"/>
        <w:pageBreakBefore w:val="0"/>
        <w:widowControl w:val="0"/>
        <w:kinsoku/>
        <w:wordWrap/>
        <w:overflowPunct/>
        <w:topLinePunct w:val="0"/>
        <w:bidi w:val="0"/>
        <w:snapToGrid/>
        <w:spacing w:line="360" w:lineRule="auto"/>
        <w:ind w:left="0" w:leftChars="0" w:firstLine="409" w:firstLineChars="195"/>
        <w:jc w:val="left"/>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kern w:val="0"/>
          <w:sz w:val="21"/>
          <w:szCs w:val="21"/>
          <w:highlight w:val="none"/>
        </w:rPr>
        <w:t>承包人收到保修通知并到达工程现场的合理时间：</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sz w:val="21"/>
          <w:szCs w:val="21"/>
          <w:highlight w:val="none"/>
          <w:u w:val="single"/>
        </w:rPr>
        <w:t xml:space="preserve"> 1、属于保修范围、内容的项目，承包人应当在接到保修通知之日起三天内派人保修。承包人不在约定期限内派人保修的，发包人有权直接安排维修，费用从工程保修金中扣除，不</w:t>
      </w:r>
      <w:bookmarkStart w:id="2017" w:name="_GoBack"/>
      <w:bookmarkEnd w:id="2017"/>
      <w:r>
        <w:rPr>
          <w:rFonts w:hint="eastAsia" w:ascii="宋体" w:hAnsi="宋体" w:eastAsia="宋体" w:cs="宋体"/>
          <w:color w:val="000000"/>
          <w:sz w:val="21"/>
          <w:szCs w:val="21"/>
          <w:highlight w:val="none"/>
          <w:u w:val="single"/>
        </w:rPr>
        <w:t>足部分发包人有权向承包人追索。2、发生紧急抢修事故的，承包人在接到事故通知后，应当立即到达事故现场抢修。3、对于涉及设备的质量问题，应当提出保修方案，及时更换设备，承包人实施保修。属于涉及结构安全的质量问题，应当按照《房屋建筑工程质量保修办法》的规定，立即向当地建设行政主管部门报告，采取安全防范措施；由原设计单位或者具有相应资质等级的设计单位提出保修方案，承包人实施保修。4、质量保修完成后，由发包人组织验收。5、保修费用由造成质量缺陷的责任方承担 。</w:t>
      </w:r>
    </w:p>
    <w:bookmarkEnd w:id="1609"/>
    <w:bookmarkEnd w:id="1610"/>
    <w:bookmarkEnd w:id="1611"/>
    <w:bookmarkEnd w:id="1612"/>
    <w:p w14:paraId="2DB5AB2C">
      <w:pPr>
        <w:pStyle w:val="92"/>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bookmarkStart w:id="1674" w:name="_Toc256000244"/>
      <w:bookmarkStart w:id="1675" w:name="_Toc418518413"/>
      <w:bookmarkStart w:id="1676" w:name="_Toc418752309"/>
      <w:bookmarkStart w:id="1677" w:name="_Toc497747245"/>
      <w:bookmarkStart w:id="1678" w:name="_Toc522201793"/>
      <w:bookmarkStart w:id="1679" w:name="_Toc351203648"/>
      <w:bookmarkStart w:id="1680" w:name="_Toc373227766"/>
      <w:bookmarkStart w:id="1681" w:name="_Toc403579001"/>
      <w:bookmarkStart w:id="1682" w:name="_Toc418751863"/>
      <w:bookmarkStart w:id="1683" w:name="_Toc389065331"/>
      <w:bookmarkStart w:id="1684" w:name="_Toc418061378"/>
      <w:bookmarkStart w:id="1685" w:name="_Toc497746848"/>
      <w:bookmarkStart w:id="1686" w:name="_Toc418518177"/>
      <w:bookmarkStart w:id="1687" w:name="_Toc373478413"/>
      <w:bookmarkStart w:id="1688" w:name="_Toc280868717"/>
      <w:bookmarkStart w:id="1689" w:name="_Toc280868718"/>
      <w:r>
        <w:rPr>
          <w:rFonts w:hint="eastAsia" w:ascii="宋体" w:hAnsi="宋体" w:eastAsia="宋体" w:cs="宋体"/>
          <w:color w:val="000000"/>
          <w:sz w:val="21"/>
          <w:szCs w:val="21"/>
          <w:highlight w:val="none"/>
        </w:rPr>
        <w:t>16. 违约</w:t>
      </w:r>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p>
    <w:p w14:paraId="3D350E6F">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1690" w:name="_Toc497746849"/>
      <w:bookmarkStart w:id="1691" w:name="_Toc256000245"/>
      <w:bookmarkStart w:id="1692" w:name="_Toc418518414"/>
      <w:bookmarkStart w:id="1693" w:name="_Toc403579002"/>
      <w:bookmarkStart w:id="1694" w:name="_Toc418518178"/>
      <w:bookmarkStart w:id="1695" w:name="_Toc418752310"/>
      <w:bookmarkStart w:id="1696" w:name="_Toc389065332"/>
      <w:bookmarkStart w:id="1697" w:name="_Toc418751864"/>
      <w:bookmarkStart w:id="1698" w:name="_Toc522201794"/>
      <w:bookmarkStart w:id="1699" w:name="_Toc497747246"/>
      <w:bookmarkStart w:id="1700" w:name="_Toc373227767"/>
      <w:bookmarkStart w:id="1701" w:name="_Toc418061379"/>
      <w:bookmarkStart w:id="1702" w:name="_Toc373478414"/>
      <w:r>
        <w:rPr>
          <w:rFonts w:hint="eastAsia" w:ascii="宋体" w:hAnsi="宋体" w:eastAsia="宋体" w:cs="宋体"/>
          <w:color w:val="000000"/>
          <w:sz w:val="21"/>
          <w:szCs w:val="21"/>
          <w:highlight w:val="none"/>
        </w:rPr>
        <w:t>16.1 发包人违约</w:t>
      </w:r>
      <w:bookmarkEnd w:id="1690"/>
      <w:bookmarkEnd w:id="1691"/>
      <w:bookmarkEnd w:id="1692"/>
      <w:bookmarkEnd w:id="1693"/>
      <w:bookmarkEnd w:id="1694"/>
      <w:bookmarkEnd w:id="1695"/>
      <w:bookmarkEnd w:id="1696"/>
      <w:bookmarkEnd w:id="1697"/>
      <w:bookmarkEnd w:id="1698"/>
      <w:bookmarkEnd w:id="1699"/>
      <w:bookmarkEnd w:id="1700"/>
      <w:bookmarkEnd w:id="1701"/>
      <w:bookmarkEnd w:id="1702"/>
    </w:p>
    <w:p w14:paraId="02921963">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16.1.1发包人违约的情形</w:t>
      </w:r>
    </w:p>
    <w:p w14:paraId="79C73014">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发包人违约的其他情形：</w:t>
      </w:r>
      <w:r>
        <w:rPr>
          <w:rFonts w:hint="eastAsia" w:ascii="宋体" w:hAnsi="宋体" w:eastAsia="宋体" w:cs="宋体"/>
          <w:color w:val="000000"/>
          <w:kern w:val="0"/>
          <w:sz w:val="21"/>
          <w:szCs w:val="21"/>
          <w:highlight w:val="none"/>
          <w:u w:val="single"/>
        </w:rPr>
        <w:t xml:space="preserve">    无   </w:t>
      </w:r>
      <w:r>
        <w:rPr>
          <w:rFonts w:hint="eastAsia" w:ascii="宋体" w:hAnsi="宋体" w:eastAsia="宋体" w:cs="宋体"/>
          <w:color w:val="000000"/>
          <w:kern w:val="0"/>
          <w:sz w:val="21"/>
          <w:szCs w:val="21"/>
          <w:highlight w:val="none"/>
        </w:rPr>
        <w:t>。</w:t>
      </w:r>
    </w:p>
    <w:p w14:paraId="34CD8842">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16.1.2 发包人违约的责任</w:t>
      </w:r>
    </w:p>
    <w:p w14:paraId="176665F4">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发包人违约责任的承担方式和计算方法：</w:t>
      </w:r>
    </w:p>
    <w:p w14:paraId="541CC9BB">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kern w:val="0"/>
          <w:sz w:val="21"/>
          <w:szCs w:val="21"/>
          <w:highlight w:val="none"/>
          <w:u w:val="single"/>
        </w:rPr>
      </w:pPr>
      <w:r>
        <w:rPr>
          <w:rFonts w:hint="eastAsia" w:ascii="宋体" w:hAnsi="宋体" w:eastAsia="宋体" w:cs="宋体"/>
          <w:color w:val="000000"/>
          <w:kern w:val="0"/>
          <w:sz w:val="21"/>
          <w:szCs w:val="21"/>
          <w:highlight w:val="none"/>
        </w:rPr>
        <w:t>（1）因发包人原因未能在计划开工日期前7天内下达开工通知的违约责任：</w:t>
      </w:r>
      <w:r>
        <w:rPr>
          <w:rFonts w:hint="eastAsia" w:ascii="宋体" w:hAnsi="宋体" w:eastAsia="宋体" w:cs="宋体"/>
          <w:color w:val="000000"/>
          <w:kern w:val="0"/>
          <w:sz w:val="21"/>
          <w:szCs w:val="21"/>
          <w:highlight w:val="none"/>
          <w:u w:val="single"/>
        </w:rPr>
        <w:t>工期相应顺延</w:t>
      </w:r>
      <w:r>
        <w:rPr>
          <w:rFonts w:hint="eastAsia" w:ascii="宋体" w:hAnsi="宋体" w:eastAsia="宋体" w:cs="宋体"/>
          <w:color w:val="000000"/>
          <w:kern w:val="0"/>
          <w:sz w:val="21"/>
          <w:szCs w:val="21"/>
          <w:highlight w:val="none"/>
        </w:rPr>
        <w:t>。</w:t>
      </w:r>
    </w:p>
    <w:p w14:paraId="05B006E4">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（2）因发包人原因未能按合同约定支付合同价款的违约责任：</w:t>
      </w:r>
      <w:r>
        <w:rPr>
          <w:rFonts w:hint="eastAsia" w:ascii="宋体" w:hAnsi="宋体" w:eastAsia="宋体" w:cs="宋体"/>
          <w:color w:val="000000"/>
          <w:kern w:val="0"/>
          <w:sz w:val="21"/>
          <w:szCs w:val="21"/>
          <w:highlight w:val="none"/>
          <w:u w:val="single"/>
        </w:rPr>
        <w:t xml:space="preserve"> / </w:t>
      </w:r>
      <w:r>
        <w:rPr>
          <w:rFonts w:hint="eastAsia" w:ascii="宋体" w:hAnsi="宋体" w:eastAsia="宋体" w:cs="宋体"/>
          <w:color w:val="000000"/>
          <w:kern w:val="0"/>
          <w:sz w:val="21"/>
          <w:szCs w:val="21"/>
          <w:highlight w:val="none"/>
        </w:rPr>
        <w:t>。</w:t>
      </w:r>
    </w:p>
    <w:p w14:paraId="32BDE778">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（3）发包人违反第10.1款〔变更的范围〕第（2）项约定，自行实施被取消的工作或转由他人实施的违约责任：</w:t>
      </w:r>
      <w:r>
        <w:rPr>
          <w:rFonts w:hint="eastAsia" w:ascii="宋体" w:hAnsi="宋体" w:eastAsia="宋体" w:cs="宋体"/>
          <w:color w:val="000000"/>
          <w:kern w:val="0"/>
          <w:sz w:val="21"/>
          <w:szCs w:val="21"/>
          <w:highlight w:val="none"/>
          <w:u w:val="single"/>
        </w:rPr>
        <w:t xml:space="preserve">  按通用条款执行  </w:t>
      </w:r>
      <w:r>
        <w:rPr>
          <w:rFonts w:hint="eastAsia" w:ascii="宋体" w:hAnsi="宋体" w:eastAsia="宋体" w:cs="宋体"/>
          <w:color w:val="000000"/>
          <w:kern w:val="0"/>
          <w:sz w:val="21"/>
          <w:szCs w:val="21"/>
          <w:highlight w:val="none"/>
        </w:rPr>
        <w:t>。</w:t>
      </w:r>
    </w:p>
    <w:p w14:paraId="446A381E">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kern w:val="0"/>
          <w:sz w:val="21"/>
          <w:szCs w:val="21"/>
          <w:highlight w:val="none"/>
          <w:u w:val="single"/>
        </w:rPr>
        <w:t>工期相应顺延</w:t>
      </w:r>
      <w:r>
        <w:rPr>
          <w:rFonts w:hint="eastAsia" w:ascii="宋体" w:hAnsi="宋体" w:eastAsia="宋体" w:cs="宋体"/>
          <w:color w:val="000000"/>
          <w:kern w:val="0"/>
          <w:sz w:val="21"/>
          <w:szCs w:val="21"/>
          <w:highlight w:val="none"/>
        </w:rPr>
        <w:t>。</w:t>
      </w:r>
    </w:p>
    <w:p w14:paraId="6F77E4C9">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kern w:val="0"/>
          <w:sz w:val="21"/>
          <w:szCs w:val="21"/>
          <w:highlight w:val="none"/>
          <w:u w:val="single"/>
        </w:rPr>
      </w:pPr>
      <w:r>
        <w:rPr>
          <w:rFonts w:hint="eastAsia" w:ascii="宋体" w:hAnsi="宋体" w:eastAsia="宋体" w:cs="宋体"/>
          <w:color w:val="000000"/>
          <w:kern w:val="0"/>
          <w:sz w:val="21"/>
          <w:szCs w:val="21"/>
          <w:highlight w:val="none"/>
        </w:rPr>
        <w:t>（5）因发包人违反合同约定造成暂停施工的违约责任：</w:t>
      </w:r>
      <w:r>
        <w:rPr>
          <w:rFonts w:hint="eastAsia" w:ascii="宋体" w:hAnsi="宋体" w:eastAsia="宋体" w:cs="宋体"/>
          <w:color w:val="000000"/>
          <w:kern w:val="0"/>
          <w:sz w:val="21"/>
          <w:szCs w:val="21"/>
          <w:highlight w:val="none"/>
          <w:u w:val="single"/>
        </w:rPr>
        <w:t>按通用条款执行</w:t>
      </w:r>
      <w:r>
        <w:rPr>
          <w:rFonts w:hint="eastAsia" w:ascii="宋体" w:hAnsi="宋体" w:eastAsia="宋体" w:cs="宋体"/>
          <w:color w:val="000000"/>
          <w:kern w:val="0"/>
          <w:sz w:val="21"/>
          <w:szCs w:val="21"/>
          <w:highlight w:val="none"/>
        </w:rPr>
        <w:t>。</w:t>
      </w:r>
    </w:p>
    <w:p w14:paraId="1D48881E">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（6）发包人无正当理由没有在约定期限内发出复工指示，导致承包人无法复工的违约责任：</w:t>
      </w:r>
      <w:r>
        <w:rPr>
          <w:rFonts w:hint="eastAsia" w:ascii="宋体" w:hAnsi="宋体" w:eastAsia="宋体" w:cs="宋体"/>
          <w:color w:val="000000"/>
          <w:kern w:val="0"/>
          <w:sz w:val="21"/>
          <w:szCs w:val="21"/>
          <w:highlight w:val="none"/>
          <w:u w:val="single"/>
        </w:rPr>
        <w:t xml:space="preserve">   按通用条款执行</w:t>
      </w:r>
      <w:r>
        <w:rPr>
          <w:rFonts w:hint="eastAsia" w:ascii="宋体" w:hAnsi="宋体" w:eastAsia="宋体" w:cs="宋体"/>
          <w:color w:val="000000"/>
          <w:kern w:val="0"/>
          <w:sz w:val="21"/>
          <w:szCs w:val="21"/>
          <w:highlight w:val="none"/>
        </w:rPr>
        <w:t>。</w:t>
      </w:r>
    </w:p>
    <w:p w14:paraId="1E5383C3">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（7）其他：</w:t>
      </w:r>
      <w:r>
        <w:rPr>
          <w:rFonts w:hint="eastAsia" w:ascii="宋体" w:hAnsi="宋体" w:eastAsia="宋体" w:cs="宋体"/>
          <w:color w:val="000000"/>
          <w:kern w:val="0"/>
          <w:sz w:val="21"/>
          <w:szCs w:val="21"/>
          <w:highlight w:val="none"/>
          <w:u w:val="single"/>
        </w:rPr>
        <w:t xml:space="preserve">  /  </w:t>
      </w:r>
      <w:r>
        <w:rPr>
          <w:rFonts w:hint="eastAsia" w:ascii="宋体" w:hAnsi="宋体" w:eastAsia="宋体" w:cs="宋体"/>
          <w:color w:val="000000"/>
          <w:kern w:val="0"/>
          <w:sz w:val="21"/>
          <w:szCs w:val="21"/>
          <w:highlight w:val="none"/>
        </w:rPr>
        <w:t>。</w:t>
      </w:r>
    </w:p>
    <w:p w14:paraId="6427B6A3">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16.1.3 因发包人违约解除合同</w:t>
      </w:r>
    </w:p>
    <w:p w14:paraId="41F73880">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承包人按16.1.1项〔发包人违约的情形〕约定暂停施工满</w:t>
      </w:r>
      <w:r>
        <w:rPr>
          <w:rFonts w:hint="eastAsia" w:ascii="宋体" w:hAnsi="宋体" w:eastAsia="宋体" w:cs="宋体"/>
          <w:color w:val="000000"/>
          <w:kern w:val="0"/>
          <w:sz w:val="21"/>
          <w:szCs w:val="21"/>
          <w:highlight w:val="none"/>
          <w:u w:val="single"/>
        </w:rPr>
        <w:t xml:space="preserve">  /  </w:t>
      </w:r>
      <w:r>
        <w:rPr>
          <w:rFonts w:hint="eastAsia" w:ascii="宋体" w:hAnsi="宋体" w:eastAsia="宋体" w:cs="宋体"/>
          <w:color w:val="000000"/>
          <w:kern w:val="0"/>
          <w:sz w:val="21"/>
          <w:szCs w:val="21"/>
          <w:highlight w:val="none"/>
        </w:rPr>
        <w:t>天后发包人仍不纠正其违约行为并致使合同目的不能实现的，承包人有权解除合同。</w:t>
      </w:r>
    </w:p>
    <w:p w14:paraId="79FCED0E">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1703" w:name="_Toc497746850"/>
      <w:bookmarkStart w:id="1704" w:name="_Toc418752311"/>
      <w:bookmarkStart w:id="1705" w:name="_Toc373227768"/>
      <w:bookmarkStart w:id="1706" w:name="_Toc389065333"/>
      <w:bookmarkStart w:id="1707" w:name="_Toc522201795"/>
      <w:bookmarkStart w:id="1708" w:name="_Toc256000246"/>
      <w:bookmarkStart w:id="1709" w:name="_Toc418061380"/>
      <w:bookmarkStart w:id="1710" w:name="_Toc418751865"/>
      <w:bookmarkStart w:id="1711" w:name="_Toc497747247"/>
      <w:bookmarkStart w:id="1712" w:name="_Toc373478415"/>
      <w:bookmarkStart w:id="1713" w:name="_Toc418518179"/>
      <w:bookmarkStart w:id="1714" w:name="_Toc403579003"/>
      <w:bookmarkStart w:id="1715" w:name="_Toc418518415"/>
      <w:r>
        <w:rPr>
          <w:rFonts w:hint="eastAsia" w:ascii="宋体" w:hAnsi="宋体" w:eastAsia="宋体" w:cs="宋体"/>
          <w:color w:val="000000"/>
          <w:sz w:val="21"/>
          <w:szCs w:val="21"/>
          <w:highlight w:val="none"/>
        </w:rPr>
        <w:t>16.2 承包人违约</w:t>
      </w:r>
      <w:bookmarkEnd w:id="1703"/>
      <w:bookmarkEnd w:id="1704"/>
      <w:bookmarkEnd w:id="1705"/>
      <w:bookmarkEnd w:id="1706"/>
      <w:bookmarkEnd w:id="1707"/>
      <w:bookmarkEnd w:id="1708"/>
      <w:bookmarkEnd w:id="1709"/>
      <w:bookmarkEnd w:id="1710"/>
      <w:bookmarkEnd w:id="1711"/>
      <w:bookmarkEnd w:id="1712"/>
      <w:bookmarkEnd w:id="1713"/>
      <w:bookmarkEnd w:id="1714"/>
      <w:bookmarkEnd w:id="1715"/>
    </w:p>
    <w:p w14:paraId="1DE62405">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16.2.1 承包人违约的情形</w:t>
      </w:r>
    </w:p>
    <w:p w14:paraId="3D65612A">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kern w:val="0"/>
          <w:sz w:val="21"/>
          <w:szCs w:val="21"/>
          <w:highlight w:val="none"/>
          <w:u w:val="single"/>
        </w:rPr>
      </w:pPr>
      <w:r>
        <w:rPr>
          <w:rFonts w:hint="eastAsia" w:ascii="宋体" w:hAnsi="宋体" w:eastAsia="宋体" w:cs="宋体"/>
          <w:color w:val="000000"/>
          <w:kern w:val="0"/>
          <w:sz w:val="21"/>
          <w:szCs w:val="21"/>
          <w:highlight w:val="none"/>
        </w:rPr>
        <w:t>承包人违约的其他情形：</w:t>
      </w:r>
      <w:r>
        <w:rPr>
          <w:rFonts w:hint="eastAsia" w:ascii="宋体" w:hAnsi="宋体" w:eastAsia="宋体" w:cs="宋体"/>
          <w:color w:val="000000"/>
          <w:kern w:val="0"/>
          <w:sz w:val="21"/>
          <w:szCs w:val="21"/>
          <w:highlight w:val="none"/>
          <w:u w:val="single"/>
        </w:rPr>
        <w:t xml:space="preserve">按通用条款执行 </w:t>
      </w:r>
      <w:r>
        <w:rPr>
          <w:rFonts w:hint="eastAsia" w:ascii="宋体" w:hAnsi="宋体" w:eastAsia="宋体" w:cs="宋体"/>
          <w:color w:val="000000"/>
          <w:kern w:val="0"/>
          <w:sz w:val="21"/>
          <w:szCs w:val="21"/>
          <w:highlight w:val="none"/>
        </w:rPr>
        <w:t>。</w:t>
      </w:r>
    </w:p>
    <w:p w14:paraId="5E3C867B">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16.2.2承包人违约的责任</w:t>
      </w:r>
    </w:p>
    <w:p w14:paraId="453AA917">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承包人违约责任的承担方式和计算方法：</w:t>
      </w:r>
    </w:p>
    <w:p w14:paraId="2F2196FE">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4BE3FE93">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（2）承包人有本合同通用条款第16.2.1（6）条情形的，或经监理人检验认为修复质量不合格而承包人拒绝再进行修补的，发包人将扣除承包人全部</w:t>
      </w:r>
      <w:r>
        <w:rPr>
          <w:rFonts w:hint="eastAsia" w:ascii="宋体" w:hAnsi="宋体" w:eastAsia="宋体" w:cs="宋体"/>
          <w:color w:val="000000"/>
          <w:kern w:val="0"/>
          <w:sz w:val="21"/>
          <w:szCs w:val="21"/>
          <w:highlight w:val="none"/>
          <w:lang w:eastAsia="zh-CN"/>
        </w:rPr>
        <w:t>质量保证金</w:t>
      </w:r>
      <w:r>
        <w:rPr>
          <w:rFonts w:hint="eastAsia" w:ascii="宋体" w:hAnsi="宋体" w:eastAsia="宋体" w:cs="宋体"/>
          <w:color w:val="000000"/>
          <w:kern w:val="0"/>
          <w:sz w:val="21"/>
          <w:szCs w:val="21"/>
          <w:highlight w:val="none"/>
        </w:rPr>
        <w:t>。</w:t>
      </w:r>
    </w:p>
    <w:p w14:paraId="552B8226">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w:t>
      </w:r>
      <w:r>
        <w:rPr>
          <w:rFonts w:hint="eastAsia" w:ascii="宋体" w:hAnsi="宋体" w:eastAsia="宋体" w:cs="宋体"/>
          <w:color w:val="000000"/>
          <w:sz w:val="21"/>
          <w:szCs w:val="21"/>
          <w:highlight w:val="none"/>
        </w:rPr>
        <w:t>承包人在合同期内，完成合同规定的全部工程，且质量合格，在本工程施工竣工验收后十五天内可申请返还全部或部分罚款，返还金额由监理人审核，发包人批准。罚款金额返还时不包括银行利息。</w:t>
      </w:r>
      <w:r>
        <w:rPr>
          <w:rFonts w:hint="eastAsia" w:ascii="宋体" w:hAnsi="宋体" w:eastAsia="宋体" w:cs="宋体"/>
          <w:color w:val="000000"/>
          <w:kern w:val="0"/>
          <w:sz w:val="21"/>
          <w:szCs w:val="21"/>
          <w:highlight w:val="none"/>
        </w:rPr>
        <w:t>承包人履约保证金被罚款后由发包人从最后一次计量支付时扣除相应金额补足履约保证金。</w:t>
      </w:r>
    </w:p>
    <w:p w14:paraId="6B6D5B2E">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16.2.3 因承包人违约解除合同</w:t>
      </w:r>
    </w:p>
    <w:p w14:paraId="26860D94">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关于承包人违约解除合同的特别约定：</w:t>
      </w:r>
      <w:r>
        <w:rPr>
          <w:rFonts w:hint="eastAsia" w:ascii="宋体" w:hAnsi="宋体" w:eastAsia="宋体" w:cs="宋体"/>
          <w:color w:val="000000"/>
          <w:kern w:val="0"/>
          <w:sz w:val="21"/>
          <w:szCs w:val="21"/>
          <w:highlight w:val="none"/>
          <w:u w:val="single"/>
        </w:rPr>
        <w:t>承包人有违反以下情况之一的，发包人有权解除合同，并没收其全部履约保证金</w:t>
      </w:r>
      <w:r>
        <w:rPr>
          <w:rFonts w:hint="eastAsia" w:ascii="宋体" w:hAnsi="宋体" w:eastAsia="宋体" w:cs="宋体"/>
          <w:color w:val="000000"/>
          <w:kern w:val="0"/>
          <w:sz w:val="21"/>
          <w:szCs w:val="21"/>
          <w:highlight w:val="none"/>
        </w:rPr>
        <w:t>。</w:t>
      </w:r>
    </w:p>
    <w:p w14:paraId="1E0CB625">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(1)承包人无正当理由不按开工通知的要求及时进场组织施工和不按签订协议书时商定的进度计划有效地开展施工准备，造成工期延误的；</w:t>
      </w:r>
    </w:p>
    <w:p w14:paraId="19213C1C">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(2)承包人违反本合同通用条款第3.5条规定私自将合同或合同的任何部分或任何权利转让给其他人，或私自将工程或工程的一部分分包出去的；</w:t>
      </w:r>
    </w:p>
    <w:p w14:paraId="7DE696DD">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(3)未经监理人批准，承包人私自将已按投标文件承诺进入工地的工程设备、施工设备、临时工程或材料撤离工地的；</w:t>
      </w:r>
    </w:p>
    <w:p w14:paraId="008A2FDE">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(4)由于承包人原因拒绝按合同进度计划及时完成合同规定的工程，而又未采取有效措施赶上进度，造成工期延误的；</w:t>
      </w:r>
    </w:p>
    <w:p w14:paraId="6EC16E2B">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(5)承包人否认合同有效或拒绝履行合同规定的承包人义务，或由于法律、财务等原因导致承包人无法继续履行或实质上已停止履行合同的义务的；</w:t>
      </w:r>
    </w:p>
    <w:p w14:paraId="0BA11139">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(6)合同签订之日起十五日内，承包人无法按合同规定及投标文件的承诺进场经监理工程师认可的全部人员和机械的。</w:t>
      </w:r>
    </w:p>
    <w:p w14:paraId="6D808C42">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000000"/>
          <w:kern w:val="0"/>
          <w:sz w:val="21"/>
          <w:szCs w:val="21"/>
          <w:highlight w:val="none"/>
          <w:u w:val="single"/>
        </w:rPr>
        <w:t xml:space="preserve">   协商决定   </w:t>
      </w:r>
      <w:r>
        <w:rPr>
          <w:rFonts w:hint="eastAsia" w:ascii="宋体" w:hAnsi="宋体" w:eastAsia="宋体" w:cs="宋体"/>
          <w:color w:val="000000"/>
          <w:kern w:val="0"/>
          <w:sz w:val="21"/>
          <w:szCs w:val="21"/>
          <w:highlight w:val="none"/>
        </w:rPr>
        <w:t>。</w:t>
      </w:r>
    </w:p>
    <w:p w14:paraId="28F8CA25">
      <w:pPr>
        <w:pStyle w:val="92"/>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bookmarkStart w:id="1716" w:name="_Toc351203649"/>
      <w:bookmarkStart w:id="1717" w:name="_Toc373227769"/>
      <w:bookmarkStart w:id="1718" w:name="_Toc389065334"/>
      <w:bookmarkStart w:id="1719" w:name="_Toc418751866"/>
      <w:bookmarkStart w:id="1720" w:name="_Toc418061381"/>
      <w:bookmarkStart w:id="1721" w:name="_Toc256000247"/>
      <w:bookmarkStart w:id="1722" w:name="_Toc418752312"/>
      <w:bookmarkStart w:id="1723" w:name="_Toc497746851"/>
      <w:bookmarkStart w:id="1724" w:name="_Toc403579004"/>
      <w:bookmarkStart w:id="1725" w:name="_Toc522201796"/>
      <w:bookmarkStart w:id="1726" w:name="_Toc418518416"/>
      <w:bookmarkStart w:id="1727" w:name="_Toc497747248"/>
      <w:bookmarkStart w:id="1728" w:name="_Toc418518180"/>
      <w:bookmarkStart w:id="1729" w:name="_Toc373478416"/>
      <w:r>
        <w:rPr>
          <w:rFonts w:hint="eastAsia" w:ascii="宋体" w:hAnsi="宋体" w:eastAsia="宋体" w:cs="宋体"/>
          <w:color w:val="000000"/>
          <w:sz w:val="21"/>
          <w:szCs w:val="21"/>
          <w:highlight w:val="none"/>
        </w:rPr>
        <w:t>17. 不可抗力</w:t>
      </w:r>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r>
        <w:rPr>
          <w:rFonts w:hint="eastAsia" w:ascii="宋体" w:hAnsi="宋体" w:eastAsia="宋体" w:cs="宋体"/>
          <w:color w:val="000000"/>
          <w:sz w:val="21"/>
          <w:szCs w:val="21"/>
          <w:highlight w:val="none"/>
        </w:rPr>
        <w:t xml:space="preserve"> </w:t>
      </w:r>
      <w:bookmarkEnd w:id="1688"/>
    </w:p>
    <w:p w14:paraId="5C985563">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1730" w:name="_Toc403579005"/>
      <w:bookmarkStart w:id="1731" w:name="_Toc373478417"/>
      <w:bookmarkStart w:id="1732" w:name="_Toc497746852"/>
      <w:bookmarkStart w:id="1733" w:name="_Toc418518181"/>
      <w:bookmarkStart w:id="1734" w:name="_Toc418518417"/>
      <w:bookmarkStart w:id="1735" w:name="_Toc418752313"/>
      <w:bookmarkStart w:id="1736" w:name="_Toc373227770"/>
      <w:bookmarkStart w:id="1737" w:name="_Toc497747249"/>
      <w:bookmarkStart w:id="1738" w:name="_Toc522201797"/>
      <w:bookmarkStart w:id="1739" w:name="_Toc256000248"/>
      <w:bookmarkStart w:id="1740" w:name="_Toc389065335"/>
      <w:bookmarkStart w:id="1741" w:name="_Toc418751867"/>
      <w:bookmarkStart w:id="1742" w:name="_Toc418061382"/>
      <w:r>
        <w:rPr>
          <w:rFonts w:hint="eastAsia" w:ascii="宋体" w:hAnsi="宋体" w:eastAsia="宋体" w:cs="宋体"/>
          <w:color w:val="000000"/>
          <w:sz w:val="21"/>
          <w:szCs w:val="21"/>
          <w:highlight w:val="none"/>
        </w:rPr>
        <w:t>17.1 不可抗力的确认</w:t>
      </w:r>
      <w:bookmarkEnd w:id="1730"/>
      <w:bookmarkEnd w:id="1731"/>
      <w:bookmarkEnd w:id="1732"/>
      <w:bookmarkEnd w:id="1733"/>
      <w:bookmarkEnd w:id="1734"/>
      <w:bookmarkEnd w:id="1735"/>
      <w:bookmarkEnd w:id="1736"/>
      <w:bookmarkEnd w:id="1737"/>
      <w:bookmarkEnd w:id="1738"/>
      <w:bookmarkEnd w:id="1739"/>
      <w:bookmarkEnd w:id="1740"/>
      <w:bookmarkEnd w:id="1741"/>
      <w:bookmarkEnd w:id="1742"/>
    </w:p>
    <w:p w14:paraId="64CD260E">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kern w:val="0"/>
          <w:sz w:val="21"/>
          <w:szCs w:val="21"/>
          <w:highlight w:val="none"/>
          <w:u w:val="single"/>
        </w:rPr>
      </w:pPr>
      <w:r>
        <w:rPr>
          <w:rFonts w:hint="eastAsia" w:ascii="宋体" w:hAnsi="宋体" w:eastAsia="宋体" w:cs="宋体"/>
          <w:color w:val="000000"/>
          <w:sz w:val="21"/>
          <w:szCs w:val="21"/>
          <w:highlight w:val="none"/>
        </w:rPr>
        <w:t>除通用合同条款约定的不可抗力事件之外，视为不可抗力的其他情形：</w:t>
      </w:r>
      <w:r>
        <w:rPr>
          <w:rFonts w:hint="eastAsia" w:ascii="宋体" w:hAnsi="宋体" w:eastAsia="宋体" w:cs="宋体"/>
          <w:color w:val="000000"/>
          <w:kern w:val="0"/>
          <w:sz w:val="21"/>
          <w:szCs w:val="21"/>
          <w:highlight w:val="none"/>
          <w:u w:val="single"/>
        </w:rPr>
        <w:t>（1）、6级以上地震；（2）、10级以上持续1天的大风；（3）、暴雨级以上持续1天的大雨；（4）、50年以上未发生过，持续2天的高温天气；（5）、50年以上未发生过，持续2天的低温天气；（6）、50年以上未发生过 的洪水；（7）、战争、敌对行动（不论宣战与否）、入侵、外敌行动；（8）、暴乱、骚乱、叛乱、革命、暴动，或军事政变、篡夺政权、内战等；（9）、由于任何有危险性物质所引起的离子辐射或放射性污染；（10）、以音速飞行的飞机或其他飞行装置产生的压力波；（11）、对以上几种形式，应以造成灾害和影响施工为准</w:t>
      </w:r>
      <w:r>
        <w:rPr>
          <w:rFonts w:hint="eastAsia" w:ascii="宋体" w:hAnsi="宋体" w:eastAsia="宋体" w:cs="宋体"/>
          <w:color w:val="000000"/>
          <w:kern w:val="0"/>
          <w:sz w:val="21"/>
          <w:szCs w:val="21"/>
          <w:highlight w:val="none"/>
        </w:rPr>
        <w:t>。</w:t>
      </w:r>
    </w:p>
    <w:p w14:paraId="4613003A">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1743" w:name="_Toc418518418"/>
      <w:bookmarkStart w:id="1744" w:name="_Toc418751868"/>
      <w:bookmarkStart w:id="1745" w:name="_Toc418518182"/>
      <w:bookmarkStart w:id="1746" w:name="_Toc373227771"/>
      <w:bookmarkStart w:id="1747" w:name="_Toc256000249"/>
      <w:bookmarkStart w:id="1748" w:name="_Toc418061383"/>
      <w:bookmarkStart w:id="1749" w:name="_Toc418752314"/>
      <w:bookmarkStart w:id="1750" w:name="_Toc389065336"/>
      <w:bookmarkStart w:id="1751" w:name="_Toc522201798"/>
      <w:bookmarkStart w:id="1752" w:name="_Toc497746853"/>
      <w:bookmarkStart w:id="1753" w:name="_Toc497747250"/>
      <w:bookmarkStart w:id="1754" w:name="_Toc373478418"/>
      <w:bookmarkStart w:id="1755" w:name="_Toc403579006"/>
      <w:r>
        <w:rPr>
          <w:rFonts w:hint="eastAsia" w:ascii="宋体" w:hAnsi="宋体" w:eastAsia="宋体" w:cs="宋体"/>
          <w:color w:val="000000"/>
          <w:sz w:val="21"/>
          <w:szCs w:val="21"/>
          <w:highlight w:val="none"/>
        </w:rPr>
        <w:t>17.4 因不可抗力解除合同</w:t>
      </w:r>
      <w:bookmarkEnd w:id="1743"/>
      <w:bookmarkEnd w:id="1744"/>
      <w:bookmarkEnd w:id="1745"/>
      <w:bookmarkEnd w:id="1746"/>
      <w:bookmarkEnd w:id="1747"/>
      <w:bookmarkEnd w:id="1748"/>
      <w:bookmarkEnd w:id="1749"/>
      <w:bookmarkEnd w:id="1750"/>
      <w:bookmarkEnd w:id="1751"/>
      <w:bookmarkEnd w:id="1752"/>
      <w:bookmarkEnd w:id="1753"/>
      <w:bookmarkEnd w:id="1754"/>
      <w:bookmarkEnd w:id="1755"/>
    </w:p>
    <w:p w14:paraId="24F1B921">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合同解除后，发包人应在商定或确定发包人应支付款项后</w:t>
      </w:r>
      <w:r>
        <w:rPr>
          <w:rFonts w:hint="eastAsia" w:ascii="宋体" w:hAnsi="宋体" w:eastAsia="宋体" w:cs="宋体"/>
          <w:color w:val="000000"/>
          <w:sz w:val="21"/>
          <w:szCs w:val="21"/>
          <w:highlight w:val="none"/>
          <w:u w:val="single"/>
        </w:rPr>
        <w:t xml:space="preserve"> 30 </w:t>
      </w:r>
      <w:r>
        <w:rPr>
          <w:rFonts w:hint="eastAsia" w:ascii="宋体" w:hAnsi="宋体" w:eastAsia="宋体" w:cs="宋体"/>
          <w:color w:val="000000"/>
          <w:sz w:val="21"/>
          <w:szCs w:val="21"/>
          <w:highlight w:val="none"/>
        </w:rPr>
        <w:t>天内完成款项的支付。</w:t>
      </w:r>
    </w:p>
    <w:p w14:paraId="5048EF55">
      <w:pPr>
        <w:pStyle w:val="92"/>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bookmarkStart w:id="1756" w:name="_Toc389065337"/>
      <w:bookmarkStart w:id="1757" w:name="_Toc418518419"/>
      <w:bookmarkStart w:id="1758" w:name="_Toc418752315"/>
      <w:bookmarkStart w:id="1759" w:name="_Toc373227772"/>
      <w:bookmarkStart w:id="1760" w:name="_Toc497746854"/>
      <w:bookmarkStart w:id="1761" w:name="_Toc497747251"/>
      <w:bookmarkStart w:id="1762" w:name="_Toc351203650"/>
      <w:bookmarkStart w:id="1763" w:name="_Toc418751869"/>
      <w:bookmarkStart w:id="1764" w:name="_Toc373478419"/>
      <w:bookmarkStart w:id="1765" w:name="_Toc256000250"/>
      <w:bookmarkStart w:id="1766" w:name="_Toc418061384"/>
      <w:bookmarkStart w:id="1767" w:name="_Toc418518183"/>
      <w:bookmarkStart w:id="1768" w:name="_Toc522201799"/>
      <w:bookmarkStart w:id="1769" w:name="_Toc403579007"/>
      <w:r>
        <w:rPr>
          <w:rFonts w:hint="eastAsia" w:ascii="宋体" w:hAnsi="宋体" w:eastAsia="宋体" w:cs="宋体"/>
          <w:color w:val="000000"/>
          <w:sz w:val="21"/>
          <w:szCs w:val="21"/>
          <w:highlight w:val="none"/>
        </w:rPr>
        <w:t>18. 保险</w:t>
      </w:r>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p>
    <w:bookmarkEnd w:id="1689"/>
    <w:p w14:paraId="493276E3">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1770" w:name="_Toc497747252"/>
      <w:bookmarkStart w:id="1771" w:name="_Toc389065338"/>
      <w:bookmarkStart w:id="1772" w:name="_Toc418752316"/>
      <w:bookmarkStart w:id="1773" w:name="_Toc418518184"/>
      <w:bookmarkStart w:id="1774" w:name="_Toc522201800"/>
      <w:bookmarkStart w:id="1775" w:name="_Toc256000251"/>
      <w:bookmarkStart w:id="1776" w:name="_Toc403579008"/>
      <w:bookmarkStart w:id="1777" w:name="_Toc373478420"/>
      <w:bookmarkStart w:id="1778" w:name="_Toc418751870"/>
      <w:bookmarkStart w:id="1779" w:name="_Toc418518420"/>
      <w:bookmarkStart w:id="1780" w:name="_Toc418061385"/>
      <w:bookmarkStart w:id="1781" w:name="_Toc497746855"/>
      <w:bookmarkStart w:id="1782" w:name="_Toc373227773"/>
      <w:r>
        <w:rPr>
          <w:rFonts w:hint="eastAsia" w:ascii="宋体" w:hAnsi="宋体" w:eastAsia="宋体" w:cs="宋体"/>
          <w:color w:val="000000"/>
          <w:sz w:val="21"/>
          <w:szCs w:val="21"/>
          <w:highlight w:val="none"/>
        </w:rPr>
        <w:t>18.1 工程保险</w:t>
      </w:r>
      <w:bookmarkEnd w:id="1770"/>
      <w:bookmarkEnd w:id="1771"/>
      <w:bookmarkEnd w:id="1772"/>
      <w:bookmarkEnd w:id="1773"/>
      <w:bookmarkEnd w:id="1774"/>
      <w:bookmarkEnd w:id="1775"/>
      <w:bookmarkEnd w:id="1776"/>
      <w:bookmarkEnd w:id="1777"/>
      <w:bookmarkEnd w:id="1778"/>
      <w:bookmarkEnd w:id="1779"/>
      <w:bookmarkEnd w:id="1780"/>
      <w:bookmarkEnd w:id="1781"/>
      <w:bookmarkEnd w:id="1782"/>
    </w:p>
    <w:p w14:paraId="103B0233">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关于工程保险的特别约定：</w:t>
      </w:r>
      <w:r>
        <w:rPr>
          <w:rFonts w:hint="eastAsia" w:ascii="宋体" w:hAnsi="宋体" w:eastAsia="宋体" w:cs="宋体"/>
          <w:color w:val="000000"/>
          <w:kern w:val="0"/>
          <w:sz w:val="21"/>
          <w:szCs w:val="21"/>
          <w:highlight w:val="none"/>
          <w:u w:val="single"/>
        </w:rPr>
        <w:t>承包人应投保建筑工程一切险并承担与之相关的所有费用</w:t>
      </w:r>
      <w:r>
        <w:rPr>
          <w:rFonts w:hint="eastAsia" w:ascii="宋体" w:hAnsi="宋体" w:eastAsia="宋体" w:cs="宋体"/>
          <w:color w:val="000000"/>
          <w:kern w:val="0"/>
          <w:sz w:val="21"/>
          <w:szCs w:val="21"/>
          <w:highlight w:val="none"/>
        </w:rPr>
        <w:t>。</w:t>
      </w:r>
    </w:p>
    <w:p w14:paraId="7E53C070">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1783" w:name="_Toc389065339"/>
      <w:bookmarkStart w:id="1784" w:name="_Toc418061386"/>
      <w:bookmarkStart w:id="1785" w:name="_Toc373227774"/>
      <w:bookmarkStart w:id="1786" w:name="_Toc522201801"/>
      <w:bookmarkStart w:id="1787" w:name="_Toc497746856"/>
      <w:bookmarkStart w:id="1788" w:name="_Toc418518421"/>
      <w:bookmarkStart w:id="1789" w:name="_Toc373478421"/>
      <w:bookmarkStart w:id="1790" w:name="_Toc497747253"/>
      <w:bookmarkStart w:id="1791" w:name="_Toc418751871"/>
      <w:bookmarkStart w:id="1792" w:name="_Toc418518185"/>
      <w:bookmarkStart w:id="1793" w:name="_Toc418752317"/>
      <w:bookmarkStart w:id="1794" w:name="_Toc256000252"/>
      <w:bookmarkStart w:id="1795" w:name="_Toc403579009"/>
      <w:r>
        <w:rPr>
          <w:rFonts w:hint="eastAsia" w:ascii="宋体" w:hAnsi="宋体" w:eastAsia="宋体" w:cs="宋体"/>
          <w:color w:val="000000"/>
          <w:sz w:val="21"/>
          <w:szCs w:val="21"/>
          <w:highlight w:val="none"/>
        </w:rPr>
        <w:t>18.3 其他保险</w:t>
      </w:r>
      <w:bookmarkEnd w:id="1783"/>
      <w:bookmarkEnd w:id="1784"/>
      <w:bookmarkEnd w:id="1785"/>
      <w:bookmarkEnd w:id="1786"/>
      <w:bookmarkEnd w:id="1787"/>
      <w:bookmarkEnd w:id="1788"/>
      <w:bookmarkEnd w:id="1789"/>
      <w:bookmarkEnd w:id="1790"/>
      <w:bookmarkEnd w:id="1791"/>
      <w:bookmarkEnd w:id="1792"/>
      <w:bookmarkEnd w:id="1793"/>
      <w:bookmarkEnd w:id="1794"/>
      <w:bookmarkEnd w:id="1795"/>
    </w:p>
    <w:p w14:paraId="5ED37C7C">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关于其他保险的约定：</w:t>
      </w:r>
      <w:r>
        <w:rPr>
          <w:rFonts w:hint="eastAsia" w:ascii="宋体" w:hAnsi="宋体" w:eastAsia="宋体" w:cs="宋体"/>
          <w:color w:val="000000"/>
          <w:kern w:val="0"/>
          <w:sz w:val="21"/>
          <w:szCs w:val="21"/>
          <w:highlight w:val="none"/>
          <w:u w:val="single"/>
        </w:rPr>
        <w:t>承包人根据市建协字【2009】3号文必须</w:t>
      </w:r>
      <w:r>
        <w:rPr>
          <w:rFonts w:hint="eastAsia" w:ascii="宋体" w:hAnsi="宋体" w:eastAsia="宋体" w:cs="宋体"/>
          <w:color w:val="000000"/>
          <w:sz w:val="21"/>
          <w:szCs w:val="21"/>
          <w:highlight w:val="none"/>
          <w:u w:val="single"/>
        </w:rPr>
        <w:t>为施工现场从事施工的所有作业人员和管理人员办理意外伤害保险，并支付保险费</w:t>
      </w:r>
      <w:r>
        <w:rPr>
          <w:rFonts w:hint="eastAsia" w:ascii="宋体" w:hAnsi="宋体" w:eastAsia="宋体" w:cs="宋体"/>
          <w:bCs/>
          <w:color w:val="000000"/>
          <w:sz w:val="21"/>
          <w:szCs w:val="21"/>
          <w:highlight w:val="none"/>
        </w:rPr>
        <w:t>。</w:t>
      </w:r>
    </w:p>
    <w:p w14:paraId="7E497775">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承包人是否应为其施工设备等办理财产保险：</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u w:val="single"/>
        </w:rPr>
        <w:t>按通用条款执行，无特殊约定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0C5E3B22">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1796" w:name="_Toc418061387"/>
      <w:bookmarkStart w:id="1797" w:name="_Toc389065340"/>
      <w:bookmarkStart w:id="1798" w:name="_Toc497747254"/>
      <w:bookmarkStart w:id="1799" w:name="_Toc418752318"/>
      <w:bookmarkStart w:id="1800" w:name="_Toc256000253"/>
      <w:bookmarkStart w:id="1801" w:name="_Toc418751872"/>
      <w:bookmarkStart w:id="1802" w:name="_Toc522201802"/>
      <w:bookmarkStart w:id="1803" w:name="_Toc403579010"/>
      <w:bookmarkStart w:id="1804" w:name="_Toc418518186"/>
      <w:bookmarkStart w:id="1805" w:name="_Toc373478422"/>
      <w:bookmarkStart w:id="1806" w:name="_Toc418518422"/>
      <w:bookmarkStart w:id="1807" w:name="_Toc497746857"/>
      <w:bookmarkStart w:id="1808" w:name="_Toc373227775"/>
      <w:r>
        <w:rPr>
          <w:rFonts w:hint="eastAsia" w:ascii="宋体" w:hAnsi="宋体" w:eastAsia="宋体" w:cs="宋体"/>
          <w:color w:val="000000"/>
          <w:sz w:val="21"/>
          <w:szCs w:val="21"/>
          <w:highlight w:val="none"/>
        </w:rPr>
        <w:t>18.7 通知义务</w:t>
      </w:r>
      <w:bookmarkEnd w:id="1796"/>
      <w:bookmarkEnd w:id="1797"/>
      <w:bookmarkEnd w:id="1798"/>
      <w:bookmarkEnd w:id="1799"/>
      <w:bookmarkEnd w:id="1800"/>
      <w:bookmarkEnd w:id="1801"/>
      <w:bookmarkEnd w:id="1802"/>
      <w:bookmarkEnd w:id="1803"/>
      <w:bookmarkEnd w:id="1804"/>
      <w:bookmarkEnd w:id="1805"/>
      <w:bookmarkEnd w:id="1806"/>
      <w:bookmarkEnd w:id="1807"/>
      <w:bookmarkEnd w:id="1808"/>
    </w:p>
    <w:p w14:paraId="7BF59087">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kern w:val="0"/>
          <w:sz w:val="21"/>
          <w:szCs w:val="21"/>
          <w:highlight w:val="none"/>
        </w:rPr>
        <w:t>关于变更保险合同时的通知义务的约定：</w:t>
      </w:r>
      <w:r>
        <w:rPr>
          <w:rFonts w:hint="eastAsia" w:ascii="宋体" w:hAnsi="宋体" w:eastAsia="宋体" w:cs="宋体"/>
          <w:color w:val="000000"/>
          <w:sz w:val="21"/>
          <w:szCs w:val="21"/>
          <w:highlight w:val="none"/>
          <w:u w:val="single"/>
        </w:rPr>
        <w:t xml:space="preserve">  变更应通知当事人 </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sz w:val="21"/>
          <w:szCs w:val="21"/>
          <w:highlight w:val="none"/>
        </w:rPr>
        <w:t>。</w:t>
      </w:r>
    </w:p>
    <w:bookmarkEnd w:id="1613"/>
    <w:bookmarkEnd w:id="1614"/>
    <w:bookmarkEnd w:id="1615"/>
    <w:bookmarkEnd w:id="1616"/>
    <w:bookmarkEnd w:id="1617"/>
    <w:bookmarkEnd w:id="1618"/>
    <w:bookmarkEnd w:id="1619"/>
    <w:bookmarkEnd w:id="1620"/>
    <w:bookmarkEnd w:id="1621"/>
    <w:bookmarkEnd w:id="1622"/>
    <w:bookmarkEnd w:id="1623"/>
    <w:bookmarkEnd w:id="1624"/>
    <w:p w14:paraId="66CCE555">
      <w:pPr>
        <w:pStyle w:val="92"/>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bookmarkStart w:id="1809" w:name="_Toc418518187"/>
      <w:bookmarkStart w:id="1810" w:name="_Toc497746858"/>
      <w:bookmarkStart w:id="1811" w:name="_Toc351203651"/>
      <w:bookmarkStart w:id="1812" w:name="_Toc403579011"/>
      <w:bookmarkStart w:id="1813" w:name="_Toc497747255"/>
      <w:bookmarkStart w:id="1814" w:name="_Toc418752319"/>
      <w:bookmarkStart w:id="1815" w:name="_Toc522201803"/>
      <w:bookmarkStart w:id="1816" w:name="_Toc373227776"/>
      <w:bookmarkStart w:id="1817" w:name="_Toc256000254"/>
      <w:bookmarkStart w:id="1818" w:name="_Toc418518423"/>
      <w:bookmarkStart w:id="1819" w:name="_Toc389065341"/>
      <w:bookmarkStart w:id="1820" w:name="_Toc373478423"/>
      <w:bookmarkStart w:id="1821" w:name="_Toc418061388"/>
      <w:bookmarkStart w:id="1822" w:name="_Toc418751873"/>
      <w:r>
        <w:rPr>
          <w:rFonts w:hint="eastAsia" w:ascii="宋体" w:hAnsi="宋体" w:eastAsia="宋体" w:cs="宋体"/>
          <w:color w:val="000000"/>
          <w:sz w:val="21"/>
          <w:szCs w:val="21"/>
          <w:highlight w:val="none"/>
        </w:rPr>
        <w:t>20. 争议解决</w:t>
      </w:r>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p>
    <w:bookmarkEnd w:id="1625"/>
    <w:bookmarkEnd w:id="1626"/>
    <w:p w14:paraId="2ABFDE7C">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1823" w:name="_Toc497746859"/>
      <w:bookmarkStart w:id="1824" w:name="_Toc389065342"/>
      <w:bookmarkStart w:id="1825" w:name="_Toc418518188"/>
      <w:bookmarkStart w:id="1826" w:name="_Toc418752320"/>
      <w:bookmarkStart w:id="1827" w:name="_Toc418751874"/>
      <w:bookmarkStart w:id="1828" w:name="_Toc373478424"/>
      <w:bookmarkStart w:id="1829" w:name="_Toc418518424"/>
      <w:bookmarkStart w:id="1830" w:name="_Toc373227777"/>
      <w:bookmarkStart w:id="1831" w:name="_Toc418061389"/>
      <w:bookmarkStart w:id="1832" w:name="_Toc256000255"/>
      <w:bookmarkStart w:id="1833" w:name="_Toc403579012"/>
      <w:bookmarkStart w:id="1834" w:name="_Toc522201804"/>
      <w:bookmarkStart w:id="1835" w:name="_Toc497747256"/>
      <w:r>
        <w:rPr>
          <w:rFonts w:hint="eastAsia" w:ascii="宋体" w:hAnsi="宋体" w:eastAsia="宋体" w:cs="宋体"/>
          <w:color w:val="000000"/>
          <w:sz w:val="21"/>
          <w:szCs w:val="21"/>
          <w:highlight w:val="none"/>
        </w:rPr>
        <w:t>20.3 争</w:t>
      </w:r>
      <w:bookmarkEnd w:id="1627"/>
      <w:r>
        <w:rPr>
          <w:rFonts w:hint="eastAsia" w:ascii="宋体" w:hAnsi="宋体" w:eastAsia="宋体" w:cs="宋体"/>
          <w:color w:val="000000"/>
          <w:sz w:val="21"/>
          <w:szCs w:val="21"/>
          <w:highlight w:val="none"/>
        </w:rPr>
        <w:t>议评审</w:t>
      </w:r>
      <w:bookmarkEnd w:id="1823"/>
      <w:bookmarkEnd w:id="1824"/>
      <w:bookmarkEnd w:id="1825"/>
      <w:bookmarkEnd w:id="1826"/>
      <w:bookmarkEnd w:id="1827"/>
      <w:bookmarkEnd w:id="1828"/>
      <w:bookmarkEnd w:id="1829"/>
      <w:bookmarkEnd w:id="1830"/>
      <w:bookmarkEnd w:id="1831"/>
      <w:bookmarkEnd w:id="1832"/>
      <w:bookmarkEnd w:id="1833"/>
      <w:bookmarkEnd w:id="1834"/>
      <w:bookmarkEnd w:id="1835"/>
    </w:p>
    <w:p w14:paraId="46D785D6">
      <w:pPr>
        <w:pStyle w:val="94"/>
        <w:pageBreakBefore w:val="0"/>
        <w:widowControl w:val="0"/>
        <w:kinsoku/>
        <w:wordWrap/>
        <w:overflowPunct/>
        <w:topLinePunct w:val="0"/>
        <w:bidi w:val="0"/>
        <w:snapToGrid/>
        <w:spacing w:line="360" w:lineRule="auto"/>
        <w:ind w:left="0" w:leftChars="0" w:firstLine="315" w:firstLineChars="150"/>
        <w:jc w:val="left"/>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合同当事人是否同意将工程争议提交争议评审小组决定：</w:t>
      </w:r>
      <w:r>
        <w:rPr>
          <w:rFonts w:hint="eastAsia" w:ascii="宋体" w:hAnsi="宋体" w:eastAsia="宋体" w:cs="宋体"/>
          <w:color w:val="000000"/>
          <w:sz w:val="21"/>
          <w:szCs w:val="21"/>
          <w:highlight w:val="none"/>
          <w:u w:val="single"/>
        </w:rPr>
        <w:t xml:space="preserve">  不同意  </w:t>
      </w:r>
      <w:r>
        <w:rPr>
          <w:rFonts w:hint="eastAsia" w:ascii="宋体" w:hAnsi="宋体" w:eastAsia="宋体" w:cs="宋体"/>
          <w:color w:val="000000"/>
          <w:sz w:val="21"/>
          <w:szCs w:val="21"/>
          <w:highlight w:val="none"/>
        </w:rPr>
        <w:t>。</w:t>
      </w:r>
    </w:p>
    <w:p w14:paraId="1B03E139">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20.3.1 争议评审小组的确定</w:t>
      </w:r>
    </w:p>
    <w:p w14:paraId="3AE850D3">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争议评审小组成员的确定：</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09E80198">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选定争议评审员的期限：</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273067E5">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争议评审小组成员的报酬承担方式：</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4062F96F">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其他事项的约定：</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347B2703">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20.3.2 争议评审小组的决定</w:t>
      </w:r>
    </w:p>
    <w:p w14:paraId="7040B5BA">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合同当事人关于本项的约定：</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775FFCAC">
      <w:pPr>
        <w:pStyle w:val="92"/>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color w:val="000000"/>
          <w:sz w:val="21"/>
          <w:szCs w:val="21"/>
          <w:highlight w:val="none"/>
        </w:rPr>
      </w:pPr>
      <w:bookmarkStart w:id="1836" w:name="_Toc373478425"/>
      <w:bookmarkStart w:id="1837" w:name="_Toc403579013"/>
      <w:bookmarkStart w:id="1838" w:name="_Toc418752321"/>
      <w:bookmarkStart w:id="1839" w:name="_Toc373227778"/>
      <w:bookmarkStart w:id="1840" w:name="_Toc418061390"/>
      <w:bookmarkStart w:id="1841" w:name="_Toc418518425"/>
      <w:bookmarkStart w:id="1842" w:name="_Toc418751875"/>
      <w:bookmarkStart w:id="1843" w:name="_Toc522201805"/>
      <w:bookmarkStart w:id="1844" w:name="_Toc256000256"/>
      <w:bookmarkStart w:id="1845" w:name="_Toc389065343"/>
      <w:bookmarkStart w:id="1846" w:name="_Toc418518189"/>
      <w:bookmarkStart w:id="1847" w:name="_Toc497746860"/>
      <w:bookmarkStart w:id="1848" w:name="_Toc497747257"/>
      <w:r>
        <w:rPr>
          <w:rFonts w:hint="eastAsia" w:ascii="宋体" w:hAnsi="宋体" w:eastAsia="宋体" w:cs="宋体"/>
          <w:color w:val="000000"/>
          <w:sz w:val="21"/>
          <w:szCs w:val="21"/>
          <w:highlight w:val="none"/>
        </w:rPr>
        <w:t>20.4 仲裁或诉讼</w:t>
      </w:r>
      <w:bookmarkEnd w:id="1628"/>
      <w:bookmarkEnd w:id="1836"/>
      <w:bookmarkEnd w:id="1837"/>
      <w:bookmarkEnd w:id="1838"/>
      <w:bookmarkEnd w:id="1839"/>
      <w:bookmarkEnd w:id="1840"/>
      <w:bookmarkEnd w:id="1841"/>
      <w:bookmarkEnd w:id="1842"/>
      <w:bookmarkEnd w:id="1843"/>
      <w:bookmarkEnd w:id="1844"/>
      <w:bookmarkEnd w:id="1845"/>
      <w:bookmarkEnd w:id="1846"/>
      <w:bookmarkEnd w:id="1847"/>
      <w:bookmarkEnd w:id="1848"/>
    </w:p>
    <w:p w14:paraId="564450DA">
      <w:pPr>
        <w:pStyle w:val="94"/>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因合同及合同有关事项发生的争议，按下列第</w:t>
      </w:r>
      <w:r>
        <w:rPr>
          <w:rFonts w:hint="eastAsia" w:ascii="宋体" w:hAnsi="宋体" w:eastAsia="宋体" w:cs="宋体"/>
          <w:color w:val="000000"/>
          <w:sz w:val="21"/>
          <w:szCs w:val="21"/>
          <w:highlight w:val="none"/>
          <w:u w:val="single"/>
        </w:rPr>
        <w:t xml:space="preserve">  （2）    </w:t>
      </w:r>
      <w:r>
        <w:rPr>
          <w:rFonts w:hint="eastAsia" w:ascii="宋体" w:hAnsi="宋体" w:eastAsia="宋体" w:cs="宋体"/>
          <w:color w:val="000000"/>
          <w:sz w:val="21"/>
          <w:szCs w:val="21"/>
          <w:highlight w:val="none"/>
        </w:rPr>
        <w:t>种方式解决：</w:t>
      </w:r>
    </w:p>
    <w:p w14:paraId="7D08B4AF">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（1）提请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仲裁委员会按照该会仲裁规则进行仲裁，仲裁裁决是终局的，对合同双方均有约束力。</w:t>
      </w:r>
    </w:p>
    <w:p w14:paraId="25876B9C">
      <w:pPr>
        <w:pStyle w:val="94"/>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（2）向</w:t>
      </w:r>
      <w:r>
        <w:rPr>
          <w:rFonts w:hint="eastAsia" w:ascii="宋体" w:hAnsi="宋体" w:eastAsia="宋体" w:cs="宋体"/>
          <w:color w:val="000000"/>
          <w:sz w:val="21"/>
          <w:szCs w:val="21"/>
          <w:highlight w:val="none"/>
          <w:u w:val="single"/>
        </w:rPr>
        <w:t xml:space="preserve">    桂林市本工程辖区内     </w:t>
      </w:r>
      <w:r>
        <w:rPr>
          <w:rFonts w:hint="eastAsia" w:ascii="宋体" w:hAnsi="宋体" w:eastAsia="宋体" w:cs="宋体"/>
          <w:color w:val="000000"/>
          <w:sz w:val="21"/>
          <w:szCs w:val="21"/>
          <w:highlight w:val="none"/>
        </w:rPr>
        <w:t>人民法院起诉。</w:t>
      </w:r>
      <w:bookmarkEnd w:id="1629"/>
      <w:bookmarkEnd w:id="1630"/>
      <w:bookmarkEnd w:id="1631"/>
      <w:bookmarkEnd w:id="1632"/>
      <w:bookmarkEnd w:id="1633"/>
      <w:bookmarkEnd w:id="1634"/>
    </w:p>
    <w:p w14:paraId="3CB23171">
      <w:pPr>
        <w:pStyle w:val="92"/>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color w:val="000000"/>
          <w:sz w:val="21"/>
          <w:szCs w:val="21"/>
          <w:highlight w:val="none"/>
        </w:rPr>
      </w:pPr>
      <w:bookmarkStart w:id="1849" w:name="_Toc373478426"/>
      <w:bookmarkStart w:id="1850" w:name="_Toc389065344"/>
      <w:bookmarkStart w:id="1851" w:name="_Toc256000257"/>
      <w:bookmarkStart w:id="1852" w:name="_Toc395382582"/>
      <w:bookmarkStart w:id="1853" w:name="_Toc373227779"/>
      <w:bookmarkStart w:id="1854" w:name="_Toc497747258"/>
      <w:bookmarkStart w:id="1855" w:name="_Toc497746861"/>
      <w:bookmarkStart w:id="1856" w:name="_Toc522201806"/>
      <w:r>
        <w:rPr>
          <w:rFonts w:hint="eastAsia" w:ascii="宋体" w:hAnsi="宋体" w:eastAsia="宋体" w:cs="宋体"/>
          <w:color w:val="000000"/>
          <w:sz w:val="21"/>
          <w:szCs w:val="21"/>
          <w:highlight w:val="none"/>
        </w:rPr>
        <w:t>21. 补充条款</w:t>
      </w:r>
      <w:bookmarkEnd w:id="1849"/>
      <w:bookmarkEnd w:id="1850"/>
      <w:bookmarkEnd w:id="1851"/>
      <w:bookmarkEnd w:id="1852"/>
      <w:bookmarkEnd w:id="1853"/>
      <w:bookmarkEnd w:id="1854"/>
      <w:bookmarkEnd w:id="1855"/>
      <w:bookmarkEnd w:id="1856"/>
    </w:p>
    <w:p w14:paraId="6AE484B9">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21.1 发包人按节点足额支付工程款后，一旦其承包的建设工程项目中出现拖欠农民工工资情况的，由主管部门从其</w:t>
      </w:r>
      <w:r>
        <w:rPr>
          <w:rFonts w:hint="eastAsia" w:ascii="宋体" w:hAnsi="宋体" w:eastAsia="宋体" w:cs="宋体"/>
          <w:color w:val="000000"/>
          <w:kern w:val="0"/>
          <w:sz w:val="21"/>
          <w:szCs w:val="21"/>
          <w:highlight w:val="none"/>
          <w:lang w:eastAsia="zh-CN"/>
        </w:rPr>
        <w:t>下一节点工程款中扣除</w:t>
      </w:r>
      <w:r>
        <w:rPr>
          <w:rFonts w:hint="eastAsia" w:ascii="宋体" w:hAnsi="宋体" w:eastAsia="宋体" w:cs="宋体"/>
          <w:color w:val="000000"/>
          <w:kern w:val="0"/>
          <w:sz w:val="21"/>
          <w:szCs w:val="21"/>
          <w:highlight w:val="none"/>
        </w:rPr>
        <w:t xml:space="preserve">先予支付。 </w:t>
      </w:r>
    </w:p>
    <w:p w14:paraId="7D471236">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21.2 承包方采用新工艺新材料，必须在使用前 2 个月，向发包方提交相关的技术资料、发明专利、产品证书、样品及应用的实例、单价组成等有关资料；经发包方、设计单位认可后方可使用，凡未经批准擅自使用者除费用自行承担外还应赔偿发包方由此引起的经济损失。 </w:t>
      </w:r>
    </w:p>
    <w:p w14:paraId="38018AC3">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21.3 赶工费、夜间施工费由投标人结合自身企业的实际情况及对施工现场的考察、提供的图纸等各方面的资料自行报价，并包干使用，今后不作任何调整和签证。</w:t>
      </w:r>
    </w:p>
    <w:p w14:paraId="2087AB0A">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21.4 根据《建设工程质量检测管理办法》（建设部令第 141 号）以及《广西壮族自治区建设工程质量检测管理规定》（桂建管〔2013〕11 号）规定，工程质量检测业务由招标人委托有相应资质的检测机构检测。费用从招标人的项目建设经费中支出并直接支付给检测机构，不计入合同价款内。 </w:t>
      </w:r>
    </w:p>
    <w:p w14:paraId="44E051CF">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21.6 发包人需要</w:t>
      </w:r>
      <w:r>
        <w:rPr>
          <w:rFonts w:hint="eastAsia" w:ascii="宋体" w:hAnsi="宋体" w:eastAsia="宋体" w:cs="宋体"/>
          <w:strike w:val="0"/>
          <w:dstrike w:val="0"/>
          <w:color w:val="000000"/>
          <w:kern w:val="0"/>
          <w:sz w:val="21"/>
          <w:szCs w:val="21"/>
          <w:highlight w:val="none"/>
        </w:rPr>
        <w:t>持散装水泥、</w:t>
      </w:r>
      <w:r>
        <w:rPr>
          <w:rFonts w:hint="eastAsia" w:ascii="宋体" w:hAnsi="宋体" w:eastAsia="宋体" w:cs="宋体"/>
          <w:color w:val="000000"/>
          <w:kern w:val="0"/>
          <w:sz w:val="21"/>
          <w:szCs w:val="21"/>
          <w:highlight w:val="none"/>
        </w:rPr>
        <w:t xml:space="preserve">多孔砖、砼砌块的材料发票原件到政府有关部门办理退款手续，承包人必须及时提供。否则，发包人有权按政府有关部门收缴标准及数额在承包人工程款中扣罚。 </w:t>
      </w:r>
    </w:p>
    <w:p w14:paraId="7E203B11">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21.7 由于承包人不能按时提供属承包人应提供的文件导致发包人不能及时办理施工许可证，所有造成的后果由承包人承担责任。造成发包人损失的，承包人应赔偿发包人损失。 </w:t>
      </w:r>
    </w:p>
    <w:p w14:paraId="3FBA9B68">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21.8 已完工程成品保护的特殊要求及费用承担： 已竣工工程未交付发包人之前，承包人负责已完工程的成品保护工作，保护期间发生损坏，承包人自费予以修复。工程已交付发包人或发包人提前使用后的损坏及所需的修理费用、 工程成品毁损的风险， 由发包人承担。 若发包人要求承包人采取特殊措施保护的，由发包人就保护的工程部位和相应的追加合同价款另外进行协商。 </w:t>
      </w:r>
    </w:p>
    <w:p w14:paraId="6A21E4B6">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21.9 材料严格保证质量，相同类型材料质量应一致，若发现有材料以次品冒充，则该部分所有材料均按次品处理且须重新更换合格材料才能使用。 </w:t>
      </w:r>
    </w:p>
    <w:p w14:paraId="710EE3B2">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21.10 承包人必须配合监理工程师和发包人派驻工程师的工作，一切签证事宜均须在规定的时间内作出书面签证申请，过期补签无效，发包人超过规定期限没有签证的视为此签证发包人已同意。夜间施工增加费（含夜间加班加点）已包含在合同价款内，施工期间不予再签证。 </w:t>
      </w:r>
    </w:p>
    <w:p w14:paraId="41322B43">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21.11 承包人有以下情形之一者，视为违约，发包人有权依法解除合同，没收其全部履约保证金，承包人还应承担相应的法律责任。  </w:t>
      </w:r>
    </w:p>
    <w:p w14:paraId="6C00BFC5">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① 经有关建设主管部门鉴定确认，承包人有挂靠行为。 </w:t>
      </w:r>
    </w:p>
    <w:p w14:paraId="47662EB6">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② 转包工程，以牟取转让费、管理费。  </w:t>
      </w:r>
    </w:p>
    <w:p w14:paraId="5210E77D">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③ 自签订合同之日起 15 日内，因承包人责任无法组织合同规定的人员、机械进场或进场人员机械与合同严重不符。 </w:t>
      </w:r>
    </w:p>
    <w:p w14:paraId="5C2F0CFC">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21.12 工程竣工验收通过后 14 天之内，承包人必须将临时工棚、建筑垃圾等全部清理出现场，否则从第15天起，每天处以1000元罚款且不办理结算。</w:t>
      </w:r>
    </w:p>
    <w:p w14:paraId="032DC75F">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21.13 凡进入本工程工作的妇女应持有计生证、否则不准安排工作，禁止使用童工。</w:t>
      </w:r>
    </w:p>
    <w:bookmarkEnd w:id="316"/>
    <w:p w14:paraId="529453B9">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21.14 如因政策性原因或者项目暂时（或永久）取消导致开工延误或无法开工，发包人不支付承包人任何赔偿或补偿，并可根据政策要求或项目情况延时开工或取消部分合同内容。</w:t>
      </w:r>
    </w:p>
    <w:p w14:paraId="07F81BB5">
      <w:pPr>
        <w:pStyle w:val="94"/>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21.15 承包人应自行协调与施工现场周边及村民的关系，确保项目施工顺利进行。发包人不再支付承包人因协调施工现场周边及村民关系而发生的任何费用。如因征地拆迁造成的问题由由发包人负责牵头解决。</w:t>
      </w:r>
    </w:p>
    <w:p w14:paraId="67233074">
      <w:pPr>
        <w:pStyle w:val="95"/>
        <w:pageBreakBefore w:val="0"/>
        <w:widowControl w:val="0"/>
        <w:kinsoku/>
        <w:wordWrap/>
        <w:overflowPunct/>
        <w:topLinePunct w:val="0"/>
        <w:bidi w:val="0"/>
        <w:snapToGrid/>
        <w:spacing w:line="440" w:lineRule="exact"/>
        <w:ind w:left="63" w:right="63"/>
        <w:textAlignment w:val="auto"/>
        <w:rPr>
          <w:color w:val="000000"/>
          <w:highlight w:val="none"/>
        </w:rPr>
      </w:pPr>
    </w:p>
    <w:p w14:paraId="68B71ED6">
      <w:pPr>
        <w:pStyle w:val="95"/>
        <w:pageBreakBefore w:val="0"/>
        <w:widowControl w:val="0"/>
        <w:kinsoku/>
        <w:wordWrap/>
        <w:overflowPunct/>
        <w:topLinePunct w:val="0"/>
        <w:bidi w:val="0"/>
        <w:snapToGrid/>
        <w:spacing w:line="440" w:lineRule="exact"/>
        <w:ind w:left="63" w:right="63"/>
        <w:textAlignment w:val="auto"/>
        <w:rPr>
          <w:color w:val="000000"/>
          <w:highlight w:val="none"/>
        </w:rPr>
      </w:pPr>
    </w:p>
    <w:p w14:paraId="383CD5AE">
      <w:pPr>
        <w:pStyle w:val="95"/>
        <w:pageBreakBefore w:val="0"/>
        <w:widowControl w:val="0"/>
        <w:kinsoku/>
        <w:wordWrap/>
        <w:overflowPunct/>
        <w:topLinePunct w:val="0"/>
        <w:bidi w:val="0"/>
        <w:snapToGrid/>
        <w:spacing w:line="440" w:lineRule="exact"/>
        <w:ind w:left="63" w:right="63"/>
        <w:textAlignment w:val="auto"/>
        <w:rPr>
          <w:color w:val="000000"/>
          <w:highlight w:val="none"/>
        </w:rPr>
      </w:pPr>
    </w:p>
    <w:p w14:paraId="671473CA">
      <w:pPr>
        <w:pStyle w:val="95"/>
        <w:pageBreakBefore w:val="0"/>
        <w:widowControl w:val="0"/>
        <w:kinsoku/>
        <w:wordWrap/>
        <w:overflowPunct/>
        <w:topLinePunct w:val="0"/>
        <w:bidi w:val="0"/>
        <w:snapToGrid/>
        <w:spacing w:line="440" w:lineRule="exact"/>
        <w:ind w:left="63" w:right="63"/>
        <w:textAlignment w:val="auto"/>
        <w:rPr>
          <w:color w:val="000000"/>
          <w:highlight w:val="none"/>
        </w:rPr>
      </w:pPr>
    </w:p>
    <w:p w14:paraId="2D966787">
      <w:pPr>
        <w:pStyle w:val="95"/>
        <w:pageBreakBefore w:val="0"/>
        <w:widowControl w:val="0"/>
        <w:kinsoku/>
        <w:wordWrap/>
        <w:overflowPunct/>
        <w:topLinePunct w:val="0"/>
        <w:bidi w:val="0"/>
        <w:snapToGrid/>
        <w:spacing w:line="440" w:lineRule="exact"/>
        <w:ind w:left="63" w:right="63"/>
        <w:textAlignment w:val="auto"/>
        <w:rPr>
          <w:color w:val="000000"/>
          <w:highlight w:val="none"/>
        </w:rPr>
      </w:pPr>
    </w:p>
    <w:p w14:paraId="06B3B016">
      <w:pPr>
        <w:pStyle w:val="95"/>
        <w:pageBreakBefore w:val="0"/>
        <w:widowControl w:val="0"/>
        <w:kinsoku/>
        <w:wordWrap/>
        <w:overflowPunct/>
        <w:topLinePunct w:val="0"/>
        <w:bidi w:val="0"/>
        <w:snapToGrid/>
        <w:spacing w:line="440" w:lineRule="exact"/>
        <w:ind w:left="0" w:leftChars="0" w:right="63" w:firstLine="0" w:firstLineChars="0"/>
        <w:jc w:val="both"/>
        <w:textAlignment w:val="auto"/>
        <w:rPr>
          <w:color w:val="000000"/>
          <w:highlight w:val="none"/>
        </w:rPr>
      </w:pPr>
    </w:p>
    <w:p w14:paraId="4202D17C">
      <w:pPr>
        <w:pStyle w:val="160"/>
        <w:pageBreakBefore w:val="0"/>
        <w:widowControl w:val="0"/>
        <w:tabs>
          <w:tab w:val="left" w:pos="0"/>
        </w:tabs>
        <w:kinsoku/>
        <w:wordWrap/>
        <w:overflowPunct/>
        <w:topLinePunct w:val="0"/>
        <w:bidi w:val="0"/>
        <w:snapToGrid/>
        <w:spacing w:line="440" w:lineRule="exact"/>
        <w:ind w:firstLine="0" w:firstLineChars="0"/>
        <w:textAlignment w:val="auto"/>
        <w:rPr>
          <w:color w:val="000000"/>
          <w:sz w:val="30"/>
          <w:szCs w:val="30"/>
          <w:highlight w:val="none"/>
        </w:rPr>
      </w:pPr>
      <w:r>
        <w:rPr>
          <w:color w:val="000000"/>
          <w:sz w:val="30"/>
          <w:szCs w:val="30"/>
          <w:highlight w:val="none"/>
        </w:rPr>
        <w:br w:type="page"/>
      </w:r>
      <w:r>
        <w:rPr>
          <w:color w:val="000000"/>
          <w:sz w:val="30"/>
          <w:szCs w:val="30"/>
          <w:highlight w:val="none"/>
        </w:rPr>
        <w:t xml:space="preserve">附件：    </w:t>
      </w:r>
    </w:p>
    <w:p w14:paraId="07CF06B2">
      <w:pPr>
        <w:pStyle w:val="94"/>
        <w:pageBreakBefore w:val="0"/>
        <w:widowControl w:val="0"/>
        <w:kinsoku/>
        <w:wordWrap/>
        <w:overflowPunct/>
        <w:topLinePunct w:val="0"/>
        <w:bidi w:val="0"/>
        <w:snapToGrid/>
        <w:spacing w:line="440" w:lineRule="exact"/>
        <w:jc w:val="center"/>
        <w:textAlignment w:val="auto"/>
        <w:rPr>
          <w:rFonts w:ascii="宋体" w:hAnsi="宋体"/>
          <w:color w:val="000000"/>
          <w:sz w:val="28"/>
          <w:szCs w:val="28"/>
          <w:highlight w:val="none"/>
        </w:rPr>
      </w:pPr>
      <w:r>
        <w:rPr>
          <w:rFonts w:ascii="宋体" w:hAnsi="宋体"/>
          <w:color w:val="000000"/>
          <w:sz w:val="28"/>
          <w:szCs w:val="28"/>
          <w:highlight w:val="none"/>
        </w:rPr>
        <w:t>工程质量保修书</w:t>
      </w:r>
    </w:p>
    <w:p w14:paraId="6EFBE49A">
      <w:pPr>
        <w:pStyle w:val="160"/>
        <w:keepNext w:val="0"/>
        <w:keepLines w:val="0"/>
        <w:pageBreakBefore w:val="0"/>
        <w:widowControl w:val="0"/>
        <w:kinsoku/>
        <w:wordWrap/>
        <w:overflowPunct/>
        <w:topLinePunct w:val="0"/>
        <w:autoSpaceDE/>
        <w:autoSpaceDN/>
        <w:bidi w:val="0"/>
        <w:snapToGrid/>
        <w:spacing w:line="360" w:lineRule="auto"/>
        <w:ind w:left="0" w:leftChars="0" w:right="0" w:rightChars="0"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发包人（全称）：</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 xml:space="preserve"> </w:t>
      </w:r>
    </w:p>
    <w:p w14:paraId="48C14BB3">
      <w:pPr>
        <w:pStyle w:val="160"/>
        <w:keepNext w:val="0"/>
        <w:keepLines w:val="0"/>
        <w:pageBreakBefore w:val="0"/>
        <w:widowControl w:val="0"/>
        <w:kinsoku/>
        <w:wordWrap/>
        <w:overflowPunct/>
        <w:topLinePunct w:val="0"/>
        <w:autoSpaceDE/>
        <w:autoSpaceDN/>
        <w:bidi w:val="0"/>
        <w:snapToGrid/>
        <w:spacing w:line="360" w:lineRule="auto"/>
        <w:ind w:left="0" w:leftChars="0" w:right="0" w:rightChars="0" w:firstLine="0" w:firstLineChars="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承包人（全称）：</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lang w:val="en-US" w:eastAsia="zh-CN"/>
        </w:rPr>
        <w:t xml:space="preserve"> </w:t>
      </w:r>
    </w:p>
    <w:p w14:paraId="1D5E7DDF">
      <w:pPr>
        <w:pStyle w:val="94"/>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为保证</w:t>
      </w:r>
      <w:r>
        <w:rPr>
          <w:rFonts w:hint="eastAsia" w:ascii="宋体" w:hAnsi="宋体" w:eastAsia="宋体" w:cs="宋体"/>
          <w:color w:val="000000"/>
          <w:sz w:val="21"/>
          <w:szCs w:val="21"/>
          <w:highlight w:val="none"/>
          <w:u w:val="single"/>
        </w:rPr>
        <w:t xml:space="preserve">  </w:t>
      </w:r>
      <w:r>
        <w:rPr>
          <w:rFonts w:hint="eastAsia" w:ascii="宋体" w:hAnsi="宋体" w:eastAsia="宋体" w:cs="宋体"/>
          <w:b/>
          <w:bCs/>
          <w:color w:val="000000"/>
          <w:sz w:val="21"/>
          <w:szCs w:val="21"/>
          <w:highlight w:val="none"/>
          <w:u w:val="single"/>
          <w:lang w:eastAsia="zh-CN"/>
        </w:rPr>
        <w:t>工程</w:t>
      </w:r>
      <w:r>
        <w:rPr>
          <w:rFonts w:hint="eastAsia" w:ascii="宋体" w:hAnsi="宋体" w:eastAsia="宋体" w:cs="宋体"/>
          <w:b/>
          <w:bCs/>
          <w:color w:val="000000"/>
          <w:sz w:val="21"/>
          <w:szCs w:val="21"/>
          <w:highlight w:val="none"/>
          <w:u w:val="single"/>
          <w:lang w:val="en-US" w:eastAsia="zh-CN"/>
        </w:rPr>
        <w:t xml:space="preserve"> </w:t>
      </w:r>
      <w:r>
        <w:rPr>
          <w:rFonts w:hint="eastAsia" w:ascii="宋体" w:hAnsi="宋体" w:cs="宋体"/>
          <w:b/>
          <w:bCs/>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在合理使用期限内正常使用，经发包人、承包人协商一致签订本工程质量保修书。承包人在质量保修期内按照有关管理规定及双方约定承担工程质量保修责任。</w:t>
      </w:r>
    </w:p>
    <w:p w14:paraId="2E4FB0F8">
      <w:pPr>
        <w:pStyle w:val="227"/>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outlineLvl w:val="0"/>
        <w:rPr>
          <w:rFonts w:hint="eastAsia" w:ascii="宋体" w:hAnsi="宋体" w:eastAsia="宋体" w:cs="宋体"/>
          <w:color w:val="000000"/>
          <w:sz w:val="21"/>
          <w:szCs w:val="21"/>
          <w:highlight w:val="none"/>
        </w:rPr>
      </w:pPr>
      <w:bookmarkStart w:id="1857" w:name="_Toc522201808"/>
      <w:r>
        <w:rPr>
          <w:rFonts w:hint="eastAsia" w:ascii="宋体" w:hAnsi="宋体" w:eastAsia="宋体" w:cs="宋体"/>
          <w:color w:val="000000"/>
          <w:sz w:val="21"/>
          <w:szCs w:val="21"/>
          <w:highlight w:val="none"/>
        </w:rPr>
        <w:t>一、工程保修范围和内容</w:t>
      </w:r>
      <w:bookmarkEnd w:id="1857"/>
    </w:p>
    <w:p w14:paraId="3715B2E3">
      <w:pPr>
        <w:pStyle w:val="94"/>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质量保修范围为施工图纸所包括的工程内容</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具体质量保修内容双方约定如下：</w:t>
      </w:r>
      <w:r>
        <w:rPr>
          <w:rFonts w:hint="eastAsia" w:ascii="宋体" w:hAnsi="宋体" w:eastAsia="宋体" w:cs="宋体"/>
          <w:color w:val="000000"/>
          <w:sz w:val="21"/>
          <w:szCs w:val="21"/>
          <w:highlight w:val="none"/>
          <w:u w:val="single"/>
        </w:rPr>
        <w:t xml:space="preserve"> 承包方所承包施工的全部工程内容 </w:t>
      </w:r>
      <w:r>
        <w:rPr>
          <w:rFonts w:hint="eastAsia" w:ascii="宋体" w:hAnsi="宋体" w:eastAsia="宋体" w:cs="宋体"/>
          <w:color w:val="000000"/>
          <w:sz w:val="21"/>
          <w:szCs w:val="21"/>
          <w:highlight w:val="none"/>
        </w:rPr>
        <w:t>。</w:t>
      </w:r>
    </w:p>
    <w:p w14:paraId="05D46B23">
      <w:pPr>
        <w:pStyle w:val="227"/>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outlineLvl w:val="0"/>
        <w:rPr>
          <w:rFonts w:hint="eastAsia" w:ascii="宋体" w:hAnsi="宋体" w:eastAsia="宋体" w:cs="宋体"/>
          <w:color w:val="000000"/>
          <w:sz w:val="21"/>
          <w:szCs w:val="21"/>
          <w:highlight w:val="none"/>
        </w:rPr>
      </w:pPr>
      <w:bookmarkStart w:id="1858" w:name="_Toc522201809"/>
      <w:r>
        <w:rPr>
          <w:rFonts w:hint="eastAsia" w:ascii="宋体" w:hAnsi="宋体" w:eastAsia="宋体" w:cs="宋体"/>
          <w:color w:val="000000"/>
          <w:sz w:val="21"/>
          <w:szCs w:val="21"/>
          <w:highlight w:val="none"/>
        </w:rPr>
        <w:t>二、</w:t>
      </w:r>
      <w:r>
        <w:rPr>
          <w:rFonts w:hint="eastAsia" w:ascii="宋体" w:hAnsi="宋体" w:eastAsia="宋体" w:cs="宋体"/>
          <w:color w:val="000000"/>
          <w:sz w:val="21"/>
          <w:szCs w:val="21"/>
          <w:highlight w:val="none"/>
          <w:lang w:eastAsia="zh-CN"/>
        </w:rPr>
        <w:t>质量</w:t>
      </w:r>
      <w:r>
        <w:rPr>
          <w:rFonts w:hint="eastAsia" w:ascii="宋体" w:hAnsi="宋体" w:eastAsia="宋体" w:cs="宋体"/>
          <w:color w:val="000000"/>
          <w:sz w:val="21"/>
          <w:szCs w:val="21"/>
          <w:highlight w:val="none"/>
        </w:rPr>
        <w:t>保修期</w:t>
      </w:r>
      <w:bookmarkEnd w:id="1858"/>
    </w:p>
    <w:p w14:paraId="578332DE">
      <w:pPr>
        <w:pStyle w:val="245"/>
        <w:keepNext w:val="0"/>
        <w:keepLines w:val="0"/>
        <w:pageBreakBefore w:val="0"/>
        <w:widowControl w:val="0"/>
        <w:kinsoku/>
        <w:wordWrap/>
        <w:overflowPunct/>
        <w:topLinePunct w:val="0"/>
        <w:autoSpaceDE/>
        <w:autoSpaceDN/>
        <w:bidi w:val="0"/>
        <w:snapToGrid/>
        <w:spacing w:line="360" w:lineRule="auto"/>
        <w:ind w:left="0" w:leftChars="0" w:right="0" w:rightChars="0" w:firstLine="54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质量保修期从工程实际竣工验收通过之日算起。分单项竣工验收的工程，按单项工程分别计算质量保修期。</w:t>
      </w:r>
    </w:p>
    <w:p w14:paraId="7B2535FF">
      <w:pPr>
        <w:pStyle w:val="94"/>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根据《建设工程质量管理条例》及有关规定，工程的质量保修期如下：</w:t>
      </w:r>
    </w:p>
    <w:p w14:paraId="16870836">
      <w:pPr>
        <w:pStyle w:val="94"/>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1．桥梁工程为桥梁隧道主体结构工程为设计文件规定的合理使用年限（建议桥梁隧道主体结构工程为设计文件规定的合理使用年限）；</w:t>
      </w:r>
    </w:p>
    <w:p w14:paraId="3DBBFC95">
      <w:pPr>
        <w:pStyle w:val="94"/>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2．道路工程为2年（建议路基、路面、桥面为2年）；</w:t>
      </w:r>
    </w:p>
    <w:p w14:paraId="3B28B827">
      <w:pPr>
        <w:pStyle w:val="94"/>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3．排水（雨水）工程为3年（建议道路工程中的排水工程为3年）；</w:t>
      </w:r>
    </w:p>
    <w:p w14:paraId="7AAE28A6">
      <w:pPr>
        <w:pStyle w:val="94"/>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4．绿化工程为单位工程竣工验收合格后1年；</w:t>
      </w:r>
    </w:p>
    <w:p w14:paraId="36E9E8BC">
      <w:pPr>
        <w:pStyle w:val="94"/>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5.地下防水工程为5年（建议为5年）；</w:t>
      </w:r>
    </w:p>
    <w:p w14:paraId="3DA51DC4">
      <w:pPr>
        <w:pStyle w:val="94"/>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6．其他附属工程为2年；</w:t>
      </w:r>
    </w:p>
    <w:p w14:paraId="0546516A">
      <w:pPr>
        <w:pStyle w:val="94"/>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7．其他项目保修期限约定如下：</w:t>
      </w:r>
      <w:r>
        <w:rPr>
          <w:rFonts w:hint="eastAsia" w:ascii="宋体" w:hAnsi="宋体" w:eastAsia="宋体" w:cs="宋体"/>
          <w:color w:val="000000"/>
          <w:sz w:val="21"/>
          <w:szCs w:val="21"/>
          <w:highlight w:val="none"/>
          <w:u w:val="single"/>
        </w:rPr>
        <w:t xml:space="preserve"> 本工程其余项目质保期均为两年，质量保修规范如国家有新规定，则按新规定执行 </w:t>
      </w:r>
      <w:r>
        <w:rPr>
          <w:rFonts w:hint="eastAsia" w:ascii="宋体" w:hAnsi="宋体" w:eastAsia="宋体" w:cs="宋体"/>
          <w:color w:val="000000"/>
          <w:sz w:val="21"/>
          <w:szCs w:val="21"/>
          <w:highlight w:val="none"/>
        </w:rPr>
        <w:t>。</w:t>
      </w:r>
    </w:p>
    <w:p w14:paraId="390C4035">
      <w:pPr>
        <w:pStyle w:val="94"/>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质量保修期自工程竣工验收合格之日起计算。 </w:t>
      </w:r>
    </w:p>
    <w:p w14:paraId="411BAF59">
      <w:pPr>
        <w:pStyle w:val="227"/>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outlineLvl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三、缺陷责任期</w:t>
      </w:r>
    </w:p>
    <w:p w14:paraId="1FF15905">
      <w:pPr>
        <w:pStyle w:val="94"/>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工程缺陷责任期为</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24</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个月（最长不超过24个月），缺陷责任期自工程竣工验收合格之日起计算。单位工程先于全部工程进行验收，单位工程缺陷责任期自单位工程验收合格之日起算。</w:t>
      </w:r>
    </w:p>
    <w:p w14:paraId="6B9A8595">
      <w:pPr>
        <w:pStyle w:val="94"/>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缺陷责任期终止后，发包人应退还剩余的质量保证金。</w:t>
      </w:r>
    </w:p>
    <w:p w14:paraId="3FA1F771">
      <w:pPr>
        <w:pStyle w:val="227"/>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outlineLvl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四、质量保修责任</w:t>
      </w:r>
    </w:p>
    <w:p w14:paraId="13FD8162">
      <w:pPr>
        <w:pStyle w:val="94"/>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1．属于保修范围、内容的项目，承包人应当在接到保修通知之日起</w:t>
      </w:r>
      <w:r>
        <w:rPr>
          <w:rFonts w:hint="eastAsia" w:ascii="宋体" w:hAnsi="宋体" w:eastAsia="宋体" w:cs="宋体"/>
          <w:color w:val="000000"/>
          <w:sz w:val="21"/>
          <w:szCs w:val="21"/>
          <w:highlight w:val="none"/>
          <w:u w:val="single"/>
        </w:rPr>
        <w:t xml:space="preserve">  三 </w:t>
      </w:r>
      <w:r>
        <w:rPr>
          <w:rFonts w:hint="eastAsia" w:ascii="宋体" w:hAnsi="宋体" w:eastAsia="宋体" w:cs="宋体"/>
          <w:color w:val="000000"/>
          <w:sz w:val="21"/>
          <w:szCs w:val="21"/>
          <w:highlight w:val="none"/>
        </w:rPr>
        <w:t>天内派人保修。承包人不在约定期限内派人保修的，发包人可以委托他人修理，修理费用从</w:t>
      </w:r>
      <w:r>
        <w:rPr>
          <w:rFonts w:hint="eastAsia" w:ascii="宋体" w:hAnsi="宋体" w:eastAsia="宋体" w:cs="宋体"/>
          <w:color w:val="000000"/>
          <w:sz w:val="21"/>
          <w:szCs w:val="21"/>
          <w:highlight w:val="none"/>
          <w:lang w:eastAsia="zh-CN"/>
        </w:rPr>
        <w:t>质量保证金</w:t>
      </w:r>
      <w:r>
        <w:rPr>
          <w:rFonts w:hint="eastAsia" w:ascii="宋体" w:hAnsi="宋体" w:eastAsia="宋体" w:cs="宋体"/>
          <w:color w:val="000000"/>
          <w:sz w:val="21"/>
          <w:szCs w:val="21"/>
          <w:highlight w:val="none"/>
        </w:rPr>
        <w:t>内扣除。</w:t>
      </w:r>
    </w:p>
    <w:p w14:paraId="25F33049">
      <w:pPr>
        <w:pStyle w:val="94"/>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2．发生紧急事故需抢修的，承包人在接到事故通知后，应当立即到达事故现场抢修。</w:t>
      </w:r>
    </w:p>
    <w:p w14:paraId="39C00C03">
      <w:pPr>
        <w:pStyle w:val="94"/>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884E878">
      <w:pPr>
        <w:pStyle w:val="94"/>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4．质量保修完成后，由发包人组织验收。</w:t>
      </w:r>
    </w:p>
    <w:p w14:paraId="0966DDD3">
      <w:pPr>
        <w:pStyle w:val="227"/>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outlineLvl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五、保修费用</w:t>
      </w:r>
    </w:p>
    <w:p w14:paraId="534975B0">
      <w:pPr>
        <w:pStyle w:val="94"/>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保修费用由造成质量缺陷的责任方承担。</w:t>
      </w:r>
    </w:p>
    <w:p w14:paraId="3F5F8FC5">
      <w:pPr>
        <w:pStyle w:val="160"/>
        <w:keepNext w:val="0"/>
        <w:keepLines w:val="0"/>
        <w:pageBreakBefore w:val="0"/>
        <w:widowControl w:val="0"/>
        <w:numPr>
          <w:ilvl w:val="0"/>
          <w:numId w:val="4"/>
        </w:numPr>
        <w:kinsoku/>
        <w:wordWrap/>
        <w:overflowPunct/>
        <w:topLinePunct w:val="0"/>
        <w:autoSpaceDE/>
        <w:autoSpaceDN/>
        <w:bidi w:val="0"/>
        <w:snapToGrid/>
        <w:spacing w:line="360" w:lineRule="auto"/>
        <w:ind w:left="0" w:leftChars="0" w:right="0" w:rightChars="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 xml:space="preserve">双方约定的其他工程质量保修事项：  1. </w:t>
      </w:r>
      <w:r>
        <w:rPr>
          <w:rFonts w:hint="eastAsia" w:ascii="宋体" w:hAnsi="宋体" w:eastAsia="宋体" w:cs="宋体"/>
          <w:color w:val="000000"/>
          <w:sz w:val="21"/>
          <w:szCs w:val="21"/>
          <w:highlight w:val="none"/>
          <w:u w:val="single"/>
        </w:rPr>
        <w:t>承包人未按照法律法规有关规定和合同约定履行质量保修义务的，发包人有权从质量保证金中扣留用于质量保修的各项支出。</w:t>
      </w:r>
    </w:p>
    <w:p w14:paraId="672752FB">
      <w:pPr>
        <w:pStyle w:val="160"/>
        <w:keepNext w:val="0"/>
        <w:keepLines w:val="0"/>
        <w:pageBreakBefore w:val="0"/>
        <w:widowControl w:val="0"/>
        <w:numPr>
          <w:ilvl w:val="0"/>
          <w:numId w:val="5"/>
        </w:numPr>
        <w:kinsoku/>
        <w:wordWrap/>
        <w:overflowPunct/>
        <w:topLinePunct w:val="0"/>
        <w:autoSpaceDE/>
        <w:autoSpaceDN/>
        <w:bidi w:val="0"/>
        <w:snapToGrid/>
        <w:spacing w:line="360" w:lineRule="auto"/>
        <w:ind w:left="0" w:leftChars="0" w:right="0" w:rightChars="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single"/>
          <w:lang w:eastAsia="zh-CN"/>
        </w:rPr>
        <w:t>质量保证金</w:t>
      </w:r>
      <w:r>
        <w:rPr>
          <w:rFonts w:hint="eastAsia" w:ascii="宋体" w:hAnsi="宋体" w:eastAsia="宋体" w:cs="宋体"/>
          <w:color w:val="000000"/>
          <w:sz w:val="21"/>
          <w:szCs w:val="21"/>
          <w:highlight w:val="none"/>
          <w:u w:val="single"/>
        </w:rPr>
        <w:t>比例：工程结算价的</w:t>
      </w:r>
      <w:r>
        <w:rPr>
          <w:rFonts w:hint="eastAsia" w:ascii="宋体" w:hAnsi="宋体" w:eastAsia="宋体" w:cs="宋体"/>
          <w:color w:val="000000"/>
          <w:sz w:val="21"/>
          <w:szCs w:val="21"/>
          <w:highlight w:val="none"/>
          <w:u w:val="single"/>
          <w:lang w:val="en-US" w:eastAsia="zh-CN"/>
        </w:rPr>
        <w:t>3</w:t>
      </w:r>
      <w:r>
        <w:rPr>
          <w:rFonts w:hint="eastAsia" w:ascii="宋体" w:hAnsi="宋体" w:eastAsia="宋体" w:cs="宋体"/>
          <w:color w:val="000000"/>
          <w:sz w:val="21"/>
          <w:szCs w:val="21"/>
          <w:highlight w:val="none"/>
          <w:u w:val="single"/>
        </w:rPr>
        <w:t>%。</w:t>
      </w:r>
    </w:p>
    <w:p w14:paraId="5E536471">
      <w:pPr>
        <w:pStyle w:val="160"/>
        <w:keepNext w:val="0"/>
        <w:keepLines w:val="0"/>
        <w:pageBreakBefore w:val="0"/>
        <w:widowControl w:val="0"/>
        <w:numPr>
          <w:ilvl w:val="0"/>
          <w:numId w:val="5"/>
        </w:numPr>
        <w:kinsoku/>
        <w:wordWrap/>
        <w:overflowPunct/>
        <w:topLinePunct w:val="0"/>
        <w:autoSpaceDE/>
        <w:autoSpaceDN/>
        <w:bidi w:val="0"/>
        <w:snapToGrid/>
        <w:spacing w:line="360" w:lineRule="auto"/>
        <w:ind w:left="0" w:leftChars="0" w:right="0" w:right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lang w:eastAsia="zh-CN"/>
        </w:rPr>
        <w:t>质量保证金</w:t>
      </w:r>
      <w:r>
        <w:rPr>
          <w:rFonts w:hint="eastAsia" w:ascii="宋体" w:hAnsi="宋体" w:eastAsia="宋体" w:cs="宋体"/>
          <w:color w:val="000000"/>
          <w:sz w:val="21"/>
          <w:szCs w:val="21"/>
          <w:highlight w:val="none"/>
          <w:u w:val="single"/>
        </w:rPr>
        <w:t>返还：发包人在工程竣工验收合格之日起满</w:t>
      </w:r>
      <w:r>
        <w:rPr>
          <w:rFonts w:hint="eastAsia" w:ascii="宋体" w:hAnsi="宋体" w:eastAsia="宋体" w:cs="宋体"/>
          <w:color w:val="000000"/>
          <w:sz w:val="21"/>
          <w:szCs w:val="21"/>
          <w:highlight w:val="none"/>
          <w:u w:val="single"/>
          <w:lang w:eastAsia="zh-CN"/>
        </w:rPr>
        <w:t>壹</w:t>
      </w:r>
      <w:r>
        <w:rPr>
          <w:rFonts w:hint="eastAsia" w:ascii="宋体" w:hAnsi="宋体" w:eastAsia="宋体" w:cs="宋体"/>
          <w:color w:val="000000"/>
          <w:sz w:val="21"/>
          <w:szCs w:val="21"/>
          <w:highlight w:val="none"/>
          <w:u w:val="single"/>
        </w:rPr>
        <w:t>年后14天内将保修金（无息）的返回给承包人，</w:t>
      </w:r>
      <w:r>
        <w:rPr>
          <w:rFonts w:hint="eastAsia" w:ascii="宋体" w:hAnsi="宋体" w:eastAsia="宋体" w:cs="宋体"/>
          <w:color w:val="000000"/>
          <w:sz w:val="21"/>
          <w:szCs w:val="21"/>
          <w:highlight w:val="none"/>
          <w:u w:val="single"/>
          <w:lang w:eastAsia="zh-CN"/>
        </w:rPr>
        <w:t>质量保证金</w:t>
      </w:r>
      <w:r>
        <w:rPr>
          <w:rFonts w:hint="eastAsia" w:ascii="宋体" w:hAnsi="宋体" w:eastAsia="宋体" w:cs="宋体"/>
          <w:color w:val="000000"/>
          <w:sz w:val="21"/>
          <w:szCs w:val="21"/>
          <w:highlight w:val="none"/>
          <w:u w:val="single"/>
        </w:rPr>
        <w:t xml:space="preserve">的返还，并不能免除承包人按照合同约定应承担的质量保修责任和应履行的质量保修义务  </w:t>
      </w:r>
      <w:r>
        <w:rPr>
          <w:rFonts w:hint="eastAsia" w:ascii="宋体" w:hAnsi="宋体" w:eastAsia="宋体" w:cs="宋体"/>
          <w:color w:val="000000"/>
          <w:sz w:val="21"/>
          <w:szCs w:val="21"/>
          <w:highlight w:val="none"/>
        </w:rPr>
        <w:t>。</w:t>
      </w:r>
    </w:p>
    <w:p w14:paraId="1B58AC21">
      <w:pPr>
        <w:pStyle w:val="94"/>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工程质量保修书由发包人、承包人在工程竣工验收前共同签署，作为施工合同附件，其有效期限至保修期满。</w:t>
      </w:r>
    </w:p>
    <w:p w14:paraId="25F7BA2A">
      <w:pPr>
        <w:pStyle w:val="94"/>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rPr>
          <w:rFonts w:hint="eastAsia" w:ascii="宋体" w:hAnsi="宋体" w:eastAsia="宋体" w:cs="宋体"/>
          <w:color w:val="000000"/>
          <w:sz w:val="21"/>
          <w:szCs w:val="21"/>
          <w:highlight w:val="none"/>
        </w:rPr>
      </w:pPr>
    </w:p>
    <w:p w14:paraId="46F7686B">
      <w:pPr>
        <w:pStyle w:val="95"/>
        <w:keepNext w:val="0"/>
        <w:keepLines w:val="0"/>
        <w:pageBreakBefore w:val="0"/>
        <w:widowControl w:val="0"/>
        <w:kinsoku/>
        <w:wordWrap/>
        <w:overflowPunct/>
        <w:topLinePunct w:val="0"/>
        <w:autoSpaceDE/>
        <w:autoSpaceDN/>
        <w:bidi w:val="0"/>
        <w:snapToGrid/>
        <w:spacing w:after="0" w:line="360" w:lineRule="auto"/>
        <w:ind w:left="0" w:leftChars="0" w:right="0" w:rightChars="0"/>
        <w:textAlignment w:val="auto"/>
        <w:rPr>
          <w:rFonts w:hint="eastAsia" w:ascii="宋体" w:hAnsi="宋体" w:eastAsia="宋体" w:cs="宋体"/>
          <w:color w:val="000000"/>
          <w:sz w:val="21"/>
          <w:szCs w:val="21"/>
          <w:highlight w:val="none"/>
          <w:lang w:val="en-US" w:eastAsia="zh-CN"/>
        </w:rPr>
      </w:pPr>
    </w:p>
    <w:p w14:paraId="0DB6DBBE">
      <w:pPr>
        <w:pStyle w:val="160"/>
        <w:keepNext w:val="0"/>
        <w:keepLines w:val="0"/>
        <w:pageBreakBefore w:val="0"/>
        <w:widowControl w:val="0"/>
        <w:kinsoku/>
        <w:wordWrap/>
        <w:overflowPunct/>
        <w:topLinePunct w:val="0"/>
        <w:autoSpaceDE/>
        <w:autoSpaceDN/>
        <w:bidi w:val="0"/>
        <w:snapToGrid/>
        <w:spacing w:line="360" w:lineRule="auto"/>
        <w:ind w:left="0" w:leftChars="0" w:right="0" w:rightChars="0" w:firstLine="0" w:firstLineChars="0"/>
        <w:textAlignment w:val="auto"/>
        <w:rPr>
          <w:rFonts w:hint="eastAsia"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rPr>
        <w:t>发包人(公章)：</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none"/>
          <w:lang w:val="en-US" w:eastAsia="zh-CN"/>
        </w:rPr>
        <w:t xml:space="preserve">                 </w:t>
      </w:r>
      <w:r>
        <w:rPr>
          <w:rFonts w:hint="eastAsia" w:ascii="宋体" w:hAnsi="宋体" w:eastAsia="宋体" w:cs="宋体"/>
          <w:color w:val="000000"/>
          <w:sz w:val="21"/>
          <w:szCs w:val="21"/>
          <w:highlight w:val="none"/>
        </w:rPr>
        <w:t>承包人(公章)：</w:t>
      </w:r>
      <w:r>
        <w:rPr>
          <w:rFonts w:hint="eastAsia" w:ascii="宋体" w:hAnsi="宋体" w:eastAsia="宋体" w:cs="宋体"/>
          <w:color w:val="000000"/>
          <w:sz w:val="21"/>
          <w:szCs w:val="21"/>
          <w:highlight w:val="none"/>
          <w:u w:val="single"/>
          <w:lang w:val="en-US" w:eastAsia="zh-CN"/>
        </w:rPr>
        <w:t xml:space="preserve">             </w:t>
      </w:r>
    </w:p>
    <w:p w14:paraId="31E7DEEE">
      <w:pPr>
        <w:pStyle w:val="160"/>
        <w:keepNext w:val="0"/>
        <w:keepLines w:val="0"/>
        <w:pageBreakBefore w:val="0"/>
        <w:widowControl w:val="0"/>
        <w:kinsoku/>
        <w:wordWrap/>
        <w:overflowPunct/>
        <w:topLinePunct w:val="0"/>
        <w:autoSpaceDE/>
        <w:autoSpaceDN/>
        <w:bidi w:val="0"/>
        <w:snapToGrid/>
        <w:spacing w:line="360" w:lineRule="auto"/>
        <w:ind w:left="0" w:leftChars="0" w:right="0" w:rightChars="0"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w:t>
      </w:r>
    </w:p>
    <w:p w14:paraId="2886881B">
      <w:pPr>
        <w:pStyle w:val="160"/>
        <w:keepNext w:val="0"/>
        <w:keepLines w:val="0"/>
        <w:pageBreakBefore w:val="0"/>
        <w:widowControl w:val="0"/>
        <w:kinsoku/>
        <w:wordWrap/>
        <w:overflowPunct/>
        <w:topLinePunct w:val="0"/>
        <w:autoSpaceDE/>
        <w:autoSpaceDN/>
        <w:bidi w:val="0"/>
        <w:snapToGrid/>
        <w:spacing w:line="360" w:lineRule="auto"/>
        <w:ind w:left="0" w:leftChars="0" w:right="0" w:rightChars="0" w:firstLine="0" w:firstLineChars="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地  址：</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 xml:space="preserve">   地  址：</w:t>
      </w:r>
      <w:r>
        <w:rPr>
          <w:rFonts w:hint="eastAsia" w:ascii="宋体" w:hAnsi="宋体" w:eastAsia="宋体" w:cs="宋体"/>
          <w:color w:val="000000"/>
          <w:sz w:val="21"/>
          <w:szCs w:val="21"/>
          <w:highlight w:val="none"/>
          <w:u w:val="single"/>
          <w:lang w:val="en-US" w:eastAsia="zh-CN"/>
        </w:rPr>
        <w:t xml:space="preserve">        </w:t>
      </w:r>
    </w:p>
    <w:p w14:paraId="6DE626D9">
      <w:pPr>
        <w:pStyle w:val="160"/>
        <w:keepNext w:val="0"/>
        <w:keepLines w:val="0"/>
        <w:pageBreakBefore w:val="0"/>
        <w:widowControl w:val="0"/>
        <w:kinsoku/>
        <w:wordWrap/>
        <w:overflowPunct/>
        <w:topLinePunct w:val="0"/>
        <w:autoSpaceDE/>
        <w:autoSpaceDN/>
        <w:bidi w:val="0"/>
        <w:snapToGrid/>
        <w:spacing w:line="360" w:lineRule="auto"/>
        <w:ind w:left="0" w:leftChars="0" w:right="0" w:rightChars="0" w:firstLine="0" w:firstLineChars="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法定代表人</w:t>
      </w:r>
      <w:r>
        <w:rPr>
          <w:rFonts w:hint="eastAsia" w:ascii="宋体" w:hAnsi="宋体" w:eastAsia="宋体" w:cs="宋体"/>
          <w:color w:val="000000"/>
          <w:sz w:val="21"/>
          <w:szCs w:val="21"/>
          <w:highlight w:val="none"/>
          <w:lang w:eastAsia="zh-CN"/>
        </w:rPr>
        <w:t>或</w:t>
      </w:r>
      <w:r>
        <w:rPr>
          <w:rFonts w:hint="eastAsia" w:ascii="宋体" w:hAnsi="宋体" w:eastAsia="宋体" w:cs="宋体"/>
          <w:color w:val="000000"/>
          <w:sz w:val="21"/>
          <w:szCs w:val="21"/>
          <w:highlight w:val="none"/>
        </w:rPr>
        <w:t xml:space="preserve">委托代理人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 xml:space="preserve"> 法定代表人</w:t>
      </w:r>
      <w:r>
        <w:rPr>
          <w:rFonts w:hint="eastAsia" w:ascii="宋体" w:hAnsi="宋体" w:eastAsia="宋体" w:cs="宋体"/>
          <w:color w:val="000000"/>
          <w:sz w:val="21"/>
          <w:szCs w:val="21"/>
          <w:highlight w:val="none"/>
          <w:lang w:eastAsia="zh-CN"/>
        </w:rPr>
        <w:t>或</w:t>
      </w:r>
      <w:r>
        <w:rPr>
          <w:rFonts w:hint="eastAsia" w:ascii="宋体" w:hAnsi="宋体" w:eastAsia="宋体" w:cs="宋体"/>
          <w:color w:val="000000"/>
          <w:sz w:val="21"/>
          <w:szCs w:val="21"/>
          <w:highlight w:val="none"/>
        </w:rPr>
        <w:t>委托代理人</w:t>
      </w:r>
    </w:p>
    <w:p w14:paraId="1DA4867D">
      <w:pPr>
        <w:pStyle w:val="160"/>
        <w:keepNext w:val="0"/>
        <w:keepLines w:val="0"/>
        <w:pageBreakBefore w:val="0"/>
        <w:widowControl w:val="0"/>
        <w:kinsoku/>
        <w:wordWrap/>
        <w:overflowPunct/>
        <w:topLinePunct w:val="0"/>
        <w:autoSpaceDE/>
        <w:autoSpaceDN/>
        <w:bidi w:val="0"/>
        <w:snapToGrid/>
        <w:spacing w:line="360" w:lineRule="auto"/>
        <w:ind w:left="0" w:leftChars="0" w:right="0" w:rightChars="0" w:firstLine="0" w:firstLineChars="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(签字</w:t>
      </w:r>
      <w:r>
        <w:rPr>
          <w:rFonts w:hint="eastAsia" w:ascii="宋体" w:hAnsi="宋体" w:eastAsia="宋体" w:cs="宋体"/>
          <w:color w:val="000000"/>
          <w:sz w:val="21"/>
          <w:szCs w:val="21"/>
          <w:highlight w:val="none"/>
          <w:lang w:eastAsia="zh-CN"/>
        </w:rPr>
        <w:t>或盖章</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(签字</w:t>
      </w:r>
      <w:r>
        <w:rPr>
          <w:rFonts w:hint="eastAsia" w:ascii="宋体" w:hAnsi="宋体" w:eastAsia="宋体" w:cs="宋体"/>
          <w:color w:val="000000"/>
          <w:sz w:val="21"/>
          <w:szCs w:val="21"/>
          <w:highlight w:val="none"/>
          <w:lang w:eastAsia="zh-CN"/>
        </w:rPr>
        <w:t>或盖章</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lang w:val="en-US" w:eastAsia="zh-CN"/>
        </w:rPr>
        <w:t xml:space="preserve">         </w:t>
      </w:r>
    </w:p>
    <w:p w14:paraId="212D174B">
      <w:pPr>
        <w:pStyle w:val="160"/>
        <w:keepNext w:val="0"/>
        <w:keepLines w:val="0"/>
        <w:pageBreakBefore w:val="0"/>
        <w:widowControl w:val="0"/>
        <w:kinsoku/>
        <w:wordWrap/>
        <w:overflowPunct/>
        <w:topLinePunct w:val="0"/>
        <w:autoSpaceDE/>
        <w:autoSpaceDN/>
        <w:bidi w:val="0"/>
        <w:snapToGrid/>
        <w:spacing w:line="360" w:lineRule="auto"/>
        <w:ind w:left="0" w:leftChars="0" w:right="0" w:rightChars="0"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  话：</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 xml:space="preserve">  电  话：</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w:t>
      </w:r>
    </w:p>
    <w:p w14:paraId="0BD1C7B1">
      <w:pPr>
        <w:ind w:left="0" w:leftChars="0" w:firstLine="0" w:firstLineChars="0"/>
        <w:rPr>
          <w:color w:val="000000"/>
          <w:highlight w:val="none"/>
        </w:rPr>
      </w:pPr>
    </w:p>
    <w:p w14:paraId="4080962C">
      <w:pPr>
        <w:rPr>
          <w:color w:val="000000"/>
          <w:highlight w:val="none"/>
        </w:rPr>
      </w:pPr>
    </w:p>
    <w:p w14:paraId="711CA302">
      <w:pPr>
        <w:rPr>
          <w:color w:val="000000"/>
          <w:highlight w:val="none"/>
        </w:rPr>
      </w:pPr>
    </w:p>
    <w:p w14:paraId="71B2E7EF">
      <w:pPr>
        <w:pStyle w:val="160"/>
        <w:spacing w:line="320" w:lineRule="exact"/>
        <w:ind w:firstLine="0" w:firstLineChars="0"/>
        <w:rPr>
          <w:rFonts w:ascii="宋体" w:hAnsi="宋体" w:cs="宋体"/>
          <w:color w:val="000000"/>
          <w:highlight w:val="none"/>
          <w:shd w:val="clear" w:color="auto" w:fill="auto"/>
        </w:rPr>
      </w:pPr>
    </w:p>
    <w:p w14:paraId="05CD7024">
      <w:pPr>
        <w:rPr>
          <w:color w:val="000000"/>
          <w:highlight w:val="none"/>
          <w:shd w:val="clear" w:color="auto" w:fill="auto"/>
        </w:rPr>
      </w:pPr>
    </w:p>
    <w:p w14:paraId="67B73EA8">
      <w:pPr>
        <w:rPr>
          <w:color w:val="000000"/>
          <w:highlight w:val="none"/>
          <w:shd w:val="clear" w:color="auto" w:fill="auto"/>
        </w:rPr>
      </w:pPr>
    </w:p>
    <w:p w14:paraId="3684C5C7">
      <w:pPr>
        <w:rPr>
          <w:color w:val="000000"/>
          <w:highlight w:val="none"/>
          <w:shd w:val="clear" w:color="auto" w:fill="auto"/>
        </w:rPr>
      </w:pPr>
    </w:p>
    <w:p w14:paraId="2F5F81F7">
      <w:pPr>
        <w:tabs>
          <w:tab w:val="left" w:pos="567"/>
        </w:tabs>
        <w:spacing w:line="360" w:lineRule="exact"/>
        <w:jc w:val="center"/>
        <w:outlineLvl w:val="9"/>
        <w:rPr>
          <w:rFonts w:hint="eastAsia" w:ascii="宋体" w:hAnsi="宋体" w:cs="宋体"/>
          <w:b/>
          <w:color w:val="000000"/>
          <w:kern w:val="44"/>
          <w:sz w:val="32"/>
          <w:highlight w:val="none"/>
          <w:shd w:val="clear" w:color="auto" w:fill="auto"/>
        </w:rPr>
      </w:pPr>
      <w:r>
        <w:rPr>
          <w:rFonts w:hint="eastAsia" w:ascii="宋体" w:hAnsi="宋体" w:cs="宋体"/>
          <w:b/>
          <w:color w:val="000000"/>
          <w:kern w:val="44"/>
          <w:sz w:val="32"/>
          <w:highlight w:val="none"/>
          <w:shd w:val="clear" w:color="auto" w:fill="auto"/>
        </w:rPr>
        <w:br w:type="page"/>
      </w:r>
      <w:bookmarkStart w:id="1859" w:name="_Toc498945559"/>
      <w:bookmarkStart w:id="1860" w:name="_Toc30015"/>
      <w:bookmarkStart w:id="1861" w:name="_Toc3054_WPSOffice_Level1"/>
      <w:bookmarkStart w:id="1862" w:name="_Toc26599"/>
      <w:bookmarkStart w:id="1863" w:name="_Toc407135283"/>
      <w:bookmarkStart w:id="1864" w:name="_Toc73275791"/>
      <w:bookmarkStart w:id="1865" w:name="_Toc358569763"/>
      <w:bookmarkStart w:id="1866" w:name="_Toc23350"/>
    </w:p>
    <w:p w14:paraId="7FB88C7A">
      <w:pPr>
        <w:tabs>
          <w:tab w:val="left" w:pos="567"/>
        </w:tabs>
        <w:spacing w:line="360" w:lineRule="exact"/>
        <w:jc w:val="center"/>
        <w:outlineLvl w:val="9"/>
        <w:rPr>
          <w:rFonts w:hint="eastAsia" w:ascii="宋体" w:hAnsi="宋体" w:cs="宋体"/>
          <w:b/>
          <w:color w:val="000000"/>
          <w:kern w:val="44"/>
          <w:sz w:val="32"/>
          <w:highlight w:val="none"/>
          <w:shd w:val="clear" w:color="auto" w:fill="auto"/>
        </w:rPr>
      </w:pPr>
    </w:p>
    <w:p w14:paraId="31C7C065">
      <w:pPr>
        <w:tabs>
          <w:tab w:val="left" w:pos="567"/>
        </w:tabs>
        <w:spacing w:line="360" w:lineRule="exact"/>
        <w:jc w:val="center"/>
        <w:outlineLvl w:val="9"/>
        <w:rPr>
          <w:b/>
          <w:bCs/>
          <w:color w:val="000000"/>
          <w:sz w:val="32"/>
          <w:szCs w:val="32"/>
          <w:highlight w:val="none"/>
          <w:shd w:val="clear" w:color="auto" w:fill="auto"/>
        </w:rPr>
      </w:pPr>
      <w:r>
        <w:rPr>
          <w:rFonts w:hint="eastAsia" w:ascii="宋体" w:hAnsi="宋体" w:cs="宋体"/>
          <w:b/>
          <w:bCs/>
          <w:color w:val="000000"/>
          <w:sz w:val="32"/>
          <w:szCs w:val="32"/>
          <w:highlight w:val="none"/>
          <w:shd w:val="clear" w:color="auto" w:fill="auto"/>
        </w:rPr>
        <w:t>第五章</w:t>
      </w:r>
      <w:r>
        <w:rPr>
          <w:rFonts w:hint="eastAsia" w:ascii="宋体" w:hAnsi="宋体" w:cs="宋体"/>
          <w:b/>
          <w:bCs/>
          <w:color w:val="000000"/>
          <w:sz w:val="32"/>
          <w:szCs w:val="32"/>
          <w:highlight w:val="none"/>
          <w:shd w:val="clear" w:color="auto" w:fill="auto"/>
          <w:lang w:val="en-US" w:eastAsia="zh-CN"/>
        </w:rPr>
        <w:t xml:space="preserve"> </w:t>
      </w:r>
      <w:r>
        <w:rPr>
          <w:rFonts w:hint="eastAsia" w:ascii="宋体" w:hAnsi="宋体" w:cs="宋体"/>
          <w:b/>
          <w:bCs/>
          <w:color w:val="000000"/>
          <w:sz w:val="32"/>
          <w:szCs w:val="32"/>
          <w:highlight w:val="none"/>
          <w:shd w:val="clear" w:color="auto" w:fill="auto"/>
        </w:rPr>
        <w:t>工程量清单</w:t>
      </w:r>
      <w:bookmarkEnd w:id="1859"/>
      <w:bookmarkEnd w:id="1860"/>
      <w:bookmarkEnd w:id="1861"/>
      <w:bookmarkEnd w:id="1862"/>
      <w:bookmarkEnd w:id="1863"/>
      <w:bookmarkEnd w:id="1864"/>
    </w:p>
    <w:bookmarkEnd w:id="1865"/>
    <w:p w14:paraId="70F65A26">
      <w:pPr>
        <w:pStyle w:val="75"/>
        <w:jc w:val="center"/>
        <w:rPr>
          <w:rFonts w:hint="eastAsia"/>
          <w:b/>
          <w:bCs/>
          <w:color w:val="000000"/>
          <w:sz w:val="28"/>
          <w:szCs w:val="36"/>
          <w:highlight w:val="none"/>
        </w:rPr>
      </w:pPr>
    </w:p>
    <w:p w14:paraId="7D3ABEB3">
      <w:pPr>
        <w:pStyle w:val="75"/>
        <w:jc w:val="center"/>
        <w:rPr>
          <w:rFonts w:hint="eastAsia"/>
          <w:b/>
          <w:bCs/>
          <w:color w:val="000000"/>
          <w:sz w:val="28"/>
          <w:szCs w:val="36"/>
          <w:highlight w:val="none"/>
        </w:rPr>
      </w:pPr>
    </w:p>
    <w:p w14:paraId="1BEB3FC8">
      <w:pPr>
        <w:pStyle w:val="75"/>
        <w:jc w:val="center"/>
        <w:rPr>
          <w:rFonts w:hint="eastAsia"/>
          <w:b/>
          <w:bCs/>
          <w:color w:val="000000"/>
          <w:sz w:val="28"/>
          <w:szCs w:val="36"/>
          <w:highlight w:val="none"/>
        </w:rPr>
      </w:pPr>
    </w:p>
    <w:p w14:paraId="74076673">
      <w:pPr>
        <w:spacing w:line="500" w:lineRule="exact"/>
        <w:jc w:val="center"/>
        <w:rPr>
          <w:rFonts w:hint="eastAsia" w:ascii="宋体" w:hAnsi="宋体" w:cs="宋体"/>
          <w:b/>
          <w:color w:val="000000"/>
          <w:sz w:val="32"/>
          <w:szCs w:val="32"/>
          <w:highlight w:val="none"/>
          <w:shd w:val="clear" w:color="auto" w:fill="auto"/>
        </w:rPr>
      </w:pPr>
      <w:r>
        <w:rPr>
          <w:rFonts w:hint="eastAsia" w:ascii="宋体" w:hAnsi="宋体" w:cs="宋体"/>
          <w:b/>
          <w:bCs/>
          <w:color w:val="000000"/>
          <w:sz w:val="32"/>
          <w:szCs w:val="32"/>
          <w:highlight w:val="none"/>
          <w:shd w:val="clear" w:color="auto" w:fill="auto"/>
        </w:rPr>
        <w:t>（</w:t>
      </w:r>
      <w:r>
        <w:rPr>
          <w:rFonts w:hint="eastAsia" w:ascii="宋体" w:hAnsi="宋体" w:cs="宋体"/>
          <w:b/>
          <w:color w:val="000000"/>
          <w:sz w:val="32"/>
          <w:szCs w:val="32"/>
          <w:highlight w:val="none"/>
          <w:shd w:val="clear" w:color="auto" w:fill="auto"/>
        </w:rPr>
        <w:t>另册发放）</w:t>
      </w:r>
    </w:p>
    <w:p w14:paraId="25BB0238">
      <w:pPr>
        <w:pStyle w:val="75"/>
        <w:ind w:firstLine="420"/>
        <w:rPr>
          <w:rFonts w:hint="eastAsia"/>
          <w:color w:val="000000"/>
          <w:highlight w:val="none"/>
        </w:rPr>
      </w:pPr>
    </w:p>
    <w:p w14:paraId="62668BA5">
      <w:pPr>
        <w:spacing w:line="500" w:lineRule="exact"/>
        <w:jc w:val="center"/>
        <w:rPr>
          <w:rFonts w:ascii="宋体" w:hAnsi="宋体" w:cs="宋体"/>
          <w:color w:val="000000"/>
          <w:highlight w:val="none"/>
          <w:shd w:val="clear" w:color="auto" w:fill="auto"/>
        </w:rPr>
        <w:sectPr>
          <w:footerReference r:id="rId3" w:type="default"/>
          <w:pgSz w:w="11907" w:h="16840"/>
          <w:pgMar w:top="1440" w:right="1080" w:bottom="1440" w:left="1080" w:header="851" w:footer="851"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宋体" w:hAnsi="宋体" w:cs="宋体"/>
          <w:color w:val="000000"/>
          <w:highlight w:val="none"/>
          <w:shd w:val="clear" w:color="auto" w:fill="auto"/>
        </w:rPr>
        <w:t xml:space="preserve">   </w:t>
      </w:r>
    </w:p>
    <w:p w14:paraId="4568447C">
      <w:pPr>
        <w:pStyle w:val="2"/>
        <w:tabs>
          <w:tab w:val="left" w:pos="567"/>
        </w:tabs>
        <w:spacing w:line="500" w:lineRule="exact"/>
        <w:jc w:val="center"/>
        <w:rPr>
          <w:rFonts w:ascii="宋体" w:hAnsi="宋体" w:cs="宋体"/>
          <w:bCs w:val="0"/>
          <w:color w:val="000000"/>
          <w:kern w:val="0"/>
          <w:sz w:val="32"/>
          <w:highlight w:val="none"/>
          <w:shd w:val="clear" w:color="auto" w:fill="auto"/>
        </w:rPr>
      </w:pPr>
      <w:bookmarkStart w:id="1867" w:name="_Toc455670848"/>
      <w:bookmarkStart w:id="1868" w:name="_Toc207443031"/>
      <w:bookmarkStart w:id="1869" w:name="_Toc267582061"/>
      <w:bookmarkStart w:id="1870" w:name="_Toc22282"/>
      <w:bookmarkStart w:id="1871" w:name="_Toc29864"/>
      <w:bookmarkStart w:id="1872" w:name="_Toc389145997"/>
      <w:r>
        <w:rPr>
          <w:rFonts w:hint="eastAsia" w:ascii="宋体" w:hAnsi="宋体" w:cs="宋体"/>
          <w:bCs w:val="0"/>
          <w:color w:val="000000"/>
          <w:kern w:val="0"/>
          <w:sz w:val="32"/>
          <w:highlight w:val="none"/>
          <w:shd w:val="clear" w:color="auto" w:fill="auto"/>
        </w:rPr>
        <w:t>第六章 技术标准</w:t>
      </w:r>
      <w:bookmarkEnd w:id="1867"/>
      <w:bookmarkEnd w:id="1868"/>
      <w:bookmarkEnd w:id="1869"/>
      <w:bookmarkEnd w:id="1870"/>
      <w:bookmarkEnd w:id="1871"/>
      <w:bookmarkEnd w:id="1872"/>
    </w:p>
    <w:p w14:paraId="0FE0A07F">
      <w:pPr>
        <w:spacing w:line="500" w:lineRule="exact"/>
        <w:rPr>
          <w:rFonts w:ascii="宋体" w:hAnsi="宋体" w:cs="宋体"/>
          <w:color w:val="000000"/>
          <w:kern w:val="0"/>
          <w:sz w:val="10"/>
          <w:szCs w:val="10"/>
          <w:highlight w:val="none"/>
          <w:shd w:val="clear" w:color="auto" w:fill="auto"/>
        </w:rPr>
      </w:pPr>
    </w:p>
    <w:p w14:paraId="076F9D97">
      <w:pPr>
        <w:spacing w:line="500" w:lineRule="exact"/>
        <w:jc w:val="center"/>
        <w:rPr>
          <w:rFonts w:ascii="宋体" w:hAnsi="宋体" w:cs="宋体"/>
          <w:color w:val="000000"/>
          <w:sz w:val="28"/>
          <w:szCs w:val="28"/>
          <w:highlight w:val="none"/>
          <w:shd w:val="clear" w:color="auto" w:fill="auto"/>
        </w:rPr>
      </w:pPr>
      <w:r>
        <w:rPr>
          <w:rFonts w:hint="eastAsia" w:ascii="宋体" w:hAnsi="宋体" w:cs="宋体"/>
          <w:color w:val="000000"/>
          <w:sz w:val="28"/>
          <w:szCs w:val="28"/>
          <w:highlight w:val="none"/>
          <w:shd w:val="clear" w:color="auto" w:fill="auto"/>
        </w:rPr>
        <w:t>本章由采购人根据国家行业和地方现行标准、规范和规程等，</w:t>
      </w:r>
    </w:p>
    <w:p w14:paraId="2D0340BC">
      <w:pPr>
        <w:spacing w:line="500" w:lineRule="exact"/>
        <w:jc w:val="center"/>
        <w:rPr>
          <w:rFonts w:ascii="宋体" w:hAnsi="宋体" w:cs="宋体"/>
          <w:color w:val="000000"/>
          <w:sz w:val="28"/>
          <w:szCs w:val="28"/>
          <w:highlight w:val="none"/>
          <w:shd w:val="clear" w:color="auto" w:fill="auto"/>
        </w:rPr>
      </w:pPr>
      <w:r>
        <w:rPr>
          <w:rFonts w:hint="eastAsia" w:ascii="宋体" w:hAnsi="宋体" w:cs="宋体"/>
          <w:color w:val="000000"/>
          <w:sz w:val="28"/>
          <w:szCs w:val="28"/>
          <w:highlight w:val="none"/>
          <w:shd w:val="clear" w:color="auto" w:fill="auto"/>
        </w:rPr>
        <w:t>以及项目具体情况摘录。</w:t>
      </w:r>
    </w:p>
    <w:p w14:paraId="5A1645D4">
      <w:pPr>
        <w:rPr>
          <w:color w:val="000000"/>
          <w:highlight w:val="none"/>
          <w:shd w:val="clear" w:color="auto" w:fill="auto"/>
        </w:rPr>
      </w:pPr>
    </w:p>
    <w:p w14:paraId="4EEC2A0D">
      <w:pPr>
        <w:rPr>
          <w:rFonts w:ascii="宋体" w:hAnsi="宋体" w:cs="宋体"/>
          <w:b/>
          <w:color w:val="000000"/>
          <w:kern w:val="0"/>
          <w:sz w:val="32"/>
          <w:highlight w:val="none"/>
          <w:shd w:val="clear" w:color="auto" w:fill="auto"/>
        </w:rPr>
      </w:pPr>
      <w:r>
        <w:rPr>
          <w:rFonts w:hint="eastAsia" w:ascii="宋体" w:hAnsi="宋体" w:cs="宋体"/>
          <w:b/>
          <w:color w:val="000000"/>
          <w:kern w:val="0"/>
          <w:sz w:val="32"/>
          <w:highlight w:val="none"/>
          <w:shd w:val="clear" w:color="auto" w:fill="auto"/>
        </w:rPr>
        <w:br w:type="page"/>
      </w:r>
    </w:p>
    <w:p w14:paraId="0AC25345">
      <w:pPr>
        <w:pStyle w:val="2"/>
        <w:tabs>
          <w:tab w:val="left" w:pos="567"/>
        </w:tabs>
        <w:spacing w:line="500" w:lineRule="exact"/>
        <w:jc w:val="center"/>
        <w:rPr>
          <w:rFonts w:ascii="宋体" w:hAnsi="宋体" w:cs="宋体"/>
          <w:bCs w:val="0"/>
          <w:color w:val="000000"/>
          <w:kern w:val="0"/>
          <w:sz w:val="32"/>
          <w:highlight w:val="none"/>
          <w:shd w:val="clear" w:color="auto" w:fill="auto"/>
        </w:rPr>
      </w:pPr>
      <w:bookmarkStart w:id="1873" w:name="_Toc23881"/>
      <w:bookmarkStart w:id="1874" w:name="_Toc26804"/>
      <w:r>
        <w:rPr>
          <w:rFonts w:hint="eastAsia" w:ascii="宋体" w:hAnsi="宋体" w:cs="宋体"/>
          <w:bCs w:val="0"/>
          <w:color w:val="000000"/>
          <w:kern w:val="0"/>
          <w:sz w:val="32"/>
          <w:highlight w:val="none"/>
          <w:shd w:val="clear" w:color="auto" w:fill="auto"/>
        </w:rPr>
        <w:t>第七章  图纸</w:t>
      </w:r>
      <w:bookmarkEnd w:id="1873"/>
      <w:bookmarkEnd w:id="1874"/>
    </w:p>
    <w:p w14:paraId="0B85DF13">
      <w:pPr>
        <w:spacing w:line="500" w:lineRule="exact"/>
        <w:rPr>
          <w:rFonts w:ascii="宋体" w:hAnsi="宋体" w:cs="宋体"/>
          <w:b/>
          <w:bCs/>
          <w:color w:val="000000"/>
          <w:sz w:val="32"/>
          <w:szCs w:val="32"/>
          <w:highlight w:val="none"/>
          <w:shd w:val="clear" w:color="auto" w:fill="auto"/>
        </w:rPr>
      </w:pPr>
    </w:p>
    <w:p w14:paraId="4B338016">
      <w:pPr>
        <w:spacing w:line="500" w:lineRule="exact"/>
        <w:jc w:val="center"/>
        <w:rPr>
          <w:rFonts w:hint="eastAsia" w:ascii="宋体" w:hAnsi="宋体" w:cs="宋体"/>
          <w:b/>
          <w:color w:val="000000"/>
          <w:sz w:val="32"/>
          <w:szCs w:val="32"/>
          <w:highlight w:val="none"/>
          <w:shd w:val="clear" w:color="auto" w:fill="auto"/>
        </w:rPr>
      </w:pPr>
      <w:r>
        <w:rPr>
          <w:rFonts w:hint="eastAsia" w:ascii="宋体" w:hAnsi="宋体" w:cs="宋体"/>
          <w:b/>
          <w:bCs/>
          <w:color w:val="000000"/>
          <w:sz w:val="32"/>
          <w:szCs w:val="32"/>
          <w:highlight w:val="none"/>
          <w:shd w:val="clear" w:color="auto" w:fill="auto"/>
        </w:rPr>
        <w:t>（</w:t>
      </w:r>
      <w:r>
        <w:rPr>
          <w:rFonts w:hint="eastAsia" w:ascii="宋体" w:hAnsi="宋体" w:cs="宋体"/>
          <w:b/>
          <w:color w:val="000000"/>
          <w:sz w:val="32"/>
          <w:szCs w:val="32"/>
          <w:highlight w:val="none"/>
          <w:shd w:val="clear" w:color="auto" w:fill="auto"/>
        </w:rPr>
        <w:t>另册发放）</w:t>
      </w:r>
    </w:p>
    <w:p w14:paraId="263C3476">
      <w:pPr>
        <w:pStyle w:val="75"/>
        <w:rPr>
          <w:rFonts w:hint="eastAsia" w:ascii="宋体" w:hAnsi="宋体" w:cs="宋体"/>
          <w:b/>
          <w:color w:val="000000"/>
          <w:sz w:val="32"/>
          <w:szCs w:val="32"/>
          <w:highlight w:val="none"/>
          <w:shd w:val="clear" w:color="auto" w:fill="auto"/>
        </w:rPr>
      </w:pPr>
    </w:p>
    <w:p w14:paraId="02B5E83E">
      <w:pPr>
        <w:pStyle w:val="2"/>
        <w:tabs>
          <w:tab w:val="left" w:pos="567"/>
        </w:tabs>
        <w:spacing w:line="500" w:lineRule="exact"/>
        <w:jc w:val="center"/>
        <w:rPr>
          <w:rFonts w:ascii="宋体" w:hAnsi="宋体" w:cs="宋体"/>
          <w:bCs w:val="0"/>
          <w:color w:val="000000"/>
          <w:kern w:val="0"/>
          <w:sz w:val="32"/>
          <w:highlight w:val="none"/>
          <w:shd w:val="clear" w:color="auto" w:fill="auto"/>
        </w:rPr>
      </w:pPr>
      <w:r>
        <w:rPr>
          <w:rFonts w:hint="eastAsia" w:ascii="宋体" w:hAnsi="宋体" w:cs="宋体"/>
          <w:b w:val="0"/>
          <w:color w:val="000000"/>
          <w:sz w:val="32"/>
          <w:szCs w:val="32"/>
          <w:highlight w:val="none"/>
          <w:shd w:val="clear" w:color="auto" w:fill="auto"/>
        </w:rPr>
        <w:br w:type="page"/>
      </w:r>
      <w:bookmarkStart w:id="1875" w:name="_Toc7080"/>
      <w:bookmarkStart w:id="1876" w:name="_Toc11330"/>
      <w:r>
        <w:rPr>
          <w:rFonts w:hint="eastAsia" w:ascii="宋体" w:hAnsi="宋体" w:cs="宋体"/>
          <w:bCs w:val="0"/>
          <w:color w:val="000000"/>
          <w:kern w:val="0"/>
          <w:sz w:val="32"/>
          <w:highlight w:val="none"/>
          <w:shd w:val="clear" w:color="auto" w:fill="auto"/>
        </w:rPr>
        <w:t>第八章 响应文件格式</w:t>
      </w:r>
      <w:bookmarkEnd w:id="1875"/>
      <w:bookmarkEnd w:id="1876"/>
    </w:p>
    <w:p w14:paraId="4778B652">
      <w:pPr>
        <w:spacing w:line="500" w:lineRule="exact"/>
        <w:rPr>
          <w:rFonts w:ascii="宋体" w:hAnsi="宋体" w:cs="宋体"/>
          <w:color w:val="000000"/>
          <w:kern w:val="0"/>
          <w:sz w:val="20"/>
          <w:szCs w:val="20"/>
          <w:highlight w:val="none"/>
          <w:shd w:val="clear" w:color="auto" w:fill="auto"/>
        </w:rPr>
      </w:pPr>
    </w:p>
    <w:p w14:paraId="41F285F2">
      <w:pPr>
        <w:spacing w:line="500" w:lineRule="exact"/>
        <w:jc w:val="center"/>
        <w:rPr>
          <w:rFonts w:ascii="宋体" w:hAnsi="宋体" w:cs="宋体"/>
          <w:color w:val="000000"/>
          <w:sz w:val="28"/>
          <w:szCs w:val="28"/>
          <w:highlight w:val="none"/>
          <w:shd w:val="clear" w:color="auto" w:fill="auto"/>
        </w:rPr>
      </w:pPr>
      <w:r>
        <w:rPr>
          <w:rFonts w:hint="eastAsia" w:ascii="宋体" w:hAnsi="宋体" w:cs="宋体"/>
          <w:color w:val="000000"/>
          <w:sz w:val="28"/>
          <w:szCs w:val="28"/>
          <w:highlight w:val="none"/>
          <w:u w:val="single"/>
          <w:shd w:val="clear" w:color="auto" w:fill="auto"/>
        </w:rPr>
        <w:t xml:space="preserve">                     </w:t>
      </w:r>
      <w:r>
        <w:rPr>
          <w:rFonts w:hint="eastAsia" w:ascii="宋体" w:hAnsi="宋体" w:cs="宋体"/>
          <w:color w:val="000000"/>
          <w:sz w:val="28"/>
          <w:szCs w:val="28"/>
          <w:highlight w:val="none"/>
          <w:shd w:val="clear" w:color="auto" w:fill="auto"/>
        </w:rPr>
        <w:t>（项目名称）施工招标</w:t>
      </w:r>
    </w:p>
    <w:p w14:paraId="30E77F2C">
      <w:pPr>
        <w:spacing w:before="312" w:beforeLines="100" w:line="500" w:lineRule="exact"/>
        <w:rPr>
          <w:rFonts w:ascii="宋体" w:hAnsi="宋体" w:cs="宋体"/>
          <w:color w:val="000000"/>
          <w:sz w:val="52"/>
          <w:szCs w:val="52"/>
          <w:highlight w:val="none"/>
          <w:shd w:val="clear" w:color="auto" w:fill="auto"/>
        </w:rPr>
      </w:pPr>
    </w:p>
    <w:p w14:paraId="13154B2C">
      <w:pPr>
        <w:spacing w:before="312" w:beforeLines="100" w:line="500" w:lineRule="exact"/>
        <w:jc w:val="center"/>
        <w:rPr>
          <w:rFonts w:ascii="宋体" w:hAnsi="宋体" w:cs="宋体"/>
          <w:color w:val="000000"/>
          <w:sz w:val="52"/>
          <w:szCs w:val="52"/>
          <w:highlight w:val="none"/>
          <w:shd w:val="clear" w:color="auto" w:fill="auto"/>
        </w:rPr>
      </w:pPr>
    </w:p>
    <w:p w14:paraId="4CB323DF">
      <w:pPr>
        <w:spacing w:before="312" w:beforeLines="100" w:line="500" w:lineRule="exact"/>
        <w:jc w:val="center"/>
        <w:rPr>
          <w:rFonts w:ascii="宋体" w:hAnsi="宋体" w:cs="宋体"/>
          <w:color w:val="000000"/>
          <w:sz w:val="52"/>
          <w:szCs w:val="52"/>
          <w:highlight w:val="none"/>
          <w:shd w:val="clear" w:color="auto" w:fill="auto"/>
        </w:rPr>
      </w:pPr>
      <w:r>
        <w:rPr>
          <w:rFonts w:hint="eastAsia" w:ascii="宋体" w:hAnsi="宋体" w:cs="宋体"/>
          <w:color w:val="000000"/>
          <w:sz w:val="52"/>
          <w:szCs w:val="52"/>
          <w:highlight w:val="none"/>
          <w:shd w:val="clear" w:color="auto" w:fill="auto"/>
        </w:rPr>
        <w:t>响  应  文  件</w:t>
      </w:r>
    </w:p>
    <w:p w14:paraId="31BECF3C">
      <w:pPr>
        <w:spacing w:line="500" w:lineRule="exact"/>
        <w:rPr>
          <w:rFonts w:ascii="宋体" w:hAnsi="宋体" w:cs="宋体"/>
          <w:color w:val="000000"/>
          <w:sz w:val="32"/>
          <w:szCs w:val="32"/>
          <w:highlight w:val="none"/>
          <w:shd w:val="clear" w:color="auto" w:fill="auto"/>
        </w:rPr>
      </w:pPr>
    </w:p>
    <w:p w14:paraId="721E79D3">
      <w:pPr>
        <w:spacing w:line="500" w:lineRule="exact"/>
        <w:jc w:val="center"/>
        <w:rPr>
          <w:rFonts w:ascii="宋体" w:hAnsi="宋体" w:cs="宋体"/>
          <w:color w:val="000000"/>
          <w:sz w:val="32"/>
          <w:szCs w:val="32"/>
          <w:highlight w:val="none"/>
          <w:shd w:val="clear" w:color="auto" w:fill="auto"/>
        </w:rPr>
      </w:pPr>
    </w:p>
    <w:p w14:paraId="6A1789D5">
      <w:pPr>
        <w:spacing w:line="500" w:lineRule="exact"/>
        <w:ind w:firstLine="2380" w:firstLineChars="850"/>
        <w:rPr>
          <w:rFonts w:ascii="宋体" w:hAnsi="宋体" w:cs="宋体"/>
          <w:color w:val="000000"/>
          <w:sz w:val="28"/>
          <w:szCs w:val="28"/>
          <w:highlight w:val="none"/>
          <w:u w:val="single"/>
          <w:shd w:val="clear" w:color="auto" w:fill="auto"/>
        </w:rPr>
      </w:pPr>
      <w:r>
        <w:rPr>
          <w:rFonts w:hint="eastAsia" w:ascii="宋体" w:hAnsi="宋体" w:cs="宋体"/>
          <w:color w:val="000000"/>
          <w:sz w:val="28"/>
          <w:szCs w:val="28"/>
          <w:highlight w:val="none"/>
          <w:shd w:val="clear" w:color="auto" w:fill="auto"/>
        </w:rPr>
        <w:t>项目编号：</w:t>
      </w:r>
      <w:r>
        <w:rPr>
          <w:rFonts w:hint="eastAsia" w:ascii="宋体" w:hAnsi="宋体" w:cs="宋体"/>
          <w:color w:val="000000"/>
          <w:sz w:val="28"/>
          <w:szCs w:val="28"/>
          <w:highlight w:val="none"/>
          <w:u w:val="single"/>
          <w:shd w:val="clear" w:color="auto" w:fill="auto"/>
        </w:rPr>
        <w:t xml:space="preserve">                   </w:t>
      </w:r>
    </w:p>
    <w:p w14:paraId="3A306F88">
      <w:pPr>
        <w:spacing w:line="500" w:lineRule="exact"/>
        <w:jc w:val="center"/>
        <w:rPr>
          <w:rFonts w:ascii="宋体" w:hAnsi="宋体" w:cs="宋体"/>
          <w:color w:val="000000"/>
          <w:sz w:val="32"/>
          <w:szCs w:val="32"/>
          <w:highlight w:val="none"/>
          <w:shd w:val="clear" w:color="auto" w:fill="auto"/>
        </w:rPr>
      </w:pPr>
    </w:p>
    <w:p w14:paraId="72767B2D">
      <w:pPr>
        <w:spacing w:line="500" w:lineRule="exact"/>
        <w:jc w:val="center"/>
        <w:rPr>
          <w:rFonts w:ascii="宋体" w:hAnsi="宋体" w:cs="宋体"/>
          <w:color w:val="000000"/>
          <w:sz w:val="32"/>
          <w:szCs w:val="32"/>
          <w:highlight w:val="none"/>
          <w:shd w:val="clear" w:color="auto" w:fill="auto"/>
        </w:rPr>
      </w:pPr>
    </w:p>
    <w:p w14:paraId="3F2BBC3E">
      <w:pPr>
        <w:spacing w:line="500" w:lineRule="exact"/>
        <w:jc w:val="center"/>
        <w:rPr>
          <w:rFonts w:ascii="宋体" w:hAnsi="宋体" w:cs="宋体"/>
          <w:color w:val="000000"/>
          <w:sz w:val="32"/>
          <w:szCs w:val="32"/>
          <w:highlight w:val="none"/>
          <w:shd w:val="clear" w:color="auto" w:fill="auto"/>
        </w:rPr>
      </w:pPr>
    </w:p>
    <w:p w14:paraId="32CFA91D">
      <w:pPr>
        <w:spacing w:line="500" w:lineRule="exact"/>
        <w:jc w:val="center"/>
        <w:rPr>
          <w:rFonts w:ascii="宋体" w:hAnsi="宋体" w:cs="宋体"/>
          <w:color w:val="000000"/>
          <w:kern w:val="0"/>
          <w:sz w:val="16"/>
          <w:szCs w:val="16"/>
          <w:highlight w:val="none"/>
          <w:shd w:val="clear" w:color="auto" w:fill="auto"/>
        </w:rPr>
      </w:pPr>
      <w:r>
        <w:rPr>
          <w:rFonts w:hint="eastAsia" w:ascii="宋体" w:hAnsi="宋体" w:cs="宋体"/>
          <w:color w:val="000000"/>
          <w:sz w:val="32"/>
          <w:szCs w:val="32"/>
          <w:highlight w:val="none"/>
          <w:shd w:val="clear" w:color="auto" w:fill="auto"/>
        </w:rPr>
        <w:t>（正本/副本）</w:t>
      </w:r>
    </w:p>
    <w:p w14:paraId="01B142F0">
      <w:pPr>
        <w:spacing w:line="500" w:lineRule="exact"/>
        <w:rPr>
          <w:rFonts w:ascii="宋体" w:hAnsi="宋体" w:cs="宋体"/>
          <w:color w:val="000000"/>
          <w:kern w:val="0"/>
          <w:sz w:val="16"/>
          <w:szCs w:val="16"/>
          <w:highlight w:val="none"/>
          <w:shd w:val="clear" w:color="auto" w:fill="auto"/>
        </w:rPr>
      </w:pPr>
    </w:p>
    <w:p w14:paraId="430BE4AF">
      <w:pPr>
        <w:spacing w:line="500" w:lineRule="exact"/>
        <w:rPr>
          <w:rFonts w:ascii="宋体" w:hAnsi="宋体" w:cs="宋体"/>
          <w:color w:val="000000"/>
          <w:kern w:val="0"/>
          <w:sz w:val="16"/>
          <w:szCs w:val="16"/>
          <w:highlight w:val="none"/>
          <w:shd w:val="clear" w:color="auto" w:fill="auto"/>
        </w:rPr>
      </w:pPr>
    </w:p>
    <w:p w14:paraId="137221AE">
      <w:pPr>
        <w:spacing w:line="500" w:lineRule="exact"/>
        <w:rPr>
          <w:rFonts w:ascii="宋体" w:hAnsi="宋体" w:cs="宋体"/>
          <w:color w:val="000000"/>
          <w:kern w:val="0"/>
          <w:sz w:val="16"/>
          <w:szCs w:val="16"/>
          <w:highlight w:val="none"/>
          <w:shd w:val="clear" w:color="auto" w:fill="auto"/>
        </w:rPr>
      </w:pPr>
    </w:p>
    <w:p w14:paraId="7BF3690F">
      <w:pPr>
        <w:spacing w:line="500" w:lineRule="exact"/>
        <w:rPr>
          <w:rFonts w:ascii="宋体" w:hAnsi="宋体" w:cs="宋体"/>
          <w:color w:val="000000"/>
          <w:kern w:val="0"/>
          <w:sz w:val="16"/>
          <w:szCs w:val="16"/>
          <w:highlight w:val="none"/>
          <w:shd w:val="clear" w:color="auto" w:fill="auto"/>
        </w:rPr>
      </w:pPr>
    </w:p>
    <w:p w14:paraId="4603F507">
      <w:pPr>
        <w:spacing w:line="500" w:lineRule="exact"/>
        <w:rPr>
          <w:rFonts w:ascii="宋体" w:hAnsi="宋体" w:cs="宋体"/>
          <w:color w:val="000000"/>
          <w:kern w:val="0"/>
          <w:sz w:val="20"/>
          <w:szCs w:val="20"/>
          <w:highlight w:val="none"/>
          <w:shd w:val="clear" w:color="auto" w:fill="auto"/>
        </w:rPr>
      </w:pPr>
    </w:p>
    <w:p w14:paraId="09C6A7A3">
      <w:pPr>
        <w:spacing w:line="360" w:lineRule="auto"/>
        <w:jc w:val="center"/>
        <w:rPr>
          <w:rFonts w:ascii="宋体" w:hAnsi="宋体" w:cs="宋体"/>
          <w:color w:val="000000"/>
          <w:sz w:val="28"/>
          <w:szCs w:val="28"/>
          <w:highlight w:val="none"/>
          <w:shd w:val="clear" w:color="auto" w:fill="auto"/>
        </w:rPr>
      </w:pPr>
      <w:r>
        <w:rPr>
          <w:rFonts w:hint="eastAsia" w:ascii="宋体" w:hAnsi="宋体" w:cs="宋体"/>
          <w:color w:val="000000"/>
          <w:w w:val="99"/>
          <w:kern w:val="0"/>
          <w:sz w:val="28"/>
          <w:szCs w:val="28"/>
          <w:highlight w:val="none"/>
          <w:shd w:val="clear" w:color="auto" w:fill="auto"/>
        </w:rPr>
        <w:t>供应商名称</w:t>
      </w:r>
      <w:r>
        <w:rPr>
          <w:rFonts w:hint="eastAsia" w:ascii="宋体" w:hAnsi="宋体" w:cs="宋体"/>
          <w:color w:val="000000"/>
          <w:spacing w:val="1"/>
          <w:w w:val="99"/>
          <w:kern w:val="0"/>
          <w:sz w:val="28"/>
          <w:szCs w:val="28"/>
          <w:highlight w:val="none"/>
          <w:shd w:val="clear" w:color="auto" w:fill="auto"/>
        </w:rPr>
        <w:t>：</w:t>
      </w:r>
      <w:r>
        <w:rPr>
          <w:rFonts w:hint="eastAsia" w:ascii="宋体" w:hAnsi="宋体" w:cs="宋体"/>
          <w:color w:val="000000"/>
          <w:w w:val="198"/>
          <w:kern w:val="0"/>
          <w:sz w:val="28"/>
          <w:szCs w:val="28"/>
          <w:highlight w:val="none"/>
          <w:u w:val="single"/>
          <w:shd w:val="clear" w:color="auto" w:fill="auto"/>
        </w:rPr>
        <w:t xml:space="preserve">           </w:t>
      </w:r>
      <w:r>
        <w:rPr>
          <w:rFonts w:hint="eastAsia" w:ascii="宋体" w:hAnsi="宋体" w:cs="宋体"/>
          <w:color w:val="000000"/>
          <w:kern w:val="0"/>
          <w:sz w:val="28"/>
          <w:szCs w:val="28"/>
          <w:highlight w:val="none"/>
          <w:u w:val="single"/>
          <w:shd w:val="clear" w:color="auto" w:fill="auto"/>
        </w:rPr>
        <w:tab/>
      </w:r>
      <w:r>
        <w:rPr>
          <w:rFonts w:hint="eastAsia" w:ascii="宋体" w:hAnsi="宋体" w:cs="宋体"/>
          <w:color w:val="000000"/>
          <w:sz w:val="28"/>
          <w:szCs w:val="28"/>
          <w:highlight w:val="none"/>
          <w:shd w:val="clear" w:color="auto" w:fill="auto"/>
        </w:rPr>
        <w:t>[盖单位公章（CA签章）]</w:t>
      </w:r>
    </w:p>
    <w:p w14:paraId="3B47B2B5">
      <w:pPr>
        <w:spacing w:line="360" w:lineRule="auto"/>
        <w:jc w:val="center"/>
        <w:rPr>
          <w:rFonts w:ascii="宋体" w:hAnsi="宋体" w:cs="宋体"/>
          <w:color w:val="000000"/>
          <w:sz w:val="28"/>
          <w:szCs w:val="28"/>
          <w:highlight w:val="none"/>
          <w:u w:val="single"/>
          <w:shd w:val="clear" w:color="auto" w:fill="auto"/>
        </w:rPr>
      </w:pPr>
      <w:r>
        <w:rPr>
          <w:rFonts w:hint="eastAsia" w:ascii="宋体" w:hAnsi="宋体" w:cs="宋体"/>
          <w:color w:val="000000"/>
          <w:sz w:val="28"/>
          <w:szCs w:val="28"/>
          <w:highlight w:val="none"/>
          <w:shd w:val="clear" w:color="auto" w:fill="auto"/>
        </w:rPr>
        <w:t>法定代表人或其委托代理人：</w:t>
      </w:r>
      <w:r>
        <w:rPr>
          <w:rFonts w:hint="eastAsia" w:ascii="宋体" w:hAnsi="宋体" w:cs="宋体"/>
          <w:color w:val="000000"/>
          <w:sz w:val="28"/>
          <w:szCs w:val="28"/>
          <w:highlight w:val="none"/>
          <w:u w:val="single"/>
          <w:shd w:val="clear" w:color="auto" w:fill="auto"/>
        </w:rPr>
        <w:t xml:space="preserve">                 </w:t>
      </w:r>
      <w:r>
        <w:rPr>
          <w:rFonts w:hint="eastAsia" w:ascii="宋体" w:hAnsi="宋体" w:cs="宋体"/>
          <w:color w:val="000000"/>
          <w:sz w:val="28"/>
          <w:szCs w:val="28"/>
          <w:highlight w:val="none"/>
          <w:shd w:val="clear" w:color="auto" w:fill="auto"/>
        </w:rPr>
        <w:t>[签字或盖章（CA签章）]</w:t>
      </w:r>
    </w:p>
    <w:p w14:paraId="4173DF0B">
      <w:pPr>
        <w:spacing w:line="500" w:lineRule="exact"/>
        <w:ind w:firstLine="2004" w:firstLineChars="716"/>
        <w:rPr>
          <w:rFonts w:ascii="宋体" w:hAnsi="宋体" w:cs="宋体"/>
          <w:color w:val="000000"/>
          <w:kern w:val="0"/>
          <w:sz w:val="28"/>
          <w:szCs w:val="28"/>
          <w:highlight w:val="none"/>
          <w:shd w:val="clear" w:color="auto" w:fill="auto"/>
        </w:rPr>
      </w:pPr>
    </w:p>
    <w:p w14:paraId="4841B908">
      <w:pPr>
        <w:spacing w:line="500" w:lineRule="exact"/>
        <w:ind w:firstLine="3966" w:firstLineChars="716"/>
        <w:rPr>
          <w:rFonts w:ascii="宋体" w:hAnsi="宋体" w:cs="宋体"/>
          <w:color w:val="000000"/>
          <w:w w:val="198"/>
          <w:kern w:val="0"/>
          <w:sz w:val="28"/>
          <w:szCs w:val="28"/>
          <w:highlight w:val="none"/>
          <w:u w:val="single"/>
          <w:shd w:val="clear" w:color="auto" w:fill="auto"/>
        </w:rPr>
      </w:pPr>
    </w:p>
    <w:p w14:paraId="0810FB8F">
      <w:pPr>
        <w:spacing w:line="500" w:lineRule="exact"/>
        <w:ind w:firstLine="2548" w:firstLineChars="460"/>
        <w:rPr>
          <w:rFonts w:ascii="宋体" w:hAnsi="宋体" w:cs="宋体"/>
          <w:color w:val="000000"/>
          <w:w w:val="99"/>
          <w:kern w:val="0"/>
          <w:sz w:val="28"/>
          <w:szCs w:val="28"/>
          <w:highlight w:val="none"/>
          <w:shd w:val="clear" w:color="auto" w:fill="auto"/>
        </w:rPr>
      </w:pPr>
      <w:r>
        <w:rPr>
          <w:rFonts w:hint="eastAsia" w:ascii="宋体" w:hAnsi="宋体" w:cs="宋体"/>
          <w:color w:val="000000"/>
          <w:w w:val="198"/>
          <w:kern w:val="0"/>
          <w:sz w:val="28"/>
          <w:szCs w:val="28"/>
          <w:highlight w:val="none"/>
          <w:u w:val="single"/>
          <w:shd w:val="clear" w:color="auto" w:fill="auto"/>
        </w:rPr>
        <w:t xml:space="preserve">    </w:t>
      </w:r>
      <w:r>
        <w:rPr>
          <w:rFonts w:hint="eastAsia" w:ascii="宋体" w:hAnsi="宋体" w:cs="宋体"/>
          <w:color w:val="000000"/>
          <w:kern w:val="0"/>
          <w:sz w:val="28"/>
          <w:szCs w:val="28"/>
          <w:highlight w:val="none"/>
          <w:u w:val="single"/>
          <w:shd w:val="clear" w:color="auto" w:fill="auto"/>
        </w:rPr>
        <w:tab/>
      </w:r>
      <w:r>
        <w:rPr>
          <w:rFonts w:hint="eastAsia" w:ascii="宋体" w:hAnsi="宋体" w:cs="宋体"/>
          <w:color w:val="000000"/>
          <w:w w:val="99"/>
          <w:kern w:val="0"/>
          <w:sz w:val="28"/>
          <w:szCs w:val="28"/>
          <w:highlight w:val="none"/>
          <w:shd w:val="clear" w:color="auto" w:fill="auto"/>
        </w:rPr>
        <w:t>年</w:t>
      </w:r>
      <w:r>
        <w:rPr>
          <w:rFonts w:hint="eastAsia" w:ascii="宋体" w:hAnsi="宋体" w:cs="宋体"/>
          <w:color w:val="000000"/>
          <w:w w:val="198"/>
          <w:kern w:val="0"/>
          <w:sz w:val="28"/>
          <w:szCs w:val="28"/>
          <w:highlight w:val="none"/>
          <w:u w:val="single"/>
          <w:shd w:val="clear" w:color="auto" w:fill="auto"/>
        </w:rPr>
        <w:t xml:space="preserve"> </w:t>
      </w:r>
      <w:r>
        <w:rPr>
          <w:rFonts w:hint="eastAsia" w:ascii="宋体" w:hAnsi="宋体" w:cs="宋体"/>
          <w:color w:val="000000"/>
          <w:kern w:val="0"/>
          <w:sz w:val="28"/>
          <w:szCs w:val="28"/>
          <w:highlight w:val="none"/>
          <w:u w:val="single"/>
          <w:shd w:val="clear" w:color="auto" w:fill="auto"/>
        </w:rPr>
        <w:tab/>
      </w:r>
      <w:r>
        <w:rPr>
          <w:rFonts w:hint="eastAsia" w:ascii="宋体" w:hAnsi="宋体" w:cs="宋体"/>
          <w:color w:val="000000"/>
          <w:w w:val="99"/>
          <w:kern w:val="0"/>
          <w:sz w:val="28"/>
          <w:szCs w:val="28"/>
          <w:highlight w:val="none"/>
          <w:shd w:val="clear" w:color="auto" w:fill="auto"/>
        </w:rPr>
        <w:t>月</w:t>
      </w:r>
      <w:r>
        <w:rPr>
          <w:rFonts w:hint="eastAsia" w:ascii="宋体" w:hAnsi="宋体" w:cs="宋体"/>
          <w:color w:val="000000"/>
          <w:w w:val="198"/>
          <w:kern w:val="0"/>
          <w:sz w:val="28"/>
          <w:szCs w:val="28"/>
          <w:highlight w:val="none"/>
          <w:u w:val="single"/>
          <w:shd w:val="clear" w:color="auto" w:fill="auto"/>
        </w:rPr>
        <w:t xml:space="preserve"> </w:t>
      </w:r>
      <w:r>
        <w:rPr>
          <w:rFonts w:hint="eastAsia" w:ascii="宋体" w:hAnsi="宋体" w:cs="宋体"/>
          <w:color w:val="000000"/>
          <w:kern w:val="0"/>
          <w:sz w:val="28"/>
          <w:szCs w:val="28"/>
          <w:highlight w:val="none"/>
          <w:u w:val="single"/>
          <w:shd w:val="clear" w:color="auto" w:fill="auto"/>
        </w:rPr>
        <w:tab/>
      </w:r>
      <w:r>
        <w:rPr>
          <w:rFonts w:hint="eastAsia" w:ascii="宋体" w:hAnsi="宋体" w:cs="宋体"/>
          <w:color w:val="000000"/>
          <w:w w:val="99"/>
          <w:kern w:val="0"/>
          <w:sz w:val="28"/>
          <w:szCs w:val="28"/>
          <w:highlight w:val="none"/>
          <w:shd w:val="clear" w:color="auto" w:fill="auto"/>
        </w:rPr>
        <w:t>日</w:t>
      </w:r>
    </w:p>
    <w:p w14:paraId="18C21B7A">
      <w:pPr>
        <w:spacing w:line="360" w:lineRule="exact"/>
        <w:jc w:val="center"/>
        <w:rPr>
          <w:rFonts w:hint="eastAsia" w:ascii="宋体" w:hAnsi="宋体" w:eastAsia="宋体" w:cs="宋体"/>
          <w:b/>
          <w:bCs/>
          <w:color w:val="000000"/>
          <w:w w:val="99"/>
          <w:kern w:val="0"/>
          <w:sz w:val="30"/>
          <w:szCs w:val="32"/>
          <w:highlight w:val="none"/>
          <w:shd w:val="clear" w:color="auto" w:fill="auto"/>
        </w:rPr>
      </w:pPr>
      <w:r>
        <w:rPr>
          <w:rFonts w:hint="eastAsia" w:ascii="宋体" w:hAnsi="宋体" w:cs="宋体"/>
          <w:color w:val="000000"/>
          <w:w w:val="99"/>
          <w:kern w:val="0"/>
          <w:sz w:val="28"/>
          <w:szCs w:val="28"/>
          <w:highlight w:val="none"/>
          <w:shd w:val="clear" w:color="auto" w:fill="auto"/>
        </w:rPr>
        <w:br w:type="page"/>
      </w:r>
      <w:bookmarkEnd w:id="234"/>
      <w:bookmarkEnd w:id="235"/>
      <w:bookmarkEnd w:id="1866"/>
      <w:bookmarkStart w:id="1877" w:name="_Toc18676"/>
      <w:bookmarkStart w:id="1878" w:name="_Toc4821"/>
      <w:bookmarkStart w:id="1879" w:name="_Toc389146001"/>
      <w:bookmarkStart w:id="1880" w:name="_Toc369505632"/>
      <w:bookmarkStart w:id="1881" w:name="_Toc455670852"/>
      <w:bookmarkStart w:id="1882" w:name="_Toc317079956"/>
      <w:bookmarkStart w:id="1883" w:name="_Toc207443055"/>
      <w:bookmarkStart w:id="1884" w:name="_Toc267582067"/>
      <w:r>
        <w:rPr>
          <w:rFonts w:hint="eastAsia" w:ascii="宋体" w:hAnsi="宋体" w:eastAsia="宋体" w:cs="宋体"/>
          <w:b/>
          <w:bCs/>
          <w:color w:val="000000"/>
          <w:w w:val="99"/>
          <w:kern w:val="0"/>
          <w:sz w:val="30"/>
          <w:szCs w:val="32"/>
          <w:highlight w:val="none"/>
          <w:shd w:val="clear" w:color="auto" w:fill="auto"/>
        </w:rPr>
        <w:t>一、资格性响应证明材料：</w:t>
      </w:r>
      <w:bookmarkEnd w:id="1877"/>
      <w:bookmarkEnd w:id="1878"/>
    </w:p>
    <w:p w14:paraId="5E009BC2">
      <w:pPr>
        <w:rPr>
          <w:color w:val="000000"/>
          <w:highlight w:val="none"/>
          <w:shd w:val="clear" w:color="auto" w:fill="auto"/>
        </w:rPr>
      </w:pPr>
    </w:p>
    <w:p w14:paraId="412515CE">
      <w:pPr>
        <w:pStyle w:val="3"/>
        <w:pageBreakBefore w:val="0"/>
        <w:wordWrap/>
        <w:overflowPunct/>
        <w:topLinePunct w:val="0"/>
        <w:bidi w:val="0"/>
        <w:snapToGrid/>
        <w:spacing w:beforeAutospacing="0" w:afterAutospacing="0" w:line="360" w:lineRule="auto"/>
        <w:ind w:left="0" w:right="0" w:firstLine="0"/>
        <w:rPr>
          <w:rFonts w:hint="eastAsia" w:ascii="宋体" w:hAnsi="宋体" w:eastAsia="宋体" w:cs="宋体"/>
          <w:b/>
          <w:bCs w:val="0"/>
          <w:color w:val="000000"/>
          <w:w w:val="99"/>
          <w:kern w:val="0"/>
          <w:sz w:val="21"/>
          <w:szCs w:val="21"/>
          <w:highlight w:val="none"/>
          <w:shd w:val="clear" w:color="auto" w:fill="auto"/>
        </w:rPr>
      </w:pPr>
      <w:bookmarkStart w:id="1885" w:name="_Toc28282"/>
      <w:bookmarkStart w:id="1886" w:name="_Toc21576"/>
      <w:r>
        <w:rPr>
          <w:rFonts w:hint="eastAsia" w:ascii="宋体" w:hAnsi="宋体" w:eastAsia="宋体" w:cs="宋体"/>
          <w:b/>
          <w:bCs w:val="0"/>
          <w:color w:val="000000"/>
          <w:w w:val="99"/>
          <w:kern w:val="0"/>
          <w:sz w:val="21"/>
          <w:szCs w:val="21"/>
          <w:highlight w:val="none"/>
          <w:shd w:val="clear" w:color="auto" w:fill="auto"/>
          <w:lang w:val="en-US"/>
        </w:rPr>
        <w:t>1、</w:t>
      </w:r>
      <w:r>
        <w:rPr>
          <w:rFonts w:hint="eastAsia" w:ascii="宋体" w:hAnsi="宋体" w:eastAsia="宋体" w:cs="宋体"/>
          <w:b/>
          <w:bCs w:val="0"/>
          <w:color w:val="000000"/>
          <w:w w:val="99"/>
          <w:kern w:val="0"/>
          <w:sz w:val="21"/>
          <w:szCs w:val="21"/>
          <w:highlight w:val="none"/>
          <w:shd w:val="clear" w:color="auto" w:fill="auto"/>
        </w:rPr>
        <w:t>供应商基本情况表</w:t>
      </w:r>
      <w:bookmarkEnd w:id="1879"/>
      <w:bookmarkEnd w:id="1880"/>
      <w:bookmarkEnd w:id="1881"/>
      <w:bookmarkEnd w:id="1882"/>
      <w:bookmarkEnd w:id="1883"/>
      <w:bookmarkEnd w:id="1884"/>
      <w:r>
        <w:rPr>
          <w:rFonts w:hint="eastAsia" w:ascii="宋体" w:hAnsi="宋体" w:eastAsia="宋体" w:cs="宋体"/>
          <w:b/>
          <w:bCs w:val="0"/>
          <w:color w:val="000000"/>
          <w:w w:val="99"/>
          <w:kern w:val="0"/>
          <w:sz w:val="21"/>
          <w:szCs w:val="21"/>
          <w:highlight w:val="none"/>
          <w:shd w:val="clear" w:color="auto" w:fill="auto"/>
        </w:rPr>
        <w:t>（必须提供）</w:t>
      </w:r>
      <w:bookmarkEnd w:id="1885"/>
      <w:bookmarkEnd w:id="1886"/>
    </w:p>
    <w:tbl>
      <w:tblPr>
        <w:tblStyle w:val="34"/>
        <w:tblpPr w:leftFromText="180" w:rightFromText="180" w:vertAnchor="text" w:horzAnchor="page" w:tblpX="1296" w:tblpY="545"/>
        <w:tblOverlap w:val="never"/>
        <w:tblW w:w="0" w:type="auto"/>
        <w:tblInd w:w="-5" w:type="dxa"/>
        <w:tblLayout w:type="fixed"/>
        <w:tblCellMar>
          <w:top w:w="0" w:type="dxa"/>
          <w:left w:w="0" w:type="dxa"/>
          <w:bottom w:w="0" w:type="dxa"/>
          <w:right w:w="0" w:type="dxa"/>
        </w:tblCellMar>
      </w:tblPr>
      <w:tblGrid>
        <w:gridCol w:w="1812"/>
        <w:gridCol w:w="942"/>
        <w:gridCol w:w="997"/>
        <w:gridCol w:w="881"/>
        <w:gridCol w:w="440"/>
        <w:gridCol w:w="327"/>
        <w:gridCol w:w="1130"/>
        <w:gridCol w:w="516"/>
        <w:gridCol w:w="900"/>
        <w:gridCol w:w="1467"/>
      </w:tblGrid>
      <w:tr w14:paraId="1DB9AAE7">
        <w:tblPrEx>
          <w:tblCellMar>
            <w:top w:w="0" w:type="dxa"/>
            <w:left w:w="0" w:type="dxa"/>
            <w:bottom w:w="0" w:type="dxa"/>
            <w:right w:w="0" w:type="dxa"/>
          </w:tblCellMar>
        </w:tblPrEx>
        <w:trPr>
          <w:trHeight w:val="512" w:hRule="exact"/>
        </w:trPr>
        <w:tc>
          <w:tcPr>
            <w:tcW w:w="1812" w:type="dxa"/>
            <w:tcBorders>
              <w:top w:val="single" w:color="000000" w:sz="4" w:space="0"/>
              <w:left w:val="single" w:color="000000" w:sz="4" w:space="0"/>
              <w:bottom w:val="single" w:color="000000" w:sz="4" w:space="0"/>
              <w:right w:val="single" w:color="000000" w:sz="4" w:space="0"/>
            </w:tcBorders>
            <w:noWrap w:val="0"/>
            <w:vAlign w:val="center"/>
          </w:tcPr>
          <w:p w14:paraId="29B59C4B">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供应商名称</w:t>
            </w:r>
          </w:p>
        </w:tc>
        <w:tc>
          <w:tcPr>
            <w:tcW w:w="7600" w:type="dxa"/>
            <w:gridSpan w:val="9"/>
            <w:tcBorders>
              <w:top w:val="single" w:color="000000" w:sz="4" w:space="0"/>
              <w:left w:val="single" w:color="000000" w:sz="4" w:space="0"/>
              <w:bottom w:val="single" w:color="000000" w:sz="4" w:space="0"/>
              <w:right w:val="single" w:color="000000" w:sz="4" w:space="0"/>
            </w:tcBorders>
            <w:noWrap w:val="0"/>
            <w:vAlign w:val="center"/>
          </w:tcPr>
          <w:p w14:paraId="0FAEC81C">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p>
        </w:tc>
      </w:tr>
      <w:tr w14:paraId="5F5C08AE">
        <w:tblPrEx>
          <w:tblCellMar>
            <w:top w:w="0" w:type="dxa"/>
            <w:left w:w="0" w:type="dxa"/>
            <w:bottom w:w="0" w:type="dxa"/>
            <w:right w:w="0" w:type="dxa"/>
          </w:tblCellMar>
        </w:tblPrEx>
        <w:trPr>
          <w:trHeight w:val="495" w:hRule="exact"/>
        </w:trPr>
        <w:tc>
          <w:tcPr>
            <w:tcW w:w="1812" w:type="dxa"/>
            <w:tcBorders>
              <w:top w:val="single" w:color="000000" w:sz="4" w:space="0"/>
              <w:left w:val="single" w:color="000000" w:sz="4" w:space="0"/>
              <w:bottom w:val="single" w:color="000000" w:sz="4" w:space="0"/>
              <w:right w:val="single" w:color="000000" w:sz="4" w:space="0"/>
            </w:tcBorders>
            <w:noWrap w:val="0"/>
            <w:vAlign w:val="center"/>
          </w:tcPr>
          <w:p w14:paraId="3B5FB492">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注册地址</w:t>
            </w:r>
          </w:p>
        </w:tc>
        <w:tc>
          <w:tcPr>
            <w:tcW w:w="3587" w:type="dxa"/>
            <w:gridSpan w:val="5"/>
            <w:tcBorders>
              <w:top w:val="single" w:color="000000" w:sz="4" w:space="0"/>
              <w:left w:val="single" w:color="000000" w:sz="4" w:space="0"/>
              <w:bottom w:val="single" w:color="000000" w:sz="4" w:space="0"/>
              <w:right w:val="single" w:color="000000" w:sz="4" w:space="0"/>
            </w:tcBorders>
            <w:noWrap w:val="0"/>
            <w:vAlign w:val="center"/>
          </w:tcPr>
          <w:p w14:paraId="463318B8">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5FBBA8EF">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邮政编码</w:t>
            </w:r>
          </w:p>
        </w:tc>
        <w:tc>
          <w:tcPr>
            <w:tcW w:w="2883" w:type="dxa"/>
            <w:gridSpan w:val="3"/>
            <w:tcBorders>
              <w:top w:val="single" w:color="000000" w:sz="4" w:space="0"/>
              <w:left w:val="single" w:color="000000" w:sz="4" w:space="0"/>
              <w:bottom w:val="single" w:color="000000" w:sz="4" w:space="0"/>
              <w:right w:val="single" w:color="000000" w:sz="4" w:space="0"/>
            </w:tcBorders>
            <w:noWrap w:val="0"/>
            <w:vAlign w:val="center"/>
          </w:tcPr>
          <w:p w14:paraId="7CD3E8C8">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p>
        </w:tc>
      </w:tr>
      <w:tr w14:paraId="5D67BF91">
        <w:tblPrEx>
          <w:tblCellMar>
            <w:top w:w="0" w:type="dxa"/>
            <w:left w:w="0" w:type="dxa"/>
            <w:bottom w:w="0" w:type="dxa"/>
            <w:right w:w="0" w:type="dxa"/>
          </w:tblCellMar>
        </w:tblPrEx>
        <w:trPr>
          <w:cantSplit/>
          <w:trHeight w:val="517" w:hRule="exact"/>
        </w:trPr>
        <w:tc>
          <w:tcPr>
            <w:tcW w:w="1812" w:type="dxa"/>
            <w:vMerge w:val="restart"/>
            <w:tcBorders>
              <w:top w:val="single" w:color="000000" w:sz="4" w:space="0"/>
              <w:left w:val="single" w:color="000000" w:sz="4" w:space="0"/>
              <w:bottom w:val="single" w:color="000000" w:sz="4" w:space="0"/>
              <w:right w:val="single" w:color="000000" w:sz="4" w:space="0"/>
            </w:tcBorders>
            <w:noWrap w:val="0"/>
            <w:vAlign w:val="center"/>
          </w:tcPr>
          <w:p w14:paraId="6D78508D">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联系方式</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200772E3">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联系人</w:t>
            </w:r>
          </w:p>
        </w:tc>
        <w:tc>
          <w:tcPr>
            <w:tcW w:w="2645" w:type="dxa"/>
            <w:gridSpan w:val="4"/>
            <w:tcBorders>
              <w:top w:val="single" w:color="000000" w:sz="4" w:space="0"/>
              <w:left w:val="single" w:color="000000" w:sz="4" w:space="0"/>
              <w:bottom w:val="single" w:color="000000" w:sz="4" w:space="0"/>
              <w:right w:val="single" w:color="000000" w:sz="4" w:space="0"/>
            </w:tcBorders>
            <w:noWrap w:val="0"/>
            <w:vAlign w:val="center"/>
          </w:tcPr>
          <w:p w14:paraId="28BE33F6">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1A7C9F66">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 xml:space="preserve">电 </w:t>
            </w:r>
            <w:r>
              <w:rPr>
                <w:rFonts w:hint="eastAsia" w:ascii="宋体" w:hAnsi="宋体" w:eastAsia="宋体" w:cs="宋体"/>
                <w:color w:val="000000"/>
                <w:spacing w:val="1"/>
                <w:kern w:val="0"/>
                <w:sz w:val="21"/>
                <w:szCs w:val="21"/>
                <w:highlight w:val="none"/>
                <w:shd w:val="clear" w:color="auto" w:fill="auto"/>
              </w:rPr>
              <w:t xml:space="preserve"> </w:t>
            </w:r>
            <w:r>
              <w:rPr>
                <w:rFonts w:hint="eastAsia" w:ascii="宋体" w:hAnsi="宋体" w:eastAsia="宋体" w:cs="宋体"/>
                <w:color w:val="000000"/>
                <w:kern w:val="0"/>
                <w:sz w:val="21"/>
                <w:szCs w:val="21"/>
                <w:highlight w:val="none"/>
                <w:shd w:val="clear" w:color="auto" w:fill="auto"/>
              </w:rPr>
              <w:t>话</w:t>
            </w:r>
          </w:p>
        </w:tc>
        <w:tc>
          <w:tcPr>
            <w:tcW w:w="2883" w:type="dxa"/>
            <w:gridSpan w:val="3"/>
            <w:tcBorders>
              <w:top w:val="single" w:color="000000" w:sz="4" w:space="0"/>
              <w:left w:val="single" w:color="000000" w:sz="4" w:space="0"/>
              <w:bottom w:val="single" w:color="000000" w:sz="4" w:space="0"/>
              <w:right w:val="single" w:color="000000" w:sz="4" w:space="0"/>
            </w:tcBorders>
            <w:noWrap w:val="0"/>
            <w:vAlign w:val="center"/>
          </w:tcPr>
          <w:p w14:paraId="667C8593">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p>
        </w:tc>
      </w:tr>
      <w:tr w14:paraId="7EB94C19">
        <w:tblPrEx>
          <w:tblCellMar>
            <w:top w:w="0" w:type="dxa"/>
            <w:left w:w="0" w:type="dxa"/>
            <w:bottom w:w="0" w:type="dxa"/>
            <w:right w:w="0" w:type="dxa"/>
          </w:tblCellMar>
        </w:tblPrEx>
        <w:trPr>
          <w:cantSplit/>
          <w:trHeight w:val="444" w:hRule="exact"/>
        </w:trPr>
        <w:tc>
          <w:tcPr>
            <w:tcW w:w="18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D6A1EF">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45A626DE">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传  真</w:t>
            </w:r>
          </w:p>
        </w:tc>
        <w:tc>
          <w:tcPr>
            <w:tcW w:w="2645" w:type="dxa"/>
            <w:gridSpan w:val="4"/>
            <w:tcBorders>
              <w:top w:val="single" w:color="000000" w:sz="4" w:space="0"/>
              <w:left w:val="single" w:color="000000" w:sz="4" w:space="0"/>
              <w:bottom w:val="single" w:color="000000" w:sz="4" w:space="0"/>
              <w:right w:val="single" w:color="000000" w:sz="4" w:space="0"/>
            </w:tcBorders>
            <w:noWrap w:val="0"/>
            <w:vAlign w:val="center"/>
          </w:tcPr>
          <w:p w14:paraId="7F397DA4">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67D70500">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 xml:space="preserve">网 </w:t>
            </w:r>
            <w:r>
              <w:rPr>
                <w:rFonts w:hint="eastAsia" w:ascii="宋体" w:hAnsi="宋体" w:eastAsia="宋体" w:cs="宋体"/>
                <w:color w:val="000000"/>
                <w:spacing w:val="1"/>
                <w:kern w:val="0"/>
                <w:sz w:val="21"/>
                <w:szCs w:val="21"/>
                <w:highlight w:val="none"/>
                <w:shd w:val="clear" w:color="auto" w:fill="auto"/>
              </w:rPr>
              <w:t xml:space="preserve"> </w:t>
            </w:r>
            <w:r>
              <w:rPr>
                <w:rFonts w:hint="eastAsia" w:ascii="宋体" w:hAnsi="宋体" w:eastAsia="宋体" w:cs="宋体"/>
                <w:color w:val="000000"/>
                <w:kern w:val="0"/>
                <w:sz w:val="21"/>
                <w:szCs w:val="21"/>
                <w:highlight w:val="none"/>
                <w:shd w:val="clear" w:color="auto" w:fill="auto"/>
              </w:rPr>
              <w:t>址</w:t>
            </w:r>
          </w:p>
        </w:tc>
        <w:tc>
          <w:tcPr>
            <w:tcW w:w="2883" w:type="dxa"/>
            <w:gridSpan w:val="3"/>
            <w:tcBorders>
              <w:top w:val="single" w:color="000000" w:sz="4" w:space="0"/>
              <w:left w:val="single" w:color="000000" w:sz="4" w:space="0"/>
              <w:bottom w:val="single" w:color="000000" w:sz="4" w:space="0"/>
              <w:right w:val="single" w:color="000000" w:sz="4" w:space="0"/>
            </w:tcBorders>
            <w:noWrap w:val="0"/>
            <w:vAlign w:val="center"/>
          </w:tcPr>
          <w:p w14:paraId="39441A4B">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p>
        </w:tc>
      </w:tr>
      <w:tr w14:paraId="11E9871D">
        <w:tblPrEx>
          <w:tblCellMar>
            <w:top w:w="0" w:type="dxa"/>
            <w:left w:w="0" w:type="dxa"/>
            <w:bottom w:w="0" w:type="dxa"/>
            <w:right w:w="0" w:type="dxa"/>
          </w:tblCellMar>
        </w:tblPrEx>
        <w:trPr>
          <w:trHeight w:val="469" w:hRule="exact"/>
        </w:trPr>
        <w:tc>
          <w:tcPr>
            <w:tcW w:w="1812" w:type="dxa"/>
            <w:tcBorders>
              <w:top w:val="single" w:color="000000" w:sz="4" w:space="0"/>
              <w:left w:val="single" w:color="000000" w:sz="4" w:space="0"/>
              <w:bottom w:val="single" w:color="000000" w:sz="4" w:space="0"/>
              <w:right w:val="single" w:color="000000" w:sz="4" w:space="0"/>
            </w:tcBorders>
            <w:noWrap w:val="0"/>
            <w:vAlign w:val="center"/>
          </w:tcPr>
          <w:p w14:paraId="5E9AEF3D">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法定代表人</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12C1BAD7">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姓名</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14:paraId="5E4F88C3">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p>
        </w:tc>
        <w:tc>
          <w:tcPr>
            <w:tcW w:w="1321" w:type="dxa"/>
            <w:gridSpan w:val="2"/>
            <w:tcBorders>
              <w:top w:val="single" w:color="000000" w:sz="4" w:space="0"/>
              <w:left w:val="single" w:color="000000" w:sz="4" w:space="0"/>
              <w:bottom w:val="single" w:color="000000" w:sz="4" w:space="0"/>
              <w:right w:val="single" w:color="000000" w:sz="4" w:space="0"/>
            </w:tcBorders>
            <w:noWrap w:val="0"/>
            <w:vAlign w:val="center"/>
          </w:tcPr>
          <w:p w14:paraId="3E3C914A">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技术职称</w:t>
            </w:r>
          </w:p>
        </w:tc>
        <w:tc>
          <w:tcPr>
            <w:tcW w:w="1973" w:type="dxa"/>
            <w:gridSpan w:val="3"/>
            <w:tcBorders>
              <w:top w:val="single" w:color="000000" w:sz="4" w:space="0"/>
              <w:left w:val="single" w:color="000000" w:sz="4" w:space="0"/>
              <w:bottom w:val="single" w:color="000000" w:sz="4" w:space="0"/>
              <w:right w:val="single" w:color="000000" w:sz="4" w:space="0"/>
            </w:tcBorders>
            <w:noWrap w:val="0"/>
            <w:vAlign w:val="center"/>
          </w:tcPr>
          <w:p w14:paraId="7EB32E61">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C581F14">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电话</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391F853A">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p>
        </w:tc>
      </w:tr>
      <w:tr w14:paraId="6F5CCFEF">
        <w:tblPrEx>
          <w:tblCellMar>
            <w:top w:w="0" w:type="dxa"/>
            <w:left w:w="0" w:type="dxa"/>
            <w:bottom w:w="0" w:type="dxa"/>
            <w:right w:w="0" w:type="dxa"/>
          </w:tblCellMar>
        </w:tblPrEx>
        <w:trPr>
          <w:trHeight w:val="460" w:hRule="exact"/>
        </w:trPr>
        <w:tc>
          <w:tcPr>
            <w:tcW w:w="1812" w:type="dxa"/>
            <w:tcBorders>
              <w:top w:val="single" w:color="000000" w:sz="4" w:space="0"/>
              <w:left w:val="single" w:color="000000" w:sz="4" w:space="0"/>
              <w:bottom w:val="single" w:color="000000" w:sz="4" w:space="0"/>
              <w:right w:val="single" w:color="000000" w:sz="4" w:space="0"/>
            </w:tcBorders>
            <w:noWrap w:val="0"/>
            <w:vAlign w:val="center"/>
          </w:tcPr>
          <w:p w14:paraId="405FA849">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技术负责人</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25D7C35B">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姓名</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14:paraId="6CB2568E">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p>
        </w:tc>
        <w:tc>
          <w:tcPr>
            <w:tcW w:w="1321" w:type="dxa"/>
            <w:gridSpan w:val="2"/>
            <w:tcBorders>
              <w:top w:val="single" w:color="000000" w:sz="4" w:space="0"/>
              <w:left w:val="single" w:color="000000" w:sz="4" w:space="0"/>
              <w:bottom w:val="single" w:color="000000" w:sz="4" w:space="0"/>
              <w:right w:val="single" w:color="000000" w:sz="4" w:space="0"/>
            </w:tcBorders>
            <w:noWrap w:val="0"/>
            <w:vAlign w:val="center"/>
          </w:tcPr>
          <w:p w14:paraId="4275F847">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技术职称</w:t>
            </w:r>
          </w:p>
        </w:tc>
        <w:tc>
          <w:tcPr>
            <w:tcW w:w="1973" w:type="dxa"/>
            <w:gridSpan w:val="3"/>
            <w:tcBorders>
              <w:top w:val="single" w:color="000000" w:sz="4" w:space="0"/>
              <w:left w:val="single" w:color="000000" w:sz="4" w:space="0"/>
              <w:bottom w:val="single" w:color="000000" w:sz="4" w:space="0"/>
              <w:right w:val="single" w:color="000000" w:sz="4" w:space="0"/>
            </w:tcBorders>
            <w:noWrap w:val="0"/>
            <w:vAlign w:val="center"/>
          </w:tcPr>
          <w:p w14:paraId="303A61DA">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D8920EF">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电话</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14:paraId="0D615F6B">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p>
        </w:tc>
      </w:tr>
      <w:tr w14:paraId="75F2B014">
        <w:tblPrEx>
          <w:tblCellMar>
            <w:top w:w="0" w:type="dxa"/>
            <w:left w:w="0" w:type="dxa"/>
            <w:bottom w:w="0" w:type="dxa"/>
            <w:right w:w="0" w:type="dxa"/>
          </w:tblCellMar>
        </w:tblPrEx>
        <w:trPr>
          <w:trHeight w:val="503" w:hRule="exact"/>
        </w:trPr>
        <w:tc>
          <w:tcPr>
            <w:tcW w:w="1812" w:type="dxa"/>
            <w:tcBorders>
              <w:top w:val="single" w:color="000000" w:sz="4" w:space="0"/>
              <w:left w:val="single" w:color="000000" w:sz="4" w:space="0"/>
              <w:bottom w:val="single" w:color="000000" w:sz="4" w:space="0"/>
              <w:right w:val="single" w:color="000000" w:sz="4" w:space="0"/>
            </w:tcBorders>
            <w:noWrap w:val="0"/>
            <w:vAlign w:val="center"/>
          </w:tcPr>
          <w:p w14:paraId="621673C2">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成立时间</w:t>
            </w:r>
          </w:p>
        </w:tc>
        <w:tc>
          <w:tcPr>
            <w:tcW w:w="1939" w:type="dxa"/>
            <w:gridSpan w:val="2"/>
            <w:tcBorders>
              <w:top w:val="single" w:color="000000" w:sz="4" w:space="0"/>
              <w:left w:val="single" w:color="000000" w:sz="4" w:space="0"/>
              <w:bottom w:val="single" w:color="000000" w:sz="4" w:space="0"/>
              <w:right w:val="single" w:color="000000" w:sz="4" w:space="0"/>
            </w:tcBorders>
            <w:noWrap w:val="0"/>
            <w:vAlign w:val="center"/>
          </w:tcPr>
          <w:p w14:paraId="1E956199">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p>
        </w:tc>
        <w:tc>
          <w:tcPr>
            <w:tcW w:w="5661" w:type="dxa"/>
            <w:gridSpan w:val="7"/>
            <w:tcBorders>
              <w:top w:val="single" w:color="000000" w:sz="4" w:space="0"/>
              <w:left w:val="single" w:color="000000" w:sz="4" w:space="0"/>
              <w:bottom w:val="single" w:color="000000" w:sz="4" w:space="0"/>
              <w:right w:val="single" w:color="000000" w:sz="4" w:space="0"/>
            </w:tcBorders>
            <w:noWrap w:val="0"/>
            <w:vAlign w:val="center"/>
          </w:tcPr>
          <w:p w14:paraId="52DC4242">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员工总人数：</w:t>
            </w:r>
          </w:p>
        </w:tc>
      </w:tr>
      <w:tr w14:paraId="4805EBA7">
        <w:tblPrEx>
          <w:tblCellMar>
            <w:top w:w="0" w:type="dxa"/>
            <w:left w:w="0" w:type="dxa"/>
            <w:bottom w:w="0" w:type="dxa"/>
            <w:right w:w="0" w:type="dxa"/>
          </w:tblCellMar>
        </w:tblPrEx>
        <w:trPr>
          <w:cantSplit/>
          <w:trHeight w:val="461" w:hRule="exact"/>
        </w:trPr>
        <w:tc>
          <w:tcPr>
            <w:tcW w:w="1812" w:type="dxa"/>
            <w:tcBorders>
              <w:top w:val="single" w:color="000000" w:sz="4" w:space="0"/>
              <w:left w:val="single" w:color="000000" w:sz="4" w:space="0"/>
              <w:bottom w:val="single" w:color="000000" w:sz="4" w:space="0"/>
              <w:right w:val="single" w:color="000000" w:sz="4" w:space="0"/>
            </w:tcBorders>
            <w:noWrap w:val="0"/>
            <w:vAlign w:val="center"/>
          </w:tcPr>
          <w:p w14:paraId="47C869F0">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企业资质等级</w:t>
            </w:r>
          </w:p>
        </w:tc>
        <w:tc>
          <w:tcPr>
            <w:tcW w:w="1939" w:type="dxa"/>
            <w:gridSpan w:val="2"/>
            <w:tcBorders>
              <w:top w:val="single" w:color="000000" w:sz="4" w:space="0"/>
              <w:left w:val="single" w:color="000000" w:sz="4" w:space="0"/>
              <w:bottom w:val="single" w:color="000000" w:sz="4" w:space="0"/>
              <w:right w:val="single" w:color="000000" w:sz="4" w:space="0"/>
            </w:tcBorders>
            <w:noWrap w:val="0"/>
            <w:vAlign w:val="center"/>
          </w:tcPr>
          <w:p w14:paraId="4314E36E">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p>
        </w:tc>
        <w:tc>
          <w:tcPr>
            <w:tcW w:w="881" w:type="dxa"/>
            <w:vMerge w:val="restart"/>
            <w:tcBorders>
              <w:top w:val="single" w:color="000000" w:sz="4" w:space="0"/>
              <w:left w:val="single" w:color="000000" w:sz="4" w:space="0"/>
              <w:bottom w:val="single" w:color="000000" w:sz="4" w:space="0"/>
              <w:right w:val="single" w:color="000000" w:sz="4" w:space="0"/>
            </w:tcBorders>
            <w:noWrap w:val="0"/>
            <w:vAlign w:val="center"/>
          </w:tcPr>
          <w:p w14:paraId="4C503CD9">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p>
          <w:p w14:paraId="30203567">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p>
          <w:p w14:paraId="30EC57A4">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其中</w:t>
            </w:r>
          </w:p>
        </w:tc>
        <w:tc>
          <w:tcPr>
            <w:tcW w:w="2413" w:type="dxa"/>
            <w:gridSpan w:val="4"/>
            <w:tcBorders>
              <w:top w:val="single" w:color="000000" w:sz="4" w:space="0"/>
              <w:left w:val="single" w:color="000000" w:sz="4" w:space="0"/>
              <w:bottom w:val="single" w:color="000000" w:sz="4" w:space="0"/>
              <w:right w:val="single" w:color="000000" w:sz="4" w:space="0"/>
            </w:tcBorders>
            <w:noWrap w:val="0"/>
            <w:vAlign w:val="center"/>
          </w:tcPr>
          <w:p w14:paraId="7131031B">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项目经理</w:t>
            </w:r>
          </w:p>
        </w:tc>
        <w:tc>
          <w:tcPr>
            <w:tcW w:w="2367" w:type="dxa"/>
            <w:gridSpan w:val="2"/>
            <w:tcBorders>
              <w:top w:val="single" w:color="000000" w:sz="4" w:space="0"/>
              <w:left w:val="single" w:color="000000" w:sz="4" w:space="0"/>
              <w:bottom w:val="single" w:color="000000" w:sz="4" w:space="0"/>
              <w:right w:val="single" w:color="000000" w:sz="4" w:space="0"/>
            </w:tcBorders>
            <w:noWrap w:val="0"/>
            <w:vAlign w:val="center"/>
          </w:tcPr>
          <w:p w14:paraId="4294CA8D">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p>
        </w:tc>
      </w:tr>
      <w:tr w14:paraId="2CD45F1A">
        <w:tblPrEx>
          <w:tblCellMar>
            <w:top w:w="0" w:type="dxa"/>
            <w:left w:w="0" w:type="dxa"/>
            <w:bottom w:w="0" w:type="dxa"/>
            <w:right w:w="0" w:type="dxa"/>
          </w:tblCellMar>
        </w:tblPrEx>
        <w:trPr>
          <w:cantSplit/>
          <w:trHeight w:val="503" w:hRule="exact"/>
        </w:trPr>
        <w:tc>
          <w:tcPr>
            <w:tcW w:w="1812" w:type="dxa"/>
            <w:tcBorders>
              <w:top w:val="single" w:color="000000" w:sz="4" w:space="0"/>
              <w:left w:val="single" w:color="000000" w:sz="4" w:space="0"/>
              <w:bottom w:val="single" w:color="000000" w:sz="4" w:space="0"/>
              <w:right w:val="single" w:color="000000" w:sz="4" w:space="0"/>
            </w:tcBorders>
            <w:noWrap w:val="0"/>
            <w:vAlign w:val="center"/>
          </w:tcPr>
          <w:p w14:paraId="2FD0EC77">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营业执照号</w:t>
            </w:r>
          </w:p>
        </w:tc>
        <w:tc>
          <w:tcPr>
            <w:tcW w:w="1939" w:type="dxa"/>
            <w:gridSpan w:val="2"/>
            <w:tcBorders>
              <w:top w:val="single" w:color="000000" w:sz="4" w:space="0"/>
              <w:left w:val="single" w:color="000000" w:sz="4" w:space="0"/>
              <w:bottom w:val="single" w:color="000000" w:sz="4" w:space="0"/>
              <w:right w:val="single" w:color="000000" w:sz="4" w:space="0"/>
            </w:tcBorders>
            <w:noWrap w:val="0"/>
            <w:vAlign w:val="center"/>
          </w:tcPr>
          <w:p w14:paraId="3F18DC81">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p>
        </w:tc>
        <w:tc>
          <w:tcPr>
            <w:tcW w:w="8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EB9245">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p>
        </w:tc>
        <w:tc>
          <w:tcPr>
            <w:tcW w:w="2413" w:type="dxa"/>
            <w:gridSpan w:val="4"/>
            <w:tcBorders>
              <w:top w:val="single" w:color="000000" w:sz="4" w:space="0"/>
              <w:left w:val="single" w:color="000000" w:sz="4" w:space="0"/>
              <w:bottom w:val="single" w:color="000000" w:sz="4" w:space="0"/>
              <w:right w:val="single" w:color="000000" w:sz="4" w:space="0"/>
            </w:tcBorders>
            <w:noWrap w:val="0"/>
            <w:vAlign w:val="center"/>
          </w:tcPr>
          <w:p w14:paraId="049BE25A">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高级职称人员</w:t>
            </w:r>
          </w:p>
        </w:tc>
        <w:tc>
          <w:tcPr>
            <w:tcW w:w="2367" w:type="dxa"/>
            <w:gridSpan w:val="2"/>
            <w:tcBorders>
              <w:top w:val="single" w:color="000000" w:sz="4" w:space="0"/>
              <w:left w:val="single" w:color="000000" w:sz="4" w:space="0"/>
              <w:bottom w:val="single" w:color="000000" w:sz="4" w:space="0"/>
              <w:right w:val="single" w:color="000000" w:sz="4" w:space="0"/>
            </w:tcBorders>
            <w:noWrap w:val="0"/>
            <w:vAlign w:val="center"/>
          </w:tcPr>
          <w:p w14:paraId="5B196125">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p>
        </w:tc>
      </w:tr>
      <w:tr w14:paraId="6D28BB42">
        <w:tblPrEx>
          <w:tblCellMar>
            <w:top w:w="0" w:type="dxa"/>
            <w:left w:w="0" w:type="dxa"/>
            <w:bottom w:w="0" w:type="dxa"/>
            <w:right w:w="0" w:type="dxa"/>
          </w:tblCellMar>
        </w:tblPrEx>
        <w:trPr>
          <w:cantSplit/>
          <w:trHeight w:val="500" w:hRule="exact"/>
        </w:trPr>
        <w:tc>
          <w:tcPr>
            <w:tcW w:w="1812" w:type="dxa"/>
            <w:tcBorders>
              <w:top w:val="single" w:color="000000" w:sz="4" w:space="0"/>
              <w:left w:val="single" w:color="000000" w:sz="4" w:space="0"/>
              <w:bottom w:val="single" w:color="000000" w:sz="4" w:space="0"/>
              <w:right w:val="single" w:color="000000" w:sz="4" w:space="0"/>
            </w:tcBorders>
            <w:noWrap w:val="0"/>
            <w:vAlign w:val="center"/>
          </w:tcPr>
          <w:p w14:paraId="2BB55600">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注册资金</w:t>
            </w:r>
          </w:p>
        </w:tc>
        <w:tc>
          <w:tcPr>
            <w:tcW w:w="1939" w:type="dxa"/>
            <w:gridSpan w:val="2"/>
            <w:tcBorders>
              <w:top w:val="single" w:color="000000" w:sz="4" w:space="0"/>
              <w:left w:val="single" w:color="000000" w:sz="4" w:space="0"/>
              <w:bottom w:val="single" w:color="000000" w:sz="4" w:space="0"/>
              <w:right w:val="single" w:color="000000" w:sz="4" w:space="0"/>
            </w:tcBorders>
            <w:noWrap w:val="0"/>
            <w:vAlign w:val="center"/>
          </w:tcPr>
          <w:p w14:paraId="0573B87C">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p>
        </w:tc>
        <w:tc>
          <w:tcPr>
            <w:tcW w:w="8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E38016">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p>
        </w:tc>
        <w:tc>
          <w:tcPr>
            <w:tcW w:w="2413" w:type="dxa"/>
            <w:gridSpan w:val="4"/>
            <w:tcBorders>
              <w:top w:val="single" w:color="000000" w:sz="4" w:space="0"/>
              <w:left w:val="single" w:color="000000" w:sz="4" w:space="0"/>
              <w:bottom w:val="single" w:color="000000" w:sz="4" w:space="0"/>
              <w:right w:val="single" w:color="000000" w:sz="4" w:space="0"/>
            </w:tcBorders>
            <w:noWrap w:val="0"/>
            <w:vAlign w:val="center"/>
          </w:tcPr>
          <w:p w14:paraId="62185B70">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中级职称人员</w:t>
            </w:r>
          </w:p>
        </w:tc>
        <w:tc>
          <w:tcPr>
            <w:tcW w:w="2367" w:type="dxa"/>
            <w:gridSpan w:val="2"/>
            <w:tcBorders>
              <w:top w:val="single" w:color="000000" w:sz="4" w:space="0"/>
              <w:left w:val="single" w:color="000000" w:sz="4" w:space="0"/>
              <w:bottom w:val="single" w:color="000000" w:sz="4" w:space="0"/>
              <w:right w:val="single" w:color="000000" w:sz="4" w:space="0"/>
            </w:tcBorders>
            <w:noWrap w:val="0"/>
            <w:vAlign w:val="center"/>
          </w:tcPr>
          <w:p w14:paraId="051B60FA">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p>
        </w:tc>
      </w:tr>
      <w:tr w14:paraId="179A25A2">
        <w:tblPrEx>
          <w:tblCellMar>
            <w:top w:w="0" w:type="dxa"/>
            <w:left w:w="0" w:type="dxa"/>
            <w:bottom w:w="0" w:type="dxa"/>
            <w:right w:w="0" w:type="dxa"/>
          </w:tblCellMar>
        </w:tblPrEx>
        <w:trPr>
          <w:cantSplit/>
          <w:trHeight w:val="482" w:hRule="exact"/>
        </w:trPr>
        <w:tc>
          <w:tcPr>
            <w:tcW w:w="1812" w:type="dxa"/>
            <w:tcBorders>
              <w:top w:val="single" w:color="000000" w:sz="4" w:space="0"/>
              <w:left w:val="single" w:color="000000" w:sz="4" w:space="0"/>
              <w:bottom w:val="single" w:color="000000" w:sz="4" w:space="0"/>
              <w:right w:val="single" w:color="000000" w:sz="4" w:space="0"/>
            </w:tcBorders>
            <w:noWrap w:val="0"/>
            <w:vAlign w:val="center"/>
          </w:tcPr>
          <w:p w14:paraId="68BEEDBB">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开户银行</w:t>
            </w:r>
          </w:p>
        </w:tc>
        <w:tc>
          <w:tcPr>
            <w:tcW w:w="1939" w:type="dxa"/>
            <w:gridSpan w:val="2"/>
            <w:tcBorders>
              <w:top w:val="single" w:color="000000" w:sz="4" w:space="0"/>
              <w:left w:val="single" w:color="000000" w:sz="4" w:space="0"/>
              <w:bottom w:val="single" w:color="000000" w:sz="4" w:space="0"/>
              <w:right w:val="single" w:color="000000" w:sz="4" w:space="0"/>
            </w:tcBorders>
            <w:noWrap w:val="0"/>
            <w:vAlign w:val="center"/>
          </w:tcPr>
          <w:p w14:paraId="0C828EDF">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p>
        </w:tc>
        <w:tc>
          <w:tcPr>
            <w:tcW w:w="8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80646F">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p>
        </w:tc>
        <w:tc>
          <w:tcPr>
            <w:tcW w:w="2413" w:type="dxa"/>
            <w:gridSpan w:val="4"/>
            <w:tcBorders>
              <w:top w:val="single" w:color="000000" w:sz="4" w:space="0"/>
              <w:left w:val="single" w:color="000000" w:sz="4" w:space="0"/>
              <w:bottom w:val="single" w:color="000000" w:sz="4" w:space="0"/>
              <w:right w:val="single" w:color="000000" w:sz="4" w:space="0"/>
            </w:tcBorders>
            <w:noWrap w:val="0"/>
            <w:vAlign w:val="center"/>
          </w:tcPr>
          <w:p w14:paraId="03228AAC">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初级职称人员</w:t>
            </w:r>
          </w:p>
        </w:tc>
        <w:tc>
          <w:tcPr>
            <w:tcW w:w="2367" w:type="dxa"/>
            <w:gridSpan w:val="2"/>
            <w:tcBorders>
              <w:top w:val="single" w:color="000000" w:sz="4" w:space="0"/>
              <w:left w:val="single" w:color="000000" w:sz="4" w:space="0"/>
              <w:bottom w:val="single" w:color="000000" w:sz="4" w:space="0"/>
              <w:right w:val="single" w:color="000000" w:sz="4" w:space="0"/>
            </w:tcBorders>
            <w:noWrap w:val="0"/>
            <w:vAlign w:val="center"/>
          </w:tcPr>
          <w:p w14:paraId="20DA0620">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p>
        </w:tc>
      </w:tr>
      <w:tr w14:paraId="0FB5EAB5">
        <w:tblPrEx>
          <w:tblCellMar>
            <w:top w:w="0" w:type="dxa"/>
            <w:left w:w="0" w:type="dxa"/>
            <w:bottom w:w="0" w:type="dxa"/>
            <w:right w:w="0" w:type="dxa"/>
          </w:tblCellMar>
        </w:tblPrEx>
        <w:trPr>
          <w:cantSplit/>
          <w:trHeight w:val="528" w:hRule="exact"/>
        </w:trPr>
        <w:tc>
          <w:tcPr>
            <w:tcW w:w="1812" w:type="dxa"/>
            <w:tcBorders>
              <w:top w:val="single" w:color="000000" w:sz="4" w:space="0"/>
              <w:left w:val="single" w:color="000000" w:sz="4" w:space="0"/>
              <w:bottom w:val="single" w:color="000000" w:sz="4" w:space="0"/>
              <w:right w:val="single" w:color="000000" w:sz="4" w:space="0"/>
            </w:tcBorders>
            <w:noWrap w:val="0"/>
            <w:vAlign w:val="center"/>
          </w:tcPr>
          <w:p w14:paraId="5FD3D839">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账号</w:t>
            </w:r>
          </w:p>
        </w:tc>
        <w:tc>
          <w:tcPr>
            <w:tcW w:w="1939" w:type="dxa"/>
            <w:gridSpan w:val="2"/>
            <w:tcBorders>
              <w:top w:val="single" w:color="000000" w:sz="4" w:space="0"/>
              <w:left w:val="single" w:color="000000" w:sz="4" w:space="0"/>
              <w:bottom w:val="single" w:color="000000" w:sz="4" w:space="0"/>
              <w:right w:val="single" w:color="000000" w:sz="4" w:space="0"/>
            </w:tcBorders>
            <w:noWrap w:val="0"/>
            <w:vAlign w:val="center"/>
          </w:tcPr>
          <w:p w14:paraId="34BD948E">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p>
        </w:tc>
        <w:tc>
          <w:tcPr>
            <w:tcW w:w="8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58A09D">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p>
        </w:tc>
        <w:tc>
          <w:tcPr>
            <w:tcW w:w="2413" w:type="dxa"/>
            <w:gridSpan w:val="4"/>
            <w:tcBorders>
              <w:top w:val="single" w:color="000000" w:sz="4" w:space="0"/>
              <w:left w:val="single" w:color="000000" w:sz="4" w:space="0"/>
              <w:bottom w:val="single" w:color="000000" w:sz="4" w:space="0"/>
              <w:right w:val="single" w:color="000000" w:sz="4" w:space="0"/>
            </w:tcBorders>
            <w:noWrap w:val="0"/>
            <w:vAlign w:val="center"/>
          </w:tcPr>
          <w:p w14:paraId="2AFA7E3C">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技</w:t>
            </w:r>
            <w:r>
              <w:rPr>
                <w:rFonts w:hint="eastAsia" w:ascii="宋体" w:hAnsi="宋体" w:eastAsia="宋体" w:cs="宋体"/>
                <w:color w:val="000000"/>
                <w:kern w:val="0"/>
                <w:sz w:val="21"/>
                <w:szCs w:val="21"/>
                <w:highlight w:val="none"/>
                <w:shd w:val="clear" w:color="auto" w:fill="auto"/>
              </w:rPr>
              <w:tab/>
            </w:r>
            <w:r>
              <w:rPr>
                <w:rFonts w:hint="eastAsia" w:ascii="宋体" w:hAnsi="宋体" w:eastAsia="宋体" w:cs="宋体"/>
                <w:color w:val="000000"/>
                <w:kern w:val="0"/>
                <w:sz w:val="21"/>
                <w:szCs w:val="21"/>
                <w:highlight w:val="none"/>
                <w:shd w:val="clear" w:color="auto" w:fill="auto"/>
              </w:rPr>
              <w:t>工</w:t>
            </w:r>
          </w:p>
        </w:tc>
        <w:tc>
          <w:tcPr>
            <w:tcW w:w="2367" w:type="dxa"/>
            <w:gridSpan w:val="2"/>
            <w:tcBorders>
              <w:top w:val="single" w:color="000000" w:sz="4" w:space="0"/>
              <w:left w:val="single" w:color="000000" w:sz="4" w:space="0"/>
              <w:bottom w:val="single" w:color="000000" w:sz="4" w:space="0"/>
              <w:right w:val="single" w:color="000000" w:sz="4" w:space="0"/>
            </w:tcBorders>
            <w:noWrap w:val="0"/>
            <w:vAlign w:val="center"/>
          </w:tcPr>
          <w:p w14:paraId="3FC23E80">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p>
        </w:tc>
      </w:tr>
      <w:tr w14:paraId="441074D7">
        <w:tblPrEx>
          <w:tblCellMar>
            <w:top w:w="0" w:type="dxa"/>
            <w:left w:w="0" w:type="dxa"/>
            <w:bottom w:w="0" w:type="dxa"/>
            <w:right w:w="0" w:type="dxa"/>
          </w:tblCellMar>
        </w:tblPrEx>
        <w:trPr>
          <w:trHeight w:val="635" w:hRule="exact"/>
        </w:trPr>
        <w:tc>
          <w:tcPr>
            <w:tcW w:w="1812" w:type="dxa"/>
            <w:tcBorders>
              <w:top w:val="single" w:color="000000" w:sz="4" w:space="0"/>
              <w:left w:val="single" w:color="000000" w:sz="4" w:space="0"/>
              <w:bottom w:val="single" w:color="000000" w:sz="4" w:space="0"/>
              <w:right w:val="single" w:color="000000" w:sz="4" w:space="0"/>
            </w:tcBorders>
            <w:noWrap w:val="0"/>
            <w:vAlign w:val="center"/>
          </w:tcPr>
          <w:p w14:paraId="7D1E4A1C">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备注</w:t>
            </w:r>
          </w:p>
        </w:tc>
        <w:tc>
          <w:tcPr>
            <w:tcW w:w="7600" w:type="dxa"/>
            <w:gridSpan w:val="9"/>
            <w:tcBorders>
              <w:top w:val="single" w:color="000000" w:sz="4" w:space="0"/>
              <w:left w:val="single" w:color="000000" w:sz="4" w:space="0"/>
              <w:bottom w:val="single" w:color="000000" w:sz="4" w:space="0"/>
              <w:right w:val="single" w:color="000000" w:sz="4" w:space="0"/>
            </w:tcBorders>
            <w:noWrap w:val="0"/>
            <w:vAlign w:val="center"/>
          </w:tcPr>
          <w:p w14:paraId="6CE70574">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kern w:val="0"/>
                <w:sz w:val="21"/>
                <w:szCs w:val="21"/>
                <w:highlight w:val="none"/>
                <w:shd w:val="clear" w:color="auto" w:fill="auto"/>
              </w:rPr>
            </w:pPr>
          </w:p>
        </w:tc>
      </w:tr>
    </w:tbl>
    <w:p w14:paraId="59F06406">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kern w:val="0"/>
          <w:sz w:val="21"/>
          <w:szCs w:val="21"/>
          <w:highlight w:val="none"/>
          <w:shd w:val="clear" w:color="auto" w:fill="auto"/>
        </w:rPr>
      </w:pPr>
    </w:p>
    <w:p w14:paraId="41F7518D">
      <w:pPr>
        <w:pStyle w:val="16"/>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kern w:val="0"/>
          <w:sz w:val="21"/>
          <w:szCs w:val="21"/>
          <w:highlight w:val="none"/>
          <w:shd w:val="clear" w:color="auto" w:fill="auto"/>
        </w:rPr>
      </w:pPr>
    </w:p>
    <w:p w14:paraId="24DC8E66">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kern w:val="0"/>
          <w:sz w:val="21"/>
          <w:szCs w:val="21"/>
          <w:highlight w:val="none"/>
          <w:shd w:val="clear" w:color="auto" w:fill="auto"/>
        </w:rPr>
      </w:pPr>
    </w:p>
    <w:p w14:paraId="5DBFA88D">
      <w:pPr>
        <w:pStyle w:val="16"/>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kern w:val="0"/>
          <w:sz w:val="21"/>
          <w:szCs w:val="21"/>
          <w:highlight w:val="none"/>
          <w:shd w:val="clear" w:color="auto" w:fill="auto"/>
        </w:rPr>
      </w:pPr>
    </w:p>
    <w:p w14:paraId="0C05F514">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kern w:val="0"/>
          <w:sz w:val="21"/>
          <w:szCs w:val="21"/>
          <w:highlight w:val="none"/>
          <w:shd w:val="clear" w:color="auto" w:fill="auto"/>
        </w:rPr>
      </w:pPr>
    </w:p>
    <w:p w14:paraId="59FCC85E">
      <w:pPr>
        <w:pStyle w:val="16"/>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kern w:val="0"/>
          <w:sz w:val="21"/>
          <w:szCs w:val="21"/>
          <w:highlight w:val="none"/>
          <w:shd w:val="clear" w:color="auto" w:fill="auto"/>
        </w:rPr>
      </w:pPr>
    </w:p>
    <w:p w14:paraId="079E39DA">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bookmarkStart w:id="1887" w:name="_Toc317079957"/>
      <w:bookmarkStart w:id="1888" w:name="_Toc455670853"/>
      <w:bookmarkStart w:id="1889" w:name="_Toc389146002"/>
      <w:bookmarkStart w:id="1890" w:name="_Toc369505633"/>
      <w:bookmarkStart w:id="1891" w:name="_Toc267582068"/>
    </w:p>
    <w:bookmarkEnd w:id="1887"/>
    <w:bookmarkEnd w:id="1888"/>
    <w:bookmarkEnd w:id="1889"/>
    <w:bookmarkEnd w:id="1890"/>
    <w:bookmarkEnd w:id="1891"/>
    <w:p w14:paraId="6FA97242">
      <w:pPr>
        <w:pStyle w:val="3"/>
        <w:pageBreakBefore w:val="0"/>
        <w:numPr>
          <w:ilvl w:val="0"/>
          <w:numId w:val="0"/>
        </w:numPr>
        <w:wordWrap/>
        <w:overflowPunct/>
        <w:topLinePunct w:val="0"/>
        <w:bidi w:val="0"/>
        <w:snapToGrid/>
        <w:spacing w:beforeAutospacing="0" w:afterAutospacing="0" w:line="360" w:lineRule="auto"/>
        <w:ind w:left="0" w:leftChars="0" w:right="0"/>
        <w:rPr>
          <w:rFonts w:hint="eastAsia" w:ascii="宋体" w:hAnsi="宋体" w:eastAsia="宋体" w:cs="宋体"/>
          <w:b/>
          <w:bCs w:val="0"/>
          <w:color w:val="000000"/>
          <w:w w:val="99"/>
          <w:kern w:val="0"/>
          <w:sz w:val="21"/>
          <w:szCs w:val="21"/>
          <w:highlight w:val="none"/>
          <w:shd w:val="clear" w:color="auto" w:fill="auto"/>
          <w:lang w:val="en-US"/>
        </w:rPr>
      </w:pPr>
      <w:bookmarkStart w:id="1892" w:name="_Toc2578"/>
      <w:bookmarkStart w:id="1893" w:name="_Toc21335"/>
      <w:r>
        <w:rPr>
          <w:rFonts w:hint="eastAsia" w:ascii="宋体" w:hAnsi="宋体" w:eastAsia="宋体" w:cs="宋体"/>
          <w:b/>
          <w:bCs w:val="0"/>
          <w:color w:val="000000"/>
          <w:w w:val="99"/>
          <w:kern w:val="0"/>
          <w:sz w:val="21"/>
          <w:szCs w:val="21"/>
          <w:highlight w:val="none"/>
          <w:shd w:val="clear" w:color="auto" w:fill="auto"/>
          <w:lang w:val="en-US"/>
        </w:rPr>
        <w:br w:type="page"/>
      </w:r>
      <w:r>
        <w:rPr>
          <w:rFonts w:hint="eastAsia" w:ascii="宋体" w:hAnsi="宋体" w:eastAsia="宋体" w:cs="宋体"/>
          <w:b/>
          <w:bCs w:val="0"/>
          <w:color w:val="000000"/>
          <w:w w:val="99"/>
          <w:kern w:val="0"/>
          <w:sz w:val="21"/>
          <w:szCs w:val="21"/>
          <w:highlight w:val="none"/>
          <w:shd w:val="clear" w:color="auto" w:fill="auto"/>
          <w:lang w:val="en-US" w:eastAsia="zh-CN"/>
        </w:rPr>
        <w:t>2、</w:t>
      </w:r>
      <w:r>
        <w:rPr>
          <w:rFonts w:hint="eastAsia" w:ascii="宋体" w:hAnsi="宋体" w:eastAsia="宋体" w:cs="宋体"/>
          <w:b/>
          <w:bCs w:val="0"/>
          <w:color w:val="000000"/>
          <w:w w:val="99"/>
          <w:kern w:val="0"/>
          <w:sz w:val="21"/>
          <w:szCs w:val="21"/>
          <w:highlight w:val="none"/>
          <w:shd w:val="clear" w:color="auto" w:fill="auto"/>
          <w:lang w:val="en-US"/>
        </w:rPr>
        <w:t>法定代表人身份证明（必须提供）</w:t>
      </w:r>
      <w:bookmarkEnd w:id="1892"/>
    </w:p>
    <w:p w14:paraId="1E60F5C6">
      <w:pPr>
        <w:pStyle w:val="3"/>
        <w:pageBreakBefore w:val="0"/>
        <w:wordWrap/>
        <w:overflowPunct/>
        <w:topLinePunct w:val="0"/>
        <w:bidi w:val="0"/>
        <w:snapToGrid/>
        <w:spacing w:beforeAutospacing="0" w:afterAutospacing="0" w:line="360" w:lineRule="auto"/>
        <w:ind w:left="0" w:right="0" w:firstLine="0"/>
        <w:rPr>
          <w:rFonts w:hint="eastAsia" w:ascii="宋体" w:hAnsi="宋体" w:eastAsia="宋体" w:cs="宋体"/>
          <w:b/>
          <w:bCs w:val="0"/>
          <w:color w:val="000000"/>
          <w:kern w:val="0"/>
          <w:sz w:val="21"/>
          <w:szCs w:val="21"/>
          <w:highlight w:val="none"/>
          <w:shd w:val="clear" w:color="auto" w:fill="auto"/>
        </w:rPr>
      </w:pPr>
      <w:bookmarkStart w:id="1894" w:name="_Toc26724"/>
      <w:r>
        <w:rPr>
          <w:rFonts w:hint="eastAsia" w:ascii="宋体" w:hAnsi="宋体" w:eastAsia="宋体" w:cs="宋体"/>
          <w:b/>
          <w:bCs w:val="0"/>
          <w:color w:val="000000"/>
          <w:w w:val="99"/>
          <w:kern w:val="0"/>
          <w:sz w:val="21"/>
          <w:szCs w:val="21"/>
          <w:highlight w:val="none"/>
          <w:shd w:val="clear" w:color="auto" w:fill="auto"/>
          <w:lang w:val="en-US"/>
        </w:rPr>
        <w:t>附：供应商相应的法定代表人、负责人、自然人身份证正反两面复印件；</w:t>
      </w:r>
      <w:bookmarkEnd w:id="1893"/>
      <w:bookmarkEnd w:id="1894"/>
    </w:p>
    <w:p w14:paraId="003915C7">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kern w:val="0"/>
          <w:sz w:val="21"/>
          <w:szCs w:val="21"/>
          <w:highlight w:val="none"/>
          <w:shd w:val="clear" w:color="auto" w:fill="auto"/>
        </w:rPr>
      </w:pPr>
    </w:p>
    <w:p w14:paraId="5F2A90E3">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供应商名称：</w:t>
      </w:r>
      <w:r>
        <w:rPr>
          <w:rFonts w:hint="eastAsia" w:ascii="宋体" w:hAnsi="宋体" w:eastAsia="宋体" w:cs="宋体"/>
          <w:color w:val="000000"/>
          <w:w w:val="200"/>
          <w:kern w:val="0"/>
          <w:sz w:val="21"/>
          <w:szCs w:val="21"/>
          <w:highlight w:val="none"/>
          <w:u w:val="single"/>
          <w:shd w:val="clear" w:color="auto" w:fill="auto"/>
        </w:rPr>
        <w:t xml:space="preserve"> </w:t>
      </w:r>
      <w:r>
        <w:rPr>
          <w:rFonts w:hint="eastAsia" w:ascii="宋体" w:hAnsi="宋体" w:eastAsia="宋体" w:cs="宋体"/>
          <w:color w:val="000000"/>
          <w:kern w:val="0"/>
          <w:sz w:val="21"/>
          <w:szCs w:val="21"/>
          <w:highlight w:val="none"/>
          <w:u w:val="single"/>
          <w:shd w:val="clear" w:color="auto" w:fill="auto"/>
        </w:rPr>
        <w:tab/>
      </w:r>
    </w:p>
    <w:p w14:paraId="3EA3A4B4">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kern w:val="0"/>
          <w:sz w:val="21"/>
          <w:szCs w:val="21"/>
          <w:highlight w:val="none"/>
          <w:shd w:val="clear" w:color="auto" w:fill="auto"/>
        </w:rPr>
      </w:pPr>
    </w:p>
    <w:p w14:paraId="1901C126">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单位性质：</w:t>
      </w:r>
      <w:r>
        <w:rPr>
          <w:rFonts w:hint="eastAsia" w:ascii="宋体" w:hAnsi="宋体" w:eastAsia="宋体" w:cs="宋体"/>
          <w:color w:val="000000"/>
          <w:w w:val="200"/>
          <w:kern w:val="0"/>
          <w:sz w:val="21"/>
          <w:szCs w:val="21"/>
          <w:highlight w:val="none"/>
          <w:u w:val="single"/>
          <w:shd w:val="clear" w:color="auto" w:fill="auto"/>
        </w:rPr>
        <w:t xml:space="preserve"> </w:t>
      </w:r>
      <w:r>
        <w:rPr>
          <w:rFonts w:hint="eastAsia" w:ascii="宋体" w:hAnsi="宋体" w:eastAsia="宋体" w:cs="宋体"/>
          <w:color w:val="000000"/>
          <w:kern w:val="0"/>
          <w:sz w:val="21"/>
          <w:szCs w:val="21"/>
          <w:highlight w:val="none"/>
          <w:u w:val="single"/>
          <w:shd w:val="clear" w:color="auto" w:fill="auto"/>
        </w:rPr>
        <w:tab/>
      </w:r>
    </w:p>
    <w:p w14:paraId="1E17197B">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kern w:val="0"/>
          <w:sz w:val="21"/>
          <w:szCs w:val="21"/>
          <w:highlight w:val="none"/>
          <w:shd w:val="clear" w:color="auto" w:fill="auto"/>
        </w:rPr>
      </w:pPr>
    </w:p>
    <w:p w14:paraId="663069D0">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地址：</w:t>
      </w:r>
      <w:r>
        <w:rPr>
          <w:rFonts w:hint="eastAsia" w:ascii="宋体" w:hAnsi="宋体" w:eastAsia="宋体" w:cs="宋体"/>
          <w:color w:val="000000"/>
          <w:w w:val="200"/>
          <w:kern w:val="0"/>
          <w:sz w:val="21"/>
          <w:szCs w:val="21"/>
          <w:highlight w:val="none"/>
          <w:u w:val="single"/>
          <w:shd w:val="clear" w:color="auto" w:fill="auto"/>
        </w:rPr>
        <w:t xml:space="preserve"> </w:t>
      </w:r>
      <w:r>
        <w:rPr>
          <w:rFonts w:hint="eastAsia" w:ascii="宋体" w:hAnsi="宋体" w:eastAsia="宋体" w:cs="宋体"/>
          <w:color w:val="000000"/>
          <w:kern w:val="0"/>
          <w:sz w:val="21"/>
          <w:szCs w:val="21"/>
          <w:highlight w:val="none"/>
          <w:u w:val="single"/>
          <w:shd w:val="clear" w:color="auto" w:fill="auto"/>
        </w:rPr>
        <w:tab/>
      </w:r>
    </w:p>
    <w:p w14:paraId="000B029F">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kern w:val="0"/>
          <w:sz w:val="21"/>
          <w:szCs w:val="21"/>
          <w:highlight w:val="none"/>
          <w:shd w:val="clear" w:color="auto" w:fill="auto"/>
        </w:rPr>
      </w:pPr>
    </w:p>
    <w:p w14:paraId="290A6AC4">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成立时间：</w:t>
      </w:r>
      <w:r>
        <w:rPr>
          <w:rFonts w:hint="eastAsia" w:ascii="宋体" w:hAnsi="宋体" w:eastAsia="宋体" w:cs="宋体"/>
          <w:color w:val="000000"/>
          <w:w w:val="200"/>
          <w:kern w:val="0"/>
          <w:sz w:val="21"/>
          <w:szCs w:val="21"/>
          <w:highlight w:val="none"/>
          <w:u w:val="single"/>
          <w:shd w:val="clear" w:color="auto" w:fill="auto"/>
        </w:rPr>
        <w:t xml:space="preserve"> </w:t>
      </w:r>
      <w:r>
        <w:rPr>
          <w:rFonts w:hint="eastAsia" w:ascii="宋体" w:hAnsi="宋体" w:eastAsia="宋体" w:cs="宋体"/>
          <w:color w:val="000000"/>
          <w:kern w:val="0"/>
          <w:sz w:val="21"/>
          <w:szCs w:val="21"/>
          <w:highlight w:val="none"/>
          <w:u w:val="single"/>
          <w:shd w:val="clear" w:color="auto" w:fill="auto"/>
        </w:rPr>
        <w:tab/>
      </w:r>
      <w:r>
        <w:rPr>
          <w:rFonts w:hint="eastAsia" w:ascii="宋体" w:hAnsi="宋体" w:eastAsia="宋体" w:cs="宋体"/>
          <w:color w:val="000000"/>
          <w:kern w:val="0"/>
          <w:sz w:val="21"/>
          <w:szCs w:val="21"/>
          <w:highlight w:val="none"/>
          <w:shd w:val="clear" w:color="auto" w:fill="auto"/>
        </w:rPr>
        <w:t xml:space="preserve"> </w:t>
      </w:r>
      <w:r>
        <w:rPr>
          <w:rFonts w:hint="eastAsia" w:ascii="宋体" w:hAnsi="宋体" w:eastAsia="宋体" w:cs="宋体"/>
          <w:color w:val="000000"/>
          <w:spacing w:val="-1"/>
          <w:kern w:val="0"/>
          <w:sz w:val="21"/>
          <w:szCs w:val="21"/>
          <w:highlight w:val="none"/>
          <w:shd w:val="clear" w:color="auto" w:fill="auto"/>
        </w:rPr>
        <w:t>年</w:t>
      </w:r>
      <w:r>
        <w:rPr>
          <w:rFonts w:hint="eastAsia" w:ascii="宋体" w:hAnsi="宋体" w:eastAsia="宋体" w:cs="宋体"/>
          <w:color w:val="000000"/>
          <w:w w:val="200"/>
          <w:kern w:val="0"/>
          <w:sz w:val="21"/>
          <w:szCs w:val="21"/>
          <w:highlight w:val="none"/>
          <w:u w:val="single"/>
          <w:shd w:val="clear" w:color="auto" w:fill="auto"/>
        </w:rPr>
        <w:t xml:space="preserve"> </w:t>
      </w:r>
      <w:r>
        <w:rPr>
          <w:rFonts w:hint="eastAsia" w:ascii="宋体" w:hAnsi="宋体" w:eastAsia="宋体" w:cs="宋体"/>
          <w:color w:val="000000"/>
          <w:kern w:val="0"/>
          <w:sz w:val="21"/>
          <w:szCs w:val="21"/>
          <w:highlight w:val="none"/>
          <w:u w:val="single"/>
          <w:shd w:val="clear" w:color="auto" w:fill="auto"/>
        </w:rPr>
        <w:tab/>
      </w:r>
      <w:r>
        <w:rPr>
          <w:rFonts w:hint="eastAsia" w:ascii="宋体" w:hAnsi="宋体" w:eastAsia="宋体" w:cs="宋体"/>
          <w:color w:val="000000"/>
          <w:kern w:val="0"/>
          <w:sz w:val="21"/>
          <w:szCs w:val="21"/>
          <w:highlight w:val="none"/>
          <w:shd w:val="clear" w:color="auto" w:fill="auto"/>
        </w:rPr>
        <w:t xml:space="preserve"> </w:t>
      </w:r>
      <w:r>
        <w:rPr>
          <w:rFonts w:hint="eastAsia" w:ascii="宋体" w:hAnsi="宋体" w:eastAsia="宋体" w:cs="宋体"/>
          <w:color w:val="000000"/>
          <w:spacing w:val="-1"/>
          <w:kern w:val="0"/>
          <w:sz w:val="21"/>
          <w:szCs w:val="21"/>
          <w:highlight w:val="none"/>
          <w:shd w:val="clear" w:color="auto" w:fill="auto"/>
        </w:rPr>
        <w:t>月</w:t>
      </w:r>
      <w:r>
        <w:rPr>
          <w:rFonts w:hint="eastAsia" w:ascii="宋体" w:hAnsi="宋体" w:eastAsia="宋体" w:cs="宋体"/>
          <w:color w:val="000000"/>
          <w:w w:val="200"/>
          <w:kern w:val="0"/>
          <w:sz w:val="21"/>
          <w:szCs w:val="21"/>
          <w:highlight w:val="none"/>
          <w:u w:val="single"/>
          <w:shd w:val="clear" w:color="auto" w:fill="auto"/>
        </w:rPr>
        <w:t xml:space="preserve"> </w:t>
      </w:r>
      <w:r>
        <w:rPr>
          <w:rFonts w:hint="eastAsia" w:ascii="宋体" w:hAnsi="宋体" w:eastAsia="宋体" w:cs="宋体"/>
          <w:color w:val="000000"/>
          <w:kern w:val="0"/>
          <w:sz w:val="21"/>
          <w:szCs w:val="21"/>
          <w:highlight w:val="none"/>
          <w:u w:val="single"/>
          <w:shd w:val="clear" w:color="auto" w:fill="auto"/>
        </w:rPr>
        <w:tab/>
      </w:r>
      <w:r>
        <w:rPr>
          <w:rFonts w:hint="eastAsia" w:ascii="宋体" w:hAnsi="宋体" w:eastAsia="宋体" w:cs="宋体"/>
          <w:color w:val="000000"/>
          <w:kern w:val="0"/>
          <w:sz w:val="21"/>
          <w:szCs w:val="21"/>
          <w:highlight w:val="none"/>
          <w:shd w:val="clear" w:color="auto" w:fill="auto"/>
        </w:rPr>
        <w:t xml:space="preserve"> 日</w:t>
      </w:r>
    </w:p>
    <w:p w14:paraId="536428A0">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kern w:val="0"/>
          <w:sz w:val="21"/>
          <w:szCs w:val="21"/>
          <w:highlight w:val="none"/>
          <w:shd w:val="clear" w:color="auto" w:fill="auto"/>
        </w:rPr>
      </w:pPr>
    </w:p>
    <w:p w14:paraId="16A45BA0">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经营期限：</w:t>
      </w:r>
      <w:r>
        <w:rPr>
          <w:rFonts w:hint="eastAsia" w:ascii="宋体" w:hAnsi="宋体" w:eastAsia="宋体" w:cs="宋体"/>
          <w:color w:val="000000"/>
          <w:w w:val="200"/>
          <w:kern w:val="0"/>
          <w:sz w:val="21"/>
          <w:szCs w:val="21"/>
          <w:highlight w:val="none"/>
          <w:u w:val="single"/>
          <w:shd w:val="clear" w:color="auto" w:fill="auto"/>
        </w:rPr>
        <w:t xml:space="preserve">   </w:t>
      </w:r>
      <w:r>
        <w:rPr>
          <w:rFonts w:hint="eastAsia" w:ascii="宋体" w:hAnsi="宋体" w:eastAsia="宋体" w:cs="宋体"/>
          <w:color w:val="000000"/>
          <w:kern w:val="0"/>
          <w:sz w:val="21"/>
          <w:szCs w:val="21"/>
          <w:highlight w:val="none"/>
          <w:u w:val="single"/>
          <w:shd w:val="clear" w:color="auto" w:fill="auto"/>
        </w:rPr>
        <w:tab/>
      </w:r>
    </w:p>
    <w:p w14:paraId="5A5866C6">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kern w:val="0"/>
          <w:sz w:val="21"/>
          <w:szCs w:val="21"/>
          <w:highlight w:val="none"/>
          <w:shd w:val="clear" w:color="auto" w:fill="auto"/>
        </w:rPr>
      </w:pPr>
    </w:p>
    <w:p w14:paraId="149F8D46">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姓名：</w:t>
      </w:r>
      <w:r>
        <w:rPr>
          <w:rFonts w:hint="eastAsia" w:ascii="宋体" w:hAnsi="宋体" w:eastAsia="宋体" w:cs="宋体"/>
          <w:color w:val="000000"/>
          <w:w w:val="200"/>
          <w:kern w:val="0"/>
          <w:sz w:val="21"/>
          <w:szCs w:val="21"/>
          <w:highlight w:val="none"/>
          <w:u w:val="single"/>
          <w:shd w:val="clear" w:color="auto" w:fill="auto"/>
        </w:rPr>
        <w:t xml:space="preserve"> </w:t>
      </w:r>
      <w:r>
        <w:rPr>
          <w:rFonts w:hint="eastAsia" w:ascii="宋体" w:hAnsi="宋体" w:eastAsia="宋体" w:cs="宋体"/>
          <w:color w:val="000000"/>
          <w:kern w:val="0"/>
          <w:sz w:val="21"/>
          <w:szCs w:val="21"/>
          <w:highlight w:val="none"/>
          <w:u w:val="single"/>
          <w:shd w:val="clear" w:color="auto" w:fill="auto"/>
        </w:rPr>
        <w:tab/>
      </w:r>
      <w:r>
        <w:rPr>
          <w:rFonts w:hint="eastAsia" w:ascii="宋体" w:hAnsi="宋体" w:eastAsia="宋体" w:cs="宋体"/>
          <w:color w:val="000000"/>
          <w:kern w:val="0"/>
          <w:sz w:val="21"/>
          <w:szCs w:val="21"/>
          <w:highlight w:val="none"/>
          <w:shd w:val="clear" w:color="auto" w:fill="auto"/>
        </w:rPr>
        <w:t xml:space="preserve"> 性别</w:t>
      </w:r>
      <w:r>
        <w:rPr>
          <w:rFonts w:hint="eastAsia" w:ascii="宋体" w:hAnsi="宋体" w:eastAsia="宋体" w:cs="宋体"/>
          <w:color w:val="000000"/>
          <w:spacing w:val="-1"/>
          <w:kern w:val="0"/>
          <w:sz w:val="21"/>
          <w:szCs w:val="21"/>
          <w:highlight w:val="none"/>
          <w:shd w:val="clear" w:color="auto" w:fill="auto"/>
        </w:rPr>
        <w:t>：</w:t>
      </w:r>
      <w:r>
        <w:rPr>
          <w:rFonts w:hint="eastAsia" w:ascii="宋体" w:hAnsi="宋体" w:eastAsia="宋体" w:cs="宋体"/>
          <w:color w:val="000000"/>
          <w:w w:val="200"/>
          <w:kern w:val="0"/>
          <w:sz w:val="21"/>
          <w:szCs w:val="21"/>
          <w:highlight w:val="none"/>
          <w:u w:val="single"/>
          <w:shd w:val="clear" w:color="auto" w:fill="auto"/>
        </w:rPr>
        <w:t xml:space="preserve"> </w:t>
      </w:r>
      <w:r>
        <w:rPr>
          <w:rFonts w:hint="eastAsia" w:ascii="宋体" w:hAnsi="宋体" w:eastAsia="宋体" w:cs="宋体"/>
          <w:color w:val="000000"/>
          <w:kern w:val="0"/>
          <w:sz w:val="21"/>
          <w:szCs w:val="21"/>
          <w:highlight w:val="none"/>
          <w:u w:val="single"/>
          <w:shd w:val="clear" w:color="auto" w:fill="auto"/>
        </w:rPr>
        <w:tab/>
      </w:r>
      <w:r>
        <w:rPr>
          <w:rFonts w:hint="eastAsia" w:ascii="宋体" w:hAnsi="宋体" w:eastAsia="宋体" w:cs="宋体"/>
          <w:color w:val="000000"/>
          <w:kern w:val="0"/>
          <w:sz w:val="21"/>
          <w:szCs w:val="21"/>
          <w:highlight w:val="none"/>
          <w:shd w:val="clear" w:color="auto" w:fill="auto"/>
        </w:rPr>
        <w:t xml:space="preserve"> </w:t>
      </w:r>
      <w:r>
        <w:rPr>
          <w:rFonts w:hint="eastAsia" w:ascii="宋体" w:hAnsi="宋体" w:eastAsia="宋体" w:cs="宋体"/>
          <w:color w:val="000000"/>
          <w:spacing w:val="-1"/>
          <w:kern w:val="0"/>
          <w:sz w:val="21"/>
          <w:szCs w:val="21"/>
          <w:highlight w:val="none"/>
          <w:shd w:val="clear" w:color="auto" w:fill="auto"/>
        </w:rPr>
        <w:t>年</w:t>
      </w:r>
      <w:r>
        <w:rPr>
          <w:rFonts w:hint="eastAsia" w:ascii="宋体" w:hAnsi="宋体" w:eastAsia="宋体" w:cs="宋体"/>
          <w:color w:val="000000"/>
          <w:kern w:val="0"/>
          <w:sz w:val="21"/>
          <w:szCs w:val="21"/>
          <w:highlight w:val="none"/>
          <w:shd w:val="clear" w:color="auto" w:fill="auto"/>
        </w:rPr>
        <w:t>龄：</w:t>
      </w:r>
      <w:r>
        <w:rPr>
          <w:rFonts w:hint="eastAsia" w:ascii="宋体" w:hAnsi="宋体" w:eastAsia="宋体" w:cs="宋体"/>
          <w:color w:val="000000"/>
          <w:w w:val="200"/>
          <w:kern w:val="0"/>
          <w:sz w:val="21"/>
          <w:szCs w:val="21"/>
          <w:highlight w:val="none"/>
          <w:u w:val="single"/>
          <w:shd w:val="clear" w:color="auto" w:fill="auto"/>
        </w:rPr>
        <w:t xml:space="preserve"> </w:t>
      </w:r>
      <w:r>
        <w:rPr>
          <w:rFonts w:hint="eastAsia" w:ascii="宋体" w:hAnsi="宋体" w:eastAsia="宋体" w:cs="宋体"/>
          <w:color w:val="000000"/>
          <w:kern w:val="0"/>
          <w:sz w:val="21"/>
          <w:szCs w:val="21"/>
          <w:highlight w:val="none"/>
          <w:u w:val="single"/>
          <w:shd w:val="clear" w:color="auto" w:fill="auto"/>
        </w:rPr>
        <w:tab/>
      </w:r>
      <w:r>
        <w:rPr>
          <w:rFonts w:hint="eastAsia" w:ascii="宋体" w:hAnsi="宋体" w:eastAsia="宋体" w:cs="宋体"/>
          <w:color w:val="000000"/>
          <w:kern w:val="0"/>
          <w:sz w:val="21"/>
          <w:szCs w:val="21"/>
          <w:highlight w:val="none"/>
          <w:shd w:val="clear" w:color="auto" w:fill="auto"/>
        </w:rPr>
        <w:t>职务：</w:t>
      </w:r>
      <w:r>
        <w:rPr>
          <w:rFonts w:hint="eastAsia" w:ascii="宋体" w:hAnsi="宋体" w:eastAsia="宋体" w:cs="宋体"/>
          <w:color w:val="000000"/>
          <w:w w:val="200"/>
          <w:kern w:val="0"/>
          <w:sz w:val="21"/>
          <w:szCs w:val="21"/>
          <w:highlight w:val="none"/>
          <w:u w:val="single"/>
          <w:shd w:val="clear" w:color="auto" w:fill="auto"/>
        </w:rPr>
        <w:t xml:space="preserve"> </w:t>
      </w:r>
      <w:r>
        <w:rPr>
          <w:rFonts w:hint="eastAsia" w:ascii="宋体" w:hAnsi="宋体" w:eastAsia="宋体" w:cs="宋体"/>
          <w:color w:val="000000"/>
          <w:kern w:val="0"/>
          <w:sz w:val="21"/>
          <w:szCs w:val="21"/>
          <w:highlight w:val="none"/>
          <w:u w:val="single"/>
          <w:shd w:val="clear" w:color="auto" w:fill="auto"/>
        </w:rPr>
        <w:tab/>
      </w:r>
    </w:p>
    <w:p w14:paraId="4FBD7B56">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kern w:val="0"/>
          <w:sz w:val="21"/>
          <w:szCs w:val="21"/>
          <w:highlight w:val="none"/>
          <w:shd w:val="clear" w:color="auto" w:fill="auto"/>
        </w:rPr>
      </w:pPr>
    </w:p>
    <w:p w14:paraId="720D8F86">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系</w:t>
      </w:r>
      <w:r>
        <w:rPr>
          <w:rFonts w:hint="eastAsia" w:ascii="宋体" w:hAnsi="宋体" w:eastAsia="宋体" w:cs="宋体"/>
          <w:color w:val="000000"/>
          <w:w w:val="200"/>
          <w:kern w:val="0"/>
          <w:sz w:val="21"/>
          <w:szCs w:val="21"/>
          <w:highlight w:val="none"/>
          <w:u w:val="single"/>
          <w:shd w:val="clear" w:color="auto" w:fill="auto"/>
        </w:rPr>
        <w:t xml:space="preserve">    </w:t>
      </w:r>
      <w:r>
        <w:rPr>
          <w:rFonts w:hint="eastAsia" w:ascii="宋体" w:hAnsi="宋体" w:eastAsia="宋体" w:cs="宋体"/>
          <w:color w:val="000000"/>
          <w:kern w:val="0"/>
          <w:sz w:val="21"/>
          <w:szCs w:val="21"/>
          <w:highlight w:val="none"/>
          <w:u w:val="single"/>
          <w:shd w:val="clear" w:color="auto" w:fill="auto"/>
        </w:rPr>
        <w:tab/>
      </w:r>
      <w:r>
        <w:rPr>
          <w:rFonts w:hint="eastAsia" w:ascii="宋体" w:hAnsi="宋体" w:eastAsia="宋体" w:cs="宋体"/>
          <w:color w:val="000000"/>
          <w:kern w:val="0"/>
          <w:sz w:val="21"/>
          <w:szCs w:val="21"/>
          <w:highlight w:val="none"/>
          <w:shd w:val="clear" w:color="auto" w:fill="auto"/>
        </w:rPr>
        <w:t xml:space="preserve"> （供应商名称）的法定代表人。</w:t>
      </w:r>
    </w:p>
    <w:p w14:paraId="3B38E9BA">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kern w:val="0"/>
          <w:sz w:val="21"/>
          <w:szCs w:val="21"/>
          <w:highlight w:val="none"/>
          <w:shd w:val="clear" w:color="auto" w:fill="auto"/>
        </w:rPr>
      </w:pPr>
    </w:p>
    <w:p w14:paraId="135698CB">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特此证明。</w:t>
      </w:r>
    </w:p>
    <w:p w14:paraId="4ADB5153">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kern w:val="0"/>
          <w:sz w:val="21"/>
          <w:szCs w:val="21"/>
          <w:highlight w:val="none"/>
          <w:shd w:val="clear" w:color="auto" w:fill="auto"/>
        </w:rPr>
      </w:pPr>
    </w:p>
    <w:p w14:paraId="36F0514D">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kern w:val="0"/>
          <w:sz w:val="21"/>
          <w:szCs w:val="21"/>
          <w:highlight w:val="none"/>
          <w:shd w:val="clear" w:color="auto" w:fill="auto"/>
        </w:rPr>
      </w:pPr>
    </w:p>
    <w:p w14:paraId="4F1F2B2A">
      <w:pPr>
        <w:pageBreakBefore w:val="0"/>
        <w:wordWrap/>
        <w:overflowPunct/>
        <w:topLinePunct w:val="0"/>
        <w:bidi w:val="0"/>
        <w:snapToGrid/>
        <w:spacing w:beforeAutospacing="0" w:afterAutospacing="0" w:line="360" w:lineRule="auto"/>
        <w:ind w:left="0" w:right="0"/>
        <w:jc w:val="right"/>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供应商名称：</w:t>
      </w:r>
      <w:r>
        <w:rPr>
          <w:rFonts w:hint="eastAsia" w:ascii="宋体" w:hAnsi="宋体" w:eastAsia="宋体" w:cs="宋体"/>
          <w:color w:val="000000"/>
          <w:w w:val="200"/>
          <w:kern w:val="0"/>
          <w:sz w:val="21"/>
          <w:szCs w:val="21"/>
          <w:highlight w:val="none"/>
          <w:u w:val="single"/>
          <w:shd w:val="clear" w:color="auto" w:fill="auto"/>
        </w:rPr>
        <w:t xml:space="preserve">   </w:t>
      </w:r>
      <w:r>
        <w:rPr>
          <w:rFonts w:hint="eastAsia" w:ascii="宋体" w:hAnsi="宋体" w:eastAsia="宋体" w:cs="宋体"/>
          <w:color w:val="000000"/>
          <w:kern w:val="0"/>
          <w:sz w:val="21"/>
          <w:szCs w:val="21"/>
          <w:highlight w:val="none"/>
          <w:u w:val="single"/>
          <w:shd w:val="clear" w:color="auto" w:fill="auto"/>
        </w:rPr>
        <w:tab/>
      </w:r>
      <w:r>
        <w:rPr>
          <w:rFonts w:hint="eastAsia" w:ascii="宋体" w:hAnsi="宋体" w:eastAsia="宋体" w:cs="宋体"/>
          <w:color w:val="000000"/>
          <w:sz w:val="21"/>
          <w:szCs w:val="21"/>
          <w:highlight w:val="none"/>
          <w:shd w:val="clear" w:color="auto" w:fill="auto"/>
        </w:rPr>
        <w:t>[盖单位公章（CA签章）]</w:t>
      </w:r>
    </w:p>
    <w:p w14:paraId="0D6AC947">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kern w:val="0"/>
          <w:sz w:val="21"/>
          <w:szCs w:val="21"/>
          <w:highlight w:val="none"/>
          <w:shd w:val="clear" w:color="auto" w:fill="auto"/>
        </w:rPr>
      </w:pPr>
    </w:p>
    <w:p w14:paraId="2D50AFDD">
      <w:pPr>
        <w:pageBreakBefore w:val="0"/>
        <w:wordWrap/>
        <w:overflowPunct/>
        <w:topLinePunct w:val="0"/>
        <w:bidi w:val="0"/>
        <w:snapToGrid/>
        <w:spacing w:beforeAutospacing="0" w:afterAutospacing="0" w:line="360" w:lineRule="auto"/>
        <w:ind w:left="0" w:right="0" w:firstLine="6077" w:firstLineChars="1447"/>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w w:val="200"/>
          <w:kern w:val="0"/>
          <w:sz w:val="21"/>
          <w:szCs w:val="21"/>
          <w:highlight w:val="none"/>
          <w:u w:val="single"/>
          <w:shd w:val="clear" w:color="auto" w:fill="auto"/>
        </w:rPr>
        <w:t xml:space="preserve">   </w:t>
      </w:r>
      <w:r>
        <w:rPr>
          <w:rFonts w:hint="eastAsia" w:ascii="宋体" w:hAnsi="宋体" w:eastAsia="宋体" w:cs="宋体"/>
          <w:color w:val="000000"/>
          <w:spacing w:val="-1"/>
          <w:kern w:val="0"/>
          <w:sz w:val="21"/>
          <w:szCs w:val="21"/>
          <w:highlight w:val="none"/>
          <w:shd w:val="clear" w:color="auto" w:fill="auto"/>
        </w:rPr>
        <w:t>年</w:t>
      </w:r>
      <w:r>
        <w:rPr>
          <w:rFonts w:hint="eastAsia" w:ascii="宋体" w:hAnsi="宋体" w:eastAsia="宋体" w:cs="宋体"/>
          <w:color w:val="000000"/>
          <w:w w:val="200"/>
          <w:kern w:val="0"/>
          <w:sz w:val="21"/>
          <w:szCs w:val="21"/>
          <w:highlight w:val="none"/>
          <w:u w:val="single"/>
          <w:shd w:val="clear" w:color="auto" w:fill="auto"/>
        </w:rPr>
        <w:t xml:space="preserve"> </w:t>
      </w:r>
      <w:r>
        <w:rPr>
          <w:rFonts w:hint="eastAsia" w:ascii="宋体" w:hAnsi="宋体" w:eastAsia="宋体" w:cs="宋体"/>
          <w:color w:val="000000"/>
          <w:kern w:val="0"/>
          <w:sz w:val="21"/>
          <w:szCs w:val="21"/>
          <w:highlight w:val="none"/>
          <w:u w:val="single"/>
          <w:shd w:val="clear" w:color="auto" w:fill="auto"/>
        </w:rPr>
        <w:tab/>
      </w:r>
      <w:r>
        <w:rPr>
          <w:rFonts w:hint="eastAsia" w:ascii="宋体" w:hAnsi="宋体" w:eastAsia="宋体" w:cs="宋体"/>
          <w:color w:val="000000"/>
          <w:kern w:val="0"/>
          <w:sz w:val="21"/>
          <w:szCs w:val="21"/>
          <w:highlight w:val="none"/>
          <w:u w:val="single"/>
          <w:shd w:val="clear" w:color="auto" w:fill="auto"/>
        </w:rPr>
        <w:t xml:space="preserve"> </w:t>
      </w:r>
      <w:r>
        <w:rPr>
          <w:rFonts w:hint="eastAsia" w:ascii="宋体" w:hAnsi="宋体" w:eastAsia="宋体" w:cs="宋体"/>
          <w:color w:val="000000"/>
          <w:kern w:val="0"/>
          <w:sz w:val="21"/>
          <w:szCs w:val="21"/>
          <w:highlight w:val="none"/>
          <w:shd w:val="clear" w:color="auto" w:fill="auto"/>
        </w:rPr>
        <w:t>月</w:t>
      </w:r>
      <w:r>
        <w:rPr>
          <w:rFonts w:hint="eastAsia" w:ascii="宋体" w:hAnsi="宋体" w:eastAsia="宋体" w:cs="宋体"/>
          <w:color w:val="000000"/>
          <w:w w:val="200"/>
          <w:kern w:val="0"/>
          <w:sz w:val="21"/>
          <w:szCs w:val="21"/>
          <w:highlight w:val="none"/>
          <w:u w:val="single"/>
          <w:shd w:val="clear" w:color="auto" w:fill="auto"/>
        </w:rPr>
        <w:t xml:space="preserve"> </w:t>
      </w:r>
      <w:r>
        <w:rPr>
          <w:rFonts w:hint="eastAsia" w:ascii="宋体" w:hAnsi="宋体" w:eastAsia="宋体" w:cs="宋体"/>
          <w:color w:val="000000"/>
          <w:kern w:val="0"/>
          <w:sz w:val="21"/>
          <w:szCs w:val="21"/>
          <w:highlight w:val="none"/>
          <w:u w:val="single"/>
          <w:shd w:val="clear" w:color="auto" w:fill="auto"/>
        </w:rPr>
        <w:tab/>
      </w:r>
      <w:r>
        <w:rPr>
          <w:rFonts w:hint="eastAsia" w:ascii="宋体" w:hAnsi="宋体" w:eastAsia="宋体" w:cs="宋体"/>
          <w:color w:val="000000"/>
          <w:kern w:val="0"/>
          <w:sz w:val="21"/>
          <w:szCs w:val="21"/>
          <w:highlight w:val="none"/>
          <w:shd w:val="clear" w:color="auto" w:fill="auto"/>
        </w:rPr>
        <w:t>日</w:t>
      </w:r>
    </w:p>
    <w:p w14:paraId="68BB8F61">
      <w:pPr>
        <w:pageBreakBefore w:val="0"/>
        <w:wordWrap/>
        <w:overflowPunct/>
        <w:topLinePunct w:val="0"/>
        <w:bidi w:val="0"/>
        <w:snapToGrid/>
        <w:spacing w:beforeAutospacing="0" w:afterAutospacing="0" w:line="360" w:lineRule="auto"/>
        <w:ind w:left="0" w:right="0" w:firstLine="2408" w:firstLineChars="1147"/>
        <w:rPr>
          <w:rFonts w:hint="eastAsia" w:ascii="宋体" w:hAnsi="宋体" w:eastAsia="宋体" w:cs="宋体"/>
          <w:color w:val="000000"/>
          <w:kern w:val="0"/>
          <w:sz w:val="21"/>
          <w:szCs w:val="21"/>
          <w:highlight w:val="none"/>
          <w:shd w:val="clear" w:color="auto" w:fill="auto"/>
        </w:rPr>
      </w:pPr>
    </w:p>
    <w:p w14:paraId="0569972B">
      <w:pPr>
        <w:pageBreakBefore w:val="0"/>
        <w:wordWrap/>
        <w:overflowPunct/>
        <w:topLinePunct w:val="0"/>
        <w:bidi w:val="0"/>
        <w:snapToGrid/>
        <w:spacing w:beforeAutospacing="0" w:afterAutospacing="0" w:line="360" w:lineRule="auto"/>
        <w:ind w:left="0" w:right="0" w:firstLine="2408" w:firstLineChars="1147"/>
        <w:rPr>
          <w:rFonts w:hint="eastAsia" w:ascii="宋体" w:hAnsi="宋体" w:eastAsia="宋体" w:cs="宋体"/>
          <w:color w:val="000000"/>
          <w:kern w:val="0"/>
          <w:sz w:val="21"/>
          <w:szCs w:val="21"/>
          <w:highlight w:val="none"/>
          <w:shd w:val="clear" w:color="auto" w:fill="auto"/>
        </w:rPr>
      </w:pPr>
    </w:p>
    <w:p w14:paraId="6AA5F1C6">
      <w:pPr>
        <w:pageBreakBefore w:val="0"/>
        <w:wordWrap/>
        <w:overflowPunct/>
        <w:topLinePunct w:val="0"/>
        <w:bidi w:val="0"/>
        <w:snapToGrid/>
        <w:spacing w:beforeAutospacing="0" w:afterAutospacing="0" w:line="360" w:lineRule="auto"/>
        <w:ind w:left="0" w:right="0" w:firstLine="2408" w:firstLineChars="1147"/>
        <w:rPr>
          <w:rFonts w:hint="eastAsia" w:ascii="宋体" w:hAnsi="宋体" w:eastAsia="宋体" w:cs="宋体"/>
          <w:color w:val="000000"/>
          <w:kern w:val="0"/>
          <w:sz w:val="21"/>
          <w:szCs w:val="21"/>
          <w:highlight w:val="none"/>
          <w:shd w:val="clear" w:color="auto" w:fill="auto"/>
        </w:rPr>
      </w:pPr>
    </w:p>
    <w:p w14:paraId="3EBA1CCD">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kern w:val="0"/>
          <w:sz w:val="21"/>
          <w:szCs w:val="21"/>
          <w:highlight w:val="none"/>
          <w:shd w:val="clear" w:color="auto" w:fill="auto"/>
        </w:rPr>
      </w:pPr>
    </w:p>
    <w:p w14:paraId="1F8A8537">
      <w:pPr>
        <w:pStyle w:val="3"/>
        <w:pageBreakBefore w:val="0"/>
        <w:wordWrap/>
        <w:overflowPunct/>
        <w:topLinePunct w:val="0"/>
        <w:bidi w:val="0"/>
        <w:snapToGrid/>
        <w:spacing w:beforeAutospacing="0" w:afterAutospacing="0" w:line="360" w:lineRule="auto"/>
        <w:ind w:left="0" w:right="0" w:firstLine="0"/>
        <w:rPr>
          <w:rFonts w:hint="eastAsia" w:ascii="宋体" w:hAnsi="宋体" w:eastAsia="宋体" w:cs="宋体"/>
          <w:b/>
          <w:bCs w:val="0"/>
          <w:color w:val="000000"/>
          <w:kern w:val="0"/>
          <w:sz w:val="21"/>
          <w:szCs w:val="21"/>
          <w:highlight w:val="none"/>
          <w:shd w:val="clear" w:color="auto" w:fill="auto"/>
        </w:rPr>
      </w:pPr>
      <w:bookmarkStart w:id="1895" w:name="_Toc317079958"/>
      <w:bookmarkStart w:id="1896" w:name="_Toc267582069"/>
      <w:bookmarkStart w:id="1897" w:name="_Toc369505634"/>
      <w:bookmarkStart w:id="1898" w:name="_Toc207443039"/>
      <w:bookmarkStart w:id="1899" w:name="_Toc455670854"/>
      <w:bookmarkStart w:id="1900" w:name="_Toc389146003"/>
      <w:bookmarkStart w:id="1901" w:name="_Toc17423"/>
      <w:bookmarkStart w:id="1902" w:name="_Toc8951"/>
      <w:r>
        <w:rPr>
          <w:rFonts w:hint="eastAsia" w:ascii="宋体" w:hAnsi="宋体" w:eastAsia="宋体" w:cs="宋体"/>
          <w:b/>
          <w:bCs w:val="0"/>
          <w:color w:val="000000"/>
          <w:w w:val="99"/>
          <w:kern w:val="0"/>
          <w:sz w:val="21"/>
          <w:szCs w:val="21"/>
          <w:highlight w:val="none"/>
          <w:shd w:val="clear" w:color="auto" w:fill="auto"/>
          <w:lang w:val="en-US"/>
        </w:rPr>
        <w:br w:type="page"/>
      </w:r>
      <w:r>
        <w:rPr>
          <w:rFonts w:hint="eastAsia" w:ascii="宋体" w:hAnsi="宋体" w:eastAsia="宋体" w:cs="宋体"/>
          <w:b/>
          <w:bCs w:val="0"/>
          <w:color w:val="000000"/>
          <w:w w:val="99"/>
          <w:kern w:val="0"/>
          <w:sz w:val="21"/>
          <w:szCs w:val="21"/>
          <w:highlight w:val="none"/>
          <w:shd w:val="clear" w:color="auto" w:fill="auto"/>
          <w:lang w:val="en-US"/>
        </w:rPr>
        <w:t>3、</w:t>
      </w:r>
      <w:bookmarkEnd w:id="1895"/>
      <w:bookmarkEnd w:id="1896"/>
      <w:bookmarkEnd w:id="1897"/>
      <w:bookmarkEnd w:id="1898"/>
      <w:bookmarkEnd w:id="1899"/>
      <w:bookmarkEnd w:id="1900"/>
      <w:r>
        <w:rPr>
          <w:rFonts w:hint="eastAsia" w:ascii="宋体" w:hAnsi="宋体" w:eastAsia="宋体" w:cs="宋体"/>
          <w:b/>
          <w:bCs w:val="0"/>
          <w:color w:val="000000"/>
          <w:w w:val="99"/>
          <w:kern w:val="0"/>
          <w:sz w:val="21"/>
          <w:szCs w:val="21"/>
          <w:highlight w:val="none"/>
          <w:shd w:val="clear" w:color="auto" w:fill="auto"/>
          <w:lang w:val="en-US"/>
        </w:rPr>
        <w:t>供应商的授权委托书原件、委托代理人身份证正反面复印件</w:t>
      </w:r>
      <w:bookmarkEnd w:id="1901"/>
      <w:bookmarkStart w:id="1903" w:name="_Toc9740"/>
      <w:r>
        <w:rPr>
          <w:rFonts w:hint="eastAsia" w:ascii="宋体" w:hAnsi="宋体" w:eastAsia="宋体" w:cs="宋体"/>
          <w:b/>
          <w:bCs w:val="0"/>
          <w:color w:val="000000"/>
          <w:w w:val="99"/>
          <w:kern w:val="0"/>
          <w:sz w:val="21"/>
          <w:szCs w:val="21"/>
          <w:highlight w:val="none"/>
          <w:shd w:val="clear" w:color="auto" w:fill="auto"/>
          <w:lang w:val="en-US"/>
        </w:rPr>
        <w:t>（委托代理时必须提供</w:t>
      </w:r>
      <w:bookmarkEnd w:id="1902"/>
      <w:r>
        <w:rPr>
          <w:rFonts w:hint="eastAsia" w:ascii="宋体" w:hAnsi="宋体" w:eastAsia="宋体" w:cs="宋体"/>
          <w:b/>
          <w:bCs w:val="0"/>
          <w:color w:val="000000"/>
          <w:w w:val="99"/>
          <w:kern w:val="0"/>
          <w:sz w:val="21"/>
          <w:szCs w:val="21"/>
          <w:highlight w:val="none"/>
          <w:shd w:val="clear" w:color="auto" w:fill="auto"/>
          <w:lang w:val="en-US"/>
        </w:rPr>
        <w:t>）</w:t>
      </w:r>
      <w:bookmarkEnd w:id="1903"/>
    </w:p>
    <w:p w14:paraId="5C497F03">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b/>
          <w:bCs/>
          <w:color w:val="000000"/>
          <w:kern w:val="0"/>
          <w:sz w:val="21"/>
          <w:szCs w:val="21"/>
          <w:highlight w:val="none"/>
          <w:shd w:val="clear" w:color="auto" w:fill="auto"/>
        </w:rPr>
      </w:pPr>
    </w:p>
    <w:p w14:paraId="01EDD5AA">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b/>
          <w:bCs/>
          <w:color w:val="000000"/>
          <w:kern w:val="0"/>
          <w:sz w:val="21"/>
          <w:szCs w:val="21"/>
          <w:highlight w:val="none"/>
          <w:shd w:val="clear" w:color="auto" w:fill="auto"/>
        </w:rPr>
      </w:pPr>
      <w:r>
        <w:rPr>
          <w:rFonts w:hint="eastAsia" w:ascii="宋体" w:hAnsi="宋体" w:eastAsia="宋体" w:cs="宋体"/>
          <w:b/>
          <w:bCs/>
          <w:color w:val="000000"/>
          <w:kern w:val="0"/>
          <w:sz w:val="21"/>
          <w:szCs w:val="21"/>
          <w:highlight w:val="none"/>
          <w:shd w:val="clear" w:color="auto" w:fill="auto"/>
        </w:rPr>
        <w:t>授权委托书</w:t>
      </w:r>
    </w:p>
    <w:p w14:paraId="08D2D79C">
      <w:pPr>
        <w:pageBreakBefore w:val="0"/>
        <w:wordWrap/>
        <w:overflowPunct/>
        <w:topLinePunct w:val="0"/>
        <w:bidi w:val="0"/>
        <w:snapToGrid/>
        <w:spacing w:beforeAutospacing="0" w:afterAutospacing="0" w:line="360" w:lineRule="auto"/>
        <w:ind w:left="0" w:right="0" w:firstLine="420" w:firstLineChars="200"/>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本人</w:t>
      </w:r>
      <w:r>
        <w:rPr>
          <w:rFonts w:hint="eastAsia" w:ascii="宋体" w:hAnsi="宋体" w:eastAsia="宋体" w:cs="宋体"/>
          <w:color w:val="000000"/>
          <w:w w:val="200"/>
          <w:kern w:val="0"/>
          <w:sz w:val="21"/>
          <w:szCs w:val="21"/>
          <w:highlight w:val="none"/>
          <w:u w:val="single"/>
          <w:shd w:val="clear" w:color="auto" w:fill="auto"/>
        </w:rPr>
        <w:t xml:space="preserve"> </w:t>
      </w:r>
      <w:r>
        <w:rPr>
          <w:rFonts w:hint="eastAsia" w:ascii="宋体" w:hAnsi="宋体" w:eastAsia="宋体" w:cs="宋体"/>
          <w:color w:val="000000"/>
          <w:kern w:val="0"/>
          <w:sz w:val="21"/>
          <w:szCs w:val="21"/>
          <w:highlight w:val="none"/>
          <w:u w:val="single"/>
          <w:shd w:val="clear" w:color="auto" w:fill="auto"/>
        </w:rPr>
        <w:tab/>
      </w:r>
      <w:r>
        <w:rPr>
          <w:rFonts w:hint="eastAsia" w:ascii="宋体" w:hAnsi="宋体" w:eastAsia="宋体" w:cs="宋体"/>
          <w:color w:val="000000"/>
          <w:kern w:val="0"/>
          <w:sz w:val="21"/>
          <w:szCs w:val="21"/>
          <w:highlight w:val="none"/>
          <w:shd w:val="clear" w:color="auto" w:fill="auto"/>
        </w:rPr>
        <w:t>（姓名）系</w:t>
      </w:r>
      <w:r>
        <w:rPr>
          <w:rFonts w:hint="eastAsia" w:ascii="宋体" w:hAnsi="宋体" w:eastAsia="宋体" w:cs="宋体"/>
          <w:color w:val="000000"/>
          <w:w w:val="200"/>
          <w:kern w:val="0"/>
          <w:sz w:val="21"/>
          <w:szCs w:val="21"/>
          <w:highlight w:val="none"/>
          <w:u w:val="single"/>
          <w:shd w:val="clear" w:color="auto" w:fill="auto"/>
        </w:rPr>
        <w:t xml:space="preserve"> </w:t>
      </w:r>
      <w:r>
        <w:rPr>
          <w:rFonts w:hint="eastAsia" w:ascii="宋体" w:hAnsi="宋体" w:eastAsia="宋体" w:cs="宋体"/>
          <w:color w:val="000000"/>
          <w:kern w:val="0"/>
          <w:sz w:val="21"/>
          <w:szCs w:val="21"/>
          <w:highlight w:val="none"/>
          <w:u w:val="single"/>
          <w:shd w:val="clear" w:color="auto" w:fill="auto"/>
        </w:rPr>
        <w:tab/>
      </w:r>
      <w:r>
        <w:rPr>
          <w:rFonts w:hint="eastAsia" w:ascii="宋体" w:hAnsi="宋体" w:eastAsia="宋体" w:cs="宋体"/>
          <w:color w:val="000000"/>
          <w:kern w:val="0"/>
          <w:sz w:val="21"/>
          <w:szCs w:val="21"/>
          <w:highlight w:val="none"/>
          <w:shd w:val="clear" w:color="auto" w:fill="auto"/>
        </w:rPr>
        <w:t>（</w:t>
      </w:r>
      <w:r>
        <w:rPr>
          <w:rFonts w:hint="eastAsia" w:ascii="宋体" w:hAnsi="宋体" w:eastAsia="宋体" w:cs="宋体"/>
          <w:color w:val="000000"/>
          <w:spacing w:val="-1"/>
          <w:kern w:val="0"/>
          <w:sz w:val="21"/>
          <w:szCs w:val="21"/>
          <w:highlight w:val="none"/>
          <w:shd w:val="clear" w:color="auto" w:fill="auto"/>
        </w:rPr>
        <w:t>供应商</w:t>
      </w:r>
      <w:r>
        <w:rPr>
          <w:rFonts w:hint="eastAsia" w:ascii="宋体" w:hAnsi="宋体" w:eastAsia="宋体" w:cs="宋体"/>
          <w:color w:val="000000"/>
          <w:kern w:val="0"/>
          <w:sz w:val="21"/>
          <w:szCs w:val="21"/>
          <w:highlight w:val="none"/>
          <w:shd w:val="clear" w:color="auto" w:fill="auto"/>
        </w:rPr>
        <w:t>名称</w:t>
      </w:r>
      <w:r>
        <w:rPr>
          <w:rFonts w:hint="eastAsia" w:ascii="宋体" w:hAnsi="宋体" w:eastAsia="宋体" w:cs="宋体"/>
          <w:color w:val="000000"/>
          <w:spacing w:val="1"/>
          <w:kern w:val="0"/>
          <w:sz w:val="21"/>
          <w:szCs w:val="21"/>
          <w:highlight w:val="none"/>
          <w:shd w:val="clear" w:color="auto" w:fill="auto"/>
        </w:rPr>
        <w:t>）</w:t>
      </w:r>
      <w:r>
        <w:rPr>
          <w:rFonts w:hint="eastAsia" w:ascii="宋体" w:hAnsi="宋体" w:eastAsia="宋体" w:cs="宋体"/>
          <w:color w:val="000000"/>
          <w:kern w:val="0"/>
          <w:sz w:val="21"/>
          <w:szCs w:val="21"/>
          <w:highlight w:val="none"/>
          <w:shd w:val="clear" w:color="auto" w:fill="auto"/>
        </w:rPr>
        <w:t>的法定代</w:t>
      </w:r>
      <w:r>
        <w:rPr>
          <w:rFonts w:hint="eastAsia" w:ascii="宋体" w:hAnsi="宋体" w:eastAsia="宋体" w:cs="宋体"/>
          <w:color w:val="000000"/>
          <w:spacing w:val="1"/>
          <w:kern w:val="0"/>
          <w:sz w:val="21"/>
          <w:szCs w:val="21"/>
          <w:highlight w:val="none"/>
          <w:shd w:val="clear" w:color="auto" w:fill="auto"/>
        </w:rPr>
        <w:t>表</w:t>
      </w:r>
      <w:r>
        <w:rPr>
          <w:rFonts w:hint="eastAsia" w:ascii="宋体" w:hAnsi="宋体" w:eastAsia="宋体" w:cs="宋体"/>
          <w:color w:val="000000"/>
          <w:kern w:val="0"/>
          <w:sz w:val="21"/>
          <w:szCs w:val="21"/>
          <w:highlight w:val="none"/>
          <w:shd w:val="clear" w:color="auto" w:fill="auto"/>
        </w:rPr>
        <w:t>人，现委托</w:t>
      </w:r>
      <w:r>
        <w:rPr>
          <w:rFonts w:hint="eastAsia" w:ascii="宋体" w:hAnsi="宋体" w:eastAsia="宋体" w:cs="宋体"/>
          <w:color w:val="000000"/>
          <w:w w:val="200"/>
          <w:kern w:val="0"/>
          <w:sz w:val="21"/>
          <w:szCs w:val="21"/>
          <w:highlight w:val="none"/>
          <w:u w:val="single"/>
          <w:shd w:val="clear" w:color="auto" w:fill="auto"/>
        </w:rPr>
        <w:t xml:space="preserve"> </w:t>
      </w:r>
      <w:r>
        <w:rPr>
          <w:rFonts w:hint="eastAsia" w:ascii="宋体" w:hAnsi="宋体" w:eastAsia="宋体" w:cs="宋体"/>
          <w:color w:val="000000"/>
          <w:kern w:val="0"/>
          <w:sz w:val="21"/>
          <w:szCs w:val="21"/>
          <w:highlight w:val="none"/>
          <w:u w:val="single"/>
          <w:shd w:val="clear" w:color="auto" w:fill="auto"/>
        </w:rPr>
        <w:tab/>
      </w:r>
      <w:r>
        <w:rPr>
          <w:rFonts w:hint="eastAsia" w:ascii="宋体" w:hAnsi="宋体" w:eastAsia="宋体" w:cs="宋体"/>
          <w:color w:val="000000"/>
          <w:kern w:val="0"/>
          <w:sz w:val="21"/>
          <w:szCs w:val="21"/>
          <w:highlight w:val="none"/>
          <w:u w:val="single"/>
          <w:shd w:val="clear" w:color="auto" w:fill="auto"/>
        </w:rPr>
        <w:t>（姓 名）</w:t>
      </w:r>
      <w:r>
        <w:rPr>
          <w:rFonts w:hint="eastAsia" w:ascii="宋体" w:hAnsi="宋体" w:eastAsia="宋体" w:cs="宋体"/>
          <w:color w:val="000000"/>
          <w:kern w:val="0"/>
          <w:sz w:val="21"/>
          <w:szCs w:val="21"/>
          <w:highlight w:val="none"/>
          <w:shd w:val="clear" w:color="auto" w:fill="auto"/>
        </w:rPr>
        <w:t>为我方代理人。代理人根据授权，以我方名义签署、澄清、说明、补正、递交、撤回、 修改</w:t>
      </w:r>
      <w:r>
        <w:rPr>
          <w:rFonts w:hint="eastAsia" w:ascii="宋体" w:hAnsi="宋体" w:eastAsia="宋体" w:cs="宋体"/>
          <w:color w:val="000000"/>
          <w:w w:val="200"/>
          <w:kern w:val="0"/>
          <w:sz w:val="21"/>
          <w:szCs w:val="21"/>
          <w:highlight w:val="none"/>
          <w:u w:val="single"/>
          <w:shd w:val="clear" w:color="auto" w:fill="auto"/>
        </w:rPr>
        <w:t xml:space="preserve"> </w:t>
      </w:r>
      <w:r>
        <w:rPr>
          <w:rFonts w:hint="eastAsia" w:ascii="宋体" w:hAnsi="宋体" w:eastAsia="宋体" w:cs="宋体"/>
          <w:color w:val="000000"/>
          <w:kern w:val="0"/>
          <w:sz w:val="21"/>
          <w:szCs w:val="21"/>
          <w:highlight w:val="none"/>
          <w:u w:val="single"/>
          <w:shd w:val="clear" w:color="auto" w:fill="auto"/>
        </w:rPr>
        <w:tab/>
      </w:r>
      <w:r>
        <w:rPr>
          <w:rFonts w:hint="eastAsia" w:ascii="宋体" w:hAnsi="宋体" w:eastAsia="宋体" w:cs="宋体"/>
          <w:color w:val="000000"/>
          <w:kern w:val="0"/>
          <w:sz w:val="21"/>
          <w:szCs w:val="21"/>
          <w:highlight w:val="none"/>
          <w:u w:val="single"/>
          <w:shd w:val="clear" w:color="auto" w:fill="auto"/>
        </w:rPr>
        <w:t>（项</w:t>
      </w:r>
      <w:r>
        <w:rPr>
          <w:rFonts w:hint="eastAsia" w:ascii="宋体" w:hAnsi="宋体" w:eastAsia="宋体" w:cs="宋体"/>
          <w:color w:val="000000"/>
          <w:spacing w:val="-1"/>
          <w:kern w:val="0"/>
          <w:sz w:val="21"/>
          <w:szCs w:val="21"/>
          <w:highlight w:val="none"/>
          <w:u w:val="single"/>
          <w:shd w:val="clear" w:color="auto" w:fill="auto"/>
        </w:rPr>
        <w:t>目</w:t>
      </w:r>
      <w:r>
        <w:rPr>
          <w:rFonts w:hint="eastAsia" w:ascii="宋体" w:hAnsi="宋体" w:eastAsia="宋体" w:cs="宋体"/>
          <w:color w:val="000000"/>
          <w:kern w:val="0"/>
          <w:sz w:val="21"/>
          <w:szCs w:val="21"/>
          <w:highlight w:val="none"/>
          <w:u w:val="single"/>
          <w:shd w:val="clear" w:color="auto" w:fill="auto"/>
        </w:rPr>
        <w:t>名称）</w:t>
      </w:r>
      <w:r>
        <w:rPr>
          <w:rFonts w:hint="eastAsia" w:ascii="宋体" w:hAnsi="宋体" w:eastAsia="宋体" w:cs="宋体"/>
          <w:color w:val="000000"/>
          <w:kern w:val="0"/>
          <w:sz w:val="21"/>
          <w:szCs w:val="21"/>
          <w:highlight w:val="none"/>
          <w:shd w:val="clear" w:color="auto" w:fill="auto"/>
        </w:rPr>
        <w:t>响应文件、签订合同和处理有关事宜， 其法律后果由我方承担。</w:t>
      </w:r>
    </w:p>
    <w:p w14:paraId="797978E6">
      <w:pPr>
        <w:pageBreakBefore w:val="0"/>
        <w:wordWrap/>
        <w:overflowPunct/>
        <w:topLinePunct w:val="0"/>
        <w:bidi w:val="0"/>
        <w:snapToGrid/>
        <w:spacing w:beforeAutospacing="0" w:afterAutospacing="0" w:line="360" w:lineRule="auto"/>
        <w:ind w:left="0" w:right="0" w:firstLine="420" w:firstLineChars="200"/>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委托</w:t>
      </w:r>
      <w:r>
        <w:rPr>
          <w:rFonts w:hint="eastAsia" w:ascii="宋体" w:hAnsi="宋体" w:eastAsia="宋体" w:cs="宋体"/>
          <w:color w:val="000000"/>
          <w:spacing w:val="-1"/>
          <w:kern w:val="0"/>
          <w:sz w:val="21"/>
          <w:szCs w:val="21"/>
          <w:highlight w:val="none"/>
          <w:shd w:val="clear" w:color="auto" w:fill="auto"/>
        </w:rPr>
        <w:t>期</w:t>
      </w:r>
      <w:r>
        <w:rPr>
          <w:rFonts w:hint="eastAsia" w:ascii="宋体" w:hAnsi="宋体" w:eastAsia="宋体" w:cs="宋体"/>
          <w:color w:val="000000"/>
          <w:kern w:val="0"/>
          <w:sz w:val="21"/>
          <w:szCs w:val="21"/>
          <w:highlight w:val="none"/>
          <w:shd w:val="clear" w:color="auto" w:fill="auto"/>
        </w:rPr>
        <w:t>限：</w:t>
      </w:r>
      <w:r>
        <w:rPr>
          <w:rFonts w:hint="eastAsia" w:ascii="宋体" w:hAnsi="宋体" w:eastAsia="宋体" w:cs="宋体"/>
          <w:color w:val="000000"/>
          <w:w w:val="200"/>
          <w:kern w:val="0"/>
          <w:sz w:val="21"/>
          <w:szCs w:val="21"/>
          <w:highlight w:val="none"/>
          <w:u w:val="single"/>
          <w:shd w:val="clear" w:color="auto" w:fill="auto"/>
        </w:rPr>
        <w:t xml:space="preserve">  </w:t>
      </w:r>
      <w:r>
        <w:rPr>
          <w:rFonts w:hint="eastAsia" w:ascii="宋体" w:hAnsi="宋体" w:eastAsia="宋体" w:cs="宋体"/>
          <w:color w:val="000000"/>
          <w:kern w:val="0"/>
          <w:sz w:val="21"/>
          <w:szCs w:val="21"/>
          <w:highlight w:val="none"/>
          <w:u w:val="single"/>
          <w:shd w:val="clear" w:color="auto" w:fill="auto"/>
        </w:rPr>
        <w:tab/>
      </w:r>
      <w:r>
        <w:rPr>
          <w:rFonts w:hint="eastAsia" w:ascii="宋体" w:hAnsi="宋体" w:eastAsia="宋体" w:cs="宋体"/>
          <w:color w:val="000000"/>
          <w:kern w:val="0"/>
          <w:sz w:val="21"/>
          <w:szCs w:val="21"/>
          <w:highlight w:val="none"/>
          <w:shd w:val="clear" w:color="auto" w:fill="auto"/>
        </w:rPr>
        <w:t xml:space="preserve">。 代理人无转委托权。 </w:t>
      </w:r>
    </w:p>
    <w:p w14:paraId="3530B794">
      <w:pPr>
        <w:pageBreakBefore w:val="0"/>
        <w:wordWrap/>
        <w:overflowPunct/>
        <w:topLinePunct w:val="0"/>
        <w:bidi w:val="0"/>
        <w:snapToGrid/>
        <w:spacing w:beforeAutospacing="0" w:afterAutospacing="0" w:line="360" w:lineRule="auto"/>
        <w:ind w:left="0" w:right="0" w:firstLine="3968" w:firstLineChars="1890"/>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供应商名称：</w:t>
      </w:r>
      <w:r>
        <w:rPr>
          <w:rFonts w:hint="eastAsia" w:ascii="宋体" w:hAnsi="宋体" w:eastAsia="宋体" w:cs="宋体"/>
          <w:color w:val="000000"/>
          <w:w w:val="200"/>
          <w:kern w:val="0"/>
          <w:sz w:val="21"/>
          <w:szCs w:val="21"/>
          <w:highlight w:val="none"/>
          <w:u w:val="single"/>
          <w:shd w:val="clear" w:color="auto" w:fill="auto"/>
        </w:rPr>
        <w:t xml:space="preserve">       </w:t>
      </w:r>
      <w:r>
        <w:rPr>
          <w:rFonts w:hint="eastAsia" w:ascii="宋体" w:hAnsi="宋体" w:eastAsia="宋体" w:cs="宋体"/>
          <w:color w:val="000000"/>
          <w:kern w:val="0"/>
          <w:sz w:val="21"/>
          <w:szCs w:val="21"/>
          <w:highlight w:val="none"/>
          <w:u w:val="single"/>
          <w:shd w:val="clear" w:color="auto" w:fill="auto"/>
        </w:rPr>
        <w:tab/>
      </w:r>
      <w:r>
        <w:rPr>
          <w:rFonts w:hint="eastAsia" w:ascii="宋体" w:hAnsi="宋体" w:eastAsia="宋体" w:cs="宋体"/>
          <w:color w:val="000000"/>
          <w:sz w:val="21"/>
          <w:szCs w:val="21"/>
          <w:highlight w:val="none"/>
          <w:shd w:val="clear" w:color="auto" w:fill="auto"/>
        </w:rPr>
        <w:t>[盖单位公章（CA签章）]</w:t>
      </w:r>
      <w:r>
        <w:rPr>
          <w:rFonts w:hint="eastAsia" w:ascii="宋体" w:hAnsi="宋体" w:eastAsia="宋体" w:cs="宋体"/>
          <w:color w:val="000000"/>
          <w:kern w:val="0"/>
          <w:sz w:val="21"/>
          <w:szCs w:val="21"/>
          <w:highlight w:val="none"/>
          <w:shd w:val="clear" w:color="auto" w:fill="auto"/>
        </w:rPr>
        <w:t xml:space="preserve"> </w:t>
      </w:r>
    </w:p>
    <w:p w14:paraId="00C7058C">
      <w:pPr>
        <w:pageBreakBefore w:val="0"/>
        <w:wordWrap/>
        <w:overflowPunct/>
        <w:topLinePunct w:val="0"/>
        <w:bidi w:val="0"/>
        <w:snapToGrid/>
        <w:spacing w:beforeAutospacing="0" w:afterAutospacing="0" w:line="360" w:lineRule="auto"/>
        <w:ind w:left="0" w:right="0" w:firstLine="3968" w:firstLineChars="1890"/>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法定代表人：</w:t>
      </w:r>
      <w:r>
        <w:rPr>
          <w:rFonts w:hint="eastAsia" w:ascii="宋体" w:hAnsi="宋体" w:eastAsia="宋体" w:cs="宋体"/>
          <w:color w:val="000000"/>
          <w:w w:val="200"/>
          <w:kern w:val="0"/>
          <w:sz w:val="21"/>
          <w:szCs w:val="21"/>
          <w:highlight w:val="none"/>
          <w:u w:val="single"/>
          <w:shd w:val="clear" w:color="auto" w:fill="auto"/>
        </w:rPr>
        <w:t xml:space="preserve"> </w:t>
      </w:r>
      <w:r>
        <w:rPr>
          <w:rFonts w:hint="eastAsia" w:ascii="宋体" w:hAnsi="宋体" w:eastAsia="宋体" w:cs="宋体"/>
          <w:color w:val="000000"/>
          <w:kern w:val="0"/>
          <w:sz w:val="21"/>
          <w:szCs w:val="21"/>
          <w:highlight w:val="none"/>
          <w:u w:val="single"/>
          <w:shd w:val="clear" w:color="auto" w:fill="auto"/>
        </w:rPr>
        <w:tab/>
      </w:r>
      <w:r>
        <w:rPr>
          <w:rFonts w:hint="eastAsia" w:ascii="宋体" w:hAnsi="宋体" w:eastAsia="宋体" w:cs="宋体"/>
          <w:color w:val="000000"/>
          <w:kern w:val="0"/>
          <w:sz w:val="21"/>
          <w:szCs w:val="21"/>
          <w:highlight w:val="none"/>
          <w:u w:val="single"/>
          <w:shd w:val="clear" w:color="auto" w:fill="auto"/>
        </w:rPr>
        <w:tab/>
      </w:r>
      <w:r>
        <w:rPr>
          <w:rFonts w:hint="eastAsia" w:ascii="宋体" w:hAnsi="宋体" w:eastAsia="宋体" w:cs="宋体"/>
          <w:color w:val="000000"/>
          <w:kern w:val="0"/>
          <w:sz w:val="21"/>
          <w:szCs w:val="21"/>
          <w:highlight w:val="none"/>
          <w:u w:val="single"/>
          <w:shd w:val="clear" w:color="auto" w:fill="auto"/>
        </w:rPr>
        <w:t xml:space="preserve">      </w:t>
      </w:r>
      <w:r>
        <w:rPr>
          <w:rFonts w:hint="eastAsia" w:ascii="宋体" w:hAnsi="宋体" w:eastAsia="宋体" w:cs="宋体"/>
          <w:color w:val="000000"/>
          <w:sz w:val="21"/>
          <w:szCs w:val="21"/>
          <w:highlight w:val="none"/>
          <w:shd w:val="clear" w:color="auto" w:fill="auto"/>
        </w:rPr>
        <w:t>[签字或盖章（CA签章）]</w:t>
      </w:r>
    </w:p>
    <w:p w14:paraId="75743CC4">
      <w:pPr>
        <w:pageBreakBefore w:val="0"/>
        <w:wordWrap/>
        <w:overflowPunct/>
        <w:topLinePunct w:val="0"/>
        <w:bidi w:val="0"/>
        <w:snapToGrid/>
        <w:spacing w:beforeAutospacing="0" w:afterAutospacing="0" w:line="360" w:lineRule="auto"/>
        <w:ind w:left="0" w:right="0" w:firstLine="3968" w:firstLineChars="1890"/>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身份证号码：</w:t>
      </w:r>
      <w:r>
        <w:rPr>
          <w:rFonts w:hint="eastAsia" w:ascii="宋体" w:hAnsi="宋体" w:eastAsia="宋体" w:cs="宋体"/>
          <w:color w:val="000000"/>
          <w:w w:val="200"/>
          <w:kern w:val="0"/>
          <w:sz w:val="21"/>
          <w:szCs w:val="21"/>
          <w:highlight w:val="none"/>
          <w:u w:val="single"/>
          <w:shd w:val="clear" w:color="auto" w:fill="auto"/>
        </w:rPr>
        <w:t xml:space="preserve">       </w:t>
      </w:r>
      <w:r>
        <w:rPr>
          <w:rFonts w:hint="eastAsia" w:ascii="宋体" w:hAnsi="宋体" w:eastAsia="宋体" w:cs="宋体"/>
          <w:color w:val="000000"/>
          <w:kern w:val="0"/>
          <w:sz w:val="21"/>
          <w:szCs w:val="21"/>
          <w:highlight w:val="none"/>
          <w:u w:val="single"/>
          <w:shd w:val="clear" w:color="auto" w:fill="auto"/>
        </w:rPr>
        <w:tab/>
      </w:r>
      <w:r>
        <w:rPr>
          <w:rFonts w:hint="eastAsia" w:ascii="宋体" w:hAnsi="宋体" w:eastAsia="宋体" w:cs="宋体"/>
          <w:color w:val="000000"/>
          <w:kern w:val="0"/>
          <w:sz w:val="21"/>
          <w:szCs w:val="21"/>
          <w:highlight w:val="none"/>
          <w:u w:val="single"/>
          <w:shd w:val="clear" w:color="auto" w:fill="auto"/>
        </w:rPr>
        <w:t xml:space="preserve">                          </w:t>
      </w:r>
    </w:p>
    <w:p w14:paraId="06B1F4DD">
      <w:pPr>
        <w:pageBreakBefore w:val="0"/>
        <w:wordWrap/>
        <w:overflowPunct/>
        <w:topLinePunct w:val="0"/>
        <w:bidi w:val="0"/>
        <w:snapToGrid/>
        <w:spacing w:beforeAutospacing="0" w:afterAutospacing="0" w:line="360" w:lineRule="auto"/>
        <w:ind w:left="0" w:right="0" w:firstLine="3968" w:firstLineChars="1890"/>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委托代理人：</w:t>
      </w:r>
      <w:r>
        <w:rPr>
          <w:rFonts w:hint="eastAsia" w:ascii="宋体" w:hAnsi="宋体" w:eastAsia="宋体" w:cs="宋体"/>
          <w:color w:val="000000"/>
          <w:w w:val="200"/>
          <w:kern w:val="0"/>
          <w:sz w:val="21"/>
          <w:szCs w:val="21"/>
          <w:highlight w:val="none"/>
          <w:u w:val="single"/>
          <w:shd w:val="clear" w:color="auto" w:fill="auto"/>
        </w:rPr>
        <w:t xml:space="preserve"> </w:t>
      </w:r>
      <w:r>
        <w:rPr>
          <w:rFonts w:hint="eastAsia" w:ascii="宋体" w:hAnsi="宋体" w:eastAsia="宋体" w:cs="宋体"/>
          <w:color w:val="000000"/>
          <w:kern w:val="0"/>
          <w:sz w:val="21"/>
          <w:szCs w:val="21"/>
          <w:highlight w:val="none"/>
          <w:u w:val="single"/>
          <w:shd w:val="clear" w:color="auto" w:fill="auto"/>
        </w:rPr>
        <w:tab/>
      </w:r>
      <w:r>
        <w:rPr>
          <w:rFonts w:hint="eastAsia" w:ascii="宋体" w:hAnsi="宋体" w:eastAsia="宋体" w:cs="宋体"/>
          <w:color w:val="000000"/>
          <w:kern w:val="0"/>
          <w:sz w:val="21"/>
          <w:szCs w:val="21"/>
          <w:highlight w:val="none"/>
          <w:u w:val="single"/>
          <w:shd w:val="clear" w:color="auto" w:fill="auto"/>
        </w:rPr>
        <w:t xml:space="preserve">                </w:t>
      </w:r>
      <w:r>
        <w:rPr>
          <w:rFonts w:hint="eastAsia" w:ascii="宋体" w:hAnsi="宋体" w:eastAsia="宋体" w:cs="宋体"/>
          <w:color w:val="000000"/>
          <w:kern w:val="0"/>
          <w:sz w:val="21"/>
          <w:szCs w:val="21"/>
          <w:highlight w:val="none"/>
          <w:shd w:val="clear" w:color="auto" w:fill="auto"/>
        </w:rPr>
        <w:t>（签</w:t>
      </w:r>
      <w:r>
        <w:rPr>
          <w:rFonts w:hint="eastAsia" w:ascii="宋体" w:hAnsi="宋体" w:eastAsia="宋体" w:cs="宋体"/>
          <w:color w:val="000000"/>
          <w:spacing w:val="-1"/>
          <w:kern w:val="0"/>
          <w:sz w:val="21"/>
          <w:szCs w:val="21"/>
          <w:highlight w:val="none"/>
          <w:shd w:val="clear" w:color="auto" w:fill="auto"/>
        </w:rPr>
        <w:t>字</w:t>
      </w:r>
      <w:r>
        <w:rPr>
          <w:rFonts w:hint="eastAsia" w:ascii="宋体" w:hAnsi="宋体" w:eastAsia="宋体" w:cs="宋体"/>
          <w:color w:val="000000"/>
          <w:kern w:val="0"/>
          <w:sz w:val="21"/>
          <w:szCs w:val="21"/>
          <w:highlight w:val="none"/>
          <w:shd w:val="clear" w:color="auto" w:fill="auto"/>
        </w:rPr>
        <w:t>）</w:t>
      </w:r>
    </w:p>
    <w:p w14:paraId="1AC0F706">
      <w:pPr>
        <w:pageBreakBefore w:val="0"/>
        <w:wordWrap/>
        <w:overflowPunct/>
        <w:topLinePunct w:val="0"/>
        <w:bidi w:val="0"/>
        <w:snapToGrid/>
        <w:spacing w:beforeAutospacing="0" w:afterAutospacing="0" w:line="360" w:lineRule="auto"/>
        <w:ind w:left="0" w:right="0" w:firstLine="3968" w:firstLineChars="1890"/>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身份证号码：</w:t>
      </w:r>
      <w:r>
        <w:rPr>
          <w:rFonts w:hint="eastAsia" w:ascii="宋体" w:hAnsi="宋体" w:eastAsia="宋体" w:cs="宋体"/>
          <w:color w:val="000000"/>
          <w:w w:val="200"/>
          <w:kern w:val="0"/>
          <w:sz w:val="21"/>
          <w:szCs w:val="21"/>
          <w:highlight w:val="none"/>
          <w:u w:val="single"/>
          <w:shd w:val="clear" w:color="auto" w:fill="auto"/>
        </w:rPr>
        <w:t xml:space="preserve"> </w:t>
      </w:r>
      <w:r>
        <w:rPr>
          <w:rFonts w:hint="eastAsia" w:ascii="宋体" w:hAnsi="宋体" w:eastAsia="宋体" w:cs="宋体"/>
          <w:color w:val="000000"/>
          <w:kern w:val="0"/>
          <w:sz w:val="21"/>
          <w:szCs w:val="21"/>
          <w:highlight w:val="none"/>
          <w:u w:val="single"/>
          <w:shd w:val="clear" w:color="auto" w:fill="auto"/>
        </w:rPr>
        <w:tab/>
      </w:r>
      <w:r>
        <w:rPr>
          <w:rFonts w:hint="eastAsia" w:ascii="宋体" w:hAnsi="宋体" w:eastAsia="宋体" w:cs="宋体"/>
          <w:color w:val="000000"/>
          <w:kern w:val="0"/>
          <w:sz w:val="21"/>
          <w:szCs w:val="21"/>
          <w:highlight w:val="none"/>
          <w:u w:val="single"/>
          <w:shd w:val="clear" w:color="auto" w:fill="auto"/>
        </w:rPr>
        <w:t xml:space="preserve">                       </w:t>
      </w:r>
    </w:p>
    <w:p w14:paraId="7A5A798B">
      <w:pPr>
        <w:pageBreakBefore w:val="0"/>
        <w:wordWrap/>
        <w:overflowPunct/>
        <w:topLinePunct w:val="0"/>
        <w:bidi w:val="0"/>
        <w:snapToGrid/>
        <w:spacing w:beforeAutospacing="0" w:afterAutospacing="0" w:line="360" w:lineRule="auto"/>
        <w:ind w:left="0" w:right="0" w:firstLine="4389" w:firstLineChars="1045"/>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w w:val="200"/>
          <w:kern w:val="0"/>
          <w:sz w:val="21"/>
          <w:szCs w:val="21"/>
          <w:highlight w:val="none"/>
          <w:u w:val="single"/>
          <w:shd w:val="clear" w:color="auto" w:fill="auto"/>
        </w:rPr>
        <w:t xml:space="preserve"> </w:t>
      </w:r>
      <w:r>
        <w:rPr>
          <w:rFonts w:hint="eastAsia" w:ascii="宋体" w:hAnsi="宋体" w:eastAsia="宋体" w:cs="宋体"/>
          <w:color w:val="000000"/>
          <w:kern w:val="0"/>
          <w:sz w:val="21"/>
          <w:szCs w:val="21"/>
          <w:highlight w:val="none"/>
          <w:u w:val="single"/>
          <w:shd w:val="clear" w:color="auto" w:fill="auto"/>
        </w:rPr>
        <w:tab/>
      </w:r>
      <w:r>
        <w:rPr>
          <w:rFonts w:hint="eastAsia" w:ascii="宋体" w:hAnsi="宋体" w:eastAsia="宋体" w:cs="宋体"/>
          <w:color w:val="000000"/>
          <w:kern w:val="0"/>
          <w:sz w:val="21"/>
          <w:szCs w:val="21"/>
          <w:highlight w:val="none"/>
          <w:shd w:val="clear" w:color="auto" w:fill="auto"/>
        </w:rPr>
        <w:t>年</w:t>
      </w:r>
      <w:r>
        <w:rPr>
          <w:rFonts w:hint="eastAsia" w:ascii="宋体" w:hAnsi="宋体" w:eastAsia="宋体" w:cs="宋体"/>
          <w:color w:val="000000"/>
          <w:w w:val="200"/>
          <w:kern w:val="0"/>
          <w:sz w:val="21"/>
          <w:szCs w:val="21"/>
          <w:highlight w:val="none"/>
          <w:u w:val="single"/>
          <w:shd w:val="clear" w:color="auto" w:fill="auto"/>
        </w:rPr>
        <w:t xml:space="preserve"> </w:t>
      </w:r>
      <w:r>
        <w:rPr>
          <w:rFonts w:hint="eastAsia" w:ascii="宋体" w:hAnsi="宋体" w:eastAsia="宋体" w:cs="宋体"/>
          <w:color w:val="000000"/>
          <w:kern w:val="0"/>
          <w:sz w:val="21"/>
          <w:szCs w:val="21"/>
          <w:highlight w:val="none"/>
          <w:u w:val="single"/>
          <w:shd w:val="clear" w:color="auto" w:fill="auto"/>
        </w:rPr>
        <w:tab/>
      </w:r>
      <w:r>
        <w:rPr>
          <w:rFonts w:hint="eastAsia" w:ascii="宋体" w:hAnsi="宋体" w:eastAsia="宋体" w:cs="宋体"/>
          <w:color w:val="000000"/>
          <w:kern w:val="0"/>
          <w:sz w:val="21"/>
          <w:szCs w:val="21"/>
          <w:highlight w:val="none"/>
          <w:shd w:val="clear" w:color="auto" w:fill="auto"/>
        </w:rPr>
        <w:t>月</w:t>
      </w:r>
      <w:r>
        <w:rPr>
          <w:rFonts w:hint="eastAsia" w:ascii="宋体" w:hAnsi="宋体" w:eastAsia="宋体" w:cs="宋体"/>
          <w:color w:val="000000"/>
          <w:w w:val="200"/>
          <w:kern w:val="0"/>
          <w:sz w:val="21"/>
          <w:szCs w:val="21"/>
          <w:highlight w:val="none"/>
          <w:u w:val="single"/>
          <w:shd w:val="clear" w:color="auto" w:fill="auto"/>
        </w:rPr>
        <w:t xml:space="preserve"> </w:t>
      </w:r>
      <w:r>
        <w:rPr>
          <w:rFonts w:hint="eastAsia" w:ascii="宋体" w:hAnsi="宋体" w:eastAsia="宋体" w:cs="宋体"/>
          <w:color w:val="000000"/>
          <w:kern w:val="0"/>
          <w:sz w:val="21"/>
          <w:szCs w:val="21"/>
          <w:highlight w:val="none"/>
          <w:u w:val="single"/>
          <w:shd w:val="clear" w:color="auto" w:fill="auto"/>
        </w:rPr>
        <w:tab/>
      </w:r>
      <w:r>
        <w:rPr>
          <w:rFonts w:hint="eastAsia" w:ascii="宋体" w:hAnsi="宋体" w:eastAsia="宋体" w:cs="宋体"/>
          <w:color w:val="000000"/>
          <w:kern w:val="0"/>
          <w:sz w:val="21"/>
          <w:szCs w:val="21"/>
          <w:highlight w:val="none"/>
          <w:shd w:val="clear" w:color="auto" w:fill="auto"/>
        </w:rPr>
        <w:t>日</w:t>
      </w:r>
    </w:p>
    <w:p w14:paraId="19E30EE7">
      <w:pPr>
        <w:pageBreakBefore w:val="0"/>
        <w:wordWrap/>
        <w:overflowPunct/>
        <w:topLinePunct w:val="0"/>
        <w:bidi w:val="0"/>
        <w:snapToGrid/>
        <w:spacing w:beforeAutospacing="0" w:afterAutospacing="0" w:line="360" w:lineRule="auto"/>
        <w:ind w:left="0" w:right="0" w:firstLine="2194" w:firstLineChars="1045"/>
        <w:rPr>
          <w:rFonts w:hint="eastAsia" w:ascii="宋体" w:hAnsi="宋体" w:eastAsia="宋体" w:cs="宋体"/>
          <w:color w:val="000000"/>
          <w:kern w:val="0"/>
          <w:sz w:val="21"/>
          <w:szCs w:val="21"/>
          <w:highlight w:val="none"/>
          <w:shd w:val="clear" w:color="auto" w:fill="auto"/>
        </w:rPr>
      </w:pPr>
    </w:p>
    <w:p w14:paraId="57DBA7A6">
      <w:pPr>
        <w:pageBreakBefore w:val="0"/>
        <w:wordWrap/>
        <w:overflowPunct/>
        <w:topLinePunct w:val="0"/>
        <w:bidi w:val="0"/>
        <w:snapToGrid/>
        <w:spacing w:beforeAutospacing="0" w:afterAutospacing="0" w:line="360" w:lineRule="auto"/>
        <w:ind w:left="0" w:right="0"/>
        <w:outlineLvl w:val="1"/>
        <w:rPr>
          <w:rFonts w:hint="eastAsia" w:ascii="宋体" w:hAnsi="宋体" w:eastAsia="宋体" w:cs="宋体"/>
          <w:b/>
          <w:bCs/>
          <w:color w:val="000000"/>
          <w:w w:val="99"/>
          <w:kern w:val="0"/>
          <w:sz w:val="21"/>
          <w:szCs w:val="21"/>
          <w:highlight w:val="none"/>
          <w:shd w:val="clear" w:color="auto" w:fill="auto"/>
        </w:rPr>
      </w:pPr>
      <w:bookmarkStart w:id="1904" w:name="_Toc22151"/>
      <w:r>
        <w:rPr>
          <w:rFonts w:hint="eastAsia" w:ascii="宋体" w:hAnsi="宋体" w:eastAsia="宋体" w:cs="宋体"/>
          <w:b/>
          <w:bCs/>
          <w:color w:val="000000"/>
          <w:w w:val="99"/>
          <w:kern w:val="0"/>
          <w:sz w:val="21"/>
          <w:szCs w:val="21"/>
          <w:highlight w:val="none"/>
          <w:shd w:val="clear" w:color="auto" w:fill="auto"/>
        </w:rPr>
        <w:t>4、供应商参加政府采购活动前3年内在经营活动中没有重大违法记录及有关信用信息的书面声明（必须提供）;</w:t>
      </w:r>
      <w:bookmarkEnd w:id="1904"/>
    </w:p>
    <w:p w14:paraId="6A31B7FB">
      <w:pPr>
        <w:pStyle w:val="20"/>
        <w:pageBreakBefore w:val="0"/>
        <w:kinsoku w:val="0"/>
        <w:wordWrap/>
        <w:overflowPunct/>
        <w:topLinePunct w:val="0"/>
        <w:bidi w:val="0"/>
        <w:snapToGrid/>
        <w:spacing w:beforeAutospacing="0" w:afterAutospacing="0" w:line="360" w:lineRule="auto"/>
        <w:ind w:left="0" w:right="0"/>
        <w:jc w:val="center"/>
        <w:rPr>
          <w:rFonts w:hint="eastAsia" w:ascii="宋体" w:hAnsi="宋体" w:eastAsia="宋体" w:cs="宋体"/>
          <w:b/>
          <w:color w:val="000000"/>
          <w:sz w:val="21"/>
          <w:szCs w:val="21"/>
          <w:highlight w:val="none"/>
          <w:shd w:val="clear" w:color="auto" w:fill="auto"/>
        </w:rPr>
      </w:pPr>
      <w:r>
        <w:rPr>
          <w:rFonts w:hint="eastAsia" w:ascii="宋体" w:hAnsi="宋体" w:eastAsia="宋体" w:cs="宋体"/>
          <w:b/>
          <w:color w:val="000000"/>
          <w:sz w:val="21"/>
          <w:szCs w:val="21"/>
          <w:highlight w:val="none"/>
          <w:shd w:val="clear" w:color="auto" w:fill="auto"/>
        </w:rPr>
        <w:t>声   明</w:t>
      </w:r>
    </w:p>
    <w:p w14:paraId="33A579D7">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r>
        <w:rPr>
          <w:rFonts w:hint="eastAsia" w:ascii="宋体" w:hAnsi="宋体" w:eastAsia="宋体" w:cs="宋体"/>
          <w:b/>
          <w:color w:val="000000"/>
          <w:sz w:val="21"/>
          <w:szCs w:val="21"/>
          <w:highlight w:val="none"/>
          <w:shd w:val="clear" w:color="auto" w:fill="auto"/>
        </w:rPr>
        <w:t>致</w:t>
      </w:r>
      <w:r>
        <w:rPr>
          <w:rFonts w:hint="eastAsia" w:ascii="宋体" w:hAnsi="宋体" w:eastAsia="宋体" w:cs="宋体"/>
          <w:color w:val="000000"/>
          <w:sz w:val="21"/>
          <w:szCs w:val="21"/>
          <w:highlight w:val="none"/>
          <w:shd w:val="clear" w:color="auto" w:fill="auto"/>
        </w:rPr>
        <w:t>：</w:t>
      </w:r>
      <w:r>
        <w:rPr>
          <w:rFonts w:hint="eastAsia" w:ascii="宋体" w:hAnsi="宋体" w:eastAsia="宋体" w:cs="宋体"/>
          <w:color w:val="000000"/>
          <w:sz w:val="21"/>
          <w:szCs w:val="21"/>
          <w:highlight w:val="none"/>
          <w:shd w:val="clear" w:color="auto" w:fill="auto"/>
          <w:lang w:val="en-US" w:eastAsia="zh-CN"/>
        </w:rPr>
        <w:t>广西聚泽灵项目管理有限公司</w:t>
      </w:r>
    </w:p>
    <w:p w14:paraId="7488FA66">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p w14:paraId="40CFB167">
      <w:pPr>
        <w:pStyle w:val="20"/>
        <w:pageBreakBefore w:val="0"/>
        <w:wordWrap/>
        <w:overflowPunct/>
        <w:topLinePunct w:val="0"/>
        <w:bidi w:val="0"/>
        <w:snapToGrid/>
        <w:spacing w:beforeAutospacing="0" w:afterAutospacing="0" w:line="360" w:lineRule="auto"/>
        <w:ind w:left="0" w:right="0" w:firstLine="420" w:firstLineChars="200"/>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w:t>
      </w:r>
      <w:r>
        <w:rPr>
          <w:rFonts w:hint="eastAsia" w:hAnsi="宋体" w:eastAsia="宋体" w:cs="宋体"/>
          <w:color w:val="000000"/>
          <w:sz w:val="21"/>
          <w:szCs w:val="21"/>
          <w:highlight w:val="none"/>
          <w:shd w:val="clear" w:color="auto" w:fill="auto"/>
          <w:lang w:eastAsia="zh-CN"/>
        </w:rPr>
        <w:t>重大税收违法失信主体</w:t>
      </w:r>
      <w:r>
        <w:rPr>
          <w:rFonts w:hint="eastAsia" w:ascii="宋体" w:hAnsi="宋体" w:eastAsia="宋体" w:cs="宋体"/>
          <w:color w:val="000000"/>
          <w:sz w:val="21"/>
          <w:szCs w:val="21"/>
          <w:highlight w:val="none"/>
          <w:shd w:val="clear" w:color="auto" w:fill="auto"/>
        </w:rPr>
        <w:t>、政府采购严重违法失信行为记录名单，完全符合《中华人民共和国政府采购法》第二十二条规定的供应商资格条件，我方对此声明负全部法律责任。</w:t>
      </w:r>
    </w:p>
    <w:p w14:paraId="0CDC4DC7">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p w14:paraId="2D506FA9">
      <w:pPr>
        <w:pStyle w:val="16"/>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p w14:paraId="167955DD">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sz w:val="21"/>
          <w:szCs w:val="21"/>
          <w:highlight w:val="none"/>
          <w:u w:val="single"/>
          <w:shd w:val="clear" w:color="auto" w:fill="auto"/>
        </w:rPr>
      </w:pPr>
      <w:r>
        <w:rPr>
          <w:rFonts w:hint="eastAsia" w:ascii="宋体" w:hAnsi="宋体" w:eastAsia="宋体" w:cs="宋体"/>
          <w:color w:val="000000"/>
          <w:sz w:val="21"/>
          <w:szCs w:val="21"/>
          <w:highlight w:val="none"/>
          <w:shd w:val="clear" w:color="auto" w:fill="auto"/>
        </w:rPr>
        <w:t>供应商名称[盖单位公章（CA签章）]：</w:t>
      </w:r>
      <w:r>
        <w:rPr>
          <w:rFonts w:hint="eastAsia" w:ascii="宋体" w:hAnsi="宋体" w:eastAsia="宋体" w:cs="宋体"/>
          <w:color w:val="000000"/>
          <w:sz w:val="21"/>
          <w:szCs w:val="21"/>
          <w:highlight w:val="none"/>
          <w:u w:val="single"/>
          <w:shd w:val="clear" w:color="auto" w:fill="auto"/>
        </w:rPr>
        <w:t xml:space="preserve">                                         </w:t>
      </w:r>
    </w:p>
    <w:p w14:paraId="57139707">
      <w:pPr>
        <w:pageBreakBefore w:val="0"/>
        <w:kinsoku w:val="0"/>
        <w:wordWrap/>
        <w:overflowPunct/>
        <w:topLinePunct w:val="0"/>
        <w:bidi w:val="0"/>
        <w:snapToGrid/>
        <w:spacing w:beforeAutospacing="0" w:afterAutospacing="0" w:line="360" w:lineRule="auto"/>
        <w:ind w:left="0" w:right="0" w:firstLine="1050" w:firstLineChars="500"/>
        <w:rPr>
          <w:rFonts w:hint="eastAsia" w:ascii="宋体" w:hAnsi="宋体" w:eastAsia="宋体" w:cs="宋体"/>
          <w:color w:val="000000"/>
          <w:sz w:val="21"/>
          <w:szCs w:val="21"/>
          <w:highlight w:val="none"/>
          <w:u w:val="single"/>
          <w:shd w:val="clear" w:color="auto" w:fill="auto"/>
        </w:rPr>
      </w:pPr>
      <w:r>
        <w:rPr>
          <w:rFonts w:hint="eastAsia" w:ascii="宋体" w:hAnsi="宋体" w:eastAsia="宋体" w:cs="宋体"/>
          <w:color w:val="000000"/>
          <w:sz w:val="21"/>
          <w:szCs w:val="21"/>
          <w:highlight w:val="none"/>
          <w:shd w:val="clear" w:color="auto" w:fill="auto"/>
        </w:rPr>
        <w:t>法定代表人、负责人或相应的委托代理人[签字或盖章（CA签章）]：</w:t>
      </w:r>
      <w:r>
        <w:rPr>
          <w:rFonts w:hint="eastAsia" w:ascii="宋体" w:hAnsi="宋体" w:eastAsia="宋体" w:cs="宋体"/>
          <w:color w:val="000000"/>
          <w:sz w:val="21"/>
          <w:szCs w:val="21"/>
          <w:highlight w:val="none"/>
          <w:u w:val="single"/>
          <w:shd w:val="clear" w:color="auto" w:fill="auto"/>
        </w:rPr>
        <w:t xml:space="preserve">                        </w:t>
      </w:r>
    </w:p>
    <w:p w14:paraId="4EBE9DE0">
      <w:pPr>
        <w:pageBreakBefore w:val="0"/>
        <w:kinsoku w:val="0"/>
        <w:wordWrap/>
        <w:overflowPunct/>
        <w:topLinePunct w:val="0"/>
        <w:bidi w:val="0"/>
        <w:snapToGrid/>
        <w:spacing w:beforeAutospacing="0" w:afterAutospacing="0" w:line="360" w:lineRule="auto"/>
        <w:ind w:left="0" w:right="0" w:firstLine="105" w:firstLineChars="50"/>
        <w:rPr>
          <w:rFonts w:hint="eastAsia" w:ascii="宋体" w:hAnsi="宋体" w:eastAsia="宋体" w:cs="宋体"/>
          <w:color w:val="000000"/>
          <w:sz w:val="21"/>
          <w:szCs w:val="21"/>
          <w:highlight w:val="none"/>
          <w:shd w:val="clear" w:color="auto" w:fill="auto"/>
        </w:rPr>
      </w:pPr>
    </w:p>
    <w:p w14:paraId="45017735">
      <w:pPr>
        <w:pageBreakBefore w:val="0"/>
        <w:wordWrap/>
        <w:overflowPunct/>
        <w:topLinePunct w:val="0"/>
        <w:bidi w:val="0"/>
        <w:snapToGrid/>
        <w:spacing w:beforeAutospacing="0" w:afterAutospacing="0" w:line="360" w:lineRule="auto"/>
        <w:ind w:left="0" w:right="0" w:firstLine="4830" w:firstLineChars="2300"/>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日          期：</w:t>
      </w:r>
      <w:r>
        <w:rPr>
          <w:rFonts w:hint="eastAsia" w:ascii="宋体" w:hAnsi="宋体" w:eastAsia="宋体" w:cs="宋体"/>
          <w:color w:val="000000"/>
          <w:sz w:val="21"/>
          <w:szCs w:val="21"/>
          <w:highlight w:val="none"/>
          <w:u w:val="single"/>
          <w:shd w:val="clear" w:color="auto" w:fill="auto"/>
        </w:rPr>
        <w:t xml:space="preserve">                                          </w:t>
      </w:r>
    </w:p>
    <w:p w14:paraId="32272A26">
      <w:pPr>
        <w:pageBreakBefore w:val="0"/>
        <w:numPr>
          <w:ilvl w:val="0"/>
          <w:numId w:val="0"/>
        </w:numPr>
        <w:wordWrap/>
        <w:overflowPunct/>
        <w:topLinePunct w:val="0"/>
        <w:bidi w:val="0"/>
        <w:snapToGrid/>
        <w:spacing w:beforeAutospacing="0" w:afterAutospacing="0" w:line="360" w:lineRule="auto"/>
        <w:ind w:left="0" w:right="0"/>
        <w:outlineLvl w:val="1"/>
        <w:rPr>
          <w:rFonts w:hint="eastAsia" w:ascii="宋体" w:hAnsi="宋体" w:eastAsia="宋体" w:cs="宋体"/>
          <w:b/>
          <w:bCs/>
          <w:color w:val="000000"/>
          <w:w w:val="99"/>
          <w:kern w:val="0"/>
          <w:sz w:val="21"/>
          <w:szCs w:val="21"/>
          <w:highlight w:val="none"/>
          <w:shd w:val="clear" w:color="auto" w:fill="auto"/>
        </w:rPr>
      </w:pPr>
      <w:bookmarkStart w:id="1905" w:name="_Toc9549"/>
      <w:r>
        <w:rPr>
          <w:rFonts w:hint="eastAsia" w:ascii="宋体" w:hAnsi="宋体" w:eastAsia="宋体" w:cs="宋体"/>
          <w:b/>
          <w:bCs/>
          <w:color w:val="000000"/>
          <w:w w:val="99"/>
          <w:kern w:val="0"/>
          <w:sz w:val="21"/>
          <w:szCs w:val="21"/>
          <w:highlight w:val="none"/>
          <w:shd w:val="clear" w:color="auto" w:fill="auto"/>
          <w:lang w:val="en-US" w:eastAsia="zh-CN"/>
        </w:rPr>
        <w:t>5、</w:t>
      </w:r>
      <w:r>
        <w:rPr>
          <w:rFonts w:hint="eastAsia" w:ascii="宋体" w:hAnsi="宋体" w:eastAsia="宋体" w:cs="宋体"/>
          <w:b/>
          <w:bCs/>
          <w:color w:val="000000"/>
          <w:w w:val="99"/>
          <w:kern w:val="0"/>
          <w:sz w:val="21"/>
          <w:szCs w:val="21"/>
          <w:highlight w:val="none"/>
          <w:shd w:val="clear" w:color="auto" w:fill="auto"/>
        </w:rPr>
        <w:t>供应商的法人或者其他组织营业执照等证明文件复印件（必须提供）</w:t>
      </w:r>
      <w:bookmarkEnd w:id="1905"/>
    </w:p>
    <w:p w14:paraId="3709E926">
      <w:pPr>
        <w:pStyle w:val="80"/>
        <w:pageBreakBefore w:val="0"/>
        <w:wordWrap/>
        <w:overflowPunct/>
        <w:topLinePunct w:val="0"/>
        <w:bidi w:val="0"/>
        <w:snapToGrid/>
        <w:spacing w:beforeAutospacing="0" w:afterAutospacing="0" w:line="360" w:lineRule="auto"/>
        <w:ind w:left="0" w:right="0" w:firstLine="0" w:firstLineChars="0"/>
        <w:rPr>
          <w:rFonts w:hint="eastAsia" w:ascii="宋体" w:hAnsi="宋体" w:eastAsia="宋体" w:cs="宋体"/>
          <w:bCs/>
          <w:color w:val="000000"/>
          <w:sz w:val="21"/>
          <w:szCs w:val="21"/>
          <w:highlight w:val="none"/>
          <w:shd w:val="clear" w:color="auto" w:fill="auto"/>
        </w:rPr>
      </w:pPr>
      <w:r>
        <w:rPr>
          <w:rFonts w:hint="eastAsia" w:ascii="宋体" w:hAnsi="宋体" w:eastAsia="宋体" w:cs="宋体"/>
          <w:bCs/>
          <w:color w:val="000000"/>
          <w:sz w:val="21"/>
          <w:szCs w:val="21"/>
          <w:highlight w:val="none"/>
          <w:shd w:val="clear" w:color="auto" w:fill="auto"/>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6AD37B51">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p w14:paraId="5E78961F">
      <w:pPr>
        <w:pageBreakBefore w:val="0"/>
        <w:numPr>
          <w:ilvl w:val="0"/>
          <w:numId w:val="0"/>
        </w:numPr>
        <w:wordWrap/>
        <w:overflowPunct/>
        <w:topLinePunct w:val="0"/>
        <w:bidi w:val="0"/>
        <w:snapToGrid/>
        <w:spacing w:beforeAutospacing="0" w:afterAutospacing="0" w:line="360" w:lineRule="auto"/>
        <w:ind w:left="0" w:right="0"/>
        <w:outlineLvl w:val="1"/>
        <w:rPr>
          <w:rFonts w:hint="eastAsia" w:ascii="宋体" w:hAnsi="宋体" w:eastAsia="宋体" w:cs="宋体"/>
          <w:b/>
          <w:bCs/>
          <w:color w:val="000000"/>
          <w:w w:val="99"/>
          <w:kern w:val="0"/>
          <w:sz w:val="21"/>
          <w:szCs w:val="21"/>
          <w:highlight w:val="none"/>
          <w:shd w:val="clear" w:color="auto" w:fill="auto"/>
        </w:rPr>
      </w:pPr>
      <w:r>
        <w:rPr>
          <w:rFonts w:hint="eastAsia" w:ascii="宋体" w:hAnsi="宋体" w:eastAsia="宋体" w:cs="宋体"/>
          <w:b/>
          <w:bCs/>
          <w:color w:val="000000"/>
          <w:w w:val="99"/>
          <w:kern w:val="0"/>
          <w:sz w:val="21"/>
          <w:szCs w:val="21"/>
          <w:highlight w:val="none"/>
          <w:shd w:val="clear" w:color="auto" w:fill="auto"/>
        </w:rPr>
        <w:t>6</w:t>
      </w:r>
      <w:r>
        <w:rPr>
          <w:rFonts w:hint="eastAsia" w:ascii="宋体" w:hAnsi="宋体" w:eastAsia="宋体" w:cs="宋体"/>
          <w:b/>
          <w:bCs/>
          <w:color w:val="000000"/>
          <w:w w:val="99"/>
          <w:kern w:val="0"/>
          <w:sz w:val="21"/>
          <w:szCs w:val="21"/>
          <w:highlight w:val="none"/>
          <w:shd w:val="clear" w:color="auto" w:fill="auto"/>
          <w:lang w:eastAsia="zh-CN"/>
        </w:rPr>
        <w:t>、中小企业或监狱企业或残疾人福利性单位的证明材料</w:t>
      </w:r>
      <w:r>
        <w:rPr>
          <w:rFonts w:hint="eastAsia" w:ascii="宋体" w:hAnsi="宋体" w:eastAsia="宋体" w:cs="宋体"/>
          <w:b/>
          <w:bCs/>
          <w:color w:val="000000"/>
          <w:w w:val="99"/>
          <w:kern w:val="0"/>
          <w:sz w:val="21"/>
          <w:szCs w:val="21"/>
          <w:highlight w:val="none"/>
          <w:shd w:val="clear" w:color="auto" w:fill="auto"/>
        </w:rPr>
        <w:t>（必须提供）【①如属于中小企业在参加政府采购活动时，应当出具《中小企业声明函》（格式见附件），以提供的《中小企业声明函》为准，并对声明的真实性负责（中小微型企业划分标准按照《国家统计局关于印发《统计上大中小微型企业划分办法（2017）》的通知》（国统字[2017]213号）执行）；②如属于监狱企业的，应当提供由省级以上监狱管理局、戒毒管理局(含新疆生产建设兵团)出具的属于监狱企业的证明文件复印件；③如符合条件的残疾人福利性单位在参加政府采购活动时，应当提供《残疾人福利性单位声明函》（格式见附件），并对声明的真实性负责】。</w:t>
      </w:r>
    </w:p>
    <w:p w14:paraId="756C3362">
      <w:pPr>
        <w:pStyle w:val="76"/>
        <w:pageBreakBefore w:val="0"/>
        <w:wordWrap/>
        <w:overflowPunct/>
        <w:topLinePunct w:val="0"/>
        <w:bidi w:val="0"/>
        <w:snapToGrid/>
        <w:spacing w:beforeAutospacing="0" w:afterAutospacing="0" w:line="360" w:lineRule="auto"/>
        <w:ind w:left="0" w:right="0" w:firstLine="422" w:firstLineChars="200"/>
        <w:rPr>
          <w:rStyle w:val="85"/>
          <w:rFonts w:hint="eastAsia" w:ascii="宋体" w:hAnsi="宋体" w:eastAsia="宋体" w:cs="宋体"/>
          <w:b/>
          <w:color w:val="000000"/>
          <w:kern w:val="0"/>
          <w:sz w:val="21"/>
          <w:szCs w:val="21"/>
          <w:highlight w:val="none"/>
          <w:shd w:val="clear" w:color="auto" w:fill="auto"/>
        </w:rPr>
      </w:pPr>
    </w:p>
    <w:p w14:paraId="215E0324">
      <w:pPr>
        <w:pStyle w:val="20"/>
        <w:pageBreakBefore w:val="0"/>
        <w:wordWrap/>
        <w:overflowPunct/>
        <w:topLinePunct w:val="0"/>
        <w:bidi w:val="0"/>
        <w:snapToGrid/>
        <w:spacing w:beforeAutospacing="0" w:afterAutospacing="0" w:line="360" w:lineRule="auto"/>
        <w:ind w:left="0" w:right="0"/>
        <w:outlineLvl w:val="2"/>
        <w:rPr>
          <w:rStyle w:val="85"/>
          <w:rFonts w:hint="eastAsia" w:ascii="宋体" w:hAnsi="宋体" w:eastAsia="宋体" w:cs="宋体"/>
          <w:b/>
          <w:color w:val="000000"/>
          <w:kern w:val="0"/>
          <w:sz w:val="21"/>
          <w:szCs w:val="21"/>
          <w:highlight w:val="none"/>
          <w:shd w:val="clear" w:color="auto" w:fill="auto"/>
        </w:rPr>
      </w:pPr>
      <w:r>
        <w:rPr>
          <w:rStyle w:val="85"/>
          <w:rFonts w:hint="eastAsia" w:ascii="宋体" w:hAnsi="宋体" w:eastAsia="宋体" w:cs="宋体"/>
          <w:b/>
          <w:color w:val="000000"/>
          <w:kern w:val="0"/>
          <w:sz w:val="21"/>
          <w:szCs w:val="21"/>
          <w:highlight w:val="none"/>
          <w:shd w:val="clear" w:color="auto" w:fill="auto"/>
        </w:rPr>
        <w:br w:type="page"/>
      </w:r>
      <w:r>
        <w:rPr>
          <w:rStyle w:val="85"/>
          <w:rFonts w:hint="eastAsia" w:ascii="宋体" w:hAnsi="宋体" w:eastAsia="宋体" w:cs="宋体"/>
          <w:b/>
          <w:color w:val="000000"/>
          <w:kern w:val="0"/>
          <w:sz w:val="21"/>
          <w:szCs w:val="21"/>
          <w:highlight w:val="none"/>
          <w:shd w:val="clear" w:color="auto" w:fill="auto"/>
        </w:rPr>
        <w:t>①如属于中小企业在参加政府采购活动时，应当出具《中小企业声明函》（格式见附件），以提供的《中小企业声明函》为准，并对声明的真实性负责（中小微型企业划分标准按照《国家统计局关于印发《统计上大中小微型企业划分办法（2017）》的通知》（国统字[2017]213号）执行）。</w:t>
      </w:r>
    </w:p>
    <w:p w14:paraId="380C1F00">
      <w:pPr>
        <w:pStyle w:val="20"/>
        <w:pageBreakBefore w:val="0"/>
        <w:wordWrap/>
        <w:overflowPunct/>
        <w:topLinePunct w:val="0"/>
        <w:bidi w:val="0"/>
        <w:snapToGrid/>
        <w:spacing w:beforeAutospacing="0" w:afterAutospacing="0" w:line="360" w:lineRule="auto"/>
        <w:ind w:left="0" w:right="0" w:firstLine="422" w:firstLineChars="200"/>
        <w:rPr>
          <w:rFonts w:hint="eastAsia" w:ascii="宋体" w:hAnsi="宋体" w:eastAsia="宋体" w:cs="宋体"/>
          <w:b/>
          <w:bCs/>
          <w:color w:val="000000"/>
          <w:sz w:val="21"/>
          <w:szCs w:val="21"/>
          <w:highlight w:val="none"/>
          <w:shd w:val="clear" w:color="auto" w:fill="auto"/>
        </w:rPr>
      </w:pPr>
      <w:r>
        <w:rPr>
          <w:rFonts w:hint="eastAsia" w:ascii="宋体" w:hAnsi="宋体" w:eastAsia="宋体" w:cs="宋体"/>
          <w:b/>
          <w:bCs/>
          <w:color w:val="000000"/>
          <w:sz w:val="21"/>
          <w:szCs w:val="21"/>
          <w:highlight w:val="none"/>
          <w:shd w:val="clear" w:color="auto" w:fill="auto"/>
        </w:rPr>
        <w:t>附件：</w:t>
      </w:r>
    </w:p>
    <w:p w14:paraId="5289C77A">
      <w:pPr>
        <w:pStyle w:val="20"/>
        <w:pageBreakBefore w:val="0"/>
        <w:wordWrap/>
        <w:overflowPunct/>
        <w:topLinePunct w:val="0"/>
        <w:bidi w:val="0"/>
        <w:snapToGrid/>
        <w:spacing w:beforeAutospacing="0" w:afterAutospacing="0" w:line="360" w:lineRule="auto"/>
        <w:ind w:left="0" w:right="0"/>
        <w:jc w:val="center"/>
        <w:rPr>
          <w:rFonts w:hint="eastAsia" w:ascii="宋体" w:hAnsi="宋体" w:eastAsia="宋体" w:cs="宋体"/>
          <w:b/>
          <w:bCs/>
          <w:color w:val="000000"/>
          <w:sz w:val="21"/>
          <w:szCs w:val="21"/>
          <w:highlight w:val="none"/>
          <w:shd w:val="clear" w:color="auto" w:fill="auto"/>
        </w:rPr>
      </w:pPr>
      <w:r>
        <w:rPr>
          <w:rFonts w:hint="eastAsia" w:ascii="宋体" w:hAnsi="宋体" w:eastAsia="宋体" w:cs="宋体"/>
          <w:b/>
          <w:bCs/>
          <w:color w:val="000000"/>
          <w:sz w:val="21"/>
          <w:szCs w:val="21"/>
          <w:highlight w:val="none"/>
          <w:shd w:val="clear" w:color="auto" w:fill="auto"/>
        </w:rPr>
        <w:t>中小企业声明函</w:t>
      </w:r>
    </w:p>
    <w:p w14:paraId="4D06AE16">
      <w:pPr>
        <w:pStyle w:val="20"/>
        <w:pageBreakBefore w:val="0"/>
        <w:wordWrap/>
        <w:overflowPunct/>
        <w:topLinePunct w:val="0"/>
        <w:bidi w:val="0"/>
        <w:snapToGrid/>
        <w:spacing w:beforeAutospacing="0" w:afterAutospacing="0" w:line="360" w:lineRule="auto"/>
        <w:ind w:left="0" w:right="0" w:firstLine="444" w:firstLineChars="200"/>
        <w:rPr>
          <w:rFonts w:hint="eastAsia" w:ascii="宋体" w:hAnsi="宋体" w:eastAsia="宋体" w:cs="宋体"/>
          <w:color w:val="000000"/>
          <w:spacing w:val="6"/>
          <w:sz w:val="21"/>
          <w:szCs w:val="21"/>
          <w:highlight w:val="none"/>
          <w:shd w:val="clear" w:color="auto" w:fill="auto"/>
        </w:rPr>
      </w:pPr>
      <w:r>
        <w:rPr>
          <w:rFonts w:hint="eastAsia" w:ascii="宋体" w:hAnsi="宋体" w:eastAsia="宋体" w:cs="宋体"/>
          <w:color w:val="000000"/>
          <w:spacing w:val="6"/>
          <w:sz w:val="21"/>
          <w:szCs w:val="21"/>
          <w:highlight w:val="none"/>
          <w:shd w:val="clear" w:color="auto" w:fill="auto"/>
        </w:rPr>
        <w:t>本公司（联合体）郑重声明，根据《政府采购促进中小企业发展管理办法》（财库﹝2020﹞46 号）的规定，本公司参加（</w:t>
      </w:r>
      <w:r>
        <w:rPr>
          <w:rFonts w:hint="eastAsia" w:ascii="宋体" w:hAnsi="宋体" w:eastAsia="宋体" w:cs="宋体"/>
          <w:color w:val="000000"/>
          <w:spacing w:val="6"/>
          <w:sz w:val="21"/>
          <w:szCs w:val="21"/>
          <w:highlight w:val="none"/>
          <w:u w:val="single"/>
          <w:shd w:val="clear" w:color="auto" w:fill="auto"/>
        </w:rPr>
        <w:t>单位名称</w:t>
      </w:r>
      <w:r>
        <w:rPr>
          <w:rFonts w:hint="eastAsia" w:ascii="宋体" w:hAnsi="宋体" w:eastAsia="宋体" w:cs="宋体"/>
          <w:color w:val="000000"/>
          <w:spacing w:val="6"/>
          <w:sz w:val="21"/>
          <w:szCs w:val="21"/>
          <w:highlight w:val="none"/>
          <w:shd w:val="clear" w:color="auto" w:fill="auto"/>
        </w:rPr>
        <w:t>）的（</w:t>
      </w:r>
      <w:r>
        <w:rPr>
          <w:rFonts w:hint="eastAsia" w:ascii="宋体" w:hAnsi="宋体" w:eastAsia="宋体" w:cs="宋体"/>
          <w:color w:val="000000"/>
          <w:spacing w:val="6"/>
          <w:sz w:val="21"/>
          <w:szCs w:val="21"/>
          <w:highlight w:val="none"/>
          <w:u w:val="single"/>
          <w:shd w:val="clear" w:color="auto" w:fill="auto"/>
        </w:rPr>
        <w:t>项目名称</w:t>
      </w:r>
      <w:r>
        <w:rPr>
          <w:rFonts w:hint="eastAsia" w:ascii="宋体" w:hAnsi="宋体" w:eastAsia="宋体" w:cs="宋体"/>
          <w:color w:val="000000"/>
          <w:spacing w:val="6"/>
          <w:sz w:val="21"/>
          <w:szCs w:val="21"/>
          <w:highlight w:val="none"/>
          <w:shd w:val="clear" w:color="auto" w:fill="auto"/>
        </w:rPr>
        <w:t>）采购活动，项目的工程全部为符合政策要求的中小企业（或者：服务、工程全部由符合政策要求的中小企业承接）。相关企业（含联合体中的中小企业、签订分包意向协议的中小企业）的具体情况如下：</w:t>
      </w:r>
    </w:p>
    <w:p w14:paraId="6BBAF103">
      <w:pPr>
        <w:pStyle w:val="20"/>
        <w:pageBreakBefore w:val="0"/>
        <w:wordWrap/>
        <w:overflowPunct/>
        <w:topLinePunct w:val="0"/>
        <w:bidi w:val="0"/>
        <w:snapToGrid/>
        <w:spacing w:beforeAutospacing="0" w:afterAutospacing="0" w:line="360" w:lineRule="auto"/>
        <w:ind w:left="0" w:right="0" w:firstLine="444" w:firstLineChars="200"/>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pacing w:val="6"/>
          <w:sz w:val="21"/>
          <w:szCs w:val="21"/>
          <w:highlight w:val="none"/>
          <w:shd w:val="clear" w:color="auto" w:fill="auto"/>
        </w:rPr>
        <w:t>1.</w:t>
      </w:r>
      <w:r>
        <w:rPr>
          <w:rFonts w:hint="eastAsia" w:ascii="宋体" w:hAnsi="宋体" w:eastAsia="宋体" w:cs="宋体"/>
          <w:color w:val="000000"/>
          <w:spacing w:val="6"/>
          <w:sz w:val="21"/>
          <w:szCs w:val="21"/>
          <w:highlight w:val="none"/>
          <w:u w:val="single"/>
          <w:shd w:val="clear" w:color="auto" w:fill="auto"/>
        </w:rPr>
        <w:t xml:space="preserve">（标的名称） </w:t>
      </w:r>
      <w:r>
        <w:rPr>
          <w:rFonts w:hint="eastAsia" w:ascii="宋体" w:hAnsi="宋体" w:eastAsia="宋体" w:cs="宋体"/>
          <w:color w:val="000000"/>
          <w:spacing w:val="6"/>
          <w:sz w:val="21"/>
          <w:szCs w:val="21"/>
          <w:highlight w:val="none"/>
          <w:shd w:val="clear" w:color="auto" w:fill="auto"/>
        </w:rPr>
        <w:t>，属于</w:t>
      </w:r>
      <w:r>
        <w:rPr>
          <w:rFonts w:hint="eastAsia" w:ascii="宋体" w:hAnsi="宋体" w:eastAsia="宋体" w:cs="宋体"/>
          <w:color w:val="000000"/>
          <w:spacing w:val="6"/>
          <w:sz w:val="21"/>
          <w:szCs w:val="21"/>
          <w:highlight w:val="none"/>
          <w:u w:val="single"/>
          <w:shd w:val="clear" w:color="auto" w:fill="auto"/>
        </w:rPr>
        <w:t>（采购文件中明确的所属行业）</w:t>
      </w:r>
      <w:r>
        <w:rPr>
          <w:rFonts w:hint="eastAsia" w:ascii="宋体" w:hAnsi="宋体" w:eastAsia="宋体" w:cs="宋体"/>
          <w:color w:val="000000"/>
          <w:spacing w:val="6"/>
          <w:sz w:val="21"/>
          <w:szCs w:val="21"/>
          <w:highlight w:val="none"/>
          <w:shd w:val="clear" w:color="auto" w:fill="auto"/>
        </w:rPr>
        <w:t>； 承建（承接）企业为</w:t>
      </w:r>
      <w:r>
        <w:rPr>
          <w:rFonts w:hint="eastAsia" w:ascii="宋体" w:hAnsi="宋体" w:eastAsia="宋体" w:cs="宋体"/>
          <w:color w:val="000000"/>
          <w:spacing w:val="6"/>
          <w:sz w:val="21"/>
          <w:szCs w:val="21"/>
          <w:highlight w:val="none"/>
          <w:u w:val="single"/>
          <w:shd w:val="clear" w:color="auto" w:fill="auto"/>
        </w:rPr>
        <w:t xml:space="preserve"> （企业名称） </w:t>
      </w:r>
      <w:r>
        <w:rPr>
          <w:rFonts w:hint="eastAsia" w:ascii="宋体" w:hAnsi="宋体" w:eastAsia="宋体" w:cs="宋体"/>
          <w:color w:val="000000"/>
          <w:spacing w:val="6"/>
          <w:sz w:val="21"/>
          <w:szCs w:val="21"/>
          <w:highlight w:val="none"/>
          <w:shd w:val="clear" w:color="auto" w:fill="auto"/>
        </w:rPr>
        <w:t>，从业人员</w:t>
      </w:r>
      <w:r>
        <w:rPr>
          <w:rFonts w:hint="eastAsia" w:ascii="宋体" w:hAnsi="宋体" w:eastAsia="宋体" w:cs="宋体"/>
          <w:color w:val="000000"/>
          <w:spacing w:val="6"/>
          <w:sz w:val="21"/>
          <w:szCs w:val="21"/>
          <w:highlight w:val="none"/>
          <w:u w:val="single"/>
          <w:shd w:val="clear" w:color="auto" w:fill="auto"/>
        </w:rPr>
        <w:t xml:space="preserve">     </w:t>
      </w:r>
      <w:r>
        <w:rPr>
          <w:rFonts w:hint="eastAsia" w:ascii="宋体" w:hAnsi="宋体" w:eastAsia="宋体" w:cs="宋体"/>
          <w:color w:val="000000"/>
          <w:spacing w:val="6"/>
          <w:sz w:val="21"/>
          <w:szCs w:val="21"/>
          <w:highlight w:val="none"/>
          <w:shd w:val="clear" w:color="auto" w:fill="auto"/>
        </w:rPr>
        <w:t>人，营业收入为</w:t>
      </w:r>
      <w:r>
        <w:rPr>
          <w:rFonts w:hint="eastAsia" w:ascii="宋体" w:hAnsi="宋体" w:eastAsia="宋体" w:cs="宋体"/>
          <w:color w:val="000000"/>
          <w:spacing w:val="6"/>
          <w:sz w:val="21"/>
          <w:szCs w:val="21"/>
          <w:highlight w:val="none"/>
          <w:u w:val="single"/>
          <w:shd w:val="clear" w:color="auto" w:fill="auto"/>
        </w:rPr>
        <w:t xml:space="preserve">      </w:t>
      </w:r>
      <w:r>
        <w:rPr>
          <w:rFonts w:hint="eastAsia" w:ascii="宋体" w:hAnsi="宋体" w:eastAsia="宋体" w:cs="宋体"/>
          <w:color w:val="000000"/>
          <w:spacing w:val="6"/>
          <w:sz w:val="21"/>
          <w:szCs w:val="21"/>
          <w:highlight w:val="none"/>
          <w:shd w:val="clear" w:color="auto" w:fill="auto"/>
        </w:rPr>
        <w:t>万元，资产总额为</w:t>
      </w:r>
      <w:r>
        <w:rPr>
          <w:rFonts w:hint="eastAsia" w:ascii="宋体" w:hAnsi="宋体" w:eastAsia="宋体" w:cs="宋体"/>
          <w:color w:val="000000"/>
          <w:spacing w:val="6"/>
          <w:sz w:val="21"/>
          <w:szCs w:val="21"/>
          <w:highlight w:val="none"/>
          <w:u w:val="single"/>
          <w:shd w:val="clear" w:color="auto" w:fill="auto"/>
        </w:rPr>
        <w:t xml:space="preserve">      </w:t>
      </w:r>
      <w:r>
        <w:rPr>
          <w:rFonts w:hint="eastAsia" w:ascii="宋体" w:hAnsi="宋体" w:eastAsia="宋体" w:cs="宋体"/>
          <w:color w:val="000000"/>
          <w:spacing w:val="6"/>
          <w:sz w:val="21"/>
          <w:szCs w:val="21"/>
          <w:highlight w:val="none"/>
          <w:shd w:val="clear" w:color="auto" w:fill="auto"/>
        </w:rPr>
        <w:t>万元，属于（</w:t>
      </w:r>
      <w:r>
        <w:rPr>
          <w:rFonts w:hint="eastAsia" w:ascii="宋体" w:hAnsi="宋体" w:eastAsia="宋体" w:cs="宋体"/>
          <w:color w:val="000000"/>
          <w:spacing w:val="6"/>
          <w:sz w:val="21"/>
          <w:szCs w:val="21"/>
          <w:highlight w:val="none"/>
          <w:u w:val="single"/>
          <w:shd w:val="clear" w:color="auto" w:fill="auto"/>
        </w:rPr>
        <w:t>中型企业、小型企业、微型企业</w:t>
      </w:r>
      <w:r>
        <w:rPr>
          <w:rFonts w:hint="eastAsia" w:ascii="宋体" w:hAnsi="宋体" w:eastAsia="宋体" w:cs="宋体"/>
          <w:color w:val="000000"/>
          <w:spacing w:val="6"/>
          <w:sz w:val="21"/>
          <w:szCs w:val="21"/>
          <w:highlight w:val="none"/>
          <w:shd w:val="clear" w:color="auto" w:fill="auto"/>
        </w:rPr>
        <w:t>）；</w:t>
      </w:r>
    </w:p>
    <w:p w14:paraId="0D9AD56E">
      <w:pPr>
        <w:pageBreakBefore w:val="0"/>
        <w:widowControl/>
        <w:wordWrap/>
        <w:overflowPunct/>
        <w:topLinePunct w:val="0"/>
        <w:bidi w:val="0"/>
        <w:snapToGrid/>
        <w:spacing w:beforeAutospacing="0" w:afterAutospacing="0" w:line="360" w:lineRule="auto"/>
        <w:ind w:left="0" w:right="0" w:firstLine="444" w:firstLineChars="200"/>
        <w:jc w:val="left"/>
        <w:rPr>
          <w:rFonts w:hint="eastAsia" w:ascii="宋体" w:hAnsi="宋体" w:eastAsia="宋体" w:cs="宋体"/>
          <w:color w:val="000000"/>
          <w:spacing w:val="6"/>
          <w:sz w:val="21"/>
          <w:szCs w:val="21"/>
          <w:highlight w:val="none"/>
          <w:shd w:val="clear" w:color="auto" w:fill="auto"/>
        </w:rPr>
      </w:pPr>
      <w:r>
        <w:rPr>
          <w:rFonts w:hint="eastAsia" w:ascii="宋体" w:hAnsi="宋体" w:eastAsia="宋体" w:cs="宋体"/>
          <w:color w:val="000000"/>
          <w:spacing w:val="6"/>
          <w:sz w:val="21"/>
          <w:szCs w:val="21"/>
          <w:highlight w:val="none"/>
          <w:shd w:val="clear" w:color="auto" w:fill="auto"/>
        </w:rPr>
        <w:t>2.</w:t>
      </w:r>
      <w:r>
        <w:rPr>
          <w:rFonts w:hint="eastAsia" w:ascii="宋体" w:hAnsi="宋体" w:eastAsia="宋体" w:cs="宋体"/>
          <w:color w:val="000000"/>
          <w:spacing w:val="6"/>
          <w:sz w:val="21"/>
          <w:szCs w:val="21"/>
          <w:highlight w:val="none"/>
          <w:u w:val="single"/>
          <w:shd w:val="clear" w:color="auto" w:fill="auto"/>
        </w:rPr>
        <w:t xml:space="preserve">（标的名称） </w:t>
      </w:r>
      <w:r>
        <w:rPr>
          <w:rFonts w:hint="eastAsia" w:ascii="宋体" w:hAnsi="宋体" w:eastAsia="宋体" w:cs="宋体"/>
          <w:color w:val="000000"/>
          <w:spacing w:val="6"/>
          <w:sz w:val="21"/>
          <w:szCs w:val="21"/>
          <w:highlight w:val="none"/>
          <w:shd w:val="clear" w:color="auto" w:fill="auto"/>
        </w:rPr>
        <w:t>，属于</w:t>
      </w:r>
      <w:r>
        <w:rPr>
          <w:rFonts w:hint="eastAsia" w:ascii="宋体" w:hAnsi="宋体" w:eastAsia="宋体" w:cs="宋体"/>
          <w:color w:val="000000"/>
          <w:spacing w:val="6"/>
          <w:sz w:val="21"/>
          <w:szCs w:val="21"/>
          <w:highlight w:val="none"/>
          <w:u w:val="single"/>
          <w:shd w:val="clear" w:color="auto" w:fill="auto"/>
        </w:rPr>
        <w:t>（采购文件中明确的所属行业）</w:t>
      </w:r>
      <w:r>
        <w:rPr>
          <w:rFonts w:hint="eastAsia" w:ascii="宋体" w:hAnsi="宋体" w:eastAsia="宋体" w:cs="宋体"/>
          <w:color w:val="000000"/>
          <w:spacing w:val="6"/>
          <w:sz w:val="21"/>
          <w:szCs w:val="21"/>
          <w:highlight w:val="none"/>
          <w:shd w:val="clear" w:color="auto" w:fill="auto"/>
        </w:rPr>
        <w:t>；承建（承接）企业为（</w:t>
      </w:r>
      <w:r>
        <w:rPr>
          <w:rFonts w:hint="eastAsia" w:ascii="宋体" w:hAnsi="宋体" w:eastAsia="宋体" w:cs="宋体"/>
          <w:color w:val="000000"/>
          <w:spacing w:val="6"/>
          <w:sz w:val="21"/>
          <w:szCs w:val="21"/>
          <w:highlight w:val="none"/>
          <w:u w:val="single"/>
          <w:shd w:val="clear" w:color="auto" w:fill="auto"/>
        </w:rPr>
        <w:t>企业名称</w:t>
      </w:r>
      <w:r>
        <w:rPr>
          <w:rFonts w:hint="eastAsia" w:ascii="宋体" w:hAnsi="宋体" w:eastAsia="宋体" w:cs="宋体"/>
          <w:color w:val="000000"/>
          <w:spacing w:val="6"/>
          <w:sz w:val="21"/>
          <w:szCs w:val="21"/>
          <w:highlight w:val="none"/>
          <w:shd w:val="clear" w:color="auto" w:fill="auto"/>
        </w:rPr>
        <w:t>），从业人员</w:t>
      </w:r>
      <w:r>
        <w:rPr>
          <w:rFonts w:hint="eastAsia" w:ascii="宋体" w:hAnsi="宋体" w:eastAsia="宋体" w:cs="宋体"/>
          <w:color w:val="000000"/>
          <w:spacing w:val="6"/>
          <w:sz w:val="21"/>
          <w:szCs w:val="21"/>
          <w:highlight w:val="none"/>
          <w:u w:val="single"/>
          <w:shd w:val="clear" w:color="auto" w:fill="auto"/>
        </w:rPr>
        <w:t xml:space="preserve">      </w:t>
      </w:r>
      <w:r>
        <w:rPr>
          <w:rFonts w:hint="eastAsia" w:ascii="宋体" w:hAnsi="宋体" w:eastAsia="宋体" w:cs="宋体"/>
          <w:color w:val="000000"/>
          <w:spacing w:val="6"/>
          <w:sz w:val="21"/>
          <w:szCs w:val="21"/>
          <w:highlight w:val="none"/>
          <w:shd w:val="clear" w:color="auto" w:fill="auto"/>
        </w:rPr>
        <w:t>人，营业收入为</w:t>
      </w:r>
      <w:r>
        <w:rPr>
          <w:rFonts w:hint="eastAsia" w:ascii="宋体" w:hAnsi="宋体" w:eastAsia="宋体" w:cs="宋体"/>
          <w:color w:val="000000"/>
          <w:spacing w:val="6"/>
          <w:sz w:val="21"/>
          <w:szCs w:val="21"/>
          <w:highlight w:val="none"/>
          <w:u w:val="single"/>
          <w:shd w:val="clear" w:color="auto" w:fill="auto"/>
        </w:rPr>
        <w:t xml:space="preserve">      </w:t>
      </w:r>
      <w:r>
        <w:rPr>
          <w:rFonts w:hint="eastAsia" w:ascii="宋体" w:hAnsi="宋体" w:eastAsia="宋体" w:cs="宋体"/>
          <w:color w:val="000000"/>
          <w:spacing w:val="6"/>
          <w:sz w:val="21"/>
          <w:szCs w:val="21"/>
          <w:highlight w:val="none"/>
          <w:shd w:val="clear" w:color="auto" w:fill="auto"/>
        </w:rPr>
        <w:t>万元，资产总额为</w:t>
      </w:r>
      <w:r>
        <w:rPr>
          <w:rFonts w:hint="eastAsia" w:ascii="宋体" w:hAnsi="宋体" w:eastAsia="宋体" w:cs="宋体"/>
          <w:color w:val="000000"/>
          <w:spacing w:val="6"/>
          <w:sz w:val="21"/>
          <w:szCs w:val="21"/>
          <w:highlight w:val="none"/>
          <w:u w:val="single"/>
          <w:shd w:val="clear" w:color="auto" w:fill="auto"/>
        </w:rPr>
        <w:t xml:space="preserve">      </w:t>
      </w:r>
      <w:r>
        <w:rPr>
          <w:rFonts w:hint="eastAsia" w:ascii="宋体" w:hAnsi="宋体" w:eastAsia="宋体" w:cs="宋体"/>
          <w:color w:val="000000"/>
          <w:spacing w:val="6"/>
          <w:sz w:val="21"/>
          <w:szCs w:val="21"/>
          <w:highlight w:val="none"/>
          <w:shd w:val="clear" w:color="auto" w:fill="auto"/>
        </w:rPr>
        <w:t>万元，属于（</w:t>
      </w:r>
      <w:r>
        <w:rPr>
          <w:rFonts w:hint="eastAsia" w:ascii="宋体" w:hAnsi="宋体" w:eastAsia="宋体" w:cs="宋体"/>
          <w:color w:val="000000"/>
          <w:spacing w:val="6"/>
          <w:sz w:val="21"/>
          <w:szCs w:val="21"/>
          <w:highlight w:val="none"/>
          <w:u w:val="single"/>
          <w:shd w:val="clear" w:color="auto" w:fill="auto"/>
        </w:rPr>
        <w:t>中型企业、小型企业、微型企业</w:t>
      </w:r>
      <w:r>
        <w:rPr>
          <w:rFonts w:hint="eastAsia" w:ascii="宋体" w:hAnsi="宋体" w:eastAsia="宋体" w:cs="宋体"/>
          <w:color w:val="000000"/>
          <w:spacing w:val="6"/>
          <w:sz w:val="21"/>
          <w:szCs w:val="21"/>
          <w:highlight w:val="none"/>
          <w:shd w:val="clear" w:color="auto" w:fill="auto"/>
        </w:rPr>
        <w:t>）；</w:t>
      </w:r>
    </w:p>
    <w:p w14:paraId="5DF19555">
      <w:pPr>
        <w:pStyle w:val="11"/>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w:t>
      </w:r>
    </w:p>
    <w:p w14:paraId="61DD94CE">
      <w:pPr>
        <w:pageBreakBefore w:val="0"/>
        <w:widowControl/>
        <w:wordWrap/>
        <w:overflowPunct/>
        <w:topLinePunct w:val="0"/>
        <w:bidi w:val="0"/>
        <w:snapToGrid/>
        <w:spacing w:beforeAutospacing="0" w:afterAutospacing="0" w:line="360" w:lineRule="auto"/>
        <w:ind w:left="0" w:right="0" w:firstLine="444" w:firstLineChars="200"/>
        <w:jc w:val="left"/>
        <w:rPr>
          <w:rFonts w:hint="eastAsia" w:ascii="宋体" w:hAnsi="宋体" w:eastAsia="宋体" w:cs="宋体"/>
          <w:color w:val="000000"/>
          <w:spacing w:val="6"/>
          <w:sz w:val="21"/>
          <w:szCs w:val="21"/>
          <w:highlight w:val="none"/>
          <w:shd w:val="clear" w:color="auto" w:fill="auto"/>
        </w:rPr>
      </w:pPr>
      <w:r>
        <w:rPr>
          <w:rFonts w:hint="eastAsia" w:ascii="宋体" w:hAnsi="宋体" w:eastAsia="宋体" w:cs="宋体"/>
          <w:color w:val="000000"/>
          <w:spacing w:val="6"/>
          <w:sz w:val="21"/>
          <w:szCs w:val="21"/>
          <w:highlight w:val="none"/>
          <w:shd w:val="clear" w:color="auto" w:fill="auto"/>
        </w:rPr>
        <w:t>以上企业，不属于大企业的分支机构，不存在控股股东为大企业的情形，也不存在与大企业的负责人为同一人的情形。</w:t>
      </w:r>
    </w:p>
    <w:p w14:paraId="5938BC13">
      <w:pPr>
        <w:pageBreakBefore w:val="0"/>
        <w:widowControl/>
        <w:wordWrap/>
        <w:overflowPunct/>
        <w:topLinePunct w:val="0"/>
        <w:bidi w:val="0"/>
        <w:snapToGrid/>
        <w:spacing w:beforeAutospacing="0" w:afterAutospacing="0" w:line="360" w:lineRule="auto"/>
        <w:ind w:left="0" w:right="0" w:firstLine="444" w:firstLineChars="200"/>
        <w:jc w:val="left"/>
        <w:rPr>
          <w:rFonts w:hint="eastAsia" w:ascii="宋体" w:hAnsi="宋体" w:eastAsia="宋体" w:cs="宋体"/>
          <w:color w:val="000000"/>
          <w:spacing w:val="6"/>
          <w:sz w:val="21"/>
          <w:szCs w:val="21"/>
          <w:highlight w:val="none"/>
          <w:shd w:val="clear" w:color="auto" w:fill="auto"/>
        </w:rPr>
      </w:pPr>
      <w:r>
        <w:rPr>
          <w:rFonts w:hint="eastAsia" w:ascii="宋体" w:hAnsi="宋体" w:eastAsia="宋体" w:cs="宋体"/>
          <w:color w:val="000000"/>
          <w:spacing w:val="6"/>
          <w:sz w:val="21"/>
          <w:szCs w:val="21"/>
          <w:highlight w:val="none"/>
          <w:shd w:val="clear" w:color="auto" w:fill="auto"/>
        </w:rPr>
        <w:t xml:space="preserve">本企业对上述声明内容的真实性负责。如有虚假，将依法承担相应责任。 </w:t>
      </w:r>
    </w:p>
    <w:p w14:paraId="7B09A5A2">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sz w:val="21"/>
          <w:szCs w:val="21"/>
          <w:highlight w:val="none"/>
          <w:u w:val="single"/>
          <w:shd w:val="clear" w:color="auto" w:fill="auto"/>
        </w:rPr>
      </w:pPr>
      <w:r>
        <w:rPr>
          <w:rFonts w:hint="eastAsia" w:ascii="宋体" w:hAnsi="宋体" w:eastAsia="宋体" w:cs="宋体"/>
          <w:color w:val="000000"/>
          <w:sz w:val="21"/>
          <w:szCs w:val="21"/>
          <w:highlight w:val="none"/>
          <w:shd w:val="clear" w:color="auto" w:fill="auto"/>
        </w:rPr>
        <w:t>单位名称（CA签章）：</w:t>
      </w:r>
      <w:r>
        <w:rPr>
          <w:rFonts w:hint="eastAsia" w:ascii="宋体" w:hAnsi="宋体" w:eastAsia="宋体" w:cs="宋体"/>
          <w:color w:val="000000"/>
          <w:sz w:val="21"/>
          <w:szCs w:val="21"/>
          <w:highlight w:val="none"/>
          <w:u w:val="single"/>
          <w:shd w:val="clear" w:color="auto" w:fill="auto"/>
        </w:rPr>
        <w:t xml:space="preserve">          </w:t>
      </w:r>
    </w:p>
    <w:p w14:paraId="07B1E0B2">
      <w:pPr>
        <w:pageBreakBefore w:val="0"/>
        <w:wordWrap/>
        <w:overflowPunct/>
        <w:topLinePunct w:val="0"/>
        <w:bidi w:val="0"/>
        <w:snapToGrid/>
        <w:spacing w:beforeAutospacing="0" w:afterAutospacing="0" w:line="360" w:lineRule="auto"/>
        <w:ind w:left="0" w:right="0" w:firstLine="3150" w:firstLineChars="1500"/>
        <w:rPr>
          <w:rFonts w:hint="eastAsia" w:ascii="宋体" w:hAnsi="宋体" w:eastAsia="宋体" w:cs="宋体"/>
          <w:color w:val="000000"/>
          <w:sz w:val="21"/>
          <w:szCs w:val="21"/>
          <w:highlight w:val="none"/>
          <w:u w:val="single"/>
          <w:shd w:val="clear" w:color="auto" w:fill="auto"/>
        </w:rPr>
      </w:pPr>
      <w:r>
        <w:rPr>
          <w:rFonts w:hint="eastAsia" w:ascii="宋体" w:hAnsi="宋体" w:eastAsia="宋体" w:cs="宋体"/>
          <w:color w:val="000000"/>
          <w:sz w:val="21"/>
          <w:szCs w:val="21"/>
          <w:highlight w:val="none"/>
          <w:shd w:val="clear" w:color="auto" w:fill="auto"/>
        </w:rPr>
        <w:t>日  期：</w:t>
      </w:r>
      <w:r>
        <w:rPr>
          <w:rFonts w:hint="eastAsia" w:ascii="宋体" w:hAnsi="宋体" w:eastAsia="宋体" w:cs="宋体"/>
          <w:color w:val="000000"/>
          <w:sz w:val="21"/>
          <w:szCs w:val="21"/>
          <w:highlight w:val="none"/>
          <w:u w:val="single"/>
          <w:shd w:val="clear" w:color="auto" w:fill="auto"/>
        </w:rPr>
        <w:t xml:space="preserve">          </w:t>
      </w:r>
    </w:p>
    <w:p w14:paraId="0349227E">
      <w:pPr>
        <w:pageBreakBefore w:val="0"/>
        <w:wordWrap/>
        <w:overflowPunct/>
        <w:topLinePunct w:val="0"/>
        <w:bidi w:val="0"/>
        <w:snapToGrid/>
        <w:spacing w:beforeAutospacing="0" w:afterAutospacing="0" w:line="360" w:lineRule="auto"/>
        <w:ind w:left="0" w:right="0" w:firstLine="422" w:firstLineChars="200"/>
        <w:rPr>
          <w:rFonts w:hint="eastAsia" w:ascii="宋体" w:hAnsi="宋体" w:eastAsia="宋体" w:cs="宋体"/>
          <w:b/>
          <w:color w:val="000000"/>
          <w:sz w:val="21"/>
          <w:szCs w:val="21"/>
          <w:highlight w:val="none"/>
          <w:shd w:val="clear" w:color="auto" w:fill="auto"/>
        </w:rPr>
      </w:pPr>
      <w:r>
        <w:rPr>
          <w:rFonts w:hint="eastAsia" w:ascii="宋体" w:hAnsi="宋体" w:eastAsia="宋体" w:cs="宋体"/>
          <w:b/>
          <w:color w:val="000000"/>
          <w:sz w:val="21"/>
          <w:szCs w:val="21"/>
          <w:highlight w:val="none"/>
          <w:shd w:val="clear" w:color="auto" w:fill="auto"/>
        </w:rPr>
        <w:t>注：</w:t>
      </w:r>
    </w:p>
    <w:p w14:paraId="57BDF4CD">
      <w:pPr>
        <w:pageBreakBefore w:val="0"/>
        <w:wordWrap/>
        <w:overflowPunct/>
        <w:topLinePunct w:val="0"/>
        <w:bidi w:val="0"/>
        <w:snapToGrid/>
        <w:spacing w:beforeAutospacing="0" w:afterAutospacing="0" w:line="360" w:lineRule="auto"/>
        <w:ind w:left="0" w:right="0" w:firstLine="422" w:firstLineChars="200"/>
        <w:rPr>
          <w:rFonts w:hint="eastAsia" w:ascii="宋体" w:hAnsi="宋体" w:eastAsia="宋体" w:cs="宋体"/>
          <w:b/>
          <w:color w:val="000000"/>
          <w:sz w:val="21"/>
          <w:szCs w:val="21"/>
          <w:highlight w:val="none"/>
          <w:shd w:val="clear" w:color="auto" w:fill="auto"/>
        </w:rPr>
      </w:pPr>
      <w:r>
        <w:rPr>
          <w:rFonts w:hint="eastAsia" w:ascii="宋体" w:hAnsi="宋体" w:eastAsia="宋体" w:cs="宋体"/>
          <w:b/>
          <w:color w:val="000000"/>
          <w:sz w:val="21"/>
          <w:szCs w:val="21"/>
          <w:highlight w:val="none"/>
          <w:shd w:val="clear" w:color="auto" w:fill="auto"/>
        </w:rPr>
        <w:t>1.从业人员、营业收入、资产总额填报上一年度数据，无上一年度数据的新成立企业可不填报。</w:t>
      </w:r>
    </w:p>
    <w:p w14:paraId="61A8ACAF">
      <w:pPr>
        <w:pageBreakBefore w:val="0"/>
        <w:wordWrap/>
        <w:overflowPunct/>
        <w:topLinePunct w:val="0"/>
        <w:bidi w:val="0"/>
        <w:snapToGrid/>
        <w:spacing w:beforeAutospacing="0" w:afterAutospacing="0" w:line="360" w:lineRule="auto"/>
        <w:ind w:left="0" w:right="0" w:firstLine="422" w:firstLineChars="200"/>
        <w:rPr>
          <w:rFonts w:hint="eastAsia" w:ascii="宋体" w:hAnsi="宋体" w:eastAsia="宋体" w:cs="宋体"/>
          <w:b/>
          <w:color w:val="000000"/>
          <w:sz w:val="21"/>
          <w:szCs w:val="21"/>
          <w:highlight w:val="none"/>
          <w:shd w:val="clear" w:color="auto" w:fill="auto"/>
        </w:rPr>
      </w:pPr>
      <w:r>
        <w:rPr>
          <w:rFonts w:hint="eastAsia" w:ascii="宋体" w:hAnsi="宋体" w:eastAsia="宋体" w:cs="宋体"/>
          <w:b/>
          <w:color w:val="000000"/>
          <w:sz w:val="21"/>
          <w:szCs w:val="21"/>
          <w:highlight w:val="none"/>
          <w:shd w:val="clear" w:color="auto" w:fill="auto"/>
        </w:rPr>
        <w:t>2.中小企业在政府采购活动过程中，请根据自己的真实情况出具本声明函。依法享受中小企业优惠政策的，采购人或采购代理机构在公告中标结果时，同时公告其《中小企业声明函》，接受社会监督。</w:t>
      </w:r>
    </w:p>
    <w:p w14:paraId="14AF3A79">
      <w:pPr>
        <w:pStyle w:val="20"/>
        <w:pageBreakBefore w:val="0"/>
        <w:wordWrap/>
        <w:overflowPunct/>
        <w:topLinePunct w:val="0"/>
        <w:bidi w:val="0"/>
        <w:snapToGrid/>
        <w:spacing w:beforeAutospacing="0" w:afterAutospacing="0" w:line="360" w:lineRule="auto"/>
        <w:ind w:left="0" w:right="0"/>
        <w:outlineLvl w:val="9"/>
        <w:rPr>
          <w:rFonts w:hint="eastAsia" w:ascii="宋体" w:hAnsi="宋体" w:eastAsia="宋体" w:cs="宋体"/>
          <w:b/>
          <w:color w:val="000000"/>
          <w:sz w:val="21"/>
          <w:szCs w:val="21"/>
          <w:highlight w:val="none"/>
          <w:shd w:val="clear" w:color="auto" w:fill="auto"/>
        </w:rPr>
      </w:pPr>
    </w:p>
    <w:p w14:paraId="3EDDCFD3">
      <w:pPr>
        <w:pStyle w:val="11"/>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p w14:paraId="175D581C">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p w14:paraId="0D1B003E">
      <w:pPr>
        <w:pStyle w:val="16"/>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p w14:paraId="0CCCC865">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p w14:paraId="31841D4A">
      <w:pPr>
        <w:pStyle w:val="20"/>
        <w:pageBreakBefore w:val="0"/>
        <w:wordWrap/>
        <w:overflowPunct/>
        <w:topLinePunct w:val="0"/>
        <w:bidi w:val="0"/>
        <w:snapToGrid/>
        <w:spacing w:beforeAutospacing="0" w:afterAutospacing="0" w:line="360" w:lineRule="auto"/>
        <w:ind w:left="0" w:right="0"/>
        <w:outlineLvl w:val="2"/>
        <w:rPr>
          <w:rFonts w:hint="eastAsia" w:ascii="宋体" w:hAnsi="宋体" w:eastAsia="宋体" w:cs="宋体"/>
          <w:b/>
          <w:color w:val="000000"/>
          <w:sz w:val="21"/>
          <w:szCs w:val="21"/>
          <w:highlight w:val="none"/>
          <w:shd w:val="clear" w:color="auto" w:fill="auto"/>
        </w:rPr>
      </w:pPr>
      <w:r>
        <w:rPr>
          <w:rStyle w:val="85"/>
          <w:rFonts w:hint="eastAsia" w:ascii="宋体" w:hAnsi="宋体" w:eastAsia="宋体" w:cs="宋体"/>
          <w:b/>
          <w:color w:val="000000"/>
          <w:kern w:val="0"/>
          <w:sz w:val="21"/>
          <w:szCs w:val="21"/>
          <w:highlight w:val="none"/>
          <w:shd w:val="clear" w:color="auto" w:fill="auto"/>
        </w:rPr>
        <w:t>②</w:t>
      </w:r>
      <w:r>
        <w:rPr>
          <w:rFonts w:hint="eastAsia" w:ascii="宋体" w:hAnsi="宋体" w:eastAsia="宋体" w:cs="宋体"/>
          <w:b/>
          <w:color w:val="000000"/>
          <w:sz w:val="21"/>
          <w:szCs w:val="21"/>
          <w:highlight w:val="none"/>
          <w:shd w:val="clear" w:color="auto" w:fill="auto"/>
        </w:rPr>
        <w:t>如提供服务的供应商属于监狱企业的，应当提供由省级以上监狱管理局、戒毒管理局等（含新疆生产建设兵团）出具的属于监狱企业的证明文件（如有，请提供）；</w:t>
      </w:r>
    </w:p>
    <w:p w14:paraId="28F41421">
      <w:pPr>
        <w:pStyle w:val="11"/>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p w14:paraId="542FFE22">
      <w:pPr>
        <w:pStyle w:val="16"/>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p w14:paraId="7D539156">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p w14:paraId="7FC19E66">
      <w:pPr>
        <w:pStyle w:val="20"/>
        <w:pageBreakBefore w:val="0"/>
        <w:wordWrap/>
        <w:overflowPunct/>
        <w:topLinePunct w:val="0"/>
        <w:bidi w:val="0"/>
        <w:snapToGrid/>
        <w:spacing w:beforeAutospacing="0" w:afterAutospacing="0" w:line="360" w:lineRule="auto"/>
        <w:ind w:left="0" w:right="0"/>
        <w:outlineLvl w:val="2"/>
        <w:rPr>
          <w:rFonts w:hint="eastAsia" w:ascii="宋体" w:hAnsi="宋体" w:eastAsia="宋体" w:cs="宋体"/>
          <w:b/>
          <w:color w:val="000000"/>
          <w:sz w:val="21"/>
          <w:szCs w:val="21"/>
          <w:highlight w:val="none"/>
          <w:shd w:val="clear" w:color="auto" w:fill="auto"/>
        </w:rPr>
      </w:pPr>
      <w:r>
        <w:rPr>
          <w:rStyle w:val="85"/>
          <w:rFonts w:hint="eastAsia" w:ascii="宋体" w:hAnsi="宋体" w:eastAsia="宋体" w:cs="宋体"/>
          <w:b/>
          <w:color w:val="000000"/>
          <w:kern w:val="0"/>
          <w:sz w:val="21"/>
          <w:szCs w:val="21"/>
          <w:highlight w:val="none"/>
          <w:shd w:val="clear" w:color="auto" w:fill="auto"/>
        </w:rPr>
        <w:t>③</w:t>
      </w:r>
      <w:r>
        <w:rPr>
          <w:rFonts w:hint="eastAsia" w:ascii="宋体" w:hAnsi="宋体" w:eastAsia="宋体" w:cs="宋体"/>
          <w:b/>
          <w:color w:val="000000"/>
          <w:sz w:val="21"/>
          <w:szCs w:val="21"/>
          <w:highlight w:val="none"/>
          <w:shd w:val="clear" w:color="auto" w:fill="auto"/>
        </w:rPr>
        <w:t>符合条件的残疾人福利性单位在参加政府采购活动时，应当提供《残疾人福利性单位声明函》，并对声明的真实性负责（见附件）</w:t>
      </w:r>
      <w:r>
        <w:rPr>
          <w:rFonts w:hint="eastAsia" w:ascii="宋体" w:hAnsi="宋体" w:eastAsia="宋体" w:cs="宋体"/>
          <w:b/>
          <w:bCs/>
          <w:color w:val="000000"/>
          <w:sz w:val="21"/>
          <w:szCs w:val="21"/>
          <w:highlight w:val="none"/>
          <w:shd w:val="clear" w:color="auto" w:fill="auto"/>
        </w:rPr>
        <w:t>（如有，请提供）；</w:t>
      </w:r>
    </w:p>
    <w:p w14:paraId="24B81D5B">
      <w:pPr>
        <w:pStyle w:val="78"/>
        <w:pageBreakBefore w:val="0"/>
        <w:wordWrap/>
        <w:overflowPunct/>
        <w:topLinePunct w:val="0"/>
        <w:bidi w:val="0"/>
        <w:snapToGrid/>
        <w:spacing w:beforeAutospacing="0" w:afterAutospacing="0" w:line="360" w:lineRule="auto"/>
        <w:ind w:left="0" w:right="0"/>
        <w:rPr>
          <w:rFonts w:hint="eastAsia" w:ascii="宋体" w:hAnsi="宋体" w:eastAsia="宋体" w:cs="宋体"/>
          <w:b/>
          <w:color w:val="000000"/>
          <w:spacing w:val="6"/>
          <w:sz w:val="21"/>
          <w:szCs w:val="21"/>
          <w:highlight w:val="none"/>
          <w:shd w:val="clear" w:color="auto" w:fill="auto"/>
        </w:rPr>
      </w:pPr>
    </w:p>
    <w:p w14:paraId="0681B97B">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b/>
          <w:color w:val="000000"/>
          <w:spacing w:val="6"/>
          <w:sz w:val="21"/>
          <w:szCs w:val="21"/>
          <w:highlight w:val="none"/>
          <w:shd w:val="clear" w:color="auto" w:fill="auto"/>
        </w:rPr>
      </w:pPr>
      <w:r>
        <w:rPr>
          <w:rFonts w:hint="eastAsia" w:ascii="宋体" w:hAnsi="宋体" w:eastAsia="宋体" w:cs="宋体"/>
          <w:b/>
          <w:color w:val="000000"/>
          <w:spacing w:val="6"/>
          <w:sz w:val="21"/>
          <w:szCs w:val="21"/>
          <w:highlight w:val="none"/>
          <w:shd w:val="clear" w:color="auto" w:fill="auto"/>
        </w:rPr>
        <w:t>残疾人福利性单位声明函</w:t>
      </w:r>
    </w:p>
    <w:p w14:paraId="25573721">
      <w:pPr>
        <w:pageBreakBefore w:val="0"/>
        <w:wordWrap/>
        <w:overflowPunct/>
        <w:topLinePunct w:val="0"/>
        <w:bidi w:val="0"/>
        <w:snapToGrid/>
        <w:spacing w:beforeAutospacing="0" w:afterAutospacing="0" w:line="360" w:lineRule="auto"/>
        <w:ind w:left="0" w:right="0" w:firstLine="444" w:firstLineChars="200"/>
        <w:rPr>
          <w:rFonts w:hint="eastAsia" w:ascii="宋体" w:hAnsi="宋体" w:eastAsia="宋体" w:cs="宋体"/>
          <w:color w:val="000000"/>
          <w:spacing w:val="6"/>
          <w:sz w:val="21"/>
          <w:szCs w:val="21"/>
          <w:highlight w:val="none"/>
          <w:shd w:val="clear" w:color="auto" w:fill="auto"/>
        </w:rPr>
      </w:pPr>
      <w:r>
        <w:rPr>
          <w:rFonts w:hint="eastAsia" w:ascii="宋体" w:hAnsi="宋体" w:eastAsia="宋体" w:cs="宋体"/>
          <w:color w:val="000000"/>
          <w:spacing w:val="6"/>
          <w:sz w:val="21"/>
          <w:szCs w:val="21"/>
          <w:highlight w:val="none"/>
          <w:shd w:val="clear" w:color="auto" w:fill="auto"/>
        </w:rPr>
        <w:t>本单位郑重声明，根据《财政部 民政部 中国残疾人联合会关于促进残疾人就业政府采购政策的通知》（财库</w:t>
      </w:r>
      <w:r>
        <w:rPr>
          <w:rFonts w:hint="eastAsia" w:ascii="宋体" w:hAnsi="宋体" w:eastAsia="宋体" w:cs="宋体"/>
          <w:color w:val="000000"/>
          <w:sz w:val="21"/>
          <w:szCs w:val="21"/>
          <w:highlight w:val="none"/>
          <w:shd w:val="clear" w:color="auto" w:fill="auto"/>
        </w:rPr>
        <w:t>〔2017〕141</w:t>
      </w:r>
      <w:r>
        <w:rPr>
          <w:rFonts w:hint="eastAsia" w:ascii="宋体" w:hAnsi="宋体" w:eastAsia="宋体" w:cs="宋体"/>
          <w:color w:val="000000"/>
          <w:spacing w:val="6"/>
          <w:sz w:val="21"/>
          <w:szCs w:val="21"/>
          <w:highlight w:val="none"/>
          <w:shd w:val="clear" w:color="auto" w:fill="auto"/>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5EEC056">
      <w:pPr>
        <w:pageBreakBefore w:val="0"/>
        <w:wordWrap/>
        <w:overflowPunct/>
        <w:topLinePunct w:val="0"/>
        <w:bidi w:val="0"/>
        <w:snapToGrid/>
        <w:spacing w:beforeAutospacing="0" w:afterAutospacing="0" w:line="360" w:lineRule="auto"/>
        <w:ind w:left="0" w:right="0" w:firstLine="444" w:firstLineChars="200"/>
        <w:rPr>
          <w:rFonts w:hint="eastAsia" w:ascii="宋体" w:hAnsi="宋体" w:eastAsia="宋体" w:cs="宋体"/>
          <w:color w:val="000000"/>
          <w:spacing w:val="6"/>
          <w:sz w:val="21"/>
          <w:szCs w:val="21"/>
          <w:highlight w:val="none"/>
          <w:shd w:val="clear" w:color="auto" w:fill="auto"/>
        </w:rPr>
      </w:pPr>
      <w:r>
        <w:rPr>
          <w:rFonts w:hint="eastAsia" w:ascii="宋体" w:hAnsi="宋体" w:eastAsia="宋体" w:cs="宋体"/>
          <w:color w:val="000000"/>
          <w:spacing w:val="6"/>
          <w:sz w:val="21"/>
          <w:szCs w:val="21"/>
          <w:highlight w:val="none"/>
          <w:shd w:val="clear" w:color="auto" w:fill="auto"/>
        </w:rPr>
        <w:t>本单位对上述声明的真实性负责。如有虚假，将依法承担相应责任。</w:t>
      </w:r>
    </w:p>
    <w:p w14:paraId="07D5FBC2">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p w14:paraId="5711EA81">
      <w:pPr>
        <w:pageBreakBefore w:val="0"/>
        <w:tabs>
          <w:tab w:val="left" w:pos="4860"/>
        </w:tabs>
        <w:wordWrap/>
        <w:overflowPunct/>
        <w:topLinePunct w:val="0"/>
        <w:bidi w:val="0"/>
        <w:snapToGrid/>
        <w:spacing w:beforeAutospacing="0" w:afterAutospacing="0" w:line="360" w:lineRule="auto"/>
        <w:ind w:left="0" w:right="0" w:firstLine="444" w:firstLineChars="200"/>
        <w:jc w:val="center"/>
        <w:rPr>
          <w:rFonts w:hint="eastAsia" w:ascii="宋体" w:hAnsi="宋体" w:eastAsia="宋体" w:cs="宋体"/>
          <w:color w:val="000000"/>
          <w:spacing w:val="6"/>
          <w:sz w:val="21"/>
          <w:szCs w:val="21"/>
          <w:highlight w:val="none"/>
          <w:shd w:val="clear" w:color="auto" w:fill="auto"/>
        </w:rPr>
      </w:pPr>
      <w:r>
        <w:rPr>
          <w:rFonts w:hint="eastAsia" w:ascii="宋体" w:hAnsi="宋体" w:eastAsia="宋体" w:cs="宋体"/>
          <w:color w:val="000000"/>
          <w:spacing w:val="6"/>
          <w:sz w:val="21"/>
          <w:szCs w:val="21"/>
          <w:highlight w:val="none"/>
          <w:shd w:val="clear" w:color="auto" w:fill="auto"/>
        </w:rPr>
        <w:t xml:space="preserve">            单位名称（</w:t>
      </w:r>
      <w:r>
        <w:rPr>
          <w:rFonts w:hint="eastAsia" w:ascii="宋体" w:hAnsi="宋体" w:eastAsia="宋体" w:cs="宋体"/>
          <w:color w:val="000000"/>
          <w:sz w:val="21"/>
          <w:szCs w:val="21"/>
          <w:highlight w:val="none"/>
          <w:shd w:val="clear" w:color="auto" w:fill="auto"/>
        </w:rPr>
        <w:t>CA签章</w:t>
      </w:r>
      <w:r>
        <w:rPr>
          <w:rFonts w:hint="eastAsia" w:ascii="宋体" w:hAnsi="宋体" w:eastAsia="宋体" w:cs="宋体"/>
          <w:color w:val="000000"/>
          <w:spacing w:val="6"/>
          <w:sz w:val="21"/>
          <w:szCs w:val="21"/>
          <w:highlight w:val="none"/>
          <w:shd w:val="clear" w:color="auto" w:fill="auto"/>
        </w:rPr>
        <w:t>）：</w:t>
      </w:r>
    </w:p>
    <w:p w14:paraId="70CEDF42">
      <w:pPr>
        <w:pStyle w:val="20"/>
        <w:pageBreakBefore w:val="0"/>
        <w:wordWrap/>
        <w:overflowPunct/>
        <w:topLinePunct w:val="0"/>
        <w:bidi w:val="0"/>
        <w:snapToGrid/>
        <w:spacing w:beforeAutospacing="0" w:afterAutospacing="0" w:line="360" w:lineRule="auto"/>
        <w:ind w:left="0" w:right="0" w:firstLine="3552" w:firstLineChars="1600"/>
        <w:rPr>
          <w:rFonts w:hint="eastAsia" w:ascii="宋体" w:hAnsi="宋体" w:eastAsia="宋体" w:cs="宋体"/>
          <w:color w:val="000000"/>
          <w:spacing w:val="6"/>
          <w:sz w:val="21"/>
          <w:szCs w:val="21"/>
          <w:highlight w:val="none"/>
          <w:shd w:val="clear" w:color="auto" w:fill="auto"/>
        </w:rPr>
      </w:pPr>
      <w:r>
        <w:rPr>
          <w:rFonts w:hint="eastAsia" w:ascii="宋体" w:hAnsi="宋体" w:eastAsia="宋体" w:cs="宋体"/>
          <w:color w:val="000000"/>
          <w:spacing w:val="6"/>
          <w:sz w:val="21"/>
          <w:szCs w:val="21"/>
          <w:highlight w:val="none"/>
          <w:shd w:val="clear" w:color="auto" w:fill="auto"/>
        </w:rPr>
        <w:t>日    期：  年  月  日</w:t>
      </w:r>
    </w:p>
    <w:p w14:paraId="6246C30D">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pacing w:val="6"/>
          <w:sz w:val="21"/>
          <w:szCs w:val="21"/>
          <w:highlight w:val="none"/>
          <w:shd w:val="clear" w:color="auto" w:fill="auto"/>
        </w:rPr>
      </w:pPr>
    </w:p>
    <w:p w14:paraId="1E5DE001">
      <w:pPr>
        <w:pStyle w:val="16"/>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p w14:paraId="6AC00108">
      <w:pPr>
        <w:pStyle w:val="16"/>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p w14:paraId="31640F3A">
      <w:pPr>
        <w:pageBreakBefore w:val="0"/>
        <w:widowControl/>
        <w:wordWrap/>
        <w:overflowPunct/>
        <w:topLinePunct w:val="0"/>
        <w:bidi w:val="0"/>
        <w:snapToGrid/>
        <w:spacing w:beforeAutospacing="0" w:afterAutospacing="0" w:line="360" w:lineRule="auto"/>
        <w:ind w:left="0" w:right="0" w:firstLine="422" w:firstLineChars="200"/>
        <w:jc w:val="left"/>
        <w:rPr>
          <w:rFonts w:hint="eastAsia" w:ascii="宋体" w:hAnsi="宋体" w:eastAsia="宋体" w:cs="宋体"/>
          <w:b/>
          <w:color w:val="000000"/>
          <w:sz w:val="21"/>
          <w:szCs w:val="21"/>
          <w:highlight w:val="none"/>
          <w:shd w:val="clear" w:color="auto" w:fill="auto"/>
        </w:rPr>
      </w:pPr>
      <w:r>
        <w:rPr>
          <w:rFonts w:hint="eastAsia" w:ascii="宋体" w:hAnsi="宋体" w:eastAsia="宋体" w:cs="宋体"/>
          <w:b/>
          <w:color w:val="000000"/>
          <w:sz w:val="21"/>
          <w:szCs w:val="21"/>
          <w:highlight w:val="none"/>
          <w:shd w:val="clear" w:color="auto" w:fill="auto"/>
        </w:rPr>
        <w:t>注：中标人为残疾人福利性单位的，采购人或者其委托的采购代理机构应当随中标、成交结果同时公告其《残疾人福利性单位声明函》，接受社会监督。</w:t>
      </w:r>
    </w:p>
    <w:p w14:paraId="522C57E6">
      <w:pPr>
        <w:pStyle w:val="16"/>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p w14:paraId="7F7CC3EE">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p w14:paraId="3A24CDD5">
      <w:pPr>
        <w:pStyle w:val="16"/>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p w14:paraId="330876BA">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p w14:paraId="67B77A75">
      <w:pPr>
        <w:pStyle w:val="16"/>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p w14:paraId="0E905260">
      <w:pPr>
        <w:pageBreakBefore w:val="0"/>
        <w:numPr>
          <w:ilvl w:val="0"/>
          <w:numId w:val="0"/>
        </w:numPr>
        <w:wordWrap/>
        <w:overflowPunct/>
        <w:topLinePunct w:val="0"/>
        <w:bidi w:val="0"/>
        <w:snapToGrid/>
        <w:spacing w:beforeAutospacing="0" w:afterAutospacing="0" w:line="360" w:lineRule="auto"/>
        <w:ind w:left="0" w:right="0"/>
        <w:outlineLvl w:val="1"/>
        <w:rPr>
          <w:rFonts w:hint="eastAsia" w:ascii="宋体" w:hAnsi="宋体" w:eastAsia="宋体" w:cs="宋体"/>
          <w:b/>
          <w:bCs/>
          <w:color w:val="000000"/>
          <w:w w:val="99"/>
          <w:kern w:val="0"/>
          <w:sz w:val="21"/>
          <w:szCs w:val="21"/>
          <w:highlight w:val="none"/>
          <w:shd w:val="clear" w:color="auto" w:fill="auto"/>
        </w:rPr>
      </w:pPr>
      <w:bookmarkStart w:id="1906" w:name="_Toc2986"/>
      <w:r>
        <w:rPr>
          <w:rFonts w:hint="eastAsia" w:ascii="宋体" w:hAnsi="宋体" w:eastAsia="宋体" w:cs="宋体"/>
          <w:b/>
          <w:bCs/>
          <w:color w:val="000000"/>
          <w:w w:val="99"/>
          <w:kern w:val="0"/>
          <w:sz w:val="21"/>
          <w:szCs w:val="21"/>
          <w:highlight w:val="none"/>
          <w:shd w:val="clear" w:color="auto" w:fill="auto"/>
          <w:lang w:val="en-US" w:eastAsia="zh-CN"/>
        </w:rPr>
        <w:t>7、</w:t>
      </w:r>
      <w:r>
        <w:rPr>
          <w:rFonts w:hint="eastAsia" w:ascii="宋体" w:hAnsi="宋体" w:eastAsia="宋体" w:cs="宋体"/>
          <w:b/>
          <w:bCs/>
          <w:color w:val="000000"/>
          <w:w w:val="99"/>
          <w:kern w:val="0"/>
          <w:sz w:val="21"/>
          <w:szCs w:val="21"/>
          <w:highlight w:val="none"/>
          <w:shd w:val="clear" w:color="auto" w:fill="auto"/>
        </w:rPr>
        <w:t>供应商有效的资质证书复印件和安全生产许可证复印件（必须提供）</w:t>
      </w:r>
      <w:bookmarkEnd w:id="1906"/>
    </w:p>
    <w:p w14:paraId="5D7D40DE">
      <w:pPr>
        <w:pStyle w:val="16"/>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p w14:paraId="0D3F6F20">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p w14:paraId="673E1567">
      <w:pPr>
        <w:pStyle w:val="20"/>
        <w:pageBreakBefore w:val="0"/>
        <w:wordWrap/>
        <w:overflowPunct/>
        <w:topLinePunct w:val="0"/>
        <w:bidi w:val="0"/>
        <w:snapToGrid/>
        <w:spacing w:beforeAutospacing="0" w:afterAutospacing="0" w:line="360" w:lineRule="auto"/>
        <w:ind w:left="0" w:right="0"/>
        <w:outlineLvl w:val="1"/>
        <w:rPr>
          <w:rFonts w:hint="eastAsia" w:ascii="宋体" w:hAnsi="宋体" w:eastAsia="宋体" w:cs="宋体"/>
          <w:b/>
          <w:color w:val="000000"/>
          <w:sz w:val="21"/>
          <w:szCs w:val="21"/>
          <w:highlight w:val="none"/>
          <w:shd w:val="clear" w:color="auto" w:fill="auto"/>
        </w:rPr>
      </w:pPr>
      <w:bookmarkStart w:id="1907" w:name="_Toc7593"/>
      <w:bookmarkStart w:id="1908" w:name="_Toc27778"/>
      <w:r>
        <w:rPr>
          <w:rFonts w:hint="eastAsia" w:ascii="宋体" w:hAnsi="宋体" w:eastAsia="宋体" w:cs="宋体"/>
          <w:b/>
          <w:bCs/>
          <w:color w:val="000000"/>
          <w:w w:val="99"/>
          <w:kern w:val="0"/>
          <w:sz w:val="21"/>
          <w:szCs w:val="21"/>
          <w:highlight w:val="none"/>
          <w:shd w:val="clear" w:color="auto" w:fill="auto"/>
          <w:lang w:val="en-US" w:eastAsia="zh-CN"/>
        </w:rPr>
        <w:t>8</w:t>
      </w:r>
      <w:r>
        <w:rPr>
          <w:rFonts w:hint="eastAsia" w:ascii="宋体" w:hAnsi="宋体" w:eastAsia="宋体" w:cs="宋体"/>
          <w:b/>
          <w:color w:val="000000"/>
          <w:sz w:val="21"/>
          <w:szCs w:val="21"/>
          <w:highlight w:val="none"/>
          <w:shd w:val="clear" w:color="auto" w:fill="auto"/>
        </w:rPr>
        <w:t>、项目经理的注册建造师注册证书复印件、安全生产考核合格证书复印件（B类）（必须提供）；</w:t>
      </w:r>
      <w:bookmarkEnd w:id="1907"/>
    </w:p>
    <w:p w14:paraId="2C3B6DC0">
      <w:pPr>
        <w:pageBreakBefore w:val="0"/>
        <w:wordWrap/>
        <w:overflowPunct/>
        <w:topLinePunct w:val="0"/>
        <w:bidi w:val="0"/>
        <w:snapToGrid/>
        <w:spacing w:beforeAutospacing="0" w:afterAutospacing="0" w:line="360" w:lineRule="auto"/>
        <w:ind w:left="0" w:leftChars="0" w:right="0" w:firstLine="420" w:firstLineChars="200"/>
        <w:rPr>
          <w:rFonts w:hint="eastAsia" w:ascii="宋体" w:hAnsi="宋体" w:eastAsia="宋体" w:cs="宋体"/>
          <w:b w:val="0"/>
          <w:bCs w:val="0"/>
          <w:color w:val="000000"/>
          <w:w w:val="99"/>
          <w:kern w:val="0"/>
          <w:sz w:val="21"/>
          <w:szCs w:val="21"/>
          <w:highlight w:val="none"/>
          <w:shd w:val="clear" w:color="auto" w:fill="auto"/>
          <w:lang w:eastAsia="zh-CN"/>
        </w:rPr>
      </w:pPr>
      <w:r>
        <w:rPr>
          <w:rFonts w:hint="eastAsia" w:ascii="宋体" w:hAnsi="宋体" w:eastAsia="宋体" w:cs="宋体"/>
          <w:color w:val="000000"/>
          <w:kern w:val="0"/>
          <w:sz w:val="21"/>
          <w:szCs w:val="21"/>
          <w:highlight w:val="none"/>
          <w:shd w:val="clear" w:color="auto" w:fill="auto"/>
          <w:lang w:eastAsia="zh-CN"/>
        </w:rPr>
        <w:t>注：附由县级以上（含县级）社会养老保险经办机构出具的供应商为项目经理交纳的响应文件递交截止时间前半年内</w:t>
      </w:r>
      <w:r>
        <w:rPr>
          <w:rFonts w:hint="eastAsia" w:ascii="宋体" w:hAnsi="宋体" w:eastAsia="宋体" w:cs="宋体"/>
          <w:color w:val="000000"/>
          <w:kern w:val="0"/>
          <w:sz w:val="21"/>
          <w:szCs w:val="21"/>
          <w:highlight w:val="none"/>
          <w:shd w:val="clear" w:color="auto" w:fill="auto"/>
          <w:lang w:val="en-US" w:eastAsia="zh-CN"/>
        </w:rPr>
        <w:t>任意一</w:t>
      </w:r>
      <w:r>
        <w:rPr>
          <w:rFonts w:hint="eastAsia" w:ascii="宋体" w:hAnsi="宋体" w:eastAsia="宋体" w:cs="宋体"/>
          <w:color w:val="000000"/>
          <w:kern w:val="0"/>
          <w:sz w:val="21"/>
          <w:szCs w:val="21"/>
          <w:highlight w:val="none"/>
          <w:shd w:val="clear" w:color="auto" w:fill="auto"/>
          <w:lang w:eastAsia="zh-CN"/>
        </w:rPr>
        <w:t>个月社保证明复印件（若供应商为截标时间前60日以内成立的公司，可以提供应商与项目管理人员签订的劳动合同复印件代替养老保险证明复印件；如供应商为事业单位，可以提供事业单位机构编制管理证复印件或事业单位机构为其发放工资的工资条复印件代替养老保险证明复印件；如项目管理人员为免缴纳社保人员，提供免缴纳社保的证明材料复印件及供应商与项目管理人员签订的劳动合同复印件代替养老保险证明复印件）</w:t>
      </w:r>
    </w:p>
    <w:p w14:paraId="3B2270FC">
      <w:pPr>
        <w:pageBreakBefore w:val="0"/>
        <w:wordWrap/>
        <w:overflowPunct/>
        <w:topLinePunct w:val="0"/>
        <w:bidi w:val="0"/>
        <w:snapToGrid/>
        <w:spacing w:beforeAutospacing="0" w:afterAutospacing="0" w:line="360" w:lineRule="auto"/>
        <w:ind w:left="0" w:right="0"/>
        <w:outlineLvl w:val="1"/>
        <w:rPr>
          <w:rFonts w:hint="eastAsia" w:ascii="宋体" w:hAnsi="宋体" w:eastAsia="宋体" w:cs="宋体"/>
          <w:b/>
          <w:bCs/>
          <w:color w:val="000000"/>
          <w:w w:val="99"/>
          <w:kern w:val="0"/>
          <w:sz w:val="21"/>
          <w:szCs w:val="21"/>
          <w:highlight w:val="none"/>
          <w:shd w:val="clear" w:color="auto" w:fill="auto"/>
          <w:lang w:val="en-US" w:eastAsia="zh-CN"/>
        </w:rPr>
      </w:pPr>
    </w:p>
    <w:p w14:paraId="5CC8C627">
      <w:pPr>
        <w:pageBreakBefore w:val="0"/>
        <w:kinsoku/>
        <w:wordWrap/>
        <w:overflowPunct/>
        <w:topLinePunct w:val="0"/>
        <w:bidi w:val="0"/>
        <w:snapToGrid w:val="0"/>
        <w:spacing w:beforeAutospacing="0" w:afterAutospacing="0" w:line="400" w:lineRule="exact"/>
        <w:ind w:right="0"/>
        <w:textAlignment w:val="auto"/>
        <w:rPr>
          <w:rFonts w:hint="eastAsia" w:ascii="宋体" w:hAnsi="宋体" w:eastAsia="宋体" w:cs="宋体"/>
          <w:b/>
          <w:bCs/>
          <w:color w:val="auto"/>
          <w:sz w:val="21"/>
          <w:szCs w:val="21"/>
          <w:highlight w:val="none"/>
          <w:lang w:val="en-US" w:eastAsia="zh-CN"/>
        </w:rPr>
      </w:pPr>
    </w:p>
    <w:p w14:paraId="7CCB58AF">
      <w:pPr>
        <w:pageBreakBefore w:val="0"/>
        <w:kinsoku/>
        <w:wordWrap/>
        <w:overflowPunct/>
        <w:topLinePunct w:val="0"/>
        <w:bidi w:val="0"/>
        <w:snapToGrid w:val="0"/>
        <w:spacing w:beforeAutospacing="0" w:afterAutospacing="0" w:line="400" w:lineRule="exact"/>
        <w:ind w:right="0"/>
        <w:textAlignment w:val="auto"/>
        <w:rPr>
          <w:rFonts w:hint="eastAsia" w:ascii="宋体" w:hAnsi="宋体" w:eastAsia="宋体" w:cs="宋体"/>
          <w:b/>
          <w:bCs/>
          <w:color w:val="auto"/>
          <w:sz w:val="21"/>
          <w:szCs w:val="21"/>
          <w:highlight w:val="none"/>
          <w:lang w:val="en-US" w:eastAsia="zh-CN"/>
        </w:rPr>
      </w:pPr>
    </w:p>
    <w:p w14:paraId="6385D859">
      <w:pPr>
        <w:pageBreakBefore w:val="0"/>
        <w:kinsoku/>
        <w:wordWrap/>
        <w:overflowPunct/>
        <w:topLinePunct w:val="0"/>
        <w:bidi w:val="0"/>
        <w:snapToGrid w:val="0"/>
        <w:spacing w:beforeAutospacing="0" w:afterAutospacing="0" w:line="400" w:lineRule="exact"/>
        <w:ind w:right="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附件：无在建工程承诺书</w:t>
      </w:r>
    </w:p>
    <w:p w14:paraId="4BB05B48">
      <w:pPr>
        <w:pageBreakBefore w:val="0"/>
        <w:kinsoku/>
        <w:wordWrap/>
        <w:overflowPunct/>
        <w:topLinePunct w:val="0"/>
        <w:bidi w:val="0"/>
        <w:snapToGrid w:val="0"/>
        <w:spacing w:beforeAutospacing="0" w:afterAutospacing="0" w:line="400" w:lineRule="exact"/>
        <w:ind w:left="0" w:righ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现承诺我单位投入本工程的项目经理是本单位的在岗人员，且不在任何在建、已中标未开工或已列为其他项目中标候选人第一名</w:t>
      </w:r>
      <w:r>
        <w:rPr>
          <w:rFonts w:hint="eastAsia" w:ascii="宋体" w:hAnsi="宋体" w:eastAsia="宋体" w:cs="宋体"/>
          <w:b/>
          <w:bCs/>
          <w:color w:val="auto"/>
          <w:sz w:val="21"/>
          <w:szCs w:val="21"/>
          <w:highlight w:val="none"/>
          <w:lang w:eastAsia="zh-CN"/>
        </w:rPr>
        <w:t>的</w:t>
      </w:r>
      <w:r>
        <w:rPr>
          <w:rFonts w:hint="eastAsia" w:ascii="宋体" w:hAnsi="宋体" w:eastAsia="宋体" w:cs="宋体"/>
          <w:b/>
          <w:bCs/>
          <w:color w:val="auto"/>
          <w:sz w:val="21"/>
          <w:szCs w:val="21"/>
          <w:highlight w:val="none"/>
        </w:rPr>
        <w:t>工程中担任任何管理职务。如我单位有不符合上述要求的，招标人有权依法依规取消我单位中标资格。</w:t>
      </w:r>
    </w:p>
    <w:p w14:paraId="056A5EFD">
      <w:pPr>
        <w:pageBreakBefore w:val="0"/>
        <w:kinsoku/>
        <w:wordWrap/>
        <w:overflowPunct/>
        <w:topLinePunct w:val="0"/>
        <w:bidi w:val="0"/>
        <w:snapToGrid w:val="0"/>
        <w:spacing w:beforeAutospacing="0" w:afterAutospacing="0" w:line="400" w:lineRule="exact"/>
        <w:ind w:left="0" w:right="0" w:firstLine="4200" w:firstLineChars="20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投标人[公章(CA签章)]：</w:t>
      </w:r>
      <w:r>
        <w:rPr>
          <w:rFonts w:hint="eastAsia" w:ascii="宋体" w:hAnsi="宋体" w:eastAsia="宋体" w:cs="宋体"/>
          <w:color w:val="auto"/>
          <w:sz w:val="21"/>
          <w:szCs w:val="21"/>
          <w:highlight w:val="none"/>
          <w:u w:val="single"/>
        </w:rPr>
        <w:t xml:space="preserve">                                </w:t>
      </w:r>
    </w:p>
    <w:p w14:paraId="35D17D58">
      <w:pPr>
        <w:pageBreakBefore w:val="0"/>
        <w:kinsoku/>
        <w:wordWrap/>
        <w:overflowPunct/>
        <w:topLinePunct w:val="0"/>
        <w:bidi w:val="0"/>
        <w:spacing w:beforeAutospacing="0" w:afterAutospacing="0" w:line="400" w:lineRule="exact"/>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2428655C">
      <w:pPr>
        <w:pageBreakBefore w:val="0"/>
        <w:wordWrap/>
        <w:overflowPunct/>
        <w:topLinePunct w:val="0"/>
        <w:bidi w:val="0"/>
        <w:snapToGrid/>
        <w:spacing w:beforeAutospacing="0" w:afterAutospacing="0" w:line="360" w:lineRule="auto"/>
        <w:ind w:left="0" w:right="0"/>
        <w:outlineLvl w:val="1"/>
        <w:rPr>
          <w:rFonts w:hint="eastAsia" w:ascii="宋体" w:hAnsi="宋体" w:eastAsia="宋体" w:cs="宋体"/>
          <w:b/>
          <w:bCs/>
          <w:color w:val="000000"/>
          <w:w w:val="99"/>
          <w:kern w:val="0"/>
          <w:sz w:val="21"/>
          <w:szCs w:val="21"/>
          <w:highlight w:val="none"/>
          <w:shd w:val="clear" w:color="auto" w:fill="auto"/>
        </w:rPr>
      </w:pPr>
    </w:p>
    <w:p w14:paraId="69500F8C">
      <w:pPr>
        <w:pageBreakBefore w:val="0"/>
        <w:wordWrap/>
        <w:overflowPunct/>
        <w:topLinePunct w:val="0"/>
        <w:bidi w:val="0"/>
        <w:snapToGrid/>
        <w:spacing w:beforeAutospacing="0" w:afterAutospacing="0" w:line="360" w:lineRule="auto"/>
        <w:ind w:left="0" w:right="0"/>
        <w:outlineLvl w:val="1"/>
        <w:rPr>
          <w:rFonts w:hint="eastAsia" w:ascii="宋体" w:hAnsi="宋体" w:eastAsia="宋体" w:cs="宋体"/>
          <w:b/>
          <w:color w:val="000000"/>
          <w:kern w:val="2"/>
          <w:sz w:val="21"/>
          <w:szCs w:val="21"/>
          <w:highlight w:val="none"/>
          <w:shd w:val="clear" w:color="auto" w:fill="auto"/>
          <w:lang w:val="en-US" w:eastAsia="zh-CN" w:bidi="ar-SA"/>
        </w:rPr>
      </w:pPr>
      <w:r>
        <w:rPr>
          <w:rFonts w:hint="eastAsia" w:ascii="宋体" w:hAnsi="宋体" w:eastAsia="宋体" w:cs="宋体"/>
          <w:b/>
          <w:color w:val="000000"/>
          <w:kern w:val="2"/>
          <w:sz w:val="21"/>
          <w:szCs w:val="21"/>
          <w:highlight w:val="none"/>
          <w:shd w:val="clear" w:color="auto" w:fill="auto"/>
          <w:lang w:val="en-US" w:eastAsia="zh-CN" w:bidi="ar-SA"/>
        </w:rPr>
        <w:br w:type="page"/>
      </w:r>
      <w:r>
        <w:rPr>
          <w:rFonts w:hint="eastAsia" w:ascii="宋体" w:hAnsi="宋体" w:eastAsia="宋体" w:cs="宋体"/>
          <w:b/>
          <w:color w:val="000000"/>
          <w:kern w:val="2"/>
          <w:sz w:val="21"/>
          <w:szCs w:val="21"/>
          <w:highlight w:val="none"/>
          <w:shd w:val="clear" w:color="auto" w:fill="auto"/>
          <w:lang w:val="en-US" w:eastAsia="zh-CN" w:bidi="ar-SA"/>
        </w:rPr>
        <w:t>9、项目管理机构配备情况表（必须提供）</w:t>
      </w:r>
      <w:bookmarkEnd w:id="1908"/>
    </w:p>
    <w:p w14:paraId="295F56B1">
      <w:pPr>
        <w:pStyle w:val="16"/>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w w:val="99"/>
          <w:kern w:val="0"/>
          <w:sz w:val="21"/>
          <w:szCs w:val="21"/>
          <w:highlight w:val="none"/>
          <w:shd w:val="clear" w:color="auto" w:fill="auto"/>
        </w:rPr>
        <w:t>项目管理机构配备情况表</w:t>
      </w:r>
    </w:p>
    <w:tbl>
      <w:tblPr>
        <w:tblStyle w:val="3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3"/>
        <w:gridCol w:w="891"/>
        <w:gridCol w:w="892"/>
        <w:gridCol w:w="1634"/>
        <w:gridCol w:w="3120"/>
      </w:tblGrid>
      <w:tr w14:paraId="0E58E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2823" w:type="dxa"/>
            <w:noWrap w:val="0"/>
            <w:vAlign w:val="center"/>
          </w:tcPr>
          <w:p w14:paraId="33545CC4">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名   称</w:t>
            </w:r>
          </w:p>
        </w:tc>
        <w:tc>
          <w:tcPr>
            <w:tcW w:w="891" w:type="dxa"/>
            <w:noWrap w:val="0"/>
            <w:vAlign w:val="center"/>
          </w:tcPr>
          <w:p w14:paraId="4BEA0657">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姓名</w:t>
            </w:r>
          </w:p>
        </w:tc>
        <w:tc>
          <w:tcPr>
            <w:tcW w:w="892" w:type="dxa"/>
            <w:noWrap w:val="0"/>
            <w:vAlign w:val="center"/>
          </w:tcPr>
          <w:p w14:paraId="2C710C14">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职务</w:t>
            </w:r>
          </w:p>
        </w:tc>
        <w:tc>
          <w:tcPr>
            <w:tcW w:w="1634" w:type="dxa"/>
            <w:noWrap w:val="0"/>
            <w:vAlign w:val="center"/>
          </w:tcPr>
          <w:p w14:paraId="4F89D6C4">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资质/职称</w:t>
            </w:r>
          </w:p>
        </w:tc>
        <w:tc>
          <w:tcPr>
            <w:tcW w:w="3120" w:type="dxa"/>
            <w:noWrap w:val="0"/>
            <w:vAlign w:val="center"/>
          </w:tcPr>
          <w:p w14:paraId="36E84F0A">
            <w:pPr>
              <w:pageBreakBefore w:val="0"/>
              <w:wordWrap/>
              <w:overflowPunct/>
              <w:topLinePunct w:val="0"/>
              <w:bidi w:val="0"/>
              <w:snapToGrid/>
              <w:spacing w:beforeAutospacing="0" w:afterAutospacing="0" w:line="360" w:lineRule="auto"/>
              <w:ind w:left="0" w:right="0"/>
              <w:jc w:val="center"/>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主要资历、经验及承担的项目</w:t>
            </w:r>
          </w:p>
        </w:tc>
      </w:tr>
      <w:tr w14:paraId="153E2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trPr>
        <w:tc>
          <w:tcPr>
            <w:tcW w:w="2823" w:type="dxa"/>
            <w:noWrap w:val="0"/>
            <w:vAlign w:val="center"/>
          </w:tcPr>
          <w:p w14:paraId="5FC3AF44">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一、总部</w:t>
            </w:r>
          </w:p>
        </w:tc>
        <w:tc>
          <w:tcPr>
            <w:tcW w:w="891" w:type="dxa"/>
            <w:noWrap w:val="0"/>
            <w:vAlign w:val="center"/>
          </w:tcPr>
          <w:p w14:paraId="6D84B27B">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tc>
        <w:tc>
          <w:tcPr>
            <w:tcW w:w="892" w:type="dxa"/>
            <w:noWrap w:val="0"/>
            <w:vAlign w:val="center"/>
          </w:tcPr>
          <w:p w14:paraId="7498DEEA">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tc>
        <w:tc>
          <w:tcPr>
            <w:tcW w:w="1634" w:type="dxa"/>
            <w:noWrap w:val="0"/>
            <w:vAlign w:val="center"/>
          </w:tcPr>
          <w:p w14:paraId="7D5A0104">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tc>
        <w:tc>
          <w:tcPr>
            <w:tcW w:w="3120" w:type="dxa"/>
            <w:noWrap w:val="0"/>
            <w:vAlign w:val="center"/>
          </w:tcPr>
          <w:p w14:paraId="09339A9A">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tc>
      </w:tr>
      <w:tr w14:paraId="5219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trPr>
        <w:tc>
          <w:tcPr>
            <w:tcW w:w="2823" w:type="dxa"/>
            <w:noWrap w:val="0"/>
            <w:vAlign w:val="center"/>
          </w:tcPr>
          <w:p w14:paraId="5E3644D9">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1.项目主管</w:t>
            </w:r>
          </w:p>
        </w:tc>
        <w:tc>
          <w:tcPr>
            <w:tcW w:w="891" w:type="dxa"/>
            <w:noWrap w:val="0"/>
            <w:vAlign w:val="center"/>
          </w:tcPr>
          <w:p w14:paraId="1FB8AD3F">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tc>
        <w:tc>
          <w:tcPr>
            <w:tcW w:w="892" w:type="dxa"/>
            <w:noWrap w:val="0"/>
            <w:vAlign w:val="center"/>
          </w:tcPr>
          <w:p w14:paraId="33E6D1CB">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tc>
        <w:tc>
          <w:tcPr>
            <w:tcW w:w="1634" w:type="dxa"/>
            <w:noWrap w:val="0"/>
            <w:vAlign w:val="center"/>
          </w:tcPr>
          <w:p w14:paraId="374A34A7">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tc>
        <w:tc>
          <w:tcPr>
            <w:tcW w:w="3120" w:type="dxa"/>
            <w:noWrap w:val="0"/>
            <w:vAlign w:val="center"/>
          </w:tcPr>
          <w:p w14:paraId="755D4127">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tc>
      </w:tr>
      <w:tr w14:paraId="4C49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trPr>
        <w:tc>
          <w:tcPr>
            <w:tcW w:w="2823" w:type="dxa"/>
            <w:noWrap w:val="0"/>
            <w:vAlign w:val="center"/>
          </w:tcPr>
          <w:p w14:paraId="10D90265">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2.其他人员</w:t>
            </w:r>
          </w:p>
        </w:tc>
        <w:tc>
          <w:tcPr>
            <w:tcW w:w="891" w:type="dxa"/>
            <w:noWrap w:val="0"/>
            <w:vAlign w:val="center"/>
          </w:tcPr>
          <w:p w14:paraId="0DAE9B0D">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tc>
        <w:tc>
          <w:tcPr>
            <w:tcW w:w="892" w:type="dxa"/>
            <w:noWrap w:val="0"/>
            <w:vAlign w:val="center"/>
          </w:tcPr>
          <w:p w14:paraId="3CF76858">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tc>
        <w:tc>
          <w:tcPr>
            <w:tcW w:w="1634" w:type="dxa"/>
            <w:noWrap w:val="0"/>
            <w:vAlign w:val="center"/>
          </w:tcPr>
          <w:p w14:paraId="381B83A8">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tc>
        <w:tc>
          <w:tcPr>
            <w:tcW w:w="3120" w:type="dxa"/>
            <w:noWrap w:val="0"/>
            <w:vAlign w:val="center"/>
          </w:tcPr>
          <w:p w14:paraId="3122F712">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tc>
      </w:tr>
      <w:tr w14:paraId="7C85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trPr>
        <w:tc>
          <w:tcPr>
            <w:tcW w:w="2823" w:type="dxa"/>
            <w:noWrap w:val="0"/>
            <w:vAlign w:val="center"/>
          </w:tcPr>
          <w:p w14:paraId="2D5E0DAF">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二、现场</w:t>
            </w:r>
          </w:p>
        </w:tc>
        <w:tc>
          <w:tcPr>
            <w:tcW w:w="891" w:type="dxa"/>
            <w:noWrap w:val="0"/>
            <w:vAlign w:val="center"/>
          </w:tcPr>
          <w:p w14:paraId="54544F76">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tc>
        <w:tc>
          <w:tcPr>
            <w:tcW w:w="892" w:type="dxa"/>
            <w:noWrap w:val="0"/>
            <w:vAlign w:val="center"/>
          </w:tcPr>
          <w:p w14:paraId="0470CCEB">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tc>
        <w:tc>
          <w:tcPr>
            <w:tcW w:w="1634" w:type="dxa"/>
            <w:noWrap w:val="0"/>
            <w:vAlign w:val="center"/>
          </w:tcPr>
          <w:p w14:paraId="56C046C7">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tc>
        <w:tc>
          <w:tcPr>
            <w:tcW w:w="3120" w:type="dxa"/>
            <w:noWrap w:val="0"/>
            <w:vAlign w:val="center"/>
          </w:tcPr>
          <w:p w14:paraId="76B614A7">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tc>
      </w:tr>
      <w:tr w14:paraId="0F50B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2823" w:type="dxa"/>
            <w:noWrap w:val="0"/>
            <w:vAlign w:val="center"/>
          </w:tcPr>
          <w:p w14:paraId="00B18C70">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1.项目经理</w:t>
            </w:r>
          </w:p>
        </w:tc>
        <w:tc>
          <w:tcPr>
            <w:tcW w:w="891" w:type="dxa"/>
            <w:noWrap w:val="0"/>
            <w:vAlign w:val="center"/>
          </w:tcPr>
          <w:p w14:paraId="54278D0B">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tc>
        <w:tc>
          <w:tcPr>
            <w:tcW w:w="892" w:type="dxa"/>
            <w:noWrap w:val="0"/>
            <w:vAlign w:val="center"/>
          </w:tcPr>
          <w:p w14:paraId="1C81EF6D">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tc>
        <w:tc>
          <w:tcPr>
            <w:tcW w:w="1634" w:type="dxa"/>
            <w:noWrap w:val="0"/>
            <w:vAlign w:val="center"/>
          </w:tcPr>
          <w:p w14:paraId="48930872">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tc>
        <w:tc>
          <w:tcPr>
            <w:tcW w:w="3120" w:type="dxa"/>
            <w:noWrap w:val="0"/>
            <w:vAlign w:val="center"/>
          </w:tcPr>
          <w:p w14:paraId="0AC4E185">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tc>
      </w:tr>
      <w:tr w14:paraId="105AD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2823" w:type="dxa"/>
            <w:noWrap w:val="0"/>
            <w:vAlign w:val="center"/>
          </w:tcPr>
          <w:p w14:paraId="0994B4F3">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2.项目副经理（如有）</w:t>
            </w:r>
          </w:p>
        </w:tc>
        <w:tc>
          <w:tcPr>
            <w:tcW w:w="891" w:type="dxa"/>
            <w:noWrap w:val="0"/>
            <w:vAlign w:val="center"/>
          </w:tcPr>
          <w:p w14:paraId="59B1F944">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tc>
        <w:tc>
          <w:tcPr>
            <w:tcW w:w="892" w:type="dxa"/>
            <w:noWrap w:val="0"/>
            <w:vAlign w:val="center"/>
          </w:tcPr>
          <w:p w14:paraId="67A8F9D6">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tc>
        <w:tc>
          <w:tcPr>
            <w:tcW w:w="1634" w:type="dxa"/>
            <w:noWrap w:val="0"/>
            <w:vAlign w:val="center"/>
          </w:tcPr>
          <w:p w14:paraId="01062B09">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tc>
        <w:tc>
          <w:tcPr>
            <w:tcW w:w="3120" w:type="dxa"/>
            <w:noWrap w:val="0"/>
            <w:vAlign w:val="center"/>
          </w:tcPr>
          <w:p w14:paraId="62270055">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tc>
      </w:tr>
      <w:tr w14:paraId="425FF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trPr>
        <w:tc>
          <w:tcPr>
            <w:tcW w:w="2823" w:type="dxa"/>
            <w:noWrap w:val="0"/>
            <w:vAlign w:val="center"/>
          </w:tcPr>
          <w:p w14:paraId="2E45B503">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lang w:val="en-US" w:eastAsia="zh-CN"/>
              </w:rPr>
              <w:t>3</w:t>
            </w:r>
            <w:r>
              <w:rPr>
                <w:rFonts w:hint="eastAsia" w:ascii="宋体" w:hAnsi="宋体" w:eastAsia="宋体" w:cs="宋体"/>
                <w:color w:val="000000"/>
                <w:sz w:val="21"/>
                <w:szCs w:val="21"/>
                <w:highlight w:val="none"/>
                <w:shd w:val="clear" w:color="auto" w:fill="auto"/>
              </w:rPr>
              <w:t>.技术负责人</w:t>
            </w:r>
          </w:p>
        </w:tc>
        <w:tc>
          <w:tcPr>
            <w:tcW w:w="891" w:type="dxa"/>
            <w:noWrap w:val="0"/>
            <w:vAlign w:val="center"/>
          </w:tcPr>
          <w:p w14:paraId="59450E41">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tc>
        <w:tc>
          <w:tcPr>
            <w:tcW w:w="892" w:type="dxa"/>
            <w:noWrap w:val="0"/>
            <w:vAlign w:val="center"/>
          </w:tcPr>
          <w:p w14:paraId="30CB1F52">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tc>
        <w:tc>
          <w:tcPr>
            <w:tcW w:w="1634" w:type="dxa"/>
            <w:noWrap w:val="0"/>
            <w:vAlign w:val="center"/>
          </w:tcPr>
          <w:p w14:paraId="2D1B29B0">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tc>
        <w:tc>
          <w:tcPr>
            <w:tcW w:w="3120" w:type="dxa"/>
            <w:noWrap w:val="0"/>
            <w:vAlign w:val="center"/>
          </w:tcPr>
          <w:p w14:paraId="3D82C401">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tc>
      </w:tr>
      <w:tr w14:paraId="6B428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2823" w:type="dxa"/>
            <w:noWrap w:val="0"/>
            <w:vAlign w:val="center"/>
          </w:tcPr>
          <w:p w14:paraId="15F83119">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lang w:val="en-US" w:eastAsia="zh-CN"/>
              </w:rPr>
              <w:t>4</w:t>
            </w:r>
            <w:r>
              <w:rPr>
                <w:rFonts w:hint="eastAsia" w:ascii="宋体" w:hAnsi="宋体" w:eastAsia="宋体" w:cs="宋体"/>
                <w:color w:val="000000"/>
                <w:sz w:val="21"/>
                <w:szCs w:val="21"/>
                <w:highlight w:val="none"/>
                <w:shd w:val="clear" w:color="auto" w:fill="auto"/>
              </w:rPr>
              <w:t>.施工员</w:t>
            </w:r>
          </w:p>
        </w:tc>
        <w:tc>
          <w:tcPr>
            <w:tcW w:w="891" w:type="dxa"/>
            <w:noWrap w:val="0"/>
            <w:vAlign w:val="center"/>
          </w:tcPr>
          <w:p w14:paraId="61D7687A">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tc>
        <w:tc>
          <w:tcPr>
            <w:tcW w:w="892" w:type="dxa"/>
            <w:noWrap w:val="0"/>
            <w:vAlign w:val="center"/>
          </w:tcPr>
          <w:p w14:paraId="40176A64">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tc>
        <w:tc>
          <w:tcPr>
            <w:tcW w:w="1634" w:type="dxa"/>
            <w:noWrap w:val="0"/>
            <w:vAlign w:val="center"/>
          </w:tcPr>
          <w:p w14:paraId="2E29609C">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tc>
        <w:tc>
          <w:tcPr>
            <w:tcW w:w="3120" w:type="dxa"/>
            <w:noWrap w:val="0"/>
            <w:vAlign w:val="center"/>
          </w:tcPr>
          <w:p w14:paraId="1ADFCC8F">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tc>
      </w:tr>
      <w:tr w14:paraId="57D4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trPr>
        <w:tc>
          <w:tcPr>
            <w:tcW w:w="2823" w:type="dxa"/>
            <w:noWrap w:val="0"/>
            <w:vAlign w:val="center"/>
          </w:tcPr>
          <w:p w14:paraId="43115F68">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lang w:val="en-US" w:eastAsia="zh-CN"/>
              </w:rPr>
              <w:t>5</w:t>
            </w:r>
            <w:r>
              <w:rPr>
                <w:rFonts w:hint="eastAsia" w:ascii="宋体" w:hAnsi="宋体" w:eastAsia="宋体" w:cs="宋体"/>
                <w:color w:val="000000"/>
                <w:sz w:val="21"/>
                <w:szCs w:val="21"/>
                <w:highlight w:val="none"/>
                <w:shd w:val="clear" w:color="auto" w:fill="auto"/>
              </w:rPr>
              <w:t>.质检员</w:t>
            </w:r>
          </w:p>
        </w:tc>
        <w:tc>
          <w:tcPr>
            <w:tcW w:w="891" w:type="dxa"/>
            <w:noWrap w:val="0"/>
            <w:vAlign w:val="center"/>
          </w:tcPr>
          <w:p w14:paraId="0BD25A25">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tc>
        <w:tc>
          <w:tcPr>
            <w:tcW w:w="892" w:type="dxa"/>
            <w:noWrap w:val="0"/>
            <w:vAlign w:val="center"/>
          </w:tcPr>
          <w:p w14:paraId="47FC74D9">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tc>
        <w:tc>
          <w:tcPr>
            <w:tcW w:w="1634" w:type="dxa"/>
            <w:noWrap w:val="0"/>
            <w:vAlign w:val="center"/>
          </w:tcPr>
          <w:p w14:paraId="6C02E5D5">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tc>
        <w:tc>
          <w:tcPr>
            <w:tcW w:w="3120" w:type="dxa"/>
            <w:noWrap w:val="0"/>
            <w:vAlign w:val="center"/>
          </w:tcPr>
          <w:p w14:paraId="0658EE27">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tc>
      </w:tr>
      <w:tr w14:paraId="49CEA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823" w:type="dxa"/>
            <w:noWrap w:val="0"/>
            <w:vAlign w:val="center"/>
          </w:tcPr>
          <w:p w14:paraId="44823859">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lang w:val="en-US" w:eastAsia="zh-CN"/>
              </w:rPr>
              <w:t>6</w:t>
            </w:r>
            <w:r>
              <w:rPr>
                <w:rFonts w:hint="eastAsia" w:ascii="宋体" w:hAnsi="宋体" w:eastAsia="宋体" w:cs="宋体"/>
                <w:color w:val="000000"/>
                <w:sz w:val="21"/>
                <w:szCs w:val="21"/>
                <w:highlight w:val="none"/>
                <w:shd w:val="clear" w:color="auto" w:fill="auto"/>
              </w:rPr>
              <w:t>.安全员</w:t>
            </w:r>
          </w:p>
        </w:tc>
        <w:tc>
          <w:tcPr>
            <w:tcW w:w="891" w:type="dxa"/>
            <w:noWrap w:val="0"/>
            <w:vAlign w:val="center"/>
          </w:tcPr>
          <w:p w14:paraId="6B8AFDA1">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tc>
        <w:tc>
          <w:tcPr>
            <w:tcW w:w="892" w:type="dxa"/>
            <w:noWrap w:val="0"/>
            <w:vAlign w:val="center"/>
          </w:tcPr>
          <w:p w14:paraId="78FEB580">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tc>
        <w:tc>
          <w:tcPr>
            <w:tcW w:w="1634" w:type="dxa"/>
            <w:noWrap w:val="0"/>
            <w:vAlign w:val="center"/>
          </w:tcPr>
          <w:p w14:paraId="5CD04A46">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tc>
        <w:tc>
          <w:tcPr>
            <w:tcW w:w="3120" w:type="dxa"/>
            <w:noWrap w:val="0"/>
            <w:vAlign w:val="center"/>
          </w:tcPr>
          <w:p w14:paraId="4F12615F">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tc>
      </w:tr>
    </w:tbl>
    <w:p w14:paraId="790762C2">
      <w:pPr>
        <w:pageBreakBefore w:val="0"/>
        <w:wordWrap/>
        <w:overflowPunct/>
        <w:topLinePunct w:val="0"/>
        <w:bidi w:val="0"/>
        <w:snapToGrid/>
        <w:spacing w:beforeAutospacing="0" w:afterAutospacing="0" w:line="360" w:lineRule="auto"/>
        <w:ind w:left="0" w:right="0"/>
        <w:rPr>
          <w:rFonts w:hint="eastAsia" w:ascii="宋体" w:hAnsi="宋体" w:eastAsia="宋体" w:cs="宋体"/>
          <w:bCs/>
          <w:color w:val="000000"/>
          <w:sz w:val="21"/>
          <w:szCs w:val="21"/>
          <w:highlight w:val="none"/>
          <w:shd w:val="clear" w:color="auto" w:fill="auto"/>
        </w:rPr>
      </w:pPr>
    </w:p>
    <w:p w14:paraId="0089F2AB">
      <w:pPr>
        <w:pageBreakBefore w:val="0"/>
        <w:wordWrap/>
        <w:overflowPunct/>
        <w:topLinePunct w:val="0"/>
        <w:bidi w:val="0"/>
        <w:snapToGrid/>
        <w:spacing w:beforeAutospacing="0" w:afterAutospacing="0" w:line="360" w:lineRule="auto"/>
        <w:ind w:left="0" w:right="0"/>
        <w:rPr>
          <w:rFonts w:hint="eastAsia" w:ascii="宋体" w:hAnsi="宋体" w:eastAsia="宋体" w:cs="宋体"/>
          <w:b/>
          <w:bCs/>
          <w:color w:val="000000"/>
          <w:w w:val="99"/>
          <w:kern w:val="0"/>
          <w:sz w:val="21"/>
          <w:szCs w:val="21"/>
          <w:highlight w:val="none"/>
          <w:shd w:val="clear" w:color="auto" w:fill="auto"/>
        </w:rPr>
      </w:pPr>
      <w:r>
        <w:rPr>
          <w:rFonts w:hint="eastAsia" w:ascii="宋体" w:hAnsi="宋体" w:eastAsia="宋体" w:cs="宋体"/>
          <w:bCs/>
          <w:color w:val="000000"/>
          <w:sz w:val="21"/>
          <w:szCs w:val="21"/>
          <w:highlight w:val="none"/>
          <w:shd w:val="clear" w:color="auto" w:fill="auto"/>
        </w:rPr>
        <w:t>注：1、附</w:t>
      </w:r>
      <w:r>
        <w:rPr>
          <w:rFonts w:hint="eastAsia" w:ascii="宋体" w:hAnsi="宋体" w:eastAsia="宋体" w:cs="宋体"/>
          <w:color w:val="000000"/>
          <w:sz w:val="21"/>
          <w:szCs w:val="21"/>
          <w:highlight w:val="none"/>
          <w:shd w:val="clear" w:color="auto" w:fill="auto"/>
        </w:rPr>
        <w:t>项目经理的注册建造师注册证书复印件、安全生产考核合格证书复印件（B类）</w:t>
      </w:r>
      <w:r>
        <w:rPr>
          <w:rFonts w:hint="eastAsia" w:ascii="宋体" w:hAnsi="宋体" w:eastAsia="宋体" w:cs="宋体"/>
          <w:b/>
          <w:color w:val="000000"/>
          <w:spacing w:val="1"/>
          <w:sz w:val="21"/>
          <w:szCs w:val="21"/>
          <w:highlight w:val="none"/>
          <w:shd w:val="clear" w:color="auto" w:fill="auto"/>
        </w:rPr>
        <w:t>（注：首次取得B证的，发证当年不需提供）</w:t>
      </w:r>
      <w:r>
        <w:rPr>
          <w:rFonts w:hint="eastAsia" w:ascii="宋体" w:hAnsi="宋体" w:eastAsia="宋体" w:cs="宋体"/>
          <w:color w:val="000000"/>
          <w:sz w:val="21"/>
          <w:szCs w:val="21"/>
          <w:highlight w:val="none"/>
          <w:shd w:val="clear" w:color="auto" w:fill="auto"/>
        </w:rPr>
        <w:t>、身份证复印件；技术负责人的身份证复印件、职称证复印件；安全员的安全生产考核合格证书复印件（C类）、岗位证书复印件及身份证复印件；施工员、质检员的身份证复印件、岗位证书复印件；并附由县级以上（含县级）社会养老保险经办机构出具的供应商为项目经理、技术负责人、安全员、施工员、质检员交纳的响应文件递交截止时间前半年内</w:t>
      </w:r>
      <w:r>
        <w:rPr>
          <w:rFonts w:hint="eastAsia" w:ascii="宋体" w:hAnsi="宋体" w:eastAsia="宋体" w:cs="宋体"/>
          <w:color w:val="000000"/>
          <w:sz w:val="21"/>
          <w:szCs w:val="21"/>
          <w:highlight w:val="none"/>
          <w:shd w:val="clear" w:color="auto" w:fill="auto"/>
          <w:lang w:val="en-US" w:eastAsia="zh-CN"/>
        </w:rPr>
        <w:t>任意一</w:t>
      </w:r>
      <w:r>
        <w:rPr>
          <w:rFonts w:hint="eastAsia" w:ascii="宋体" w:hAnsi="宋体" w:eastAsia="宋体" w:cs="宋体"/>
          <w:color w:val="000000"/>
          <w:sz w:val="21"/>
          <w:szCs w:val="21"/>
          <w:highlight w:val="none"/>
          <w:shd w:val="clear" w:color="auto" w:fill="auto"/>
        </w:rPr>
        <w:t>个月社保证明复印件（若供应商为截标时间前60日以内成立的公司，可以提供应商与项目管理人员签订的劳动合同复印件代替养老保险证明复印件；如供应商为事业单位，可以提供事业单位机构编制管理证复印件或事业单位机构为其发放工资的工资条复印件代替养老保险证明复印件；如项目管理人员为免缴纳社保人员，提供免缴纳社保的证明材料复印件及供应商与项目管理人员签订的劳动合同复印件代替养老保险证明复印件</w:t>
      </w:r>
      <w:r>
        <w:rPr>
          <w:rFonts w:hint="eastAsia" w:ascii="宋体" w:hAnsi="宋体" w:eastAsia="宋体" w:cs="宋体"/>
          <w:bCs/>
          <w:color w:val="000000"/>
          <w:sz w:val="21"/>
          <w:szCs w:val="21"/>
          <w:highlight w:val="none"/>
          <w:shd w:val="clear" w:color="auto" w:fill="auto"/>
        </w:rPr>
        <w:t>）</w:t>
      </w:r>
    </w:p>
    <w:p w14:paraId="715E2BEF">
      <w:pPr>
        <w:pageBreakBefore w:val="0"/>
        <w:wordWrap/>
        <w:overflowPunct/>
        <w:topLinePunct w:val="0"/>
        <w:bidi w:val="0"/>
        <w:snapToGrid/>
        <w:spacing w:beforeAutospacing="0" w:afterAutospacing="0" w:line="360" w:lineRule="auto"/>
        <w:ind w:left="0" w:right="0" w:firstLine="502"/>
        <w:rPr>
          <w:rFonts w:hint="eastAsia" w:ascii="宋体" w:hAnsi="宋体" w:eastAsia="宋体" w:cs="宋体"/>
          <w:bCs/>
          <w:color w:val="000000"/>
          <w:sz w:val="21"/>
          <w:szCs w:val="21"/>
          <w:highlight w:val="none"/>
          <w:shd w:val="clear" w:color="auto" w:fill="auto"/>
        </w:rPr>
      </w:pPr>
      <w:r>
        <w:rPr>
          <w:rFonts w:hint="eastAsia" w:ascii="宋体" w:hAnsi="宋体" w:eastAsia="宋体" w:cs="宋体"/>
          <w:bCs/>
          <w:color w:val="000000"/>
          <w:sz w:val="21"/>
          <w:szCs w:val="21"/>
          <w:highlight w:val="none"/>
          <w:shd w:val="clear" w:color="auto" w:fill="auto"/>
        </w:rPr>
        <w:t>2、人员除按桂林市建设与规划委员会市建规〔2006〕270号文《关于调整建筑施工现场项目部管理的通知》的规定执行，还须满足前附表中的最低要求。</w:t>
      </w:r>
    </w:p>
    <w:p w14:paraId="05CB14B5">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r>
        <w:rPr>
          <w:rFonts w:hint="eastAsia" w:ascii="宋体" w:hAnsi="宋体" w:eastAsia="宋体" w:cs="宋体"/>
          <w:b/>
          <w:color w:val="000000"/>
          <w:kern w:val="0"/>
          <w:sz w:val="21"/>
          <w:szCs w:val="21"/>
          <w:highlight w:val="none"/>
          <w:shd w:val="clear" w:color="auto" w:fill="auto"/>
        </w:rPr>
        <w:br w:type="page"/>
      </w:r>
      <w:r>
        <w:rPr>
          <w:rFonts w:hint="eastAsia" w:ascii="宋体" w:hAnsi="宋体" w:eastAsia="宋体" w:cs="宋体"/>
          <w:b/>
          <w:color w:val="000000"/>
          <w:kern w:val="0"/>
          <w:sz w:val="21"/>
          <w:szCs w:val="21"/>
          <w:highlight w:val="none"/>
          <w:shd w:val="clear" w:color="auto" w:fill="auto"/>
        </w:rPr>
        <w:t>[摘录</w:t>
      </w:r>
      <w:r>
        <w:rPr>
          <w:rFonts w:hint="eastAsia" w:ascii="宋体" w:hAnsi="宋体" w:eastAsia="宋体" w:cs="宋体"/>
          <w:b/>
          <w:color w:val="000000"/>
          <w:sz w:val="21"/>
          <w:szCs w:val="21"/>
          <w:highlight w:val="none"/>
          <w:shd w:val="clear" w:color="auto" w:fill="auto"/>
        </w:rPr>
        <w:t>市建规〔2006〕270号文</w:t>
      </w:r>
      <w:r>
        <w:rPr>
          <w:rFonts w:hint="eastAsia" w:ascii="宋体" w:hAnsi="宋体" w:eastAsia="宋体" w:cs="宋体"/>
          <w:b/>
          <w:color w:val="000000"/>
          <w:kern w:val="0"/>
          <w:sz w:val="21"/>
          <w:szCs w:val="21"/>
          <w:highlight w:val="none"/>
          <w:shd w:val="clear" w:color="auto" w:fill="auto"/>
        </w:rPr>
        <w:t>]</w:t>
      </w:r>
      <w:r>
        <w:rPr>
          <w:rFonts w:hint="eastAsia" w:ascii="宋体" w:hAnsi="宋体" w:eastAsia="宋体" w:cs="宋体"/>
          <w:b/>
          <w:color w:val="000000"/>
          <w:sz w:val="21"/>
          <w:szCs w:val="21"/>
          <w:highlight w:val="none"/>
          <w:shd w:val="clear" w:color="auto" w:fill="auto"/>
        </w:rPr>
        <w:t xml:space="preserve"> </w:t>
      </w:r>
      <w:r>
        <w:rPr>
          <w:rFonts w:hint="eastAsia" w:ascii="宋体" w:hAnsi="宋体" w:eastAsia="宋体" w:cs="宋体"/>
          <w:color w:val="000000"/>
          <w:sz w:val="21"/>
          <w:szCs w:val="21"/>
          <w:highlight w:val="none"/>
          <w:shd w:val="clear" w:color="auto" w:fill="auto"/>
        </w:rPr>
        <w:t>各施工企业应根据工程项目的实际需要组建项目管理班子，但不得低于以下配置标准。</w:t>
      </w:r>
    </w:p>
    <w:p w14:paraId="7858B71E">
      <w:pPr>
        <w:pageBreakBefore w:val="0"/>
        <w:wordWrap/>
        <w:overflowPunct/>
        <w:topLinePunct w:val="0"/>
        <w:bidi w:val="0"/>
        <w:snapToGrid/>
        <w:spacing w:beforeAutospacing="0" w:afterAutospacing="0" w:line="240" w:lineRule="auto"/>
        <w:ind w:left="0" w:right="0"/>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1、1万平方米以下的房屋建筑工程、装修工程或5000万以下市政工程和其他工程     表1</w:t>
      </w:r>
    </w:p>
    <w:tbl>
      <w:tblPr>
        <w:tblStyle w:val="34"/>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3"/>
        <w:gridCol w:w="1310"/>
        <w:gridCol w:w="2293"/>
        <w:gridCol w:w="3961"/>
      </w:tblGrid>
      <w:tr w14:paraId="1BC8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2293" w:type="dxa"/>
            <w:tcBorders>
              <w:top w:val="single" w:color="auto" w:sz="4" w:space="0"/>
              <w:left w:val="single" w:color="auto" w:sz="4" w:space="0"/>
              <w:bottom w:val="nil"/>
              <w:right w:val="single" w:color="auto" w:sz="4" w:space="0"/>
              <w:tl2br w:val="single" w:color="auto" w:sz="4" w:space="0"/>
            </w:tcBorders>
            <w:noWrap w:val="0"/>
            <w:vAlign w:val="top"/>
          </w:tcPr>
          <w:p w14:paraId="61E91E88">
            <w:pPr>
              <w:pageBreakBefore w:val="0"/>
              <w:widowControl/>
              <w:wordWrap/>
              <w:overflowPunct/>
              <w:topLinePunct w:val="0"/>
              <w:bidi w:val="0"/>
              <w:snapToGrid/>
              <w:spacing w:beforeAutospacing="0" w:afterAutospacing="0" w:line="240" w:lineRule="auto"/>
              <w:ind w:left="0" w:right="0"/>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 xml:space="preserve">             内容各类人员</w:t>
            </w:r>
          </w:p>
        </w:tc>
        <w:tc>
          <w:tcPr>
            <w:tcW w:w="1310" w:type="dxa"/>
            <w:tcBorders>
              <w:top w:val="single" w:color="auto" w:sz="4" w:space="0"/>
              <w:left w:val="nil"/>
              <w:bottom w:val="single" w:color="auto" w:sz="4" w:space="0"/>
              <w:right w:val="single" w:color="auto" w:sz="4" w:space="0"/>
            </w:tcBorders>
            <w:noWrap w:val="0"/>
            <w:vAlign w:val="center"/>
          </w:tcPr>
          <w:p w14:paraId="6C2D9029">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数量</w:t>
            </w:r>
          </w:p>
        </w:tc>
        <w:tc>
          <w:tcPr>
            <w:tcW w:w="2293" w:type="dxa"/>
            <w:tcBorders>
              <w:top w:val="single" w:color="auto" w:sz="4" w:space="0"/>
              <w:left w:val="single" w:color="auto" w:sz="4" w:space="0"/>
              <w:bottom w:val="single" w:color="auto" w:sz="4" w:space="0"/>
              <w:right w:val="single" w:color="auto" w:sz="4" w:space="0"/>
            </w:tcBorders>
            <w:noWrap w:val="0"/>
            <w:vAlign w:val="center"/>
          </w:tcPr>
          <w:p w14:paraId="5877D376">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资质</w:t>
            </w:r>
          </w:p>
        </w:tc>
        <w:tc>
          <w:tcPr>
            <w:tcW w:w="3961" w:type="dxa"/>
            <w:tcBorders>
              <w:top w:val="single" w:color="auto" w:sz="4" w:space="0"/>
              <w:left w:val="single" w:color="auto" w:sz="4" w:space="0"/>
              <w:bottom w:val="single" w:color="auto" w:sz="4" w:space="0"/>
              <w:right w:val="single" w:color="auto" w:sz="4" w:space="0"/>
            </w:tcBorders>
            <w:noWrap w:val="0"/>
            <w:vAlign w:val="center"/>
          </w:tcPr>
          <w:p w14:paraId="5A035C65">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备注</w:t>
            </w:r>
          </w:p>
        </w:tc>
      </w:tr>
      <w:tr w14:paraId="700A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2293" w:type="dxa"/>
            <w:tcBorders>
              <w:top w:val="single" w:color="auto" w:sz="4" w:space="0"/>
              <w:left w:val="single" w:color="auto" w:sz="4" w:space="0"/>
              <w:bottom w:val="nil"/>
              <w:right w:val="single" w:color="auto" w:sz="4" w:space="0"/>
            </w:tcBorders>
            <w:noWrap w:val="0"/>
            <w:vAlign w:val="center"/>
          </w:tcPr>
          <w:p w14:paraId="000F8EF5">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项目经理</w:t>
            </w:r>
          </w:p>
        </w:tc>
        <w:tc>
          <w:tcPr>
            <w:tcW w:w="1310" w:type="dxa"/>
            <w:tcBorders>
              <w:top w:val="single" w:color="auto" w:sz="4" w:space="0"/>
              <w:left w:val="nil"/>
              <w:bottom w:val="single" w:color="auto" w:sz="4" w:space="0"/>
              <w:right w:val="single" w:color="auto" w:sz="4" w:space="0"/>
            </w:tcBorders>
            <w:noWrap w:val="0"/>
            <w:vAlign w:val="center"/>
          </w:tcPr>
          <w:p w14:paraId="50995407">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1</w:t>
            </w:r>
          </w:p>
        </w:tc>
        <w:tc>
          <w:tcPr>
            <w:tcW w:w="2293" w:type="dxa"/>
            <w:tcBorders>
              <w:top w:val="single" w:color="auto" w:sz="4" w:space="0"/>
              <w:left w:val="single" w:color="auto" w:sz="4" w:space="0"/>
              <w:bottom w:val="single" w:color="auto" w:sz="4" w:space="0"/>
              <w:right w:val="single" w:color="auto" w:sz="4" w:space="0"/>
            </w:tcBorders>
            <w:noWrap w:val="0"/>
            <w:vAlign w:val="center"/>
          </w:tcPr>
          <w:p w14:paraId="03983F09">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按资质管理标准</w:t>
            </w:r>
          </w:p>
        </w:tc>
        <w:tc>
          <w:tcPr>
            <w:tcW w:w="3961" w:type="dxa"/>
            <w:tcBorders>
              <w:top w:val="single" w:color="auto" w:sz="4" w:space="0"/>
              <w:left w:val="single" w:color="auto" w:sz="4" w:space="0"/>
              <w:bottom w:val="single" w:color="auto" w:sz="4" w:space="0"/>
              <w:right w:val="single" w:color="auto" w:sz="4" w:space="0"/>
            </w:tcBorders>
            <w:noWrap w:val="0"/>
            <w:vAlign w:val="center"/>
          </w:tcPr>
          <w:p w14:paraId="1E393353">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专职押证</w:t>
            </w:r>
          </w:p>
        </w:tc>
      </w:tr>
      <w:tr w14:paraId="1D1CC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2293" w:type="dxa"/>
            <w:tcBorders>
              <w:top w:val="single" w:color="auto" w:sz="4" w:space="0"/>
              <w:left w:val="single" w:color="auto" w:sz="4" w:space="0"/>
              <w:bottom w:val="nil"/>
              <w:right w:val="single" w:color="auto" w:sz="4" w:space="0"/>
            </w:tcBorders>
            <w:noWrap w:val="0"/>
            <w:vAlign w:val="center"/>
          </w:tcPr>
          <w:p w14:paraId="6FCC0724">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项目副经理</w:t>
            </w:r>
          </w:p>
        </w:tc>
        <w:tc>
          <w:tcPr>
            <w:tcW w:w="1310" w:type="dxa"/>
            <w:tcBorders>
              <w:top w:val="single" w:color="auto" w:sz="4" w:space="0"/>
              <w:left w:val="nil"/>
              <w:bottom w:val="single" w:color="auto" w:sz="4" w:space="0"/>
              <w:right w:val="single" w:color="auto" w:sz="4" w:space="0"/>
            </w:tcBorders>
            <w:noWrap w:val="0"/>
            <w:vAlign w:val="center"/>
          </w:tcPr>
          <w:p w14:paraId="49DF56E2">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0~1</w:t>
            </w:r>
          </w:p>
        </w:tc>
        <w:tc>
          <w:tcPr>
            <w:tcW w:w="2293" w:type="dxa"/>
            <w:tcBorders>
              <w:top w:val="single" w:color="auto" w:sz="4" w:space="0"/>
              <w:left w:val="single" w:color="auto" w:sz="4" w:space="0"/>
              <w:bottom w:val="single" w:color="auto" w:sz="4" w:space="0"/>
              <w:right w:val="single" w:color="auto" w:sz="4" w:space="0"/>
            </w:tcBorders>
            <w:noWrap w:val="0"/>
            <w:vAlign w:val="center"/>
          </w:tcPr>
          <w:p w14:paraId="4496ABF8">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p>
        </w:tc>
        <w:tc>
          <w:tcPr>
            <w:tcW w:w="3961" w:type="dxa"/>
            <w:tcBorders>
              <w:top w:val="single" w:color="auto" w:sz="4" w:space="0"/>
              <w:left w:val="single" w:color="auto" w:sz="4" w:space="0"/>
              <w:bottom w:val="single" w:color="auto" w:sz="4" w:space="0"/>
              <w:right w:val="single" w:color="auto" w:sz="4" w:space="0"/>
            </w:tcBorders>
            <w:noWrap w:val="0"/>
            <w:vAlign w:val="center"/>
          </w:tcPr>
          <w:p w14:paraId="6FE5D0B3">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企业可视工程情况自行设置</w:t>
            </w:r>
          </w:p>
        </w:tc>
      </w:tr>
      <w:tr w14:paraId="2AC94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2293" w:type="dxa"/>
            <w:tcBorders>
              <w:top w:val="single" w:color="auto" w:sz="4" w:space="0"/>
              <w:left w:val="single" w:color="auto" w:sz="4" w:space="0"/>
              <w:bottom w:val="nil"/>
              <w:right w:val="single" w:color="auto" w:sz="4" w:space="0"/>
            </w:tcBorders>
            <w:noWrap w:val="0"/>
            <w:vAlign w:val="center"/>
          </w:tcPr>
          <w:p w14:paraId="48871700">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技术负责人</w:t>
            </w:r>
          </w:p>
        </w:tc>
        <w:tc>
          <w:tcPr>
            <w:tcW w:w="1310" w:type="dxa"/>
            <w:tcBorders>
              <w:top w:val="single" w:color="auto" w:sz="4" w:space="0"/>
              <w:left w:val="nil"/>
              <w:bottom w:val="single" w:color="auto" w:sz="4" w:space="0"/>
              <w:right w:val="single" w:color="auto" w:sz="4" w:space="0"/>
            </w:tcBorders>
            <w:noWrap w:val="0"/>
            <w:vAlign w:val="center"/>
          </w:tcPr>
          <w:p w14:paraId="53F9F200">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1</w:t>
            </w:r>
          </w:p>
        </w:tc>
        <w:tc>
          <w:tcPr>
            <w:tcW w:w="2293" w:type="dxa"/>
            <w:tcBorders>
              <w:top w:val="single" w:color="auto" w:sz="4" w:space="0"/>
              <w:left w:val="single" w:color="auto" w:sz="4" w:space="0"/>
              <w:bottom w:val="single" w:color="auto" w:sz="4" w:space="0"/>
              <w:right w:val="single" w:color="auto" w:sz="4" w:space="0"/>
            </w:tcBorders>
            <w:noWrap w:val="0"/>
            <w:vAlign w:val="center"/>
          </w:tcPr>
          <w:p w14:paraId="422CEB9F">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助理工程师</w:t>
            </w:r>
          </w:p>
        </w:tc>
        <w:tc>
          <w:tcPr>
            <w:tcW w:w="3961" w:type="dxa"/>
            <w:tcBorders>
              <w:top w:val="single" w:color="auto" w:sz="4" w:space="0"/>
              <w:left w:val="single" w:color="auto" w:sz="4" w:space="0"/>
              <w:bottom w:val="single" w:color="auto" w:sz="4" w:space="0"/>
              <w:right w:val="single" w:color="auto" w:sz="4" w:space="0"/>
            </w:tcBorders>
            <w:noWrap w:val="0"/>
            <w:vAlign w:val="center"/>
          </w:tcPr>
          <w:p w14:paraId="52DCE03F">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专职不押证</w:t>
            </w:r>
          </w:p>
        </w:tc>
      </w:tr>
      <w:tr w14:paraId="7C799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2293" w:type="dxa"/>
            <w:tcBorders>
              <w:top w:val="single" w:color="auto" w:sz="4" w:space="0"/>
              <w:left w:val="single" w:color="auto" w:sz="4" w:space="0"/>
              <w:bottom w:val="nil"/>
              <w:right w:val="single" w:color="auto" w:sz="4" w:space="0"/>
            </w:tcBorders>
            <w:noWrap w:val="0"/>
            <w:vAlign w:val="center"/>
          </w:tcPr>
          <w:p w14:paraId="176005DF">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施工员</w:t>
            </w:r>
          </w:p>
        </w:tc>
        <w:tc>
          <w:tcPr>
            <w:tcW w:w="1310" w:type="dxa"/>
            <w:tcBorders>
              <w:top w:val="single" w:color="auto" w:sz="4" w:space="0"/>
              <w:left w:val="nil"/>
              <w:bottom w:val="single" w:color="auto" w:sz="4" w:space="0"/>
              <w:right w:val="single" w:color="auto" w:sz="4" w:space="0"/>
            </w:tcBorders>
            <w:noWrap w:val="0"/>
            <w:vAlign w:val="center"/>
          </w:tcPr>
          <w:p w14:paraId="63D60820">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1</w:t>
            </w:r>
          </w:p>
        </w:tc>
        <w:tc>
          <w:tcPr>
            <w:tcW w:w="2293" w:type="dxa"/>
            <w:tcBorders>
              <w:top w:val="single" w:color="auto" w:sz="4" w:space="0"/>
              <w:left w:val="single" w:color="auto" w:sz="4" w:space="0"/>
              <w:bottom w:val="single" w:color="auto" w:sz="4" w:space="0"/>
              <w:right w:val="single" w:color="auto" w:sz="4" w:space="0"/>
            </w:tcBorders>
            <w:noWrap w:val="0"/>
            <w:vAlign w:val="center"/>
          </w:tcPr>
          <w:p w14:paraId="0FEA3073">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中级</w:t>
            </w:r>
          </w:p>
        </w:tc>
        <w:tc>
          <w:tcPr>
            <w:tcW w:w="3961" w:type="dxa"/>
            <w:tcBorders>
              <w:top w:val="single" w:color="auto" w:sz="4" w:space="0"/>
              <w:left w:val="single" w:color="auto" w:sz="4" w:space="0"/>
              <w:bottom w:val="single" w:color="auto" w:sz="4" w:space="0"/>
              <w:right w:val="single" w:color="auto" w:sz="4" w:space="0"/>
            </w:tcBorders>
            <w:noWrap w:val="0"/>
            <w:vAlign w:val="center"/>
          </w:tcPr>
          <w:p w14:paraId="57BBA9E4">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专职不押证</w:t>
            </w:r>
          </w:p>
        </w:tc>
      </w:tr>
      <w:tr w14:paraId="1D4E0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2293" w:type="dxa"/>
            <w:tcBorders>
              <w:top w:val="single" w:color="auto" w:sz="4" w:space="0"/>
              <w:left w:val="single" w:color="auto" w:sz="4" w:space="0"/>
              <w:bottom w:val="nil"/>
              <w:right w:val="single" w:color="auto" w:sz="4" w:space="0"/>
            </w:tcBorders>
            <w:noWrap w:val="0"/>
            <w:vAlign w:val="center"/>
          </w:tcPr>
          <w:p w14:paraId="316304FD">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质检员</w:t>
            </w:r>
          </w:p>
        </w:tc>
        <w:tc>
          <w:tcPr>
            <w:tcW w:w="1310" w:type="dxa"/>
            <w:tcBorders>
              <w:top w:val="single" w:color="auto" w:sz="4" w:space="0"/>
              <w:left w:val="nil"/>
              <w:bottom w:val="single" w:color="auto" w:sz="4" w:space="0"/>
              <w:right w:val="single" w:color="auto" w:sz="4" w:space="0"/>
            </w:tcBorders>
            <w:noWrap w:val="0"/>
            <w:vAlign w:val="center"/>
          </w:tcPr>
          <w:p w14:paraId="4AD5ABF9">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1</w:t>
            </w:r>
          </w:p>
        </w:tc>
        <w:tc>
          <w:tcPr>
            <w:tcW w:w="2293" w:type="dxa"/>
            <w:tcBorders>
              <w:top w:val="single" w:color="auto" w:sz="4" w:space="0"/>
              <w:left w:val="single" w:color="auto" w:sz="4" w:space="0"/>
              <w:bottom w:val="single" w:color="auto" w:sz="4" w:space="0"/>
              <w:right w:val="single" w:color="auto" w:sz="4" w:space="0"/>
            </w:tcBorders>
            <w:noWrap w:val="0"/>
            <w:vAlign w:val="center"/>
          </w:tcPr>
          <w:p w14:paraId="2D387B31">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中级</w:t>
            </w:r>
          </w:p>
        </w:tc>
        <w:tc>
          <w:tcPr>
            <w:tcW w:w="3961" w:type="dxa"/>
            <w:tcBorders>
              <w:top w:val="single" w:color="auto" w:sz="4" w:space="0"/>
              <w:left w:val="single" w:color="auto" w:sz="4" w:space="0"/>
              <w:bottom w:val="nil"/>
              <w:right w:val="single" w:color="auto" w:sz="4" w:space="0"/>
            </w:tcBorders>
            <w:noWrap w:val="0"/>
            <w:vAlign w:val="center"/>
          </w:tcPr>
          <w:p w14:paraId="0EC3B95C">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专职不押证</w:t>
            </w:r>
          </w:p>
        </w:tc>
      </w:tr>
      <w:tr w14:paraId="1B2EF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2293" w:type="dxa"/>
            <w:tcBorders>
              <w:top w:val="single" w:color="auto" w:sz="4" w:space="0"/>
              <w:left w:val="single" w:color="auto" w:sz="4" w:space="0"/>
              <w:bottom w:val="single" w:color="auto" w:sz="4" w:space="0"/>
              <w:right w:val="single" w:color="auto" w:sz="4" w:space="0"/>
            </w:tcBorders>
            <w:noWrap w:val="0"/>
            <w:vAlign w:val="center"/>
          </w:tcPr>
          <w:p w14:paraId="66E08CF1">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专职安全生产管理人员</w:t>
            </w:r>
          </w:p>
        </w:tc>
        <w:tc>
          <w:tcPr>
            <w:tcW w:w="1310" w:type="dxa"/>
            <w:tcBorders>
              <w:top w:val="single" w:color="auto" w:sz="4" w:space="0"/>
              <w:left w:val="nil"/>
              <w:bottom w:val="single" w:color="auto" w:sz="4" w:space="0"/>
              <w:right w:val="single" w:color="auto" w:sz="4" w:space="0"/>
            </w:tcBorders>
            <w:noWrap w:val="0"/>
            <w:vAlign w:val="center"/>
          </w:tcPr>
          <w:p w14:paraId="2624C7AA">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1</w:t>
            </w:r>
          </w:p>
        </w:tc>
        <w:tc>
          <w:tcPr>
            <w:tcW w:w="2293" w:type="dxa"/>
            <w:tcBorders>
              <w:top w:val="single" w:color="auto" w:sz="4" w:space="0"/>
              <w:left w:val="single" w:color="auto" w:sz="4" w:space="0"/>
              <w:bottom w:val="single" w:color="auto" w:sz="4" w:space="0"/>
              <w:right w:val="single" w:color="auto" w:sz="4" w:space="0"/>
            </w:tcBorders>
            <w:noWrap w:val="0"/>
            <w:vAlign w:val="center"/>
          </w:tcPr>
          <w:p w14:paraId="2D927645">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C证</w:t>
            </w:r>
          </w:p>
        </w:tc>
        <w:tc>
          <w:tcPr>
            <w:tcW w:w="3961" w:type="dxa"/>
            <w:tcBorders>
              <w:top w:val="single" w:color="auto" w:sz="4" w:space="0"/>
              <w:left w:val="single" w:color="auto" w:sz="4" w:space="0"/>
              <w:bottom w:val="single" w:color="auto" w:sz="4" w:space="0"/>
              <w:right w:val="single" w:color="auto" w:sz="4" w:space="0"/>
            </w:tcBorders>
            <w:noWrap w:val="0"/>
            <w:vAlign w:val="center"/>
          </w:tcPr>
          <w:p w14:paraId="3C0553F1">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专职、押证</w:t>
            </w:r>
          </w:p>
        </w:tc>
      </w:tr>
    </w:tbl>
    <w:p w14:paraId="17E78ED0">
      <w:pPr>
        <w:pageBreakBefore w:val="0"/>
        <w:widowControl/>
        <w:wordWrap/>
        <w:overflowPunct/>
        <w:topLinePunct w:val="0"/>
        <w:bidi w:val="0"/>
        <w:snapToGrid/>
        <w:spacing w:beforeAutospacing="0" w:afterAutospacing="0" w:line="240" w:lineRule="auto"/>
        <w:ind w:left="0" w:right="0" w:firstLine="105" w:firstLineChars="50"/>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2.2、1～5万平方米的房屋建筑工程、装修工程或5000万-1亿元以下市政工程和其他工程  表2</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1318"/>
        <w:gridCol w:w="2277"/>
        <w:gridCol w:w="3956"/>
      </w:tblGrid>
      <w:tr w14:paraId="71EC2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2307" w:type="dxa"/>
            <w:tcBorders>
              <w:top w:val="single" w:color="auto" w:sz="4" w:space="0"/>
              <w:left w:val="single" w:color="auto" w:sz="4" w:space="0"/>
              <w:bottom w:val="nil"/>
              <w:right w:val="single" w:color="auto" w:sz="4" w:space="0"/>
              <w:tl2br w:val="single" w:color="auto" w:sz="4" w:space="0"/>
            </w:tcBorders>
            <w:noWrap w:val="0"/>
            <w:vAlign w:val="top"/>
          </w:tcPr>
          <w:p w14:paraId="40B748F7">
            <w:pPr>
              <w:pageBreakBefore w:val="0"/>
              <w:widowControl/>
              <w:wordWrap/>
              <w:overflowPunct/>
              <w:topLinePunct w:val="0"/>
              <w:bidi w:val="0"/>
              <w:snapToGrid/>
              <w:spacing w:beforeAutospacing="0" w:afterAutospacing="0" w:line="240" w:lineRule="auto"/>
              <w:ind w:left="0" w:right="0"/>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 xml:space="preserve">             内容各类人员</w:t>
            </w:r>
          </w:p>
        </w:tc>
        <w:tc>
          <w:tcPr>
            <w:tcW w:w="1318" w:type="dxa"/>
            <w:tcBorders>
              <w:top w:val="single" w:color="auto" w:sz="4" w:space="0"/>
              <w:left w:val="nil"/>
              <w:bottom w:val="single" w:color="auto" w:sz="4" w:space="0"/>
              <w:right w:val="single" w:color="auto" w:sz="4" w:space="0"/>
            </w:tcBorders>
            <w:noWrap w:val="0"/>
            <w:vAlign w:val="center"/>
          </w:tcPr>
          <w:p w14:paraId="42EFE0CF">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数量</w:t>
            </w:r>
          </w:p>
        </w:tc>
        <w:tc>
          <w:tcPr>
            <w:tcW w:w="2277" w:type="dxa"/>
            <w:tcBorders>
              <w:top w:val="single" w:color="auto" w:sz="4" w:space="0"/>
              <w:left w:val="single" w:color="auto" w:sz="4" w:space="0"/>
              <w:bottom w:val="single" w:color="auto" w:sz="4" w:space="0"/>
              <w:right w:val="single" w:color="auto" w:sz="4" w:space="0"/>
            </w:tcBorders>
            <w:noWrap w:val="0"/>
            <w:vAlign w:val="center"/>
          </w:tcPr>
          <w:p w14:paraId="413F6AF2">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资质</w:t>
            </w:r>
          </w:p>
        </w:tc>
        <w:tc>
          <w:tcPr>
            <w:tcW w:w="3956" w:type="dxa"/>
            <w:tcBorders>
              <w:top w:val="single" w:color="auto" w:sz="4" w:space="0"/>
              <w:left w:val="single" w:color="auto" w:sz="4" w:space="0"/>
              <w:bottom w:val="single" w:color="auto" w:sz="4" w:space="0"/>
              <w:right w:val="single" w:color="auto" w:sz="4" w:space="0"/>
            </w:tcBorders>
            <w:noWrap w:val="0"/>
            <w:vAlign w:val="center"/>
          </w:tcPr>
          <w:p w14:paraId="22AE3F4F">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备注</w:t>
            </w:r>
          </w:p>
        </w:tc>
      </w:tr>
      <w:tr w14:paraId="3DEDD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2307" w:type="dxa"/>
            <w:tcBorders>
              <w:top w:val="single" w:color="auto" w:sz="4" w:space="0"/>
              <w:left w:val="single" w:color="auto" w:sz="4" w:space="0"/>
              <w:bottom w:val="nil"/>
              <w:right w:val="single" w:color="auto" w:sz="4" w:space="0"/>
            </w:tcBorders>
            <w:noWrap w:val="0"/>
            <w:vAlign w:val="center"/>
          </w:tcPr>
          <w:p w14:paraId="182330BA">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项目经理</w:t>
            </w:r>
          </w:p>
        </w:tc>
        <w:tc>
          <w:tcPr>
            <w:tcW w:w="1318" w:type="dxa"/>
            <w:tcBorders>
              <w:top w:val="single" w:color="auto" w:sz="4" w:space="0"/>
              <w:left w:val="nil"/>
              <w:bottom w:val="single" w:color="auto" w:sz="4" w:space="0"/>
              <w:right w:val="single" w:color="auto" w:sz="4" w:space="0"/>
            </w:tcBorders>
            <w:noWrap w:val="0"/>
            <w:vAlign w:val="center"/>
          </w:tcPr>
          <w:p w14:paraId="5E9FAF48">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1</w:t>
            </w:r>
          </w:p>
        </w:tc>
        <w:tc>
          <w:tcPr>
            <w:tcW w:w="2277" w:type="dxa"/>
            <w:tcBorders>
              <w:top w:val="single" w:color="auto" w:sz="4" w:space="0"/>
              <w:left w:val="single" w:color="auto" w:sz="4" w:space="0"/>
              <w:bottom w:val="single" w:color="auto" w:sz="4" w:space="0"/>
              <w:right w:val="single" w:color="auto" w:sz="4" w:space="0"/>
            </w:tcBorders>
            <w:noWrap w:val="0"/>
            <w:vAlign w:val="center"/>
          </w:tcPr>
          <w:p w14:paraId="307D416F">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按资质管理标准</w:t>
            </w:r>
          </w:p>
        </w:tc>
        <w:tc>
          <w:tcPr>
            <w:tcW w:w="3956" w:type="dxa"/>
            <w:tcBorders>
              <w:top w:val="single" w:color="auto" w:sz="4" w:space="0"/>
              <w:left w:val="single" w:color="auto" w:sz="4" w:space="0"/>
              <w:bottom w:val="single" w:color="auto" w:sz="4" w:space="0"/>
              <w:right w:val="single" w:color="auto" w:sz="4" w:space="0"/>
            </w:tcBorders>
            <w:noWrap w:val="0"/>
            <w:vAlign w:val="center"/>
          </w:tcPr>
          <w:p w14:paraId="09889CC5">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专职押证</w:t>
            </w:r>
          </w:p>
        </w:tc>
      </w:tr>
      <w:tr w14:paraId="2CEB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2307" w:type="dxa"/>
            <w:tcBorders>
              <w:top w:val="single" w:color="auto" w:sz="4" w:space="0"/>
              <w:left w:val="single" w:color="auto" w:sz="4" w:space="0"/>
              <w:bottom w:val="nil"/>
              <w:right w:val="single" w:color="auto" w:sz="4" w:space="0"/>
            </w:tcBorders>
            <w:noWrap w:val="0"/>
            <w:vAlign w:val="center"/>
          </w:tcPr>
          <w:p w14:paraId="0FD2323D">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项目副经理</w:t>
            </w:r>
          </w:p>
        </w:tc>
        <w:tc>
          <w:tcPr>
            <w:tcW w:w="1318" w:type="dxa"/>
            <w:tcBorders>
              <w:top w:val="single" w:color="auto" w:sz="4" w:space="0"/>
              <w:left w:val="nil"/>
              <w:bottom w:val="single" w:color="auto" w:sz="4" w:space="0"/>
              <w:right w:val="single" w:color="auto" w:sz="4" w:space="0"/>
            </w:tcBorders>
            <w:noWrap w:val="0"/>
            <w:vAlign w:val="center"/>
          </w:tcPr>
          <w:p w14:paraId="57F3B9F3">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1</w:t>
            </w:r>
          </w:p>
        </w:tc>
        <w:tc>
          <w:tcPr>
            <w:tcW w:w="2277" w:type="dxa"/>
            <w:tcBorders>
              <w:top w:val="single" w:color="auto" w:sz="4" w:space="0"/>
              <w:left w:val="single" w:color="auto" w:sz="4" w:space="0"/>
              <w:bottom w:val="single" w:color="auto" w:sz="4" w:space="0"/>
              <w:right w:val="single" w:color="auto" w:sz="4" w:space="0"/>
            </w:tcBorders>
            <w:noWrap w:val="0"/>
            <w:vAlign w:val="center"/>
          </w:tcPr>
          <w:p w14:paraId="3E679852">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p>
        </w:tc>
        <w:tc>
          <w:tcPr>
            <w:tcW w:w="3956" w:type="dxa"/>
            <w:tcBorders>
              <w:top w:val="single" w:color="auto" w:sz="4" w:space="0"/>
              <w:left w:val="single" w:color="auto" w:sz="4" w:space="0"/>
              <w:bottom w:val="single" w:color="auto" w:sz="4" w:space="0"/>
              <w:right w:val="single" w:color="auto" w:sz="4" w:space="0"/>
            </w:tcBorders>
            <w:noWrap w:val="0"/>
            <w:vAlign w:val="center"/>
          </w:tcPr>
          <w:p w14:paraId="4CA29275">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专职不押证</w:t>
            </w:r>
          </w:p>
        </w:tc>
      </w:tr>
      <w:tr w14:paraId="42705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2307" w:type="dxa"/>
            <w:tcBorders>
              <w:top w:val="single" w:color="auto" w:sz="4" w:space="0"/>
              <w:left w:val="single" w:color="auto" w:sz="4" w:space="0"/>
              <w:bottom w:val="nil"/>
              <w:right w:val="single" w:color="auto" w:sz="4" w:space="0"/>
            </w:tcBorders>
            <w:noWrap w:val="0"/>
            <w:vAlign w:val="center"/>
          </w:tcPr>
          <w:p w14:paraId="51EF7AC6">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技术负责人</w:t>
            </w:r>
          </w:p>
        </w:tc>
        <w:tc>
          <w:tcPr>
            <w:tcW w:w="1318" w:type="dxa"/>
            <w:tcBorders>
              <w:top w:val="single" w:color="auto" w:sz="4" w:space="0"/>
              <w:left w:val="nil"/>
              <w:bottom w:val="single" w:color="auto" w:sz="4" w:space="0"/>
              <w:right w:val="single" w:color="auto" w:sz="4" w:space="0"/>
            </w:tcBorders>
            <w:noWrap w:val="0"/>
            <w:vAlign w:val="center"/>
          </w:tcPr>
          <w:p w14:paraId="343234E6">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1</w:t>
            </w:r>
          </w:p>
        </w:tc>
        <w:tc>
          <w:tcPr>
            <w:tcW w:w="2277" w:type="dxa"/>
            <w:tcBorders>
              <w:top w:val="single" w:color="auto" w:sz="4" w:space="0"/>
              <w:left w:val="single" w:color="auto" w:sz="4" w:space="0"/>
              <w:bottom w:val="single" w:color="auto" w:sz="4" w:space="0"/>
              <w:right w:val="single" w:color="auto" w:sz="4" w:space="0"/>
            </w:tcBorders>
            <w:noWrap w:val="0"/>
            <w:vAlign w:val="center"/>
          </w:tcPr>
          <w:p w14:paraId="0458492B">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工程师</w:t>
            </w:r>
          </w:p>
        </w:tc>
        <w:tc>
          <w:tcPr>
            <w:tcW w:w="3956" w:type="dxa"/>
            <w:tcBorders>
              <w:top w:val="single" w:color="auto" w:sz="4" w:space="0"/>
              <w:left w:val="single" w:color="auto" w:sz="4" w:space="0"/>
              <w:bottom w:val="single" w:color="auto" w:sz="4" w:space="0"/>
              <w:right w:val="single" w:color="auto" w:sz="4" w:space="0"/>
            </w:tcBorders>
            <w:noWrap w:val="0"/>
            <w:vAlign w:val="center"/>
          </w:tcPr>
          <w:p w14:paraId="6DEE3840">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专职不押证</w:t>
            </w:r>
          </w:p>
        </w:tc>
      </w:tr>
      <w:tr w14:paraId="73DD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2307" w:type="dxa"/>
            <w:tcBorders>
              <w:top w:val="single" w:color="auto" w:sz="4" w:space="0"/>
              <w:left w:val="single" w:color="auto" w:sz="4" w:space="0"/>
              <w:bottom w:val="nil"/>
              <w:right w:val="single" w:color="auto" w:sz="4" w:space="0"/>
            </w:tcBorders>
            <w:noWrap w:val="0"/>
            <w:vAlign w:val="center"/>
          </w:tcPr>
          <w:p w14:paraId="5DDE7CE1">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施工员</w:t>
            </w:r>
          </w:p>
        </w:tc>
        <w:tc>
          <w:tcPr>
            <w:tcW w:w="1318" w:type="dxa"/>
            <w:tcBorders>
              <w:top w:val="single" w:color="auto" w:sz="4" w:space="0"/>
              <w:left w:val="nil"/>
              <w:bottom w:val="single" w:color="auto" w:sz="4" w:space="0"/>
              <w:right w:val="single" w:color="auto" w:sz="4" w:space="0"/>
            </w:tcBorders>
            <w:noWrap w:val="0"/>
            <w:vAlign w:val="center"/>
          </w:tcPr>
          <w:p w14:paraId="51A229A9">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1～2</w:t>
            </w:r>
          </w:p>
        </w:tc>
        <w:tc>
          <w:tcPr>
            <w:tcW w:w="2277" w:type="dxa"/>
            <w:tcBorders>
              <w:top w:val="single" w:color="auto" w:sz="4" w:space="0"/>
              <w:left w:val="single" w:color="auto" w:sz="4" w:space="0"/>
              <w:bottom w:val="single" w:color="auto" w:sz="4" w:space="0"/>
              <w:right w:val="single" w:color="auto" w:sz="4" w:space="0"/>
            </w:tcBorders>
            <w:noWrap w:val="0"/>
            <w:vAlign w:val="center"/>
          </w:tcPr>
          <w:p w14:paraId="2B37ED6E">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中级</w:t>
            </w:r>
          </w:p>
        </w:tc>
        <w:tc>
          <w:tcPr>
            <w:tcW w:w="3956" w:type="dxa"/>
            <w:tcBorders>
              <w:top w:val="single" w:color="auto" w:sz="4" w:space="0"/>
              <w:left w:val="single" w:color="auto" w:sz="4" w:space="0"/>
              <w:bottom w:val="single" w:color="auto" w:sz="4" w:space="0"/>
              <w:right w:val="single" w:color="auto" w:sz="4" w:space="0"/>
            </w:tcBorders>
            <w:noWrap w:val="0"/>
            <w:vAlign w:val="center"/>
          </w:tcPr>
          <w:p w14:paraId="06CA3472">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专职不押证</w:t>
            </w:r>
          </w:p>
        </w:tc>
      </w:tr>
      <w:tr w14:paraId="1AF28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2307" w:type="dxa"/>
            <w:tcBorders>
              <w:top w:val="single" w:color="auto" w:sz="4" w:space="0"/>
              <w:left w:val="single" w:color="auto" w:sz="4" w:space="0"/>
              <w:bottom w:val="nil"/>
              <w:right w:val="single" w:color="auto" w:sz="4" w:space="0"/>
            </w:tcBorders>
            <w:noWrap w:val="0"/>
            <w:vAlign w:val="center"/>
          </w:tcPr>
          <w:p w14:paraId="4917FA25">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质检员</w:t>
            </w:r>
          </w:p>
        </w:tc>
        <w:tc>
          <w:tcPr>
            <w:tcW w:w="1318" w:type="dxa"/>
            <w:tcBorders>
              <w:top w:val="single" w:color="auto" w:sz="4" w:space="0"/>
              <w:left w:val="nil"/>
              <w:bottom w:val="single" w:color="auto" w:sz="4" w:space="0"/>
              <w:right w:val="single" w:color="auto" w:sz="4" w:space="0"/>
            </w:tcBorders>
            <w:noWrap w:val="0"/>
            <w:vAlign w:val="center"/>
          </w:tcPr>
          <w:p w14:paraId="23571C4F">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1</w:t>
            </w:r>
          </w:p>
        </w:tc>
        <w:tc>
          <w:tcPr>
            <w:tcW w:w="2277" w:type="dxa"/>
            <w:tcBorders>
              <w:top w:val="single" w:color="auto" w:sz="4" w:space="0"/>
              <w:left w:val="single" w:color="auto" w:sz="4" w:space="0"/>
              <w:bottom w:val="single" w:color="auto" w:sz="4" w:space="0"/>
              <w:right w:val="single" w:color="auto" w:sz="4" w:space="0"/>
            </w:tcBorders>
            <w:noWrap w:val="0"/>
            <w:vAlign w:val="center"/>
          </w:tcPr>
          <w:p w14:paraId="3195D19D">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中级</w:t>
            </w:r>
          </w:p>
        </w:tc>
        <w:tc>
          <w:tcPr>
            <w:tcW w:w="3956" w:type="dxa"/>
            <w:tcBorders>
              <w:top w:val="single" w:color="auto" w:sz="4" w:space="0"/>
              <w:left w:val="single" w:color="auto" w:sz="4" w:space="0"/>
              <w:bottom w:val="single" w:color="auto" w:sz="4" w:space="0"/>
              <w:right w:val="single" w:color="auto" w:sz="4" w:space="0"/>
            </w:tcBorders>
            <w:noWrap w:val="0"/>
            <w:vAlign w:val="center"/>
          </w:tcPr>
          <w:p w14:paraId="3F5B020C">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专职不押证</w:t>
            </w:r>
          </w:p>
        </w:tc>
      </w:tr>
      <w:tr w14:paraId="52261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2307" w:type="dxa"/>
            <w:tcBorders>
              <w:top w:val="single" w:color="auto" w:sz="4" w:space="0"/>
              <w:left w:val="single" w:color="auto" w:sz="4" w:space="0"/>
              <w:bottom w:val="single" w:color="auto" w:sz="4" w:space="0"/>
              <w:right w:val="single" w:color="auto" w:sz="4" w:space="0"/>
            </w:tcBorders>
            <w:noWrap w:val="0"/>
            <w:vAlign w:val="center"/>
          </w:tcPr>
          <w:p w14:paraId="78F29A43">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专职安全生产管理人员</w:t>
            </w:r>
          </w:p>
        </w:tc>
        <w:tc>
          <w:tcPr>
            <w:tcW w:w="1318" w:type="dxa"/>
            <w:tcBorders>
              <w:top w:val="single" w:color="auto" w:sz="4" w:space="0"/>
              <w:left w:val="nil"/>
              <w:bottom w:val="single" w:color="auto" w:sz="4" w:space="0"/>
              <w:right w:val="single" w:color="auto" w:sz="4" w:space="0"/>
            </w:tcBorders>
            <w:noWrap w:val="0"/>
            <w:vAlign w:val="center"/>
          </w:tcPr>
          <w:p w14:paraId="287E639E">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2</w:t>
            </w:r>
          </w:p>
        </w:tc>
        <w:tc>
          <w:tcPr>
            <w:tcW w:w="2277" w:type="dxa"/>
            <w:tcBorders>
              <w:top w:val="single" w:color="auto" w:sz="4" w:space="0"/>
              <w:left w:val="single" w:color="auto" w:sz="4" w:space="0"/>
              <w:bottom w:val="single" w:color="auto" w:sz="4" w:space="0"/>
              <w:right w:val="single" w:color="auto" w:sz="4" w:space="0"/>
            </w:tcBorders>
            <w:noWrap w:val="0"/>
            <w:vAlign w:val="center"/>
          </w:tcPr>
          <w:p w14:paraId="4126A783">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C证</w:t>
            </w:r>
          </w:p>
        </w:tc>
        <w:tc>
          <w:tcPr>
            <w:tcW w:w="3956" w:type="dxa"/>
            <w:tcBorders>
              <w:top w:val="single" w:color="auto" w:sz="4" w:space="0"/>
              <w:left w:val="single" w:color="auto" w:sz="4" w:space="0"/>
              <w:bottom w:val="single" w:color="auto" w:sz="4" w:space="0"/>
              <w:right w:val="single" w:color="auto" w:sz="4" w:space="0"/>
            </w:tcBorders>
            <w:noWrap w:val="0"/>
            <w:vAlign w:val="center"/>
          </w:tcPr>
          <w:p w14:paraId="0A1F8E7F">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专职押证</w:t>
            </w:r>
          </w:p>
        </w:tc>
      </w:tr>
    </w:tbl>
    <w:p w14:paraId="2987B651">
      <w:pPr>
        <w:pageBreakBefore w:val="0"/>
        <w:widowControl/>
        <w:wordWrap/>
        <w:overflowPunct/>
        <w:topLinePunct w:val="0"/>
        <w:bidi w:val="0"/>
        <w:snapToGrid/>
        <w:spacing w:beforeAutospacing="0" w:afterAutospacing="0" w:line="240" w:lineRule="auto"/>
        <w:ind w:left="0" w:right="0" w:firstLine="420" w:firstLineChars="200"/>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2.3、5万平方米以上的房屋建筑工程或1亿以上市政工程和其他工程       表3</w:t>
      </w:r>
    </w:p>
    <w:tbl>
      <w:tblPr>
        <w:tblStyle w:val="34"/>
        <w:tblW w:w="9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2"/>
        <w:gridCol w:w="1321"/>
        <w:gridCol w:w="2281"/>
        <w:gridCol w:w="3964"/>
      </w:tblGrid>
      <w:tr w14:paraId="0200C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2312" w:type="dxa"/>
            <w:tcBorders>
              <w:top w:val="single" w:color="auto" w:sz="4" w:space="0"/>
              <w:left w:val="single" w:color="auto" w:sz="4" w:space="0"/>
              <w:bottom w:val="nil"/>
              <w:right w:val="single" w:color="auto" w:sz="4" w:space="0"/>
              <w:tl2br w:val="single" w:color="auto" w:sz="4" w:space="0"/>
            </w:tcBorders>
            <w:noWrap w:val="0"/>
            <w:vAlign w:val="top"/>
          </w:tcPr>
          <w:p w14:paraId="0AD49CC4">
            <w:pPr>
              <w:pageBreakBefore w:val="0"/>
              <w:widowControl/>
              <w:wordWrap/>
              <w:overflowPunct/>
              <w:topLinePunct w:val="0"/>
              <w:bidi w:val="0"/>
              <w:snapToGrid/>
              <w:spacing w:beforeAutospacing="0" w:afterAutospacing="0" w:line="240" w:lineRule="auto"/>
              <w:ind w:left="0" w:right="0"/>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 xml:space="preserve">             内容各类人员</w:t>
            </w:r>
          </w:p>
        </w:tc>
        <w:tc>
          <w:tcPr>
            <w:tcW w:w="1321" w:type="dxa"/>
            <w:tcBorders>
              <w:top w:val="single" w:color="auto" w:sz="4" w:space="0"/>
              <w:left w:val="nil"/>
              <w:bottom w:val="single" w:color="auto" w:sz="4" w:space="0"/>
              <w:right w:val="single" w:color="auto" w:sz="4" w:space="0"/>
            </w:tcBorders>
            <w:noWrap w:val="0"/>
            <w:vAlign w:val="center"/>
          </w:tcPr>
          <w:p w14:paraId="1FEF3FA7">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数量</w:t>
            </w:r>
          </w:p>
        </w:tc>
        <w:tc>
          <w:tcPr>
            <w:tcW w:w="2281" w:type="dxa"/>
            <w:tcBorders>
              <w:top w:val="single" w:color="auto" w:sz="4" w:space="0"/>
              <w:left w:val="single" w:color="auto" w:sz="4" w:space="0"/>
              <w:bottom w:val="single" w:color="auto" w:sz="4" w:space="0"/>
              <w:right w:val="single" w:color="auto" w:sz="4" w:space="0"/>
            </w:tcBorders>
            <w:noWrap w:val="0"/>
            <w:vAlign w:val="center"/>
          </w:tcPr>
          <w:p w14:paraId="6230FB86">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资质</w:t>
            </w:r>
          </w:p>
        </w:tc>
        <w:tc>
          <w:tcPr>
            <w:tcW w:w="3964" w:type="dxa"/>
            <w:tcBorders>
              <w:top w:val="single" w:color="auto" w:sz="4" w:space="0"/>
              <w:left w:val="single" w:color="auto" w:sz="4" w:space="0"/>
              <w:bottom w:val="single" w:color="auto" w:sz="4" w:space="0"/>
              <w:right w:val="single" w:color="auto" w:sz="4" w:space="0"/>
            </w:tcBorders>
            <w:noWrap w:val="0"/>
            <w:vAlign w:val="center"/>
          </w:tcPr>
          <w:p w14:paraId="666BCA20">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备注</w:t>
            </w:r>
          </w:p>
        </w:tc>
      </w:tr>
      <w:tr w14:paraId="131F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312" w:type="dxa"/>
            <w:tcBorders>
              <w:top w:val="single" w:color="auto" w:sz="4" w:space="0"/>
              <w:left w:val="single" w:color="auto" w:sz="4" w:space="0"/>
              <w:bottom w:val="nil"/>
              <w:right w:val="single" w:color="auto" w:sz="4" w:space="0"/>
            </w:tcBorders>
            <w:noWrap w:val="0"/>
            <w:vAlign w:val="center"/>
          </w:tcPr>
          <w:p w14:paraId="105E2B30">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项目经理</w:t>
            </w:r>
          </w:p>
        </w:tc>
        <w:tc>
          <w:tcPr>
            <w:tcW w:w="1321" w:type="dxa"/>
            <w:tcBorders>
              <w:top w:val="single" w:color="auto" w:sz="4" w:space="0"/>
              <w:left w:val="nil"/>
              <w:bottom w:val="single" w:color="auto" w:sz="4" w:space="0"/>
              <w:right w:val="single" w:color="auto" w:sz="4" w:space="0"/>
            </w:tcBorders>
            <w:noWrap w:val="0"/>
            <w:vAlign w:val="center"/>
          </w:tcPr>
          <w:p w14:paraId="07EDBC99">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1</w:t>
            </w:r>
          </w:p>
        </w:tc>
        <w:tc>
          <w:tcPr>
            <w:tcW w:w="2281" w:type="dxa"/>
            <w:tcBorders>
              <w:top w:val="single" w:color="auto" w:sz="4" w:space="0"/>
              <w:left w:val="single" w:color="auto" w:sz="4" w:space="0"/>
              <w:bottom w:val="single" w:color="auto" w:sz="4" w:space="0"/>
              <w:right w:val="single" w:color="auto" w:sz="4" w:space="0"/>
            </w:tcBorders>
            <w:noWrap w:val="0"/>
            <w:vAlign w:val="center"/>
          </w:tcPr>
          <w:p w14:paraId="09267D12">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按资质标准</w:t>
            </w:r>
          </w:p>
        </w:tc>
        <w:tc>
          <w:tcPr>
            <w:tcW w:w="3964" w:type="dxa"/>
            <w:tcBorders>
              <w:top w:val="single" w:color="auto" w:sz="4" w:space="0"/>
              <w:left w:val="single" w:color="auto" w:sz="4" w:space="0"/>
              <w:bottom w:val="single" w:color="auto" w:sz="4" w:space="0"/>
              <w:right w:val="single" w:color="auto" w:sz="4" w:space="0"/>
            </w:tcBorders>
            <w:noWrap w:val="0"/>
            <w:vAlign w:val="center"/>
          </w:tcPr>
          <w:p w14:paraId="661686BF">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专职、押证</w:t>
            </w:r>
          </w:p>
        </w:tc>
      </w:tr>
      <w:tr w14:paraId="33720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312" w:type="dxa"/>
            <w:tcBorders>
              <w:top w:val="single" w:color="auto" w:sz="4" w:space="0"/>
              <w:left w:val="single" w:color="auto" w:sz="4" w:space="0"/>
              <w:bottom w:val="nil"/>
              <w:right w:val="single" w:color="auto" w:sz="4" w:space="0"/>
            </w:tcBorders>
            <w:noWrap w:val="0"/>
            <w:vAlign w:val="center"/>
          </w:tcPr>
          <w:p w14:paraId="089AF789">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项目副经理</w:t>
            </w:r>
          </w:p>
        </w:tc>
        <w:tc>
          <w:tcPr>
            <w:tcW w:w="1321" w:type="dxa"/>
            <w:tcBorders>
              <w:top w:val="single" w:color="auto" w:sz="4" w:space="0"/>
              <w:left w:val="nil"/>
              <w:bottom w:val="single" w:color="auto" w:sz="4" w:space="0"/>
              <w:right w:val="single" w:color="auto" w:sz="4" w:space="0"/>
            </w:tcBorders>
            <w:noWrap w:val="0"/>
            <w:vAlign w:val="center"/>
          </w:tcPr>
          <w:p w14:paraId="5F9F9B8F">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2</w:t>
            </w:r>
          </w:p>
        </w:tc>
        <w:tc>
          <w:tcPr>
            <w:tcW w:w="2281" w:type="dxa"/>
            <w:tcBorders>
              <w:top w:val="single" w:color="auto" w:sz="4" w:space="0"/>
              <w:left w:val="single" w:color="auto" w:sz="4" w:space="0"/>
              <w:bottom w:val="single" w:color="auto" w:sz="4" w:space="0"/>
              <w:right w:val="single" w:color="auto" w:sz="4" w:space="0"/>
            </w:tcBorders>
            <w:noWrap w:val="0"/>
            <w:vAlign w:val="center"/>
          </w:tcPr>
          <w:p w14:paraId="2179F9D4">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p>
        </w:tc>
        <w:tc>
          <w:tcPr>
            <w:tcW w:w="3964" w:type="dxa"/>
            <w:tcBorders>
              <w:top w:val="single" w:color="auto" w:sz="4" w:space="0"/>
              <w:left w:val="single" w:color="auto" w:sz="4" w:space="0"/>
              <w:bottom w:val="single" w:color="auto" w:sz="4" w:space="0"/>
              <w:right w:val="single" w:color="auto" w:sz="4" w:space="0"/>
            </w:tcBorders>
            <w:noWrap w:val="0"/>
            <w:vAlign w:val="center"/>
          </w:tcPr>
          <w:p w14:paraId="238586D0">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专职不押证</w:t>
            </w:r>
          </w:p>
        </w:tc>
      </w:tr>
      <w:tr w14:paraId="33261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312" w:type="dxa"/>
            <w:tcBorders>
              <w:top w:val="single" w:color="auto" w:sz="4" w:space="0"/>
              <w:left w:val="single" w:color="auto" w:sz="4" w:space="0"/>
              <w:bottom w:val="nil"/>
              <w:right w:val="single" w:color="auto" w:sz="4" w:space="0"/>
            </w:tcBorders>
            <w:noWrap w:val="0"/>
            <w:vAlign w:val="center"/>
          </w:tcPr>
          <w:p w14:paraId="1B9C7003">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技术负责人</w:t>
            </w:r>
          </w:p>
        </w:tc>
        <w:tc>
          <w:tcPr>
            <w:tcW w:w="1321" w:type="dxa"/>
            <w:tcBorders>
              <w:top w:val="single" w:color="auto" w:sz="4" w:space="0"/>
              <w:left w:val="nil"/>
              <w:bottom w:val="single" w:color="auto" w:sz="4" w:space="0"/>
              <w:right w:val="single" w:color="auto" w:sz="4" w:space="0"/>
            </w:tcBorders>
            <w:noWrap w:val="0"/>
            <w:vAlign w:val="center"/>
          </w:tcPr>
          <w:p w14:paraId="58EF2DE4">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1</w:t>
            </w:r>
          </w:p>
        </w:tc>
        <w:tc>
          <w:tcPr>
            <w:tcW w:w="2281" w:type="dxa"/>
            <w:tcBorders>
              <w:top w:val="single" w:color="auto" w:sz="4" w:space="0"/>
              <w:left w:val="single" w:color="auto" w:sz="4" w:space="0"/>
              <w:bottom w:val="single" w:color="auto" w:sz="4" w:space="0"/>
              <w:right w:val="single" w:color="auto" w:sz="4" w:space="0"/>
            </w:tcBorders>
            <w:noWrap w:val="0"/>
            <w:vAlign w:val="center"/>
          </w:tcPr>
          <w:p w14:paraId="7509DCDE">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工程师以上</w:t>
            </w:r>
          </w:p>
        </w:tc>
        <w:tc>
          <w:tcPr>
            <w:tcW w:w="3964" w:type="dxa"/>
            <w:tcBorders>
              <w:top w:val="single" w:color="auto" w:sz="4" w:space="0"/>
              <w:left w:val="single" w:color="auto" w:sz="4" w:space="0"/>
              <w:bottom w:val="single" w:color="auto" w:sz="4" w:space="0"/>
              <w:right w:val="single" w:color="auto" w:sz="4" w:space="0"/>
            </w:tcBorders>
            <w:noWrap w:val="0"/>
            <w:vAlign w:val="center"/>
          </w:tcPr>
          <w:p w14:paraId="7A922148">
            <w:pPr>
              <w:pageBreakBefore w:val="0"/>
              <w:widowControl/>
              <w:wordWrap/>
              <w:overflowPunct/>
              <w:topLinePunct w:val="0"/>
              <w:bidi w:val="0"/>
              <w:snapToGrid/>
              <w:spacing w:beforeAutospacing="0" w:afterAutospacing="0" w:line="240" w:lineRule="auto"/>
              <w:ind w:left="0" w:right="0"/>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工程师专职，高级工程师兼职</w:t>
            </w:r>
          </w:p>
        </w:tc>
      </w:tr>
      <w:tr w14:paraId="280FF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312" w:type="dxa"/>
            <w:tcBorders>
              <w:top w:val="single" w:color="auto" w:sz="4" w:space="0"/>
              <w:left w:val="single" w:color="auto" w:sz="4" w:space="0"/>
              <w:bottom w:val="nil"/>
              <w:right w:val="single" w:color="auto" w:sz="4" w:space="0"/>
            </w:tcBorders>
            <w:noWrap w:val="0"/>
            <w:vAlign w:val="center"/>
          </w:tcPr>
          <w:p w14:paraId="0E0A4232">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施工员</w:t>
            </w:r>
          </w:p>
        </w:tc>
        <w:tc>
          <w:tcPr>
            <w:tcW w:w="1321" w:type="dxa"/>
            <w:tcBorders>
              <w:top w:val="single" w:color="auto" w:sz="4" w:space="0"/>
              <w:left w:val="nil"/>
              <w:bottom w:val="single" w:color="auto" w:sz="4" w:space="0"/>
              <w:right w:val="single" w:color="auto" w:sz="4" w:space="0"/>
            </w:tcBorders>
            <w:noWrap w:val="0"/>
            <w:vAlign w:val="center"/>
          </w:tcPr>
          <w:p w14:paraId="1D8EC8FC">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2人以上</w:t>
            </w:r>
          </w:p>
        </w:tc>
        <w:tc>
          <w:tcPr>
            <w:tcW w:w="2281" w:type="dxa"/>
            <w:tcBorders>
              <w:top w:val="single" w:color="auto" w:sz="4" w:space="0"/>
              <w:left w:val="single" w:color="auto" w:sz="4" w:space="0"/>
              <w:bottom w:val="single" w:color="auto" w:sz="4" w:space="0"/>
              <w:right w:val="single" w:color="auto" w:sz="4" w:space="0"/>
            </w:tcBorders>
            <w:noWrap w:val="0"/>
            <w:vAlign w:val="center"/>
          </w:tcPr>
          <w:p w14:paraId="538ACDF0">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中级</w:t>
            </w:r>
          </w:p>
        </w:tc>
        <w:tc>
          <w:tcPr>
            <w:tcW w:w="3964" w:type="dxa"/>
            <w:tcBorders>
              <w:top w:val="single" w:color="auto" w:sz="4" w:space="0"/>
              <w:left w:val="single" w:color="auto" w:sz="4" w:space="0"/>
              <w:bottom w:val="single" w:color="auto" w:sz="4" w:space="0"/>
              <w:right w:val="single" w:color="auto" w:sz="4" w:space="0"/>
            </w:tcBorders>
            <w:noWrap w:val="0"/>
            <w:vAlign w:val="center"/>
          </w:tcPr>
          <w:p w14:paraId="7309C0EB">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vertAlign w:val="superscript"/>
              </w:rPr>
            </w:pPr>
            <w:r>
              <w:rPr>
                <w:rFonts w:hint="eastAsia" w:ascii="宋体" w:hAnsi="宋体" w:eastAsia="宋体" w:cs="宋体"/>
                <w:color w:val="000000"/>
                <w:kern w:val="0"/>
                <w:sz w:val="21"/>
                <w:szCs w:val="21"/>
                <w:highlight w:val="none"/>
                <w:shd w:val="clear" w:color="auto" w:fill="auto"/>
              </w:rPr>
              <w:t>专职不押证</w:t>
            </w:r>
          </w:p>
        </w:tc>
      </w:tr>
      <w:tr w14:paraId="246FE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312" w:type="dxa"/>
            <w:tcBorders>
              <w:top w:val="single" w:color="auto" w:sz="4" w:space="0"/>
              <w:left w:val="single" w:color="auto" w:sz="4" w:space="0"/>
              <w:bottom w:val="nil"/>
              <w:right w:val="single" w:color="auto" w:sz="4" w:space="0"/>
            </w:tcBorders>
            <w:noWrap w:val="0"/>
            <w:vAlign w:val="center"/>
          </w:tcPr>
          <w:p w14:paraId="442F54EA">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质检员</w:t>
            </w:r>
          </w:p>
        </w:tc>
        <w:tc>
          <w:tcPr>
            <w:tcW w:w="1321" w:type="dxa"/>
            <w:tcBorders>
              <w:top w:val="single" w:color="auto" w:sz="4" w:space="0"/>
              <w:left w:val="nil"/>
              <w:bottom w:val="single" w:color="auto" w:sz="4" w:space="0"/>
              <w:right w:val="single" w:color="auto" w:sz="4" w:space="0"/>
            </w:tcBorders>
            <w:noWrap w:val="0"/>
            <w:vAlign w:val="center"/>
          </w:tcPr>
          <w:p w14:paraId="013EED73">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2</w:t>
            </w:r>
          </w:p>
        </w:tc>
        <w:tc>
          <w:tcPr>
            <w:tcW w:w="2281" w:type="dxa"/>
            <w:tcBorders>
              <w:top w:val="single" w:color="auto" w:sz="4" w:space="0"/>
              <w:left w:val="single" w:color="auto" w:sz="4" w:space="0"/>
              <w:bottom w:val="single" w:color="auto" w:sz="4" w:space="0"/>
              <w:right w:val="single" w:color="auto" w:sz="4" w:space="0"/>
            </w:tcBorders>
            <w:noWrap w:val="0"/>
            <w:vAlign w:val="center"/>
          </w:tcPr>
          <w:p w14:paraId="7A4C5C35">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中级</w:t>
            </w:r>
          </w:p>
        </w:tc>
        <w:tc>
          <w:tcPr>
            <w:tcW w:w="3964" w:type="dxa"/>
            <w:tcBorders>
              <w:top w:val="single" w:color="auto" w:sz="4" w:space="0"/>
              <w:left w:val="single" w:color="auto" w:sz="4" w:space="0"/>
              <w:bottom w:val="single" w:color="auto" w:sz="4" w:space="0"/>
              <w:right w:val="single" w:color="auto" w:sz="4" w:space="0"/>
            </w:tcBorders>
            <w:noWrap w:val="0"/>
            <w:vAlign w:val="center"/>
          </w:tcPr>
          <w:p w14:paraId="076ECEB8">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专职不押证</w:t>
            </w:r>
          </w:p>
        </w:tc>
      </w:tr>
      <w:tr w14:paraId="778B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2312" w:type="dxa"/>
            <w:tcBorders>
              <w:top w:val="single" w:color="auto" w:sz="4" w:space="0"/>
              <w:left w:val="single" w:color="auto" w:sz="4" w:space="0"/>
              <w:bottom w:val="single" w:color="auto" w:sz="4" w:space="0"/>
              <w:right w:val="single" w:color="auto" w:sz="4" w:space="0"/>
            </w:tcBorders>
            <w:noWrap w:val="0"/>
            <w:vAlign w:val="center"/>
          </w:tcPr>
          <w:p w14:paraId="09CDFF8D">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专职安全生产管理人员</w:t>
            </w:r>
          </w:p>
        </w:tc>
        <w:tc>
          <w:tcPr>
            <w:tcW w:w="1321" w:type="dxa"/>
            <w:tcBorders>
              <w:top w:val="single" w:color="auto" w:sz="4" w:space="0"/>
              <w:left w:val="nil"/>
              <w:bottom w:val="single" w:color="auto" w:sz="4" w:space="0"/>
              <w:right w:val="single" w:color="auto" w:sz="4" w:space="0"/>
            </w:tcBorders>
            <w:noWrap w:val="0"/>
            <w:vAlign w:val="center"/>
          </w:tcPr>
          <w:p w14:paraId="3ECA5C41">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3</w:t>
            </w:r>
          </w:p>
        </w:tc>
        <w:tc>
          <w:tcPr>
            <w:tcW w:w="2281" w:type="dxa"/>
            <w:tcBorders>
              <w:top w:val="single" w:color="auto" w:sz="4" w:space="0"/>
              <w:left w:val="single" w:color="auto" w:sz="4" w:space="0"/>
              <w:bottom w:val="single" w:color="auto" w:sz="4" w:space="0"/>
              <w:right w:val="single" w:color="auto" w:sz="4" w:space="0"/>
            </w:tcBorders>
            <w:noWrap w:val="0"/>
            <w:vAlign w:val="center"/>
          </w:tcPr>
          <w:p w14:paraId="27E61D0D">
            <w:pPr>
              <w:pageBreakBefore w:val="0"/>
              <w:widowControl/>
              <w:wordWrap/>
              <w:overflowPunct/>
              <w:topLinePunct w:val="0"/>
              <w:bidi w:val="0"/>
              <w:snapToGrid/>
              <w:spacing w:beforeAutospacing="0" w:afterAutospacing="0" w:line="240" w:lineRule="auto"/>
              <w:ind w:left="0" w:right="0"/>
              <w:jc w:val="center"/>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C证</w:t>
            </w:r>
          </w:p>
        </w:tc>
        <w:tc>
          <w:tcPr>
            <w:tcW w:w="3964" w:type="dxa"/>
            <w:tcBorders>
              <w:top w:val="single" w:color="auto" w:sz="4" w:space="0"/>
              <w:left w:val="single" w:color="auto" w:sz="4" w:space="0"/>
              <w:bottom w:val="single" w:color="auto" w:sz="4" w:space="0"/>
              <w:right w:val="single" w:color="auto" w:sz="4" w:space="0"/>
            </w:tcBorders>
            <w:noWrap w:val="0"/>
            <w:vAlign w:val="center"/>
          </w:tcPr>
          <w:p w14:paraId="61C38875">
            <w:pPr>
              <w:pageBreakBefore w:val="0"/>
              <w:widowControl/>
              <w:wordWrap/>
              <w:overflowPunct/>
              <w:topLinePunct w:val="0"/>
              <w:bidi w:val="0"/>
              <w:snapToGrid/>
              <w:spacing w:beforeAutospacing="0" w:afterAutospacing="0" w:line="240" w:lineRule="auto"/>
              <w:ind w:left="0" w:right="0"/>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专职、押证，应当设置安全主管，按土建、机电设备等专业设置专职安全生产管理人员</w:t>
            </w:r>
          </w:p>
        </w:tc>
      </w:tr>
    </w:tbl>
    <w:p w14:paraId="621D32D3">
      <w:pPr>
        <w:pageBreakBefore w:val="0"/>
        <w:wordWrap/>
        <w:overflowPunct/>
        <w:topLinePunct w:val="0"/>
        <w:bidi w:val="0"/>
        <w:snapToGrid/>
        <w:spacing w:beforeAutospacing="0" w:afterAutospacing="0" w:line="360" w:lineRule="auto"/>
        <w:ind w:left="0" w:right="0"/>
        <w:rPr>
          <w:rFonts w:hint="eastAsia" w:ascii="宋体" w:hAnsi="宋体" w:eastAsia="宋体" w:cs="宋体"/>
          <w:color w:val="000000"/>
          <w:sz w:val="21"/>
          <w:szCs w:val="21"/>
          <w:highlight w:val="none"/>
          <w:shd w:val="clear" w:color="auto" w:fill="auto"/>
        </w:rPr>
      </w:pPr>
    </w:p>
    <w:p w14:paraId="417008F8">
      <w:pPr>
        <w:spacing w:line="500" w:lineRule="exact"/>
        <w:jc w:val="center"/>
        <w:outlineLvl w:val="0"/>
        <w:rPr>
          <w:rFonts w:hint="eastAsia" w:ascii="宋体" w:hAnsi="宋体" w:cs="宋体"/>
          <w:b/>
          <w:bCs/>
          <w:color w:val="000000"/>
          <w:w w:val="99"/>
          <w:kern w:val="0"/>
          <w:sz w:val="30"/>
          <w:szCs w:val="32"/>
          <w:highlight w:val="none"/>
          <w:shd w:val="clear" w:color="auto" w:fill="auto"/>
        </w:rPr>
      </w:pPr>
      <w:bookmarkStart w:id="1909" w:name="_Toc31003"/>
      <w:r>
        <w:rPr>
          <w:rFonts w:hint="eastAsia" w:ascii="宋体" w:hAnsi="宋体" w:eastAsia="宋体" w:cs="宋体"/>
          <w:b/>
          <w:color w:val="000000"/>
          <w:sz w:val="21"/>
          <w:szCs w:val="21"/>
          <w:highlight w:val="none"/>
          <w:shd w:val="clear" w:color="auto" w:fill="auto"/>
          <w:lang w:val="en-US" w:eastAsia="zh-CN"/>
        </w:rPr>
        <w:br w:type="page"/>
      </w:r>
      <w:bookmarkEnd w:id="1909"/>
      <w:bookmarkStart w:id="1910" w:name="_Toc30624"/>
      <w:r>
        <w:rPr>
          <w:rFonts w:hint="eastAsia" w:ascii="宋体" w:hAnsi="宋体" w:cs="宋体"/>
          <w:b/>
          <w:bCs/>
          <w:color w:val="000000"/>
          <w:w w:val="99"/>
          <w:kern w:val="0"/>
          <w:sz w:val="30"/>
          <w:szCs w:val="32"/>
          <w:highlight w:val="none"/>
          <w:shd w:val="clear" w:color="auto" w:fill="auto"/>
        </w:rPr>
        <w:t>二、符合性响应证明材料：</w:t>
      </w:r>
      <w:bookmarkEnd w:id="1910"/>
    </w:p>
    <w:p w14:paraId="77742904">
      <w:pPr>
        <w:pageBreakBefore w:val="0"/>
        <w:kinsoku/>
        <w:wordWrap/>
        <w:overflowPunct/>
        <w:topLinePunct w:val="0"/>
        <w:bidi w:val="0"/>
        <w:adjustRightInd/>
        <w:spacing w:line="360" w:lineRule="auto"/>
        <w:ind w:left="0" w:leftChars="0" w:right="0"/>
        <w:textAlignment w:val="auto"/>
        <w:outlineLvl w:val="1"/>
        <w:rPr>
          <w:rFonts w:hint="eastAsia" w:ascii="宋体" w:hAnsi="宋体" w:eastAsia="宋体" w:cs="宋体"/>
          <w:b/>
          <w:bCs/>
          <w:color w:val="000000"/>
          <w:w w:val="99"/>
          <w:kern w:val="0"/>
          <w:sz w:val="21"/>
          <w:szCs w:val="21"/>
          <w:highlight w:val="none"/>
          <w:shd w:val="clear" w:color="auto" w:fill="auto"/>
        </w:rPr>
      </w:pPr>
      <w:bookmarkStart w:id="1911" w:name="_Toc14871"/>
      <w:r>
        <w:rPr>
          <w:rFonts w:hint="eastAsia" w:ascii="宋体" w:hAnsi="宋体" w:eastAsia="宋体" w:cs="宋体"/>
          <w:b/>
          <w:bCs/>
          <w:color w:val="000000"/>
          <w:w w:val="99"/>
          <w:kern w:val="0"/>
          <w:sz w:val="21"/>
          <w:szCs w:val="21"/>
          <w:highlight w:val="none"/>
          <w:shd w:val="clear" w:color="auto" w:fill="auto"/>
        </w:rPr>
        <w:t>1、响应函及响应函附录（必须提供）</w:t>
      </w:r>
      <w:bookmarkEnd w:id="1911"/>
    </w:p>
    <w:p w14:paraId="5290BE71">
      <w:pPr>
        <w:pStyle w:val="3"/>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b/>
          <w:bCs w:val="0"/>
          <w:color w:val="000000"/>
          <w:kern w:val="0"/>
          <w:sz w:val="21"/>
          <w:szCs w:val="21"/>
          <w:highlight w:val="none"/>
          <w:shd w:val="clear" w:color="auto" w:fill="auto"/>
        </w:rPr>
      </w:pPr>
      <w:bookmarkStart w:id="1912" w:name="_Toc207443036"/>
      <w:bookmarkStart w:id="1913" w:name="_Toc30670"/>
      <w:bookmarkStart w:id="1914" w:name="_Toc267582089"/>
      <w:bookmarkStart w:id="1915" w:name="_Toc369505656"/>
      <w:bookmarkStart w:id="1916" w:name="_Toc455670872"/>
      <w:bookmarkStart w:id="1917" w:name="_Toc32220"/>
      <w:bookmarkStart w:id="1918" w:name="_Toc389146023"/>
      <w:r>
        <w:rPr>
          <w:rFonts w:hint="eastAsia" w:ascii="宋体" w:hAnsi="宋体" w:eastAsia="宋体" w:cs="宋体"/>
          <w:b/>
          <w:bCs w:val="0"/>
          <w:color w:val="000000"/>
          <w:kern w:val="0"/>
          <w:sz w:val="21"/>
          <w:szCs w:val="21"/>
          <w:highlight w:val="none"/>
          <w:shd w:val="clear" w:color="auto" w:fill="auto"/>
        </w:rPr>
        <w:t>（一）响应函</w:t>
      </w:r>
      <w:bookmarkEnd w:id="1912"/>
      <w:bookmarkEnd w:id="1913"/>
      <w:bookmarkEnd w:id="1914"/>
      <w:bookmarkEnd w:id="1915"/>
      <w:bookmarkEnd w:id="1916"/>
      <w:bookmarkEnd w:id="1917"/>
      <w:bookmarkEnd w:id="1918"/>
    </w:p>
    <w:p w14:paraId="5B7C064D">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b/>
          <w:bCs/>
          <w:color w:val="000000"/>
          <w:spacing w:val="-1"/>
          <w:kern w:val="0"/>
          <w:sz w:val="21"/>
          <w:szCs w:val="21"/>
          <w:highlight w:val="none"/>
          <w:shd w:val="clear" w:color="auto" w:fill="auto"/>
        </w:rPr>
        <w:t>致 ：</w:t>
      </w:r>
      <w:r>
        <w:rPr>
          <w:rFonts w:hint="eastAsia" w:ascii="宋体" w:hAnsi="宋体" w:eastAsia="宋体" w:cs="宋体"/>
          <w:color w:val="000000"/>
          <w:sz w:val="21"/>
          <w:szCs w:val="21"/>
          <w:highlight w:val="none"/>
          <w:shd w:val="clear" w:color="auto" w:fill="auto"/>
          <w:lang w:val="en-US" w:eastAsia="zh-CN"/>
        </w:rPr>
        <w:t>广西聚泽灵项目管理有限公司</w:t>
      </w:r>
    </w:p>
    <w:p w14:paraId="33816168">
      <w:pPr>
        <w:pageBreakBefore w:val="0"/>
        <w:kinsoku/>
        <w:wordWrap/>
        <w:overflowPunct/>
        <w:topLinePunct w:val="0"/>
        <w:bidi w:val="0"/>
        <w:adjustRightInd/>
        <w:spacing w:line="360" w:lineRule="auto"/>
        <w:ind w:left="0" w:leftChars="0" w:right="0" w:firstLine="42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1、根据你方项目编号为</w:t>
      </w:r>
      <w:r>
        <w:rPr>
          <w:rFonts w:hint="eastAsia" w:ascii="宋体" w:hAnsi="宋体" w:eastAsia="宋体" w:cs="宋体"/>
          <w:color w:val="000000"/>
          <w:sz w:val="21"/>
          <w:szCs w:val="21"/>
          <w:highlight w:val="none"/>
          <w:u w:val="single"/>
          <w:shd w:val="clear" w:color="auto" w:fill="auto"/>
        </w:rPr>
        <w:t xml:space="preserve">  （项目编号）  </w:t>
      </w:r>
      <w:r>
        <w:rPr>
          <w:rFonts w:hint="eastAsia" w:ascii="宋体" w:hAnsi="宋体" w:eastAsia="宋体" w:cs="宋体"/>
          <w:color w:val="000000"/>
          <w:sz w:val="21"/>
          <w:szCs w:val="21"/>
          <w:highlight w:val="none"/>
          <w:shd w:val="clear" w:color="auto" w:fill="auto"/>
        </w:rPr>
        <w:t>的</w:t>
      </w:r>
      <w:r>
        <w:rPr>
          <w:rFonts w:hint="eastAsia" w:ascii="宋体" w:hAnsi="宋体" w:eastAsia="宋体" w:cs="宋体"/>
          <w:color w:val="000000"/>
          <w:sz w:val="21"/>
          <w:szCs w:val="21"/>
          <w:highlight w:val="none"/>
          <w:u w:val="single"/>
          <w:shd w:val="clear" w:color="auto" w:fill="auto"/>
        </w:rPr>
        <w:t xml:space="preserve">  （工程项目名称）  </w:t>
      </w:r>
      <w:r>
        <w:rPr>
          <w:rFonts w:hint="eastAsia" w:ascii="宋体" w:hAnsi="宋体" w:eastAsia="宋体" w:cs="宋体"/>
          <w:color w:val="000000"/>
          <w:sz w:val="21"/>
          <w:szCs w:val="21"/>
          <w:highlight w:val="none"/>
          <w:shd w:val="clear" w:color="auto" w:fill="auto"/>
        </w:rPr>
        <w:t>工程</w:t>
      </w:r>
      <w:r>
        <w:rPr>
          <w:rFonts w:hint="eastAsia" w:ascii="宋体" w:hAnsi="宋体" w:eastAsia="宋体" w:cs="宋体"/>
          <w:color w:val="000000"/>
          <w:sz w:val="21"/>
          <w:szCs w:val="21"/>
          <w:highlight w:val="none"/>
          <w:shd w:val="clear" w:color="auto" w:fill="auto"/>
          <w:lang w:val="en-US" w:eastAsia="zh-CN"/>
        </w:rPr>
        <w:t>竞争性磋商</w:t>
      </w:r>
      <w:r>
        <w:rPr>
          <w:rFonts w:hint="eastAsia" w:ascii="宋体" w:hAnsi="宋体" w:eastAsia="宋体" w:cs="宋体"/>
          <w:color w:val="000000"/>
          <w:sz w:val="21"/>
          <w:szCs w:val="21"/>
          <w:highlight w:val="none"/>
          <w:shd w:val="clear" w:color="auto" w:fill="auto"/>
        </w:rPr>
        <w:t>文件，遵照相关法律关规定，经踏勘项目现场和研究上述响应文件的供应商须知、合同条款、工程建设标准和工程量清单及其他有关文件后，我方愿意以</w:t>
      </w:r>
      <w:r>
        <w:rPr>
          <w:rFonts w:hint="eastAsia" w:ascii="宋体" w:hAnsi="宋体" w:eastAsia="宋体" w:cs="宋体"/>
          <w:color w:val="000000"/>
          <w:kern w:val="0"/>
          <w:sz w:val="21"/>
          <w:szCs w:val="21"/>
          <w:highlight w:val="none"/>
          <w:shd w:val="clear" w:color="auto" w:fill="auto"/>
        </w:rPr>
        <w:t>磋商总报价</w:t>
      </w:r>
      <w:r>
        <w:rPr>
          <w:rFonts w:hint="eastAsia" w:ascii="宋体" w:hAnsi="宋体" w:eastAsia="宋体" w:cs="宋体"/>
          <w:color w:val="000000"/>
          <w:sz w:val="21"/>
          <w:szCs w:val="21"/>
          <w:highlight w:val="none"/>
          <w:shd w:val="clear" w:color="auto" w:fill="auto"/>
        </w:rPr>
        <w:t>人民币</w:t>
      </w:r>
      <w:r>
        <w:rPr>
          <w:rFonts w:hint="eastAsia" w:ascii="宋体" w:hAnsi="宋体" w:eastAsia="宋体" w:cs="宋体"/>
          <w:color w:val="000000"/>
          <w:sz w:val="21"/>
          <w:szCs w:val="21"/>
          <w:highlight w:val="none"/>
          <w:u w:val="single"/>
          <w:shd w:val="clear" w:color="auto" w:fill="auto"/>
        </w:rPr>
        <w:t xml:space="preserve">（大写）          </w:t>
      </w:r>
      <w:r>
        <w:rPr>
          <w:rFonts w:hint="eastAsia" w:ascii="宋体" w:hAnsi="宋体" w:eastAsia="宋体" w:cs="宋体"/>
          <w:color w:val="000000"/>
          <w:sz w:val="21"/>
          <w:szCs w:val="21"/>
          <w:highlight w:val="none"/>
          <w:shd w:val="clear" w:color="auto" w:fill="auto"/>
        </w:rPr>
        <w:t>元（</w:t>
      </w:r>
      <w:r>
        <w:rPr>
          <w:rFonts w:hint="eastAsia" w:ascii="宋体" w:hAnsi="宋体" w:eastAsia="宋体" w:cs="宋体"/>
          <w:color w:val="000000"/>
          <w:sz w:val="21"/>
          <w:szCs w:val="21"/>
          <w:highlight w:val="none"/>
          <w:u w:val="single"/>
          <w:shd w:val="clear" w:color="auto" w:fill="auto"/>
        </w:rPr>
        <w:t xml:space="preserve">      </w:t>
      </w:r>
      <w:r>
        <w:rPr>
          <w:rFonts w:hint="eastAsia" w:ascii="宋体" w:hAnsi="宋体" w:eastAsia="宋体" w:cs="宋体"/>
          <w:color w:val="000000"/>
          <w:sz w:val="21"/>
          <w:szCs w:val="21"/>
          <w:highlight w:val="none"/>
          <w:shd w:val="clear" w:color="auto" w:fill="auto"/>
        </w:rPr>
        <w:t>元），</w:t>
      </w:r>
      <w:r>
        <w:rPr>
          <w:rFonts w:hint="eastAsia" w:ascii="宋体" w:hAnsi="宋体" w:eastAsia="宋体" w:cs="宋体"/>
          <w:color w:val="000000"/>
          <w:sz w:val="21"/>
          <w:szCs w:val="21"/>
          <w:highlight w:val="none"/>
          <w:shd w:val="clear" w:color="auto" w:fill="auto"/>
          <w:lang w:val="en-US" w:eastAsia="zh-CN"/>
        </w:rPr>
        <w:t>质量标准</w:t>
      </w:r>
      <w:r>
        <w:rPr>
          <w:rFonts w:hint="eastAsia" w:ascii="宋体" w:hAnsi="宋体" w:eastAsia="宋体" w:cs="宋体"/>
          <w:color w:val="000000"/>
          <w:sz w:val="21"/>
          <w:szCs w:val="21"/>
          <w:highlight w:val="none"/>
          <w:u w:val="single"/>
          <w:shd w:val="clear" w:color="auto" w:fill="auto"/>
          <w:lang w:val="en-US" w:eastAsia="zh-CN"/>
        </w:rPr>
        <w:t xml:space="preserve">      </w:t>
      </w:r>
      <w:r>
        <w:rPr>
          <w:rFonts w:hint="eastAsia" w:ascii="宋体" w:hAnsi="宋体" w:eastAsia="宋体" w:cs="宋体"/>
          <w:color w:val="000000"/>
          <w:sz w:val="21"/>
          <w:szCs w:val="21"/>
          <w:highlight w:val="none"/>
          <w:u w:val="none"/>
          <w:shd w:val="clear" w:color="auto" w:fill="auto"/>
          <w:lang w:val="en-US" w:eastAsia="zh-CN"/>
        </w:rPr>
        <w:t>；</w:t>
      </w:r>
      <w:r>
        <w:rPr>
          <w:rFonts w:hint="eastAsia" w:ascii="宋体" w:hAnsi="宋体" w:eastAsia="宋体" w:cs="宋体"/>
          <w:color w:val="000000"/>
          <w:sz w:val="21"/>
          <w:szCs w:val="21"/>
          <w:highlight w:val="none"/>
          <w:shd w:val="clear" w:color="auto" w:fill="auto"/>
        </w:rPr>
        <w:t>按上述合同条件、技术规范、图纸、工程量清单的条件承包上述工程的施工、竣工和保修。</w:t>
      </w:r>
    </w:p>
    <w:p w14:paraId="7A47E135">
      <w:pPr>
        <w:pageBreakBefore w:val="0"/>
        <w:tabs>
          <w:tab w:val="left" w:pos="7560"/>
        </w:tabs>
        <w:kinsoku/>
        <w:wordWrap/>
        <w:overflowPunct/>
        <w:topLinePunct w:val="0"/>
        <w:bidi w:val="0"/>
        <w:adjustRightInd/>
        <w:spacing w:line="360" w:lineRule="auto"/>
        <w:ind w:left="0" w:leftChars="0" w:right="0" w:firstLine="442"/>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2、我方已详细审核全部</w:t>
      </w:r>
      <w:r>
        <w:rPr>
          <w:rFonts w:hint="eastAsia" w:ascii="宋体" w:hAnsi="宋体" w:eastAsia="宋体" w:cs="宋体"/>
          <w:color w:val="000000"/>
          <w:sz w:val="21"/>
          <w:szCs w:val="21"/>
          <w:highlight w:val="none"/>
          <w:shd w:val="clear" w:color="auto" w:fill="auto"/>
          <w:lang w:val="en-US" w:eastAsia="zh-CN"/>
        </w:rPr>
        <w:t>竞争性磋商</w:t>
      </w:r>
      <w:r>
        <w:rPr>
          <w:rFonts w:hint="eastAsia" w:ascii="宋体" w:hAnsi="宋体" w:eastAsia="宋体" w:cs="宋体"/>
          <w:color w:val="000000"/>
          <w:sz w:val="21"/>
          <w:szCs w:val="21"/>
          <w:highlight w:val="none"/>
          <w:shd w:val="clear" w:color="auto" w:fill="auto"/>
        </w:rPr>
        <w:t>文件，包括修改文件（如有时）及有关附件。</w:t>
      </w:r>
    </w:p>
    <w:p w14:paraId="49162425">
      <w:pPr>
        <w:pageBreakBefore w:val="0"/>
        <w:kinsoku/>
        <w:wordWrap/>
        <w:overflowPunct/>
        <w:topLinePunct w:val="0"/>
        <w:bidi w:val="0"/>
        <w:adjustRightInd/>
        <w:spacing w:line="360" w:lineRule="auto"/>
        <w:ind w:left="0" w:leftChars="0" w:right="0" w:firstLine="442"/>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3、我方承认</w:t>
      </w:r>
      <w:r>
        <w:rPr>
          <w:rFonts w:hint="eastAsia" w:ascii="宋体" w:hAnsi="宋体" w:eastAsia="宋体" w:cs="宋体"/>
          <w:color w:val="000000"/>
          <w:sz w:val="21"/>
          <w:szCs w:val="21"/>
          <w:highlight w:val="none"/>
          <w:shd w:val="clear" w:color="auto" w:fill="auto"/>
          <w:lang w:val="en-US" w:eastAsia="zh-CN"/>
        </w:rPr>
        <w:t>响应</w:t>
      </w:r>
      <w:r>
        <w:rPr>
          <w:rFonts w:hint="eastAsia" w:ascii="宋体" w:hAnsi="宋体" w:eastAsia="宋体" w:cs="宋体"/>
          <w:color w:val="000000"/>
          <w:sz w:val="21"/>
          <w:szCs w:val="21"/>
          <w:highlight w:val="none"/>
          <w:shd w:val="clear" w:color="auto" w:fill="auto"/>
        </w:rPr>
        <w:t>函附录是我方响应函的组成部分。</w:t>
      </w:r>
    </w:p>
    <w:p w14:paraId="00EBC42E">
      <w:pPr>
        <w:pageBreakBefore w:val="0"/>
        <w:kinsoku/>
        <w:wordWrap/>
        <w:overflowPunct/>
        <w:topLinePunct w:val="0"/>
        <w:bidi w:val="0"/>
        <w:adjustRightInd/>
        <w:spacing w:line="360" w:lineRule="auto"/>
        <w:ind w:left="0" w:leftChars="0" w:right="0" w:firstLine="442"/>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4、一旦我方中标，我方保证按合同书中规定的工期</w:t>
      </w:r>
      <w:r>
        <w:rPr>
          <w:rFonts w:hint="eastAsia" w:ascii="宋体" w:hAnsi="宋体" w:eastAsia="宋体" w:cs="宋体"/>
          <w:color w:val="000000"/>
          <w:sz w:val="21"/>
          <w:szCs w:val="21"/>
          <w:highlight w:val="none"/>
          <w:u w:val="single"/>
          <w:shd w:val="clear" w:color="auto" w:fill="auto"/>
        </w:rPr>
        <w:t xml:space="preserve"> （工期）  </w:t>
      </w:r>
      <w:r>
        <w:rPr>
          <w:rFonts w:hint="eastAsia" w:ascii="宋体" w:hAnsi="宋体" w:eastAsia="宋体" w:cs="宋体"/>
          <w:color w:val="000000"/>
          <w:sz w:val="21"/>
          <w:szCs w:val="21"/>
          <w:highlight w:val="none"/>
          <w:shd w:val="clear" w:color="auto" w:fill="auto"/>
        </w:rPr>
        <w:t>日历天内完成并移交全部工程。</w:t>
      </w:r>
    </w:p>
    <w:p w14:paraId="17A7E887">
      <w:pPr>
        <w:pageBreakBefore w:val="0"/>
        <w:kinsoku/>
        <w:wordWrap/>
        <w:overflowPunct/>
        <w:topLinePunct w:val="0"/>
        <w:bidi w:val="0"/>
        <w:adjustRightInd/>
        <w:spacing w:line="360" w:lineRule="auto"/>
        <w:ind w:left="0" w:leftChars="0" w:right="0" w:firstLine="442"/>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5、如果我方中标，我方将按照文件规定提交履约保证金作为履约担保。</w:t>
      </w:r>
    </w:p>
    <w:p w14:paraId="7A3DB07D">
      <w:pPr>
        <w:pageBreakBefore w:val="0"/>
        <w:kinsoku/>
        <w:wordWrap/>
        <w:overflowPunct/>
        <w:topLinePunct w:val="0"/>
        <w:bidi w:val="0"/>
        <w:adjustRightInd/>
        <w:spacing w:line="360" w:lineRule="auto"/>
        <w:ind w:left="0" w:leftChars="0" w:right="0" w:firstLine="442"/>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6、我方同意所提交的响应文件在响应文件的供应商须知中第14条规定的</w:t>
      </w:r>
      <w:r>
        <w:rPr>
          <w:rFonts w:hint="eastAsia" w:ascii="宋体" w:hAnsi="宋体" w:eastAsia="宋体" w:cs="宋体"/>
          <w:color w:val="000000"/>
          <w:kern w:val="0"/>
          <w:sz w:val="21"/>
          <w:szCs w:val="21"/>
          <w:highlight w:val="none"/>
          <w:shd w:val="clear" w:color="auto" w:fill="auto"/>
        </w:rPr>
        <w:t>响应文件有效期</w:t>
      </w:r>
      <w:r>
        <w:rPr>
          <w:rFonts w:hint="eastAsia" w:ascii="宋体" w:hAnsi="宋体" w:eastAsia="宋体" w:cs="宋体"/>
          <w:color w:val="000000"/>
          <w:sz w:val="21"/>
          <w:szCs w:val="21"/>
          <w:highlight w:val="none"/>
          <w:shd w:val="clear" w:color="auto" w:fill="auto"/>
        </w:rPr>
        <w:t>内有效，在此期间内如果中标，我方将受此约束。</w:t>
      </w:r>
    </w:p>
    <w:p w14:paraId="6B151069">
      <w:pPr>
        <w:pageBreakBefore w:val="0"/>
        <w:kinsoku/>
        <w:wordWrap/>
        <w:overflowPunct/>
        <w:topLinePunct w:val="0"/>
        <w:bidi w:val="0"/>
        <w:adjustRightInd/>
        <w:spacing w:line="360" w:lineRule="auto"/>
        <w:ind w:left="0" w:leftChars="0" w:right="0" w:firstLine="442"/>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7、除非另外达成协议并生效，你方的中标通知书和本响应文件将成为约束双方的合同文件的组成部分。</w:t>
      </w:r>
    </w:p>
    <w:p w14:paraId="4CC1DD20">
      <w:pPr>
        <w:pageBreakBefore w:val="0"/>
        <w:kinsoku/>
        <w:wordWrap/>
        <w:overflowPunct/>
        <w:topLinePunct w:val="0"/>
        <w:bidi w:val="0"/>
        <w:adjustRightInd/>
        <w:spacing w:line="360" w:lineRule="auto"/>
        <w:ind w:left="0" w:leftChars="0" w:right="0" w:firstLine="630" w:firstLineChars="300"/>
        <w:textAlignment w:val="auto"/>
        <w:rPr>
          <w:rFonts w:hint="eastAsia" w:ascii="宋体" w:hAnsi="宋体" w:eastAsia="宋体" w:cs="宋体"/>
          <w:color w:val="000000"/>
          <w:sz w:val="21"/>
          <w:szCs w:val="21"/>
          <w:highlight w:val="none"/>
          <w:u w:val="single"/>
          <w:shd w:val="clear" w:color="auto" w:fill="auto"/>
        </w:rPr>
      </w:pPr>
      <w:r>
        <w:rPr>
          <w:rFonts w:hint="eastAsia" w:ascii="宋体" w:hAnsi="宋体" w:eastAsia="宋体" w:cs="宋体"/>
          <w:color w:val="000000"/>
          <w:sz w:val="21"/>
          <w:szCs w:val="21"/>
          <w:highlight w:val="none"/>
          <w:shd w:val="clear" w:color="auto" w:fill="auto"/>
        </w:rPr>
        <w:t>注册建造师：</w:t>
      </w:r>
      <w:r>
        <w:rPr>
          <w:rFonts w:hint="eastAsia" w:ascii="宋体" w:hAnsi="宋体" w:eastAsia="宋体" w:cs="宋体"/>
          <w:color w:val="000000"/>
          <w:sz w:val="21"/>
          <w:szCs w:val="21"/>
          <w:highlight w:val="none"/>
          <w:u w:val="single"/>
          <w:shd w:val="clear" w:color="auto" w:fill="auto"/>
        </w:rPr>
        <w:t xml:space="preserve">       </w:t>
      </w:r>
      <w:r>
        <w:rPr>
          <w:rFonts w:hint="eastAsia" w:ascii="宋体" w:hAnsi="宋体" w:eastAsia="宋体" w:cs="宋体"/>
          <w:color w:val="000000"/>
          <w:sz w:val="21"/>
          <w:szCs w:val="21"/>
          <w:highlight w:val="none"/>
          <w:u w:val="single"/>
          <w:shd w:val="clear" w:color="auto" w:fill="auto"/>
          <w:lang w:val="en-US" w:eastAsia="zh-CN"/>
        </w:rPr>
        <w:t xml:space="preserve">   </w:t>
      </w:r>
      <w:r>
        <w:rPr>
          <w:rFonts w:hint="eastAsia" w:ascii="宋体" w:hAnsi="宋体" w:eastAsia="宋体" w:cs="宋体"/>
          <w:color w:val="000000"/>
          <w:sz w:val="21"/>
          <w:szCs w:val="21"/>
          <w:highlight w:val="none"/>
          <w:shd w:val="clear" w:color="auto" w:fill="auto"/>
          <w:lang w:eastAsia="zh-CN"/>
        </w:rPr>
        <w:t>；</w:t>
      </w:r>
      <w:r>
        <w:rPr>
          <w:rFonts w:hint="eastAsia" w:ascii="宋体" w:hAnsi="宋体" w:eastAsia="宋体" w:cs="宋体"/>
          <w:color w:val="000000"/>
          <w:sz w:val="21"/>
          <w:szCs w:val="21"/>
          <w:highlight w:val="none"/>
          <w:shd w:val="clear" w:color="auto" w:fill="auto"/>
        </w:rPr>
        <w:t>施工员：</w:t>
      </w:r>
      <w:r>
        <w:rPr>
          <w:rFonts w:hint="eastAsia" w:ascii="宋体" w:hAnsi="宋体" w:eastAsia="宋体" w:cs="宋体"/>
          <w:color w:val="000000"/>
          <w:sz w:val="21"/>
          <w:szCs w:val="21"/>
          <w:highlight w:val="none"/>
          <w:u w:val="single"/>
          <w:shd w:val="clear" w:color="auto" w:fill="auto"/>
        </w:rPr>
        <w:t xml:space="preserve">       </w:t>
      </w:r>
      <w:r>
        <w:rPr>
          <w:rFonts w:hint="eastAsia" w:ascii="宋体" w:hAnsi="宋体" w:eastAsia="宋体" w:cs="宋体"/>
          <w:color w:val="000000"/>
          <w:sz w:val="21"/>
          <w:szCs w:val="21"/>
          <w:highlight w:val="none"/>
          <w:u w:val="none"/>
          <w:shd w:val="clear" w:color="auto" w:fill="auto"/>
          <w:lang w:eastAsia="zh-CN"/>
        </w:rPr>
        <w:t>；</w:t>
      </w:r>
      <w:r>
        <w:rPr>
          <w:rFonts w:hint="eastAsia" w:ascii="宋体" w:hAnsi="宋体" w:eastAsia="宋体" w:cs="宋体"/>
          <w:color w:val="000000"/>
          <w:sz w:val="21"/>
          <w:szCs w:val="21"/>
          <w:highlight w:val="none"/>
          <w:shd w:val="clear" w:color="auto" w:fill="auto"/>
        </w:rPr>
        <w:t>安全员：</w:t>
      </w:r>
      <w:r>
        <w:rPr>
          <w:rFonts w:hint="eastAsia" w:ascii="宋体" w:hAnsi="宋体" w:eastAsia="宋体" w:cs="宋体"/>
          <w:color w:val="000000"/>
          <w:sz w:val="21"/>
          <w:szCs w:val="21"/>
          <w:highlight w:val="none"/>
          <w:u w:val="single"/>
          <w:shd w:val="clear" w:color="auto" w:fill="auto"/>
        </w:rPr>
        <w:t xml:space="preserve">     </w:t>
      </w:r>
      <w:r>
        <w:rPr>
          <w:rFonts w:hint="eastAsia" w:ascii="宋体" w:hAnsi="宋体" w:eastAsia="宋体" w:cs="宋体"/>
          <w:color w:val="000000"/>
          <w:sz w:val="21"/>
          <w:szCs w:val="21"/>
          <w:highlight w:val="none"/>
          <w:u w:val="none"/>
          <w:shd w:val="clear" w:color="auto" w:fill="auto"/>
          <w:lang w:eastAsia="zh-CN"/>
        </w:rPr>
        <w:t>；</w:t>
      </w:r>
      <w:r>
        <w:rPr>
          <w:rFonts w:hint="eastAsia" w:ascii="宋体" w:hAnsi="宋体" w:eastAsia="宋体" w:cs="宋体"/>
          <w:color w:val="000000"/>
          <w:sz w:val="21"/>
          <w:szCs w:val="21"/>
          <w:highlight w:val="none"/>
          <w:shd w:val="clear" w:color="auto" w:fill="auto"/>
        </w:rPr>
        <w:t>质检员：</w:t>
      </w:r>
      <w:r>
        <w:rPr>
          <w:rFonts w:hint="eastAsia" w:ascii="宋体" w:hAnsi="宋体" w:eastAsia="宋体" w:cs="宋体"/>
          <w:color w:val="000000"/>
          <w:sz w:val="21"/>
          <w:szCs w:val="21"/>
          <w:highlight w:val="none"/>
          <w:u w:val="single"/>
          <w:shd w:val="clear" w:color="auto" w:fill="auto"/>
        </w:rPr>
        <w:t xml:space="preserve">                  </w:t>
      </w:r>
    </w:p>
    <w:p w14:paraId="643A1A7C">
      <w:pPr>
        <w:pageBreakBefore w:val="0"/>
        <w:kinsoku/>
        <w:wordWrap/>
        <w:overflowPunct/>
        <w:topLinePunct w:val="0"/>
        <w:bidi w:val="0"/>
        <w:adjustRightInd/>
        <w:spacing w:line="360" w:lineRule="auto"/>
        <w:ind w:right="0" w:firstLine="630" w:firstLineChars="3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上岗证编号：</w:t>
      </w:r>
      <w:r>
        <w:rPr>
          <w:rFonts w:hint="eastAsia" w:ascii="宋体" w:hAnsi="宋体" w:eastAsia="宋体" w:cs="宋体"/>
          <w:color w:val="000000"/>
          <w:sz w:val="21"/>
          <w:szCs w:val="21"/>
          <w:highlight w:val="none"/>
          <w:u w:val="single"/>
          <w:shd w:val="clear" w:color="auto" w:fill="auto"/>
        </w:rPr>
        <w:t xml:space="preserve">       </w:t>
      </w:r>
      <w:r>
        <w:rPr>
          <w:rFonts w:hint="eastAsia" w:ascii="宋体" w:hAnsi="宋体" w:eastAsia="宋体" w:cs="宋体"/>
          <w:color w:val="000000"/>
          <w:sz w:val="21"/>
          <w:szCs w:val="21"/>
          <w:highlight w:val="none"/>
          <w:u w:val="single"/>
          <w:shd w:val="clear" w:color="auto" w:fill="auto"/>
          <w:lang w:val="en-US" w:eastAsia="zh-CN"/>
        </w:rPr>
        <w:t xml:space="preserve">   </w:t>
      </w:r>
      <w:r>
        <w:rPr>
          <w:rFonts w:hint="eastAsia" w:ascii="宋体" w:hAnsi="宋体" w:eastAsia="宋体" w:cs="宋体"/>
          <w:color w:val="000000"/>
          <w:sz w:val="21"/>
          <w:szCs w:val="21"/>
          <w:highlight w:val="none"/>
          <w:shd w:val="clear" w:color="auto" w:fill="auto"/>
          <w:lang w:eastAsia="zh-CN"/>
        </w:rPr>
        <w:t>；</w:t>
      </w:r>
      <w:r>
        <w:rPr>
          <w:rFonts w:hint="eastAsia" w:ascii="宋体" w:hAnsi="宋体" w:eastAsia="宋体" w:cs="宋体"/>
          <w:color w:val="000000"/>
          <w:sz w:val="21"/>
          <w:szCs w:val="21"/>
          <w:highlight w:val="none"/>
          <w:u w:val="single"/>
          <w:shd w:val="clear" w:color="auto" w:fill="auto"/>
        </w:rPr>
        <w:t xml:space="preserve">      </w:t>
      </w:r>
      <w:r>
        <w:rPr>
          <w:rFonts w:hint="eastAsia" w:ascii="宋体" w:hAnsi="宋体" w:eastAsia="宋体" w:cs="宋体"/>
          <w:color w:val="000000"/>
          <w:sz w:val="21"/>
          <w:szCs w:val="21"/>
          <w:highlight w:val="none"/>
          <w:u w:val="single"/>
          <w:shd w:val="clear" w:color="auto" w:fill="auto"/>
          <w:lang w:val="en-US" w:eastAsia="zh-CN"/>
        </w:rPr>
        <w:t xml:space="preserve">        </w:t>
      </w:r>
      <w:r>
        <w:rPr>
          <w:rFonts w:hint="eastAsia" w:ascii="宋体" w:hAnsi="宋体" w:eastAsia="宋体" w:cs="宋体"/>
          <w:color w:val="000000"/>
          <w:sz w:val="21"/>
          <w:szCs w:val="21"/>
          <w:highlight w:val="none"/>
          <w:u w:val="single"/>
          <w:shd w:val="clear" w:color="auto" w:fill="auto"/>
        </w:rPr>
        <w:t xml:space="preserve"> </w:t>
      </w:r>
      <w:r>
        <w:rPr>
          <w:rFonts w:hint="eastAsia" w:ascii="宋体" w:hAnsi="宋体" w:eastAsia="宋体" w:cs="宋体"/>
          <w:color w:val="000000"/>
          <w:sz w:val="21"/>
          <w:szCs w:val="21"/>
          <w:highlight w:val="none"/>
          <w:shd w:val="clear" w:color="auto" w:fill="auto"/>
          <w:lang w:eastAsia="zh-CN"/>
        </w:rPr>
        <w:t>；</w:t>
      </w:r>
      <w:r>
        <w:rPr>
          <w:rFonts w:hint="eastAsia" w:ascii="宋体" w:hAnsi="宋体" w:eastAsia="宋体" w:cs="宋体"/>
          <w:color w:val="000000"/>
          <w:sz w:val="21"/>
          <w:szCs w:val="21"/>
          <w:highlight w:val="none"/>
          <w:u w:val="single"/>
          <w:shd w:val="clear" w:color="auto" w:fill="auto"/>
        </w:rPr>
        <w:t xml:space="preserve">         </w:t>
      </w:r>
      <w:r>
        <w:rPr>
          <w:rFonts w:hint="eastAsia" w:ascii="宋体" w:hAnsi="宋体" w:eastAsia="宋体" w:cs="宋体"/>
          <w:color w:val="000000"/>
          <w:sz w:val="21"/>
          <w:szCs w:val="21"/>
          <w:highlight w:val="none"/>
          <w:u w:val="single"/>
          <w:shd w:val="clear" w:color="auto" w:fill="auto"/>
          <w:lang w:val="en-US" w:eastAsia="zh-CN"/>
        </w:rPr>
        <w:t xml:space="preserve">    </w:t>
      </w:r>
      <w:r>
        <w:rPr>
          <w:rFonts w:hint="eastAsia" w:ascii="宋体" w:hAnsi="宋体" w:eastAsia="宋体" w:cs="宋体"/>
          <w:color w:val="000000"/>
          <w:sz w:val="21"/>
          <w:szCs w:val="21"/>
          <w:highlight w:val="none"/>
          <w:shd w:val="clear" w:color="auto" w:fill="auto"/>
          <w:lang w:eastAsia="zh-CN"/>
        </w:rPr>
        <w:t>；</w:t>
      </w:r>
      <w:r>
        <w:rPr>
          <w:rFonts w:hint="eastAsia" w:ascii="宋体" w:hAnsi="宋体" w:eastAsia="宋体" w:cs="宋体"/>
          <w:color w:val="000000"/>
          <w:sz w:val="21"/>
          <w:szCs w:val="21"/>
          <w:highlight w:val="none"/>
          <w:u w:val="single"/>
          <w:shd w:val="clear" w:color="auto" w:fill="auto"/>
        </w:rPr>
        <w:t xml:space="preserve">                          </w:t>
      </w:r>
    </w:p>
    <w:p w14:paraId="3A627A56">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sz w:val="21"/>
          <w:szCs w:val="21"/>
          <w:highlight w:val="none"/>
          <w:u w:val="single"/>
          <w:shd w:val="clear" w:color="auto" w:fill="auto"/>
        </w:rPr>
      </w:pPr>
      <w:r>
        <w:rPr>
          <w:rFonts w:hint="eastAsia" w:ascii="宋体" w:hAnsi="宋体" w:eastAsia="宋体" w:cs="宋体"/>
          <w:color w:val="000000"/>
          <w:sz w:val="21"/>
          <w:szCs w:val="21"/>
          <w:highlight w:val="none"/>
          <w:shd w:val="clear" w:color="auto" w:fill="auto"/>
        </w:rPr>
        <w:t xml:space="preserve">         供应商名称：</w:t>
      </w:r>
      <w:r>
        <w:rPr>
          <w:rFonts w:hint="eastAsia" w:ascii="宋体" w:hAnsi="宋体" w:eastAsia="宋体" w:cs="宋体"/>
          <w:color w:val="000000"/>
          <w:sz w:val="21"/>
          <w:szCs w:val="21"/>
          <w:highlight w:val="none"/>
          <w:u w:val="single"/>
          <w:shd w:val="clear" w:color="auto" w:fill="auto"/>
        </w:rPr>
        <w:t xml:space="preserve">                        [盖单位公章（CA签章）]</w:t>
      </w:r>
    </w:p>
    <w:p w14:paraId="0ACD8A09">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sz w:val="21"/>
          <w:szCs w:val="21"/>
          <w:highlight w:val="none"/>
          <w:u w:val="single"/>
          <w:shd w:val="clear" w:color="auto" w:fill="auto"/>
        </w:rPr>
      </w:pPr>
      <w:r>
        <w:rPr>
          <w:rFonts w:hint="eastAsia" w:ascii="宋体" w:hAnsi="宋体" w:eastAsia="宋体" w:cs="宋体"/>
          <w:color w:val="000000"/>
          <w:sz w:val="21"/>
          <w:szCs w:val="21"/>
          <w:highlight w:val="none"/>
          <w:shd w:val="clear" w:color="auto" w:fill="auto"/>
        </w:rPr>
        <w:t xml:space="preserve">         单位地址：</w:t>
      </w:r>
      <w:r>
        <w:rPr>
          <w:rFonts w:hint="eastAsia" w:ascii="宋体" w:hAnsi="宋体" w:eastAsia="宋体" w:cs="宋体"/>
          <w:color w:val="000000"/>
          <w:sz w:val="21"/>
          <w:szCs w:val="21"/>
          <w:highlight w:val="none"/>
          <w:u w:val="single"/>
          <w:shd w:val="clear" w:color="auto" w:fill="auto"/>
        </w:rPr>
        <w:tab/>
      </w:r>
      <w:r>
        <w:rPr>
          <w:rFonts w:hint="eastAsia" w:ascii="宋体" w:hAnsi="宋体" w:eastAsia="宋体" w:cs="宋体"/>
          <w:color w:val="000000"/>
          <w:sz w:val="21"/>
          <w:szCs w:val="21"/>
          <w:highlight w:val="none"/>
          <w:u w:val="single"/>
          <w:shd w:val="clear" w:color="auto" w:fill="auto"/>
        </w:rPr>
        <w:tab/>
      </w:r>
      <w:r>
        <w:rPr>
          <w:rFonts w:hint="eastAsia" w:ascii="宋体" w:hAnsi="宋体" w:eastAsia="宋体" w:cs="宋体"/>
          <w:color w:val="000000"/>
          <w:sz w:val="21"/>
          <w:szCs w:val="21"/>
          <w:highlight w:val="none"/>
          <w:u w:val="single"/>
          <w:shd w:val="clear" w:color="auto" w:fill="auto"/>
        </w:rPr>
        <w:tab/>
      </w:r>
      <w:r>
        <w:rPr>
          <w:rFonts w:hint="eastAsia" w:ascii="宋体" w:hAnsi="宋体" w:eastAsia="宋体" w:cs="宋体"/>
          <w:color w:val="000000"/>
          <w:sz w:val="21"/>
          <w:szCs w:val="21"/>
          <w:highlight w:val="none"/>
          <w:u w:val="single"/>
          <w:shd w:val="clear" w:color="auto" w:fill="auto"/>
        </w:rPr>
        <w:tab/>
      </w:r>
      <w:r>
        <w:rPr>
          <w:rFonts w:hint="eastAsia" w:ascii="宋体" w:hAnsi="宋体" w:eastAsia="宋体" w:cs="宋体"/>
          <w:color w:val="000000"/>
          <w:sz w:val="21"/>
          <w:szCs w:val="21"/>
          <w:highlight w:val="none"/>
          <w:u w:val="single"/>
          <w:shd w:val="clear" w:color="auto" w:fill="auto"/>
        </w:rPr>
        <w:tab/>
      </w:r>
      <w:r>
        <w:rPr>
          <w:rFonts w:hint="eastAsia" w:ascii="宋体" w:hAnsi="宋体" w:eastAsia="宋体" w:cs="宋体"/>
          <w:color w:val="000000"/>
          <w:sz w:val="21"/>
          <w:szCs w:val="21"/>
          <w:highlight w:val="none"/>
          <w:u w:val="single"/>
          <w:shd w:val="clear" w:color="auto" w:fill="auto"/>
        </w:rPr>
        <w:tab/>
      </w:r>
      <w:r>
        <w:rPr>
          <w:rFonts w:hint="eastAsia" w:ascii="宋体" w:hAnsi="宋体" w:eastAsia="宋体" w:cs="宋体"/>
          <w:color w:val="000000"/>
          <w:sz w:val="21"/>
          <w:szCs w:val="21"/>
          <w:highlight w:val="none"/>
          <w:u w:val="single"/>
          <w:shd w:val="clear" w:color="auto" w:fill="auto"/>
        </w:rPr>
        <w:tab/>
      </w:r>
      <w:r>
        <w:rPr>
          <w:rFonts w:hint="eastAsia" w:ascii="宋体" w:hAnsi="宋体" w:eastAsia="宋体" w:cs="宋体"/>
          <w:color w:val="000000"/>
          <w:sz w:val="21"/>
          <w:szCs w:val="21"/>
          <w:highlight w:val="none"/>
          <w:u w:val="single"/>
          <w:shd w:val="clear" w:color="auto" w:fill="auto"/>
        </w:rPr>
        <w:tab/>
      </w:r>
    </w:p>
    <w:p w14:paraId="64D39CE7">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sz w:val="21"/>
          <w:szCs w:val="21"/>
          <w:highlight w:val="none"/>
          <w:u w:val="single"/>
          <w:shd w:val="clear" w:color="auto" w:fill="auto"/>
        </w:rPr>
      </w:pPr>
      <w:r>
        <w:rPr>
          <w:rFonts w:hint="eastAsia" w:ascii="宋体" w:hAnsi="宋体" w:eastAsia="宋体" w:cs="宋体"/>
          <w:color w:val="000000"/>
          <w:sz w:val="21"/>
          <w:szCs w:val="21"/>
          <w:highlight w:val="none"/>
          <w:shd w:val="clear" w:color="auto" w:fill="auto"/>
        </w:rPr>
        <w:t xml:space="preserve">         法定代表人或其委托代理人：</w:t>
      </w:r>
      <w:r>
        <w:rPr>
          <w:rFonts w:hint="eastAsia" w:ascii="宋体" w:hAnsi="宋体" w:eastAsia="宋体" w:cs="宋体"/>
          <w:color w:val="000000"/>
          <w:sz w:val="21"/>
          <w:szCs w:val="21"/>
          <w:highlight w:val="none"/>
          <w:u w:val="single"/>
          <w:shd w:val="clear" w:color="auto" w:fill="auto"/>
        </w:rPr>
        <w:t xml:space="preserve">      [签字或盖章（CA签章）]</w:t>
      </w:r>
    </w:p>
    <w:p w14:paraId="52C9612D">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 xml:space="preserve">         邮政编码：</w:t>
      </w:r>
      <w:r>
        <w:rPr>
          <w:rFonts w:hint="eastAsia" w:ascii="宋体" w:hAnsi="宋体" w:eastAsia="宋体" w:cs="宋体"/>
          <w:color w:val="000000"/>
          <w:sz w:val="21"/>
          <w:szCs w:val="21"/>
          <w:highlight w:val="none"/>
          <w:u w:val="single"/>
          <w:shd w:val="clear" w:color="auto" w:fill="auto"/>
        </w:rPr>
        <w:tab/>
      </w:r>
      <w:r>
        <w:rPr>
          <w:rFonts w:hint="eastAsia" w:ascii="宋体" w:hAnsi="宋体" w:eastAsia="宋体" w:cs="宋体"/>
          <w:color w:val="000000"/>
          <w:sz w:val="21"/>
          <w:szCs w:val="21"/>
          <w:highlight w:val="none"/>
          <w:u w:val="single"/>
          <w:shd w:val="clear" w:color="auto" w:fill="auto"/>
        </w:rPr>
        <w:tab/>
      </w:r>
      <w:r>
        <w:rPr>
          <w:rFonts w:hint="eastAsia" w:ascii="宋体" w:hAnsi="宋体" w:eastAsia="宋体" w:cs="宋体"/>
          <w:color w:val="000000"/>
          <w:sz w:val="21"/>
          <w:szCs w:val="21"/>
          <w:highlight w:val="none"/>
          <w:shd w:val="clear" w:color="auto" w:fill="auto"/>
        </w:rPr>
        <w:t>电话：</w:t>
      </w:r>
      <w:r>
        <w:rPr>
          <w:rFonts w:hint="eastAsia" w:ascii="宋体" w:hAnsi="宋体" w:eastAsia="宋体" w:cs="宋体"/>
          <w:color w:val="000000"/>
          <w:sz w:val="21"/>
          <w:szCs w:val="21"/>
          <w:highlight w:val="none"/>
          <w:u w:val="single"/>
          <w:shd w:val="clear" w:color="auto" w:fill="auto"/>
        </w:rPr>
        <w:tab/>
      </w:r>
      <w:r>
        <w:rPr>
          <w:rFonts w:hint="eastAsia" w:ascii="宋体" w:hAnsi="宋体" w:eastAsia="宋体" w:cs="宋体"/>
          <w:color w:val="000000"/>
          <w:sz w:val="21"/>
          <w:szCs w:val="21"/>
          <w:highlight w:val="none"/>
          <w:u w:val="single"/>
          <w:shd w:val="clear" w:color="auto" w:fill="auto"/>
        </w:rPr>
        <w:t xml:space="preserve">        </w:t>
      </w:r>
      <w:r>
        <w:rPr>
          <w:rFonts w:hint="eastAsia" w:ascii="宋体" w:hAnsi="宋体" w:eastAsia="宋体" w:cs="宋体"/>
          <w:color w:val="000000"/>
          <w:sz w:val="21"/>
          <w:szCs w:val="21"/>
          <w:highlight w:val="none"/>
          <w:u w:val="single"/>
          <w:shd w:val="clear" w:color="auto" w:fill="auto"/>
        </w:rPr>
        <w:tab/>
      </w:r>
      <w:r>
        <w:rPr>
          <w:rFonts w:hint="eastAsia" w:ascii="宋体" w:hAnsi="宋体" w:eastAsia="宋体" w:cs="宋体"/>
          <w:color w:val="000000"/>
          <w:sz w:val="21"/>
          <w:szCs w:val="21"/>
          <w:highlight w:val="none"/>
          <w:shd w:val="clear" w:color="auto" w:fill="auto"/>
        </w:rPr>
        <w:t xml:space="preserve"> 传真：</w:t>
      </w:r>
      <w:r>
        <w:rPr>
          <w:rFonts w:hint="eastAsia" w:ascii="宋体" w:hAnsi="宋体" w:eastAsia="宋体" w:cs="宋体"/>
          <w:color w:val="000000"/>
          <w:sz w:val="21"/>
          <w:szCs w:val="21"/>
          <w:highlight w:val="none"/>
          <w:u w:val="single"/>
          <w:shd w:val="clear" w:color="auto" w:fill="auto"/>
        </w:rPr>
        <w:tab/>
      </w:r>
      <w:r>
        <w:rPr>
          <w:rFonts w:hint="eastAsia" w:ascii="宋体" w:hAnsi="宋体" w:eastAsia="宋体" w:cs="宋体"/>
          <w:color w:val="000000"/>
          <w:sz w:val="21"/>
          <w:szCs w:val="21"/>
          <w:highlight w:val="none"/>
          <w:u w:val="single"/>
          <w:shd w:val="clear" w:color="auto" w:fill="auto"/>
        </w:rPr>
        <w:tab/>
      </w:r>
    </w:p>
    <w:p w14:paraId="4C212815">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 xml:space="preserve">         开户银行名称：</w:t>
      </w:r>
      <w:r>
        <w:rPr>
          <w:rFonts w:hint="eastAsia" w:ascii="宋体" w:hAnsi="宋体" w:eastAsia="宋体" w:cs="宋体"/>
          <w:color w:val="000000"/>
          <w:sz w:val="21"/>
          <w:szCs w:val="21"/>
          <w:highlight w:val="none"/>
          <w:u w:val="single"/>
          <w:shd w:val="clear" w:color="auto" w:fill="auto"/>
        </w:rPr>
        <w:tab/>
      </w:r>
      <w:r>
        <w:rPr>
          <w:rFonts w:hint="eastAsia" w:ascii="宋体" w:hAnsi="宋体" w:eastAsia="宋体" w:cs="宋体"/>
          <w:color w:val="000000"/>
          <w:sz w:val="21"/>
          <w:szCs w:val="21"/>
          <w:highlight w:val="none"/>
          <w:u w:val="single"/>
          <w:shd w:val="clear" w:color="auto" w:fill="auto"/>
        </w:rPr>
        <w:tab/>
      </w:r>
      <w:r>
        <w:rPr>
          <w:rFonts w:hint="eastAsia" w:ascii="宋体" w:hAnsi="宋体" w:eastAsia="宋体" w:cs="宋体"/>
          <w:color w:val="000000"/>
          <w:sz w:val="21"/>
          <w:szCs w:val="21"/>
          <w:highlight w:val="none"/>
          <w:u w:val="single"/>
          <w:shd w:val="clear" w:color="auto" w:fill="auto"/>
        </w:rPr>
        <w:tab/>
      </w:r>
      <w:r>
        <w:rPr>
          <w:rFonts w:hint="eastAsia" w:ascii="宋体" w:hAnsi="宋体" w:eastAsia="宋体" w:cs="宋体"/>
          <w:color w:val="000000"/>
          <w:sz w:val="21"/>
          <w:szCs w:val="21"/>
          <w:highlight w:val="none"/>
          <w:u w:val="single"/>
          <w:shd w:val="clear" w:color="auto" w:fill="auto"/>
        </w:rPr>
        <w:tab/>
      </w:r>
      <w:r>
        <w:rPr>
          <w:rFonts w:hint="eastAsia" w:ascii="宋体" w:hAnsi="宋体" w:eastAsia="宋体" w:cs="宋体"/>
          <w:color w:val="000000"/>
          <w:sz w:val="21"/>
          <w:szCs w:val="21"/>
          <w:highlight w:val="none"/>
          <w:u w:val="single"/>
          <w:shd w:val="clear" w:color="auto" w:fill="auto"/>
        </w:rPr>
        <w:tab/>
      </w:r>
      <w:r>
        <w:rPr>
          <w:rFonts w:hint="eastAsia" w:ascii="宋体" w:hAnsi="宋体" w:eastAsia="宋体" w:cs="宋体"/>
          <w:color w:val="000000"/>
          <w:sz w:val="21"/>
          <w:szCs w:val="21"/>
          <w:highlight w:val="none"/>
          <w:u w:val="single"/>
          <w:shd w:val="clear" w:color="auto" w:fill="auto"/>
        </w:rPr>
        <w:tab/>
      </w:r>
      <w:r>
        <w:rPr>
          <w:rFonts w:hint="eastAsia" w:ascii="宋体" w:hAnsi="宋体" w:eastAsia="宋体" w:cs="宋体"/>
          <w:color w:val="000000"/>
          <w:sz w:val="21"/>
          <w:szCs w:val="21"/>
          <w:highlight w:val="none"/>
          <w:u w:val="single"/>
          <w:shd w:val="clear" w:color="auto" w:fill="auto"/>
        </w:rPr>
        <w:tab/>
      </w:r>
    </w:p>
    <w:p w14:paraId="679892F2">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 xml:space="preserve">         开户银行账号：</w:t>
      </w:r>
      <w:r>
        <w:rPr>
          <w:rFonts w:hint="eastAsia" w:ascii="宋体" w:hAnsi="宋体" w:eastAsia="宋体" w:cs="宋体"/>
          <w:color w:val="000000"/>
          <w:sz w:val="21"/>
          <w:szCs w:val="21"/>
          <w:highlight w:val="none"/>
          <w:u w:val="single"/>
          <w:shd w:val="clear" w:color="auto" w:fill="auto"/>
        </w:rPr>
        <w:tab/>
      </w:r>
      <w:r>
        <w:rPr>
          <w:rFonts w:hint="eastAsia" w:ascii="宋体" w:hAnsi="宋体" w:eastAsia="宋体" w:cs="宋体"/>
          <w:color w:val="000000"/>
          <w:sz w:val="21"/>
          <w:szCs w:val="21"/>
          <w:highlight w:val="none"/>
          <w:u w:val="single"/>
          <w:shd w:val="clear" w:color="auto" w:fill="auto"/>
        </w:rPr>
        <w:tab/>
      </w:r>
      <w:r>
        <w:rPr>
          <w:rFonts w:hint="eastAsia" w:ascii="宋体" w:hAnsi="宋体" w:eastAsia="宋体" w:cs="宋体"/>
          <w:color w:val="000000"/>
          <w:sz w:val="21"/>
          <w:szCs w:val="21"/>
          <w:highlight w:val="none"/>
          <w:u w:val="single"/>
          <w:shd w:val="clear" w:color="auto" w:fill="auto"/>
        </w:rPr>
        <w:tab/>
      </w:r>
      <w:r>
        <w:rPr>
          <w:rFonts w:hint="eastAsia" w:ascii="宋体" w:hAnsi="宋体" w:eastAsia="宋体" w:cs="宋体"/>
          <w:color w:val="000000"/>
          <w:sz w:val="21"/>
          <w:szCs w:val="21"/>
          <w:highlight w:val="none"/>
          <w:u w:val="single"/>
          <w:shd w:val="clear" w:color="auto" w:fill="auto"/>
        </w:rPr>
        <w:tab/>
      </w:r>
      <w:r>
        <w:rPr>
          <w:rFonts w:hint="eastAsia" w:ascii="宋体" w:hAnsi="宋体" w:eastAsia="宋体" w:cs="宋体"/>
          <w:color w:val="000000"/>
          <w:sz w:val="21"/>
          <w:szCs w:val="21"/>
          <w:highlight w:val="none"/>
          <w:u w:val="single"/>
          <w:shd w:val="clear" w:color="auto" w:fill="auto"/>
        </w:rPr>
        <w:t xml:space="preserve">  </w:t>
      </w:r>
      <w:r>
        <w:rPr>
          <w:rFonts w:hint="eastAsia" w:ascii="宋体" w:hAnsi="宋体" w:eastAsia="宋体" w:cs="宋体"/>
          <w:color w:val="000000"/>
          <w:sz w:val="21"/>
          <w:szCs w:val="21"/>
          <w:highlight w:val="none"/>
          <w:u w:val="single"/>
          <w:shd w:val="clear" w:color="auto" w:fill="auto"/>
        </w:rPr>
        <w:tab/>
      </w:r>
      <w:r>
        <w:rPr>
          <w:rFonts w:hint="eastAsia" w:ascii="宋体" w:hAnsi="宋体" w:eastAsia="宋体" w:cs="宋体"/>
          <w:color w:val="000000"/>
          <w:sz w:val="21"/>
          <w:szCs w:val="21"/>
          <w:highlight w:val="none"/>
          <w:u w:val="single"/>
          <w:shd w:val="clear" w:color="auto" w:fill="auto"/>
        </w:rPr>
        <w:tab/>
      </w:r>
      <w:r>
        <w:rPr>
          <w:rFonts w:hint="eastAsia" w:ascii="宋体" w:hAnsi="宋体" w:eastAsia="宋体" w:cs="宋体"/>
          <w:color w:val="000000"/>
          <w:sz w:val="21"/>
          <w:szCs w:val="21"/>
          <w:highlight w:val="none"/>
          <w:u w:val="single"/>
          <w:shd w:val="clear" w:color="auto" w:fill="auto"/>
        </w:rPr>
        <w:tab/>
      </w:r>
    </w:p>
    <w:p w14:paraId="36B3C7EF">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 xml:space="preserve">         开户银行地址：</w:t>
      </w:r>
      <w:r>
        <w:rPr>
          <w:rFonts w:hint="eastAsia" w:ascii="宋体" w:hAnsi="宋体" w:eastAsia="宋体" w:cs="宋体"/>
          <w:color w:val="000000"/>
          <w:sz w:val="21"/>
          <w:szCs w:val="21"/>
          <w:highlight w:val="none"/>
          <w:u w:val="single"/>
          <w:shd w:val="clear" w:color="auto" w:fill="auto"/>
        </w:rPr>
        <w:tab/>
      </w:r>
      <w:r>
        <w:rPr>
          <w:rFonts w:hint="eastAsia" w:ascii="宋体" w:hAnsi="宋体" w:eastAsia="宋体" w:cs="宋体"/>
          <w:color w:val="000000"/>
          <w:sz w:val="21"/>
          <w:szCs w:val="21"/>
          <w:highlight w:val="none"/>
          <w:u w:val="single"/>
          <w:shd w:val="clear" w:color="auto" w:fill="auto"/>
        </w:rPr>
        <w:tab/>
      </w:r>
      <w:r>
        <w:rPr>
          <w:rFonts w:hint="eastAsia" w:ascii="宋体" w:hAnsi="宋体" w:eastAsia="宋体" w:cs="宋体"/>
          <w:color w:val="000000"/>
          <w:sz w:val="21"/>
          <w:szCs w:val="21"/>
          <w:highlight w:val="none"/>
          <w:u w:val="single"/>
          <w:shd w:val="clear" w:color="auto" w:fill="auto"/>
        </w:rPr>
        <w:tab/>
      </w:r>
      <w:r>
        <w:rPr>
          <w:rFonts w:hint="eastAsia" w:ascii="宋体" w:hAnsi="宋体" w:eastAsia="宋体" w:cs="宋体"/>
          <w:color w:val="000000"/>
          <w:sz w:val="21"/>
          <w:szCs w:val="21"/>
          <w:highlight w:val="none"/>
          <w:u w:val="single"/>
          <w:shd w:val="clear" w:color="auto" w:fill="auto"/>
        </w:rPr>
        <w:tab/>
      </w:r>
      <w:r>
        <w:rPr>
          <w:rFonts w:hint="eastAsia" w:ascii="宋体" w:hAnsi="宋体" w:eastAsia="宋体" w:cs="宋体"/>
          <w:color w:val="000000"/>
          <w:sz w:val="21"/>
          <w:szCs w:val="21"/>
          <w:highlight w:val="none"/>
          <w:u w:val="single"/>
          <w:shd w:val="clear" w:color="auto" w:fill="auto"/>
        </w:rPr>
        <w:tab/>
      </w:r>
      <w:r>
        <w:rPr>
          <w:rFonts w:hint="eastAsia" w:ascii="宋体" w:hAnsi="宋体" w:eastAsia="宋体" w:cs="宋体"/>
          <w:color w:val="000000"/>
          <w:sz w:val="21"/>
          <w:szCs w:val="21"/>
          <w:highlight w:val="none"/>
          <w:u w:val="single"/>
          <w:shd w:val="clear" w:color="auto" w:fill="auto"/>
        </w:rPr>
        <w:tab/>
      </w:r>
      <w:r>
        <w:rPr>
          <w:rFonts w:hint="eastAsia" w:ascii="宋体" w:hAnsi="宋体" w:eastAsia="宋体" w:cs="宋体"/>
          <w:color w:val="000000"/>
          <w:sz w:val="21"/>
          <w:szCs w:val="21"/>
          <w:highlight w:val="none"/>
          <w:u w:val="single"/>
          <w:shd w:val="clear" w:color="auto" w:fill="auto"/>
        </w:rPr>
        <w:tab/>
      </w:r>
    </w:p>
    <w:p w14:paraId="0BACCA26">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sz w:val="21"/>
          <w:szCs w:val="21"/>
          <w:highlight w:val="none"/>
          <w:u w:val="single"/>
          <w:shd w:val="clear" w:color="auto" w:fill="auto"/>
        </w:rPr>
      </w:pPr>
      <w:r>
        <w:rPr>
          <w:rFonts w:hint="eastAsia" w:ascii="宋体" w:hAnsi="宋体" w:eastAsia="宋体" w:cs="宋体"/>
          <w:color w:val="000000"/>
          <w:sz w:val="21"/>
          <w:szCs w:val="21"/>
          <w:highlight w:val="none"/>
          <w:shd w:val="clear" w:color="auto" w:fill="auto"/>
        </w:rPr>
        <w:t xml:space="preserve">         开户银行电话：</w:t>
      </w:r>
      <w:r>
        <w:rPr>
          <w:rFonts w:hint="eastAsia" w:ascii="宋体" w:hAnsi="宋体" w:eastAsia="宋体" w:cs="宋体"/>
          <w:color w:val="000000"/>
          <w:sz w:val="21"/>
          <w:szCs w:val="21"/>
          <w:highlight w:val="none"/>
          <w:u w:val="single"/>
          <w:shd w:val="clear" w:color="auto" w:fill="auto"/>
        </w:rPr>
        <w:tab/>
      </w:r>
      <w:r>
        <w:rPr>
          <w:rFonts w:hint="eastAsia" w:ascii="宋体" w:hAnsi="宋体" w:eastAsia="宋体" w:cs="宋体"/>
          <w:color w:val="000000"/>
          <w:sz w:val="21"/>
          <w:szCs w:val="21"/>
          <w:highlight w:val="none"/>
          <w:u w:val="single"/>
          <w:shd w:val="clear" w:color="auto" w:fill="auto"/>
        </w:rPr>
        <w:tab/>
      </w:r>
      <w:r>
        <w:rPr>
          <w:rFonts w:hint="eastAsia" w:ascii="宋体" w:hAnsi="宋体" w:eastAsia="宋体" w:cs="宋体"/>
          <w:color w:val="000000"/>
          <w:sz w:val="21"/>
          <w:szCs w:val="21"/>
          <w:highlight w:val="none"/>
          <w:u w:val="single"/>
          <w:shd w:val="clear" w:color="auto" w:fill="auto"/>
        </w:rPr>
        <w:tab/>
      </w:r>
      <w:r>
        <w:rPr>
          <w:rFonts w:hint="eastAsia" w:ascii="宋体" w:hAnsi="宋体" w:eastAsia="宋体" w:cs="宋体"/>
          <w:color w:val="000000"/>
          <w:sz w:val="21"/>
          <w:szCs w:val="21"/>
          <w:highlight w:val="none"/>
          <w:u w:val="single"/>
          <w:shd w:val="clear" w:color="auto" w:fill="auto"/>
        </w:rPr>
        <w:tab/>
      </w:r>
      <w:r>
        <w:rPr>
          <w:rFonts w:hint="eastAsia" w:ascii="宋体" w:hAnsi="宋体" w:eastAsia="宋体" w:cs="宋体"/>
          <w:color w:val="000000"/>
          <w:sz w:val="21"/>
          <w:szCs w:val="21"/>
          <w:highlight w:val="none"/>
          <w:u w:val="single"/>
          <w:shd w:val="clear" w:color="auto" w:fill="auto"/>
        </w:rPr>
        <w:tab/>
      </w:r>
      <w:r>
        <w:rPr>
          <w:rFonts w:hint="eastAsia" w:ascii="宋体" w:hAnsi="宋体" w:eastAsia="宋体" w:cs="宋体"/>
          <w:color w:val="000000"/>
          <w:sz w:val="21"/>
          <w:szCs w:val="21"/>
          <w:highlight w:val="none"/>
          <w:u w:val="single"/>
          <w:shd w:val="clear" w:color="auto" w:fill="auto"/>
        </w:rPr>
        <w:tab/>
      </w:r>
      <w:r>
        <w:rPr>
          <w:rFonts w:hint="eastAsia" w:ascii="宋体" w:hAnsi="宋体" w:eastAsia="宋体" w:cs="宋体"/>
          <w:color w:val="000000"/>
          <w:sz w:val="21"/>
          <w:szCs w:val="21"/>
          <w:highlight w:val="none"/>
          <w:u w:val="single"/>
          <w:shd w:val="clear" w:color="auto" w:fill="auto"/>
        </w:rPr>
        <w:tab/>
      </w:r>
    </w:p>
    <w:p w14:paraId="2F4AB98D">
      <w:pPr>
        <w:pageBreakBefore w:val="0"/>
        <w:kinsoku/>
        <w:wordWrap/>
        <w:overflowPunct/>
        <w:topLinePunct w:val="0"/>
        <w:bidi w:val="0"/>
        <w:adjustRightInd/>
        <w:spacing w:line="360" w:lineRule="auto"/>
        <w:ind w:left="0" w:leftChars="0" w:right="0" w:firstLine="1050" w:firstLineChars="50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日期：</w:t>
      </w:r>
      <w:r>
        <w:rPr>
          <w:rFonts w:hint="eastAsia" w:ascii="宋体" w:hAnsi="宋体" w:eastAsia="宋体" w:cs="宋体"/>
          <w:color w:val="000000"/>
          <w:sz w:val="21"/>
          <w:szCs w:val="21"/>
          <w:highlight w:val="none"/>
          <w:u w:val="single"/>
          <w:shd w:val="clear" w:color="auto" w:fill="auto"/>
        </w:rPr>
        <w:t xml:space="preserve">         </w:t>
      </w:r>
      <w:r>
        <w:rPr>
          <w:rFonts w:hint="eastAsia" w:ascii="宋体" w:hAnsi="宋体" w:eastAsia="宋体" w:cs="宋体"/>
          <w:color w:val="000000"/>
          <w:sz w:val="21"/>
          <w:szCs w:val="21"/>
          <w:highlight w:val="none"/>
          <w:shd w:val="clear" w:color="auto" w:fill="auto"/>
        </w:rPr>
        <w:t>年</w:t>
      </w:r>
      <w:r>
        <w:rPr>
          <w:rFonts w:hint="eastAsia" w:ascii="宋体" w:hAnsi="宋体" w:eastAsia="宋体" w:cs="宋体"/>
          <w:color w:val="000000"/>
          <w:sz w:val="21"/>
          <w:szCs w:val="21"/>
          <w:highlight w:val="none"/>
          <w:u w:val="single"/>
          <w:shd w:val="clear" w:color="auto" w:fill="auto"/>
        </w:rPr>
        <w:t xml:space="preserve">        </w:t>
      </w:r>
      <w:r>
        <w:rPr>
          <w:rFonts w:hint="eastAsia" w:ascii="宋体" w:hAnsi="宋体" w:eastAsia="宋体" w:cs="宋体"/>
          <w:color w:val="000000"/>
          <w:sz w:val="21"/>
          <w:szCs w:val="21"/>
          <w:highlight w:val="none"/>
          <w:shd w:val="clear" w:color="auto" w:fill="auto"/>
        </w:rPr>
        <w:t>月</w:t>
      </w:r>
      <w:r>
        <w:rPr>
          <w:rFonts w:hint="eastAsia" w:ascii="宋体" w:hAnsi="宋体" w:eastAsia="宋体" w:cs="宋体"/>
          <w:color w:val="000000"/>
          <w:sz w:val="21"/>
          <w:szCs w:val="21"/>
          <w:highlight w:val="none"/>
          <w:u w:val="single"/>
          <w:shd w:val="clear" w:color="auto" w:fill="auto"/>
        </w:rPr>
        <w:t xml:space="preserve">        </w:t>
      </w:r>
      <w:r>
        <w:rPr>
          <w:rFonts w:hint="eastAsia" w:ascii="宋体" w:hAnsi="宋体" w:eastAsia="宋体" w:cs="宋体"/>
          <w:color w:val="000000"/>
          <w:sz w:val="21"/>
          <w:szCs w:val="21"/>
          <w:highlight w:val="none"/>
          <w:shd w:val="clear" w:color="auto" w:fill="auto"/>
        </w:rPr>
        <w:t>日</w:t>
      </w:r>
    </w:p>
    <w:p w14:paraId="466AEFCA">
      <w:pPr>
        <w:pStyle w:val="3"/>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b/>
          <w:bCs w:val="0"/>
          <w:color w:val="000000"/>
          <w:kern w:val="0"/>
          <w:sz w:val="21"/>
          <w:szCs w:val="21"/>
          <w:highlight w:val="none"/>
          <w:shd w:val="clear" w:color="auto" w:fill="auto"/>
        </w:rPr>
      </w:pPr>
      <w:bookmarkStart w:id="1919" w:name="_Toc16206"/>
      <w:bookmarkStart w:id="1920" w:name="_Toc389146024"/>
      <w:bookmarkStart w:id="1921" w:name="_Toc267582090"/>
      <w:bookmarkStart w:id="1922" w:name="_Toc12735"/>
      <w:bookmarkStart w:id="1923" w:name="_Toc455670873"/>
      <w:bookmarkStart w:id="1924" w:name="_Toc207443037"/>
      <w:bookmarkStart w:id="1925" w:name="_Toc369505657"/>
      <w:r>
        <w:rPr>
          <w:rFonts w:hint="eastAsia" w:ascii="宋体" w:hAnsi="宋体" w:eastAsia="宋体" w:cs="宋体"/>
          <w:b/>
          <w:bCs w:val="0"/>
          <w:color w:val="000000"/>
          <w:kern w:val="0"/>
          <w:sz w:val="21"/>
          <w:szCs w:val="21"/>
          <w:highlight w:val="none"/>
          <w:shd w:val="clear" w:color="auto" w:fill="auto"/>
        </w:rPr>
        <w:br w:type="page"/>
      </w:r>
      <w:r>
        <w:rPr>
          <w:rFonts w:hint="eastAsia" w:ascii="宋体" w:hAnsi="宋体" w:eastAsia="宋体" w:cs="宋体"/>
          <w:b/>
          <w:bCs w:val="0"/>
          <w:color w:val="000000"/>
          <w:kern w:val="0"/>
          <w:sz w:val="21"/>
          <w:szCs w:val="21"/>
          <w:highlight w:val="none"/>
          <w:shd w:val="clear" w:color="auto" w:fill="auto"/>
        </w:rPr>
        <w:t>（二）响应函附录</w:t>
      </w:r>
      <w:bookmarkEnd w:id="1919"/>
      <w:bookmarkEnd w:id="1920"/>
      <w:bookmarkEnd w:id="1921"/>
      <w:bookmarkEnd w:id="1922"/>
      <w:bookmarkEnd w:id="1923"/>
      <w:bookmarkEnd w:id="1924"/>
      <w:bookmarkEnd w:id="1925"/>
    </w:p>
    <w:p w14:paraId="3AF9BE70">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bl>
      <w:tblPr>
        <w:tblStyle w:val="34"/>
        <w:tblW w:w="0" w:type="auto"/>
        <w:tblInd w:w="102" w:type="dxa"/>
        <w:tblLayout w:type="fixed"/>
        <w:tblCellMar>
          <w:top w:w="0" w:type="dxa"/>
          <w:left w:w="0" w:type="dxa"/>
          <w:bottom w:w="0" w:type="dxa"/>
          <w:right w:w="0" w:type="dxa"/>
        </w:tblCellMar>
      </w:tblPr>
      <w:tblGrid>
        <w:gridCol w:w="689"/>
        <w:gridCol w:w="2471"/>
        <w:gridCol w:w="2286"/>
        <w:gridCol w:w="2860"/>
        <w:gridCol w:w="759"/>
      </w:tblGrid>
      <w:tr w14:paraId="7936AB8E">
        <w:tblPrEx>
          <w:tblCellMar>
            <w:top w:w="0" w:type="dxa"/>
            <w:left w:w="0" w:type="dxa"/>
            <w:bottom w:w="0" w:type="dxa"/>
            <w:right w:w="0" w:type="dxa"/>
          </w:tblCellMar>
        </w:tblPrEx>
        <w:trPr>
          <w:trHeight w:val="710" w:hRule="exact"/>
        </w:trPr>
        <w:tc>
          <w:tcPr>
            <w:tcW w:w="689" w:type="dxa"/>
            <w:tcBorders>
              <w:top w:val="single" w:color="000000" w:sz="4" w:space="0"/>
              <w:left w:val="single" w:color="000000" w:sz="4" w:space="0"/>
              <w:bottom w:val="single" w:color="000000" w:sz="4" w:space="0"/>
              <w:right w:val="single" w:color="000000" w:sz="4" w:space="0"/>
            </w:tcBorders>
            <w:noWrap w:val="0"/>
            <w:vAlign w:val="center"/>
          </w:tcPr>
          <w:p w14:paraId="3CF2D98A">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spacing w:val="1"/>
                <w:kern w:val="0"/>
                <w:sz w:val="21"/>
                <w:szCs w:val="21"/>
                <w:highlight w:val="none"/>
                <w:shd w:val="clear" w:color="auto" w:fill="auto"/>
              </w:rPr>
              <w:t>序号</w:t>
            </w:r>
          </w:p>
        </w:tc>
        <w:tc>
          <w:tcPr>
            <w:tcW w:w="2471" w:type="dxa"/>
            <w:tcBorders>
              <w:top w:val="single" w:color="000000" w:sz="4" w:space="0"/>
              <w:left w:val="single" w:color="000000" w:sz="4" w:space="0"/>
              <w:bottom w:val="single" w:color="000000" w:sz="4" w:space="0"/>
              <w:right w:val="single" w:color="000000" w:sz="4" w:space="0"/>
            </w:tcBorders>
            <w:noWrap w:val="0"/>
            <w:vAlign w:val="center"/>
          </w:tcPr>
          <w:p w14:paraId="380BF936">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spacing w:val="1"/>
                <w:kern w:val="0"/>
                <w:sz w:val="21"/>
                <w:szCs w:val="21"/>
                <w:highlight w:val="none"/>
                <w:shd w:val="clear" w:color="auto" w:fill="auto"/>
              </w:rPr>
              <w:t>条款名称</w:t>
            </w:r>
          </w:p>
        </w:tc>
        <w:tc>
          <w:tcPr>
            <w:tcW w:w="2286" w:type="dxa"/>
            <w:tcBorders>
              <w:top w:val="single" w:color="000000" w:sz="4" w:space="0"/>
              <w:left w:val="single" w:color="000000" w:sz="4" w:space="0"/>
              <w:bottom w:val="single" w:color="000000" w:sz="4" w:space="0"/>
              <w:right w:val="single" w:color="000000" w:sz="4" w:space="0"/>
            </w:tcBorders>
            <w:noWrap w:val="0"/>
            <w:vAlign w:val="center"/>
          </w:tcPr>
          <w:p w14:paraId="5A4B4481">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spacing w:val="1"/>
                <w:kern w:val="0"/>
                <w:sz w:val="21"/>
                <w:szCs w:val="21"/>
                <w:highlight w:val="none"/>
                <w:shd w:val="clear" w:color="auto" w:fill="auto"/>
              </w:rPr>
              <w:t>合同条</w:t>
            </w:r>
            <w:r>
              <w:rPr>
                <w:rFonts w:hint="eastAsia" w:ascii="宋体" w:hAnsi="宋体" w:eastAsia="宋体" w:cs="宋体"/>
                <w:color w:val="000000"/>
                <w:kern w:val="0"/>
                <w:sz w:val="21"/>
                <w:szCs w:val="21"/>
                <w:highlight w:val="none"/>
                <w:shd w:val="clear" w:color="auto" w:fill="auto"/>
              </w:rPr>
              <w:t>款</w:t>
            </w:r>
            <w:r>
              <w:rPr>
                <w:rFonts w:hint="eastAsia" w:ascii="宋体" w:hAnsi="宋体" w:eastAsia="宋体" w:cs="宋体"/>
                <w:color w:val="000000"/>
                <w:spacing w:val="1"/>
                <w:kern w:val="0"/>
                <w:sz w:val="21"/>
                <w:szCs w:val="21"/>
                <w:highlight w:val="none"/>
                <w:shd w:val="clear" w:color="auto" w:fill="auto"/>
              </w:rPr>
              <w:t>号</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527B9448">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spacing w:val="1"/>
                <w:kern w:val="0"/>
                <w:sz w:val="21"/>
                <w:szCs w:val="21"/>
                <w:highlight w:val="none"/>
                <w:shd w:val="clear" w:color="auto" w:fill="auto"/>
              </w:rPr>
              <w:t>约定内容</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59E05483">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spacing w:val="1"/>
                <w:kern w:val="0"/>
                <w:sz w:val="21"/>
                <w:szCs w:val="21"/>
                <w:highlight w:val="none"/>
                <w:shd w:val="clear" w:color="auto" w:fill="auto"/>
              </w:rPr>
              <w:t>备注</w:t>
            </w:r>
          </w:p>
        </w:tc>
      </w:tr>
      <w:tr w14:paraId="2EC232C9">
        <w:tblPrEx>
          <w:tblCellMar>
            <w:top w:w="0" w:type="dxa"/>
            <w:left w:w="0" w:type="dxa"/>
            <w:bottom w:w="0" w:type="dxa"/>
            <w:right w:w="0" w:type="dxa"/>
          </w:tblCellMar>
        </w:tblPrEx>
        <w:trPr>
          <w:trHeight w:val="710" w:hRule="exact"/>
        </w:trPr>
        <w:tc>
          <w:tcPr>
            <w:tcW w:w="689" w:type="dxa"/>
            <w:tcBorders>
              <w:top w:val="single" w:color="000000" w:sz="4" w:space="0"/>
              <w:left w:val="single" w:color="000000" w:sz="4" w:space="0"/>
              <w:bottom w:val="single" w:color="000000" w:sz="4" w:space="0"/>
              <w:right w:val="single" w:color="000000" w:sz="4" w:space="0"/>
            </w:tcBorders>
            <w:noWrap w:val="0"/>
            <w:vAlign w:val="center"/>
          </w:tcPr>
          <w:p w14:paraId="7A10649E">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spacing w:val="1"/>
                <w:kern w:val="0"/>
                <w:sz w:val="21"/>
                <w:szCs w:val="21"/>
                <w:highlight w:val="none"/>
                <w:shd w:val="clear" w:color="auto" w:fill="auto"/>
              </w:rPr>
              <w:t>1</w:t>
            </w:r>
          </w:p>
        </w:tc>
        <w:tc>
          <w:tcPr>
            <w:tcW w:w="2471" w:type="dxa"/>
            <w:tcBorders>
              <w:top w:val="single" w:color="000000" w:sz="4" w:space="0"/>
              <w:left w:val="single" w:color="000000" w:sz="4" w:space="0"/>
              <w:bottom w:val="single" w:color="000000" w:sz="4" w:space="0"/>
              <w:right w:val="single" w:color="000000" w:sz="4" w:space="0"/>
            </w:tcBorders>
            <w:noWrap w:val="0"/>
            <w:vAlign w:val="center"/>
          </w:tcPr>
          <w:p w14:paraId="06EF51C7">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项目经理</w:t>
            </w:r>
          </w:p>
        </w:tc>
        <w:tc>
          <w:tcPr>
            <w:tcW w:w="2286" w:type="dxa"/>
            <w:tcBorders>
              <w:top w:val="single" w:color="000000" w:sz="4" w:space="0"/>
              <w:left w:val="single" w:color="000000" w:sz="4" w:space="0"/>
              <w:bottom w:val="single" w:color="000000" w:sz="4" w:space="0"/>
              <w:right w:val="single" w:color="000000" w:sz="4" w:space="0"/>
            </w:tcBorders>
            <w:noWrap w:val="0"/>
            <w:vAlign w:val="center"/>
          </w:tcPr>
          <w:p w14:paraId="36E0F7C0">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专用合同条款3.2.1</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22F2C4B6">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姓名：</w:t>
            </w:r>
            <w:r>
              <w:rPr>
                <w:rFonts w:hint="eastAsia" w:ascii="宋体" w:hAnsi="宋体" w:eastAsia="宋体" w:cs="宋体"/>
                <w:color w:val="000000"/>
                <w:w w:val="200"/>
                <w:kern w:val="0"/>
                <w:sz w:val="21"/>
                <w:szCs w:val="21"/>
                <w:highlight w:val="none"/>
                <w:u w:val="single"/>
                <w:shd w:val="clear" w:color="auto" w:fill="auto"/>
              </w:rPr>
              <w:t xml:space="preserve"> </w:t>
            </w:r>
            <w:r>
              <w:rPr>
                <w:rFonts w:hint="eastAsia" w:ascii="宋体" w:hAnsi="宋体" w:eastAsia="宋体" w:cs="宋体"/>
                <w:color w:val="000000"/>
                <w:kern w:val="0"/>
                <w:sz w:val="21"/>
                <w:szCs w:val="21"/>
                <w:highlight w:val="none"/>
                <w:u w:val="single"/>
                <w:shd w:val="clear" w:color="auto" w:fill="auto"/>
              </w:rPr>
              <w:tab/>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0817D829">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r>
      <w:tr w14:paraId="147F4E91">
        <w:tblPrEx>
          <w:tblCellMar>
            <w:top w:w="0" w:type="dxa"/>
            <w:left w:w="0" w:type="dxa"/>
            <w:bottom w:w="0" w:type="dxa"/>
            <w:right w:w="0" w:type="dxa"/>
          </w:tblCellMar>
        </w:tblPrEx>
        <w:trPr>
          <w:trHeight w:val="710" w:hRule="exact"/>
        </w:trPr>
        <w:tc>
          <w:tcPr>
            <w:tcW w:w="689" w:type="dxa"/>
            <w:tcBorders>
              <w:top w:val="single" w:color="000000" w:sz="4" w:space="0"/>
              <w:left w:val="single" w:color="000000" w:sz="4" w:space="0"/>
              <w:bottom w:val="single" w:color="000000" w:sz="4" w:space="0"/>
              <w:right w:val="single" w:color="000000" w:sz="4" w:space="0"/>
            </w:tcBorders>
            <w:noWrap w:val="0"/>
            <w:vAlign w:val="center"/>
          </w:tcPr>
          <w:p w14:paraId="2F3BBE27">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spacing w:val="1"/>
                <w:kern w:val="0"/>
                <w:sz w:val="21"/>
                <w:szCs w:val="21"/>
                <w:highlight w:val="none"/>
                <w:shd w:val="clear" w:color="auto" w:fill="auto"/>
              </w:rPr>
              <w:t>2</w:t>
            </w:r>
          </w:p>
        </w:tc>
        <w:tc>
          <w:tcPr>
            <w:tcW w:w="2471" w:type="dxa"/>
            <w:tcBorders>
              <w:top w:val="single" w:color="000000" w:sz="4" w:space="0"/>
              <w:left w:val="single" w:color="000000" w:sz="4" w:space="0"/>
              <w:bottom w:val="single" w:color="000000" w:sz="4" w:space="0"/>
              <w:right w:val="single" w:color="000000" w:sz="4" w:space="0"/>
            </w:tcBorders>
            <w:noWrap w:val="0"/>
            <w:vAlign w:val="center"/>
          </w:tcPr>
          <w:p w14:paraId="3C3F0190">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工期</w:t>
            </w:r>
          </w:p>
        </w:tc>
        <w:tc>
          <w:tcPr>
            <w:tcW w:w="2286" w:type="dxa"/>
            <w:tcBorders>
              <w:top w:val="single" w:color="000000" w:sz="4" w:space="0"/>
              <w:left w:val="single" w:color="000000" w:sz="4" w:space="0"/>
              <w:bottom w:val="single" w:color="000000" w:sz="4" w:space="0"/>
              <w:right w:val="single" w:color="000000" w:sz="4" w:space="0"/>
            </w:tcBorders>
            <w:noWrap w:val="0"/>
            <w:vAlign w:val="center"/>
          </w:tcPr>
          <w:p w14:paraId="37285CD5">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spacing w:val="1"/>
                <w:kern w:val="0"/>
                <w:sz w:val="21"/>
                <w:szCs w:val="21"/>
                <w:highlight w:val="none"/>
                <w:shd w:val="clear" w:color="auto" w:fill="auto"/>
              </w:rPr>
              <w:t>第一部分 合同协议书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7A0AC324">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天数：</w:t>
            </w:r>
            <w:r>
              <w:rPr>
                <w:rFonts w:hint="eastAsia" w:ascii="宋体" w:hAnsi="宋体" w:eastAsia="宋体" w:cs="宋体"/>
                <w:color w:val="000000"/>
                <w:w w:val="200"/>
                <w:kern w:val="0"/>
                <w:sz w:val="21"/>
                <w:szCs w:val="21"/>
                <w:highlight w:val="none"/>
                <w:u w:val="single"/>
                <w:shd w:val="clear" w:color="auto" w:fill="auto"/>
              </w:rPr>
              <w:t xml:space="preserve"> </w:t>
            </w:r>
            <w:r>
              <w:rPr>
                <w:rFonts w:hint="eastAsia" w:ascii="宋体" w:hAnsi="宋体" w:eastAsia="宋体" w:cs="宋体"/>
                <w:color w:val="000000"/>
                <w:kern w:val="0"/>
                <w:sz w:val="21"/>
                <w:szCs w:val="21"/>
                <w:highlight w:val="none"/>
                <w:u w:val="single"/>
                <w:shd w:val="clear" w:color="auto" w:fill="auto"/>
              </w:rPr>
              <w:tab/>
            </w:r>
            <w:r>
              <w:rPr>
                <w:rFonts w:hint="eastAsia" w:ascii="宋体" w:hAnsi="宋体" w:eastAsia="宋体" w:cs="宋体"/>
                <w:color w:val="000000"/>
                <w:kern w:val="0"/>
                <w:sz w:val="21"/>
                <w:szCs w:val="21"/>
                <w:highlight w:val="none"/>
                <w:shd w:val="clear" w:color="auto" w:fill="auto"/>
              </w:rPr>
              <w:t>日历天</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18AD80FF">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r>
      <w:tr w14:paraId="370EF2FA">
        <w:tblPrEx>
          <w:tblCellMar>
            <w:top w:w="0" w:type="dxa"/>
            <w:left w:w="0" w:type="dxa"/>
            <w:bottom w:w="0" w:type="dxa"/>
            <w:right w:w="0" w:type="dxa"/>
          </w:tblCellMar>
        </w:tblPrEx>
        <w:trPr>
          <w:trHeight w:val="710" w:hRule="exact"/>
        </w:trPr>
        <w:tc>
          <w:tcPr>
            <w:tcW w:w="689" w:type="dxa"/>
            <w:tcBorders>
              <w:top w:val="single" w:color="000000" w:sz="4" w:space="0"/>
              <w:left w:val="single" w:color="000000" w:sz="4" w:space="0"/>
              <w:bottom w:val="single" w:color="000000" w:sz="4" w:space="0"/>
              <w:right w:val="single" w:color="000000" w:sz="4" w:space="0"/>
            </w:tcBorders>
            <w:noWrap w:val="0"/>
            <w:vAlign w:val="center"/>
          </w:tcPr>
          <w:p w14:paraId="57A1C8EF">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000000"/>
                <w:spacing w:val="1"/>
                <w:kern w:val="0"/>
                <w:sz w:val="21"/>
                <w:szCs w:val="21"/>
                <w:highlight w:val="none"/>
                <w:shd w:val="clear" w:color="auto" w:fill="auto"/>
              </w:rPr>
            </w:pPr>
            <w:r>
              <w:rPr>
                <w:rFonts w:hint="eastAsia" w:ascii="宋体" w:hAnsi="宋体" w:eastAsia="宋体" w:cs="宋体"/>
                <w:color w:val="000000"/>
                <w:sz w:val="21"/>
                <w:szCs w:val="21"/>
                <w:highlight w:val="none"/>
                <w:shd w:val="clear" w:color="auto" w:fill="auto"/>
              </w:rPr>
              <w:t>3</w:t>
            </w:r>
          </w:p>
        </w:tc>
        <w:tc>
          <w:tcPr>
            <w:tcW w:w="2471" w:type="dxa"/>
            <w:tcBorders>
              <w:top w:val="single" w:color="000000" w:sz="4" w:space="0"/>
              <w:left w:val="single" w:color="000000" w:sz="4" w:space="0"/>
              <w:bottom w:val="single" w:color="000000" w:sz="4" w:space="0"/>
              <w:right w:val="single" w:color="000000" w:sz="4" w:space="0"/>
            </w:tcBorders>
            <w:noWrap w:val="0"/>
            <w:vAlign w:val="center"/>
          </w:tcPr>
          <w:p w14:paraId="23A09D7D">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sz w:val="21"/>
                <w:szCs w:val="21"/>
                <w:highlight w:val="none"/>
                <w:shd w:val="clear" w:color="auto" w:fill="auto"/>
              </w:rPr>
              <w:t>质量保证金额度</w:t>
            </w:r>
          </w:p>
        </w:tc>
        <w:tc>
          <w:tcPr>
            <w:tcW w:w="2286" w:type="dxa"/>
            <w:tcBorders>
              <w:top w:val="single" w:color="000000" w:sz="4" w:space="0"/>
              <w:left w:val="single" w:color="000000" w:sz="4" w:space="0"/>
              <w:bottom w:val="single" w:color="000000" w:sz="4" w:space="0"/>
              <w:right w:val="single" w:color="000000" w:sz="4" w:space="0"/>
            </w:tcBorders>
            <w:noWrap w:val="0"/>
            <w:vAlign w:val="center"/>
          </w:tcPr>
          <w:p w14:paraId="7D6C7697">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000000"/>
                <w:spacing w:val="1"/>
                <w:kern w:val="0"/>
                <w:sz w:val="21"/>
                <w:szCs w:val="21"/>
                <w:highlight w:val="none"/>
                <w:shd w:val="clear" w:color="auto" w:fill="auto"/>
              </w:rPr>
            </w:pPr>
            <w:r>
              <w:rPr>
                <w:rFonts w:hint="eastAsia" w:ascii="宋体" w:hAnsi="宋体" w:eastAsia="宋体" w:cs="宋体"/>
                <w:color w:val="000000"/>
                <w:spacing w:val="1"/>
                <w:kern w:val="0"/>
                <w:sz w:val="21"/>
                <w:szCs w:val="21"/>
                <w:highlight w:val="none"/>
                <w:shd w:val="clear" w:color="auto" w:fill="auto"/>
              </w:rPr>
              <w:t>专用合同条款15.3</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5A22F3B1">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189C6D2B">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r>
      <w:tr w14:paraId="00D624B2">
        <w:tblPrEx>
          <w:tblCellMar>
            <w:top w:w="0" w:type="dxa"/>
            <w:left w:w="0" w:type="dxa"/>
            <w:bottom w:w="0" w:type="dxa"/>
            <w:right w:w="0" w:type="dxa"/>
          </w:tblCellMar>
        </w:tblPrEx>
        <w:trPr>
          <w:trHeight w:val="710" w:hRule="exact"/>
        </w:trPr>
        <w:tc>
          <w:tcPr>
            <w:tcW w:w="689" w:type="dxa"/>
            <w:tcBorders>
              <w:top w:val="single" w:color="000000" w:sz="4" w:space="0"/>
              <w:left w:val="single" w:color="000000" w:sz="4" w:space="0"/>
              <w:bottom w:val="single" w:color="000000" w:sz="4" w:space="0"/>
              <w:right w:val="single" w:color="000000" w:sz="4" w:space="0"/>
            </w:tcBorders>
            <w:noWrap w:val="0"/>
            <w:vAlign w:val="center"/>
          </w:tcPr>
          <w:p w14:paraId="2A015D1C">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000000"/>
                <w:spacing w:val="1"/>
                <w:kern w:val="0"/>
                <w:sz w:val="21"/>
                <w:szCs w:val="21"/>
                <w:highlight w:val="none"/>
                <w:shd w:val="clear" w:color="auto" w:fill="auto"/>
              </w:rPr>
            </w:pPr>
            <w:r>
              <w:rPr>
                <w:rFonts w:hint="eastAsia" w:ascii="宋体" w:hAnsi="宋体" w:eastAsia="宋体" w:cs="宋体"/>
                <w:color w:val="000000"/>
                <w:sz w:val="21"/>
                <w:szCs w:val="21"/>
                <w:highlight w:val="none"/>
                <w:shd w:val="clear" w:color="auto" w:fill="auto"/>
              </w:rPr>
              <w:t>4</w:t>
            </w:r>
          </w:p>
        </w:tc>
        <w:tc>
          <w:tcPr>
            <w:tcW w:w="2471" w:type="dxa"/>
            <w:tcBorders>
              <w:top w:val="single" w:color="000000" w:sz="4" w:space="0"/>
              <w:left w:val="single" w:color="000000" w:sz="4" w:space="0"/>
              <w:bottom w:val="single" w:color="000000" w:sz="4" w:space="0"/>
              <w:right w:val="single" w:color="000000" w:sz="4" w:space="0"/>
            </w:tcBorders>
            <w:noWrap w:val="0"/>
            <w:vAlign w:val="center"/>
          </w:tcPr>
          <w:p w14:paraId="2EFEA0E7">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sz w:val="21"/>
                <w:szCs w:val="21"/>
                <w:highlight w:val="none"/>
                <w:shd w:val="clear" w:color="auto" w:fill="auto"/>
              </w:rPr>
              <w:t>质量标准</w:t>
            </w:r>
          </w:p>
        </w:tc>
        <w:tc>
          <w:tcPr>
            <w:tcW w:w="2286" w:type="dxa"/>
            <w:tcBorders>
              <w:top w:val="single" w:color="000000" w:sz="4" w:space="0"/>
              <w:left w:val="single" w:color="000000" w:sz="4" w:space="0"/>
              <w:bottom w:val="single" w:color="000000" w:sz="4" w:space="0"/>
              <w:right w:val="single" w:color="000000" w:sz="4" w:space="0"/>
            </w:tcBorders>
            <w:noWrap w:val="0"/>
            <w:vAlign w:val="center"/>
          </w:tcPr>
          <w:p w14:paraId="42B55F08">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000000"/>
                <w:spacing w:val="1"/>
                <w:kern w:val="0"/>
                <w:sz w:val="21"/>
                <w:szCs w:val="21"/>
                <w:highlight w:val="none"/>
                <w:shd w:val="clear" w:color="auto" w:fill="auto"/>
              </w:rPr>
            </w:pPr>
            <w:r>
              <w:rPr>
                <w:rFonts w:hint="eastAsia" w:ascii="宋体" w:hAnsi="宋体" w:eastAsia="宋体" w:cs="宋体"/>
                <w:color w:val="000000"/>
                <w:spacing w:val="1"/>
                <w:kern w:val="0"/>
                <w:sz w:val="21"/>
                <w:szCs w:val="21"/>
                <w:highlight w:val="none"/>
                <w:shd w:val="clear" w:color="auto" w:fill="auto"/>
              </w:rPr>
              <w:t>第一部分 合同协议书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76EAD51E">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06D92FF6">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r>
      <w:tr w14:paraId="01B5B55E">
        <w:tblPrEx>
          <w:tblCellMar>
            <w:top w:w="0" w:type="dxa"/>
            <w:left w:w="0" w:type="dxa"/>
            <w:bottom w:w="0" w:type="dxa"/>
            <w:right w:w="0" w:type="dxa"/>
          </w:tblCellMar>
        </w:tblPrEx>
        <w:trPr>
          <w:trHeight w:val="710" w:hRule="exact"/>
        </w:trPr>
        <w:tc>
          <w:tcPr>
            <w:tcW w:w="689" w:type="dxa"/>
            <w:tcBorders>
              <w:top w:val="single" w:color="000000" w:sz="4" w:space="0"/>
              <w:left w:val="single" w:color="000000" w:sz="4" w:space="0"/>
              <w:bottom w:val="single" w:color="000000" w:sz="4" w:space="0"/>
              <w:right w:val="single" w:color="000000" w:sz="4" w:space="0"/>
            </w:tcBorders>
            <w:noWrap w:val="0"/>
            <w:vAlign w:val="center"/>
          </w:tcPr>
          <w:p w14:paraId="29CEECA1">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sz w:val="21"/>
                <w:szCs w:val="21"/>
                <w:highlight w:val="none"/>
                <w:shd w:val="clear" w:color="auto" w:fill="auto"/>
              </w:rPr>
              <w:t>……</w:t>
            </w:r>
          </w:p>
        </w:tc>
        <w:tc>
          <w:tcPr>
            <w:tcW w:w="2471" w:type="dxa"/>
            <w:tcBorders>
              <w:top w:val="single" w:color="000000" w:sz="4" w:space="0"/>
              <w:left w:val="single" w:color="000000" w:sz="4" w:space="0"/>
              <w:bottom w:val="single" w:color="000000" w:sz="4" w:space="0"/>
              <w:right w:val="single" w:color="000000" w:sz="4" w:space="0"/>
            </w:tcBorders>
            <w:noWrap w:val="0"/>
            <w:vAlign w:val="center"/>
          </w:tcPr>
          <w:p w14:paraId="48C2CFCB">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c>
          <w:tcPr>
            <w:tcW w:w="2286" w:type="dxa"/>
            <w:tcBorders>
              <w:top w:val="single" w:color="000000" w:sz="4" w:space="0"/>
              <w:left w:val="single" w:color="000000" w:sz="4" w:space="0"/>
              <w:bottom w:val="single" w:color="000000" w:sz="4" w:space="0"/>
              <w:right w:val="single" w:color="000000" w:sz="4" w:space="0"/>
            </w:tcBorders>
            <w:noWrap w:val="0"/>
            <w:vAlign w:val="center"/>
          </w:tcPr>
          <w:p w14:paraId="7962217A">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000000"/>
                <w:kern w:val="0"/>
                <w:sz w:val="21"/>
                <w:szCs w:val="21"/>
                <w:highlight w:val="none"/>
                <w:shd w:val="clear" w:color="auto" w:fill="auto"/>
              </w:rPr>
            </w:pP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6248302C">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000000"/>
                <w:kern w:val="0"/>
                <w:sz w:val="21"/>
                <w:szCs w:val="21"/>
                <w:highlight w:val="none"/>
                <w:shd w:val="clear" w:color="auto" w:fill="auto"/>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512AEF8A">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r>
      <w:tr w14:paraId="4D985350">
        <w:tblPrEx>
          <w:tblCellMar>
            <w:top w:w="0" w:type="dxa"/>
            <w:left w:w="0" w:type="dxa"/>
            <w:bottom w:w="0" w:type="dxa"/>
            <w:right w:w="0" w:type="dxa"/>
          </w:tblCellMar>
        </w:tblPrEx>
        <w:trPr>
          <w:trHeight w:val="1087" w:hRule="exact"/>
        </w:trPr>
        <w:tc>
          <w:tcPr>
            <w:tcW w:w="9065" w:type="dxa"/>
            <w:gridSpan w:val="5"/>
            <w:tcBorders>
              <w:top w:val="single" w:color="000000" w:sz="4" w:space="0"/>
              <w:left w:val="single" w:color="000000" w:sz="4" w:space="0"/>
              <w:bottom w:val="single" w:color="000000" w:sz="4" w:space="0"/>
              <w:right w:val="single" w:color="000000" w:sz="4" w:space="0"/>
            </w:tcBorders>
            <w:noWrap w:val="0"/>
            <w:vAlign w:val="center"/>
          </w:tcPr>
          <w:p w14:paraId="1186815D">
            <w:pPr>
              <w:pageBreakBefore w:val="0"/>
              <w:kinsoku/>
              <w:wordWrap/>
              <w:overflowPunct/>
              <w:topLinePunct w:val="0"/>
              <w:bidi w:val="0"/>
              <w:adjustRightInd/>
              <w:spacing w:line="360" w:lineRule="auto"/>
              <w:ind w:left="0" w:leftChars="0" w:right="0"/>
              <w:jc w:val="left"/>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备注：供应商在响应</w:t>
            </w:r>
            <w:r>
              <w:rPr>
                <w:rFonts w:hint="eastAsia" w:ascii="宋体" w:hAnsi="宋体" w:eastAsia="宋体" w:cs="宋体"/>
                <w:color w:val="000000"/>
                <w:sz w:val="21"/>
                <w:szCs w:val="21"/>
                <w:highlight w:val="none"/>
                <w:shd w:val="clear" w:color="auto" w:fill="auto"/>
                <w:lang w:val="en-US" w:eastAsia="zh-CN"/>
              </w:rPr>
              <w:t>采购</w:t>
            </w:r>
            <w:r>
              <w:rPr>
                <w:rFonts w:hint="eastAsia" w:ascii="宋体" w:hAnsi="宋体" w:eastAsia="宋体" w:cs="宋体"/>
                <w:color w:val="000000"/>
                <w:sz w:val="21"/>
                <w:szCs w:val="21"/>
                <w:highlight w:val="none"/>
                <w:shd w:val="clear" w:color="auto" w:fill="auto"/>
              </w:rPr>
              <w:t>文件中规定的实质性要求和条件的基础上，可做出其他有利于采购人的承诺。此类承诺可在本表中予以补充填写。</w:t>
            </w:r>
          </w:p>
        </w:tc>
      </w:tr>
    </w:tbl>
    <w:p w14:paraId="1E540CED">
      <w:pPr>
        <w:pageBreakBefore w:val="0"/>
        <w:kinsoku/>
        <w:wordWrap/>
        <w:overflowPunct/>
        <w:topLinePunct w:val="0"/>
        <w:bidi w:val="0"/>
        <w:adjustRightInd/>
        <w:spacing w:line="360" w:lineRule="auto"/>
        <w:ind w:left="0" w:leftChars="0" w:right="0"/>
        <w:textAlignment w:val="auto"/>
        <w:rPr>
          <w:rFonts w:hint="eastAsia" w:ascii="宋体" w:hAnsi="宋体" w:eastAsia="宋体" w:cs="宋体"/>
          <w:b/>
          <w:bCs/>
          <w:color w:val="000000"/>
          <w:w w:val="99"/>
          <w:kern w:val="0"/>
          <w:sz w:val="21"/>
          <w:szCs w:val="21"/>
          <w:highlight w:val="none"/>
          <w:shd w:val="clear" w:color="auto" w:fill="auto"/>
        </w:rPr>
      </w:pPr>
    </w:p>
    <w:p w14:paraId="4A1C0BF3">
      <w:pPr>
        <w:pageBreakBefore w:val="0"/>
        <w:kinsoku/>
        <w:wordWrap/>
        <w:overflowPunct/>
        <w:topLinePunct w:val="0"/>
        <w:bidi w:val="0"/>
        <w:adjustRightInd/>
        <w:spacing w:line="360" w:lineRule="auto"/>
        <w:ind w:left="0" w:leftChars="0" w:right="0"/>
        <w:textAlignment w:val="auto"/>
        <w:rPr>
          <w:rFonts w:hint="eastAsia" w:ascii="宋体" w:hAnsi="宋体" w:eastAsia="宋体" w:cs="宋体"/>
          <w:b/>
          <w:bCs/>
          <w:color w:val="000000"/>
          <w:w w:val="99"/>
          <w:kern w:val="0"/>
          <w:sz w:val="21"/>
          <w:szCs w:val="21"/>
          <w:highlight w:val="none"/>
          <w:shd w:val="clear" w:color="auto" w:fill="auto"/>
        </w:rPr>
      </w:pPr>
    </w:p>
    <w:p w14:paraId="6F3CCC24">
      <w:pPr>
        <w:pageBreakBefore w:val="0"/>
        <w:kinsoku/>
        <w:wordWrap/>
        <w:overflowPunct/>
        <w:topLinePunct w:val="0"/>
        <w:bidi w:val="0"/>
        <w:adjustRightInd/>
        <w:spacing w:line="360" w:lineRule="auto"/>
        <w:ind w:left="0" w:leftChars="0" w:right="0"/>
        <w:textAlignment w:val="auto"/>
        <w:outlineLvl w:val="1"/>
        <w:rPr>
          <w:rFonts w:hint="eastAsia" w:ascii="宋体" w:hAnsi="宋体" w:eastAsia="宋体" w:cs="宋体"/>
          <w:b/>
          <w:bCs/>
          <w:color w:val="000000"/>
          <w:w w:val="99"/>
          <w:kern w:val="0"/>
          <w:sz w:val="21"/>
          <w:szCs w:val="21"/>
          <w:highlight w:val="none"/>
          <w:shd w:val="clear" w:color="auto" w:fill="auto"/>
        </w:rPr>
      </w:pPr>
      <w:bookmarkStart w:id="1926" w:name="_Toc25433"/>
    </w:p>
    <w:p w14:paraId="31DF84A5">
      <w:pPr>
        <w:pageBreakBefore w:val="0"/>
        <w:kinsoku/>
        <w:wordWrap/>
        <w:overflowPunct/>
        <w:topLinePunct w:val="0"/>
        <w:bidi w:val="0"/>
        <w:adjustRightInd/>
        <w:spacing w:line="360" w:lineRule="auto"/>
        <w:ind w:left="0" w:leftChars="0" w:right="0"/>
        <w:textAlignment w:val="auto"/>
        <w:outlineLvl w:val="1"/>
        <w:rPr>
          <w:rFonts w:hint="eastAsia" w:ascii="宋体" w:hAnsi="宋体" w:eastAsia="宋体" w:cs="宋体"/>
          <w:b/>
          <w:bCs/>
          <w:color w:val="000000"/>
          <w:w w:val="99"/>
          <w:kern w:val="0"/>
          <w:sz w:val="21"/>
          <w:szCs w:val="21"/>
          <w:highlight w:val="none"/>
          <w:shd w:val="clear" w:color="auto" w:fill="auto"/>
        </w:rPr>
      </w:pPr>
      <w:r>
        <w:rPr>
          <w:rFonts w:hint="eastAsia" w:ascii="宋体" w:hAnsi="宋体" w:eastAsia="宋体" w:cs="宋体"/>
          <w:b/>
          <w:bCs/>
          <w:color w:val="000000"/>
          <w:w w:val="99"/>
          <w:kern w:val="0"/>
          <w:sz w:val="21"/>
          <w:szCs w:val="21"/>
          <w:highlight w:val="none"/>
          <w:shd w:val="clear" w:color="auto" w:fill="auto"/>
        </w:rPr>
        <w:t>2、</w:t>
      </w:r>
      <w:bookmarkEnd w:id="1926"/>
      <w:bookmarkStart w:id="1927" w:name="_Toc17974"/>
      <w:r>
        <w:rPr>
          <w:rFonts w:hint="eastAsia" w:ascii="宋体" w:hAnsi="宋体" w:eastAsia="宋体" w:cs="宋体"/>
          <w:b/>
          <w:bCs/>
          <w:color w:val="000000"/>
          <w:w w:val="99"/>
          <w:kern w:val="0"/>
          <w:sz w:val="21"/>
          <w:szCs w:val="21"/>
          <w:highlight w:val="none"/>
          <w:shd w:val="clear" w:color="auto" w:fill="auto"/>
        </w:rPr>
        <w:t>已标价工程量清单（必须提供）</w:t>
      </w:r>
      <w:bookmarkEnd w:id="1927"/>
    </w:p>
    <w:p w14:paraId="1EE522BC">
      <w:pPr>
        <w:pageBreakBefore w:val="0"/>
        <w:kinsoku/>
        <w:wordWrap/>
        <w:overflowPunct/>
        <w:topLinePunct w:val="0"/>
        <w:bidi w:val="0"/>
        <w:adjustRightInd/>
        <w:spacing w:line="360" w:lineRule="auto"/>
        <w:ind w:left="0" w:leftChars="0" w:right="0"/>
        <w:textAlignment w:val="auto"/>
        <w:rPr>
          <w:rFonts w:hint="eastAsia" w:ascii="宋体" w:hAnsi="宋体" w:eastAsia="宋体" w:cs="宋体"/>
          <w:b/>
          <w:bCs/>
          <w:color w:val="000000"/>
          <w:w w:val="99"/>
          <w:kern w:val="0"/>
          <w:sz w:val="21"/>
          <w:szCs w:val="21"/>
          <w:highlight w:val="none"/>
          <w:shd w:val="clear" w:color="auto" w:fill="auto"/>
        </w:rPr>
      </w:pPr>
    </w:p>
    <w:p w14:paraId="05813A5D">
      <w:pPr>
        <w:pageBreakBefore w:val="0"/>
        <w:kinsoku/>
        <w:wordWrap/>
        <w:overflowPunct/>
        <w:topLinePunct w:val="0"/>
        <w:bidi w:val="0"/>
        <w:adjustRightInd/>
        <w:spacing w:line="360" w:lineRule="auto"/>
        <w:ind w:left="0" w:leftChars="0" w:right="0" w:firstLine="420" w:firstLineChars="20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说明：已标价工程量清单按第五章“工程量清单”中的相关清单表格式填写。构成合同文件的</w:t>
      </w:r>
    </w:p>
    <w:p w14:paraId="43C246D9">
      <w:pPr>
        <w:pageBreakBefore w:val="0"/>
        <w:kinsoku/>
        <w:wordWrap/>
        <w:overflowPunct/>
        <w:topLinePunct w:val="0"/>
        <w:bidi w:val="0"/>
        <w:adjustRightInd/>
        <w:spacing w:line="360" w:lineRule="auto"/>
        <w:ind w:left="0" w:leftChars="0" w:right="0"/>
        <w:textAlignment w:val="auto"/>
        <w:rPr>
          <w:rFonts w:hint="eastAsia" w:ascii="宋体" w:hAnsi="宋体" w:eastAsia="宋体" w:cs="宋体"/>
          <w:b/>
          <w:bCs/>
          <w:color w:val="000000"/>
          <w:w w:val="99"/>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已标价工程量清单包括第五章“工程量清单”有关工程量清单、报价以及其他说明的内容。</w:t>
      </w:r>
    </w:p>
    <w:p w14:paraId="74860F3A">
      <w:pPr>
        <w:pageBreakBefore w:val="0"/>
        <w:kinsoku/>
        <w:wordWrap/>
        <w:overflowPunct/>
        <w:topLinePunct w:val="0"/>
        <w:bidi w:val="0"/>
        <w:adjustRightInd/>
        <w:spacing w:line="360" w:lineRule="auto"/>
        <w:ind w:left="0" w:leftChars="0" w:right="0"/>
        <w:textAlignment w:val="auto"/>
        <w:outlineLvl w:val="1"/>
        <w:rPr>
          <w:rFonts w:hint="eastAsia" w:ascii="宋体" w:hAnsi="宋体" w:eastAsia="宋体" w:cs="宋体"/>
          <w:b/>
          <w:bCs/>
          <w:color w:val="000000"/>
          <w:w w:val="99"/>
          <w:kern w:val="0"/>
          <w:sz w:val="21"/>
          <w:szCs w:val="21"/>
          <w:highlight w:val="none"/>
          <w:shd w:val="clear" w:color="auto" w:fill="auto"/>
        </w:rPr>
      </w:pPr>
      <w:bookmarkStart w:id="1928" w:name="_Toc13520"/>
    </w:p>
    <w:p w14:paraId="43A0A04D">
      <w:pPr>
        <w:pageBreakBefore w:val="0"/>
        <w:kinsoku/>
        <w:wordWrap/>
        <w:overflowPunct/>
        <w:topLinePunct w:val="0"/>
        <w:bidi w:val="0"/>
        <w:adjustRightInd/>
        <w:spacing w:line="360" w:lineRule="auto"/>
        <w:ind w:left="0" w:leftChars="0" w:right="0"/>
        <w:textAlignment w:val="auto"/>
        <w:outlineLvl w:val="1"/>
        <w:rPr>
          <w:rFonts w:hint="eastAsia" w:ascii="宋体" w:hAnsi="宋体" w:eastAsia="宋体" w:cs="宋体"/>
          <w:b/>
          <w:bCs/>
          <w:color w:val="000000"/>
          <w:w w:val="99"/>
          <w:kern w:val="0"/>
          <w:sz w:val="21"/>
          <w:szCs w:val="21"/>
          <w:highlight w:val="none"/>
          <w:shd w:val="clear" w:color="auto" w:fill="auto"/>
        </w:rPr>
      </w:pPr>
    </w:p>
    <w:p w14:paraId="12DB1E21">
      <w:pPr>
        <w:pStyle w:val="3"/>
        <w:pageBreakBefore w:val="0"/>
        <w:kinsoku/>
        <w:wordWrap/>
        <w:overflowPunct/>
        <w:topLinePunct w:val="0"/>
        <w:bidi w:val="0"/>
        <w:adjustRightInd/>
        <w:spacing w:line="360" w:lineRule="auto"/>
        <w:ind w:left="0" w:leftChars="0" w:right="0" w:firstLine="0"/>
        <w:textAlignment w:val="auto"/>
        <w:rPr>
          <w:rFonts w:hint="eastAsia" w:ascii="宋体" w:hAnsi="宋体" w:eastAsia="宋体" w:cs="宋体"/>
          <w:b/>
          <w:bCs w:val="0"/>
          <w:color w:val="000000"/>
          <w:w w:val="99"/>
          <w:kern w:val="0"/>
          <w:sz w:val="21"/>
          <w:szCs w:val="21"/>
          <w:highlight w:val="none"/>
          <w:shd w:val="clear" w:color="auto" w:fill="auto"/>
          <w:lang w:val="en-US"/>
        </w:rPr>
      </w:pPr>
      <w:r>
        <w:rPr>
          <w:rFonts w:hint="eastAsia" w:ascii="宋体" w:hAnsi="宋体" w:eastAsia="宋体" w:cs="宋体"/>
          <w:b/>
          <w:bCs/>
          <w:color w:val="000000"/>
          <w:w w:val="99"/>
          <w:kern w:val="0"/>
          <w:sz w:val="21"/>
          <w:szCs w:val="21"/>
          <w:highlight w:val="none"/>
          <w:shd w:val="clear" w:color="auto" w:fill="auto"/>
          <w:lang w:val="en-US" w:eastAsia="zh-CN"/>
        </w:rPr>
        <w:br w:type="page"/>
      </w:r>
      <w:r>
        <w:rPr>
          <w:rFonts w:hint="eastAsia" w:ascii="宋体" w:hAnsi="宋体" w:eastAsia="宋体" w:cs="宋体"/>
          <w:b/>
          <w:bCs w:val="0"/>
          <w:color w:val="000000"/>
          <w:w w:val="99"/>
          <w:kern w:val="0"/>
          <w:sz w:val="21"/>
          <w:szCs w:val="21"/>
          <w:highlight w:val="none"/>
          <w:shd w:val="clear" w:color="auto" w:fill="auto"/>
          <w:lang w:val="en-US" w:eastAsia="zh-CN"/>
        </w:rPr>
        <w:t>3</w:t>
      </w:r>
      <w:r>
        <w:rPr>
          <w:rFonts w:hint="eastAsia" w:ascii="宋体" w:hAnsi="宋体" w:eastAsia="宋体" w:cs="宋体"/>
          <w:b/>
          <w:bCs w:val="0"/>
          <w:color w:val="000000"/>
          <w:w w:val="99"/>
          <w:kern w:val="0"/>
          <w:sz w:val="21"/>
          <w:szCs w:val="21"/>
          <w:highlight w:val="none"/>
          <w:shd w:val="clear" w:color="auto" w:fill="auto"/>
          <w:lang w:val="en-US"/>
        </w:rPr>
        <w:t>、农民工工资保证金的交纳与使用承诺书（必须提供）</w:t>
      </w:r>
    </w:p>
    <w:p w14:paraId="5E0CB4DC">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w w:val="99"/>
          <w:kern w:val="0"/>
          <w:sz w:val="21"/>
          <w:szCs w:val="21"/>
          <w:highlight w:val="none"/>
          <w:shd w:val="clear" w:color="auto" w:fill="auto"/>
        </w:rPr>
      </w:pPr>
    </w:p>
    <w:p w14:paraId="7813E61A">
      <w:pPr>
        <w:pageBreakBefore w:val="0"/>
        <w:kinsoku/>
        <w:wordWrap/>
        <w:overflowPunct/>
        <w:topLinePunct w:val="0"/>
        <w:bidi w:val="0"/>
        <w:adjustRightInd/>
        <w:spacing w:line="360" w:lineRule="auto"/>
        <w:ind w:left="0" w:leftChars="0" w:right="0"/>
        <w:textAlignment w:val="auto"/>
        <w:rPr>
          <w:rFonts w:hint="eastAsia" w:ascii="宋体" w:hAnsi="宋体" w:eastAsia="宋体" w:cs="宋体"/>
          <w:b/>
          <w:color w:val="000000"/>
          <w:kern w:val="0"/>
          <w:sz w:val="21"/>
          <w:szCs w:val="21"/>
          <w:highlight w:val="none"/>
          <w:u w:val="single"/>
          <w:shd w:val="clear" w:color="auto" w:fill="auto"/>
        </w:rPr>
      </w:pPr>
      <w:r>
        <w:rPr>
          <w:rFonts w:hint="eastAsia" w:ascii="宋体" w:hAnsi="宋体" w:eastAsia="宋体" w:cs="宋体"/>
          <w:color w:val="000000"/>
          <w:kern w:val="0"/>
          <w:sz w:val="21"/>
          <w:szCs w:val="21"/>
          <w:highlight w:val="none"/>
          <w:shd w:val="clear" w:color="auto" w:fill="auto"/>
        </w:rPr>
        <w:t>致：</w:t>
      </w:r>
      <w:r>
        <w:rPr>
          <w:rFonts w:hint="eastAsia" w:ascii="宋体" w:hAnsi="宋体" w:eastAsia="宋体" w:cs="宋体"/>
          <w:color w:val="000000"/>
          <w:kern w:val="0"/>
          <w:sz w:val="21"/>
          <w:szCs w:val="21"/>
          <w:highlight w:val="none"/>
          <w:u w:val="single"/>
          <w:shd w:val="clear" w:color="auto" w:fill="auto"/>
        </w:rPr>
        <w:t>（采购人）</w:t>
      </w:r>
    </w:p>
    <w:p w14:paraId="4535B506">
      <w:pPr>
        <w:pageBreakBefore w:val="0"/>
        <w:kinsoku/>
        <w:wordWrap/>
        <w:overflowPunct/>
        <w:topLinePunct w:val="0"/>
        <w:bidi w:val="0"/>
        <w:adjustRightInd/>
        <w:spacing w:line="360" w:lineRule="auto"/>
        <w:ind w:left="0" w:leftChars="0" w:right="0" w:firstLine="420" w:firstLineChars="20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我方在此承诺：</w:t>
      </w:r>
    </w:p>
    <w:p w14:paraId="058FAEE4">
      <w:pPr>
        <w:pageBreakBefore w:val="0"/>
        <w:kinsoku/>
        <w:wordWrap/>
        <w:overflowPunct/>
        <w:topLinePunct w:val="0"/>
        <w:bidi w:val="0"/>
        <w:adjustRightInd/>
        <w:spacing w:line="360" w:lineRule="auto"/>
        <w:ind w:left="0" w:leftChars="0" w:right="0" w:firstLine="525" w:firstLineChars="25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1.我方在本项目</w:t>
      </w:r>
      <w:r>
        <w:rPr>
          <w:rFonts w:hint="eastAsia" w:ascii="宋体" w:hAnsi="宋体" w:eastAsia="宋体" w:cs="宋体"/>
          <w:color w:val="000000"/>
          <w:kern w:val="0"/>
          <w:sz w:val="21"/>
          <w:szCs w:val="21"/>
          <w:highlight w:val="none"/>
          <w:u w:val="single"/>
          <w:shd w:val="clear" w:color="auto" w:fill="auto"/>
        </w:rPr>
        <w:t xml:space="preserve">               </w:t>
      </w:r>
      <w:r>
        <w:rPr>
          <w:rFonts w:hint="eastAsia" w:ascii="宋体" w:hAnsi="宋体" w:eastAsia="宋体" w:cs="宋体"/>
          <w:color w:val="000000"/>
          <w:kern w:val="0"/>
          <w:sz w:val="21"/>
          <w:szCs w:val="21"/>
          <w:highlight w:val="none"/>
          <w:shd w:val="clear" w:color="auto" w:fill="auto"/>
        </w:rPr>
        <w:t>（项目名称及编号）响应文件递交截止之日前所承建工程中，无拖欠或克扣农民工工资的行为。</w:t>
      </w:r>
    </w:p>
    <w:p w14:paraId="16F3E88D">
      <w:pPr>
        <w:pageBreakBefore w:val="0"/>
        <w:kinsoku/>
        <w:wordWrap/>
        <w:overflowPunct/>
        <w:topLinePunct w:val="0"/>
        <w:bidi w:val="0"/>
        <w:adjustRightInd/>
        <w:spacing w:line="360" w:lineRule="auto"/>
        <w:ind w:left="0" w:leftChars="0" w:right="0" w:firstLine="495"/>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2. 我方参与磋商的</w:t>
      </w:r>
      <w:r>
        <w:rPr>
          <w:rFonts w:hint="eastAsia" w:ascii="宋体" w:hAnsi="宋体" w:eastAsia="宋体" w:cs="宋体"/>
          <w:color w:val="000000"/>
          <w:kern w:val="0"/>
          <w:sz w:val="21"/>
          <w:szCs w:val="21"/>
          <w:highlight w:val="none"/>
          <w:u w:val="single"/>
          <w:shd w:val="clear" w:color="auto" w:fill="auto"/>
        </w:rPr>
        <w:t xml:space="preserve">                    </w:t>
      </w:r>
      <w:r>
        <w:rPr>
          <w:rFonts w:hint="eastAsia" w:ascii="宋体" w:hAnsi="宋体" w:eastAsia="宋体" w:cs="宋体"/>
          <w:color w:val="000000"/>
          <w:kern w:val="0"/>
          <w:sz w:val="21"/>
          <w:szCs w:val="21"/>
          <w:highlight w:val="none"/>
          <w:shd w:val="clear" w:color="auto" w:fill="auto"/>
        </w:rPr>
        <w:t>项目，一旦成交，我方保证在签订施工合同后，及时并足额将农民工工资保证金足额存入指定的账户，作为本项目农民工工资保证金。</w:t>
      </w:r>
    </w:p>
    <w:p w14:paraId="43E8CFED">
      <w:pPr>
        <w:pageBreakBefore w:val="0"/>
        <w:kinsoku/>
        <w:wordWrap/>
        <w:overflowPunct/>
        <w:topLinePunct w:val="0"/>
        <w:bidi w:val="0"/>
        <w:adjustRightInd/>
        <w:spacing w:line="360" w:lineRule="auto"/>
        <w:ind w:left="0" w:leftChars="0" w:right="0" w:firstLine="495"/>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3. 如我方在承包的</w:t>
      </w:r>
      <w:r>
        <w:rPr>
          <w:rFonts w:hint="eastAsia" w:ascii="宋体" w:hAnsi="宋体" w:eastAsia="宋体" w:cs="宋体"/>
          <w:color w:val="000000"/>
          <w:kern w:val="0"/>
          <w:sz w:val="21"/>
          <w:szCs w:val="21"/>
          <w:highlight w:val="none"/>
          <w:u w:val="single"/>
          <w:shd w:val="clear" w:color="auto" w:fill="auto"/>
        </w:rPr>
        <w:t xml:space="preserve">                    </w:t>
      </w:r>
      <w:r>
        <w:rPr>
          <w:rFonts w:hint="eastAsia" w:ascii="宋体" w:hAnsi="宋体" w:eastAsia="宋体" w:cs="宋体"/>
          <w:color w:val="000000"/>
          <w:kern w:val="0"/>
          <w:sz w:val="21"/>
          <w:szCs w:val="21"/>
          <w:highlight w:val="none"/>
          <w:shd w:val="clear" w:color="auto" w:fill="auto"/>
        </w:rPr>
        <w:t>项目中出现拖欠农民工和工人工资情况的，由相关部门从其农民工工资保证金中先予划支。</w:t>
      </w:r>
    </w:p>
    <w:p w14:paraId="1D7D1B18">
      <w:pPr>
        <w:pageBreakBefore w:val="0"/>
        <w:kinsoku/>
        <w:wordWrap/>
        <w:overflowPunct/>
        <w:topLinePunct w:val="0"/>
        <w:bidi w:val="0"/>
        <w:adjustRightInd/>
        <w:spacing w:line="360" w:lineRule="auto"/>
        <w:ind w:left="0" w:leftChars="0" w:right="0" w:firstLine="495"/>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4. 如我方不按时、足额存入农民工工资保证金，采购人有权取消我方承包资格。</w:t>
      </w:r>
    </w:p>
    <w:p w14:paraId="5A11D115">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b/>
          <w:bCs/>
          <w:color w:val="000000"/>
          <w:sz w:val="21"/>
          <w:szCs w:val="21"/>
          <w:highlight w:val="none"/>
          <w:shd w:val="clear" w:color="auto" w:fill="auto"/>
        </w:rPr>
      </w:pPr>
    </w:p>
    <w:p w14:paraId="0A68AC1F">
      <w:pPr>
        <w:pageBreakBefore w:val="0"/>
        <w:kinsoku/>
        <w:wordWrap/>
        <w:overflowPunct/>
        <w:topLinePunct w:val="0"/>
        <w:autoSpaceDE w:val="0"/>
        <w:autoSpaceDN w:val="0"/>
        <w:bidi w:val="0"/>
        <w:adjustRightInd/>
        <w:spacing w:line="360" w:lineRule="auto"/>
        <w:ind w:left="0" w:leftChars="0" w:right="0"/>
        <w:jc w:val="center"/>
        <w:textAlignment w:val="auto"/>
        <w:rPr>
          <w:rFonts w:hint="eastAsia" w:ascii="宋体" w:hAnsi="宋体" w:eastAsia="宋体" w:cs="宋体"/>
          <w:color w:val="000000"/>
          <w:kern w:val="0"/>
          <w:sz w:val="21"/>
          <w:szCs w:val="21"/>
          <w:highlight w:val="none"/>
          <w:u w:val="single"/>
          <w:shd w:val="clear" w:color="auto" w:fill="auto"/>
        </w:rPr>
      </w:pPr>
      <w:r>
        <w:rPr>
          <w:rFonts w:hint="eastAsia" w:ascii="宋体" w:hAnsi="宋体" w:eastAsia="宋体" w:cs="宋体"/>
          <w:color w:val="000000"/>
          <w:kern w:val="0"/>
          <w:sz w:val="21"/>
          <w:szCs w:val="21"/>
          <w:highlight w:val="none"/>
          <w:shd w:val="clear" w:color="auto" w:fill="auto"/>
        </w:rPr>
        <w:t xml:space="preserve"> 供应商名称</w:t>
      </w:r>
      <w:r>
        <w:rPr>
          <w:rFonts w:hint="eastAsia" w:ascii="宋体" w:hAnsi="宋体" w:eastAsia="宋体" w:cs="宋体"/>
          <w:color w:val="000000"/>
          <w:kern w:val="0"/>
          <w:sz w:val="21"/>
          <w:szCs w:val="21"/>
          <w:highlight w:val="none"/>
          <w:shd w:val="clear" w:color="auto" w:fill="auto"/>
        </w:rPr>
        <w:tab/>
      </w:r>
      <w:r>
        <w:rPr>
          <w:rFonts w:hint="eastAsia" w:ascii="宋体" w:hAnsi="宋体" w:eastAsia="宋体" w:cs="宋体"/>
          <w:color w:val="000000"/>
          <w:kern w:val="0"/>
          <w:sz w:val="21"/>
          <w:szCs w:val="21"/>
          <w:highlight w:val="none"/>
          <w:shd w:val="clear" w:color="auto" w:fill="auto"/>
        </w:rPr>
        <w:t>[盖单位公章（CA签章）]  ：</w:t>
      </w:r>
      <w:r>
        <w:rPr>
          <w:rFonts w:hint="eastAsia" w:ascii="宋体" w:hAnsi="宋体" w:eastAsia="宋体" w:cs="宋体"/>
          <w:color w:val="000000"/>
          <w:kern w:val="0"/>
          <w:sz w:val="21"/>
          <w:szCs w:val="21"/>
          <w:highlight w:val="none"/>
          <w:u w:val="single"/>
          <w:shd w:val="clear" w:color="auto" w:fill="auto"/>
        </w:rPr>
        <w:t xml:space="preserve">                </w:t>
      </w:r>
    </w:p>
    <w:p w14:paraId="5A165A17">
      <w:pPr>
        <w:pageBreakBefore w:val="0"/>
        <w:kinsoku/>
        <w:wordWrap/>
        <w:overflowPunct/>
        <w:topLinePunct w:val="0"/>
        <w:autoSpaceDE w:val="0"/>
        <w:autoSpaceDN w:val="0"/>
        <w:bidi w:val="0"/>
        <w:adjustRightInd/>
        <w:spacing w:line="360" w:lineRule="auto"/>
        <w:ind w:left="0" w:leftChars="0" w:right="0"/>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 xml:space="preserve">                   法定代表人或其委托代理人[签字或盖章（CA签章）]：</w:t>
      </w:r>
      <w:r>
        <w:rPr>
          <w:rFonts w:hint="eastAsia" w:ascii="宋体" w:hAnsi="宋体" w:eastAsia="宋体" w:cs="宋体"/>
          <w:color w:val="000000"/>
          <w:sz w:val="21"/>
          <w:szCs w:val="21"/>
          <w:highlight w:val="none"/>
          <w:u w:val="single"/>
          <w:shd w:val="clear" w:color="auto" w:fill="auto"/>
        </w:rPr>
        <w:t xml:space="preserve">                         </w:t>
      </w:r>
    </w:p>
    <w:p w14:paraId="49713F2D">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日          期：</w:t>
      </w:r>
      <w:r>
        <w:rPr>
          <w:rFonts w:hint="eastAsia" w:ascii="宋体" w:hAnsi="宋体" w:eastAsia="宋体" w:cs="宋体"/>
          <w:color w:val="000000"/>
          <w:sz w:val="21"/>
          <w:szCs w:val="21"/>
          <w:highlight w:val="none"/>
          <w:u w:val="single"/>
          <w:shd w:val="clear" w:color="auto" w:fill="auto"/>
        </w:rPr>
        <w:t xml:space="preserve">                         </w:t>
      </w:r>
    </w:p>
    <w:p w14:paraId="1867A1DE">
      <w:pPr>
        <w:pageBreakBefore w:val="0"/>
        <w:kinsoku/>
        <w:wordWrap/>
        <w:overflowPunct/>
        <w:topLinePunct w:val="0"/>
        <w:bidi w:val="0"/>
        <w:adjustRightInd/>
        <w:spacing w:line="360" w:lineRule="auto"/>
        <w:ind w:left="0" w:leftChars="0" w:right="0"/>
        <w:textAlignment w:val="auto"/>
        <w:rPr>
          <w:rFonts w:hint="eastAsia" w:ascii="宋体" w:hAnsi="宋体" w:eastAsia="宋体" w:cs="宋体"/>
          <w:b/>
          <w:bCs/>
          <w:color w:val="000000"/>
          <w:w w:val="99"/>
          <w:kern w:val="0"/>
          <w:sz w:val="21"/>
          <w:szCs w:val="21"/>
          <w:highlight w:val="none"/>
          <w:shd w:val="clear" w:color="auto" w:fill="auto"/>
        </w:rPr>
      </w:pPr>
    </w:p>
    <w:p w14:paraId="5C00069C">
      <w:pPr>
        <w:pageBreakBefore w:val="0"/>
        <w:kinsoku/>
        <w:wordWrap/>
        <w:overflowPunct/>
        <w:topLinePunct w:val="0"/>
        <w:bidi w:val="0"/>
        <w:adjustRightInd/>
        <w:spacing w:line="360" w:lineRule="auto"/>
        <w:ind w:left="0" w:leftChars="0" w:right="0"/>
        <w:textAlignment w:val="auto"/>
        <w:outlineLvl w:val="1"/>
        <w:rPr>
          <w:rFonts w:hint="eastAsia" w:ascii="宋体" w:hAnsi="宋体" w:eastAsia="宋体" w:cs="宋体"/>
          <w:b/>
          <w:bCs/>
          <w:color w:val="000000"/>
          <w:w w:val="99"/>
          <w:kern w:val="0"/>
          <w:sz w:val="21"/>
          <w:szCs w:val="21"/>
          <w:highlight w:val="none"/>
          <w:shd w:val="clear" w:color="auto" w:fill="auto"/>
        </w:rPr>
      </w:pPr>
      <w:bookmarkStart w:id="1929" w:name="_Toc26022"/>
      <w:r>
        <w:rPr>
          <w:rFonts w:hint="eastAsia" w:ascii="宋体" w:hAnsi="宋体" w:eastAsia="宋体" w:cs="宋体"/>
          <w:b/>
          <w:bCs/>
          <w:color w:val="000000"/>
          <w:w w:val="99"/>
          <w:kern w:val="0"/>
          <w:sz w:val="21"/>
          <w:szCs w:val="21"/>
          <w:highlight w:val="none"/>
          <w:shd w:val="clear" w:color="auto" w:fill="auto"/>
          <w:lang w:val="en-US" w:eastAsia="zh-CN"/>
        </w:rPr>
        <w:t>4</w:t>
      </w:r>
      <w:r>
        <w:rPr>
          <w:rFonts w:hint="eastAsia" w:ascii="宋体" w:hAnsi="宋体" w:eastAsia="宋体" w:cs="宋体"/>
          <w:b/>
          <w:bCs/>
          <w:color w:val="000000"/>
          <w:w w:val="99"/>
          <w:kern w:val="0"/>
          <w:sz w:val="21"/>
          <w:szCs w:val="21"/>
          <w:highlight w:val="none"/>
          <w:shd w:val="clear" w:color="auto" w:fill="auto"/>
        </w:rPr>
        <w:t>、工程渣土清运承诺书 （</w:t>
      </w:r>
      <w:r>
        <w:rPr>
          <w:rFonts w:hint="eastAsia" w:ascii="宋体" w:hAnsi="宋体" w:eastAsia="宋体" w:cs="宋体"/>
          <w:b/>
          <w:color w:val="000000"/>
          <w:sz w:val="21"/>
          <w:szCs w:val="21"/>
          <w:highlight w:val="none"/>
          <w:shd w:val="clear" w:color="auto" w:fill="auto"/>
        </w:rPr>
        <w:t>必须提供）。</w:t>
      </w:r>
      <w:bookmarkEnd w:id="1929"/>
    </w:p>
    <w:p w14:paraId="55D2CB86">
      <w:pPr>
        <w:pageBreakBefore w:val="0"/>
        <w:widowControl/>
        <w:kinsoku/>
        <w:wordWrap/>
        <w:overflowPunct/>
        <w:topLinePunct w:val="0"/>
        <w:bidi w:val="0"/>
        <w:adjustRightInd/>
        <w:spacing w:line="360" w:lineRule="auto"/>
        <w:ind w:left="0" w:leftChars="0" w:right="0"/>
        <w:jc w:val="center"/>
        <w:textAlignment w:val="auto"/>
        <w:rPr>
          <w:rFonts w:hint="eastAsia" w:ascii="宋体" w:hAnsi="宋体" w:eastAsia="宋体" w:cs="宋体"/>
          <w:color w:val="000000"/>
          <w:kern w:val="0"/>
          <w:sz w:val="21"/>
          <w:szCs w:val="21"/>
          <w:highlight w:val="none"/>
          <w:shd w:val="clear" w:color="auto" w:fill="auto"/>
        </w:rPr>
      </w:pPr>
    </w:p>
    <w:p w14:paraId="58503E9B">
      <w:pPr>
        <w:pageBreakBefore w:val="0"/>
        <w:widowControl/>
        <w:kinsoku/>
        <w:wordWrap/>
        <w:overflowPunct/>
        <w:topLinePunct w:val="0"/>
        <w:bidi w:val="0"/>
        <w:adjustRightInd/>
        <w:spacing w:line="360" w:lineRule="auto"/>
        <w:ind w:left="0" w:leftChars="0" w:right="0"/>
        <w:jc w:val="center"/>
        <w:textAlignment w:val="auto"/>
        <w:rPr>
          <w:rFonts w:hint="eastAsia" w:ascii="宋体" w:hAnsi="宋体" w:eastAsia="宋体" w:cs="宋体"/>
          <w:color w:val="000000"/>
          <w:kern w:val="0"/>
          <w:sz w:val="21"/>
          <w:szCs w:val="21"/>
          <w:highlight w:val="none"/>
          <w:shd w:val="clear" w:color="auto" w:fill="auto"/>
        </w:rPr>
      </w:pPr>
    </w:p>
    <w:p w14:paraId="7FEAE67D">
      <w:pPr>
        <w:pageBreakBefore w:val="0"/>
        <w:widowControl/>
        <w:kinsoku/>
        <w:wordWrap/>
        <w:overflowPunct/>
        <w:topLinePunct w:val="0"/>
        <w:bidi w:val="0"/>
        <w:adjustRightInd/>
        <w:spacing w:line="360" w:lineRule="auto"/>
        <w:ind w:left="0" w:leftChars="0" w:right="0"/>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按照桂林市建设工程招标站市建招字[2011]02 号的规定承诺；</w:t>
      </w:r>
    </w:p>
    <w:p w14:paraId="361BA3BA">
      <w:pPr>
        <w:pageBreakBefore w:val="0"/>
        <w:kinsoku/>
        <w:wordWrap/>
        <w:overflowPunct/>
        <w:topLinePunct w:val="0"/>
        <w:bidi w:val="0"/>
        <w:adjustRightInd/>
        <w:spacing w:line="360" w:lineRule="auto"/>
        <w:ind w:left="0" w:leftChars="0" w:right="0"/>
        <w:textAlignment w:val="auto"/>
        <w:rPr>
          <w:rFonts w:hint="eastAsia" w:ascii="宋体" w:hAnsi="宋体" w:eastAsia="宋体" w:cs="宋体"/>
          <w:b/>
          <w:bCs/>
          <w:color w:val="000000"/>
          <w:w w:val="99"/>
          <w:kern w:val="0"/>
          <w:sz w:val="21"/>
          <w:szCs w:val="21"/>
          <w:highlight w:val="none"/>
          <w:shd w:val="clear" w:color="auto" w:fill="auto"/>
        </w:rPr>
      </w:pPr>
    </w:p>
    <w:p w14:paraId="11CB6CEA">
      <w:pPr>
        <w:pageBreakBefore w:val="0"/>
        <w:kinsoku/>
        <w:wordWrap/>
        <w:overflowPunct/>
        <w:topLinePunct w:val="0"/>
        <w:autoSpaceDE w:val="0"/>
        <w:autoSpaceDN w:val="0"/>
        <w:bidi w:val="0"/>
        <w:adjustRightInd/>
        <w:spacing w:line="360" w:lineRule="auto"/>
        <w:ind w:left="0" w:leftChars="0" w:right="0"/>
        <w:jc w:val="center"/>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 xml:space="preserve"> 供应商名称</w:t>
      </w:r>
      <w:r>
        <w:rPr>
          <w:rFonts w:hint="eastAsia" w:ascii="宋体" w:hAnsi="宋体" w:eastAsia="宋体" w:cs="宋体"/>
          <w:color w:val="000000"/>
          <w:kern w:val="0"/>
          <w:sz w:val="21"/>
          <w:szCs w:val="21"/>
          <w:highlight w:val="none"/>
          <w:shd w:val="clear" w:color="auto" w:fill="auto"/>
        </w:rPr>
        <w:tab/>
      </w:r>
      <w:r>
        <w:rPr>
          <w:rFonts w:hint="eastAsia" w:ascii="宋体" w:hAnsi="宋体" w:eastAsia="宋体" w:cs="宋体"/>
          <w:color w:val="000000"/>
          <w:kern w:val="0"/>
          <w:sz w:val="21"/>
          <w:szCs w:val="21"/>
          <w:highlight w:val="none"/>
          <w:shd w:val="clear" w:color="auto" w:fill="auto"/>
        </w:rPr>
        <w:t xml:space="preserve">[盖单位公章（CA签章）]  ：                </w:t>
      </w:r>
    </w:p>
    <w:p w14:paraId="156AC3BC">
      <w:pPr>
        <w:pageBreakBefore w:val="0"/>
        <w:kinsoku/>
        <w:wordWrap/>
        <w:overflowPunct/>
        <w:topLinePunct w:val="0"/>
        <w:autoSpaceDE w:val="0"/>
        <w:autoSpaceDN w:val="0"/>
        <w:bidi w:val="0"/>
        <w:adjustRightInd/>
        <w:spacing w:line="360" w:lineRule="auto"/>
        <w:ind w:left="0" w:leftChars="0" w:right="0"/>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 xml:space="preserve">                   法定代表人或其委托代理人[签字或盖章（CA签章）]：</w:t>
      </w:r>
      <w:r>
        <w:rPr>
          <w:rFonts w:hint="eastAsia" w:ascii="宋体" w:hAnsi="宋体" w:eastAsia="宋体" w:cs="宋体"/>
          <w:color w:val="000000"/>
          <w:sz w:val="21"/>
          <w:szCs w:val="21"/>
          <w:highlight w:val="none"/>
          <w:u w:val="single"/>
          <w:shd w:val="clear" w:color="auto" w:fill="auto"/>
        </w:rPr>
        <w:t xml:space="preserve">                         </w:t>
      </w:r>
    </w:p>
    <w:p w14:paraId="4E207C0E">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日          期：</w:t>
      </w:r>
      <w:r>
        <w:rPr>
          <w:rFonts w:hint="eastAsia" w:ascii="宋体" w:hAnsi="宋体" w:eastAsia="宋体" w:cs="宋体"/>
          <w:color w:val="000000"/>
          <w:sz w:val="21"/>
          <w:szCs w:val="21"/>
          <w:highlight w:val="none"/>
          <w:u w:val="single"/>
          <w:shd w:val="clear" w:color="auto" w:fill="auto"/>
        </w:rPr>
        <w:t xml:space="preserve">                         </w:t>
      </w:r>
    </w:p>
    <w:p w14:paraId="490EF909">
      <w:pPr>
        <w:pageBreakBefore w:val="0"/>
        <w:kinsoku/>
        <w:wordWrap/>
        <w:overflowPunct/>
        <w:topLinePunct w:val="0"/>
        <w:bidi w:val="0"/>
        <w:adjustRightInd/>
        <w:spacing w:line="360" w:lineRule="auto"/>
        <w:ind w:left="0" w:leftChars="0" w:right="0"/>
        <w:textAlignment w:val="auto"/>
        <w:outlineLvl w:val="1"/>
        <w:rPr>
          <w:rFonts w:hint="eastAsia" w:ascii="宋体" w:hAnsi="宋体" w:eastAsia="宋体" w:cs="宋体"/>
          <w:color w:val="000000"/>
          <w:w w:val="99"/>
          <w:kern w:val="0"/>
          <w:sz w:val="21"/>
          <w:szCs w:val="21"/>
          <w:highlight w:val="none"/>
          <w:shd w:val="clear" w:color="auto" w:fill="auto"/>
        </w:rPr>
      </w:pPr>
      <w:r>
        <w:rPr>
          <w:rFonts w:hint="eastAsia" w:ascii="宋体" w:hAnsi="宋体" w:eastAsia="宋体" w:cs="宋体"/>
          <w:b/>
          <w:bCs/>
          <w:color w:val="000000"/>
          <w:w w:val="99"/>
          <w:kern w:val="0"/>
          <w:sz w:val="21"/>
          <w:szCs w:val="21"/>
          <w:highlight w:val="none"/>
          <w:shd w:val="clear" w:color="auto" w:fill="auto"/>
          <w:lang w:val="en-US" w:eastAsia="zh-CN"/>
        </w:rPr>
        <w:br w:type="page"/>
      </w:r>
      <w:r>
        <w:rPr>
          <w:rFonts w:hint="eastAsia" w:ascii="宋体" w:hAnsi="宋体" w:eastAsia="宋体" w:cs="宋体"/>
          <w:b/>
          <w:bCs/>
          <w:color w:val="000000"/>
          <w:w w:val="99"/>
          <w:kern w:val="0"/>
          <w:sz w:val="21"/>
          <w:szCs w:val="21"/>
          <w:highlight w:val="none"/>
          <w:shd w:val="clear" w:color="auto" w:fill="auto"/>
          <w:lang w:val="en-US" w:eastAsia="zh-CN"/>
        </w:rPr>
        <w:t>5</w:t>
      </w:r>
      <w:r>
        <w:rPr>
          <w:rFonts w:hint="eastAsia" w:ascii="宋体" w:hAnsi="宋体" w:eastAsia="宋体" w:cs="宋体"/>
          <w:b/>
          <w:bCs/>
          <w:color w:val="000000"/>
          <w:w w:val="99"/>
          <w:kern w:val="0"/>
          <w:sz w:val="21"/>
          <w:szCs w:val="21"/>
          <w:highlight w:val="none"/>
          <w:shd w:val="clear" w:color="auto" w:fill="auto"/>
        </w:rPr>
        <w:t>、施工组织设计（如有，请提供）</w:t>
      </w:r>
      <w:bookmarkEnd w:id="1928"/>
      <w:bookmarkStart w:id="1930" w:name="_Toc389146014"/>
      <w:bookmarkStart w:id="1931" w:name="_Toc267582080"/>
      <w:bookmarkStart w:id="1932" w:name="_Toc455670863"/>
      <w:bookmarkStart w:id="1933" w:name="_Toc207443043"/>
      <w:bookmarkStart w:id="1934" w:name="_Toc369505647"/>
    </w:p>
    <w:bookmarkEnd w:id="1930"/>
    <w:bookmarkEnd w:id="1931"/>
    <w:bookmarkEnd w:id="1932"/>
    <w:bookmarkEnd w:id="1933"/>
    <w:bookmarkEnd w:id="1934"/>
    <w:p w14:paraId="2E918CDF">
      <w:pPr>
        <w:pStyle w:val="83"/>
        <w:pageBreakBefore w:val="0"/>
        <w:kinsoku/>
        <w:wordWrap/>
        <w:overflowPunct/>
        <w:topLinePunct w:val="0"/>
        <w:bidi w:val="0"/>
        <w:adjustRightInd/>
        <w:snapToGrid w:val="0"/>
        <w:spacing w:line="360" w:lineRule="auto"/>
        <w:ind w:left="0" w:leftChars="0" w:right="0" w:firstLine="424"/>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1.供应商编制施工组织设计的要求：</w:t>
      </w:r>
    </w:p>
    <w:p w14:paraId="754E2DA6">
      <w:pPr>
        <w:pStyle w:val="83"/>
        <w:pageBreakBefore w:val="0"/>
        <w:kinsoku/>
        <w:wordWrap/>
        <w:overflowPunct/>
        <w:topLinePunct w:val="0"/>
        <w:bidi w:val="0"/>
        <w:adjustRightInd/>
        <w:snapToGrid w:val="0"/>
        <w:spacing w:line="360" w:lineRule="auto"/>
        <w:ind w:left="0" w:leftChars="0" w:right="0" w:firstLine="424"/>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编制时应按以下章顺序采用文字并结合图表形式进行说明：</w:t>
      </w:r>
    </w:p>
    <w:p w14:paraId="3A02B5BC">
      <w:pPr>
        <w:pStyle w:val="83"/>
        <w:pageBreakBefore w:val="0"/>
        <w:numPr>
          <w:ilvl w:val="0"/>
          <w:numId w:val="6"/>
        </w:numPr>
        <w:kinsoku/>
        <w:wordWrap/>
        <w:overflowPunct/>
        <w:topLinePunct w:val="0"/>
        <w:bidi w:val="0"/>
        <w:adjustRightInd/>
        <w:snapToGrid w:val="0"/>
        <w:spacing w:line="360" w:lineRule="auto"/>
        <w:ind w:left="0" w:leftChars="0" w:right="0" w:firstLine="424"/>
        <w:textAlignment w:val="auto"/>
        <w:rPr>
          <w:rFonts w:hint="eastAsia" w:ascii="宋体" w:hAnsi="宋体" w:eastAsia="宋体" w:cs="宋体"/>
          <w:color w:val="000000"/>
          <w:sz w:val="21"/>
          <w:szCs w:val="21"/>
          <w:highlight w:val="none"/>
          <w:shd w:val="clear" w:color="auto" w:fill="auto"/>
        </w:rPr>
      </w:pPr>
      <w:bookmarkStart w:id="1935" w:name="_Toc3638_WPSOffice_Level1"/>
      <w:bookmarkStart w:id="1936" w:name="_Toc20288_WPSOffice_Level1"/>
      <w:r>
        <w:rPr>
          <w:rFonts w:hint="eastAsia" w:ascii="宋体" w:hAnsi="宋体" w:eastAsia="宋体" w:cs="宋体"/>
          <w:color w:val="000000"/>
          <w:sz w:val="21"/>
          <w:szCs w:val="21"/>
          <w:highlight w:val="none"/>
          <w:shd w:val="clear" w:color="auto" w:fill="auto"/>
        </w:rPr>
        <w:t>总体概述；</w:t>
      </w:r>
      <w:bookmarkEnd w:id="1935"/>
      <w:bookmarkEnd w:id="1936"/>
    </w:p>
    <w:p w14:paraId="516BF0A5">
      <w:pPr>
        <w:pStyle w:val="83"/>
        <w:pageBreakBefore w:val="0"/>
        <w:numPr>
          <w:ilvl w:val="0"/>
          <w:numId w:val="6"/>
        </w:numPr>
        <w:kinsoku/>
        <w:wordWrap/>
        <w:overflowPunct/>
        <w:topLinePunct w:val="0"/>
        <w:bidi w:val="0"/>
        <w:adjustRightInd/>
        <w:snapToGrid w:val="0"/>
        <w:spacing w:line="360" w:lineRule="auto"/>
        <w:ind w:left="0" w:leftChars="0" w:right="0" w:firstLine="424"/>
        <w:textAlignment w:val="auto"/>
        <w:rPr>
          <w:rFonts w:hint="eastAsia" w:ascii="宋体" w:hAnsi="宋体" w:eastAsia="宋体" w:cs="宋体"/>
          <w:color w:val="000000"/>
          <w:sz w:val="21"/>
          <w:szCs w:val="21"/>
          <w:highlight w:val="none"/>
          <w:shd w:val="clear" w:color="auto" w:fill="auto"/>
        </w:rPr>
      </w:pPr>
      <w:bookmarkStart w:id="1937" w:name="_Toc21835_WPSOffice_Level1"/>
      <w:bookmarkStart w:id="1938" w:name="_Toc22988_WPSOffice_Level1"/>
      <w:r>
        <w:rPr>
          <w:rFonts w:hint="eastAsia" w:ascii="宋体" w:hAnsi="宋体" w:eastAsia="宋体" w:cs="宋体"/>
          <w:color w:val="000000"/>
          <w:sz w:val="21"/>
          <w:szCs w:val="21"/>
          <w:highlight w:val="none"/>
          <w:shd w:val="clear" w:color="auto" w:fill="auto"/>
        </w:rPr>
        <w:t>主要施工方法；</w:t>
      </w:r>
      <w:bookmarkEnd w:id="1937"/>
      <w:bookmarkEnd w:id="1938"/>
    </w:p>
    <w:p w14:paraId="52DF0EC8">
      <w:pPr>
        <w:pStyle w:val="83"/>
        <w:pageBreakBefore w:val="0"/>
        <w:numPr>
          <w:ilvl w:val="0"/>
          <w:numId w:val="6"/>
        </w:numPr>
        <w:kinsoku/>
        <w:wordWrap/>
        <w:overflowPunct/>
        <w:topLinePunct w:val="0"/>
        <w:bidi w:val="0"/>
        <w:adjustRightInd/>
        <w:snapToGrid w:val="0"/>
        <w:spacing w:line="360" w:lineRule="auto"/>
        <w:ind w:left="0" w:leftChars="0" w:right="0" w:firstLine="424"/>
        <w:textAlignment w:val="auto"/>
        <w:rPr>
          <w:rFonts w:hint="eastAsia" w:ascii="宋体" w:hAnsi="宋体" w:eastAsia="宋体" w:cs="宋体"/>
          <w:color w:val="000000"/>
          <w:sz w:val="21"/>
          <w:szCs w:val="21"/>
          <w:highlight w:val="none"/>
          <w:shd w:val="clear" w:color="auto" w:fill="auto"/>
        </w:rPr>
      </w:pPr>
      <w:bookmarkStart w:id="1939" w:name="_Toc1533_WPSOffice_Level1"/>
      <w:bookmarkStart w:id="1940" w:name="_Toc29323_WPSOffice_Level1"/>
      <w:r>
        <w:rPr>
          <w:rFonts w:hint="eastAsia" w:ascii="宋体" w:hAnsi="宋体" w:eastAsia="宋体" w:cs="宋体"/>
          <w:color w:val="000000"/>
          <w:sz w:val="21"/>
          <w:szCs w:val="21"/>
          <w:highlight w:val="none"/>
          <w:shd w:val="clear" w:color="auto" w:fill="auto"/>
        </w:rPr>
        <w:t>施工进度计划和各阶段进度的保证措施及违约责任承诺；</w:t>
      </w:r>
      <w:bookmarkEnd w:id="1939"/>
      <w:bookmarkEnd w:id="1940"/>
    </w:p>
    <w:p w14:paraId="1B3BAE54">
      <w:pPr>
        <w:pStyle w:val="83"/>
        <w:pageBreakBefore w:val="0"/>
        <w:numPr>
          <w:ilvl w:val="0"/>
          <w:numId w:val="6"/>
        </w:numPr>
        <w:kinsoku/>
        <w:wordWrap/>
        <w:overflowPunct/>
        <w:topLinePunct w:val="0"/>
        <w:bidi w:val="0"/>
        <w:adjustRightInd/>
        <w:snapToGrid w:val="0"/>
        <w:spacing w:line="360" w:lineRule="auto"/>
        <w:ind w:left="0" w:leftChars="0" w:right="0" w:firstLine="424"/>
        <w:textAlignment w:val="auto"/>
        <w:rPr>
          <w:rFonts w:hint="eastAsia" w:ascii="宋体" w:hAnsi="宋体" w:eastAsia="宋体" w:cs="宋体"/>
          <w:color w:val="000000"/>
          <w:sz w:val="21"/>
          <w:szCs w:val="21"/>
          <w:highlight w:val="none"/>
          <w:shd w:val="clear" w:color="auto" w:fill="auto"/>
        </w:rPr>
      </w:pPr>
      <w:bookmarkStart w:id="1941" w:name="_Toc12741_WPSOffice_Level1"/>
      <w:bookmarkStart w:id="1942" w:name="_Toc19224_WPSOffice_Level1"/>
      <w:r>
        <w:rPr>
          <w:rFonts w:hint="eastAsia" w:ascii="宋体" w:hAnsi="宋体" w:eastAsia="宋体" w:cs="宋体"/>
          <w:color w:val="000000"/>
          <w:sz w:val="21"/>
          <w:szCs w:val="21"/>
          <w:highlight w:val="none"/>
          <w:shd w:val="clear" w:color="auto" w:fill="auto"/>
        </w:rPr>
        <w:t>劳动力和材料投入计划及其保证措施；</w:t>
      </w:r>
      <w:bookmarkEnd w:id="1941"/>
      <w:bookmarkEnd w:id="1942"/>
    </w:p>
    <w:p w14:paraId="5A4A18C2">
      <w:pPr>
        <w:pStyle w:val="83"/>
        <w:pageBreakBefore w:val="0"/>
        <w:numPr>
          <w:ilvl w:val="0"/>
          <w:numId w:val="6"/>
        </w:numPr>
        <w:kinsoku/>
        <w:wordWrap/>
        <w:overflowPunct/>
        <w:topLinePunct w:val="0"/>
        <w:bidi w:val="0"/>
        <w:adjustRightInd/>
        <w:snapToGrid w:val="0"/>
        <w:spacing w:line="360" w:lineRule="auto"/>
        <w:ind w:left="0" w:leftChars="0" w:right="0" w:firstLine="424"/>
        <w:textAlignment w:val="auto"/>
        <w:rPr>
          <w:rFonts w:hint="eastAsia" w:ascii="宋体" w:hAnsi="宋体" w:eastAsia="宋体" w:cs="宋体"/>
          <w:color w:val="000000"/>
          <w:sz w:val="21"/>
          <w:szCs w:val="21"/>
          <w:highlight w:val="none"/>
          <w:shd w:val="clear" w:color="auto" w:fill="auto"/>
        </w:rPr>
      </w:pPr>
      <w:bookmarkStart w:id="1943" w:name="_Toc13636_WPSOffice_Level1"/>
      <w:bookmarkStart w:id="1944" w:name="_Toc17856_WPSOffice_Level1"/>
      <w:r>
        <w:rPr>
          <w:rFonts w:hint="eastAsia" w:ascii="宋体" w:hAnsi="宋体" w:eastAsia="宋体" w:cs="宋体"/>
          <w:color w:val="000000"/>
          <w:sz w:val="21"/>
          <w:szCs w:val="21"/>
          <w:highlight w:val="none"/>
          <w:shd w:val="clear" w:color="auto" w:fill="auto"/>
        </w:rPr>
        <w:t>施工平面布置和临时设施布置总体布置；</w:t>
      </w:r>
      <w:bookmarkEnd w:id="1943"/>
      <w:bookmarkEnd w:id="1944"/>
    </w:p>
    <w:p w14:paraId="635A66CD">
      <w:pPr>
        <w:pStyle w:val="83"/>
        <w:pageBreakBefore w:val="0"/>
        <w:numPr>
          <w:ilvl w:val="0"/>
          <w:numId w:val="6"/>
        </w:numPr>
        <w:kinsoku/>
        <w:wordWrap/>
        <w:overflowPunct/>
        <w:topLinePunct w:val="0"/>
        <w:bidi w:val="0"/>
        <w:adjustRightInd/>
        <w:snapToGrid w:val="0"/>
        <w:spacing w:line="360" w:lineRule="auto"/>
        <w:ind w:left="0" w:leftChars="0" w:right="0" w:firstLine="424"/>
        <w:textAlignment w:val="auto"/>
        <w:rPr>
          <w:rFonts w:hint="eastAsia" w:ascii="宋体" w:hAnsi="宋体" w:eastAsia="宋体" w:cs="宋体"/>
          <w:color w:val="000000"/>
          <w:sz w:val="21"/>
          <w:szCs w:val="21"/>
          <w:highlight w:val="none"/>
          <w:shd w:val="clear" w:color="auto" w:fill="auto"/>
        </w:rPr>
      </w:pPr>
      <w:bookmarkStart w:id="1945" w:name="_Toc4363_WPSOffice_Level1"/>
      <w:bookmarkStart w:id="1946" w:name="_Toc18099_WPSOffice_Level1"/>
      <w:r>
        <w:rPr>
          <w:rFonts w:hint="eastAsia" w:ascii="宋体" w:hAnsi="宋体" w:eastAsia="宋体" w:cs="宋体"/>
          <w:color w:val="000000"/>
          <w:sz w:val="21"/>
          <w:szCs w:val="21"/>
          <w:highlight w:val="none"/>
          <w:shd w:val="clear" w:color="auto" w:fill="auto"/>
        </w:rPr>
        <w:t>关键施工技术、工艺及工程实施的重点、难点和解决方案；</w:t>
      </w:r>
      <w:bookmarkEnd w:id="1945"/>
      <w:bookmarkEnd w:id="1946"/>
    </w:p>
    <w:p w14:paraId="20D07FC4">
      <w:pPr>
        <w:pStyle w:val="83"/>
        <w:pageBreakBefore w:val="0"/>
        <w:numPr>
          <w:ilvl w:val="0"/>
          <w:numId w:val="6"/>
        </w:numPr>
        <w:kinsoku/>
        <w:wordWrap/>
        <w:overflowPunct/>
        <w:topLinePunct w:val="0"/>
        <w:bidi w:val="0"/>
        <w:adjustRightInd/>
        <w:snapToGrid w:val="0"/>
        <w:spacing w:line="360" w:lineRule="auto"/>
        <w:ind w:left="0" w:leftChars="0" w:right="0" w:firstLine="424"/>
        <w:textAlignment w:val="auto"/>
        <w:rPr>
          <w:rFonts w:hint="eastAsia" w:ascii="宋体" w:hAnsi="宋体" w:eastAsia="宋体" w:cs="宋体"/>
          <w:color w:val="000000"/>
          <w:sz w:val="21"/>
          <w:szCs w:val="21"/>
          <w:highlight w:val="none"/>
          <w:shd w:val="clear" w:color="auto" w:fill="auto"/>
        </w:rPr>
      </w:pPr>
      <w:bookmarkStart w:id="1947" w:name="_Toc24635_WPSOffice_Level1"/>
      <w:bookmarkStart w:id="1948" w:name="_Toc29158_WPSOffice_Level1"/>
      <w:r>
        <w:rPr>
          <w:rFonts w:hint="eastAsia" w:ascii="宋体" w:hAnsi="宋体" w:eastAsia="宋体" w:cs="宋体"/>
          <w:color w:val="000000"/>
          <w:sz w:val="21"/>
          <w:szCs w:val="21"/>
          <w:highlight w:val="none"/>
          <w:shd w:val="clear" w:color="auto" w:fill="auto"/>
        </w:rPr>
        <w:t>安全文明施工措施；</w:t>
      </w:r>
      <w:bookmarkEnd w:id="1947"/>
      <w:bookmarkEnd w:id="1948"/>
    </w:p>
    <w:p w14:paraId="52C4C4A7">
      <w:pPr>
        <w:pStyle w:val="83"/>
        <w:pageBreakBefore w:val="0"/>
        <w:numPr>
          <w:ilvl w:val="0"/>
          <w:numId w:val="6"/>
        </w:numPr>
        <w:kinsoku/>
        <w:wordWrap/>
        <w:overflowPunct/>
        <w:topLinePunct w:val="0"/>
        <w:bidi w:val="0"/>
        <w:adjustRightInd/>
        <w:snapToGrid w:val="0"/>
        <w:spacing w:line="360" w:lineRule="auto"/>
        <w:ind w:left="0" w:leftChars="0" w:right="0" w:firstLine="424"/>
        <w:textAlignment w:val="auto"/>
        <w:rPr>
          <w:rFonts w:hint="eastAsia" w:ascii="宋体" w:hAnsi="宋体" w:eastAsia="宋体" w:cs="宋体"/>
          <w:color w:val="000000"/>
          <w:sz w:val="21"/>
          <w:szCs w:val="21"/>
          <w:highlight w:val="none"/>
          <w:shd w:val="clear" w:color="auto" w:fill="auto"/>
        </w:rPr>
      </w:pPr>
      <w:bookmarkStart w:id="1949" w:name="_Toc15821_WPSOffice_Level1"/>
      <w:bookmarkStart w:id="1950" w:name="_Toc12565_WPSOffice_Level1"/>
      <w:r>
        <w:rPr>
          <w:rFonts w:hint="eastAsia" w:ascii="宋体" w:hAnsi="宋体" w:eastAsia="宋体" w:cs="宋体"/>
          <w:color w:val="000000"/>
          <w:sz w:val="21"/>
          <w:szCs w:val="21"/>
          <w:highlight w:val="none"/>
          <w:shd w:val="clear" w:color="auto" w:fill="auto"/>
        </w:rPr>
        <w:t>质量保证与承诺；</w:t>
      </w:r>
      <w:bookmarkEnd w:id="1949"/>
      <w:bookmarkEnd w:id="1950"/>
    </w:p>
    <w:p w14:paraId="46C17308">
      <w:pPr>
        <w:pStyle w:val="83"/>
        <w:pageBreakBefore w:val="0"/>
        <w:numPr>
          <w:ilvl w:val="0"/>
          <w:numId w:val="6"/>
        </w:numPr>
        <w:kinsoku/>
        <w:wordWrap/>
        <w:overflowPunct/>
        <w:topLinePunct w:val="0"/>
        <w:bidi w:val="0"/>
        <w:adjustRightInd/>
        <w:snapToGrid w:val="0"/>
        <w:spacing w:line="360" w:lineRule="auto"/>
        <w:ind w:left="0" w:leftChars="0" w:right="0" w:firstLine="424"/>
        <w:textAlignment w:val="auto"/>
        <w:rPr>
          <w:rFonts w:hint="eastAsia" w:ascii="宋体" w:hAnsi="宋体" w:eastAsia="宋体" w:cs="宋体"/>
          <w:color w:val="000000"/>
          <w:sz w:val="21"/>
          <w:szCs w:val="21"/>
          <w:highlight w:val="none"/>
          <w:shd w:val="clear" w:color="auto" w:fill="auto"/>
        </w:rPr>
      </w:pPr>
      <w:bookmarkStart w:id="1951" w:name="_Toc10917_WPSOffice_Level1"/>
      <w:bookmarkStart w:id="1952" w:name="_Toc4452_WPSOffice_Level1"/>
      <w:r>
        <w:rPr>
          <w:rFonts w:hint="eastAsia" w:ascii="宋体" w:hAnsi="宋体" w:eastAsia="宋体" w:cs="宋体"/>
          <w:color w:val="000000"/>
          <w:sz w:val="21"/>
          <w:szCs w:val="21"/>
          <w:highlight w:val="none"/>
          <w:shd w:val="clear" w:color="auto" w:fill="auto"/>
        </w:rPr>
        <w:t>新技术应用与承诺等方面进行说明。</w:t>
      </w:r>
      <w:bookmarkEnd w:id="1951"/>
      <w:bookmarkEnd w:id="1952"/>
    </w:p>
    <w:p w14:paraId="1250D3A1">
      <w:pPr>
        <w:pStyle w:val="83"/>
        <w:pageBreakBefore w:val="0"/>
        <w:kinsoku/>
        <w:wordWrap/>
        <w:overflowPunct/>
        <w:topLinePunct w:val="0"/>
        <w:bidi w:val="0"/>
        <w:adjustRightInd/>
        <w:snapToGrid w:val="0"/>
        <w:spacing w:line="360" w:lineRule="auto"/>
        <w:ind w:left="0" w:leftChars="0" w:right="0" w:firstLine="424"/>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2.施工组织设计除采用文字表述外可附下列图表，图表及格式要求附后。</w:t>
      </w:r>
    </w:p>
    <w:p w14:paraId="3391D453">
      <w:pPr>
        <w:pStyle w:val="83"/>
        <w:pageBreakBefore w:val="0"/>
        <w:kinsoku/>
        <w:wordWrap/>
        <w:overflowPunct/>
        <w:topLinePunct w:val="0"/>
        <w:bidi w:val="0"/>
        <w:adjustRightInd/>
        <w:snapToGrid w:val="0"/>
        <w:spacing w:line="360" w:lineRule="auto"/>
        <w:ind w:left="0" w:leftChars="0" w:right="0" w:firstLine="424"/>
        <w:textAlignment w:val="auto"/>
        <w:rPr>
          <w:rFonts w:hint="eastAsia" w:ascii="宋体" w:hAnsi="宋体" w:eastAsia="宋体" w:cs="宋体"/>
          <w:color w:val="000000"/>
          <w:sz w:val="21"/>
          <w:szCs w:val="21"/>
          <w:highlight w:val="none"/>
          <w:shd w:val="clear" w:color="auto" w:fill="auto"/>
        </w:rPr>
      </w:pPr>
      <w:bookmarkStart w:id="1953" w:name="_Toc13905_WPSOffice_Level1"/>
      <w:bookmarkStart w:id="1954" w:name="_Toc24230_WPSOffice_Level1"/>
      <w:r>
        <w:rPr>
          <w:rFonts w:hint="eastAsia" w:ascii="宋体" w:hAnsi="宋体" w:eastAsia="宋体" w:cs="宋体"/>
          <w:color w:val="000000"/>
          <w:sz w:val="21"/>
          <w:szCs w:val="21"/>
          <w:highlight w:val="none"/>
          <w:shd w:val="clear" w:color="auto" w:fill="auto"/>
        </w:rPr>
        <w:t>附表一</w:t>
      </w:r>
      <w:r>
        <w:rPr>
          <w:rFonts w:hint="eastAsia" w:ascii="宋体" w:hAnsi="宋体" w:eastAsia="宋体" w:cs="宋体"/>
          <w:color w:val="000000"/>
          <w:sz w:val="21"/>
          <w:szCs w:val="21"/>
          <w:highlight w:val="none"/>
          <w:shd w:val="clear" w:color="auto" w:fill="auto"/>
        </w:rPr>
        <w:tab/>
      </w:r>
      <w:r>
        <w:rPr>
          <w:rFonts w:hint="eastAsia" w:ascii="宋体" w:hAnsi="宋体" w:eastAsia="宋体" w:cs="宋体"/>
          <w:color w:val="000000"/>
          <w:spacing w:val="-1"/>
          <w:sz w:val="21"/>
          <w:szCs w:val="21"/>
          <w:highlight w:val="none"/>
          <w:shd w:val="clear" w:color="auto" w:fill="auto"/>
        </w:rPr>
        <w:t>拟</w:t>
      </w:r>
      <w:r>
        <w:rPr>
          <w:rFonts w:hint="eastAsia" w:ascii="宋体" w:hAnsi="宋体" w:eastAsia="宋体" w:cs="宋体"/>
          <w:color w:val="000000"/>
          <w:sz w:val="21"/>
          <w:szCs w:val="21"/>
          <w:highlight w:val="none"/>
          <w:shd w:val="clear" w:color="auto" w:fill="auto"/>
        </w:rPr>
        <w:t>投入本标段的主要施工设备表</w:t>
      </w:r>
      <w:bookmarkEnd w:id="1953"/>
      <w:bookmarkEnd w:id="1954"/>
    </w:p>
    <w:p w14:paraId="46D51BBF">
      <w:pPr>
        <w:pStyle w:val="83"/>
        <w:pageBreakBefore w:val="0"/>
        <w:kinsoku/>
        <w:wordWrap/>
        <w:overflowPunct/>
        <w:topLinePunct w:val="0"/>
        <w:bidi w:val="0"/>
        <w:adjustRightInd/>
        <w:snapToGrid w:val="0"/>
        <w:spacing w:line="360" w:lineRule="auto"/>
        <w:ind w:left="0" w:leftChars="0" w:right="0" w:firstLine="424"/>
        <w:textAlignment w:val="auto"/>
        <w:rPr>
          <w:rFonts w:hint="eastAsia" w:ascii="宋体" w:hAnsi="宋体" w:eastAsia="宋体" w:cs="宋体"/>
          <w:color w:val="000000"/>
          <w:sz w:val="21"/>
          <w:szCs w:val="21"/>
          <w:highlight w:val="none"/>
          <w:shd w:val="clear" w:color="auto" w:fill="auto"/>
        </w:rPr>
      </w:pPr>
      <w:bookmarkStart w:id="1955" w:name="_Toc20088_WPSOffice_Level1"/>
      <w:bookmarkStart w:id="1956" w:name="_Toc31407_WPSOffice_Level1"/>
      <w:r>
        <w:rPr>
          <w:rFonts w:hint="eastAsia" w:ascii="宋体" w:hAnsi="宋体" w:eastAsia="宋体" w:cs="宋体"/>
          <w:color w:val="000000"/>
          <w:sz w:val="21"/>
          <w:szCs w:val="21"/>
          <w:highlight w:val="none"/>
          <w:shd w:val="clear" w:color="auto" w:fill="auto"/>
        </w:rPr>
        <w:t>附表二</w:t>
      </w:r>
      <w:r>
        <w:rPr>
          <w:rFonts w:hint="eastAsia" w:ascii="宋体" w:hAnsi="宋体" w:eastAsia="宋体" w:cs="宋体"/>
          <w:color w:val="000000"/>
          <w:sz w:val="21"/>
          <w:szCs w:val="21"/>
          <w:highlight w:val="none"/>
          <w:shd w:val="clear" w:color="auto" w:fill="auto"/>
        </w:rPr>
        <w:tab/>
      </w:r>
      <w:r>
        <w:rPr>
          <w:rFonts w:hint="eastAsia" w:ascii="宋体" w:hAnsi="宋体" w:eastAsia="宋体" w:cs="宋体"/>
          <w:color w:val="000000"/>
          <w:spacing w:val="-1"/>
          <w:sz w:val="21"/>
          <w:szCs w:val="21"/>
          <w:highlight w:val="none"/>
          <w:shd w:val="clear" w:color="auto" w:fill="auto"/>
        </w:rPr>
        <w:t>拟</w:t>
      </w:r>
      <w:r>
        <w:rPr>
          <w:rFonts w:hint="eastAsia" w:ascii="宋体" w:hAnsi="宋体" w:eastAsia="宋体" w:cs="宋体"/>
          <w:color w:val="000000"/>
          <w:sz w:val="21"/>
          <w:szCs w:val="21"/>
          <w:highlight w:val="none"/>
          <w:shd w:val="clear" w:color="auto" w:fill="auto"/>
        </w:rPr>
        <w:t>配备本标段的试验和检测仪器设备表</w:t>
      </w:r>
      <w:bookmarkEnd w:id="1955"/>
      <w:bookmarkEnd w:id="1956"/>
    </w:p>
    <w:p w14:paraId="5CC692BD">
      <w:pPr>
        <w:pStyle w:val="83"/>
        <w:pageBreakBefore w:val="0"/>
        <w:kinsoku/>
        <w:wordWrap/>
        <w:overflowPunct/>
        <w:topLinePunct w:val="0"/>
        <w:bidi w:val="0"/>
        <w:adjustRightInd/>
        <w:snapToGrid w:val="0"/>
        <w:spacing w:line="360" w:lineRule="auto"/>
        <w:ind w:left="0" w:leftChars="0" w:right="0" w:firstLine="424"/>
        <w:textAlignment w:val="auto"/>
        <w:rPr>
          <w:rFonts w:hint="eastAsia" w:ascii="宋体" w:hAnsi="宋体" w:eastAsia="宋体" w:cs="宋体"/>
          <w:color w:val="000000"/>
          <w:sz w:val="21"/>
          <w:szCs w:val="21"/>
          <w:highlight w:val="none"/>
          <w:shd w:val="clear" w:color="auto" w:fill="auto"/>
        </w:rPr>
      </w:pPr>
      <w:bookmarkStart w:id="1957" w:name="_Toc10539_WPSOffice_Level1"/>
      <w:bookmarkStart w:id="1958" w:name="_Toc17946_WPSOffice_Level1"/>
      <w:r>
        <w:rPr>
          <w:rFonts w:hint="eastAsia" w:ascii="宋体" w:hAnsi="宋体" w:eastAsia="宋体" w:cs="宋体"/>
          <w:color w:val="000000"/>
          <w:sz w:val="21"/>
          <w:szCs w:val="21"/>
          <w:highlight w:val="none"/>
          <w:shd w:val="clear" w:color="auto" w:fill="auto"/>
        </w:rPr>
        <w:t>附表三</w:t>
      </w:r>
      <w:r>
        <w:rPr>
          <w:rFonts w:hint="eastAsia" w:ascii="宋体" w:hAnsi="宋体" w:eastAsia="宋体" w:cs="宋体"/>
          <w:color w:val="000000"/>
          <w:sz w:val="21"/>
          <w:szCs w:val="21"/>
          <w:highlight w:val="none"/>
          <w:shd w:val="clear" w:color="auto" w:fill="auto"/>
        </w:rPr>
        <w:tab/>
      </w:r>
      <w:r>
        <w:rPr>
          <w:rFonts w:hint="eastAsia" w:ascii="宋体" w:hAnsi="宋体" w:eastAsia="宋体" w:cs="宋体"/>
          <w:color w:val="000000"/>
          <w:spacing w:val="-1"/>
          <w:sz w:val="21"/>
          <w:szCs w:val="21"/>
          <w:highlight w:val="none"/>
          <w:shd w:val="clear" w:color="auto" w:fill="auto"/>
        </w:rPr>
        <w:t>劳</w:t>
      </w:r>
      <w:r>
        <w:rPr>
          <w:rFonts w:hint="eastAsia" w:ascii="宋体" w:hAnsi="宋体" w:eastAsia="宋体" w:cs="宋体"/>
          <w:color w:val="000000"/>
          <w:sz w:val="21"/>
          <w:szCs w:val="21"/>
          <w:highlight w:val="none"/>
          <w:shd w:val="clear" w:color="auto" w:fill="auto"/>
        </w:rPr>
        <w:t>动力计划表</w:t>
      </w:r>
      <w:bookmarkEnd w:id="1957"/>
      <w:bookmarkEnd w:id="1958"/>
    </w:p>
    <w:p w14:paraId="43B18DE4">
      <w:pPr>
        <w:pStyle w:val="83"/>
        <w:pageBreakBefore w:val="0"/>
        <w:kinsoku/>
        <w:wordWrap/>
        <w:overflowPunct/>
        <w:topLinePunct w:val="0"/>
        <w:bidi w:val="0"/>
        <w:adjustRightInd/>
        <w:snapToGrid w:val="0"/>
        <w:spacing w:line="360" w:lineRule="auto"/>
        <w:ind w:left="0" w:leftChars="0" w:right="0" w:firstLine="424"/>
        <w:textAlignment w:val="auto"/>
        <w:rPr>
          <w:rFonts w:hint="eastAsia" w:ascii="宋体" w:hAnsi="宋体" w:eastAsia="宋体" w:cs="宋体"/>
          <w:color w:val="000000"/>
          <w:sz w:val="21"/>
          <w:szCs w:val="21"/>
          <w:highlight w:val="none"/>
          <w:shd w:val="clear" w:color="auto" w:fill="auto"/>
        </w:rPr>
      </w:pPr>
      <w:bookmarkStart w:id="1959" w:name="_Toc17530_WPSOffice_Level1"/>
      <w:bookmarkStart w:id="1960" w:name="_Toc29064_WPSOffice_Level1"/>
      <w:r>
        <w:rPr>
          <w:rFonts w:hint="eastAsia" w:ascii="宋体" w:hAnsi="宋体" w:eastAsia="宋体" w:cs="宋体"/>
          <w:color w:val="000000"/>
          <w:sz w:val="21"/>
          <w:szCs w:val="21"/>
          <w:highlight w:val="none"/>
          <w:shd w:val="clear" w:color="auto" w:fill="auto"/>
        </w:rPr>
        <w:t>附表四</w:t>
      </w:r>
      <w:r>
        <w:rPr>
          <w:rFonts w:hint="eastAsia" w:ascii="宋体" w:hAnsi="宋体" w:eastAsia="宋体" w:cs="宋体"/>
          <w:color w:val="000000"/>
          <w:sz w:val="21"/>
          <w:szCs w:val="21"/>
          <w:highlight w:val="none"/>
          <w:shd w:val="clear" w:color="auto" w:fill="auto"/>
        </w:rPr>
        <w:tab/>
      </w:r>
      <w:r>
        <w:rPr>
          <w:rFonts w:hint="eastAsia" w:ascii="宋体" w:hAnsi="宋体" w:eastAsia="宋体" w:cs="宋体"/>
          <w:color w:val="000000"/>
          <w:spacing w:val="-1"/>
          <w:sz w:val="21"/>
          <w:szCs w:val="21"/>
          <w:highlight w:val="none"/>
          <w:shd w:val="clear" w:color="auto" w:fill="auto"/>
        </w:rPr>
        <w:t>计</w:t>
      </w:r>
      <w:r>
        <w:rPr>
          <w:rFonts w:hint="eastAsia" w:ascii="宋体" w:hAnsi="宋体" w:eastAsia="宋体" w:cs="宋体"/>
          <w:color w:val="000000"/>
          <w:sz w:val="21"/>
          <w:szCs w:val="21"/>
          <w:highlight w:val="none"/>
          <w:shd w:val="clear" w:color="auto" w:fill="auto"/>
        </w:rPr>
        <w:t>划开、竣工日期和施工进度网络图</w:t>
      </w:r>
      <w:bookmarkEnd w:id="1959"/>
      <w:bookmarkEnd w:id="1960"/>
    </w:p>
    <w:p w14:paraId="50EA5924">
      <w:pPr>
        <w:pStyle w:val="83"/>
        <w:pageBreakBefore w:val="0"/>
        <w:kinsoku/>
        <w:wordWrap/>
        <w:overflowPunct/>
        <w:topLinePunct w:val="0"/>
        <w:bidi w:val="0"/>
        <w:adjustRightInd/>
        <w:snapToGrid w:val="0"/>
        <w:spacing w:line="360" w:lineRule="auto"/>
        <w:ind w:left="0" w:leftChars="0" w:right="0" w:firstLine="424"/>
        <w:textAlignment w:val="auto"/>
        <w:rPr>
          <w:rFonts w:hint="eastAsia" w:ascii="宋体" w:hAnsi="宋体" w:eastAsia="宋体" w:cs="宋体"/>
          <w:color w:val="000000"/>
          <w:sz w:val="21"/>
          <w:szCs w:val="21"/>
          <w:highlight w:val="none"/>
          <w:shd w:val="clear" w:color="auto" w:fill="auto"/>
        </w:rPr>
      </w:pPr>
      <w:bookmarkStart w:id="1961" w:name="_Toc26852_WPSOffice_Level1"/>
      <w:bookmarkStart w:id="1962" w:name="_Toc19010_WPSOffice_Level1"/>
      <w:r>
        <w:rPr>
          <w:rFonts w:hint="eastAsia" w:ascii="宋体" w:hAnsi="宋体" w:eastAsia="宋体" w:cs="宋体"/>
          <w:color w:val="000000"/>
          <w:sz w:val="21"/>
          <w:szCs w:val="21"/>
          <w:highlight w:val="none"/>
          <w:shd w:val="clear" w:color="auto" w:fill="auto"/>
        </w:rPr>
        <w:t>附表五</w:t>
      </w:r>
      <w:r>
        <w:rPr>
          <w:rFonts w:hint="eastAsia" w:ascii="宋体" w:hAnsi="宋体" w:eastAsia="宋体" w:cs="宋体"/>
          <w:color w:val="000000"/>
          <w:sz w:val="21"/>
          <w:szCs w:val="21"/>
          <w:highlight w:val="none"/>
          <w:shd w:val="clear" w:color="auto" w:fill="auto"/>
        </w:rPr>
        <w:tab/>
      </w:r>
      <w:r>
        <w:rPr>
          <w:rFonts w:hint="eastAsia" w:ascii="宋体" w:hAnsi="宋体" w:eastAsia="宋体" w:cs="宋体"/>
          <w:color w:val="000000"/>
          <w:spacing w:val="-1"/>
          <w:sz w:val="21"/>
          <w:szCs w:val="21"/>
          <w:highlight w:val="none"/>
          <w:shd w:val="clear" w:color="auto" w:fill="auto"/>
        </w:rPr>
        <w:t>施</w:t>
      </w:r>
      <w:r>
        <w:rPr>
          <w:rFonts w:hint="eastAsia" w:ascii="宋体" w:hAnsi="宋体" w:eastAsia="宋体" w:cs="宋体"/>
          <w:color w:val="000000"/>
          <w:sz w:val="21"/>
          <w:szCs w:val="21"/>
          <w:highlight w:val="none"/>
          <w:shd w:val="clear" w:color="auto" w:fill="auto"/>
        </w:rPr>
        <w:t>工总平面图</w:t>
      </w:r>
      <w:bookmarkEnd w:id="1961"/>
      <w:bookmarkEnd w:id="1962"/>
    </w:p>
    <w:p w14:paraId="721695D5">
      <w:pPr>
        <w:pStyle w:val="83"/>
        <w:pageBreakBefore w:val="0"/>
        <w:kinsoku/>
        <w:wordWrap/>
        <w:overflowPunct/>
        <w:topLinePunct w:val="0"/>
        <w:bidi w:val="0"/>
        <w:adjustRightInd/>
        <w:snapToGrid w:val="0"/>
        <w:spacing w:line="360" w:lineRule="auto"/>
        <w:ind w:left="0" w:leftChars="0" w:right="0" w:firstLine="424"/>
        <w:textAlignment w:val="auto"/>
        <w:rPr>
          <w:rFonts w:hint="eastAsia" w:ascii="宋体" w:hAnsi="宋体" w:eastAsia="宋体" w:cs="宋体"/>
          <w:color w:val="000000"/>
          <w:sz w:val="21"/>
          <w:szCs w:val="21"/>
          <w:highlight w:val="none"/>
          <w:shd w:val="clear" w:color="auto" w:fill="auto"/>
        </w:rPr>
      </w:pPr>
      <w:bookmarkStart w:id="1963" w:name="_Toc6323_WPSOffice_Level1"/>
      <w:bookmarkStart w:id="1964" w:name="_Toc14611_WPSOffice_Level1"/>
      <w:r>
        <w:rPr>
          <w:rFonts w:hint="eastAsia" w:ascii="宋体" w:hAnsi="宋体" w:eastAsia="宋体" w:cs="宋体"/>
          <w:color w:val="000000"/>
          <w:position w:val="-2"/>
          <w:sz w:val="21"/>
          <w:szCs w:val="21"/>
          <w:highlight w:val="none"/>
          <w:shd w:val="clear" w:color="auto" w:fill="auto"/>
        </w:rPr>
        <w:t>附表六</w:t>
      </w:r>
      <w:r>
        <w:rPr>
          <w:rFonts w:hint="eastAsia" w:ascii="宋体" w:hAnsi="宋体" w:eastAsia="宋体" w:cs="宋体"/>
          <w:color w:val="000000"/>
          <w:position w:val="-2"/>
          <w:sz w:val="21"/>
          <w:szCs w:val="21"/>
          <w:highlight w:val="none"/>
          <w:shd w:val="clear" w:color="auto" w:fill="auto"/>
        </w:rPr>
        <w:tab/>
      </w:r>
      <w:r>
        <w:rPr>
          <w:rFonts w:hint="eastAsia" w:ascii="宋体" w:hAnsi="宋体" w:eastAsia="宋体" w:cs="宋体"/>
          <w:color w:val="000000"/>
          <w:spacing w:val="-1"/>
          <w:position w:val="-2"/>
          <w:sz w:val="21"/>
          <w:szCs w:val="21"/>
          <w:highlight w:val="none"/>
          <w:shd w:val="clear" w:color="auto" w:fill="auto"/>
        </w:rPr>
        <w:t>临</w:t>
      </w:r>
      <w:r>
        <w:rPr>
          <w:rFonts w:hint="eastAsia" w:ascii="宋体" w:hAnsi="宋体" w:eastAsia="宋体" w:cs="宋体"/>
          <w:color w:val="000000"/>
          <w:position w:val="-2"/>
          <w:sz w:val="21"/>
          <w:szCs w:val="21"/>
          <w:highlight w:val="none"/>
          <w:shd w:val="clear" w:color="auto" w:fill="auto"/>
        </w:rPr>
        <w:t>时用地表</w:t>
      </w:r>
      <w:bookmarkEnd w:id="1963"/>
      <w:bookmarkEnd w:id="1964"/>
    </w:p>
    <w:p w14:paraId="176E1752">
      <w:pPr>
        <w:pStyle w:val="4"/>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sz w:val="21"/>
          <w:szCs w:val="21"/>
          <w:highlight w:val="none"/>
          <w:shd w:val="clear" w:color="auto" w:fill="auto"/>
        </w:rPr>
      </w:pPr>
      <w:bookmarkStart w:id="1965" w:name="_Toc369505648"/>
      <w:bookmarkStart w:id="1966" w:name="_Toc389146015"/>
      <w:bookmarkStart w:id="1967" w:name="_Toc13894"/>
      <w:bookmarkStart w:id="1968" w:name="_Toc267582081"/>
      <w:bookmarkStart w:id="1969" w:name="_Toc26843"/>
      <w:bookmarkStart w:id="1970" w:name="_Toc455670864"/>
      <w:bookmarkStart w:id="1971" w:name="_Toc207443044"/>
      <w:r>
        <w:rPr>
          <w:rFonts w:hint="eastAsia" w:ascii="宋体" w:hAnsi="宋体" w:eastAsia="宋体" w:cs="宋体"/>
          <w:color w:val="000000"/>
          <w:sz w:val="21"/>
          <w:szCs w:val="21"/>
          <w:highlight w:val="none"/>
          <w:shd w:val="clear" w:color="auto" w:fill="auto"/>
        </w:rPr>
        <w:br w:type="page"/>
      </w:r>
      <w:r>
        <w:rPr>
          <w:rFonts w:hint="eastAsia" w:ascii="宋体" w:hAnsi="宋体" w:eastAsia="宋体" w:cs="宋体"/>
          <w:color w:val="000000"/>
          <w:sz w:val="21"/>
          <w:szCs w:val="21"/>
          <w:highlight w:val="none"/>
          <w:shd w:val="clear" w:color="auto" w:fill="auto"/>
        </w:rPr>
        <w:t>附表一：拟投入本标段的主要施工设备表</w:t>
      </w:r>
      <w:bookmarkEnd w:id="1965"/>
      <w:bookmarkEnd w:id="1966"/>
      <w:bookmarkEnd w:id="1967"/>
      <w:bookmarkEnd w:id="1968"/>
      <w:bookmarkEnd w:id="1969"/>
      <w:bookmarkEnd w:id="1970"/>
      <w:bookmarkEnd w:id="1971"/>
    </w:p>
    <w:tbl>
      <w:tblPr>
        <w:tblStyle w:val="34"/>
        <w:tblW w:w="0" w:type="auto"/>
        <w:tblInd w:w="114" w:type="dxa"/>
        <w:tblLayout w:type="fixed"/>
        <w:tblCellMar>
          <w:top w:w="0" w:type="dxa"/>
          <w:left w:w="0" w:type="dxa"/>
          <w:bottom w:w="0" w:type="dxa"/>
          <w:right w:w="0" w:type="dxa"/>
        </w:tblCellMar>
      </w:tblPr>
      <w:tblGrid>
        <w:gridCol w:w="678"/>
        <w:gridCol w:w="1108"/>
        <w:gridCol w:w="776"/>
        <w:gridCol w:w="1010"/>
        <w:gridCol w:w="686"/>
        <w:gridCol w:w="752"/>
        <w:gridCol w:w="1237"/>
        <w:gridCol w:w="892"/>
        <w:gridCol w:w="1075"/>
        <w:gridCol w:w="706"/>
      </w:tblGrid>
      <w:tr w14:paraId="2FA20B97">
        <w:tblPrEx>
          <w:tblCellMar>
            <w:top w:w="0" w:type="dxa"/>
            <w:left w:w="0" w:type="dxa"/>
            <w:bottom w:w="0" w:type="dxa"/>
            <w:right w:w="0" w:type="dxa"/>
          </w:tblCellMar>
        </w:tblPrEx>
        <w:trPr>
          <w:trHeight w:val="971" w:hRule="exact"/>
        </w:trPr>
        <w:tc>
          <w:tcPr>
            <w:tcW w:w="678" w:type="dxa"/>
            <w:tcBorders>
              <w:top w:val="single" w:color="000000" w:sz="4" w:space="0"/>
              <w:left w:val="single" w:color="000000" w:sz="4" w:space="0"/>
              <w:bottom w:val="single" w:color="000000" w:sz="4" w:space="0"/>
              <w:right w:val="single" w:color="000000" w:sz="4" w:space="0"/>
            </w:tcBorders>
            <w:noWrap w:val="0"/>
            <w:vAlign w:val="center"/>
          </w:tcPr>
          <w:p w14:paraId="18F5F7D4">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序号</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14:paraId="3AA35501">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设备名称</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09FDB23E">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型号</w:t>
            </w:r>
          </w:p>
          <w:p w14:paraId="5A9B645C">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规格</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5DE13C78">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数量</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73FC5334">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国别产地</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14:paraId="7103B691">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制造年份</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77A5317A">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额定功率</w:t>
            </w:r>
          </w:p>
          <w:p w14:paraId="2F787F67">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（KW）</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6ADC7222">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生产</w:t>
            </w:r>
          </w:p>
          <w:p w14:paraId="3FFA6382">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能力</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14:paraId="42552B65">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用于施</w:t>
            </w:r>
          </w:p>
          <w:p w14:paraId="3D4D73CD">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工部位</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27604534">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备注</w:t>
            </w:r>
          </w:p>
        </w:tc>
      </w:tr>
      <w:tr w14:paraId="589ECCB2">
        <w:tblPrEx>
          <w:tblCellMar>
            <w:top w:w="0" w:type="dxa"/>
            <w:left w:w="0" w:type="dxa"/>
            <w:bottom w:w="0" w:type="dxa"/>
            <w:right w:w="0" w:type="dxa"/>
          </w:tblCellMar>
        </w:tblPrEx>
        <w:trPr>
          <w:trHeight w:val="472" w:hRule="exact"/>
        </w:trPr>
        <w:tc>
          <w:tcPr>
            <w:tcW w:w="678" w:type="dxa"/>
            <w:tcBorders>
              <w:top w:val="single" w:color="000000" w:sz="4" w:space="0"/>
              <w:left w:val="single" w:color="000000" w:sz="4" w:space="0"/>
              <w:bottom w:val="single" w:color="000000" w:sz="4" w:space="0"/>
              <w:right w:val="single" w:color="000000" w:sz="4" w:space="0"/>
            </w:tcBorders>
            <w:noWrap w:val="0"/>
            <w:vAlign w:val="top"/>
          </w:tcPr>
          <w:p w14:paraId="145449EC">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c>
          <w:tcPr>
            <w:tcW w:w="1108" w:type="dxa"/>
            <w:tcBorders>
              <w:top w:val="single" w:color="000000" w:sz="4" w:space="0"/>
              <w:left w:val="single" w:color="000000" w:sz="4" w:space="0"/>
              <w:bottom w:val="single" w:color="000000" w:sz="4" w:space="0"/>
              <w:right w:val="single" w:color="000000" w:sz="4" w:space="0"/>
            </w:tcBorders>
            <w:noWrap w:val="0"/>
            <w:vAlign w:val="top"/>
          </w:tcPr>
          <w:p w14:paraId="5DEB8357">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c>
          <w:tcPr>
            <w:tcW w:w="776" w:type="dxa"/>
            <w:tcBorders>
              <w:top w:val="single" w:color="000000" w:sz="4" w:space="0"/>
              <w:left w:val="single" w:color="000000" w:sz="4" w:space="0"/>
              <w:bottom w:val="single" w:color="000000" w:sz="4" w:space="0"/>
              <w:right w:val="single" w:color="000000" w:sz="4" w:space="0"/>
            </w:tcBorders>
            <w:noWrap w:val="0"/>
            <w:vAlign w:val="top"/>
          </w:tcPr>
          <w:p w14:paraId="777C0454">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c>
          <w:tcPr>
            <w:tcW w:w="1010" w:type="dxa"/>
            <w:tcBorders>
              <w:top w:val="single" w:color="000000" w:sz="4" w:space="0"/>
              <w:left w:val="single" w:color="000000" w:sz="4" w:space="0"/>
              <w:bottom w:val="single" w:color="000000" w:sz="4" w:space="0"/>
              <w:right w:val="single" w:color="000000" w:sz="4" w:space="0"/>
            </w:tcBorders>
            <w:noWrap w:val="0"/>
            <w:vAlign w:val="top"/>
          </w:tcPr>
          <w:p w14:paraId="46C4D5B5">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c>
          <w:tcPr>
            <w:tcW w:w="686" w:type="dxa"/>
            <w:tcBorders>
              <w:top w:val="single" w:color="000000" w:sz="4" w:space="0"/>
              <w:left w:val="single" w:color="000000" w:sz="4" w:space="0"/>
              <w:bottom w:val="single" w:color="000000" w:sz="4" w:space="0"/>
              <w:right w:val="single" w:color="000000" w:sz="4" w:space="0"/>
            </w:tcBorders>
            <w:noWrap w:val="0"/>
            <w:vAlign w:val="top"/>
          </w:tcPr>
          <w:p w14:paraId="63042851">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c>
          <w:tcPr>
            <w:tcW w:w="752" w:type="dxa"/>
            <w:tcBorders>
              <w:top w:val="single" w:color="000000" w:sz="4" w:space="0"/>
              <w:left w:val="single" w:color="000000" w:sz="4" w:space="0"/>
              <w:bottom w:val="single" w:color="000000" w:sz="4" w:space="0"/>
              <w:right w:val="single" w:color="000000" w:sz="4" w:space="0"/>
            </w:tcBorders>
            <w:noWrap w:val="0"/>
            <w:vAlign w:val="top"/>
          </w:tcPr>
          <w:p w14:paraId="5B525489">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c>
          <w:tcPr>
            <w:tcW w:w="1237" w:type="dxa"/>
            <w:tcBorders>
              <w:top w:val="single" w:color="000000" w:sz="4" w:space="0"/>
              <w:left w:val="single" w:color="000000" w:sz="4" w:space="0"/>
              <w:bottom w:val="single" w:color="000000" w:sz="4" w:space="0"/>
              <w:right w:val="single" w:color="000000" w:sz="4" w:space="0"/>
            </w:tcBorders>
            <w:noWrap w:val="0"/>
            <w:vAlign w:val="top"/>
          </w:tcPr>
          <w:p w14:paraId="066580A3">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c>
          <w:tcPr>
            <w:tcW w:w="892" w:type="dxa"/>
            <w:tcBorders>
              <w:top w:val="single" w:color="000000" w:sz="4" w:space="0"/>
              <w:left w:val="single" w:color="000000" w:sz="4" w:space="0"/>
              <w:bottom w:val="single" w:color="000000" w:sz="4" w:space="0"/>
              <w:right w:val="single" w:color="000000" w:sz="4" w:space="0"/>
            </w:tcBorders>
            <w:noWrap w:val="0"/>
            <w:vAlign w:val="top"/>
          </w:tcPr>
          <w:p w14:paraId="34463FC5">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c>
          <w:tcPr>
            <w:tcW w:w="1075" w:type="dxa"/>
            <w:tcBorders>
              <w:top w:val="single" w:color="000000" w:sz="4" w:space="0"/>
              <w:left w:val="single" w:color="000000" w:sz="4" w:space="0"/>
              <w:bottom w:val="single" w:color="000000" w:sz="4" w:space="0"/>
              <w:right w:val="single" w:color="000000" w:sz="4" w:space="0"/>
            </w:tcBorders>
            <w:noWrap w:val="0"/>
            <w:vAlign w:val="top"/>
          </w:tcPr>
          <w:p w14:paraId="34F3F599">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c>
          <w:tcPr>
            <w:tcW w:w="706" w:type="dxa"/>
            <w:tcBorders>
              <w:top w:val="single" w:color="000000" w:sz="4" w:space="0"/>
              <w:left w:val="single" w:color="000000" w:sz="4" w:space="0"/>
              <w:bottom w:val="single" w:color="000000" w:sz="4" w:space="0"/>
              <w:right w:val="single" w:color="000000" w:sz="4" w:space="0"/>
            </w:tcBorders>
            <w:noWrap w:val="0"/>
            <w:vAlign w:val="top"/>
          </w:tcPr>
          <w:p w14:paraId="1BCF058B">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r>
      <w:tr w14:paraId="7F6F7D30">
        <w:tblPrEx>
          <w:tblCellMar>
            <w:top w:w="0" w:type="dxa"/>
            <w:left w:w="0" w:type="dxa"/>
            <w:bottom w:w="0" w:type="dxa"/>
            <w:right w:w="0" w:type="dxa"/>
          </w:tblCellMar>
        </w:tblPrEx>
        <w:trPr>
          <w:trHeight w:val="472" w:hRule="exact"/>
        </w:trPr>
        <w:tc>
          <w:tcPr>
            <w:tcW w:w="678" w:type="dxa"/>
            <w:tcBorders>
              <w:top w:val="single" w:color="000000" w:sz="4" w:space="0"/>
              <w:left w:val="single" w:color="000000" w:sz="4" w:space="0"/>
              <w:bottom w:val="single" w:color="000000" w:sz="4" w:space="0"/>
              <w:right w:val="single" w:color="000000" w:sz="4" w:space="0"/>
            </w:tcBorders>
            <w:noWrap w:val="0"/>
            <w:vAlign w:val="top"/>
          </w:tcPr>
          <w:p w14:paraId="0459E26A">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c>
          <w:tcPr>
            <w:tcW w:w="1108" w:type="dxa"/>
            <w:tcBorders>
              <w:top w:val="single" w:color="000000" w:sz="4" w:space="0"/>
              <w:left w:val="single" w:color="000000" w:sz="4" w:space="0"/>
              <w:bottom w:val="single" w:color="000000" w:sz="4" w:space="0"/>
              <w:right w:val="single" w:color="000000" w:sz="4" w:space="0"/>
            </w:tcBorders>
            <w:noWrap w:val="0"/>
            <w:vAlign w:val="top"/>
          </w:tcPr>
          <w:p w14:paraId="012D484C">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c>
          <w:tcPr>
            <w:tcW w:w="776" w:type="dxa"/>
            <w:tcBorders>
              <w:top w:val="single" w:color="000000" w:sz="4" w:space="0"/>
              <w:left w:val="single" w:color="000000" w:sz="4" w:space="0"/>
              <w:bottom w:val="single" w:color="000000" w:sz="4" w:space="0"/>
              <w:right w:val="single" w:color="000000" w:sz="4" w:space="0"/>
            </w:tcBorders>
            <w:noWrap w:val="0"/>
            <w:vAlign w:val="top"/>
          </w:tcPr>
          <w:p w14:paraId="67EE3F41">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c>
          <w:tcPr>
            <w:tcW w:w="1010" w:type="dxa"/>
            <w:tcBorders>
              <w:top w:val="single" w:color="000000" w:sz="4" w:space="0"/>
              <w:left w:val="single" w:color="000000" w:sz="4" w:space="0"/>
              <w:bottom w:val="single" w:color="000000" w:sz="4" w:space="0"/>
              <w:right w:val="single" w:color="000000" w:sz="4" w:space="0"/>
            </w:tcBorders>
            <w:noWrap w:val="0"/>
            <w:vAlign w:val="top"/>
          </w:tcPr>
          <w:p w14:paraId="6351735B">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c>
          <w:tcPr>
            <w:tcW w:w="686" w:type="dxa"/>
            <w:tcBorders>
              <w:top w:val="single" w:color="000000" w:sz="4" w:space="0"/>
              <w:left w:val="single" w:color="000000" w:sz="4" w:space="0"/>
              <w:bottom w:val="single" w:color="000000" w:sz="4" w:space="0"/>
              <w:right w:val="single" w:color="000000" w:sz="4" w:space="0"/>
            </w:tcBorders>
            <w:noWrap w:val="0"/>
            <w:vAlign w:val="top"/>
          </w:tcPr>
          <w:p w14:paraId="102FFD5F">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c>
          <w:tcPr>
            <w:tcW w:w="752" w:type="dxa"/>
            <w:tcBorders>
              <w:top w:val="single" w:color="000000" w:sz="4" w:space="0"/>
              <w:left w:val="single" w:color="000000" w:sz="4" w:space="0"/>
              <w:bottom w:val="single" w:color="000000" w:sz="4" w:space="0"/>
              <w:right w:val="single" w:color="000000" w:sz="4" w:space="0"/>
            </w:tcBorders>
            <w:noWrap w:val="0"/>
            <w:vAlign w:val="top"/>
          </w:tcPr>
          <w:p w14:paraId="7D723F04">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c>
          <w:tcPr>
            <w:tcW w:w="1237" w:type="dxa"/>
            <w:tcBorders>
              <w:top w:val="single" w:color="000000" w:sz="4" w:space="0"/>
              <w:left w:val="single" w:color="000000" w:sz="4" w:space="0"/>
              <w:bottom w:val="single" w:color="000000" w:sz="4" w:space="0"/>
              <w:right w:val="single" w:color="000000" w:sz="4" w:space="0"/>
            </w:tcBorders>
            <w:noWrap w:val="0"/>
            <w:vAlign w:val="top"/>
          </w:tcPr>
          <w:p w14:paraId="703B8A91">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c>
          <w:tcPr>
            <w:tcW w:w="892" w:type="dxa"/>
            <w:tcBorders>
              <w:top w:val="single" w:color="000000" w:sz="4" w:space="0"/>
              <w:left w:val="single" w:color="000000" w:sz="4" w:space="0"/>
              <w:bottom w:val="single" w:color="000000" w:sz="4" w:space="0"/>
              <w:right w:val="single" w:color="000000" w:sz="4" w:space="0"/>
            </w:tcBorders>
            <w:noWrap w:val="0"/>
            <w:vAlign w:val="top"/>
          </w:tcPr>
          <w:p w14:paraId="7B5C98DD">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c>
          <w:tcPr>
            <w:tcW w:w="1075" w:type="dxa"/>
            <w:tcBorders>
              <w:top w:val="single" w:color="000000" w:sz="4" w:space="0"/>
              <w:left w:val="single" w:color="000000" w:sz="4" w:space="0"/>
              <w:bottom w:val="single" w:color="000000" w:sz="4" w:space="0"/>
              <w:right w:val="single" w:color="000000" w:sz="4" w:space="0"/>
            </w:tcBorders>
            <w:noWrap w:val="0"/>
            <w:vAlign w:val="top"/>
          </w:tcPr>
          <w:p w14:paraId="2C531705">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c>
          <w:tcPr>
            <w:tcW w:w="706" w:type="dxa"/>
            <w:tcBorders>
              <w:top w:val="single" w:color="000000" w:sz="4" w:space="0"/>
              <w:left w:val="single" w:color="000000" w:sz="4" w:space="0"/>
              <w:bottom w:val="single" w:color="000000" w:sz="4" w:space="0"/>
              <w:right w:val="single" w:color="000000" w:sz="4" w:space="0"/>
            </w:tcBorders>
            <w:noWrap w:val="0"/>
            <w:vAlign w:val="top"/>
          </w:tcPr>
          <w:p w14:paraId="45D0ED68">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r>
    </w:tbl>
    <w:p w14:paraId="2A1FBBEB">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p w14:paraId="48EE3835">
      <w:pPr>
        <w:pStyle w:val="4"/>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sz w:val="21"/>
          <w:szCs w:val="21"/>
          <w:highlight w:val="none"/>
          <w:shd w:val="clear" w:color="auto" w:fill="auto"/>
        </w:rPr>
      </w:pPr>
      <w:bookmarkStart w:id="1972" w:name="_Toc19045"/>
      <w:bookmarkStart w:id="1973" w:name="_Toc207443045"/>
      <w:bookmarkStart w:id="1974" w:name="_Toc369505649"/>
      <w:bookmarkStart w:id="1975" w:name="_Toc267582082"/>
      <w:bookmarkStart w:id="1976" w:name="_Toc389146016"/>
      <w:bookmarkStart w:id="1977" w:name="_Toc455670865"/>
      <w:bookmarkStart w:id="1978" w:name="_Toc15587"/>
      <w:r>
        <w:rPr>
          <w:rFonts w:hint="eastAsia" w:ascii="宋体" w:hAnsi="宋体" w:eastAsia="宋体" w:cs="宋体"/>
          <w:color w:val="000000"/>
          <w:sz w:val="21"/>
          <w:szCs w:val="21"/>
          <w:highlight w:val="none"/>
          <w:shd w:val="clear" w:color="auto" w:fill="auto"/>
        </w:rPr>
        <w:t>附表二：拟配备本标段的试验和检测仪器设备表</w:t>
      </w:r>
      <w:bookmarkEnd w:id="1972"/>
      <w:bookmarkEnd w:id="1973"/>
      <w:bookmarkEnd w:id="1974"/>
      <w:bookmarkEnd w:id="1975"/>
      <w:bookmarkEnd w:id="1976"/>
      <w:bookmarkEnd w:id="1977"/>
      <w:bookmarkEnd w:id="1978"/>
    </w:p>
    <w:tbl>
      <w:tblPr>
        <w:tblStyle w:val="34"/>
        <w:tblW w:w="0" w:type="auto"/>
        <w:tblInd w:w="114" w:type="dxa"/>
        <w:tblLayout w:type="fixed"/>
        <w:tblCellMar>
          <w:top w:w="0" w:type="dxa"/>
          <w:left w:w="0" w:type="dxa"/>
          <w:bottom w:w="0" w:type="dxa"/>
          <w:right w:w="0" w:type="dxa"/>
        </w:tblCellMar>
      </w:tblPr>
      <w:tblGrid>
        <w:gridCol w:w="801"/>
        <w:gridCol w:w="1015"/>
        <w:gridCol w:w="780"/>
        <w:gridCol w:w="1118"/>
        <w:gridCol w:w="888"/>
        <w:gridCol w:w="1457"/>
        <w:gridCol w:w="1990"/>
        <w:gridCol w:w="826"/>
      </w:tblGrid>
      <w:tr w14:paraId="599B0909">
        <w:tblPrEx>
          <w:tblCellMar>
            <w:top w:w="0" w:type="dxa"/>
            <w:left w:w="0" w:type="dxa"/>
            <w:bottom w:w="0" w:type="dxa"/>
            <w:right w:w="0" w:type="dxa"/>
          </w:tblCellMar>
        </w:tblPrEx>
        <w:trPr>
          <w:trHeight w:val="936" w:hRule="exact"/>
        </w:trPr>
        <w:tc>
          <w:tcPr>
            <w:tcW w:w="801" w:type="dxa"/>
            <w:tcBorders>
              <w:top w:val="single" w:color="000000" w:sz="4" w:space="0"/>
              <w:left w:val="single" w:color="000000" w:sz="4" w:space="0"/>
              <w:bottom w:val="single" w:color="000000" w:sz="4" w:space="0"/>
              <w:right w:val="single" w:color="000000" w:sz="4" w:space="0"/>
            </w:tcBorders>
            <w:noWrap w:val="0"/>
            <w:vAlign w:val="center"/>
          </w:tcPr>
          <w:p w14:paraId="73FEA978">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序号</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14:paraId="7340BFF2">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型号规格</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4FD70CB">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数量</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4EFB0523">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国别产地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090D0795">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制造年份</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74240F0B">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已使用台时数</w:t>
            </w:r>
          </w:p>
        </w:tc>
        <w:tc>
          <w:tcPr>
            <w:tcW w:w="1990" w:type="dxa"/>
            <w:tcBorders>
              <w:top w:val="single" w:color="000000" w:sz="4" w:space="0"/>
              <w:left w:val="single" w:color="000000" w:sz="4" w:space="0"/>
              <w:bottom w:val="single" w:color="000000" w:sz="4" w:space="0"/>
              <w:right w:val="single" w:color="000000" w:sz="4" w:space="0"/>
            </w:tcBorders>
            <w:noWrap w:val="0"/>
            <w:vAlign w:val="center"/>
          </w:tcPr>
          <w:p w14:paraId="0E365701">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用途</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7B92F35">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备注</w:t>
            </w:r>
          </w:p>
        </w:tc>
      </w:tr>
      <w:tr w14:paraId="12F3C4F0">
        <w:tblPrEx>
          <w:tblCellMar>
            <w:top w:w="0" w:type="dxa"/>
            <w:left w:w="0" w:type="dxa"/>
            <w:bottom w:w="0" w:type="dxa"/>
            <w:right w:w="0" w:type="dxa"/>
          </w:tblCellMar>
        </w:tblPrEx>
        <w:trPr>
          <w:trHeight w:val="438" w:hRule="exact"/>
        </w:trPr>
        <w:tc>
          <w:tcPr>
            <w:tcW w:w="801" w:type="dxa"/>
            <w:tcBorders>
              <w:top w:val="single" w:color="000000" w:sz="4" w:space="0"/>
              <w:left w:val="single" w:color="000000" w:sz="4" w:space="0"/>
              <w:bottom w:val="single" w:color="000000" w:sz="4" w:space="0"/>
              <w:right w:val="single" w:color="000000" w:sz="4" w:space="0"/>
            </w:tcBorders>
            <w:noWrap w:val="0"/>
            <w:vAlign w:val="top"/>
          </w:tcPr>
          <w:p w14:paraId="4CD965D0">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c>
          <w:tcPr>
            <w:tcW w:w="1015" w:type="dxa"/>
            <w:tcBorders>
              <w:top w:val="single" w:color="000000" w:sz="4" w:space="0"/>
              <w:left w:val="single" w:color="000000" w:sz="4" w:space="0"/>
              <w:bottom w:val="single" w:color="000000" w:sz="4" w:space="0"/>
              <w:right w:val="single" w:color="000000" w:sz="4" w:space="0"/>
            </w:tcBorders>
            <w:noWrap w:val="0"/>
            <w:vAlign w:val="top"/>
          </w:tcPr>
          <w:p w14:paraId="5202AA2F">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c>
          <w:tcPr>
            <w:tcW w:w="780" w:type="dxa"/>
            <w:tcBorders>
              <w:top w:val="single" w:color="000000" w:sz="4" w:space="0"/>
              <w:left w:val="single" w:color="000000" w:sz="4" w:space="0"/>
              <w:bottom w:val="single" w:color="000000" w:sz="4" w:space="0"/>
              <w:right w:val="single" w:color="000000" w:sz="4" w:space="0"/>
            </w:tcBorders>
            <w:noWrap w:val="0"/>
            <w:vAlign w:val="top"/>
          </w:tcPr>
          <w:p w14:paraId="0840E917">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c>
          <w:tcPr>
            <w:tcW w:w="1118" w:type="dxa"/>
            <w:tcBorders>
              <w:top w:val="single" w:color="000000" w:sz="4" w:space="0"/>
              <w:left w:val="single" w:color="000000" w:sz="4" w:space="0"/>
              <w:bottom w:val="single" w:color="000000" w:sz="4" w:space="0"/>
              <w:right w:val="single" w:color="000000" w:sz="4" w:space="0"/>
            </w:tcBorders>
            <w:noWrap w:val="0"/>
            <w:vAlign w:val="top"/>
          </w:tcPr>
          <w:p w14:paraId="302A8F52">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c>
          <w:tcPr>
            <w:tcW w:w="888" w:type="dxa"/>
            <w:tcBorders>
              <w:top w:val="single" w:color="000000" w:sz="4" w:space="0"/>
              <w:left w:val="single" w:color="000000" w:sz="4" w:space="0"/>
              <w:bottom w:val="single" w:color="000000" w:sz="4" w:space="0"/>
              <w:right w:val="single" w:color="000000" w:sz="4" w:space="0"/>
            </w:tcBorders>
            <w:noWrap w:val="0"/>
            <w:vAlign w:val="top"/>
          </w:tcPr>
          <w:p w14:paraId="5552FDFE">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c>
          <w:tcPr>
            <w:tcW w:w="1457" w:type="dxa"/>
            <w:tcBorders>
              <w:top w:val="single" w:color="000000" w:sz="4" w:space="0"/>
              <w:left w:val="single" w:color="000000" w:sz="4" w:space="0"/>
              <w:bottom w:val="single" w:color="000000" w:sz="4" w:space="0"/>
              <w:right w:val="single" w:color="000000" w:sz="4" w:space="0"/>
            </w:tcBorders>
            <w:noWrap w:val="0"/>
            <w:vAlign w:val="top"/>
          </w:tcPr>
          <w:p w14:paraId="290AFA6C">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c>
          <w:tcPr>
            <w:tcW w:w="1990" w:type="dxa"/>
            <w:tcBorders>
              <w:top w:val="single" w:color="000000" w:sz="4" w:space="0"/>
              <w:left w:val="single" w:color="000000" w:sz="4" w:space="0"/>
              <w:bottom w:val="single" w:color="000000" w:sz="4" w:space="0"/>
              <w:right w:val="single" w:color="000000" w:sz="4" w:space="0"/>
            </w:tcBorders>
            <w:noWrap w:val="0"/>
            <w:vAlign w:val="top"/>
          </w:tcPr>
          <w:p w14:paraId="6D74FA0C">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c>
          <w:tcPr>
            <w:tcW w:w="826" w:type="dxa"/>
            <w:tcBorders>
              <w:top w:val="single" w:color="000000" w:sz="4" w:space="0"/>
              <w:left w:val="single" w:color="000000" w:sz="4" w:space="0"/>
              <w:bottom w:val="single" w:color="000000" w:sz="4" w:space="0"/>
              <w:right w:val="single" w:color="000000" w:sz="4" w:space="0"/>
            </w:tcBorders>
            <w:noWrap w:val="0"/>
            <w:vAlign w:val="top"/>
          </w:tcPr>
          <w:p w14:paraId="526140A7">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r>
      <w:tr w14:paraId="41260174">
        <w:tblPrEx>
          <w:tblCellMar>
            <w:top w:w="0" w:type="dxa"/>
            <w:left w:w="0" w:type="dxa"/>
            <w:bottom w:w="0" w:type="dxa"/>
            <w:right w:w="0" w:type="dxa"/>
          </w:tblCellMar>
        </w:tblPrEx>
        <w:trPr>
          <w:trHeight w:val="448" w:hRule="exact"/>
        </w:trPr>
        <w:tc>
          <w:tcPr>
            <w:tcW w:w="801" w:type="dxa"/>
            <w:tcBorders>
              <w:top w:val="single" w:color="000000" w:sz="4" w:space="0"/>
              <w:left w:val="single" w:color="000000" w:sz="4" w:space="0"/>
              <w:bottom w:val="single" w:color="000000" w:sz="4" w:space="0"/>
              <w:right w:val="single" w:color="000000" w:sz="4" w:space="0"/>
            </w:tcBorders>
            <w:noWrap w:val="0"/>
            <w:vAlign w:val="top"/>
          </w:tcPr>
          <w:p w14:paraId="39E99294">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c>
          <w:tcPr>
            <w:tcW w:w="1015" w:type="dxa"/>
            <w:tcBorders>
              <w:top w:val="single" w:color="000000" w:sz="4" w:space="0"/>
              <w:left w:val="single" w:color="000000" w:sz="4" w:space="0"/>
              <w:bottom w:val="single" w:color="000000" w:sz="4" w:space="0"/>
              <w:right w:val="single" w:color="000000" w:sz="4" w:space="0"/>
            </w:tcBorders>
            <w:noWrap w:val="0"/>
            <w:vAlign w:val="top"/>
          </w:tcPr>
          <w:p w14:paraId="1243933E">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c>
          <w:tcPr>
            <w:tcW w:w="780" w:type="dxa"/>
            <w:tcBorders>
              <w:top w:val="single" w:color="000000" w:sz="4" w:space="0"/>
              <w:left w:val="single" w:color="000000" w:sz="4" w:space="0"/>
              <w:bottom w:val="single" w:color="000000" w:sz="4" w:space="0"/>
              <w:right w:val="single" w:color="000000" w:sz="4" w:space="0"/>
            </w:tcBorders>
            <w:noWrap w:val="0"/>
            <w:vAlign w:val="top"/>
          </w:tcPr>
          <w:p w14:paraId="0243AC46">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c>
          <w:tcPr>
            <w:tcW w:w="1118" w:type="dxa"/>
            <w:tcBorders>
              <w:top w:val="single" w:color="000000" w:sz="4" w:space="0"/>
              <w:left w:val="single" w:color="000000" w:sz="4" w:space="0"/>
              <w:bottom w:val="single" w:color="000000" w:sz="4" w:space="0"/>
              <w:right w:val="single" w:color="000000" w:sz="4" w:space="0"/>
            </w:tcBorders>
            <w:noWrap w:val="0"/>
            <w:vAlign w:val="top"/>
          </w:tcPr>
          <w:p w14:paraId="21BAE2A5">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c>
          <w:tcPr>
            <w:tcW w:w="888" w:type="dxa"/>
            <w:tcBorders>
              <w:top w:val="single" w:color="000000" w:sz="4" w:space="0"/>
              <w:left w:val="single" w:color="000000" w:sz="4" w:space="0"/>
              <w:bottom w:val="single" w:color="000000" w:sz="4" w:space="0"/>
              <w:right w:val="single" w:color="000000" w:sz="4" w:space="0"/>
            </w:tcBorders>
            <w:noWrap w:val="0"/>
            <w:vAlign w:val="top"/>
          </w:tcPr>
          <w:p w14:paraId="71F56D0F">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c>
          <w:tcPr>
            <w:tcW w:w="1457" w:type="dxa"/>
            <w:tcBorders>
              <w:top w:val="single" w:color="000000" w:sz="4" w:space="0"/>
              <w:left w:val="single" w:color="000000" w:sz="4" w:space="0"/>
              <w:bottom w:val="single" w:color="000000" w:sz="4" w:space="0"/>
              <w:right w:val="single" w:color="000000" w:sz="4" w:space="0"/>
            </w:tcBorders>
            <w:noWrap w:val="0"/>
            <w:vAlign w:val="top"/>
          </w:tcPr>
          <w:p w14:paraId="4AFD2CEB">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c>
          <w:tcPr>
            <w:tcW w:w="1990" w:type="dxa"/>
            <w:tcBorders>
              <w:top w:val="single" w:color="000000" w:sz="4" w:space="0"/>
              <w:left w:val="single" w:color="000000" w:sz="4" w:space="0"/>
              <w:bottom w:val="single" w:color="000000" w:sz="4" w:space="0"/>
              <w:right w:val="single" w:color="000000" w:sz="4" w:space="0"/>
            </w:tcBorders>
            <w:noWrap w:val="0"/>
            <w:vAlign w:val="top"/>
          </w:tcPr>
          <w:p w14:paraId="5C2CE024">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c>
          <w:tcPr>
            <w:tcW w:w="826" w:type="dxa"/>
            <w:tcBorders>
              <w:top w:val="single" w:color="000000" w:sz="4" w:space="0"/>
              <w:left w:val="single" w:color="000000" w:sz="4" w:space="0"/>
              <w:bottom w:val="single" w:color="000000" w:sz="4" w:space="0"/>
              <w:right w:val="single" w:color="000000" w:sz="4" w:space="0"/>
            </w:tcBorders>
            <w:noWrap w:val="0"/>
            <w:vAlign w:val="top"/>
          </w:tcPr>
          <w:p w14:paraId="58778843">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r>
    </w:tbl>
    <w:p w14:paraId="55229E59">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sz w:val="21"/>
          <w:szCs w:val="21"/>
          <w:highlight w:val="none"/>
          <w:shd w:val="clear" w:color="auto" w:fill="auto"/>
        </w:rPr>
      </w:pPr>
      <w:bookmarkStart w:id="1979" w:name="_Toc207443046"/>
      <w:bookmarkStart w:id="1980" w:name="_Toc369505650"/>
      <w:bookmarkStart w:id="1981" w:name="_Toc455670866"/>
      <w:bookmarkStart w:id="1982" w:name="_Toc389146017"/>
      <w:bookmarkStart w:id="1983" w:name="_Toc267582083"/>
    </w:p>
    <w:p w14:paraId="2523C1F3">
      <w:pPr>
        <w:pStyle w:val="4"/>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sz w:val="21"/>
          <w:szCs w:val="21"/>
          <w:highlight w:val="none"/>
          <w:shd w:val="clear" w:color="auto" w:fill="auto"/>
        </w:rPr>
      </w:pPr>
      <w:bookmarkStart w:id="1984" w:name="_Toc24901"/>
      <w:bookmarkStart w:id="1985" w:name="_Toc25125"/>
      <w:r>
        <w:rPr>
          <w:rFonts w:hint="eastAsia" w:ascii="宋体" w:hAnsi="宋体" w:eastAsia="宋体" w:cs="宋体"/>
          <w:color w:val="000000"/>
          <w:sz w:val="21"/>
          <w:szCs w:val="21"/>
          <w:highlight w:val="none"/>
          <w:shd w:val="clear" w:color="auto" w:fill="auto"/>
        </w:rPr>
        <w:t>附表三：劳动力计划表</w:t>
      </w:r>
      <w:bookmarkEnd w:id="1979"/>
      <w:bookmarkEnd w:id="1980"/>
      <w:bookmarkEnd w:id="1981"/>
      <w:bookmarkEnd w:id="1982"/>
      <w:bookmarkEnd w:id="1983"/>
      <w:bookmarkEnd w:id="1984"/>
      <w:bookmarkEnd w:id="1985"/>
    </w:p>
    <w:p w14:paraId="56307E7B">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 xml:space="preserve">                                                           单位：人</w:t>
      </w:r>
    </w:p>
    <w:tbl>
      <w:tblPr>
        <w:tblStyle w:val="34"/>
        <w:tblW w:w="0" w:type="auto"/>
        <w:tblInd w:w="102" w:type="dxa"/>
        <w:tblLayout w:type="fixed"/>
        <w:tblCellMar>
          <w:top w:w="0" w:type="dxa"/>
          <w:left w:w="0" w:type="dxa"/>
          <w:bottom w:w="0" w:type="dxa"/>
          <w:right w:w="0" w:type="dxa"/>
        </w:tblCellMar>
      </w:tblPr>
      <w:tblGrid>
        <w:gridCol w:w="877"/>
        <w:gridCol w:w="1381"/>
        <w:gridCol w:w="1126"/>
        <w:gridCol w:w="1128"/>
        <w:gridCol w:w="1126"/>
        <w:gridCol w:w="1129"/>
        <w:gridCol w:w="1126"/>
        <w:gridCol w:w="1127"/>
      </w:tblGrid>
      <w:tr w14:paraId="262BDF84">
        <w:tblPrEx>
          <w:tblCellMar>
            <w:top w:w="0" w:type="dxa"/>
            <w:left w:w="0" w:type="dxa"/>
            <w:bottom w:w="0" w:type="dxa"/>
            <w:right w:w="0" w:type="dxa"/>
          </w:tblCellMar>
        </w:tblPrEx>
        <w:trPr>
          <w:trHeight w:val="448" w:hRule="exact"/>
        </w:trPr>
        <w:tc>
          <w:tcPr>
            <w:tcW w:w="877" w:type="dxa"/>
            <w:tcBorders>
              <w:top w:val="single" w:color="000000" w:sz="4" w:space="0"/>
              <w:left w:val="single" w:color="000000" w:sz="4" w:space="0"/>
              <w:bottom w:val="single" w:color="000000" w:sz="4" w:space="0"/>
              <w:right w:val="single" w:color="000000" w:sz="4" w:space="0"/>
            </w:tcBorders>
            <w:noWrap w:val="0"/>
            <w:vAlign w:val="top"/>
          </w:tcPr>
          <w:p w14:paraId="30AFB13F">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工种</w:t>
            </w:r>
          </w:p>
        </w:tc>
        <w:tc>
          <w:tcPr>
            <w:tcW w:w="8143" w:type="dxa"/>
            <w:gridSpan w:val="7"/>
            <w:tcBorders>
              <w:top w:val="single" w:color="000000" w:sz="4" w:space="0"/>
              <w:left w:val="single" w:color="000000" w:sz="4" w:space="0"/>
              <w:bottom w:val="single" w:color="000000" w:sz="4" w:space="0"/>
              <w:right w:val="single" w:color="000000" w:sz="4" w:space="0"/>
            </w:tcBorders>
            <w:noWrap w:val="0"/>
            <w:vAlign w:val="top"/>
          </w:tcPr>
          <w:p w14:paraId="4A9631A5">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按工程施工阶段投入劳动力情况</w:t>
            </w:r>
          </w:p>
        </w:tc>
      </w:tr>
      <w:tr w14:paraId="268BBE93">
        <w:tblPrEx>
          <w:tblCellMar>
            <w:top w:w="0" w:type="dxa"/>
            <w:left w:w="0" w:type="dxa"/>
            <w:bottom w:w="0" w:type="dxa"/>
            <w:right w:w="0" w:type="dxa"/>
          </w:tblCellMar>
        </w:tblPrEx>
        <w:trPr>
          <w:trHeight w:val="448" w:hRule="exact"/>
        </w:trPr>
        <w:tc>
          <w:tcPr>
            <w:tcW w:w="877" w:type="dxa"/>
            <w:tcBorders>
              <w:top w:val="single" w:color="000000" w:sz="4" w:space="0"/>
              <w:left w:val="single" w:color="000000" w:sz="4" w:space="0"/>
              <w:bottom w:val="single" w:color="000000" w:sz="4" w:space="0"/>
              <w:right w:val="single" w:color="000000" w:sz="4" w:space="0"/>
            </w:tcBorders>
            <w:noWrap w:val="0"/>
            <w:vAlign w:val="top"/>
          </w:tcPr>
          <w:p w14:paraId="2941BE7C">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14:paraId="6C61C6B2">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c>
          <w:tcPr>
            <w:tcW w:w="1126" w:type="dxa"/>
            <w:tcBorders>
              <w:top w:val="single" w:color="000000" w:sz="4" w:space="0"/>
              <w:left w:val="single" w:color="000000" w:sz="4" w:space="0"/>
              <w:bottom w:val="single" w:color="000000" w:sz="4" w:space="0"/>
              <w:right w:val="single" w:color="000000" w:sz="4" w:space="0"/>
            </w:tcBorders>
            <w:noWrap w:val="0"/>
            <w:vAlign w:val="top"/>
          </w:tcPr>
          <w:p w14:paraId="7AF18241">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c>
          <w:tcPr>
            <w:tcW w:w="1128" w:type="dxa"/>
            <w:tcBorders>
              <w:top w:val="single" w:color="000000" w:sz="4" w:space="0"/>
              <w:left w:val="single" w:color="000000" w:sz="4" w:space="0"/>
              <w:bottom w:val="single" w:color="000000" w:sz="4" w:space="0"/>
              <w:right w:val="single" w:color="000000" w:sz="4" w:space="0"/>
            </w:tcBorders>
            <w:noWrap w:val="0"/>
            <w:vAlign w:val="top"/>
          </w:tcPr>
          <w:p w14:paraId="4BE771B4">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c>
          <w:tcPr>
            <w:tcW w:w="1126" w:type="dxa"/>
            <w:tcBorders>
              <w:top w:val="single" w:color="000000" w:sz="4" w:space="0"/>
              <w:left w:val="single" w:color="000000" w:sz="4" w:space="0"/>
              <w:bottom w:val="single" w:color="000000" w:sz="4" w:space="0"/>
              <w:right w:val="single" w:color="000000" w:sz="4" w:space="0"/>
            </w:tcBorders>
            <w:noWrap w:val="0"/>
            <w:vAlign w:val="top"/>
          </w:tcPr>
          <w:p w14:paraId="41F94A1C">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c>
          <w:tcPr>
            <w:tcW w:w="1129" w:type="dxa"/>
            <w:tcBorders>
              <w:top w:val="single" w:color="000000" w:sz="4" w:space="0"/>
              <w:left w:val="single" w:color="000000" w:sz="4" w:space="0"/>
              <w:bottom w:val="single" w:color="000000" w:sz="4" w:space="0"/>
              <w:right w:val="single" w:color="000000" w:sz="4" w:space="0"/>
            </w:tcBorders>
            <w:noWrap w:val="0"/>
            <w:vAlign w:val="top"/>
          </w:tcPr>
          <w:p w14:paraId="6C5BA1C8">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c>
          <w:tcPr>
            <w:tcW w:w="1126" w:type="dxa"/>
            <w:tcBorders>
              <w:top w:val="single" w:color="000000" w:sz="4" w:space="0"/>
              <w:left w:val="single" w:color="000000" w:sz="4" w:space="0"/>
              <w:bottom w:val="single" w:color="000000" w:sz="4" w:space="0"/>
              <w:right w:val="single" w:color="000000" w:sz="4" w:space="0"/>
            </w:tcBorders>
            <w:noWrap w:val="0"/>
            <w:vAlign w:val="top"/>
          </w:tcPr>
          <w:p w14:paraId="41D4CCF4">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c>
          <w:tcPr>
            <w:tcW w:w="1127" w:type="dxa"/>
            <w:tcBorders>
              <w:top w:val="single" w:color="000000" w:sz="4" w:space="0"/>
              <w:left w:val="single" w:color="000000" w:sz="4" w:space="0"/>
              <w:bottom w:val="single" w:color="000000" w:sz="4" w:space="0"/>
              <w:right w:val="single" w:color="000000" w:sz="4" w:space="0"/>
            </w:tcBorders>
            <w:noWrap w:val="0"/>
            <w:vAlign w:val="top"/>
          </w:tcPr>
          <w:p w14:paraId="609BD9AD">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r>
      <w:tr w14:paraId="42F94196">
        <w:tblPrEx>
          <w:tblCellMar>
            <w:top w:w="0" w:type="dxa"/>
            <w:left w:w="0" w:type="dxa"/>
            <w:bottom w:w="0" w:type="dxa"/>
            <w:right w:w="0" w:type="dxa"/>
          </w:tblCellMar>
        </w:tblPrEx>
        <w:trPr>
          <w:trHeight w:val="458" w:hRule="exact"/>
        </w:trPr>
        <w:tc>
          <w:tcPr>
            <w:tcW w:w="877" w:type="dxa"/>
            <w:tcBorders>
              <w:top w:val="single" w:color="000000" w:sz="4" w:space="0"/>
              <w:left w:val="single" w:color="000000" w:sz="4" w:space="0"/>
              <w:bottom w:val="single" w:color="000000" w:sz="4" w:space="0"/>
              <w:right w:val="single" w:color="000000" w:sz="4" w:space="0"/>
            </w:tcBorders>
            <w:noWrap w:val="0"/>
            <w:vAlign w:val="top"/>
          </w:tcPr>
          <w:p w14:paraId="51FB068C">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14:paraId="406E31F5">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c>
          <w:tcPr>
            <w:tcW w:w="1126" w:type="dxa"/>
            <w:tcBorders>
              <w:top w:val="single" w:color="000000" w:sz="4" w:space="0"/>
              <w:left w:val="single" w:color="000000" w:sz="4" w:space="0"/>
              <w:bottom w:val="single" w:color="000000" w:sz="4" w:space="0"/>
              <w:right w:val="single" w:color="000000" w:sz="4" w:space="0"/>
            </w:tcBorders>
            <w:noWrap w:val="0"/>
            <w:vAlign w:val="top"/>
          </w:tcPr>
          <w:p w14:paraId="498A256F">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c>
          <w:tcPr>
            <w:tcW w:w="1128" w:type="dxa"/>
            <w:tcBorders>
              <w:top w:val="single" w:color="000000" w:sz="4" w:space="0"/>
              <w:left w:val="single" w:color="000000" w:sz="4" w:space="0"/>
              <w:bottom w:val="single" w:color="000000" w:sz="4" w:space="0"/>
              <w:right w:val="single" w:color="000000" w:sz="4" w:space="0"/>
            </w:tcBorders>
            <w:noWrap w:val="0"/>
            <w:vAlign w:val="top"/>
          </w:tcPr>
          <w:p w14:paraId="676C4C14">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c>
          <w:tcPr>
            <w:tcW w:w="1126" w:type="dxa"/>
            <w:tcBorders>
              <w:top w:val="single" w:color="000000" w:sz="4" w:space="0"/>
              <w:left w:val="single" w:color="000000" w:sz="4" w:space="0"/>
              <w:bottom w:val="single" w:color="000000" w:sz="4" w:space="0"/>
              <w:right w:val="single" w:color="000000" w:sz="4" w:space="0"/>
            </w:tcBorders>
            <w:noWrap w:val="0"/>
            <w:vAlign w:val="top"/>
          </w:tcPr>
          <w:p w14:paraId="4A2FE28E">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c>
          <w:tcPr>
            <w:tcW w:w="1129" w:type="dxa"/>
            <w:tcBorders>
              <w:top w:val="single" w:color="000000" w:sz="4" w:space="0"/>
              <w:left w:val="single" w:color="000000" w:sz="4" w:space="0"/>
              <w:bottom w:val="single" w:color="000000" w:sz="4" w:space="0"/>
              <w:right w:val="single" w:color="000000" w:sz="4" w:space="0"/>
            </w:tcBorders>
            <w:noWrap w:val="0"/>
            <w:vAlign w:val="top"/>
          </w:tcPr>
          <w:p w14:paraId="2CCCDA59">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c>
          <w:tcPr>
            <w:tcW w:w="1126" w:type="dxa"/>
            <w:tcBorders>
              <w:top w:val="single" w:color="000000" w:sz="4" w:space="0"/>
              <w:left w:val="single" w:color="000000" w:sz="4" w:space="0"/>
              <w:bottom w:val="single" w:color="000000" w:sz="4" w:space="0"/>
              <w:right w:val="single" w:color="000000" w:sz="4" w:space="0"/>
            </w:tcBorders>
            <w:noWrap w:val="0"/>
            <w:vAlign w:val="top"/>
          </w:tcPr>
          <w:p w14:paraId="021FFDCD">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c>
          <w:tcPr>
            <w:tcW w:w="1127" w:type="dxa"/>
            <w:tcBorders>
              <w:top w:val="single" w:color="000000" w:sz="4" w:space="0"/>
              <w:left w:val="single" w:color="000000" w:sz="4" w:space="0"/>
              <w:bottom w:val="single" w:color="000000" w:sz="4" w:space="0"/>
              <w:right w:val="single" w:color="000000" w:sz="4" w:space="0"/>
            </w:tcBorders>
            <w:noWrap w:val="0"/>
            <w:vAlign w:val="top"/>
          </w:tcPr>
          <w:p w14:paraId="076C153E">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r>
    </w:tbl>
    <w:p w14:paraId="4858F202">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p w14:paraId="001A8048">
      <w:pPr>
        <w:pStyle w:val="4"/>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sz w:val="21"/>
          <w:szCs w:val="21"/>
          <w:highlight w:val="none"/>
          <w:shd w:val="clear" w:color="auto" w:fill="auto"/>
        </w:rPr>
      </w:pPr>
      <w:bookmarkStart w:id="1986" w:name="_Toc207443047"/>
      <w:bookmarkStart w:id="1987" w:name="_Toc369505651"/>
      <w:bookmarkStart w:id="1988" w:name="_Toc8444"/>
      <w:bookmarkStart w:id="1989" w:name="_Toc32738"/>
      <w:bookmarkStart w:id="1990" w:name="_Toc389146018"/>
      <w:bookmarkStart w:id="1991" w:name="_Toc267582084"/>
      <w:bookmarkStart w:id="1992" w:name="_Toc455670867"/>
      <w:r>
        <w:rPr>
          <w:rFonts w:hint="eastAsia" w:ascii="宋体" w:hAnsi="宋体" w:eastAsia="宋体" w:cs="宋体"/>
          <w:color w:val="000000"/>
          <w:sz w:val="21"/>
          <w:szCs w:val="21"/>
          <w:highlight w:val="none"/>
          <w:shd w:val="clear" w:color="auto" w:fill="auto"/>
        </w:rPr>
        <w:t>附表四：计划开、竣工日期和施工进度网络图</w:t>
      </w:r>
      <w:bookmarkEnd w:id="1986"/>
      <w:bookmarkEnd w:id="1987"/>
      <w:bookmarkEnd w:id="1988"/>
      <w:bookmarkEnd w:id="1989"/>
      <w:bookmarkEnd w:id="1990"/>
      <w:bookmarkEnd w:id="1991"/>
      <w:bookmarkEnd w:id="1992"/>
    </w:p>
    <w:p w14:paraId="1DBA2AAA">
      <w:pPr>
        <w:pageBreakBefore w:val="0"/>
        <w:kinsoku/>
        <w:wordWrap/>
        <w:overflowPunct/>
        <w:topLinePunct w:val="0"/>
        <w:bidi w:val="0"/>
        <w:adjustRightInd/>
        <w:spacing w:line="360" w:lineRule="auto"/>
        <w:ind w:left="0" w:leftChars="0" w:right="0" w:firstLine="424" w:firstLineChars="202"/>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 xml:space="preserve">1. </w:t>
      </w:r>
      <w:r>
        <w:rPr>
          <w:rFonts w:hint="eastAsia" w:ascii="宋体" w:hAnsi="宋体" w:eastAsia="宋体" w:cs="宋体"/>
          <w:color w:val="000000"/>
          <w:spacing w:val="1"/>
          <w:kern w:val="0"/>
          <w:sz w:val="21"/>
          <w:szCs w:val="21"/>
          <w:highlight w:val="none"/>
          <w:shd w:val="clear" w:color="auto" w:fill="auto"/>
        </w:rPr>
        <w:t>供应商</w:t>
      </w:r>
      <w:r>
        <w:rPr>
          <w:rFonts w:hint="eastAsia" w:ascii="宋体" w:hAnsi="宋体" w:eastAsia="宋体" w:cs="宋体"/>
          <w:color w:val="000000"/>
          <w:spacing w:val="2"/>
          <w:kern w:val="0"/>
          <w:sz w:val="21"/>
          <w:szCs w:val="21"/>
          <w:highlight w:val="none"/>
          <w:shd w:val="clear" w:color="auto" w:fill="auto"/>
        </w:rPr>
        <w:t>应</w:t>
      </w:r>
      <w:r>
        <w:rPr>
          <w:rFonts w:hint="eastAsia" w:ascii="宋体" w:hAnsi="宋体" w:eastAsia="宋体" w:cs="宋体"/>
          <w:color w:val="000000"/>
          <w:spacing w:val="1"/>
          <w:kern w:val="0"/>
          <w:sz w:val="21"/>
          <w:szCs w:val="21"/>
          <w:highlight w:val="none"/>
          <w:shd w:val="clear" w:color="auto" w:fill="auto"/>
        </w:rPr>
        <w:t>递交</w:t>
      </w:r>
      <w:r>
        <w:rPr>
          <w:rFonts w:hint="eastAsia" w:ascii="宋体" w:hAnsi="宋体" w:eastAsia="宋体" w:cs="宋体"/>
          <w:color w:val="000000"/>
          <w:spacing w:val="2"/>
          <w:kern w:val="0"/>
          <w:sz w:val="21"/>
          <w:szCs w:val="21"/>
          <w:highlight w:val="none"/>
          <w:shd w:val="clear" w:color="auto" w:fill="auto"/>
        </w:rPr>
        <w:t>施</w:t>
      </w:r>
      <w:r>
        <w:rPr>
          <w:rFonts w:hint="eastAsia" w:ascii="宋体" w:hAnsi="宋体" w:eastAsia="宋体" w:cs="宋体"/>
          <w:color w:val="000000"/>
          <w:spacing w:val="1"/>
          <w:kern w:val="0"/>
          <w:sz w:val="21"/>
          <w:szCs w:val="21"/>
          <w:highlight w:val="none"/>
          <w:shd w:val="clear" w:color="auto" w:fill="auto"/>
        </w:rPr>
        <w:t>工</w:t>
      </w:r>
      <w:r>
        <w:rPr>
          <w:rFonts w:hint="eastAsia" w:ascii="宋体" w:hAnsi="宋体" w:eastAsia="宋体" w:cs="宋体"/>
          <w:color w:val="000000"/>
          <w:spacing w:val="2"/>
          <w:kern w:val="0"/>
          <w:sz w:val="21"/>
          <w:szCs w:val="21"/>
          <w:highlight w:val="none"/>
          <w:shd w:val="clear" w:color="auto" w:fill="auto"/>
        </w:rPr>
        <w:t>进</w:t>
      </w:r>
      <w:r>
        <w:rPr>
          <w:rFonts w:hint="eastAsia" w:ascii="宋体" w:hAnsi="宋体" w:eastAsia="宋体" w:cs="宋体"/>
          <w:color w:val="000000"/>
          <w:spacing w:val="1"/>
          <w:kern w:val="0"/>
          <w:sz w:val="21"/>
          <w:szCs w:val="21"/>
          <w:highlight w:val="none"/>
          <w:shd w:val="clear" w:color="auto" w:fill="auto"/>
        </w:rPr>
        <w:t>度网</w:t>
      </w:r>
      <w:r>
        <w:rPr>
          <w:rFonts w:hint="eastAsia" w:ascii="宋体" w:hAnsi="宋体" w:eastAsia="宋体" w:cs="宋体"/>
          <w:color w:val="000000"/>
          <w:spacing w:val="2"/>
          <w:kern w:val="0"/>
          <w:sz w:val="21"/>
          <w:szCs w:val="21"/>
          <w:highlight w:val="none"/>
          <w:shd w:val="clear" w:color="auto" w:fill="auto"/>
        </w:rPr>
        <w:t>络</w:t>
      </w:r>
      <w:r>
        <w:rPr>
          <w:rFonts w:hint="eastAsia" w:ascii="宋体" w:hAnsi="宋体" w:eastAsia="宋体" w:cs="宋体"/>
          <w:color w:val="000000"/>
          <w:spacing w:val="1"/>
          <w:kern w:val="0"/>
          <w:sz w:val="21"/>
          <w:szCs w:val="21"/>
          <w:highlight w:val="none"/>
          <w:shd w:val="clear" w:color="auto" w:fill="auto"/>
        </w:rPr>
        <w:t>图</w:t>
      </w:r>
      <w:r>
        <w:rPr>
          <w:rFonts w:hint="eastAsia" w:ascii="宋体" w:hAnsi="宋体" w:eastAsia="宋体" w:cs="宋体"/>
          <w:color w:val="000000"/>
          <w:spacing w:val="2"/>
          <w:kern w:val="0"/>
          <w:sz w:val="21"/>
          <w:szCs w:val="21"/>
          <w:highlight w:val="none"/>
          <w:shd w:val="clear" w:color="auto" w:fill="auto"/>
        </w:rPr>
        <w:t>及横</w:t>
      </w:r>
      <w:r>
        <w:rPr>
          <w:rFonts w:hint="eastAsia" w:ascii="宋体" w:hAnsi="宋体" w:eastAsia="宋体" w:cs="宋体"/>
          <w:color w:val="000000"/>
          <w:kern w:val="0"/>
          <w:sz w:val="21"/>
          <w:szCs w:val="21"/>
          <w:highlight w:val="none"/>
          <w:shd w:val="clear" w:color="auto" w:fill="auto"/>
        </w:rPr>
        <w:t>道图</w:t>
      </w:r>
      <w:r>
        <w:rPr>
          <w:rFonts w:hint="eastAsia" w:ascii="宋体" w:hAnsi="宋体" w:eastAsia="宋体" w:cs="宋体"/>
          <w:color w:val="000000"/>
          <w:spacing w:val="1"/>
          <w:kern w:val="0"/>
          <w:sz w:val="21"/>
          <w:szCs w:val="21"/>
          <w:highlight w:val="none"/>
          <w:shd w:val="clear" w:color="auto" w:fill="auto"/>
        </w:rPr>
        <w:t>，说</w:t>
      </w:r>
      <w:r>
        <w:rPr>
          <w:rFonts w:hint="eastAsia" w:ascii="宋体" w:hAnsi="宋体" w:eastAsia="宋体" w:cs="宋体"/>
          <w:color w:val="000000"/>
          <w:spacing w:val="2"/>
          <w:kern w:val="0"/>
          <w:sz w:val="21"/>
          <w:szCs w:val="21"/>
          <w:highlight w:val="none"/>
          <w:shd w:val="clear" w:color="auto" w:fill="auto"/>
        </w:rPr>
        <w:t>明</w:t>
      </w:r>
      <w:r>
        <w:rPr>
          <w:rFonts w:hint="eastAsia" w:ascii="宋体" w:hAnsi="宋体" w:eastAsia="宋体" w:cs="宋体"/>
          <w:color w:val="000000"/>
          <w:spacing w:val="1"/>
          <w:kern w:val="0"/>
          <w:sz w:val="21"/>
          <w:szCs w:val="21"/>
          <w:highlight w:val="none"/>
          <w:shd w:val="clear" w:color="auto" w:fill="auto"/>
        </w:rPr>
        <w:t>按</w:t>
      </w:r>
      <w:r>
        <w:rPr>
          <w:rFonts w:hint="eastAsia" w:ascii="宋体" w:hAnsi="宋体" w:eastAsia="宋体" w:cs="宋体"/>
          <w:color w:val="000000"/>
          <w:spacing w:val="2"/>
          <w:kern w:val="0"/>
          <w:sz w:val="21"/>
          <w:szCs w:val="21"/>
          <w:highlight w:val="none"/>
          <w:shd w:val="clear" w:color="auto" w:fill="auto"/>
        </w:rPr>
        <w:t>竞争性磋商文件</w:t>
      </w:r>
      <w:r>
        <w:rPr>
          <w:rFonts w:hint="eastAsia" w:ascii="宋体" w:hAnsi="宋体" w:eastAsia="宋体" w:cs="宋体"/>
          <w:color w:val="000000"/>
          <w:spacing w:val="1"/>
          <w:kern w:val="0"/>
          <w:sz w:val="21"/>
          <w:szCs w:val="21"/>
          <w:highlight w:val="none"/>
          <w:shd w:val="clear" w:color="auto" w:fill="auto"/>
        </w:rPr>
        <w:t>要</w:t>
      </w:r>
      <w:r>
        <w:rPr>
          <w:rFonts w:hint="eastAsia" w:ascii="宋体" w:hAnsi="宋体" w:eastAsia="宋体" w:cs="宋体"/>
          <w:color w:val="000000"/>
          <w:spacing w:val="2"/>
          <w:kern w:val="0"/>
          <w:sz w:val="21"/>
          <w:szCs w:val="21"/>
          <w:highlight w:val="none"/>
          <w:shd w:val="clear" w:color="auto" w:fill="auto"/>
        </w:rPr>
        <w:t>求</w:t>
      </w:r>
      <w:r>
        <w:rPr>
          <w:rFonts w:hint="eastAsia" w:ascii="宋体" w:hAnsi="宋体" w:eastAsia="宋体" w:cs="宋体"/>
          <w:color w:val="000000"/>
          <w:spacing w:val="1"/>
          <w:kern w:val="0"/>
          <w:sz w:val="21"/>
          <w:szCs w:val="21"/>
          <w:highlight w:val="none"/>
          <w:shd w:val="clear" w:color="auto" w:fill="auto"/>
        </w:rPr>
        <w:t>的计</w:t>
      </w:r>
      <w:r>
        <w:rPr>
          <w:rFonts w:hint="eastAsia" w:ascii="宋体" w:hAnsi="宋体" w:eastAsia="宋体" w:cs="宋体"/>
          <w:color w:val="000000"/>
          <w:spacing w:val="2"/>
          <w:kern w:val="0"/>
          <w:sz w:val="21"/>
          <w:szCs w:val="21"/>
          <w:highlight w:val="none"/>
          <w:shd w:val="clear" w:color="auto" w:fill="auto"/>
        </w:rPr>
        <w:t>划</w:t>
      </w:r>
      <w:r>
        <w:rPr>
          <w:rFonts w:hint="eastAsia" w:ascii="宋体" w:hAnsi="宋体" w:eastAsia="宋体" w:cs="宋体"/>
          <w:color w:val="000000"/>
          <w:spacing w:val="1"/>
          <w:kern w:val="0"/>
          <w:sz w:val="21"/>
          <w:szCs w:val="21"/>
          <w:highlight w:val="none"/>
          <w:shd w:val="clear" w:color="auto" w:fill="auto"/>
        </w:rPr>
        <w:t>工</w:t>
      </w:r>
      <w:r>
        <w:rPr>
          <w:rFonts w:hint="eastAsia" w:ascii="宋体" w:hAnsi="宋体" w:eastAsia="宋体" w:cs="宋体"/>
          <w:color w:val="000000"/>
          <w:spacing w:val="4"/>
          <w:kern w:val="0"/>
          <w:sz w:val="21"/>
          <w:szCs w:val="21"/>
          <w:highlight w:val="none"/>
          <w:shd w:val="clear" w:color="auto" w:fill="auto"/>
        </w:rPr>
        <w:t>期</w:t>
      </w:r>
      <w:r>
        <w:rPr>
          <w:rFonts w:hint="eastAsia" w:ascii="宋体" w:hAnsi="宋体" w:eastAsia="宋体" w:cs="宋体"/>
          <w:color w:val="000000"/>
          <w:spacing w:val="2"/>
          <w:kern w:val="0"/>
          <w:sz w:val="21"/>
          <w:szCs w:val="21"/>
          <w:highlight w:val="none"/>
          <w:shd w:val="clear" w:color="auto" w:fill="auto"/>
        </w:rPr>
        <w:t>进</w:t>
      </w:r>
      <w:r>
        <w:rPr>
          <w:rFonts w:hint="eastAsia" w:ascii="宋体" w:hAnsi="宋体" w:eastAsia="宋体" w:cs="宋体"/>
          <w:color w:val="000000"/>
          <w:spacing w:val="1"/>
          <w:kern w:val="0"/>
          <w:sz w:val="21"/>
          <w:szCs w:val="21"/>
          <w:highlight w:val="none"/>
          <w:shd w:val="clear" w:color="auto" w:fill="auto"/>
        </w:rPr>
        <w:t>行</w:t>
      </w:r>
      <w:r>
        <w:rPr>
          <w:rFonts w:hint="eastAsia" w:ascii="宋体" w:hAnsi="宋体" w:eastAsia="宋体" w:cs="宋体"/>
          <w:color w:val="000000"/>
          <w:kern w:val="0"/>
          <w:sz w:val="21"/>
          <w:szCs w:val="21"/>
          <w:highlight w:val="none"/>
          <w:shd w:val="clear" w:color="auto" w:fill="auto"/>
        </w:rPr>
        <w:t>施工的各个关键日期。</w:t>
      </w:r>
    </w:p>
    <w:p w14:paraId="6BADCF47">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sz w:val="21"/>
          <w:szCs w:val="21"/>
          <w:highlight w:val="none"/>
          <w:shd w:val="clear" w:color="auto" w:fill="auto"/>
        </w:rPr>
      </w:pPr>
      <w:bookmarkStart w:id="1993" w:name="_Toc267582085"/>
      <w:bookmarkStart w:id="1994" w:name="_Toc369505652"/>
      <w:bookmarkStart w:id="1995" w:name="_Toc207443048"/>
      <w:bookmarkStart w:id="1996" w:name="_Toc455670868"/>
      <w:bookmarkStart w:id="1997" w:name="_Toc389146019"/>
    </w:p>
    <w:p w14:paraId="16BA2FC1">
      <w:pPr>
        <w:pStyle w:val="4"/>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sz w:val="21"/>
          <w:szCs w:val="21"/>
          <w:highlight w:val="none"/>
          <w:shd w:val="clear" w:color="auto" w:fill="auto"/>
        </w:rPr>
      </w:pPr>
      <w:bookmarkStart w:id="1998" w:name="_Toc2788"/>
      <w:bookmarkStart w:id="1999" w:name="_Toc31024"/>
      <w:r>
        <w:rPr>
          <w:rFonts w:hint="eastAsia" w:ascii="宋体" w:hAnsi="宋体" w:eastAsia="宋体" w:cs="宋体"/>
          <w:color w:val="000000"/>
          <w:sz w:val="21"/>
          <w:szCs w:val="21"/>
          <w:highlight w:val="none"/>
          <w:shd w:val="clear" w:color="auto" w:fill="auto"/>
        </w:rPr>
        <w:t>附表五：施工总平面图</w:t>
      </w:r>
      <w:bookmarkEnd w:id="1993"/>
      <w:bookmarkEnd w:id="1994"/>
      <w:bookmarkEnd w:id="1995"/>
      <w:bookmarkEnd w:id="1996"/>
      <w:bookmarkEnd w:id="1997"/>
      <w:bookmarkEnd w:id="1998"/>
      <w:bookmarkEnd w:id="1999"/>
    </w:p>
    <w:p w14:paraId="34491525">
      <w:pPr>
        <w:pageBreakBefore w:val="0"/>
        <w:kinsoku/>
        <w:wordWrap/>
        <w:overflowPunct/>
        <w:topLinePunct w:val="0"/>
        <w:bidi w:val="0"/>
        <w:adjustRightInd/>
        <w:spacing w:line="360" w:lineRule="auto"/>
        <w:ind w:left="0" w:leftChars="0" w:right="0" w:firstLine="424" w:firstLineChars="202"/>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供应商应递交一份施工总平面图</w:t>
      </w:r>
      <w:r>
        <w:rPr>
          <w:rFonts w:hint="eastAsia" w:ascii="宋体" w:hAnsi="宋体" w:eastAsia="宋体" w:cs="宋体"/>
          <w:color w:val="000000"/>
          <w:spacing w:val="-47"/>
          <w:kern w:val="0"/>
          <w:sz w:val="21"/>
          <w:szCs w:val="21"/>
          <w:highlight w:val="none"/>
          <w:shd w:val="clear" w:color="auto" w:fill="auto"/>
        </w:rPr>
        <w:t>，</w:t>
      </w:r>
      <w:r>
        <w:rPr>
          <w:rFonts w:hint="eastAsia" w:ascii="宋体" w:hAnsi="宋体" w:eastAsia="宋体" w:cs="宋体"/>
          <w:color w:val="000000"/>
          <w:kern w:val="0"/>
          <w:sz w:val="21"/>
          <w:szCs w:val="21"/>
          <w:highlight w:val="none"/>
          <w:shd w:val="clear" w:color="auto" w:fill="auto"/>
        </w:rPr>
        <w:t>绘出现场临时设施布置图表并附文字说明</w:t>
      </w:r>
      <w:r>
        <w:rPr>
          <w:rFonts w:hint="eastAsia" w:ascii="宋体" w:hAnsi="宋体" w:eastAsia="宋体" w:cs="宋体"/>
          <w:color w:val="000000"/>
          <w:spacing w:val="-47"/>
          <w:kern w:val="0"/>
          <w:sz w:val="21"/>
          <w:szCs w:val="21"/>
          <w:highlight w:val="none"/>
          <w:shd w:val="clear" w:color="auto" w:fill="auto"/>
        </w:rPr>
        <w:t>，</w:t>
      </w:r>
      <w:r>
        <w:rPr>
          <w:rFonts w:hint="eastAsia" w:ascii="宋体" w:hAnsi="宋体" w:eastAsia="宋体" w:cs="宋体"/>
          <w:color w:val="000000"/>
          <w:kern w:val="0"/>
          <w:sz w:val="21"/>
          <w:szCs w:val="21"/>
          <w:highlight w:val="none"/>
          <w:shd w:val="clear" w:color="auto" w:fill="auto"/>
        </w:rPr>
        <w:t>说明临时 设施</w:t>
      </w:r>
      <w:r>
        <w:rPr>
          <w:rFonts w:hint="eastAsia" w:ascii="宋体" w:hAnsi="宋体" w:eastAsia="宋体" w:cs="宋体"/>
          <w:color w:val="000000"/>
          <w:spacing w:val="-11"/>
          <w:kern w:val="0"/>
          <w:sz w:val="21"/>
          <w:szCs w:val="21"/>
          <w:highlight w:val="none"/>
          <w:shd w:val="clear" w:color="auto" w:fill="auto"/>
        </w:rPr>
        <w:t>、</w:t>
      </w:r>
      <w:r>
        <w:rPr>
          <w:rFonts w:hint="eastAsia" w:ascii="宋体" w:hAnsi="宋体" w:eastAsia="宋体" w:cs="宋体"/>
          <w:color w:val="000000"/>
          <w:kern w:val="0"/>
          <w:sz w:val="21"/>
          <w:szCs w:val="21"/>
          <w:highlight w:val="none"/>
          <w:shd w:val="clear" w:color="auto" w:fill="auto"/>
        </w:rPr>
        <w:t>加工车间</w:t>
      </w:r>
      <w:r>
        <w:rPr>
          <w:rFonts w:hint="eastAsia" w:ascii="宋体" w:hAnsi="宋体" w:eastAsia="宋体" w:cs="宋体"/>
          <w:color w:val="000000"/>
          <w:spacing w:val="-11"/>
          <w:kern w:val="0"/>
          <w:sz w:val="21"/>
          <w:szCs w:val="21"/>
          <w:highlight w:val="none"/>
          <w:shd w:val="clear" w:color="auto" w:fill="auto"/>
        </w:rPr>
        <w:t>、</w:t>
      </w:r>
      <w:r>
        <w:rPr>
          <w:rFonts w:hint="eastAsia" w:ascii="宋体" w:hAnsi="宋体" w:eastAsia="宋体" w:cs="宋体"/>
          <w:color w:val="000000"/>
          <w:kern w:val="0"/>
          <w:sz w:val="21"/>
          <w:szCs w:val="21"/>
          <w:highlight w:val="none"/>
          <w:shd w:val="clear" w:color="auto" w:fill="auto"/>
        </w:rPr>
        <w:t>现场办公</w:t>
      </w:r>
      <w:r>
        <w:rPr>
          <w:rFonts w:hint="eastAsia" w:ascii="宋体" w:hAnsi="宋体" w:eastAsia="宋体" w:cs="宋体"/>
          <w:color w:val="000000"/>
          <w:spacing w:val="-11"/>
          <w:kern w:val="0"/>
          <w:sz w:val="21"/>
          <w:szCs w:val="21"/>
          <w:highlight w:val="none"/>
          <w:shd w:val="clear" w:color="auto" w:fill="auto"/>
        </w:rPr>
        <w:t>、</w:t>
      </w:r>
      <w:r>
        <w:rPr>
          <w:rFonts w:hint="eastAsia" w:ascii="宋体" w:hAnsi="宋体" w:eastAsia="宋体" w:cs="宋体"/>
          <w:color w:val="000000"/>
          <w:kern w:val="0"/>
          <w:sz w:val="21"/>
          <w:szCs w:val="21"/>
          <w:highlight w:val="none"/>
          <w:shd w:val="clear" w:color="auto" w:fill="auto"/>
        </w:rPr>
        <w:t>设备及仓储</w:t>
      </w:r>
      <w:r>
        <w:rPr>
          <w:rFonts w:hint="eastAsia" w:ascii="宋体" w:hAnsi="宋体" w:eastAsia="宋体" w:cs="宋体"/>
          <w:color w:val="000000"/>
          <w:spacing w:val="-11"/>
          <w:kern w:val="0"/>
          <w:sz w:val="21"/>
          <w:szCs w:val="21"/>
          <w:highlight w:val="none"/>
          <w:shd w:val="clear" w:color="auto" w:fill="auto"/>
        </w:rPr>
        <w:t>、</w:t>
      </w:r>
      <w:r>
        <w:rPr>
          <w:rFonts w:hint="eastAsia" w:ascii="宋体" w:hAnsi="宋体" w:eastAsia="宋体" w:cs="宋体"/>
          <w:color w:val="000000"/>
          <w:kern w:val="0"/>
          <w:sz w:val="21"/>
          <w:szCs w:val="21"/>
          <w:highlight w:val="none"/>
          <w:shd w:val="clear" w:color="auto" w:fill="auto"/>
        </w:rPr>
        <w:t>供电</w:t>
      </w:r>
      <w:r>
        <w:rPr>
          <w:rFonts w:hint="eastAsia" w:ascii="宋体" w:hAnsi="宋体" w:eastAsia="宋体" w:cs="宋体"/>
          <w:color w:val="000000"/>
          <w:spacing w:val="-11"/>
          <w:kern w:val="0"/>
          <w:sz w:val="21"/>
          <w:szCs w:val="21"/>
          <w:highlight w:val="none"/>
          <w:shd w:val="clear" w:color="auto" w:fill="auto"/>
        </w:rPr>
        <w:t>、</w:t>
      </w:r>
      <w:r>
        <w:rPr>
          <w:rFonts w:hint="eastAsia" w:ascii="宋体" w:hAnsi="宋体" w:eastAsia="宋体" w:cs="宋体"/>
          <w:color w:val="000000"/>
          <w:kern w:val="0"/>
          <w:sz w:val="21"/>
          <w:szCs w:val="21"/>
          <w:highlight w:val="none"/>
          <w:shd w:val="clear" w:color="auto" w:fill="auto"/>
        </w:rPr>
        <w:t>供水</w:t>
      </w:r>
      <w:r>
        <w:rPr>
          <w:rFonts w:hint="eastAsia" w:ascii="宋体" w:hAnsi="宋体" w:eastAsia="宋体" w:cs="宋体"/>
          <w:color w:val="000000"/>
          <w:spacing w:val="-10"/>
          <w:kern w:val="0"/>
          <w:sz w:val="21"/>
          <w:szCs w:val="21"/>
          <w:highlight w:val="none"/>
          <w:shd w:val="clear" w:color="auto" w:fill="auto"/>
        </w:rPr>
        <w:t>、</w:t>
      </w:r>
      <w:r>
        <w:rPr>
          <w:rFonts w:hint="eastAsia" w:ascii="宋体" w:hAnsi="宋体" w:eastAsia="宋体" w:cs="宋体"/>
          <w:color w:val="000000"/>
          <w:kern w:val="0"/>
          <w:sz w:val="21"/>
          <w:szCs w:val="21"/>
          <w:highlight w:val="none"/>
          <w:shd w:val="clear" w:color="auto" w:fill="auto"/>
        </w:rPr>
        <w:t>卫生</w:t>
      </w:r>
      <w:r>
        <w:rPr>
          <w:rFonts w:hint="eastAsia" w:ascii="宋体" w:hAnsi="宋体" w:eastAsia="宋体" w:cs="宋体"/>
          <w:color w:val="000000"/>
          <w:spacing w:val="-11"/>
          <w:kern w:val="0"/>
          <w:sz w:val="21"/>
          <w:szCs w:val="21"/>
          <w:highlight w:val="none"/>
          <w:shd w:val="clear" w:color="auto" w:fill="auto"/>
        </w:rPr>
        <w:t>、</w:t>
      </w:r>
      <w:r>
        <w:rPr>
          <w:rFonts w:hint="eastAsia" w:ascii="宋体" w:hAnsi="宋体" w:eastAsia="宋体" w:cs="宋体"/>
          <w:color w:val="000000"/>
          <w:kern w:val="0"/>
          <w:sz w:val="21"/>
          <w:szCs w:val="21"/>
          <w:highlight w:val="none"/>
          <w:shd w:val="clear" w:color="auto" w:fill="auto"/>
        </w:rPr>
        <w:t>生活</w:t>
      </w:r>
      <w:r>
        <w:rPr>
          <w:rFonts w:hint="eastAsia" w:ascii="宋体" w:hAnsi="宋体" w:eastAsia="宋体" w:cs="宋体"/>
          <w:color w:val="000000"/>
          <w:spacing w:val="-11"/>
          <w:kern w:val="0"/>
          <w:sz w:val="21"/>
          <w:szCs w:val="21"/>
          <w:highlight w:val="none"/>
          <w:shd w:val="clear" w:color="auto" w:fill="auto"/>
        </w:rPr>
        <w:t>、</w:t>
      </w:r>
      <w:r>
        <w:rPr>
          <w:rFonts w:hint="eastAsia" w:ascii="宋体" w:hAnsi="宋体" w:eastAsia="宋体" w:cs="宋体"/>
          <w:color w:val="000000"/>
          <w:kern w:val="0"/>
          <w:sz w:val="21"/>
          <w:szCs w:val="21"/>
          <w:highlight w:val="none"/>
          <w:shd w:val="clear" w:color="auto" w:fill="auto"/>
        </w:rPr>
        <w:t>道路</w:t>
      </w:r>
      <w:r>
        <w:rPr>
          <w:rFonts w:hint="eastAsia" w:ascii="宋体" w:hAnsi="宋体" w:eastAsia="宋体" w:cs="宋体"/>
          <w:color w:val="000000"/>
          <w:spacing w:val="-11"/>
          <w:kern w:val="0"/>
          <w:sz w:val="21"/>
          <w:szCs w:val="21"/>
          <w:highlight w:val="none"/>
          <w:shd w:val="clear" w:color="auto" w:fill="auto"/>
        </w:rPr>
        <w:t>、</w:t>
      </w:r>
      <w:r>
        <w:rPr>
          <w:rFonts w:hint="eastAsia" w:ascii="宋体" w:hAnsi="宋体" w:eastAsia="宋体" w:cs="宋体"/>
          <w:color w:val="000000"/>
          <w:spacing w:val="1"/>
          <w:kern w:val="0"/>
          <w:sz w:val="21"/>
          <w:szCs w:val="21"/>
          <w:highlight w:val="none"/>
          <w:shd w:val="clear" w:color="auto" w:fill="auto"/>
        </w:rPr>
        <w:t>消</w:t>
      </w:r>
      <w:r>
        <w:rPr>
          <w:rFonts w:hint="eastAsia" w:ascii="宋体" w:hAnsi="宋体" w:eastAsia="宋体" w:cs="宋体"/>
          <w:color w:val="000000"/>
          <w:kern w:val="0"/>
          <w:sz w:val="21"/>
          <w:szCs w:val="21"/>
          <w:highlight w:val="none"/>
          <w:shd w:val="clear" w:color="auto" w:fill="auto"/>
        </w:rPr>
        <w:t>防等设施的 情况和布置。</w:t>
      </w:r>
    </w:p>
    <w:p w14:paraId="6219C91A">
      <w:pPr>
        <w:pStyle w:val="4"/>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sz w:val="21"/>
          <w:szCs w:val="21"/>
          <w:highlight w:val="none"/>
          <w:shd w:val="clear" w:color="auto" w:fill="auto"/>
        </w:rPr>
      </w:pPr>
      <w:bookmarkStart w:id="2000" w:name="_Toc207443049"/>
      <w:bookmarkStart w:id="2001" w:name="_Toc28629"/>
      <w:bookmarkStart w:id="2002" w:name="_Toc369505653"/>
      <w:bookmarkStart w:id="2003" w:name="_Toc455670869"/>
      <w:bookmarkStart w:id="2004" w:name="_Toc25733"/>
      <w:bookmarkStart w:id="2005" w:name="_Toc389146020"/>
      <w:bookmarkStart w:id="2006" w:name="_Toc267582086"/>
    </w:p>
    <w:p w14:paraId="61B6DC1B">
      <w:pPr>
        <w:pStyle w:val="4"/>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sz w:val="21"/>
          <w:szCs w:val="21"/>
          <w:highlight w:val="none"/>
          <w:shd w:val="clear" w:color="auto" w:fill="auto"/>
        </w:rPr>
        <w:t>附表六：临时用地表</w:t>
      </w:r>
      <w:bookmarkEnd w:id="2000"/>
      <w:bookmarkEnd w:id="2001"/>
      <w:bookmarkEnd w:id="2002"/>
      <w:bookmarkEnd w:id="2003"/>
      <w:bookmarkEnd w:id="2004"/>
      <w:bookmarkEnd w:id="2005"/>
      <w:bookmarkEnd w:id="2006"/>
    </w:p>
    <w:tbl>
      <w:tblPr>
        <w:tblStyle w:val="34"/>
        <w:tblW w:w="0" w:type="auto"/>
        <w:tblInd w:w="102" w:type="dxa"/>
        <w:tblLayout w:type="fixed"/>
        <w:tblCellMar>
          <w:top w:w="0" w:type="dxa"/>
          <w:left w:w="0" w:type="dxa"/>
          <w:bottom w:w="0" w:type="dxa"/>
          <w:right w:w="0" w:type="dxa"/>
        </w:tblCellMar>
      </w:tblPr>
      <w:tblGrid>
        <w:gridCol w:w="2130"/>
        <w:gridCol w:w="2130"/>
        <w:gridCol w:w="2131"/>
        <w:gridCol w:w="2132"/>
      </w:tblGrid>
      <w:tr w14:paraId="25CAA3D5">
        <w:tblPrEx>
          <w:tblCellMar>
            <w:top w:w="0" w:type="dxa"/>
            <w:left w:w="0" w:type="dxa"/>
            <w:bottom w:w="0" w:type="dxa"/>
            <w:right w:w="0" w:type="dxa"/>
          </w:tblCellMar>
        </w:tblPrEx>
        <w:trPr>
          <w:trHeight w:val="450" w:hRule="exact"/>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473D11E8">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 xml:space="preserve">用 </w:t>
            </w:r>
            <w:r>
              <w:rPr>
                <w:rFonts w:hint="eastAsia" w:ascii="宋体" w:hAnsi="宋体" w:eastAsia="宋体" w:cs="宋体"/>
                <w:color w:val="000000"/>
                <w:spacing w:val="1"/>
                <w:kern w:val="0"/>
                <w:sz w:val="21"/>
                <w:szCs w:val="21"/>
                <w:highlight w:val="none"/>
                <w:shd w:val="clear" w:color="auto" w:fill="auto"/>
              </w:rPr>
              <w:t xml:space="preserve"> </w:t>
            </w:r>
            <w:r>
              <w:rPr>
                <w:rFonts w:hint="eastAsia" w:ascii="宋体" w:hAnsi="宋体" w:eastAsia="宋体" w:cs="宋体"/>
                <w:color w:val="000000"/>
                <w:kern w:val="0"/>
                <w:sz w:val="21"/>
                <w:szCs w:val="21"/>
                <w:highlight w:val="none"/>
                <w:shd w:val="clear" w:color="auto" w:fill="auto"/>
              </w:rPr>
              <w:t>途</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60E44F6D">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 xml:space="preserve">面 </w:t>
            </w:r>
            <w:r>
              <w:rPr>
                <w:rFonts w:hint="eastAsia" w:ascii="宋体" w:hAnsi="宋体" w:eastAsia="宋体" w:cs="宋体"/>
                <w:color w:val="000000"/>
                <w:spacing w:val="1"/>
                <w:kern w:val="0"/>
                <w:sz w:val="21"/>
                <w:szCs w:val="21"/>
                <w:highlight w:val="none"/>
                <w:shd w:val="clear" w:color="auto" w:fill="auto"/>
              </w:rPr>
              <w:t xml:space="preserve"> </w:t>
            </w:r>
            <w:r>
              <w:rPr>
                <w:rFonts w:hint="eastAsia" w:ascii="宋体" w:hAnsi="宋体" w:eastAsia="宋体" w:cs="宋体"/>
                <w:color w:val="000000"/>
                <w:kern w:val="0"/>
                <w:sz w:val="21"/>
                <w:szCs w:val="21"/>
                <w:highlight w:val="none"/>
                <w:shd w:val="clear" w:color="auto" w:fill="auto"/>
              </w:rPr>
              <w:t>积（平</w:t>
            </w:r>
            <w:r>
              <w:rPr>
                <w:rFonts w:hint="eastAsia" w:ascii="宋体" w:hAnsi="宋体" w:eastAsia="宋体" w:cs="宋体"/>
                <w:color w:val="000000"/>
                <w:spacing w:val="-1"/>
                <w:kern w:val="0"/>
                <w:sz w:val="21"/>
                <w:szCs w:val="21"/>
                <w:highlight w:val="none"/>
                <w:shd w:val="clear" w:color="auto" w:fill="auto"/>
              </w:rPr>
              <w:t>方</w:t>
            </w:r>
            <w:r>
              <w:rPr>
                <w:rFonts w:hint="eastAsia" w:ascii="宋体" w:hAnsi="宋体" w:eastAsia="宋体" w:cs="宋体"/>
                <w:color w:val="000000"/>
                <w:kern w:val="0"/>
                <w:sz w:val="21"/>
                <w:szCs w:val="21"/>
                <w:highlight w:val="none"/>
                <w:shd w:val="clear" w:color="auto" w:fill="auto"/>
              </w:rPr>
              <w:t>米）</w:t>
            </w:r>
          </w:p>
        </w:tc>
        <w:tc>
          <w:tcPr>
            <w:tcW w:w="2131" w:type="dxa"/>
            <w:tcBorders>
              <w:top w:val="single" w:color="000000" w:sz="4" w:space="0"/>
              <w:left w:val="single" w:color="000000" w:sz="4" w:space="0"/>
              <w:bottom w:val="single" w:color="000000" w:sz="4" w:space="0"/>
              <w:right w:val="single" w:color="000000" w:sz="4" w:space="0"/>
            </w:tcBorders>
            <w:noWrap w:val="0"/>
            <w:vAlign w:val="center"/>
          </w:tcPr>
          <w:p w14:paraId="755FC58D">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 xml:space="preserve">位 </w:t>
            </w:r>
            <w:r>
              <w:rPr>
                <w:rFonts w:hint="eastAsia" w:ascii="宋体" w:hAnsi="宋体" w:eastAsia="宋体" w:cs="宋体"/>
                <w:color w:val="000000"/>
                <w:spacing w:val="1"/>
                <w:kern w:val="0"/>
                <w:sz w:val="21"/>
                <w:szCs w:val="21"/>
                <w:highlight w:val="none"/>
                <w:shd w:val="clear" w:color="auto" w:fill="auto"/>
              </w:rPr>
              <w:t xml:space="preserve"> </w:t>
            </w:r>
            <w:r>
              <w:rPr>
                <w:rFonts w:hint="eastAsia" w:ascii="宋体" w:hAnsi="宋体" w:eastAsia="宋体" w:cs="宋体"/>
                <w:color w:val="000000"/>
                <w:kern w:val="0"/>
                <w:sz w:val="21"/>
                <w:szCs w:val="21"/>
                <w:highlight w:val="none"/>
                <w:shd w:val="clear" w:color="auto" w:fill="auto"/>
              </w:rPr>
              <w:t>置</w:t>
            </w:r>
          </w:p>
        </w:tc>
        <w:tc>
          <w:tcPr>
            <w:tcW w:w="2132" w:type="dxa"/>
            <w:tcBorders>
              <w:top w:val="single" w:color="000000" w:sz="4" w:space="0"/>
              <w:left w:val="single" w:color="000000" w:sz="4" w:space="0"/>
              <w:bottom w:val="single" w:color="000000" w:sz="4" w:space="0"/>
              <w:right w:val="single" w:color="000000" w:sz="4" w:space="0"/>
            </w:tcBorders>
            <w:noWrap w:val="0"/>
            <w:vAlign w:val="center"/>
          </w:tcPr>
          <w:p w14:paraId="565B873A">
            <w:pPr>
              <w:pageBreakBefore w:val="0"/>
              <w:kinsoku/>
              <w:wordWrap/>
              <w:overflowPunct/>
              <w:topLinePunct w:val="0"/>
              <w:bidi w:val="0"/>
              <w:adjustRightInd/>
              <w:spacing w:line="360" w:lineRule="auto"/>
              <w:ind w:left="0" w:leftChars="0" w:right="0"/>
              <w:jc w:val="center"/>
              <w:textAlignment w:val="auto"/>
              <w:rPr>
                <w:rFonts w:hint="eastAsia" w:ascii="宋体" w:hAnsi="宋体" w:eastAsia="宋体" w:cs="宋体"/>
                <w:color w:val="000000"/>
                <w:kern w:val="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需用时间</w:t>
            </w:r>
          </w:p>
        </w:tc>
      </w:tr>
      <w:tr w14:paraId="18E69943">
        <w:tblPrEx>
          <w:tblCellMar>
            <w:top w:w="0" w:type="dxa"/>
            <w:left w:w="0" w:type="dxa"/>
            <w:bottom w:w="0" w:type="dxa"/>
            <w:right w:w="0" w:type="dxa"/>
          </w:tblCellMar>
        </w:tblPrEx>
        <w:trPr>
          <w:trHeight w:val="450" w:hRule="exact"/>
        </w:trPr>
        <w:tc>
          <w:tcPr>
            <w:tcW w:w="2130" w:type="dxa"/>
            <w:tcBorders>
              <w:top w:val="single" w:color="000000" w:sz="4" w:space="0"/>
              <w:left w:val="single" w:color="000000" w:sz="4" w:space="0"/>
              <w:bottom w:val="single" w:color="000000" w:sz="4" w:space="0"/>
              <w:right w:val="single" w:color="000000" w:sz="4" w:space="0"/>
            </w:tcBorders>
            <w:noWrap w:val="0"/>
            <w:vAlign w:val="top"/>
          </w:tcPr>
          <w:p w14:paraId="194ECD0E">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05FF2D2B">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c>
          <w:tcPr>
            <w:tcW w:w="2131" w:type="dxa"/>
            <w:tcBorders>
              <w:top w:val="single" w:color="000000" w:sz="4" w:space="0"/>
              <w:left w:val="single" w:color="000000" w:sz="4" w:space="0"/>
              <w:bottom w:val="single" w:color="000000" w:sz="4" w:space="0"/>
              <w:right w:val="single" w:color="000000" w:sz="4" w:space="0"/>
            </w:tcBorders>
            <w:noWrap w:val="0"/>
            <w:vAlign w:val="top"/>
          </w:tcPr>
          <w:p w14:paraId="6AB90BCE">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c>
          <w:tcPr>
            <w:tcW w:w="2132" w:type="dxa"/>
            <w:tcBorders>
              <w:top w:val="single" w:color="000000" w:sz="4" w:space="0"/>
              <w:left w:val="single" w:color="000000" w:sz="4" w:space="0"/>
              <w:bottom w:val="single" w:color="000000" w:sz="4" w:space="0"/>
              <w:right w:val="single" w:color="000000" w:sz="4" w:space="0"/>
            </w:tcBorders>
            <w:noWrap w:val="0"/>
            <w:vAlign w:val="top"/>
          </w:tcPr>
          <w:p w14:paraId="4C635382">
            <w:pPr>
              <w:pageBreakBefore w:val="0"/>
              <w:kinsoku/>
              <w:wordWrap/>
              <w:overflowPunct/>
              <w:topLinePunct w:val="0"/>
              <w:bidi w:val="0"/>
              <w:adjustRightInd/>
              <w:spacing w:line="360" w:lineRule="auto"/>
              <w:ind w:left="0" w:leftChars="0" w:right="0"/>
              <w:textAlignment w:val="auto"/>
              <w:rPr>
                <w:rFonts w:hint="eastAsia" w:ascii="宋体" w:hAnsi="宋体" w:eastAsia="宋体" w:cs="宋体"/>
                <w:color w:val="000000"/>
                <w:kern w:val="0"/>
                <w:sz w:val="21"/>
                <w:szCs w:val="21"/>
                <w:highlight w:val="none"/>
                <w:shd w:val="clear" w:color="auto" w:fill="auto"/>
              </w:rPr>
            </w:pPr>
          </w:p>
        </w:tc>
      </w:tr>
    </w:tbl>
    <w:p w14:paraId="6474F3AC">
      <w:pPr>
        <w:pageBreakBefore w:val="0"/>
        <w:tabs>
          <w:tab w:val="left" w:pos="567"/>
        </w:tabs>
        <w:kinsoku/>
        <w:wordWrap/>
        <w:overflowPunct/>
        <w:topLinePunct w:val="0"/>
        <w:bidi w:val="0"/>
        <w:adjustRightInd/>
        <w:spacing w:line="360" w:lineRule="auto"/>
        <w:ind w:left="0" w:leftChars="0" w:right="0" w:firstLine="0"/>
        <w:textAlignment w:val="auto"/>
        <w:outlineLvl w:val="9"/>
        <w:rPr>
          <w:rFonts w:hint="eastAsia" w:ascii="宋体" w:hAnsi="宋体" w:eastAsia="宋体" w:cs="宋体"/>
          <w:b/>
          <w:bCs/>
          <w:color w:val="000000"/>
          <w:w w:val="99"/>
          <w:kern w:val="0"/>
          <w:sz w:val="21"/>
          <w:szCs w:val="21"/>
          <w:highlight w:val="none"/>
          <w:shd w:val="clear" w:color="auto" w:fill="auto"/>
          <w:lang w:val="en-US"/>
        </w:rPr>
      </w:pPr>
      <w:bookmarkStart w:id="2007" w:name="_Toc22716"/>
      <w:bookmarkStart w:id="2008" w:name="_Toc22324"/>
    </w:p>
    <w:bookmarkEnd w:id="2007"/>
    <w:bookmarkEnd w:id="2008"/>
    <w:p w14:paraId="74A75389">
      <w:pPr>
        <w:pStyle w:val="20"/>
        <w:pageBreakBefore w:val="0"/>
        <w:kinsoku/>
        <w:wordWrap/>
        <w:overflowPunct/>
        <w:topLinePunct w:val="0"/>
        <w:bidi w:val="0"/>
        <w:adjustRightInd/>
        <w:spacing w:line="360" w:lineRule="auto"/>
        <w:ind w:left="0" w:leftChars="0" w:right="0"/>
        <w:textAlignment w:val="auto"/>
        <w:outlineLvl w:val="1"/>
        <w:rPr>
          <w:rFonts w:hint="eastAsia" w:ascii="宋体" w:hAnsi="宋体" w:eastAsia="宋体" w:cs="宋体"/>
          <w:b/>
          <w:color w:val="000000"/>
          <w:sz w:val="21"/>
          <w:szCs w:val="21"/>
          <w:highlight w:val="none"/>
          <w:shd w:val="clear" w:color="auto" w:fill="auto"/>
        </w:rPr>
      </w:pPr>
      <w:bookmarkStart w:id="2009" w:name="_Toc14778"/>
      <w:bookmarkStart w:id="2010" w:name="_Toc26136"/>
      <w:bookmarkStart w:id="2011" w:name="_Toc28259"/>
      <w:r>
        <w:rPr>
          <w:rFonts w:hint="eastAsia" w:hAnsi="宋体" w:eastAsia="宋体" w:cs="宋体"/>
          <w:b/>
          <w:color w:val="000000"/>
          <w:sz w:val="21"/>
          <w:szCs w:val="21"/>
          <w:highlight w:val="none"/>
          <w:shd w:val="clear" w:color="auto" w:fill="auto"/>
          <w:lang w:val="en-US" w:eastAsia="zh-CN"/>
        </w:rPr>
        <w:t>6</w:t>
      </w:r>
      <w:r>
        <w:rPr>
          <w:rFonts w:hint="eastAsia" w:ascii="宋体" w:hAnsi="宋体" w:eastAsia="宋体" w:cs="宋体"/>
          <w:b/>
          <w:color w:val="000000"/>
          <w:sz w:val="21"/>
          <w:szCs w:val="21"/>
          <w:highlight w:val="none"/>
          <w:shd w:val="clear" w:color="auto" w:fill="auto"/>
        </w:rPr>
        <w:t>、供应商可结合本项目的评审办法视自身情况自行提交其它相关证明材料。</w:t>
      </w:r>
      <w:bookmarkEnd w:id="2009"/>
      <w:r>
        <w:rPr>
          <w:rFonts w:hint="eastAsia" w:ascii="宋体" w:hAnsi="宋体" w:eastAsia="宋体" w:cs="宋体"/>
          <w:b/>
          <w:color w:val="000000"/>
          <w:sz w:val="21"/>
          <w:szCs w:val="21"/>
          <w:highlight w:val="none"/>
          <w:shd w:val="clear" w:color="auto" w:fill="auto"/>
        </w:rPr>
        <w:t>（如有，请提供）</w:t>
      </w:r>
      <w:bookmarkEnd w:id="2010"/>
      <w:bookmarkEnd w:id="2011"/>
    </w:p>
    <w:p w14:paraId="5276F2F6">
      <w:pPr>
        <w:spacing w:line="460" w:lineRule="exact"/>
        <w:outlineLvl w:val="2"/>
        <w:rPr>
          <w:rFonts w:ascii="宋体" w:hAnsi="宋体" w:cs="宋体"/>
          <w:b/>
          <w:bCs/>
          <w:color w:val="000000"/>
          <w:sz w:val="32"/>
          <w:szCs w:val="32"/>
          <w:highlight w:val="none"/>
          <w:shd w:val="clear" w:color="auto" w:fill="auto"/>
        </w:rPr>
      </w:pPr>
      <w:r>
        <w:rPr>
          <w:rFonts w:hint="eastAsia" w:ascii="宋体" w:hAnsi="宋体" w:eastAsia="宋体" w:cs="宋体"/>
          <w:b/>
          <w:color w:val="000000"/>
          <w:sz w:val="21"/>
          <w:szCs w:val="21"/>
          <w:highlight w:val="none"/>
          <w:shd w:val="clear" w:color="auto" w:fill="auto"/>
        </w:rPr>
        <w:br w:type="page"/>
      </w:r>
      <w:r>
        <w:rPr>
          <w:rFonts w:hint="eastAsia" w:ascii="宋体" w:hAnsi="宋体" w:cs="宋体"/>
          <w:b/>
          <w:bCs/>
          <w:color w:val="000000"/>
          <w:sz w:val="32"/>
          <w:szCs w:val="32"/>
          <w:highlight w:val="none"/>
          <w:shd w:val="clear" w:color="auto" w:fill="auto"/>
        </w:rPr>
        <w:t>附件：</w:t>
      </w:r>
    </w:p>
    <w:p w14:paraId="3B608AD4">
      <w:pPr>
        <w:spacing w:line="360" w:lineRule="exact"/>
        <w:jc w:val="center"/>
        <w:outlineLvl w:val="2"/>
        <w:rPr>
          <w:rFonts w:ascii="宋体" w:hAnsi="宋体" w:cs="宋体"/>
          <w:b/>
          <w:bCs/>
          <w:color w:val="000000"/>
          <w:sz w:val="32"/>
          <w:szCs w:val="32"/>
          <w:highlight w:val="none"/>
          <w:shd w:val="clear" w:color="auto" w:fill="auto"/>
        </w:rPr>
      </w:pPr>
      <w:bookmarkStart w:id="2012" w:name="_Toc3471"/>
      <w:bookmarkStart w:id="2013" w:name="_Toc17731"/>
      <w:r>
        <w:rPr>
          <w:rFonts w:hint="eastAsia" w:ascii="宋体" w:hAnsi="宋体" w:cs="宋体"/>
          <w:b/>
          <w:bCs/>
          <w:color w:val="000000"/>
          <w:sz w:val="32"/>
          <w:szCs w:val="32"/>
          <w:highlight w:val="none"/>
          <w:shd w:val="clear" w:color="auto" w:fill="auto"/>
        </w:rPr>
        <w:t>质疑函（格式）</w:t>
      </w:r>
      <w:bookmarkEnd w:id="2012"/>
      <w:bookmarkEnd w:id="2013"/>
    </w:p>
    <w:p w14:paraId="4181D719">
      <w:pPr>
        <w:pStyle w:val="20"/>
        <w:snapToGrid w:val="0"/>
        <w:spacing w:line="360" w:lineRule="exact"/>
        <w:ind w:firstLine="422" w:firstLineChars="200"/>
        <w:rPr>
          <w:rFonts w:hAnsi="宋体" w:cs="宋体"/>
          <w:b/>
          <w:bCs/>
          <w:color w:val="000000"/>
          <w:highlight w:val="none"/>
          <w:shd w:val="clear" w:color="auto" w:fill="auto"/>
        </w:rPr>
      </w:pPr>
      <w:r>
        <w:rPr>
          <w:rFonts w:hint="eastAsia" w:hAnsi="宋体" w:cs="宋体"/>
          <w:b/>
          <w:bCs/>
          <w:color w:val="000000"/>
          <w:highlight w:val="none"/>
          <w:shd w:val="clear" w:color="auto" w:fill="auto"/>
        </w:rPr>
        <w:t>一、质疑供应商基本信息：</w:t>
      </w:r>
    </w:p>
    <w:p w14:paraId="20EDC903">
      <w:pPr>
        <w:pStyle w:val="20"/>
        <w:snapToGrid w:val="0"/>
        <w:spacing w:line="360" w:lineRule="exact"/>
        <w:ind w:firstLine="420" w:firstLineChars="200"/>
        <w:rPr>
          <w:rFonts w:hAnsi="宋体" w:cs="宋体"/>
          <w:bCs/>
          <w:color w:val="000000"/>
          <w:highlight w:val="none"/>
          <w:u w:val="single"/>
          <w:shd w:val="clear" w:color="auto" w:fill="auto"/>
        </w:rPr>
      </w:pPr>
      <w:r>
        <w:rPr>
          <w:rFonts w:hint="eastAsia" w:hAnsi="宋体" w:cs="宋体"/>
          <w:bCs/>
          <w:color w:val="000000"/>
          <w:highlight w:val="none"/>
          <w:shd w:val="clear" w:color="auto" w:fill="auto"/>
        </w:rPr>
        <w:t>质疑供应商：</w:t>
      </w:r>
      <w:r>
        <w:rPr>
          <w:rFonts w:hint="eastAsia" w:hAnsi="宋体" w:cs="宋体"/>
          <w:bCs/>
          <w:color w:val="000000"/>
          <w:highlight w:val="none"/>
          <w:u w:val="single"/>
          <w:shd w:val="clear" w:color="auto" w:fill="auto"/>
        </w:rPr>
        <w:t xml:space="preserve">                                                           </w:t>
      </w:r>
    </w:p>
    <w:p w14:paraId="0B19E1C1">
      <w:pPr>
        <w:pStyle w:val="20"/>
        <w:snapToGrid w:val="0"/>
        <w:spacing w:line="360" w:lineRule="exact"/>
        <w:ind w:firstLine="420" w:firstLineChars="200"/>
        <w:rPr>
          <w:rFonts w:hAnsi="宋体" w:cs="宋体"/>
          <w:bCs/>
          <w:color w:val="000000"/>
          <w:highlight w:val="none"/>
          <w:shd w:val="clear" w:color="auto" w:fill="auto"/>
        </w:rPr>
      </w:pPr>
      <w:r>
        <w:rPr>
          <w:rFonts w:hint="eastAsia" w:hAnsi="宋体" w:cs="宋体"/>
          <w:bCs/>
          <w:color w:val="000000"/>
          <w:highlight w:val="none"/>
          <w:shd w:val="clear" w:color="auto" w:fill="auto"/>
        </w:rPr>
        <w:t>地址：</w:t>
      </w:r>
      <w:r>
        <w:rPr>
          <w:rFonts w:hint="eastAsia" w:hAnsi="宋体" w:cs="宋体"/>
          <w:bCs/>
          <w:color w:val="000000"/>
          <w:highlight w:val="none"/>
          <w:u w:val="single"/>
          <w:shd w:val="clear" w:color="auto" w:fill="auto"/>
        </w:rPr>
        <w:t xml:space="preserve">                                          </w:t>
      </w:r>
      <w:r>
        <w:rPr>
          <w:rFonts w:hint="eastAsia" w:hAnsi="宋体" w:cs="宋体"/>
          <w:bCs/>
          <w:color w:val="000000"/>
          <w:highlight w:val="none"/>
          <w:shd w:val="clear" w:color="auto" w:fill="auto"/>
        </w:rPr>
        <w:t>邮编：</w:t>
      </w:r>
      <w:r>
        <w:rPr>
          <w:rFonts w:hint="eastAsia" w:hAnsi="宋体" w:cs="宋体"/>
          <w:bCs/>
          <w:color w:val="000000"/>
          <w:highlight w:val="none"/>
          <w:u w:val="single"/>
          <w:shd w:val="clear" w:color="auto" w:fill="auto"/>
        </w:rPr>
        <w:t xml:space="preserve">                 </w:t>
      </w:r>
    </w:p>
    <w:p w14:paraId="4EB81B34">
      <w:pPr>
        <w:pStyle w:val="20"/>
        <w:snapToGrid w:val="0"/>
        <w:spacing w:line="360" w:lineRule="exact"/>
        <w:ind w:firstLine="420" w:firstLineChars="200"/>
        <w:rPr>
          <w:rFonts w:hAnsi="宋体" w:cs="宋体"/>
          <w:bCs/>
          <w:color w:val="000000"/>
          <w:highlight w:val="none"/>
          <w:shd w:val="clear" w:color="auto" w:fill="auto"/>
        </w:rPr>
      </w:pPr>
      <w:r>
        <w:rPr>
          <w:rFonts w:hint="eastAsia" w:hAnsi="宋体" w:cs="宋体"/>
          <w:bCs/>
          <w:color w:val="000000"/>
          <w:highlight w:val="none"/>
          <w:shd w:val="clear" w:color="auto" w:fill="auto"/>
        </w:rPr>
        <w:t>联系人：</w:t>
      </w:r>
      <w:r>
        <w:rPr>
          <w:rFonts w:hint="eastAsia" w:hAnsi="宋体" w:cs="宋体"/>
          <w:bCs/>
          <w:color w:val="000000"/>
          <w:highlight w:val="none"/>
          <w:u w:val="single"/>
          <w:shd w:val="clear" w:color="auto" w:fill="auto"/>
        </w:rPr>
        <w:t xml:space="preserve">                     </w:t>
      </w:r>
      <w:r>
        <w:rPr>
          <w:rFonts w:hint="eastAsia" w:hAnsi="宋体" w:cs="宋体"/>
          <w:bCs/>
          <w:color w:val="000000"/>
          <w:highlight w:val="none"/>
          <w:shd w:val="clear" w:color="auto" w:fill="auto"/>
        </w:rPr>
        <w:t>联系电话：</w:t>
      </w:r>
      <w:r>
        <w:rPr>
          <w:rFonts w:hint="eastAsia" w:hAnsi="宋体" w:cs="宋体"/>
          <w:bCs/>
          <w:color w:val="000000"/>
          <w:highlight w:val="none"/>
          <w:u w:val="single"/>
          <w:shd w:val="clear" w:color="auto" w:fill="auto"/>
        </w:rPr>
        <w:t xml:space="preserve">                 </w:t>
      </w:r>
    </w:p>
    <w:p w14:paraId="3DE4B18A">
      <w:pPr>
        <w:pStyle w:val="20"/>
        <w:snapToGrid w:val="0"/>
        <w:spacing w:line="360" w:lineRule="exact"/>
        <w:ind w:firstLine="420" w:firstLineChars="200"/>
        <w:rPr>
          <w:rFonts w:hAnsi="宋体" w:cs="宋体"/>
          <w:bCs/>
          <w:color w:val="000000"/>
          <w:highlight w:val="none"/>
          <w:shd w:val="clear" w:color="auto" w:fill="auto"/>
        </w:rPr>
      </w:pPr>
      <w:r>
        <w:rPr>
          <w:rFonts w:hint="eastAsia" w:hAnsi="宋体" w:cs="宋体"/>
          <w:bCs/>
          <w:color w:val="000000"/>
          <w:highlight w:val="none"/>
          <w:shd w:val="clear" w:color="auto" w:fill="auto"/>
        </w:rPr>
        <w:t>授权代表：</w:t>
      </w:r>
      <w:r>
        <w:rPr>
          <w:rFonts w:hint="eastAsia" w:hAnsi="宋体" w:cs="宋体"/>
          <w:bCs/>
          <w:color w:val="000000"/>
          <w:highlight w:val="none"/>
          <w:u w:val="single"/>
          <w:shd w:val="clear" w:color="auto" w:fill="auto"/>
        </w:rPr>
        <w:t xml:space="preserve">                      </w:t>
      </w:r>
    </w:p>
    <w:p w14:paraId="5920E366">
      <w:pPr>
        <w:pStyle w:val="20"/>
        <w:snapToGrid w:val="0"/>
        <w:spacing w:line="360" w:lineRule="exact"/>
        <w:ind w:firstLine="420" w:firstLineChars="200"/>
        <w:rPr>
          <w:rFonts w:hAnsi="宋体" w:cs="宋体"/>
          <w:bCs/>
          <w:color w:val="000000"/>
          <w:highlight w:val="none"/>
          <w:u w:val="single"/>
          <w:shd w:val="clear" w:color="auto" w:fill="auto"/>
        </w:rPr>
      </w:pPr>
      <w:r>
        <w:rPr>
          <w:rFonts w:hint="eastAsia" w:hAnsi="宋体" w:cs="宋体"/>
          <w:bCs/>
          <w:color w:val="000000"/>
          <w:highlight w:val="none"/>
          <w:shd w:val="clear" w:color="auto" w:fill="auto"/>
        </w:rPr>
        <w:t>联系电话：</w:t>
      </w:r>
      <w:r>
        <w:rPr>
          <w:rFonts w:hint="eastAsia" w:hAnsi="宋体" w:cs="宋体"/>
          <w:bCs/>
          <w:color w:val="000000"/>
          <w:highlight w:val="none"/>
          <w:u w:val="single"/>
          <w:shd w:val="clear" w:color="auto" w:fill="auto"/>
        </w:rPr>
        <w:t xml:space="preserve">                      </w:t>
      </w:r>
    </w:p>
    <w:p w14:paraId="08D1A340">
      <w:pPr>
        <w:pStyle w:val="20"/>
        <w:snapToGrid w:val="0"/>
        <w:spacing w:line="360" w:lineRule="exact"/>
        <w:ind w:firstLine="420" w:firstLineChars="200"/>
        <w:rPr>
          <w:rFonts w:hAnsi="宋体" w:cs="宋体"/>
          <w:bCs/>
          <w:color w:val="000000"/>
          <w:highlight w:val="none"/>
          <w:shd w:val="clear" w:color="auto" w:fill="auto"/>
        </w:rPr>
      </w:pPr>
      <w:r>
        <w:rPr>
          <w:rFonts w:hint="eastAsia" w:hAnsi="宋体" w:cs="宋体"/>
          <w:bCs/>
          <w:color w:val="000000"/>
          <w:highlight w:val="none"/>
          <w:shd w:val="clear" w:color="auto" w:fill="auto"/>
        </w:rPr>
        <w:t>地址：</w:t>
      </w:r>
      <w:r>
        <w:rPr>
          <w:rFonts w:hint="eastAsia" w:hAnsi="宋体" w:cs="宋体"/>
          <w:bCs/>
          <w:color w:val="000000"/>
          <w:highlight w:val="none"/>
          <w:u w:val="single"/>
          <w:shd w:val="clear" w:color="auto" w:fill="auto"/>
        </w:rPr>
        <w:t xml:space="preserve">                 </w:t>
      </w:r>
      <w:r>
        <w:rPr>
          <w:rFonts w:hint="eastAsia" w:hAnsi="宋体" w:cs="宋体"/>
          <w:bCs/>
          <w:color w:val="000000"/>
          <w:highlight w:val="none"/>
          <w:shd w:val="clear" w:color="auto" w:fill="auto"/>
        </w:rPr>
        <w:t>邮编：</w:t>
      </w:r>
      <w:r>
        <w:rPr>
          <w:rFonts w:hint="eastAsia" w:hAnsi="宋体" w:cs="宋体"/>
          <w:bCs/>
          <w:color w:val="000000"/>
          <w:highlight w:val="none"/>
          <w:u w:val="single"/>
          <w:shd w:val="clear" w:color="auto" w:fill="auto"/>
        </w:rPr>
        <w:t xml:space="preserve">                  </w:t>
      </w:r>
      <w:r>
        <w:rPr>
          <w:rFonts w:hint="eastAsia" w:hAnsi="宋体" w:cs="宋体"/>
          <w:bCs/>
          <w:color w:val="000000"/>
          <w:highlight w:val="none"/>
          <w:shd w:val="clear" w:color="auto" w:fill="auto"/>
        </w:rPr>
        <w:t xml:space="preserve">     </w:t>
      </w:r>
    </w:p>
    <w:p w14:paraId="3449FA55">
      <w:pPr>
        <w:pStyle w:val="20"/>
        <w:snapToGrid w:val="0"/>
        <w:spacing w:line="360" w:lineRule="exact"/>
        <w:ind w:firstLine="422" w:firstLineChars="200"/>
        <w:rPr>
          <w:rFonts w:hAnsi="宋体" w:cs="宋体"/>
          <w:b/>
          <w:bCs/>
          <w:color w:val="000000"/>
          <w:highlight w:val="none"/>
          <w:shd w:val="clear" w:color="auto" w:fill="auto"/>
        </w:rPr>
      </w:pPr>
      <w:r>
        <w:rPr>
          <w:rFonts w:hint="eastAsia" w:hAnsi="宋体" w:cs="宋体"/>
          <w:b/>
          <w:bCs/>
          <w:color w:val="000000"/>
          <w:highlight w:val="none"/>
          <w:shd w:val="clear" w:color="auto" w:fill="auto"/>
        </w:rPr>
        <w:t>二、质疑项目基本情况：</w:t>
      </w:r>
    </w:p>
    <w:p w14:paraId="2E4A8275">
      <w:pPr>
        <w:pStyle w:val="20"/>
        <w:spacing w:line="360" w:lineRule="exact"/>
        <w:ind w:left="25" w:leftChars="12" w:firstLine="413" w:firstLineChars="197"/>
        <w:rPr>
          <w:rFonts w:hAnsi="宋体" w:cs="宋体"/>
          <w:color w:val="000000"/>
          <w:highlight w:val="none"/>
          <w:shd w:val="clear" w:color="auto" w:fill="auto"/>
        </w:rPr>
      </w:pPr>
      <w:r>
        <w:rPr>
          <w:rFonts w:hint="eastAsia" w:hAnsi="宋体" w:cs="宋体"/>
          <w:bCs/>
          <w:color w:val="000000"/>
          <w:highlight w:val="none"/>
          <w:shd w:val="clear" w:color="auto" w:fill="auto"/>
        </w:rPr>
        <w:t>质疑</w:t>
      </w:r>
      <w:r>
        <w:rPr>
          <w:rFonts w:hint="eastAsia" w:hAnsi="宋体" w:cs="宋体"/>
          <w:color w:val="000000"/>
          <w:highlight w:val="none"/>
          <w:shd w:val="clear" w:color="auto" w:fill="auto"/>
        </w:rPr>
        <w:t>项目的名称：</w:t>
      </w:r>
      <w:r>
        <w:rPr>
          <w:rFonts w:hint="eastAsia" w:hAnsi="宋体" w:cs="宋体"/>
          <w:bCs/>
          <w:color w:val="000000"/>
          <w:highlight w:val="none"/>
          <w:u w:val="single"/>
          <w:shd w:val="clear" w:color="auto" w:fill="auto"/>
        </w:rPr>
        <w:t xml:space="preserve">                                     </w:t>
      </w:r>
    </w:p>
    <w:p w14:paraId="6EC6A4D8">
      <w:pPr>
        <w:pStyle w:val="20"/>
        <w:spacing w:line="360" w:lineRule="exact"/>
        <w:ind w:left="25" w:leftChars="12" w:firstLine="413" w:firstLineChars="197"/>
        <w:rPr>
          <w:rFonts w:hAnsi="宋体" w:cs="宋体"/>
          <w:color w:val="000000"/>
          <w:highlight w:val="none"/>
          <w:shd w:val="clear" w:color="auto" w:fill="auto"/>
        </w:rPr>
      </w:pPr>
      <w:r>
        <w:rPr>
          <w:rFonts w:hint="eastAsia" w:hAnsi="宋体" w:cs="宋体"/>
          <w:bCs/>
          <w:color w:val="000000"/>
          <w:highlight w:val="none"/>
          <w:shd w:val="clear" w:color="auto" w:fill="auto"/>
        </w:rPr>
        <w:t>质疑</w:t>
      </w:r>
      <w:r>
        <w:rPr>
          <w:rFonts w:hint="eastAsia" w:hAnsi="宋体" w:cs="宋体"/>
          <w:color w:val="000000"/>
          <w:highlight w:val="none"/>
          <w:shd w:val="clear" w:color="auto" w:fill="auto"/>
        </w:rPr>
        <w:t>项目的编号：</w:t>
      </w:r>
      <w:r>
        <w:rPr>
          <w:rFonts w:hint="eastAsia" w:hAnsi="宋体" w:cs="宋体"/>
          <w:bCs/>
          <w:color w:val="000000"/>
          <w:highlight w:val="none"/>
          <w:u w:val="single"/>
          <w:shd w:val="clear" w:color="auto" w:fill="auto"/>
        </w:rPr>
        <w:t xml:space="preserve">                                     </w:t>
      </w:r>
    </w:p>
    <w:p w14:paraId="7E25BF4A">
      <w:pPr>
        <w:pStyle w:val="20"/>
        <w:spacing w:line="360" w:lineRule="exact"/>
        <w:ind w:left="25" w:leftChars="12" w:firstLine="413" w:firstLineChars="197"/>
        <w:rPr>
          <w:rFonts w:hAnsi="宋体" w:cs="宋体"/>
          <w:color w:val="000000"/>
          <w:highlight w:val="none"/>
          <w:shd w:val="clear" w:color="auto" w:fill="auto"/>
        </w:rPr>
      </w:pPr>
      <w:r>
        <w:rPr>
          <w:rFonts w:hint="eastAsia" w:hAnsi="宋体" w:cs="宋体"/>
          <w:color w:val="000000"/>
          <w:highlight w:val="none"/>
          <w:shd w:val="clear" w:color="auto" w:fill="auto"/>
        </w:rPr>
        <w:t>采购人名称：</w:t>
      </w:r>
      <w:r>
        <w:rPr>
          <w:rFonts w:hint="eastAsia" w:hAnsi="宋体" w:cs="宋体"/>
          <w:bCs/>
          <w:color w:val="000000"/>
          <w:highlight w:val="none"/>
          <w:u w:val="single"/>
          <w:shd w:val="clear" w:color="auto" w:fill="auto"/>
        </w:rPr>
        <w:t xml:space="preserve">                                         </w:t>
      </w:r>
    </w:p>
    <w:p w14:paraId="19DF0D27">
      <w:pPr>
        <w:pStyle w:val="20"/>
        <w:spacing w:line="360" w:lineRule="exact"/>
        <w:ind w:left="25" w:leftChars="12" w:firstLine="413" w:firstLineChars="197"/>
        <w:rPr>
          <w:rFonts w:hAnsi="宋体" w:cs="宋体"/>
          <w:color w:val="000000"/>
          <w:highlight w:val="none"/>
          <w:shd w:val="clear" w:color="auto" w:fill="auto"/>
        </w:rPr>
      </w:pPr>
      <w:r>
        <w:rPr>
          <w:rFonts w:hint="eastAsia" w:hAnsi="宋体" w:cs="宋体"/>
          <w:color w:val="000000"/>
          <w:highlight w:val="none"/>
          <w:shd w:val="clear" w:color="auto" w:fill="auto"/>
        </w:rPr>
        <w:t>质疑事项：</w:t>
      </w:r>
    </w:p>
    <w:p w14:paraId="13B79412">
      <w:pPr>
        <w:pStyle w:val="20"/>
        <w:spacing w:line="360" w:lineRule="exact"/>
        <w:ind w:left="25" w:leftChars="12" w:firstLine="413" w:firstLineChars="197"/>
        <w:rPr>
          <w:rFonts w:hAnsi="宋体" w:cs="宋体"/>
          <w:color w:val="000000"/>
          <w:highlight w:val="none"/>
          <w:shd w:val="clear" w:color="auto" w:fill="auto"/>
        </w:rPr>
      </w:pPr>
      <w:r>
        <w:rPr>
          <w:rFonts w:hint="eastAsia" w:hAnsi="宋体" w:cs="宋体"/>
          <w:color w:val="000000"/>
          <w:highlight w:val="none"/>
          <w:shd w:val="clear" w:color="auto" w:fill="auto"/>
        </w:rPr>
        <w:t>□采购</w:t>
      </w:r>
      <w:r>
        <w:rPr>
          <w:rFonts w:hint="eastAsia" w:hAnsi="宋体" w:cs="宋体"/>
          <w:bCs/>
          <w:color w:val="000000"/>
          <w:highlight w:val="none"/>
          <w:shd w:val="clear" w:color="auto" w:fill="auto"/>
        </w:rPr>
        <w:t>文件</w:t>
      </w:r>
      <w:r>
        <w:rPr>
          <w:rFonts w:hint="eastAsia" w:hAnsi="宋体" w:cs="宋体"/>
          <w:color w:val="000000"/>
          <w:highlight w:val="none"/>
          <w:shd w:val="clear" w:color="auto" w:fill="auto"/>
        </w:rPr>
        <w:t xml:space="preserve">   采购文件获取日期：</w:t>
      </w:r>
      <w:r>
        <w:rPr>
          <w:rFonts w:hint="eastAsia" w:hAnsi="宋体" w:cs="宋体"/>
          <w:bCs/>
          <w:color w:val="000000"/>
          <w:highlight w:val="none"/>
          <w:u w:val="single"/>
          <w:shd w:val="clear" w:color="auto" w:fill="auto"/>
        </w:rPr>
        <w:t xml:space="preserve">                                   </w:t>
      </w:r>
    </w:p>
    <w:p w14:paraId="337C646A">
      <w:pPr>
        <w:pStyle w:val="20"/>
        <w:spacing w:line="360" w:lineRule="exact"/>
        <w:ind w:left="25" w:leftChars="12" w:firstLine="413" w:firstLineChars="197"/>
        <w:rPr>
          <w:rFonts w:hAnsi="宋体" w:cs="宋体"/>
          <w:color w:val="000000"/>
          <w:highlight w:val="none"/>
          <w:shd w:val="clear" w:color="auto" w:fill="auto"/>
        </w:rPr>
      </w:pPr>
      <w:r>
        <w:rPr>
          <w:rFonts w:hint="eastAsia" w:hAnsi="宋体" w:cs="宋体"/>
          <w:color w:val="000000"/>
          <w:highlight w:val="none"/>
          <w:shd w:val="clear" w:color="auto" w:fill="auto"/>
        </w:rPr>
        <w:t xml:space="preserve">□采购过程   </w:t>
      </w:r>
    </w:p>
    <w:p w14:paraId="34B460AE">
      <w:pPr>
        <w:pStyle w:val="20"/>
        <w:spacing w:line="360" w:lineRule="exact"/>
        <w:ind w:left="25" w:leftChars="12" w:firstLine="413" w:firstLineChars="197"/>
        <w:rPr>
          <w:rFonts w:hAnsi="宋体" w:cs="宋体"/>
          <w:bCs/>
          <w:color w:val="000000"/>
          <w:highlight w:val="none"/>
          <w:u w:val="single"/>
          <w:shd w:val="clear" w:color="auto" w:fill="auto"/>
        </w:rPr>
      </w:pPr>
      <w:r>
        <w:rPr>
          <w:rFonts w:hint="eastAsia" w:hAnsi="宋体" w:cs="宋体"/>
          <w:color w:val="000000"/>
          <w:highlight w:val="none"/>
          <w:shd w:val="clear" w:color="auto" w:fill="auto"/>
        </w:rPr>
        <w:t xml:space="preserve">□中标（成交）结果   </w:t>
      </w:r>
    </w:p>
    <w:p w14:paraId="0220D0D8">
      <w:pPr>
        <w:pStyle w:val="20"/>
        <w:spacing w:line="360" w:lineRule="exact"/>
        <w:ind w:left="25" w:leftChars="12" w:firstLine="413" w:firstLineChars="196"/>
        <w:rPr>
          <w:rFonts w:hAnsi="宋体" w:cs="宋体"/>
          <w:b/>
          <w:color w:val="000000"/>
          <w:highlight w:val="none"/>
          <w:shd w:val="clear" w:color="auto" w:fill="auto"/>
        </w:rPr>
      </w:pPr>
      <w:r>
        <w:rPr>
          <w:rFonts w:hint="eastAsia" w:hAnsi="宋体" w:cs="宋体"/>
          <w:b/>
          <w:color w:val="000000"/>
          <w:highlight w:val="none"/>
          <w:shd w:val="clear" w:color="auto" w:fill="auto"/>
        </w:rPr>
        <w:t>三、质疑事项具体内容</w:t>
      </w:r>
    </w:p>
    <w:p w14:paraId="1A72021C">
      <w:pPr>
        <w:pStyle w:val="20"/>
        <w:spacing w:line="360" w:lineRule="exact"/>
        <w:ind w:left="25" w:leftChars="12" w:firstLine="413" w:firstLineChars="197"/>
        <w:rPr>
          <w:rFonts w:hAnsi="宋体" w:cs="宋体"/>
          <w:color w:val="000000"/>
          <w:highlight w:val="none"/>
          <w:shd w:val="clear" w:color="auto" w:fill="auto"/>
        </w:rPr>
      </w:pPr>
      <w:r>
        <w:rPr>
          <w:rFonts w:hint="eastAsia" w:hAnsi="宋体" w:cs="宋体"/>
          <w:color w:val="000000"/>
          <w:highlight w:val="none"/>
          <w:shd w:val="clear" w:color="auto" w:fill="auto"/>
        </w:rPr>
        <w:t>质疑事项1：</w:t>
      </w:r>
      <w:r>
        <w:rPr>
          <w:rFonts w:hint="eastAsia" w:hAnsi="宋体" w:cs="宋体"/>
          <w:bCs/>
          <w:color w:val="000000"/>
          <w:highlight w:val="none"/>
          <w:u w:val="single"/>
          <w:shd w:val="clear" w:color="auto" w:fill="auto"/>
        </w:rPr>
        <w:t xml:space="preserve">                                                                </w:t>
      </w:r>
    </w:p>
    <w:p w14:paraId="48E6AC87">
      <w:pPr>
        <w:pStyle w:val="20"/>
        <w:spacing w:line="360" w:lineRule="exact"/>
        <w:ind w:left="25" w:leftChars="12" w:firstLine="413" w:firstLineChars="197"/>
        <w:rPr>
          <w:rFonts w:hAnsi="宋体" w:cs="宋体"/>
          <w:color w:val="000000"/>
          <w:highlight w:val="none"/>
          <w:shd w:val="clear" w:color="auto" w:fill="auto"/>
        </w:rPr>
      </w:pPr>
      <w:r>
        <w:rPr>
          <w:rFonts w:hint="eastAsia" w:hAnsi="宋体" w:cs="宋体"/>
          <w:color w:val="000000"/>
          <w:highlight w:val="none"/>
          <w:shd w:val="clear" w:color="auto" w:fill="auto"/>
        </w:rPr>
        <w:t>事实依据：</w:t>
      </w:r>
      <w:r>
        <w:rPr>
          <w:rFonts w:hint="eastAsia" w:hAnsi="宋体" w:cs="宋体"/>
          <w:bCs/>
          <w:color w:val="000000"/>
          <w:highlight w:val="none"/>
          <w:u w:val="single"/>
          <w:shd w:val="clear" w:color="auto" w:fill="auto"/>
        </w:rPr>
        <w:t xml:space="preserve">                                                                 </w:t>
      </w:r>
    </w:p>
    <w:p w14:paraId="6692795C">
      <w:pPr>
        <w:pStyle w:val="20"/>
        <w:spacing w:line="360" w:lineRule="exact"/>
        <w:ind w:left="25" w:leftChars="12" w:firstLine="413" w:firstLineChars="197"/>
        <w:rPr>
          <w:rFonts w:hAnsi="宋体" w:cs="宋体"/>
          <w:color w:val="000000"/>
          <w:highlight w:val="none"/>
          <w:shd w:val="clear" w:color="auto" w:fill="auto"/>
        </w:rPr>
      </w:pPr>
      <w:r>
        <w:rPr>
          <w:rFonts w:hint="eastAsia" w:hAnsi="宋体" w:cs="宋体"/>
          <w:color w:val="000000"/>
          <w:highlight w:val="none"/>
          <w:shd w:val="clear" w:color="auto" w:fill="auto"/>
        </w:rPr>
        <w:t>法律依据：</w:t>
      </w:r>
      <w:r>
        <w:rPr>
          <w:rFonts w:hint="eastAsia" w:hAnsi="宋体" w:cs="宋体"/>
          <w:color w:val="000000"/>
          <w:highlight w:val="none"/>
          <w:u w:val="single"/>
          <w:shd w:val="clear" w:color="auto" w:fill="auto"/>
        </w:rPr>
        <w:t xml:space="preserve">                                                        </w:t>
      </w:r>
      <w:r>
        <w:rPr>
          <w:rFonts w:hint="eastAsia" w:hAnsi="宋体" w:cs="宋体"/>
          <w:bCs/>
          <w:color w:val="000000"/>
          <w:highlight w:val="none"/>
          <w:u w:val="single"/>
          <w:shd w:val="clear" w:color="auto" w:fill="auto"/>
        </w:rPr>
        <w:t xml:space="preserve">         </w:t>
      </w:r>
    </w:p>
    <w:p w14:paraId="2231745A">
      <w:pPr>
        <w:pStyle w:val="20"/>
        <w:spacing w:line="360" w:lineRule="exact"/>
        <w:ind w:left="25" w:leftChars="12" w:firstLine="413" w:firstLineChars="197"/>
        <w:rPr>
          <w:rFonts w:hAnsi="宋体" w:cs="宋体"/>
          <w:color w:val="000000"/>
          <w:highlight w:val="none"/>
          <w:shd w:val="clear" w:color="auto" w:fill="auto"/>
        </w:rPr>
      </w:pPr>
      <w:r>
        <w:rPr>
          <w:rFonts w:hint="eastAsia" w:hAnsi="宋体" w:cs="宋体"/>
          <w:color w:val="000000"/>
          <w:highlight w:val="none"/>
          <w:shd w:val="clear" w:color="auto" w:fill="auto"/>
        </w:rPr>
        <w:t>质疑事项2</w:t>
      </w:r>
    </w:p>
    <w:p w14:paraId="30ED3326">
      <w:pPr>
        <w:pStyle w:val="20"/>
        <w:spacing w:line="360" w:lineRule="exact"/>
        <w:ind w:left="25" w:leftChars="12" w:firstLine="413" w:firstLineChars="197"/>
        <w:rPr>
          <w:rFonts w:hAnsi="宋体" w:cs="宋体"/>
          <w:color w:val="000000"/>
          <w:highlight w:val="none"/>
          <w:shd w:val="clear" w:color="auto" w:fill="auto"/>
        </w:rPr>
      </w:pPr>
      <w:r>
        <w:rPr>
          <w:rFonts w:hint="eastAsia" w:hAnsi="宋体" w:cs="宋体"/>
          <w:color w:val="000000"/>
          <w:highlight w:val="none"/>
          <w:shd w:val="clear" w:color="auto" w:fill="auto"/>
        </w:rPr>
        <w:t>……</w:t>
      </w:r>
    </w:p>
    <w:p w14:paraId="103A3D88">
      <w:pPr>
        <w:pStyle w:val="20"/>
        <w:spacing w:line="360" w:lineRule="exact"/>
        <w:ind w:left="25" w:leftChars="12" w:firstLine="413" w:firstLineChars="197"/>
        <w:rPr>
          <w:rFonts w:hAnsi="宋体" w:cs="宋体"/>
          <w:color w:val="000000"/>
          <w:highlight w:val="none"/>
          <w:shd w:val="clear" w:color="auto" w:fill="auto"/>
        </w:rPr>
      </w:pPr>
      <w:r>
        <w:rPr>
          <w:rFonts w:hint="eastAsia" w:hAnsi="宋体" w:cs="宋体"/>
          <w:color w:val="000000"/>
          <w:highlight w:val="none"/>
          <w:shd w:val="clear" w:color="auto" w:fill="auto"/>
        </w:rPr>
        <w:t>四、与质疑事项相关的质疑请求：</w:t>
      </w:r>
    </w:p>
    <w:p w14:paraId="4E7A6019">
      <w:pPr>
        <w:pStyle w:val="20"/>
        <w:spacing w:line="360" w:lineRule="exact"/>
        <w:ind w:left="25" w:leftChars="12" w:firstLine="413" w:firstLineChars="197"/>
        <w:rPr>
          <w:rFonts w:hAnsi="宋体" w:cs="宋体"/>
          <w:color w:val="000000"/>
          <w:highlight w:val="none"/>
          <w:shd w:val="clear" w:color="auto" w:fill="auto"/>
        </w:rPr>
      </w:pPr>
      <w:r>
        <w:rPr>
          <w:rFonts w:hint="eastAsia" w:hAnsi="宋体" w:cs="宋体"/>
          <w:color w:val="000000"/>
          <w:highlight w:val="none"/>
          <w:shd w:val="clear" w:color="auto" w:fill="auto"/>
        </w:rPr>
        <w:t>请求：</w:t>
      </w:r>
      <w:r>
        <w:rPr>
          <w:rFonts w:hint="eastAsia" w:hAnsi="宋体" w:cs="宋体"/>
          <w:bCs/>
          <w:color w:val="000000"/>
          <w:highlight w:val="none"/>
          <w:u w:val="single"/>
          <w:shd w:val="clear" w:color="auto" w:fill="auto"/>
        </w:rPr>
        <w:t xml:space="preserve">                                                                </w:t>
      </w:r>
    </w:p>
    <w:p w14:paraId="26944B07">
      <w:pPr>
        <w:pStyle w:val="20"/>
        <w:spacing w:line="360" w:lineRule="exact"/>
        <w:ind w:left="25" w:leftChars="12" w:firstLine="308" w:firstLineChars="147"/>
        <w:rPr>
          <w:rFonts w:hAnsi="宋体" w:cs="宋体"/>
          <w:color w:val="000000"/>
          <w:highlight w:val="none"/>
          <w:shd w:val="clear" w:color="auto" w:fill="auto"/>
        </w:rPr>
      </w:pPr>
    </w:p>
    <w:p w14:paraId="7B0F7639">
      <w:pPr>
        <w:pStyle w:val="20"/>
        <w:spacing w:line="360" w:lineRule="exact"/>
        <w:ind w:left="25" w:leftChars="12" w:firstLine="413" w:firstLineChars="197"/>
        <w:rPr>
          <w:rFonts w:hAnsi="宋体" w:cs="宋体"/>
          <w:color w:val="000000"/>
          <w:highlight w:val="none"/>
          <w:shd w:val="clear" w:color="auto" w:fill="auto"/>
        </w:rPr>
      </w:pPr>
      <w:r>
        <w:rPr>
          <w:rFonts w:hint="eastAsia" w:hAnsi="宋体" w:cs="宋体"/>
          <w:color w:val="000000"/>
          <w:highlight w:val="none"/>
          <w:shd w:val="clear" w:color="auto" w:fill="auto"/>
        </w:rPr>
        <w:t>签字（签章）：                                       公章：</w:t>
      </w:r>
    </w:p>
    <w:p w14:paraId="134DFA4F">
      <w:pPr>
        <w:pStyle w:val="20"/>
        <w:spacing w:line="360" w:lineRule="exact"/>
        <w:ind w:left="25" w:leftChars="12" w:firstLine="308" w:firstLineChars="147"/>
        <w:rPr>
          <w:rFonts w:hAnsi="宋体" w:cs="宋体"/>
          <w:color w:val="000000"/>
          <w:highlight w:val="none"/>
          <w:shd w:val="clear" w:color="auto" w:fill="auto"/>
        </w:rPr>
      </w:pPr>
    </w:p>
    <w:p w14:paraId="6B59D103">
      <w:pPr>
        <w:pStyle w:val="20"/>
        <w:spacing w:line="360" w:lineRule="exact"/>
        <w:ind w:left="25" w:leftChars="12" w:firstLine="413" w:firstLineChars="197"/>
        <w:rPr>
          <w:rFonts w:hAnsi="宋体" w:cs="宋体"/>
          <w:color w:val="000000"/>
          <w:highlight w:val="none"/>
          <w:shd w:val="clear" w:color="auto" w:fill="auto"/>
        </w:rPr>
      </w:pPr>
      <w:r>
        <w:rPr>
          <w:rFonts w:hint="eastAsia" w:hAnsi="宋体" w:cs="宋体"/>
          <w:color w:val="000000"/>
          <w:highlight w:val="none"/>
          <w:shd w:val="clear" w:color="auto" w:fill="auto"/>
        </w:rPr>
        <w:t>日期：</w:t>
      </w:r>
    </w:p>
    <w:p w14:paraId="3F85B3B8">
      <w:pPr>
        <w:pStyle w:val="20"/>
        <w:snapToGrid w:val="0"/>
        <w:spacing w:line="360" w:lineRule="exact"/>
        <w:rPr>
          <w:rFonts w:hAnsi="宋体" w:cs="宋体"/>
          <w:b/>
          <w:color w:val="000000"/>
          <w:highlight w:val="none"/>
          <w:shd w:val="clear" w:color="auto" w:fill="auto"/>
        </w:rPr>
      </w:pPr>
      <w:r>
        <w:rPr>
          <w:rFonts w:hint="eastAsia" w:hAnsi="宋体" w:cs="宋体"/>
          <w:b/>
          <w:color w:val="000000"/>
          <w:highlight w:val="none"/>
          <w:shd w:val="clear" w:color="auto" w:fill="auto"/>
        </w:rPr>
        <w:t>说明：</w:t>
      </w:r>
    </w:p>
    <w:p w14:paraId="1FD9F7DD">
      <w:pPr>
        <w:pStyle w:val="20"/>
        <w:spacing w:line="360" w:lineRule="exact"/>
        <w:ind w:left="25" w:leftChars="12" w:firstLine="310" w:firstLineChars="147"/>
        <w:rPr>
          <w:rFonts w:hAnsi="宋体" w:cs="宋体"/>
          <w:b/>
          <w:bCs/>
          <w:color w:val="000000"/>
          <w:highlight w:val="none"/>
          <w:shd w:val="clear" w:color="auto" w:fill="auto"/>
        </w:rPr>
      </w:pPr>
      <w:r>
        <w:rPr>
          <w:rFonts w:hint="eastAsia" w:hAnsi="宋体" w:cs="宋体"/>
          <w:b/>
          <w:color w:val="000000"/>
          <w:highlight w:val="none"/>
          <w:shd w:val="clear" w:color="auto" w:fill="auto"/>
        </w:rPr>
        <w:t>1.供应商提出质疑时，应提交质疑函和必要的证明材料</w:t>
      </w:r>
      <w:r>
        <w:rPr>
          <w:rFonts w:hint="eastAsia" w:hAnsi="宋体" w:cs="宋体"/>
          <w:b/>
          <w:bCs/>
          <w:color w:val="000000"/>
          <w:highlight w:val="none"/>
          <w:shd w:val="clear" w:color="auto" w:fill="auto"/>
        </w:rPr>
        <w:t>。</w:t>
      </w:r>
    </w:p>
    <w:p w14:paraId="2B0039A8">
      <w:pPr>
        <w:pStyle w:val="20"/>
        <w:spacing w:line="360" w:lineRule="exact"/>
        <w:ind w:left="25" w:leftChars="12" w:firstLine="310" w:firstLineChars="147"/>
        <w:rPr>
          <w:rFonts w:hAnsi="宋体" w:cs="宋体"/>
          <w:b/>
          <w:color w:val="000000"/>
          <w:highlight w:val="none"/>
          <w:shd w:val="clear" w:color="auto" w:fill="auto"/>
        </w:rPr>
      </w:pPr>
      <w:r>
        <w:rPr>
          <w:rFonts w:hint="eastAsia" w:hAnsi="宋体" w:cs="宋体"/>
          <w:b/>
          <w:color w:val="000000"/>
          <w:highlight w:val="none"/>
          <w:shd w:val="clear" w:color="auto" w:fill="auto"/>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9F7EEA6">
      <w:pPr>
        <w:pStyle w:val="20"/>
        <w:spacing w:line="360" w:lineRule="exact"/>
        <w:ind w:left="25" w:leftChars="12" w:firstLine="310" w:firstLineChars="147"/>
        <w:rPr>
          <w:rFonts w:hAnsi="宋体" w:cs="宋体"/>
          <w:b/>
          <w:color w:val="000000"/>
          <w:highlight w:val="none"/>
          <w:shd w:val="clear" w:color="auto" w:fill="auto"/>
        </w:rPr>
      </w:pPr>
      <w:r>
        <w:rPr>
          <w:rFonts w:hint="eastAsia" w:hAnsi="宋体" w:cs="宋体"/>
          <w:b/>
          <w:color w:val="000000"/>
          <w:highlight w:val="none"/>
          <w:shd w:val="clear" w:color="auto" w:fill="auto"/>
        </w:rPr>
        <w:t>3.质疑函的质疑事项应具体、明确，并有必要的事实依据和法律依据。</w:t>
      </w:r>
    </w:p>
    <w:p w14:paraId="62D9C270">
      <w:pPr>
        <w:pStyle w:val="20"/>
        <w:spacing w:line="360" w:lineRule="exact"/>
        <w:ind w:left="25" w:leftChars="12" w:firstLine="310" w:firstLineChars="147"/>
        <w:rPr>
          <w:rFonts w:hAnsi="宋体" w:cs="宋体"/>
          <w:b/>
          <w:color w:val="000000"/>
          <w:highlight w:val="none"/>
          <w:shd w:val="clear" w:color="auto" w:fill="auto"/>
        </w:rPr>
      </w:pPr>
      <w:r>
        <w:rPr>
          <w:rFonts w:hint="eastAsia" w:hAnsi="宋体" w:cs="宋体"/>
          <w:b/>
          <w:color w:val="000000"/>
          <w:highlight w:val="none"/>
          <w:shd w:val="clear" w:color="auto" w:fill="auto"/>
        </w:rPr>
        <w:t>4.质疑函的质疑请求应与质疑事项相关。</w:t>
      </w:r>
    </w:p>
    <w:p w14:paraId="0A5A97FB">
      <w:pPr>
        <w:pStyle w:val="20"/>
        <w:spacing w:line="360" w:lineRule="exact"/>
        <w:ind w:left="25" w:leftChars="12" w:firstLine="310" w:firstLineChars="147"/>
        <w:rPr>
          <w:rFonts w:hAnsi="宋体" w:cs="宋体"/>
          <w:b/>
          <w:color w:val="000000"/>
          <w:highlight w:val="none"/>
          <w:shd w:val="clear" w:color="auto" w:fill="auto"/>
        </w:rPr>
      </w:pPr>
      <w:r>
        <w:rPr>
          <w:rFonts w:hint="eastAsia" w:hAnsi="宋体" w:cs="宋体"/>
          <w:b/>
          <w:color w:val="000000"/>
          <w:highlight w:val="none"/>
          <w:shd w:val="clear" w:color="auto" w:fill="auto"/>
        </w:rPr>
        <w:t>5.质疑供应商为法人或者其他组织的，质疑函应由法定代表人、主要负责人，或者其授权代表签字或者盖章，并加盖公章。</w:t>
      </w:r>
      <w:r>
        <w:rPr>
          <w:rFonts w:hint="eastAsia" w:hAnsi="宋体" w:cs="宋体"/>
          <w:color w:val="000000"/>
          <w:sz w:val="44"/>
          <w:highlight w:val="none"/>
          <w:shd w:val="clear" w:color="auto" w:fill="auto"/>
        </w:rPr>
        <w:br w:type="page"/>
      </w:r>
    </w:p>
    <w:p w14:paraId="25641BA4">
      <w:pPr>
        <w:spacing w:line="460" w:lineRule="exact"/>
        <w:jc w:val="center"/>
        <w:outlineLvl w:val="2"/>
        <w:rPr>
          <w:rFonts w:ascii="宋体" w:hAnsi="宋体" w:cs="宋体"/>
          <w:b/>
          <w:bCs/>
          <w:color w:val="000000"/>
          <w:sz w:val="32"/>
          <w:szCs w:val="32"/>
          <w:highlight w:val="none"/>
          <w:shd w:val="clear" w:color="auto" w:fill="auto"/>
        </w:rPr>
      </w:pPr>
      <w:bookmarkStart w:id="2014" w:name="_Toc23100"/>
      <w:bookmarkStart w:id="2015" w:name="_Toc5461"/>
      <w:bookmarkStart w:id="2016" w:name="_Toc26333"/>
      <w:r>
        <w:rPr>
          <w:rFonts w:hint="eastAsia" w:ascii="宋体" w:hAnsi="宋体" w:cs="宋体"/>
          <w:b/>
          <w:bCs/>
          <w:color w:val="000000"/>
          <w:sz w:val="32"/>
          <w:szCs w:val="32"/>
          <w:highlight w:val="none"/>
          <w:shd w:val="clear" w:color="auto" w:fill="auto"/>
        </w:rPr>
        <w:t>投诉书（格式）</w:t>
      </w:r>
      <w:bookmarkEnd w:id="2014"/>
      <w:bookmarkEnd w:id="2015"/>
      <w:bookmarkEnd w:id="2016"/>
    </w:p>
    <w:p w14:paraId="0BEB4E5D">
      <w:pPr>
        <w:pStyle w:val="20"/>
        <w:snapToGrid w:val="0"/>
        <w:spacing w:line="460" w:lineRule="exact"/>
        <w:ind w:firstLine="422" w:firstLineChars="200"/>
        <w:rPr>
          <w:rFonts w:hAnsi="宋体" w:cs="宋体"/>
          <w:b/>
          <w:bCs/>
          <w:color w:val="000000"/>
          <w:highlight w:val="none"/>
          <w:shd w:val="clear" w:color="auto" w:fill="auto"/>
        </w:rPr>
      </w:pPr>
      <w:r>
        <w:rPr>
          <w:rFonts w:hint="eastAsia" w:hAnsi="宋体" w:cs="宋体"/>
          <w:b/>
          <w:bCs/>
          <w:color w:val="000000"/>
          <w:highlight w:val="none"/>
          <w:shd w:val="clear" w:color="auto" w:fill="auto"/>
        </w:rPr>
        <w:t>一、投诉相关主体基本情况：</w:t>
      </w:r>
    </w:p>
    <w:p w14:paraId="0088B6BE">
      <w:pPr>
        <w:pStyle w:val="20"/>
        <w:snapToGrid w:val="0"/>
        <w:spacing w:line="460" w:lineRule="exact"/>
        <w:ind w:firstLine="420" w:firstLineChars="200"/>
        <w:rPr>
          <w:rFonts w:hAnsi="宋体" w:cs="宋体"/>
          <w:bCs/>
          <w:color w:val="000000"/>
          <w:highlight w:val="none"/>
          <w:u w:val="single"/>
          <w:shd w:val="clear" w:color="auto" w:fill="auto"/>
        </w:rPr>
      </w:pPr>
      <w:r>
        <w:rPr>
          <w:rFonts w:hint="eastAsia" w:hAnsi="宋体" w:cs="宋体"/>
          <w:bCs/>
          <w:color w:val="000000"/>
          <w:highlight w:val="none"/>
          <w:shd w:val="clear" w:color="auto" w:fill="auto"/>
        </w:rPr>
        <w:t>供应商：</w:t>
      </w:r>
      <w:r>
        <w:rPr>
          <w:rFonts w:hint="eastAsia" w:hAnsi="宋体" w:cs="宋体"/>
          <w:bCs/>
          <w:color w:val="000000"/>
          <w:highlight w:val="none"/>
          <w:u w:val="single"/>
          <w:shd w:val="clear" w:color="auto" w:fill="auto"/>
        </w:rPr>
        <w:t xml:space="preserve">                                                                     </w:t>
      </w:r>
    </w:p>
    <w:p w14:paraId="06ACEC8F">
      <w:pPr>
        <w:pStyle w:val="20"/>
        <w:snapToGrid w:val="0"/>
        <w:spacing w:line="460" w:lineRule="exact"/>
        <w:ind w:firstLine="420" w:firstLineChars="200"/>
        <w:rPr>
          <w:rFonts w:hAnsi="宋体" w:cs="宋体"/>
          <w:bCs/>
          <w:color w:val="000000"/>
          <w:highlight w:val="none"/>
          <w:u w:val="single"/>
          <w:shd w:val="clear" w:color="auto" w:fill="auto"/>
        </w:rPr>
      </w:pPr>
      <w:r>
        <w:rPr>
          <w:rFonts w:hint="eastAsia" w:hAnsi="宋体" w:cs="宋体"/>
          <w:bCs/>
          <w:color w:val="000000"/>
          <w:highlight w:val="none"/>
          <w:shd w:val="clear" w:color="auto" w:fill="auto"/>
        </w:rPr>
        <w:t>地址：</w:t>
      </w:r>
      <w:r>
        <w:rPr>
          <w:rFonts w:hint="eastAsia" w:hAnsi="宋体" w:cs="宋体"/>
          <w:bCs/>
          <w:color w:val="000000"/>
          <w:highlight w:val="none"/>
          <w:u w:val="single"/>
          <w:shd w:val="clear" w:color="auto" w:fill="auto"/>
        </w:rPr>
        <w:t xml:space="preserve">                                          </w:t>
      </w:r>
      <w:r>
        <w:rPr>
          <w:rFonts w:hint="eastAsia" w:hAnsi="宋体" w:cs="宋体"/>
          <w:bCs/>
          <w:color w:val="000000"/>
          <w:highlight w:val="none"/>
          <w:shd w:val="clear" w:color="auto" w:fill="auto"/>
        </w:rPr>
        <w:t>邮编：</w:t>
      </w:r>
      <w:r>
        <w:rPr>
          <w:rFonts w:hint="eastAsia" w:hAnsi="宋体" w:cs="宋体"/>
          <w:bCs/>
          <w:color w:val="000000"/>
          <w:highlight w:val="none"/>
          <w:u w:val="single"/>
          <w:shd w:val="clear" w:color="auto" w:fill="auto"/>
        </w:rPr>
        <w:t xml:space="preserve">                       </w:t>
      </w:r>
    </w:p>
    <w:p w14:paraId="69706B59">
      <w:pPr>
        <w:pStyle w:val="20"/>
        <w:snapToGrid w:val="0"/>
        <w:spacing w:line="460" w:lineRule="exact"/>
        <w:ind w:firstLine="420" w:firstLineChars="200"/>
        <w:rPr>
          <w:rFonts w:hAnsi="宋体" w:cs="宋体"/>
          <w:bCs/>
          <w:color w:val="000000"/>
          <w:highlight w:val="none"/>
          <w:u w:val="single"/>
          <w:shd w:val="clear" w:color="auto" w:fill="auto"/>
        </w:rPr>
      </w:pPr>
      <w:r>
        <w:rPr>
          <w:rFonts w:hint="eastAsia" w:hAnsi="宋体" w:cs="宋体"/>
          <w:bCs/>
          <w:color w:val="000000"/>
          <w:highlight w:val="none"/>
          <w:shd w:val="clear" w:color="auto" w:fill="auto"/>
        </w:rPr>
        <w:t>法定代表人/主要负责人：</w:t>
      </w:r>
      <w:r>
        <w:rPr>
          <w:rFonts w:hint="eastAsia" w:hAnsi="宋体" w:cs="宋体"/>
          <w:bCs/>
          <w:color w:val="000000"/>
          <w:highlight w:val="none"/>
          <w:u w:val="single"/>
          <w:shd w:val="clear" w:color="auto" w:fill="auto"/>
        </w:rPr>
        <w:t xml:space="preserve">                         </w:t>
      </w:r>
      <w:r>
        <w:rPr>
          <w:rFonts w:hint="eastAsia" w:hAnsi="宋体" w:cs="宋体"/>
          <w:bCs/>
          <w:color w:val="000000"/>
          <w:highlight w:val="none"/>
          <w:shd w:val="clear" w:color="auto" w:fill="auto"/>
        </w:rPr>
        <w:t>联系电话：</w:t>
      </w:r>
      <w:r>
        <w:rPr>
          <w:rFonts w:hint="eastAsia" w:hAnsi="宋体" w:cs="宋体"/>
          <w:bCs/>
          <w:color w:val="000000"/>
          <w:highlight w:val="none"/>
          <w:u w:val="single"/>
          <w:shd w:val="clear" w:color="auto" w:fill="auto"/>
        </w:rPr>
        <w:t xml:space="preserve">                   </w:t>
      </w:r>
    </w:p>
    <w:p w14:paraId="5841B582">
      <w:pPr>
        <w:pStyle w:val="20"/>
        <w:snapToGrid w:val="0"/>
        <w:spacing w:line="460" w:lineRule="exact"/>
        <w:ind w:firstLine="420" w:firstLineChars="200"/>
        <w:rPr>
          <w:rFonts w:hAnsi="宋体" w:cs="宋体"/>
          <w:bCs/>
          <w:color w:val="000000"/>
          <w:highlight w:val="none"/>
          <w:u w:val="single"/>
          <w:shd w:val="clear" w:color="auto" w:fill="auto"/>
        </w:rPr>
      </w:pPr>
      <w:r>
        <w:rPr>
          <w:rFonts w:hint="eastAsia" w:hAnsi="宋体" w:cs="宋体"/>
          <w:bCs/>
          <w:color w:val="000000"/>
          <w:highlight w:val="none"/>
          <w:shd w:val="clear" w:color="auto" w:fill="auto"/>
        </w:rPr>
        <w:t>授权代表：</w:t>
      </w:r>
      <w:r>
        <w:rPr>
          <w:rFonts w:hint="eastAsia" w:hAnsi="宋体" w:cs="宋体"/>
          <w:bCs/>
          <w:color w:val="000000"/>
          <w:highlight w:val="none"/>
          <w:u w:val="single"/>
          <w:shd w:val="clear" w:color="auto" w:fill="auto"/>
        </w:rPr>
        <w:t xml:space="preserve">                                      </w:t>
      </w:r>
      <w:r>
        <w:rPr>
          <w:rFonts w:hint="eastAsia" w:hAnsi="宋体" w:cs="宋体"/>
          <w:bCs/>
          <w:color w:val="000000"/>
          <w:highlight w:val="none"/>
          <w:shd w:val="clear" w:color="auto" w:fill="auto"/>
        </w:rPr>
        <w:t>联系电话：</w:t>
      </w:r>
      <w:r>
        <w:rPr>
          <w:rFonts w:hint="eastAsia" w:hAnsi="宋体" w:cs="宋体"/>
          <w:bCs/>
          <w:color w:val="000000"/>
          <w:highlight w:val="none"/>
          <w:u w:val="single"/>
          <w:shd w:val="clear" w:color="auto" w:fill="auto"/>
        </w:rPr>
        <w:t xml:space="preserve">                   </w:t>
      </w:r>
    </w:p>
    <w:p w14:paraId="76CFC51D">
      <w:pPr>
        <w:pStyle w:val="20"/>
        <w:snapToGrid w:val="0"/>
        <w:spacing w:line="460" w:lineRule="exact"/>
        <w:ind w:firstLine="367" w:firstLineChars="175"/>
        <w:rPr>
          <w:rFonts w:hAnsi="宋体" w:cs="宋体"/>
          <w:bCs/>
          <w:color w:val="000000"/>
          <w:highlight w:val="none"/>
          <w:shd w:val="clear" w:color="auto" w:fill="auto"/>
        </w:rPr>
      </w:pPr>
      <w:r>
        <w:rPr>
          <w:rFonts w:hint="eastAsia" w:hAnsi="宋体" w:cs="宋体"/>
          <w:bCs/>
          <w:color w:val="000000"/>
          <w:highlight w:val="none"/>
          <w:shd w:val="clear" w:color="auto" w:fill="auto"/>
        </w:rPr>
        <w:t>地址：</w:t>
      </w:r>
      <w:r>
        <w:rPr>
          <w:rFonts w:hint="eastAsia" w:hAnsi="宋体" w:cs="宋体"/>
          <w:bCs/>
          <w:color w:val="000000"/>
          <w:highlight w:val="none"/>
          <w:u w:val="single"/>
          <w:shd w:val="clear" w:color="auto" w:fill="auto"/>
        </w:rPr>
        <w:t xml:space="preserve">                                           </w:t>
      </w:r>
      <w:r>
        <w:rPr>
          <w:rFonts w:hint="eastAsia" w:hAnsi="宋体" w:cs="宋体"/>
          <w:bCs/>
          <w:color w:val="000000"/>
          <w:highlight w:val="none"/>
          <w:shd w:val="clear" w:color="auto" w:fill="auto"/>
        </w:rPr>
        <w:t>邮编：</w:t>
      </w:r>
      <w:r>
        <w:rPr>
          <w:rFonts w:hint="eastAsia" w:hAnsi="宋体" w:cs="宋体"/>
          <w:bCs/>
          <w:color w:val="000000"/>
          <w:highlight w:val="none"/>
          <w:u w:val="single"/>
          <w:shd w:val="clear" w:color="auto" w:fill="auto"/>
        </w:rPr>
        <w:t xml:space="preserve">              </w:t>
      </w:r>
    </w:p>
    <w:p w14:paraId="3F504E8D">
      <w:pPr>
        <w:pStyle w:val="20"/>
        <w:snapToGrid w:val="0"/>
        <w:spacing w:line="460" w:lineRule="exact"/>
        <w:ind w:firstLine="420" w:firstLineChars="200"/>
        <w:rPr>
          <w:rFonts w:hAnsi="宋体" w:cs="宋体"/>
          <w:bCs/>
          <w:color w:val="000000"/>
          <w:highlight w:val="none"/>
          <w:shd w:val="clear" w:color="auto" w:fill="auto"/>
        </w:rPr>
      </w:pPr>
      <w:r>
        <w:rPr>
          <w:rFonts w:hint="eastAsia" w:hAnsi="宋体" w:cs="宋体"/>
          <w:bCs/>
          <w:color w:val="000000"/>
          <w:highlight w:val="none"/>
          <w:shd w:val="clear" w:color="auto" w:fill="auto"/>
        </w:rPr>
        <w:t>被投诉人1：</w:t>
      </w:r>
      <w:r>
        <w:rPr>
          <w:rFonts w:hint="eastAsia" w:hAnsi="宋体" w:cs="宋体"/>
          <w:bCs/>
          <w:color w:val="000000"/>
          <w:highlight w:val="none"/>
          <w:u w:val="single"/>
          <w:shd w:val="clear" w:color="auto" w:fill="auto"/>
        </w:rPr>
        <w:t xml:space="preserve">                                        </w:t>
      </w:r>
    </w:p>
    <w:p w14:paraId="5BF82F7A">
      <w:pPr>
        <w:pStyle w:val="20"/>
        <w:snapToGrid w:val="0"/>
        <w:spacing w:line="460" w:lineRule="exact"/>
        <w:ind w:firstLine="420" w:firstLineChars="200"/>
        <w:rPr>
          <w:rFonts w:hAnsi="宋体" w:cs="宋体"/>
          <w:bCs/>
          <w:color w:val="000000"/>
          <w:highlight w:val="none"/>
          <w:shd w:val="clear" w:color="auto" w:fill="auto"/>
        </w:rPr>
      </w:pPr>
      <w:r>
        <w:rPr>
          <w:rFonts w:hint="eastAsia" w:hAnsi="宋体" w:cs="宋体"/>
          <w:bCs/>
          <w:color w:val="000000"/>
          <w:highlight w:val="none"/>
          <w:shd w:val="clear" w:color="auto" w:fill="auto"/>
        </w:rPr>
        <w:t>地址：</w:t>
      </w:r>
      <w:r>
        <w:rPr>
          <w:rFonts w:hint="eastAsia" w:hAnsi="宋体" w:cs="宋体"/>
          <w:bCs/>
          <w:color w:val="000000"/>
          <w:highlight w:val="none"/>
          <w:u w:val="single"/>
          <w:shd w:val="clear" w:color="auto" w:fill="auto"/>
        </w:rPr>
        <w:t xml:space="preserve">                                           </w:t>
      </w:r>
      <w:r>
        <w:rPr>
          <w:rFonts w:hint="eastAsia" w:hAnsi="宋体" w:cs="宋体"/>
          <w:bCs/>
          <w:color w:val="000000"/>
          <w:highlight w:val="none"/>
          <w:shd w:val="clear" w:color="auto" w:fill="auto"/>
        </w:rPr>
        <w:t>邮编：</w:t>
      </w:r>
      <w:r>
        <w:rPr>
          <w:rFonts w:hint="eastAsia" w:hAnsi="宋体" w:cs="宋体"/>
          <w:bCs/>
          <w:color w:val="000000"/>
          <w:highlight w:val="none"/>
          <w:u w:val="single"/>
          <w:shd w:val="clear" w:color="auto" w:fill="auto"/>
        </w:rPr>
        <w:t xml:space="preserve">             </w:t>
      </w:r>
    </w:p>
    <w:p w14:paraId="58E656E8">
      <w:pPr>
        <w:pStyle w:val="20"/>
        <w:snapToGrid w:val="0"/>
        <w:spacing w:line="460" w:lineRule="exact"/>
        <w:ind w:firstLine="420" w:firstLineChars="200"/>
        <w:rPr>
          <w:rFonts w:hAnsi="宋体" w:cs="宋体"/>
          <w:bCs/>
          <w:color w:val="000000"/>
          <w:highlight w:val="none"/>
          <w:u w:val="single"/>
          <w:shd w:val="clear" w:color="auto" w:fill="auto"/>
        </w:rPr>
      </w:pPr>
      <w:r>
        <w:rPr>
          <w:rFonts w:hint="eastAsia" w:hAnsi="宋体" w:cs="宋体"/>
          <w:bCs/>
          <w:color w:val="000000"/>
          <w:highlight w:val="none"/>
          <w:shd w:val="clear" w:color="auto" w:fill="auto"/>
        </w:rPr>
        <w:t>联系人：</w:t>
      </w:r>
      <w:r>
        <w:rPr>
          <w:rFonts w:hint="eastAsia" w:hAnsi="宋体" w:cs="宋体"/>
          <w:bCs/>
          <w:color w:val="000000"/>
          <w:highlight w:val="none"/>
          <w:u w:val="single"/>
          <w:shd w:val="clear" w:color="auto" w:fill="auto"/>
        </w:rPr>
        <w:t xml:space="preserve">                                         </w:t>
      </w:r>
      <w:r>
        <w:rPr>
          <w:rFonts w:hint="eastAsia" w:hAnsi="宋体" w:cs="宋体"/>
          <w:bCs/>
          <w:color w:val="000000"/>
          <w:highlight w:val="none"/>
          <w:shd w:val="clear" w:color="auto" w:fill="auto"/>
        </w:rPr>
        <w:t>联系电话：</w:t>
      </w:r>
      <w:r>
        <w:rPr>
          <w:rFonts w:hint="eastAsia" w:hAnsi="宋体" w:cs="宋体"/>
          <w:bCs/>
          <w:color w:val="000000"/>
          <w:highlight w:val="none"/>
          <w:u w:val="single"/>
          <w:shd w:val="clear" w:color="auto" w:fill="auto"/>
        </w:rPr>
        <w:t xml:space="preserve">                  </w:t>
      </w:r>
    </w:p>
    <w:p w14:paraId="60E8B0E0">
      <w:pPr>
        <w:pStyle w:val="20"/>
        <w:snapToGrid w:val="0"/>
        <w:spacing w:line="460" w:lineRule="exact"/>
        <w:ind w:firstLine="420" w:firstLineChars="200"/>
        <w:rPr>
          <w:rFonts w:hAnsi="宋体" w:cs="宋体"/>
          <w:bCs/>
          <w:color w:val="000000"/>
          <w:highlight w:val="none"/>
          <w:shd w:val="clear" w:color="auto" w:fill="auto"/>
        </w:rPr>
      </w:pPr>
      <w:r>
        <w:rPr>
          <w:rFonts w:hint="eastAsia" w:hAnsi="宋体" w:cs="宋体"/>
          <w:bCs/>
          <w:color w:val="000000"/>
          <w:highlight w:val="none"/>
          <w:shd w:val="clear" w:color="auto" w:fill="auto"/>
        </w:rPr>
        <w:t>被投诉人2：</w:t>
      </w:r>
    </w:p>
    <w:p w14:paraId="1BBFAB09">
      <w:pPr>
        <w:pStyle w:val="20"/>
        <w:snapToGrid w:val="0"/>
        <w:spacing w:line="460" w:lineRule="exact"/>
        <w:ind w:firstLine="420" w:firstLineChars="200"/>
        <w:rPr>
          <w:rFonts w:hAnsi="宋体" w:cs="宋体"/>
          <w:bCs/>
          <w:color w:val="000000"/>
          <w:highlight w:val="none"/>
          <w:shd w:val="clear" w:color="auto" w:fill="auto"/>
        </w:rPr>
      </w:pPr>
      <w:r>
        <w:rPr>
          <w:rFonts w:hint="eastAsia" w:hAnsi="宋体" w:cs="宋体"/>
          <w:bCs/>
          <w:color w:val="000000"/>
          <w:highlight w:val="none"/>
          <w:shd w:val="clear" w:color="auto" w:fill="auto"/>
        </w:rPr>
        <w:t>……</w:t>
      </w:r>
    </w:p>
    <w:p w14:paraId="21D1E835">
      <w:pPr>
        <w:pStyle w:val="20"/>
        <w:snapToGrid w:val="0"/>
        <w:spacing w:line="460" w:lineRule="exact"/>
        <w:ind w:firstLine="420" w:firstLineChars="200"/>
        <w:rPr>
          <w:rFonts w:hAnsi="宋体" w:cs="宋体"/>
          <w:bCs/>
          <w:color w:val="000000"/>
          <w:highlight w:val="none"/>
          <w:u w:val="single"/>
          <w:shd w:val="clear" w:color="auto" w:fill="auto"/>
        </w:rPr>
      </w:pPr>
      <w:r>
        <w:rPr>
          <w:rFonts w:hint="eastAsia" w:hAnsi="宋体" w:cs="宋体"/>
          <w:bCs/>
          <w:color w:val="000000"/>
          <w:highlight w:val="none"/>
          <w:shd w:val="clear" w:color="auto" w:fill="auto"/>
        </w:rPr>
        <w:t>相关供应商：</w:t>
      </w:r>
      <w:r>
        <w:rPr>
          <w:rFonts w:hint="eastAsia" w:hAnsi="宋体" w:cs="宋体"/>
          <w:bCs/>
          <w:color w:val="000000"/>
          <w:highlight w:val="none"/>
          <w:u w:val="single"/>
          <w:shd w:val="clear" w:color="auto" w:fill="auto"/>
        </w:rPr>
        <w:t xml:space="preserve">                                                                 </w:t>
      </w:r>
    </w:p>
    <w:p w14:paraId="54FFFC17">
      <w:pPr>
        <w:pStyle w:val="20"/>
        <w:snapToGrid w:val="0"/>
        <w:spacing w:line="460" w:lineRule="exact"/>
        <w:ind w:firstLine="420" w:firstLineChars="200"/>
        <w:rPr>
          <w:rFonts w:hAnsi="宋体" w:cs="宋体"/>
          <w:bCs/>
          <w:color w:val="000000"/>
          <w:highlight w:val="none"/>
          <w:u w:val="single"/>
          <w:shd w:val="clear" w:color="auto" w:fill="auto"/>
        </w:rPr>
      </w:pPr>
      <w:r>
        <w:rPr>
          <w:rFonts w:hint="eastAsia" w:hAnsi="宋体" w:cs="宋体"/>
          <w:bCs/>
          <w:color w:val="000000"/>
          <w:highlight w:val="none"/>
          <w:shd w:val="clear" w:color="auto" w:fill="auto"/>
        </w:rPr>
        <w:t>地址：</w:t>
      </w:r>
      <w:r>
        <w:rPr>
          <w:rFonts w:hint="eastAsia" w:hAnsi="宋体" w:cs="宋体"/>
          <w:bCs/>
          <w:color w:val="000000"/>
          <w:highlight w:val="none"/>
          <w:u w:val="single"/>
          <w:shd w:val="clear" w:color="auto" w:fill="auto"/>
        </w:rPr>
        <w:t xml:space="preserve">                                            </w:t>
      </w:r>
      <w:r>
        <w:rPr>
          <w:rFonts w:hint="eastAsia" w:hAnsi="宋体" w:cs="宋体"/>
          <w:bCs/>
          <w:color w:val="000000"/>
          <w:highlight w:val="none"/>
          <w:shd w:val="clear" w:color="auto" w:fill="auto"/>
        </w:rPr>
        <w:t>邮编：</w:t>
      </w:r>
      <w:r>
        <w:rPr>
          <w:rFonts w:hint="eastAsia" w:hAnsi="宋体" w:cs="宋体"/>
          <w:bCs/>
          <w:color w:val="000000"/>
          <w:highlight w:val="none"/>
          <w:u w:val="single"/>
          <w:shd w:val="clear" w:color="auto" w:fill="auto"/>
        </w:rPr>
        <w:t xml:space="preserve">                     </w:t>
      </w:r>
    </w:p>
    <w:p w14:paraId="0F4DCA74">
      <w:pPr>
        <w:pStyle w:val="20"/>
        <w:snapToGrid w:val="0"/>
        <w:spacing w:line="460" w:lineRule="exact"/>
        <w:ind w:firstLine="420" w:firstLineChars="200"/>
        <w:rPr>
          <w:rFonts w:hAnsi="宋体" w:cs="宋体"/>
          <w:bCs/>
          <w:color w:val="000000"/>
          <w:highlight w:val="none"/>
          <w:u w:val="single"/>
          <w:shd w:val="clear" w:color="auto" w:fill="auto"/>
        </w:rPr>
      </w:pPr>
      <w:r>
        <w:rPr>
          <w:rFonts w:hint="eastAsia" w:hAnsi="宋体" w:cs="宋体"/>
          <w:bCs/>
          <w:color w:val="000000"/>
          <w:highlight w:val="none"/>
          <w:shd w:val="clear" w:color="auto" w:fill="auto"/>
        </w:rPr>
        <w:t>联系人：</w:t>
      </w:r>
      <w:r>
        <w:rPr>
          <w:rFonts w:hint="eastAsia" w:hAnsi="宋体" w:cs="宋体"/>
          <w:bCs/>
          <w:color w:val="000000"/>
          <w:highlight w:val="none"/>
          <w:u w:val="single"/>
          <w:shd w:val="clear" w:color="auto" w:fill="auto"/>
        </w:rPr>
        <w:t xml:space="preserve">                                          </w:t>
      </w:r>
      <w:r>
        <w:rPr>
          <w:rFonts w:hint="eastAsia" w:hAnsi="宋体" w:cs="宋体"/>
          <w:bCs/>
          <w:color w:val="000000"/>
          <w:highlight w:val="none"/>
          <w:shd w:val="clear" w:color="auto" w:fill="auto"/>
        </w:rPr>
        <w:t>联系电话：</w:t>
      </w:r>
      <w:r>
        <w:rPr>
          <w:rFonts w:hint="eastAsia" w:hAnsi="宋体" w:cs="宋体"/>
          <w:bCs/>
          <w:color w:val="000000"/>
          <w:highlight w:val="none"/>
          <w:u w:val="single"/>
          <w:shd w:val="clear" w:color="auto" w:fill="auto"/>
        </w:rPr>
        <w:t xml:space="preserve">                 </w:t>
      </w:r>
    </w:p>
    <w:p w14:paraId="280F62A7">
      <w:pPr>
        <w:pStyle w:val="20"/>
        <w:snapToGrid w:val="0"/>
        <w:spacing w:line="460" w:lineRule="exact"/>
        <w:ind w:firstLine="422" w:firstLineChars="200"/>
        <w:rPr>
          <w:rFonts w:hAnsi="宋体" w:cs="宋体"/>
          <w:b/>
          <w:bCs/>
          <w:color w:val="000000"/>
          <w:highlight w:val="none"/>
          <w:shd w:val="clear" w:color="auto" w:fill="auto"/>
        </w:rPr>
      </w:pPr>
      <w:r>
        <w:rPr>
          <w:rFonts w:hint="eastAsia" w:hAnsi="宋体" w:cs="宋体"/>
          <w:b/>
          <w:bCs/>
          <w:color w:val="000000"/>
          <w:highlight w:val="none"/>
          <w:shd w:val="clear" w:color="auto" w:fill="auto"/>
        </w:rPr>
        <w:t>二、投诉项目基本情况：</w:t>
      </w:r>
    </w:p>
    <w:p w14:paraId="471CFA2C">
      <w:pPr>
        <w:pStyle w:val="20"/>
        <w:spacing w:line="460" w:lineRule="exact"/>
        <w:ind w:left="25" w:leftChars="12" w:firstLine="413" w:firstLineChars="197"/>
        <w:rPr>
          <w:rFonts w:hAnsi="宋体" w:cs="宋体"/>
          <w:bCs/>
          <w:color w:val="000000"/>
          <w:highlight w:val="none"/>
          <w:u w:val="single"/>
          <w:shd w:val="clear" w:color="auto" w:fill="auto"/>
        </w:rPr>
      </w:pPr>
      <w:r>
        <w:rPr>
          <w:rFonts w:hint="eastAsia" w:hAnsi="宋体" w:cs="宋体"/>
          <w:bCs/>
          <w:color w:val="000000"/>
          <w:highlight w:val="none"/>
          <w:shd w:val="clear" w:color="auto" w:fill="auto"/>
        </w:rPr>
        <w:t>采购</w:t>
      </w:r>
      <w:r>
        <w:rPr>
          <w:rFonts w:hint="eastAsia" w:hAnsi="宋体" w:cs="宋体"/>
          <w:color w:val="000000"/>
          <w:highlight w:val="none"/>
          <w:shd w:val="clear" w:color="auto" w:fill="auto"/>
        </w:rPr>
        <w:t>项目的名称：</w:t>
      </w:r>
      <w:r>
        <w:rPr>
          <w:rFonts w:hint="eastAsia" w:hAnsi="宋体" w:cs="宋体"/>
          <w:bCs/>
          <w:color w:val="000000"/>
          <w:highlight w:val="none"/>
          <w:u w:val="single"/>
          <w:shd w:val="clear" w:color="auto" w:fill="auto"/>
        </w:rPr>
        <w:t xml:space="preserve">                                                             </w:t>
      </w:r>
    </w:p>
    <w:p w14:paraId="29D0E24B">
      <w:pPr>
        <w:pStyle w:val="20"/>
        <w:spacing w:line="460" w:lineRule="exact"/>
        <w:ind w:left="25" w:leftChars="12" w:firstLine="413" w:firstLineChars="197"/>
        <w:rPr>
          <w:rFonts w:hAnsi="宋体" w:cs="宋体"/>
          <w:color w:val="000000"/>
          <w:highlight w:val="none"/>
          <w:shd w:val="clear" w:color="auto" w:fill="auto"/>
        </w:rPr>
      </w:pPr>
      <w:r>
        <w:rPr>
          <w:rFonts w:hint="eastAsia" w:hAnsi="宋体" w:cs="宋体"/>
          <w:bCs/>
          <w:color w:val="000000"/>
          <w:highlight w:val="none"/>
          <w:shd w:val="clear" w:color="auto" w:fill="auto"/>
        </w:rPr>
        <w:t>采购</w:t>
      </w:r>
      <w:r>
        <w:rPr>
          <w:rFonts w:hint="eastAsia" w:hAnsi="宋体" w:cs="宋体"/>
          <w:color w:val="000000"/>
          <w:highlight w:val="none"/>
          <w:shd w:val="clear" w:color="auto" w:fill="auto"/>
        </w:rPr>
        <w:t>项目的编号：</w:t>
      </w:r>
      <w:r>
        <w:rPr>
          <w:rFonts w:hint="eastAsia" w:hAnsi="宋体" w:cs="宋体"/>
          <w:bCs/>
          <w:color w:val="000000"/>
          <w:highlight w:val="none"/>
          <w:u w:val="single"/>
          <w:shd w:val="clear" w:color="auto" w:fill="auto"/>
        </w:rPr>
        <w:t xml:space="preserve">                                          </w:t>
      </w:r>
    </w:p>
    <w:p w14:paraId="5E876B6E">
      <w:pPr>
        <w:pStyle w:val="20"/>
        <w:spacing w:line="460" w:lineRule="exact"/>
        <w:ind w:left="25" w:leftChars="12" w:firstLine="413" w:firstLineChars="197"/>
        <w:rPr>
          <w:rFonts w:hAnsi="宋体" w:cs="宋体"/>
          <w:bCs/>
          <w:color w:val="000000"/>
          <w:highlight w:val="none"/>
          <w:u w:val="single"/>
          <w:shd w:val="clear" w:color="auto" w:fill="auto"/>
        </w:rPr>
      </w:pPr>
      <w:r>
        <w:rPr>
          <w:rFonts w:hint="eastAsia" w:hAnsi="宋体" w:cs="宋体"/>
          <w:color w:val="000000"/>
          <w:highlight w:val="none"/>
          <w:shd w:val="clear" w:color="auto" w:fill="auto"/>
        </w:rPr>
        <w:t>采购人名称：</w:t>
      </w:r>
      <w:r>
        <w:rPr>
          <w:rFonts w:hint="eastAsia" w:hAnsi="宋体" w:cs="宋体"/>
          <w:bCs/>
          <w:color w:val="000000"/>
          <w:highlight w:val="none"/>
          <w:u w:val="single"/>
          <w:shd w:val="clear" w:color="auto" w:fill="auto"/>
        </w:rPr>
        <w:t xml:space="preserve">                                                                 </w:t>
      </w:r>
    </w:p>
    <w:p w14:paraId="029BB47F">
      <w:pPr>
        <w:pStyle w:val="20"/>
        <w:spacing w:line="460" w:lineRule="exact"/>
        <w:ind w:left="25" w:leftChars="12" w:firstLine="413" w:firstLineChars="197"/>
        <w:rPr>
          <w:rFonts w:hAnsi="宋体" w:cs="宋体"/>
          <w:bCs/>
          <w:color w:val="000000"/>
          <w:highlight w:val="none"/>
          <w:u w:val="single"/>
          <w:shd w:val="clear" w:color="auto" w:fill="auto"/>
        </w:rPr>
      </w:pPr>
      <w:r>
        <w:rPr>
          <w:rFonts w:hint="eastAsia" w:hAnsi="宋体" w:cs="宋体"/>
          <w:color w:val="000000"/>
          <w:highlight w:val="none"/>
          <w:shd w:val="clear" w:color="auto" w:fill="auto"/>
        </w:rPr>
        <w:t>代理机构名称：</w:t>
      </w:r>
      <w:r>
        <w:rPr>
          <w:rFonts w:hint="eastAsia" w:hAnsi="宋体" w:cs="宋体"/>
          <w:bCs/>
          <w:color w:val="000000"/>
          <w:highlight w:val="none"/>
          <w:u w:val="single"/>
          <w:shd w:val="clear" w:color="auto" w:fill="auto"/>
        </w:rPr>
        <w:t xml:space="preserve">                                                               </w:t>
      </w:r>
    </w:p>
    <w:p w14:paraId="1D646556">
      <w:pPr>
        <w:pStyle w:val="20"/>
        <w:spacing w:line="460" w:lineRule="exact"/>
        <w:ind w:left="25" w:leftChars="12" w:firstLine="413" w:firstLineChars="197"/>
        <w:rPr>
          <w:rFonts w:hAnsi="宋体" w:cs="宋体"/>
          <w:bCs/>
          <w:color w:val="000000"/>
          <w:highlight w:val="none"/>
          <w:u w:val="single"/>
          <w:shd w:val="clear" w:color="auto" w:fill="auto"/>
        </w:rPr>
      </w:pPr>
      <w:r>
        <w:rPr>
          <w:rFonts w:hint="eastAsia" w:hAnsi="宋体" w:cs="宋体"/>
          <w:bCs/>
          <w:color w:val="000000"/>
          <w:highlight w:val="none"/>
          <w:shd w:val="clear" w:color="auto" w:fill="auto"/>
        </w:rPr>
        <w:t>采购文件公告：</w:t>
      </w:r>
      <w:r>
        <w:rPr>
          <w:rFonts w:hint="eastAsia" w:hAnsi="宋体" w:cs="宋体"/>
          <w:bCs/>
          <w:color w:val="000000"/>
          <w:highlight w:val="none"/>
          <w:u w:val="single"/>
          <w:shd w:val="clear" w:color="auto" w:fill="auto"/>
        </w:rPr>
        <w:t>是/否</w:t>
      </w:r>
      <w:r>
        <w:rPr>
          <w:rFonts w:hint="eastAsia" w:hAnsi="宋体" w:cs="宋体"/>
          <w:bCs/>
          <w:color w:val="000000"/>
          <w:highlight w:val="none"/>
          <w:shd w:val="clear" w:color="auto" w:fill="auto"/>
        </w:rPr>
        <w:t>公告期限：</w:t>
      </w:r>
      <w:r>
        <w:rPr>
          <w:rFonts w:hint="eastAsia" w:hAnsi="宋体" w:cs="宋体"/>
          <w:bCs/>
          <w:color w:val="000000"/>
          <w:highlight w:val="none"/>
          <w:u w:val="single"/>
          <w:shd w:val="clear" w:color="auto" w:fill="auto"/>
        </w:rPr>
        <w:t xml:space="preserve">                                                </w:t>
      </w:r>
    </w:p>
    <w:p w14:paraId="462A052D">
      <w:pPr>
        <w:pStyle w:val="20"/>
        <w:spacing w:line="460" w:lineRule="exact"/>
        <w:ind w:left="25" w:leftChars="12" w:firstLine="413" w:firstLineChars="197"/>
        <w:rPr>
          <w:rFonts w:hAnsi="宋体" w:cs="宋体"/>
          <w:bCs/>
          <w:color w:val="000000"/>
          <w:highlight w:val="none"/>
          <w:u w:val="single"/>
          <w:shd w:val="clear" w:color="auto" w:fill="auto"/>
        </w:rPr>
      </w:pPr>
      <w:r>
        <w:rPr>
          <w:rFonts w:hint="eastAsia" w:hAnsi="宋体" w:cs="宋体"/>
          <w:bCs/>
          <w:color w:val="000000"/>
          <w:highlight w:val="none"/>
          <w:shd w:val="clear" w:color="auto" w:fill="auto"/>
        </w:rPr>
        <w:t>采购结果公告：</w:t>
      </w:r>
      <w:r>
        <w:rPr>
          <w:rFonts w:hint="eastAsia" w:hAnsi="宋体" w:cs="宋体"/>
          <w:bCs/>
          <w:color w:val="000000"/>
          <w:highlight w:val="none"/>
          <w:u w:val="single"/>
          <w:shd w:val="clear" w:color="auto" w:fill="auto"/>
        </w:rPr>
        <w:t>是/否</w:t>
      </w:r>
      <w:r>
        <w:rPr>
          <w:rFonts w:hint="eastAsia" w:hAnsi="宋体" w:cs="宋体"/>
          <w:bCs/>
          <w:color w:val="000000"/>
          <w:highlight w:val="none"/>
          <w:shd w:val="clear" w:color="auto" w:fill="auto"/>
        </w:rPr>
        <w:t>公告期限：</w:t>
      </w:r>
      <w:r>
        <w:rPr>
          <w:rFonts w:hint="eastAsia" w:hAnsi="宋体" w:cs="宋体"/>
          <w:bCs/>
          <w:color w:val="000000"/>
          <w:highlight w:val="none"/>
          <w:u w:val="single"/>
          <w:shd w:val="clear" w:color="auto" w:fill="auto"/>
        </w:rPr>
        <w:t xml:space="preserve">                                                </w:t>
      </w:r>
    </w:p>
    <w:p w14:paraId="42551D03">
      <w:pPr>
        <w:pStyle w:val="20"/>
        <w:spacing w:line="460" w:lineRule="exact"/>
        <w:ind w:left="25" w:leftChars="12" w:firstLine="413" w:firstLineChars="196"/>
        <w:rPr>
          <w:rFonts w:hAnsi="宋体" w:cs="宋体"/>
          <w:b/>
          <w:color w:val="000000"/>
          <w:highlight w:val="none"/>
          <w:shd w:val="clear" w:color="auto" w:fill="auto"/>
        </w:rPr>
      </w:pPr>
      <w:r>
        <w:rPr>
          <w:rFonts w:hint="eastAsia" w:hAnsi="宋体" w:cs="宋体"/>
          <w:b/>
          <w:color w:val="000000"/>
          <w:highlight w:val="none"/>
          <w:shd w:val="clear" w:color="auto" w:fill="auto"/>
        </w:rPr>
        <w:t>三、质疑基本情况</w:t>
      </w:r>
    </w:p>
    <w:p w14:paraId="3880BD71">
      <w:pPr>
        <w:pStyle w:val="20"/>
        <w:spacing w:line="460" w:lineRule="exact"/>
        <w:ind w:left="25" w:leftChars="12" w:firstLine="413" w:firstLineChars="197"/>
        <w:rPr>
          <w:rFonts w:hAnsi="宋体" w:cs="宋体"/>
          <w:color w:val="000000"/>
          <w:highlight w:val="none"/>
          <w:shd w:val="clear" w:color="auto" w:fill="auto"/>
        </w:rPr>
      </w:pPr>
      <w:r>
        <w:rPr>
          <w:rFonts w:hint="eastAsia" w:hAnsi="宋体" w:cs="宋体"/>
          <w:color w:val="000000"/>
          <w:highlight w:val="none"/>
          <w:shd w:val="clear" w:color="auto" w:fill="auto"/>
        </w:rPr>
        <w:t>投诉人于</w:t>
      </w:r>
      <w:r>
        <w:rPr>
          <w:rFonts w:hint="eastAsia" w:hAnsi="宋体" w:cs="宋体"/>
          <w:color w:val="000000"/>
          <w:highlight w:val="none"/>
          <w:u w:val="single"/>
          <w:shd w:val="clear" w:color="auto" w:fill="auto"/>
        </w:rPr>
        <w:t xml:space="preserve">      </w:t>
      </w:r>
      <w:r>
        <w:rPr>
          <w:rFonts w:hint="eastAsia" w:hAnsi="宋体" w:cs="宋体"/>
          <w:color w:val="000000"/>
          <w:highlight w:val="none"/>
          <w:shd w:val="clear" w:color="auto" w:fill="auto"/>
        </w:rPr>
        <w:t>年</w:t>
      </w:r>
      <w:r>
        <w:rPr>
          <w:rFonts w:hint="eastAsia" w:hAnsi="宋体" w:cs="宋体"/>
          <w:color w:val="000000"/>
          <w:highlight w:val="none"/>
          <w:u w:val="single"/>
          <w:shd w:val="clear" w:color="auto" w:fill="auto"/>
        </w:rPr>
        <w:t xml:space="preserve">   </w:t>
      </w:r>
      <w:r>
        <w:rPr>
          <w:rFonts w:hint="eastAsia" w:hAnsi="宋体" w:cs="宋体"/>
          <w:color w:val="000000"/>
          <w:highlight w:val="none"/>
          <w:shd w:val="clear" w:color="auto" w:fill="auto"/>
        </w:rPr>
        <w:t>月</w:t>
      </w:r>
      <w:r>
        <w:rPr>
          <w:rFonts w:hint="eastAsia" w:hAnsi="宋体" w:cs="宋体"/>
          <w:color w:val="000000"/>
          <w:highlight w:val="none"/>
          <w:u w:val="single"/>
          <w:shd w:val="clear" w:color="auto" w:fill="auto"/>
        </w:rPr>
        <w:t xml:space="preserve">   </w:t>
      </w:r>
      <w:r>
        <w:rPr>
          <w:rFonts w:hint="eastAsia" w:hAnsi="宋体" w:cs="宋体"/>
          <w:color w:val="000000"/>
          <w:highlight w:val="none"/>
          <w:shd w:val="clear" w:color="auto" w:fill="auto"/>
        </w:rPr>
        <w:t>日，向</w:t>
      </w:r>
      <w:r>
        <w:rPr>
          <w:rFonts w:hint="eastAsia" w:hAnsi="宋体" w:cs="宋体"/>
          <w:color w:val="000000"/>
          <w:highlight w:val="none"/>
          <w:u w:val="single"/>
          <w:shd w:val="clear" w:color="auto" w:fill="auto"/>
        </w:rPr>
        <w:t xml:space="preserve">                                </w:t>
      </w:r>
      <w:r>
        <w:rPr>
          <w:rFonts w:hint="eastAsia" w:hAnsi="宋体" w:cs="宋体"/>
          <w:color w:val="000000"/>
          <w:highlight w:val="none"/>
          <w:shd w:val="clear" w:color="auto" w:fill="auto"/>
        </w:rPr>
        <w:t>提出质疑，质疑事项为：</w:t>
      </w:r>
    </w:p>
    <w:p w14:paraId="24BA2C77">
      <w:pPr>
        <w:pStyle w:val="20"/>
        <w:spacing w:line="460" w:lineRule="exact"/>
        <w:ind w:firstLine="241"/>
        <w:rPr>
          <w:rFonts w:hAnsi="宋体" w:cs="宋体"/>
          <w:bCs/>
          <w:color w:val="000000"/>
          <w:highlight w:val="none"/>
          <w:u w:val="single"/>
          <w:shd w:val="clear" w:color="auto" w:fill="auto"/>
        </w:rPr>
      </w:pPr>
      <w:r>
        <w:rPr>
          <w:rFonts w:hint="eastAsia" w:hAnsi="宋体" w:cs="宋体"/>
          <w:color w:val="000000"/>
          <w:highlight w:val="none"/>
          <w:shd w:val="clear" w:color="auto" w:fill="auto"/>
        </w:rPr>
        <w:t xml:space="preserve">    </w:t>
      </w:r>
      <w:r>
        <w:rPr>
          <w:rFonts w:hint="eastAsia" w:hAnsi="宋体" w:cs="宋体"/>
          <w:bCs/>
          <w:color w:val="000000"/>
          <w:highlight w:val="none"/>
          <w:u w:val="single"/>
          <w:shd w:val="clear" w:color="auto" w:fill="auto"/>
        </w:rPr>
        <w:t xml:space="preserve">                                                                           </w:t>
      </w:r>
    </w:p>
    <w:p w14:paraId="49710E52">
      <w:pPr>
        <w:pStyle w:val="20"/>
        <w:spacing w:line="460" w:lineRule="exact"/>
        <w:ind w:firstLine="241"/>
        <w:rPr>
          <w:rFonts w:hAnsi="宋体" w:cs="宋体"/>
          <w:bCs/>
          <w:color w:val="000000"/>
          <w:highlight w:val="none"/>
          <w:u w:val="single"/>
          <w:shd w:val="clear" w:color="auto" w:fill="auto"/>
        </w:rPr>
      </w:pPr>
      <w:r>
        <w:rPr>
          <w:rFonts w:hint="eastAsia" w:hAnsi="宋体" w:cs="宋体"/>
          <w:bCs/>
          <w:color w:val="000000"/>
          <w:highlight w:val="none"/>
          <w:shd w:val="clear" w:color="auto" w:fill="auto"/>
        </w:rPr>
        <w:t xml:space="preserve">    </w:t>
      </w:r>
      <w:r>
        <w:rPr>
          <w:rFonts w:hint="eastAsia" w:hAnsi="宋体" w:cs="宋体"/>
          <w:bCs/>
          <w:color w:val="000000"/>
          <w:highlight w:val="none"/>
          <w:u w:val="single"/>
          <w:shd w:val="clear" w:color="auto" w:fill="auto"/>
        </w:rPr>
        <w:t xml:space="preserve">                                                                           </w:t>
      </w:r>
    </w:p>
    <w:p w14:paraId="15BCEC59">
      <w:pPr>
        <w:pStyle w:val="20"/>
        <w:spacing w:line="460" w:lineRule="exact"/>
        <w:ind w:left="1" w:leftChars="-95" w:hanging="200"/>
        <w:rPr>
          <w:rFonts w:hAnsi="宋体" w:cs="宋体"/>
          <w:bCs/>
          <w:color w:val="000000"/>
          <w:highlight w:val="none"/>
          <w:shd w:val="clear" w:color="auto" w:fill="auto"/>
        </w:rPr>
      </w:pPr>
      <w:r>
        <w:rPr>
          <w:rFonts w:hint="eastAsia" w:hAnsi="宋体" w:cs="宋体"/>
          <w:bCs/>
          <w:color w:val="000000"/>
          <w:highlight w:val="none"/>
          <w:shd w:val="clear" w:color="auto" w:fill="auto"/>
        </w:rPr>
        <w:t xml:space="preserve">      </w:t>
      </w:r>
      <w:r>
        <w:rPr>
          <w:rFonts w:hint="eastAsia" w:hAnsi="宋体" w:cs="宋体"/>
          <w:bCs/>
          <w:color w:val="000000"/>
          <w:highlight w:val="none"/>
          <w:u w:val="single"/>
          <w:shd w:val="clear" w:color="auto" w:fill="auto"/>
        </w:rPr>
        <w:t>采购人/采购代理机构</w:t>
      </w:r>
      <w:r>
        <w:rPr>
          <w:rFonts w:hint="eastAsia" w:hAnsi="宋体" w:cs="宋体"/>
          <w:bCs/>
          <w:color w:val="000000"/>
          <w:highlight w:val="none"/>
          <w:shd w:val="clear" w:color="auto" w:fill="auto"/>
        </w:rPr>
        <w:t>于</w:t>
      </w:r>
      <w:r>
        <w:rPr>
          <w:rFonts w:hint="eastAsia" w:hAnsi="宋体" w:cs="宋体"/>
          <w:color w:val="000000"/>
          <w:highlight w:val="none"/>
          <w:u w:val="single"/>
          <w:shd w:val="clear" w:color="auto" w:fill="auto"/>
        </w:rPr>
        <w:t xml:space="preserve">      </w:t>
      </w:r>
      <w:r>
        <w:rPr>
          <w:rFonts w:hint="eastAsia" w:hAnsi="宋体" w:cs="宋体"/>
          <w:color w:val="000000"/>
          <w:highlight w:val="none"/>
          <w:shd w:val="clear" w:color="auto" w:fill="auto"/>
        </w:rPr>
        <w:t>年</w:t>
      </w:r>
      <w:r>
        <w:rPr>
          <w:rFonts w:hint="eastAsia" w:hAnsi="宋体" w:cs="宋体"/>
          <w:color w:val="000000"/>
          <w:highlight w:val="none"/>
          <w:u w:val="single"/>
          <w:shd w:val="clear" w:color="auto" w:fill="auto"/>
        </w:rPr>
        <w:t xml:space="preserve">   </w:t>
      </w:r>
      <w:r>
        <w:rPr>
          <w:rFonts w:hint="eastAsia" w:hAnsi="宋体" w:cs="宋体"/>
          <w:color w:val="000000"/>
          <w:highlight w:val="none"/>
          <w:shd w:val="clear" w:color="auto" w:fill="auto"/>
        </w:rPr>
        <w:t>月</w:t>
      </w:r>
      <w:r>
        <w:rPr>
          <w:rFonts w:hint="eastAsia" w:hAnsi="宋体" w:cs="宋体"/>
          <w:color w:val="000000"/>
          <w:highlight w:val="none"/>
          <w:u w:val="single"/>
          <w:shd w:val="clear" w:color="auto" w:fill="auto"/>
        </w:rPr>
        <w:t xml:space="preserve">   </w:t>
      </w:r>
      <w:r>
        <w:rPr>
          <w:rFonts w:hint="eastAsia" w:hAnsi="宋体" w:cs="宋体"/>
          <w:color w:val="000000"/>
          <w:highlight w:val="none"/>
          <w:shd w:val="clear" w:color="auto" w:fill="auto"/>
        </w:rPr>
        <w:t>日，</w:t>
      </w:r>
      <w:r>
        <w:rPr>
          <w:rFonts w:hint="eastAsia" w:hAnsi="宋体" w:cs="宋体"/>
          <w:bCs/>
          <w:color w:val="000000"/>
          <w:highlight w:val="none"/>
          <w:shd w:val="clear" w:color="auto" w:fill="auto"/>
        </w:rPr>
        <w:t>就质疑事项作出了答复/没有在法定期限内作出答复。</w:t>
      </w:r>
    </w:p>
    <w:p w14:paraId="066D1B9B">
      <w:pPr>
        <w:pStyle w:val="20"/>
        <w:spacing w:line="460" w:lineRule="exact"/>
        <w:ind w:left="25" w:leftChars="12" w:firstLine="413" w:firstLineChars="196"/>
        <w:rPr>
          <w:rFonts w:hAnsi="宋体" w:cs="宋体"/>
          <w:b/>
          <w:color w:val="000000"/>
          <w:highlight w:val="none"/>
          <w:shd w:val="clear" w:color="auto" w:fill="auto"/>
        </w:rPr>
      </w:pPr>
      <w:r>
        <w:rPr>
          <w:rFonts w:hint="eastAsia" w:hAnsi="宋体" w:cs="宋体"/>
          <w:b/>
          <w:color w:val="000000"/>
          <w:highlight w:val="none"/>
          <w:shd w:val="clear" w:color="auto" w:fill="auto"/>
        </w:rPr>
        <w:t>四、投诉事项具体内容</w:t>
      </w:r>
    </w:p>
    <w:p w14:paraId="2953015F">
      <w:pPr>
        <w:pStyle w:val="20"/>
        <w:spacing w:line="460" w:lineRule="exact"/>
        <w:ind w:left="25" w:leftChars="12" w:firstLine="413" w:firstLineChars="197"/>
        <w:rPr>
          <w:rFonts w:hAnsi="宋体" w:cs="宋体"/>
          <w:bCs/>
          <w:color w:val="000000"/>
          <w:highlight w:val="none"/>
          <w:u w:val="single"/>
          <w:shd w:val="clear" w:color="auto" w:fill="auto"/>
        </w:rPr>
      </w:pPr>
      <w:r>
        <w:rPr>
          <w:rFonts w:hint="eastAsia" w:hAnsi="宋体" w:cs="宋体"/>
          <w:color w:val="000000"/>
          <w:highlight w:val="none"/>
          <w:shd w:val="clear" w:color="auto" w:fill="auto"/>
        </w:rPr>
        <w:t>投诉事项1：</w:t>
      </w:r>
      <w:r>
        <w:rPr>
          <w:rFonts w:hint="eastAsia" w:hAnsi="宋体" w:cs="宋体"/>
          <w:bCs/>
          <w:color w:val="000000"/>
          <w:highlight w:val="none"/>
          <w:u w:val="single"/>
          <w:shd w:val="clear" w:color="auto" w:fill="auto"/>
        </w:rPr>
        <w:t xml:space="preserve">                                                                 </w:t>
      </w:r>
    </w:p>
    <w:p w14:paraId="1D8EC52D">
      <w:pPr>
        <w:pStyle w:val="20"/>
        <w:spacing w:line="460" w:lineRule="exact"/>
        <w:ind w:firstLine="420" w:firstLineChars="200"/>
        <w:rPr>
          <w:rFonts w:hAnsi="宋体" w:cs="宋体"/>
          <w:bCs/>
          <w:color w:val="000000"/>
          <w:highlight w:val="none"/>
          <w:u w:val="single"/>
          <w:shd w:val="clear" w:color="auto" w:fill="auto"/>
        </w:rPr>
      </w:pPr>
      <w:r>
        <w:rPr>
          <w:rFonts w:hint="eastAsia" w:hAnsi="宋体" w:cs="宋体"/>
          <w:bCs/>
          <w:color w:val="000000"/>
          <w:highlight w:val="none"/>
          <w:shd w:val="clear" w:color="auto" w:fill="auto"/>
        </w:rPr>
        <w:t>事实依据：</w:t>
      </w:r>
      <w:r>
        <w:rPr>
          <w:rFonts w:hint="eastAsia" w:hAnsi="宋体" w:cs="宋体"/>
          <w:color w:val="000000"/>
          <w:highlight w:val="none"/>
          <w:shd w:val="clear" w:color="auto" w:fill="auto"/>
        </w:rPr>
        <w:t xml:space="preserve"> </w:t>
      </w:r>
      <w:r>
        <w:rPr>
          <w:rFonts w:hint="eastAsia" w:hAnsi="宋体" w:cs="宋体"/>
          <w:bCs/>
          <w:color w:val="000000"/>
          <w:highlight w:val="none"/>
          <w:u w:val="single"/>
          <w:shd w:val="clear" w:color="auto" w:fill="auto"/>
        </w:rPr>
        <w:t xml:space="preserve">                                                                  </w:t>
      </w:r>
    </w:p>
    <w:p w14:paraId="549D5FFA">
      <w:pPr>
        <w:pStyle w:val="20"/>
        <w:spacing w:line="460" w:lineRule="exact"/>
        <w:ind w:left="25" w:leftChars="12" w:firstLine="413" w:firstLineChars="197"/>
        <w:rPr>
          <w:rFonts w:hAnsi="宋体" w:cs="宋体"/>
          <w:bCs/>
          <w:color w:val="000000"/>
          <w:highlight w:val="none"/>
          <w:u w:val="single"/>
          <w:shd w:val="clear" w:color="auto" w:fill="auto"/>
        </w:rPr>
      </w:pPr>
      <w:r>
        <w:rPr>
          <w:rFonts w:hint="eastAsia" w:hAnsi="宋体" w:cs="宋体"/>
          <w:bCs/>
          <w:color w:val="000000"/>
          <w:highlight w:val="none"/>
          <w:u w:val="single"/>
          <w:shd w:val="clear" w:color="auto" w:fill="auto"/>
        </w:rPr>
        <w:t xml:space="preserve">                                                                             </w:t>
      </w:r>
    </w:p>
    <w:p w14:paraId="1CA8BA8D">
      <w:pPr>
        <w:pStyle w:val="20"/>
        <w:spacing w:line="460" w:lineRule="exact"/>
        <w:ind w:firstLine="420" w:firstLineChars="200"/>
        <w:rPr>
          <w:rFonts w:hAnsi="宋体" w:cs="宋体"/>
          <w:bCs/>
          <w:color w:val="000000"/>
          <w:highlight w:val="none"/>
          <w:u w:val="single"/>
          <w:shd w:val="clear" w:color="auto" w:fill="auto"/>
        </w:rPr>
      </w:pPr>
      <w:r>
        <w:rPr>
          <w:rFonts w:hint="eastAsia" w:hAnsi="宋体" w:cs="宋体"/>
          <w:bCs/>
          <w:color w:val="000000"/>
          <w:highlight w:val="none"/>
          <w:shd w:val="clear" w:color="auto" w:fill="auto"/>
        </w:rPr>
        <w:t>法律依据：</w:t>
      </w:r>
      <w:r>
        <w:rPr>
          <w:rFonts w:hint="eastAsia" w:hAnsi="宋体" w:cs="宋体"/>
          <w:color w:val="000000"/>
          <w:highlight w:val="none"/>
          <w:shd w:val="clear" w:color="auto" w:fill="auto"/>
        </w:rPr>
        <w:t xml:space="preserve"> </w:t>
      </w:r>
      <w:r>
        <w:rPr>
          <w:rFonts w:hint="eastAsia" w:hAnsi="宋体" w:cs="宋体"/>
          <w:bCs/>
          <w:color w:val="000000"/>
          <w:highlight w:val="none"/>
          <w:u w:val="single"/>
          <w:shd w:val="clear" w:color="auto" w:fill="auto"/>
        </w:rPr>
        <w:t xml:space="preserve">                                                                  </w:t>
      </w:r>
    </w:p>
    <w:p w14:paraId="66C02F0B">
      <w:pPr>
        <w:pStyle w:val="20"/>
        <w:spacing w:line="460" w:lineRule="exact"/>
        <w:ind w:left="25" w:leftChars="12" w:firstLine="308" w:firstLineChars="147"/>
        <w:rPr>
          <w:rFonts w:hAnsi="宋体" w:cs="宋体"/>
          <w:bCs/>
          <w:color w:val="000000"/>
          <w:highlight w:val="none"/>
          <w:u w:val="single"/>
          <w:shd w:val="clear" w:color="auto" w:fill="auto"/>
        </w:rPr>
      </w:pPr>
      <w:r>
        <w:rPr>
          <w:rFonts w:hint="eastAsia" w:hAnsi="宋体" w:cs="宋体"/>
          <w:bCs/>
          <w:color w:val="000000"/>
          <w:highlight w:val="none"/>
          <w:shd w:val="clear" w:color="auto" w:fill="auto"/>
        </w:rPr>
        <w:t xml:space="preserve"> </w:t>
      </w:r>
      <w:r>
        <w:rPr>
          <w:rFonts w:hint="eastAsia" w:hAnsi="宋体" w:cs="宋体"/>
          <w:bCs/>
          <w:color w:val="000000"/>
          <w:highlight w:val="none"/>
          <w:u w:val="single"/>
          <w:shd w:val="clear" w:color="auto" w:fill="auto"/>
        </w:rPr>
        <w:t xml:space="preserve">                                                                             </w:t>
      </w:r>
    </w:p>
    <w:p w14:paraId="32DCBA43">
      <w:pPr>
        <w:pStyle w:val="20"/>
        <w:spacing w:line="460" w:lineRule="exact"/>
        <w:ind w:left="25" w:leftChars="12" w:firstLine="413" w:firstLineChars="197"/>
        <w:rPr>
          <w:rFonts w:hAnsi="宋体" w:cs="宋体"/>
          <w:bCs/>
          <w:color w:val="000000"/>
          <w:highlight w:val="none"/>
          <w:shd w:val="clear" w:color="auto" w:fill="auto"/>
        </w:rPr>
      </w:pPr>
      <w:r>
        <w:rPr>
          <w:rFonts w:hint="eastAsia" w:hAnsi="宋体" w:cs="宋体"/>
          <w:color w:val="000000"/>
          <w:highlight w:val="none"/>
          <w:shd w:val="clear" w:color="auto" w:fill="auto"/>
        </w:rPr>
        <w:t xml:space="preserve">投诉事项2  </w:t>
      </w:r>
      <w:r>
        <w:rPr>
          <w:rFonts w:hint="eastAsia" w:hAnsi="宋体" w:cs="宋体"/>
          <w:bCs/>
          <w:color w:val="000000"/>
          <w:highlight w:val="none"/>
          <w:shd w:val="clear" w:color="auto" w:fill="auto"/>
        </w:rPr>
        <w:t xml:space="preserve">   </w:t>
      </w:r>
    </w:p>
    <w:p w14:paraId="3A80C4EE">
      <w:pPr>
        <w:pStyle w:val="20"/>
        <w:spacing w:line="460" w:lineRule="exact"/>
        <w:ind w:left="25" w:leftChars="12" w:firstLine="413" w:firstLineChars="197"/>
        <w:rPr>
          <w:rFonts w:hAnsi="宋体" w:cs="宋体"/>
          <w:bCs/>
          <w:color w:val="000000"/>
          <w:highlight w:val="none"/>
          <w:shd w:val="clear" w:color="auto" w:fill="auto"/>
        </w:rPr>
      </w:pPr>
      <w:r>
        <w:rPr>
          <w:rFonts w:hint="eastAsia" w:hAnsi="宋体" w:cs="宋体"/>
          <w:bCs/>
          <w:color w:val="000000"/>
          <w:highlight w:val="none"/>
          <w:shd w:val="clear" w:color="auto" w:fill="auto"/>
        </w:rPr>
        <w:t>……</w:t>
      </w:r>
    </w:p>
    <w:p w14:paraId="4D86CD73">
      <w:pPr>
        <w:pStyle w:val="20"/>
        <w:spacing w:line="460" w:lineRule="exact"/>
        <w:ind w:left="25" w:leftChars="12" w:firstLine="413" w:firstLineChars="196"/>
        <w:rPr>
          <w:rFonts w:hAnsi="宋体" w:cs="宋体"/>
          <w:b/>
          <w:color w:val="000000"/>
          <w:highlight w:val="none"/>
          <w:shd w:val="clear" w:color="auto" w:fill="auto"/>
        </w:rPr>
      </w:pPr>
      <w:r>
        <w:rPr>
          <w:rFonts w:hint="eastAsia" w:hAnsi="宋体" w:cs="宋体"/>
          <w:b/>
          <w:color w:val="000000"/>
          <w:highlight w:val="none"/>
          <w:shd w:val="clear" w:color="auto" w:fill="auto"/>
        </w:rPr>
        <w:t>五、与投诉事项相关的投诉请求：</w:t>
      </w:r>
    </w:p>
    <w:p w14:paraId="72432D72">
      <w:pPr>
        <w:pStyle w:val="20"/>
        <w:spacing w:line="460" w:lineRule="exact"/>
        <w:ind w:left="25" w:leftChars="12" w:firstLine="413" w:firstLineChars="197"/>
        <w:rPr>
          <w:rFonts w:hAnsi="宋体" w:cs="宋体"/>
          <w:bCs/>
          <w:color w:val="000000"/>
          <w:highlight w:val="none"/>
          <w:u w:val="single"/>
          <w:shd w:val="clear" w:color="auto" w:fill="auto"/>
        </w:rPr>
      </w:pPr>
      <w:r>
        <w:rPr>
          <w:rFonts w:hint="eastAsia" w:hAnsi="宋体" w:cs="宋体"/>
          <w:color w:val="000000"/>
          <w:highlight w:val="none"/>
          <w:shd w:val="clear" w:color="auto" w:fill="auto"/>
        </w:rPr>
        <w:t>请求：</w:t>
      </w:r>
      <w:r>
        <w:rPr>
          <w:rFonts w:hint="eastAsia" w:hAnsi="宋体" w:cs="宋体"/>
          <w:bCs/>
          <w:color w:val="000000"/>
          <w:highlight w:val="none"/>
          <w:u w:val="single"/>
          <w:shd w:val="clear" w:color="auto" w:fill="auto"/>
        </w:rPr>
        <w:t xml:space="preserve">                                                                       </w:t>
      </w:r>
    </w:p>
    <w:p w14:paraId="4A71C3CE">
      <w:pPr>
        <w:pStyle w:val="20"/>
        <w:spacing w:line="460" w:lineRule="exact"/>
        <w:ind w:left="25" w:leftChars="12" w:firstLine="308" w:firstLineChars="147"/>
        <w:rPr>
          <w:rFonts w:hAnsi="宋体" w:cs="宋体"/>
          <w:color w:val="000000"/>
          <w:highlight w:val="none"/>
          <w:shd w:val="clear" w:color="auto" w:fill="auto"/>
        </w:rPr>
      </w:pPr>
    </w:p>
    <w:p w14:paraId="4204D279">
      <w:pPr>
        <w:pStyle w:val="20"/>
        <w:spacing w:line="460" w:lineRule="exact"/>
        <w:ind w:left="25" w:leftChars="12" w:firstLine="413" w:firstLineChars="197"/>
        <w:rPr>
          <w:rFonts w:hAnsi="宋体" w:cs="宋体"/>
          <w:color w:val="000000"/>
          <w:highlight w:val="none"/>
          <w:shd w:val="clear" w:color="auto" w:fill="auto"/>
        </w:rPr>
      </w:pPr>
      <w:r>
        <w:rPr>
          <w:rFonts w:hint="eastAsia" w:hAnsi="宋体" w:cs="宋体"/>
          <w:color w:val="000000"/>
          <w:highlight w:val="none"/>
          <w:shd w:val="clear" w:color="auto" w:fill="auto"/>
        </w:rPr>
        <w:t>签字（签章）：                                       公章：</w:t>
      </w:r>
    </w:p>
    <w:p w14:paraId="41D65A4D">
      <w:pPr>
        <w:pStyle w:val="20"/>
        <w:spacing w:line="460" w:lineRule="exact"/>
        <w:ind w:left="25" w:leftChars="12" w:firstLine="308" w:firstLineChars="147"/>
        <w:rPr>
          <w:rFonts w:hAnsi="宋体" w:cs="宋体"/>
          <w:color w:val="000000"/>
          <w:highlight w:val="none"/>
          <w:shd w:val="clear" w:color="auto" w:fill="auto"/>
        </w:rPr>
      </w:pPr>
    </w:p>
    <w:p w14:paraId="1E169E22">
      <w:pPr>
        <w:pStyle w:val="20"/>
        <w:spacing w:line="460" w:lineRule="exact"/>
        <w:ind w:left="25" w:leftChars="12" w:firstLine="413" w:firstLineChars="197"/>
        <w:rPr>
          <w:rFonts w:hAnsi="宋体" w:cs="宋体"/>
          <w:color w:val="000000"/>
          <w:highlight w:val="none"/>
          <w:shd w:val="clear" w:color="auto" w:fill="auto"/>
        </w:rPr>
      </w:pPr>
      <w:r>
        <w:rPr>
          <w:rFonts w:hint="eastAsia" w:hAnsi="宋体" w:cs="宋体"/>
          <w:color w:val="000000"/>
          <w:highlight w:val="none"/>
          <w:shd w:val="clear" w:color="auto" w:fill="auto"/>
        </w:rPr>
        <w:t>日期：</w:t>
      </w:r>
    </w:p>
    <w:p w14:paraId="632A9B1C">
      <w:pPr>
        <w:pStyle w:val="20"/>
        <w:snapToGrid w:val="0"/>
        <w:spacing w:line="460" w:lineRule="exact"/>
        <w:rPr>
          <w:rFonts w:hAnsi="宋体" w:cs="宋体"/>
          <w:b/>
          <w:color w:val="000000"/>
          <w:sz w:val="24"/>
          <w:szCs w:val="24"/>
          <w:highlight w:val="none"/>
          <w:shd w:val="clear" w:color="auto" w:fill="auto"/>
        </w:rPr>
      </w:pPr>
    </w:p>
    <w:p w14:paraId="3B8F4C15">
      <w:pPr>
        <w:rPr>
          <w:color w:val="000000"/>
          <w:highlight w:val="none"/>
          <w:shd w:val="clear" w:color="auto" w:fill="auto"/>
        </w:rPr>
      </w:pPr>
      <w:r>
        <w:rPr>
          <w:rFonts w:hint="eastAsia"/>
          <w:color w:val="000000"/>
          <w:highlight w:val="none"/>
          <w:shd w:val="clear" w:color="auto" w:fill="auto"/>
        </w:rPr>
        <w:t>说明：</w:t>
      </w:r>
    </w:p>
    <w:p w14:paraId="7C7D1468">
      <w:pPr>
        <w:rPr>
          <w:color w:val="000000"/>
          <w:highlight w:val="none"/>
          <w:shd w:val="clear" w:color="auto" w:fill="auto"/>
        </w:rPr>
      </w:pPr>
      <w:r>
        <w:rPr>
          <w:rFonts w:hint="eastAsia"/>
          <w:color w:val="000000"/>
          <w:highlight w:val="none"/>
          <w:shd w:val="clear" w:color="auto" w:fill="auto"/>
        </w:rPr>
        <w:t>1.投诉人提起投诉时，应当提交投诉书和必要的证明材料，并按照被投诉人和与投诉事项有关的供应商数量提供投诉书副本。</w:t>
      </w:r>
    </w:p>
    <w:p w14:paraId="35A6D8DC">
      <w:pPr>
        <w:rPr>
          <w:color w:val="000000"/>
          <w:highlight w:val="none"/>
          <w:shd w:val="clear" w:color="auto" w:fill="auto"/>
        </w:rPr>
      </w:pPr>
      <w:r>
        <w:rPr>
          <w:rFonts w:hint="eastAsia"/>
          <w:color w:val="000000"/>
          <w:highlight w:val="none"/>
          <w:shd w:val="clear" w:color="auto" w:fill="auto"/>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B61896F">
      <w:pPr>
        <w:rPr>
          <w:color w:val="000000"/>
          <w:highlight w:val="none"/>
          <w:shd w:val="clear" w:color="auto" w:fill="auto"/>
        </w:rPr>
      </w:pPr>
      <w:r>
        <w:rPr>
          <w:rFonts w:hint="eastAsia"/>
          <w:color w:val="000000"/>
          <w:highlight w:val="none"/>
          <w:shd w:val="clear" w:color="auto" w:fill="auto"/>
        </w:rPr>
        <w:t>3.投诉书应简要列明质疑事项，质疑函、质疑答复等作为附件材料提供。</w:t>
      </w:r>
    </w:p>
    <w:p w14:paraId="225C25C2">
      <w:pPr>
        <w:rPr>
          <w:color w:val="000000"/>
          <w:highlight w:val="none"/>
          <w:shd w:val="clear" w:color="auto" w:fill="auto"/>
        </w:rPr>
      </w:pPr>
      <w:r>
        <w:rPr>
          <w:rFonts w:hint="eastAsia"/>
          <w:color w:val="000000"/>
          <w:highlight w:val="none"/>
          <w:shd w:val="clear" w:color="auto" w:fill="auto"/>
        </w:rPr>
        <w:t>4.投诉书的投诉事项应具体、明确，并有必要的事实依据和法律依据。</w:t>
      </w:r>
    </w:p>
    <w:p w14:paraId="299CB407">
      <w:pPr>
        <w:rPr>
          <w:color w:val="000000"/>
          <w:highlight w:val="none"/>
          <w:shd w:val="clear" w:color="auto" w:fill="auto"/>
        </w:rPr>
      </w:pPr>
      <w:r>
        <w:rPr>
          <w:rFonts w:hint="eastAsia"/>
          <w:color w:val="000000"/>
          <w:highlight w:val="none"/>
          <w:shd w:val="clear" w:color="auto" w:fill="auto"/>
        </w:rPr>
        <w:t>5.投诉书的投诉请求应与投诉事项相关。</w:t>
      </w:r>
    </w:p>
    <w:p w14:paraId="4A769ADF">
      <w:pPr>
        <w:rPr>
          <w:color w:val="000000"/>
          <w:highlight w:val="none"/>
          <w:shd w:val="clear" w:color="auto" w:fill="auto"/>
        </w:rPr>
      </w:pPr>
      <w:r>
        <w:rPr>
          <w:rFonts w:hint="eastAsia"/>
          <w:color w:val="000000"/>
          <w:highlight w:val="none"/>
          <w:shd w:val="clear" w:color="auto" w:fill="auto"/>
        </w:rPr>
        <w:t>6.投诉人为法人或者其他组织的，投诉书应由法定代表人、主要负责人，或者其授权代表签字或者盖章，并加盖公章。</w:t>
      </w:r>
    </w:p>
    <w:p w14:paraId="080FCF4F">
      <w:pPr>
        <w:spacing w:line="460" w:lineRule="exact"/>
        <w:rPr>
          <w:color w:val="000000"/>
          <w:highlight w:val="none"/>
          <w:shd w:val="clear" w:color="auto" w:fill="auto"/>
        </w:rPr>
      </w:pPr>
    </w:p>
    <w:p w14:paraId="077B9C00">
      <w:pPr>
        <w:pStyle w:val="20"/>
        <w:pageBreakBefore w:val="0"/>
        <w:kinsoku/>
        <w:wordWrap/>
        <w:overflowPunct/>
        <w:topLinePunct w:val="0"/>
        <w:bidi w:val="0"/>
        <w:adjustRightInd/>
        <w:spacing w:line="360" w:lineRule="auto"/>
        <w:ind w:left="0" w:leftChars="0" w:right="0"/>
        <w:textAlignment w:val="auto"/>
        <w:outlineLvl w:val="1"/>
        <w:rPr>
          <w:rFonts w:hint="eastAsia" w:ascii="宋体" w:hAnsi="宋体" w:eastAsia="宋体" w:cs="宋体"/>
          <w:color w:val="000000"/>
          <w:sz w:val="21"/>
          <w:szCs w:val="21"/>
          <w:highlight w:val="none"/>
          <w:shd w:val="clear" w:color="auto" w:fill="auto"/>
        </w:rPr>
      </w:pPr>
    </w:p>
    <w:sectPr>
      <w:headerReference r:id="rId4" w:type="default"/>
      <w:footerReference r:id="rId5"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华文新魏">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662ED">
    <w:pPr>
      <w:pStyle w:val="24"/>
      <w:rPr>
        <w:rFonts w:eastAsia="仿宋_GB2312"/>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C7FEAC">
                          <w:pPr>
                            <w:pStyle w:val="24"/>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XWh8r3gEAAL8DAAAOAAAAAAAA&#10;AAEAIAAAAB4BAABkcnMvZTJvRG9jLnhtbFBLBQYAAAAABgAGAFkBAABuBQAAAAA=&#10;">
              <v:fill on="f" focussize="0,0"/>
              <v:stroke on="f"/>
              <v:imagedata o:title=""/>
              <o:lock v:ext="edit" aspectratio="f"/>
              <v:textbox inset="0mm,0mm,0mm,0mm" style="mso-fit-shape-to-text:t;">
                <w:txbxContent>
                  <w:p w14:paraId="24C7FEAC">
                    <w:pPr>
                      <w:pStyle w:val="2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2D49A">
    <w:pPr>
      <w:pStyle w:val="2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CEE30C">
                          <w:pPr>
                            <w:pStyle w:val="24"/>
                          </w:pPr>
                          <w:r>
                            <w:fldChar w:fldCharType="begin"/>
                          </w:r>
                          <w:r>
                            <w:instrText xml:space="preserve"> PAGE  \* MERGEFORMAT </w:instrText>
                          </w:r>
                          <w:r>
                            <w:fldChar w:fldCharType="separate"/>
                          </w:r>
                          <w:r>
                            <w:t>61</w:t>
                          </w:r>
                          <w:r>
                            <w:fldChar w:fldCharType="end"/>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u3FJ3gEAAL8DAAAOAAAAAAAA&#10;AAEAIAAAAB4BAABkcnMvZTJvRG9jLnhtbFBLBQYAAAAABgAGAFkBAABuBQAAAAA=&#10;">
              <v:fill on="f" focussize="0,0"/>
              <v:stroke on="f"/>
              <v:imagedata o:title=""/>
              <o:lock v:ext="edit" aspectratio="f"/>
              <v:textbox inset="0mm,0mm,0mm,0mm" style="mso-fit-shape-to-text:t;">
                <w:txbxContent>
                  <w:p w14:paraId="50CEE30C">
                    <w:pPr>
                      <w:pStyle w:val="2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67F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CF58C"/>
    <w:multiLevelType w:val="singleLevel"/>
    <w:tmpl w:val="BB4CF58C"/>
    <w:lvl w:ilvl="0" w:tentative="0">
      <w:start w:val="2"/>
      <w:numFmt w:val="decimal"/>
      <w:suff w:val="nothing"/>
      <w:lvlText w:val="（%1）"/>
      <w:lvlJc w:val="left"/>
    </w:lvl>
  </w:abstractNum>
  <w:abstractNum w:abstractNumId="1">
    <w:nsid w:val="5B9D5307"/>
    <w:multiLevelType w:val="singleLevel"/>
    <w:tmpl w:val="5B9D5307"/>
    <w:lvl w:ilvl="0" w:tentative="0">
      <w:start w:val="2"/>
      <w:numFmt w:val="decimal"/>
      <w:suff w:val="nothing"/>
      <w:lvlText w:val="（%1）"/>
      <w:lvlJc w:val="left"/>
    </w:lvl>
  </w:abstractNum>
  <w:abstractNum w:abstractNumId="2">
    <w:nsid w:val="5B9D5308"/>
    <w:multiLevelType w:val="singleLevel"/>
    <w:tmpl w:val="5B9D5308"/>
    <w:lvl w:ilvl="0" w:tentative="0">
      <w:start w:val="8"/>
      <w:numFmt w:val="decimal"/>
      <w:suff w:val="space"/>
      <w:lvlText w:val="%1."/>
      <w:lvlJc w:val="left"/>
    </w:lvl>
  </w:abstractNum>
  <w:abstractNum w:abstractNumId="3">
    <w:nsid w:val="5B9D5309"/>
    <w:multiLevelType w:val="singleLevel"/>
    <w:tmpl w:val="5B9D5309"/>
    <w:lvl w:ilvl="0" w:tentative="0">
      <w:start w:val="6"/>
      <w:numFmt w:val="chineseCounting"/>
      <w:suff w:val="nothing"/>
      <w:lvlText w:val="%1、"/>
      <w:lvlJc w:val="left"/>
      <w:rPr>
        <w:rFonts w:hint="eastAsia"/>
      </w:rPr>
    </w:lvl>
  </w:abstractNum>
  <w:abstractNum w:abstractNumId="4">
    <w:nsid w:val="5B9D530A"/>
    <w:multiLevelType w:val="singleLevel"/>
    <w:tmpl w:val="5B9D530A"/>
    <w:lvl w:ilvl="0" w:tentative="0">
      <w:start w:val="2"/>
      <w:numFmt w:val="decimal"/>
      <w:lvlText w:val="%1."/>
      <w:lvlJc w:val="left"/>
      <w:pPr>
        <w:tabs>
          <w:tab w:val="left" w:pos="312"/>
        </w:tabs>
      </w:pPr>
    </w:lvl>
  </w:abstractNum>
  <w:abstractNum w:abstractNumId="5">
    <w:nsid w:val="6A98117E"/>
    <w:multiLevelType w:val="multilevel"/>
    <w:tmpl w:val="6A98117E"/>
    <w:lvl w:ilvl="0" w:tentative="0">
      <w:start w:val="1"/>
      <w:numFmt w:val="chineseCounting"/>
      <w:suff w:val="space"/>
      <w:lvlText w:val="第%1章"/>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xOGYzMDBlZjY3ODc4M2M3NmQxODQzNjBhN2I3NTcifQ=="/>
  </w:docVars>
  <w:rsids>
    <w:rsidRoot w:val="00D23D6A"/>
    <w:rsid w:val="00032103"/>
    <w:rsid w:val="00035D3B"/>
    <w:rsid w:val="00043F8D"/>
    <w:rsid w:val="00046C8A"/>
    <w:rsid w:val="00052FBF"/>
    <w:rsid w:val="00070196"/>
    <w:rsid w:val="0007546C"/>
    <w:rsid w:val="00084D8D"/>
    <w:rsid w:val="000862C5"/>
    <w:rsid w:val="000A608A"/>
    <w:rsid w:val="000F0B53"/>
    <w:rsid w:val="000F4F80"/>
    <w:rsid w:val="0011137D"/>
    <w:rsid w:val="00116377"/>
    <w:rsid w:val="00132A9F"/>
    <w:rsid w:val="00144F32"/>
    <w:rsid w:val="00165CDF"/>
    <w:rsid w:val="00167D7D"/>
    <w:rsid w:val="00186C31"/>
    <w:rsid w:val="0019723A"/>
    <w:rsid w:val="001B15AB"/>
    <w:rsid w:val="001B1942"/>
    <w:rsid w:val="001B7243"/>
    <w:rsid w:val="001C254C"/>
    <w:rsid w:val="001C64C9"/>
    <w:rsid w:val="001F1BA4"/>
    <w:rsid w:val="00203651"/>
    <w:rsid w:val="002064FB"/>
    <w:rsid w:val="00260FE2"/>
    <w:rsid w:val="002920D2"/>
    <w:rsid w:val="0029553D"/>
    <w:rsid w:val="00297703"/>
    <w:rsid w:val="002D1946"/>
    <w:rsid w:val="002F0F48"/>
    <w:rsid w:val="002F40EB"/>
    <w:rsid w:val="002F65E1"/>
    <w:rsid w:val="00310817"/>
    <w:rsid w:val="00311B20"/>
    <w:rsid w:val="00311C89"/>
    <w:rsid w:val="00317957"/>
    <w:rsid w:val="00327AF9"/>
    <w:rsid w:val="0033227C"/>
    <w:rsid w:val="00352C99"/>
    <w:rsid w:val="003602D4"/>
    <w:rsid w:val="003918C6"/>
    <w:rsid w:val="0039233C"/>
    <w:rsid w:val="003A47DB"/>
    <w:rsid w:val="003B1F9B"/>
    <w:rsid w:val="003B67E0"/>
    <w:rsid w:val="003D742C"/>
    <w:rsid w:val="00424D53"/>
    <w:rsid w:val="00442DCF"/>
    <w:rsid w:val="00466A88"/>
    <w:rsid w:val="00475957"/>
    <w:rsid w:val="00476DBA"/>
    <w:rsid w:val="004B78DD"/>
    <w:rsid w:val="004C270B"/>
    <w:rsid w:val="004D33B3"/>
    <w:rsid w:val="004E593A"/>
    <w:rsid w:val="004E5D5D"/>
    <w:rsid w:val="004F22EE"/>
    <w:rsid w:val="004F38AD"/>
    <w:rsid w:val="004F64CE"/>
    <w:rsid w:val="00504901"/>
    <w:rsid w:val="005137B2"/>
    <w:rsid w:val="005217B4"/>
    <w:rsid w:val="00537F42"/>
    <w:rsid w:val="00546AF3"/>
    <w:rsid w:val="005470D2"/>
    <w:rsid w:val="00552B78"/>
    <w:rsid w:val="00553336"/>
    <w:rsid w:val="00554085"/>
    <w:rsid w:val="0057201F"/>
    <w:rsid w:val="00575707"/>
    <w:rsid w:val="00575A2B"/>
    <w:rsid w:val="00592A84"/>
    <w:rsid w:val="005C0196"/>
    <w:rsid w:val="005F1A9A"/>
    <w:rsid w:val="006055CF"/>
    <w:rsid w:val="006118BD"/>
    <w:rsid w:val="00615C04"/>
    <w:rsid w:val="00626D65"/>
    <w:rsid w:val="00656E35"/>
    <w:rsid w:val="00672E68"/>
    <w:rsid w:val="006A1B46"/>
    <w:rsid w:val="006B16CA"/>
    <w:rsid w:val="006C68CE"/>
    <w:rsid w:val="006F2AAB"/>
    <w:rsid w:val="006F3726"/>
    <w:rsid w:val="006F39EE"/>
    <w:rsid w:val="006F4F78"/>
    <w:rsid w:val="007041F5"/>
    <w:rsid w:val="007162A5"/>
    <w:rsid w:val="007545F3"/>
    <w:rsid w:val="0078149A"/>
    <w:rsid w:val="007905C2"/>
    <w:rsid w:val="00796DBD"/>
    <w:rsid w:val="007A70A3"/>
    <w:rsid w:val="007B4774"/>
    <w:rsid w:val="007D5B0F"/>
    <w:rsid w:val="007F12D0"/>
    <w:rsid w:val="00800054"/>
    <w:rsid w:val="00802675"/>
    <w:rsid w:val="00815A13"/>
    <w:rsid w:val="00822B84"/>
    <w:rsid w:val="00827F2A"/>
    <w:rsid w:val="008474FD"/>
    <w:rsid w:val="00850758"/>
    <w:rsid w:val="00855C98"/>
    <w:rsid w:val="00887FBA"/>
    <w:rsid w:val="008C0CC7"/>
    <w:rsid w:val="008C2C34"/>
    <w:rsid w:val="008D5528"/>
    <w:rsid w:val="008F70E5"/>
    <w:rsid w:val="00900680"/>
    <w:rsid w:val="00926DFC"/>
    <w:rsid w:val="00934356"/>
    <w:rsid w:val="00955381"/>
    <w:rsid w:val="009B0556"/>
    <w:rsid w:val="009B26A1"/>
    <w:rsid w:val="009B2D5D"/>
    <w:rsid w:val="009C427E"/>
    <w:rsid w:val="009F03F3"/>
    <w:rsid w:val="00A00E8D"/>
    <w:rsid w:val="00A11673"/>
    <w:rsid w:val="00A31ACC"/>
    <w:rsid w:val="00A3730E"/>
    <w:rsid w:val="00A37580"/>
    <w:rsid w:val="00A438E2"/>
    <w:rsid w:val="00A51DCA"/>
    <w:rsid w:val="00A80CA5"/>
    <w:rsid w:val="00AA0350"/>
    <w:rsid w:val="00AB6B5C"/>
    <w:rsid w:val="00AC22DD"/>
    <w:rsid w:val="00AD03C4"/>
    <w:rsid w:val="00AD294E"/>
    <w:rsid w:val="00AE6230"/>
    <w:rsid w:val="00AF198E"/>
    <w:rsid w:val="00B2178B"/>
    <w:rsid w:val="00B256D5"/>
    <w:rsid w:val="00B26F29"/>
    <w:rsid w:val="00B27725"/>
    <w:rsid w:val="00B31496"/>
    <w:rsid w:val="00B34FBD"/>
    <w:rsid w:val="00B74911"/>
    <w:rsid w:val="00B83FF9"/>
    <w:rsid w:val="00B83FFA"/>
    <w:rsid w:val="00B92C2E"/>
    <w:rsid w:val="00BA3EB1"/>
    <w:rsid w:val="00BC5BEF"/>
    <w:rsid w:val="00BC7BB8"/>
    <w:rsid w:val="00BD00D3"/>
    <w:rsid w:val="00BE074C"/>
    <w:rsid w:val="00BF6D80"/>
    <w:rsid w:val="00C2117D"/>
    <w:rsid w:val="00C332EE"/>
    <w:rsid w:val="00C45E13"/>
    <w:rsid w:val="00C51E14"/>
    <w:rsid w:val="00C61F60"/>
    <w:rsid w:val="00C70D7E"/>
    <w:rsid w:val="00C815D4"/>
    <w:rsid w:val="00C81BEF"/>
    <w:rsid w:val="00C82C21"/>
    <w:rsid w:val="00C84C89"/>
    <w:rsid w:val="00CA7828"/>
    <w:rsid w:val="00CB6D8F"/>
    <w:rsid w:val="00CD4295"/>
    <w:rsid w:val="00D00023"/>
    <w:rsid w:val="00D00B93"/>
    <w:rsid w:val="00D01A44"/>
    <w:rsid w:val="00D2233A"/>
    <w:rsid w:val="00D23D6A"/>
    <w:rsid w:val="00D31234"/>
    <w:rsid w:val="00D46CDE"/>
    <w:rsid w:val="00D72633"/>
    <w:rsid w:val="00D93E77"/>
    <w:rsid w:val="00DB510B"/>
    <w:rsid w:val="00DC020F"/>
    <w:rsid w:val="00DC6086"/>
    <w:rsid w:val="00DD1F1B"/>
    <w:rsid w:val="00DE2A68"/>
    <w:rsid w:val="00DE3D34"/>
    <w:rsid w:val="00DF69E0"/>
    <w:rsid w:val="00E20F3A"/>
    <w:rsid w:val="00E3341B"/>
    <w:rsid w:val="00E637C5"/>
    <w:rsid w:val="00E73541"/>
    <w:rsid w:val="00E82CB2"/>
    <w:rsid w:val="00E82EF3"/>
    <w:rsid w:val="00EA027E"/>
    <w:rsid w:val="00EB2DAA"/>
    <w:rsid w:val="00EC585A"/>
    <w:rsid w:val="00EE5E72"/>
    <w:rsid w:val="00EF171A"/>
    <w:rsid w:val="00F01AF8"/>
    <w:rsid w:val="00F124F7"/>
    <w:rsid w:val="00F1348B"/>
    <w:rsid w:val="00F2561C"/>
    <w:rsid w:val="00F272BE"/>
    <w:rsid w:val="00F502AC"/>
    <w:rsid w:val="00F55D70"/>
    <w:rsid w:val="00F76C93"/>
    <w:rsid w:val="00F809C6"/>
    <w:rsid w:val="00F84531"/>
    <w:rsid w:val="00F84CDC"/>
    <w:rsid w:val="00F85704"/>
    <w:rsid w:val="00F9480F"/>
    <w:rsid w:val="00F9532E"/>
    <w:rsid w:val="00FA0055"/>
    <w:rsid w:val="00FA2EBE"/>
    <w:rsid w:val="00FB749C"/>
    <w:rsid w:val="00FE37AF"/>
    <w:rsid w:val="00FF2C86"/>
    <w:rsid w:val="011E7635"/>
    <w:rsid w:val="01746443"/>
    <w:rsid w:val="01890F61"/>
    <w:rsid w:val="01E61D56"/>
    <w:rsid w:val="01F84C35"/>
    <w:rsid w:val="020531A4"/>
    <w:rsid w:val="021D1813"/>
    <w:rsid w:val="02215BCC"/>
    <w:rsid w:val="02642858"/>
    <w:rsid w:val="02647BAC"/>
    <w:rsid w:val="02847189"/>
    <w:rsid w:val="02B95509"/>
    <w:rsid w:val="02E06200"/>
    <w:rsid w:val="03011BBD"/>
    <w:rsid w:val="030E2DC6"/>
    <w:rsid w:val="031D18EA"/>
    <w:rsid w:val="03217B69"/>
    <w:rsid w:val="032449A2"/>
    <w:rsid w:val="03630DA1"/>
    <w:rsid w:val="038777A6"/>
    <w:rsid w:val="03885F75"/>
    <w:rsid w:val="040C11B5"/>
    <w:rsid w:val="04123EC1"/>
    <w:rsid w:val="04171AC9"/>
    <w:rsid w:val="04545D1C"/>
    <w:rsid w:val="04ED23F9"/>
    <w:rsid w:val="051031AE"/>
    <w:rsid w:val="058756BA"/>
    <w:rsid w:val="05A6197B"/>
    <w:rsid w:val="06632F53"/>
    <w:rsid w:val="0666508A"/>
    <w:rsid w:val="067A5F0E"/>
    <w:rsid w:val="06B91B76"/>
    <w:rsid w:val="06F07C0E"/>
    <w:rsid w:val="06F20022"/>
    <w:rsid w:val="07015179"/>
    <w:rsid w:val="071969AC"/>
    <w:rsid w:val="07275319"/>
    <w:rsid w:val="079466F6"/>
    <w:rsid w:val="07B85B0B"/>
    <w:rsid w:val="07DF4BF6"/>
    <w:rsid w:val="081C183D"/>
    <w:rsid w:val="086149B2"/>
    <w:rsid w:val="08655A77"/>
    <w:rsid w:val="086A479A"/>
    <w:rsid w:val="087E3DEC"/>
    <w:rsid w:val="089C3B22"/>
    <w:rsid w:val="089F2A70"/>
    <w:rsid w:val="09315213"/>
    <w:rsid w:val="094C4459"/>
    <w:rsid w:val="095F661F"/>
    <w:rsid w:val="09727863"/>
    <w:rsid w:val="09F32AE6"/>
    <w:rsid w:val="0A8D383F"/>
    <w:rsid w:val="0A9C561E"/>
    <w:rsid w:val="0AB56C12"/>
    <w:rsid w:val="0ADF7F32"/>
    <w:rsid w:val="0AE572E7"/>
    <w:rsid w:val="0AE6199B"/>
    <w:rsid w:val="0B060104"/>
    <w:rsid w:val="0B1C26A3"/>
    <w:rsid w:val="0B3412A4"/>
    <w:rsid w:val="0B8A4244"/>
    <w:rsid w:val="0BB70626"/>
    <w:rsid w:val="0BC72DA3"/>
    <w:rsid w:val="0BF30BF7"/>
    <w:rsid w:val="0C0E3FB9"/>
    <w:rsid w:val="0C452B1A"/>
    <w:rsid w:val="0C515EF1"/>
    <w:rsid w:val="0C6D2677"/>
    <w:rsid w:val="0C8D4217"/>
    <w:rsid w:val="0CC2333E"/>
    <w:rsid w:val="0CCB5842"/>
    <w:rsid w:val="0D102F4D"/>
    <w:rsid w:val="0D244FC1"/>
    <w:rsid w:val="0D5176CC"/>
    <w:rsid w:val="0D785787"/>
    <w:rsid w:val="0D7A0CDE"/>
    <w:rsid w:val="0D9A07EA"/>
    <w:rsid w:val="0E303442"/>
    <w:rsid w:val="0E3A5EAE"/>
    <w:rsid w:val="0E5D59EE"/>
    <w:rsid w:val="0E703B9D"/>
    <w:rsid w:val="0ED66886"/>
    <w:rsid w:val="0EDC3E72"/>
    <w:rsid w:val="0EED3154"/>
    <w:rsid w:val="0EF30E89"/>
    <w:rsid w:val="0F0669D4"/>
    <w:rsid w:val="0F152C78"/>
    <w:rsid w:val="0F2461A9"/>
    <w:rsid w:val="0F3D663A"/>
    <w:rsid w:val="0F687CF9"/>
    <w:rsid w:val="0F93261C"/>
    <w:rsid w:val="0F981B0A"/>
    <w:rsid w:val="0FC45BA4"/>
    <w:rsid w:val="0FD31A23"/>
    <w:rsid w:val="0FF71645"/>
    <w:rsid w:val="100C1C51"/>
    <w:rsid w:val="105559AB"/>
    <w:rsid w:val="1066636B"/>
    <w:rsid w:val="10AD127A"/>
    <w:rsid w:val="10DD670C"/>
    <w:rsid w:val="10FC7BC2"/>
    <w:rsid w:val="110660A6"/>
    <w:rsid w:val="110D04BA"/>
    <w:rsid w:val="117C6EEE"/>
    <w:rsid w:val="11801AD1"/>
    <w:rsid w:val="11916802"/>
    <w:rsid w:val="11DC5C41"/>
    <w:rsid w:val="11FC1DF3"/>
    <w:rsid w:val="12860D98"/>
    <w:rsid w:val="1288550F"/>
    <w:rsid w:val="128D6512"/>
    <w:rsid w:val="12E17049"/>
    <w:rsid w:val="13054629"/>
    <w:rsid w:val="130736EC"/>
    <w:rsid w:val="13287B56"/>
    <w:rsid w:val="138A175B"/>
    <w:rsid w:val="13B206D3"/>
    <w:rsid w:val="14075A09"/>
    <w:rsid w:val="14537D9F"/>
    <w:rsid w:val="147B0E21"/>
    <w:rsid w:val="148264E7"/>
    <w:rsid w:val="14937EBF"/>
    <w:rsid w:val="14AB7BDB"/>
    <w:rsid w:val="14D121C1"/>
    <w:rsid w:val="14FB67DD"/>
    <w:rsid w:val="150174A7"/>
    <w:rsid w:val="1577688C"/>
    <w:rsid w:val="157D08EE"/>
    <w:rsid w:val="162C50A9"/>
    <w:rsid w:val="163076B7"/>
    <w:rsid w:val="16552777"/>
    <w:rsid w:val="166458E8"/>
    <w:rsid w:val="16A0750E"/>
    <w:rsid w:val="16CE79EF"/>
    <w:rsid w:val="16EF6C09"/>
    <w:rsid w:val="170203CD"/>
    <w:rsid w:val="170D2487"/>
    <w:rsid w:val="170F5921"/>
    <w:rsid w:val="171C1A26"/>
    <w:rsid w:val="17763FF4"/>
    <w:rsid w:val="17BC2A26"/>
    <w:rsid w:val="17C61D1C"/>
    <w:rsid w:val="17D00992"/>
    <w:rsid w:val="17DB1E2A"/>
    <w:rsid w:val="17F665A1"/>
    <w:rsid w:val="17FD6864"/>
    <w:rsid w:val="180B1FC0"/>
    <w:rsid w:val="183C4481"/>
    <w:rsid w:val="184F13F4"/>
    <w:rsid w:val="18BA663E"/>
    <w:rsid w:val="18F411FD"/>
    <w:rsid w:val="19331ADA"/>
    <w:rsid w:val="197046A3"/>
    <w:rsid w:val="197D4D53"/>
    <w:rsid w:val="19C228B7"/>
    <w:rsid w:val="19D4213B"/>
    <w:rsid w:val="19D45285"/>
    <w:rsid w:val="19E46802"/>
    <w:rsid w:val="19E85A85"/>
    <w:rsid w:val="19F53675"/>
    <w:rsid w:val="1A184490"/>
    <w:rsid w:val="1A41745E"/>
    <w:rsid w:val="1A704A5B"/>
    <w:rsid w:val="1A7B0F0A"/>
    <w:rsid w:val="1A98650B"/>
    <w:rsid w:val="1A9D3520"/>
    <w:rsid w:val="1ABB210E"/>
    <w:rsid w:val="1AF01A15"/>
    <w:rsid w:val="1B311BC4"/>
    <w:rsid w:val="1B48372E"/>
    <w:rsid w:val="1B8D003A"/>
    <w:rsid w:val="1BAA4748"/>
    <w:rsid w:val="1C0105CA"/>
    <w:rsid w:val="1C167AE4"/>
    <w:rsid w:val="1C1E4FB1"/>
    <w:rsid w:val="1C5F6EA1"/>
    <w:rsid w:val="1C710E65"/>
    <w:rsid w:val="1C92116A"/>
    <w:rsid w:val="1CBA3307"/>
    <w:rsid w:val="1CCE6AC3"/>
    <w:rsid w:val="1CD556E0"/>
    <w:rsid w:val="1CD633EC"/>
    <w:rsid w:val="1CE07FE1"/>
    <w:rsid w:val="1D0C2B83"/>
    <w:rsid w:val="1D3D4309"/>
    <w:rsid w:val="1D474DEC"/>
    <w:rsid w:val="1D48488C"/>
    <w:rsid w:val="1D84793F"/>
    <w:rsid w:val="1D851A95"/>
    <w:rsid w:val="1D8C1FC6"/>
    <w:rsid w:val="1DC55ED8"/>
    <w:rsid w:val="1EAE487F"/>
    <w:rsid w:val="1EB264DF"/>
    <w:rsid w:val="1ECE5AEC"/>
    <w:rsid w:val="1EE75CB3"/>
    <w:rsid w:val="1EF1137F"/>
    <w:rsid w:val="1F0119C9"/>
    <w:rsid w:val="1F411D0E"/>
    <w:rsid w:val="1F4E188E"/>
    <w:rsid w:val="1F5F4ACA"/>
    <w:rsid w:val="1F695B6F"/>
    <w:rsid w:val="1F8958E8"/>
    <w:rsid w:val="1FAB656D"/>
    <w:rsid w:val="1FE74446"/>
    <w:rsid w:val="20045421"/>
    <w:rsid w:val="20251073"/>
    <w:rsid w:val="2096459B"/>
    <w:rsid w:val="20BF11B0"/>
    <w:rsid w:val="20EB4DDA"/>
    <w:rsid w:val="211E7A7D"/>
    <w:rsid w:val="215B115F"/>
    <w:rsid w:val="216329E3"/>
    <w:rsid w:val="217A6BD0"/>
    <w:rsid w:val="217B191A"/>
    <w:rsid w:val="21AD478D"/>
    <w:rsid w:val="21B47B32"/>
    <w:rsid w:val="21CE6C1A"/>
    <w:rsid w:val="22096CF9"/>
    <w:rsid w:val="222D4C46"/>
    <w:rsid w:val="22E7255C"/>
    <w:rsid w:val="22F95FB5"/>
    <w:rsid w:val="23021720"/>
    <w:rsid w:val="2314439D"/>
    <w:rsid w:val="232C638A"/>
    <w:rsid w:val="23B41832"/>
    <w:rsid w:val="23C17C0A"/>
    <w:rsid w:val="23C26D7C"/>
    <w:rsid w:val="23C61AA7"/>
    <w:rsid w:val="23C95987"/>
    <w:rsid w:val="247257EF"/>
    <w:rsid w:val="2474197B"/>
    <w:rsid w:val="24A87C93"/>
    <w:rsid w:val="24B1703E"/>
    <w:rsid w:val="24CA0594"/>
    <w:rsid w:val="25162E4E"/>
    <w:rsid w:val="253E5425"/>
    <w:rsid w:val="253F7ACC"/>
    <w:rsid w:val="2551167A"/>
    <w:rsid w:val="259775DC"/>
    <w:rsid w:val="25A31987"/>
    <w:rsid w:val="25DA68FE"/>
    <w:rsid w:val="25ED289F"/>
    <w:rsid w:val="25FD7B6A"/>
    <w:rsid w:val="26196B41"/>
    <w:rsid w:val="26387DAE"/>
    <w:rsid w:val="26686A49"/>
    <w:rsid w:val="268E3277"/>
    <w:rsid w:val="26B262C2"/>
    <w:rsid w:val="272359E4"/>
    <w:rsid w:val="272D447F"/>
    <w:rsid w:val="27811553"/>
    <w:rsid w:val="278952F3"/>
    <w:rsid w:val="283D1484"/>
    <w:rsid w:val="284A3118"/>
    <w:rsid w:val="28892F72"/>
    <w:rsid w:val="28A360BD"/>
    <w:rsid w:val="2910047C"/>
    <w:rsid w:val="292324E3"/>
    <w:rsid w:val="296028AB"/>
    <w:rsid w:val="299C6433"/>
    <w:rsid w:val="29E40E7E"/>
    <w:rsid w:val="2A271968"/>
    <w:rsid w:val="2A575678"/>
    <w:rsid w:val="2A5F06CF"/>
    <w:rsid w:val="2A681556"/>
    <w:rsid w:val="2AB86E2B"/>
    <w:rsid w:val="2AED771C"/>
    <w:rsid w:val="2AEF1FEE"/>
    <w:rsid w:val="2B1B11BE"/>
    <w:rsid w:val="2B2B7593"/>
    <w:rsid w:val="2B4036D9"/>
    <w:rsid w:val="2B62697D"/>
    <w:rsid w:val="2B757587"/>
    <w:rsid w:val="2B9351F9"/>
    <w:rsid w:val="2BD70730"/>
    <w:rsid w:val="2BED1201"/>
    <w:rsid w:val="2C0E2201"/>
    <w:rsid w:val="2C1F3FBC"/>
    <w:rsid w:val="2C3B112F"/>
    <w:rsid w:val="2C3B41D2"/>
    <w:rsid w:val="2C944F3E"/>
    <w:rsid w:val="2CA21912"/>
    <w:rsid w:val="2CF24856"/>
    <w:rsid w:val="2CF25AAB"/>
    <w:rsid w:val="2D005368"/>
    <w:rsid w:val="2D1C2C52"/>
    <w:rsid w:val="2D841FE4"/>
    <w:rsid w:val="2D92484F"/>
    <w:rsid w:val="2DC5038A"/>
    <w:rsid w:val="2DC5368D"/>
    <w:rsid w:val="2DCD5B93"/>
    <w:rsid w:val="2DE67AAF"/>
    <w:rsid w:val="2E177BB2"/>
    <w:rsid w:val="2E43027E"/>
    <w:rsid w:val="2EAC73FF"/>
    <w:rsid w:val="2EB962C9"/>
    <w:rsid w:val="2EDA6C9B"/>
    <w:rsid w:val="2F1702E9"/>
    <w:rsid w:val="2F2401D4"/>
    <w:rsid w:val="2F337F86"/>
    <w:rsid w:val="2F3B2A6E"/>
    <w:rsid w:val="2F450F87"/>
    <w:rsid w:val="2F576F11"/>
    <w:rsid w:val="2F8E22F1"/>
    <w:rsid w:val="2FA5242E"/>
    <w:rsid w:val="2FA74A26"/>
    <w:rsid w:val="2FB344DB"/>
    <w:rsid w:val="30AE40F2"/>
    <w:rsid w:val="30D32C78"/>
    <w:rsid w:val="30FD3B28"/>
    <w:rsid w:val="31346291"/>
    <w:rsid w:val="313F0059"/>
    <w:rsid w:val="315C4D8C"/>
    <w:rsid w:val="31866FAB"/>
    <w:rsid w:val="3199300C"/>
    <w:rsid w:val="31A23F7B"/>
    <w:rsid w:val="31BF5CA8"/>
    <w:rsid w:val="31FD0F37"/>
    <w:rsid w:val="32102103"/>
    <w:rsid w:val="32477F9F"/>
    <w:rsid w:val="32855160"/>
    <w:rsid w:val="328B1374"/>
    <w:rsid w:val="328D2D62"/>
    <w:rsid w:val="32BF6098"/>
    <w:rsid w:val="32C44AE3"/>
    <w:rsid w:val="32F02F60"/>
    <w:rsid w:val="33005408"/>
    <w:rsid w:val="33260DF3"/>
    <w:rsid w:val="333C07D1"/>
    <w:rsid w:val="337A3E72"/>
    <w:rsid w:val="33A71D1F"/>
    <w:rsid w:val="33B67F0F"/>
    <w:rsid w:val="33C17D0E"/>
    <w:rsid w:val="33C90490"/>
    <w:rsid w:val="33D3522E"/>
    <w:rsid w:val="33D47D4F"/>
    <w:rsid w:val="340E4FF9"/>
    <w:rsid w:val="34342AB3"/>
    <w:rsid w:val="346236BF"/>
    <w:rsid w:val="3490635C"/>
    <w:rsid w:val="34E03976"/>
    <w:rsid w:val="34EE7BB1"/>
    <w:rsid w:val="35263BB0"/>
    <w:rsid w:val="352D75A8"/>
    <w:rsid w:val="35376050"/>
    <w:rsid w:val="353848BB"/>
    <w:rsid w:val="35574976"/>
    <w:rsid w:val="356276C1"/>
    <w:rsid w:val="35634B00"/>
    <w:rsid w:val="35C00EAE"/>
    <w:rsid w:val="35C02FED"/>
    <w:rsid w:val="35C12CD7"/>
    <w:rsid w:val="363A5D32"/>
    <w:rsid w:val="36827B9E"/>
    <w:rsid w:val="369A20DD"/>
    <w:rsid w:val="36C52CD5"/>
    <w:rsid w:val="372F7C7C"/>
    <w:rsid w:val="37400E32"/>
    <w:rsid w:val="3741325E"/>
    <w:rsid w:val="374910FA"/>
    <w:rsid w:val="374A1E4C"/>
    <w:rsid w:val="375978BF"/>
    <w:rsid w:val="379B110E"/>
    <w:rsid w:val="37A60CD0"/>
    <w:rsid w:val="37B41B04"/>
    <w:rsid w:val="37BF5371"/>
    <w:rsid w:val="37DB688A"/>
    <w:rsid w:val="37F335B0"/>
    <w:rsid w:val="37F548CB"/>
    <w:rsid w:val="380D0FF3"/>
    <w:rsid w:val="387B3B55"/>
    <w:rsid w:val="38B72660"/>
    <w:rsid w:val="38BD7916"/>
    <w:rsid w:val="38C23DE9"/>
    <w:rsid w:val="38E4489E"/>
    <w:rsid w:val="38FB70E7"/>
    <w:rsid w:val="39701E67"/>
    <w:rsid w:val="397E6910"/>
    <w:rsid w:val="3A4D1E76"/>
    <w:rsid w:val="3AC56A51"/>
    <w:rsid w:val="3AFE702D"/>
    <w:rsid w:val="3B0E0C3B"/>
    <w:rsid w:val="3B225C51"/>
    <w:rsid w:val="3B245489"/>
    <w:rsid w:val="3B3A381D"/>
    <w:rsid w:val="3B412972"/>
    <w:rsid w:val="3B4C7DD1"/>
    <w:rsid w:val="3B5D137F"/>
    <w:rsid w:val="3B6049CB"/>
    <w:rsid w:val="3B606816"/>
    <w:rsid w:val="3B68055C"/>
    <w:rsid w:val="3B721655"/>
    <w:rsid w:val="3B88248B"/>
    <w:rsid w:val="3BCF138B"/>
    <w:rsid w:val="3BD833E8"/>
    <w:rsid w:val="3C060ED2"/>
    <w:rsid w:val="3C1C1697"/>
    <w:rsid w:val="3C2029C6"/>
    <w:rsid w:val="3C547BCE"/>
    <w:rsid w:val="3C6E44C4"/>
    <w:rsid w:val="3C7C1B90"/>
    <w:rsid w:val="3CA81314"/>
    <w:rsid w:val="3D00677B"/>
    <w:rsid w:val="3D114117"/>
    <w:rsid w:val="3D272798"/>
    <w:rsid w:val="3D460A1D"/>
    <w:rsid w:val="3D967677"/>
    <w:rsid w:val="3D997F87"/>
    <w:rsid w:val="3DE3611D"/>
    <w:rsid w:val="3E051245"/>
    <w:rsid w:val="3E0D13FA"/>
    <w:rsid w:val="3E115919"/>
    <w:rsid w:val="3E2A322C"/>
    <w:rsid w:val="3E546A9E"/>
    <w:rsid w:val="3E630A5B"/>
    <w:rsid w:val="3E756C80"/>
    <w:rsid w:val="3E8110D7"/>
    <w:rsid w:val="3E8A78F0"/>
    <w:rsid w:val="3EB97930"/>
    <w:rsid w:val="3EC351A3"/>
    <w:rsid w:val="3EE50DEA"/>
    <w:rsid w:val="3EE64587"/>
    <w:rsid w:val="3F1B30E3"/>
    <w:rsid w:val="3F285C7B"/>
    <w:rsid w:val="3F2D5A99"/>
    <w:rsid w:val="3F4474D0"/>
    <w:rsid w:val="3F4A7B14"/>
    <w:rsid w:val="3F502BFA"/>
    <w:rsid w:val="3F6000BE"/>
    <w:rsid w:val="3FBC0130"/>
    <w:rsid w:val="3FBF580A"/>
    <w:rsid w:val="3FDD483D"/>
    <w:rsid w:val="403E406C"/>
    <w:rsid w:val="405F34A4"/>
    <w:rsid w:val="4069429E"/>
    <w:rsid w:val="40834B19"/>
    <w:rsid w:val="40A23217"/>
    <w:rsid w:val="40B92C8A"/>
    <w:rsid w:val="40D4575C"/>
    <w:rsid w:val="40DB5220"/>
    <w:rsid w:val="41097C06"/>
    <w:rsid w:val="412D26C4"/>
    <w:rsid w:val="415B7E73"/>
    <w:rsid w:val="41654AEA"/>
    <w:rsid w:val="418F7C3E"/>
    <w:rsid w:val="41AA68A5"/>
    <w:rsid w:val="41AD1550"/>
    <w:rsid w:val="41D466A3"/>
    <w:rsid w:val="41D72F7F"/>
    <w:rsid w:val="421F3190"/>
    <w:rsid w:val="42340994"/>
    <w:rsid w:val="42380D8C"/>
    <w:rsid w:val="424E557E"/>
    <w:rsid w:val="42566E71"/>
    <w:rsid w:val="42645A02"/>
    <w:rsid w:val="42742222"/>
    <w:rsid w:val="42816D07"/>
    <w:rsid w:val="4284031F"/>
    <w:rsid w:val="428B3D82"/>
    <w:rsid w:val="42BA7D84"/>
    <w:rsid w:val="42C254B8"/>
    <w:rsid w:val="42E5552B"/>
    <w:rsid w:val="42F9019F"/>
    <w:rsid w:val="43281146"/>
    <w:rsid w:val="43476B9D"/>
    <w:rsid w:val="43553439"/>
    <w:rsid w:val="43713EB0"/>
    <w:rsid w:val="43813731"/>
    <w:rsid w:val="43B2604B"/>
    <w:rsid w:val="43B56A1D"/>
    <w:rsid w:val="43F46A6F"/>
    <w:rsid w:val="44015BEA"/>
    <w:rsid w:val="44061480"/>
    <w:rsid w:val="440E7195"/>
    <w:rsid w:val="4458105D"/>
    <w:rsid w:val="446701AF"/>
    <w:rsid w:val="44790B2D"/>
    <w:rsid w:val="447F4D19"/>
    <w:rsid w:val="4484797D"/>
    <w:rsid w:val="44DA57EF"/>
    <w:rsid w:val="45E8729D"/>
    <w:rsid w:val="45EA7D1F"/>
    <w:rsid w:val="460D3F67"/>
    <w:rsid w:val="462C510E"/>
    <w:rsid w:val="46344881"/>
    <w:rsid w:val="464417A7"/>
    <w:rsid w:val="46472B48"/>
    <w:rsid w:val="464E1F1E"/>
    <w:rsid w:val="467A641B"/>
    <w:rsid w:val="46916EDC"/>
    <w:rsid w:val="46AF075C"/>
    <w:rsid w:val="46CB1893"/>
    <w:rsid w:val="46CE7BB7"/>
    <w:rsid w:val="46D47503"/>
    <w:rsid w:val="46DA1AD6"/>
    <w:rsid w:val="47047A36"/>
    <w:rsid w:val="472736E8"/>
    <w:rsid w:val="47463B92"/>
    <w:rsid w:val="474918D0"/>
    <w:rsid w:val="47663C8A"/>
    <w:rsid w:val="47A65940"/>
    <w:rsid w:val="47B63AAE"/>
    <w:rsid w:val="47DE6C76"/>
    <w:rsid w:val="4822043E"/>
    <w:rsid w:val="482B1991"/>
    <w:rsid w:val="483336B9"/>
    <w:rsid w:val="4836326E"/>
    <w:rsid w:val="48385546"/>
    <w:rsid w:val="484B1C7C"/>
    <w:rsid w:val="48B8636A"/>
    <w:rsid w:val="48D250C5"/>
    <w:rsid w:val="48F34C98"/>
    <w:rsid w:val="49016A00"/>
    <w:rsid w:val="490278F1"/>
    <w:rsid w:val="491352B1"/>
    <w:rsid w:val="491E5A9F"/>
    <w:rsid w:val="495148F1"/>
    <w:rsid w:val="498F7498"/>
    <w:rsid w:val="499E7C75"/>
    <w:rsid w:val="49A72AAE"/>
    <w:rsid w:val="49A92D17"/>
    <w:rsid w:val="49B82999"/>
    <w:rsid w:val="49B8556E"/>
    <w:rsid w:val="49D63838"/>
    <w:rsid w:val="4A065DB2"/>
    <w:rsid w:val="4A1672C9"/>
    <w:rsid w:val="4A2711EA"/>
    <w:rsid w:val="4A4B7C6C"/>
    <w:rsid w:val="4A816461"/>
    <w:rsid w:val="4AA61C10"/>
    <w:rsid w:val="4AE57DE1"/>
    <w:rsid w:val="4AFB51CB"/>
    <w:rsid w:val="4AFD53FD"/>
    <w:rsid w:val="4B046FD4"/>
    <w:rsid w:val="4B150B5D"/>
    <w:rsid w:val="4B241F45"/>
    <w:rsid w:val="4B63653E"/>
    <w:rsid w:val="4B66152C"/>
    <w:rsid w:val="4B690B21"/>
    <w:rsid w:val="4B7129F3"/>
    <w:rsid w:val="4B8453F8"/>
    <w:rsid w:val="4BBD24BD"/>
    <w:rsid w:val="4BFE0015"/>
    <w:rsid w:val="4C161686"/>
    <w:rsid w:val="4C19155C"/>
    <w:rsid w:val="4C2D41B9"/>
    <w:rsid w:val="4C412ABD"/>
    <w:rsid w:val="4C46484D"/>
    <w:rsid w:val="4C4D6A70"/>
    <w:rsid w:val="4C56649F"/>
    <w:rsid w:val="4C99724C"/>
    <w:rsid w:val="4CA069DB"/>
    <w:rsid w:val="4CC312AD"/>
    <w:rsid w:val="4CD24AFC"/>
    <w:rsid w:val="4CD54B68"/>
    <w:rsid w:val="4CDE1DAF"/>
    <w:rsid w:val="4CFE570A"/>
    <w:rsid w:val="4D534390"/>
    <w:rsid w:val="4D77222D"/>
    <w:rsid w:val="4D8A1B58"/>
    <w:rsid w:val="4DB00337"/>
    <w:rsid w:val="4DFF5565"/>
    <w:rsid w:val="4E1D48EF"/>
    <w:rsid w:val="4E766588"/>
    <w:rsid w:val="4ECB11DE"/>
    <w:rsid w:val="4EF8494C"/>
    <w:rsid w:val="4F0D69EB"/>
    <w:rsid w:val="4F5E3164"/>
    <w:rsid w:val="4F8E7901"/>
    <w:rsid w:val="4FB431FC"/>
    <w:rsid w:val="4FBA6948"/>
    <w:rsid w:val="4FE70635"/>
    <w:rsid w:val="500A6BE4"/>
    <w:rsid w:val="50225768"/>
    <w:rsid w:val="50631789"/>
    <w:rsid w:val="50A31CC7"/>
    <w:rsid w:val="50E52242"/>
    <w:rsid w:val="50FB13F8"/>
    <w:rsid w:val="51847CD0"/>
    <w:rsid w:val="518A52A4"/>
    <w:rsid w:val="51960CEF"/>
    <w:rsid w:val="51A81619"/>
    <w:rsid w:val="51BC4694"/>
    <w:rsid w:val="51E57A85"/>
    <w:rsid w:val="51E66F60"/>
    <w:rsid w:val="51E67875"/>
    <w:rsid w:val="523E390B"/>
    <w:rsid w:val="52972258"/>
    <w:rsid w:val="5301670B"/>
    <w:rsid w:val="531D0A87"/>
    <w:rsid w:val="53310CD0"/>
    <w:rsid w:val="53641523"/>
    <w:rsid w:val="538F2BDD"/>
    <w:rsid w:val="53924CA9"/>
    <w:rsid w:val="53A35ED2"/>
    <w:rsid w:val="53FA1B04"/>
    <w:rsid w:val="547A292C"/>
    <w:rsid w:val="54900E8D"/>
    <w:rsid w:val="54D34BDF"/>
    <w:rsid w:val="55004DFD"/>
    <w:rsid w:val="5520294D"/>
    <w:rsid w:val="55237C17"/>
    <w:rsid w:val="552770F4"/>
    <w:rsid w:val="557B1427"/>
    <w:rsid w:val="5580364E"/>
    <w:rsid w:val="558502F6"/>
    <w:rsid w:val="558D65E8"/>
    <w:rsid w:val="559A1D8A"/>
    <w:rsid w:val="55C554D3"/>
    <w:rsid w:val="55F56E2B"/>
    <w:rsid w:val="55FF5829"/>
    <w:rsid w:val="560C6576"/>
    <w:rsid w:val="560E7CB4"/>
    <w:rsid w:val="563B4BB3"/>
    <w:rsid w:val="5697353F"/>
    <w:rsid w:val="56AF0DE1"/>
    <w:rsid w:val="56B57E6A"/>
    <w:rsid w:val="56F629E5"/>
    <w:rsid w:val="575E5568"/>
    <w:rsid w:val="576A51AE"/>
    <w:rsid w:val="576C3254"/>
    <w:rsid w:val="57DA0118"/>
    <w:rsid w:val="57EF3356"/>
    <w:rsid w:val="58445C6A"/>
    <w:rsid w:val="584C69E9"/>
    <w:rsid w:val="58883419"/>
    <w:rsid w:val="58C57B3F"/>
    <w:rsid w:val="58DB5A41"/>
    <w:rsid w:val="5931649C"/>
    <w:rsid w:val="59674AFC"/>
    <w:rsid w:val="59684D44"/>
    <w:rsid w:val="599B0208"/>
    <w:rsid w:val="59A21ACF"/>
    <w:rsid w:val="59D943F3"/>
    <w:rsid w:val="5A2748B5"/>
    <w:rsid w:val="5A294B9D"/>
    <w:rsid w:val="5A9E6907"/>
    <w:rsid w:val="5B307029"/>
    <w:rsid w:val="5B5547DA"/>
    <w:rsid w:val="5B73665D"/>
    <w:rsid w:val="5BA168FC"/>
    <w:rsid w:val="5BA37FCD"/>
    <w:rsid w:val="5C052AA0"/>
    <w:rsid w:val="5C11011B"/>
    <w:rsid w:val="5C3F7AF2"/>
    <w:rsid w:val="5C460AC9"/>
    <w:rsid w:val="5C5F102A"/>
    <w:rsid w:val="5C764DF0"/>
    <w:rsid w:val="5C8A1451"/>
    <w:rsid w:val="5C8B4E57"/>
    <w:rsid w:val="5CE67305"/>
    <w:rsid w:val="5D0B70A2"/>
    <w:rsid w:val="5D414205"/>
    <w:rsid w:val="5D5E2D2E"/>
    <w:rsid w:val="5D9F4E42"/>
    <w:rsid w:val="5DE80B25"/>
    <w:rsid w:val="5E08356F"/>
    <w:rsid w:val="5E1C7E9B"/>
    <w:rsid w:val="5E456113"/>
    <w:rsid w:val="5E9F5041"/>
    <w:rsid w:val="5EAD2ACF"/>
    <w:rsid w:val="5EB83EAB"/>
    <w:rsid w:val="5EE3011D"/>
    <w:rsid w:val="5EFB1673"/>
    <w:rsid w:val="5F141193"/>
    <w:rsid w:val="5F161176"/>
    <w:rsid w:val="5F1B5087"/>
    <w:rsid w:val="5F63370B"/>
    <w:rsid w:val="5F8F73D7"/>
    <w:rsid w:val="5F9C1BC7"/>
    <w:rsid w:val="5F9F3EE1"/>
    <w:rsid w:val="5FB310F1"/>
    <w:rsid w:val="5FB52C88"/>
    <w:rsid w:val="5FC8765F"/>
    <w:rsid w:val="5FE07569"/>
    <w:rsid w:val="6043073C"/>
    <w:rsid w:val="6070711C"/>
    <w:rsid w:val="607D27D5"/>
    <w:rsid w:val="60A172C9"/>
    <w:rsid w:val="60D463C4"/>
    <w:rsid w:val="60E55B1D"/>
    <w:rsid w:val="61274BFD"/>
    <w:rsid w:val="613C442F"/>
    <w:rsid w:val="614108FE"/>
    <w:rsid w:val="617D362A"/>
    <w:rsid w:val="618E2B9D"/>
    <w:rsid w:val="61BE5813"/>
    <w:rsid w:val="61D94C85"/>
    <w:rsid w:val="62072434"/>
    <w:rsid w:val="62117195"/>
    <w:rsid w:val="621F02C3"/>
    <w:rsid w:val="62380FD2"/>
    <w:rsid w:val="62800487"/>
    <w:rsid w:val="62880931"/>
    <w:rsid w:val="62A57F95"/>
    <w:rsid w:val="62B90ACD"/>
    <w:rsid w:val="6321544B"/>
    <w:rsid w:val="6353259C"/>
    <w:rsid w:val="635D4C57"/>
    <w:rsid w:val="638B4EB9"/>
    <w:rsid w:val="63B260C2"/>
    <w:rsid w:val="63C416EC"/>
    <w:rsid w:val="64046F03"/>
    <w:rsid w:val="6419292F"/>
    <w:rsid w:val="641A7AB3"/>
    <w:rsid w:val="645E744B"/>
    <w:rsid w:val="64B8674B"/>
    <w:rsid w:val="64CC2A37"/>
    <w:rsid w:val="64E060B2"/>
    <w:rsid w:val="64EF1431"/>
    <w:rsid w:val="651915C4"/>
    <w:rsid w:val="6523084E"/>
    <w:rsid w:val="6548459E"/>
    <w:rsid w:val="6562177C"/>
    <w:rsid w:val="656936B1"/>
    <w:rsid w:val="657C62D3"/>
    <w:rsid w:val="65891836"/>
    <w:rsid w:val="658C194A"/>
    <w:rsid w:val="659333ED"/>
    <w:rsid w:val="65A27A78"/>
    <w:rsid w:val="65A46D8F"/>
    <w:rsid w:val="65C6693B"/>
    <w:rsid w:val="65D76F67"/>
    <w:rsid w:val="661B7749"/>
    <w:rsid w:val="661C6D07"/>
    <w:rsid w:val="662D3578"/>
    <w:rsid w:val="66464644"/>
    <w:rsid w:val="66945593"/>
    <w:rsid w:val="66A16DF5"/>
    <w:rsid w:val="66BE0674"/>
    <w:rsid w:val="66C0269F"/>
    <w:rsid w:val="66D4713E"/>
    <w:rsid w:val="66E126E3"/>
    <w:rsid w:val="66E934EF"/>
    <w:rsid w:val="67117FE8"/>
    <w:rsid w:val="67204E8B"/>
    <w:rsid w:val="67285404"/>
    <w:rsid w:val="6774677E"/>
    <w:rsid w:val="677C408B"/>
    <w:rsid w:val="67B50903"/>
    <w:rsid w:val="67F34EBC"/>
    <w:rsid w:val="6803218D"/>
    <w:rsid w:val="685B68C2"/>
    <w:rsid w:val="6891619E"/>
    <w:rsid w:val="68CD0889"/>
    <w:rsid w:val="690A0C77"/>
    <w:rsid w:val="69166F99"/>
    <w:rsid w:val="69456E27"/>
    <w:rsid w:val="694A5945"/>
    <w:rsid w:val="697668D2"/>
    <w:rsid w:val="697E5FFD"/>
    <w:rsid w:val="69B56DC8"/>
    <w:rsid w:val="69EE65DC"/>
    <w:rsid w:val="69F541EE"/>
    <w:rsid w:val="6A1E64B3"/>
    <w:rsid w:val="6A3A734F"/>
    <w:rsid w:val="6A553C73"/>
    <w:rsid w:val="6A5A336A"/>
    <w:rsid w:val="6A685113"/>
    <w:rsid w:val="6A911100"/>
    <w:rsid w:val="6A9F7F15"/>
    <w:rsid w:val="6B3B475E"/>
    <w:rsid w:val="6B6E673B"/>
    <w:rsid w:val="6BA13111"/>
    <w:rsid w:val="6BB3513A"/>
    <w:rsid w:val="6BFC1AEE"/>
    <w:rsid w:val="6C1D6E6A"/>
    <w:rsid w:val="6C340BCC"/>
    <w:rsid w:val="6C5844C0"/>
    <w:rsid w:val="6C5A0E3F"/>
    <w:rsid w:val="6C7041BF"/>
    <w:rsid w:val="6C9C7F3A"/>
    <w:rsid w:val="6CA1081C"/>
    <w:rsid w:val="6CA200F0"/>
    <w:rsid w:val="6CB87914"/>
    <w:rsid w:val="6CE35466"/>
    <w:rsid w:val="6CF22E26"/>
    <w:rsid w:val="6CF70BDA"/>
    <w:rsid w:val="6D1F1486"/>
    <w:rsid w:val="6D374555"/>
    <w:rsid w:val="6D985078"/>
    <w:rsid w:val="6DA54A57"/>
    <w:rsid w:val="6E272FA3"/>
    <w:rsid w:val="6E786E93"/>
    <w:rsid w:val="6EA3225C"/>
    <w:rsid w:val="6F0F60B4"/>
    <w:rsid w:val="6F5854A1"/>
    <w:rsid w:val="6F773207"/>
    <w:rsid w:val="6F8A6141"/>
    <w:rsid w:val="70334A73"/>
    <w:rsid w:val="7073427E"/>
    <w:rsid w:val="70C87161"/>
    <w:rsid w:val="711911D0"/>
    <w:rsid w:val="715B3DE8"/>
    <w:rsid w:val="716D3CA6"/>
    <w:rsid w:val="719B1D2C"/>
    <w:rsid w:val="71A84B8C"/>
    <w:rsid w:val="71CD5A07"/>
    <w:rsid w:val="71D03789"/>
    <w:rsid w:val="71E12343"/>
    <w:rsid w:val="724E1DBC"/>
    <w:rsid w:val="72783DCD"/>
    <w:rsid w:val="727F69D0"/>
    <w:rsid w:val="729624A5"/>
    <w:rsid w:val="72AB30A3"/>
    <w:rsid w:val="72C029C9"/>
    <w:rsid w:val="733D34B8"/>
    <w:rsid w:val="735A7977"/>
    <w:rsid w:val="73600996"/>
    <w:rsid w:val="73600997"/>
    <w:rsid w:val="739C0091"/>
    <w:rsid w:val="73BF0CBC"/>
    <w:rsid w:val="73FC19B3"/>
    <w:rsid w:val="743E4348"/>
    <w:rsid w:val="746D4BE5"/>
    <w:rsid w:val="74E41BEE"/>
    <w:rsid w:val="74E548C8"/>
    <w:rsid w:val="751A116C"/>
    <w:rsid w:val="752E2715"/>
    <w:rsid w:val="75360521"/>
    <w:rsid w:val="75461F61"/>
    <w:rsid w:val="755840E0"/>
    <w:rsid w:val="756046A5"/>
    <w:rsid w:val="756D6C3E"/>
    <w:rsid w:val="75F75951"/>
    <w:rsid w:val="76166340"/>
    <w:rsid w:val="76375D4D"/>
    <w:rsid w:val="76531935"/>
    <w:rsid w:val="767A51D7"/>
    <w:rsid w:val="768A0D34"/>
    <w:rsid w:val="76BE3571"/>
    <w:rsid w:val="76C13BE2"/>
    <w:rsid w:val="76C608A6"/>
    <w:rsid w:val="76C72460"/>
    <w:rsid w:val="76CF3695"/>
    <w:rsid w:val="76FB6D7B"/>
    <w:rsid w:val="771B3C14"/>
    <w:rsid w:val="77300603"/>
    <w:rsid w:val="773F16B0"/>
    <w:rsid w:val="77A73846"/>
    <w:rsid w:val="77BA6C36"/>
    <w:rsid w:val="77C173B4"/>
    <w:rsid w:val="77E647CF"/>
    <w:rsid w:val="78270687"/>
    <w:rsid w:val="784C4C99"/>
    <w:rsid w:val="78716F14"/>
    <w:rsid w:val="78786761"/>
    <w:rsid w:val="78962251"/>
    <w:rsid w:val="78C478A5"/>
    <w:rsid w:val="78D11564"/>
    <w:rsid w:val="78D911F2"/>
    <w:rsid w:val="78DB6E64"/>
    <w:rsid w:val="78E0447A"/>
    <w:rsid w:val="78F5776E"/>
    <w:rsid w:val="78FA59AF"/>
    <w:rsid w:val="790A6F56"/>
    <w:rsid w:val="793B7903"/>
    <w:rsid w:val="796E7CD8"/>
    <w:rsid w:val="7980296B"/>
    <w:rsid w:val="798B43D9"/>
    <w:rsid w:val="798C7B5D"/>
    <w:rsid w:val="79BF4D8B"/>
    <w:rsid w:val="79D5374D"/>
    <w:rsid w:val="79D5605F"/>
    <w:rsid w:val="79E17989"/>
    <w:rsid w:val="7A36128F"/>
    <w:rsid w:val="7A380615"/>
    <w:rsid w:val="7A384E9A"/>
    <w:rsid w:val="7A4D275A"/>
    <w:rsid w:val="7A6A4943"/>
    <w:rsid w:val="7A6D6D1F"/>
    <w:rsid w:val="7A7C379E"/>
    <w:rsid w:val="7AF16C40"/>
    <w:rsid w:val="7AF307DC"/>
    <w:rsid w:val="7AF85B30"/>
    <w:rsid w:val="7B0B4B7F"/>
    <w:rsid w:val="7B1C357F"/>
    <w:rsid w:val="7BDF6383"/>
    <w:rsid w:val="7BF24BF0"/>
    <w:rsid w:val="7BFF2E69"/>
    <w:rsid w:val="7C23576F"/>
    <w:rsid w:val="7C240048"/>
    <w:rsid w:val="7C41492F"/>
    <w:rsid w:val="7C4C40AA"/>
    <w:rsid w:val="7CCE1C23"/>
    <w:rsid w:val="7CD73DE6"/>
    <w:rsid w:val="7D011E1A"/>
    <w:rsid w:val="7D1278C0"/>
    <w:rsid w:val="7D36433B"/>
    <w:rsid w:val="7D4A1E4C"/>
    <w:rsid w:val="7D594473"/>
    <w:rsid w:val="7D5B2150"/>
    <w:rsid w:val="7D5B394E"/>
    <w:rsid w:val="7D8F45FC"/>
    <w:rsid w:val="7DCC321F"/>
    <w:rsid w:val="7DE26FC4"/>
    <w:rsid w:val="7DEF317C"/>
    <w:rsid w:val="7DF021B4"/>
    <w:rsid w:val="7E0A50F3"/>
    <w:rsid w:val="7E956169"/>
    <w:rsid w:val="7EAA7383"/>
    <w:rsid w:val="7EB07D4A"/>
    <w:rsid w:val="7EB326C5"/>
    <w:rsid w:val="7EDD0445"/>
    <w:rsid w:val="7EF04C19"/>
    <w:rsid w:val="7F1D124A"/>
    <w:rsid w:val="7F2468E1"/>
    <w:rsid w:val="7F4D7267"/>
    <w:rsid w:val="7F7A4D66"/>
    <w:rsid w:val="7F9B1982"/>
    <w:rsid w:val="7FC6270F"/>
    <w:rsid w:val="7FCF0063"/>
    <w:rsid w:val="7FD52D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51"/>
    <w:qFormat/>
    <w:uiPriority w:val="99"/>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4">
    <w:name w:val="heading 3"/>
    <w:basedOn w:val="1"/>
    <w:next w:val="1"/>
    <w:link w:val="52"/>
    <w:qFormat/>
    <w:uiPriority w:val="99"/>
    <w:pPr>
      <w:keepNext/>
      <w:keepLines/>
      <w:outlineLvl w:val="2"/>
    </w:pPr>
    <w:rPr>
      <w:rFonts w:ascii="Calibri" w:hAnsi="Calibri"/>
      <w:b/>
      <w:kern w:val="0"/>
      <w:sz w:val="32"/>
      <w:szCs w:val="20"/>
    </w:rPr>
  </w:style>
  <w:style w:type="paragraph" w:styleId="5">
    <w:name w:val="heading 4"/>
    <w:basedOn w:val="1"/>
    <w:next w:val="1"/>
    <w:link w:val="53"/>
    <w:qFormat/>
    <w:uiPriority w:val="99"/>
    <w:pPr>
      <w:keepNext/>
      <w:spacing w:before="240" w:after="60"/>
      <w:outlineLvl w:val="3"/>
    </w:pPr>
    <w:rPr>
      <w:b/>
      <w:bCs/>
      <w:sz w:val="28"/>
      <w:szCs w:val="28"/>
    </w:rPr>
  </w:style>
  <w:style w:type="paragraph" w:styleId="6">
    <w:name w:val="heading 5"/>
    <w:basedOn w:val="1"/>
    <w:next w:val="1"/>
    <w:link w:val="54"/>
    <w:qFormat/>
    <w:uiPriority w:val="99"/>
    <w:pPr>
      <w:keepNext/>
      <w:keepLines/>
      <w:widowControl/>
      <w:tabs>
        <w:tab w:val="left" w:pos="360"/>
      </w:tabs>
      <w:overflowPunct w:val="0"/>
      <w:autoSpaceDE w:val="0"/>
      <w:autoSpaceDN w:val="0"/>
      <w:adjustRightInd w:val="0"/>
      <w:snapToGrid w:val="0"/>
      <w:spacing w:before="280" w:after="290" w:line="376" w:lineRule="auto"/>
      <w:ind w:firstLine="510"/>
      <w:textAlignment w:val="baseline"/>
      <w:outlineLvl w:val="4"/>
    </w:pPr>
    <w:rPr>
      <w:b/>
      <w:kern w:val="0"/>
      <w:sz w:val="28"/>
      <w:szCs w:val="20"/>
    </w:rPr>
  </w:style>
  <w:style w:type="paragraph" w:styleId="7">
    <w:name w:val="heading 6"/>
    <w:basedOn w:val="1"/>
    <w:next w:val="1"/>
    <w:link w:val="55"/>
    <w:qFormat/>
    <w:uiPriority w:val="9"/>
    <w:pPr>
      <w:keepNext/>
      <w:keepLines/>
      <w:spacing w:before="200"/>
      <w:outlineLvl w:val="5"/>
    </w:pPr>
    <w:rPr>
      <w:rFonts w:ascii="Calibri Light" w:hAnsi="Calibri Light"/>
      <w:i/>
      <w:iCs/>
      <w:color w:val="1F4D78"/>
      <w:szCs w:val="22"/>
    </w:rPr>
  </w:style>
  <w:style w:type="paragraph" w:styleId="8">
    <w:name w:val="heading 7"/>
    <w:basedOn w:val="1"/>
    <w:next w:val="1"/>
    <w:link w:val="56"/>
    <w:qFormat/>
    <w:uiPriority w:val="9"/>
    <w:pPr>
      <w:keepNext/>
      <w:keepLines/>
      <w:spacing w:before="200"/>
      <w:outlineLvl w:val="6"/>
    </w:pPr>
    <w:rPr>
      <w:rFonts w:ascii="Calibri Light" w:hAnsi="Calibri Light"/>
      <w:i/>
      <w:iCs/>
      <w:color w:val="404040"/>
      <w:szCs w:val="22"/>
    </w:rPr>
  </w:style>
  <w:style w:type="paragraph" w:styleId="9">
    <w:name w:val="heading 8"/>
    <w:basedOn w:val="1"/>
    <w:next w:val="1"/>
    <w:link w:val="57"/>
    <w:qFormat/>
    <w:uiPriority w:val="9"/>
    <w:pPr>
      <w:keepNext/>
      <w:keepLines/>
      <w:spacing w:before="200"/>
      <w:outlineLvl w:val="7"/>
    </w:pPr>
    <w:rPr>
      <w:rFonts w:ascii="Calibri Light" w:hAnsi="Calibri Light"/>
      <w:color w:val="5B9BD5"/>
      <w:sz w:val="20"/>
      <w:szCs w:val="20"/>
    </w:rPr>
  </w:style>
  <w:style w:type="paragraph" w:styleId="10">
    <w:name w:val="heading 9"/>
    <w:basedOn w:val="1"/>
    <w:next w:val="1"/>
    <w:link w:val="58"/>
    <w:qFormat/>
    <w:uiPriority w:val="9"/>
    <w:pPr>
      <w:keepNext/>
      <w:keepLines/>
      <w:spacing w:before="200"/>
      <w:outlineLvl w:val="8"/>
    </w:pPr>
    <w:rPr>
      <w:rFonts w:ascii="Calibri Light" w:hAnsi="Calibri Light"/>
      <w:i/>
      <w:iCs/>
      <w:color w:val="404040"/>
      <w:sz w:val="20"/>
      <w:szCs w:val="20"/>
    </w:rPr>
  </w:style>
  <w:style w:type="character" w:default="1" w:styleId="36">
    <w:name w:val="Default Paragraph Font"/>
    <w:unhideWhenUsed/>
    <w:qFormat/>
    <w:uiPriority w:val="1"/>
  </w:style>
  <w:style w:type="table" w:default="1" w:styleId="34">
    <w:name w:val="Normal Table"/>
    <w:unhideWhenUsed/>
    <w:qFormat/>
    <w:uiPriority w:val="99"/>
    <w:tblPr>
      <w:tblCellMar>
        <w:top w:w="0" w:type="dxa"/>
        <w:left w:w="108" w:type="dxa"/>
        <w:bottom w:w="0" w:type="dxa"/>
        <w:right w:w="108" w:type="dxa"/>
      </w:tblCellMar>
    </w:tblPr>
  </w:style>
  <w:style w:type="paragraph" w:styleId="11">
    <w:name w:val="index 8"/>
    <w:basedOn w:val="1"/>
    <w:next w:val="1"/>
    <w:qFormat/>
    <w:uiPriority w:val="0"/>
    <w:pPr>
      <w:ind w:left="2940"/>
    </w:pPr>
  </w:style>
  <w:style w:type="paragraph" w:styleId="12">
    <w:name w:val="Normal Indent"/>
    <w:basedOn w:val="1"/>
    <w:qFormat/>
    <w:uiPriority w:val="99"/>
    <w:pPr>
      <w:ind w:firstLine="420"/>
    </w:pPr>
    <w:rPr>
      <w:szCs w:val="20"/>
    </w:rPr>
  </w:style>
  <w:style w:type="paragraph" w:styleId="13">
    <w:name w:val="Document Map"/>
    <w:basedOn w:val="1"/>
    <w:link w:val="59"/>
    <w:qFormat/>
    <w:uiPriority w:val="99"/>
    <w:pPr>
      <w:shd w:val="clear" w:color="auto" w:fill="000080"/>
    </w:pPr>
    <w:rPr>
      <w:rFonts w:ascii="Calibri" w:hAnsi="Calibri" w:eastAsia="宋体" w:cs="Times New Roman"/>
    </w:rPr>
  </w:style>
  <w:style w:type="paragraph" w:styleId="14">
    <w:name w:val="annotation text"/>
    <w:basedOn w:val="1"/>
    <w:link w:val="60"/>
    <w:qFormat/>
    <w:uiPriority w:val="99"/>
    <w:pPr>
      <w:jc w:val="left"/>
    </w:pPr>
  </w:style>
  <w:style w:type="paragraph" w:styleId="15">
    <w:name w:val="Body Text 3"/>
    <w:basedOn w:val="1"/>
    <w:qFormat/>
    <w:uiPriority w:val="0"/>
    <w:pPr>
      <w:spacing w:line="500" w:lineRule="exact"/>
    </w:pPr>
    <w:rPr>
      <w:b/>
      <w:bCs/>
      <w:kern w:val="0"/>
      <w:sz w:val="24"/>
    </w:rPr>
  </w:style>
  <w:style w:type="paragraph" w:styleId="16">
    <w:name w:val="Body Text"/>
    <w:basedOn w:val="1"/>
    <w:link w:val="61"/>
    <w:qFormat/>
    <w:uiPriority w:val="99"/>
  </w:style>
  <w:style w:type="paragraph" w:styleId="17">
    <w:name w:val="Body Text Indent"/>
    <w:basedOn w:val="1"/>
    <w:link w:val="62"/>
    <w:qFormat/>
    <w:uiPriority w:val="99"/>
    <w:pPr>
      <w:spacing w:after="120"/>
      <w:ind w:left="420" w:leftChars="200"/>
    </w:pPr>
  </w:style>
  <w:style w:type="paragraph" w:styleId="18">
    <w:name w:val="index 4"/>
    <w:basedOn w:val="1"/>
    <w:next w:val="1"/>
    <w:qFormat/>
    <w:uiPriority w:val="99"/>
    <w:pPr>
      <w:ind w:left="600" w:leftChars="600"/>
    </w:pPr>
    <w:rPr>
      <w:rFonts w:ascii="Calibri" w:hAnsi="Calibri"/>
      <w:szCs w:val="22"/>
    </w:rPr>
  </w:style>
  <w:style w:type="paragraph" w:styleId="19">
    <w:name w:val="toc 3"/>
    <w:basedOn w:val="1"/>
    <w:next w:val="1"/>
    <w:unhideWhenUsed/>
    <w:qFormat/>
    <w:uiPriority w:val="39"/>
    <w:pPr>
      <w:ind w:left="840" w:leftChars="400"/>
    </w:pPr>
  </w:style>
  <w:style w:type="paragraph" w:styleId="20">
    <w:name w:val="Plain Text"/>
    <w:basedOn w:val="1"/>
    <w:next w:val="11"/>
    <w:link w:val="63"/>
    <w:qFormat/>
    <w:uiPriority w:val="0"/>
    <w:rPr>
      <w:rFonts w:ascii="宋体" w:hAnsi="Courier New"/>
      <w:szCs w:val="20"/>
    </w:rPr>
  </w:style>
  <w:style w:type="paragraph" w:styleId="21">
    <w:name w:val="Date"/>
    <w:basedOn w:val="1"/>
    <w:next w:val="1"/>
    <w:link w:val="64"/>
    <w:qFormat/>
    <w:uiPriority w:val="99"/>
    <w:pPr>
      <w:ind w:left="100" w:leftChars="2500"/>
    </w:pPr>
  </w:style>
  <w:style w:type="paragraph" w:styleId="22">
    <w:name w:val="Body Text Indent 2"/>
    <w:basedOn w:val="1"/>
    <w:link w:val="65"/>
    <w:qFormat/>
    <w:uiPriority w:val="99"/>
    <w:pPr>
      <w:spacing w:after="120" w:line="480" w:lineRule="auto"/>
      <w:ind w:left="420" w:leftChars="200"/>
    </w:pPr>
    <w:rPr>
      <w:rFonts w:ascii="Calibri" w:hAnsi="Calibri"/>
      <w:szCs w:val="22"/>
    </w:rPr>
  </w:style>
  <w:style w:type="paragraph" w:styleId="23">
    <w:name w:val="Balloon Text"/>
    <w:basedOn w:val="1"/>
    <w:link w:val="66"/>
    <w:qFormat/>
    <w:uiPriority w:val="99"/>
    <w:rPr>
      <w:rFonts w:ascii="Calibri" w:hAnsi="Calibri" w:eastAsia="宋体" w:cs="Times New Roman"/>
      <w:sz w:val="18"/>
      <w:szCs w:val="18"/>
    </w:rPr>
  </w:style>
  <w:style w:type="paragraph" w:styleId="24">
    <w:name w:val="footer"/>
    <w:basedOn w:val="1"/>
    <w:link w:val="67"/>
    <w:qFormat/>
    <w:uiPriority w:val="99"/>
    <w:pPr>
      <w:tabs>
        <w:tab w:val="center" w:pos="4153"/>
        <w:tab w:val="right" w:pos="8306"/>
      </w:tabs>
      <w:snapToGrid w:val="0"/>
      <w:jc w:val="left"/>
    </w:pPr>
    <w:rPr>
      <w:sz w:val="18"/>
      <w:szCs w:val="18"/>
    </w:rPr>
  </w:style>
  <w:style w:type="paragraph" w:styleId="25">
    <w:name w:val="header"/>
    <w:basedOn w:val="1"/>
    <w:link w:val="68"/>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unhideWhenUsed/>
    <w:qFormat/>
    <w:uiPriority w:val="39"/>
  </w:style>
  <w:style w:type="paragraph" w:styleId="27">
    <w:name w:val="Subtitle"/>
    <w:basedOn w:val="1"/>
    <w:next w:val="1"/>
    <w:link w:val="69"/>
    <w:qFormat/>
    <w:uiPriority w:val="11"/>
    <w:rPr>
      <w:rFonts w:ascii="Calibri Light" w:hAnsi="Calibri Light"/>
      <w:i/>
      <w:iCs/>
      <w:color w:val="5B9BD5"/>
      <w:spacing w:val="15"/>
      <w:sz w:val="24"/>
    </w:rPr>
  </w:style>
  <w:style w:type="paragraph" w:styleId="28">
    <w:name w:val="footnote text"/>
    <w:basedOn w:val="1"/>
    <w:link w:val="70"/>
    <w:qFormat/>
    <w:uiPriority w:val="99"/>
    <w:pPr>
      <w:adjustRightInd w:val="0"/>
      <w:spacing w:line="312" w:lineRule="atLeast"/>
      <w:jc w:val="left"/>
      <w:textAlignment w:val="baseline"/>
    </w:pPr>
    <w:rPr>
      <w:rFonts w:ascii="Calibri" w:hAnsi="Calibri"/>
      <w:sz w:val="18"/>
      <w:szCs w:val="22"/>
    </w:rPr>
  </w:style>
  <w:style w:type="paragraph" w:styleId="29">
    <w:name w:val="toc 2"/>
    <w:basedOn w:val="1"/>
    <w:next w:val="1"/>
    <w:unhideWhenUsed/>
    <w:qFormat/>
    <w:uiPriority w:val="39"/>
    <w:pPr>
      <w:ind w:left="420" w:leftChars="200"/>
    </w:pPr>
  </w:style>
  <w:style w:type="paragraph" w:styleId="3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31">
    <w:name w:val="Title"/>
    <w:basedOn w:val="1"/>
    <w:next w:val="1"/>
    <w:link w:val="71"/>
    <w:qFormat/>
    <w:uiPriority w:val="99"/>
    <w:pPr>
      <w:pBdr>
        <w:bottom w:val="single" w:color="5B9BD5" w:sz="8" w:space="4"/>
      </w:pBdr>
      <w:spacing w:after="300"/>
      <w:contextualSpacing/>
    </w:pPr>
    <w:rPr>
      <w:rFonts w:ascii="Calibri Light" w:hAnsi="Calibri Light"/>
      <w:color w:val="323E4F"/>
      <w:spacing w:val="5"/>
      <w:sz w:val="52"/>
      <w:szCs w:val="52"/>
    </w:rPr>
  </w:style>
  <w:style w:type="paragraph" w:styleId="32">
    <w:name w:val="annotation subject"/>
    <w:basedOn w:val="14"/>
    <w:next w:val="14"/>
    <w:link w:val="72"/>
    <w:qFormat/>
    <w:uiPriority w:val="99"/>
    <w:rPr>
      <w:rFonts w:ascii="Calibri" w:hAnsi="Calibri" w:eastAsia="宋体" w:cs="Times New Roman"/>
      <w:b/>
      <w:bCs/>
    </w:rPr>
  </w:style>
  <w:style w:type="paragraph" w:styleId="33">
    <w:name w:val="Body Text First Indent 2"/>
    <w:basedOn w:val="17"/>
    <w:unhideWhenUsed/>
    <w:qFormat/>
    <w:uiPriority w:val="99"/>
    <w:pPr>
      <w:ind w:firstLine="420" w:firstLineChars="200"/>
    </w:p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22"/>
    <w:rPr>
      <w:b/>
      <w:bCs/>
    </w:rPr>
  </w:style>
  <w:style w:type="character" w:styleId="38">
    <w:name w:val="FollowedHyperlink"/>
    <w:basedOn w:val="36"/>
    <w:unhideWhenUsed/>
    <w:qFormat/>
    <w:uiPriority w:val="99"/>
    <w:rPr>
      <w:color w:val="800080"/>
      <w:u w:val="none"/>
    </w:rPr>
  </w:style>
  <w:style w:type="character" w:styleId="39">
    <w:name w:val="Emphasis"/>
    <w:qFormat/>
    <w:uiPriority w:val="20"/>
    <w:rPr>
      <w:i/>
      <w:iCs/>
    </w:rPr>
  </w:style>
  <w:style w:type="character" w:styleId="40">
    <w:name w:val="HTML Definition"/>
    <w:basedOn w:val="36"/>
    <w:qFormat/>
    <w:uiPriority w:val="0"/>
  </w:style>
  <w:style w:type="character" w:styleId="41">
    <w:name w:val="HTML Typewriter"/>
    <w:basedOn w:val="36"/>
    <w:qFormat/>
    <w:uiPriority w:val="0"/>
    <w:rPr>
      <w:rFonts w:ascii="monospace" w:hAnsi="monospace" w:eastAsia="monospace" w:cs="monospace"/>
      <w:sz w:val="20"/>
    </w:rPr>
  </w:style>
  <w:style w:type="character" w:styleId="42">
    <w:name w:val="HTML Acronym"/>
    <w:basedOn w:val="36"/>
    <w:qFormat/>
    <w:uiPriority w:val="0"/>
  </w:style>
  <w:style w:type="character" w:styleId="43">
    <w:name w:val="HTML Variable"/>
    <w:basedOn w:val="36"/>
    <w:qFormat/>
    <w:uiPriority w:val="0"/>
  </w:style>
  <w:style w:type="character" w:styleId="44">
    <w:name w:val="Hyperlink"/>
    <w:qFormat/>
    <w:uiPriority w:val="99"/>
    <w:rPr>
      <w:color w:val="333333"/>
      <w:u w:val="none"/>
    </w:rPr>
  </w:style>
  <w:style w:type="character" w:styleId="45">
    <w:name w:val="HTML Code"/>
    <w:basedOn w:val="36"/>
    <w:qFormat/>
    <w:uiPriority w:val="0"/>
    <w:rPr>
      <w:rFonts w:hint="default" w:ascii="monospace" w:hAnsi="monospace" w:eastAsia="monospace" w:cs="monospace"/>
      <w:sz w:val="20"/>
    </w:rPr>
  </w:style>
  <w:style w:type="character" w:styleId="46">
    <w:name w:val="annotation reference"/>
    <w:qFormat/>
    <w:uiPriority w:val="0"/>
    <w:rPr>
      <w:sz w:val="21"/>
      <w:szCs w:val="21"/>
    </w:rPr>
  </w:style>
  <w:style w:type="character" w:styleId="47">
    <w:name w:val="HTML Cite"/>
    <w:basedOn w:val="36"/>
    <w:qFormat/>
    <w:uiPriority w:val="0"/>
  </w:style>
  <w:style w:type="character" w:styleId="48">
    <w:name w:val="HTML Keyboard"/>
    <w:basedOn w:val="36"/>
    <w:qFormat/>
    <w:uiPriority w:val="0"/>
    <w:rPr>
      <w:rFonts w:hint="default" w:ascii="monospace" w:hAnsi="monospace" w:eastAsia="monospace" w:cs="monospace"/>
      <w:sz w:val="20"/>
    </w:rPr>
  </w:style>
  <w:style w:type="character" w:styleId="49">
    <w:name w:val="HTML Sample"/>
    <w:basedOn w:val="36"/>
    <w:qFormat/>
    <w:uiPriority w:val="0"/>
    <w:rPr>
      <w:rFonts w:hint="default" w:ascii="monospace" w:hAnsi="monospace" w:eastAsia="monospace" w:cs="monospace"/>
    </w:rPr>
  </w:style>
  <w:style w:type="character" w:customStyle="1" w:styleId="50">
    <w:name w:val="标题 1 字符"/>
    <w:link w:val="2"/>
    <w:qFormat/>
    <w:uiPriority w:val="99"/>
    <w:rPr>
      <w:b/>
      <w:bCs/>
      <w:kern w:val="44"/>
      <w:sz w:val="44"/>
      <w:szCs w:val="44"/>
    </w:rPr>
  </w:style>
  <w:style w:type="character" w:customStyle="1" w:styleId="51">
    <w:name w:val="标题 2 字符"/>
    <w:link w:val="3"/>
    <w:qFormat/>
    <w:uiPriority w:val="99"/>
    <w:rPr>
      <w:rFonts w:ascii="Arial" w:hAnsi="Arial"/>
      <w:bCs/>
      <w:color w:val="000000"/>
      <w:kern w:val="2"/>
      <w:sz w:val="28"/>
      <w:szCs w:val="32"/>
      <w:lang w:val="pt-BR"/>
    </w:rPr>
  </w:style>
  <w:style w:type="character" w:customStyle="1" w:styleId="52">
    <w:name w:val="标题 3 字符"/>
    <w:link w:val="4"/>
    <w:qFormat/>
    <w:uiPriority w:val="99"/>
    <w:rPr>
      <w:rFonts w:ascii="Calibri" w:hAnsi="Calibri" w:eastAsia="宋体"/>
      <w:b/>
      <w:sz w:val="32"/>
    </w:rPr>
  </w:style>
  <w:style w:type="character" w:customStyle="1" w:styleId="53">
    <w:name w:val="标题 4 字符"/>
    <w:link w:val="5"/>
    <w:qFormat/>
    <w:uiPriority w:val="99"/>
    <w:rPr>
      <w:b/>
      <w:bCs/>
      <w:kern w:val="2"/>
      <w:sz w:val="28"/>
      <w:szCs w:val="28"/>
    </w:rPr>
  </w:style>
  <w:style w:type="character" w:customStyle="1" w:styleId="54">
    <w:name w:val="标题 5 字符"/>
    <w:link w:val="6"/>
    <w:qFormat/>
    <w:uiPriority w:val="99"/>
    <w:rPr>
      <w:b/>
      <w:sz w:val="28"/>
    </w:rPr>
  </w:style>
  <w:style w:type="character" w:customStyle="1" w:styleId="55">
    <w:name w:val="标题 6 字符"/>
    <w:link w:val="7"/>
    <w:qFormat/>
    <w:uiPriority w:val="9"/>
    <w:rPr>
      <w:rFonts w:ascii="Calibri Light" w:hAnsi="Calibri Light"/>
      <w:i/>
      <w:iCs/>
      <w:color w:val="1F4D78"/>
      <w:kern w:val="2"/>
      <w:sz w:val="21"/>
      <w:szCs w:val="22"/>
    </w:rPr>
  </w:style>
  <w:style w:type="character" w:customStyle="1" w:styleId="56">
    <w:name w:val="标题 7 字符"/>
    <w:link w:val="8"/>
    <w:qFormat/>
    <w:uiPriority w:val="9"/>
    <w:rPr>
      <w:rFonts w:ascii="Calibri Light" w:hAnsi="Calibri Light"/>
      <w:i/>
      <w:iCs/>
      <w:color w:val="404040"/>
      <w:kern w:val="2"/>
      <w:sz w:val="21"/>
      <w:szCs w:val="22"/>
    </w:rPr>
  </w:style>
  <w:style w:type="character" w:customStyle="1" w:styleId="57">
    <w:name w:val="标题 8 字符"/>
    <w:link w:val="9"/>
    <w:qFormat/>
    <w:uiPriority w:val="9"/>
    <w:rPr>
      <w:rFonts w:ascii="Calibri Light" w:hAnsi="Calibri Light"/>
      <w:color w:val="5B9BD5"/>
      <w:kern w:val="2"/>
    </w:rPr>
  </w:style>
  <w:style w:type="character" w:customStyle="1" w:styleId="58">
    <w:name w:val="标题 9 字符"/>
    <w:link w:val="10"/>
    <w:qFormat/>
    <w:uiPriority w:val="9"/>
    <w:rPr>
      <w:rFonts w:ascii="Calibri Light" w:hAnsi="Calibri Light"/>
      <w:i/>
      <w:iCs/>
      <w:color w:val="404040"/>
      <w:kern w:val="2"/>
    </w:rPr>
  </w:style>
  <w:style w:type="character" w:customStyle="1" w:styleId="59">
    <w:name w:val="文档结构图 字符"/>
    <w:link w:val="13"/>
    <w:qFormat/>
    <w:uiPriority w:val="99"/>
    <w:rPr>
      <w:rFonts w:ascii="Calibri" w:hAnsi="Calibri" w:eastAsia="宋体" w:cs="Times New Roman"/>
      <w:kern w:val="2"/>
      <w:sz w:val="21"/>
      <w:szCs w:val="24"/>
      <w:shd w:val="clear" w:color="auto" w:fill="000080"/>
    </w:rPr>
  </w:style>
  <w:style w:type="character" w:customStyle="1" w:styleId="60">
    <w:name w:val="批注文字 字符"/>
    <w:link w:val="14"/>
    <w:qFormat/>
    <w:uiPriority w:val="99"/>
    <w:rPr>
      <w:kern w:val="2"/>
      <w:sz w:val="21"/>
      <w:szCs w:val="24"/>
    </w:rPr>
  </w:style>
  <w:style w:type="character" w:customStyle="1" w:styleId="61">
    <w:name w:val="正文文本 字符"/>
    <w:link w:val="16"/>
    <w:qFormat/>
    <w:uiPriority w:val="99"/>
    <w:rPr>
      <w:kern w:val="2"/>
      <w:sz w:val="21"/>
      <w:szCs w:val="24"/>
    </w:rPr>
  </w:style>
  <w:style w:type="character" w:customStyle="1" w:styleId="62">
    <w:name w:val="正文文本缩进 字符"/>
    <w:link w:val="17"/>
    <w:qFormat/>
    <w:uiPriority w:val="99"/>
    <w:rPr>
      <w:kern w:val="2"/>
      <w:sz w:val="21"/>
      <w:szCs w:val="24"/>
    </w:rPr>
  </w:style>
  <w:style w:type="character" w:customStyle="1" w:styleId="63">
    <w:name w:val="纯文本 字符"/>
    <w:link w:val="20"/>
    <w:qFormat/>
    <w:uiPriority w:val="0"/>
    <w:rPr>
      <w:rFonts w:ascii="宋体" w:hAnsi="Courier New"/>
      <w:kern w:val="2"/>
      <w:sz w:val="21"/>
    </w:rPr>
  </w:style>
  <w:style w:type="character" w:customStyle="1" w:styleId="64">
    <w:name w:val="日期 字符"/>
    <w:link w:val="21"/>
    <w:qFormat/>
    <w:uiPriority w:val="99"/>
    <w:rPr>
      <w:kern w:val="2"/>
      <w:sz w:val="21"/>
      <w:szCs w:val="24"/>
    </w:rPr>
  </w:style>
  <w:style w:type="character" w:customStyle="1" w:styleId="65">
    <w:name w:val="正文文本缩进 2 字符"/>
    <w:link w:val="22"/>
    <w:qFormat/>
    <w:uiPriority w:val="99"/>
    <w:rPr>
      <w:rFonts w:ascii="Calibri" w:hAnsi="Calibri"/>
      <w:kern w:val="2"/>
      <w:sz w:val="21"/>
      <w:szCs w:val="22"/>
    </w:rPr>
  </w:style>
  <w:style w:type="character" w:customStyle="1" w:styleId="66">
    <w:name w:val="批注框文本 字符"/>
    <w:link w:val="23"/>
    <w:qFormat/>
    <w:uiPriority w:val="99"/>
    <w:rPr>
      <w:rFonts w:ascii="Calibri" w:hAnsi="Calibri" w:eastAsia="宋体" w:cs="Times New Roman"/>
      <w:kern w:val="2"/>
      <w:sz w:val="18"/>
      <w:szCs w:val="18"/>
    </w:rPr>
  </w:style>
  <w:style w:type="character" w:customStyle="1" w:styleId="67">
    <w:name w:val="页脚 字符"/>
    <w:link w:val="24"/>
    <w:qFormat/>
    <w:uiPriority w:val="99"/>
    <w:rPr>
      <w:kern w:val="2"/>
      <w:sz w:val="18"/>
      <w:szCs w:val="18"/>
    </w:rPr>
  </w:style>
  <w:style w:type="character" w:customStyle="1" w:styleId="68">
    <w:name w:val="页眉 字符"/>
    <w:link w:val="25"/>
    <w:qFormat/>
    <w:uiPriority w:val="99"/>
    <w:rPr>
      <w:kern w:val="2"/>
      <w:sz w:val="18"/>
      <w:szCs w:val="18"/>
    </w:rPr>
  </w:style>
  <w:style w:type="character" w:customStyle="1" w:styleId="69">
    <w:name w:val="副标题 字符"/>
    <w:link w:val="27"/>
    <w:qFormat/>
    <w:uiPriority w:val="11"/>
    <w:rPr>
      <w:rFonts w:ascii="Calibri Light" w:hAnsi="Calibri Light"/>
      <w:i/>
      <w:iCs/>
      <w:color w:val="5B9BD5"/>
      <w:spacing w:val="15"/>
      <w:kern w:val="2"/>
      <w:sz w:val="24"/>
      <w:szCs w:val="24"/>
    </w:rPr>
  </w:style>
  <w:style w:type="character" w:customStyle="1" w:styleId="70">
    <w:name w:val="脚注文本 字符"/>
    <w:link w:val="28"/>
    <w:qFormat/>
    <w:uiPriority w:val="99"/>
    <w:rPr>
      <w:rFonts w:ascii="Calibri" w:hAnsi="Calibri"/>
      <w:kern w:val="2"/>
      <w:sz w:val="18"/>
      <w:szCs w:val="22"/>
    </w:rPr>
  </w:style>
  <w:style w:type="character" w:customStyle="1" w:styleId="71">
    <w:name w:val="标题 字符"/>
    <w:link w:val="31"/>
    <w:qFormat/>
    <w:uiPriority w:val="99"/>
    <w:rPr>
      <w:rFonts w:ascii="Calibri Light" w:hAnsi="Calibri Light"/>
      <w:color w:val="323E4F"/>
      <w:spacing w:val="5"/>
      <w:kern w:val="2"/>
      <w:sz w:val="52"/>
      <w:szCs w:val="52"/>
    </w:rPr>
  </w:style>
  <w:style w:type="character" w:customStyle="1" w:styleId="72">
    <w:name w:val="批注主题 字符"/>
    <w:link w:val="32"/>
    <w:qFormat/>
    <w:uiPriority w:val="99"/>
    <w:rPr>
      <w:rFonts w:ascii="Calibri" w:hAnsi="Calibri" w:eastAsia="宋体" w:cs="Times New Roman"/>
      <w:b/>
      <w:bCs/>
      <w:kern w:val="2"/>
      <w:sz w:val="21"/>
      <w:szCs w:val="24"/>
    </w:rPr>
  </w:style>
  <w:style w:type="paragraph" w:customStyle="1" w:styleId="73">
    <w:name w:val="正文1"/>
    <w:qFormat/>
    <w:uiPriority w:val="0"/>
    <w:rPr>
      <w:rFonts w:ascii="Times New Roman" w:hAnsi="Times New Roman" w:eastAsia="Times New Roman" w:cs="Times New Roman"/>
      <w:sz w:val="24"/>
      <w:szCs w:val="24"/>
      <w:lang w:val="en-US" w:eastAsia="zh-CN" w:bidi="ar-SA"/>
    </w:rPr>
  </w:style>
  <w:style w:type="paragraph" w:customStyle="1" w:styleId="74">
    <w:name w:val="_Style 5"/>
    <w:qFormat/>
    <w:uiPriority w:val="1"/>
    <w:rPr>
      <w:rFonts w:ascii="Times New Roman" w:hAnsi="Times New Roman" w:eastAsia="宋体" w:cs="Times New Roman"/>
      <w:sz w:val="22"/>
      <w:szCs w:val="22"/>
      <w:lang w:val="en-US" w:eastAsia="zh-CN" w:bidi="ar-SA"/>
    </w:rPr>
  </w:style>
  <w:style w:type="paragraph" w:customStyle="1" w:styleId="75">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BodyText"/>
    <w:basedOn w:val="1"/>
    <w:qFormat/>
    <w:uiPriority w:val="0"/>
    <w:pPr>
      <w:spacing w:line="380" w:lineRule="exact"/>
      <w:textAlignment w:val="baseline"/>
    </w:pPr>
    <w:rPr>
      <w:sz w:val="24"/>
    </w:rPr>
  </w:style>
  <w:style w:type="paragraph" w:customStyle="1" w:styleId="77">
    <w:name w:val="Heading2"/>
    <w:basedOn w:val="1"/>
    <w:next w:val="1"/>
    <w:qFormat/>
    <w:uiPriority w:val="0"/>
    <w:pPr>
      <w:keepNext/>
      <w:keepLines/>
      <w:spacing w:before="260" w:after="260" w:line="416" w:lineRule="auto"/>
    </w:pPr>
    <w:rPr>
      <w:rFonts w:ascii="Arial" w:hAnsi="Arial" w:eastAsia="黑体"/>
      <w:b/>
      <w:bCs/>
      <w:kern w:val="0"/>
      <w:sz w:val="32"/>
      <w:szCs w:val="32"/>
    </w:rPr>
  </w:style>
  <w:style w:type="paragraph" w:customStyle="1" w:styleId="78">
    <w:name w:val="Default"/>
    <w:link w:val="7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79">
    <w:name w:val="Default Char"/>
    <w:link w:val="78"/>
    <w:qFormat/>
    <w:uiPriority w:val="0"/>
    <w:rPr>
      <w:color w:val="000000"/>
      <w:sz w:val="24"/>
      <w:szCs w:val="24"/>
      <w:lang w:bidi="ar-SA"/>
    </w:rPr>
  </w:style>
  <w:style w:type="paragraph" w:styleId="80">
    <w:name w:val="List Paragraph"/>
    <w:basedOn w:val="1"/>
    <w:qFormat/>
    <w:uiPriority w:val="99"/>
    <w:pPr>
      <w:ind w:firstLine="420" w:firstLineChars="200"/>
    </w:pPr>
  </w:style>
  <w:style w:type="paragraph" w:customStyle="1" w:styleId="81">
    <w:name w:val="正文格式"/>
    <w:basedOn w:val="1"/>
    <w:qFormat/>
    <w:uiPriority w:val="0"/>
    <w:pPr>
      <w:widowControl/>
      <w:adjustRightInd w:val="0"/>
      <w:snapToGrid w:val="0"/>
      <w:spacing w:line="400" w:lineRule="atLeast"/>
      <w:ind w:firstLine="482"/>
      <w:textAlignment w:val="baseline"/>
    </w:pPr>
    <w:rPr>
      <w:kern w:val="0"/>
      <w:sz w:val="24"/>
    </w:rPr>
  </w:style>
  <w:style w:type="paragraph" w:styleId="8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p0"/>
    <w:basedOn w:val="1"/>
    <w:qFormat/>
    <w:uiPriority w:val="0"/>
    <w:pPr>
      <w:widowControl/>
    </w:pPr>
    <w:rPr>
      <w:rFonts w:ascii="Calibri" w:hAnsi="Calibri" w:cs="宋体"/>
      <w:kern w:val="0"/>
      <w:szCs w:val="21"/>
    </w:rPr>
  </w:style>
  <w:style w:type="paragraph" w:customStyle="1" w:styleId="84">
    <w:name w:val="_Style 6"/>
    <w:basedOn w:val="2"/>
    <w:next w:val="1"/>
    <w:qFormat/>
    <w:uiPriority w:val="0"/>
    <w:pPr>
      <w:outlineLvl w:val="9"/>
    </w:pPr>
  </w:style>
  <w:style w:type="character" w:customStyle="1" w:styleId="85">
    <w:name w:val="NormalCharacter"/>
    <w:semiHidden/>
    <w:qFormat/>
    <w:uiPriority w:val="0"/>
  </w:style>
  <w:style w:type="paragraph" w:customStyle="1" w:styleId="86">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7">
    <w:name w:val="正文呀2"/>
    <w:basedOn w:val="88"/>
    <w:link w:val="90"/>
    <w:qFormat/>
    <w:uiPriority w:val="0"/>
    <w:rPr>
      <w:rFonts w:ascii="Times New Roman" w:hAnsi="Times New Roman"/>
    </w:rPr>
  </w:style>
  <w:style w:type="paragraph" w:customStyle="1" w:styleId="88">
    <w:name w:val="正文呀"/>
    <w:basedOn w:val="1"/>
    <w:link w:val="89"/>
    <w:qFormat/>
    <w:uiPriority w:val="0"/>
    <w:pPr>
      <w:spacing w:line="420" w:lineRule="exact"/>
      <w:ind w:firstLine="420" w:firstLineChars="200"/>
    </w:pPr>
    <w:rPr>
      <w:rFonts w:ascii="宋体" w:hAnsi="宋体"/>
    </w:rPr>
  </w:style>
  <w:style w:type="character" w:customStyle="1" w:styleId="89">
    <w:name w:val="正文呀 Char"/>
    <w:link w:val="88"/>
    <w:qFormat/>
    <w:uiPriority w:val="0"/>
    <w:rPr>
      <w:rFonts w:ascii="宋体" w:hAnsi="宋体"/>
      <w:kern w:val="2"/>
      <w:sz w:val="21"/>
      <w:szCs w:val="24"/>
    </w:rPr>
  </w:style>
  <w:style w:type="character" w:customStyle="1" w:styleId="90">
    <w:name w:val="正文呀2 Char"/>
    <w:link w:val="87"/>
    <w:qFormat/>
    <w:uiPriority w:val="0"/>
    <w:rPr>
      <w:kern w:val="2"/>
      <w:sz w:val="21"/>
      <w:szCs w:val="24"/>
    </w:rPr>
  </w:style>
  <w:style w:type="paragraph" w:customStyle="1" w:styleId="91">
    <w:name w:val="Body text|1"/>
    <w:basedOn w:val="1"/>
    <w:qFormat/>
    <w:uiPriority w:val="0"/>
    <w:pPr>
      <w:spacing w:line="350" w:lineRule="auto"/>
      <w:ind w:firstLine="400"/>
      <w:jc w:val="left"/>
    </w:pPr>
    <w:rPr>
      <w:rFonts w:ascii="宋体" w:hAnsi="宋体" w:cs="宋体"/>
      <w:kern w:val="0"/>
      <w:sz w:val="30"/>
      <w:szCs w:val="30"/>
    </w:rPr>
  </w:style>
  <w:style w:type="paragraph" w:customStyle="1" w:styleId="92">
    <w:name w:val="正文小标题_0"/>
    <w:basedOn w:val="93"/>
    <w:qFormat/>
    <w:uiPriority w:val="0"/>
    <w:pPr>
      <w:keepNext/>
      <w:keepLines/>
      <w:spacing w:line="420" w:lineRule="exact"/>
      <w:outlineLvl w:val="0"/>
    </w:pPr>
    <w:rPr>
      <w:rFonts w:hAnsi="宋体"/>
      <w:kern w:val="44"/>
      <w:szCs w:val="21"/>
    </w:rPr>
  </w:style>
  <w:style w:type="paragraph" w:customStyle="1" w:styleId="93">
    <w:name w:val="标题 1_0"/>
    <w:basedOn w:val="94"/>
    <w:next w:val="94"/>
    <w:link w:val="97"/>
    <w:qFormat/>
    <w:uiPriority w:val="99"/>
    <w:pPr>
      <w:keepNext/>
      <w:keepLines/>
      <w:spacing w:line="360" w:lineRule="auto"/>
      <w:outlineLvl w:val="0"/>
    </w:pPr>
    <w:rPr>
      <w:rFonts w:eastAsia="黑体"/>
      <w:b/>
      <w:bCs/>
      <w:kern w:val="44"/>
      <w:sz w:val="32"/>
      <w:szCs w:val="44"/>
    </w:rPr>
  </w:style>
  <w:style w:type="paragraph" w:customStyle="1" w:styleId="94">
    <w:name w:val="正文_0"/>
    <w:next w:val="9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5">
    <w:name w:val="正文文本_0"/>
    <w:basedOn w:val="94"/>
    <w:link w:val="96"/>
    <w:unhideWhenUsed/>
    <w:qFormat/>
    <w:uiPriority w:val="99"/>
    <w:pPr>
      <w:adjustRightInd w:val="0"/>
      <w:spacing w:after="60" w:line="360" w:lineRule="atLeast"/>
      <w:ind w:left="72" w:leftChars="30" w:right="30" w:rightChars="30"/>
      <w:jc w:val="center"/>
    </w:pPr>
    <w:rPr>
      <w:rFonts w:ascii="Calibri" w:hAnsi="Calibri"/>
      <w:kern w:val="0"/>
      <w:sz w:val="20"/>
      <w:szCs w:val="20"/>
      <w:lang w:val="zh-CN"/>
    </w:rPr>
  </w:style>
  <w:style w:type="character" w:customStyle="1" w:styleId="96">
    <w:name w:val="正文文本 Char_0"/>
    <w:link w:val="95"/>
    <w:qFormat/>
    <w:uiPriority w:val="99"/>
    <w:rPr>
      <w:rFonts w:ascii="Calibri" w:hAnsi="Calibri"/>
      <w:lang w:val="zh-CN"/>
    </w:rPr>
  </w:style>
  <w:style w:type="character" w:customStyle="1" w:styleId="97">
    <w:name w:val="标题 1 Char_0"/>
    <w:link w:val="93"/>
    <w:qFormat/>
    <w:uiPriority w:val="99"/>
    <w:rPr>
      <w:rFonts w:eastAsia="黑体"/>
      <w:b/>
      <w:bCs/>
      <w:kern w:val="44"/>
      <w:sz w:val="32"/>
      <w:szCs w:val="44"/>
    </w:rPr>
  </w:style>
  <w:style w:type="paragraph" w:customStyle="1" w:styleId="98">
    <w:name w:val="正文_1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99">
    <w:name w:val="正文呀2_0"/>
    <w:basedOn w:val="100"/>
    <w:qFormat/>
    <w:uiPriority w:val="0"/>
    <w:pPr>
      <w:spacing w:line="420" w:lineRule="exact"/>
      <w:ind w:firstLine="420" w:firstLineChars="200"/>
    </w:pPr>
    <w:rPr>
      <w:szCs w:val="21"/>
    </w:rPr>
  </w:style>
  <w:style w:type="paragraph" w:customStyle="1" w:styleId="100">
    <w:name w:val="正文呀_0"/>
    <w:basedOn w:val="98"/>
    <w:qFormat/>
    <w:uiPriority w:val="0"/>
    <w:pPr>
      <w:spacing w:line="420" w:lineRule="exact"/>
      <w:ind w:firstLine="420" w:firstLineChars="200"/>
    </w:pPr>
    <w:rPr>
      <w:rFonts w:ascii="宋体" w:hAnsi="宋体"/>
      <w:szCs w:val="21"/>
    </w:rPr>
  </w:style>
  <w:style w:type="character" w:customStyle="1" w:styleId="101">
    <w:name w:val="Comment Text Char"/>
    <w:qFormat/>
    <w:uiPriority w:val="99"/>
    <w:rPr>
      <w:rFonts w:cs="Times New Roman"/>
      <w:sz w:val="24"/>
      <w:szCs w:val="24"/>
    </w:rPr>
  </w:style>
  <w:style w:type="character" w:customStyle="1" w:styleId="102">
    <w:name w:val="标题 Char4"/>
    <w:qFormat/>
    <w:uiPriority w:val="10"/>
    <w:rPr>
      <w:rFonts w:hint="default" w:ascii="Cambria" w:hAnsi="Cambria" w:eastAsia="宋体" w:cs="Times New Roman"/>
      <w:b/>
      <w:bCs/>
      <w:kern w:val="2"/>
      <w:sz w:val="32"/>
      <w:szCs w:val="32"/>
    </w:rPr>
  </w:style>
  <w:style w:type="character" w:customStyle="1" w:styleId="103">
    <w:name w:val="批注文字 Char3"/>
    <w:semiHidden/>
    <w:qFormat/>
    <w:locked/>
    <w:uiPriority w:val="99"/>
    <w:rPr>
      <w:rFonts w:ascii="Times New Roman" w:hAnsi="Times New Roman" w:eastAsia="宋体"/>
      <w:szCs w:val="21"/>
    </w:rPr>
  </w:style>
  <w:style w:type="character" w:customStyle="1" w:styleId="104">
    <w:name w:val="引用 字符"/>
    <w:link w:val="105"/>
    <w:qFormat/>
    <w:uiPriority w:val="99"/>
    <w:rPr>
      <w:i/>
      <w:iCs/>
      <w:color w:val="000000"/>
    </w:rPr>
  </w:style>
  <w:style w:type="paragraph" w:styleId="105">
    <w:name w:val="Quote"/>
    <w:basedOn w:val="1"/>
    <w:next w:val="1"/>
    <w:link w:val="104"/>
    <w:qFormat/>
    <w:uiPriority w:val="99"/>
    <w:rPr>
      <w:i/>
      <w:iCs/>
      <w:color w:val="000000"/>
      <w:kern w:val="0"/>
      <w:sz w:val="20"/>
      <w:szCs w:val="20"/>
    </w:rPr>
  </w:style>
  <w:style w:type="character" w:customStyle="1" w:styleId="106">
    <w:name w:val="引用 字符1"/>
    <w:qFormat/>
    <w:uiPriority w:val="99"/>
    <w:rPr>
      <w:i/>
      <w:iCs/>
      <w:color w:val="404040"/>
      <w:kern w:val="2"/>
      <w:sz w:val="21"/>
      <w:szCs w:val="24"/>
    </w:rPr>
  </w:style>
  <w:style w:type="character" w:customStyle="1" w:styleId="107">
    <w:name w:val="引用 Char1"/>
    <w:qFormat/>
    <w:uiPriority w:val="99"/>
    <w:rPr>
      <w:rFonts w:ascii="Calibri" w:hAnsi="Calibri" w:eastAsia="宋体" w:cs="Times New Roman"/>
      <w:i/>
      <w:iCs/>
      <w:color w:val="404040"/>
    </w:rPr>
  </w:style>
  <w:style w:type="character" w:customStyle="1" w:styleId="108">
    <w:name w:val="Char Char18"/>
    <w:qFormat/>
    <w:uiPriority w:val="99"/>
    <w:rPr>
      <w:rFonts w:hint="default" w:ascii="Times New Roman" w:hAnsi="Times New Roman" w:eastAsia="宋体" w:cs="Times New Roman"/>
      <w:b/>
      <w:bCs/>
      <w:sz w:val="28"/>
      <w:szCs w:val="28"/>
    </w:rPr>
  </w:style>
  <w:style w:type="paragraph" w:customStyle="1" w:styleId="109">
    <w:name w:val="_Style 34"/>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10">
    <w:name w:val="Char Char6_0"/>
    <w:qFormat/>
    <w:uiPriority w:val="0"/>
    <w:rPr>
      <w:rFonts w:ascii="Arial" w:hAnsi="Arial" w:eastAsia="宋体"/>
      <w:b/>
      <w:bCs/>
      <w:kern w:val="2"/>
      <w:sz w:val="21"/>
      <w:szCs w:val="28"/>
      <w:lang w:val="en-US" w:eastAsia="zh-CN" w:bidi="ar-SA"/>
    </w:rPr>
  </w:style>
  <w:style w:type="character" w:customStyle="1" w:styleId="111">
    <w:name w:val="Char Char3"/>
    <w:qFormat/>
    <w:uiPriority w:val="0"/>
    <w:rPr>
      <w:rFonts w:eastAsia="宋体"/>
      <w:kern w:val="2"/>
      <w:sz w:val="21"/>
      <w:szCs w:val="24"/>
      <w:lang w:val="en-US" w:eastAsia="zh-CN" w:bidi="ar-SA"/>
    </w:rPr>
  </w:style>
  <w:style w:type="character" w:customStyle="1" w:styleId="112">
    <w:name w:val="批注文字 Char2"/>
    <w:qFormat/>
    <w:locked/>
    <w:uiPriority w:val="99"/>
    <w:rPr>
      <w:rFonts w:hint="eastAsia" w:ascii="宋体" w:hAnsi="宋体" w:eastAsia="宋体"/>
      <w:kern w:val="2"/>
      <w:sz w:val="24"/>
      <w:szCs w:val="24"/>
      <w:lang w:val="en-US" w:eastAsia="zh-CN"/>
    </w:rPr>
  </w:style>
  <w:style w:type="character" w:customStyle="1" w:styleId="113">
    <w:name w:val="批注主题 Char1"/>
    <w:qFormat/>
    <w:uiPriority w:val="99"/>
    <w:rPr>
      <w:b/>
      <w:bCs/>
      <w:kern w:val="2"/>
      <w:sz w:val="21"/>
      <w:szCs w:val="22"/>
    </w:rPr>
  </w:style>
  <w:style w:type="character" w:customStyle="1" w:styleId="114">
    <w:name w:val="页眉 Char2"/>
    <w:semiHidden/>
    <w:qFormat/>
    <w:uiPriority w:val="99"/>
    <w:rPr>
      <w:rFonts w:hint="default" w:ascii="Times New Roman" w:hAnsi="Times New Roman" w:eastAsia="宋体" w:cs="Times New Roman"/>
      <w:kern w:val="2"/>
      <w:sz w:val="18"/>
      <w:szCs w:val="18"/>
    </w:rPr>
  </w:style>
  <w:style w:type="character" w:customStyle="1" w:styleId="115">
    <w:name w:val="Heading 5 Char"/>
    <w:qFormat/>
    <w:uiPriority w:val="99"/>
    <w:rPr>
      <w:rFonts w:hint="eastAsia" w:ascii="宋体" w:hAnsi="宋体" w:eastAsia="宋体"/>
      <w:b/>
      <w:bCs/>
      <w:kern w:val="2"/>
      <w:sz w:val="28"/>
      <w:szCs w:val="28"/>
      <w:lang w:val="en-US" w:eastAsia="zh-CN"/>
    </w:rPr>
  </w:style>
  <w:style w:type="character" w:customStyle="1" w:styleId="116">
    <w:name w:val="文档结构图 Char2"/>
    <w:semiHidden/>
    <w:qFormat/>
    <w:uiPriority w:val="99"/>
    <w:rPr>
      <w:rFonts w:hint="eastAsia" w:ascii="宋体" w:hAnsi="宋体" w:eastAsia="宋体"/>
      <w:sz w:val="18"/>
      <w:szCs w:val="18"/>
    </w:rPr>
  </w:style>
  <w:style w:type="character" w:customStyle="1" w:styleId="117">
    <w:name w:val="Char Char24"/>
    <w:qFormat/>
    <w:uiPriority w:val="99"/>
    <w:rPr>
      <w:rFonts w:hint="eastAsia" w:ascii="宋体" w:hAnsi="宋体" w:eastAsia="宋体"/>
      <w:b/>
      <w:bCs/>
      <w:kern w:val="44"/>
      <w:sz w:val="44"/>
      <w:szCs w:val="44"/>
      <w:lang w:val="en-US" w:eastAsia="zh-CN"/>
    </w:rPr>
  </w:style>
  <w:style w:type="character" w:customStyle="1" w:styleId="118">
    <w:name w:val="页脚 Char1"/>
    <w:semiHidden/>
    <w:qFormat/>
    <w:uiPriority w:val="99"/>
    <w:rPr>
      <w:sz w:val="18"/>
      <w:szCs w:val="18"/>
    </w:rPr>
  </w:style>
  <w:style w:type="character" w:customStyle="1" w:styleId="119">
    <w:name w:val="日期 Char1"/>
    <w:qFormat/>
    <w:uiPriority w:val="99"/>
    <w:rPr>
      <w:rFonts w:ascii="Calibri" w:hAnsi="Calibri" w:eastAsia="宋体" w:cs="Times New Roman"/>
    </w:rPr>
  </w:style>
  <w:style w:type="character" w:customStyle="1" w:styleId="120">
    <w:name w:val="Title Char"/>
    <w:qFormat/>
    <w:uiPriority w:val="99"/>
    <w:rPr>
      <w:rFonts w:hint="default" w:ascii="Cambria" w:hAnsi="Cambria" w:cs="Cambria"/>
      <w:b/>
      <w:bCs/>
      <w:sz w:val="32"/>
      <w:szCs w:val="32"/>
    </w:rPr>
  </w:style>
  <w:style w:type="character" w:customStyle="1" w:styleId="121">
    <w:name w:val="Char Char19"/>
    <w:qFormat/>
    <w:uiPriority w:val="99"/>
    <w:rPr>
      <w:rFonts w:hint="default" w:ascii="Arial" w:hAnsi="Arial" w:eastAsia="宋体" w:cs="Arial"/>
      <w:b/>
      <w:bCs/>
      <w:sz w:val="28"/>
      <w:szCs w:val="28"/>
    </w:rPr>
  </w:style>
  <w:style w:type="character" w:customStyle="1" w:styleId="122">
    <w:name w:val="正文文本缩进 2 Char1"/>
    <w:semiHidden/>
    <w:qFormat/>
    <w:uiPriority w:val="99"/>
    <w:rPr>
      <w:rFonts w:hint="default" w:ascii="Times New Roman" w:hAnsi="Times New Roman" w:eastAsia="宋体" w:cs="Times New Roman"/>
      <w:szCs w:val="21"/>
    </w:rPr>
  </w:style>
  <w:style w:type="character" w:customStyle="1" w:styleId="123">
    <w:name w:val="Char Char1_0"/>
    <w:qFormat/>
    <w:uiPriority w:val="0"/>
    <w:rPr>
      <w:kern w:val="2"/>
      <w:sz w:val="18"/>
      <w:szCs w:val="18"/>
      <w:lang w:bidi="ar-SA"/>
    </w:rPr>
  </w:style>
  <w:style w:type="character" w:customStyle="1" w:styleId="124">
    <w:name w:val="Char Char1"/>
    <w:qFormat/>
    <w:uiPriority w:val="0"/>
    <w:rPr>
      <w:kern w:val="2"/>
      <w:sz w:val="18"/>
      <w:szCs w:val="18"/>
      <w:lang w:bidi="ar-SA"/>
    </w:rPr>
  </w:style>
  <w:style w:type="character" w:customStyle="1" w:styleId="125">
    <w:name w:val="Char Char5_0"/>
    <w:qFormat/>
    <w:uiPriority w:val="0"/>
    <w:rPr>
      <w:rFonts w:hint="eastAsia" w:ascii="宋体" w:hAnsi="宋体" w:eastAsia="宋体"/>
      <w:b/>
      <w:bCs/>
      <w:kern w:val="2"/>
      <w:sz w:val="28"/>
      <w:szCs w:val="28"/>
      <w:lang w:val="en-US" w:eastAsia="zh-CN" w:bidi="ar-SA"/>
    </w:rPr>
  </w:style>
  <w:style w:type="character" w:customStyle="1" w:styleId="126">
    <w:name w:val="标题 Char1"/>
    <w:qFormat/>
    <w:uiPriority w:val="99"/>
    <w:rPr>
      <w:rFonts w:hint="default" w:ascii="Cambria" w:hAnsi="Cambria" w:eastAsia="宋体" w:cs="Times New Roman"/>
      <w:b/>
      <w:bCs/>
      <w:sz w:val="32"/>
      <w:szCs w:val="32"/>
    </w:rPr>
  </w:style>
  <w:style w:type="character" w:customStyle="1" w:styleId="127">
    <w:name w:val="Char Char3_0"/>
    <w:qFormat/>
    <w:uiPriority w:val="0"/>
    <w:rPr>
      <w:rFonts w:hint="eastAsia" w:ascii="宋体" w:hAnsi="宋体" w:eastAsia="宋体"/>
      <w:kern w:val="2"/>
      <w:sz w:val="21"/>
      <w:szCs w:val="24"/>
      <w:lang w:val="en-US" w:eastAsia="zh-CN" w:bidi="ar-SA"/>
    </w:rPr>
  </w:style>
  <w:style w:type="character" w:customStyle="1" w:styleId="128">
    <w:name w:val="Heading 3 Char"/>
    <w:qFormat/>
    <w:uiPriority w:val="99"/>
    <w:rPr>
      <w:rFonts w:cs="Times New Roman"/>
      <w:b/>
      <w:bCs/>
      <w:kern w:val="2"/>
      <w:sz w:val="32"/>
      <w:szCs w:val="32"/>
    </w:rPr>
  </w:style>
  <w:style w:type="character" w:customStyle="1" w:styleId="129">
    <w:name w:val="15"/>
    <w:qFormat/>
    <w:uiPriority w:val="0"/>
    <w:rPr>
      <w:rFonts w:hint="default" w:ascii="Times New Roman" w:hAnsi="Times New Roman" w:cs="Times New Roman"/>
      <w:color w:val="0000FF"/>
      <w:u w:val="single"/>
    </w:rPr>
  </w:style>
  <w:style w:type="character" w:customStyle="1" w:styleId="130">
    <w:name w:val="Heading 1 Char"/>
    <w:qFormat/>
    <w:uiPriority w:val="99"/>
    <w:rPr>
      <w:rFonts w:hint="eastAsia" w:ascii="宋体" w:hAnsi="宋体" w:eastAsia="宋体"/>
      <w:b/>
      <w:bCs/>
      <w:kern w:val="44"/>
      <w:sz w:val="44"/>
      <w:szCs w:val="44"/>
      <w:lang w:val="en-US" w:eastAsia="zh-CN"/>
    </w:rPr>
  </w:style>
  <w:style w:type="character" w:customStyle="1" w:styleId="131">
    <w:name w:val="Char Char8"/>
    <w:qFormat/>
    <w:uiPriority w:val="0"/>
    <w:rPr>
      <w:rFonts w:eastAsia="宋体"/>
      <w:b/>
      <w:bCs/>
      <w:kern w:val="44"/>
      <w:sz w:val="32"/>
      <w:szCs w:val="44"/>
      <w:lang w:val="en-US" w:eastAsia="zh-CN" w:bidi="ar-SA"/>
    </w:rPr>
  </w:style>
  <w:style w:type="character" w:customStyle="1" w:styleId="132">
    <w:name w:val="Heading 4 Char"/>
    <w:qFormat/>
    <w:uiPriority w:val="99"/>
    <w:rPr>
      <w:rFonts w:hint="default" w:ascii="Arial" w:hAnsi="Arial" w:eastAsia="宋体" w:cs="Arial"/>
      <w:b/>
      <w:bCs/>
      <w:kern w:val="2"/>
      <w:sz w:val="28"/>
      <w:szCs w:val="28"/>
      <w:lang w:val="en-US" w:eastAsia="zh-CN"/>
    </w:rPr>
  </w:style>
  <w:style w:type="character" w:customStyle="1" w:styleId="133">
    <w:name w:val="Date Char"/>
    <w:qFormat/>
    <w:uiPriority w:val="99"/>
    <w:rPr>
      <w:rFonts w:hint="eastAsia" w:ascii="宋体" w:hAnsi="宋体" w:eastAsia="宋体"/>
      <w:kern w:val="2"/>
      <w:sz w:val="24"/>
      <w:szCs w:val="24"/>
      <w:lang w:val="en-US" w:eastAsia="zh-CN"/>
    </w:rPr>
  </w:style>
  <w:style w:type="character" w:customStyle="1" w:styleId="134">
    <w:name w:val="Heading 2 Char"/>
    <w:qFormat/>
    <w:uiPriority w:val="99"/>
    <w:rPr>
      <w:rFonts w:hint="default" w:ascii="Arial" w:hAnsi="Arial" w:eastAsia="黑体" w:cs="Arial"/>
      <w:b/>
      <w:bCs/>
      <w:kern w:val="2"/>
      <w:sz w:val="32"/>
      <w:szCs w:val="32"/>
      <w:lang w:val="en-US" w:eastAsia="zh-CN"/>
    </w:rPr>
  </w:style>
  <w:style w:type="character" w:customStyle="1" w:styleId="135">
    <w:name w:val="纯文本 Char_0"/>
    <w:link w:val="136"/>
    <w:qFormat/>
    <w:uiPriority w:val="0"/>
    <w:rPr>
      <w:rFonts w:ascii="宋体" w:hAnsi="Courier New"/>
      <w:szCs w:val="24"/>
    </w:rPr>
  </w:style>
  <w:style w:type="paragraph" w:customStyle="1" w:styleId="136">
    <w:name w:val="纯文本_0"/>
    <w:basedOn w:val="94"/>
    <w:link w:val="135"/>
    <w:unhideWhenUsed/>
    <w:qFormat/>
    <w:uiPriority w:val="0"/>
    <w:rPr>
      <w:rFonts w:ascii="宋体" w:hAnsi="Courier New"/>
      <w:kern w:val="0"/>
      <w:sz w:val="20"/>
      <w:szCs w:val="24"/>
    </w:rPr>
  </w:style>
  <w:style w:type="character" w:customStyle="1" w:styleId="137">
    <w:name w:val="纯文本 Char1"/>
    <w:qFormat/>
    <w:uiPriority w:val="99"/>
    <w:rPr>
      <w:rFonts w:ascii="宋体" w:hAnsi="Courier New" w:eastAsia="宋体" w:cs="Courier New"/>
      <w:szCs w:val="21"/>
    </w:rPr>
  </w:style>
  <w:style w:type="character" w:customStyle="1" w:styleId="138">
    <w:name w:val="批注文字 Char1"/>
    <w:qFormat/>
    <w:uiPriority w:val="99"/>
    <w:rPr>
      <w:rFonts w:ascii="Calibri" w:hAnsi="Calibri" w:eastAsia="宋体" w:cs="Times New Roman"/>
    </w:rPr>
  </w:style>
  <w:style w:type="character" w:customStyle="1" w:styleId="139">
    <w:name w:val="脚注文本 Char2"/>
    <w:semiHidden/>
    <w:qFormat/>
    <w:uiPriority w:val="99"/>
    <w:rPr>
      <w:rFonts w:hint="default" w:ascii="Times New Roman" w:hAnsi="Times New Roman" w:eastAsia="宋体" w:cs="Times New Roman"/>
      <w:kern w:val="2"/>
      <w:sz w:val="18"/>
      <w:szCs w:val="18"/>
    </w:rPr>
  </w:style>
  <w:style w:type="character" w:customStyle="1" w:styleId="140">
    <w:name w:val="不明显强调1"/>
    <w:qFormat/>
    <w:uiPriority w:val="99"/>
    <w:rPr>
      <w:i/>
      <w:iCs/>
      <w:color w:val="808080"/>
    </w:rPr>
  </w:style>
  <w:style w:type="character" w:customStyle="1" w:styleId="141">
    <w:name w:val="文档结构图 Char3"/>
    <w:semiHidden/>
    <w:qFormat/>
    <w:uiPriority w:val="99"/>
    <w:rPr>
      <w:rFonts w:hint="eastAsia" w:ascii="宋体" w:hAnsi="Times New Roman" w:eastAsia="宋体"/>
      <w:kern w:val="2"/>
      <w:sz w:val="18"/>
      <w:szCs w:val="18"/>
    </w:rPr>
  </w:style>
  <w:style w:type="character" w:customStyle="1" w:styleId="142">
    <w:name w:val="明显引用 Char1"/>
    <w:qFormat/>
    <w:uiPriority w:val="99"/>
    <w:rPr>
      <w:i/>
      <w:iCs/>
      <w:color w:val="5B9BD5"/>
      <w:kern w:val="2"/>
      <w:sz w:val="21"/>
      <w:szCs w:val="24"/>
    </w:rPr>
  </w:style>
  <w:style w:type="character" w:customStyle="1" w:styleId="143">
    <w:name w:val="Header Char"/>
    <w:qFormat/>
    <w:uiPriority w:val="99"/>
    <w:rPr>
      <w:rFonts w:hint="eastAsia" w:ascii="宋体" w:hAnsi="宋体" w:eastAsia="宋体"/>
      <w:kern w:val="2"/>
      <w:sz w:val="18"/>
      <w:szCs w:val="18"/>
      <w:lang w:val="en-US" w:eastAsia="zh-CN"/>
    </w:rPr>
  </w:style>
  <w:style w:type="character" w:customStyle="1" w:styleId="144">
    <w:name w:val="Char Char4_0"/>
    <w:qFormat/>
    <w:uiPriority w:val="0"/>
    <w:rPr>
      <w:b/>
      <w:bCs/>
      <w:kern w:val="2"/>
      <w:sz w:val="21"/>
      <w:szCs w:val="24"/>
      <w:lang w:bidi="ar-SA"/>
    </w:rPr>
  </w:style>
  <w:style w:type="character" w:customStyle="1" w:styleId="145">
    <w:name w:val="Heading 3 Char1"/>
    <w:qFormat/>
    <w:uiPriority w:val="99"/>
    <w:rPr>
      <w:rFonts w:hint="eastAsia" w:ascii="宋体" w:hAnsi="宋体" w:eastAsia="宋体"/>
      <w:b/>
      <w:bCs/>
      <w:kern w:val="2"/>
      <w:sz w:val="32"/>
      <w:szCs w:val="32"/>
      <w:lang w:val="en-US" w:eastAsia="zh-CN"/>
    </w:rPr>
  </w:style>
  <w:style w:type="character" w:customStyle="1" w:styleId="146">
    <w:name w:val="Char Char21"/>
    <w:qFormat/>
    <w:uiPriority w:val="99"/>
    <w:rPr>
      <w:rFonts w:hint="default" w:ascii="Arial" w:hAnsi="Arial" w:eastAsia="黑体" w:cs="Arial"/>
      <w:b/>
      <w:bCs/>
      <w:sz w:val="32"/>
      <w:szCs w:val="32"/>
    </w:rPr>
  </w:style>
  <w:style w:type="character" w:customStyle="1" w:styleId="147">
    <w:name w:val="批注框文本 Char3"/>
    <w:semiHidden/>
    <w:qFormat/>
    <w:uiPriority w:val="99"/>
    <w:rPr>
      <w:rFonts w:hint="default" w:ascii="Times New Roman" w:hAnsi="Times New Roman" w:eastAsia="宋体" w:cs="Times New Roman"/>
      <w:kern w:val="2"/>
      <w:sz w:val="18"/>
      <w:szCs w:val="18"/>
    </w:rPr>
  </w:style>
  <w:style w:type="character" w:customStyle="1" w:styleId="148">
    <w:name w:val="标题 Char2"/>
    <w:qFormat/>
    <w:uiPriority w:val="99"/>
    <w:rPr>
      <w:rFonts w:hint="default" w:ascii="Cambria" w:hAnsi="Cambria" w:eastAsia="宋体" w:cs="Cambria"/>
      <w:b/>
      <w:bCs/>
      <w:sz w:val="32"/>
      <w:szCs w:val="32"/>
    </w:rPr>
  </w:style>
  <w:style w:type="character" w:customStyle="1" w:styleId="149">
    <w:name w:val="脚注文本 Char1"/>
    <w:semiHidden/>
    <w:qFormat/>
    <w:uiPriority w:val="99"/>
    <w:rPr>
      <w:rFonts w:hint="default" w:ascii="Times New Roman" w:hAnsi="Times New Roman" w:eastAsia="宋体" w:cs="Times New Roman"/>
      <w:sz w:val="18"/>
      <w:szCs w:val="18"/>
    </w:rPr>
  </w:style>
  <w:style w:type="character" w:customStyle="1" w:styleId="150">
    <w:name w:val="Char Char22"/>
    <w:qFormat/>
    <w:uiPriority w:val="99"/>
    <w:rPr>
      <w:rFonts w:hint="default" w:ascii="Times New Roman" w:hAnsi="Times New Roman" w:eastAsia="宋体" w:cs="Times New Roman"/>
      <w:b/>
      <w:bCs/>
      <w:kern w:val="44"/>
      <w:sz w:val="44"/>
      <w:szCs w:val="44"/>
    </w:rPr>
  </w:style>
  <w:style w:type="character" w:customStyle="1" w:styleId="151">
    <w:name w:val="Comment Text Char1"/>
    <w:qFormat/>
    <w:uiPriority w:val="99"/>
    <w:rPr>
      <w:sz w:val="24"/>
      <w:szCs w:val="24"/>
    </w:rPr>
  </w:style>
  <w:style w:type="character" w:customStyle="1" w:styleId="152">
    <w:name w:val="标题 1 Char_1"/>
    <w:link w:val="153"/>
    <w:qFormat/>
    <w:uiPriority w:val="99"/>
    <w:rPr>
      <w:rFonts w:eastAsia="黑体"/>
      <w:b/>
      <w:bCs/>
      <w:kern w:val="44"/>
      <w:sz w:val="44"/>
      <w:szCs w:val="44"/>
      <w:lang w:val="zh-CN"/>
    </w:rPr>
  </w:style>
  <w:style w:type="paragraph" w:customStyle="1" w:styleId="153">
    <w:name w:val="标题 1_1"/>
    <w:basedOn w:val="154"/>
    <w:next w:val="154"/>
    <w:link w:val="152"/>
    <w:qFormat/>
    <w:uiPriority w:val="99"/>
    <w:pPr>
      <w:keepNext/>
      <w:keepLines/>
      <w:spacing w:line="360" w:lineRule="auto"/>
      <w:outlineLvl w:val="0"/>
    </w:pPr>
    <w:rPr>
      <w:rFonts w:eastAsia="黑体"/>
      <w:b/>
      <w:bCs/>
      <w:kern w:val="44"/>
      <w:sz w:val="44"/>
      <w:szCs w:val="44"/>
      <w:lang w:val="zh-CN"/>
    </w:rPr>
  </w:style>
  <w:style w:type="paragraph" w:customStyle="1" w:styleId="154">
    <w:name w:val="正文_3"/>
    <w:next w:val="15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55">
    <w:name w:val="正文文本_1"/>
    <w:basedOn w:val="154"/>
    <w:link w:val="156"/>
    <w:qFormat/>
    <w:uiPriority w:val="99"/>
    <w:pPr>
      <w:adjustRightInd w:val="0"/>
      <w:spacing w:after="60" w:line="360" w:lineRule="atLeast"/>
      <w:ind w:left="72" w:leftChars="30" w:right="30" w:rightChars="30"/>
      <w:jc w:val="center"/>
      <w:textAlignment w:val="baseline"/>
    </w:pPr>
    <w:rPr>
      <w:rFonts w:ascii="Calibri" w:hAnsi="Calibri"/>
      <w:kern w:val="0"/>
      <w:sz w:val="22"/>
      <w:szCs w:val="20"/>
      <w:lang w:val="zh-CN"/>
    </w:rPr>
  </w:style>
  <w:style w:type="character" w:customStyle="1" w:styleId="156">
    <w:name w:val="正文文本 Char_1"/>
    <w:link w:val="155"/>
    <w:qFormat/>
    <w:locked/>
    <w:uiPriority w:val="99"/>
    <w:rPr>
      <w:rFonts w:ascii="Calibri" w:hAnsi="Calibri"/>
      <w:sz w:val="22"/>
      <w:lang w:val="zh-CN"/>
    </w:rPr>
  </w:style>
  <w:style w:type="character" w:customStyle="1" w:styleId="157">
    <w:name w:val="标题5 Char Char"/>
    <w:link w:val="158"/>
    <w:qFormat/>
    <w:uiPriority w:val="99"/>
    <w:rPr>
      <w:rFonts w:ascii="Arial" w:hAnsi="Arial"/>
      <w:b/>
      <w:bCs/>
      <w:sz w:val="24"/>
      <w:szCs w:val="32"/>
    </w:rPr>
  </w:style>
  <w:style w:type="paragraph" w:customStyle="1" w:styleId="158">
    <w:name w:val="标题5"/>
    <w:basedOn w:val="4"/>
    <w:link w:val="157"/>
    <w:qFormat/>
    <w:uiPriority w:val="99"/>
    <w:pPr>
      <w:spacing w:before="260" w:after="260" w:line="413" w:lineRule="auto"/>
    </w:pPr>
    <w:rPr>
      <w:rFonts w:ascii="Arial" w:hAnsi="Arial"/>
      <w:bCs/>
      <w:sz w:val="24"/>
      <w:szCs w:val="32"/>
    </w:rPr>
  </w:style>
  <w:style w:type="character" w:customStyle="1" w:styleId="159">
    <w:name w:val="正文呀2 Char_0"/>
    <w:link w:val="160"/>
    <w:qFormat/>
    <w:locked/>
    <w:uiPriority w:val="0"/>
    <w:rPr>
      <w:szCs w:val="21"/>
    </w:rPr>
  </w:style>
  <w:style w:type="paragraph" w:customStyle="1" w:styleId="160">
    <w:name w:val="正文呀2_1"/>
    <w:basedOn w:val="161"/>
    <w:link w:val="159"/>
    <w:qFormat/>
    <w:uiPriority w:val="0"/>
    <w:rPr>
      <w:rFonts w:ascii="Times New Roman" w:hAnsi="Times New Roman"/>
    </w:rPr>
  </w:style>
  <w:style w:type="paragraph" w:customStyle="1" w:styleId="161">
    <w:name w:val="正文呀_1"/>
    <w:basedOn w:val="94"/>
    <w:link w:val="162"/>
    <w:qFormat/>
    <w:uiPriority w:val="0"/>
    <w:pPr>
      <w:spacing w:line="420" w:lineRule="exact"/>
      <w:ind w:firstLine="420" w:firstLineChars="200"/>
    </w:pPr>
    <w:rPr>
      <w:rFonts w:ascii="宋体" w:hAnsi="宋体"/>
      <w:kern w:val="0"/>
      <w:sz w:val="20"/>
      <w:szCs w:val="21"/>
      <w:lang w:val="zh-CN"/>
    </w:rPr>
  </w:style>
  <w:style w:type="character" w:customStyle="1" w:styleId="162">
    <w:name w:val="正文呀 Char_0"/>
    <w:link w:val="161"/>
    <w:qFormat/>
    <w:locked/>
    <w:uiPriority w:val="0"/>
    <w:rPr>
      <w:rFonts w:ascii="宋体" w:hAnsi="宋体"/>
      <w:szCs w:val="21"/>
      <w:lang w:val="zh-CN"/>
    </w:rPr>
  </w:style>
  <w:style w:type="character" w:customStyle="1" w:styleId="163">
    <w:name w:val="文档结构图 Char1"/>
    <w:qFormat/>
    <w:uiPriority w:val="99"/>
    <w:rPr>
      <w:rFonts w:ascii="宋体"/>
      <w:kern w:val="2"/>
      <w:sz w:val="18"/>
      <w:szCs w:val="18"/>
    </w:rPr>
  </w:style>
  <w:style w:type="character" w:customStyle="1" w:styleId="164">
    <w:name w:val="批注主题 Char2"/>
    <w:semiHidden/>
    <w:qFormat/>
    <w:uiPriority w:val="99"/>
    <w:rPr>
      <w:rFonts w:ascii="Calibri" w:hAnsi="Calibri" w:eastAsia="宋体" w:cs="Times New Roman"/>
      <w:b/>
      <w:bCs/>
    </w:rPr>
  </w:style>
  <w:style w:type="character" w:customStyle="1" w:styleId="165">
    <w:name w:val="Footer Char"/>
    <w:qFormat/>
    <w:uiPriority w:val="99"/>
    <w:rPr>
      <w:rFonts w:hint="eastAsia" w:ascii="宋体" w:hAnsi="宋体" w:eastAsia="宋体"/>
      <w:kern w:val="2"/>
      <w:sz w:val="18"/>
      <w:szCs w:val="18"/>
      <w:lang w:val="en-US" w:eastAsia="zh-CN"/>
    </w:rPr>
  </w:style>
  <w:style w:type="character" w:customStyle="1" w:styleId="166">
    <w:name w:val="正文文本缩进 Char1"/>
    <w:semiHidden/>
    <w:qFormat/>
    <w:uiPriority w:val="99"/>
    <w:rPr>
      <w:rFonts w:hint="default" w:ascii="Times New Roman" w:hAnsi="Times New Roman" w:eastAsia="宋体" w:cs="Times New Roman"/>
      <w:szCs w:val="21"/>
    </w:rPr>
  </w:style>
  <w:style w:type="character" w:customStyle="1" w:styleId="167">
    <w:name w:val="不明显参考1"/>
    <w:qFormat/>
    <w:uiPriority w:val="99"/>
    <w:rPr>
      <w:smallCaps/>
      <w:color w:val="ED7D31"/>
      <w:u w:val="single"/>
    </w:rPr>
  </w:style>
  <w:style w:type="character" w:customStyle="1" w:styleId="168">
    <w:name w:val="明显引用 Char2"/>
    <w:qFormat/>
    <w:uiPriority w:val="30"/>
    <w:rPr>
      <w:b/>
      <w:bCs/>
      <w:i/>
      <w:iCs/>
      <w:color w:val="4F81BD"/>
      <w:sz w:val="22"/>
      <w:szCs w:val="22"/>
    </w:rPr>
  </w:style>
  <w:style w:type="character" w:customStyle="1" w:styleId="169">
    <w:name w:val="日期 Char2"/>
    <w:semiHidden/>
    <w:qFormat/>
    <w:uiPriority w:val="99"/>
    <w:rPr>
      <w:sz w:val="22"/>
      <w:szCs w:val="22"/>
    </w:rPr>
  </w:style>
  <w:style w:type="character" w:customStyle="1" w:styleId="170">
    <w:name w:val="Char Char91"/>
    <w:qFormat/>
    <w:uiPriority w:val="99"/>
    <w:rPr>
      <w:rFonts w:hint="eastAsia" w:ascii="宋体" w:hAnsi="宋体" w:eastAsia="宋体"/>
      <w:b/>
      <w:bCs/>
      <w:kern w:val="44"/>
      <w:sz w:val="44"/>
      <w:szCs w:val="44"/>
      <w:lang w:val="en-US" w:eastAsia="zh-CN"/>
    </w:rPr>
  </w:style>
  <w:style w:type="character" w:customStyle="1" w:styleId="171">
    <w:name w:val="明显强调1"/>
    <w:qFormat/>
    <w:uiPriority w:val="99"/>
    <w:rPr>
      <w:b/>
      <w:bCs/>
      <w:i/>
      <w:iCs/>
      <w:color w:val="5B9BD5"/>
    </w:rPr>
  </w:style>
  <w:style w:type="character" w:customStyle="1" w:styleId="172">
    <w:name w:val="Footnote Text Char"/>
    <w:qFormat/>
    <w:uiPriority w:val="99"/>
    <w:rPr>
      <w:rFonts w:hint="eastAsia" w:ascii="宋体" w:hAnsi="宋体" w:eastAsia="宋体"/>
      <w:sz w:val="18"/>
      <w:szCs w:val="18"/>
      <w:lang w:val="en-US" w:eastAsia="zh-CN"/>
    </w:rPr>
  </w:style>
  <w:style w:type="character" w:customStyle="1" w:styleId="173">
    <w:name w:val="批注框文本 Char2"/>
    <w:semiHidden/>
    <w:qFormat/>
    <w:uiPriority w:val="99"/>
    <w:rPr>
      <w:sz w:val="18"/>
      <w:szCs w:val="18"/>
    </w:rPr>
  </w:style>
  <w:style w:type="character" w:customStyle="1" w:styleId="174">
    <w:name w:val="正文文本缩进 Char2"/>
    <w:semiHidden/>
    <w:qFormat/>
    <w:uiPriority w:val="99"/>
    <w:rPr>
      <w:rFonts w:hint="default" w:ascii="Times New Roman" w:hAnsi="Times New Roman" w:eastAsia="宋体" w:cs="Times New Roman"/>
      <w:kern w:val="2"/>
      <w:sz w:val="21"/>
      <w:szCs w:val="21"/>
    </w:rPr>
  </w:style>
  <w:style w:type="character" w:customStyle="1" w:styleId="175">
    <w:name w:val="Body Text Indent 2 Char"/>
    <w:qFormat/>
    <w:uiPriority w:val="99"/>
    <w:rPr>
      <w:rFonts w:hint="eastAsia" w:ascii="宋体" w:hAnsi="宋体" w:eastAsia="宋体"/>
      <w:kern w:val="2"/>
      <w:sz w:val="24"/>
      <w:szCs w:val="24"/>
      <w:lang w:val="en-US" w:eastAsia="zh-CN"/>
    </w:rPr>
  </w:style>
  <w:style w:type="character" w:customStyle="1" w:styleId="176">
    <w:name w:val="文档结构图 Char4"/>
    <w:semiHidden/>
    <w:qFormat/>
    <w:uiPriority w:val="99"/>
    <w:rPr>
      <w:rFonts w:ascii="Microsoft YaHei UI" w:hAnsi="Calibri" w:eastAsia="Microsoft YaHei UI" w:cs="Times New Roman"/>
      <w:sz w:val="18"/>
      <w:szCs w:val="18"/>
    </w:rPr>
  </w:style>
  <w:style w:type="character" w:customStyle="1" w:styleId="177">
    <w:name w:val="明显参考1"/>
    <w:qFormat/>
    <w:uiPriority w:val="99"/>
    <w:rPr>
      <w:b/>
      <w:bCs/>
      <w:smallCaps/>
      <w:color w:val="auto"/>
      <w:spacing w:val="5"/>
      <w:u w:val="single"/>
    </w:rPr>
  </w:style>
  <w:style w:type="character" w:customStyle="1" w:styleId="178">
    <w:name w:val="Char Char6"/>
    <w:qFormat/>
    <w:uiPriority w:val="99"/>
    <w:rPr>
      <w:rFonts w:eastAsia="宋体"/>
      <w:b/>
      <w:bCs/>
      <w:kern w:val="44"/>
      <w:sz w:val="32"/>
      <w:szCs w:val="44"/>
      <w:lang w:val="en-US" w:eastAsia="zh-CN" w:bidi="ar-SA"/>
    </w:rPr>
  </w:style>
  <w:style w:type="character" w:customStyle="1" w:styleId="179">
    <w:name w:val="批注文字 Char Char"/>
    <w:qFormat/>
    <w:uiPriority w:val="99"/>
    <w:rPr>
      <w:rFonts w:ascii="宋体" w:hAnsi="Times New Roman" w:eastAsia="宋体" w:cs="Times New Roman"/>
      <w:sz w:val="28"/>
      <w:szCs w:val="20"/>
    </w:rPr>
  </w:style>
  <w:style w:type="character" w:customStyle="1" w:styleId="180">
    <w:name w:val="页眉 Char1"/>
    <w:semiHidden/>
    <w:qFormat/>
    <w:uiPriority w:val="99"/>
    <w:rPr>
      <w:sz w:val="18"/>
      <w:szCs w:val="18"/>
    </w:rPr>
  </w:style>
  <w:style w:type="character" w:customStyle="1" w:styleId="181">
    <w:name w:val="副标题 Char1"/>
    <w:qFormat/>
    <w:uiPriority w:val="11"/>
    <w:rPr>
      <w:rFonts w:ascii="Cambria" w:hAnsi="Cambria" w:eastAsia="宋体" w:cs="Times New Roman"/>
      <w:b/>
      <w:bCs/>
      <w:kern w:val="28"/>
      <w:sz w:val="32"/>
      <w:szCs w:val="32"/>
    </w:rPr>
  </w:style>
  <w:style w:type="character" w:customStyle="1" w:styleId="182">
    <w:name w:val="页脚 Char2"/>
    <w:semiHidden/>
    <w:qFormat/>
    <w:uiPriority w:val="99"/>
    <w:rPr>
      <w:rFonts w:hint="default" w:ascii="Times New Roman" w:hAnsi="Times New Roman" w:eastAsia="宋体" w:cs="Times New Roman"/>
      <w:kern w:val="2"/>
      <w:sz w:val="18"/>
      <w:szCs w:val="18"/>
    </w:rPr>
  </w:style>
  <w:style w:type="character" w:customStyle="1" w:styleId="183">
    <w:name w:val="Char Char2_0"/>
    <w:qFormat/>
    <w:uiPriority w:val="0"/>
    <w:rPr>
      <w:rFonts w:hint="eastAsia" w:ascii="宋体" w:hAnsi="Courier New" w:eastAsia="宋体"/>
      <w:kern w:val="2"/>
      <w:sz w:val="21"/>
      <w:szCs w:val="24"/>
      <w:lang w:val="en-US" w:eastAsia="zh-CN" w:bidi="ar-SA"/>
    </w:rPr>
  </w:style>
  <w:style w:type="character" w:customStyle="1" w:styleId="184">
    <w:name w:val="Comment Subject Char"/>
    <w:qFormat/>
    <w:uiPriority w:val="99"/>
    <w:rPr>
      <w:b/>
      <w:bCs/>
      <w:sz w:val="24"/>
      <w:szCs w:val="24"/>
    </w:rPr>
  </w:style>
  <w:style w:type="character" w:customStyle="1" w:styleId="185">
    <w:name w:val="Char Char"/>
    <w:qFormat/>
    <w:uiPriority w:val="0"/>
    <w:rPr>
      <w:rFonts w:ascii="Cambria" w:hAnsi="Cambria"/>
      <w:b/>
      <w:bCs/>
      <w:kern w:val="2"/>
      <w:sz w:val="32"/>
      <w:szCs w:val="32"/>
      <w:lang w:bidi="ar-SA"/>
    </w:rPr>
  </w:style>
  <w:style w:type="character" w:customStyle="1" w:styleId="186">
    <w:name w:val="标题4 Char Char"/>
    <w:link w:val="187"/>
    <w:qFormat/>
    <w:uiPriority w:val="99"/>
    <w:rPr>
      <w:rFonts w:ascii="Arial" w:hAnsi="Arial"/>
      <w:b/>
      <w:bCs/>
      <w:sz w:val="24"/>
      <w:szCs w:val="32"/>
    </w:rPr>
  </w:style>
  <w:style w:type="paragraph" w:customStyle="1" w:styleId="187">
    <w:name w:val="标题4"/>
    <w:basedOn w:val="3"/>
    <w:next w:val="18"/>
    <w:link w:val="186"/>
    <w:qFormat/>
    <w:uiPriority w:val="99"/>
    <w:pPr>
      <w:tabs>
        <w:tab w:val="clear" w:pos="567"/>
      </w:tabs>
      <w:spacing w:before="200" w:line="240" w:lineRule="auto"/>
      <w:ind w:left="0" w:firstLine="0"/>
    </w:pPr>
    <w:rPr>
      <w:b/>
      <w:color w:val="auto"/>
      <w:kern w:val="0"/>
      <w:sz w:val="24"/>
    </w:rPr>
  </w:style>
  <w:style w:type="character" w:customStyle="1" w:styleId="188">
    <w:name w:val="正文文本缩进 2 Char2"/>
    <w:semiHidden/>
    <w:qFormat/>
    <w:uiPriority w:val="99"/>
    <w:rPr>
      <w:rFonts w:ascii="Calibri" w:hAnsi="Calibri" w:eastAsia="宋体" w:cs="Times New Roman"/>
    </w:rPr>
  </w:style>
  <w:style w:type="character" w:customStyle="1" w:styleId="189">
    <w:name w:val="正文文本缩进 Char3"/>
    <w:semiHidden/>
    <w:qFormat/>
    <w:uiPriority w:val="99"/>
    <w:rPr>
      <w:rFonts w:ascii="Calibri" w:hAnsi="Calibri" w:eastAsia="宋体" w:cs="Times New Roman"/>
    </w:rPr>
  </w:style>
  <w:style w:type="character" w:customStyle="1" w:styleId="190">
    <w:name w:val="标题 Char3"/>
    <w:qFormat/>
    <w:uiPriority w:val="10"/>
    <w:rPr>
      <w:rFonts w:hint="eastAsia" w:ascii="等线 Light" w:hAnsi="等线 Light" w:eastAsia="宋体" w:cs="Times New Roman"/>
      <w:b/>
      <w:bCs/>
      <w:sz w:val="32"/>
      <w:szCs w:val="32"/>
    </w:rPr>
  </w:style>
  <w:style w:type="character" w:customStyle="1" w:styleId="191">
    <w:name w:val="正文小标题 Char"/>
    <w:link w:val="192"/>
    <w:qFormat/>
    <w:uiPriority w:val="0"/>
    <w:rPr>
      <w:rFonts w:hAnsi="宋体"/>
      <w:b/>
      <w:bCs/>
      <w:kern w:val="44"/>
      <w:szCs w:val="21"/>
    </w:rPr>
  </w:style>
  <w:style w:type="paragraph" w:customStyle="1" w:styleId="192">
    <w:name w:val="正文小标题"/>
    <w:basedOn w:val="2"/>
    <w:link w:val="191"/>
    <w:qFormat/>
    <w:uiPriority w:val="0"/>
    <w:pPr>
      <w:spacing w:before="480" w:after="0" w:line="420" w:lineRule="exact"/>
    </w:pPr>
    <w:rPr>
      <w:rFonts w:hAnsi="宋体"/>
      <w:sz w:val="20"/>
      <w:szCs w:val="21"/>
    </w:rPr>
  </w:style>
  <w:style w:type="character" w:customStyle="1" w:styleId="193">
    <w:name w:val="Char Char23"/>
    <w:qFormat/>
    <w:uiPriority w:val="99"/>
    <w:rPr>
      <w:rFonts w:hint="eastAsia" w:ascii="宋体" w:hAnsi="宋体" w:eastAsia="宋体"/>
      <w:b/>
      <w:bCs/>
      <w:kern w:val="44"/>
      <w:sz w:val="44"/>
      <w:szCs w:val="44"/>
      <w:lang w:val="en-US" w:eastAsia="zh-CN"/>
    </w:rPr>
  </w:style>
  <w:style w:type="character" w:customStyle="1" w:styleId="194">
    <w:name w:val="Char Char5"/>
    <w:qFormat/>
    <w:uiPriority w:val="0"/>
    <w:rPr>
      <w:rFonts w:eastAsia="宋体"/>
      <w:b/>
      <w:bCs/>
      <w:kern w:val="2"/>
      <w:sz w:val="28"/>
      <w:szCs w:val="28"/>
      <w:lang w:val="en-US" w:eastAsia="zh-CN" w:bidi="ar-SA"/>
    </w:rPr>
  </w:style>
  <w:style w:type="character" w:customStyle="1" w:styleId="195">
    <w:name w:val="正文文本 Char2"/>
    <w:semiHidden/>
    <w:qFormat/>
    <w:uiPriority w:val="99"/>
    <w:rPr>
      <w:sz w:val="22"/>
      <w:szCs w:val="22"/>
    </w:rPr>
  </w:style>
  <w:style w:type="character" w:customStyle="1" w:styleId="196">
    <w:name w:val="引用 Char2"/>
    <w:qFormat/>
    <w:uiPriority w:val="29"/>
    <w:rPr>
      <w:i/>
      <w:iCs/>
      <w:color w:val="000000"/>
      <w:sz w:val="22"/>
      <w:szCs w:val="22"/>
    </w:rPr>
  </w:style>
  <w:style w:type="character" w:customStyle="1" w:styleId="197">
    <w:name w:val="批注主题 Char3"/>
    <w:semiHidden/>
    <w:qFormat/>
    <w:uiPriority w:val="99"/>
    <w:rPr>
      <w:rFonts w:hint="default" w:ascii="Times New Roman" w:hAnsi="Times New Roman" w:eastAsia="宋体" w:cs="Times New Roman"/>
      <w:b/>
      <w:bCs/>
      <w:kern w:val="2"/>
      <w:sz w:val="21"/>
      <w:szCs w:val="21"/>
    </w:rPr>
  </w:style>
  <w:style w:type="character" w:customStyle="1" w:styleId="198">
    <w:name w:val="Char Char7_0"/>
    <w:qFormat/>
    <w:uiPriority w:val="0"/>
    <w:rPr>
      <w:rFonts w:hint="eastAsia" w:ascii="宋体" w:hAnsi="宋体" w:eastAsia="宋体"/>
      <w:b/>
      <w:bCs/>
      <w:kern w:val="2"/>
      <w:sz w:val="24"/>
      <w:szCs w:val="32"/>
      <w:lang w:val="en-US" w:eastAsia="zh-CN" w:bidi="ar-SA"/>
    </w:rPr>
  </w:style>
  <w:style w:type="character" w:customStyle="1" w:styleId="199">
    <w:name w:val="正文文本 Char1"/>
    <w:qFormat/>
    <w:uiPriority w:val="99"/>
    <w:rPr>
      <w:kern w:val="2"/>
      <w:sz w:val="21"/>
      <w:szCs w:val="22"/>
    </w:rPr>
  </w:style>
  <w:style w:type="character" w:customStyle="1" w:styleId="200">
    <w:name w:val="脚注文本 Char3"/>
    <w:semiHidden/>
    <w:qFormat/>
    <w:uiPriority w:val="99"/>
    <w:rPr>
      <w:rFonts w:ascii="Calibri" w:hAnsi="Calibri" w:eastAsia="宋体" w:cs="Times New Roman"/>
      <w:sz w:val="18"/>
      <w:szCs w:val="18"/>
    </w:rPr>
  </w:style>
  <w:style w:type="character" w:customStyle="1" w:styleId="201">
    <w:name w:val="Char Char181"/>
    <w:qFormat/>
    <w:uiPriority w:val="99"/>
    <w:rPr>
      <w:b/>
      <w:bCs/>
      <w:kern w:val="44"/>
      <w:sz w:val="44"/>
      <w:szCs w:val="44"/>
    </w:rPr>
  </w:style>
  <w:style w:type="character" w:customStyle="1" w:styleId="202">
    <w:name w:val="标题 Char5"/>
    <w:qFormat/>
    <w:uiPriority w:val="10"/>
    <w:rPr>
      <w:rFonts w:ascii="Cambria" w:hAnsi="Cambria" w:eastAsia="宋体" w:cs="Times New Roman"/>
      <w:b/>
      <w:bCs/>
      <w:sz w:val="32"/>
      <w:szCs w:val="32"/>
    </w:rPr>
  </w:style>
  <w:style w:type="character" w:customStyle="1" w:styleId="203">
    <w:name w:val="Balloon Text Char"/>
    <w:qFormat/>
    <w:uiPriority w:val="99"/>
    <w:rPr>
      <w:sz w:val="18"/>
      <w:szCs w:val="18"/>
    </w:rPr>
  </w:style>
  <w:style w:type="character" w:customStyle="1" w:styleId="204">
    <w:name w:val="批注框文本 Char1"/>
    <w:qFormat/>
    <w:uiPriority w:val="99"/>
    <w:rPr>
      <w:kern w:val="2"/>
      <w:sz w:val="18"/>
      <w:szCs w:val="18"/>
    </w:rPr>
  </w:style>
  <w:style w:type="character" w:customStyle="1" w:styleId="205">
    <w:name w:val="书籍标题1"/>
    <w:qFormat/>
    <w:uiPriority w:val="99"/>
    <w:rPr>
      <w:b/>
      <w:bCs/>
      <w:smallCaps/>
      <w:spacing w:val="5"/>
    </w:rPr>
  </w:style>
  <w:style w:type="character" w:customStyle="1" w:styleId="206">
    <w:name w:val="Char Char8_0"/>
    <w:qFormat/>
    <w:uiPriority w:val="0"/>
    <w:rPr>
      <w:rFonts w:hint="eastAsia" w:ascii="宋体" w:hAnsi="宋体" w:eastAsia="宋体"/>
      <w:b/>
      <w:bCs/>
      <w:kern w:val="44"/>
      <w:sz w:val="32"/>
      <w:szCs w:val="44"/>
      <w:lang w:val="en-US" w:eastAsia="zh-CN" w:bidi="ar-SA"/>
    </w:rPr>
  </w:style>
  <w:style w:type="character" w:customStyle="1" w:styleId="207">
    <w:name w:val="批注文字 Char4"/>
    <w:semiHidden/>
    <w:qFormat/>
    <w:uiPriority w:val="99"/>
    <w:rPr>
      <w:rFonts w:hint="default" w:ascii="Times New Roman" w:hAnsi="Times New Roman" w:eastAsia="宋体" w:cs="Times New Roman"/>
      <w:kern w:val="2"/>
      <w:sz w:val="21"/>
      <w:szCs w:val="21"/>
    </w:rPr>
  </w:style>
  <w:style w:type="character" w:customStyle="1" w:styleId="208">
    <w:name w:val="Char Char_0"/>
    <w:qFormat/>
    <w:uiPriority w:val="0"/>
    <w:rPr>
      <w:rFonts w:hint="default" w:ascii="Cambria" w:hAnsi="Cambria"/>
      <w:b/>
      <w:bCs/>
      <w:kern w:val="2"/>
      <w:sz w:val="32"/>
      <w:szCs w:val="32"/>
      <w:lang w:bidi="ar-SA"/>
    </w:rPr>
  </w:style>
  <w:style w:type="character" w:customStyle="1" w:styleId="209">
    <w:name w:val="明显参考2"/>
    <w:qFormat/>
    <w:uiPriority w:val="32"/>
    <w:rPr>
      <w:b/>
      <w:bCs/>
      <w:smallCaps/>
      <w:color w:val="ED7D31"/>
      <w:spacing w:val="5"/>
      <w:u w:val="single"/>
    </w:rPr>
  </w:style>
  <w:style w:type="character" w:customStyle="1" w:styleId="210">
    <w:name w:val="不明显强调2"/>
    <w:qFormat/>
    <w:uiPriority w:val="19"/>
    <w:rPr>
      <w:i/>
      <w:iCs/>
      <w:color w:val="808080"/>
    </w:rPr>
  </w:style>
  <w:style w:type="character" w:customStyle="1" w:styleId="211">
    <w:name w:val="Char Char4"/>
    <w:qFormat/>
    <w:uiPriority w:val="0"/>
    <w:rPr>
      <w:b/>
      <w:bCs/>
      <w:kern w:val="2"/>
      <w:sz w:val="21"/>
      <w:szCs w:val="24"/>
      <w:lang w:bidi="ar-SA"/>
    </w:rPr>
  </w:style>
  <w:style w:type="character" w:customStyle="1" w:styleId="212">
    <w:name w:val="小标题无样式 Char"/>
    <w:link w:val="213"/>
    <w:qFormat/>
    <w:uiPriority w:val="0"/>
    <w:rPr>
      <w:rFonts w:ascii="宋体" w:hAnsi="宋体"/>
      <w:b/>
      <w:sz w:val="24"/>
      <w:szCs w:val="21"/>
    </w:rPr>
  </w:style>
  <w:style w:type="paragraph" w:customStyle="1" w:styleId="213">
    <w:name w:val="小标题无样式"/>
    <w:basedOn w:val="88"/>
    <w:link w:val="212"/>
    <w:qFormat/>
    <w:uiPriority w:val="0"/>
    <w:pPr>
      <w:ind w:firstLine="0" w:firstLineChars="0"/>
    </w:pPr>
    <w:rPr>
      <w:b/>
      <w:kern w:val="0"/>
      <w:sz w:val="24"/>
      <w:szCs w:val="21"/>
    </w:rPr>
  </w:style>
  <w:style w:type="character" w:customStyle="1" w:styleId="214">
    <w:name w:val="Document Map Char"/>
    <w:qFormat/>
    <w:uiPriority w:val="99"/>
    <w:rPr>
      <w:rFonts w:hint="eastAsia" w:ascii="宋体" w:hAnsi="宋体" w:eastAsia="宋体"/>
      <w:kern w:val="2"/>
      <w:sz w:val="24"/>
      <w:szCs w:val="24"/>
      <w:lang w:val="en-US" w:eastAsia="zh-CN"/>
    </w:rPr>
  </w:style>
  <w:style w:type="character" w:customStyle="1" w:styleId="215">
    <w:name w:val="副标题 Char2"/>
    <w:qFormat/>
    <w:uiPriority w:val="11"/>
    <w:rPr>
      <w:rFonts w:hint="default" w:ascii="Cambria" w:hAnsi="Cambria" w:eastAsia="宋体" w:cs="Times New Roman"/>
      <w:b/>
      <w:bCs/>
      <w:kern w:val="28"/>
      <w:sz w:val="32"/>
      <w:szCs w:val="32"/>
    </w:rPr>
  </w:style>
  <w:style w:type="character" w:customStyle="1" w:styleId="216">
    <w:name w:val="Char Char9_0"/>
    <w:qFormat/>
    <w:uiPriority w:val="99"/>
    <w:rPr>
      <w:rFonts w:hint="eastAsia" w:ascii="宋体" w:hAnsi="宋体" w:eastAsia="宋体"/>
      <w:b/>
      <w:bCs/>
      <w:kern w:val="44"/>
      <w:sz w:val="32"/>
      <w:szCs w:val="44"/>
      <w:lang w:val="en-US" w:eastAsia="zh-CN" w:bidi="ar-SA"/>
    </w:rPr>
  </w:style>
  <w:style w:type="character" w:customStyle="1" w:styleId="217">
    <w:name w:val="Char Char9"/>
    <w:qFormat/>
    <w:uiPriority w:val="0"/>
    <w:rPr>
      <w:rFonts w:eastAsia="宋体"/>
      <w:b/>
      <w:bCs/>
      <w:kern w:val="44"/>
      <w:sz w:val="32"/>
      <w:szCs w:val="44"/>
      <w:lang w:val="en-US" w:eastAsia="zh-CN" w:bidi="ar-SA"/>
    </w:rPr>
  </w:style>
  <w:style w:type="character" w:customStyle="1" w:styleId="218">
    <w:name w:val="日期 Char3"/>
    <w:semiHidden/>
    <w:qFormat/>
    <w:uiPriority w:val="99"/>
    <w:rPr>
      <w:rFonts w:hint="default" w:ascii="Times New Roman" w:hAnsi="Times New Roman" w:eastAsia="宋体" w:cs="Times New Roman"/>
      <w:kern w:val="2"/>
      <w:sz w:val="21"/>
      <w:szCs w:val="21"/>
    </w:rPr>
  </w:style>
  <w:style w:type="character" w:customStyle="1" w:styleId="219">
    <w:name w:val="纯文本 Char3"/>
    <w:semiHidden/>
    <w:qFormat/>
    <w:uiPriority w:val="99"/>
    <w:rPr>
      <w:rFonts w:hint="eastAsia" w:ascii="宋体" w:hAnsi="Courier New" w:eastAsia="宋体" w:cs="Courier New"/>
      <w:kern w:val="2"/>
      <w:sz w:val="21"/>
      <w:szCs w:val="21"/>
    </w:rPr>
  </w:style>
  <w:style w:type="character" w:customStyle="1" w:styleId="220">
    <w:name w:val="明显引用 字符"/>
    <w:link w:val="221"/>
    <w:qFormat/>
    <w:uiPriority w:val="99"/>
    <w:rPr>
      <w:b/>
      <w:bCs/>
      <w:i/>
      <w:iCs/>
      <w:color w:val="5B9BD5"/>
    </w:rPr>
  </w:style>
  <w:style w:type="paragraph" w:styleId="221">
    <w:name w:val="Intense Quote"/>
    <w:basedOn w:val="1"/>
    <w:next w:val="1"/>
    <w:link w:val="220"/>
    <w:qFormat/>
    <w:uiPriority w:val="99"/>
    <w:pPr>
      <w:pBdr>
        <w:bottom w:val="single" w:color="5B9BD5" w:sz="4" w:space="4"/>
      </w:pBdr>
      <w:spacing w:before="200" w:after="280"/>
      <w:ind w:left="936" w:right="936"/>
    </w:pPr>
    <w:rPr>
      <w:b/>
      <w:bCs/>
      <w:i/>
      <w:iCs/>
      <w:color w:val="5B9BD5"/>
      <w:kern w:val="0"/>
      <w:sz w:val="20"/>
      <w:szCs w:val="20"/>
    </w:rPr>
  </w:style>
  <w:style w:type="character" w:customStyle="1" w:styleId="222">
    <w:name w:val="明显引用 字符1"/>
    <w:qFormat/>
    <w:uiPriority w:val="99"/>
    <w:rPr>
      <w:i/>
      <w:iCs/>
      <w:color w:val="4F81BD"/>
      <w:kern w:val="2"/>
      <w:sz w:val="21"/>
      <w:szCs w:val="24"/>
    </w:rPr>
  </w:style>
  <w:style w:type="character" w:customStyle="1" w:styleId="223">
    <w:name w:val="明显引用 Char3"/>
    <w:qFormat/>
    <w:uiPriority w:val="30"/>
    <w:rPr>
      <w:rFonts w:ascii="Calibri" w:hAnsi="Calibri" w:eastAsia="宋体" w:cs="Times New Roman"/>
      <w:i/>
      <w:iCs/>
      <w:color w:val="4F81BD"/>
    </w:rPr>
  </w:style>
  <w:style w:type="character" w:customStyle="1" w:styleId="224">
    <w:name w:val="Char Char20"/>
    <w:qFormat/>
    <w:uiPriority w:val="99"/>
    <w:rPr>
      <w:rFonts w:hint="default" w:ascii="Times New Roman" w:hAnsi="Times New Roman" w:eastAsia="宋体" w:cs="Times New Roman"/>
      <w:b/>
      <w:bCs/>
      <w:sz w:val="32"/>
      <w:szCs w:val="32"/>
    </w:rPr>
  </w:style>
  <w:style w:type="character" w:customStyle="1" w:styleId="225">
    <w:name w:val="纯文本 Char2"/>
    <w:semiHidden/>
    <w:qFormat/>
    <w:uiPriority w:val="99"/>
    <w:rPr>
      <w:rFonts w:hint="eastAsia" w:ascii="宋体" w:hAnsi="Courier New" w:eastAsia="宋体" w:cs="Courier New"/>
      <w:szCs w:val="21"/>
    </w:rPr>
  </w:style>
  <w:style w:type="character" w:customStyle="1" w:styleId="226">
    <w:name w:val="无间隔 Char"/>
    <w:link w:val="227"/>
    <w:qFormat/>
    <w:uiPriority w:val="1"/>
    <w:rPr>
      <w:szCs w:val="24"/>
      <w:lang w:val="en-US" w:eastAsia="zh-CN" w:bidi="ar-SA"/>
    </w:rPr>
  </w:style>
  <w:style w:type="paragraph" w:customStyle="1" w:styleId="227">
    <w:name w:val="无间隔_0"/>
    <w:link w:val="226"/>
    <w:qFormat/>
    <w:uiPriority w:val="1"/>
    <w:pPr>
      <w:widowControl w:val="0"/>
      <w:jc w:val="both"/>
    </w:pPr>
    <w:rPr>
      <w:rFonts w:ascii="Times New Roman" w:hAnsi="Times New Roman" w:eastAsia="宋体" w:cs="Times New Roman"/>
      <w:szCs w:val="24"/>
      <w:lang w:val="en-US" w:eastAsia="zh-CN" w:bidi="ar-SA"/>
    </w:rPr>
  </w:style>
  <w:style w:type="character" w:customStyle="1" w:styleId="228">
    <w:name w:val="正文文本 Char3"/>
    <w:semiHidden/>
    <w:qFormat/>
    <w:uiPriority w:val="99"/>
    <w:rPr>
      <w:rFonts w:hint="default" w:ascii="Times New Roman" w:hAnsi="Times New Roman" w:eastAsia="宋体" w:cs="Times New Roman"/>
      <w:kern w:val="2"/>
      <w:sz w:val="21"/>
      <w:szCs w:val="21"/>
    </w:rPr>
  </w:style>
  <w:style w:type="character" w:customStyle="1" w:styleId="229">
    <w:name w:val="Plain Text Char"/>
    <w:qFormat/>
    <w:uiPriority w:val="99"/>
    <w:rPr>
      <w:rFonts w:hint="eastAsia" w:ascii="宋体" w:hAnsi="Courier New" w:eastAsia="宋体" w:cs="宋体"/>
      <w:sz w:val="24"/>
      <w:szCs w:val="24"/>
    </w:rPr>
  </w:style>
  <w:style w:type="character" w:customStyle="1" w:styleId="230">
    <w:name w:val="批注框文本 Char4"/>
    <w:semiHidden/>
    <w:qFormat/>
    <w:uiPriority w:val="99"/>
    <w:rPr>
      <w:rFonts w:ascii="Calibri" w:hAnsi="Calibri" w:eastAsia="宋体" w:cs="Times New Roman"/>
      <w:sz w:val="18"/>
      <w:szCs w:val="18"/>
    </w:rPr>
  </w:style>
  <w:style w:type="character" w:customStyle="1" w:styleId="231">
    <w:name w:val="Char Char7"/>
    <w:qFormat/>
    <w:uiPriority w:val="0"/>
    <w:rPr>
      <w:rFonts w:eastAsia="宋体"/>
      <w:b/>
      <w:bCs/>
      <w:kern w:val="2"/>
      <w:sz w:val="24"/>
      <w:szCs w:val="32"/>
      <w:lang w:val="en-US" w:eastAsia="zh-CN" w:bidi="ar-SA"/>
    </w:rPr>
  </w:style>
  <w:style w:type="character" w:customStyle="1" w:styleId="232">
    <w:name w:val="Char Char2"/>
    <w:qFormat/>
    <w:uiPriority w:val="0"/>
    <w:rPr>
      <w:rFonts w:ascii="宋体" w:hAnsi="Courier New" w:eastAsia="宋体"/>
      <w:kern w:val="2"/>
      <w:sz w:val="21"/>
      <w:szCs w:val="24"/>
      <w:lang w:val="en-US" w:eastAsia="zh-CN" w:bidi="ar-SA"/>
    </w:rPr>
  </w:style>
  <w:style w:type="character" w:customStyle="1" w:styleId="233">
    <w:name w:val="textcontents"/>
    <w:qFormat/>
    <w:uiPriority w:val="99"/>
    <w:rPr>
      <w:rFonts w:cs="Times New Roman"/>
    </w:rPr>
  </w:style>
  <w:style w:type="character" w:customStyle="1" w:styleId="234">
    <w:name w:val="Body Text Indent Char"/>
    <w:qFormat/>
    <w:uiPriority w:val="99"/>
    <w:rPr>
      <w:rFonts w:hint="eastAsia" w:ascii="宋体" w:hAnsi="宋体" w:eastAsia="宋体" w:cs="宋体"/>
      <w:kern w:val="2"/>
      <w:sz w:val="21"/>
      <w:szCs w:val="21"/>
      <w:lang w:val="en-US" w:eastAsia="zh-CN"/>
    </w:rPr>
  </w:style>
  <w:style w:type="character" w:customStyle="1" w:styleId="235">
    <w:name w:val="副标题 Char3"/>
    <w:qFormat/>
    <w:uiPriority w:val="11"/>
    <w:rPr>
      <w:rFonts w:ascii="Cambria" w:hAnsi="Cambria" w:eastAsia="宋体" w:cs="Times New Roman"/>
      <w:b/>
      <w:bCs/>
      <w:kern w:val="28"/>
      <w:sz w:val="32"/>
      <w:szCs w:val="32"/>
    </w:rPr>
  </w:style>
  <w:style w:type="character" w:customStyle="1" w:styleId="236">
    <w:name w:val="批注文字 Char5"/>
    <w:semiHidden/>
    <w:qFormat/>
    <w:uiPriority w:val="99"/>
    <w:rPr>
      <w:rFonts w:ascii="Calibri" w:hAnsi="Calibri" w:eastAsia="宋体" w:cs="Times New Roman"/>
    </w:rPr>
  </w:style>
  <w:style w:type="paragraph" w:customStyle="1" w:styleId="237">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238">
    <w:name w:val="引用 Char3"/>
    <w:qFormat/>
    <w:uiPriority w:val="29"/>
    <w:rPr>
      <w:rFonts w:ascii="Calibri" w:hAnsi="Calibri" w:eastAsia="宋体" w:cs="Times New Roman"/>
      <w:i/>
      <w:iCs/>
      <w:color w:val="000000"/>
    </w:rPr>
  </w:style>
  <w:style w:type="paragraph" w:customStyle="1" w:styleId="239">
    <w:name w:val="_Style 2_0"/>
    <w:qFormat/>
    <w:uiPriority w:val="1"/>
    <w:rPr>
      <w:rFonts w:ascii="Times New Roman" w:hAnsi="Times New Roman" w:eastAsia="宋体" w:cs="Times New Roman"/>
      <w:sz w:val="22"/>
      <w:szCs w:val="22"/>
      <w:lang w:val="en-US" w:eastAsia="zh-CN" w:bidi="ar-SA"/>
    </w:rPr>
  </w:style>
  <w:style w:type="character" w:customStyle="1" w:styleId="240">
    <w:name w:val="页脚 Char3"/>
    <w:semiHidden/>
    <w:qFormat/>
    <w:uiPriority w:val="99"/>
    <w:rPr>
      <w:rFonts w:ascii="Calibri" w:hAnsi="Calibri" w:eastAsia="宋体" w:cs="Times New Roman"/>
      <w:sz w:val="18"/>
      <w:szCs w:val="18"/>
    </w:rPr>
  </w:style>
  <w:style w:type="character" w:customStyle="1" w:styleId="241">
    <w:name w:val="正文文本缩进 2 Char3"/>
    <w:semiHidden/>
    <w:qFormat/>
    <w:uiPriority w:val="99"/>
    <w:rPr>
      <w:rFonts w:ascii="Calibri" w:hAnsi="Calibri" w:eastAsia="宋体" w:cs="Times New Roman"/>
    </w:rPr>
  </w:style>
  <w:style w:type="character" w:customStyle="1" w:styleId="242">
    <w:name w:val="批注主题 Char4"/>
    <w:semiHidden/>
    <w:qFormat/>
    <w:uiPriority w:val="99"/>
    <w:rPr>
      <w:rFonts w:ascii="Calibri" w:hAnsi="Calibri" w:eastAsia="宋体" w:cs="Times New Roman"/>
      <w:b/>
      <w:bCs/>
    </w:rPr>
  </w:style>
  <w:style w:type="character" w:customStyle="1" w:styleId="243">
    <w:name w:val="正文文本 Char4"/>
    <w:semiHidden/>
    <w:qFormat/>
    <w:uiPriority w:val="99"/>
    <w:rPr>
      <w:rFonts w:ascii="Calibri" w:hAnsi="Calibri" w:eastAsia="宋体" w:cs="Times New Roman"/>
    </w:rPr>
  </w:style>
  <w:style w:type="paragraph" w:customStyle="1" w:styleId="244">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45">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46">
    <w:name w:val="页眉 Char3"/>
    <w:semiHidden/>
    <w:qFormat/>
    <w:uiPriority w:val="99"/>
    <w:rPr>
      <w:rFonts w:ascii="Calibri" w:hAnsi="Calibri" w:eastAsia="宋体" w:cs="Times New Roman"/>
      <w:sz w:val="18"/>
      <w:szCs w:val="18"/>
    </w:rPr>
  </w:style>
  <w:style w:type="character" w:customStyle="1" w:styleId="247">
    <w:name w:val="日期 Char4"/>
    <w:semiHidden/>
    <w:qFormat/>
    <w:uiPriority w:val="99"/>
    <w:rPr>
      <w:rFonts w:ascii="Calibri" w:hAnsi="Calibri" w:eastAsia="宋体" w:cs="Times New Roman"/>
    </w:rPr>
  </w:style>
  <w:style w:type="paragraph" w:customStyle="1" w:styleId="248">
    <w:name w:val="无间隔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49">
    <w:name w:val="纯文本 Char4"/>
    <w:semiHidden/>
    <w:qFormat/>
    <w:uiPriority w:val="99"/>
    <w:rPr>
      <w:rFonts w:ascii="宋体" w:hAnsi="Courier New" w:eastAsia="宋体" w:cs="Courier New"/>
      <w:szCs w:val="21"/>
    </w:rPr>
  </w:style>
  <w:style w:type="paragraph" w:customStyle="1" w:styleId="250">
    <w:name w:val="_Style 2"/>
    <w:qFormat/>
    <w:uiPriority w:val="1"/>
    <w:rPr>
      <w:rFonts w:ascii="Times New Roman" w:hAnsi="Times New Roman" w:eastAsia="宋体" w:cs="Times New Roman"/>
      <w:sz w:val="22"/>
      <w:szCs w:val="22"/>
      <w:lang w:val="en-US" w:eastAsia="zh-CN" w:bidi="ar-SA"/>
    </w:rPr>
  </w:style>
  <w:style w:type="paragraph" w:customStyle="1" w:styleId="251">
    <w:name w:val="_Style 5_0"/>
    <w:qFormat/>
    <w:uiPriority w:val="1"/>
    <w:rPr>
      <w:rFonts w:ascii="Times New Roman" w:hAnsi="Times New Roman" w:eastAsia="宋体" w:cs="Times New Roman"/>
      <w:sz w:val="22"/>
      <w:szCs w:val="22"/>
      <w:lang w:val="en-US" w:eastAsia="zh-CN" w:bidi="ar-SA"/>
    </w:rPr>
  </w:style>
  <w:style w:type="paragraph" w:customStyle="1" w:styleId="252">
    <w:name w:val="修订1"/>
    <w:qFormat/>
    <w:uiPriority w:val="99"/>
    <w:pPr>
      <w:spacing w:after="200" w:line="276" w:lineRule="auto"/>
    </w:pPr>
    <w:rPr>
      <w:rFonts w:ascii="Times New Roman" w:hAnsi="Times New Roman" w:eastAsia="宋体" w:cs="Times New Roman"/>
      <w:kern w:val="2"/>
      <w:sz w:val="21"/>
      <w:szCs w:val="24"/>
      <w:lang w:val="en-US" w:eastAsia="zh-CN" w:bidi="ar-SA"/>
    </w:rPr>
  </w:style>
  <w:style w:type="paragraph" w:customStyle="1" w:styleId="253">
    <w:name w:val="正文_1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54">
    <w:name w:val="修订2"/>
    <w:semiHidden/>
    <w:uiPriority w:val="99"/>
    <w:rPr>
      <w:rFonts w:ascii="Times New Roman" w:hAnsi="Times New Roman" w:eastAsia="宋体" w:cs="Times New Roman"/>
      <w:kern w:val="2"/>
      <w:sz w:val="21"/>
      <w:szCs w:val="24"/>
      <w:lang w:val="en-US" w:eastAsia="zh-CN" w:bidi="ar-SA"/>
    </w:rPr>
  </w:style>
  <w:style w:type="paragraph" w:customStyle="1" w:styleId="255">
    <w:name w:val="段"/>
    <w:next w:val="1"/>
    <w:qFormat/>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character" w:customStyle="1" w:styleId="256">
    <w:name w:val="font11"/>
    <w:basedOn w:val="36"/>
    <w:qFormat/>
    <w:uiPriority w:val="0"/>
    <w:rPr>
      <w:rFonts w:hint="eastAsia" w:ascii="宋体" w:hAnsi="宋体" w:eastAsia="宋体" w:cs="宋体"/>
      <w:color w:val="000000"/>
      <w:sz w:val="21"/>
      <w:szCs w:val="21"/>
      <w:u w:val="none"/>
    </w:rPr>
  </w:style>
  <w:style w:type="character" w:customStyle="1" w:styleId="257">
    <w:name w:val="hover"/>
    <w:basedOn w:val="36"/>
    <w:uiPriority w:val="0"/>
    <w:rPr>
      <w:color w:val="2590EB"/>
    </w:rPr>
  </w:style>
  <w:style w:type="character" w:customStyle="1" w:styleId="258">
    <w:name w:val="hover1"/>
    <w:basedOn w:val="36"/>
    <w:uiPriority w:val="0"/>
    <w:rPr>
      <w:color w:val="2590EB"/>
    </w:rPr>
  </w:style>
  <w:style w:type="character" w:customStyle="1" w:styleId="259">
    <w:name w:val="hover2"/>
    <w:basedOn w:val="36"/>
    <w:uiPriority w:val="0"/>
  </w:style>
  <w:style w:type="character" w:customStyle="1" w:styleId="260">
    <w:name w:val="mini-outputtext1"/>
    <w:basedOn w:val="36"/>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PC</Company>
  <Pages>82</Pages>
  <Words>23495</Words>
  <Characters>25652</Characters>
  <Lines>513</Lines>
  <Paragraphs>144</Paragraphs>
  <TotalTime>7</TotalTime>
  <ScaleCrop>false</ScaleCrop>
  <LinksUpToDate>false</LinksUpToDate>
  <CharactersWithSpaces>26061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2022-09-06T09:43:00Z</dcterms:created>
  <dc:creator>Administrator</dc:creator>
  <cp:lastModifiedBy>@luoluo</cp:lastModifiedBy>
  <cp:lastPrinted>2024-11-07T04:54:00Z</cp:lastPrinted>
  <dcterms:modified xsi:type="dcterms:W3CDTF">2025-06-30T12:11:21Z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7F071734AAED480C9DF394BBB9A0C046_13</vt:lpwstr>
  </property>
  <property fmtid="{D5CDD505-2E9C-101B-9397-08002B2CF9AE}" pid="4" name="KSOTemplateDocerSaveRecord">
    <vt:lpwstr>eyJoZGlkIjoiMGJhNTRlNjk4YTMwY2Q0ZGJmNTYxYjhmNDE2YzFiMDkiLCJ1c2VySWQiOiI0NTY1MTE3NDUifQ==</vt:lpwstr>
  </property>
</Properties>
</file>