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distribute"/>
        <w:rPr>
          <w:rFonts w:hint="eastAsia" w:ascii="楷体" w:hAnsi="楷体" w:eastAsia="楷体" w:cs="楷体"/>
          <w:b/>
          <w:bCs/>
          <w:color w:val="auto"/>
          <w:spacing w:val="80"/>
          <w:sz w:val="52"/>
          <w:szCs w:val="52"/>
          <w:highlight w:val="none"/>
          <w:lang w:eastAsia="zh-CN"/>
        </w:rPr>
      </w:pPr>
    </w:p>
    <w:p>
      <w:pPr>
        <w:pStyle w:val="11"/>
        <w:jc w:val="center"/>
        <w:rPr>
          <w:rFonts w:hint="eastAsia" w:ascii="楷体" w:hAnsi="楷体" w:eastAsia="楷体" w:cs="楷体"/>
          <w:b/>
          <w:bCs/>
          <w:color w:val="auto"/>
          <w:sz w:val="52"/>
          <w:szCs w:val="52"/>
          <w:highlight w:val="none"/>
        </w:rPr>
      </w:pPr>
      <w:r>
        <w:rPr>
          <w:rFonts w:hint="eastAsia" w:ascii="楷体" w:hAnsi="楷体" w:eastAsia="楷体" w:cs="楷体"/>
          <w:b/>
          <w:bCs/>
          <w:color w:val="auto"/>
          <w:sz w:val="52"/>
          <w:szCs w:val="52"/>
          <w:highlight w:val="none"/>
          <w:lang w:eastAsia="zh-CN"/>
        </w:rPr>
        <w:t>广西星鑫建设工程咨询有限公司</w:t>
      </w:r>
    </w:p>
    <w:p>
      <w:pPr>
        <w:pStyle w:val="11"/>
        <w:jc w:val="center"/>
        <w:rPr>
          <w:rFonts w:hint="eastAsia" w:ascii="楷体" w:hAnsi="楷体" w:eastAsia="楷体" w:cs="楷体"/>
          <w:color w:val="auto"/>
          <w:highlight w:val="none"/>
        </w:rPr>
      </w:pPr>
    </w:p>
    <w:p>
      <w:pPr>
        <w:spacing w:line="1400" w:lineRule="exact"/>
        <w:jc w:val="center"/>
        <w:rPr>
          <w:rFonts w:hint="eastAsia" w:ascii="楷体" w:hAnsi="楷体" w:eastAsia="楷体" w:cs="楷体"/>
          <w:b/>
          <w:color w:val="auto"/>
          <w:spacing w:val="60"/>
          <w:sz w:val="84"/>
          <w:szCs w:val="84"/>
          <w:highlight w:val="none"/>
        </w:rPr>
      </w:pPr>
      <w:bookmarkStart w:id="2017" w:name="_GoBack"/>
      <w:bookmarkEnd w:id="2017"/>
    </w:p>
    <w:p>
      <w:pPr>
        <w:spacing w:line="1400" w:lineRule="exact"/>
        <w:jc w:val="center"/>
        <w:rPr>
          <w:rFonts w:hint="eastAsia" w:ascii="楷体" w:hAnsi="楷体" w:eastAsia="楷体" w:cs="楷体"/>
          <w:b/>
          <w:color w:val="auto"/>
          <w:spacing w:val="60"/>
          <w:sz w:val="84"/>
          <w:szCs w:val="84"/>
          <w:highlight w:val="none"/>
        </w:rPr>
      </w:pPr>
      <w:r>
        <w:rPr>
          <w:rFonts w:hint="eastAsia" w:ascii="楷体" w:hAnsi="楷体" w:eastAsia="楷体" w:cs="楷体"/>
          <w:b/>
          <w:color w:val="auto"/>
          <w:spacing w:val="60"/>
          <w:sz w:val="84"/>
          <w:szCs w:val="84"/>
          <w:highlight w:val="none"/>
        </w:rPr>
        <w:t>竞争性磋商文件</w:t>
      </w:r>
    </w:p>
    <w:p>
      <w:pPr>
        <w:pStyle w:val="11"/>
        <w:rPr>
          <w:rFonts w:hint="eastAsia" w:ascii="宋体" w:hAnsi="宋体" w:eastAsia="宋体" w:cs="宋体"/>
          <w:color w:val="auto"/>
          <w:highlight w:val="none"/>
        </w:rPr>
      </w:pPr>
    </w:p>
    <w:p>
      <w:pPr>
        <w:pStyle w:val="11"/>
        <w:ind w:firstLine="3885" w:firstLineChars="1850"/>
        <w:rPr>
          <w:rFonts w:hint="eastAsia" w:ascii="宋体" w:hAnsi="宋体" w:eastAsia="宋体" w:cs="宋体"/>
          <w:color w:val="auto"/>
          <w:highlight w:val="none"/>
        </w:rPr>
      </w:pPr>
    </w:p>
    <w:p>
      <w:pPr>
        <w:pStyle w:val="11"/>
        <w:rPr>
          <w:rFonts w:hint="eastAsia" w:ascii="宋体" w:hAnsi="宋体" w:eastAsia="宋体" w:cs="宋体"/>
          <w:color w:val="auto"/>
          <w:highlight w:val="none"/>
        </w:rPr>
      </w:pPr>
    </w:p>
    <w:p>
      <w:pPr>
        <w:pStyle w:val="11"/>
        <w:rPr>
          <w:rFonts w:hint="eastAsia" w:ascii="宋体" w:hAnsi="宋体" w:eastAsia="宋体" w:cs="宋体"/>
          <w:color w:val="auto"/>
          <w:highlight w:val="none"/>
        </w:rPr>
      </w:pPr>
    </w:p>
    <w:p>
      <w:pPr>
        <w:pStyle w:val="11"/>
        <w:rPr>
          <w:rFonts w:hint="eastAsia" w:ascii="宋体" w:hAnsi="宋体" w:eastAsia="宋体" w:cs="宋体"/>
          <w:color w:val="auto"/>
          <w:sz w:val="30"/>
          <w:szCs w:val="30"/>
          <w:highlight w:val="none"/>
        </w:rPr>
      </w:pPr>
    </w:p>
    <w:p>
      <w:pPr>
        <w:keepNext w:val="0"/>
        <w:keepLines w:val="0"/>
        <w:pageBreakBefore w:val="0"/>
        <w:widowControl w:val="0"/>
        <w:tabs>
          <w:tab w:val="left" w:pos="8400"/>
          <w:tab w:val="left" w:pos="9240"/>
        </w:tabs>
        <w:kinsoku/>
        <w:wordWrap/>
        <w:overflowPunct/>
        <w:topLinePunct w:val="0"/>
        <w:autoSpaceDE/>
        <w:autoSpaceDN/>
        <w:bidi w:val="0"/>
        <w:adjustRightInd/>
        <w:snapToGrid/>
        <w:ind w:left="298" w:leftChars="142" w:right="0" w:rightChars="0" w:firstLine="762" w:firstLineChars="200"/>
        <w:jc w:val="left"/>
        <w:textAlignment w:val="auto"/>
        <w:rPr>
          <w:rFonts w:hint="default" w:ascii="宋体" w:hAnsi="宋体" w:eastAsia="宋体" w:cs="宋体"/>
          <w:b/>
          <w:bCs/>
          <w:color w:val="auto"/>
          <w:spacing w:val="-36"/>
          <w:sz w:val="30"/>
          <w:szCs w:val="30"/>
          <w:highlight w:val="none"/>
          <w:lang w:val="en-US" w:eastAsia="zh-CN"/>
        </w:rPr>
      </w:pPr>
      <w:r>
        <w:rPr>
          <w:rFonts w:hint="eastAsia" w:ascii="宋体" w:hAnsi="宋体" w:eastAsia="宋体" w:cs="宋体"/>
          <w:b/>
          <w:bCs/>
          <w:color w:val="auto"/>
          <w:spacing w:val="40"/>
          <w:sz w:val="30"/>
          <w:szCs w:val="30"/>
          <w:highlight w:val="none"/>
        </w:rPr>
        <w:t>项目名称：兴安</w:t>
      </w:r>
      <w:r>
        <w:rPr>
          <w:rFonts w:hint="eastAsia" w:ascii="宋体" w:hAnsi="宋体" w:cs="宋体"/>
          <w:b/>
          <w:bCs/>
          <w:color w:val="auto"/>
          <w:spacing w:val="40"/>
          <w:sz w:val="30"/>
          <w:szCs w:val="30"/>
          <w:highlight w:val="none"/>
          <w:lang w:val="en-US" w:eastAsia="zh-CN"/>
        </w:rPr>
        <w:t>县溶江镇市民广场阙楼工程</w:t>
      </w:r>
    </w:p>
    <w:p>
      <w:pPr>
        <w:ind w:right="-21" w:rightChars="-10" w:firstLine="1144" w:firstLineChars="300"/>
        <w:jc w:val="both"/>
        <w:rPr>
          <w:rFonts w:hint="eastAsia" w:ascii="宋体" w:hAnsi="宋体" w:eastAsia="宋体" w:cs="宋体"/>
          <w:b/>
          <w:bCs/>
          <w:color w:val="auto"/>
          <w:sz w:val="32"/>
          <w:highlight w:val="none"/>
          <w:lang w:eastAsia="zh-CN"/>
        </w:rPr>
      </w:pPr>
      <w:r>
        <w:rPr>
          <w:rFonts w:hint="eastAsia" w:ascii="宋体" w:hAnsi="宋体" w:eastAsia="宋体" w:cs="宋体"/>
          <w:b/>
          <w:bCs/>
          <w:color w:val="auto"/>
          <w:spacing w:val="40"/>
          <w:sz w:val="30"/>
          <w:szCs w:val="30"/>
          <w:highlight w:val="none"/>
        </w:rPr>
        <w:t>项目编号：GLZC2024-C2-250181-GXXX</w:t>
      </w:r>
    </w:p>
    <w:p>
      <w:pPr>
        <w:ind w:left="-2" w:leftChars="-1" w:firstLine="1446" w:firstLineChars="400"/>
        <w:rPr>
          <w:rFonts w:hint="eastAsia" w:ascii="宋体" w:hAnsi="宋体" w:eastAsia="宋体" w:cs="宋体"/>
          <w:color w:val="auto"/>
          <w:highlight w:val="none"/>
        </w:rPr>
      </w:pPr>
      <w:r>
        <w:rPr>
          <w:rFonts w:hint="eastAsia" w:ascii="宋体" w:hAnsi="宋体" w:eastAsia="宋体" w:cs="宋体"/>
          <w:b/>
          <w:bCs/>
          <w:color w:val="auto"/>
          <w:sz w:val="36"/>
          <w:highlight w:val="none"/>
        </w:rPr>
        <w:t xml:space="preserve">        </w:t>
      </w:r>
      <w:r>
        <w:rPr>
          <w:rFonts w:hint="eastAsia" w:ascii="宋体" w:hAnsi="宋体" w:eastAsia="宋体" w:cs="宋体"/>
          <w:color w:val="auto"/>
          <w:highlight w:val="none"/>
        </w:rPr>
        <w:cr/>
      </w:r>
    </w:p>
    <w:p>
      <w:pPr>
        <w:ind w:left="-2" w:leftChars="-1" w:firstLine="840" w:firstLineChars="400"/>
        <w:rPr>
          <w:rFonts w:hint="eastAsia" w:ascii="宋体" w:hAnsi="宋体" w:eastAsia="宋体" w:cs="宋体"/>
          <w:color w:val="auto"/>
          <w:highlight w:val="none"/>
        </w:rPr>
      </w:pPr>
    </w:p>
    <w:p>
      <w:pPr>
        <w:ind w:left="-2" w:leftChars="-1" w:firstLine="630" w:firstLineChars="300"/>
        <w:rPr>
          <w:rFonts w:hint="eastAsia" w:ascii="宋体" w:hAnsi="宋体" w:eastAsia="宋体" w:cs="宋体"/>
          <w:color w:val="auto"/>
          <w:highlight w:val="none"/>
        </w:rPr>
      </w:pPr>
      <w:r>
        <w:rPr>
          <w:rFonts w:hint="eastAsia" w:ascii="宋体" w:hAnsi="宋体" w:eastAsia="宋体" w:cs="宋体"/>
          <w:color w:val="auto"/>
          <w:highlight w:val="none"/>
        </w:rPr>
        <w:t>　</w:t>
      </w:r>
      <w:r>
        <w:rPr>
          <w:rFonts w:hint="eastAsia" w:ascii="宋体" w:hAnsi="宋体" w:eastAsia="宋体" w:cs="宋体"/>
          <w:color w:val="auto"/>
          <w:highlight w:val="none"/>
        </w:rPr>
        <w:tab/>
      </w:r>
    </w:p>
    <w:p>
      <w:pPr>
        <w:ind w:left="-2" w:leftChars="-1" w:firstLine="630" w:firstLineChars="300"/>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jc w:val="center"/>
        <w:rPr>
          <w:rFonts w:hint="eastAsia" w:ascii="宋体" w:hAnsi="宋体" w:eastAsia="宋体" w:cs="宋体"/>
          <w:b/>
          <w:bCs/>
          <w:color w:val="auto"/>
          <w:spacing w:val="80"/>
          <w:sz w:val="30"/>
          <w:szCs w:val="30"/>
          <w:highlight w:val="none"/>
          <w:lang w:val="en-US" w:eastAsia="zh-CN"/>
        </w:rPr>
      </w:pPr>
      <w:r>
        <w:rPr>
          <w:rFonts w:hint="eastAsia" w:ascii="宋体" w:hAnsi="宋体" w:eastAsia="宋体" w:cs="宋体"/>
          <w:b/>
          <w:bCs/>
          <w:color w:val="auto"/>
          <w:spacing w:val="80"/>
          <w:sz w:val="30"/>
          <w:szCs w:val="30"/>
          <w:highlight w:val="none"/>
          <w:lang w:eastAsia="zh-CN"/>
        </w:rPr>
        <w:t>采购人：兴安县</w:t>
      </w:r>
      <w:r>
        <w:rPr>
          <w:rFonts w:hint="eastAsia" w:ascii="宋体" w:hAnsi="宋体" w:eastAsia="宋体" w:cs="宋体"/>
          <w:b/>
          <w:bCs/>
          <w:color w:val="auto"/>
          <w:spacing w:val="80"/>
          <w:sz w:val="30"/>
          <w:szCs w:val="30"/>
          <w:highlight w:val="none"/>
          <w:lang w:val="en-US" w:eastAsia="zh-CN"/>
        </w:rPr>
        <w:t>溶江镇人民政府</w:t>
      </w:r>
    </w:p>
    <w:p>
      <w:pPr>
        <w:jc w:val="center"/>
        <w:rPr>
          <w:rFonts w:hint="eastAsia" w:ascii="宋体" w:hAnsi="宋体" w:eastAsia="宋体" w:cs="宋体"/>
          <w:b/>
          <w:bCs/>
          <w:color w:val="auto"/>
          <w:spacing w:val="4"/>
          <w:kern w:val="0"/>
          <w:sz w:val="30"/>
          <w:szCs w:val="30"/>
          <w:highlight w:val="none"/>
          <w:fitText w:val="2520" w:id="0"/>
          <w:lang w:val="en-US" w:eastAsia="zh-CN"/>
        </w:rPr>
      </w:pPr>
      <w:r>
        <w:rPr>
          <w:rFonts w:hint="eastAsia" w:ascii="宋体" w:hAnsi="宋体" w:eastAsia="宋体" w:cs="宋体"/>
          <w:b/>
          <w:bCs/>
          <w:color w:val="auto"/>
          <w:spacing w:val="35"/>
          <w:w w:val="100"/>
          <w:kern w:val="0"/>
          <w:sz w:val="30"/>
          <w:szCs w:val="30"/>
          <w:highlight w:val="none"/>
          <w:fitText w:val="2520" w:id="142946308"/>
          <w:lang w:eastAsia="zh-CN"/>
        </w:rPr>
        <w:t>采购</w:t>
      </w:r>
      <w:r>
        <w:rPr>
          <w:rFonts w:hint="eastAsia" w:ascii="宋体" w:hAnsi="宋体" w:eastAsia="宋体" w:cs="宋体"/>
          <w:b/>
          <w:bCs/>
          <w:color w:val="auto"/>
          <w:spacing w:val="35"/>
          <w:w w:val="100"/>
          <w:kern w:val="0"/>
          <w:sz w:val="30"/>
          <w:szCs w:val="30"/>
          <w:highlight w:val="none"/>
          <w:fitText w:val="2520" w:id="142946308"/>
        </w:rPr>
        <w:t>代理机构</w:t>
      </w:r>
      <w:r>
        <w:rPr>
          <w:rFonts w:hint="eastAsia" w:ascii="宋体" w:hAnsi="宋体" w:eastAsia="宋体" w:cs="宋体"/>
          <w:b/>
          <w:bCs/>
          <w:color w:val="auto"/>
          <w:spacing w:val="0"/>
          <w:w w:val="100"/>
          <w:kern w:val="0"/>
          <w:sz w:val="30"/>
          <w:szCs w:val="30"/>
          <w:highlight w:val="none"/>
          <w:fitText w:val="2520" w:id="142946308"/>
        </w:rPr>
        <w:t>：</w:t>
      </w:r>
      <w:r>
        <w:rPr>
          <w:rFonts w:hint="eastAsia" w:ascii="宋体" w:hAnsi="宋体" w:eastAsia="宋体" w:cs="宋体"/>
          <w:b/>
          <w:bCs/>
          <w:color w:val="auto"/>
          <w:spacing w:val="80"/>
          <w:sz w:val="30"/>
          <w:szCs w:val="30"/>
          <w:highlight w:val="none"/>
          <w:lang w:eastAsia="zh-CN"/>
        </w:rPr>
        <w:t>广西星鑫建设工程咨询有限公司</w:t>
      </w:r>
    </w:p>
    <w:p>
      <w:pPr>
        <w:jc w:val="center"/>
        <w:rPr>
          <w:rFonts w:hint="eastAsia" w:ascii="宋体" w:hAnsi="宋体" w:eastAsia="宋体" w:cs="宋体"/>
          <w:b/>
          <w:bCs/>
          <w:color w:val="auto"/>
          <w:sz w:val="30"/>
          <w:szCs w:val="30"/>
          <w:highlight w:val="none"/>
          <w:lang w:val="en-US" w:eastAsia="zh-CN"/>
        </w:rPr>
      </w:pPr>
      <w:r>
        <w:rPr>
          <w:rFonts w:hint="eastAsia" w:ascii="宋体" w:hAnsi="宋体" w:eastAsia="宋体" w:cs="宋体"/>
          <w:b/>
          <w:bCs/>
          <w:color w:val="auto"/>
          <w:spacing w:val="-8"/>
          <w:sz w:val="30"/>
          <w:szCs w:val="30"/>
          <w:highlight w:val="none"/>
        </w:rPr>
        <w:t xml:space="preserve"> </w:t>
      </w:r>
      <w:r>
        <w:rPr>
          <w:rFonts w:hint="eastAsia" w:ascii="宋体" w:hAnsi="宋体" w:eastAsia="宋体" w:cs="宋体"/>
          <w:b/>
          <w:bCs/>
          <w:color w:val="auto"/>
          <w:sz w:val="30"/>
          <w:szCs w:val="30"/>
          <w:highlight w:val="none"/>
        </w:rPr>
        <w:t>20</w:t>
      </w:r>
      <w:r>
        <w:rPr>
          <w:rFonts w:hint="eastAsia" w:ascii="宋体" w:hAnsi="宋体" w:eastAsia="宋体" w:cs="宋体"/>
          <w:b/>
          <w:bCs/>
          <w:color w:val="auto"/>
          <w:sz w:val="30"/>
          <w:szCs w:val="30"/>
          <w:highlight w:val="none"/>
          <w:lang w:val="en-US" w:eastAsia="zh-CN"/>
        </w:rPr>
        <w:t>24</w:t>
      </w:r>
      <w:r>
        <w:rPr>
          <w:rFonts w:hint="eastAsia" w:ascii="宋体" w:hAnsi="宋体" w:eastAsia="宋体" w:cs="宋体"/>
          <w:b/>
          <w:bCs/>
          <w:color w:val="auto"/>
          <w:sz w:val="30"/>
          <w:szCs w:val="30"/>
          <w:highlight w:val="none"/>
        </w:rPr>
        <w:t>年</w:t>
      </w:r>
      <w:r>
        <w:rPr>
          <w:rFonts w:hint="eastAsia" w:ascii="宋体" w:hAnsi="宋体" w:cs="宋体"/>
          <w:b/>
          <w:color w:val="auto"/>
          <w:sz w:val="30"/>
          <w:szCs w:val="30"/>
          <w:highlight w:val="none"/>
          <w:lang w:val="en-US" w:eastAsia="zh-CN"/>
        </w:rPr>
        <w:t>4</w:t>
      </w:r>
      <w:r>
        <w:rPr>
          <w:rFonts w:hint="eastAsia" w:ascii="宋体" w:hAnsi="宋体" w:eastAsia="宋体" w:cs="宋体"/>
          <w:b/>
          <w:bCs/>
          <w:color w:val="auto"/>
          <w:sz w:val="30"/>
          <w:szCs w:val="30"/>
          <w:highlight w:val="none"/>
        </w:rPr>
        <w:t>月</w:t>
      </w:r>
      <w:r>
        <w:rPr>
          <w:rFonts w:hint="eastAsia" w:ascii="宋体" w:hAnsi="宋体" w:cs="宋体"/>
          <w:b/>
          <w:bCs/>
          <w:color w:val="auto"/>
          <w:sz w:val="30"/>
          <w:szCs w:val="30"/>
          <w:highlight w:val="none"/>
          <w:lang w:val="en-US" w:eastAsia="zh-CN"/>
        </w:rPr>
        <w:t>23</w:t>
      </w:r>
      <w:r>
        <w:rPr>
          <w:rFonts w:hint="eastAsia" w:ascii="宋体" w:hAnsi="宋体" w:eastAsia="宋体" w:cs="宋体"/>
          <w:b/>
          <w:bCs/>
          <w:color w:val="auto"/>
          <w:sz w:val="30"/>
          <w:szCs w:val="30"/>
          <w:highlight w:val="none"/>
          <w:lang w:val="en-US" w:eastAsia="zh-CN"/>
        </w:rPr>
        <w:t>日</w:t>
      </w:r>
    </w:p>
    <w:p>
      <w:pPr>
        <w:autoSpaceDE w:val="0"/>
        <w:autoSpaceDN w:val="0"/>
        <w:spacing w:line="545" w:lineRule="exact"/>
        <w:outlineLvl w:val="2"/>
        <w:rPr>
          <w:rFonts w:hint="eastAsia" w:ascii="宋体" w:hAnsi="宋体" w:cs="宋体"/>
          <w:b/>
          <w:bCs/>
          <w:color w:val="auto"/>
          <w:kern w:val="0"/>
          <w:sz w:val="44"/>
          <w:szCs w:val="44"/>
          <w:highlight w:val="none"/>
          <w:lang w:val="zh-CN" w:bidi="zh-CN"/>
        </w:rPr>
        <w:sectPr>
          <w:headerReference r:id="rId3" w:type="default"/>
          <w:footerReference r:id="rId4" w:type="even"/>
          <w:pgSz w:w="11906" w:h="16838"/>
          <w:pgMar w:top="850" w:right="972" w:bottom="850" w:left="854" w:header="851" w:footer="992" w:gutter="0"/>
          <w:cols w:space="720" w:num="1"/>
          <w:titlePg/>
          <w:docGrid w:type="lines" w:linePitch="388" w:charSpace="0"/>
        </w:sectPr>
      </w:pPr>
    </w:p>
    <w:p>
      <w:pPr>
        <w:pStyle w:val="14"/>
        <w:keepNext w:val="0"/>
        <w:keepLines w:val="0"/>
        <w:pageBreakBefore w:val="0"/>
        <w:widowControl w:val="0"/>
        <w:tabs>
          <w:tab w:val="right" w:leader="dot" w:pos="9660"/>
        </w:tabs>
        <w:kinsoku/>
        <w:wordWrap/>
        <w:overflowPunct/>
        <w:topLinePunct w:val="0"/>
        <w:autoSpaceDE/>
        <w:autoSpaceDN/>
        <w:bidi w:val="0"/>
        <w:adjustRightInd/>
        <w:snapToGrid/>
        <w:spacing w:line="360" w:lineRule="auto"/>
        <w:jc w:val="both"/>
        <w:textAlignment w:val="auto"/>
        <w:rPr>
          <w:rFonts w:hint="eastAsia" w:ascii="宋体" w:hAnsi="宋体" w:eastAsia="宋体" w:cs="宋体"/>
          <w:b/>
          <w:color w:val="auto"/>
          <w:spacing w:val="-6"/>
          <w:kern w:val="0"/>
          <w:sz w:val="21"/>
          <w:szCs w:val="21"/>
          <w:highlight w:val="none"/>
          <w:lang w:eastAsia="zh-CN"/>
        </w:rPr>
      </w:pPr>
    </w:p>
    <w:p>
      <w:pPr>
        <w:pStyle w:val="14"/>
        <w:keepNext w:val="0"/>
        <w:keepLines w:val="0"/>
        <w:pageBreakBefore w:val="0"/>
        <w:widowControl w:val="0"/>
        <w:tabs>
          <w:tab w:val="right" w:leader="dot" w:pos="9660"/>
        </w:tabs>
        <w:kinsoku/>
        <w:wordWrap/>
        <w:overflowPunct/>
        <w:topLinePunct w:val="0"/>
        <w:autoSpaceDE/>
        <w:autoSpaceDN/>
        <w:bidi w:val="0"/>
        <w:adjustRightInd/>
        <w:snapToGrid/>
        <w:spacing w:line="360" w:lineRule="auto"/>
        <w:jc w:val="center"/>
        <w:textAlignment w:val="auto"/>
        <w:rPr>
          <w:rFonts w:hint="eastAsia" w:ascii="宋体" w:hAnsi="宋体" w:eastAsia="宋体" w:cs="宋体"/>
          <w:b/>
          <w:color w:val="auto"/>
          <w:spacing w:val="-6"/>
          <w:kern w:val="0"/>
          <w:sz w:val="36"/>
          <w:szCs w:val="36"/>
          <w:highlight w:val="none"/>
          <w:lang w:eastAsia="zh-CN"/>
        </w:rPr>
      </w:pPr>
      <w:r>
        <w:rPr>
          <w:rFonts w:hint="eastAsia" w:ascii="宋体" w:hAnsi="宋体" w:eastAsia="宋体" w:cs="宋体"/>
          <w:b/>
          <w:color w:val="auto"/>
          <w:spacing w:val="-6"/>
          <w:kern w:val="0"/>
          <w:sz w:val="36"/>
          <w:szCs w:val="36"/>
          <w:highlight w:val="none"/>
          <w:lang w:eastAsia="zh-CN"/>
        </w:rPr>
        <w:t>目</w:t>
      </w:r>
      <w:r>
        <w:rPr>
          <w:rFonts w:hint="eastAsia" w:ascii="宋体" w:hAnsi="宋体" w:eastAsia="宋体" w:cs="宋体"/>
          <w:b/>
          <w:color w:val="auto"/>
          <w:spacing w:val="-6"/>
          <w:kern w:val="0"/>
          <w:sz w:val="36"/>
          <w:szCs w:val="36"/>
          <w:highlight w:val="none"/>
          <w:lang w:val="en-US" w:eastAsia="zh-CN"/>
        </w:rPr>
        <w:t xml:space="preserve">  </w:t>
      </w:r>
      <w:r>
        <w:rPr>
          <w:rFonts w:hint="eastAsia" w:ascii="宋体" w:hAnsi="宋体" w:eastAsia="宋体" w:cs="宋体"/>
          <w:b/>
          <w:color w:val="auto"/>
          <w:spacing w:val="-6"/>
          <w:kern w:val="0"/>
          <w:sz w:val="36"/>
          <w:szCs w:val="36"/>
          <w:highlight w:val="none"/>
          <w:lang w:eastAsia="zh-CN"/>
        </w:rPr>
        <w:t>录</w:t>
      </w:r>
    </w:p>
    <w:p>
      <w:pPr>
        <w:rPr>
          <w:rFonts w:hint="eastAsia" w:ascii="宋体" w:hAnsi="宋体" w:eastAsia="宋体" w:cs="宋体"/>
          <w:color w:val="auto"/>
          <w:sz w:val="24"/>
          <w:szCs w:val="24"/>
          <w:highlight w:val="none"/>
          <w:lang w:eastAsia="zh-CN"/>
        </w:rPr>
      </w:pPr>
    </w:p>
    <w:p>
      <w:pPr>
        <w:pStyle w:val="14"/>
        <w:tabs>
          <w:tab w:val="right" w:leader="dot" w:pos="9660"/>
        </w:tabs>
        <w:spacing w:line="360" w:lineRule="auto"/>
        <w:rPr>
          <w:rFonts w:hint="eastAsia" w:ascii="宋体" w:hAnsi="宋体" w:eastAsia="宋体" w:cs="宋体"/>
          <w:color w:val="auto"/>
          <w:sz w:val="24"/>
          <w:szCs w:val="24"/>
          <w:highlight w:val="none"/>
        </w:rPr>
      </w:pPr>
      <w:r>
        <w:rPr>
          <w:rFonts w:hint="eastAsia" w:ascii="宋体" w:hAnsi="宋体" w:eastAsia="宋体" w:cs="宋体"/>
          <w:b/>
          <w:color w:val="auto"/>
          <w:spacing w:val="-6"/>
          <w:kern w:val="0"/>
          <w:sz w:val="24"/>
          <w:szCs w:val="24"/>
          <w:highlight w:val="none"/>
        </w:rPr>
        <w:fldChar w:fldCharType="begin"/>
      </w:r>
      <w:r>
        <w:rPr>
          <w:rFonts w:hint="eastAsia" w:ascii="宋体" w:hAnsi="宋体" w:eastAsia="宋体" w:cs="宋体"/>
          <w:b/>
          <w:color w:val="auto"/>
          <w:spacing w:val="-6"/>
          <w:kern w:val="0"/>
          <w:sz w:val="24"/>
          <w:szCs w:val="24"/>
          <w:highlight w:val="none"/>
        </w:rPr>
        <w:instrText xml:space="preserve">TOC \o "1-2" \h \u </w:instrText>
      </w:r>
      <w:r>
        <w:rPr>
          <w:rFonts w:hint="eastAsia" w:ascii="宋体" w:hAnsi="宋体" w:eastAsia="宋体" w:cs="宋体"/>
          <w:b/>
          <w:color w:val="auto"/>
          <w:spacing w:val="-6"/>
          <w:kern w:val="0"/>
          <w:sz w:val="24"/>
          <w:szCs w:val="24"/>
          <w:highlight w:val="none"/>
        </w:rPr>
        <w:fldChar w:fldCharType="separate"/>
      </w:r>
      <w:r>
        <w:rPr>
          <w:rFonts w:hint="eastAsia" w:ascii="宋体" w:hAnsi="宋体" w:eastAsia="宋体" w:cs="宋体"/>
          <w:color w:val="auto"/>
          <w:spacing w:val="-6"/>
          <w:kern w:val="0"/>
          <w:sz w:val="24"/>
          <w:szCs w:val="24"/>
          <w:highlight w:val="none"/>
        </w:rPr>
        <w:fldChar w:fldCharType="begin"/>
      </w:r>
      <w:r>
        <w:rPr>
          <w:rFonts w:hint="eastAsia" w:ascii="宋体" w:hAnsi="宋体" w:eastAsia="宋体" w:cs="宋体"/>
          <w:color w:val="auto"/>
          <w:spacing w:val="-6"/>
          <w:kern w:val="0"/>
          <w:sz w:val="24"/>
          <w:szCs w:val="24"/>
          <w:highlight w:val="none"/>
        </w:rPr>
        <w:instrText xml:space="preserve"> HYPERLINK \l _Toc15867 </w:instrText>
      </w:r>
      <w:r>
        <w:rPr>
          <w:rFonts w:hint="eastAsia" w:ascii="宋体" w:hAnsi="宋体" w:eastAsia="宋体" w:cs="宋体"/>
          <w:color w:val="auto"/>
          <w:spacing w:val="-6"/>
          <w:kern w:val="0"/>
          <w:sz w:val="24"/>
          <w:szCs w:val="24"/>
          <w:highlight w:val="none"/>
        </w:rPr>
        <w:fldChar w:fldCharType="separate"/>
      </w:r>
      <w:r>
        <w:rPr>
          <w:rFonts w:hint="eastAsia" w:ascii="宋体" w:hAnsi="宋体" w:eastAsia="宋体" w:cs="宋体"/>
          <w:color w:val="auto"/>
          <w:sz w:val="24"/>
          <w:szCs w:val="24"/>
          <w:highlight w:val="none"/>
          <w:lang w:eastAsia="zh-CN"/>
        </w:rPr>
        <w:t>第一章</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竞争性磋商公告</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_Toc15867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pacing w:val="-6"/>
          <w:kern w:val="0"/>
          <w:sz w:val="24"/>
          <w:szCs w:val="24"/>
          <w:highlight w:val="none"/>
        </w:rPr>
        <w:fldChar w:fldCharType="end"/>
      </w:r>
    </w:p>
    <w:p>
      <w:pPr>
        <w:pStyle w:val="14"/>
        <w:tabs>
          <w:tab w:val="right" w:leader="dot" w:pos="9660"/>
        </w:tabs>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pacing w:val="-6"/>
          <w:kern w:val="0"/>
          <w:sz w:val="24"/>
          <w:szCs w:val="24"/>
          <w:highlight w:val="none"/>
        </w:rPr>
        <w:fldChar w:fldCharType="begin"/>
      </w:r>
      <w:r>
        <w:rPr>
          <w:rFonts w:hint="eastAsia" w:ascii="宋体" w:hAnsi="宋体" w:eastAsia="宋体" w:cs="宋体"/>
          <w:color w:val="auto"/>
          <w:spacing w:val="-6"/>
          <w:kern w:val="0"/>
          <w:sz w:val="24"/>
          <w:szCs w:val="24"/>
          <w:highlight w:val="none"/>
        </w:rPr>
        <w:instrText xml:space="preserve"> HYPERLINK \l _Toc16146 </w:instrText>
      </w:r>
      <w:r>
        <w:rPr>
          <w:rFonts w:hint="eastAsia" w:ascii="宋体" w:hAnsi="宋体" w:eastAsia="宋体" w:cs="宋体"/>
          <w:color w:val="auto"/>
          <w:spacing w:val="-6"/>
          <w:kern w:val="0"/>
          <w:sz w:val="24"/>
          <w:szCs w:val="24"/>
          <w:highlight w:val="none"/>
        </w:rPr>
        <w:fldChar w:fldCharType="separate"/>
      </w:r>
      <w:r>
        <w:rPr>
          <w:rFonts w:hint="eastAsia" w:ascii="宋体" w:hAnsi="宋体" w:eastAsia="宋体" w:cs="宋体"/>
          <w:color w:val="auto"/>
          <w:sz w:val="24"/>
          <w:szCs w:val="24"/>
          <w:highlight w:val="none"/>
          <w:lang w:eastAsia="zh-CN"/>
        </w:rPr>
        <w:t>第二章</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供应商须知</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_Toc16146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pacing w:val="-6"/>
          <w:kern w:val="0"/>
          <w:sz w:val="24"/>
          <w:szCs w:val="24"/>
          <w:highlight w:val="none"/>
        </w:rPr>
        <w:fldChar w:fldCharType="end"/>
      </w:r>
    </w:p>
    <w:p>
      <w:pPr>
        <w:pStyle w:val="15"/>
        <w:tabs>
          <w:tab w:val="right" w:leader="dot" w:pos="9660"/>
        </w:tabs>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pacing w:val="-6"/>
          <w:kern w:val="0"/>
          <w:sz w:val="24"/>
          <w:szCs w:val="24"/>
          <w:highlight w:val="none"/>
        </w:rPr>
        <w:fldChar w:fldCharType="begin"/>
      </w:r>
      <w:r>
        <w:rPr>
          <w:rFonts w:hint="eastAsia" w:ascii="宋体" w:hAnsi="宋体" w:eastAsia="宋体" w:cs="宋体"/>
          <w:color w:val="auto"/>
          <w:spacing w:val="-6"/>
          <w:kern w:val="0"/>
          <w:sz w:val="24"/>
          <w:szCs w:val="24"/>
          <w:highlight w:val="none"/>
        </w:rPr>
        <w:instrText xml:space="preserve"> HYPERLINK \l _Toc19520 </w:instrText>
      </w:r>
      <w:r>
        <w:rPr>
          <w:rFonts w:hint="eastAsia" w:ascii="宋体" w:hAnsi="宋体" w:eastAsia="宋体" w:cs="宋体"/>
          <w:color w:val="auto"/>
          <w:spacing w:val="-6"/>
          <w:kern w:val="0"/>
          <w:sz w:val="24"/>
          <w:szCs w:val="24"/>
          <w:highlight w:val="none"/>
        </w:rPr>
        <w:fldChar w:fldCharType="separate"/>
      </w:r>
      <w:r>
        <w:rPr>
          <w:rFonts w:hint="eastAsia" w:ascii="宋体" w:hAnsi="宋体" w:eastAsia="宋体" w:cs="宋体"/>
          <w:bCs w:val="0"/>
          <w:color w:val="auto"/>
          <w:sz w:val="24"/>
          <w:szCs w:val="24"/>
          <w:highlight w:val="none"/>
        </w:rPr>
        <w:t>一、总则</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_Toc19520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9</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pacing w:val="-6"/>
          <w:kern w:val="0"/>
          <w:sz w:val="24"/>
          <w:szCs w:val="24"/>
          <w:highlight w:val="none"/>
        </w:rPr>
        <w:fldChar w:fldCharType="end"/>
      </w:r>
    </w:p>
    <w:p>
      <w:pPr>
        <w:pStyle w:val="15"/>
        <w:tabs>
          <w:tab w:val="right" w:leader="dot" w:pos="9660"/>
        </w:tabs>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pacing w:val="-6"/>
          <w:kern w:val="0"/>
          <w:sz w:val="24"/>
          <w:szCs w:val="24"/>
          <w:highlight w:val="none"/>
        </w:rPr>
        <w:fldChar w:fldCharType="begin"/>
      </w:r>
      <w:r>
        <w:rPr>
          <w:rFonts w:hint="eastAsia" w:ascii="宋体" w:hAnsi="宋体" w:eastAsia="宋体" w:cs="宋体"/>
          <w:color w:val="auto"/>
          <w:spacing w:val="-6"/>
          <w:kern w:val="0"/>
          <w:sz w:val="24"/>
          <w:szCs w:val="24"/>
          <w:highlight w:val="none"/>
        </w:rPr>
        <w:instrText xml:space="preserve"> HYPERLINK \l _Toc5168 </w:instrText>
      </w:r>
      <w:r>
        <w:rPr>
          <w:rFonts w:hint="eastAsia" w:ascii="宋体" w:hAnsi="宋体" w:eastAsia="宋体" w:cs="宋体"/>
          <w:color w:val="auto"/>
          <w:spacing w:val="-6"/>
          <w:kern w:val="0"/>
          <w:sz w:val="24"/>
          <w:szCs w:val="24"/>
          <w:highlight w:val="none"/>
        </w:rPr>
        <w:fldChar w:fldCharType="separate"/>
      </w:r>
      <w:r>
        <w:rPr>
          <w:rFonts w:hint="eastAsia" w:ascii="宋体" w:hAnsi="宋体" w:eastAsia="宋体" w:cs="宋体"/>
          <w:bCs w:val="0"/>
          <w:color w:val="auto"/>
          <w:sz w:val="24"/>
          <w:szCs w:val="24"/>
          <w:highlight w:val="none"/>
        </w:rPr>
        <w:t>二、磋商文件</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_Toc5168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10</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pacing w:val="-6"/>
          <w:kern w:val="0"/>
          <w:sz w:val="24"/>
          <w:szCs w:val="24"/>
          <w:highlight w:val="none"/>
        </w:rPr>
        <w:fldChar w:fldCharType="end"/>
      </w:r>
    </w:p>
    <w:p>
      <w:pPr>
        <w:pStyle w:val="15"/>
        <w:tabs>
          <w:tab w:val="right" w:leader="dot" w:pos="9660"/>
        </w:tabs>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pacing w:val="-6"/>
          <w:kern w:val="0"/>
          <w:sz w:val="24"/>
          <w:szCs w:val="24"/>
          <w:highlight w:val="none"/>
        </w:rPr>
        <w:fldChar w:fldCharType="begin"/>
      </w:r>
      <w:r>
        <w:rPr>
          <w:rFonts w:hint="eastAsia" w:ascii="宋体" w:hAnsi="宋体" w:eastAsia="宋体" w:cs="宋体"/>
          <w:color w:val="auto"/>
          <w:spacing w:val="-6"/>
          <w:kern w:val="0"/>
          <w:sz w:val="24"/>
          <w:szCs w:val="24"/>
          <w:highlight w:val="none"/>
        </w:rPr>
        <w:instrText xml:space="preserve"> HYPERLINK \l _Toc26857 </w:instrText>
      </w:r>
      <w:r>
        <w:rPr>
          <w:rFonts w:hint="eastAsia" w:ascii="宋体" w:hAnsi="宋体" w:eastAsia="宋体" w:cs="宋体"/>
          <w:color w:val="auto"/>
          <w:spacing w:val="-6"/>
          <w:kern w:val="0"/>
          <w:sz w:val="24"/>
          <w:szCs w:val="24"/>
          <w:highlight w:val="none"/>
        </w:rPr>
        <w:fldChar w:fldCharType="separate"/>
      </w:r>
      <w:r>
        <w:rPr>
          <w:rFonts w:hint="eastAsia" w:ascii="宋体" w:hAnsi="宋体" w:eastAsia="宋体" w:cs="宋体"/>
          <w:bCs w:val="0"/>
          <w:color w:val="auto"/>
          <w:sz w:val="24"/>
          <w:szCs w:val="24"/>
          <w:highlight w:val="none"/>
        </w:rPr>
        <w:t>三、竞争性磋商响应文件的编制</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_Toc26857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11</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pacing w:val="-6"/>
          <w:kern w:val="0"/>
          <w:sz w:val="24"/>
          <w:szCs w:val="24"/>
          <w:highlight w:val="none"/>
        </w:rPr>
        <w:fldChar w:fldCharType="end"/>
      </w:r>
    </w:p>
    <w:p>
      <w:pPr>
        <w:pStyle w:val="15"/>
        <w:tabs>
          <w:tab w:val="right" w:leader="dot" w:pos="9660"/>
        </w:tabs>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pacing w:val="-6"/>
          <w:kern w:val="0"/>
          <w:sz w:val="24"/>
          <w:szCs w:val="24"/>
          <w:highlight w:val="none"/>
        </w:rPr>
        <w:fldChar w:fldCharType="begin"/>
      </w:r>
      <w:r>
        <w:rPr>
          <w:rFonts w:hint="eastAsia" w:ascii="宋体" w:hAnsi="宋体" w:eastAsia="宋体" w:cs="宋体"/>
          <w:color w:val="auto"/>
          <w:spacing w:val="-6"/>
          <w:kern w:val="0"/>
          <w:sz w:val="24"/>
          <w:szCs w:val="24"/>
          <w:highlight w:val="none"/>
        </w:rPr>
        <w:instrText xml:space="preserve"> HYPERLINK \l _Toc2647 </w:instrText>
      </w:r>
      <w:r>
        <w:rPr>
          <w:rFonts w:hint="eastAsia" w:ascii="宋体" w:hAnsi="宋体" w:eastAsia="宋体" w:cs="宋体"/>
          <w:color w:val="auto"/>
          <w:spacing w:val="-6"/>
          <w:kern w:val="0"/>
          <w:sz w:val="24"/>
          <w:szCs w:val="24"/>
          <w:highlight w:val="none"/>
        </w:rPr>
        <w:fldChar w:fldCharType="separate"/>
      </w:r>
      <w:r>
        <w:rPr>
          <w:rFonts w:hint="eastAsia" w:ascii="宋体" w:hAnsi="宋体" w:eastAsia="宋体" w:cs="宋体"/>
          <w:bCs w:val="0"/>
          <w:color w:val="auto"/>
          <w:sz w:val="24"/>
          <w:szCs w:val="24"/>
          <w:highlight w:val="none"/>
        </w:rPr>
        <w:t>四、竞争性磋商（简称磋商）与评审</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_Toc2647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15</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pacing w:val="-6"/>
          <w:kern w:val="0"/>
          <w:sz w:val="24"/>
          <w:szCs w:val="24"/>
          <w:highlight w:val="none"/>
        </w:rPr>
        <w:fldChar w:fldCharType="end"/>
      </w:r>
    </w:p>
    <w:p>
      <w:pPr>
        <w:pStyle w:val="15"/>
        <w:tabs>
          <w:tab w:val="right" w:leader="dot" w:pos="9660"/>
        </w:tabs>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pacing w:val="-6"/>
          <w:kern w:val="0"/>
          <w:sz w:val="24"/>
          <w:szCs w:val="24"/>
          <w:highlight w:val="none"/>
        </w:rPr>
        <w:fldChar w:fldCharType="begin"/>
      </w:r>
      <w:r>
        <w:rPr>
          <w:rFonts w:hint="eastAsia" w:ascii="宋体" w:hAnsi="宋体" w:eastAsia="宋体" w:cs="宋体"/>
          <w:color w:val="auto"/>
          <w:spacing w:val="-6"/>
          <w:kern w:val="0"/>
          <w:sz w:val="24"/>
          <w:szCs w:val="24"/>
          <w:highlight w:val="none"/>
        </w:rPr>
        <w:instrText xml:space="preserve"> HYPERLINK \l _Toc6064 </w:instrText>
      </w:r>
      <w:r>
        <w:rPr>
          <w:rFonts w:hint="eastAsia" w:ascii="宋体" w:hAnsi="宋体" w:eastAsia="宋体" w:cs="宋体"/>
          <w:color w:val="auto"/>
          <w:spacing w:val="-6"/>
          <w:kern w:val="0"/>
          <w:sz w:val="24"/>
          <w:szCs w:val="24"/>
          <w:highlight w:val="none"/>
        </w:rPr>
        <w:fldChar w:fldCharType="separate"/>
      </w:r>
      <w:r>
        <w:rPr>
          <w:rFonts w:hint="eastAsia" w:ascii="宋体" w:hAnsi="宋体" w:eastAsia="宋体" w:cs="宋体"/>
          <w:bCs w:val="0"/>
          <w:color w:val="auto"/>
          <w:sz w:val="24"/>
          <w:szCs w:val="24"/>
          <w:highlight w:val="none"/>
        </w:rPr>
        <w:t>五、签订合同</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_Toc6064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20</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pacing w:val="-6"/>
          <w:kern w:val="0"/>
          <w:sz w:val="24"/>
          <w:szCs w:val="24"/>
          <w:highlight w:val="none"/>
        </w:rPr>
        <w:fldChar w:fldCharType="end"/>
      </w:r>
    </w:p>
    <w:p>
      <w:pPr>
        <w:pStyle w:val="15"/>
        <w:tabs>
          <w:tab w:val="right" w:leader="dot" w:pos="9660"/>
        </w:tabs>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pacing w:val="-6"/>
          <w:kern w:val="0"/>
          <w:sz w:val="24"/>
          <w:szCs w:val="24"/>
          <w:highlight w:val="none"/>
        </w:rPr>
        <w:fldChar w:fldCharType="begin"/>
      </w:r>
      <w:r>
        <w:rPr>
          <w:rFonts w:hint="eastAsia" w:ascii="宋体" w:hAnsi="宋体" w:eastAsia="宋体" w:cs="宋体"/>
          <w:color w:val="auto"/>
          <w:spacing w:val="-6"/>
          <w:kern w:val="0"/>
          <w:sz w:val="24"/>
          <w:szCs w:val="24"/>
          <w:highlight w:val="none"/>
        </w:rPr>
        <w:instrText xml:space="preserve"> HYPERLINK \l _Toc26986 </w:instrText>
      </w:r>
      <w:r>
        <w:rPr>
          <w:rFonts w:hint="eastAsia" w:ascii="宋体" w:hAnsi="宋体" w:eastAsia="宋体" w:cs="宋体"/>
          <w:color w:val="auto"/>
          <w:spacing w:val="-6"/>
          <w:kern w:val="0"/>
          <w:sz w:val="24"/>
          <w:szCs w:val="24"/>
          <w:highlight w:val="none"/>
        </w:rPr>
        <w:fldChar w:fldCharType="separate"/>
      </w:r>
      <w:r>
        <w:rPr>
          <w:rFonts w:hint="eastAsia" w:ascii="宋体" w:hAnsi="宋体" w:eastAsia="宋体" w:cs="宋体"/>
          <w:bCs w:val="0"/>
          <w:color w:val="auto"/>
          <w:sz w:val="24"/>
          <w:szCs w:val="24"/>
          <w:highlight w:val="none"/>
        </w:rPr>
        <w:t>六、其他事项</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_Toc26986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20</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pacing w:val="-6"/>
          <w:kern w:val="0"/>
          <w:sz w:val="24"/>
          <w:szCs w:val="24"/>
          <w:highlight w:val="none"/>
        </w:rPr>
        <w:fldChar w:fldCharType="end"/>
      </w:r>
    </w:p>
    <w:p>
      <w:pPr>
        <w:pStyle w:val="14"/>
        <w:tabs>
          <w:tab w:val="right" w:leader="dot" w:pos="9660"/>
        </w:tabs>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pacing w:val="-6"/>
          <w:kern w:val="0"/>
          <w:sz w:val="24"/>
          <w:szCs w:val="24"/>
          <w:highlight w:val="none"/>
        </w:rPr>
        <w:fldChar w:fldCharType="begin"/>
      </w:r>
      <w:r>
        <w:rPr>
          <w:rFonts w:hint="eastAsia" w:ascii="宋体" w:hAnsi="宋体" w:eastAsia="宋体" w:cs="宋体"/>
          <w:color w:val="auto"/>
          <w:spacing w:val="-6"/>
          <w:kern w:val="0"/>
          <w:sz w:val="24"/>
          <w:szCs w:val="24"/>
          <w:highlight w:val="none"/>
        </w:rPr>
        <w:instrText xml:space="preserve"> HYPERLINK \l _Toc23263 </w:instrText>
      </w:r>
      <w:r>
        <w:rPr>
          <w:rFonts w:hint="eastAsia" w:ascii="宋体" w:hAnsi="宋体" w:eastAsia="宋体" w:cs="宋体"/>
          <w:color w:val="auto"/>
          <w:spacing w:val="-6"/>
          <w:kern w:val="0"/>
          <w:sz w:val="24"/>
          <w:szCs w:val="24"/>
          <w:highlight w:val="none"/>
        </w:rPr>
        <w:fldChar w:fldCharType="separate"/>
      </w:r>
      <w:r>
        <w:rPr>
          <w:rFonts w:hint="eastAsia" w:ascii="宋体" w:hAnsi="宋体" w:eastAsia="宋体" w:cs="宋体"/>
          <w:color w:val="auto"/>
          <w:sz w:val="24"/>
          <w:szCs w:val="24"/>
          <w:highlight w:val="none"/>
        </w:rPr>
        <w:t xml:space="preserve">第三章 </w:t>
      </w:r>
      <w:r>
        <w:rPr>
          <w:rFonts w:hint="eastAsia" w:ascii="宋体" w:hAnsi="宋体" w:eastAsia="宋体" w:cs="宋体"/>
          <w:color w:val="auto"/>
          <w:sz w:val="24"/>
          <w:szCs w:val="24"/>
          <w:highlight w:val="none"/>
          <w:lang w:eastAsia="zh-CN"/>
        </w:rPr>
        <w:t>工程量清单</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_Toc23263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27</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pacing w:val="-6"/>
          <w:kern w:val="0"/>
          <w:sz w:val="24"/>
          <w:szCs w:val="24"/>
          <w:highlight w:val="none"/>
        </w:rPr>
        <w:fldChar w:fldCharType="end"/>
      </w:r>
    </w:p>
    <w:p>
      <w:pPr>
        <w:pStyle w:val="14"/>
        <w:tabs>
          <w:tab w:val="right" w:leader="dot" w:pos="9660"/>
        </w:tabs>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pacing w:val="-6"/>
          <w:kern w:val="0"/>
          <w:sz w:val="24"/>
          <w:szCs w:val="24"/>
          <w:highlight w:val="none"/>
        </w:rPr>
        <w:fldChar w:fldCharType="begin"/>
      </w:r>
      <w:r>
        <w:rPr>
          <w:rFonts w:hint="eastAsia" w:ascii="宋体" w:hAnsi="宋体" w:eastAsia="宋体" w:cs="宋体"/>
          <w:color w:val="auto"/>
          <w:spacing w:val="-6"/>
          <w:kern w:val="0"/>
          <w:sz w:val="24"/>
          <w:szCs w:val="24"/>
          <w:highlight w:val="none"/>
        </w:rPr>
        <w:instrText xml:space="preserve"> HYPERLINK \l _Toc5828 </w:instrText>
      </w:r>
      <w:r>
        <w:rPr>
          <w:rFonts w:hint="eastAsia" w:ascii="宋体" w:hAnsi="宋体" w:eastAsia="宋体" w:cs="宋体"/>
          <w:color w:val="auto"/>
          <w:spacing w:val="-6"/>
          <w:kern w:val="0"/>
          <w:sz w:val="24"/>
          <w:szCs w:val="24"/>
          <w:highlight w:val="none"/>
        </w:rPr>
        <w:fldChar w:fldCharType="separate"/>
      </w:r>
      <w:r>
        <w:rPr>
          <w:rFonts w:hint="eastAsia" w:ascii="宋体" w:hAnsi="宋体" w:eastAsia="宋体" w:cs="宋体"/>
          <w:color w:val="auto"/>
          <w:sz w:val="24"/>
          <w:szCs w:val="24"/>
          <w:highlight w:val="none"/>
          <w:lang w:eastAsia="zh-CN"/>
        </w:rPr>
        <w:t>第四章</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评审办法</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_Toc5828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28</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pacing w:val="-6"/>
          <w:kern w:val="0"/>
          <w:sz w:val="24"/>
          <w:szCs w:val="24"/>
          <w:highlight w:val="none"/>
        </w:rPr>
        <w:fldChar w:fldCharType="end"/>
      </w:r>
    </w:p>
    <w:p>
      <w:pPr>
        <w:pStyle w:val="14"/>
        <w:tabs>
          <w:tab w:val="right" w:leader="dot" w:pos="9660"/>
        </w:tabs>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pacing w:val="-6"/>
          <w:kern w:val="0"/>
          <w:sz w:val="24"/>
          <w:szCs w:val="24"/>
          <w:highlight w:val="none"/>
        </w:rPr>
        <w:fldChar w:fldCharType="begin"/>
      </w:r>
      <w:r>
        <w:rPr>
          <w:rFonts w:hint="eastAsia" w:ascii="宋体" w:hAnsi="宋体" w:eastAsia="宋体" w:cs="宋体"/>
          <w:color w:val="auto"/>
          <w:spacing w:val="-6"/>
          <w:kern w:val="0"/>
          <w:sz w:val="24"/>
          <w:szCs w:val="24"/>
          <w:highlight w:val="none"/>
        </w:rPr>
        <w:instrText xml:space="preserve"> HYPERLINK \l _Toc5821 </w:instrText>
      </w:r>
      <w:r>
        <w:rPr>
          <w:rFonts w:hint="eastAsia" w:ascii="宋体" w:hAnsi="宋体" w:eastAsia="宋体" w:cs="宋体"/>
          <w:color w:val="auto"/>
          <w:spacing w:val="-6"/>
          <w:kern w:val="0"/>
          <w:sz w:val="24"/>
          <w:szCs w:val="24"/>
          <w:highlight w:val="none"/>
        </w:rPr>
        <w:fldChar w:fldCharType="separate"/>
      </w:r>
      <w:r>
        <w:rPr>
          <w:rFonts w:hint="eastAsia" w:ascii="宋体" w:hAnsi="宋体" w:eastAsia="宋体" w:cs="宋体"/>
          <w:color w:val="auto"/>
          <w:sz w:val="24"/>
          <w:szCs w:val="24"/>
          <w:highlight w:val="none"/>
          <w:lang w:eastAsia="zh-CN"/>
        </w:rPr>
        <w:t>第五章</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采购合同（合同主要条款及格式）</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_Toc5821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32</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pacing w:val="-6"/>
          <w:kern w:val="0"/>
          <w:sz w:val="24"/>
          <w:szCs w:val="24"/>
          <w:highlight w:val="none"/>
        </w:rPr>
        <w:fldChar w:fldCharType="end"/>
      </w:r>
    </w:p>
    <w:p>
      <w:pPr>
        <w:pStyle w:val="15"/>
        <w:tabs>
          <w:tab w:val="right" w:leader="dot" w:pos="9660"/>
        </w:tabs>
        <w:spacing w:line="360" w:lineRule="auto"/>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pacing w:val="-6"/>
          <w:kern w:val="0"/>
          <w:sz w:val="24"/>
          <w:szCs w:val="24"/>
          <w:highlight w:val="none"/>
        </w:rPr>
        <w:fldChar w:fldCharType="begin"/>
      </w:r>
      <w:r>
        <w:rPr>
          <w:rFonts w:hint="eastAsia" w:ascii="宋体" w:hAnsi="宋体" w:eastAsia="宋体" w:cs="宋体"/>
          <w:color w:val="auto"/>
          <w:spacing w:val="-6"/>
          <w:kern w:val="0"/>
          <w:sz w:val="24"/>
          <w:szCs w:val="24"/>
          <w:highlight w:val="none"/>
        </w:rPr>
        <w:instrText xml:space="preserve"> HYPERLINK \l _Toc6509 </w:instrText>
      </w:r>
      <w:r>
        <w:rPr>
          <w:rFonts w:hint="eastAsia" w:ascii="宋体" w:hAnsi="宋体" w:eastAsia="宋体" w:cs="宋体"/>
          <w:color w:val="auto"/>
          <w:spacing w:val="-6"/>
          <w:kern w:val="0"/>
          <w:sz w:val="24"/>
          <w:szCs w:val="24"/>
          <w:highlight w:val="none"/>
        </w:rPr>
        <w:fldChar w:fldCharType="separate"/>
      </w:r>
      <w:r>
        <w:rPr>
          <w:rFonts w:hint="eastAsia" w:ascii="宋体" w:hAnsi="宋体" w:eastAsia="宋体" w:cs="宋体"/>
          <w:bCs/>
          <w:color w:val="auto"/>
          <w:kern w:val="44"/>
          <w:sz w:val="24"/>
          <w:szCs w:val="24"/>
          <w:highlight w:val="none"/>
        </w:rPr>
        <w:t xml:space="preserve">第六章 </w:t>
      </w:r>
      <w:r>
        <w:rPr>
          <w:rFonts w:hint="eastAsia" w:ascii="宋体" w:hAnsi="宋体" w:eastAsia="宋体" w:cs="宋体"/>
          <w:bCs/>
          <w:color w:val="auto"/>
          <w:sz w:val="24"/>
          <w:szCs w:val="24"/>
          <w:highlight w:val="none"/>
        </w:rPr>
        <w:t>响应文件（格式）</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_Toc6509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77</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pacing w:val="-6"/>
          <w:kern w:val="0"/>
          <w:sz w:val="24"/>
          <w:szCs w:val="24"/>
          <w:highlight w:val="none"/>
        </w:rPr>
        <w:fldChar w:fldCharType="end"/>
      </w:r>
    </w:p>
    <w:p>
      <w:pPr>
        <w:pStyle w:val="14"/>
        <w:tabs>
          <w:tab w:val="right" w:leader="dot" w:pos="9660"/>
        </w:tabs>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pacing w:val="-6"/>
          <w:kern w:val="0"/>
          <w:sz w:val="24"/>
          <w:szCs w:val="24"/>
          <w:highlight w:val="none"/>
        </w:rPr>
        <w:fldChar w:fldCharType="begin"/>
      </w:r>
      <w:r>
        <w:rPr>
          <w:rFonts w:hint="eastAsia" w:ascii="宋体" w:hAnsi="宋体" w:eastAsia="宋体" w:cs="宋体"/>
          <w:color w:val="auto"/>
          <w:spacing w:val="-6"/>
          <w:kern w:val="0"/>
          <w:sz w:val="24"/>
          <w:szCs w:val="24"/>
          <w:highlight w:val="none"/>
        </w:rPr>
        <w:instrText xml:space="preserve"> HYPERLINK \l _Toc15967 </w:instrText>
      </w:r>
      <w:r>
        <w:rPr>
          <w:rFonts w:hint="eastAsia" w:ascii="宋体" w:hAnsi="宋体" w:eastAsia="宋体" w:cs="宋体"/>
          <w:color w:val="auto"/>
          <w:spacing w:val="-6"/>
          <w:kern w:val="0"/>
          <w:sz w:val="24"/>
          <w:szCs w:val="24"/>
          <w:highlight w:val="none"/>
        </w:rPr>
        <w:fldChar w:fldCharType="separate"/>
      </w:r>
      <w:r>
        <w:rPr>
          <w:rFonts w:hint="eastAsia" w:ascii="宋体" w:hAnsi="宋体" w:eastAsia="宋体" w:cs="宋体"/>
          <w:color w:val="auto"/>
          <w:sz w:val="24"/>
          <w:szCs w:val="24"/>
          <w:highlight w:val="none"/>
        </w:rPr>
        <w:t>第七章</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图纸</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_Toc15967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100</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pacing w:val="-6"/>
          <w:kern w:val="0"/>
          <w:sz w:val="24"/>
          <w:szCs w:val="24"/>
          <w:highlight w:val="none"/>
        </w:rPr>
        <w:fldChar w:fldCharType="end"/>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宋体" w:hAnsi="宋体" w:eastAsia="宋体" w:cs="宋体"/>
          <w:color w:val="auto"/>
          <w:spacing w:val="-6"/>
          <w:kern w:val="0"/>
          <w:sz w:val="21"/>
          <w:szCs w:val="21"/>
          <w:highlight w:val="none"/>
        </w:rPr>
      </w:pPr>
      <w:r>
        <w:rPr>
          <w:rFonts w:hint="eastAsia" w:ascii="宋体" w:hAnsi="宋体" w:eastAsia="宋体" w:cs="宋体"/>
          <w:color w:val="auto"/>
          <w:spacing w:val="-6"/>
          <w:kern w:val="0"/>
          <w:sz w:val="24"/>
          <w:szCs w:val="24"/>
          <w:highlight w:val="none"/>
        </w:rPr>
        <w:fldChar w:fldCharType="end"/>
      </w:r>
    </w:p>
    <w:p>
      <w:pPr>
        <w:pStyle w:val="2"/>
        <w:rPr>
          <w:rFonts w:hint="eastAsia" w:ascii="宋体" w:hAnsi="宋体" w:eastAsia="宋体" w:cs="宋体"/>
          <w:color w:val="auto"/>
          <w:spacing w:val="-6"/>
          <w:kern w:val="0"/>
          <w:sz w:val="21"/>
          <w:szCs w:val="21"/>
          <w:highlight w:val="none"/>
        </w:rPr>
      </w:pPr>
    </w:p>
    <w:p>
      <w:pPr>
        <w:rPr>
          <w:rFonts w:hint="eastAsia" w:ascii="宋体" w:hAnsi="宋体" w:eastAsia="宋体" w:cs="宋体"/>
          <w:color w:val="auto"/>
          <w:spacing w:val="-6"/>
          <w:kern w:val="0"/>
          <w:sz w:val="21"/>
          <w:szCs w:val="21"/>
          <w:highlight w:val="none"/>
        </w:rPr>
      </w:pPr>
    </w:p>
    <w:p>
      <w:pPr>
        <w:rPr>
          <w:rFonts w:hint="eastAsia" w:ascii="宋体" w:hAnsi="宋体" w:eastAsia="宋体" w:cs="宋体"/>
          <w:color w:val="auto"/>
          <w:spacing w:val="-6"/>
          <w:kern w:val="0"/>
          <w:sz w:val="21"/>
          <w:szCs w:val="21"/>
          <w:highlight w:val="none"/>
        </w:rPr>
      </w:pPr>
    </w:p>
    <w:p>
      <w:pPr>
        <w:rPr>
          <w:rFonts w:hint="eastAsia" w:ascii="宋体" w:hAnsi="宋体" w:eastAsia="宋体" w:cs="宋体"/>
          <w:color w:val="auto"/>
          <w:sz w:val="21"/>
          <w:szCs w:val="21"/>
          <w:highlight w:val="none"/>
        </w:rPr>
      </w:pPr>
    </w:p>
    <w:p>
      <w:pPr>
        <w:pStyle w:val="3"/>
        <w:numPr>
          <w:ilvl w:val="0"/>
          <w:numId w:val="1"/>
        </w:numPr>
        <w:tabs>
          <w:tab w:val="left" w:pos="0"/>
        </w:tabs>
        <w:autoSpaceDE w:val="0"/>
        <w:autoSpaceDN w:val="0"/>
        <w:adjustRightInd w:val="0"/>
        <w:spacing w:before="0" w:after="0" w:line="360" w:lineRule="auto"/>
        <w:ind w:firstLine="425"/>
        <w:jc w:val="center"/>
        <w:rPr>
          <w:rFonts w:hint="eastAsia" w:ascii="宋体" w:hAnsi="宋体" w:eastAsia="宋体" w:cs="宋体"/>
          <w:color w:val="auto"/>
          <w:sz w:val="21"/>
          <w:szCs w:val="21"/>
          <w:highlight w:val="none"/>
        </w:rPr>
        <w:sectPr>
          <w:footerReference r:id="rId6" w:type="first"/>
          <w:footerReference r:id="rId5" w:type="default"/>
          <w:pgSz w:w="11906" w:h="16838"/>
          <w:pgMar w:top="1418" w:right="1115" w:bottom="1418" w:left="1131" w:header="851" w:footer="992" w:gutter="0"/>
          <w:pgNumType w:fmt="decimal" w:start="1"/>
          <w:cols w:space="720" w:num="1"/>
          <w:titlePg/>
          <w:docGrid w:type="lines" w:linePitch="312" w:charSpace="0"/>
        </w:sectPr>
      </w:pPr>
      <w:bookmarkStart w:id="0" w:name="_Toc21930"/>
      <w:bookmarkStart w:id="1" w:name="_Toc35393797"/>
      <w:bookmarkStart w:id="2" w:name="_Toc28359011"/>
      <w:bookmarkStart w:id="3" w:name="_Toc30170"/>
      <w:bookmarkStart w:id="4" w:name="_Toc26809"/>
    </w:p>
    <w:p>
      <w:pPr>
        <w:pStyle w:val="3"/>
        <w:numPr>
          <w:ilvl w:val="0"/>
          <w:numId w:val="0"/>
        </w:numPr>
        <w:tabs>
          <w:tab w:val="left" w:pos="0"/>
        </w:tabs>
        <w:autoSpaceDE w:val="0"/>
        <w:autoSpaceDN w:val="0"/>
        <w:adjustRightInd w:val="0"/>
        <w:spacing w:before="0" w:after="0" w:line="360" w:lineRule="auto"/>
        <w:ind w:left="425" w:leftChars="0"/>
        <w:jc w:val="center"/>
        <w:rPr>
          <w:rFonts w:hint="eastAsia" w:ascii="宋体" w:hAnsi="宋体" w:eastAsia="宋体" w:cs="宋体"/>
          <w:color w:val="auto"/>
          <w:sz w:val="32"/>
          <w:szCs w:val="32"/>
          <w:highlight w:val="none"/>
        </w:rPr>
      </w:pPr>
      <w:bookmarkStart w:id="5" w:name="_Toc15867"/>
      <w:r>
        <w:rPr>
          <w:rFonts w:hint="eastAsia" w:ascii="宋体" w:hAnsi="宋体" w:eastAsia="宋体" w:cs="宋体"/>
          <w:color w:val="auto"/>
          <w:sz w:val="32"/>
          <w:szCs w:val="32"/>
          <w:highlight w:val="none"/>
          <w:lang w:eastAsia="zh-CN"/>
        </w:rPr>
        <w:t>第一章</w:t>
      </w:r>
      <w:r>
        <w:rPr>
          <w:rFonts w:hint="eastAsia" w:ascii="宋体" w:hAnsi="宋体" w:eastAsia="宋体" w:cs="宋体"/>
          <w:color w:val="auto"/>
          <w:sz w:val="32"/>
          <w:szCs w:val="32"/>
          <w:highlight w:val="none"/>
          <w:lang w:val="en-US" w:eastAsia="zh-CN"/>
        </w:rPr>
        <w:t xml:space="preserve"> </w:t>
      </w:r>
      <w:r>
        <w:rPr>
          <w:rFonts w:hint="eastAsia" w:ascii="宋体" w:hAnsi="宋体" w:eastAsia="宋体" w:cs="宋体"/>
          <w:color w:val="auto"/>
          <w:sz w:val="32"/>
          <w:szCs w:val="32"/>
          <w:highlight w:val="none"/>
        </w:rPr>
        <w:t>竞争性磋商公告</w:t>
      </w:r>
      <w:bookmarkEnd w:id="0"/>
      <w:bookmarkEnd w:id="1"/>
      <w:bookmarkEnd w:id="2"/>
      <w:bookmarkEnd w:id="3"/>
      <w:bookmarkEnd w:id="4"/>
      <w:bookmarkEnd w:id="5"/>
    </w:p>
    <w:tbl>
      <w:tblPr>
        <w:tblStyle w:val="20"/>
        <w:tblpPr w:leftFromText="180" w:rightFromText="180" w:vertAnchor="text" w:tblpX="38" w:tblpY="134"/>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9320" w:type="dxa"/>
            <w:vAlign w:val="top"/>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项目概况</w:t>
            </w:r>
            <w:r>
              <w:rPr>
                <w:rFonts w:hint="eastAsia" w:ascii="宋体" w:hAnsi="宋体" w:cs="宋体"/>
                <w:color w:val="auto"/>
                <w:sz w:val="21"/>
                <w:szCs w:val="21"/>
                <w:highlight w:val="none"/>
                <w:lang w:eastAsia="zh-CN"/>
              </w:rPr>
              <w:t>：</w:t>
            </w:r>
            <w:r>
              <w:rPr>
                <w:rFonts w:hint="eastAsia" w:ascii="宋体" w:hAnsi="宋体" w:eastAsia="宋体" w:cs="宋体"/>
                <w:b w:val="0"/>
                <w:bCs w:val="0"/>
                <w:color w:val="auto"/>
                <w:kern w:val="2"/>
                <w:sz w:val="21"/>
                <w:szCs w:val="21"/>
                <w:highlight w:val="none"/>
                <w:u w:val="single"/>
                <w:lang w:val="en-US" w:eastAsia="zh-CN" w:bidi="ar-SA"/>
              </w:rPr>
              <w:t>兴安县</w:t>
            </w:r>
            <w:r>
              <w:rPr>
                <w:rFonts w:hint="eastAsia" w:ascii="宋体" w:hAnsi="宋体" w:cs="宋体"/>
                <w:b w:val="0"/>
                <w:bCs w:val="0"/>
                <w:color w:val="auto"/>
                <w:kern w:val="2"/>
                <w:sz w:val="21"/>
                <w:szCs w:val="21"/>
                <w:highlight w:val="none"/>
                <w:u w:val="single"/>
                <w:lang w:val="en-US" w:eastAsia="zh-CN" w:bidi="ar-SA"/>
              </w:rPr>
              <w:t>溶江镇市民广场阙楼工程</w:t>
            </w:r>
            <w:r>
              <w:rPr>
                <w:rFonts w:hint="eastAsia" w:ascii="宋体" w:hAnsi="宋体" w:eastAsia="宋体" w:cs="宋体"/>
                <w:b w:val="0"/>
                <w:bCs w:val="0"/>
                <w:color w:val="auto"/>
                <w:kern w:val="2"/>
                <w:sz w:val="21"/>
                <w:szCs w:val="21"/>
                <w:highlight w:val="none"/>
                <w:lang w:val="en-US" w:eastAsia="zh-CN" w:bidi="ar-SA"/>
              </w:rPr>
              <w:t>的潜在供应商应在</w:t>
            </w:r>
            <w:r>
              <w:rPr>
                <w:rFonts w:hint="eastAsia" w:ascii="宋体" w:hAnsi="宋体" w:eastAsia="宋体" w:cs="宋体"/>
                <w:b w:val="0"/>
                <w:bCs w:val="0"/>
                <w:color w:val="auto"/>
                <w:kern w:val="2"/>
                <w:sz w:val="21"/>
                <w:szCs w:val="21"/>
                <w:highlight w:val="none"/>
                <w:u w:val="single"/>
                <w:lang w:val="en-US" w:eastAsia="zh-CN" w:bidi="ar-SA"/>
              </w:rPr>
              <w:t>广西政府采购云平台（ https://www.gcy.zfcg.gxzf.gov.cn/）</w:t>
            </w:r>
            <w:r>
              <w:rPr>
                <w:rFonts w:hint="eastAsia" w:ascii="宋体" w:hAnsi="宋体" w:eastAsia="宋体" w:cs="宋体"/>
                <w:b w:val="0"/>
                <w:bCs w:val="0"/>
                <w:color w:val="auto"/>
                <w:kern w:val="2"/>
                <w:sz w:val="21"/>
                <w:szCs w:val="21"/>
                <w:highlight w:val="none"/>
                <w:lang w:val="en-US" w:eastAsia="zh-CN" w:bidi="ar-SA"/>
              </w:rPr>
              <w:t>获取采购文件，并于</w:t>
            </w:r>
            <w:r>
              <w:rPr>
                <w:rFonts w:hint="eastAsia" w:ascii="宋体" w:hAnsi="宋体" w:eastAsia="宋体" w:cs="宋体"/>
                <w:b w:val="0"/>
                <w:bCs w:val="0"/>
                <w:color w:val="auto"/>
                <w:kern w:val="2"/>
                <w:sz w:val="21"/>
                <w:szCs w:val="21"/>
                <w:highlight w:val="none"/>
                <w:lang w:val="en-US" w:eastAsia="zh-CN" w:bidi="ar-SA"/>
              </w:rPr>
              <w:t>2024年</w:t>
            </w:r>
            <w:r>
              <w:rPr>
                <w:rFonts w:hint="eastAsia" w:ascii="宋体" w:hAnsi="宋体" w:cs="宋体"/>
                <w:b w:val="0"/>
                <w:bCs w:val="0"/>
                <w:color w:val="auto"/>
                <w:kern w:val="2"/>
                <w:sz w:val="21"/>
                <w:szCs w:val="21"/>
                <w:highlight w:val="none"/>
                <w:lang w:val="en-US" w:eastAsia="zh-CN" w:bidi="ar-SA"/>
              </w:rPr>
              <w:t>5</w:t>
            </w:r>
            <w:r>
              <w:rPr>
                <w:rFonts w:hint="eastAsia" w:ascii="宋体" w:hAnsi="宋体" w:eastAsia="宋体" w:cs="宋体"/>
                <w:b w:val="0"/>
                <w:bCs w:val="0"/>
                <w:color w:val="auto"/>
                <w:kern w:val="2"/>
                <w:sz w:val="21"/>
                <w:szCs w:val="21"/>
                <w:highlight w:val="none"/>
                <w:lang w:val="en-US" w:eastAsia="zh-CN" w:bidi="ar-SA"/>
              </w:rPr>
              <w:t>月</w:t>
            </w:r>
            <w:r>
              <w:rPr>
                <w:rFonts w:hint="eastAsia" w:ascii="宋体" w:hAnsi="宋体" w:cs="宋体"/>
                <w:b w:val="0"/>
                <w:bCs w:val="0"/>
                <w:color w:val="auto"/>
                <w:kern w:val="2"/>
                <w:sz w:val="21"/>
                <w:szCs w:val="21"/>
                <w:highlight w:val="none"/>
                <w:lang w:val="en-US" w:eastAsia="zh-CN" w:bidi="ar-SA"/>
              </w:rPr>
              <w:t>13</w:t>
            </w:r>
            <w:r>
              <w:rPr>
                <w:rFonts w:hint="eastAsia" w:ascii="宋体" w:hAnsi="宋体" w:eastAsia="宋体" w:cs="宋体"/>
                <w:b w:val="0"/>
                <w:bCs w:val="0"/>
                <w:color w:val="auto"/>
                <w:kern w:val="2"/>
                <w:sz w:val="21"/>
                <w:szCs w:val="21"/>
                <w:highlight w:val="none"/>
                <w:lang w:val="en-US" w:eastAsia="zh-CN" w:bidi="ar-SA"/>
              </w:rPr>
              <w:t>日</w:t>
            </w:r>
            <w:r>
              <w:rPr>
                <w:rFonts w:hint="eastAsia" w:ascii="宋体" w:hAnsi="宋体" w:eastAsia="宋体" w:cs="宋体"/>
                <w:b w:val="0"/>
                <w:bCs w:val="0"/>
                <w:color w:val="auto"/>
                <w:kern w:val="2"/>
                <w:sz w:val="21"/>
                <w:szCs w:val="21"/>
                <w:highlight w:val="none"/>
                <w:lang w:val="en-US" w:eastAsia="zh-CN" w:bidi="ar-SA"/>
              </w:rPr>
              <w:t>09：30（北京时间）前提交响应文件。</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bookmarkStart w:id="6" w:name="_Toc28359012"/>
      <w:bookmarkStart w:id="7" w:name="_Toc28359089"/>
      <w:bookmarkStart w:id="8" w:name="_Toc35393798"/>
      <w:bookmarkStart w:id="9" w:name="_Toc35393629"/>
      <w:r>
        <w:rPr>
          <w:rFonts w:hint="eastAsia" w:ascii="宋体" w:hAnsi="宋体" w:eastAsia="宋体" w:cs="宋体"/>
          <w:b/>
          <w:bCs/>
          <w:color w:val="auto"/>
          <w:sz w:val="21"/>
          <w:szCs w:val="21"/>
          <w:highlight w:val="none"/>
        </w:rPr>
        <w:t>一、项目基本情况</w:t>
      </w:r>
      <w:bookmarkEnd w:id="6"/>
      <w:bookmarkEnd w:id="7"/>
      <w:bookmarkEnd w:id="8"/>
      <w:bookmarkEnd w:id="9"/>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项目编号：GLZC2024-C2-250181-GXXX</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 w:val="0"/>
          <w:bCs w:val="0"/>
          <w:color w:val="auto"/>
          <w:kern w:val="2"/>
          <w:sz w:val="21"/>
          <w:szCs w:val="21"/>
          <w:highlight w:val="none"/>
          <w:u w:val="none"/>
          <w:lang w:val="en-US" w:eastAsia="zh-CN" w:bidi="ar-SA"/>
        </w:rPr>
      </w:pPr>
      <w:r>
        <w:rPr>
          <w:rFonts w:hint="eastAsia" w:ascii="宋体" w:hAnsi="宋体" w:eastAsia="宋体" w:cs="宋体"/>
          <w:color w:val="auto"/>
          <w:sz w:val="21"/>
          <w:szCs w:val="21"/>
          <w:highlight w:val="none"/>
        </w:rPr>
        <w:t>项目名称：</w:t>
      </w:r>
      <w:r>
        <w:rPr>
          <w:rFonts w:hint="eastAsia" w:ascii="宋体" w:hAnsi="宋体" w:eastAsia="宋体" w:cs="宋体"/>
          <w:b w:val="0"/>
          <w:bCs w:val="0"/>
          <w:color w:val="auto"/>
          <w:kern w:val="2"/>
          <w:sz w:val="21"/>
          <w:szCs w:val="21"/>
          <w:highlight w:val="none"/>
          <w:u w:val="none"/>
          <w:lang w:val="en-US" w:eastAsia="zh-CN" w:bidi="ar-SA"/>
        </w:rPr>
        <w:t>兴安县</w:t>
      </w:r>
      <w:r>
        <w:rPr>
          <w:rFonts w:hint="eastAsia" w:ascii="宋体" w:hAnsi="宋体" w:cs="宋体"/>
          <w:b w:val="0"/>
          <w:bCs w:val="0"/>
          <w:color w:val="auto"/>
          <w:kern w:val="2"/>
          <w:sz w:val="21"/>
          <w:szCs w:val="21"/>
          <w:highlight w:val="none"/>
          <w:u w:val="none"/>
          <w:lang w:val="en-US" w:eastAsia="zh-CN" w:bidi="ar-SA"/>
        </w:rPr>
        <w:t>溶江镇市民广场阙楼工程</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采购方式：竞争性磋商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预算金额（元）：</w:t>
      </w:r>
      <w:r>
        <w:rPr>
          <w:rFonts w:hint="eastAsia" w:ascii="宋体" w:hAnsi="宋体" w:cs="宋体"/>
          <w:b w:val="0"/>
          <w:bCs w:val="0"/>
          <w:color w:val="auto"/>
          <w:kern w:val="2"/>
          <w:sz w:val="21"/>
          <w:szCs w:val="21"/>
          <w:highlight w:val="none"/>
          <w:lang w:val="en-US" w:eastAsia="zh-CN" w:bidi="ar-SA"/>
        </w:rPr>
        <w:t>1056029.72元。</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 w:val="0"/>
          <w:bCs w:val="0"/>
          <w:color w:val="auto"/>
          <w:kern w:val="2"/>
          <w:sz w:val="21"/>
          <w:szCs w:val="21"/>
          <w:highlight w:val="none"/>
          <w:u w:val="none"/>
          <w:lang w:val="en-US" w:eastAsia="zh-CN" w:bidi="ar-SA"/>
        </w:rPr>
      </w:pPr>
      <w:r>
        <w:rPr>
          <w:rFonts w:hint="eastAsia" w:ascii="宋体" w:hAnsi="宋体" w:eastAsia="宋体" w:cs="宋体"/>
          <w:b w:val="0"/>
          <w:bCs w:val="0"/>
          <w:color w:val="auto"/>
          <w:sz w:val="21"/>
          <w:szCs w:val="21"/>
          <w:highlight w:val="none"/>
          <w:lang w:val="en-US" w:eastAsia="zh-CN"/>
        </w:rPr>
        <w:t>标项名称：</w:t>
      </w:r>
      <w:r>
        <w:rPr>
          <w:rFonts w:hint="eastAsia" w:ascii="宋体" w:hAnsi="宋体" w:eastAsia="宋体" w:cs="宋体"/>
          <w:b w:val="0"/>
          <w:bCs w:val="0"/>
          <w:color w:val="auto"/>
          <w:kern w:val="2"/>
          <w:sz w:val="21"/>
          <w:szCs w:val="21"/>
          <w:highlight w:val="none"/>
          <w:u w:val="none"/>
          <w:lang w:val="en-US" w:eastAsia="zh-CN" w:bidi="ar-SA"/>
        </w:rPr>
        <w:t>兴安县</w:t>
      </w:r>
      <w:r>
        <w:rPr>
          <w:rFonts w:hint="eastAsia" w:ascii="宋体" w:hAnsi="宋体" w:cs="宋体"/>
          <w:b w:val="0"/>
          <w:bCs w:val="0"/>
          <w:color w:val="auto"/>
          <w:kern w:val="2"/>
          <w:sz w:val="21"/>
          <w:szCs w:val="21"/>
          <w:highlight w:val="none"/>
          <w:u w:val="none"/>
          <w:lang w:val="en-US" w:eastAsia="zh-CN" w:bidi="ar-SA"/>
        </w:rPr>
        <w:t>溶江镇市民广场阙楼工程</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数量：1</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简要规格描述或项目基本概况介绍、用途：</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（1）本工程属</w:t>
      </w:r>
      <w:r>
        <w:rPr>
          <w:rFonts w:hint="eastAsia" w:ascii="宋体" w:hAnsi="宋体" w:cs="宋体"/>
          <w:b w:val="0"/>
          <w:bCs w:val="0"/>
          <w:color w:val="auto"/>
          <w:sz w:val="21"/>
          <w:szCs w:val="21"/>
          <w:highlight w:val="none"/>
          <w:lang w:val="en-US" w:eastAsia="zh-CN"/>
        </w:rPr>
        <w:t>景观标志性建筑</w:t>
      </w:r>
      <w:r>
        <w:rPr>
          <w:rFonts w:hint="eastAsia" w:ascii="宋体" w:hAnsi="宋体" w:eastAsia="宋体" w:cs="宋体"/>
          <w:b w:val="0"/>
          <w:bCs w:val="0"/>
          <w:color w:val="auto"/>
          <w:sz w:val="21"/>
          <w:szCs w:val="21"/>
          <w:highlight w:val="none"/>
          <w:lang w:val="en-US" w:eastAsia="zh-CN"/>
        </w:rPr>
        <w:t>，其主要建设内容</w:t>
      </w:r>
      <w:r>
        <w:rPr>
          <w:rFonts w:hint="eastAsia" w:ascii="宋体" w:hAnsi="宋体" w:cs="宋体"/>
          <w:b w:val="0"/>
          <w:bCs w:val="0"/>
          <w:color w:val="auto"/>
          <w:sz w:val="21"/>
          <w:szCs w:val="21"/>
          <w:highlight w:val="none"/>
          <w:lang w:val="en-US" w:eastAsia="zh-CN"/>
        </w:rPr>
        <w:t>拟建阙楼两座，广场两侧回填种植土后种植绿化，绿化面积约2500平方米</w:t>
      </w:r>
      <w:r>
        <w:rPr>
          <w:rFonts w:hint="eastAsia" w:ascii="宋体" w:hAnsi="宋体" w:eastAsia="宋体" w:cs="宋体"/>
          <w:b w:val="0"/>
          <w:bCs w:val="0"/>
          <w:color w:val="auto"/>
          <w:sz w:val="21"/>
          <w:szCs w:val="21"/>
          <w:highlight w:val="none"/>
          <w:lang w:val="en-US" w:eastAsia="zh-CN"/>
        </w:rPr>
        <w:t>。具体详见施工图纸及财评后工程量清单。</w:t>
      </w:r>
    </w:p>
    <w:p>
      <w:pPr>
        <w:pStyle w:val="8"/>
        <w:keepNext w:val="0"/>
        <w:keepLines w:val="0"/>
        <w:pageBreakBefore w:val="0"/>
        <w:widowControl/>
        <w:numPr>
          <w:ilvl w:val="0"/>
          <w:numId w:val="0"/>
        </w:numPr>
        <w:kinsoku w:val="0"/>
        <w:wordWrap/>
        <w:overflowPunct/>
        <w:topLinePunct w:val="0"/>
        <w:autoSpaceDE w:val="0"/>
        <w:autoSpaceDN w:val="0"/>
        <w:bidi w:val="0"/>
        <w:adjustRightInd w:val="0"/>
        <w:snapToGrid w:val="0"/>
        <w:spacing w:after="0" w:line="400" w:lineRule="exact"/>
        <w:ind w:right="0" w:rightChars="0" w:firstLine="420" w:firstLineChars="200"/>
        <w:textAlignment w:val="baseline"/>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（2）要求工期：</w:t>
      </w:r>
      <w:r>
        <w:rPr>
          <w:rFonts w:hint="eastAsia" w:ascii="宋体" w:hAnsi="宋体" w:cs="宋体"/>
          <w:b w:val="0"/>
          <w:bCs w:val="0"/>
          <w:color w:val="auto"/>
          <w:kern w:val="2"/>
          <w:sz w:val="21"/>
          <w:szCs w:val="21"/>
          <w:highlight w:val="none"/>
          <w:lang w:val="en-US" w:eastAsia="zh-CN" w:bidi="ar-SA"/>
        </w:rPr>
        <w:t>60</w:t>
      </w:r>
      <w:r>
        <w:rPr>
          <w:rFonts w:hint="eastAsia" w:ascii="宋体" w:hAnsi="宋体" w:eastAsia="宋体" w:cs="宋体"/>
          <w:b w:val="0"/>
          <w:bCs w:val="0"/>
          <w:color w:val="auto"/>
          <w:kern w:val="2"/>
          <w:sz w:val="21"/>
          <w:szCs w:val="21"/>
          <w:highlight w:val="none"/>
          <w:lang w:val="en-US" w:eastAsia="zh-CN" w:bidi="ar-SA"/>
        </w:rPr>
        <w:t>日历天；</w:t>
      </w:r>
    </w:p>
    <w:p>
      <w:pPr>
        <w:pStyle w:val="8"/>
        <w:keepNext w:val="0"/>
        <w:keepLines w:val="0"/>
        <w:pageBreakBefore w:val="0"/>
        <w:widowControl/>
        <w:numPr>
          <w:ilvl w:val="0"/>
          <w:numId w:val="0"/>
        </w:numPr>
        <w:kinsoku w:val="0"/>
        <w:wordWrap/>
        <w:overflowPunct/>
        <w:topLinePunct w:val="0"/>
        <w:autoSpaceDE w:val="0"/>
        <w:autoSpaceDN w:val="0"/>
        <w:bidi w:val="0"/>
        <w:adjustRightInd w:val="0"/>
        <w:snapToGrid w:val="0"/>
        <w:spacing w:after="0" w:line="400" w:lineRule="exact"/>
        <w:ind w:right="0" w:rightChars="0" w:firstLine="420" w:firstLineChars="200"/>
        <w:textAlignment w:val="baseline"/>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（3）质量要求：达到国家施工验收规范合格标准。</w:t>
      </w:r>
    </w:p>
    <w:p>
      <w:pPr>
        <w:pStyle w:val="8"/>
        <w:keepNext w:val="0"/>
        <w:keepLines w:val="0"/>
        <w:pageBreakBefore w:val="0"/>
        <w:widowControl/>
        <w:numPr>
          <w:ilvl w:val="0"/>
          <w:numId w:val="0"/>
        </w:numPr>
        <w:kinsoku w:val="0"/>
        <w:wordWrap/>
        <w:overflowPunct/>
        <w:topLinePunct w:val="0"/>
        <w:autoSpaceDE w:val="0"/>
        <w:autoSpaceDN w:val="0"/>
        <w:bidi w:val="0"/>
        <w:adjustRightInd w:val="0"/>
        <w:snapToGrid w:val="0"/>
        <w:spacing w:after="0" w:line="400" w:lineRule="exact"/>
        <w:ind w:right="0" w:rightChars="0" w:firstLine="420" w:firstLineChars="200"/>
        <w:textAlignment w:val="baseline"/>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最高限价（如有） ：</w:t>
      </w:r>
      <w:r>
        <w:rPr>
          <w:rFonts w:hint="eastAsia" w:ascii="宋体" w:hAnsi="宋体" w:cs="宋体"/>
          <w:b w:val="0"/>
          <w:bCs w:val="0"/>
          <w:color w:val="auto"/>
          <w:kern w:val="2"/>
          <w:sz w:val="21"/>
          <w:szCs w:val="21"/>
          <w:highlight w:val="none"/>
          <w:lang w:val="en-US" w:eastAsia="zh-CN" w:bidi="ar-SA"/>
        </w:rPr>
        <w:t>1056029.72</w:t>
      </w:r>
      <w:r>
        <w:rPr>
          <w:rFonts w:hint="eastAsia" w:ascii="宋体" w:hAnsi="宋体" w:eastAsia="宋体" w:cs="宋体"/>
          <w:b w:val="0"/>
          <w:bCs w:val="0"/>
          <w:color w:val="auto"/>
          <w:kern w:val="2"/>
          <w:sz w:val="21"/>
          <w:szCs w:val="21"/>
          <w:highlight w:val="none"/>
          <w:lang w:val="en-US" w:eastAsia="zh-CN" w:bidi="ar-SA"/>
        </w:rPr>
        <w:t>元</w:t>
      </w:r>
    </w:p>
    <w:p>
      <w:pPr>
        <w:pStyle w:val="8"/>
        <w:keepNext w:val="0"/>
        <w:keepLines w:val="0"/>
        <w:pageBreakBefore w:val="0"/>
        <w:widowControl/>
        <w:numPr>
          <w:ilvl w:val="0"/>
          <w:numId w:val="0"/>
        </w:numPr>
        <w:tabs>
          <w:tab w:val="left" w:pos="6534"/>
        </w:tabs>
        <w:kinsoku w:val="0"/>
        <w:wordWrap/>
        <w:overflowPunct/>
        <w:topLinePunct w:val="0"/>
        <w:autoSpaceDE w:val="0"/>
        <w:autoSpaceDN w:val="0"/>
        <w:bidi w:val="0"/>
        <w:adjustRightInd w:val="0"/>
        <w:snapToGrid w:val="0"/>
        <w:spacing w:after="0" w:line="400" w:lineRule="exact"/>
        <w:ind w:right="0" w:rightChars="0" w:firstLine="420" w:firstLineChars="200"/>
        <w:textAlignment w:val="baseline"/>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合同履约期限：自合同签订之日起</w:t>
      </w:r>
      <w:r>
        <w:rPr>
          <w:rFonts w:hint="eastAsia" w:ascii="宋体" w:hAnsi="宋体" w:cs="宋体"/>
          <w:b w:val="0"/>
          <w:bCs w:val="0"/>
          <w:color w:val="auto"/>
          <w:kern w:val="2"/>
          <w:sz w:val="21"/>
          <w:szCs w:val="21"/>
          <w:highlight w:val="none"/>
          <w:lang w:val="en-US" w:eastAsia="zh-CN" w:bidi="ar-SA"/>
        </w:rPr>
        <w:t>60</w:t>
      </w:r>
      <w:r>
        <w:rPr>
          <w:rFonts w:hint="eastAsia" w:ascii="宋体" w:hAnsi="宋体" w:eastAsia="宋体" w:cs="宋体"/>
          <w:b w:val="0"/>
          <w:bCs w:val="0"/>
          <w:color w:val="auto"/>
          <w:kern w:val="2"/>
          <w:sz w:val="21"/>
          <w:szCs w:val="21"/>
          <w:highlight w:val="none"/>
          <w:lang w:val="en-US" w:eastAsia="zh-CN" w:bidi="ar-SA"/>
        </w:rPr>
        <w:t>个日历天内完工。</w:t>
      </w:r>
      <w:r>
        <w:rPr>
          <w:rFonts w:hint="eastAsia" w:ascii="宋体" w:hAnsi="宋体" w:cs="宋体"/>
          <w:b w:val="0"/>
          <w:bCs w:val="0"/>
          <w:color w:val="auto"/>
          <w:kern w:val="2"/>
          <w:sz w:val="21"/>
          <w:szCs w:val="21"/>
          <w:highlight w:val="none"/>
          <w:lang w:val="en-US" w:eastAsia="zh-CN" w:bidi="ar-SA"/>
        </w:rPr>
        <w:tab/>
      </w:r>
    </w:p>
    <w:p>
      <w:pPr>
        <w:pStyle w:val="8"/>
        <w:keepNext w:val="0"/>
        <w:keepLines w:val="0"/>
        <w:pageBreakBefore w:val="0"/>
        <w:widowControl/>
        <w:numPr>
          <w:ilvl w:val="0"/>
          <w:numId w:val="0"/>
        </w:numPr>
        <w:kinsoku w:val="0"/>
        <w:wordWrap/>
        <w:overflowPunct/>
        <w:topLinePunct w:val="0"/>
        <w:autoSpaceDE w:val="0"/>
        <w:autoSpaceDN w:val="0"/>
        <w:bidi w:val="0"/>
        <w:adjustRightInd w:val="0"/>
        <w:snapToGrid w:val="0"/>
        <w:spacing w:after="0" w:line="400" w:lineRule="exact"/>
        <w:ind w:right="0" w:rightChars="0" w:firstLine="420" w:firstLineChars="200"/>
        <w:textAlignment w:val="baseline"/>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本标项（否）接受联合体投标</w:t>
      </w:r>
    </w:p>
    <w:p>
      <w:pPr>
        <w:pStyle w:val="8"/>
        <w:keepNext w:val="0"/>
        <w:keepLines w:val="0"/>
        <w:pageBreakBefore w:val="0"/>
        <w:widowControl/>
        <w:numPr>
          <w:ilvl w:val="0"/>
          <w:numId w:val="0"/>
        </w:numPr>
        <w:kinsoku w:val="0"/>
        <w:wordWrap/>
        <w:overflowPunct/>
        <w:topLinePunct w:val="0"/>
        <w:autoSpaceDE w:val="0"/>
        <w:autoSpaceDN w:val="0"/>
        <w:bidi w:val="0"/>
        <w:adjustRightInd w:val="0"/>
        <w:snapToGrid w:val="0"/>
        <w:spacing w:after="0" w:line="400" w:lineRule="exact"/>
        <w:ind w:right="0" w:rightChars="0" w:firstLine="420" w:firstLineChars="200"/>
        <w:textAlignment w:val="baseline"/>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备注：本项目为线上电子标项目，有意向参与本项目的供应商应当做好参与全流程电子标交易的充分准备。</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color w:val="auto"/>
          <w:sz w:val="21"/>
          <w:szCs w:val="21"/>
          <w:highlight w:val="none"/>
        </w:rPr>
      </w:pPr>
      <w:bookmarkStart w:id="10" w:name="_Toc28359090"/>
      <w:bookmarkStart w:id="11" w:name="_Toc28359013"/>
      <w:bookmarkStart w:id="12" w:name="_Toc35393799"/>
      <w:bookmarkStart w:id="13" w:name="_Toc35393630"/>
      <w:r>
        <w:rPr>
          <w:rFonts w:hint="eastAsia" w:ascii="宋体" w:hAnsi="宋体" w:eastAsia="宋体" w:cs="宋体"/>
          <w:b/>
          <w:bCs/>
          <w:color w:val="auto"/>
          <w:sz w:val="21"/>
          <w:szCs w:val="21"/>
          <w:highlight w:val="none"/>
        </w:rPr>
        <w:t>二、申请人的资格要求：</w:t>
      </w:r>
      <w:bookmarkEnd w:id="10"/>
      <w:bookmarkEnd w:id="11"/>
      <w:bookmarkEnd w:id="12"/>
      <w:bookmarkEnd w:id="13"/>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lang w:eastAsia="zh-CN"/>
        </w:rPr>
      </w:pPr>
      <w:bookmarkStart w:id="14" w:name="_Toc28359091"/>
      <w:bookmarkStart w:id="15" w:name="_Toc28359014"/>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落实政府采购政策需满足的资格要求：</w:t>
      </w:r>
      <w:r>
        <w:rPr>
          <w:rFonts w:hint="eastAsia" w:ascii="宋体" w:hAnsi="宋体" w:eastAsia="宋体" w:cs="宋体"/>
          <w:color w:val="auto"/>
          <w:sz w:val="21"/>
          <w:szCs w:val="21"/>
          <w:highlight w:val="none"/>
          <w:lang w:eastAsia="zh-CN"/>
        </w:rPr>
        <w:t>本项目为</w:t>
      </w:r>
      <w:r>
        <w:rPr>
          <w:rFonts w:hint="eastAsia" w:ascii="宋体" w:hAnsi="宋体" w:eastAsia="宋体" w:cs="宋体"/>
          <w:color w:val="auto"/>
          <w:sz w:val="21"/>
          <w:szCs w:val="21"/>
          <w:highlight w:val="none"/>
        </w:rPr>
        <w:t>专门面向中小</w:t>
      </w:r>
      <w:r>
        <w:rPr>
          <w:rFonts w:hint="eastAsia" w:ascii="宋体" w:hAnsi="宋体" w:eastAsia="宋体" w:cs="宋体"/>
          <w:color w:val="auto"/>
          <w:sz w:val="21"/>
          <w:szCs w:val="21"/>
          <w:highlight w:val="none"/>
          <w:lang w:eastAsia="zh-CN"/>
        </w:rPr>
        <w:t>微</w:t>
      </w:r>
      <w:r>
        <w:rPr>
          <w:rFonts w:hint="eastAsia" w:ascii="宋体" w:hAnsi="宋体" w:eastAsia="宋体" w:cs="宋体"/>
          <w:color w:val="auto"/>
          <w:sz w:val="21"/>
          <w:szCs w:val="21"/>
          <w:highlight w:val="none"/>
        </w:rPr>
        <w:t>企业采购的项目（供应商应为中小微企业、监狱企业、残疾人福利性单位)</w:t>
      </w:r>
      <w:r>
        <w:rPr>
          <w:rFonts w:hint="eastAsia" w:ascii="宋体" w:hAnsi="宋体" w:eastAsia="宋体" w:cs="宋体"/>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bCs/>
          <w:color w:val="auto"/>
          <w:sz w:val="21"/>
          <w:szCs w:val="21"/>
          <w:highlight w:val="none"/>
        </w:rPr>
        <w:t>本项目的特定资格要求：</w:t>
      </w:r>
      <w:bookmarkStart w:id="16" w:name="_Toc35393800"/>
      <w:bookmarkStart w:id="17" w:name="_Toc35393631"/>
      <w:r>
        <w:rPr>
          <w:rFonts w:hint="eastAsia" w:ascii="宋体" w:hAnsi="宋体" w:eastAsia="宋体" w:cs="宋体"/>
          <w:color w:val="auto"/>
          <w:sz w:val="21"/>
          <w:szCs w:val="21"/>
          <w:highlight w:val="none"/>
          <w:lang w:val="en-US" w:eastAsia="zh-CN"/>
        </w:rPr>
        <w:t>具备</w:t>
      </w:r>
      <w:r>
        <w:rPr>
          <w:rFonts w:hint="eastAsia" w:ascii="宋体" w:hAnsi="宋体" w:cs="宋体"/>
          <w:color w:val="auto"/>
          <w:sz w:val="21"/>
          <w:szCs w:val="21"/>
          <w:highlight w:val="none"/>
          <w:lang w:val="en-US" w:eastAsia="zh-CN"/>
        </w:rPr>
        <w:t>建筑工程施工总承包</w:t>
      </w:r>
      <w:r>
        <w:rPr>
          <w:rFonts w:hint="eastAsia" w:ascii="宋体" w:hAnsi="宋体" w:eastAsia="宋体" w:cs="宋体"/>
          <w:color w:val="auto"/>
          <w:sz w:val="21"/>
          <w:szCs w:val="21"/>
          <w:highlight w:val="none"/>
          <w:lang w:val="en-US" w:eastAsia="zh-CN"/>
        </w:rPr>
        <w:t>三级</w:t>
      </w:r>
      <w:r>
        <w:rPr>
          <w:rFonts w:hint="eastAsia" w:ascii="宋体" w:hAnsi="宋体" w:eastAsia="宋体" w:cs="宋体"/>
          <w:color w:val="auto"/>
          <w:sz w:val="21"/>
          <w:szCs w:val="21"/>
          <w:highlight w:val="none"/>
          <w:lang w:val="en-US" w:eastAsia="zh-CN"/>
        </w:rPr>
        <w:t>及以上资质，并在人员、设备、资金等方面具备相应的施工能力。供应商拟派项目经理须具有</w:t>
      </w:r>
      <w:r>
        <w:rPr>
          <w:rFonts w:hint="eastAsia" w:ascii="宋体" w:hAnsi="宋体" w:cs="宋体"/>
          <w:color w:val="auto"/>
          <w:sz w:val="21"/>
          <w:szCs w:val="21"/>
          <w:highlight w:val="none"/>
          <w:lang w:val="en-US" w:eastAsia="zh-CN"/>
        </w:rPr>
        <w:t>建筑工程</w:t>
      </w:r>
      <w:r>
        <w:rPr>
          <w:rFonts w:hint="eastAsia" w:ascii="宋体" w:hAnsi="宋体" w:eastAsia="宋体" w:cs="宋体"/>
          <w:color w:val="auto"/>
          <w:sz w:val="21"/>
          <w:szCs w:val="21"/>
          <w:highlight w:val="none"/>
          <w:lang w:val="en-US" w:eastAsia="zh-CN"/>
        </w:rPr>
        <w:t>专业</w:t>
      </w:r>
      <w:r>
        <w:rPr>
          <w:rFonts w:hint="eastAsia" w:ascii="宋体" w:hAnsi="宋体" w:eastAsia="宋体" w:cs="宋体"/>
          <w:color w:val="auto"/>
          <w:sz w:val="21"/>
          <w:szCs w:val="21"/>
          <w:highlight w:val="none"/>
          <w:lang w:val="en-US" w:eastAsia="zh-CN"/>
        </w:rPr>
        <w:t>的二级及以上注册建造师和有</w:t>
      </w:r>
      <w:r>
        <w:rPr>
          <w:rFonts w:hint="eastAsia" w:ascii="宋体" w:hAnsi="宋体" w:eastAsia="宋体" w:cs="宋体"/>
          <w:color w:val="auto"/>
          <w:kern w:val="0"/>
          <w:sz w:val="21"/>
          <w:szCs w:val="21"/>
          <w:highlight w:val="none"/>
        </w:rPr>
        <w:t>效的安全生产考核合格证书（B类）</w:t>
      </w:r>
      <w:r>
        <w:rPr>
          <w:rFonts w:hint="eastAsia" w:ascii="宋体" w:hAnsi="宋体" w:cs="宋体"/>
          <w:color w:val="auto"/>
          <w:kern w:val="0"/>
          <w:sz w:val="21"/>
          <w:szCs w:val="21"/>
          <w:highlight w:val="none"/>
          <w:lang w:val="en-US" w:eastAsia="zh-CN"/>
        </w:rPr>
        <w:t>。</w:t>
      </w:r>
    </w:p>
    <w:bookmarkEnd w:id="14"/>
    <w:bookmarkEnd w:id="15"/>
    <w:bookmarkEnd w:id="16"/>
    <w:bookmarkEnd w:id="17"/>
    <w:p>
      <w:pPr>
        <w:keepNext w:val="0"/>
        <w:keepLines w:val="0"/>
        <w:pageBreakBefore w:val="0"/>
        <w:widowControl w:val="0"/>
        <w:kinsoku/>
        <w:wordWrap/>
        <w:overflowPunct/>
        <w:topLinePunct w:val="0"/>
        <w:bidi w:val="0"/>
        <w:snapToGrid/>
        <w:spacing w:line="400" w:lineRule="exact"/>
        <w:textAlignment w:val="auto"/>
        <w:rPr>
          <w:rFonts w:hint="eastAsia" w:ascii="宋体" w:hAnsi="宋体" w:eastAsia="宋体" w:cs="宋体"/>
          <w:b/>
          <w:bCs/>
          <w:color w:val="auto"/>
          <w:sz w:val="21"/>
          <w:szCs w:val="21"/>
          <w:highlight w:val="none"/>
          <w:lang w:eastAsia="zh-CN"/>
        </w:rPr>
      </w:pPr>
      <w:bookmarkStart w:id="18" w:name="_Toc35393623"/>
      <w:bookmarkStart w:id="19" w:name="_Toc35393792"/>
      <w:bookmarkStart w:id="20" w:name="_Toc35393805"/>
      <w:bookmarkStart w:id="21" w:name="_Toc35393636"/>
      <w:bookmarkStart w:id="22" w:name="_Toc28359095"/>
      <w:bookmarkStart w:id="23" w:name="_Toc28359018"/>
      <w:r>
        <w:rPr>
          <w:rFonts w:hint="eastAsia" w:ascii="宋体" w:hAnsi="宋体" w:eastAsia="宋体" w:cs="宋体"/>
          <w:b/>
          <w:bCs/>
          <w:color w:val="auto"/>
          <w:sz w:val="21"/>
          <w:szCs w:val="21"/>
          <w:highlight w:val="none"/>
        </w:rPr>
        <w:t>三、获取</w:t>
      </w:r>
      <w:r>
        <w:rPr>
          <w:rFonts w:hint="eastAsia" w:ascii="宋体" w:hAnsi="宋体" w:eastAsia="宋体" w:cs="宋体"/>
          <w:b/>
          <w:bCs/>
          <w:color w:val="auto"/>
          <w:sz w:val="21"/>
          <w:szCs w:val="21"/>
          <w:highlight w:val="none"/>
          <w:lang w:eastAsia="zh-CN"/>
        </w:rPr>
        <w:t>采购</w:t>
      </w:r>
      <w:r>
        <w:rPr>
          <w:rFonts w:hint="eastAsia" w:ascii="宋体" w:hAnsi="宋体" w:eastAsia="宋体" w:cs="宋体"/>
          <w:b/>
          <w:bCs/>
          <w:color w:val="auto"/>
          <w:sz w:val="21"/>
          <w:szCs w:val="21"/>
          <w:highlight w:val="none"/>
        </w:rPr>
        <w:t>文件</w:t>
      </w:r>
      <w:bookmarkEnd w:id="18"/>
      <w:bookmarkEnd w:id="19"/>
      <w:r>
        <w:rPr>
          <w:rFonts w:hint="eastAsia" w:ascii="宋体" w:hAnsi="宋体" w:eastAsia="宋体" w:cs="宋体"/>
          <w:b/>
          <w:bCs/>
          <w:color w:val="auto"/>
          <w:sz w:val="21"/>
          <w:szCs w:val="21"/>
          <w:highlight w:val="none"/>
          <w:lang w:eastAsia="zh-CN"/>
        </w:rPr>
        <w:t>：</w:t>
      </w:r>
    </w:p>
    <w:p>
      <w:pPr>
        <w:pStyle w:val="16"/>
        <w:keepNext w:val="0"/>
        <w:keepLines w:val="0"/>
        <w:pageBreakBefore w:val="0"/>
        <w:widowControl/>
        <w:wordWrap/>
        <w:overflowPunct/>
        <w:topLinePunct w:val="0"/>
        <w:bidi w:val="0"/>
        <w:spacing w:before="0" w:beforeAutospacing="0" w:after="0" w:afterAutospacing="0" w:line="400" w:lineRule="exact"/>
        <w:ind w:firstLine="420" w:firstLineChars="200"/>
        <w:rPr>
          <w:rFonts w:hint="eastAsia" w:ascii="宋体" w:hAnsi="宋体" w:eastAsia="宋体" w:cs="宋体"/>
          <w:color w:val="auto"/>
          <w:kern w:val="2"/>
          <w:sz w:val="21"/>
          <w:szCs w:val="21"/>
          <w:highlight w:val="none"/>
          <w:lang w:val="en-US" w:eastAsia="zh-CN" w:bidi="ar-SA"/>
        </w:rPr>
      </w:pPr>
      <w:bookmarkStart w:id="24" w:name="_Toc35393624"/>
      <w:bookmarkStart w:id="25" w:name="_Toc28359005"/>
      <w:bookmarkStart w:id="26" w:name="_Toc28359082"/>
      <w:bookmarkStart w:id="27" w:name="_Toc35393793"/>
      <w:r>
        <w:rPr>
          <w:rFonts w:hint="eastAsia" w:ascii="宋体" w:hAnsi="宋体" w:eastAsia="宋体" w:cs="宋体"/>
          <w:color w:val="auto"/>
          <w:kern w:val="2"/>
          <w:sz w:val="21"/>
          <w:szCs w:val="21"/>
          <w:highlight w:val="none"/>
          <w:lang w:val="en-US" w:eastAsia="zh-CN" w:bidi="ar-SA"/>
        </w:rPr>
        <w:t>时间：</w:t>
      </w:r>
      <w:r>
        <w:rPr>
          <w:rFonts w:hint="eastAsia" w:ascii="宋体" w:hAnsi="宋体" w:eastAsia="宋体" w:cs="宋体"/>
          <w:color w:val="auto"/>
          <w:kern w:val="2"/>
          <w:sz w:val="21"/>
          <w:szCs w:val="21"/>
          <w:highlight w:val="none"/>
          <w:lang w:val="en-US" w:eastAsia="zh-CN" w:bidi="ar-SA"/>
        </w:rPr>
        <w:t>2024年</w:t>
      </w:r>
      <w:r>
        <w:rPr>
          <w:rFonts w:hint="eastAsia" w:cs="宋体"/>
          <w:color w:val="auto"/>
          <w:kern w:val="2"/>
          <w:sz w:val="21"/>
          <w:szCs w:val="21"/>
          <w:highlight w:val="none"/>
          <w:lang w:val="en-US" w:eastAsia="zh-CN" w:bidi="ar-SA"/>
        </w:rPr>
        <w:t>4</w:t>
      </w:r>
      <w:r>
        <w:rPr>
          <w:rFonts w:hint="eastAsia" w:ascii="宋体" w:hAnsi="宋体" w:eastAsia="宋体" w:cs="宋体"/>
          <w:color w:val="auto"/>
          <w:kern w:val="2"/>
          <w:sz w:val="21"/>
          <w:szCs w:val="21"/>
          <w:highlight w:val="none"/>
          <w:lang w:val="en-US" w:eastAsia="zh-CN" w:bidi="ar-SA"/>
        </w:rPr>
        <w:t>月</w:t>
      </w:r>
      <w:r>
        <w:rPr>
          <w:rFonts w:hint="eastAsia" w:cs="宋体"/>
          <w:color w:val="auto"/>
          <w:kern w:val="2"/>
          <w:sz w:val="21"/>
          <w:szCs w:val="21"/>
          <w:highlight w:val="none"/>
          <w:lang w:val="en-US" w:eastAsia="zh-CN" w:bidi="ar-SA"/>
        </w:rPr>
        <w:t>23</w:t>
      </w:r>
      <w:r>
        <w:rPr>
          <w:rFonts w:hint="eastAsia" w:ascii="宋体" w:hAnsi="宋体" w:eastAsia="宋体" w:cs="宋体"/>
          <w:color w:val="auto"/>
          <w:kern w:val="2"/>
          <w:sz w:val="21"/>
          <w:szCs w:val="21"/>
          <w:highlight w:val="none"/>
          <w:lang w:val="en-US" w:eastAsia="zh-CN" w:bidi="ar-SA"/>
        </w:rPr>
        <w:t>日至2024年</w:t>
      </w:r>
      <w:r>
        <w:rPr>
          <w:rFonts w:hint="eastAsia" w:cs="宋体"/>
          <w:color w:val="auto"/>
          <w:kern w:val="2"/>
          <w:sz w:val="21"/>
          <w:szCs w:val="21"/>
          <w:highlight w:val="none"/>
          <w:lang w:val="en-US" w:eastAsia="zh-CN" w:bidi="ar-SA"/>
        </w:rPr>
        <w:t>5</w:t>
      </w:r>
      <w:r>
        <w:rPr>
          <w:rFonts w:hint="eastAsia" w:ascii="宋体" w:hAnsi="宋体" w:eastAsia="宋体" w:cs="宋体"/>
          <w:color w:val="auto"/>
          <w:kern w:val="2"/>
          <w:sz w:val="21"/>
          <w:szCs w:val="21"/>
          <w:highlight w:val="none"/>
          <w:lang w:val="en-US" w:eastAsia="zh-CN" w:bidi="ar-SA"/>
        </w:rPr>
        <w:t>月</w:t>
      </w:r>
      <w:r>
        <w:rPr>
          <w:rFonts w:hint="eastAsia" w:cs="宋体"/>
          <w:color w:val="auto"/>
          <w:kern w:val="2"/>
          <w:sz w:val="21"/>
          <w:szCs w:val="21"/>
          <w:highlight w:val="none"/>
          <w:lang w:val="en-US" w:eastAsia="zh-CN" w:bidi="ar-SA"/>
        </w:rPr>
        <w:t>13</w:t>
      </w:r>
      <w:r>
        <w:rPr>
          <w:rFonts w:hint="eastAsia" w:ascii="宋体" w:hAnsi="宋体" w:eastAsia="宋体" w:cs="宋体"/>
          <w:color w:val="auto"/>
          <w:kern w:val="2"/>
          <w:sz w:val="21"/>
          <w:szCs w:val="21"/>
          <w:highlight w:val="none"/>
          <w:lang w:val="en-US" w:eastAsia="zh-CN" w:bidi="ar-SA"/>
        </w:rPr>
        <w:t>日</w:t>
      </w:r>
      <w:r>
        <w:rPr>
          <w:rFonts w:hint="eastAsia" w:ascii="宋体" w:hAnsi="宋体" w:eastAsia="宋体" w:cs="宋体"/>
          <w:color w:val="auto"/>
          <w:kern w:val="2"/>
          <w:sz w:val="21"/>
          <w:szCs w:val="21"/>
          <w:highlight w:val="none"/>
          <w:lang w:val="en-US" w:eastAsia="zh-CN" w:bidi="ar-SA"/>
        </w:rPr>
        <w:t>，每天上午00:00至12:00，下午12:00至23:59（北京时间，法定节假日除外）。</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地点（网址）：广西政府采购云平台（ https://www.gcy.zfcg.gxzf.gov.cn/）。</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方式：供应商登录广西政府采购云平台（ https://www.gcy.zfcg.gxzf.gov.cn/）在线申请获取采购文件（进入“项目采购”应用，在获取采购文件菜单中选择项目，申请获取采购文件）。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售价（元）：0 </w:t>
      </w:r>
    </w:p>
    <w:p>
      <w:pPr>
        <w:keepNext w:val="0"/>
        <w:keepLines w:val="0"/>
        <w:pageBreakBefore w:val="0"/>
        <w:widowControl w:val="0"/>
        <w:kinsoku/>
        <w:wordWrap/>
        <w:overflowPunct/>
        <w:topLinePunct w:val="0"/>
        <w:bidi w:val="0"/>
        <w:snapToGrid/>
        <w:spacing w:line="400" w:lineRule="exac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四、</w:t>
      </w:r>
      <w:bookmarkEnd w:id="24"/>
      <w:bookmarkEnd w:id="25"/>
      <w:bookmarkEnd w:id="26"/>
      <w:bookmarkEnd w:id="27"/>
      <w:r>
        <w:rPr>
          <w:rFonts w:hint="eastAsia" w:ascii="宋体" w:hAnsi="宋体" w:eastAsia="宋体" w:cs="宋体"/>
          <w:b/>
          <w:bCs/>
          <w:color w:val="auto"/>
          <w:sz w:val="21"/>
          <w:szCs w:val="21"/>
          <w:highlight w:val="none"/>
          <w:lang w:eastAsia="zh-CN"/>
        </w:rPr>
        <w:t>响应</w:t>
      </w:r>
      <w:r>
        <w:rPr>
          <w:rFonts w:hint="eastAsia" w:ascii="宋体" w:hAnsi="宋体" w:eastAsia="宋体" w:cs="宋体"/>
          <w:b/>
          <w:bCs/>
          <w:color w:val="auto"/>
          <w:sz w:val="21"/>
          <w:szCs w:val="21"/>
          <w:highlight w:val="none"/>
        </w:rPr>
        <w:t>文件</w:t>
      </w:r>
      <w:r>
        <w:rPr>
          <w:rFonts w:hint="eastAsia" w:ascii="宋体" w:hAnsi="宋体" w:eastAsia="宋体" w:cs="宋体"/>
          <w:b/>
          <w:bCs/>
          <w:color w:val="auto"/>
          <w:sz w:val="21"/>
          <w:szCs w:val="21"/>
          <w:highlight w:val="none"/>
          <w:lang w:eastAsia="zh-CN"/>
        </w:rPr>
        <w:t>提交</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eastAsia="zh-CN"/>
        </w:rPr>
        <w:t>截止</w:t>
      </w:r>
      <w:r>
        <w:rPr>
          <w:rFonts w:hint="eastAsia" w:ascii="宋体" w:hAnsi="宋体" w:eastAsia="宋体" w:cs="宋体"/>
          <w:bCs/>
          <w:color w:val="auto"/>
          <w:sz w:val="21"/>
          <w:szCs w:val="21"/>
          <w:highlight w:val="none"/>
        </w:rPr>
        <w:t>时间：</w:t>
      </w:r>
      <w:r>
        <w:rPr>
          <w:rFonts w:hint="eastAsia" w:ascii="宋体" w:hAnsi="宋体" w:eastAsia="宋体" w:cs="宋体"/>
          <w:color w:val="auto"/>
          <w:sz w:val="21"/>
          <w:szCs w:val="21"/>
          <w:highlight w:val="none"/>
          <w:lang w:eastAsia="zh-CN"/>
        </w:rPr>
        <w:t>20</w:t>
      </w:r>
      <w:r>
        <w:rPr>
          <w:rFonts w:hint="eastAsia" w:ascii="宋体" w:hAnsi="宋体" w:eastAsia="宋体" w:cs="宋体"/>
          <w:color w:val="auto"/>
          <w:sz w:val="21"/>
          <w:szCs w:val="21"/>
          <w:highlight w:val="none"/>
          <w:lang w:val="en-US" w:eastAsia="zh-CN"/>
        </w:rPr>
        <w:t>24</w:t>
      </w:r>
      <w:r>
        <w:rPr>
          <w:rFonts w:hint="eastAsia" w:ascii="宋体" w:hAnsi="宋体" w:eastAsia="宋体" w:cs="宋体"/>
          <w:color w:val="auto"/>
          <w:sz w:val="21"/>
          <w:szCs w:val="21"/>
          <w:highlight w:val="none"/>
          <w:lang w:eastAsia="zh-CN"/>
        </w:rPr>
        <w:t>年</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lang w:eastAsia="zh-CN"/>
        </w:rPr>
        <w:t>月</w:t>
      </w:r>
      <w:r>
        <w:rPr>
          <w:rFonts w:hint="eastAsia" w:ascii="宋体" w:hAnsi="宋体" w:cs="宋体"/>
          <w:color w:val="auto"/>
          <w:sz w:val="21"/>
          <w:szCs w:val="21"/>
          <w:highlight w:val="none"/>
          <w:lang w:val="en-US" w:eastAsia="zh-CN"/>
        </w:rPr>
        <w:t>13</w:t>
      </w:r>
      <w:r>
        <w:rPr>
          <w:rFonts w:hint="eastAsia" w:ascii="宋体" w:hAnsi="宋体" w:eastAsia="宋体" w:cs="宋体"/>
          <w:color w:val="auto"/>
          <w:sz w:val="21"/>
          <w:szCs w:val="21"/>
          <w:highlight w:val="none"/>
          <w:lang w:eastAsia="zh-CN"/>
        </w:rPr>
        <w:t>日</w:t>
      </w:r>
      <w:r>
        <w:rPr>
          <w:rFonts w:hint="eastAsia" w:ascii="宋体" w:hAnsi="宋体" w:eastAsia="宋体" w:cs="宋体"/>
          <w:color w:val="auto"/>
          <w:sz w:val="21"/>
          <w:szCs w:val="21"/>
          <w:highlight w:val="none"/>
          <w:lang w:val="en-US" w:eastAsia="zh-CN"/>
        </w:rPr>
        <w:t>9时30分</w:t>
      </w:r>
      <w:r>
        <w:rPr>
          <w:rFonts w:hint="eastAsia" w:ascii="宋体" w:hAnsi="宋体" w:eastAsia="宋体" w:cs="宋体"/>
          <w:bCs/>
          <w:color w:val="auto"/>
          <w:sz w:val="21"/>
          <w:szCs w:val="21"/>
          <w:highlight w:val="none"/>
        </w:rPr>
        <w:t>（北京时间）。</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点：通过广西政府采购云平台实行在线投标。</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五、</w:t>
      </w:r>
      <w:r>
        <w:rPr>
          <w:rFonts w:hint="eastAsia" w:ascii="宋体" w:hAnsi="宋体" w:eastAsia="宋体" w:cs="宋体"/>
          <w:b/>
          <w:bCs/>
          <w:color w:val="auto"/>
          <w:sz w:val="21"/>
          <w:szCs w:val="21"/>
          <w:highlight w:val="none"/>
          <w:lang w:eastAsia="zh-CN"/>
        </w:rPr>
        <w:t>响应</w:t>
      </w:r>
      <w:r>
        <w:rPr>
          <w:rFonts w:hint="eastAsia" w:ascii="宋体" w:hAnsi="宋体" w:eastAsia="宋体" w:cs="宋体"/>
          <w:b/>
          <w:bCs/>
          <w:color w:val="auto"/>
          <w:sz w:val="21"/>
          <w:szCs w:val="21"/>
          <w:highlight w:val="none"/>
        </w:rPr>
        <w:t>文件开启</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时间：</w:t>
      </w:r>
      <w:r>
        <w:rPr>
          <w:rFonts w:hint="eastAsia" w:ascii="宋体" w:hAnsi="宋体" w:eastAsia="宋体" w:cs="宋体"/>
          <w:color w:val="auto"/>
          <w:sz w:val="21"/>
          <w:szCs w:val="21"/>
          <w:highlight w:val="none"/>
          <w:lang w:eastAsia="zh-CN"/>
        </w:rPr>
        <w:t>20</w:t>
      </w:r>
      <w:r>
        <w:rPr>
          <w:rFonts w:hint="eastAsia" w:ascii="宋体" w:hAnsi="宋体" w:eastAsia="宋体" w:cs="宋体"/>
          <w:color w:val="auto"/>
          <w:sz w:val="21"/>
          <w:szCs w:val="21"/>
          <w:highlight w:val="none"/>
          <w:lang w:val="en-US" w:eastAsia="zh-CN"/>
        </w:rPr>
        <w:t>24</w:t>
      </w:r>
      <w:r>
        <w:rPr>
          <w:rFonts w:hint="eastAsia" w:ascii="宋体" w:hAnsi="宋体" w:eastAsia="宋体" w:cs="宋体"/>
          <w:color w:val="auto"/>
          <w:sz w:val="21"/>
          <w:szCs w:val="21"/>
          <w:highlight w:val="none"/>
          <w:lang w:eastAsia="zh-CN"/>
        </w:rPr>
        <w:t>年</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lang w:eastAsia="zh-CN"/>
        </w:rPr>
        <w:t>月</w:t>
      </w:r>
      <w:r>
        <w:rPr>
          <w:rFonts w:hint="eastAsia" w:ascii="宋体" w:hAnsi="宋体" w:cs="宋体"/>
          <w:color w:val="auto"/>
          <w:sz w:val="21"/>
          <w:szCs w:val="21"/>
          <w:highlight w:val="none"/>
          <w:lang w:val="en-US" w:eastAsia="zh-CN"/>
        </w:rPr>
        <w:t>13</w:t>
      </w:r>
      <w:r>
        <w:rPr>
          <w:rFonts w:hint="eastAsia" w:ascii="宋体" w:hAnsi="宋体" w:eastAsia="宋体" w:cs="宋体"/>
          <w:color w:val="auto"/>
          <w:sz w:val="21"/>
          <w:szCs w:val="21"/>
          <w:highlight w:val="none"/>
          <w:lang w:eastAsia="zh-CN"/>
        </w:rPr>
        <w:t>日</w:t>
      </w:r>
      <w:r>
        <w:rPr>
          <w:rFonts w:hint="eastAsia" w:ascii="宋体" w:hAnsi="宋体" w:eastAsia="宋体" w:cs="宋体"/>
          <w:color w:val="auto"/>
          <w:sz w:val="21"/>
          <w:szCs w:val="21"/>
          <w:highlight w:val="none"/>
          <w:lang w:val="en-US" w:eastAsia="zh-CN"/>
        </w:rPr>
        <w:t>9时30分</w:t>
      </w:r>
      <w:r>
        <w:rPr>
          <w:rFonts w:hint="eastAsia" w:ascii="宋体" w:hAnsi="宋体" w:eastAsia="宋体" w:cs="宋体"/>
          <w:color w:val="auto"/>
          <w:sz w:val="21"/>
          <w:szCs w:val="21"/>
          <w:highlight w:val="none"/>
        </w:rPr>
        <w:t>（北京时间）截标。</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rPr>
      </w:pPr>
      <w:bookmarkStart w:id="28" w:name="_Toc28359007"/>
      <w:bookmarkStart w:id="29" w:name="_Toc35393625"/>
      <w:bookmarkStart w:id="30" w:name="_Toc35393794"/>
      <w:bookmarkStart w:id="31" w:name="_Toc28359084"/>
      <w:r>
        <w:rPr>
          <w:rFonts w:hint="eastAsia" w:ascii="宋体" w:hAnsi="宋体" w:eastAsia="宋体" w:cs="宋体"/>
          <w:color w:val="auto"/>
          <w:sz w:val="21"/>
          <w:szCs w:val="21"/>
          <w:highlight w:val="none"/>
        </w:rPr>
        <w:t>地点：</w:t>
      </w:r>
      <w:r>
        <w:rPr>
          <w:rFonts w:hint="eastAsia" w:ascii="宋体" w:hAnsi="宋体" w:eastAsia="宋体" w:cs="宋体"/>
          <w:color w:val="auto"/>
          <w:sz w:val="21"/>
          <w:szCs w:val="21"/>
          <w:highlight w:val="none"/>
        </w:rPr>
        <w:t>桂林市公共资源交易中心</w:t>
      </w:r>
      <w:r>
        <w:rPr>
          <w:rFonts w:hint="eastAsia" w:ascii="宋体" w:hAnsi="宋体" w:cs="宋体"/>
          <w:color w:val="auto"/>
          <w:sz w:val="21"/>
          <w:szCs w:val="21"/>
          <w:highlight w:val="none"/>
          <w:lang w:val="en-US" w:eastAsia="zh-CN"/>
        </w:rPr>
        <w:t>9</w:t>
      </w:r>
      <w:r>
        <w:rPr>
          <w:rFonts w:hint="eastAsia" w:ascii="宋体" w:hAnsi="宋体" w:eastAsia="宋体" w:cs="宋体"/>
          <w:color w:val="auto"/>
          <w:sz w:val="21"/>
          <w:szCs w:val="21"/>
          <w:highlight w:val="none"/>
        </w:rPr>
        <w:t>号开标室</w:t>
      </w:r>
      <w:r>
        <w:rPr>
          <w:rFonts w:hint="eastAsia" w:ascii="宋体" w:hAnsi="宋体" w:eastAsia="宋体" w:cs="宋体"/>
          <w:color w:val="auto"/>
          <w:sz w:val="21"/>
          <w:szCs w:val="21"/>
          <w:highlight w:val="none"/>
        </w:rPr>
        <w:t>（广西桂林市临桂区西城中路69号创业大厦西辅楼4楼北区）通过广西政府采购云平台实行在线解密开启。</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eastAsia="zh-CN"/>
        </w:rPr>
        <w:t>六</w:t>
      </w:r>
      <w:r>
        <w:rPr>
          <w:rFonts w:hint="eastAsia" w:ascii="宋体" w:hAnsi="宋体" w:eastAsia="宋体" w:cs="宋体"/>
          <w:b/>
          <w:bCs/>
          <w:color w:val="auto"/>
          <w:sz w:val="21"/>
          <w:szCs w:val="21"/>
          <w:highlight w:val="none"/>
        </w:rPr>
        <w:t>、公告期限</w:t>
      </w:r>
      <w:bookmarkEnd w:id="28"/>
      <w:bookmarkEnd w:id="29"/>
      <w:bookmarkEnd w:id="30"/>
      <w:bookmarkEnd w:id="31"/>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自本公告发布之日起</w:t>
      </w:r>
      <w:r>
        <w:rPr>
          <w:rFonts w:hint="eastAsia" w:ascii="宋体" w:hAnsi="宋体" w:eastAsia="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个工作日。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color w:val="auto"/>
          <w:sz w:val="21"/>
          <w:szCs w:val="21"/>
          <w:highlight w:val="none"/>
        </w:rPr>
      </w:pPr>
      <w:bookmarkStart w:id="32" w:name="_Toc35393626"/>
      <w:bookmarkStart w:id="33" w:name="_Toc35393795"/>
      <w:r>
        <w:rPr>
          <w:rFonts w:hint="eastAsia" w:ascii="宋体" w:hAnsi="宋体" w:eastAsia="宋体" w:cs="宋体"/>
          <w:b/>
          <w:bCs/>
          <w:color w:val="auto"/>
          <w:sz w:val="21"/>
          <w:szCs w:val="21"/>
          <w:highlight w:val="none"/>
          <w:lang w:eastAsia="zh-CN"/>
        </w:rPr>
        <w:t>七</w:t>
      </w:r>
      <w:r>
        <w:rPr>
          <w:rFonts w:hint="eastAsia" w:ascii="宋体" w:hAnsi="宋体" w:eastAsia="宋体" w:cs="宋体"/>
          <w:b/>
          <w:bCs/>
          <w:color w:val="auto"/>
          <w:sz w:val="21"/>
          <w:szCs w:val="21"/>
          <w:highlight w:val="none"/>
        </w:rPr>
        <w:t>、其他补充事宜</w:t>
      </w:r>
      <w:bookmarkEnd w:id="32"/>
      <w:bookmarkEnd w:id="33"/>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1、</w:t>
      </w:r>
      <w:r>
        <w:rPr>
          <w:rFonts w:hint="eastAsia" w:ascii="宋体" w:hAnsi="宋体" w:eastAsia="宋体" w:cs="宋体"/>
          <w:b/>
          <w:bCs/>
          <w:color w:val="auto"/>
          <w:sz w:val="21"/>
          <w:szCs w:val="21"/>
          <w:highlight w:val="none"/>
        </w:rPr>
        <w:t>本项目无需缴纳</w:t>
      </w:r>
      <w:r>
        <w:rPr>
          <w:rFonts w:hint="eastAsia" w:ascii="宋体" w:hAnsi="宋体" w:eastAsia="宋体" w:cs="宋体"/>
          <w:b/>
          <w:bCs/>
          <w:color w:val="auto"/>
          <w:sz w:val="21"/>
          <w:szCs w:val="21"/>
          <w:highlight w:val="none"/>
          <w:lang w:val="en-US" w:eastAsia="zh-CN"/>
        </w:rPr>
        <w:t>磋商</w:t>
      </w:r>
      <w:r>
        <w:rPr>
          <w:rFonts w:hint="eastAsia" w:ascii="宋体" w:hAnsi="宋体" w:eastAsia="宋体" w:cs="宋体"/>
          <w:b/>
          <w:bCs/>
          <w:color w:val="auto"/>
          <w:sz w:val="21"/>
          <w:szCs w:val="21"/>
          <w:highlight w:val="none"/>
        </w:rPr>
        <w:t>保证金。</w:t>
      </w:r>
    </w:p>
    <w:p>
      <w:pPr>
        <w:keepNext w:val="0"/>
        <w:keepLines w:val="0"/>
        <w:pageBreakBefore w:val="0"/>
        <w:widowControl w:val="0"/>
        <w:numPr>
          <w:ilvl w:val="0"/>
          <w:numId w:val="0"/>
        </w:numPr>
        <w:kinsoku/>
        <w:wordWrap/>
        <w:overflowPunct/>
        <w:topLinePunct w:val="0"/>
        <w:bidi w:val="0"/>
        <w:snapToGrid/>
        <w:spacing w:line="40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2、本项目所属行业：建筑业。</w:t>
      </w:r>
    </w:p>
    <w:p>
      <w:pPr>
        <w:keepNext w:val="0"/>
        <w:keepLines w:val="0"/>
        <w:pageBreakBefore w:val="0"/>
        <w:widowControl w:val="0"/>
        <w:numPr>
          <w:ilvl w:val="0"/>
          <w:numId w:val="0"/>
        </w:numPr>
        <w:kinsoku/>
        <w:wordWrap/>
        <w:overflowPunct/>
        <w:topLinePunct w:val="0"/>
        <w:bidi w:val="0"/>
        <w:snapToGrid/>
        <w:spacing w:line="40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keepNext w:val="0"/>
        <w:keepLines w:val="0"/>
        <w:pageBreakBefore w:val="0"/>
        <w:widowControl w:val="0"/>
        <w:numPr>
          <w:ilvl w:val="0"/>
          <w:numId w:val="0"/>
        </w:numPr>
        <w:kinsoku/>
        <w:wordWrap/>
        <w:overflowPunct/>
        <w:topLinePunct w:val="0"/>
        <w:bidi w:val="0"/>
        <w:snapToGrid/>
        <w:spacing w:line="400" w:lineRule="exact"/>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本项目信息发布媒体：http://www.ccgp.gov.cn（中国政府采购网）、http://zfcg.gxzf.gov.cn（广西壮族自治区政府采购网）、http://zfcg.czj.guilin.gov.cn（桂林市政府采购网）</w:t>
      </w:r>
      <w:r>
        <w:rPr>
          <w:rFonts w:hint="eastAsia" w:ascii="宋体" w:hAnsi="宋体" w:eastAsia="宋体" w:cs="宋体"/>
          <w:color w:val="auto"/>
          <w:sz w:val="21"/>
          <w:szCs w:val="21"/>
          <w:highlight w:val="none"/>
          <w:lang w:eastAsia="zh-CN"/>
        </w:rPr>
        <w:t>。</w:t>
      </w:r>
    </w:p>
    <w:p>
      <w:pPr>
        <w:pStyle w:val="24"/>
        <w:keepNext w:val="0"/>
        <w:keepLines w:val="0"/>
        <w:pageBreakBefore w:val="0"/>
        <w:widowControl w:val="0"/>
        <w:kinsoku/>
        <w:wordWrap/>
        <w:overflowPunct/>
        <w:topLinePunct w:val="0"/>
        <w:bidi w:val="0"/>
        <w:snapToGrid/>
        <w:spacing w:line="40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响应文件解密时间：截标时</w:t>
      </w:r>
      <w:r>
        <w:rPr>
          <w:rFonts w:hint="eastAsia" w:ascii="宋体" w:hAnsi="宋体" w:eastAsia="宋体" w:cs="宋体"/>
          <w:color w:val="auto"/>
          <w:sz w:val="21"/>
          <w:szCs w:val="21"/>
          <w:highlight w:val="none"/>
          <w:u w:val="none"/>
        </w:rPr>
        <w:t>间</w:t>
      </w:r>
      <w:r>
        <w:rPr>
          <w:rFonts w:hint="eastAsia" w:ascii="宋体" w:hAnsi="宋体" w:eastAsia="宋体" w:cs="宋体"/>
          <w:color w:val="auto"/>
          <w:sz w:val="21"/>
          <w:szCs w:val="21"/>
          <w:highlight w:val="none"/>
          <w:u w:val="none"/>
        </w:rPr>
        <w:t>后30分钟内</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供应商可以登录广西政府采购云平台，用“项目采购-开标评标”功能进行解密</w:t>
      </w:r>
      <w:r>
        <w:rPr>
          <w:rFonts w:hint="eastAsia" w:ascii="宋体" w:hAnsi="宋体" w:eastAsia="宋体" w:cs="宋体"/>
          <w:color w:val="auto"/>
          <w:sz w:val="21"/>
          <w:szCs w:val="21"/>
          <w:highlight w:val="none"/>
          <w:lang w:val="en-US" w:eastAsia="zh-CN"/>
        </w:rPr>
        <w:t>电子</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lang w:val="en-US" w:eastAsia="zh-CN"/>
        </w:rPr>
        <w:t>响应</w:t>
      </w:r>
      <w:r>
        <w:rPr>
          <w:rFonts w:hint="eastAsia" w:ascii="宋体" w:hAnsi="宋体" w:eastAsia="宋体" w:cs="宋体"/>
          <w:color w:val="auto"/>
          <w:sz w:val="21"/>
          <w:szCs w:val="21"/>
          <w:highlight w:val="none"/>
        </w:rPr>
        <w:t>文件。若</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供应商在规定时间内无法解密或解密失败，可以以电子备份</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响应文件作为依据</w:t>
      </w:r>
      <w:r>
        <w:rPr>
          <w:rFonts w:hint="eastAsia" w:ascii="宋体" w:hAnsi="宋体" w:eastAsia="宋体" w:cs="宋体"/>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在接到无法解密或解密失败的通知后，供应商可根据自身实际情况按通知时要求的时间到</w:t>
      </w:r>
      <w:r>
        <w:rPr>
          <w:rFonts w:hint="eastAsia" w:ascii="宋体" w:hAnsi="宋体" w:eastAsia="宋体" w:cs="宋体"/>
          <w:b/>
          <w:bCs/>
          <w:color w:val="auto"/>
          <w:sz w:val="21"/>
          <w:szCs w:val="21"/>
          <w:highlight w:val="none"/>
          <w:u w:val="none"/>
          <w:lang w:val="en-US" w:eastAsia="zh-CN"/>
        </w:rPr>
        <w:t>桂林市公共资源交易中心</w:t>
      </w:r>
      <w:r>
        <w:rPr>
          <w:rFonts w:hint="eastAsia" w:ascii="宋体" w:hAnsi="宋体" w:cs="宋体"/>
          <w:b/>
          <w:bCs/>
          <w:color w:val="auto"/>
          <w:sz w:val="21"/>
          <w:szCs w:val="21"/>
          <w:highlight w:val="none"/>
          <w:u w:val="single"/>
          <w:lang w:val="en-US" w:eastAsia="zh-CN"/>
        </w:rPr>
        <w:t xml:space="preserve"> 9</w:t>
      </w:r>
      <w:r>
        <w:rPr>
          <w:rFonts w:hint="eastAsia" w:ascii="宋体" w:hAnsi="宋体" w:eastAsia="宋体" w:cs="宋体"/>
          <w:b/>
          <w:bCs/>
          <w:color w:val="auto"/>
          <w:sz w:val="21"/>
          <w:szCs w:val="21"/>
          <w:highlight w:val="none"/>
          <w:u w:val="single"/>
          <w:lang w:val="en-US" w:eastAsia="zh-CN"/>
        </w:rPr>
        <w:t xml:space="preserve"> </w:t>
      </w:r>
      <w:r>
        <w:rPr>
          <w:rFonts w:hint="eastAsia" w:ascii="宋体" w:hAnsi="宋体" w:eastAsia="宋体" w:cs="宋体"/>
          <w:b/>
          <w:bCs/>
          <w:color w:val="auto"/>
          <w:sz w:val="21"/>
          <w:szCs w:val="21"/>
          <w:highlight w:val="none"/>
          <w:u w:val="none"/>
          <w:lang w:val="en-US" w:eastAsia="zh-CN"/>
        </w:rPr>
        <w:t>号开标室现场提交或以电子邮件的形式（以通知时所告知的电子邮箱地址为准）提交电子备份磋商响应文件</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，若</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供应商在规定时间内无法解密或解密失败且未提供电子备份</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响应文件的</w:t>
      </w:r>
      <w:r>
        <w:rPr>
          <w:rFonts w:hint="eastAsia" w:ascii="宋体" w:hAnsi="宋体" w:eastAsia="宋体" w:cs="宋体"/>
          <w:color w:val="auto"/>
          <w:sz w:val="21"/>
          <w:szCs w:val="21"/>
          <w:highlight w:val="none"/>
          <w:lang w:val="en-US" w:eastAsia="zh-CN"/>
        </w:rPr>
        <w:t>(包含提供的电子备份文件无效或无法解密的情况)</w:t>
      </w:r>
      <w:r>
        <w:rPr>
          <w:rFonts w:hint="eastAsia" w:ascii="宋体" w:hAnsi="宋体" w:eastAsia="宋体" w:cs="宋体"/>
          <w:color w:val="auto"/>
          <w:sz w:val="21"/>
          <w:szCs w:val="21"/>
          <w:highlight w:val="none"/>
        </w:rPr>
        <w:t>，视为</w:t>
      </w:r>
      <w:r>
        <w:rPr>
          <w:rFonts w:hint="eastAsia" w:ascii="宋体" w:hAnsi="宋体" w:eastAsia="宋体" w:cs="宋体"/>
          <w:color w:val="auto"/>
          <w:sz w:val="21"/>
          <w:szCs w:val="21"/>
          <w:highlight w:val="none"/>
          <w:lang w:val="en-US" w:eastAsia="zh-CN"/>
        </w:rPr>
        <w:t>无效</w:t>
      </w:r>
      <w:r>
        <w:rPr>
          <w:rFonts w:hint="eastAsia" w:ascii="宋体" w:hAnsi="宋体" w:eastAsia="宋体" w:cs="宋体"/>
          <w:color w:val="auto"/>
          <w:sz w:val="21"/>
          <w:szCs w:val="21"/>
          <w:highlight w:val="none"/>
        </w:rPr>
        <w:t>响应</w:t>
      </w:r>
      <w:r>
        <w:rPr>
          <w:rFonts w:hint="eastAsia" w:ascii="宋体" w:hAnsi="宋体" w:eastAsia="宋体" w:cs="宋体"/>
          <w:color w:val="auto"/>
          <w:sz w:val="21"/>
          <w:szCs w:val="21"/>
          <w:highlight w:val="none"/>
          <w:lang w:val="en-US" w:eastAsia="zh-CN"/>
        </w:rPr>
        <w:t>。</w:t>
      </w:r>
    </w:p>
    <w:p>
      <w:pPr>
        <w:pStyle w:val="24"/>
        <w:keepNext w:val="0"/>
        <w:keepLines w:val="0"/>
        <w:pageBreakBefore w:val="0"/>
        <w:widowControl w:val="0"/>
        <w:kinsoku/>
        <w:wordWrap/>
        <w:overflowPunct/>
        <w:topLinePunct w:val="0"/>
        <w:bidi w:val="0"/>
        <w:snapToGrid/>
        <w:spacing w:line="40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6、本项目需要落实的政府采购政策：</w:t>
      </w:r>
    </w:p>
    <w:p>
      <w:pPr>
        <w:pStyle w:val="24"/>
        <w:keepNext w:val="0"/>
        <w:keepLines w:val="0"/>
        <w:pageBreakBefore w:val="0"/>
        <w:widowControl w:val="0"/>
        <w:kinsoku/>
        <w:wordWrap/>
        <w:overflowPunct/>
        <w:topLinePunct w:val="0"/>
        <w:bidi w:val="0"/>
        <w:snapToGrid/>
        <w:spacing w:line="40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（1）政府采购促进中小企业发展。</w:t>
      </w:r>
    </w:p>
    <w:p>
      <w:pPr>
        <w:pStyle w:val="24"/>
        <w:keepNext w:val="0"/>
        <w:keepLines w:val="0"/>
        <w:pageBreakBefore w:val="0"/>
        <w:widowControl w:val="0"/>
        <w:kinsoku/>
        <w:wordWrap/>
        <w:overflowPunct/>
        <w:topLinePunct w:val="0"/>
        <w:bidi w:val="0"/>
        <w:snapToGrid/>
        <w:spacing w:line="40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（2）政府采购促进残疾人就业政策。</w:t>
      </w:r>
    </w:p>
    <w:p>
      <w:pPr>
        <w:pStyle w:val="24"/>
        <w:keepNext w:val="0"/>
        <w:keepLines w:val="0"/>
        <w:pageBreakBefore w:val="0"/>
        <w:widowControl w:val="0"/>
        <w:kinsoku/>
        <w:wordWrap/>
        <w:overflowPunct/>
        <w:topLinePunct w:val="0"/>
        <w:bidi w:val="0"/>
        <w:snapToGrid/>
        <w:spacing w:line="40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（3）政府采购支持监狱企业发展。</w:t>
      </w:r>
    </w:p>
    <w:p>
      <w:pPr>
        <w:pStyle w:val="24"/>
        <w:keepNext w:val="0"/>
        <w:keepLines w:val="0"/>
        <w:pageBreakBefore w:val="0"/>
        <w:widowControl w:val="0"/>
        <w:kinsoku/>
        <w:wordWrap/>
        <w:overflowPunct/>
        <w:topLinePunct w:val="0"/>
        <w:bidi w:val="0"/>
        <w:snapToGrid/>
        <w:spacing w:line="400" w:lineRule="exact"/>
        <w:ind w:firstLine="420" w:firstLineChars="200"/>
        <w:textAlignment w:val="auto"/>
        <w:rPr>
          <w:rFonts w:hint="eastAsia" w:ascii="宋体" w:hAnsi="宋体" w:eastAsia="宋体" w:cs="宋体"/>
          <w:b w:val="0"/>
          <w:bCs w:val="0"/>
          <w:color w:val="auto"/>
          <w:sz w:val="21"/>
          <w:szCs w:val="21"/>
          <w:highlight w:val="none"/>
          <w:u w:val="none"/>
          <w:lang w:val="en-US" w:eastAsia="zh-CN"/>
        </w:rPr>
      </w:pPr>
      <w:r>
        <w:rPr>
          <w:rFonts w:hint="eastAsia" w:ascii="宋体" w:hAnsi="宋体" w:eastAsia="宋体" w:cs="宋体"/>
          <w:b w:val="0"/>
          <w:bCs w:val="0"/>
          <w:color w:val="auto"/>
          <w:sz w:val="21"/>
          <w:szCs w:val="21"/>
          <w:highlight w:val="none"/>
          <w:u w:val="none"/>
          <w:lang w:val="en-US" w:eastAsia="zh-CN"/>
        </w:rPr>
        <w:t>7. 广西政府采购云平台在线响应（电子响应）相关事宜说明：</w:t>
      </w:r>
    </w:p>
    <w:p>
      <w:pPr>
        <w:pStyle w:val="24"/>
        <w:keepNext w:val="0"/>
        <w:keepLines w:val="0"/>
        <w:pageBreakBefore w:val="0"/>
        <w:widowControl w:val="0"/>
        <w:kinsoku/>
        <w:wordWrap/>
        <w:overflowPunct/>
        <w:topLinePunct w:val="0"/>
        <w:bidi w:val="0"/>
        <w:snapToGrid/>
        <w:spacing w:line="400" w:lineRule="exact"/>
        <w:ind w:firstLine="420" w:firstLineChars="200"/>
        <w:textAlignment w:val="auto"/>
        <w:rPr>
          <w:rFonts w:hint="eastAsia" w:ascii="宋体" w:hAnsi="宋体" w:eastAsia="宋体" w:cs="宋体"/>
          <w:b w:val="0"/>
          <w:bCs w:val="0"/>
          <w:color w:val="auto"/>
          <w:sz w:val="21"/>
          <w:szCs w:val="21"/>
          <w:highlight w:val="none"/>
          <w:u w:val="none"/>
          <w:lang w:val="en-US" w:eastAsia="zh-CN"/>
        </w:rPr>
      </w:pPr>
      <w:r>
        <w:rPr>
          <w:rFonts w:hint="eastAsia" w:ascii="宋体" w:hAnsi="宋体" w:eastAsia="宋体" w:cs="宋体"/>
          <w:b w:val="0"/>
          <w:bCs w:val="0"/>
          <w:color w:val="auto"/>
          <w:sz w:val="21"/>
          <w:szCs w:val="21"/>
          <w:highlight w:val="none"/>
          <w:u w:val="none"/>
          <w:lang w:val="en-US" w:eastAsia="zh-CN"/>
        </w:rPr>
        <w:t>7.1本项目实行全流程电子化采购，供应商通过广西政府采购云平台参与在线响应（电子响应），并应做好以下相关准备工作：①在广西政府采购云平台注册成为正式供应商【操作方法详见广西政府采购网（访问地址http://zfcg.gxzf.gov.cn/）—办事服务—办事指南】；②完成CA证书申领和绑定（费用由供应商自行承担，办理流程详见广西壮族自治区政府采购网—办事服务—下载专区，完成CA证书办理预计一周左右，建议供应商尽快办理）；③下载“广西政府采购云平台新版客户端”（操作方法详见广西壮族自治区政府采购网—办事服务—下载专区）并安装成功，供应商应当在提交响应文件截止时间前在广西政府采购云平台完成的身份认证，确保能够对相关数据电文进行加密和使用电子签章；④自备计算机和网络设备并确保能接入互联网（费用由供应商自行承担，设备确保可进行视频通话和读取政采云CA证书）。因供应商未做好相关准备工作等自身原因导致无法参加本项目在线响应（电子响应）或响应失败的，造成的一切后果，由供应商自行承担。</w:t>
      </w:r>
    </w:p>
    <w:p>
      <w:pPr>
        <w:pStyle w:val="24"/>
        <w:keepNext w:val="0"/>
        <w:keepLines w:val="0"/>
        <w:pageBreakBefore w:val="0"/>
        <w:widowControl w:val="0"/>
        <w:kinsoku/>
        <w:wordWrap/>
        <w:overflowPunct/>
        <w:topLinePunct w:val="0"/>
        <w:bidi w:val="0"/>
        <w:snapToGrid/>
        <w:spacing w:line="400" w:lineRule="exact"/>
        <w:ind w:firstLine="420" w:firstLineChars="200"/>
        <w:textAlignment w:val="auto"/>
        <w:rPr>
          <w:rFonts w:hint="eastAsia" w:ascii="宋体" w:hAnsi="宋体" w:eastAsia="宋体" w:cs="宋体"/>
          <w:b w:val="0"/>
          <w:bCs w:val="0"/>
          <w:color w:val="auto"/>
          <w:sz w:val="21"/>
          <w:szCs w:val="21"/>
          <w:highlight w:val="none"/>
          <w:u w:val="none"/>
          <w:lang w:val="en-US" w:eastAsia="zh-CN"/>
        </w:rPr>
      </w:pPr>
      <w:r>
        <w:rPr>
          <w:rFonts w:hint="eastAsia" w:ascii="宋体" w:hAnsi="宋体" w:eastAsia="宋体" w:cs="宋体"/>
          <w:b w:val="0"/>
          <w:bCs w:val="0"/>
          <w:color w:val="auto"/>
          <w:sz w:val="21"/>
          <w:szCs w:val="21"/>
          <w:highlight w:val="none"/>
          <w:u w:val="none"/>
          <w:lang w:val="en-US" w:eastAsia="zh-CN"/>
        </w:rPr>
        <w:t>7.2在线响应（电子响应）具体操作流程参考《政府采购项目电子交易管理操作指南-供应商》【详见广西政府采购网（访问地址http://zfcg.gxzf.gov.cn/）—办事服务—下载专区-广西壮族自治区全流程电子招投标项目管理系统--供应商客户端】；如遇平台技术问题详询95763。</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凡对本次采购提出询问，请按以下方式联系。</w:t>
      </w:r>
      <w:bookmarkEnd w:id="20"/>
      <w:bookmarkEnd w:id="21"/>
      <w:bookmarkEnd w:id="22"/>
      <w:bookmarkEnd w:id="23"/>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1、采购人信息</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名称：</w:t>
      </w:r>
      <w:r>
        <w:rPr>
          <w:rFonts w:hint="eastAsia" w:ascii="宋体" w:hAnsi="宋体" w:eastAsia="宋体" w:cs="宋体"/>
          <w:color w:val="auto"/>
          <w:sz w:val="21"/>
          <w:szCs w:val="21"/>
          <w:highlight w:val="none"/>
          <w:lang w:eastAsia="zh-CN"/>
        </w:rPr>
        <w:t>兴安县</w:t>
      </w:r>
      <w:r>
        <w:rPr>
          <w:rFonts w:hint="eastAsia" w:ascii="宋体" w:hAnsi="宋体" w:cs="宋体"/>
          <w:color w:val="auto"/>
          <w:sz w:val="21"/>
          <w:szCs w:val="21"/>
          <w:highlight w:val="none"/>
          <w:lang w:val="en-US" w:eastAsia="zh-CN"/>
        </w:rPr>
        <w:t>溶江镇人民政府</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地址：</w:t>
      </w:r>
      <w:r>
        <w:rPr>
          <w:rFonts w:hint="eastAsia" w:ascii="宋体" w:hAnsi="宋体" w:cs="宋体"/>
          <w:color w:val="auto"/>
          <w:sz w:val="21"/>
          <w:szCs w:val="21"/>
          <w:highlight w:val="none"/>
          <w:lang w:val="en-US" w:eastAsia="zh-CN"/>
        </w:rPr>
        <w:t>兴安县溶江镇革命街</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联系人：</w:t>
      </w:r>
      <w:r>
        <w:rPr>
          <w:rFonts w:hint="eastAsia" w:ascii="宋体" w:hAnsi="宋体" w:cs="宋体"/>
          <w:color w:val="auto"/>
          <w:sz w:val="21"/>
          <w:szCs w:val="21"/>
          <w:highlight w:val="none"/>
          <w:lang w:val="en-US" w:eastAsia="zh-CN"/>
        </w:rPr>
        <w:t>彭主任</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联系电话：</w:t>
      </w:r>
      <w:r>
        <w:rPr>
          <w:rFonts w:hint="eastAsia" w:ascii="宋体" w:hAnsi="宋体" w:cs="宋体"/>
          <w:color w:val="auto"/>
          <w:sz w:val="21"/>
          <w:szCs w:val="21"/>
          <w:highlight w:val="none"/>
          <w:lang w:val="en-US" w:eastAsia="zh-CN"/>
        </w:rPr>
        <w:t>0773-</w:t>
      </w:r>
      <w:r>
        <w:rPr>
          <w:rFonts w:hint="eastAsia" w:ascii="宋体" w:hAnsi="宋体" w:eastAsia="宋体" w:cs="宋体"/>
          <w:color w:val="auto"/>
          <w:sz w:val="21"/>
          <w:szCs w:val="21"/>
          <w:highlight w:val="none"/>
          <w:lang w:val="en-US" w:eastAsia="zh-CN"/>
        </w:rPr>
        <w:t>6052117</w:t>
      </w:r>
      <w:r>
        <w:rPr>
          <w:rFonts w:hint="eastAsia" w:ascii="宋体" w:hAnsi="宋体" w:eastAsia="宋体" w:cs="宋体"/>
          <w:color w:val="auto"/>
          <w:sz w:val="21"/>
          <w:szCs w:val="21"/>
          <w:highlight w:val="none"/>
        </w:rPr>
        <w:tab/>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采购代理机构信息</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名称：</w:t>
      </w:r>
      <w:r>
        <w:rPr>
          <w:rFonts w:hint="eastAsia" w:ascii="宋体" w:hAnsi="宋体" w:eastAsia="宋体" w:cs="宋体"/>
          <w:color w:val="auto"/>
          <w:szCs w:val="21"/>
          <w:highlight w:val="none"/>
          <w:lang w:eastAsia="zh-CN"/>
        </w:rPr>
        <w:t>广西星鑫建设工程咨询有限公司</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地址：</w:t>
      </w:r>
      <w:r>
        <w:rPr>
          <w:rFonts w:hint="eastAsia" w:ascii="宋体" w:hAnsi="宋体" w:eastAsia="宋体" w:cs="宋体"/>
          <w:color w:val="auto"/>
          <w:szCs w:val="21"/>
          <w:highlight w:val="none"/>
        </w:rPr>
        <w:t>桂林市七星区朝阳路高新区信息产业园D-08号内的工业厂房2号楼第3层</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项目联系人：</w:t>
      </w:r>
      <w:r>
        <w:rPr>
          <w:rFonts w:hint="eastAsia" w:ascii="宋体" w:hAnsi="宋体" w:eastAsia="宋体" w:cs="宋体"/>
          <w:color w:val="auto"/>
          <w:szCs w:val="21"/>
          <w:highlight w:val="none"/>
          <w:lang w:val="en-US" w:eastAsia="zh-CN"/>
        </w:rPr>
        <w:t>张</w:t>
      </w:r>
      <w:r>
        <w:rPr>
          <w:rFonts w:hint="eastAsia" w:ascii="宋体" w:hAnsi="宋体" w:cs="宋体"/>
          <w:color w:val="auto"/>
          <w:szCs w:val="21"/>
          <w:highlight w:val="none"/>
          <w:lang w:val="en-US" w:eastAsia="zh-CN"/>
        </w:rPr>
        <w:t>工</w:t>
      </w:r>
      <w:r>
        <w:rPr>
          <w:rFonts w:hint="eastAsia" w:ascii="宋体" w:hAnsi="宋体" w:eastAsia="宋体" w:cs="宋体"/>
          <w:color w:val="auto"/>
          <w:sz w:val="21"/>
          <w:szCs w:val="21"/>
          <w:highlight w:val="none"/>
        </w:rPr>
        <w:t xml:space="preserve">    联系电话</w:t>
      </w:r>
      <w:r>
        <w:rPr>
          <w:rFonts w:hint="eastAsia" w:ascii="宋体" w:hAnsi="宋体" w:cs="宋体"/>
          <w:color w:val="auto"/>
          <w:sz w:val="21"/>
          <w:szCs w:val="21"/>
          <w:highlight w:val="none"/>
          <w:lang w:eastAsia="zh-CN"/>
        </w:rPr>
        <w:t>：</w:t>
      </w:r>
      <w:r>
        <w:rPr>
          <w:rFonts w:hint="eastAsia" w:ascii="宋体" w:hAnsi="宋体" w:eastAsia="宋体" w:cs="宋体"/>
          <w:color w:val="auto"/>
          <w:szCs w:val="21"/>
          <w:highlight w:val="none"/>
        </w:rPr>
        <w:t>0773-5872088</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eastAsia="zh-CN"/>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righ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w:t>
      </w:r>
      <w:r>
        <w:rPr>
          <w:rFonts w:hint="eastAsia" w:ascii="宋体" w:hAnsi="宋体" w:eastAsia="宋体" w:cs="宋体"/>
          <w:color w:val="auto"/>
          <w:sz w:val="21"/>
          <w:szCs w:val="21"/>
          <w:highlight w:val="none"/>
          <w:lang w:val="en-US" w:eastAsia="zh-CN"/>
        </w:rPr>
        <w:t>24</w:t>
      </w:r>
      <w:r>
        <w:rPr>
          <w:rFonts w:hint="eastAsia" w:ascii="宋体" w:hAnsi="宋体" w:eastAsia="宋体" w:cs="宋体"/>
          <w:color w:val="auto"/>
          <w:sz w:val="21"/>
          <w:szCs w:val="21"/>
          <w:highlight w:val="none"/>
        </w:rPr>
        <w:t>年</w:t>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rPr>
        <w:t>月</w:t>
      </w:r>
      <w:r>
        <w:rPr>
          <w:rFonts w:hint="eastAsia" w:ascii="宋体" w:hAnsi="宋体" w:cs="宋体"/>
          <w:color w:val="auto"/>
          <w:sz w:val="21"/>
          <w:szCs w:val="21"/>
          <w:highlight w:val="none"/>
          <w:lang w:val="en-US" w:eastAsia="zh-CN"/>
        </w:rPr>
        <w:t>23</w:t>
      </w:r>
      <w:r>
        <w:rPr>
          <w:rFonts w:hint="eastAsia" w:ascii="宋体" w:hAnsi="宋体" w:eastAsia="宋体" w:cs="宋体"/>
          <w:color w:val="auto"/>
          <w:sz w:val="21"/>
          <w:szCs w:val="21"/>
          <w:highlight w:val="none"/>
        </w:rPr>
        <w:t>日</w:t>
      </w:r>
      <w:bookmarkStart w:id="34" w:name="_Toc26924"/>
    </w:p>
    <w:p>
      <w:pPr>
        <w:pStyle w:val="5"/>
        <w:rPr>
          <w:rFonts w:hint="eastAsia" w:ascii="宋体" w:hAnsi="宋体" w:eastAsia="宋体" w:cs="宋体"/>
          <w:color w:val="auto"/>
          <w:sz w:val="21"/>
          <w:szCs w:val="21"/>
          <w:highlight w:val="none"/>
        </w:rPr>
      </w:pPr>
    </w:p>
    <w:p>
      <w:pPr>
        <w:rPr>
          <w:rFonts w:hint="eastAsia" w:ascii="宋体" w:hAnsi="宋体" w:eastAsia="宋体" w:cs="宋体"/>
          <w:color w:val="auto"/>
          <w:sz w:val="21"/>
          <w:szCs w:val="21"/>
          <w:highlight w:val="none"/>
        </w:rPr>
      </w:pPr>
    </w:p>
    <w:p>
      <w:pPr>
        <w:pStyle w:val="5"/>
        <w:rPr>
          <w:rFonts w:hint="eastAsia" w:ascii="宋体" w:hAnsi="宋体" w:eastAsia="宋体" w:cs="宋体"/>
          <w:color w:val="auto"/>
          <w:sz w:val="21"/>
          <w:szCs w:val="21"/>
          <w:highlight w:val="none"/>
        </w:rPr>
      </w:pPr>
    </w:p>
    <w:p>
      <w:pPr>
        <w:rPr>
          <w:rFonts w:hint="eastAsia" w:ascii="宋体" w:hAnsi="宋体" w:eastAsia="宋体" w:cs="宋体"/>
          <w:color w:val="auto"/>
          <w:sz w:val="21"/>
          <w:szCs w:val="21"/>
          <w:highlight w:val="none"/>
        </w:rPr>
      </w:pPr>
    </w:p>
    <w:p>
      <w:pPr>
        <w:pStyle w:val="5"/>
        <w:rPr>
          <w:rFonts w:hint="eastAsia" w:ascii="宋体" w:hAnsi="宋体" w:eastAsia="宋体" w:cs="宋体"/>
          <w:color w:val="auto"/>
          <w:sz w:val="21"/>
          <w:szCs w:val="21"/>
          <w:highlight w:val="none"/>
        </w:rPr>
      </w:pPr>
    </w:p>
    <w:p>
      <w:pPr>
        <w:rPr>
          <w:rFonts w:hint="eastAsia" w:ascii="宋体" w:hAnsi="宋体" w:eastAsia="宋体" w:cs="宋体"/>
          <w:color w:val="auto"/>
          <w:sz w:val="21"/>
          <w:szCs w:val="21"/>
          <w:highlight w:val="none"/>
        </w:rPr>
      </w:pPr>
    </w:p>
    <w:p>
      <w:pPr>
        <w:pStyle w:val="3"/>
        <w:keepNext/>
        <w:keepLines/>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sz w:val="21"/>
          <w:szCs w:val="21"/>
          <w:highlight w:val="none"/>
          <w:lang w:eastAsia="zh-CN"/>
        </w:rPr>
      </w:pPr>
    </w:p>
    <w:p>
      <w:pPr>
        <w:rPr>
          <w:rFonts w:hint="eastAsia" w:ascii="宋体" w:hAnsi="宋体" w:eastAsia="宋体" w:cs="宋体"/>
          <w:color w:val="auto"/>
          <w:sz w:val="21"/>
          <w:szCs w:val="21"/>
          <w:highlight w:val="none"/>
          <w:lang w:eastAsia="zh-CN"/>
        </w:rPr>
      </w:pPr>
    </w:p>
    <w:p>
      <w:pPr>
        <w:pStyle w:val="8"/>
        <w:rPr>
          <w:rFonts w:hint="eastAsia" w:ascii="宋体" w:hAnsi="宋体" w:eastAsia="宋体" w:cs="宋体"/>
          <w:color w:val="auto"/>
          <w:sz w:val="21"/>
          <w:szCs w:val="21"/>
          <w:highlight w:val="none"/>
          <w:lang w:eastAsia="zh-CN"/>
        </w:rPr>
      </w:pPr>
    </w:p>
    <w:p>
      <w:pPr>
        <w:rPr>
          <w:rFonts w:hint="eastAsia" w:ascii="宋体" w:hAnsi="宋体" w:eastAsia="宋体" w:cs="宋体"/>
          <w:color w:val="auto"/>
          <w:sz w:val="21"/>
          <w:szCs w:val="21"/>
          <w:highlight w:val="none"/>
          <w:lang w:eastAsia="zh-CN"/>
        </w:rPr>
      </w:pPr>
    </w:p>
    <w:p>
      <w:pPr>
        <w:pStyle w:val="8"/>
        <w:rPr>
          <w:rFonts w:hint="eastAsia"/>
          <w:color w:val="auto"/>
          <w:highlight w:val="none"/>
          <w:lang w:eastAsia="zh-CN"/>
        </w:rPr>
      </w:pPr>
    </w:p>
    <w:p>
      <w:pPr>
        <w:pStyle w:val="3"/>
        <w:keepNext/>
        <w:keepLines/>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color w:val="auto"/>
          <w:sz w:val="21"/>
          <w:szCs w:val="21"/>
          <w:highlight w:val="none"/>
          <w:lang w:eastAsia="zh-CN"/>
        </w:rPr>
      </w:pPr>
      <w:bookmarkStart w:id="35" w:name="_Toc16146"/>
    </w:p>
    <w:p>
      <w:pPr>
        <w:pStyle w:val="3"/>
        <w:keepNext/>
        <w:keepLines/>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color w:val="auto"/>
          <w:sz w:val="21"/>
          <w:szCs w:val="21"/>
          <w:highlight w:val="none"/>
          <w:lang w:eastAsia="zh-CN"/>
        </w:rPr>
      </w:pPr>
    </w:p>
    <w:p>
      <w:pP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br w:type="page"/>
      </w:r>
    </w:p>
    <w:p>
      <w:pPr>
        <w:pStyle w:val="3"/>
        <w:keepNext/>
        <w:keepLines/>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第二章</w:t>
      </w:r>
      <w:r>
        <w:rPr>
          <w:rFonts w:hint="eastAsia" w:ascii="宋体" w:hAnsi="宋体" w:eastAsia="宋体" w:cs="宋体"/>
          <w:color w:val="auto"/>
          <w:sz w:val="32"/>
          <w:szCs w:val="32"/>
          <w:highlight w:val="none"/>
          <w:lang w:val="en-US" w:eastAsia="zh-CN"/>
        </w:rPr>
        <w:t xml:space="preserve"> </w:t>
      </w:r>
      <w:r>
        <w:rPr>
          <w:rFonts w:hint="eastAsia" w:ascii="宋体" w:hAnsi="宋体" w:eastAsia="宋体" w:cs="宋体"/>
          <w:color w:val="auto"/>
          <w:sz w:val="32"/>
          <w:szCs w:val="32"/>
          <w:highlight w:val="none"/>
        </w:rPr>
        <w:t>供应商须知</w:t>
      </w:r>
      <w:bookmarkEnd w:id="35"/>
    </w:p>
    <w:p>
      <w:pPr>
        <w:pStyle w:val="2"/>
        <w:keepNext/>
        <w:keepLines/>
        <w:pageBreakBefore w:val="0"/>
        <w:widowControl w:val="0"/>
        <w:tabs>
          <w:tab w:val="left" w:pos="567"/>
        </w:tabs>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color w:val="auto"/>
          <w:sz w:val="21"/>
          <w:szCs w:val="21"/>
          <w:highlight w:val="none"/>
          <w:lang w:eastAsia="zh-CN"/>
        </w:rPr>
      </w:pPr>
      <w:bookmarkStart w:id="36" w:name="_Toc1585"/>
      <w:bookmarkStart w:id="37" w:name="_Toc13547"/>
      <w:bookmarkStart w:id="38" w:name="_Toc25063"/>
      <w:bookmarkStart w:id="39" w:name="_Toc9508"/>
      <w:bookmarkStart w:id="40" w:name="_Toc23030"/>
      <w:r>
        <w:rPr>
          <w:rFonts w:hint="eastAsia" w:ascii="宋体" w:hAnsi="宋体" w:eastAsia="宋体" w:cs="宋体"/>
          <w:b/>
          <w:bCs w:val="0"/>
          <w:color w:val="auto"/>
          <w:sz w:val="21"/>
          <w:szCs w:val="21"/>
          <w:highlight w:val="none"/>
        </w:rPr>
        <w:t>供 应 商 须 知 前 附 表</w:t>
      </w:r>
      <w:bookmarkEnd w:id="36"/>
      <w:bookmarkEnd w:id="37"/>
      <w:bookmarkEnd w:id="38"/>
      <w:bookmarkEnd w:id="39"/>
      <w:bookmarkEnd w:id="40"/>
    </w:p>
    <w:bookmarkEnd w:id="34"/>
    <w:tbl>
      <w:tblPr>
        <w:tblStyle w:val="19"/>
        <w:tblW w:w="102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942"/>
        <w:gridCol w:w="1775"/>
        <w:gridCol w:w="6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62" w:type="dxa"/>
            <w:vAlign w:val="center"/>
          </w:tcPr>
          <w:p>
            <w:pPr>
              <w:pageBreakBefore w:val="0"/>
              <w:widowControl w:val="0"/>
              <w:kinsoku/>
              <w:wordWrap/>
              <w:overflowPunct/>
              <w:topLinePunct w:val="0"/>
              <w:autoSpaceDE/>
              <w:autoSpaceDN/>
              <w:bidi w:val="0"/>
              <w:adjustRightInd/>
              <w:spacing w:line="380" w:lineRule="exact"/>
              <w:ind w:lef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942" w:type="dxa"/>
            <w:vAlign w:val="center"/>
          </w:tcPr>
          <w:p>
            <w:pPr>
              <w:pageBreakBefore w:val="0"/>
              <w:widowControl w:val="0"/>
              <w:kinsoku/>
              <w:wordWrap/>
              <w:overflowPunct/>
              <w:topLinePunct w:val="0"/>
              <w:autoSpaceDE/>
              <w:autoSpaceDN/>
              <w:bidi w:val="0"/>
              <w:adjustRightInd/>
              <w:spacing w:line="380" w:lineRule="exact"/>
              <w:ind w:lef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条款号</w:t>
            </w:r>
          </w:p>
        </w:tc>
        <w:tc>
          <w:tcPr>
            <w:tcW w:w="1775" w:type="dxa"/>
            <w:vAlign w:val="center"/>
          </w:tcPr>
          <w:p>
            <w:pPr>
              <w:pageBreakBefore w:val="0"/>
              <w:widowControl w:val="0"/>
              <w:kinsoku/>
              <w:wordWrap/>
              <w:overflowPunct/>
              <w:topLinePunct w:val="0"/>
              <w:autoSpaceDE/>
              <w:autoSpaceDN/>
              <w:bidi w:val="0"/>
              <w:adjustRightInd/>
              <w:spacing w:line="380" w:lineRule="exact"/>
              <w:ind w:lef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条款名称</w:t>
            </w:r>
          </w:p>
        </w:tc>
        <w:tc>
          <w:tcPr>
            <w:tcW w:w="6912" w:type="dxa"/>
            <w:vAlign w:val="center"/>
          </w:tcPr>
          <w:p>
            <w:pPr>
              <w:pageBreakBefore w:val="0"/>
              <w:widowControl w:val="0"/>
              <w:kinsoku/>
              <w:wordWrap/>
              <w:overflowPunct/>
              <w:topLinePunct w:val="0"/>
              <w:autoSpaceDE/>
              <w:autoSpaceDN/>
              <w:bidi w:val="0"/>
              <w:adjustRightInd/>
              <w:spacing w:line="380" w:lineRule="exact"/>
              <w:ind w:lef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662" w:type="dxa"/>
            <w:vAlign w:val="center"/>
          </w:tcPr>
          <w:p>
            <w:pPr>
              <w:pageBreakBefore w:val="0"/>
              <w:widowControl w:val="0"/>
              <w:kinsoku/>
              <w:wordWrap/>
              <w:overflowPunct/>
              <w:topLinePunct w:val="0"/>
              <w:autoSpaceDE/>
              <w:autoSpaceDN/>
              <w:bidi w:val="0"/>
              <w:adjustRightInd/>
              <w:spacing w:line="380" w:lineRule="exact"/>
              <w:ind w:lef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942" w:type="dxa"/>
            <w:vAlign w:val="center"/>
          </w:tcPr>
          <w:p>
            <w:pPr>
              <w:pageBreakBefore w:val="0"/>
              <w:widowControl w:val="0"/>
              <w:kinsoku/>
              <w:wordWrap/>
              <w:overflowPunct/>
              <w:topLinePunct w:val="0"/>
              <w:autoSpaceDE/>
              <w:autoSpaceDN/>
              <w:bidi w:val="0"/>
              <w:adjustRightInd/>
              <w:spacing w:line="380" w:lineRule="exact"/>
              <w:ind w:lef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w:t>
            </w:r>
          </w:p>
        </w:tc>
        <w:tc>
          <w:tcPr>
            <w:tcW w:w="1775" w:type="dxa"/>
            <w:vAlign w:val="center"/>
          </w:tcPr>
          <w:p>
            <w:pPr>
              <w:pageBreakBefore w:val="0"/>
              <w:widowControl w:val="0"/>
              <w:kinsoku/>
              <w:wordWrap/>
              <w:overflowPunct/>
              <w:topLinePunct w:val="0"/>
              <w:autoSpaceDE/>
              <w:autoSpaceDN/>
              <w:bidi w:val="0"/>
              <w:adjustRightInd/>
              <w:spacing w:line="380" w:lineRule="exact"/>
              <w:ind w:lef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项目名称及项目编号</w:t>
            </w:r>
          </w:p>
        </w:tc>
        <w:tc>
          <w:tcPr>
            <w:tcW w:w="6912" w:type="dxa"/>
            <w:vAlign w:val="center"/>
          </w:tcPr>
          <w:p>
            <w:pPr>
              <w:pageBreakBefore w:val="0"/>
              <w:widowControl w:val="0"/>
              <w:kinsoku/>
              <w:wordWrap/>
              <w:overflowPunct/>
              <w:topLinePunct w:val="0"/>
              <w:autoSpaceDE/>
              <w:autoSpaceDN/>
              <w:bidi w:val="0"/>
              <w:adjustRightInd/>
              <w:spacing w:line="380" w:lineRule="exact"/>
              <w:ind w:left="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项目名称：</w:t>
            </w:r>
            <w:r>
              <w:rPr>
                <w:rFonts w:hint="eastAsia" w:ascii="宋体" w:hAnsi="宋体" w:eastAsia="宋体" w:cs="宋体"/>
                <w:b w:val="0"/>
                <w:bCs w:val="0"/>
                <w:color w:val="auto"/>
                <w:kern w:val="2"/>
                <w:sz w:val="21"/>
                <w:szCs w:val="21"/>
                <w:highlight w:val="none"/>
                <w:u w:val="none"/>
                <w:lang w:val="en-US" w:eastAsia="zh-CN" w:bidi="ar-SA"/>
              </w:rPr>
              <w:t>兴安县</w:t>
            </w:r>
            <w:r>
              <w:rPr>
                <w:rFonts w:hint="eastAsia" w:ascii="宋体" w:hAnsi="宋体" w:cs="宋体"/>
                <w:b w:val="0"/>
                <w:bCs w:val="0"/>
                <w:color w:val="auto"/>
                <w:kern w:val="2"/>
                <w:sz w:val="21"/>
                <w:szCs w:val="21"/>
                <w:highlight w:val="none"/>
                <w:u w:val="none"/>
                <w:lang w:val="en-US" w:eastAsia="zh-CN" w:bidi="ar-SA"/>
              </w:rPr>
              <w:t>溶江镇市民广场阙楼工程</w:t>
            </w:r>
            <w:r>
              <w:rPr>
                <w:rFonts w:hint="eastAsia" w:ascii="宋体" w:hAnsi="宋体" w:eastAsia="宋体" w:cs="宋体"/>
                <w:color w:val="auto"/>
                <w:sz w:val="21"/>
                <w:szCs w:val="21"/>
                <w:highlight w:val="none"/>
                <w:u w:val="none"/>
              </w:rPr>
              <w:t xml:space="preserve"> </w:t>
            </w:r>
          </w:p>
          <w:p>
            <w:pPr>
              <w:pageBreakBefore w:val="0"/>
              <w:widowControl w:val="0"/>
              <w:kinsoku/>
              <w:wordWrap/>
              <w:overflowPunct/>
              <w:topLinePunct w:val="0"/>
              <w:autoSpaceDE/>
              <w:autoSpaceDN/>
              <w:bidi w:val="0"/>
              <w:adjustRightInd/>
              <w:spacing w:line="380" w:lineRule="exact"/>
              <w:ind w:left="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项目编号：GLZC2024-C2-250181-GXXX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5" w:hRule="atLeast"/>
          <w:jc w:val="center"/>
        </w:trPr>
        <w:tc>
          <w:tcPr>
            <w:tcW w:w="662" w:type="dxa"/>
            <w:vAlign w:val="center"/>
          </w:tcPr>
          <w:p>
            <w:pPr>
              <w:pageBreakBefore w:val="0"/>
              <w:widowControl w:val="0"/>
              <w:kinsoku/>
              <w:wordWrap/>
              <w:overflowPunct/>
              <w:topLinePunct w:val="0"/>
              <w:autoSpaceDE/>
              <w:autoSpaceDN/>
              <w:bidi w:val="0"/>
              <w:adjustRightInd/>
              <w:spacing w:line="380" w:lineRule="exact"/>
              <w:ind w:lef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942" w:type="dxa"/>
            <w:vAlign w:val="center"/>
          </w:tcPr>
          <w:p>
            <w:pPr>
              <w:pageBreakBefore w:val="0"/>
              <w:widowControl w:val="0"/>
              <w:kinsoku/>
              <w:wordWrap/>
              <w:overflowPunct/>
              <w:topLinePunct w:val="0"/>
              <w:autoSpaceDE/>
              <w:autoSpaceDN/>
              <w:bidi w:val="0"/>
              <w:adjustRightInd/>
              <w:spacing w:line="380" w:lineRule="exact"/>
              <w:ind w:lef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1775" w:type="dxa"/>
            <w:vAlign w:val="center"/>
          </w:tcPr>
          <w:p>
            <w:pPr>
              <w:pageBreakBefore w:val="0"/>
              <w:widowControl w:val="0"/>
              <w:kinsoku/>
              <w:wordWrap/>
              <w:overflowPunct/>
              <w:topLinePunct w:val="0"/>
              <w:autoSpaceDE/>
              <w:autoSpaceDN/>
              <w:bidi w:val="0"/>
              <w:adjustRightInd/>
              <w:spacing w:line="380" w:lineRule="exact"/>
              <w:ind w:lef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供应商资格</w:t>
            </w:r>
          </w:p>
        </w:tc>
        <w:tc>
          <w:tcPr>
            <w:tcW w:w="6912"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380" w:lineRule="exact"/>
              <w:ind w:left="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3.2、落实政府采购政策需满足的资格要求：本项目为专门面向中小微企业采购的项目（供应商应为中小微企业、监狱企业、残疾人福利性单位)；</w:t>
            </w:r>
          </w:p>
          <w:p>
            <w:pPr>
              <w:keepNext w:val="0"/>
              <w:keepLines w:val="0"/>
              <w:pageBreakBefore w:val="0"/>
              <w:widowControl w:val="0"/>
              <w:kinsoku/>
              <w:wordWrap/>
              <w:overflowPunct/>
              <w:topLinePunct w:val="0"/>
              <w:autoSpaceDE/>
              <w:autoSpaceDN/>
              <w:bidi w:val="0"/>
              <w:adjustRightInd/>
              <w:snapToGrid/>
              <w:spacing w:line="380" w:lineRule="exact"/>
              <w:ind w:left="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3.3、</w:t>
            </w:r>
            <w:r>
              <w:rPr>
                <w:rFonts w:hint="eastAsia" w:ascii="宋体" w:hAnsi="宋体" w:eastAsia="宋体" w:cs="宋体"/>
                <w:color w:val="auto"/>
                <w:sz w:val="21"/>
                <w:szCs w:val="21"/>
                <w:highlight w:val="none"/>
                <w:lang w:val="en-US" w:eastAsia="zh-CN"/>
              </w:rPr>
              <w:t>本项目的特定资格要求：具备</w:t>
            </w:r>
            <w:r>
              <w:rPr>
                <w:rFonts w:hint="eastAsia" w:ascii="宋体" w:hAnsi="宋体" w:cs="宋体"/>
                <w:color w:val="auto"/>
                <w:sz w:val="21"/>
                <w:szCs w:val="21"/>
                <w:highlight w:val="none"/>
                <w:lang w:val="en-US" w:eastAsia="zh-CN"/>
              </w:rPr>
              <w:t>建筑工程施工总</w:t>
            </w:r>
            <w:r>
              <w:rPr>
                <w:rFonts w:hint="eastAsia" w:ascii="宋体" w:hAnsi="宋体" w:eastAsia="宋体" w:cs="宋体"/>
                <w:color w:val="auto"/>
                <w:sz w:val="21"/>
                <w:szCs w:val="21"/>
                <w:highlight w:val="none"/>
                <w:lang w:val="en-US" w:eastAsia="zh-CN"/>
              </w:rPr>
              <w:t>承包三级</w:t>
            </w:r>
            <w:r>
              <w:rPr>
                <w:rFonts w:hint="eastAsia" w:ascii="宋体" w:hAnsi="宋体" w:eastAsia="宋体" w:cs="宋体"/>
                <w:color w:val="auto"/>
                <w:sz w:val="21"/>
                <w:szCs w:val="21"/>
                <w:highlight w:val="none"/>
                <w:lang w:val="en-US" w:eastAsia="zh-CN"/>
              </w:rPr>
              <w:t>及以上资质，并在人员、设备、资金等方面具备相应的施工能力。供应商拟派项目经理须具有</w:t>
            </w:r>
            <w:r>
              <w:rPr>
                <w:rFonts w:hint="eastAsia" w:ascii="宋体" w:hAnsi="宋体" w:cs="宋体"/>
                <w:color w:val="auto"/>
                <w:sz w:val="21"/>
                <w:szCs w:val="21"/>
                <w:highlight w:val="none"/>
                <w:lang w:val="en-US" w:eastAsia="zh-CN"/>
              </w:rPr>
              <w:t>建筑工程</w:t>
            </w:r>
            <w:r>
              <w:rPr>
                <w:rFonts w:hint="eastAsia" w:ascii="宋体" w:hAnsi="宋体" w:eastAsia="宋体" w:cs="宋体"/>
                <w:color w:val="auto"/>
                <w:sz w:val="21"/>
                <w:szCs w:val="21"/>
                <w:highlight w:val="none"/>
                <w:lang w:val="en-US" w:eastAsia="zh-CN"/>
              </w:rPr>
              <w:t>专业</w:t>
            </w:r>
            <w:r>
              <w:rPr>
                <w:rFonts w:hint="eastAsia" w:ascii="宋体" w:hAnsi="宋体" w:eastAsia="宋体" w:cs="宋体"/>
                <w:color w:val="auto"/>
                <w:sz w:val="21"/>
                <w:szCs w:val="21"/>
                <w:highlight w:val="none"/>
                <w:lang w:val="en-US" w:eastAsia="zh-CN"/>
              </w:rPr>
              <w:t>的二级及以上注册建造师和有</w:t>
            </w:r>
            <w:r>
              <w:rPr>
                <w:rFonts w:hint="eastAsia" w:ascii="宋体" w:hAnsi="宋体" w:eastAsia="宋体" w:cs="宋体"/>
                <w:color w:val="auto"/>
                <w:kern w:val="0"/>
                <w:sz w:val="21"/>
                <w:szCs w:val="21"/>
                <w:highlight w:val="none"/>
              </w:rPr>
              <w:t>效的安全生产考核合格证书（B类）</w:t>
            </w:r>
            <w:r>
              <w:rPr>
                <w:rFonts w:hint="eastAsia" w:ascii="宋体" w:hAnsi="宋体" w:eastAsia="宋体" w:cs="宋体"/>
                <w:color w:val="auto"/>
                <w:kern w:val="0"/>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662" w:type="dxa"/>
            <w:vAlign w:val="center"/>
          </w:tcPr>
          <w:p>
            <w:pPr>
              <w:pageBreakBefore w:val="0"/>
              <w:widowControl w:val="0"/>
              <w:kinsoku/>
              <w:wordWrap/>
              <w:overflowPunct/>
              <w:topLinePunct w:val="0"/>
              <w:autoSpaceDE/>
              <w:autoSpaceDN/>
              <w:bidi w:val="0"/>
              <w:adjustRightInd/>
              <w:spacing w:line="380" w:lineRule="exact"/>
              <w:ind w:lef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942" w:type="dxa"/>
            <w:vAlign w:val="center"/>
          </w:tcPr>
          <w:p>
            <w:pPr>
              <w:pageBreakBefore w:val="0"/>
              <w:widowControl w:val="0"/>
              <w:kinsoku/>
              <w:wordWrap/>
              <w:overflowPunct/>
              <w:topLinePunct w:val="0"/>
              <w:autoSpaceDE/>
              <w:autoSpaceDN/>
              <w:bidi w:val="0"/>
              <w:adjustRightInd/>
              <w:spacing w:line="380" w:lineRule="exact"/>
              <w:ind w:lef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1775" w:type="dxa"/>
            <w:vAlign w:val="center"/>
          </w:tcPr>
          <w:p>
            <w:pPr>
              <w:pageBreakBefore w:val="0"/>
              <w:widowControl w:val="0"/>
              <w:kinsoku/>
              <w:wordWrap/>
              <w:overflowPunct/>
              <w:topLinePunct w:val="0"/>
              <w:autoSpaceDE/>
              <w:autoSpaceDN/>
              <w:bidi w:val="0"/>
              <w:adjustRightInd/>
              <w:spacing w:line="380" w:lineRule="exact"/>
              <w:ind w:lef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磋商费用</w:t>
            </w:r>
          </w:p>
        </w:tc>
        <w:tc>
          <w:tcPr>
            <w:tcW w:w="6912" w:type="dxa"/>
            <w:vAlign w:val="center"/>
          </w:tcPr>
          <w:p>
            <w:pPr>
              <w:pageBreakBefore w:val="0"/>
              <w:widowControl w:val="0"/>
              <w:kinsoku/>
              <w:wordWrap/>
              <w:overflowPunct/>
              <w:topLinePunct w:val="0"/>
              <w:autoSpaceDE/>
              <w:autoSpaceDN/>
              <w:bidi w:val="0"/>
              <w:adjustRightInd/>
              <w:spacing w:line="380" w:lineRule="exact"/>
              <w:ind w:lef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不论磋商结果如何，供应商均应自行承担所有与磋商有关的全部费用。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662" w:type="dxa"/>
            <w:vAlign w:val="center"/>
          </w:tcPr>
          <w:p>
            <w:pPr>
              <w:pageBreakBefore w:val="0"/>
              <w:widowControl w:val="0"/>
              <w:kinsoku/>
              <w:wordWrap/>
              <w:overflowPunct/>
              <w:topLinePunct w:val="0"/>
              <w:autoSpaceDE/>
              <w:autoSpaceDN/>
              <w:bidi w:val="0"/>
              <w:adjustRightInd/>
              <w:spacing w:line="380" w:lineRule="exact"/>
              <w:ind w:lef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942" w:type="dxa"/>
            <w:vAlign w:val="center"/>
          </w:tcPr>
          <w:p>
            <w:pPr>
              <w:pageBreakBefore w:val="0"/>
              <w:widowControl w:val="0"/>
              <w:kinsoku/>
              <w:wordWrap/>
              <w:overflowPunct/>
              <w:topLinePunct w:val="0"/>
              <w:autoSpaceDE/>
              <w:autoSpaceDN/>
              <w:bidi w:val="0"/>
              <w:adjustRightInd/>
              <w:spacing w:line="380" w:lineRule="exact"/>
              <w:ind w:left="0"/>
              <w:jc w:val="center"/>
              <w:textAlignment w:val="auto"/>
              <w:rPr>
                <w:rFonts w:hint="eastAsia" w:ascii="宋体" w:hAnsi="宋体" w:eastAsia="宋体" w:cs="宋体"/>
                <w:color w:val="auto"/>
                <w:position w:val="-2"/>
                <w:sz w:val="21"/>
                <w:szCs w:val="21"/>
                <w:highlight w:val="none"/>
              </w:rPr>
            </w:pPr>
            <w:r>
              <w:rPr>
                <w:rFonts w:hint="eastAsia" w:ascii="宋体" w:hAnsi="宋体" w:eastAsia="宋体" w:cs="宋体"/>
                <w:color w:val="auto"/>
                <w:position w:val="-2"/>
                <w:sz w:val="21"/>
                <w:szCs w:val="21"/>
                <w:highlight w:val="none"/>
              </w:rPr>
              <w:t>13</w:t>
            </w:r>
          </w:p>
        </w:tc>
        <w:tc>
          <w:tcPr>
            <w:tcW w:w="1775" w:type="dxa"/>
            <w:vAlign w:val="center"/>
          </w:tcPr>
          <w:p>
            <w:pPr>
              <w:keepNext w:val="0"/>
              <w:keepLines w:val="0"/>
              <w:pageBreakBefore w:val="0"/>
              <w:kinsoku/>
              <w:wordWrap/>
              <w:overflowPunct/>
              <w:topLinePunct w:val="0"/>
              <w:autoSpaceDE/>
              <w:autoSpaceDN/>
              <w:bidi w:val="0"/>
              <w:adjustRightInd/>
              <w:spacing w:line="380" w:lineRule="exact"/>
              <w:ind w:left="0" w:leftChars="0"/>
              <w:jc w:val="center"/>
              <w:textAlignment w:val="auto"/>
              <w:rPr>
                <w:rFonts w:hint="eastAsia" w:ascii="宋体" w:hAnsi="宋体" w:eastAsia="宋体" w:cs="宋体"/>
                <w:color w:val="auto"/>
                <w:position w:val="-2"/>
                <w:sz w:val="21"/>
                <w:szCs w:val="21"/>
                <w:highlight w:val="none"/>
              </w:rPr>
            </w:pPr>
            <w:r>
              <w:rPr>
                <w:rFonts w:hint="eastAsia" w:ascii="宋体" w:hAnsi="宋体" w:eastAsia="宋体" w:cs="宋体"/>
                <w:color w:val="auto"/>
                <w:sz w:val="21"/>
                <w:szCs w:val="21"/>
                <w:highlight w:val="none"/>
              </w:rPr>
              <w:t>磋商报价及</w:t>
            </w:r>
            <w:r>
              <w:rPr>
                <w:rFonts w:hint="eastAsia" w:ascii="宋体" w:hAnsi="宋体" w:eastAsia="宋体" w:cs="宋体"/>
                <w:color w:val="auto"/>
                <w:sz w:val="21"/>
                <w:szCs w:val="21"/>
                <w:highlight w:val="none"/>
                <w:lang w:val="en-US" w:eastAsia="zh-CN"/>
              </w:rPr>
              <w:t>预算</w:t>
            </w:r>
            <w:r>
              <w:rPr>
                <w:rFonts w:hint="eastAsia" w:ascii="宋体" w:hAnsi="宋体" w:eastAsia="宋体" w:cs="宋体"/>
                <w:color w:val="auto"/>
                <w:sz w:val="21"/>
                <w:szCs w:val="21"/>
                <w:highlight w:val="none"/>
              </w:rPr>
              <w:t>控制价</w:t>
            </w:r>
          </w:p>
        </w:tc>
        <w:tc>
          <w:tcPr>
            <w:tcW w:w="6912" w:type="dxa"/>
            <w:vAlign w:val="center"/>
          </w:tcPr>
          <w:p>
            <w:pPr>
              <w:pageBreakBefore w:val="0"/>
              <w:kinsoku/>
              <w:wordWrap/>
              <w:overflowPunct/>
              <w:topLinePunct w:val="0"/>
              <w:autoSpaceDE/>
              <w:autoSpaceDN/>
              <w:bidi w:val="0"/>
              <w:adjustRightInd/>
              <w:spacing w:line="380" w:lineRule="exact"/>
              <w:textAlignment w:val="auto"/>
              <w:rPr>
                <w:rFonts w:hint="eastAsia" w:ascii="宋体" w:hAnsi="宋体" w:eastAsia="宋体" w:cs="宋体"/>
                <w:b/>
                <w:color w:val="auto"/>
                <w:kern w:val="0"/>
                <w:sz w:val="21"/>
                <w:szCs w:val="21"/>
                <w:highlight w:val="none"/>
                <w:lang w:eastAsia="zh-CN"/>
              </w:rPr>
            </w:pPr>
            <w:r>
              <w:rPr>
                <w:rFonts w:hint="eastAsia" w:ascii="宋体" w:hAnsi="宋体" w:eastAsia="宋体" w:cs="宋体"/>
                <w:b/>
                <w:color w:val="auto"/>
                <w:kern w:val="0"/>
                <w:sz w:val="21"/>
                <w:szCs w:val="21"/>
                <w:highlight w:val="none"/>
              </w:rPr>
              <w:t>本工程</w:t>
            </w:r>
            <w:r>
              <w:rPr>
                <w:rFonts w:hint="eastAsia" w:ascii="宋体" w:hAnsi="宋体" w:eastAsia="宋体" w:cs="宋体"/>
                <w:b/>
                <w:bCs/>
                <w:color w:val="auto"/>
                <w:sz w:val="21"/>
                <w:szCs w:val="21"/>
                <w:highlight w:val="none"/>
                <w:lang w:eastAsia="zh-CN"/>
              </w:rPr>
              <w:t>财评后的</w:t>
            </w:r>
            <w:r>
              <w:rPr>
                <w:rFonts w:hint="eastAsia" w:ascii="宋体" w:hAnsi="宋体" w:eastAsia="宋体" w:cs="宋体"/>
                <w:b/>
                <w:color w:val="auto"/>
                <w:kern w:val="0"/>
                <w:sz w:val="21"/>
                <w:szCs w:val="21"/>
                <w:highlight w:val="none"/>
                <w:lang w:val="en-US" w:eastAsia="zh-CN"/>
              </w:rPr>
              <w:t>预算控制价为</w:t>
            </w:r>
            <w:r>
              <w:rPr>
                <w:rFonts w:hint="eastAsia" w:ascii="宋体" w:hAnsi="宋体" w:eastAsia="宋体" w:cs="宋体"/>
                <w:b/>
                <w:color w:val="auto"/>
                <w:kern w:val="0"/>
                <w:sz w:val="21"/>
                <w:szCs w:val="21"/>
                <w:highlight w:val="none"/>
              </w:rPr>
              <w:t>人民币</w:t>
            </w:r>
            <w:r>
              <w:rPr>
                <w:rFonts w:hint="eastAsia" w:ascii="宋体" w:hAnsi="宋体" w:eastAsia="宋体" w:cs="宋体"/>
                <w:b/>
                <w:color w:val="auto"/>
                <w:kern w:val="0"/>
                <w:sz w:val="21"/>
                <w:szCs w:val="21"/>
                <w:highlight w:val="none"/>
                <w:u w:val="single"/>
                <w:lang w:val="en-US" w:eastAsia="zh-CN"/>
              </w:rPr>
              <w:t>1056029.72</w:t>
            </w:r>
            <w:r>
              <w:rPr>
                <w:rFonts w:hint="eastAsia" w:ascii="宋体" w:hAnsi="宋体" w:eastAsia="宋体" w:cs="宋体"/>
                <w:b/>
                <w:color w:val="auto"/>
                <w:kern w:val="0"/>
                <w:sz w:val="21"/>
                <w:szCs w:val="21"/>
                <w:highlight w:val="none"/>
              </w:rPr>
              <w:t>元</w:t>
            </w:r>
            <w:r>
              <w:rPr>
                <w:rFonts w:hint="eastAsia" w:ascii="宋体" w:hAnsi="宋体" w:eastAsia="宋体" w:cs="宋体"/>
                <w:b/>
                <w:color w:val="auto"/>
                <w:kern w:val="0"/>
                <w:sz w:val="21"/>
                <w:szCs w:val="21"/>
                <w:highlight w:val="none"/>
                <w:lang w:eastAsia="zh-CN"/>
              </w:rPr>
              <w:t>。</w:t>
            </w:r>
          </w:p>
          <w:p>
            <w:pPr>
              <w:pageBreakBefore w:val="0"/>
              <w:kinsoku/>
              <w:wordWrap/>
              <w:overflowPunct/>
              <w:topLinePunct w:val="0"/>
              <w:autoSpaceDE/>
              <w:autoSpaceDN/>
              <w:bidi w:val="0"/>
              <w:adjustRightInd/>
              <w:spacing w:line="380" w:lineRule="exact"/>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
                <w:bCs/>
                <w:color w:val="auto"/>
                <w:sz w:val="21"/>
                <w:szCs w:val="21"/>
                <w:highlight w:val="none"/>
                <w:lang w:eastAsia="zh-CN"/>
              </w:rPr>
              <w:t>经采购人同意，</w:t>
            </w:r>
            <w:r>
              <w:rPr>
                <w:rFonts w:hint="eastAsia" w:ascii="宋体" w:hAnsi="宋体" w:eastAsia="宋体" w:cs="宋体"/>
                <w:b/>
                <w:bCs/>
                <w:color w:val="auto"/>
                <w:sz w:val="21"/>
                <w:szCs w:val="21"/>
                <w:highlight w:val="none"/>
              </w:rPr>
              <w:t>本工程最高磋商限价</w:t>
            </w:r>
            <w:r>
              <w:rPr>
                <w:rFonts w:hint="eastAsia" w:ascii="宋体" w:hAnsi="宋体" w:eastAsia="宋体" w:cs="宋体"/>
                <w:b/>
                <w:bCs/>
                <w:color w:val="auto"/>
                <w:sz w:val="21"/>
                <w:szCs w:val="21"/>
                <w:highlight w:val="none"/>
                <w:lang w:eastAsia="zh-CN"/>
              </w:rPr>
              <w:t>（预算</w:t>
            </w:r>
            <w:r>
              <w:rPr>
                <w:rFonts w:hint="eastAsia" w:ascii="宋体" w:hAnsi="宋体" w:eastAsia="宋体" w:cs="宋体"/>
                <w:b/>
                <w:bCs/>
                <w:color w:val="auto"/>
                <w:sz w:val="21"/>
                <w:szCs w:val="21"/>
                <w:highlight w:val="none"/>
                <w:lang w:val="en-US" w:eastAsia="zh-CN"/>
              </w:rPr>
              <w:t>控制价</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为</w:t>
            </w:r>
            <w:r>
              <w:rPr>
                <w:rFonts w:hint="eastAsia" w:ascii="宋体" w:hAnsi="宋体" w:eastAsia="宋体" w:cs="宋体"/>
                <w:b/>
                <w:color w:val="auto"/>
                <w:kern w:val="0"/>
                <w:sz w:val="21"/>
                <w:szCs w:val="21"/>
                <w:highlight w:val="none"/>
                <w:u w:val="single"/>
                <w:lang w:val="en-US" w:eastAsia="zh-CN"/>
              </w:rPr>
              <w:t>1056029.72</w:t>
            </w:r>
            <w:r>
              <w:rPr>
                <w:rFonts w:hint="eastAsia" w:ascii="宋体" w:hAnsi="宋体" w:eastAsia="宋体" w:cs="宋体"/>
                <w:b/>
                <w:bCs/>
                <w:color w:val="auto"/>
                <w:kern w:val="0"/>
                <w:sz w:val="21"/>
                <w:szCs w:val="21"/>
                <w:highlight w:val="none"/>
                <w:u w:val="single"/>
              </w:rPr>
              <w:t>元</w:t>
            </w:r>
            <w:r>
              <w:rPr>
                <w:rFonts w:hint="eastAsia" w:ascii="宋体" w:hAnsi="宋体" w:eastAsia="宋体" w:cs="宋体"/>
                <w:b/>
                <w:bCs/>
                <w:color w:val="auto"/>
                <w:sz w:val="21"/>
                <w:szCs w:val="21"/>
                <w:highlight w:val="none"/>
                <w:lang w:eastAsia="zh-CN"/>
              </w:rPr>
              <w:t>。</w:t>
            </w:r>
          </w:p>
          <w:p>
            <w:pPr>
              <w:keepNext w:val="0"/>
              <w:keepLines w:val="0"/>
              <w:pageBreakBefore w:val="0"/>
              <w:widowControl/>
              <w:kinsoku/>
              <w:wordWrap/>
              <w:overflowPunct/>
              <w:topLinePunct w:val="0"/>
              <w:autoSpaceDE/>
              <w:autoSpaceDN/>
              <w:bidi w:val="0"/>
              <w:adjustRightInd/>
              <w:snapToGrid w:val="0"/>
              <w:spacing w:line="380" w:lineRule="exact"/>
              <w:ind w:left="0" w:leftChars="0"/>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b/>
                <w:color w:val="auto"/>
                <w:sz w:val="21"/>
                <w:szCs w:val="21"/>
                <w:highlight w:val="none"/>
              </w:rPr>
              <w:t>注：</w:t>
            </w:r>
            <w:r>
              <w:rPr>
                <w:rFonts w:hint="eastAsia" w:ascii="宋体" w:hAnsi="宋体" w:eastAsia="宋体" w:cs="宋体"/>
                <w:b/>
                <w:color w:val="auto"/>
                <w:sz w:val="21"/>
                <w:szCs w:val="21"/>
                <w:highlight w:val="none"/>
                <w:lang w:eastAsia="zh-CN"/>
              </w:rPr>
              <w:t>供应商的磋商报价不得超过本工程</w:t>
            </w:r>
            <w:r>
              <w:rPr>
                <w:rFonts w:hint="eastAsia" w:ascii="宋体" w:hAnsi="宋体" w:eastAsia="宋体" w:cs="宋体"/>
                <w:b/>
                <w:bCs/>
                <w:color w:val="auto"/>
                <w:sz w:val="21"/>
                <w:szCs w:val="21"/>
                <w:highlight w:val="none"/>
              </w:rPr>
              <w:t>最高磋商限价</w:t>
            </w:r>
            <w:r>
              <w:rPr>
                <w:rFonts w:hint="eastAsia" w:ascii="宋体" w:hAnsi="宋体" w:eastAsia="宋体" w:cs="宋体"/>
                <w:b/>
                <w:bCs/>
                <w:color w:val="auto"/>
                <w:sz w:val="21"/>
                <w:szCs w:val="21"/>
                <w:highlight w:val="none"/>
                <w:lang w:eastAsia="zh-CN"/>
              </w:rPr>
              <w:t>（预算</w:t>
            </w:r>
            <w:r>
              <w:rPr>
                <w:rFonts w:hint="eastAsia" w:ascii="宋体" w:hAnsi="宋体" w:eastAsia="宋体" w:cs="宋体"/>
                <w:b/>
                <w:bCs/>
                <w:color w:val="auto"/>
                <w:sz w:val="21"/>
                <w:szCs w:val="21"/>
                <w:highlight w:val="none"/>
                <w:lang w:val="en-US" w:eastAsia="zh-CN"/>
              </w:rPr>
              <w:t>控制价</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kern w:val="0"/>
                <w:sz w:val="21"/>
                <w:szCs w:val="21"/>
                <w:highlight w:val="none"/>
                <w:lang w:eastAsia="zh-CN"/>
              </w:rPr>
              <w:t>，否则作无效标处理；</w:t>
            </w:r>
            <w:r>
              <w:rPr>
                <w:rFonts w:hint="eastAsia" w:ascii="宋体" w:hAnsi="宋体" w:eastAsia="宋体" w:cs="宋体"/>
                <w:b/>
                <w:color w:val="auto"/>
                <w:sz w:val="21"/>
                <w:szCs w:val="21"/>
                <w:highlight w:val="none"/>
              </w:rPr>
              <w:t>供应商的第二次磋商报价不得高于该供应商第一次磋商报价，否则做无效标处理。如供应商维持</w:t>
            </w:r>
            <w:r>
              <w:rPr>
                <w:rFonts w:hint="eastAsia" w:ascii="宋体" w:hAnsi="宋体" w:eastAsia="宋体" w:cs="宋体"/>
                <w:b/>
                <w:color w:val="auto"/>
                <w:sz w:val="21"/>
                <w:szCs w:val="21"/>
                <w:highlight w:val="none"/>
                <w:lang w:eastAsia="zh-CN"/>
              </w:rPr>
              <w:t>磋商</w:t>
            </w:r>
            <w:r>
              <w:rPr>
                <w:rFonts w:hint="eastAsia" w:ascii="宋体" w:hAnsi="宋体" w:eastAsia="宋体" w:cs="宋体"/>
                <w:b/>
                <w:color w:val="auto"/>
                <w:sz w:val="21"/>
                <w:szCs w:val="21"/>
                <w:highlight w:val="none"/>
              </w:rPr>
              <w:t>报价不变，以原磋商报价作为供应商最后报价</w:t>
            </w:r>
            <w:r>
              <w:rPr>
                <w:rFonts w:hint="eastAsia" w:ascii="宋体" w:hAnsi="宋体" w:eastAsia="宋体" w:cs="宋体"/>
                <w:b/>
                <w:bCs/>
                <w:color w:val="auto"/>
                <w:sz w:val="21"/>
                <w:szCs w:val="21"/>
                <w:highlight w:val="none"/>
              </w:rPr>
              <w:t>；如供应商需要改变原磋商报价时，</w:t>
            </w:r>
            <w:r>
              <w:rPr>
                <w:rFonts w:hint="eastAsia" w:ascii="宋体" w:hAnsi="宋体" w:eastAsia="宋体" w:cs="宋体"/>
                <w:b/>
                <w:color w:val="auto"/>
                <w:sz w:val="21"/>
                <w:szCs w:val="21"/>
                <w:highlight w:val="none"/>
              </w:rPr>
              <w:t>供应商应预先准备好调整后的</w:t>
            </w:r>
            <w:r>
              <w:rPr>
                <w:rFonts w:hint="eastAsia" w:ascii="宋体" w:hAnsi="宋体" w:eastAsia="宋体" w:cs="宋体"/>
                <w:b/>
                <w:color w:val="auto"/>
                <w:sz w:val="21"/>
                <w:szCs w:val="21"/>
                <w:highlight w:val="none"/>
                <w:lang w:eastAsia="zh-CN"/>
              </w:rPr>
              <w:t>已标价的工程量清单</w:t>
            </w:r>
            <w:r>
              <w:rPr>
                <w:rFonts w:hint="eastAsia" w:ascii="宋体" w:hAnsi="宋体" w:eastAsia="宋体" w:cs="宋体"/>
                <w:b/>
                <w:color w:val="auto"/>
                <w:sz w:val="21"/>
                <w:szCs w:val="21"/>
                <w:highlight w:val="none"/>
              </w:rPr>
              <w:t>。</w:t>
            </w:r>
            <w:r>
              <w:rPr>
                <w:rFonts w:hint="eastAsia" w:ascii="宋体" w:hAnsi="宋体" w:eastAsia="宋体" w:cs="宋体"/>
                <w:b/>
                <w:color w:val="auto"/>
                <w:sz w:val="21"/>
                <w:szCs w:val="21"/>
                <w:highlight w:val="none"/>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662" w:type="dxa"/>
            <w:vAlign w:val="center"/>
          </w:tcPr>
          <w:p>
            <w:pPr>
              <w:pageBreakBefore w:val="0"/>
              <w:widowControl w:val="0"/>
              <w:kinsoku/>
              <w:wordWrap/>
              <w:overflowPunct/>
              <w:topLinePunct w:val="0"/>
              <w:autoSpaceDE/>
              <w:autoSpaceDN/>
              <w:bidi w:val="0"/>
              <w:adjustRightInd/>
              <w:spacing w:line="380" w:lineRule="exact"/>
              <w:ind w:lef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942" w:type="dxa"/>
            <w:vAlign w:val="center"/>
          </w:tcPr>
          <w:p>
            <w:pPr>
              <w:pageBreakBefore w:val="0"/>
              <w:widowControl w:val="0"/>
              <w:kinsoku/>
              <w:wordWrap/>
              <w:overflowPunct/>
              <w:topLinePunct w:val="0"/>
              <w:autoSpaceDE/>
              <w:autoSpaceDN/>
              <w:bidi w:val="0"/>
              <w:adjustRightInd/>
              <w:spacing w:line="380" w:lineRule="exact"/>
              <w:ind w:left="0"/>
              <w:jc w:val="center"/>
              <w:textAlignment w:val="auto"/>
              <w:rPr>
                <w:rFonts w:hint="eastAsia" w:ascii="宋体" w:hAnsi="宋体" w:eastAsia="宋体" w:cs="宋体"/>
                <w:color w:val="auto"/>
                <w:position w:val="-2"/>
                <w:sz w:val="21"/>
                <w:szCs w:val="21"/>
                <w:highlight w:val="none"/>
              </w:rPr>
            </w:pPr>
            <w:r>
              <w:rPr>
                <w:rFonts w:hint="eastAsia" w:ascii="宋体" w:hAnsi="宋体" w:eastAsia="宋体" w:cs="宋体"/>
                <w:color w:val="auto"/>
                <w:position w:val="-2"/>
                <w:sz w:val="21"/>
                <w:szCs w:val="21"/>
                <w:highlight w:val="none"/>
              </w:rPr>
              <w:t>14.1</w:t>
            </w:r>
          </w:p>
        </w:tc>
        <w:tc>
          <w:tcPr>
            <w:tcW w:w="1775" w:type="dxa"/>
            <w:vAlign w:val="center"/>
          </w:tcPr>
          <w:p>
            <w:pPr>
              <w:pageBreakBefore w:val="0"/>
              <w:widowControl w:val="0"/>
              <w:kinsoku/>
              <w:wordWrap/>
              <w:overflowPunct/>
              <w:topLinePunct w:val="0"/>
              <w:autoSpaceDE/>
              <w:autoSpaceDN/>
              <w:bidi w:val="0"/>
              <w:adjustRightInd/>
              <w:spacing w:line="380" w:lineRule="exact"/>
              <w:ind w:left="0"/>
              <w:jc w:val="center"/>
              <w:textAlignment w:val="auto"/>
              <w:rPr>
                <w:rFonts w:hint="eastAsia" w:ascii="宋体" w:hAnsi="宋体" w:eastAsia="宋体" w:cs="宋体"/>
                <w:color w:val="auto"/>
                <w:position w:val="-2"/>
                <w:sz w:val="21"/>
                <w:szCs w:val="21"/>
                <w:highlight w:val="none"/>
              </w:rPr>
            </w:pPr>
            <w:r>
              <w:rPr>
                <w:rFonts w:hint="eastAsia" w:ascii="宋体" w:hAnsi="宋体" w:eastAsia="宋体" w:cs="宋体"/>
                <w:color w:val="auto"/>
                <w:position w:val="-2"/>
                <w:sz w:val="21"/>
                <w:szCs w:val="21"/>
                <w:highlight w:val="none"/>
              </w:rPr>
              <w:t>响应文件有效期</w:t>
            </w:r>
          </w:p>
        </w:tc>
        <w:tc>
          <w:tcPr>
            <w:tcW w:w="6912" w:type="dxa"/>
            <w:vAlign w:val="top"/>
          </w:tcPr>
          <w:p>
            <w:pPr>
              <w:pageBreakBefore w:val="0"/>
              <w:widowControl w:val="0"/>
              <w:tabs>
                <w:tab w:val="left" w:pos="1305"/>
              </w:tabs>
              <w:kinsoku/>
              <w:wordWrap/>
              <w:overflowPunct/>
              <w:topLinePunct w:val="0"/>
              <w:autoSpaceDE/>
              <w:autoSpaceDN/>
              <w:bidi w:val="0"/>
              <w:adjustRightInd/>
              <w:spacing w:line="380" w:lineRule="exact"/>
              <w:ind w:lef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响应文件递交截止时间之日起90天，有效期不足的响应文件将被拒绝。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662" w:type="dxa"/>
            <w:vAlign w:val="center"/>
          </w:tcPr>
          <w:p>
            <w:pPr>
              <w:pageBreakBefore w:val="0"/>
              <w:widowControl w:val="0"/>
              <w:kinsoku/>
              <w:wordWrap/>
              <w:overflowPunct/>
              <w:topLinePunct w:val="0"/>
              <w:autoSpaceDE/>
              <w:autoSpaceDN/>
              <w:bidi w:val="0"/>
              <w:adjustRightInd/>
              <w:spacing w:line="380" w:lineRule="exact"/>
              <w:ind w:lef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942" w:type="dxa"/>
            <w:vAlign w:val="center"/>
          </w:tcPr>
          <w:p>
            <w:pPr>
              <w:pageBreakBefore w:val="0"/>
              <w:widowControl w:val="0"/>
              <w:kinsoku/>
              <w:wordWrap/>
              <w:overflowPunct/>
              <w:topLinePunct w:val="0"/>
              <w:autoSpaceDE/>
              <w:autoSpaceDN/>
              <w:bidi w:val="0"/>
              <w:adjustRightInd/>
              <w:spacing w:line="380" w:lineRule="exact"/>
              <w:ind w:left="0"/>
              <w:jc w:val="center"/>
              <w:textAlignment w:val="auto"/>
              <w:rPr>
                <w:rFonts w:hint="eastAsia" w:ascii="宋体" w:hAnsi="宋体" w:eastAsia="宋体" w:cs="宋体"/>
                <w:color w:val="auto"/>
                <w:position w:val="-2"/>
                <w:sz w:val="21"/>
                <w:szCs w:val="21"/>
                <w:highlight w:val="none"/>
              </w:rPr>
            </w:pPr>
            <w:r>
              <w:rPr>
                <w:rFonts w:hint="eastAsia" w:ascii="宋体" w:hAnsi="宋体" w:eastAsia="宋体" w:cs="宋体"/>
                <w:color w:val="auto"/>
                <w:position w:val="-2"/>
                <w:sz w:val="21"/>
                <w:szCs w:val="21"/>
                <w:highlight w:val="none"/>
              </w:rPr>
              <w:t>15</w:t>
            </w:r>
          </w:p>
        </w:tc>
        <w:tc>
          <w:tcPr>
            <w:tcW w:w="1775" w:type="dxa"/>
            <w:vAlign w:val="center"/>
          </w:tcPr>
          <w:p>
            <w:pPr>
              <w:pageBreakBefore w:val="0"/>
              <w:widowControl w:val="0"/>
              <w:kinsoku/>
              <w:wordWrap/>
              <w:overflowPunct/>
              <w:topLinePunct w:val="0"/>
              <w:autoSpaceDE/>
              <w:autoSpaceDN/>
              <w:bidi w:val="0"/>
              <w:adjustRightInd/>
              <w:spacing w:line="380" w:lineRule="exact"/>
              <w:ind w:left="0"/>
              <w:jc w:val="center"/>
              <w:textAlignment w:val="auto"/>
              <w:rPr>
                <w:rFonts w:hint="eastAsia" w:ascii="宋体" w:hAnsi="宋体" w:eastAsia="宋体" w:cs="宋体"/>
                <w:color w:val="auto"/>
                <w:position w:val="-2"/>
                <w:sz w:val="21"/>
                <w:szCs w:val="21"/>
                <w:highlight w:val="none"/>
              </w:rPr>
            </w:pPr>
            <w:r>
              <w:rPr>
                <w:rFonts w:hint="eastAsia" w:ascii="宋体" w:hAnsi="宋体" w:eastAsia="宋体" w:cs="宋体"/>
                <w:color w:val="auto"/>
                <w:position w:val="-2"/>
                <w:sz w:val="21"/>
                <w:szCs w:val="21"/>
                <w:highlight w:val="none"/>
              </w:rPr>
              <w:t>保证金</w:t>
            </w:r>
          </w:p>
        </w:tc>
        <w:tc>
          <w:tcPr>
            <w:tcW w:w="6912" w:type="dxa"/>
            <w:vAlign w:val="top"/>
          </w:tcPr>
          <w:p>
            <w:pPr>
              <w:pageBreakBefore w:val="0"/>
              <w:widowControl w:val="0"/>
              <w:tabs>
                <w:tab w:val="left" w:pos="1305"/>
              </w:tabs>
              <w:kinsoku/>
              <w:wordWrap/>
              <w:overflowPunct/>
              <w:topLinePunct w:val="0"/>
              <w:autoSpaceDE/>
              <w:autoSpaceDN/>
              <w:bidi w:val="0"/>
              <w:adjustRightInd/>
              <w:spacing w:line="380" w:lineRule="exact"/>
              <w:ind w:lef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本项目无需缴纳磋商保证金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662" w:type="dxa"/>
            <w:vAlign w:val="center"/>
          </w:tcPr>
          <w:p>
            <w:pPr>
              <w:pageBreakBefore w:val="0"/>
              <w:widowControl w:val="0"/>
              <w:kinsoku/>
              <w:wordWrap/>
              <w:overflowPunct/>
              <w:topLinePunct w:val="0"/>
              <w:autoSpaceDE/>
              <w:autoSpaceDN/>
              <w:bidi w:val="0"/>
              <w:adjustRightInd/>
              <w:spacing w:line="380" w:lineRule="exact"/>
              <w:ind w:left="0"/>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7</w:t>
            </w:r>
          </w:p>
        </w:tc>
        <w:tc>
          <w:tcPr>
            <w:tcW w:w="942" w:type="dxa"/>
            <w:vAlign w:val="center"/>
          </w:tcPr>
          <w:p>
            <w:pPr>
              <w:pageBreakBefore w:val="0"/>
              <w:widowControl w:val="0"/>
              <w:kinsoku/>
              <w:wordWrap/>
              <w:overflowPunct/>
              <w:topLinePunct w:val="0"/>
              <w:autoSpaceDE/>
              <w:autoSpaceDN/>
              <w:bidi w:val="0"/>
              <w:adjustRightInd/>
              <w:spacing w:line="380" w:lineRule="exact"/>
              <w:ind w:lef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16</w:t>
            </w:r>
          </w:p>
        </w:tc>
        <w:tc>
          <w:tcPr>
            <w:tcW w:w="1775" w:type="dxa"/>
            <w:vAlign w:val="center"/>
          </w:tcPr>
          <w:p>
            <w:pPr>
              <w:pStyle w:val="4"/>
              <w:pageBreakBefore w:val="0"/>
              <w:widowControl w:val="0"/>
              <w:kinsoku/>
              <w:wordWrap/>
              <w:overflowPunct/>
              <w:topLinePunct w:val="0"/>
              <w:autoSpaceDE/>
              <w:autoSpaceDN/>
              <w:bidi w:val="0"/>
              <w:adjustRightInd/>
              <w:spacing w:before="0" w:after="0" w:line="380" w:lineRule="exact"/>
              <w:ind w:left="0"/>
              <w:jc w:val="center"/>
              <w:textAlignment w:val="auto"/>
              <w:rPr>
                <w:rFonts w:hint="eastAsia" w:ascii="宋体" w:hAnsi="宋体" w:eastAsia="宋体" w:cs="宋体"/>
                <w:b w:val="0"/>
                <w:bCs/>
                <w:color w:val="auto"/>
                <w:sz w:val="21"/>
                <w:szCs w:val="21"/>
                <w:highlight w:val="none"/>
                <w:lang w:eastAsia="zh-CN"/>
              </w:rPr>
            </w:pPr>
            <w:bookmarkStart w:id="41" w:name="_Toc19911"/>
            <w:bookmarkStart w:id="42" w:name="_Toc19954"/>
            <w:bookmarkStart w:id="43" w:name="_Toc27452"/>
            <w:r>
              <w:rPr>
                <w:rFonts w:hint="eastAsia" w:ascii="宋体" w:hAnsi="宋体" w:eastAsia="宋体" w:cs="宋体"/>
                <w:b w:val="0"/>
                <w:bCs/>
                <w:color w:val="auto"/>
                <w:sz w:val="21"/>
                <w:szCs w:val="21"/>
                <w:highlight w:val="none"/>
              </w:rPr>
              <w:t>竞争性</w:t>
            </w:r>
            <w:r>
              <w:rPr>
                <w:rFonts w:hint="eastAsia" w:ascii="宋体" w:hAnsi="宋体" w:eastAsia="宋体" w:cs="宋体"/>
                <w:b w:val="0"/>
                <w:bCs/>
                <w:color w:val="auto"/>
                <w:sz w:val="21"/>
                <w:szCs w:val="21"/>
                <w:highlight w:val="none"/>
                <w:lang w:eastAsia="zh-CN"/>
              </w:rPr>
              <w:t>磋商</w:t>
            </w:r>
            <w:r>
              <w:rPr>
                <w:rFonts w:hint="eastAsia" w:ascii="宋体" w:hAnsi="宋体" w:eastAsia="宋体" w:cs="宋体"/>
                <w:b w:val="0"/>
                <w:bCs/>
                <w:color w:val="auto"/>
                <w:sz w:val="21"/>
                <w:szCs w:val="21"/>
                <w:highlight w:val="none"/>
              </w:rPr>
              <w:t>响应文件的</w:t>
            </w:r>
            <w:r>
              <w:rPr>
                <w:rFonts w:hint="eastAsia" w:ascii="宋体" w:hAnsi="宋体" w:eastAsia="宋体" w:cs="宋体"/>
                <w:b w:val="0"/>
                <w:bCs/>
                <w:color w:val="auto"/>
                <w:sz w:val="21"/>
                <w:szCs w:val="21"/>
                <w:highlight w:val="none"/>
                <w:lang w:eastAsia="zh-CN"/>
              </w:rPr>
              <w:t>制作</w:t>
            </w:r>
            <w:bookmarkEnd w:id="41"/>
            <w:bookmarkEnd w:id="42"/>
            <w:bookmarkEnd w:id="43"/>
          </w:p>
          <w:p>
            <w:pPr>
              <w:pageBreakBefore w:val="0"/>
              <w:widowControl w:val="0"/>
              <w:kinsoku/>
              <w:wordWrap/>
              <w:overflowPunct/>
              <w:topLinePunct w:val="0"/>
              <w:autoSpaceDE/>
              <w:autoSpaceDN/>
              <w:bidi w:val="0"/>
              <w:adjustRightInd/>
              <w:spacing w:line="380" w:lineRule="exact"/>
              <w:ind w:left="0"/>
              <w:jc w:val="center"/>
              <w:textAlignment w:val="auto"/>
              <w:rPr>
                <w:rFonts w:hint="eastAsia" w:ascii="宋体" w:hAnsi="宋体" w:eastAsia="宋体" w:cs="宋体"/>
                <w:color w:val="auto"/>
                <w:sz w:val="21"/>
                <w:szCs w:val="21"/>
                <w:highlight w:val="none"/>
                <w:lang w:eastAsia="zh-CN"/>
              </w:rPr>
            </w:pPr>
          </w:p>
        </w:tc>
        <w:tc>
          <w:tcPr>
            <w:tcW w:w="6912" w:type="dxa"/>
            <w:vAlign w:val="center"/>
          </w:tcPr>
          <w:p>
            <w:pPr>
              <w:pageBreakBefore w:val="0"/>
              <w:widowControl w:val="0"/>
              <w:kinsoku/>
              <w:wordWrap/>
              <w:overflowPunct/>
              <w:topLinePunct w:val="0"/>
              <w:autoSpaceDE/>
              <w:autoSpaceDN/>
              <w:bidi w:val="0"/>
              <w:adjustRightInd/>
              <w:spacing w:line="380" w:lineRule="exact"/>
              <w:ind w:lef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16.1供应商制作电子响应文件前，应登陆“广西政府采购云平台”进行“申请获取采购文件”操作，否则，有可能导致无法在线编制响应文件并参与磋商，其不利后果由供应商自行承担。</w:t>
            </w:r>
          </w:p>
          <w:p>
            <w:pPr>
              <w:pageBreakBefore w:val="0"/>
              <w:widowControl w:val="0"/>
              <w:kinsoku/>
              <w:wordWrap/>
              <w:overflowPunct/>
              <w:topLinePunct w:val="0"/>
              <w:autoSpaceDE/>
              <w:autoSpaceDN/>
              <w:bidi w:val="0"/>
              <w:adjustRightInd/>
              <w:spacing w:line="380" w:lineRule="exact"/>
              <w:ind w:lef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16.2供应商下载或获取竞争性磋商文件后，登录“广西政府采购云平台新版客户端”，按照本磋商文件规定的响应文件格式、顺序以及“广西政府采购云平台”平台的要求，通过“广西政府采购云平台新版客户端”编制电子响应文件。</w:t>
            </w:r>
          </w:p>
          <w:p>
            <w:pPr>
              <w:pageBreakBefore w:val="0"/>
              <w:widowControl w:val="0"/>
              <w:kinsoku/>
              <w:wordWrap/>
              <w:overflowPunct/>
              <w:topLinePunct w:val="0"/>
              <w:autoSpaceDE/>
              <w:autoSpaceDN/>
              <w:bidi w:val="0"/>
              <w:adjustRightInd/>
              <w:spacing w:line="380" w:lineRule="exact"/>
              <w:ind w:lef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16.3 电子磋商响应文件中须加盖供应商公章部分均采用 CA 签章，并根据“政府采购项目电子交易管理操作指南-供应商”及本磋商文件规定的格式和顺序编制电子磋商响应文件并进行关联定位，以便磋商小组在评审时，点击评分项可直接定位到该评分项内容。如对磋商文件的某项要求，供应商的电子磋商响应文件未能关联定位提供相应的内容与其对应，则磋商小组在评审时如做出对供应商不利的评审由供应商自行承担。电子磋商响应文件如内容不完整、编排混乱导致磋商响应文件被误读、漏读，或者在按采购文件规定的部位查找不到相关内容的，由供应商自行承担。</w:t>
            </w:r>
          </w:p>
          <w:p>
            <w:pPr>
              <w:pageBreakBefore w:val="0"/>
              <w:widowControl w:val="0"/>
              <w:kinsoku/>
              <w:wordWrap/>
              <w:overflowPunct/>
              <w:topLinePunct w:val="0"/>
              <w:autoSpaceDE/>
              <w:autoSpaceDN/>
              <w:bidi w:val="0"/>
              <w:adjustRightInd/>
              <w:spacing w:line="380" w:lineRule="exact"/>
              <w:ind w:lef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16.4供应商法人（负责人）或授权代表持有广西政府采购云平台个人CA签章的，应在响应文件中涉及到签字的位置使用个人CA签章，没有办理广西政府采购云平台个人CA签章的可在响应文件中涉及到签字的位置手写签字后扫描或者拍照做成 PDF 的格式上传即可。</w:t>
            </w:r>
          </w:p>
          <w:p>
            <w:pPr>
              <w:pageBreakBefore w:val="0"/>
              <w:widowControl w:val="0"/>
              <w:kinsoku/>
              <w:wordWrap/>
              <w:overflowPunct/>
              <w:topLinePunct w:val="0"/>
              <w:autoSpaceDE/>
              <w:autoSpaceDN/>
              <w:bidi w:val="0"/>
              <w:adjustRightInd/>
              <w:spacing w:line="380" w:lineRule="exact"/>
              <w:ind w:lef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16.5 磋商响应文件不得涂改，若有修改错漏处，须法定代表人（负责人）或授权委托人签字（或个人CA签章）。磋商响应文件因字迹潦草或表达不清所引起的后果由供应商负责。</w:t>
            </w:r>
          </w:p>
          <w:p>
            <w:pPr>
              <w:pageBreakBefore w:val="0"/>
              <w:widowControl w:val="0"/>
              <w:kinsoku/>
              <w:wordWrap/>
              <w:overflowPunct/>
              <w:topLinePunct w:val="0"/>
              <w:autoSpaceDE/>
              <w:autoSpaceDN/>
              <w:bidi w:val="0"/>
              <w:adjustRightInd/>
              <w:spacing w:line="380" w:lineRule="exact"/>
              <w:ind w:lef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16.6磋商前准备 </w:t>
            </w:r>
          </w:p>
          <w:p>
            <w:pPr>
              <w:pageBreakBefore w:val="0"/>
              <w:widowControl w:val="0"/>
              <w:kinsoku/>
              <w:wordWrap/>
              <w:overflowPunct/>
              <w:topLinePunct w:val="0"/>
              <w:autoSpaceDE/>
              <w:autoSpaceDN/>
              <w:bidi w:val="0"/>
              <w:adjustRightInd/>
              <w:spacing w:line="380" w:lineRule="exact"/>
              <w:ind w:lef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16.6.1本项目实行在线磋商，采用电子磋商响应文件。若供应商参与磋商，自行承担磋商一切费用。 </w:t>
            </w:r>
          </w:p>
          <w:p>
            <w:pPr>
              <w:pageBreakBefore w:val="0"/>
              <w:widowControl w:val="0"/>
              <w:kinsoku/>
              <w:wordWrap/>
              <w:overflowPunct/>
              <w:topLinePunct w:val="0"/>
              <w:autoSpaceDE/>
              <w:autoSpaceDN/>
              <w:bidi w:val="0"/>
              <w:adjustRightInd/>
              <w:spacing w:line="380" w:lineRule="exact"/>
              <w:ind w:lef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16.6.2各供应商应在截标前应确保成为广西政府采购云平台正式注册入库供应商，并完成CA数字证书申领和绑定。因未注册入库、未办理CA数字证书等原因造成无法磋商或磋商失败等后果由供应商自行承担。 </w:t>
            </w:r>
          </w:p>
          <w:p>
            <w:pPr>
              <w:pageBreakBefore w:val="0"/>
              <w:widowControl w:val="0"/>
              <w:kinsoku/>
              <w:wordWrap/>
              <w:overflowPunct/>
              <w:topLinePunct w:val="0"/>
              <w:autoSpaceDE/>
              <w:autoSpaceDN/>
              <w:bidi w:val="0"/>
              <w:adjustRightInd/>
              <w:spacing w:line="380" w:lineRule="exact"/>
              <w:ind w:lef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16.6.3供应商将广西政府采购云平台新版客户端下载、安装完成后，可通过账号密码或CA登录客户端进行响应文件制作。客户端请至网站下载专区查看，如有问题可拨打广西政府采购云平台客户服务热线95763进行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662" w:type="dxa"/>
            <w:vAlign w:val="center"/>
          </w:tcPr>
          <w:p>
            <w:pPr>
              <w:pageBreakBefore w:val="0"/>
              <w:widowControl w:val="0"/>
              <w:kinsoku/>
              <w:wordWrap/>
              <w:overflowPunct/>
              <w:topLinePunct w:val="0"/>
              <w:autoSpaceDE/>
              <w:autoSpaceDN/>
              <w:bidi w:val="0"/>
              <w:adjustRightInd/>
              <w:spacing w:line="380" w:lineRule="exact"/>
              <w:ind w:left="0"/>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8</w:t>
            </w:r>
          </w:p>
        </w:tc>
        <w:tc>
          <w:tcPr>
            <w:tcW w:w="942" w:type="dxa"/>
            <w:vAlign w:val="center"/>
          </w:tcPr>
          <w:p>
            <w:pPr>
              <w:pageBreakBefore w:val="0"/>
              <w:widowControl w:val="0"/>
              <w:kinsoku/>
              <w:wordWrap/>
              <w:overflowPunct/>
              <w:topLinePunct w:val="0"/>
              <w:autoSpaceDE/>
              <w:autoSpaceDN/>
              <w:bidi w:val="0"/>
              <w:adjustRightInd/>
              <w:spacing w:line="380" w:lineRule="exact"/>
              <w:ind w:lef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18.1</w:t>
            </w:r>
          </w:p>
        </w:tc>
        <w:tc>
          <w:tcPr>
            <w:tcW w:w="1775" w:type="dxa"/>
            <w:vAlign w:val="center"/>
          </w:tcPr>
          <w:p>
            <w:pPr>
              <w:pageBreakBefore w:val="0"/>
              <w:widowControl w:val="0"/>
              <w:kinsoku/>
              <w:wordWrap/>
              <w:overflowPunct/>
              <w:topLinePunct w:val="0"/>
              <w:autoSpaceDE/>
              <w:autoSpaceDN/>
              <w:bidi w:val="0"/>
              <w:adjustRightInd/>
              <w:spacing w:line="380" w:lineRule="exact"/>
              <w:ind w:lef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响应文件递交截止时间</w:t>
            </w:r>
          </w:p>
        </w:tc>
        <w:tc>
          <w:tcPr>
            <w:tcW w:w="6912" w:type="dxa"/>
            <w:vAlign w:val="center"/>
          </w:tcPr>
          <w:p>
            <w:pPr>
              <w:pageBreakBefore w:val="0"/>
              <w:widowControl w:val="0"/>
              <w:kinsoku/>
              <w:wordWrap/>
              <w:overflowPunct/>
              <w:topLinePunct w:val="0"/>
              <w:autoSpaceDE/>
              <w:autoSpaceDN/>
              <w:bidi w:val="0"/>
              <w:adjustRightInd/>
              <w:spacing w:line="380" w:lineRule="exact"/>
              <w:ind w:lef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lang w:eastAsia="zh-CN"/>
              </w:rPr>
              <w:t>于202</w:t>
            </w:r>
            <w:r>
              <w:rPr>
                <w:rFonts w:hint="eastAsia" w:ascii="宋体" w:hAnsi="宋体" w:eastAsia="宋体" w:cs="宋体"/>
                <w:color w:val="auto"/>
                <w:sz w:val="21"/>
                <w:szCs w:val="21"/>
                <w:highlight w:val="none"/>
                <w:u w:val="single"/>
                <w:lang w:val="en-US" w:eastAsia="zh-CN"/>
              </w:rPr>
              <w:t>4</w:t>
            </w:r>
            <w:r>
              <w:rPr>
                <w:rFonts w:hint="eastAsia" w:ascii="宋体" w:hAnsi="宋体" w:eastAsia="宋体" w:cs="宋体"/>
                <w:color w:val="auto"/>
                <w:sz w:val="21"/>
                <w:szCs w:val="21"/>
                <w:highlight w:val="none"/>
                <w:u w:val="single"/>
                <w:lang w:eastAsia="zh-CN"/>
              </w:rPr>
              <w:t>年</w:t>
            </w:r>
            <w:r>
              <w:rPr>
                <w:rFonts w:hint="eastAsia" w:ascii="宋体" w:hAnsi="宋体" w:cs="宋体"/>
                <w:color w:val="auto"/>
                <w:sz w:val="21"/>
                <w:szCs w:val="21"/>
                <w:highlight w:val="none"/>
                <w:u w:val="single"/>
                <w:lang w:val="en-US" w:eastAsia="zh-CN"/>
              </w:rPr>
              <w:t>5</w:t>
            </w:r>
            <w:r>
              <w:rPr>
                <w:rFonts w:hint="eastAsia" w:ascii="宋体" w:hAnsi="宋体" w:eastAsia="宋体" w:cs="宋体"/>
                <w:color w:val="auto"/>
                <w:sz w:val="21"/>
                <w:szCs w:val="21"/>
                <w:highlight w:val="none"/>
                <w:u w:val="single"/>
                <w:lang w:eastAsia="zh-CN"/>
              </w:rPr>
              <w:t>月</w:t>
            </w:r>
            <w:r>
              <w:rPr>
                <w:rFonts w:hint="eastAsia" w:ascii="宋体" w:hAnsi="宋体" w:cs="宋体"/>
                <w:color w:val="auto"/>
                <w:sz w:val="21"/>
                <w:szCs w:val="21"/>
                <w:highlight w:val="none"/>
                <w:u w:val="single"/>
                <w:lang w:val="en-US" w:eastAsia="zh-CN"/>
              </w:rPr>
              <w:t>13</w:t>
            </w:r>
            <w:r>
              <w:rPr>
                <w:rFonts w:hint="eastAsia" w:ascii="宋体" w:hAnsi="宋体" w:eastAsia="宋体" w:cs="宋体"/>
                <w:color w:val="auto"/>
                <w:sz w:val="21"/>
                <w:szCs w:val="21"/>
                <w:highlight w:val="none"/>
                <w:u w:val="single"/>
                <w:lang w:eastAsia="zh-CN"/>
              </w:rPr>
              <w:t>日</w:t>
            </w:r>
            <w:r>
              <w:rPr>
                <w:rFonts w:hint="eastAsia" w:ascii="宋体" w:hAnsi="宋体" w:eastAsia="宋体" w:cs="宋体"/>
                <w:color w:val="auto"/>
                <w:sz w:val="21"/>
                <w:szCs w:val="21"/>
                <w:highlight w:val="none"/>
                <w:u w:val="single"/>
                <w:lang w:val="en-US" w:eastAsia="zh-CN"/>
              </w:rPr>
              <w:t>9时30分</w:t>
            </w:r>
            <w:r>
              <w:rPr>
                <w:rFonts w:hint="eastAsia" w:ascii="宋体" w:hAnsi="宋体" w:eastAsia="宋体" w:cs="宋体"/>
                <w:color w:val="auto"/>
                <w:sz w:val="21"/>
                <w:szCs w:val="21"/>
                <w:highlight w:val="none"/>
                <w:u w:val="none"/>
                <w:lang w:val="en-US" w:eastAsia="zh-CN"/>
              </w:rPr>
              <w:t>之前将电子磋商响应文件上传到广西政府采购云平台。应按照本项目磋商文件和广西政府采购云平台的要求编制、加密传输磋商响应文件。供应商在使用系统进行响应的过程中遇到涉及平台使用的任何问题，可致电广西政府采购云平台技术支持热线咨询，联系方式：95763</w:t>
            </w: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62" w:type="dxa"/>
            <w:vAlign w:val="center"/>
          </w:tcPr>
          <w:p>
            <w:pPr>
              <w:pageBreakBefore w:val="0"/>
              <w:widowControl w:val="0"/>
              <w:kinsoku/>
              <w:wordWrap/>
              <w:overflowPunct/>
              <w:topLinePunct w:val="0"/>
              <w:autoSpaceDE/>
              <w:autoSpaceDN/>
              <w:bidi w:val="0"/>
              <w:adjustRightInd/>
              <w:spacing w:line="380" w:lineRule="exact"/>
              <w:ind w:left="0"/>
              <w:jc w:val="center"/>
              <w:textAlignment w:val="auto"/>
              <w:rPr>
                <w:rFonts w:hint="eastAsia" w:ascii="宋体" w:hAnsi="宋体" w:eastAsia="宋体" w:cs="宋体"/>
                <w:color w:val="auto"/>
                <w:position w:val="-2"/>
                <w:sz w:val="21"/>
                <w:szCs w:val="21"/>
                <w:highlight w:val="none"/>
                <w:lang w:eastAsia="zh-CN"/>
              </w:rPr>
            </w:pPr>
            <w:r>
              <w:rPr>
                <w:rFonts w:hint="eastAsia" w:ascii="宋体" w:hAnsi="宋体" w:eastAsia="宋体" w:cs="宋体"/>
                <w:color w:val="auto"/>
                <w:position w:val="-2"/>
                <w:sz w:val="21"/>
                <w:szCs w:val="21"/>
                <w:highlight w:val="none"/>
                <w:lang w:val="en-US" w:eastAsia="zh-CN"/>
              </w:rPr>
              <w:t>9</w:t>
            </w:r>
          </w:p>
        </w:tc>
        <w:tc>
          <w:tcPr>
            <w:tcW w:w="942" w:type="dxa"/>
            <w:vAlign w:val="center"/>
          </w:tcPr>
          <w:p>
            <w:pPr>
              <w:pageBreakBefore w:val="0"/>
              <w:widowControl w:val="0"/>
              <w:kinsoku/>
              <w:wordWrap/>
              <w:overflowPunct/>
              <w:topLinePunct w:val="0"/>
              <w:autoSpaceDE/>
              <w:autoSpaceDN/>
              <w:bidi w:val="0"/>
              <w:adjustRightInd/>
              <w:spacing w:line="380" w:lineRule="exact"/>
              <w:ind w:left="0"/>
              <w:jc w:val="center"/>
              <w:textAlignment w:val="auto"/>
              <w:rPr>
                <w:rFonts w:hint="eastAsia" w:ascii="宋体" w:hAnsi="宋体" w:eastAsia="宋体" w:cs="宋体"/>
                <w:color w:val="auto"/>
                <w:position w:val="-2"/>
                <w:sz w:val="21"/>
                <w:szCs w:val="21"/>
                <w:highlight w:val="none"/>
              </w:rPr>
            </w:pPr>
            <w:r>
              <w:rPr>
                <w:rFonts w:hint="eastAsia" w:ascii="宋体" w:hAnsi="宋体" w:eastAsia="宋体" w:cs="宋体"/>
                <w:color w:val="auto"/>
                <w:position w:val="-2"/>
                <w:sz w:val="21"/>
                <w:szCs w:val="21"/>
                <w:highlight w:val="none"/>
              </w:rPr>
              <w:t>18.2</w:t>
            </w:r>
          </w:p>
        </w:tc>
        <w:tc>
          <w:tcPr>
            <w:tcW w:w="1775" w:type="dxa"/>
            <w:vAlign w:val="center"/>
          </w:tcPr>
          <w:p>
            <w:pPr>
              <w:pageBreakBefore w:val="0"/>
              <w:widowControl w:val="0"/>
              <w:kinsoku/>
              <w:wordWrap/>
              <w:overflowPunct/>
              <w:topLinePunct w:val="0"/>
              <w:autoSpaceDE/>
              <w:autoSpaceDN/>
              <w:bidi w:val="0"/>
              <w:adjustRightInd/>
              <w:spacing w:line="380" w:lineRule="exact"/>
              <w:ind w:left="0"/>
              <w:jc w:val="center"/>
              <w:textAlignment w:val="auto"/>
              <w:rPr>
                <w:rFonts w:hint="eastAsia" w:ascii="宋体" w:hAnsi="宋体" w:eastAsia="宋体" w:cs="宋体"/>
                <w:color w:val="auto"/>
                <w:position w:val="-2"/>
                <w:sz w:val="21"/>
                <w:szCs w:val="21"/>
                <w:highlight w:val="none"/>
              </w:rPr>
            </w:pPr>
            <w:r>
              <w:rPr>
                <w:rFonts w:hint="eastAsia" w:ascii="宋体" w:hAnsi="宋体" w:eastAsia="宋体" w:cs="宋体"/>
                <w:color w:val="auto"/>
                <w:sz w:val="21"/>
                <w:szCs w:val="21"/>
                <w:highlight w:val="none"/>
                <w:lang w:eastAsia="zh-CN"/>
              </w:rPr>
              <w:t>磋商响应文件解密时间</w:t>
            </w:r>
          </w:p>
        </w:tc>
        <w:tc>
          <w:tcPr>
            <w:tcW w:w="6912" w:type="dxa"/>
            <w:vAlign w:val="center"/>
          </w:tcPr>
          <w:p>
            <w:pPr>
              <w:pStyle w:val="7"/>
              <w:keepNext w:val="0"/>
              <w:keepLines w:val="0"/>
              <w:pageBreakBefore w:val="0"/>
              <w:widowControl w:val="0"/>
              <w:kinsoku/>
              <w:wordWrap/>
              <w:overflowPunct/>
              <w:topLinePunct w:val="0"/>
              <w:autoSpaceDE/>
              <w:autoSpaceDN/>
              <w:bidi w:val="0"/>
              <w:adjustRightInd/>
              <w:snapToGrid/>
              <w:spacing w:line="380" w:lineRule="exact"/>
              <w:ind w:lef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磋商响应文件解密时间</w:t>
            </w:r>
            <w:r>
              <w:rPr>
                <w:rFonts w:hint="eastAsia" w:ascii="宋体" w:hAnsi="宋体" w:eastAsia="宋体" w:cs="宋体"/>
                <w:b w:val="0"/>
                <w:bCs w:val="0"/>
                <w:color w:val="auto"/>
                <w:kern w:val="2"/>
                <w:sz w:val="21"/>
                <w:szCs w:val="21"/>
                <w:highlight w:val="none"/>
                <w:lang w:eastAsia="zh-CN"/>
              </w:rPr>
              <w:t>：截标时间后</w:t>
            </w:r>
            <w:r>
              <w:rPr>
                <w:rFonts w:hint="eastAsia" w:ascii="宋体" w:hAnsi="宋体" w:eastAsia="宋体" w:cs="宋体"/>
                <w:b w:val="0"/>
                <w:bCs w:val="0"/>
                <w:color w:val="auto"/>
                <w:kern w:val="2"/>
                <w:sz w:val="21"/>
                <w:szCs w:val="21"/>
                <w:highlight w:val="none"/>
                <w:u w:val="none"/>
                <w:lang w:eastAsia="zh-CN"/>
              </w:rPr>
              <w:t>30</w:t>
            </w:r>
            <w:r>
              <w:rPr>
                <w:rFonts w:hint="eastAsia" w:ascii="宋体" w:hAnsi="宋体" w:eastAsia="宋体" w:cs="宋体"/>
                <w:b w:val="0"/>
                <w:bCs w:val="0"/>
                <w:color w:val="auto"/>
                <w:kern w:val="2"/>
                <w:sz w:val="21"/>
                <w:szCs w:val="21"/>
                <w:highlight w:val="none"/>
                <w:lang w:eastAsia="zh-CN"/>
              </w:rPr>
              <w:t>分钟内磋商供应商可以登录广西政府采购云平台，用“项目采购-开标评标”功能进行解密磋商响应文件。若磋商供应商在规定时间内无法解密或解密失败，可以以电子备份磋商响应文件作为依据</w:t>
            </w:r>
            <w:r>
              <w:rPr>
                <w:rFonts w:hint="eastAsia" w:ascii="宋体" w:hAnsi="宋体" w:eastAsia="宋体" w:cs="宋体"/>
                <w:b/>
                <w:bCs/>
                <w:color w:val="auto"/>
                <w:kern w:val="2"/>
                <w:sz w:val="21"/>
                <w:szCs w:val="21"/>
                <w:highlight w:val="none"/>
                <w:lang w:eastAsia="zh-CN"/>
              </w:rPr>
              <w:t>【在接到无法解密或解密失败的通知后，磋商供应商可根据自身实际情况按通知时要求的时间到桂林市公共资源交易</w:t>
            </w:r>
            <w:r>
              <w:rPr>
                <w:rFonts w:hint="eastAsia" w:ascii="宋体" w:hAnsi="宋体" w:eastAsia="宋体" w:cs="宋体"/>
                <w:b/>
                <w:bCs/>
                <w:color w:val="auto"/>
                <w:kern w:val="2"/>
                <w:sz w:val="21"/>
                <w:szCs w:val="21"/>
                <w:highlight w:val="none"/>
                <w:lang w:eastAsia="zh-CN"/>
              </w:rPr>
              <w:t>中心</w:t>
            </w:r>
            <w:r>
              <w:rPr>
                <w:rFonts w:hint="eastAsia" w:ascii="宋体" w:hAnsi="宋体" w:eastAsia="宋体" w:cs="宋体"/>
                <w:b/>
                <w:bCs/>
                <w:color w:val="auto"/>
                <w:kern w:val="2"/>
                <w:sz w:val="21"/>
                <w:szCs w:val="21"/>
                <w:highlight w:val="none"/>
                <w:u w:val="single"/>
                <w:lang w:val="en-US" w:eastAsia="zh-CN"/>
              </w:rPr>
              <w:t xml:space="preserve"> </w:t>
            </w:r>
            <w:r>
              <w:rPr>
                <w:rFonts w:hint="eastAsia" w:ascii="宋体" w:hAnsi="宋体" w:cs="宋体"/>
                <w:b/>
                <w:bCs/>
                <w:color w:val="auto"/>
                <w:kern w:val="2"/>
                <w:sz w:val="21"/>
                <w:szCs w:val="21"/>
                <w:highlight w:val="none"/>
                <w:u w:val="single"/>
                <w:lang w:val="en-US" w:eastAsia="zh-CN"/>
              </w:rPr>
              <w:t>9</w:t>
            </w:r>
            <w:r>
              <w:rPr>
                <w:rFonts w:hint="eastAsia" w:ascii="宋体" w:hAnsi="宋体" w:eastAsia="宋体" w:cs="宋体"/>
                <w:b/>
                <w:bCs/>
                <w:color w:val="auto"/>
                <w:kern w:val="2"/>
                <w:sz w:val="21"/>
                <w:szCs w:val="21"/>
                <w:highlight w:val="none"/>
                <w:u w:val="single"/>
                <w:lang w:val="en-US" w:eastAsia="zh-CN"/>
              </w:rPr>
              <w:t xml:space="preserve"> </w:t>
            </w:r>
            <w:r>
              <w:rPr>
                <w:rFonts w:hint="eastAsia" w:ascii="宋体" w:hAnsi="宋体" w:eastAsia="宋体" w:cs="宋体"/>
                <w:b/>
                <w:bCs/>
                <w:color w:val="auto"/>
                <w:kern w:val="2"/>
                <w:sz w:val="21"/>
                <w:szCs w:val="21"/>
                <w:highlight w:val="none"/>
                <w:lang w:eastAsia="zh-CN"/>
              </w:rPr>
              <w:t>号</w:t>
            </w:r>
            <w:r>
              <w:rPr>
                <w:rFonts w:hint="eastAsia" w:ascii="宋体" w:hAnsi="宋体" w:eastAsia="宋体" w:cs="宋体"/>
                <w:b/>
                <w:bCs/>
                <w:color w:val="auto"/>
                <w:kern w:val="2"/>
                <w:sz w:val="21"/>
                <w:szCs w:val="21"/>
                <w:highlight w:val="none"/>
                <w:lang w:eastAsia="zh-CN"/>
              </w:rPr>
              <w:t>开标室现场提交或以电子邮件的形式（以通知时所告知的电子邮箱地址为准）提交电子备份磋商响应文件】</w:t>
            </w:r>
            <w:r>
              <w:rPr>
                <w:rFonts w:hint="eastAsia" w:ascii="宋体" w:hAnsi="宋体" w:eastAsia="宋体" w:cs="宋体"/>
                <w:b w:val="0"/>
                <w:bCs w:val="0"/>
                <w:color w:val="auto"/>
                <w:kern w:val="2"/>
                <w:sz w:val="21"/>
                <w:szCs w:val="21"/>
                <w:highlight w:val="none"/>
                <w:lang w:eastAsia="zh-CN"/>
              </w:rPr>
              <w:t>，若磋商供应商在规定时间内无法解密或解密失败且未提供电子备份磋商响应文件的(包含提供的电子备份文件无效或无法解密的情况)，视为无效响应。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662" w:type="dxa"/>
            <w:vAlign w:val="center"/>
          </w:tcPr>
          <w:p>
            <w:pPr>
              <w:pageBreakBefore w:val="0"/>
              <w:widowControl w:val="0"/>
              <w:kinsoku/>
              <w:wordWrap/>
              <w:overflowPunct/>
              <w:topLinePunct w:val="0"/>
              <w:autoSpaceDE/>
              <w:autoSpaceDN/>
              <w:bidi w:val="0"/>
              <w:adjustRightInd/>
              <w:spacing w:line="380" w:lineRule="exact"/>
              <w:ind w:lef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w:t>
            </w:r>
          </w:p>
        </w:tc>
        <w:tc>
          <w:tcPr>
            <w:tcW w:w="942" w:type="dxa"/>
            <w:vAlign w:val="center"/>
          </w:tcPr>
          <w:p>
            <w:pPr>
              <w:pageBreakBefore w:val="0"/>
              <w:widowControl w:val="0"/>
              <w:kinsoku/>
              <w:wordWrap/>
              <w:overflowPunct/>
              <w:topLinePunct w:val="0"/>
              <w:autoSpaceDE/>
              <w:autoSpaceDN/>
              <w:bidi w:val="0"/>
              <w:adjustRightInd/>
              <w:spacing w:line="380" w:lineRule="exact"/>
              <w:ind w:left="0" w:firstLine="105" w:firstLineChars="50"/>
              <w:jc w:val="center"/>
              <w:textAlignment w:val="auto"/>
              <w:rPr>
                <w:rFonts w:hint="eastAsia" w:ascii="宋体" w:hAnsi="宋体" w:eastAsia="宋体" w:cs="宋体"/>
                <w:color w:val="auto"/>
                <w:position w:val="-2"/>
                <w:sz w:val="21"/>
                <w:szCs w:val="21"/>
                <w:highlight w:val="none"/>
              </w:rPr>
            </w:pPr>
            <w:r>
              <w:rPr>
                <w:rFonts w:hint="eastAsia" w:ascii="宋体" w:hAnsi="宋体" w:eastAsia="宋体" w:cs="宋体"/>
                <w:color w:val="auto"/>
                <w:position w:val="-2"/>
                <w:sz w:val="21"/>
                <w:szCs w:val="21"/>
                <w:highlight w:val="none"/>
              </w:rPr>
              <w:t>19.1</w:t>
            </w:r>
          </w:p>
        </w:tc>
        <w:tc>
          <w:tcPr>
            <w:tcW w:w="1775" w:type="dxa"/>
            <w:vAlign w:val="center"/>
          </w:tcPr>
          <w:p>
            <w:pPr>
              <w:pageBreakBefore w:val="0"/>
              <w:widowControl w:val="0"/>
              <w:kinsoku/>
              <w:wordWrap/>
              <w:overflowPunct/>
              <w:topLinePunct w:val="0"/>
              <w:autoSpaceDE/>
              <w:autoSpaceDN/>
              <w:bidi w:val="0"/>
              <w:adjustRightInd/>
              <w:spacing w:line="380" w:lineRule="exact"/>
              <w:ind w:lef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磋商小组组成</w:t>
            </w:r>
          </w:p>
        </w:tc>
        <w:tc>
          <w:tcPr>
            <w:tcW w:w="6912" w:type="dxa"/>
            <w:vAlign w:val="center"/>
          </w:tcPr>
          <w:p>
            <w:pPr>
              <w:pageBreakBefore w:val="0"/>
              <w:widowControl w:val="0"/>
              <w:kinsoku/>
              <w:wordWrap/>
              <w:overflowPunct/>
              <w:topLinePunct w:val="0"/>
              <w:autoSpaceDE/>
              <w:autoSpaceDN/>
              <w:bidi w:val="0"/>
              <w:adjustRightInd/>
              <w:spacing w:line="380" w:lineRule="exact"/>
              <w:ind w:left="0" w:hanging="14" w:hangingChars="7"/>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磋商及评审工作由采购代理机构负责组织，具体磋商、评审工作由依法组建的磋商小组负责，磋商小组由采购人代表和有关方面的专家组成。磋商小组的构成：</w:t>
            </w:r>
            <w:r>
              <w:rPr>
                <w:rFonts w:hint="eastAsia" w:ascii="宋体" w:hAnsi="宋体" w:eastAsia="宋体" w:cs="宋体"/>
                <w:color w:val="auto"/>
                <w:sz w:val="21"/>
                <w:szCs w:val="21"/>
                <w:highlight w:val="none"/>
                <w:u w:val="single"/>
              </w:rPr>
              <w:t xml:space="preserve">3 </w:t>
            </w:r>
            <w:r>
              <w:rPr>
                <w:rFonts w:hint="eastAsia" w:ascii="宋体" w:hAnsi="宋体" w:eastAsia="宋体" w:cs="宋体"/>
                <w:color w:val="auto"/>
                <w:sz w:val="21"/>
                <w:szCs w:val="21"/>
                <w:highlight w:val="none"/>
              </w:rPr>
              <w:t>人，其中采购人代表</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1 </w:t>
            </w:r>
            <w:r>
              <w:rPr>
                <w:rFonts w:hint="eastAsia" w:ascii="宋体" w:hAnsi="宋体" w:eastAsia="宋体" w:cs="宋体"/>
                <w:color w:val="auto"/>
                <w:sz w:val="21"/>
                <w:szCs w:val="21"/>
                <w:highlight w:val="none"/>
              </w:rPr>
              <w:t>人，专家</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2 </w:t>
            </w:r>
            <w:r>
              <w:rPr>
                <w:rFonts w:hint="eastAsia" w:ascii="宋体" w:hAnsi="宋体" w:eastAsia="宋体" w:cs="宋体"/>
                <w:color w:val="auto"/>
                <w:sz w:val="21"/>
                <w:szCs w:val="21"/>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662" w:type="dxa"/>
            <w:vAlign w:val="center"/>
          </w:tcPr>
          <w:p>
            <w:pPr>
              <w:pageBreakBefore w:val="0"/>
              <w:widowControl w:val="0"/>
              <w:kinsoku/>
              <w:wordWrap/>
              <w:overflowPunct/>
              <w:topLinePunct w:val="0"/>
              <w:autoSpaceDE/>
              <w:autoSpaceDN/>
              <w:bidi w:val="0"/>
              <w:adjustRightInd/>
              <w:spacing w:line="380" w:lineRule="exact"/>
              <w:ind w:lef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11</w:t>
            </w:r>
          </w:p>
        </w:tc>
        <w:tc>
          <w:tcPr>
            <w:tcW w:w="942" w:type="dxa"/>
            <w:vAlign w:val="center"/>
          </w:tcPr>
          <w:p>
            <w:pPr>
              <w:pageBreakBefore w:val="0"/>
              <w:widowControl w:val="0"/>
              <w:kinsoku/>
              <w:wordWrap/>
              <w:overflowPunct/>
              <w:topLinePunct w:val="0"/>
              <w:autoSpaceDE/>
              <w:autoSpaceDN/>
              <w:bidi w:val="0"/>
              <w:adjustRightInd/>
              <w:spacing w:line="380" w:lineRule="exact"/>
              <w:ind w:lef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19.2</w:t>
            </w:r>
          </w:p>
        </w:tc>
        <w:tc>
          <w:tcPr>
            <w:tcW w:w="1775" w:type="dxa"/>
            <w:vAlign w:val="center"/>
          </w:tcPr>
          <w:p>
            <w:pPr>
              <w:pageBreakBefore w:val="0"/>
              <w:widowControl w:val="0"/>
              <w:kinsoku/>
              <w:wordWrap/>
              <w:overflowPunct/>
              <w:topLinePunct w:val="0"/>
              <w:autoSpaceDE/>
              <w:autoSpaceDN/>
              <w:bidi w:val="0"/>
              <w:adjustRightInd/>
              <w:spacing w:line="380" w:lineRule="exact"/>
              <w:ind w:lef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磋商时间、地点、人员</w:t>
            </w:r>
          </w:p>
        </w:tc>
        <w:tc>
          <w:tcPr>
            <w:tcW w:w="6912" w:type="dxa"/>
            <w:vAlign w:val="top"/>
          </w:tcPr>
          <w:p>
            <w:pPr>
              <w:pageBreakBefore w:val="0"/>
              <w:widowControl w:val="0"/>
              <w:kinsoku/>
              <w:wordWrap/>
              <w:overflowPunct/>
              <w:topLinePunct w:val="0"/>
              <w:autoSpaceDE/>
              <w:autoSpaceDN/>
              <w:bidi w:val="0"/>
              <w:adjustRightInd/>
              <w:spacing w:line="380" w:lineRule="exact"/>
              <w:ind w:left="0" w:hanging="315" w:hangingChars="15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19.2.1磋商时间：响应文件递交截止时间后。</w:t>
            </w:r>
          </w:p>
          <w:p>
            <w:pPr>
              <w:pageBreakBefore w:val="0"/>
              <w:widowControl w:val="0"/>
              <w:kinsoku/>
              <w:wordWrap/>
              <w:overflowPunct/>
              <w:topLinePunct w:val="0"/>
              <w:autoSpaceDE/>
              <w:autoSpaceDN/>
              <w:bidi w:val="0"/>
              <w:adjustRightInd/>
              <w:spacing w:line="380" w:lineRule="exact"/>
              <w:ind w:left="0"/>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19.2.2磋商地点：</w:t>
            </w:r>
            <w:r>
              <w:rPr>
                <w:rFonts w:hint="eastAsia" w:ascii="宋体" w:hAnsi="宋体" w:eastAsia="宋体" w:cs="宋体"/>
                <w:b/>
                <w:bCs/>
                <w:color w:val="auto"/>
                <w:sz w:val="21"/>
                <w:szCs w:val="21"/>
                <w:highlight w:val="none"/>
              </w:rPr>
              <w:t>供应商代表在响应文件提交当天实时登陆“广西政府采购云平台”，按磋商小组要求在线等候参与磋商及提交最后报价。因供应商未保持实时在线，导致磋商小组无法及时与其取得联系，从而造成供应商未按规定参与磋商或报价的，其不利后果由供应商自行承担</w:t>
            </w:r>
            <w:r>
              <w:rPr>
                <w:rFonts w:hint="eastAsia" w:ascii="宋体" w:hAnsi="宋体" w:eastAsia="宋体" w:cs="宋体"/>
                <w:color w:val="auto"/>
                <w:sz w:val="21"/>
                <w:szCs w:val="21"/>
                <w:highlight w:val="none"/>
                <w:lang w:eastAsia="zh-CN"/>
              </w:rPr>
              <w:t>。</w:t>
            </w:r>
          </w:p>
          <w:p>
            <w:pPr>
              <w:pageBreakBefore w:val="0"/>
              <w:widowControl w:val="0"/>
              <w:kinsoku/>
              <w:wordWrap/>
              <w:overflowPunct/>
              <w:topLinePunct w:val="0"/>
              <w:autoSpaceDE/>
              <w:autoSpaceDN/>
              <w:bidi w:val="0"/>
              <w:adjustRightInd/>
              <w:spacing w:line="380" w:lineRule="exact"/>
              <w:ind w:left="0" w:hanging="14" w:hangingChars="7"/>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19.2.3磋商参加人员：</w:t>
            </w:r>
            <w:r>
              <w:rPr>
                <w:rFonts w:hint="eastAsia" w:ascii="宋体" w:hAnsi="宋体" w:eastAsia="宋体" w:cs="宋体"/>
                <w:b w:val="0"/>
                <w:bCs w:val="0"/>
                <w:color w:val="auto"/>
                <w:sz w:val="21"/>
                <w:szCs w:val="21"/>
                <w:highlight w:val="none"/>
              </w:rPr>
              <w:t>供应商法定代表人、负责人、自然人或相应的委托代理人持有效身份证原件和供应商广西政府采购云平台CA数字证书参加磋商。请供应商实时登陆“广西政府采购云平台”等候在线磋商</w:t>
            </w:r>
            <w:r>
              <w:rPr>
                <w:rFonts w:hint="eastAsia" w:ascii="宋体" w:hAnsi="宋体" w:eastAsia="宋体" w:cs="宋体"/>
                <w:color w:val="auto"/>
                <w:sz w:val="21"/>
                <w:szCs w:val="21"/>
                <w:highlight w:val="none"/>
              </w:rPr>
              <w:t>。</w:t>
            </w:r>
          </w:p>
          <w:p>
            <w:pPr>
              <w:pageBreakBefore w:val="0"/>
              <w:widowControl w:val="0"/>
              <w:tabs>
                <w:tab w:val="left" w:pos="1140"/>
              </w:tabs>
              <w:kinsoku/>
              <w:wordWrap/>
              <w:overflowPunct/>
              <w:topLinePunct w:val="0"/>
              <w:autoSpaceDE/>
              <w:autoSpaceDN/>
              <w:bidi w:val="0"/>
              <w:adjustRightInd/>
              <w:spacing w:line="380" w:lineRule="exact"/>
              <w:ind w:left="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19.2.4响应文件递交截止时间后，由磋商小组在评标室内</w:t>
            </w:r>
            <w:r>
              <w:rPr>
                <w:rFonts w:hint="eastAsia" w:ascii="宋体" w:hAnsi="宋体" w:eastAsia="宋体" w:cs="宋体"/>
                <w:color w:val="auto"/>
                <w:sz w:val="21"/>
                <w:szCs w:val="21"/>
                <w:highlight w:val="none"/>
                <w:lang w:eastAsia="zh-CN"/>
              </w:rPr>
              <w:t>线上</w:t>
            </w:r>
            <w:r>
              <w:rPr>
                <w:rFonts w:hint="eastAsia" w:ascii="宋体" w:hAnsi="宋体" w:eastAsia="宋体" w:cs="宋体"/>
                <w:color w:val="auto"/>
                <w:sz w:val="21"/>
                <w:szCs w:val="21"/>
                <w:highlight w:val="none"/>
              </w:rPr>
              <w:t>开启响应文件。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62" w:type="dxa"/>
            <w:vAlign w:val="center"/>
          </w:tcPr>
          <w:p>
            <w:pPr>
              <w:pageBreakBefore w:val="0"/>
              <w:widowControl w:val="0"/>
              <w:kinsoku/>
              <w:wordWrap/>
              <w:overflowPunct/>
              <w:topLinePunct w:val="0"/>
              <w:autoSpaceDE/>
              <w:autoSpaceDN/>
              <w:bidi w:val="0"/>
              <w:adjustRightInd/>
              <w:spacing w:line="380" w:lineRule="exact"/>
              <w:ind w:lef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kern w:val="0"/>
                <w:sz w:val="21"/>
                <w:szCs w:val="21"/>
                <w:highlight w:val="none"/>
                <w:lang w:val="en-US" w:eastAsia="zh-CN"/>
              </w:rPr>
              <w:t>12</w:t>
            </w:r>
          </w:p>
        </w:tc>
        <w:tc>
          <w:tcPr>
            <w:tcW w:w="942" w:type="dxa"/>
            <w:vAlign w:val="center"/>
          </w:tcPr>
          <w:p>
            <w:pPr>
              <w:pageBreakBefore w:val="0"/>
              <w:widowControl w:val="0"/>
              <w:kinsoku/>
              <w:wordWrap/>
              <w:overflowPunct/>
              <w:topLinePunct w:val="0"/>
              <w:autoSpaceDE/>
              <w:autoSpaceDN/>
              <w:bidi w:val="0"/>
              <w:adjustRightInd/>
              <w:spacing w:line="380" w:lineRule="exact"/>
              <w:ind w:lef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20.2</w:t>
            </w:r>
          </w:p>
        </w:tc>
        <w:tc>
          <w:tcPr>
            <w:tcW w:w="1775" w:type="dxa"/>
            <w:vAlign w:val="center"/>
          </w:tcPr>
          <w:p>
            <w:pPr>
              <w:pStyle w:val="11"/>
              <w:pageBreakBefore w:val="0"/>
              <w:widowControl w:val="0"/>
              <w:kinsoku/>
              <w:wordWrap/>
              <w:overflowPunct/>
              <w:topLinePunct w:val="0"/>
              <w:autoSpaceDE/>
              <w:autoSpaceDN/>
              <w:bidi w:val="0"/>
              <w:adjustRightInd/>
              <w:spacing w:line="380" w:lineRule="exact"/>
              <w:ind w:left="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评审办法</w:t>
            </w:r>
          </w:p>
        </w:tc>
        <w:tc>
          <w:tcPr>
            <w:tcW w:w="6912" w:type="dxa"/>
            <w:vAlign w:val="center"/>
          </w:tcPr>
          <w:p>
            <w:pPr>
              <w:pageBreakBefore w:val="0"/>
              <w:widowControl w:val="0"/>
              <w:tabs>
                <w:tab w:val="left" w:pos="1140"/>
              </w:tabs>
              <w:kinsoku/>
              <w:wordWrap/>
              <w:overflowPunct/>
              <w:topLinePunct w:val="0"/>
              <w:autoSpaceDE/>
              <w:autoSpaceDN/>
              <w:bidi w:val="0"/>
              <w:adjustRightInd/>
              <w:spacing w:line="380" w:lineRule="exact"/>
              <w:ind w:lef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具体详见第四章评审办法。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62" w:type="dxa"/>
            <w:vAlign w:val="center"/>
          </w:tcPr>
          <w:p>
            <w:pPr>
              <w:pageBreakBefore w:val="0"/>
              <w:widowControl w:val="0"/>
              <w:kinsoku/>
              <w:wordWrap/>
              <w:overflowPunct/>
              <w:topLinePunct w:val="0"/>
              <w:autoSpaceDE/>
              <w:autoSpaceDN/>
              <w:bidi w:val="0"/>
              <w:adjustRightInd/>
              <w:spacing w:line="380" w:lineRule="exact"/>
              <w:ind w:lef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13</w:t>
            </w:r>
          </w:p>
        </w:tc>
        <w:tc>
          <w:tcPr>
            <w:tcW w:w="942" w:type="dxa"/>
            <w:vAlign w:val="center"/>
          </w:tcPr>
          <w:p>
            <w:pPr>
              <w:pageBreakBefore w:val="0"/>
              <w:widowControl w:val="0"/>
              <w:kinsoku/>
              <w:wordWrap/>
              <w:overflowPunct/>
              <w:topLinePunct w:val="0"/>
              <w:autoSpaceDE/>
              <w:autoSpaceDN/>
              <w:bidi w:val="0"/>
              <w:adjustRightInd/>
              <w:spacing w:line="380" w:lineRule="exact"/>
              <w:ind w:lef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26</w:t>
            </w:r>
          </w:p>
        </w:tc>
        <w:tc>
          <w:tcPr>
            <w:tcW w:w="1775" w:type="dxa"/>
            <w:vAlign w:val="center"/>
          </w:tcPr>
          <w:p>
            <w:pPr>
              <w:pageBreakBefore w:val="0"/>
              <w:widowControl w:val="0"/>
              <w:kinsoku/>
              <w:wordWrap/>
              <w:overflowPunct/>
              <w:topLinePunct w:val="0"/>
              <w:autoSpaceDE/>
              <w:autoSpaceDN/>
              <w:bidi w:val="0"/>
              <w:adjustRightInd/>
              <w:spacing w:line="380" w:lineRule="exact"/>
              <w:ind w:lef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信用查询</w:t>
            </w:r>
          </w:p>
        </w:tc>
        <w:tc>
          <w:tcPr>
            <w:tcW w:w="6912" w:type="dxa"/>
            <w:vAlign w:val="center"/>
          </w:tcPr>
          <w:p>
            <w:pPr>
              <w:pageBreakBefore w:val="0"/>
              <w:widowControl w:val="0"/>
              <w:kinsoku/>
              <w:wordWrap/>
              <w:overflowPunct/>
              <w:topLinePunct w:val="0"/>
              <w:autoSpaceDE/>
              <w:autoSpaceDN/>
              <w:bidi w:val="0"/>
              <w:adjustRightInd/>
              <w:spacing w:line="380" w:lineRule="exact"/>
              <w:ind w:left="0" w:hanging="14" w:hangingChars="7"/>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根据《关于做好政府采购有关信用主体标识码登记及在政府采购活动中查询使用信用记录有关问题的通知》（桂财采〔2016〕37），由采购代理机构对第一成交候选人进行信用查询：</w:t>
            </w:r>
          </w:p>
          <w:p>
            <w:pPr>
              <w:pageBreakBefore w:val="0"/>
              <w:widowControl w:val="0"/>
              <w:kinsoku/>
              <w:wordWrap/>
              <w:overflowPunct/>
              <w:topLinePunct w:val="0"/>
              <w:autoSpaceDE/>
              <w:autoSpaceDN/>
              <w:bidi w:val="0"/>
              <w:adjustRightInd/>
              <w:spacing w:line="380" w:lineRule="exact"/>
              <w:ind w:left="0" w:hanging="14" w:hangingChars="7"/>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⑴查询渠道：“信用中国”网站(www.creditchina.gov.cn)、中国政府采购网(www.ccgp.gov.cn)等；</w:t>
            </w:r>
          </w:p>
          <w:p>
            <w:pPr>
              <w:pageBreakBefore w:val="0"/>
              <w:widowControl w:val="0"/>
              <w:kinsoku/>
              <w:wordWrap/>
              <w:overflowPunct/>
              <w:topLinePunct w:val="0"/>
              <w:autoSpaceDE/>
              <w:autoSpaceDN/>
              <w:bidi w:val="0"/>
              <w:adjustRightInd/>
              <w:spacing w:line="380" w:lineRule="exact"/>
              <w:ind w:left="0" w:hanging="315" w:hangingChars="15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⑵查询时间：成交通知书发出前；</w:t>
            </w:r>
          </w:p>
          <w:p>
            <w:pPr>
              <w:pageBreakBefore w:val="0"/>
              <w:widowControl w:val="0"/>
              <w:kinsoku/>
              <w:wordWrap/>
              <w:overflowPunct/>
              <w:topLinePunct w:val="0"/>
              <w:autoSpaceDE/>
              <w:autoSpaceDN/>
              <w:bidi w:val="0"/>
              <w:adjustRightInd/>
              <w:spacing w:line="380" w:lineRule="exact"/>
              <w:ind w:left="0" w:hanging="14" w:hangingChars="7"/>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⑶信用信息查询记录和证据留存方式：在查询网站中直接打印查询记录，打印材料作为采购活动资料保存；</w:t>
            </w:r>
          </w:p>
          <w:p>
            <w:pPr>
              <w:pageBreakBefore w:val="0"/>
              <w:widowControl w:val="0"/>
              <w:kinsoku/>
              <w:wordWrap/>
              <w:overflowPunct/>
              <w:topLinePunct w:val="0"/>
              <w:autoSpaceDE/>
              <w:autoSpaceDN/>
              <w:bidi w:val="0"/>
              <w:adjustRightInd/>
              <w:spacing w:line="380" w:lineRule="exact"/>
              <w:ind w:left="0" w:hanging="14" w:hangingChars="7"/>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成交候选人资格。采购人依法按照评审报告中磋商小组推荐成交候选人排序表确定排名第二的成交候选人为成交供应商或者重新组织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662" w:type="dxa"/>
            <w:vAlign w:val="center"/>
          </w:tcPr>
          <w:p>
            <w:pPr>
              <w:pageBreakBefore w:val="0"/>
              <w:widowControl w:val="0"/>
              <w:kinsoku/>
              <w:wordWrap/>
              <w:overflowPunct/>
              <w:topLinePunct w:val="0"/>
              <w:autoSpaceDE/>
              <w:autoSpaceDN/>
              <w:bidi w:val="0"/>
              <w:adjustRightInd/>
              <w:spacing w:line="380" w:lineRule="exact"/>
              <w:ind w:lef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14</w:t>
            </w:r>
          </w:p>
        </w:tc>
        <w:tc>
          <w:tcPr>
            <w:tcW w:w="942" w:type="dxa"/>
            <w:vAlign w:val="center"/>
          </w:tcPr>
          <w:p>
            <w:pPr>
              <w:pageBreakBefore w:val="0"/>
              <w:widowControl w:val="0"/>
              <w:kinsoku/>
              <w:wordWrap/>
              <w:overflowPunct/>
              <w:topLinePunct w:val="0"/>
              <w:autoSpaceDE/>
              <w:autoSpaceDN/>
              <w:bidi w:val="0"/>
              <w:adjustRightInd/>
              <w:spacing w:line="380" w:lineRule="exact"/>
              <w:ind w:lef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27</w:t>
            </w:r>
          </w:p>
        </w:tc>
        <w:tc>
          <w:tcPr>
            <w:tcW w:w="1775" w:type="dxa"/>
            <w:vAlign w:val="center"/>
          </w:tcPr>
          <w:p>
            <w:pPr>
              <w:pageBreakBefore w:val="0"/>
              <w:widowControl w:val="0"/>
              <w:kinsoku/>
              <w:wordWrap/>
              <w:overflowPunct/>
              <w:topLinePunct w:val="0"/>
              <w:autoSpaceDE/>
              <w:autoSpaceDN/>
              <w:bidi w:val="0"/>
              <w:adjustRightInd/>
              <w:spacing w:line="380" w:lineRule="exact"/>
              <w:ind w:lef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成交结果公告</w:t>
            </w:r>
          </w:p>
          <w:p>
            <w:pPr>
              <w:pageBreakBefore w:val="0"/>
              <w:widowControl w:val="0"/>
              <w:kinsoku/>
              <w:wordWrap/>
              <w:overflowPunct/>
              <w:topLinePunct w:val="0"/>
              <w:autoSpaceDE/>
              <w:autoSpaceDN/>
              <w:bidi w:val="0"/>
              <w:adjustRightInd/>
              <w:spacing w:line="380" w:lineRule="exact"/>
              <w:ind w:lef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及成交通知书</w:t>
            </w:r>
          </w:p>
        </w:tc>
        <w:tc>
          <w:tcPr>
            <w:tcW w:w="6912" w:type="dxa"/>
            <w:vAlign w:val="top"/>
          </w:tcPr>
          <w:p>
            <w:pPr>
              <w:pageBreakBefore w:val="0"/>
              <w:widowControl w:val="0"/>
              <w:kinsoku/>
              <w:wordWrap/>
              <w:overflowPunct/>
              <w:topLinePunct w:val="0"/>
              <w:autoSpaceDE/>
              <w:autoSpaceDN/>
              <w:bidi w:val="0"/>
              <w:adjustRightInd/>
              <w:spacing w:line="380" w:lineRule="exact"/>
              <w:ind w:lef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27.1采购代理机构于磋商结束后两个工作日内将评审报告送交采购人，采购人应当自收到评审报告五个工作日内在评审报告推荐的成交候选人中按顺序确定成交供应商，采购代理机构在成交供应商确定之日起两个工作日内发出成交通知书，并在指定媒体上公告成交信息。</w:t>
            </w:r>
          </w:p>
          <w:p>
            <w:pPr>
              <w:pageBreakBefore w:val="0"/>
              <w:widowControl w:val="0"/>
              <w:kinsoku/>
              <w:wordWrap/>
              <w:overflowPunct/>
              <w:topLinePunct w:val="0"/>
              <w:autoSpaceDE/>
              <w:autoSpaceDN/>
              <w:bidi w:val="0"/>
              <w:adjustRightInd/>
              <w:spacing w:line="380" w:lineRule="exact"/>
              <w:ind w:lef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27.2在发布成交公告的同时，采购代理机构向成交供应商发出成交通知书。成交供应商自接到通知之日起七个工作日内，办理成交通知书领取手续。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62" w:type="dxa"/>
            <w:vAlign w:val="center"/>
          </w:tcPr>
          <w:p>
            <w:pPr>
              <w:pageBreakBefore w:val="0"/>
              <w:widowControl w:val="0"/>
              <w:kinsoku/>
              <w:wordWrap/>
              <w:overflowPunct/>
              <w:topLinePunct w:val="0"/>
              <w:autoSpaceDE/>
              <w:autoSpaceDN/>
              <w:bidi w:val="0"/>
              <w:adjustRightInd/>
              <w:spacing w:line="380" w:lineRule="exact"/>
              <w:ind w:lef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15</w:t>
            </w:r>
          </w:p>
        </w:tc>
        <w:tc>
          <w:tcPr>
            <w:tcW w:w="942" w:type="dxa"/>
            <w:vAlign w:val="center"/>
          </w:tcPr>
          <w:p>
            <w:pPr>
              <w:pageBreakBefore w:val="0"/>
              <w:widowControl w:val="0"/>
              <w:kinsoku/>
              <w:wordWrap/>
              <w:overflowPunct/>
              <w:topLinePunct w:val="0"/>
              <w:autoSpaceDE/>
              <w:autoSpaceDN/>
              <w:bidi w:val="0"/>
              <w:adjustRightInd/>
              <w:spacing w:line="380" w:lineRule="exact"/>
              <w:ind w:lef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28</w:t>
            </w:r>
          </w:p>
        </w:tc>
        <w:tc>
          <w:tcPr>
            <w:tcW w:w="1775" w:type="dxa"/>
            <w:vAlign w:val="center"/>
          </w:tcPr>
          <w:p>
            <w:pPr>
              <w:pageBreakBefore w:val="0"/>
              <w:widowControl w:val="0"/>
              <w:kinsoku/>
              <w:wordWrap/>
              <w:overflowPunct/>
              <w:topLinePunct w:val="0"/>
              <w:autoSpaceDE/>
              <w:autoSpaceDN/>
              <w:bidi w:val="0"/>
              <w:adjustRightInd/>
              <w:spacing w:line="380" w:lineRule="exact"/>
              <w:ind w:lef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履约保证金</w:t>
            </w:r>
          </w:p>
        </w:tc>
        <w:tc>
          <w:tcPr>
            <w:tcW w:w="6912" w:type="dxa"/>
            <w:vAlign w:val="center"/>
          </w:tcPr>
          <w:p>
            <w:pPr>
              <w:pageBreakBefore w:val="0"/>
              <w:widowControl w:val="0"/>
              <w:kinsoku/>
              <w:wordWrap/>
              <w:overflowPunct/>
              <w:topLinePunct w:val="0"/>
              <w:autoSpaceDE/>
              <w:autoSpaceDN/>
              <w:bidi w:val="0"/>
              <w:adjustRightInd/>
              <w:spacing w:line="380" w:lineRule="exact"/>
              <w:ind w:left="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本项目不收取履约保证金。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62" w:type="dxa"/>
            <w:vAlign w:val="center"/>
          </w:tcPr>
          <w:p>
            <w:pPr>
              <w:pageBreakBefore w:val="0"/>
              <w:widowControl w:val="0"/>
              <w:kinsoku/>
              <w:wordWrap/>
              <w:overflowPunct/>
              <w:topLinePunct w:val="0"/>
              <w:autoSpaceDE/>
              <w:autoSpaceDN/>
              <w:bidi w:val="0"/>
              <w:adjustRightInd/>
              <w:spacing w:line="380" w:lineRule="exact"/>
              <w:ind w:lef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16</w:t>
            </w:r>
          </w:p>
        </w:tc>
        <w:tc>
          <w:tcPr>
            <w:tcW w:w="942" w:type="dxa"/>
            <w:vAlign w:val="center"/>
          </w:tcPr>
          <w:p>
            <w:pPr>
              <w:pageBreakBefore w:val="0"/>
              <w:widowControl w:val="0"/>
              <w:kinsoku/>
              <w:wordWrap/>
              <w:overflowPunct/>
              <w:topLinePunct w:val="0"/>
              <w:autoSpaceDE/>
              <w:autoSpaceDN/>
              <w:bidi w:val="0"/>
              <w:adjustRightInd/>
              <w:spacing w:line="380" w:lineRule="exact"/>
              <w:ind w:lef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29.1</w:t>
            </w:r>
          </w:p>
        </w:tc>
        <w:tc>
          <w:tcPr>
            <w:tcW w:w="1775" w:type="dxa"/>
            <w:vAlign w:val="center"/>
          </w:tcPr>
          <w:p>
            <w:pPr>
              <w:pageBreakBefore w:val="0"/>
              <w:widowControl w:val="0"/>
              <w:kinsoku/>
              <w:wordWrap/>
              <w:overflowPunct/>
              <w:topLinePunct w:val="0"/>
              <w:autoSpaceDE/>
              <w:autoSpaceDN/>
              <w:bidi w:val="0"/>
              <w:adjustRightInd/>
              <w:spacing w:line="380" w:lineRule="exact"/>
              <w:ind w:lef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签订合同时间</w:t>
            </w:r>
          </w:p>
        </w:tc>
        <w:tc>
          <w:tcPr>
            <w:tcW w:w="6912" w:type="dxa"/>
            <w:vAlign w:val="top"/>
          </w:tcPr>
          <w:p>
            <w:pPr>
              <w:pageBreakBefore w:val="0"/>
              <w:widowControl w:val="0"/>
              <w:kinsoku/>
              <w:wordWrap/>
              <w:overflowPunct/>
              <w:topLinePunct w:val="0"/>
              <w:autoSpaceDE/>
              <w:autoSpaceDN/>
              <w:bidi w:val="0"/>
              <w:adjustRightInd/>
              <w:spacing w:line="380" w:lineRule="exact"/>
              <w:ind w:left="0"/>
              <w:textAlignment w:val="auto"/>
              <w:rPr>
                <w:rFonts w:hint="eastAsia" w:ascii="宋体" w:hAnsi="宋体" w:eastAsia="宋体" w:cs="宋体"/>
                <w:color w:val="auto"/>
                <w:sz w:val="21"/>
                <w:szCs w:val="21"/>
                <w:highlight w:val="none"/>
              </w:rPr>
            </w:pPr>
            <w:r>
              <w:rPr>
                <w:rFonts w:hint="eastAsia" w:ascii="宋体" w:hAnsi="宋体" w:eastAsia="宋体" w:cs="宋体"/>
                <w:bCs/>
                <w:color w:val="auto"/>
                <w:kern w:val="0"/>
                <w:sz w:val="21"/>
                <w:szCs w:val="21"/>
                <w:highlight w:val="none"/>
                <w:lang w:eastAsia="zh-CN"/>
              </w:rPr>
              <w:t>成交通知书</w:t>
            </w:r>
            <w:r>
              <w:rPr>
                <w:rFonts w:hint="eastAsia" w:ascii="宋体" w:hAnsi="宋体" w:eastAsia="宋体" w:cs="宋体"/>
                <w:bCs/>
                <w:color w:val="auto"/>
                <w:kern w:val="0"/>
                <w:sz w:val="21"/>
                <w:szCs w:val="21"/>
                <w:highlight w:val="none"/>
              </w:rPr>
              <w:t>发出之日起</w:t>
            </w:r>
            <w:r>
              <w:rPr>
                <w:rFonts w:hint="eastAsia" w:ascii="宋体" w:hAnsi="宋体" w:eastAsia="宋体" w:cs="宋体"/>
                <w:bCs/>
                <w:color w:val="auto"/>
                <w:kern w:val="0"/>
                <w:sz w:val="21"/>
                <w:szCs w:val="21"/>
                <w:highlight w:val="none"/>
                <w:lang w:val="en-US" w:eastAsia="zh-CN"/>
              </w:rPr>
              <w:t>8个工作日</w:t>
            </w:r>
            <w:r>
              <w:rPr>
                <w:rFonts w:hint="eastAsia" w:ascii="宋体" w:hAnsi="宋体" w:eastAsia="宋体" w:cs="宋体"/>
                <w:bCs/>
                <w:color w:val="auto"/>
                <w:kern w:val="0"/>
                <w:sz w:val="21"/>
                <w:szCs w:val="21"/>
                <w:highlight w:val="none"/>
              </w:rPr>
              <w:t>内</w:t>
            </w:r>
            <w:r>
              <w:rPr>
                <w:rFonts w:hint="eastAsia" w:ascii="宋体" w:hAnsi="宋体" w:eastAsia="宋体" w:cs="宋体"/>
                <w:bCs/>
                <w:color w:val="auto"/>
                <w:kern w:val="0"/>
                <w:sz w:val="21"/>
                <w:szCs w:val="21"/>
                <w:highlight w:val="none"/>
              </w:rPr>
              <w:t>签订合同</w:t>
            </w:r>
            <w:r>
              <w:rPr>
                <w:rFonts w:hint="eastAsia" w:ascii="宋体" w:hAnsi="宋体" w:eastAsia="宋体" w:cs="宋体"/>
                <w:color w:val="auto"/>
                <w:sz w:val="21"/>
                <w:szCs w:val="21"/>
                <w:highlight w:val="none"/>
              </w:rPr>
              <w:t>。成交供应商领取成交通知书后，应按规定与采购人签订合同。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62" w:type="dxa"/>
            <w:vAlign w:val="center"/>
          </w:tcPr>
          <w:p>
            <w:pPr>
              <w:pageBreakBefore w:val="0"/>
              <w:widowControl w:val="0"/>
              <w:kinsoku/>
              <w:wordWrap/>
              <w:overflowPunct/>
              <w:topLinePunct w:val="0"/>
              <w:autoSpaceDE/>
              <w:autoSpaceDN/>
              <w:bidi w:val="0"/>
              <w:adjustRightInd/>
              <w:spacing w:line="380" w:lineRule="exact"/>
              <w:ind w:lef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17</w:t>
            </w:r>
          </w:p>
        </w:tc>
        <w:tc>
          <w:tcPr>
            <w:tcW w:w="942" w:type="dxa"/>
            <w:vAlign w:val="center"/>
          </w:tcPr>
          <w:p>
            <w:pPr>
              <w:pageBreakBefore w:val="0"/>
              <w:widowControl w:val="0"/>
              <w:kinsoku/>
              <w:wordWrap/>
              <w:overflowPunct/>
              <w:topLinePunct w:val="0"/>
              <w:autoSpaceDE/>
              <w:autoSpaceDN/>
              <w:bidi w:val="0"/>
              <w:adjustRightInd/>
              <w:spacing w:line="380" w:lineRule="exact"/>
              <w:ind w:lef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29.3</w:t>
            </w:r>
          </w:p>
        </w:tc>
        <w:tc>
          <w:tcPr>
            <w:tcW w:w="1775" w:type="dxa"/>
            <w:vAlign w:val="center"/>
          </w:tcPr>
          <w:p>
            <w:pPr>
              <w:pageBreakBefore w:val="0"/>
              <w:widowControl w:val="0"/>
              <w:kinsoku/>
              <w:wordWrap/>
              <w:overflowPunct/>
              <w:topLinePunct w:val="0"/>
              <w:autoSpaceDE/>
              <w:autoSpaceDN/>
              <w:bidi w:val="0"/>
              <w:adjustRightInd/>
              <w:spacing w:line="380" w:lineRule="exact"/>
              <w:ind w:lef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合同备案存档</w:t>
            </w:r>
          </w:p>
        </w:tc>
        <w:tc>
          <w:tcPr>
            <w:tcW w:w="6912" w:type="dxa"/>
            <w:vAlign w:val="center"/>
          </w:tcPr>
          <w:p>
            <w:pPr>
              <w:pageBreakBefore w:val="0"/>
              <w:widowControl w:val="0"/>
              <w:kinsoku/>
              <w:wordWrap/>
              <w:overflowPunct/>
              <w:topLinePunct w:val="0"/>
              <w:autoSpaceDE/>
              <w:autoSpaceDN/>
              <w:bidi w:val="0"/>
              <w:adjustRightInd/>
              <w:spacing w:line="380" w:lineRule="exact"/>
              <w:ind w:lef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政府采购合同双方自签订之日起一个工作日内将合同原件</w:t>
            </w:r>
            <w:r>
              <w:rPr>
                <w:rFonts w:hint="eastAsia" w:ascii="宋体" w:hAnsi="宋体" w:cs="宋体"/>
                <w:color w:val="auto"/>
                <w:sz w:val="21"/>
                <w:szCs w:val="21"/>
                <w:highlight w:val="none"/>
                <w:lang w:eastAsia="zh-CN"/>
              </w:rPr>
              <w:t>两</w:t>
            </w:r>
            <w:r>
              <w:rPr>
                <w:rFonts w:hint="eastAsia" w:ascii="宋体" w:hAnsi="宋体" w:eastAsia="宋体" w:cs="宋体"/>
                <w:color w:val="auto"/>
                <w:sz w:val="21"/>
                <w:szCs w:val="21"/>
                <w:highlight w:val="none"/>
              </w:rPr>
              <w:t>份交采购代理机构，采购代理机构将政府采购合同在省级以上人民政府财政部门指定媒体上公告。采购人于合同签订之日起七个工作日内将一份合同原件送本级财政部门备案，一份由</w:t>
            </w:r>
            <w:r>
              <w:rPr>
                <w:rFonts w:hint="eastAsia" w:ascii="宋体" w:hAnsi="宋体" w:eastAsia="宋体" w:cs="宋体"/>
                <w:color w:val="auto"/>
                <w:szCs w:val="21"/>
                <w:highlight w:val="none"/>
                <w:lang w:eastAsia="zh-CN"/>
              </w:rPr>
              <w:t>广西星鑫建设工程咨询有限公司</w:t>
            </w:r>
            <w:r>
              <w:rPr>
                <w:rFonts w:hint="eastAsia" w:ascii="宋体" w:hAnsi="宋体" w:eastAsia="宋体" w:cs="宋体"/>
                <w:color w:val="auto"/>
                <w:sz w:val="21"/>
                <w:szCs w:val="21"/>
                <w:highlight w:val="none"/>
              </w:rPr>
              <w:t>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62" w:type="dxa"/>
            <w:vAlign w:val="center"/>
          </w:tcPr>
          <w:p>
            <w:pPr>
              <w:pageBreakBefore w:val="0"/>
              <w:widowControl w:val="0"/>
              <w:kinsoku/>
              <w:wordWrap/>
              <w:overflowPunct/>
              <w:topLinePunct w:val="0"/>
              <w:autoSpaceDE/>
              <w:autoSpaceDN/>
              <w:bidi w:val="0"/>
              <w:adjustRightInd/>
              <w:spacing w:line="380" w:lineRule="exact"/>
              <w:ind w:lef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18</w:t>
            </w:r>
          </w:p>
        </w:tc>
        <w:tc>
          <w:tcPr>
            <w:tcW w:w="942" w:type="dxa"/>
            <w:vAlign w:val="center"/>
          </w:tcPr>
          <w:p>
            <w:pPr>
              <w:pageBreakBefore w:val="0"/>
              <w:widowControl w:val="0"/>
              <w:kinsoku/>
              <w:wordWrap/>
              <w:overflowPunct/>
              <w:topLinePunct w:val="0"/>
              <w:autoSpaceDE/>
              <w:autoSpaceDN/>
              <w:bidi w:val="0"/>
              <w:adjustRightInd/>
              <w:spacing w:line="380" w:lineRule="exact"/>
              <w:ind w:lef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30</w:t>
            </w:r>
          </w:p>
        </w:tc>
        <w:tc>
          <w:tcPr>
            <w:tcW w:w="1775" w:type="dxa"/>
            <w:vAlign w:val="center"/>
          </w:tcPr>
          <w:p>
            <w:pPr>
              <w:pageBreakBefore w:val="0"/>
              <w:widowControl w:val="0"/>
              <w:kinsoku/>
              <w:wordWrap/>
              <w:overflowPunct/>
              <w:topLinePunct w:val="0"/>
              <w:autoSpaceDE/>
              <w:autoSpaceDN/>
              <w:bidi w:val="0"/>
              <w:adjustRightInd/>
              <w:spacing w:line="380" w:lineRule="exact"/>
              <w:ind w:lef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采购代理服务费</w:t>
            </w:r>
          </w:p>
        </w:tc>
        <w:tc>
          <w:tcPr>
            <w:tcW w:w="6912" w:type="dxa"/>
            <w:vAlign w:val="top"/>
          </w:tcPr>
          <w:p>
            <w:pPr>
              <w:pageBreakBefore w:val="0"/>
              <w:widowControl w:val="0"/>
              <w:kinsoku/>
              <w:wordWrap/>
              <w:overflowPunct/>
              <w:topLinePunct w:val="0"/>
              <w:autoSpaceDE/>
              <w:autoSpaceDN/>
              <w:bidi w:val="0"/>
              <w:adjustRightInd/>
              <w:spacing w:line="380" w:lineRule="exact"/>
              <w:ind w:lef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成交</w:t>
            </w:r>
            <w:r>
              <w:rPr>
                <w:rFonts w:hint="eastAsia" w:ascii="宋体" w:hAnsi="宋体" w:eastAsia="宋体" w:cs="宋体"/>
                <w:color w:val="auto"/>
                <w:sz w:val="21"/>
                <w:szCs w:val="21"/>
                <w:highlight w:val="none"/>
              </w:rPr>
              <w:t>人领取</w:t>
            </w:r>
            <w:r>
              <w:rPr>
                <w:rFonts w:hint="eastAsia" w:ascii="宋体" w:hAnsi="宋体" w:eastAsia="宋体" w:cs="宋体"/>
                <w:color w:val="auto"/>
                <w:sz w:val="21"/>
                <w:szCs w:val="21"/>
                <w:highlight w:val="none"/>
                <w:lang w:eastAsia="zh-CN"/>
              </w:rPr>
              <w:t>成交</w:t>
            </w:r>
            <w:r>
              <w:rPr>
                <w:rFonts w:hint="eastAsia" w:ascii="宋体" w:hAnsi="宋体" w:eastAsia="宋体" w:cs="宋体"/>
                <w:color w:val="auto"/>
                <w:sz w:val="21"/>
                <w:szCs w:val="21"/>
                <w:highlight w:val="none"/>
              </w:rPr>
              <w:t>通知书前，向</w:t>
            </w:r>
            <w:r>
              <w:rPr>
                <w:rFonts w:hint="eastAsia" w:ascii="宋体" w:hAnsi="宋体" w:eastAsia="宋体" w:cs="宋体"/>
                <w:color w:val="auto"/>
                <w:sz w:val="21"/>
                <w:szCs w:val="21"/>
                <w:highlight w:val="none"/>
                <w:lang w:eastAsia="zh-CN"/>
              </w:rPr>
              <w:t>采购</w:t>
            </w:r>
            <w:r>
              <w:rPr>
                <w:rFonts w:hint="eastAsia" w:ascii="宋体" w:hAnsi="宋体" w:eastAsia="宋体" w:cs="宋体"/>
                <w:color w:val="auto"/>
                <w:sz w:val="21"/>
                <w:szCs w:val="21"/>
                <w:highlight w:val="none"/>
              </w:rPr>
              <w:t>代理机构一次性付清</w:t>
            </w:r>
            <w:r>
              <w:rPr>
                <w:rFonts w:hint="eastAsia" w:ascii="宋体" w:hAnsi="宋体" w:eastAsia="宋体" w:cs="宋体"/>
                <w:color w:val="auto"/>
                <w:sz w:val="21"/>
                <w:szCs w:val="21"/>
                <w:highlight w:val="none"/>
                <w:lang w:eastAsia="zh-CN"/>
              </w:rPr>
              <w:t>采购</w:t>
            </w:r>
            <w:r>
              <w:rPr>
                <w:rFonts w:hint="eastAsia" w:ascii="宋体" w:hAnsi="宋体" w:eastAsia="宋体" w:cs="宋体"/>
                <w:color w:val="auto"/>
                <w:sz w:val="21"/>
                <w:szCs w:val="21"/>
                <w:highlight w:val="none"/>
              </w:rPr>
              <w:t>代理服务费，本项目</w:t>
            </w:r>
            <w:r>
              <w:rPr>
                <w:rFonts w:hint="eastAsia" w:ascii="宋体" w:hAnsi="宋体" w:eastAsia="宋体" w:cs="宋体"/>
                <w:color w:val="auto"/>
                <w:sz w:val="21"/>
                <w:szCs w:val="21"/>
                <w:highlight w:val="none"/>
                <w:lang w:eastAsia="zh-CN"/>
              </w:rPr>
              <w:t>采购</w:t>
            </w:r>
            <w:r>
              <w:rPr>
                <w:rFonts w:hint="eastAsia" w:ascii="宋体" w:hAnsi="宋体" w:eastAsia="宋体" w:cs="宋体"/>
                <w:color w:val="auto"/>
                <w:sz w:val="21"/>
                <w:szCs w:val="21"/>
                <w:highlight w:val="none"/>
              </w:rPr>
              <w:t>代理服务收费标准参照计价格[2002]1980号《招标代理服务收费管理暂行办法》</w:t>
            </w:r>
            <w:r>
              <w:rPr>
                <w:rFonts w:hint="eastAsia" w:ascii="宋体" w:hAnsi="宋体" w:eastAsia="宋体" w:cs="宋体"/>
                <w:color w:val="auto"/>
                <w:sz w:val="21"/>
                <w:szCs w:val="21"/>
                <w:highlight w:val="none"/>
                <w:lang w:eastAsia="zh-CN"/>
              </w:rPr>
              <w:t>工程类</w:t>
            </w:r>
            <w:r>
              <w:rPr>
                <w:rFonts w:hint="eastAsia" w:ascii="宋体" w:hAnsi="宋体" w:eastAsia="宋体" w:cs="宋体"/>
                <w:color w:val="auto"/>
                <w:sz w:val="21"/>
                <w:szCs w:val="21"/>
                <w:highlight w:val="none"/>
              </w:rPr>
              <w:t>收费标准向</w:t>
            </w:r>
            <w:r>
              <w:rPr>
                <w:rFonts w:hint="eastAsia" w:ascii="宋体" w:hAnsi="宋体" w:eastAsia="宋体" w:cs="宋体"/>
                <w:color w:val="auto"/>
                <w:sz w:val="21"/>
                <w:szCs w:val="21"/>
                <w:highlight w:val="none"/>
                <w:lang w:eastAsia="zh-CN"/>
              </w:rPr>
              <w:t>成交</w:t>
            </w:r>
            <w:r>
              <w:rPr>
                <w:rFonts w:hint="eastAsia" w:ascii="宋体" w:hAnsi="宋体" w:eastAsia="宋体" w:cs="宋体"/>
                <w:color w:val="auto"/>
                <w:sz w:val="21"/>
                <w:szCs w:val="21"/>
                <w:highlight w:val="none"/>
              </w:rPr>
              <w:t>人收取（不足人民币</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000元的，按</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000元支付）。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62" w:type="dxa"/>
            <w:vAlign w:val="center"/>
          </w:tcPr>
          <w:p>
            <w:pPr>
              <w:pageBreakBefore w:val="0"/>
              <w:widowControl w:val="0"/>
              <w:kinsoku/>
              <w:wordWrap/>
              <w:overflowPunct/>
              <w:topLinePunct w:val="0"/>
              <w:autoSpaceDE/>
              <w:autoSpaceDN/>
              <w:bidi w:val="0"/>
              <w:adjustRightInd/>
              <w:spacing w:line="380" w:lineRule="exact"/>
              <w:ind w:lef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19</w:t>
            </w:r>
          </w:p>
        </w:tc>
        <w:tc>
          <w:tcPr>
            <w:tcW w:w="942" w:type="dxa"/>
            <w:vAlign w:val="center"/>
          </w:tcPr>
          <w:p>
            <w:pPr>
              <w:pageBreakBefore w:val="0"/>
              <w:widowControl w:val="0"/>
              <w:kinsoku/>
              <w:wordWrap/>
              <w:overflowPunct/>
              <w:topLinePunct w:val="0"/>
              <w:autoSpaceDE/>
              <w:autoSpaceDN/>
              <w:bidi w:val="0"/>
              <w:adjustRightInd/>
              <w:spacing w:line="380" w:lineRule="exact"/>
              <w:ind w:lef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w:t>
            </w:r>
          </w:p>
        </w:tc>
        <w:tc>
          <w:tcPr>
            <w:tcW w:w="1775" w:type="dxa"/>
            <w:vAlign w:val="center"/>
          </w:tcPr>
          <w:p>
            <w:pPr>
              <w:pageBreakBefore w:val="0"/>
              <w:widowControl w:val="0"/>
              <w:kinsoku/>
              <w:wordWrap/>
              <w:overflowPunct/>
              <w:topLinePunct w:val="0"/>
              <w:autoSpaceDE/>
              <w:autoSpaceDN/>
              <w:bidi w:val="0"/>
              <w:adjustRightInd/>
              <w:spacing w:line="380" w:lineRule="exact"/>
              <w:ind w:lef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解释权</w:t>
            </w:r>
          </w:p>
        </w:tc>
        <w:tc>
          <w:tcPr>
            <w:tcW w:w="6912" w:type="dxa"/>
            <w:vAlign w:val="top"/>
          </w:tcPr>
          <w:p>
            <w:pPr>
              <w:pageBreakBefore w:val="0"/>
              <w:widowControl w:val="0"/>
              <w:kinsoku/>
              <w:wordWrap/>
              <w:overflowPunct/>
              <w:topLinePunct w:val="0"/>
              <w:autoSpaceDE/>
              <w:autoSpaceDN/>
              <w:bidi w:val="0"/>
              <w:adjustRightInd/>
              <w:spacing w:line="380" w:lineRule="exact"/>
              <w:ind w:lef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竞争性磋商文件是根据《中华人民共和国政府采购法》《中华人民共和国政府采购法实施条例》《政府采购竞争性磋商采购方式管理暂行办法》和政府采购管理有关规定编制，本竞争性磋商文件的解释权属于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662" w:type="dxa"/>
            <w:vAlign w:val="center"/>
          </w:tcPr>
          <w:p>
            <w:pPr>
              <w:pageBreakBefore w:val="0"/>
              <w:widowControl w:val="0"/>
              <w:kinsoku/>
              <w:wordWrap/>
              <w:overflowPunct/>
              <w:topLinePunct w:val="0"/>
              <w:autoSpaceDE/>
              <w:autoSpaceDN/>
              <w:bidi w:val="0"/>
              <w:adjustRightInd/>
              <w:spacing w:line="380" w:lineRule="exact"/>
              <w:ind w:lef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20</w:t>
            </w:r>
          </w:p>
        </w:tc>
        <w:tc>
          <w:tcPr>
            <w:tcW w:w="942" w:type="dxa"/>
            <w:vAlign w:val="center"/>
          </w:tcPr>
          <w:p>
            <w:pPr>
              <w:pageBreakBefore w:val="0"/>
              <w:widowControl w:val="0"/>
              <w:kinsoku/>
              <w:wordWrap/>
              <w:overflowPunct/>
              <w:topLinePunct w:val="0"/>
              <w:autoSpaceDE/>
              <w:autoSpaceDN/>
              <w:bidi w:val="0"/>
              <w:adjustRightInd/>
              <w:spacing w:line="380" w:lineRule="exact"/>
              <w:ind w:lef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w:t>
            </w:r>
          </w:p>
        </w:tc>
        <w:tc>
          <w:tcPr>
            <w:tcW w:w="1775" w:type="dxa"/>
            <w:vAlign w:val="center"/>
          </w:tcPr>
          <w:p>
            <w:pPr>
              <w:pageBreakBefore w:val="0"/>
              <w:widowControl w:val="0"/>
              <w:kinsoku/>
              <w:wordWrap/>
              <w:overflowPunct/>
              <w:topLinePunct w:val="0"/>
              <w:autoSpaceDE/>
              <w:autoSpaceDN/>
              <w:bidi w:val="0"/>
              <w:adjustRightInd/>
              <w:spacing w:line="380" w:lineRule="exact"/>
              <w:ind w:lef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监督管理机构</w:t>
            </w:r>
          </w:p>
        </w:tc>
        <w:tc>
          <w:tcPr>
            <w:tcW w:w="6912" w:type="dxa"/>
            <w:vAlign w:val="center"/>
          </w:tcPr>
          <w:p>
            <w:pPr>
              <w:pageBreakBefore w:val="0"/>
              <w:kinsoku/>
              <w:wordWrap/>
              <w:overflowPunct/>
              <w:topLinePunct w:val="0"/>
              <w:autoSpaceDE/>
              <w:autoSpaceDN/>
              <w:bidi w:val="0"/>
              <w:adjustRightInd/>
              <w:spacing w:line="380" w:lineRule="exact"/>
              <w:ind w:lef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兴安县政府采购管理办公室</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联系电话：</w:t>
            </w:r>
            <w:r>
              <w:rPr>
                <w:rFonts w:hint="eastAsia" w:ascii="宋体" w:hAnsi="宋体" w:eastAsia="宋体" w:cs="宋体"/>
                <w:color w:val="auto"/>
                <w:sz w:val="21"/>
                <w:szCs w:val="21"/>
                <w:highlight w:val="none"/>
                <w:lang w:eastAsia="zh-CN"/>
              </w:rPr>
              <w:t>0773-6220651</w:t>
            </w:r>
          </w:p>
        </w:tc>
      </w:tr>
    </w:tbl>
    <w:p>
      <w:pPr>
        <w:pStyle w:val="18"/>
        <w:ind w:left="0" w:leftChars="0" w:firstLine="0" w:firstLineChars="0"/>
        <w:rPr>
          <w:rFonts w:hint="eastAsia" w:ascii="宋体" w:hAnsi="宋体" w:eastAsia="宋体" w:cs="宋体"/>
          <w:b/>
          <w:color w:val="auto"/>
          <w:sz w:val="21"/>
          <w:szCs w:val="21"/>
          <w:highlight w:val="none"/>
        </w:rPr>
      </w:pPr>
    </w:p>
    <w:p>
      <w:pPr>
        <w:pStyle w:val="2"/>
        <w:pageBreakBefore w:val="0"/>
        <w:widowControl w:val="0"/>
        <w:tabs>
          <w:tab w:val="left" w:pos="567"/>
        </w:tabs>
        <w:kinsoku/>
        <w:wordWrap/>
        <w:overflowPunct/>
        <w:topLinePunct w:val="0"/>
        <w:bidi w:val="0"/>
        <w:spacing w:line="440" w:lineRule="exact"/>
        <w:jc w:val="both"/>
        <w:textAlignment w:val="auto"/>
        <w:rPr>
          <w:rFonts w:hint="eastAsia" w:ascii="宋体" w:hAnsi="宋体" w:eastAsia="宋体" w:cs="宋体"/>
          <w:b/>
          <w:bCs w:val="0"/>
          <w:color w:val="auto"/>
          <w:sz w:val="21"/>
          <w:szCs w:val="21"/>
          <w:highlight w:val="none"/>
        </w:rPr>
        <w:sectPr>
          <w:footerReference r:id="rId8" w:type="first"/>
          <w:footerReference r:id="rId7" w:type="default"/>
          <w:pgSz w:w="11906" w:h="16838"/>
          <w:pgMar w:top="1077" w:right="1115" w:bottom="1191" w:left="1131" w:header="851" w:footer="992" w:gutter="0"/>
          <w:pgNumType w:fmt="decimal"/>
          <w:cols w:space="720" w:num="1"/>
          <w:titlePg/>
          <w:docGrid w:type="lines" w:linePitch="312" w:charSpace="0"/>
        </w:sectPr>
      </w:pPr>
      <w:bookmarkStart w:id="44" w:name="_Toc22792"/>
      <w:bookmarkStart w:id="45" w:name="_Toc27120"/>
    </w:p>
    <w:p>
      <w:pPr>
        <w:pStyle w:val="2"/>
        <w:keepNext/>
        <w:keepLines/>
        <w:pageBreakBefore w:val="0"/>
        <w:widowControl w:val="0"/>
        <w:tabs>
          <w:tab w:val="left" w:pos="567"/>
        </w:tabs>
        <w:kinsoku/>
        <w:wordWrap/>
        <w:overflowPunct/>
        <w:topLinePunct w:val="0"/>
        <w:autoSpaceDE/>
        <w:autoSpaceDN/>
        <w:bidi w:val="0"/>
        <w:adjustRightInd/>
        <w:snapToGrid/>
        <w:spacing w:before="0" w:after="0" w:line="380" w:lineRule="exact"/>
        <w:ind w:left="0" w:leftChars="0"/>
        <w:jc w:val="center"/>
        <w:textAlignment w:val="auto"/>
        <w:rPr>
          <w:rFonts w:hint="eastAsia" w:ascii="宋体" w:hAnsi="宋体" w:eastAsia="宋体" w:cs="宋体"/>
          <w:b/>
          <w:bCs w:val="0"/>
          <w:color w:val="auto"/>
          <w:sz w:val="21"/>
          <w:szCs w:val="21"/>
          <w:highlight w:val="none"/>
        </w:rPr>
      </w:pPr>
      <w:bookmarkStart w:id="46" w:name="_Toc19520"/>
      <w:r>
        <w:rPr>
          <w:rFonts w:hint="eastAsia" w:ascii="宋体" w:hAnsi="宋体" w:eastAsia="宋体" w:cs="宋体"/>
          <w:b/>
          <w:bCs w:val="0"/>
          <w:color w:val="auto"/>
          <w:sz w:val="21"/>
          <w:szCs w:val="21"/>
          <w:highlight w:val="none"/>
        </w:rPr>
        <w:t>一、总则</w:t>
      </w:r>
      <w:bookmarkEnd w:id="44"/>
      <w:bookmarkEnd w:id="45"/>
      <w:bookmarkEnd w:id="46"/>
    </w:p>
    <w:p>
      <w:pPr>
        <w:pStyle w:val="4"/>
        <w:pageBreakBefore w:val="0"/>
        <w:widowControl w:val="0"/>
        <w:kinsoku/>
        <w:wordWrap/>
        <w:overflowPunct/>
        <w:topLinePunct w:val="0"/>
        <w:bidi w:val="0"/>
        <w:snapToGrid/>
        <w:spacing w:before="0" w:after="0" w:line="380" w:lineRule="exact"/>
        <w:ind w:left="0" w:leftChars="0" w:firstLine="422" w:firstLineChars="200"/>
        <w:textAlignment w:val="auto"/>
        <w:rPr>
          <w:rFonts w:hint="eastAsia" w:ascii="宋体" w:hAnsi="宋体" w:eastAsia="宋体" w:cs="宋体"/>
          <w:color w:val="auto"/>
          <w:sz w:val="21"/>
          <w:szCs w:val="21"/>
          <w:highlight w:val="none"/>
        </w:rPr>
      </w:pPr>
      <w:bookmarkStart w:id="47" w:name="_Toc3367"/>
      <w:bookmarkStart w:id="48" w:name="_Toc6626"/>
      <w:r>
        <w:rPr>
          <w:rFonts w:hint="eastAsia" w:ascii="宋体" w:hAnsi="宋体" w:eastAsia="宋体" w:cs="宋体"/>
          <w:color w:val="auto"/>
          <w:sz w:val="21"/>
          <w:szCs w:val="21"/>
          <w:highlight w:val="none"/>
        </w:rPr>
        <w:t>1. 适应范围</w:t>
      </w:r>
      <w:bookmarkEnd w:id="47"/>
      <w:bookmarkEnd w:id="48"/>
    </w:p>
    <w:p>
      <w:pPr>
        <w:pageBreakBefore w:val="0"/>
        <w:widowControl w:val="0"/>
        <w:kinsoku/>
        <w:wordWrap/>
        <w:overflowPunct/>
        <w:topLinePunct w:val="0"/>
        <w:bidi w:val="0"/>
        <w:snapToGrid/>
        <w:spacing w:line="380" w:lineRule="exact"/>
        <w:ind w:left="0" w:leftChars="0" w:firstLine="43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  项目名称及项目编号</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b w:val="0"/>
          <w:bCs w:val="0"/>
          <w:color w:val="auto"/>
          <w:kern w:val="2"/>
          <w:sz w:val="21"/>
          <w:szCs w:val="21"/>
          <w:highlight w:val="none"/>
          <w:u w:val="none"/>
          <w:lang w:val="en-US" w:eastAsia="zh-CN" w:bidi="ar-SA"/>
        </w:rPr>
      </w:pPr>
      <w:r>
        <w:rPr>
          <w:rFonts w:hint="eastAsia" w:ascii="宋体" w:hAnsi="宋体" w:eastAsia="宋体" w:cs="宋体"/>
          <w:color w:val="auto"/>
          <w:sz w:val="21"/>
          <w:szCs w:val="21"/>
          <w:highlight w:val="none"/>
        </w:rPr>
        <w:t>项目名称：</w:t>
      </w:r>
      <w:r>
        <w:rPr>
          <w:rFonts w:hint="eastAsia" w:ascii="宋体" w:hAnsi="宋体" w:eastAsia="宋体" w:cs="宋体"/>
          <w:color w:val="auto"/>
          <w:sz w:val="21"/>
          <w:szCs w:val="21"/>
          <w:highlight w:val="none"/>
          <w:lang w:val="en-US" w:eastAsia="zh-CN"/>
        </w:rPr>
        <w:t>兴安县溶江镇市民广场阙楼工程</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项目编号：GLZC2024-C2-250181-GXXX</w:t>
      </w:r>
    </w:p>
    <w:p>
      <w:pPr>
        <w:pageBreakBefore w:val="0"/>
        <w:widowControl w:val="0"/>
        <w:kinsoku/>
        <w:wordWrap/>
        <w:overflowPunct/>
        <w:topLinePunct w:val="0"/>
        <w:bidi w:val="0"/>
        <w:snapToGrid/>
        <w:spacing w:line="380" w:lineRule="exact"/>
        <w:ind w:left="0" w:leftChars="0" w:firstLine="411" w:firstLineChars="196"/>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1.2本竞争性磋商文件（以下简称磋商文件）适用于本磋商项目的磋商、评审、合同履约、验收、付款等行为（法律、法规另有规定的，从其规定）。</w:t>
      </w:r>
    </w:p>
    <w:p>
      <w:pPr>
        <w:pStyle w:val="4"/>
        <w:pageBreakBefore w:val="0"/>
        <w:widowControl w:val="0"/>
        <w:kinsoku/>
        <w:wordWrap/>
        <w:overflowPunct/>
        <w:topLinePunct w:val="0"/>
        <w:bidi w:val="0"/>
        <w:snapToGrid/>
        <w:spacing w:before="0" w:after="0" w:line="380" w:lineRule="exact"/>
        <w:ind w:left="0" w:leftChars="0" w:firstLine="422" w:firstLineChars="200"/>
        <w:textAlignment w:val="auto"/>
        <w:rPr>
          <w:rFonts w:hint="eastAsia" w:ascii="宋体" w:hAnsi="宋体" w:eastAsia="宋体" w:cs="宋体"/>
          <w:color w:val="auto"/>
          <w:sz w:val="21"/>
          <w:szCs w:val="21"/>
          <w:highlight w:val="none"/>
        </w:rPr>
      </w:pPr>
      <w:bookmarkStart w:id="49" w:name="_Toc28336"/>
      <w:bookmarkStart w:id="50" w:name="_Toc2845"/>
      <w:r>
        <w:rPr>
          <w:rFonts w:hint="eastAsia" w:ascii="宋体" w:hAnsi="宋体" w:eastAsia="宋体" w:cs="宋体"/>
          <w:color w:val="auto"/>
          <w:sz w:val="21"/>
          <w:szCs w:val="21"/>
          <w:highlight w:val="none"/>
        </w:rPr>
        <w:t>2. 定义</w:t>
      </w:r>
      <w:bookmarkEnd w:id="49"/>
      <w:bookmarkEnd w:id="50"/>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2.1“供应商”是指符合本次采购项目的供应商资格并提交响应文件、参加磋商的供应商。如果该供应商在本次磋商中成交，即成为“成交供应商”。</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2.2“货物”系指按磋商文件规定，供应商须向采购人提供的一切设备、保险、税金、备品备件、工具、手册及其它有关技术资料和材料。</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2.3“服务”系指按磋商文件规定，供应商须承担的安装、调试、技术协助、校准、培训、技术指导以及其他类似的义务。</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2.4“项目”系指供应商按磋商文件规定向采购人提供的货物和服务。</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2.5“书面形式”包括信函、传真、电报等。</w:t>
      </w:r>
    </w:p>
    <w:p>
      <w:pPr>
        <w:pStyle w:val="4"/>
        <w:pageBreakBefore w:val="0"/>
        <w:widowControl w:val="0"/>
        <w:kinsoku/>
        <w:wordWrap/>
        <w:overflowPunct/>
        <w:topLinePunct w:val="0"/>
        <w:bidi w:val="0"/>
        <w:snapToGrid/>
        <w:spacing w:before="0" w:after="0" w:line="380" w:lineRule="exact"/>
        <w:ind w:left="0" w:leftChars="0" w:firstLine="422" w:firstLineChars="200"/>
        <w:textAlignment w:val="auto"/>
        <w:rPr>
          <w:rFonts w:hint="eastAsia" w:ascii="宋体" w:hAnsi="宋体" w:eastAsia="宋体" w:cs="宋体"/>
          <w:color w:val="auto"/>
          <w:sz w:val="21"/>
          <w:szCs w:val="21"/>
          <w:highlight w:val="none"/>
        </w:rPr>
      </w:pPr>
      <w:bookmarkStart w:id="51" w:name="_Toc25441"/>
      <w:bookmarkStart w:id="52" w:name="_Toc13017"/>
      <w:r>
        <w:rPr>
          <w:rFonts w:hint="eastAsia" w:ascii="宋体" w:hAnsi="宋体" w:eastAsia="宋体" w:cs="宋体"/>
          <w:color w:val="auto"/>
          <w:sz w:val="21"/>
          <w:szCs w:val="21"/>
          <w:highlight w:val="none"/>
        </w:rPr>
        <w:t>3. 供应商资格</w:t>
      </w:r>
      <w:bookmarkEnd w:id="51"/>
      <w:bookmarkEnd w:id="52"/>
    </w:p>
    <w:p>
      <w:pPr>
        <w:pageBreakBefore w:val="0"/>
        <w:widowControl w:val="0"/>
        <w:kinsoku/>
        <w:wordWrap/>
        <w:overflowPunct/>
        <w:topLinePunct w:val="0"/>
        <w:bidi w:val="0"/>
        <w:snapToGrid/>
        <w:spacing w:line="380" w:lineRule="exact"/>
        <w:ind w:left="0" w:leftChars="0" w:firstLine="435"/>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3.1</w:t>
      </w:r>
      <w:r>
        <w:rPr>
          <w:rFonts w:hint="eastAsia" w:ascii="宋体" w:hAnsi="宋体" w:eastAsia="宋体" w:cs="宋体"/>
          <w:color w:val="auto"/>
          <w:sz w:val="21"/>
          <w:szCs w:val="21"/>
          <w:highlight w:val="none"/>
        </w:rPr>
        <w:t>满足《中华人民共和国政府采购法》第二十二条规定</w:t>
      </w:r>
      <w:r>
        <w:rPr>
          <w:rFonts w:hint="eastAsia" w:ascii="宋体" w:hAnsi="宋体" w:eastAsia="宋体" w:cs="宋体"/>
          <w:bCs/>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rPr>
          <w:rFonts w:hint="eastAsia" w:ascii="宋体" w:hAnsi="宋体" w:eastAsia="宋体" w:cs="宋体"/>
          <w:b/>
          <w:bCs/>
          <w:color w:val="auto"/>
          <w:sz w:val="21"/>
          <w:szCs w:val="21"/>
          <w:highlight w:val="none"/>
          <w:lang w:val="en-US" w:eastAsia="zh-CN"/>
        </w:rPr>
      </w:pPr>
      <w:bookmarkStart w:id="53" w:name="_Toc16496"/>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落实政府采购政策需满足的资格要求：</w:t>
      </w:r>
      <w:r>
        <w:rPr>
          <w:rFonts w:hint="eastAsia" w:ascii="宋体" w:hAnsi="宋体" w:eastAsia="宋体" w:cs="宋体"/>
          <w:color w:val="auto"/>
          <w:sz w:val="21"/>
          <w:szCs w:val="21"/>
          <w:highlight w:val="none"/>
          <w:lang w:eastAsia="zh-CN"/>
        </w:rPr>
        <w:t>本项目为</w:t>
      </w:r>
      <w:r>
        <w:rPr>
          <w:rFonts w:hint="eastAsia" w:ascii="宋体" w:hAnsi="宋体" w:eastAsia="宋体" w:cs="宋体"/>
          <w:color w:val="auto"/>
          <w:sz w:val="21"/>
          <w:szCs w:val="21"/>
          <w:highlight w:val="none"/>
        </w:rPr>
        <w:t>专门面向中小</w:t>
      </w:r>
      <w:r>
        <w:rPr>
          <w:rFonts w:hint="eastAsia" w:ascii="宋体" w:hAnsi="宋体" w:eastAsia="宋体" w:cs="宋体"/>
          <w:color w:val="auto"/>
          <w:sz w:val="21"/>
          <w:szCs w:val="21"/>
          <w:highlight w:val="none"/>
          <w:lang w:eastAsia="zh-CN"/>
        </w:rPr>
        <w:t>微</w:t>
      </w:r>
      <w:r>
        <w:rPr>
          <w:rFonts w:hint="eastAsia" w:ascii="宋体" w:hAnsi="宋体" w:eastAsia="宋体" w:cs="宋体"/>
          <w:color w:val="auto"/>
          <w:sz w:val="21"/>
          <w:szCs w:val="21"/>
          <w:highlight w:val="none"/>
        </w:rPr>
        <w:t>企业采购的项目（供应商应为中小微企业、监狱企业、残疾人福利性单位)</w:t>
      </w:r>
      <w:r>
        <w:rPr>
          <w:rFonts w:hint="eastAsia" w:ascii="宋体" w:hAnsi="宋体" w:eastAsia="宋体" w:cs="宋体"/>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rPr>
          <w:rFonts w:hint="eastAsia" w:ascii="宋体" w:hAnsi="宋体" w:eastAsia="宋体" w:cs="宋体"/>
          <w:b w:val="0"/>
          <w:bCs w:val="0"/>
          <w:color w:val="auto"/>
          <w:sz w:val="21"/>
          <w:szCs w:val="21"/>
          <w:highlight w:val="none"/>
          <w:lang w:val="en-US" w:eastAsia="zh-CN"/>
        </w:rPr>
      </w:pPr>
      <w:bookmarkStart w:id="54" w:name="_Toc4527"/>
      <w:bookmarkStart w:id="55" w:name="_Toc5736"/>
      <w:bookmarkStart w:id="56" w:name="_Toc3452"/>
      <w:r>
        <w:rPr>
          <w:rFonts w:hint="eastAsia" w:ascii="宋体" w:hAnsi="宋体" w:eastAsia="宋体" w:cs="宋体"/>
          <w:b w:val="0"/>
          <w:bCs w:val="0"/>
          <w:color w:val="auto"/>
          <w:sz w:val="21"/>
          <w:szCs w:val="21"/>
          <w:highlight w:val="none"/>
          <w:lang w:val="en-US" w:eastAsia="zh-CN"/>
        </w:rPr>
        <w:t>3.3</w:t>
      </w:r>
      <w:r>
        <w:rPr>
          <w:rFonts w:hint="eastAsia" w:ascii="宋体" w:hAnsi="宋体" w:eastAsia="宋体" w:cs="宋体"/>
          <w:b w:val="0"/>
          <w:bCs w:val="0"/>
          <w:color w:val="auto"/>
          <w:sz w:val="21"/>
          <w:szCs w:val="21"/>
          <w:highlight w:val="none"/>
        </w:rPr>
        <w:t>本项目的特定资格要求：</w:t>
      </w:r>
      <w:bookmarkEnd w:id="54"/>
      <w:bookmarkEnd w:id="55"/>
      <w:bookmarkEnd w:id="56"/>
      <w:bookmarkStart w:id="57" w:name="_Toc9216"/>
      <w:r>
        <w:rPr>
          <w:rFonts w:hint="eastAsia" w:ascii="宋体" w:hAnsi="宋体" w:eastAsia="宋体" w:cs="宋体"/>
          <w:color w:val="auto"/>
          <w:sz w:val="21"/>
          <w:szCs w:val="21"/>
          <w:highlight w:val="none"/>
          <w:lang w:val="en-US" w:eastAsia="zh-CN"/>
        </w:rPr>
        <w:t>具备</w:t>
      </w:r>
      <w:r>
        <w:rPr>
          <w:rFonts w:hint="eastAsia" w:ascii="宋体" w:hAnsi="宋体" w:cs="宋体"/>
          <w:color w:val="auto"/>
          <w:sz w:val="21"/>
          <w:szCs w:val="21"/>
          <w:highlight w:val="none"/>
          <w:lang w:val="en-US" w:eastAsia="zh-CN"/>
        </w:rPr>
        <w:t>建筑工程施工总</w:t>
      </w:r>
      <w:r>
        <w:rPr>
          <w:rFonts w:hint="eastAsia" w:ascii="宋体" w:hAnsi="宋体" w:eastAsia="宋体" w:cs="宋体"/>
          <w:color w:val="auto"/>
          <w:sz w:val="21"/>
          <w:szCs w:val="21"/>
          <w:highlight w:val="none"/>
          <w:lang w:val="en-US" w:eastAsia="zh-CN"/>
        </w:rPr>
        <w:t>承包三级</w:t>
      </w:r>
      <w:r>
        <w:rPr>
          <w:rFonts w:hint="eastAsia" w:ascii="宋体" w:hAnsi="宋体" w:eastAsia="宋体" w:cs="宋体"/>
          <w:color w:val="auto"/>
          <w:sz w:val="21"/>
          <w:szCs w:val="21"/>
          <w:highlight w:val="none"/>
          <w:lang w:val="en-US" w:eastAsia="zh-CN"/>
        </w:rPr>
        <w:t>及以上资质，并在人员、设备、资金等方面具备相应的施工能力。供应商拟派项目经理须具有</w:t>
      </w:r>
      <w:r>
        <w:rPr>
          <w:rFonts w:hint="eastAsia" w:ascii="宋体" w:hAnsi="宋体" w:cs="宋体"/>
          <w:color w:val="auto"/>
          <w:sz w:val="21"/>
          <w:szCs w:val="21"/>
          <w:highlight w:val="none"/>
          <w:lang w:val="en-US" w:eastAsia="zh-CN"/>
        </w:rPr>
        <w:t>建筑工程</w:t>
      </w:r>
      <w:r>
        <w:rPr>
          <w:rFonts w:hint="eastAsia" w:ascii="宋体" w:hAnsi="宋体" w:eastAsia="宋体" w:cs="宋体"/>
          <w:color w:val="auto"/>
          <w:sz w:val="21"/>
          <w:szCs w:val="21"/>
          <w:highlight w:val="none"/>
          <w:lang w:val="en-US" w:eastAsia="zh-CN"/>
        </w:rPr>
        <w:t>专业二级及以上</w:t>
      </w:r>
      <w:r>
        <w:rPr>
          <w:rFonts w:hint="eastAsia" w:ascii="宋体" w:hAnsi="宋体" w:eastAsia="宋体" w:cs="宋体"/>
          <w:color w:val="auto"/>
          <w:sz w:val="21"/>
          <w:szCs w:val="21"/>
          <w:highlight w:val="none"/>
          <w:lang w:val="en-US" w:eastAsia="zh-CN"/>
        </w:rPr>
        <w:t>注册建造师和有</w:t>
      </w:r>
      <w:r>
        <w:rPr>
          <w:rFonts w:hint="eastAsia" w:ascii="宋体" w:hAnsi="宋体" w:eastAsia="宋体" w:cs="宋体"/>
          <w:color w:val="auto"/>
          <w:kern w:val="0"/>
          <w:sz w:val="21"/>
          <w:szCs w:val="21"/>
          <w:highlight w:val="none"/>
        </w:rPr>
        <w:t>效的安全生产考核合格证书（B类）</w:t>
      </w:r>
      <w:r>
        <w:rPr>
          <w:rFonts w:hint="eastAsia" w:ascii="宋体" w:hAnsi="宋体" w:eastAsia="宋体" w:cs="宋体"/>
          <w:color w:val="auto"/>
          <w:kern w:val="0"/>
          <w:sz w:val="21"/>
          <w:szCs w:val="21"/>
          <w:highlight w:val="none"/>
          <w:lang w:eastAsia="zh-CN"/>
        </w:rPr>
        <w:t>。</w:t>
      </w:r>
    </w:p>
    <w:p>
      <w:pPr>
        <w:pStyle w:val="4"/>
        <w:pageBreakBefore w:val="0"/>
        <w:widowControl w:val="0"/>
        <w:kinsoku/>
        <w:wordWrap/>
        <w:overflowPunct/>
        <w:topLinePunct w:val="0"/>
        <w:bidi w:val="0"/>
        <w:snapToGrid/>
        <w:spacing w:before="0" w:after="0" w:line="380" w:lineRule="exact"/>
        <w:ind w:left="0" w:leftChars="0" w:firstLine="422"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 磋商费用</w:t>
      </w:r>
      <w:bookmarkEnd w:id="53"/>
      <w:bookmarkEnd w:id="57"/>
    </w:p>
    <w:p>
      <w:pPr>
        <w:pageBreakBefore w:val="0"/>
        <w:widowControl w:val="0"/>
        <w:tabs>
          <w:tab w:val="left" w:pos="1635"/>
        </w:tabs>
        <w:kinsoku/>
        <w:wordWrap/>
        <w:overflowPunct/>
        <w:topLinePunct w:val="0"/>
        <w:bidi w:val="0"/>
        <w:snapToGrid/>
        <w:spacing w:line="380" w:lineRule="exact"/>
        <w:ind w:left="0" w:leftChars="0" w:firstLine="43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不论磋商结果如何，供应商均应自行承担所有与磋商有关的全部费用。</w:t>
      </w:r>
    </w:p>
    <w:p>
      <w:pPr>
        <w:pStyle w:val="4"/>
        <w:pageBreakBefore w:val="0"/>
        <w:widowControl w:val="0"/>
        <w:numPr>
          <w:ilvl w:val="0"/>
          <w:numId w:val="3"/>
        </w:numPr>
        <w:kinsoku/>
        <w:wordWrap/>
        <w:overflowPunct/>
        <w:topLinePunct w:val="0"/>
        <w:bidi w:val="0"/>
        <w:snapToGrid/>
        <w:spacing w:before="0" w:after="0" w:line="380" w:lineRule="exact"/>
        <w:ind w:left="0" w:leftChars="0" w:firstLine="422" w:firstLineChars="200"/>
        <w:textAlignment w:val="auto"/>
        <w:rPr>
          <w:rFonts w:hint="eastAsia" w:ascii="宋体" w:hAnsi="宋体" w:eastAsia="宋体" w:cs="宋体"/>
          <w:color w:val="auto"/>
          <w:sz w:val="21"/>
          <w:szCs w:val="21"/>
          <w:highlight w:val="none"/>
        </w:rPr>
      </w:pPr>
      <w:bookmarkStart w:id="58" w:name="_Toc22877"/>
      <w:bookmarkStart w:id="59" w:name="_Toc31376"/>
      <w:r>
        <w:rPr>
          <w:rFonts w:hint="eastAsia" w:ascii="宋体" w:hAnsi="宋体" w:eastAsia="宋体" w:cs="宋体"/>
          <w:color w:val="auto"/>
          <w:sz w:val="21"/>
          <w:szCs w:val="21"/>
          <w:highlight w:val="none"/>
        </w:rPr>
        <w:t>联合体要求</w:t>
      </w:r>
      <w:bookmarkEnd w:id="58"/>
      <w:bookmarkEnd w:id="59"/>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本项目不接受联合体参与磋商</w:t>
      </w:r>
    </w:p>
    <w:p>
      <w:pPr>
        <w:pStyle w:val="4"/>
        <w:pageBreakBefore w:val="0"/>
        <w:widowControl w:val="0"/>
        <w:kinsoku/>
        <w:wordWrap/>
        <w:overflowPunct/>
        <w:topLinePunct w:val="0"/>
        <w:bidi w:val="0"/>
        <w:snapToGrid/>
        <w:spacing w:before="0" w:after="0" w:line="380" w:lineRule="exact"/>
        <w:ind w:left="0" w:leftChars="0" w:firstLine="422" w:firstLineChars="200"/>
        <w:textAlignment w:val="auto"/>
        <w:rPr>
          <w:rFonts w:hint="eastAsia" w:ascii="宋体" w:hAnsi="宋体" w:eastAsia="宋体" w:cs="宋体"/>
          <w:color w:val="auto"/>
          <w:sz w:val="21"/>
          <w:szCs w:val="21"/>
          <w:highlight w:val="none"/>
        </w:rPr>
      </w:pPr>
      <w:bookmarkStart w:id="60" w:name="_Toc18940"/>
      <w:bookmarkStart w:id="61" w:name="_Toc4152"/>
      <w:r>
        <w:rPr>
          <w:rFonts w:hint="eastAsia" w:ascii="宋体" w:hAnsi="宋体" w:eastAsia="宋体" w:cs="宋体"/>
          <w:color w:val="auto"/>
          <w:sz w:val="21"/>
          <w:szCs w:val="21"/>
          <w:highlight w:val="none"/>
        </w:rPr>
        <w:t>6. 质疑和投诉</w:t>
      </w:r>
      <w:bookmarkEnd w:id="60"/>
      <w:bookmarkEnd w:id="61"/>
      <w:r>
        <w:rPr>
          <w:rFonts w:hint="eastAsia" w:ascii="宋体" w:hAnsi="宋体" w:eastAsia="宋体" w:cs="宋体"/>
          <w:color w:val="auto"/>
          <w:sz w:val="21"/>
          <w:szCs w:val="21"/>
          <w:highlight w:val="none"/>
        </w:rPr>
        <w:tab/>
      </w:r>
    </w:p>
    <w:p>
      <w:pPr>
        <w:pageBreakBefore w:val="0"/>
        <w:widowControl w:val="0"/>
        <w:tabs>
          <w:tab w:val="left" w:pos="2190"/>
        </w:tabs>
        <w:kinsoku/>
        <w:wordWrap/>
        <w:overflowPunct/>
        <w:topLinePunct w:val="0"/>
        <w:bidi w:val="0"/>
        <w:snapToGrid/>
        <w:spacing w:line="380" w:lineRule="exact"/>
        <w:ind w:left="0" w:leftChars="0" w:firstLine="435"/>
        <w:textAlignment w:val="auto"/>
        <w:rPr>
          <w:rFonts w:hint="eastAsia" w:ascii="宋体" w:hAnsi="宋体" w:eastAsia="宋体" w:cs="宋体"/>
          <w:color w:val="auto"/>
          <w:sz w:val="21"/>
          <w:szCs w:val="21"/>
          <w:highlight w:val="none"/>
          <w:u w:val="none"/>
        </w:rPr>
      </w:pPr>
      <w:bookmarkStart w:id="62" w:name="_Toc8195"/>
      <w:bookmarkStart w:id="63" w:name="_Toc26087"/>
      <w:r>
        <w:rPr>
          <w:rFonts w:hint="eastAsia" w:ascii="宋体" w:hAnsi="宋体" w:eastAsia="宋体" w:cs="宋体"/>
          <w:color w:val="auto"/>
          <w:sz w:val="21"/>
          <w:szCs w:val="21"/>
          <w:highlight w:val="none"/>
          <w:u w:val="none"/>
        </w:rPr>
        <w:t>6.1供应对政府采购活动事项有疑问的，可以向采购人提出询问。</w:t>
      </w:r>
    </w:p>
    <w:p>
      <w:pPr>
        <w:pageBreakBefore w:val="0"/>
        <w:widowControl w:val="0"/>
        <w:tabs>
          <w:tab w:val="left" w:pos="2190"/>
        </w:tabs>
        <w:kinsoku/>
        <w:wordWrap/>
        <w:overflowPunct/>
        <w:topLinePunct w:val="0"/>
        <w:bidi w:val="0"/>
        <w:snapToGrid/>
        <w:spacing w:line="380" w:lineRule="exact"/>
        <w:ind w:left="0" w:leftChars="0" w:firstLine="435"/>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6.2供应商认为磋商文件使自己的合法权益受到损害的，应当在竞争性磋商公告期限届满之日起七个工作日内，以书面形式向</w:t>
      </w:r>
      <w:r>
        <w:rPr>
          <w:rFonts w:hint="eastAsia" w:ascii="宋体" w:hAnsi="宋体" w:eastAsia="宋体" w:cs="宋体"/>
          <w:color w:val="auto"/>
          <w:sz w:val="21"/>
          <w:szCs w:val="21"/>
          <w:highlight w:val="none"/>
          <w:u w:val="none"/>
          <w:lang w:eastAsia="zh-CN"/>
        </w:rPr>
        <w:t>本工程</w:t>
      </w:r>
      <w:r>
        <w:rPr>
          <w:rFonts w:hint="eastAsia" w:ascii="宋体" w:hAnsi="宋体" w:eastAsia="宋体" w:cs="宋体"/>
          <w:color w:val="auto"/>
          <w:sz w:val="21"/>
          <w:szCs w:val="21"/>
          <w:highlight w:val="none"/>
          <w:u w:val="none"/>
        </w:rPr>
        <w:t>采购代理机构提出质疑。供应商认为采购过程或成交结果使自己的合法权益受到损害的，应当在各采购程序环节结束之日起七个工作日内，以书面形式向</w:t>
      </w:r>
      <w:r>
        <w:rPr>
          <w:rFonts w:hint="eastAsia" w:ascii="宋体" w:hAnsi="宋体" w:eastAsia="宋体" w:cs="宋体"/>
          <w:color w:val="auto"/>
          <w:sz w:val="21"/>
          <w:szCs w:val="21"/>
          <w:highlight w:val="none"/>
          <w:u w:val="none"/>
          <w:lang w:eastAsia="zh-CN"/>
        </w:rPr>
        <w:t>本工程</w:t>
      </w:r>
      <w:r>
        <w:rPr>
          <w:rFonts w:hint="eastAsia" w:ascii="宋体" w:hAnsi="宋体" w:eastAsia="宋体" w:cs="宋体"/>
          <w:color w:val="auto"/>
          <w:sz w:val="21"/>
          <w:szCs w:val="21"/>
          <w:highlight w:val="none"/>
          <w:u w:val="none"/>
        </w:rPr>
        <w:t>采购代理机构提出质疑。采购代理机构应认真做好质疑处理工作。</w:t>
      </w:r>
    </w:p>
    <w:p>
      <w:pPr>
        <w:pageBreakBefore w:val="0"/>
        <w:widowControl w:val="0"/>
        <w:tabs>
          <w:tab w:val="left" w:pos="2190"/>
        </w:tabs>
        <w:kinsoku/>
        <w:wordWrap/>
        <w:overflowPunct/>
        <w:topLinePunct w:val="0"/>
        <w:bidi w:val="0"/>
        <w:snapToGrid/>
        <w:spacing w:line="380" w:lineRule="exact"/>
        <w:ind w:left="0" w:leftChars="0" w:firstLine="435"/>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6.3供应商对采购代理机构的质疑答复不满意或者采购代理机构未在规定的时间内作出答复的，可以在答复期满后十五个工作日内向本级财政部门投诉。</w:t>
      </w:r>
    </w:p>
    <w:p>
      <w:pPr>
        <w:pageBreakBefore w:val="0"/>
        <w:widowControl w:val="0"/>
        <w:tabs>
          <w:tab w:val="left" w:pos="2190"/>
        </w:tabs>
        <w:kinsoku/>
        <w:wordWrap/>
        <w:overflowPunct/>
        <w:topLinePunct w:val="0"/>
        <w:bidi w:val="0"/>
        <w:snapToGrid/>
        <w:spacing w:line="380" w:lineRule="exact"/>
        <w:ind w:left="0" w:leftChars="0" w:firstLine="435"/>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6.4质疑、投诉应当采用书面形式，质疑书、投诉书实行实名制，均应明确阐述磋商文件、采购过程或成交结果中使自己合法权益受到损害的实质性内容，提供相关事实、明确的请求，并提供必要的证明材料。质疑函格式详见附件。</w:t>
      </w:r>
    </w:p>
    <w:p>
      <w:pPr>
        <w:pageBreakBefore w:val="0"/>
        <w:widowControl w:val="0"/>
        <w:tabs>
          <w:tab w:val="left" w:pos="2190"/>
        </w:tabs>
        <w:kinsoku/>
        <w:wordWrap/>
        <w:overflowPunct/>
        <w:topLinePunct w:val="0"/>
        <w:bidi w:val="0"/>
        <w:snapToGrid/>
        <w:spacing w:line="380" w:lineRule="exact"/>
        <w:ind w:left="0" w:leftChars="0" w:firstLine="435"/>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6.5质疑联系</w:t>
      </w:r>
      <w:bookmarkEnd w:id="62"/>
      <w:bookmarkEnd w:id="63"/>
      <w:r>
        <w:rPr>
          <w:rFonts w:hint="eastAsia" w:ascii="宋体" w:hAnsi="宋体" w:eastAsia="宋体" w:cs="宋体"/>
          <w:color w:val="auto"/>
          <w:sz w:val="21"/>
          <w:szCs w:val="21"/>
          <w:highlight w:val="none"/>
          <w:u w:val="none"/>
          <w:lang w:eastAsia="zh-CN"/>
        </w:rPr>
        <w:t>方式，详见磋商公告。</w:t>
      </w:r>
    </w:p>
    <w:p>
      <w:pPr>
        <w:pStyle w:val="4"/>
        <w:pageBreakBefore w:val="0"/>
        <w:widowControl w:val="0"/>
        <w:kinsoku/>
        <w:wordWrap/>
        <w:overflowPunct/>
        <w:topLinePunct w:val="0"/>
        <w:bidi w:val="0"/>
        <w:snapToGrid/>
        <w:spacing w:before="0" w:after="0" w:line="380" w:lineRule="exact"/>
        <w:ind w:left="0" w:leftChars="0" w:firstLine="422" w:firstLineChars="200"/>
        <w:textAlignment w:val="auto"/>
        <w:rPr>
          <w:rFonts w:hint="eastAsia" w:ascii="宋体" w:hAnsi="宋体" w:eastAsia="宋体" w:cs="宋体"/>
          <w:color w:val="auto"/>
          <w:sz w:val="21"/>
          <w:szCs w:val="21"/>
          <w:highlight w:val="none"/>
        </w:rPr>
      </w:pPr>
      <w:bookmarkStart w:id="64" w:name="_Toc6998"/>
      <w:bookmarkStart w:id="65" w:name="_Toc5032"/>
      <w:r>
        <w:rPr>
          <w:rFonts w:hint="eastAsia" w:ascii="宋体" w:hAnsi="宋体" w:eastAsia="宋体" w:cs="宋体"/>
          <w:color w:val="auto"/>
          <w:sz w:val="21"/>
          <w:szCs w:val="21"/>
          <w:highlight w:val="none"/>
        </w:rPr>
        <w:t>7. 转包与分包</w:t>
      </w:r>
      <w:bookmarkEnd w:id="64"/>
      <w:bookmarkEnd w:id="65"/>
    </w:p>
    <w:p>
      <w:pPr>
        <w:pageBreakBefore w:val="0"/>
        <w:widowControl w:val="0"/>
        <w:tabs>
          <w:tab w:val="left" w:pos="2190"/>
        </w:tabs>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sz w:val="21"/>
          <w:szCs w:val="21"/>
          <w:highlight w:val="none"/>
        </w:rPr>
        <w:t>7</w:t>
      </w:r>
      <w:r>
        <w:rPr>
          <w:rFonts w:hint="eastAsia" w:ascii="宋体" w:hAnsi="宋体" w:eastAsia="宋体" w:cs="宋体"/>
          <w:color w:val="auto"/>
          <w:kern w:val="0"/>
          <w:sz w:val="21"/>
          <w:szCs w:val="21"/>
          <w:highlight w:val="none"/>
          <w:shd w:val="clear" w:color="auto" w:fill="FFFFFF"/>
        </w:rPr>
        <w:t>.1本项目不允许转包。</w:t>
      </w:r>
    </w:p>
    <w:p>
      <w:pPr>
        <w:pageBreakBefore w:val="0"/>
        <w:widowControl w:val="0"/>
        <w:tabs>
          <w:tab w:val="left" w:pos="2190"/>
        </w:tabs>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7.2本项目不可以分包。</w:t>
      </w:r>
    </w:p>
    <w:p>
      <w:pPr>
        <w:pageBreakBefore w:val="0"/>
        <w:widowControl w:val="0"/>
        <w:tabs>
          <w:tab w:val="left" w:pos="2190"/>
        </w:tabs>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kern w:val="0"/>
          <w:sz w:val="21"/>
          <w:szCs w:val="21"/>
          <w:highlight w:val="none"/>
          <w:shd w:val="clear" w:color="auto" w:fill="FFFFFF"/>
          <w:lang w:val="en-US" w:eastAsia="zh-CN"/>
        </w:rPr>
      </w:pPr>
      <w:r>
        <w:rPr>
          <w:rFonts w:hint="eastAsia" w:ascii="宋体" w:hAnsi="宋体" w:eastAsia="宋体" w:cs="宋体"/>
          <w:color w:val="auto"/>
          <w:kern w:val="0"/>
          <w:sz w:val="21"/>
          <w:szCs w:val="21"/>
          <w:highlight w:val="none"/>
          <w:shd w:val="clear" w:color="auto" w:fill="FFFFFF"/>
          <w:lang w:val="en-US" w:eastAsia="zh-CN"/>
        </w:rPr>
        <w:t>7.3本项目不允许挂靠。</w:t>
      </w:r>
    </w:p>
    <w:p>
      <w:pPr>
        <w:pageBreakBefore w:val="0"/>
        <w:widowControl w:val="0"/>
        <w:tabs>
          <w:tab w:val="left" w:pos="2190"/>
        </w:tabs>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kern w:val="0"/>
          <w:sz w:val="21"/>
          <w:szCs w:val="21"/>
          <w:highlight w:val="none"/>
          <w:shd w:val="clear" w:color="auto" w:fill="FFFFFF"/>
          <w:lang w:val="en-US" w:eastAsia="zh-CN"/>
        </w:rPr>
      </w:pPr>
      <w:r>
        <w:rPr>
          <w:rFonts w:hint="eastAsia" w:ascii="宋体" w:hAnsi="宋体" w:eastAsia="宋体" w:cs="宋体"/>
          <w:color w:val="auto"/>
          <w:kern w:val="0"/>
          <w:sz w:val="21"/>
          <w:szCs w:val="21"/>
          <w:highlight w:val="none"/>
          <w:shd w:val="clear" w:color="auto" w:fill="FFFFFF"/>
          <w:lang w:val="en-US" w:eastAsia="zh-CN"/>
        </w:rPr>
        <w:t>7.4如发现有以上行为，采购人有权终止合同，所有损失由成交供应商承担。</w:t>
      </w:r>
    </w:p>
    <w:p>
      <w:pPr>
        <w:pStyle w:val="4"/>
        <w:pageBreakBefore w:val="0"/>
        <w:widowControl w:val="0"/>
        <w:kinsoku/>
        <w:wordWrap/>
        <w:overflowPunct/>
        <w:topLinePunct w:val="0"/>
        <w:bidi w:val="0"/>
        <w:snapToGrid/>
        <w:spacing w:before="0" w:after="0" w:line="380" w:lineRule="exact"/>
        <w:ind w:left="0" w:leftChars="0" w:firstLine="422" w:firstLineChars="200"/>
        <w:textAlignment w:val="auto"/>
        <w:rPr>
          <w:rFonts w:hint="eastAsia" w:ascii="宋体" w:hAnsi="宋体" w:eastAsia="宋体" w:cs="宋体"/>
          <w:color w:val="auto"/>
          <w:sz w:val="21"/>
          <w:szCs w:val="21"/>
          <w:highlight w:val="none"/>
        </w:rPr>
      </w:pPr>
      <w:bookmarkStart w:id="66" w:name="_Toc3368"/>
      <w:bookmarkStart w:id="67" w:name="_Toc15097"/>
      <w:r>
        <w:rPr>
          <w:rFonts w:hint="eastAsia" w:ascii="宋体" w:hAnsi="宋体" w:eastAsia="宋体" w:cs="宋体"/>
          <w:color w:val="auto"/>
          <w:sz w:val="21"/>
          <w:szCs w:val="21"/>
          <w:highlight w:val="none"/>
        </w:rPr>
        <w:t>8. 特别说明</w:t>
      </w:r>
      <w:bookmarkEnd w:id="66"/>
      <w:bookmarkEnd w:id="67"/>
    </w:p>
    <w:p>
      <w:pPr>
        <w:pageBreakBefore w:val="0"/>
        <w:widowControl w:val="0"/>
        <w:tabs>
          <w:tab w:val="left" w:pos="1635"/>
        </w:tabs>
        <w:kinsoku/>
        <w:wordWrap/>
        <w:overflowPunct/>
        <w:topLinePunct w:val="0"/>
        <w:bidi w:val="0"/>
        <w:snapToGrid/>
        <w:spacing w:line="380" w:lineRule="exact"/>
        <w:ind w:left="0" w:leftChars="0" w:firstLine="422" w:firstLineChars="20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8.1关联供应商不得参加同一合同项下政府采购活动，否则响应文件将被视为无效：</w:t>
      </w:r>
    </w:p>
    <w:p>
      <w:pPr>
        <w:pageBreakBefore w:val="0"/>
        <w:widowControl w:val="0"/>
        <w:tabs>
          <w:tab w:val="left" w:pos="1635"/>
        </w:tabs>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（1）单位负责人为同一人或者存在直接控股、管理关系的，不得参加同一合同项下的政府采购活动。</w:t>
      </w:r>
    </w:p>
    <w:p>
      <w:pPr>
        <w:pageBreakBefore w:val="0"/>
        <w:widowControl w:val="0"/>
        <w:tabs>
          <w:tab w:val="left" w:pos="1635"/>
        </w:tabs>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）为本采购项目提供整体设计、规范编制或者项目管理、监理、检测等服务的供应商，不得再参加本次采购活动。</w:t>
      </w:r>
    </w:p>
    <w:p>
      <w:pPr>
        <w:pStyle w:val="2"/>
        <w:keepNext/>
        <w:keepLines/>
        <w:pageBreakBefore w:val="0"/>
        <w:widowControl w:val="0"/>
        <w:tabs>
          <w:tab w:val="left" w:pos="567"/>
        </w:tabs>
        <w:kinsoku/>
        <w:wordWrap/>
        <w:overflowPunct/>
        <w:topLinePunct w:val="0"/>
        <w:autoSpaceDE/>
        <w:autoSpaceDN/>
        <w:bidi w:val="0"/>
        <w:adjustRightInd/>
        <w:snapToGrid/>
        <w:spacing w:before="0" w:after="0" w:line="380" w:lineRule="exact"/>
        <w:ind w:left="0" w:leftChars="0"/>
        <w:jc w:val="center"/>
        <w:textAlignment w:val="auto"/>
        <w:rPr>
          <w:rFonts w:hint="eastAsia" w:ascii="宋体" w:hAnsi="宋体" w:eastAsia="宋体" w:cs="宋体"/>
          <w:b/>
          <w:bCs w:val="0"/>
          <w:color w:val="auto"/>
          <w:sz w:val="21"/>
          <w:szCs w:val="21"/>
          <w:highlight w:val="none"/>
        </w:rPr>
      </w:pPr>
      <w:bookmarkStart w:id="68" w:name="_Toc5168"/>
      <w:bookmarkStart w:id="69" w:name="_Toc22498"/>
      <w:bookmarkStart w:id="70" w:name="_Toc29496"/>
    </w:p>
    <w:p>
      <w:pPr>
        <w:pStyle w:val="2"/>
        <w:keepNext/>
        <w:keepLines/>
        <w:pageBreakBefore w:val="0"/>
        <w:widowControl w:val="0"/>
        <w:tabs>
          <w:tab w:val="left" w:pos="567"/>
        </w:tabs>
        <w:kinsoku/>
        <w:wordWrap/>
        <w:overflowPunct/>
        <w:topLinePunct w:val="0"/>
        <w:autoSpaceDE/>
        <w:autoSpaceDN/>
        <w:bidi w:val="0"/>
        <w:adjustRightInd/>
        <w:snapToGrid/>
        <w:spacing w:before="0" w:after="0" w:line="380" w:lineRule="exact"/>
        <w:ind w:left="0" w:leftChars="0"/>
        <w:jc w:val="center"/>
        <w:textAlignment w:val="auto"/>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二、磋商文件</w:t>
      </w:r>
      <w:bookmarkEnd w:id="68"/>
      <w:bookmarkEnd w:id="69"/>
      <w:bookmarkEnd w:id="70"/>
    </w:p>
    <w:p>
      <w:pPr>
        <w:pStyle w:val="4"/>
        <w:pageBreakBefore w:val="0"/>
        <w:widowControl w:val="0"/>
        <w:kinsoku/>
        <w:wordWrap/>
        <w:overflowPunct/>
        <w:topLinePunct w:val="0"/>
        <w:bidi w:val="0"/>
        <w:snapToGrid/>
        <w:spacing w:before="0" w:after="0" w:line="380" w:lineRule="exact"/>
        <w:ind w:left="0" w:leftChars="0" w:firstLine="422" w:firstLineChars="200"/>
        <w:textAlignment w:val="auto"/>
        <w:rPr>
          <w:rFonts w:hint="eastAsia" w:ascii="宋体" w:hAnsi="宋体" w:eastAsia="宋体" w:cs="宋体"/>
          <w:color w:val="auto"/>
          <w:sz w:val="21"/>
          <w:szCs w:val="21"/>
          <w:highlight w:val="none"/>
          <w:lang w:val="pt-BR"/>
        </w:rPr>
      </w:pPr>
      <w:bookmarkStart w:id="71" w:name="_Toc20057"/>
      <w:bookmarkStart w:id="72" w:name="_Toc18964"/>
      <w:r>
        <w:rPr>
          <w:rFonts w:hint="eastAsia" w:ascii="宋体" w:hAnsi="宋体" w:eastAsia="宋体" w:cs="宋体"/>
          <w:color w:val="auto"/>
          <w:sz w:val="21"/>
          <w:szCs w:val="21"/>
          <w:highlight w:val="none"/>
          <w:lang w:val="pt-BR"/>
        </w:rPr>
        <w:t xml:space="preserve">9. </w:t>
      </w:r>
      <w:r>
        <w:rPr>
          <w:rFonts w:hint="eastAsia" w:ascii="宋体" w:hAnsi="宋体" w:eastAsia="宋体" w:cs="宋体"/>
          <w:color w:val="auto"/>
          <w:sz w:val="21"/>
          <w:szCs w:val="21"/>
          <w:highlight w:val="none"/>
        </w:rPr>
        <w:t>磋商文件的构成</w:t>
      </w:r>
      <w:bookmarkEnd w:id="71"/>
      <w:bookmarkEnd w:id="72"/>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（1）竞争性磋商公告；</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（2）供应商须知；</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（3）工程量清单</w:t>
      </w:r>
      <w:r>
        <w:rPr>
          <w:rFonts w:hint="eastAsia" w:ascii="宋体" w:hAnsi="宋体" w:eastAsia="宋体" w:cs="宋体"/>
          <w:bCs/>
          <w:color w:val="auto"/>
          <w:sz w:val="21"/>
          <w:szCs w:val="21"/>
          <w:highlight w:val="none"/>
        </w:rPr>
        <w:t>；</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（4）评审办法；</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（5）采购合同（合同主要条款及格式）；</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（6）响应文件（格式）</w:t>
      </w:r>
      <w:r>
        <w:rPr>
          <w:rFonts w:hint="eastAsia" w:ascii="宋体" w:hAnsi="宋体" w:eastAsia="宋体" w:cs="宋体"/>
          <w:color w:val="auto"/>
          <w:sz w:val="21"/>
          <w:szCs w:val="21"/>
          <w:highlight w:val="none"/>
          <w:lang w:eastAsia="zh-CN"/>
        </w:rPr>
        <w:t>；</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lang w:eastAsia="zh-CN"/>
        </w:rPr>
      </w:pPr>
      <w:bookmarkStart w:id="73" w:name="_Toc9103"/>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图纸。</w:t>
      </w:r>
    </w:p>
    <w:p>
      <w:pPr>
        <w:pStyle w:val="4"/>
        <w:pageBreakBefore w:val="0"/>
        <w:widowControl w:val="0"/>
        <w:kinsoku/>
        <w:wordWrap/>
        <w:overflowPunct/>
        <w:topLinePunct w:val="0"/>
        <w:bidi w:val="0"/>
        <w:snapToGrid/>
        <w:spacing w:before="0" w:after="0" w:line="380" w:lineRule="exact"/>
        <w:ind w:left="0" w:leftChars="0" w:firstLine="422" w:firstLineChars="200"/>
        <w:textAlignment w:val="auto"/>
        <w:rPr>
          <w:rFonts w:hint="eastAsia" w:ascii="宋体" w:hAnsi="宋体" w:eastAsia="宋体" w:cs="宋体"/>
          <w:color w:val="auto"/>
          <w:sz w:val="21"/>
          <w:szCs w:val="21"/>
          <w:highlight w:val="none"/>
        </w:rPr>
      </w:pPr>
      <w:bookmarkStart w:id="74" w:name="_Toc17932"/>
      <w:r>
        <w:rPr>
          <w:rFonts w:hint="eastAsia" w:ascii="宋体" w:hAnsi="宋体" w:eastAsia="宋体" w:cs="宋体"/>
          <w:color w:val="auto"/>
          <w:sz w:val="21"/>
          <w:szCs w:val="21"/>
          <w:highlight w:val="none"/>
        </w:rPr>
        <w:t>10. 磋商文件的澄清与修改</w:t>
      </w:r>
      <w:bookmarkEnd w:id="73"/>
      <w:bookmarkEnd w:id="74"/>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10.1 提交首次响应文件截止之日前，采购代理机构可以对已发出的磋商文件进行必要澄清、答复、修改或补充，澄清或者修改的内容可能影响响应文件编制的，澄清或者修改的内容作为磋商文件的组成部分。采购代理机构应当在提交首次响应文件递交截止时间</w:t>
      </w:r>
      <w:r>
        <w:rPr>
          <w:rFonts w:hint="eastAsia" w:ascii="宋体" w:hAnsi="宋体" w:eastAsia="宋体" w:cs="宋体"/>
          <w:b/>
          <w:bCs/>
          <w:color w:val="auto"/>
          <w:sz w:val="21"/>
          <w:szCs w:val="21"/>
          <w:highlight w:val="none"/>
        </w:rPr>
        <w:t>五日</w:t>
      </w:r>
      <w:r>
        <w:rPr>
          <w:rFonts w:hint="eastAsia" w:ascii="宋体" w:hAnsi="宋体" w:eastAsia="宋体" w:cs="宋体"/>
          <w:color w:val="auto"/>
          <w:sz w:val="21"/>
          <w:szCs w:val="21"/>
          <w:highlight w:val="none"/>
        </w:rPr>
        <w:t>前在本项目竞争性磋商公告发布的同一媒体上发布更正公告，不足</w:t>
      </w:r>
      <w:r>
        <w:rPr>
          <w:rFonts w:hint="eastAsia" w:ascii="宋体" w:hAnsi="宋体" w:eastAsia="宋体" w:cs="宋体"/>
          <w:b/>
          <w:bCs/>
          <w:color w:val="auto"/>
          <w:sz w:val="21"/>
          <w:szCs w:val="21"/>
          <w:highlight w:val="none"/>
        </w:rPr>
        <w:t>五日</w:t>
      </w:r>
      <w:r>
        <w:rPr>
          <w:rFonts w:hint="eastAsia" w:ascii="宋体" w:hAnsi="宋体" w:eastAsia="宋体" w:cs="宋体"/>
          <w:color w:val="auto"/>
          <w:sz w:val="21"/>
          <w:szCs w:val="21"/>
          <w:highlight w:val="none"/>
        </w:rPr>
        <w:t>的，应当顺延首次响应文件递交截止时间。</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jc w:val="left"/>
        <w:textAlignment w:val="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10.2</w:t>
      </w:r>
      <w:r>
        <w:rPr>
          <w:rFonts w:hint="eastAsia" w:ascii="宋体" w:hAnsi="宋体" w:eastAsia="宋体" w:cs="宋体"/>
          <w:b/>
          <w:bCs/>
          <w:color w:val="auto"/>
          <w:sz w:val="21"/>
          <w:szCs w:val="21"/>
          <w:highlight w:val="none"/>
        </w:rPr>
        <w:t>供应商应实时关注本项目信息公告发布媒体相关网站了解澄清、修改等与项目有关的内容，如因供应商未及时登录相关网站了解澄清、修改等与项目有关的内容，从而导致响应文件无效的，由供应商自行承担责任。</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10.3澄清或者修改的内容为磋商文件的组成部分。当澄清或者修改通知就同一内容的表述不一致时，以最后发出的文件为准。</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10.4 磋商文件的澄清或者修改都应该通过本项目采购代理机构以法定形式发布，采购人非通过本机构，不得擅自澄清或者修改磋商文件。</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10.5采购单位可以视采购具体情况，延长响应文件截止时间和磋商时间，在本项目竞争性磋商公告发布的同一媒体上发布变更公告。</w:t>
      </w:r>
    </w:p>
    <w:p>
      <w:pPr>
        <w:pStyle w:val="2"/>
        <w:keepNext/>
        <w:keepLines/>
        <w:pageBreakBefore w:val="0"/>
        <w:widowControl w:val="0"/>
        <w:tabs>
          <w:tab w:val="left" w:pos="567"/>
        </w:tabs>
        <w:kinsoku/>
        <w:wordWrap/>
        <w:overflowPunct/>
        <w:topLinePunct w:val="0"/>
        <w:autoSpaceDE/>
        <w:autoSpaceDN/>
        <w:bidi w:val="0"/>
        <w:adjustRightInd/>
        <w:snapToGrid/>
        <w:spacing w:before="0" w:after="0" w:line="380" w:lineRule="exact"/>
        <w:ind w:left="0" w:leftChars="0"/>
        <w:jc w:val="center"/>
        <w:textAlignment w:val="auto"/>
        <w:rPr>
          <w:rFonts w:hint="eastAsia" w:ascii="宋体" w:hAnsi="宋体" w:eastAsia="宋体" w:cs="宋体"/>
          <w:b/>
          <w:bCs w:val="0"/>
          <w:color w:val="auto"/>
          <w:sz w:val="21"/>
          <w:szCs w:val="21"/>
          <w:highlight w:val="none"/>
        </w:rPr>
      </w:pPr>
      <w:bookmarkStart w:id="75" w:name="_Toc20830"/>
      <w:bookmarkStart w:id="76" w:name="_Toc17820"/>
      <w:bookmarkStart w:id="77" w:name="_Toc26857"/>
    </w:p>
    <w:p>
      <w:pPr>
        <w:pStyle w:val="2"/>
        <w:keepNext/>
        <w:keepLines/>
        <w:pageBreakBefore w:val="0"/>
        <w:widowControl w:val="0"/>
        <w:tabs>
          <w:tab w:val="left" w:pos="567"/>
        </w:tabs>
        <w:kinsoku/>
        <w:wordWrap/>
        <w:overflowPunct/>
        <w:topLinePunct w:val="0"/>
        <w:autoSpaceDE/>
        <w:autoSpaceDN/>
        <w:bidi w:val="0"/>
        <w:adjustRightInd/>
        <w:snapToGrid/>
        <w:spacing w:before="0" w:after="0" w:line="380" w:lineRule="exact"/>
        <w:ind w:left="0" w:leftChars="0"/>
        <w:jc w:val="center"/>
        <w:textAlignment w:val="auto"/>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三、竞争性磋商响应文件的编制</w:t>
      </w:r>
      <w:bookmarkEnd w:id="75"/>
      <w:bookmarkEnd w:id="76"/>
      <w:bookmarkEnd w:id="77"/>
    </w:p>
    <w:p>
      <w:pPr>
        <w:pStyle w:val="4"/>
        <w:pageBreakBefore w:val="0"/>
        <w:widowControl w:val="0"/>
        <w:kinsoku/>
        <w:wordWrap/>
        <w:overflowPunct/>
        <w:topLinePunct w:val="0"/>
        <w:bidi w:val="0"/>
        <w:snapToGrid/>
        <w:spacing w:before="0" w:after="0" w:line="380" w:lineRule="exact"/>
        <w:ind w:left="0" w:leftChars="0" w:firstLine="422" w:firstLineChars="200"/>
        <w:textAlignment w:val="auto"/>
        <w:rPr>
          <w:rFonts w:hint="eastAsia" w:ascii="宋体" w:hAnsi="宋体" w:eastAsia="宋体" w:cs="宋体"/>
          <w:b/>
          <w:color w:val="auto"/>
          <w:sz w:val="21"/>
          <w:szCs w:val="21"/>
          <w:highlight w:val="none"/>
          <w:lang w:val="en-US" w:eastAsia="zh-CN"/>
        </w:rPr>
      </w:pPr>
      <w:bookmarkStart w:id="78" w:name="_Toc19747"/>
      <w:r>
        <w:rPr>
          <w:rFonts w:hint="eastAsia" w:ascii="宋体" w:hAnsi="宋体" w:eastAsia="宋体" w:cs="宋体"/>
          <w:b/>
          <w:color w:val="auto"/>
          <w:sz w:val="21"/>
          <w:szCs w:val="21"/>
          <w:highlight w:val="none"/>
          <w:lang w:val="en-US" w:eastAsia="zh-CN"/>
        </w:rPr>
        <w:t>11.竞争性磋商响应文件编制基本要求</w:t>
      </w:r>
      <w:bookmarkEnd w:id="78"/>
    </w:p>
    <w:p>
      <w:pPr>
        <w:pageBreakBefore w:val="0"/>
        <w:widowControl w:val="0"/>
        <w:kinsoku/>
        <w:wordWrap/>
        <w:overflowPunct/>
        <w:topLinePunct w:val="0"/>
        <w:bidi w:val="0"/>
        <w:snapToGrid/>
        <w:spacing w:line="380" w:lineRule="exact"/>
        <w:ind w:left="0" w:leftChars="0" w:firstLine="422" w:firstLineChars="200"/>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11.1 本项目实行电子响应，供应商应准备电子磋商响应文件：</w:t>
      </w:r>
    </w:p>
    <w:p>
      <w:pPr>
        <w:pageBreakBefore w:val="0"/>
        <w:widowControl w:val="0"/>
        <w:kinsoku/>
        <w:wordWrap/>
        <w:overflowPunct/>
        <w:topLinePunct w:val="0"/>
        <w:bidi w:val="0"/>
        <w:snapToGrid/>
        <w:spacing w:line="380" w:lineRule="exact"/>
        <w:ind w:left="0" w:leftChars="0" w:firstLine="422" w:firstLineChars="200"/>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 xml:space="preserve">11.1.1  电子响应文件按广西政府采购云平台要求及本磋商文件要求制作、加密并递交。具体操作流程可参考《政府采购项目电子交易管理操作指南-供应商》，指南可在广西政府采购网（访问地址http://zfcg.gxzf.gov.cn/）—办事服务—下载专区下载。  </w:t>
      </w:r>
    </w:p>
    <w:p>
      <w:pPr>
        <w:pageBreakBefore w:val="0"/>
        <w:widowControl w:val="0"/>
        <w:kinsoku/>
        <w:wordWrap/>
        <w:overflowPunct/>
        <w:topLinePunct w:val="0"/>
        <w:bidi w:val="0"/>
        <w:snapToGrid/>
        <w:spacing w:line="380" w:lineRule="exact"/>
        <w:ind w:left="0" w:leftChars="0" w:firstLine="422" w:firstLineChars="20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11.</w:t>
      </w:r>
      <w:r>
        <w:rPr>
          <w:rFonts w:hint="eastAsia" w:ascii="宋体" w:hAnsi="宋体" w:eastAsia="宋体" w:cs="宋体"/>
          <w:b/>
          <w:bCs/>
          <w:color w:val="auto"/>
          <w:sz w:val="21"/>
          <w:szCs w:val="21"/>
          <w:highlight w:val="none"/>
          <w:lang w:val="en-US" w:eastAsia="zh-CN"/>
        </w:rPr>
        <w:t>2</w:t>
      </w:r>
      <w:r>
        <w:rPr>
          <w:rFonts w:hint="eastAsia" w:ascii="宋体" w:hAnsi="宋体" w:eastAsia="宋体" w:cs="宋体"/>
          <w:b/>
          <w:bCs/>
          <w:color w:val="auto"/>
          <w:sz w:val="21"/>
          <w:szCs w:val="21"/>
          <w:highlight w:val="none"/>
        </w:rPr>
        <w:t>竞争性磋商响应文件（以下简称响应文件）的组成及要求</w:t>
      </w:r>
    </w:p>
    <w:p>
      <w:pPr>
        <w:pageBreakBefore w:val="0"/>
        <w:widowControl w:val="0"/>
        <w:kinsoku/>
        <w:wordWrap/>
        <w:overflowPunct/>
        <w:topLinePunct w:val="0"/>
        <w:bidi w:val="0"/>
        <w:snapToGrid/>
        <w:spacing w:line="380" w:lineRule="exact"/>
        <w:ind w:left="0" w:leftChars="0" w:firstLine="422" w:firstLineChars="20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11.</w:t>
      </w:r>
      <w:r>
        <w:rPr>
          <w:rFonts w:hint="eastAsia" w:ascii="宋体" w:hAnsi="宋体" w:eastAsia="宋体" w:cs="宋体"/>
          <w:b/>
          <w:bCs/>
          <w:color w:val="auto"/>
          <w:sz w:val="21"/>
          <w:szCs w:val="21"/>
          <w:highlight w:val="none"/>
          <w:lang w:val="en-US" w:eastAsia="zh-CN"/>
        </w:rPr>
        <w:t>2.1</w:t>
      </w:r>
      <w:r>
        <w:rPr>
          <w:rFonts w:hint="eastAsia" w:ascii="宋体" w:hAnsi="宋体" w:eastAsia="宋体" w:cs="宋体"/>
          <w:b/>
          <w:bCs/>
          <w:color w:val="auto"/>
          <w:sz w:val="21"/>
          <w:szCs w:val="21"/>
          <w:highlight w:val="none"/>
        </w:rPr>
        <w:t>响应文件组成【格式见第六章“响应文件（格式）”】</w:t>
      </w:r>
    </w:p>
    <w:p>
      <w:pPr>
        <w:pageBreakBefore w:val="0"/>
        <w:widowControl w:val="0"/>
        <w:kinsoku/>
        <w:wordWrap/>
        <w:overflowPunct/>
        <w:topLinePunct w:val="0"/>
        <w:bidi w:val="0"/>
        <w:snapToGrid/>
        <w:spacing w:line="380" w:lineRule="exact"/>
        <w:ind w:left="0" w:leftChars="0" w:firstLine="422" w:firstLineChars="200"/>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11.</w:t>
      </w:r>
      <w:r>
        <w:rPr>
          <w:rFonts w:hint="eastAsia" w:ascii="宋体" w:hAnsi="宋体" w:eastAsia="宋体" w:cs="宋体"/>
          <w:b/>
          <w:bCs/>
          <w:color w:val="auto"/>
          <w:sz w:val="21"/>
          <w:szCs w:val="21"/>
          <w:highlight w:val="none"/>
          <w:lang w:val="en-US" w:eastAsia="zh-CN"/>
        </w:rPr>
        <w:t>2</w:t>
      </w:r>
      <w:r>
        <w:rPr>
          <w:rFonts w:hint="eastAsia" w:ascii="宋体" w:hAnsi="宋体" w:eastAsia="宋体" w:cs="宋体"/>
          <w:b/>
          <w:bCs/>
          <w:color w:val="auto"/>
          <w:sz w:val="21"/>
          <w:szCs w:val="21"/>
          <w:highlight w:val="none"/>
        </w:rPr>
        <w:t>.</w:t>
      </w:r>
      <w:r>
        <w:rPr>
          <w:rFonts w:hint="eastAsia" w:ascii="宋体" w:hAnsi="宋体" w:eastAsia="宋体" w:cs="宋体"/>
          <w:b/>
          <w:bCs/>
          <w:color w:val="auto"/>
          <w:sz w:val="21"/>
          <w:szCs w:val="21"/>
          <w:highlight w:val="none"/>
          <w:lang w:val="en-US" w:eastAsia="zh-CN"/>
        </w:rPr>
        <w:t>1.1</w:t>
      </w:r>
      <w:r>
        <w:rPr>
          <w:rFonts w:hint="eastAsia" w:ascii="宋体" w:hAnsi="宋体" w:eastAsia="宋体" w:cs="宋体"/>
          <w:b/>
          <w:bCs/>
          <w:color w:val="auto"/>
          <w:sz w:val="21"/>
          <w:szCs w:val="21"/>
          <w:highlight w:val="none"/>
        </w:rPr>
        <w:t>资格性响应证明材料：</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（1）供应商相应的法定代表人、负责人、自然人身份证正反两面复印件</w:t>
      </w:r>
      <w:r>
        <w:rPr>
          <w:rFonts w:hint="eastAsia" w:ascii="宋体" w:hAnsi="宋体" w:eastAsia="宋体" w:cs="宋体"/>
          <w:b/>
          <w:bCs/>
          <w:color w:val="auto"/>
          <w:sz w:val="21"/>
          <w:szCs w:val="21"/>
          <w:highlight w:val="none"/>
        </w:rPr>
        <w:t>（必须提供）</w:t>
      </w:r>
      <w:r>
        <w:rPr>
          <w:rFonts w:hint="eastAsia" w:ascii="宋体" w:hAnsi="宋体" w:eastAsia="宋体" w:cs="宋体"/>
          <w:color w:val="auto"/>
          <w:sz w:val="21"/>
          <w:szCs w:val="21"/>
          <w:highlight w:val="none"/>
        </w:rPr>
        <w:t>；</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供应商的授权委托书原件、委托代理人身份证正反面复印件以及由县级以上（含县级）社会养老保险经办机构出具的供应商为委托代理人交纳的响应文件递交截止时间前半年内任意连续三个月社保证明复印件</w:t>
      </w:r>
      <w:r>
        <w:rPr>
          <w:rFonts w:hint="eastAsia" w:ascii="宋体" w:hAnsi="宋体" w:eastAsia="宋体" w:cs="宋体"/>
          <w:color w:val="auto"/>
          <w:sz w:val="21"/>
          <w:szCs w:val="21"/>
          <w:highlight w:val="none"/>
          <w:lang w:eastAsia="zh-CN"/>
        </w:rPr>
        <w:t>；</w:t>
      </w:r>
      <w:r>
        <w:rPr>
          <w:rFonts w:hint="eastAsia" w:ascii="宋体" w:hAnsi="宋体" w:eastAsia="宋体" w:cs="宋体"/>
          <w:b/>
          <w:bCs/>
          <w:color w:val="auto"/>
          <w:sz w:val="21"/>
          <w:szCs w:val="21"/>
          <w:highlight w:val="none"/>
        </w:rPr>
        <w:t>（委托代理时必须提供）</w:t>
      </w:r>
      <w:r>
        <w:rPr>
          <w:rFonts w:hint="eastAsia" w:ascii="宋体" w:hAnsi="宋体" w:eastAsia="宋体" w:cs="宋体"/>
          <w:b/>
          <w:bCs/>
          <w:color w:val="auto"/>
          <w:sz w:val="21"/>
          <w:szCs w:val="21"/>
          <w:highlight w:val="none"/>
          <w:lang w:eastAsia="zh-CN"/>
        </w:rPr>
        <w:t>。</w:t>
      </w:r>
      <w:r>
        <w:rPr>
          <w:rFonts w:hint="eastAsia" w:ascii="宋体" w:hAnsi="宋体" w:eastAsia="宋体" w:cs="宋体"/>
          <w:color w:val="auto"/>
          <w:sz w:val="21"/>
          <w:szCs w:val="21"/>
          <w:highlight w:val="none"/>
        </w:rPr>
        <w:t>除供应商为以下三种情形的：</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①如供应商为截标时间前60日以内成立的公司，可以提供供应商与委托代理人签订的劳动合同复印件代替社保证明复印件；</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②如供应商为事业单位，可以提供事业单位机构编制管理证复印件或事业单位机构为其发放工资的工资条复印件代替社保证明复印件；</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③如委托代理人为免缴纳社保人员，提供免缴纳社保的证明材料复印件及供应商与委托代理人签订的劳动合同复印件代替社保证明复印件。</w:t>
      </w:r>
    </w:p>
    <w:p>
      <w:pPr>
        <w:pageBreakBefore w:val="0"/>
        <w:widowControl w:val="0"/>
        <w:kinsoku/>
        <w:wordWrap/>
        <w:overflowPunct/>
        <w:topLinePunct w:val="0"/>
        <w:bidi w:val="0"/>
        <w:snapToGrid/>
        <w:spacing w:line="380" w:lineRule="exact"/>
        <w:ind w:left="0" w:leftChars="0" w:firstLine="422" w:firstLineChars="20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【属自然人的应提供由县级以上（含县级）社会养老保险经办机构出具的自然人本人及委托代理人所交纳的响应文件递交截止时间前半年内任意连续三个月社保证明复印件</w:t>
      </w:r>
      <w:r>
        <w:rPr>
          <w:rFonts w:hint="eastAsia" w:ascii="宋体" w:hAnsi="宋体" w:eastAsia="宋体" w:cs="宋体"/>
          <w:color w:val="auto"/>
          <w:sz w:val="21"/>
          <w:szCs w:val="21"/>
          <w:highlight w:val="none"/>
        </w:rPr>
        <w:t>】</w:t>
      </w:r>
      <w:r>
        <w:rPr>
          <w:rFonts w:hint="eastAsia" w:ascii="宋体" w:hAnsi="宋体" w:eastAsia="宋体" w:cs="宋体"/>
          <w:b/>
          <w:bCs/>
          <w:color w:val="auto"/>
          <w:sz w:val="21"/>
          <w:szCs w:val="21"/>
          <w:highlight w:val="none"/>
        </w:rPr>
        <w:t>（委托代理时必须提供）</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（3）供应商参加政府采购活动前3年内在经营活动中没有重大违法记录及有关信用信息的书面声明</w:t>
      </w:r>
      <w:r>
        <w:rPr>
          <w:rFonts w:hint="eastAsia" w:ascii="宋体" w:hAnsi="宋体" w:eastAsia="宋体" w:cs="宋体"/>
          <w:b/>
          <w:bCs/>
          <w:color w:val="auto"/>
          <w:sz w:val="21"/>
          <w:szCs w:val="21"/>
          <w:highlight w:val="none"/>
        </w:rPr>
        <w:t>（必须提供）；</w:t>
      </w:r>
    </w:p>
    <w:p>
      <w:pPr>
        <w:pageBreakBefore w:val="0"/>
        <w:widowControl w:val="0"/>
        <w:numPr>
          <w:ilvl w:val="0"/>
          <w:numId w:val="0"/>
        </w:numPr>
        <w:kinsoku/>
        <w:wordWrap/>
        <w:overflowPunct/>
        <w:topLinePunct w:val="0"/>
        <w:bidi w:val="0"/>
        <w:snapToGrid/>
        <w:spacing w:line="380" w:lineRule="exact"/>
        <w:ind w:left="0" w:leftChars="0" w:firstLine="42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lang w:val="en-US" w:eastAsia="zh-CN" w:bidi="ar-SA"/>
        </w:rPr>
        <w:t>（4）</w:t>
      </w:r>
      <w:r>
        <w:rPr>
          <w:rFonts w:hint="eastAsia" w:ascii="宋体" w:hAnsi="宋体" w:eastAsia="宋体" w:cs="宋体"/>
          <w:color w:val="auto"/>
          <w:sz w:val="21"/>
          <w:szCs w:val="21"/>
          <w:highlight w:val="none"/>
        </w:rPr>
        <w:t>供应商的法人或者其他组织营业执照等证明文件复印件</w:t>
      </w:r>
      <w:r>
        <w:rPr>
          <w:rFonts w:hint="eastAsia" w:ascii="宋体" w:hAnsi="宋体" w:eastAsia="宋体" w:cs="宋体"/>
          <w:b/>
          <w:bCs/>
          <w:color w:val="auto"/>
          <w:sz w:val="21"/>
          <w:szCs w:val="21"/>
          <w:highlight w:val="none"/>
        </w:rPr>
        <w:t>（必须提供，自然人除外）；</w:t>
      </w:r>
    </w:p>
    <w:p>
      <w:pPr>
        <w:pageBreakBefore w:val="0"/>
        <w:widowControl w:val="0"/>
        <w:kinsoku/>
        <w:wordWrap/>
        <w:overflowPunct/>
        <w:topLinePunct w:val="0"/>
        <w:bidi w:val="0"/>
        <w:snapToGrid/>
        <w:spacing w:line="380" w:lineRule="exact"/>
        <w:ind w:left="0" w:leftChars="0" w:firstLine="422" w:firstLineChars="20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pageBreakBefore w:val="0"/>
        <w:widowControl w:val="0"/>
        <w:numPr>
          <w:ilvl w:val="0"/>
          <w:numId w:val="0"/>
        </w:numPr>
        <w:kinsoku/>
        <w:wordWrap/>
        <w:overflowPunct/>
        <w:topLinePunct w:val="0"/>
        <w:bidi w:val="0"/>
        <w:snapToGrid/>
        <w:spacing w:line="380" w:lineRule="exact"/>
        <w:ind w:left="0" w:leftChars="0" w:firstLine="420" w:firstLineChars="0"/>
        <w:textAlignment w:val="auto"/>
        <w:rPr>
          <w:rFonts w:hint="eastAsia" w:ascii="宋体" w:hAnsi="宋体" w:eastAsia="宋体" w:cs="宋体"/>
          <w:bCs/>
          <w:color w:val="auto"/>
          <w:kern w:val="0"/>
          <w:sz w:val="21"/>
          <w:szCs w:val="21"/>
          <w:highlight w:val="none"/>
          <w:lang w:val="en-US" w:eastAsia="zh-CN"/>
        </w:rPr>
      </w:pPr>
      <w:r>
        <w:rPr>
          <w:rFonts w:hint="eastAsia" w:ascii="宋体" w:hAnsi="宋体" w:eastAsia="宋体" w:cs="宋体"/>
          <w:bCs/>
          <w:color w:val="auto"/>
          <w:kern w:val="0"/>
          <w:sz w:val="21"/>
          <w:szCs w:val="21"/>
          <w:highlight w:val="none"/>
          <w:lang w:val="en-US" w:eastAsia="zh-CN" w:bidi="ar-SA"/>
        </w:rPr>
        <w:t>（5）</w:t>
      </w:r>
      <w:r>
        <w:rPr>
          <w:rFonts w:hint="eastAsia" w:ascii="宋体" w:hAnsi="宋体" w:eastAsia="宋体" w:cs="宋体"/>
          <w:bCs/>
          <w:color w:val="auto"/>
          <w:kern w:val="0"/>
          <w:sz w:val="21"/>
          <w:szCs w:val="21"/>
          <w:highlight w:val="none"/>
          <w:lang w:val="en-US" w:eastAsia="zh-CN"/>
        </w:rPr>
        <w:t>供应商有效的资质证书复印件（必须提供）；</w:t>
      </w:r>
    </w:p>
    <w:p>
      <w:pPr>
        <w:pageBreakBefore w:val="0"/>
        <w:widowControl w:val="0"/>
        <w:numPr>
          <w:ilvl w:val="0"/>
          <w:numId w:val="0"/>
        </w:numPr>
        <w:kinsoku/>
        <w:wordWrap/>
        <w:overflowPunct/>
        <w:topLinePunct w:val="0"/>
        <w:bidi w:val="0"/>
        <w:snapToGrid/>
        <w:spacing w:line="380" w:lineRule="exact"/>
        <w:ind w:left="0" w:leftChars="0" w:firstLine="420" w:firstLineChars="0"/>
        <w:textAlignment w:val="auto"/>
        <w:rPr>
          <w:rFonts w:hint="eastAsia" w:ascii="宋体" w:hAnsi="宋体" w:eastAsia="宋体" w:cs="宋体"/>
          <w:bCs/>
          <w:color w:val="auto"/>
          <w:kern w:val="0"/>
          <w:sz w:val="21"/>
          <w:szCs w:val="21"/>
          <w:highlight w:val="none"/>
          <w:lang w:val="en-US" w:eastAsia="zh-CN"/>
        </w:rPr>
      </w:pPr>
      <w:r>
        <w:rPr>
          <w:rFonts w:hint="eastAsia" w:ascii="宋体" w:hAnsi="宋体" w:eastAsia="宋体" w:cs="宋体"/>
          <w:bCs/>
          <w:color w:val="auto"/>
          <w:kern w:val="0"/>
          <w:sz w:val="21"/>
          <w:szCs w:val="21"/>
          <w:highlight w:val="none"/>
          <w:lang w:val="en-US" w:eastAsia="zh-CN" w:bidi="ar-SA"/>
        </w:rPr>
        <w:t>（6）</w:t>
      </w:r>
      <w:r>
        <w:rPr>
          <w:rFonts w:hint="eastAsia" w:ascii="宋体" w:hAnsi="宋体" w:eastAsia="宋体" w:cs="宋体"/>
          <w:bCs/>
          <w:color w:val="auto"/>
          <w:kern w:val="0"/>
          <w:sz w:val="21"/>
          <w:szCs w:val="21"/>
          <w:highlight w:val="none"/>
          <w:lang w:val="en-US" w:eastAsia="zh-CN" w:bidi="ar-SA"/>
        </w:rPr>
        <w:t>《中小企业声明函》或《残疾人福利性单位声明函》或省级以上监狱管理局、戒毒管理局（含新疆生产建设兵团）出具的属于监狱企业的证明文件复印件</w:t>
      </w:r>
      <w:r>
        <w:rPr>
          <w:rFonts w:hint="eastAsia" w:ascii="宋体" w:hAnsi="宋体" w:eastAsia="宋体" w:cs="宋体"/>
          <w:b/>
          <w:bCs w:val="0"/>
          <w:color w:val="auto"/>
          <w:kern w:val="0"/>
          <w:sz w:val="21"/>
          <w:szCs w:val="21"/>
          <w:highlight w:val="none"/>
          <w:lang w:val="en-US" w:eastAsia="zh-CN" w:bidi="ar-SA"/>
        </w:rPr>
        <w:t>（必须提供其中一项）</w:t>
      </w:r>
      <w:r>
        <w:rPr>
          <w:rFonts w:hint="eastAsia" w:ascii="宋体" w:hAnsi="宋体" w:eastAsia="宋体" w:cs="宋体"/>
          <w:b/>
          <w:bCs w:val="0"/>
          <w:color w:val="auto"/>
          <w:kern w:val="0"/>
          <w:sz w:val="21"/>
          <w:szCs w:val="21"/>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firstLine="420" w:firstLineChars="0"/>
        <w:textAlignment w:val="auto"/>
        <w:rPr>
          <w:rFonts w:hint="eastAsia" w:ascii="宋体" w:hAnsi="宋体" w:eastAsia="宋体" w:cs="宋体"/>
          <w:bCs/>
          <w:color w:val="auto"/>
          <w:kern w:val="0"/>
          <w:sz w:val="21"/>
          <w:szCs w:val="21"/>
          <w:highlight w:val="none"/>
          <w:lang w:val="en-US" w:eastAsia="zh-CN"/>
        </w:rPr>
      </w:pPr>
      <w:r>
        <w:rPr>
          <w:rFonts w:hint="eastAsia" w:ascii="宋体" w:hAnsi="宋体" w:eastAsia="宋体" w:cs="宋体"/>
          <w:bCs/>
          <w:color w:val="auto"/>
          <w:kern w:val="0"/>
          <w:sz w:val="21"/>
          <w:szCs w:val="21"/>
          <w:highlight w:val="none"/>
          <w:lang w:val="en-US" w:eastAsia="zh-CN" w:bidi="ar-SA"/>
        </w:rPr>
        <w:t>（7）</w:t>
      </w:r>
      <w:r>
        <w:rPr>
          <w:rFonts w:hint="eastAsia" w:ascii="宋体" w:hAnsi="宋体" w:eastAsia="宋体" w:cs="宋体"/>
          <w:bCs/>
          <w:color w:val="auto"/>
          <w:kern w:val="0"/>
          <w:sz w:val="21"/>
          <w:szCs w:val="21"/>
          <w:highlight w:val="none"/>
          <w:lang w:val="en-US" w:eastAsia="zh-CN"/>
        </w:rPr>
        <w:t>供应商有效的安全生产许可证书复印件</w:t>
      </w:r>
      <w:r>
        <w:rPr>
          <w:rFonts w:hint="eastAsia" w:ascii="宋体" w:hAnsi="宋体" w:eastAsia="宋体" w:cs="宋体"/>
          <w:b/>
          <w:bCs w:val="0"/>
          <w:color w:val="auto"/>
          <w:kern w:val="0"/>
          <w:sz w:val="21"/>
          <w:szCs w:val="21"/>
          <w:highlight w:val="none"/>
          <w:lang w:val="en-US" w:eastAsia="zh-CN"/>
        </w:rPr>
        <w:t>（必须提供）；</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firstLine="42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lang w:val="en-US" w:eastAsia="zh-CN" w:bidi="ar-SA"/>
        </w:rPr>
        <w:t>（8）</w:t>
      </w:r>
      <w:r>
        <w:rPr>
          <w:rFonts w:hint="eastAsia" w:ascii="宋体" w:hAnsi="宋体" w:eastAsia="宋体" w:cs="宋体"/>
          <w:bCs/>
          <w:color w:val="auto"/>
          <w:kern w:val="0"/>
          <w:sz w:val="21"/>
          <w:szCs w:val="21"/>
          <w:highlight w:val="none"/>
          <w:lang w:eastAsia="zh-CN"/>
        </w:rPr>
        <w:t>供应商</w:t>
      </w:r>
      <w:r>
        <w:rPr>
          <w:rFonts w:hint="eastAsia" w:ascii="宋体" w:hAnsi="宋体" w:eastAsia="宋体" w:cs="宋体"/>
          <w:bCs/>
          <w:color w:val="auto"/>
          <w:kern w:val="0"/>
          <w:sz w:val="21"/>
          <w:szCs w:val="21"/>
          <w:highlight w:val="none"/>
          <w:lang w:eastAsia="zh-CN"/>
        </w:rPr>
        <w:t>2022</w:t>
      </w:r>
      <w:r>
        <w:rPr>
          <w:rFonts w:hint="eastAsia" w:ascii="宋体" w:hAnsi="宋体" w:eastAsia="宋体" w:cs="宋体"/>
          <w:bCs/>
          <w:color w:val="auto"/>
          <w:kern w:val="0"/>
          <w:sz w:val="21"/>
          <w:szCs w:val="21"/>
          <w:highlight w:val="none"/>
          <w:lang w:eastAsia="zh-CN"/>
        </w:rPr>
        <w:t>年度财务状况报告复印件</w:t>
      </w:r>
      <w:r>
        <w:rPr>
          <w:rFonts w:hint="eastAsia" w:ascii="宋体" w:hAnsi="宋体" w:eastAsia="宋体" w:cs="宋体"/>
          <w:b/>
          <w:bCs/>
          <w:color w:val="auto"/>
          <w:sz w:val="21"/>
          <w:szCs w:val="21"/>
          <w:highlight w:val="none"/>
          <w:lang w:val="en-US" w:eastAsia="zh-CN"/>
        </w:rPr>
        <w:t>（必须提供</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可</w:t>
      </w:r>
      <w:r>
        <w:rPr>
          <w:rFonts w:hint="eastAsia" w:ascii="宋体" w:hAnsi="宋体" w:eastAsia="宋体" w:cs="宋体"/>
          <w:b/>
          <w:bCs/>
          <w:color w:val="auto"/>
          <w:sz w:val="21"/>
          <w:szCs w:val="21"/>
          <w:highlight w:val="none"/>
          <w:lang w:eastAsia="zh-CN"/>
        </w:rPr>
        <w:t>以是磋商供应商</w:t>
      </w:r>
      <w:r>
        <w:rPr>
          <w:rFonts w:hint="eastAsia" w:ascii="宋体" w:hAnsi="宋体" w:eastAsia="宋体" w:cs="宋体"/>
          <w:b/>
          <w:bCs/>
          <w:color w:val="auto"/>
          <w:sz w:val="21"/>
          <w:szCs w:val="21"/>
          <w:highlight w:val="none"/>
        </w:rPr>
        <w:t>自行编制也可</w:t>
      </w:r>
      <w:r>
        <w:rPr>
          <w:rFonts w:hint="eastAsia" w:ascii="宋体" w:hAnsi="宋体" w:eastAsia="宋体" w:cs="宋体"/>
          <w:b/>
          <w:bCs/>
          <w:color w:val="auto"/>
          <w:sz w:val="21"/>
          <w:szCs w:val="21"/>
          <w:highlight w:val="none"/>
          <w:lang w:eastAsia="zh-CN"/>
        </w:rPr>
        <w:t>是</w:t>
      </w:r>
      <w:r>
        <w:rPr>
          <w:rFonts w:hint="eastAsia" w:ascii="宋体" w:hAnsi="宋体" w:eastAsia="宋体" w:cs="宋体"/>
          <w:b/>
          <w:bCs/>
          <w:color w:val="auto"/>
          <w:sz w:val="21"/>
          <w:szCs w:val="21"/>
          <w:highlight w:val="none"/>
        </w:rPr>
        <w:t>通过</w:t>
      </w:r>
      <w:r>
        <w:rPr>
          <w:rFonts w:hint="eastAsia" w:ascii="宋体" w:hAnsi="宋体" w:eastAsia="宋体" w:cs="宋体"/>
          <w:b/>
          <w:bCs/>
          <w:color w:val="auto"/>
          <w:sz w:val="21"/>
          <w:szCs w:val="21"/>
          <w:highlight w:val="none"/>
          <w:lang w:eastAsia="zh-CN"/>
        </w:rPr>
        <w:t>第三方</w:t>
      </w:r>
      <w:r>
        <w:rPr>
          <w:rFonts w:hint="eastAsia" w:ascii="宋体" w:hAnsi="宋体" w:eastAsia="宋体" w:cs="宋体"/>
          <w:b/>
          <w:bCs/>
          <w:color w:val="auto"/>
          <w:sz w:val="21"/>
          <w:szCs w:val="21"/>
          <w:highlight w:val="none"/>
        </w:rPr>
        <w:t>审计公司编制，如为自行编制至少须提供现金流量表、负债表及利润表</w:t>
      </w:r>
      <w:r>
        <w:rPr>
          <w:rFonts w:hint="eastAsia" w:ascii="宋体" w:hAnsi="宋体" w:eastAsia="宋体" w:cs="宋体"/>
          <w:b/>
          <w:bCs/>
          <w:color w:val="auto"/>
          <w:sz w:val="21"/>
          <w:szCs w:val="21"/>
          <w:highlight w:val="none"/>
          <w:lang w:val="en-US" w:eastAsia="zh-CN"/>
        </w:rPr>
        <w:t>）</w:t>
      </w:r>
      <w:r>
        <w:rPr>
          <w:rFonts w:hint="eastAsia" w:ascii="宋体" w:hAnsi="宋体" w:eastAsia="宋体" w:cs="宋体"/>
          <w:color w:val="auto"/>
          <w:sz w:val="21"/>
          <w:szCs w:val="21"/>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firstLine="42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lang w:val="en-US" w:eastAsia="zh-CN" w:bidi="ar-SA"/>
        </w:rPr>
        <w:t>（9）</w:t>
      </w:r>
      <w:r>
        <w:rPr>
          <w:rFonts w:hint="eastAsia" w:ascii="宋体" w:hAnsi="宋体" w:eastAsia="宋体" w:cs="宋体"/>
          <w:color w:val="auto"/>
          <w:sz w:val="21"/>
          <w:szCs w:val="21"/>
          <w:highlight w:val="none"/>
        </w:rPr>
        <w:t>供应商近半年内任意一个月或任一季度依法缴纳税收的证明材料</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增值税</w:t>
      </w:r>
      <w:r>
        <w:rPr>
          <w:rFonts w:hint="eastAsia" w:ascii="宋体" w:hAnsi="宋体" w:eastAsia="宋体" w:cs="宋体"/>
          <w:color w:val="auto"/>
          <w:sz w:val="21"/>
          <w:szCs w:val="21"/>
          <w:highlight w:val="none"/>
          <w:lang w:eastAsia="zh-CN"/>
        </w:rPr>
        <w:t>缴纳</w:t>
      </w:r>
      <w:r>
        <w:rPr>
          <w:rFonts w:hint="eastAsia" w:ascii="宋体" w:hAnsi="宋体" w:eastAsia="宋体" w:cs="宋体"/>
          <w:color w:val="auto"/>
          <w:sz w:val="21"/>
          <w:szCs w:val="21"/>
          <w:highlight w:val="none"/>
        </w:rPr>
        <w:t>发票(税收完税证明)或企业所得税完税证明或税务部门出具的免税证明</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复印件</w:t>
      </w:r>
      <w:r>
        <w:rPr>
          <w:rFonts w:hint="eastAsia" w:ascii="宋体" w:hAnsi="宋体" w:eastAsia="宋体" w:cs="宋体"/>
          <w:b/>
          <w:bCs/>
          <w:color w:val="auto"/>
          <w:sz w:val="21"/>
          <w:szCs w:val="21"/>
          <w:highlight w:val="none"/>
        </w:rPr>
        <w:t>（必须提供）。</w:t>
      </w:r>
    </w:p>
    <w:p>
      <w:pPr>
        <w:pStyle w:val="18"/>
        <w:keepNext w:val="0"/>
        <w:keepLines w:val="0"/>
        <w:pageBreakBefore w:val="0"/>
        <w:widowControl w:val="0"/>
        <w:kinsoku/>
        <w:wordWrap/>
        <w:overflowPunct/>
        <w:topLinePunct w:val="0"/>
        <w:autoSpaceDE/>
        <w:autoSpaceDN/>
        <w:bidi w:val="0"/>
        <w:adjustRightInd/>
        <w:snapToGrid/>
        <w:spacing w:after="0" w:line="380" w:lineRule="exact"/>
        <w:ind w:left="0" w:leftChars="0" w:firstLine="422"/>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11.</w:t>
      </w:r>
      <w:r>
        <w:rPr>
          <w:rFonts w:hint="eastAsia" w:ascii="宋体" w:hAnsi="宋体" w:eastAsia="宋体" w:cs="宋体"/>
          <w:b/>
          <w:bCs/>
          <w:color w:val="auto"/>
          <w:sz w:val="21"/>
          <w:szCs w:val="21"/>
          <w:highlight w:val="none"/>
          <w:lang w:val="en-US" w:eastAsia="zh-CN"/>
        </w:rPr>
        <w:t>2</w:t>
      </w:r>
      <w:r>
        <w:rPr>
          <w:rFonts w:hint="eastAsia" w:ascii="宋体" w:hAnsi="宋体" w:eastAsia="宋体" w:cs="宋体"/>
          <w:b/>
          <w:bCs/>
          <w:color w:val="auto"/>
          <w:sz w:val="21"/>
          <w:szCs w:val="21"/>
          <w:highlight w:val="none"/>
        </w:rPr>
        <w:t>.</w:t>
      </w:r>
      <w:r>
        <w:rPr>
          <w:rFonts w:hint="eastAsia" w:ascii="宋体" w:hAnsi="宋体" w:eastAsia="宋体" w:cs="宋体"/>
          <w:b/>
          <w:bCs/>
          <w:color w:val="auto"/>
          <w:sz w:val="21"/>
          <w:szCs w:val="21"/>
          <w:highlight w:val="none"/>
          <w:lang w:val="en-US" w:eastAsia="zh-CN"/>
        </w:rPr>
        <w:t>1.2</w:t>
      </w:r>
      <w:r>
        <w:rPr>
          <w:rFonts w:hint="eastAsia" w:ascii="宋体" w:hAnsi="宋体" w:eastAsia="宋体" w:cs="宋体"/>
          <w:b/>
          <w:bCs/>
          <w:color w:val="auto"/>
          <w:sz w:val="21"/>
          <w:szCs w:val="21"/>
          <w:highlight w:val="none"/>
        </w:rPr>
        <w:t>符合性响应证明材料：</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rPr>
          <w:rFonts w:hint="eastAsia" w:ascii="宋体" w:hAnsi="宋体" w:eastAsia="宋体" w:cs="宋体"/>
          <w:color w:val="auto"/>
          <w:sz w:val="21"/>
          <w:szCs w:val="21"/>
          <w:highlight w:val="none"/>
        </w:rPr>
      </w:pPr>
      <w:bookmarkStart w:id="79" w:name="_Toc16312"/>
      <w:bookmarkStart w:id="80" w:name="_Toc2809"/>
      <w:bookmarkStart w:id="81" w:name="_Toc28932"/>
      <w:r>
        <w:rPr>
          <w:rFonts w:hint="eastAsia" w:ascii="宋体" w:hAnsi="宋体" w:eastAsia="宋体" w:cs="宋体"/>
          <w:color w:val="auto"/>
          <w:sz w:val="21"/>
          <w:szCs w:val="21"/>
          <w:highlight w:val="none"/>
          <w:lang w:val="en-US"/>
        </w:rPr>
        <w:t>（1）响应函（格式见附件）</w:t>
      </w:r>
      <w:r>
        <w:rPr>
          <w:rFonts w:hint="eastAsia" w:ascii="宋体" w:hAnsi="宋体" w:eastAsia="宋体" w:cs="宋体"/>
          <w:b/>
          <w:bCs/>
          <w:color w:val="auto"/>
          <w:sz w:val="21"/>
          <w:szCs w:val="21"/>
          <w:highlight w:val="none"/>
          <w:lang w:val="en-US"/>
        </w:rPr>
        <w:t>（必须提供）</w:t>
      </w:r>
      <w:bookmarkEnd w:id="79"/>
      <w:r>
        <w:rPr>
          <w:rFonts w:hint="eastAsia" w:ascii="宋体" w:hAnsi="宋体" w:eastAsia="宋体" w:cs="宋体"/>
          <w:color w:val="auto"/>
          <w:sz w:val="21"/>
          <w:szCs w:val="21"/>
          <w:highlight w:val="none"/>
          <w:lang w:val="en-US" w:eastAsia="zh-CN"/>
        </w:rPr>
        <w:t>；</w:t>
      </w:r>
      <w:bookmarkEnd w:id="80"/>
      <w:bookmarkEnd w:id="81"/>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w:t>
      </w:r>
      <w:r>
        <w:rPr>
          <w:rFonts w:hint="eastAsia" w:ascii="宋体" w:hAnsi="宋体" w:eastAsia="宋体" w:cs="宋体"/>
          <w:bCs/>
          <w:color w:val="auto"/>
          <w:kern w:val="0"/>
          <w:sz w:val="21"/>
          <w:szCs w:val="21"/>
          <w:highlight w:val="none"/>
        </w:rPr>
        <w:t>工程报价汇总表</w:t>
      </w:r>
      <w:r>
        <w:rPr>
          <w:rFonts w:hint="eastAsia" w:ascii="宋体" w:hAnsi="宋体" w:eastAsia="宋体" w:cs="宋体"/>
          <w:color w:val="auto"/>
          <w:sz w:val="21"/>
          <w:szCs w:val="21"/>
          <w:highlight w:val="none"/>
        </w:rPr>
        <w:t>（格式见附件）</w:t>
      </w:r>
      <w:r>
        <w:rPr>
          <w:rFonts w:hint="eastAsia" w:ascii="宋体" w:hAnsi="宋体" w:eastAsia="宋体" w:cs="宋体"/>
          <w:b/>
          <w:bCs/>
          <w:color w:val="auto"/>
          <w:sz w:val="21"/>
          <w:szCs w:val="21"/>
          <w:highlight w:val="none"/>
        </w:rPr>
        <w:t>（必须提供）</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rPr>
          <w:rFonts w:hint="eastAsia" w:ascii="宋体" w:hAnsi="宋体" w:eastAsia="宋体" w:cs="宋体"/>
          <w:bCs/>
          <w:color w:val="auto"/>
          <w:kern w:val="0"/>
          <w:sz w:val="21"/>
          <w:szCs w:val="21"/>
          <w:highlight w:val="none"/>
          <w:lang w:eastAsia="zh-CN"/>
        </w:rPr>
      </w:pPr>
      <w:r>
        <w:rPr>
          <w:rFonts w:hint="eastAsia" w:ascii="宋体" w:hAnsi="宋体" w:eastAsia="宋体" w:cs="宋体"/>
          <w:bCs/>
          <w:color w:val="auto"/>
          <w:kern w:val="0"/>
          <w:sz w:val="21"/>
          <w:szCs w:val="21"/>
          <w:highlight w:val="none"/>
          <w:lang w:eastAsia="zh-CN"/>
        </w:rPr>
        <w:t>（</w:t>
      </w:r>
      <w:r>
        <w:rPr>
          <w:rFonts w:hint="eastAsia" w:ascii="宋体" w:hAnsi="宋体" w:eastAsia="宋体" w:cs="宋体"/>
          <w:bCs/>
          <w:color w:val="auto"/>
          <w:kern w:val="0"/>
          <w:sz w:val="21"/>
          <w:szCs w:val="21"/>
          <w:highlight w:val="none"/>
          <w:lang w:val="en-US" w:eastAsia="zh-CN"/>
        </w:rPr>
        <w:t>3</w:t>
      </w:r>
      <w:r>
        <w:rPr>
          <w:rFonts w:hint="eastAsia" w:ascii="宋体" w:hAnsi="宋体" w:eastAsia="宋体" w:cs="宋体"/>
          <w:bCs/>
          <w:color w:val="auto"/>
          <w:kern w:val="0"/>
          <w:sz w:val="21"/>
          <w:szCs w:val="21"/>
          <w:highlight w:val="none"/>
          <w:lang w:eastAsia="zh-CN"/>
        </w:rPr>
        <w:t>）</w:t>
      </w:r>
      <w:r>
        <w:rPr>
          <w:rFonts w:hint="eastAsia" w:ascii="宋体" w:hAnsi="宋体" w:eastAsia="宋体" w:cs="宋体"/>
          <w:bCs/>
          <w:color w:val="auto"/>
          <w:kern w:val="0"/>
          <w:sz w:val="21"/>
          <w:szCs w:val="21"/>
          <w:highlight w:val="none"/>
        </w:rPr>
        <w:t>已标价工程量清单</w:t>
      </w:r>
      <w:r>
        <w:rPr>
          <w:rFonts w:hint="eastAsia" w:ascii="宋体" w:hAnsi="宋体" w:eastAsia="宋体" w:cs="宋体"/>
          <w:b/>
          <w:bCs w:val="0"/>
          <w:color w:val="auto"/>
          <w:kern w:val="0"/>
          <w:sz w:val="21"/>
          <w:szCs w:val="21"/>
          <w:highlight w:val="none"/>
        </w:rPr>
        <w:t>（必须提供）</w:t>
      </w:r>
      <w:r>
        <w:rPr>
          <w:rFonts w:hint="eastAsia" w:ascii="宋体" w:hAnsi="宋体" w:eastAsia="宋体" w:cs="宋体"/>
          <w:b w:val="0"/>
          <w:bCs/>
          <w:color w:val="auto"/>
          <w:kern w:val="0"/>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）拟投入本工程主要施工管理人员表</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必须提供)</w:t>
      </w:r>
      <w:r>
        <w:rPr>
          <w:rFonts w:hint="eastAsia" w:ascii="宋体" w:hAnsi="宋体" w:eastAsia="宋体" w:cs="宋体"/>
          <w:color w:val="auto"/>
          <w:sz w:val="21"/>
          <w:szCs w:val="21"/>
          <w:highlight w:val="none"/>
        </w:rPr>
        <w:t>；</w:t>
      </w:r>
    </w:p>
    <w:p>
      <w:pPr>
        <w:pageBreakBefore w:val="0"/>
        <w:widowControl w:val="0"/>
        <w:kinsoku/>
        <w:wordWrap/>
        <w:overflowPunct/>
        <w:topLinePunct w:val="0"/>
        <w:bidi w:val="0"/>
        <w:snapToGrid/>
        <w:spacing w:line="380" w:lineRule="exact"/>
        <w:ind w:left="0" w:leftChars="0" w:firstLine="422" w:firstLineChars="200"/>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rPr>
        <w:t>并一起提供由县级以上（含县级）社会养老保险经办机构出具的供应商为项目实施人员交纳的响应文件递交截止时间前半年内任意连续三个月社保证明复印件</w:t>
      </w:r>
      <w:r>
        <w:rPr>
          <w:rFonts w:hint="eastAsia" w:ascii="宋体" w:hAnsi="宋体" w:cs="宋体"/>
          <w:b/>
          <w:bCs/>
          <w:color w:val="auto"/>
          <w:sz w:val="21"/>
          <w:szCs w:val="21"/>
          <w:highlight w:val="none"/>
          <w:lang w:eastAsia="zh-CN"/>
        </w:rPr>
        <w:t>。</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w:t>
      </w:r>
      <w:r>
        <w:rPr>
          <w:rFonts w:hint="eastAsia" w:ascii="宋体" w:hAnsi="宋体" w:eastAsia="宋体" w:cs="宋体"/>
          <w:bCs/>
          <w:color w:val="auto"/>
          <w:kern w:val="0"/>
          <w:sz w:val="21"/>
          <w:szCs w:val="21"/>
          <w:highlight w:val="none"/>
        </w:rPr>
        <w:t>担任本工程的项目经理简历表（应附相关证书、身份证复印件）</w:t>
      </w:r>
      <w:r>
        <w:rPr>
          <w:rFonts w:hint="eastAsia" w:ascii="宋体" w:hAnsi="宋体" w:eastAsia="宋体" w:cs="宋体"/>
          <w:b/>
          <w:bCs/>
          <w:color w:val="auto"/>
          <w:sz w:val="21"/>
          <w:szCs w:val="21"/>
          <w:highlight w:val="none"/>
        </w:rPr>
        <w:t>（必须提供）</w:t>
      </w:r>
      <w:r>
        <w:rPr>
          <w:rFonts w:hint="eastAsia" w:ascii="宋体" w:hAnsi="宋体" w:eastAsia="宋体" w:cs="宋体"/>
          <w:b w:val="0"/>
          <w:bCs w:val="0"/>
          <w:color w:val="auto"/>
          <w:sz w:val="21"/>
          <w:szCs w:val="21"/>
          <w:highlight w:val="none"/>
        </w:rPr>
        <w:t>；</w:t>
      </w:r>
    </w:p>
    <w:p>
      <w:pPr>
        <w:pageBreakBefore w:val="0"/>
        <w:widowControl w:val="0"/>
        <w:numPr>
          <w:ilvl w:val="0"/>
          <w:numId w:val="0"/>
        </w:numPr>
        <w:kinsoku/>
        <w:wordWrap/>
        <w:overflowPunct/>
        <w:topLinePunct w:val="0"/>
        <w:bidi w:val="0"/>
        <w:snapToGrid/>
        <w:spacing w:line="380" w:lineRule="exact"/>
        <w:ind w:left="0" w:leftChars="0" w:firstLine="420" w:firstLineChars="200"/>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w:t>
      </w:r>
      <w:r>
        <w:rPr>
          <w:rFonts w:hint="eastAsia" w:ascii="宋体" w:hAnsi="宋体" w:eastAsia="宋体" w:cs="宋体"/>
          <w:bCs/>
          <w:color w:val="auto"/>
          <w:kern w:val="0"/>
          <w:sz w:val="21"/>
          <w:szCs w:val="21"/>
          <w:highlight w:val="none"/>
        </w:rPr>
        <w:t>施工组织设计方案</w:t>
      </w:r>
      <w:r>
        <w:rPr>
          <w:rFonts w:hint="eastAsia" w:ascii="宋体" w:hAnsi="宋体" w:eastAsia="宋体" w:cs="宋体"/>
          <w:b/>
          <w:bCs/>
          <w:color w:val="auto"/>
          <w:sz w:val="21"/>
          <w:szCs w:val="21"/>
          <w:highlight w:val="none"/>
        </w:rPr>
        <w:t>（</w:t>
      </w:r>
      <w:r>
        <w:rPr>
          <w:rFonts w:hint="eastAsia" w:ascii="宋体" w:hAnsi="宋体" w:eastAsia="宋体" w:cs="宋体"/>
          <w:b/>
          <w:bCs/>
          <w:color w:val="auto"/>
          <w:sz w:val="21"/>
          <w:szCs w:val="21"/>
          <w:highlight w:val="none"/>
          <w:lang w:eastAsia="zh-CN"/>
        </w:rPr>
        <w:t>必须提供</w:t>
      </w:r>
      <w:r>
        <w:rPr>
          <w:rFonts w:hint="eastAsia" w:ascii="宋体" w:hAnsi="宋体" w:eastAsia="宋体" w:cs="宋体"/>
          <w:b/>
          <w:bCs/>
          <w:color w:val="auto"/>
          <w:sz w:val="21"/>
          <w:szCs w:val="21"/>
          <w:highlight w:val="none"/>
        </w:rPr>
        <w:t>）</w:t>
      </w:r>
      <w:r>
        <w:rPr>
          <w:rFonts w:hint="eastAsia" w:ascii="宋体" w:hAnsi="宋体" w:eastAsia="宋体" w:cs="宋体"/>
          <w:b w:val="0"/>
          <w:bCs w:val="0"/>
          <w:color w:val="auto"/>
          <w:sz w:val="21"/>
          <w:szCs w:val="21"/>
          <w:highlight w:val="none"/>
          <w:lang w:eastAsia="zh-CN"/>
        </w:rPr>
        <w:t>；</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w:t>
      </w:r>
      <w:r>
        <w:rPr>
          <w:rFonts w:hint="eastAsia" w:ascii="宋体" w:hAnsi="宋体" w:eastAsia="宋体" w:cs="宋体"/>
          <w:bCs/>
          <w:color w:val="auto"/>
          <w:kern w:val="0"/>
          <w:sz w:val="21"/>
          <w:szCs w:val="21"/>
          <w:highlight w:val="none"/>
          <w:lang w:val="en-US" w:eastAsia="zh-CN"/>
        </w:rPr>
        <w:t>工</w:t>
      </w:r>
      <w:r>
        <w:rPr>
          <w:rFonts w:hint="eastAsia" w:ascii="宋体" w:hAnsi="宋体" w:eastAsia="宋体" w:cs="宋体"/>
          <w:bCs/>
          <w:color w:val="auto"/>
          <w:kern w:val="0"/>
          <w:sz w:val="21"/>
          <w:szCs w:val="21"/>
          <w:highlight w:val="none"/>
        </w:rPr>
        <w:t>程完工服务承诺书</w:t>
      </w:r>
      <w:r>
        <w:rPr>
          <w:rFonts w:hint="eastAsia" w:ascii="宋体" w:hAnsi="宋体" w:eastAsia="宋体" w:cs="宋体"/>
          <w:b/>
          <w:bCs/>
          <w:color w:val="auto"/>
          <w:sz w:val="21"/>
          <w:szCs w:val="21"/>
          <w:highlight w:val="none"/>
        </w:rPr>
        <w:t>（</w:t>
      </w:r>
      <w:r>
        <w:rPr>
          <w:rFonts w:hint="eastAsia" w:ascii="宋体" w:hAnsi="宋体" w:eastAsia="宋体" w:cs="宋体"/>
          <w:b/>
          <w:bCs/>
          <w:color w:val="auto"/>
          <w:sz w:val="21"/>
          <w:szCs w:val="21"/>
          <w:highlight w:val="none"/>
          <w:lang w:eastAsia="zh-CN"/>
        </w:rPr>
        <w:t>必须提供</w:t>
      </w:r>
      <w:r>
        <w:rPr>
          <w:rFonts w:hint="eastAsia" w:ascii="宋体" w:hAnsi="宋体" w:eastAsia="宋体" w:cs="宋体"/>
          <w:b/>
          <w:bCs/>
          <w:color w:val="auto"/>
          <w:sz w:val="21"/>
          <w:szCs w:val="21"/>
          <w:highlight w:val="none"/>
        </w:rPr>
        <w:t>）</w:t>
      </w:r>
      <w:r>
        <w:rPr>
          <w:rFonts w:hint="eastAsia" w:ascii="宋体" w:hAnsi="宋体" w:eastAsia="宋体" w:cs="宋体"/>
          <w:color w:val="auto"/>
          <w:sz w:val="21"/>
          <w:szCs w:val="21"/>
          <w:highlight w:val="none"/>
          <w:lang w:eastAsia="zh-CN"/>
        </w:rPr>
        <w:t>；</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w:t>
      </w:r>
      <w:r>
        <w:rPr>
          <w:rFonts w:hint="eastAsia" w:ascii="宋体" w:hAnsi="宋体" w:eastAsia="宋体" w:cs="宋体"/>
          <w:bCs/>
          <w:color w:val="auto"/>
          <w:kern w:val="0"/>
          <w:sz w:val="21"/>
          <w:szCs w:val="21"/>
          <w:highlight w:val="none"/>
        </w:rPr>
        <w:t>农民工工资保障金交纳与使用承诺书</w:t>
      </w:r>
      <w:r>
        <w:rPr>
          <w:rFonts w:hint="eastAsia" w:ascii="宋体" w:hAnsi="宋体" w:eastAsia="宋体" w:cs="宋体"/>
          <w:b/>
          <w:bCs/>
          <w:color w:val="auto"/>
          <w:sz w:val="21"/>
          <w:szCs w:val="21"/>
          <w:highlight w:val="none"/>
        </w:rPr>
        <w:t>（</w:t>
      </w:r>
      <w:r>
        <w:rPr>
          <w:rFonts w:hint="eastAsia" w:ascii="宋体" w:hAnsi="宋体" w:eastAsia="宋体" w:cs="宋体"/>
          <w:b/>
          <w:bCs/>
          <w:color w:val="auto"/>
          <w:sz w:val="21"/>
          <w:szCs w:val="21"/>
          <w:highlight w:val="none"/>
          <w:lang w:eastAsia="zh-CN"/>
        </w:rPr>
        <w:t>必须提供</w:t>
      </w:r>
      <w:r>
        <w:rPr>
          <w:rFonts w:hint="eastAsia" w:ascii="宋体" w:hAnsi="宋体" w:eastAsia="宋体" w:cs="宋体"/>
          <w:b/>
          <w:bCs/>
          <w:color w:val="auto"/>
          <w:sz w:val="21"/>
          <w:szCs w:val="21"/>
          <w:highlight w:val="none"/>
        </w:rPr>
        <w:t>）</w:t>
      </w:r>
      <w:r>
        <w:rPr>
          <w:rFonts w:hint="eastAsia" w:ascii="宋体" w:hAnsi="宋体" w:eastAsia="宋体" w:cs="宋体"/>
          <w:color w:val="auto"/>
          <w:sz w:val="21"/>
          <w:szCs w:val="21"/>
          <w:highlight w:val="none"/>
          <w:lang w:eastAsia="zh-CN"/>
        </w:rPr>
        <w:t>；</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w:t>
      </w:r>
      <w:r>
        <w:rPr>
          <w:rFonts w:hint="eastAsia" w:ascii="宋体" w:hAnsi="宋体" w:eastAsia="宋体" w:cs="宋体"/>
          <w:bCs/>
          <w:color w:val="auto"/>
          <w:kern w:val="0"/>
          <w:sz w:val="21"/>
          <w:szCs w:val="21"/>
          <w:highlight w:val="none"/>
          <w:lang w:val="en-US" w:eastAsia="zh-CN"/>
        </w:rPr>
        <w:t>9</w:t>
      </w:r>
      <w:r>
        <w:rPr>
          <w:rFonts w:hint="eastAsia" w:ascii="宋体" w:hAnsi="宋体" w:eastAsia="宋体" w:cs="宋体"/>
          <w:bCs/>
          <w:color w:val="auto"/>
          <w:kern w:val="0"/>
          <w:sz w:val="21"/>
          <w:szCs w:val="21"/>
          <w:highlight w:val="none"/>
        </w:rPr>
        <w:t>）城乡清洁工程渣土清运承诺书</w:t>
      </w:r>
      <w:r>
        <w:rPr>
          <w:rFonts w:hint="eastAsia" w:ascii="宋体" w:hAnsi="宋体" w:eastAsia="宋体" w:cs="宋体"/>
          <w:b/>
          <w:bCs/>
          <w:color w:val="auto"/>
          <w:sz w:val="21"/>
          <w:szCs w:val="21"/>
          <w:highlight w:val="none"/>
        </w:rPr>
        <w:t>（</w:t>
      </w:r>
      <w:r>
        <w:rPr>
          <w:rFonts w:hint="eastAsia" w:ascii="宋体" w:hAnsi="宋体" w:eastAsia="宋体" w:cs="宋体"/>
          <w:b/>
          <w:bCs/>
          <w:color w:val="auto"/>
          <w:sz w:val="21"/>
          <w:szCs w:val="21"/>
          <w:highlight w:val="none"/>
          <w:lang w:eastAsia="zh-CN"/>
        </w:rPr>
        <w:t>必须提供</w:t>
      </w:r>
      <w:r>
        <w:rPr>
          <w:rFonts w:hint="eastAsia" w:ascii="宋体" w:hAnsi="宋体" w:eastAsia="宋体" w:cs="宋体"/>
          <w:b/>
          <w:bCs/>
          <w:color w:val="auto"/>
          <w:sz w:val="21"/>
          <w:szCs w:val="21"/>
          <w:highlight w:val="none"/>
        </w:rPr>
        <w:t>）</w:t>
      </w:r>
      <w:r>
        <w:rPr>
          <w:rFonts w:hint="eastAsia" w:ascii="宋体" w:hAnsi="宋体" w:eastAsia="宋体" w:cs="宋体"/>
          <w:bCs/>
          <w:color w:val="auto"/>
          <w:kern w:val="0"/>
          <w:sz w:val="21"/>
          <w:szCs w:val="21"/>
          <w:highlight w:val="none"/>
          <w:lang w:eastAsia="zh-CN"/>
        </w:rPr>
        <w:t>。</w:t>
      </w:r>
    </w:p>
    <w:p>
      <w:pPr>
        <w:pStyle w:val="18"/>
        <w:pageBreakBefore w:val="0"/>
        <w:widowControl w:val="0"/>
        <w:kinsoku/>
        <w:wordWrap/>
        <w:overflowPunct/>
        <w:topLinePunct w:val="0"/>
        <w:bidi w:val="0"/>
        <w:snapToGrid/>
        <w:spacing w:line="380" w:lineRule="exact"/>
        <w:ind w:left="0" w:leftChars="0" w:firstLine="422"/>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11.</w:t>
      </w:r>
      <w:r>
        <w:rPr>
          <w:rFonts w:hint="eastAsia" w:ascii="宋体" w:hAnsi="宋体" w:eastAsia="宋体" w:cs="宋体"/>
          <w:b/>
          <w:bCs/>
          <w:color w:val="auto"/>
          <w:sz w:val="21"/>
          <w:szCs w:val="21"/>
          <w:highlight w:val="none"/>
          <w:lang w:val="en-US" w:eastAsia="zh-CN"/>
        </w:rPr>
        <w:t>2</w:t>
      </w:r>
      <w:r>
        <w:rPr>
          <w:rFonts w:hint="eastAsia" w:ascii="宋体" w:hAnsi="宋体" w:eastAsia="宋体" w:cs="宋体"/>
          <w:b/>
          <w:bCs/>
          <w:color w:val="auto"/>
          <w:sz w:val="21"/>
          <w:szCs w:val="21"/>
          <w:highlight w:val="none"/>
        </w:rPr>
        <w:t>.</w:t>
      </w:r>
      <w:r>
        <w:rPr>
          <w:rFonts w:hint="eastAsia" w:ascii="宋体" w:hAnsi="宋体" w:eastAsia="宋体" w:cs="宋体"/>
          <w:b/>
          <w:bCs/>
          <w:color w:val="auto"/>
          <w:sz w:val="21"/>
          <w:szCs w:val="21"/>
          <w:highlight w:val="none"/>
          <w:lang w:val="en-US" w:eastAsia="zh-CN"/>
        </w:rPr>
        <w:t>1.3</w:t>
      </w:r>
      <w:r>
        <w:rPr>
          <w:rFonts w:hint="eastAsia" w:ascii="宋体" w:hAnsi="宋体" w:eastAsia="宋体" w:cs="宋体"/>
          <w:b/>
          <w:bCs/>
          <w:color w:val="auto"/>
          <w:sz w:val="21"/>
          <w:szCs w:val="21"/>
          <w:highlight w:val="none"/>
        </w:rPr>
        <w:t>其他有效证明材料</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lang w:eastAsia="zh-CN"/>
        </w:rPr>
        <w:t>20</w:t>
      </w:r>
      <w:r>
        <w:rPr>
          <w:rFonts w:hint="eastAsia" w:ascii="宋体" w:hAnsi="宋体" w:eastAsia="宋体" w:cs="宋体"/>
          <w:color w:val="auto"/>
          <w:sz w:val="21"/>
          <w:szCs w:val="21"/>
          <w:highlight w:val="none"/>
          <w:lang w:val="en-US" w:eastAsia="zh-CN"/>
        </w:rPr>
        <w:t>2</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年1月1日</w:t>
      </w:r>
      <w:r>
        <w:rPr>
          <w:rFonts w:hint="eastAsia" w:ascii="宋体" w:hAnsi="宋体" w:eastAsia="宋体" w:cs="宋体"/>
          <w:color w:val="auto"/>
          <w:sz w:val="21"/>
          <w:szCs w:val="21"/>
          <w:highlight w:val="none"/>
          <w:lang w:eastAsia="zh-CN"/>
        </w:rPr>
        <w:t>以来具有与本工程同类项目</w:t>
      </w:r>
      <w:r>
        <w:rPr>
          <w:rFonts w:hint="eastAsia" w:ascii="宋体" w:hAnsi="宋体" w:eastAsia="宋体" w:cs="宋体"/>
          <w:color w:val="auto"/>
          <w:sz w:val="21"/>
          <w:szCs w:val="21"/>
          <w:highlight w:val="none"/>
        </w:rPr>
        <w:t>业绩相关证明材料（无不良记录，以中标、成交通知书或签订的合同</w:t>
      </w:r>
      <w:r>
        <w:rPr>
          <w:rFonts w:hint="eastAsia" w:ascii="宋体" w:hAnsi="宋体" w:cs="宋体"/>
          <w:color w:val="auto"/>
          <w:sz w:val="21"/>
          <w:szCs w:val="21"/>
          <w:highlight w:val="none"/>
          <w:lang w:eastAsia="zh-CN"/>
        </w:rPr>
        <w:t>复印件</w:t>
      </w:r>
      <w:r>
        <w:rPr>
          <w:rFonts w:hint="eastAsia" w:ascii="宋体" w:hAnsi="宋体" w:eastAsia="宋体" w:cs="宋体"/>
          <w:color w:val="auto"/>
          <w:sz w:val="21"/>
          <w:szCs w:val="21"/>
          <w:highlight w:val="none"/>
        </w:rPr>
        <w:t>为准，并能清晰反映</w:t>
      </w:r>
      <w:r>
        <w:rPr>
          <w:rFonts w:hint="eastAsia" w:ascii="宋体" w:hAnsi="宋体" w:eastAsia="宋体" w:cs="宋体"/>
          <w:color w:val="auto"/>
          <w:sz w:val="21"/>
          <w:szCs w:val="21"/>
          <w:highlight w:val="none"/>
          <w:lang w:eastAsia="zh-CN"/>
        </w:rPr>
        <w:t>项目</w:t>
      </w:r>
      <w:r>
        <w:rPr>
          <w:rFonts w:hint="eastAsia" w:ascii="宋体" w:hAnsi="宋体" w:eastAsia="宋体" w:cs="宋体"/>
          <w:color w:val="auto"/>
          <w:sz w:val="21"/>
          <w:szCs w:val="21"/>
          <w:highlight w:val="none"/>
        </w:rPr>
        <w:t>的名称、</w:t>
      </w:r>
      <w:r>
        <w:rPr>
          <w:rFonts w:hint="eastAsia" w:ascii="宋体" w:hAnsi="宋体" w:eastAsia="宋体" w:cs="宋体"/>
          <w:color w:val="auto"/>
          <w:sz w:val="21"/>
          <w:szCs w:val="21"/>
          <w:highlight w:val="none"/>
          <w:lang w:eastAsia="zh-CN"/>
        </w:rPr>
        <w:t>采购内容</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采购</w:t>
      </w:r>
      <w:r>
        <w:rPr>
          <w:rFonts w:hint="eastAsia" w:ascii="宋体" w:hAnsi="宋体" w:eastAsia="宋体" w:cs="宋体"/>
          <w:color w:val="auto"/>
          <w:sz w:val="21"/>
          <w:szCs w:val="21"/>
          <w:highlight w:val="none"/>
        </w:rPr>
        <w:t>金额</w:t>
      </w:r>
      <w:r>
        <w:rPr>
          <w:rFonts w:hint="eastAsia" w:ascii="宋体" w:hAnsi="宋体" w:eastAsia="宋体" w:cs="宋体"/>
          <w:color w:val="auto"/>
          <w:sz w:val="21"/>
          <w:szCs w:val="21"/>
          <w:highlight w:val="none"/>
          <w:lang w:eastAsia="zh-CN"/>
        </w:rPr>
        <w:t>、采购时间</w:t>
      </w:r>
      <w:r>
        <w:rPr>
          <w:rFonts w:hint="eastAsia" w:ascii="宋体" w:hAnsi="宋体" w:eastAsia="宋体" w:cs="宋体"/>
          <w:color w:val="auto"/>
          <w:sz w:val="21"/>
          <w:szCs w:val="21"/>
          <w:highlight w:val="none"/>
        </w:rPr>
        <w:t>）</w:t>
      </w:r>
      <w:r>
        <w:rPr>
          <w:rFonts w:hint="eastAsia" w:ascii="宋体" w:hAnsi="宋体" w:eastAsia="宋体" w:cs="宋体"/>
          <w:b/>
          <w:bCs/>
          <w:color w:val="auto"/>
          <w:sz w:val="21"/>
          <w:szCs w:val="21"/>
          <w:highlight w:val="none"/>
        </w:rPr>
        <w:t>（如有，请提供）；</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）供应商可结合本项目的评审办法视自身情况自行提交其它相关证明材料。</w:t>
      </w:r>
    </w:p>
    <w:p>
      <w:pPr>
        <w:pageBreakBefore w:val="0"/>
        <w:widowControl w:val="0"/>
        <w:kinsoku/>
        <w:wordWrap/>
        <w:overflowPunct/>
        <w:topLinePunct w:val="0"/>
        <w:bidi w:val="0"/>
        <w:snapToGrid/>
        <w:spacing w:line="380" w:lineRule="exact"/>
        <w:ind w:left="0" w:leftChars="0" w:firstLine="420"/>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供应商提供的以上相关证明材料属于“必须提供”的文件应加盖</w:t>
      </w:r>
      <w:r>
        <w:rPr>
          <w:rFonts w:hint="eastAsia" w:ascii="宋体" w:hAnsi="宋体" w:eastAsia="宋体" w:cs="宋体"/>
          <w:b/>
          <w:bCs/>
          <w:color w:val="auto"/>
          <w:sz w:val="21"/>
          <w:szCs w:val="21"/>
          <w:highlight w:val="none"/>
          <w:lang w:eastAsia="zh-CN"/>
        </w:rPr>
        <w:t>磋商供应商</w:t>
      </w:r>
      <w:r>
        <w:rPr>
          <w:rFonts w:hint="eastAsia" w:ascii="宋体" w:hAnsi="宋体" w:eastAsia="宋体" w:cs="宋体"/>
          <w:b/>
          <w:bCs/>
          <w:color w:val="auto"/>
          <w:sz w:val="21"/>
          <w:szCs w:val="21"/>
          <w:highlight w:val="none"/>
        </w:rPr>
        <w:t>CA签章，否则</w:t>
      </w:r>
      <w:r>
        <w:rPr>
          <w:rFonts w:hint="eastAsia" w:ascii="宋体" w:hAnsi="宋体" w:eastAsia="宋体" w:cs="宋体"/>
          <w:b/>
          <w:bCs/>
          <w:color w:val="auto"/>
          <w:sz w:val="21"/>
          <w:szCs w:val="21"/>
          <w:highlight w:val="none"/>
          <w:lang w:val="en-US" w:eastAsia="zh-CN"/>
        </w:rPr>
        <w:t>响应</w:t>
      </w:r>
      <w:r>
        <w:rPr>
          <w:rFonts w:hint="eastAsia" w:ascii="宋体" w:hAnsi="宋体" w:eastAsia="宋体" w:cs="宋体"/>
          <w:b/>
          <w:bCs/>
          <w:color w:val="auto"/>
          <w:sz w:val="21"/>
          <w:szCs w:val="21"/>
          <w:highlight w:val="none"/>
        </w:rPr>
        <w:t>无效。</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w:t>
      </w:r>
      <w:r>
        <w:rPr>
          <w:rFonts w:hint="eastAsia" w:ascii="宋体" w:hAnsi="宋体" w:eastAsia="宋体" w:cs="宋体"/>
          <w:color w:val="auto"/>
          <w:sz w:val="21"/>
          <w:szCs w:val="21"/>
          <w:highlight w:val="none"/>
          <w:lang w:val="en-US" w:eastAsia="zh-CN"/>
        </w:rPr>
        <w:t xml:space="preserve">3 </w:t>
      </w:r>
      <w:r>
        <w:rPr>
          <w:rFonts w:hint="eastAsia" w:ascii="宋体" w:hAnsi="宋体" w:eastAsia="宋体" w:cs="宋体"/>
          <w:color w:val="auto"/>
          <w:sz w:val="21"/>
          <w:szCs w:val="21"/>
          <w:highlight w:val="none"/>
        </w:rPr>
        <w:t>供应商应按竞争性磋商文件第六章“响应文件（格式）”编制响应文件。</w:t>
      </w:r>
    </w:p>
    <w:p>
      <w:pPr>
        <w:pageBreakBefore w:val="0"/>
        <w:widowControl w:val="0"/>
        <w:kinsoku/>
        <w:wordWrap/>
        <w:overflowPunct/>
        <w:topLinePunct w:val="0"/>
        <w:bidi w:val="0"/>
        <w:snapToGrid/>
        <w:spacing w:line="380" w:lineRule="exact"/>
        <w:ind w:left="0" w:leftChars="0" w:firstLine="422" w:firstLineChars="20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特别说明：</w:t>
      </w:r>
    </w:p>
    <w:p>
      <w:pPr>
        <w:pageBreakBefore w:val="0"/>
        <w:widowControl w:val="0"/>
        <w:kinsoku/>
        <w:wordWrap/>
        <w:overflowPunct/>
        <w:topLinePunct w:val="0"/>
        <w:bidi w:val="0"/>
        <w:snapToGrid/>
        <w:spacing w:line="380" w:lineRule="exact"/>
        <w:ind w:left="0" w:leftChars="0" w:firstLine="422" w:firstLineChars="200"/>
        <w:textAlignment w:val="auto"/>
        <w:rPr>
          <w:rFonts w:hint="eastAsia" w:ascii="宋体" w:hAnsi="宋体" w:eastAsia="宋体" w:cs="宋体"/>
          <w:b/>
          <w:color w:val="auto"/>
          <w:sz w:val="21"/>
          <w:szCs w:val="21"/>
          <w:highlight w:val="none"/>
        </w:rPr>
      </w:pPr>
      <w:r>
        <w:rPr>
          <w:rFonts w:hint="eastAsia" w:ascii="宋体" w:hAnsi="宋体" w:eastAsia="宋体" w:cs="宋体"/>
          <w:b/>
          <w:bCs/>
          <w:color w:val="auto"/>
          <w:sz w:val="21"/>
          <w:szCs w:val="21"/>
          <w:highlight w:val="none"/>
        </w:rPr>
        <w:t>（1）响</w:t>
      </w:r>
      <w:r>
        <w:rPr>
          <w:rFonts w:hint="eastAsia" w:ascii="宋体" w:hAnsi="宋体" w:eastAsia="宋体" w:cs="宋体"/>
          <w:b/>
          <w:color w:val="auto"/>
          <w:sz w:val="21"/>
          <w:szCs w:val="21"/>
          <w:highlight w:val="none"/>
        </w:rPr>
        <w:t>应文件（电子响应文件），其中电子响应文件中所须加盖公章部分均采用CA签章。若磋商文件中有专门标注的某关联点，并要求供应商在电子</w:t>
      </w:r>
      <w:r>
        <w:rPr>
          <w:rFonts w:hint="eastAsia" w:ascii="宋体" w:hAnsi="宋体" w:eastAsia="宋体" w:cs="宋体"/>
          <w:b/>
          <w:color w:val="auto"/>
          <w:sz w:val="21"/>
          <w:szCs w:val="21"/>
          <w:highlight w:val="none"/>
          <w:lang w:eastAsia="zh-CN"/>
        </w:rPr>
        <w:t>响应</w:t>
      </w:r>
      <w:r>
        <w:rPr>
          <w:rFonts w:hint="eastAsia" w:ascii="宋体" w:hAnsi="宋体" w:eastAsia="宋体" w:cs="宋体"/>
          <w:b/>
          <w:color w:val="auto"/>
          <w:sz w:val="21"/>
          <w:szCs w:val="21"/>
          <w:highlight w:val="none"/>
        </w:rPr>
        <w:t>系统中作出磋商响应的，如供应商未对关联点进行响应或者在响应文件其它内容进行描述，造成电子评审不能查询的责任由供应商自行承担。</w:t>
      </w:r>
    </w:p>
    <w:p>
      <w:pPr>
        <w:pageBreakBefore w:val="0"/>
        <w:widowControl w:val="0"/>
        <w:numPr>
          <w:ilvl w:val="0"/>
          <w:numId w:val="0"/>
        </w:numPr>
        <w:kinsoku/>
        <w:wordWrap/>
        <w:overflowPunct/>
        <w:topLinePunct w:val="0"/>
        <w:bidi w:val="0"/>
        <w:snapToGrid/>
        <w:spacing w:line="380" w:lineRule="exact"/>
        <w:ind w:left="0" w:leftChars="0" w:firstLine="422" w:firstLineChars="20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kern w:val="2"/>
          <w:sz w:val="21"/>
          <w:szCs w:val="21"/>
          <w:highlight w:val="none"/>
          <w:lang w:val="en-US" w:eastAsia="zh-CN" w:bidi="ar-SA"/>
        </w:rPr>
        <w:t>（2）</w:t>
      </w:r>
      <w:r>
        <w:rPr>
          <w:rFonts w:hint="eastAsia" w:ascii="宋体" w:hAnsi="宋体" w:eastAsia="宋体" w:cs="宋体"/>
          <w:b/>
          <w:bCs/>
          <w:color w:val="auto"/>
          <w:sz w:val="21"/>
          <w:szCs w:val="21"/>
          <w:highlight w:val="none"/>
          <w:lang w:eastAsia="zh-CN"/>
        </w:rPr>
        <w:t>磋商文件</w:t>
      </w:r>
      <w:r>
        <w:rPr>
          <w:rFonts w:hint="eastAsia" w:ascii="宋体" w:hAnsi="宋体" w:eastAsia="宋体" w:cs="宋体"/>
          <w:b/>
          <w:bCs/>
          <w:color w:val="auto"/>
          <w:sz w:val="21"/>
          <w:szCs w:val="21"/>
          <w:highlight w:val="none"/>
        </w:rPr>
        <w:t>要求法定代表人（负责人）或委托代理人签字的部分必须签字然后扫描或者拍照做成 pdf 格式上传</w:t>
      </w:r>
      <w:r>
        <w:rPr>
          <w:rFonts w:hint="eastAsia" w:ascii="宋体" w:hAnsi="宋体" w:eastAsia="宋体" w:cs="宋体"/>
          <w:b/>
          <w:bCs/>
          <w:color w:val="auto"/>
          <w:sz w:val="21"/>
          <w:szCs w:val="21"/>
          <w:highlight w:val="none"/>
          <w:lang w:eastAsia="zh-CN"/>
        </w:rPr>
        <w:t>（或加盖个人</w:t>
      </w:r>
      <w:r>
        <w:rPr>
          <w:rFonts w:hint="eastAsia" w:ascii="宋体" w:hAnsi="宋体" w:eastAsia="宋体" w:cs="宋体"/>
          <w:b/>
          <w:bCs/>
          <w:color w:val="auto"/>
          <w:sz w:val="21"/>
          <w:szCs w:val="21"/>
          <w:highlight w:val="none"/>
          <w:lang w:val="en-US" w:eastAsia="zh-CN"/>
        </w:rPr>
        <w:t>CA签章</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，无签字的视为</w:t>
      </w:r>
      <w:r>
        <w:rPr>
          <w:rFonts w:hint="eastAsia" w:ascii="宋体" w:hAnsi="宋体" w:eastAsia="宋体" w:cs="宋体"/>
          <w:b/>
          <w:bCs/>
          <w:color w:val="auto"/>
          <w:sz w:val="21"/>
          <w:szCs w:val="21"/>
          <w:highlight w:val="none"/>
          <w:lang w:val="en-US" w:eastAsia="zh-CN"/>
        </w:rPr>
        <w:t>响应</w:t>
      </w:r>
      <w:r>
        <w:rPr>
          <w:rFonts w:hint="eastAsia" w:ascii="宋体" w:hAnsi="宋体" w:eastAsia="宋体" w:cs="宋体"/>
          <w:b/>
          <w:bCs/>
          <w:color w:val="auto"/>
          <w:sz w:val="21"/>
          <w:szCs w:val="21"/>
          <w:highlight w:val="none"/>
        </w:rPr>
        <w:t>无效。</w:t>
      </w:r>
    </w:p>
    <w:p>
      <w:pPr>
        <w:pStyle w:val="4"/>
        <w:pageBreakBefore w:val="0"/>
        <w:widowControl w:val="0"/>
        <w:kinsoku/>
        <w:wordWrap/>
        <w:overflowPunct/>
        <w:topLinePunct w:val="0"/>
        <w:bidi w:val="0"/>
        <w:snapToGrid/>
        <w:spacing w:before="0" w:after="0" w:line="380" w:lineRule="exact"/>
        <w:ind w:left="0" w:leftChars="0" w:firstLine="422" w:firstLineChars="200"/>
        <w:textAlignment w:val="auto"/>
        <w:rPr>
          <w:rFonts w:hint="eastAsia" w:ascii="宋体" w:hAnsi="宋体" w:eastAsia="宋体" w:cs="宋体"/>
          <w:color w:val="auto"/>
          <w:sz w:val="21"/>
          <w:szCs w:val="21"/>
          <w:highlight w:val="none"/>
        </w:rPr>
      </w:pPr>
      <w:bookmarkStart w:id="82" w:name="_Toc2180"/>
      <w:bookmarkStart w:id="83" w:name="_Toc13660"/>
      <w:r>
        <w:rPr>
          <w:rFonts w:hint="eastAsia" w:ascii="宋体" w:hAnsi="宋体" w:eastAsia="宋体" w:cs="宋体"/>
          <w:color w:val="auto"/>
          <w:sz w:val="21"/>
          <w:szCs w:val="21"/>
          <w:highlight w:val="none"/>
        </w:rPr>
        <w:t>12. 响应文件的语言及计量</w:t>
      </w:r>
      <w:bookmarkEnd w:id="82"/>
      <w:bookmarkEnd w:id="83"/>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12.1 响应文件以及供应商与采购代理机构就有关磋商事宜的所有来往函电，均应以中文汉语书写。供应商提交的支持文件和印刷的文献可以使用别的语言，但其相应内容必须附有中文翻译文本，在解释响应文件时以中文翻译文本为主。</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12.2 磋商计量单位，磋商文件已有明确规定的，使用磋商文件规定的计量单位；磋商文件没有规定的，应采用中华人民共和国法定计量单位（货币单位：人民币元），否则视同未响应。</w:t>
      </w:r>
    </w:p>
    <w:p>
      <w:pPr>
        <w:pStyle w:val="4"/>
        <w:pageBreakBefore w:val="0"/>
        <w:widowControl w:val="0"/>
        <w:kinsoku/>
        <w:wordWrap/>
        <w:overflowPunct/>
        <w:topLinePunct w:val="0"/>
        <w:bidi w:val="0"/>
        <w:snapToGrid/>
        <w:spacing w:before="0" w:after="0" w:line="380" w:lineRule="exact"/>
        <w:ind w:left="0" w:leftChars="0" w:firstLine="422" w:firstLineChars="200"/>
        <w:textAlignment w:val="auto"/>
        <w:rPr>
          <w:rFonts w:hint="eastAsia" w:ascii="宋体" w:hAnsi="宋体" w:eastAsia="宋体" w:cs="宋体"/>
          <w:color w:val="auto"/>
          <w:sz w:val="21"/>
          <w:szCs w:val="21"/>
          <w:highlight w:val="none"/>
        </w:rPr>
      </w:pPr>
      <w:bookmarkStart w:id="84" w:name="_Toc3058"/>
      <w:bookmarkStart w:id="85" w:name="_Toc10838"/>
      <w:r>
        <w:rPr>
          <w:rFonts w:hint="eastAsia" w:ascii="宋体" w:hAnsi="宋体" w:eastAsia="宋体" w:cs="宋体"/>
          <w:color w:val="auto"/>
          <w:sz w:val="21"/>
          <w:szCs w:val="21"/>
          <w:highlight w:val="none"/>
        </w:rPr>
        <w:t>13. 磋商报价及采购预算金额</w:t>
      </w:r>
      <w:bookmarkEnd w:id="84"/>
      <w:bookmarkEnd w:id="85"/>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13.1、磋商总报价应按采购文件中相关附表格式填写。</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13.2、磋商供应商必须就磋商文件所有内容作完整唯一报价，否则，其磋商将被拒绝。响应文件只允许有一个报价，有选择的或有条件的报价将不予接受。</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13.3、磋商总报价包括本项目采购范围内一切服务价款的总和；供应商综合考虑在报价中。</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13.4、响应文件中磋商总报价的大写金额和小写金额不一致的，以大写金额为准；总价金额与按单价汇总金额不一致的，以单价金额计算结果为准；单价金额小数点明显错位的，应以总价为准，并修改单价；对不同文字文本响应文件的解释发生异议的，以中文文本为准。</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按上述勘误修正原则及方法调整或修正响应文件的磋商报价，供应商需签字确认。</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13.5、未书面退出磋商的供应商在规定时间内提交最后报价，其最后报价超出采购预算金额导致已通过评审的响应文件无效的，按供应商在提交响应文件截止时间后撤回响应文件处理。</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13.6、最后磋商总报价超出本项目采购预算总金额的将被视为无效磋商。</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13.7、磋商总报价应包括本次采购范围内提供的服务、技术费、人工费、保险、税金、培训、版权费等全部费用，磋商供应商综合考虑在报价中。</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13.8、工程量清单报价表中所报的单价和合价，以及报价汇总表中的价格应包括施工设备（含脚手架）、主要材料、辅助材料、安装（如工程量清单中未列所安装设备则包含所安装设备的采购）、垃圾清运、劳务、管理、维护、保险、利润、增值税、政策性文件规定及合同包含的所有风险、责任等各项应有费用。</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13.9、磋商供应商应按磋商文件提供的工程量清单计算工程项目的综合单价和合价。清单中的每一项均需计算填写综合单价和合价，磋商供应商没有填写综合单价和合价的项目将不予支付，并认为此项费用已包括在清单的其他综合单价和合价中。磋商供应商在清单中多报的细目或单价、合价或总额价发包人将不予支持。</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13.10、磋商供应商应对磋商文件中清单所列的各项内容和要求作实质性响应。</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eastAsia="zh-CN"/>
        </w:rPr>
        <w:t>13.11、磋商供应商应采用综合单价对工程量清单进行磋商，不得采用总价让利或以百分比让利等形式进行磋商。</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13.</w:t>
      </w:r>
      <w:r>
        <w:rPr>
          <w:rFonts w:hint="eastAsia" w:ascii="宋体" w:hAnsi="宋体" w:eastAsia="宋体" w:cs="宋体"/>
          <w:color w:val="auto"/>
          <w:sz w:val="21"/>
          <w:szCs w:val="21"/>
          <w:highlight w:val="none"/>
          <w:lang w:val="en-US" w:eastAsia="zh-CN"/>
        </w:rPr>
        <w:t>12</w:t>
      </w:r>
      <w:r>
        <w:rPr>
          <w:rFonts w:hint="eastAsia" w:ascii="宋体" w:hAnsi="宋体" w:eastAsia="宋体" w:cs="宋体"/>
          <w:color w:val="auto"/>
          <w:sz w:val="21"/>
          <w:szCs w:val="21"/>
          <w:highlight w:val="none"/>
        </w:rPr>
        <w:t>供应商应在规定时间内在政采云系统上提交最后报价，超出</w:t>
      </w:r>
      <w:r>
        <w:rPr>
          <w:rFonts w:hint="eastAsia" w:ascii="宋体" w:hAnsi="宋体" w:eastAsia="宋体" w:cs="宋体"/>
          <w:color w:val="auto"/>
          <w:sz w:val="21"/>
          <w:szCs w:val="21"/>
          <w:highlight w:val="none"/>
          <w:lang w:eastAsia="zh-CN"/>
        </w:rPr>
        <w:t>磋商小组</w:t>
      </w:r>
      <w:r>
        <w:rPr>
          <w:rFonts w:hint="eastAsia" w:ascii="宋体" w:hAnsi="宋体" w:eastAsia="宋体" w:cs="宋体"/>
          <w:color w:val="auto"/>
          <w:sz w:val="21"/>
          <w:szCs w:val="21"/>
          <w:highlight w:val="none"/>
        </w:rPr>
        <w:t>设定的最后报价时限或其最后报价超出采购预算导致已通过评审的响应文件无效的，按供应商在提交响应文件截止时间后撤回响应文件处理。</w:t>
      </w:r>
    </w:p>
    <w:p>
      <w:pPr>
        <w:pStyle w:val="4"/>
        <w:pageBreakBefore w:val="0"/>
        <w:widowControl w:val="0"/>
        <w:kinsoku/>
        <w:wordWrap/>
        <w:overflowPunct/>
        <w:topLinePunct w:val="0"/>
        <w:bidi w:val="0"/>
        <w:snapToGrid/>
        <w:spacing w:before="0" w:after="0" w:line="380" w:lineRule="exact"/>
        <w:ind w:left="0" w:leftChars="0" w:firstLine="422" w:firstLineChars="200"/>
        <w:textAlignment w:val="auto"/>
        <w:rPr>
          <w:rFonts w:hint="eastAsia" w:ascii="宋体" w:hAnsi="宋体" w:eastAsia="宋体" w:cs="宋体"/>
          <w:color w:val="auto"/>
          <w:sz w:val="21"/>
          <w:szCs w:val="21"/>
          <w:highlight w:val="none"/>
        </w:rPr>
      </w:pPr>
      <w:bookmarkStart w:id="86" w:name="_Toc30554"/>
      <w:bookmarkStart w:id="87" w:name="_Toc26881"/>
      <w:r>
        <w:rPr>
          <w:rFonts w:hint="eastAsia" w:ascii="宋体" w:hAnsi="宋体" w:eastAsia="宋体" w:cs="宋体"/>
          <w:color w:val="auto"/>
          <w:sz w:val="21"/>
          <w:szCs w:val="21"/>
          <w:highlight w:val="none"/>
        </w:rPr>
        <w:t>14. 响应文件有效期</w:t>
      </w:r>
      <w:bookmarkEnd w:id="86"/>
      <w:bookmarkEnd w:id="87"/>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14.1 响应文件有效期：响应文件递交截止时间之日起90天，有效期不足的响应文件将被拒绝。</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14.2 出现特殊情况下，需要延长响应文件有效期的，采购代理机构</w:t>
      </w:r>
      <w:r>
        <w:rPr>
          <w:rFonts w:hint="eastAsia" w:ascii="宋体" w:hAnsi="宋体" w:eastAsia="宋体" w:cs="宋体"/>
          <w:color w:val="auto"/>
          <w:sz w:val="21"/>
          <w:szCs w:val="21"/>
          <w:highlight w:val="none"/>
          <w:lang w:eastAsia="zh-CN"/>
        </w:rPr>
        <w:t>书面</w:t>
      </w:r>
      <w:r>
        <w:rPr>
          <w:rFonts w:hint="eastAsia" w:ascii="宋体" w:hAnsi="宋体" w:eastAsia="宋体" w:cs="宋体"/>
          <w:color w:val="auto"/>
          <w:sz w:val="21"/>
          <w:szCs w:val="21"/>
          <w:highlight w:val="none"/>
        </w:rPr>
        <w:t>通知供应商延长响应文件有效期。供应商同意延长的，但不能修改响应文件。供应商拒绝延长的，其响应文件无效。</w:t>
      </w:r>
    </w:p>
    <w:p>
      <w:pPr>
        <w:pStyle w:val="4"/>
        <w:pageBreakBefore w:val="0"/>
        <w:widowControl w:val="0"/>
        <w:kinsoku/>
        <w:wordWrap/>
        <w:overflowPunct/>
        <w:topLinePunct w:val="0"/>
        <w:bidi w:val="0"/>
        <w:snapToGrid/>
        <w:spacing w:before="0" w:after="0" w:line="380" w:lineRule="exact"/>
        <w:ind w:left="0" w:leftChars="0" w:firstLine="422" w:firstLineChars="200"/>
        <w:textAlignment w:val="auto"/>
        <w:rPr>
          <w:rFonts w:hint="eastAsia" w:ascii="宋体" w:hAnsi="宋体" w:eastAsia="宋体" w:cs="宋体"/>
          <w:color w:val="auto"/>
          <w:sz w:val="21"/>
          <w:szCs w:val="21"/>
          <w:highlight w:val="none"/>
        </w:rPr>
      </w:pPr>
      <w:bookmarkStart w:id="88" w:name="_Toc20698"/>
      <w:bookmarkStart w:id="89" w:name="_Toc22602"/>
      <w:r>
        <w:rPr>
          <w:rFonts w:hint="eastAsia" w:ascii="宋体" w:hAnsi="宋体" w:eastAsia="宋体" w:cs="宋体"/>
          <w:color w:val="auto"/>
          <w:sz w:val="21"/>
          <w:szCs w:val="21"/>
          <w:highlight w:val="none"/>
        </w:rPr>
        <w:t>15. 保证金</w:t>
      </w:r>
      <w:bookmarkEnd w:id="88"/>
      <w:bookmarkEnd w:id="89"/>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本项目无需缴纳磋商保证金。</w:t>
      </w:r>
    </w:p>
    <w:p>
      <w:pPr>
        <w:pStyle w:val="4"/>
        <w:pageBreakBefore w:val="0"/>
        <w:widowControl w:val="0"/>
        <w:kinsoku/>
        <w:wordWrap/>
        <w:overflowPunct/>
        <w:topLinePunct w:val="0"/>
        <w:bidi w:val="0"/>
        <w:snapToGrid/>
        <w:spacing w:before="0" w:after="0" w:line="380" w:lineRule="exact"/>
        <w:ind w:left="0" w:leftChars="0" w:firstLine="422" w:firstLineChars="200"/>
        <w:textAlignment w:val="auto"/>
        <w:rPr>
          <w:rFonts w:hint="eastAsia" w:ascii="宋体" w:hAnsi="宋体" w:eastAsia="宋体" w:cs="宋体"/>
          <w:color w:val="auto"/>
          <w:sz w:val="21"/>
          <w:szCs w:val="21"/>
          <w:highlight w:val="none"/>
          <w:lang w:eastAsia="zh-CN"/>
        </w:rPr>
      </w:pPr>
      <w:bookmarkStart w:id="90" w:name="_Toc387"/>
      <w:bookmarkStart w:id="91" w:name="_Toc30118"/>
      <w:r>
        <w:rPr>
          <w:rFonts w:hint="eastAsia" w:ascii="宋体" w:hAnsi="宋体" w:eastAsia="宋体" w:cs="宋体"/>
          <w:color w:val="auto"/>
          <w:sz w:val="21"/>
          <w:szCs w:val="21"/>
          <w:highlight w:val="none"/>
        </w:rPr>
        <w:t>16. 竞争性</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响应文件的</w:t>
      </w:r>
      <w:bookmarkEnd w:id="90"/>
      <w:r>
        <w:rPr>
          <w:rFonts w:hint="eastAsia" w:ascii="宋体" w:hAnsi="宋体" w:eastAsia="宋体" w:cs="宋体"/>
          <w:color w:val="auto"/>
          <w:sz w:val="21"/>
          <w:szCs w:val="21"/>
          <w:highlight w:val="none"/>
          <w:lang w:eastAsia="zh-CN"/>
        </w:rPr>
        <w:t>制作</w:t>
      </w:r>
      <w:bookmarkEnd w:id="91"/>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16.1供应商制作电子响应文件前，应登陆“广西政府采购云平台”进行“申请获取采购文件”操作，否则，有可能导致无法在线编制响应文件并参与磋商，其不利后果由供应商自行承担。</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16.2供应商下载或获取竞争性磋商文件后，登录“广西政府采购云平台新版客户端”，按照本磋商文件规定的响应文件格式、顺序以及“广西政府采购云平台”平台的要求，通过“广西政府采购云平台新版客户端”编制电子响应文件。</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16.3 电子磋商响应文件中须加盖供应商公章部分均采用 CA 签章，并根据“政府采购项目电子交易管理操作指南-供应商”及本磋商文件规定的格式和顺序编制电子磋商响应文件并进行关联定位，以便磋商小组在评审时，点击评分项可直接定位到该评分项内容。如对磋商文件的某项要求，供应商的电子磋商响应文件未能关联定位提供相应的内容与其对应，则磋商小组在评审时如做出对供应商不利的评审由供应商自行承担。电子磋商响应文件如内容不完整、编排混乱导致磋商响应文件被误读、漏读，或者在按采购文件规定的部位查找不到相关内容的，由供应商自行承担。</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16.4供应商法人（负责人）或授权代表持有广西政府采购云平台个人CA签章的，应在响应文件中涉及到签字的位置使用个人CA签章，没有办理广西政府采购云平台个人CA签章的可在响应文件中涉及到签字的位置手写签字后扫描或者拍照做成 PDF 的格式上传即可。</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16.5 磋商响应文件不得涂改，若有修改错漏处，须法定代表人（负责人）或授权委托人签字（或个人CA签章）。磋商响应文件因字迹潦草或表达不清所引起的后果由供应商负责。</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 xml:space="preserve">16.6磋商前准备 </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 xml:space="preserve">16.6.1本项目实行在线磋商，采用电子磋商响应文件。若供应商参与磋商，自行承担磋商一切费用。 </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 xml:space="preserve">16.6.2各供应商应在截标前应确保成为广西政府采购云平台正式注册入库供应商，并完成 CA 数字证书申领和绑定。因未注册入库、未办理 CA 数字证书等原因造成无法磋商或磋商失败等后果由供应商自行承担。 </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16.6.3供应商将广西政府采购云平台新版客户端下载、安装完成后，可通过账号密码或 CA 登录客户端进行响应文件制作。客户端请至网站下载专区查看，如有问题可拨打广西政府采购云平台客户服务热线95763进行咨询。</w:t>
      </w:r>
    </w:p>
    <w:p>
      <w:pPr>
        <w:pStyle w:val="4"/>
        <w:pageBreakBefore w:val="0"/>
        <w:widowControl w:val="0"/>
        <w:kinsoku/>
        <w:wordWrap/>
        <w:overflowPunct/>
        <w:topLinePunct w:val="0"/>
        <w:bidi w:val="0"/>
        <w:snapToGrid/>
        <w:spacing w:before="0" w:after="0" w:line="380" w:lineRule="exact"/>
        <w:ind w:left="0" w:leftChars="0" w:firstLine="422" w:firstLineChars="200"/>
        <w:textAlignment w:val="auto"/>
        <w:rPr>
          <w:rFonts w:hint="eastAsia" w:ascii="宋体" w:hAnsi="宋体" w:eastAsia="宋体" w:cs="宋体"/>
          <w:color w:val="auto"/>
          <w:sz w:val="21"/>
          <w:szCs w:val="21"/>
          <w:highlight w:val="none"/>
        </w:rPr>
      </w:pPr>
      <w:bookmarkStart w:id="92" w:name="_Toc9738"/>
      <w:r>
        <w:rPr>
          <w:rFonts w:hint="eastAsia" w:ascii="宋体" w:hAnsi="宋体" w:eastAsia="宋体" w:cs="宋体"/>
          <w:color w:val="auto"/>
          <w:sz w:val="21"/>
          <w:szCs w:val="21"/>
          <w:highlight w:val="none"/>
        </w:rPr>
        <w:t>17. 响应文件的修改和撤回</w:t>
      </w:r>
      <w:bookmarkEnd w:id="92"/>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 xml:space="preserve">17.1 </w:t>
      </w:r>
      <w:r>
        <w:rPr>
          <w:rFonts w:hint="eastAsia" w:ascii="宋体" w:hAnsi="宋体" w:eastAsia="宋体" w:cs="宋体"/>
          <w:color w:val="auto"/>
          <w:sz w:val="21"/>
          <w:szCs w:val="21"/>
          <w:highlight w:val="none"/>
          <w:lang w:eastAsia="zh-CN"/>
        </w:rPr>
        <w:t>响应文件递交截止时间前可以撤回电子磋商响应文件。补充或者修改电子磋商响应文件的，应当先行撤回原文件，补充、修改后重新传输递交，磋商响应文件递交截止时间前未完成传输的，视为撤回磋商响应文件。</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17.2 在响应文件递交截止时间后的响应文件有效期内，供应商不得撤回其响应文件。</w:t>
      </w:r>
    </w:p>
    <w:p>
      <w:pPr>
        <w:pStyle w:val="4"/>
        <w:pageBreakBefore w:val="0"/>
        <w:widowControl w:val="0"/>
        <w:kinsoku/>
        <w:wordWrap/>
        <w:overflowPunct/>
        <w:topLinePunct w:val="0"/>
        <w:bidi w:val="0"/>
        <w:snapToGrid/>
        <w:spacing w:before="0" w:after="0" w:line="380" w:lineRule="exact"/>
        <w:ind w:left="0" w:leftChars="0" w:firstLine="422" w:firstLineChars="200"/>
        <w:textAlignment w:val="auto"/>
        <w:rPr>
          <w:rFonts w:hint="eastAsia" w:ascii="宋体" w:hAnsi="宋体" w:eastAsia="宋体" w:cs="宋体"/>
          <w:color w:val="auto"/>
          <w:sz w:val="21"/>
          <w:szCs w:val="21"/>
          <w:highlight w:val="none"/>
          <w:lang w:eastAsia="zh-CN"/>
        </w:rPr>
      </w:pPr>
      <w:bookmarkStart w:id="93" w:name="_Toc30156"/>
      <w:bookmarkStart w:id="94" w:name="_Toc24690"/>
      <w:r>
        <w:rPr>
          <w:rFonts w:hint="eastAsia" w:ascii="宋体" w:hAnsi="宋体" w:eastAsia="宋体" w:cs="宋体"/>
          <w:color w:val="auto"/>
          <w:sz w:val="21"/>
          <w:szCs w:val="21"/>
          <w:highlight w:val="none"/>
        </w:rPr>
        <w:t>18. 响应文件的递交</w:t>
      </w:r>
      <w:r>
        <w:rPr>
          <w:rFonts w:hint="eastAsia" w:ascii="宋体" w:hAnsi="宋体" w:eastAsia="宋体" w:cs="宋体"/>
          <w:color w:val="auto"/>
          <w:sz w:val="21"/>
          <w:szCs w:val="21"/>
          <w:highlight w:val="none"/>
          <w:lang w:eastAsia="zh-CN"/>
        </w:rPr>
        <w:t>和解密</w:t>
      </w:r>
      <w:bookmarkEnd w:id="93"/>
      <w:bookmarkEnd w:id="94"/>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18.1响应文件递交截止时间</w:t>
      </w:r>
      <w:r>
        <w:rPr>
          <w:rFonts w:hint="eastAsia" w:ascii="宋体" w:hAnsi="宋体" w:eastAsia="宋体" w:cs="宋体"/>
          <w:color w:val="auto"/>
          <w:sz w:val="21"/>
          <w:szCs w:val="21"/>
          <w:highlight w:val="none"/>
          <w:lang w:eastAsia="zh-CN"/>
        </w:rPr>
        <w:t>：于</w:t>
      </w:r>
      <w:r>
        <w:rPr>
          <w:rFonts w:hint="eastAsia" w:ascii="宋体" w:hAnsi="宋体" w:eastAsia="宋体" w:cs="宋体"/>
          <w:color w:val="auto"/>
          <w:sz w:val="21"/>
          <w:szCs w:val="21"/>
          <w:highlight w:val="none"/>
          <w:u w:val="single"/>
          <w:lang w:eastAsia="zh-CN"/>
        </w:rPr>
        <w:t>20</w:t>
      </w:r>
      <w:r>
        <w:rPr>
          <w:rFonts w:hint="eastAsia" w:ascii="宋体" w:hAnsi="宋体" w:eastAsia="宋体" w:cs="宋体"/>
          <w:color w:val="auto"/>
          <w:sz w:val="21"/>
          <w:szCs w:val="21"/>
          <w:highlight w:val="none"/>
          <w:u w:val="single"/>
          <w:lang w:val="en-US" w:eastAsia="zh-CN"/>
        </w:rPr>
        <w:t>24</w:t>
      </w:r>
      <w:r>
        <w:rPr>
          <w:rFonts w:hint="eastAsia" w:ascii="宋体" w:hAnsi="宋体" w:eastAsia="宋体" w:cs="宋体"/>
          <w:color w:val="auto"/>
          <w:sz w:val="21"/>
          <w:szCs w:val="21"/>
          <w:highlight w:val="none"/>
          <w:u w:val="single"/>
          <w:lang w:eastAsia="zh-CN"/>
        </w:rPr>
        <w:t>年</w:t>
      </w:r>
      <w:r>
        <w:rPr>
          <w:rFonts w:hint="eastAsia" w:ascii="宋体" w:hAnsi="宋体" w:cs="宋体"/>
          <w:color w:val="auto"/>
          <w:sz w:val="21"/>
          <w:szCs w:val="21"/>
          <w:highlight w:val="none"/>
          <w:u w:val="single"/>
          <w:lang w:val="en-US" w:eastAsia="zh-CN"/>
        </w:rPr>
        <w:t>5</w:t>
      </w:r>
      <w:r>
        <w:rPr>
          <w:rFonts w:hint="eastAsia" w:ascii="宋体" w:hAnsi="宋体" w:eastAsia="宋体" w:cs="宋体"/>
          <w:color w:val="auto"/>
          <w:sz w:val="21"/>
          <w:szCs w:val="21"/>
          <w:highlight w:val="none"/>
          <w:u w:val="single"/>
          <w:lang w:eastAsia="zh-CN"/>
        </w:rPr>
        <w:t>月</w:t>
      </w:r>
      <w:r>
        <w:rPr>
          <w:rFonts w:hint="eastAsia" w:ascii="宋体" w:hAnsi="宋体" w:cs="宋体"/>
          <w:color w:val="auto"/>
          <w:sz w:val="21"/>
          <w:szCs w:val="21"/>
          <w:highlight w:val="none"/>
          <w:u w:val="single"/>
          <w:lang w:val="en-US" w:eastAsia="zh-CN"/>
        </w:rPr>
        <w:t>13</w:t>
      </w:r>
      <w:r>
        <w:rPr>
          <w:rFonts w:hint="eastAsia" w:ascii="宋体" w:hAnsi="宋体" w:eastAsia="宋体" w:cs="宋体"/>
          <w:color w:val="auto"/>
          <w:sz w:val="21"/>
          <w:szCs w:val="21"/>
          <w:highlight w:val="none"/>
          <w:u w:val="single"/>
          <w:lang w:eastAsia="zh-CN"/>
        </w:rPr>
        <w:t>日</w:t>
      </w:r>
      <w:r>
        <w:rPr>
          <w:rFonts w:hint="eastAsia" w:ascii="宋体" w:hAnsi="宋体" w:eastAsia="宋体" w:cs="宋体"/>
          <w:color w:val="auto"/>
          <w:sz w:val="21"/>
          <w:szCs w:val="21"/>
          <w:highlight w:val="none"/>
          <w:u w:val="single"/>
          <w:lang w:val="en-US" w:eastAsia="zh-CN"/>
        </w:rPr>
        <w:t>9时30分</w:t>
      </w:r>
      <w:r>
        <w:rPr>
          <w:rFonts w:hint="eastAsia" w:ascii="宋体" w:hAnsi="宋体" w:eastAsia="宋体" w:cs="宋体"/>
          <w:color w:val="auto"/>
          <w:sz w:val="21"/>
          <w:szCs w:val="21"/>
          <w:highlight w:val="none"/>
          <w:u w:val="none"/>
          <w:lang w:val="en-US" w:eastAsia="zh-CN"/>
        </w:rPr>
        <w:t>之前将电子磋商响应文件上传到广西政府采购云平台。应按照本项目磋商文件和广西政府采购云平台的要求编制、加密传输磋商响应文件。供应商在使用系统进行响应的过程中遇到涉及平台使用的任何问题，可致电广西政府采购云平台技术支持热线咨询，联系方式：95763</w:t>
      </w:r>
      <w:r>
        <w:rPr>
          <w:rFonts w:hint="eastAsia" w:ascii="宋体" w:hAnsi="宋体" w:eastAsia="宋体" w:cs="宋体"/>
          <w:color w:val="auto"/>
          <w:sz w:val="21"/>
          <w:szCs w:val="21"/>
          <w:highlight w:val="none"/>
        </w:rPr>
        <w:t>。</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18.2磋商响应文件解密时间：截标时</w:t>
      </w:r>
      <w:r>
        <w:rPr>
          <w:rFonts w:hint="eastAsia" w:ascii="宋体" w:hAnsi="宋体" w:eastAsia="宋体" w:cs="宋体"/>
          <w:color w:val="auto"/>
          <w:sz w:val="21"/>
          <w:szCs w:val="21"/>
          <w:highlight w:val="none"/>
          <w:u w:val="none"/>
        </w:rPr>
        <w:t>间后30分钟内磋商供应商可以登录广西政府采购云平台，用“项目采购-开标评标”功能进行解密磋商文件。若磋商供应商在规定时间内无法解密或解密失败，可以以电子备份磋商响应文件作为依据</w:t>
      </w:r>
      <w:r>
        <w:rPr>
          <w:rFonts w:hint="eastAsia" w:ascii="宋体" w:hAnsi="宋体" w:eastAsia="宋体" w:cs="宋体"/>
          <w:b/>
          <w:bCs/>
          <w:color w:val="auto"/>
          <w:sz w:val="21"/>
          <w:szCs w:val="21"/>
          <w:highlight w:val="none"/>
          <w:u w:val="none"/>
        </w:rPr>
        <w:t>【在接到无法解密或解密失败的通知后，磋商供应商可根据自身实际情况按通知时要求的时间到桂林市公共资源交易</w:t>
      </w:r>
      <w:r>
        <w:rPr>
          <w:rFonts w:hint="eastAsia" w:ascii="宋体" w:hAnsi="宋体" w:eastAsia="宋体" w:cs="宋体"/>
          <w:b/>
          <w:bCs/>
          <w:color w:val="auto"/>
          <w:sz w:val="21"/>
          <w:szCs w:val="21"/>
          <w:highlight w:val="none"/>
          <w:u w:val="none"/>
        </w:rPr>
        <w:t>中心</w:t>
      </w:r>
      <w:r>
        <w:rPr>
          <w:rFonts w:hint="eastAsia" w:ascii="宋体" w:hAnsi="宋体" w:eastAsia="宋体" w:cs="宋体"/>
          <w:b/>
          <w:bCs/>
          <w:color w:val="auto"/>
          <w:sz w:val="21"/>
          <w:szCs w:val="21"/>
          <w:highlight w:val="none"/>
          <w:u w:val="single"/>
          <w:lang w:val="en-US" w:eastAsia="zh-CN"/>
        </w:rPr>
        <w:t xml:space="preserve"> </w:t>
      </w:r>
      <w:r>
        <w:rPr>
          <w:rFonts w:hint="eastAsia" w:ascii="宋体" w:hAnsi="宋体" w:cs="宋体"/>
          <w:b/>
          <w:bCs/>
          <w:color w:val="auto"/>
          <w:sz w:val="21"/>
          <w:szCs w:val="21"/>
          <w:highlight w:val="none"/>
          <w:u w:val="single"/>
          <w:lang w:val="en-US" w:eastAsia="zh-CN"/>
        </w:rPr>
        <w:t>9</w:t>
      </w:r>
      <w:r>
        <w:rPr>
          <w:rFonts w:hint="eastAsia" w:ascii="宋体" w:hAnsi="宋体" w:eastAsia="宋体" w:cs="宋体"/>
          <w:b/>
          <w:bCs/>
          <w:color w:val="auto"/>
          <w:sz w:val="21"/>
          <w:szCs w:val="21"/>
          <w:highlight w:val="none"/>
          <w:u w:val="single"/>
          <w:lang w:val="en-US" w:eastAsia="zh-CN"/>
        </w:rPr>
        <w:t xml:space="preserve"> </w:t>
      </w:r>
      <w:r>
        <w:rPr>
          <w:rFonts w:hint="eastAsia" w:ascii="宋体" w:hAnsi="宋体" w:eastAsia="宋体" w:cs="宋体"/>
          <w:b/>
          <w:bCs/>
          <w:color w:val="auto"/>
          <w:sz w:val="21"/>
          <w:szCs w:val="21"/>
          <w:highlight w:val="none"/>
          <w:u w:val="none"/>
        </w:rPr>
        <w:t>号</w:t>
      </w:r>
      <w:r>
        <w:rPr>
          <w:rFonts w:hint="eastAsia" w:ascii="宋体" w:hAnsi="宋体" w:eastAsia="宋体" w:cs="宋体"/>
          <w:b/>
          <w:bCs/>
          <w:color w:val="auto"/>
          <w:sz w:val="21"/>
          <w:szCs w:val="21"/>
          <w:highlight w:val="none"/>
          <w:u w:val="none"/>
        </w:rPr>
        <w:t>开标室现场提交或以电子邮件的形式（以通知时所告知的电子邮箱地址为准）提交电子备份磋商响应文件】</w:t>
      </w:r>
      <w:r>
        <w:rPr>
          <w:rFonts w:hint="eastAsia" w:ascii="宋体" w:hAnsi="宋体" w:eastAsia="宋体" w:cs="宋体"/>
          <w:color w:val="auto"/>
          <w:sz w:val="21"/>
          <w:szCs w:val="21"/>
          <w:highlight w:val="none"/>
          <w:u w:val="none"/>
        </w:rPr>
        <w:t>，若磋商供应商在规定时间内无法解密或解密失败且未提供电子备份磋商响应文件的(包含提供的电子备份文件无效或无法解密的情况)，视为响应文件撤回</w:t>
      </w:r>
      <w:r>
        <w:rPr>
          <w:rFonts w:hint="eastAsia" w:ascii="宋体" w:hAnsi="宋体" w:eastAsia="宋体" w:cs="宋体"/>
          <w:color w:val="auto"/>
          <w:sz w:val="21"/>
          <w:szCs w:val="21"/>
          <w:highlight w:val="none"/>
        </w:rPr>
        <w:t>。</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18.3 除竞争性磋商文件另有规定外，供应商所递交的响应文件不予退还。</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 xml:space="preserve">18.4 </w:t>
      </w:r>
      <w:r>
        <w:rPr>
          <w:rFonts w:hint="eastAsia" w:ascii="宋体" w:hAnsi="宋体" w:eastAsia="宋体" w:cs="宋体"/>
          <w:color w:val="auto"/>
          <w:sz w:val="21"/>
          <w:szCs w:val="21"/>
          <w:highlight w:val="none"/>
        </w:rPr>
        <w:t>电子响应文件的相关说明</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（1）供应商进行电子</w:t>
      </w:r>
      <w:r>
        <w:rPr>
          <w:rFonts w:hint="eastAsia" w:ascii="宋体" w:hAnsi="宋体" w:eastAsia="宋体" w:cs="宋体"/>
          <w:color w:val="auto"/>
          <w:sz w:val="21"/>
          <w:szCs w:val="21"/>
          <w:highlight w:val="none"/>
          <w:lang w:eastAsia="zh-CN"/>
        </w:rPr>
        <w:t>响应</w:t>
      </w:r>
      <w:r>
        <w:rPr>
          <w:rFonts w:hint="eastAsia" w:ascii="宋体" w:hAnsi="宋体" w:eastAsia="宋体" w:cs="宋体"/>
          <w:color w:val="auto"/>
          <w:sz w:val="21"/>
          <w:szCs w:val="21"/>
          <w:highlight w:val="none"/>
        </w:rPr>
        <w:t>应安装客户端软件，并按照采购文件和电子交易平台的要求编制并加密</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响应文件。供应商未按规定加密的</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响应文件，电子交易平台将拒收。供应商应当在</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截止时间前完成</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响应文件的传输递交，并可以补充、修改或者撤回</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响应文件。补充或者修改</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响应文件的，应当先行撤回原文件，补充、修改后重新传输递交。</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截止时间前未完成传输的，视为撤回</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响应文件。</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截止时间后递交的</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 xml:space="preserve">响应文件，电子交易平台将拒收。 </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（2）如有特殊情况，采购代理机构延长截止时间和开标时间，采购代理机构和供应商的权利和义务将受到新的截止时间和开标时间的约束。</w:t>
      </w:r>
    </w:p>
    <w:p>
      <w:pPr>
        <w:pStyle w:val="2"/>
        <w:keepNext/>
        <w:keepLines/>
        <w:pageBreakBefore w:val="0"/>
        <w:widowControl w:val="0"/>
        <w:tabs>
          <w:tab w:val="left" w:pos="567"/>
        </w:tabs>
        <w:kinsoku/>
        <w:wordWrap/>
        <w:overflowPunct/>
        <w:topLinePunct w:val="0"/>
        <w:autoSpaceDE/>
        <w:autoSpaceDN/>
        <w:bidi w:val="0"/>
        <w:adjustRightInd/>
        <w:snapToGrid/>
        <w:spacing w:before="0" w:after="0" w:line="380" w:lineRule="exact"/>
        <w:ind w:left="0" w:leftChars="0"/>
        <w:jc w:val="center"/>
        <w:textAlignment w:val="auto"/>
        <w:rPr>
          <w:rFonts w:hint="eastAsia" w:ascii="宋体" w:hAnsi="宋体" w:eastAsia="宋体" w:cs="宋体"/>
          <w:b/>
          <w:bCs w:val="0"/>
          <w:color w:val="auto"/>
          <w:sz w:val="21"/>
          <w:szCs w:val="21"/>
          <w:highlight w:val="none"/>
        </w:rPr>
      </w:pPr>
      <w:bookmarkStart w:id="95" w:name="_Toc2647"/>
      <w:bookmarkStart w:id="96" w:name="_Toc2433"/>
      <w:bookmarkStart w:id="97" w:name="_Toc5807"/>
    </w:p>
    <w:p>
      <w:pPr>
        <w:pStyle w:val="2"/>
        <w:keepNext/>
        <w:keepLines/>
        <w:pageBreakBefore w:val="0"/>
        <w:widowControl w:val="0"/>
        <w:tabs>
          <w:tab w:val="left" w:pos="567"/>
        </w:tabs>
        <w:kinsoku/>
        <w:wordWrap/>
        <w:overflowPunct/>
        <w:topLinePunct w:val="0"/>
        <w:autoSpaceDE/>
        <w:autoSpaceDN/>
        <w:bidi w:val="0"/>
        <w:adjustRightInd/>
        <w:snapToGrid/>
        <w:spacing w:before="0" w:after="0" w:line="380" w:lineRule="exact"/>
        <w:ind w:left="0" w:leftChars="0"/>
        <w:jc w:val="center"/>
        <w:textAlignment w:val="auto"/>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四、竞争性磋商（简称磋商）与评审</w:t>
      </w:r>
      <w:bookmarkEnd w:id="95"/>
      <w:bookmarkEnd w:id="96"/>
      <w:bookmarkEnd w:id="97"/>
    </w:p>
    <w:p>
      <w:pPr>
        <w:pStyle w:val="4"/>
        <w:pageBreakBefore w:val="0"/>
        <w:widowControl w:val="0"/>
        <w:kinsoku/>
        <w:wordWrap/>
        <w:overflowPunct/>
        <w:topLinePunct w:val="0"/>
        <w:bidi w:val="0"/>
        <w:snapToGrid/>
        <w:spacing w:before="0" w:after="0" w:line="380" w:lineRule="exact"/>
        <w:ind w:left="0" w:leftChars="0" w:firstLine="422" w:firstLineChars="200"/>
        <w:textAlignment w:val="auto"/>
        <w:rPr>
          <w:rFonts w:hint="eastAsia" w:ascii="宋体" w:hAnsi="宋体" w:eastAsia="宋体" w:cs="宋体"/>
          <w:color w:val="auto"/>
          <w:sz w:val="21"/>
          <w:szCs w:val="21"/>
          <w:highlight w:val="none"/>
        </w:rPr>
      </w:pPr>
      <w:bookmarkStart w:id="98" w:name="_Toc31588"/>
      <w:bookmarkStart w:id="99" w:name="_Toc11021"/>
      <w:r>
        <w:rPr>
          <w:rFonts w:hint="eastAsia" w:ascii="宋体" w:hAnsi="宋体" w:eastAsia="宋体" w:cs="宋体"/>
          <w:color w:val="auto"/>
          <w:sz w:val="21"/>
          <w:szCs w:val="21"/>
          <w:highlight w:val="none"/>
        </w:rPr>
        <w:t>19. 磋商小组组成及磋商时间、地点、人员</w:t>
      </w:r>
      <w:bookmarkEnd w:id="98"/>
      <w:bookmarkEnd w:id="99"/>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19.1 磋商小组组成：</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磋商及评审工作由采购代理机构负责组织，具体磋商、评审工作由依法组建的磋商小组负责，磋商小组由采购人代表和有关方面的专家组成。磋商小组的构成：</w:t>
      </w:r>
      <w:r>
        <w:rPr>
          <w:rFonts w:hint="eastAsia" w:ascii="宋体" w:hAnsi="宋体" w:eastAsia="宋体" w:cs="宋体"/>
          <w:color w:val="auto"/>
          <w:sz w:val="21"/>
          <w:szCs w:val="21"/>
          <w:highlight w:val="none"/>
          <w:u w:val="single"/>
        </w:rPr>
        <w:t xml:space="preserve"> 3 </w:t>
      </w:r>
      <w:r>
        <w:rPr>
          <w:rFonts w:hint="eastAsia" w:ascii="宋体" w:hAnsi="宋体" w:eastAsia="宋体" w:cs="宋体"/>
          <w:color w:val="auto"/>
          <w:sz w:val="21"/>
          <w:szCs w:val="21"/>
          <w:highlight w:val="none"/>
        </w:rPr>
        <w:t>人，其中采购人代表</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1 </w:t>
      </w:r>
      <w:r>
        <w:rPr>
          <w:rFonts w:hint="eastAsia" w:ascii="宋体" w:hAnsi="宋体" w:eastAsia="宋体" w:cs="宋体"/>
          <w:color w:val="auto"/>
          <w:sz w:val="21"/>
          <w:szCs w:val="21"/>
          <w:highlight w:val="none"/>
        </w:rPr>
        <w:t>人， 专家</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2 </w:t>
      </w:r>
      <w:r>
        <w:rPr>
          <w:rFonts w:hint="eastAsia" w:ascii="宋体" w:hAnsi="宋体" w:eastAsia="宋体" w:cs="宋体"/>
          <w:color w:val="auto"/>
          <w:sz w:val="21"/>
          <w:szCs w:val="21"/>
          <w:highlight w:val="none"/>
        </w:rPr>
        <w:t>人。</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19.2 磋商时间、地点、人员：</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bookmarkStart w:id="100" w:name="_Toc9878"/>
      <w:r>
        <w:rPr>
          <w:rFonts w:hint="eastAsia" w:ascii="宋体" w:hAnsi="宋体" w:eastAsia="宋体" w:cs="宋体"/>
          <w:color w:val="auto"/>
          <w:sz w:val="21"/>
          <w:szCs w:val="21"/>
          <w:highlight w:val="none"/>
        </w:rPr>
        <w:t>19.2.1磋商时间：响应文件递交截止时间后。</w:t>
      </w:r>
      <w:bookmarkEnd w:id="100"/>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lang w:eastAsia="zh-CN"/>
        </w:rPr>
      </w:pPr>
      <w:bookmarkStart w:id="101" w:name="_Toc29268"/>
      <w:r>
        <w:rPr>
          <w:rFonts w:hint="eastAsia" w:ascii="宋体" w:hAnsi="宋体" w:eastAsia="宋体" w:cs="宋体"/>
          <w:color w:val="auto"/>
          <w:sz w:val="21"/>
          <w:szCs w:val="21"/>
          <w:highlight w:val="none"/>
          <w:lang w:val="en-US" w:eastAsia="zh-CN"/>
        </w:rPr>
        <w:t>19.2.2</w:t>
      </w:r>
      <w:bookmarkEnd w:id="101"/>
      <w:bookmarkStart w:id="102" w:name="_Toc21307"/>
      <w:r>
        <w:rPr>
          <w:rFonts w:hint="eastAsia" w:ascii="宋体" w:hAnsi="宋体" w:eastAsia="宋体" w:cs="宋体"/>
          <w:color w:val="auto"/>
          <w:sz w:val="21"/>
          <w:szCs w:val="21"/>
          <w:highlight w:val="none"/>
          <w:lang w:val="en-US" w:eastAsia="zh-CN"/>
        </w:rPr>
        <w:t>磋商地点</w:t>
      </w:r>
      <w:r>
        <w:rPr>
          <w:rFonts w:hint="eastAsia" w:ascii="宋体" w:hAnsi="宋体" w:eastAsia="宋体" w:cs="宋体"/>
          <w:color w:val="auto"/>
          <w:sz w:val="21"/>
          <w:szCs w:val="21"/>
          <w:highlight w:val="none"/>
        </w:rPr>
        <w:t>：供应商代表在响应文件提交当天实时登陆“广西政府采购云平台”，按磋商小组要求在线等候参与磋商及提交最后报价。因供应商未保持实时在线，导致磋商小组无法及时与其取得联系，从而造成供应商未按规定参与磋商或报价的，其不利后果由供应商自行承担</w:t>
      </w:r>
      <w:r>
        <w:rPr>
          <w:rFonts w:hint="eastAsia" w:ascii="宋体" w:hAnsi="宋体" w:eastAsia="宋体" w:cs="宋体"/>
          <w:color w:val="auto"/>
          <w:sz w:val="21"/>
          <w:szCs w:val="21"/>
          <w:highlight w:val="none"/>
          <w:lang w:eastAsia="zh-CN"/>
        </w:rPr>
        <w:t>。</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b w:val="0"/>
          <w:bCs/>
          <w:color w:val="auto"/>
          <w:sz w:val="21"/>
          <w:szCs w:val="21"/>
          <w:highlight w:val="none"/>
        </w:rPr>
      </w:pPr>
      <w:r>
        <w:rPr>
          <w:rFonts w:hint="eastAsia" w:ascii="宋体" w:hAnsi="宋体" w:eastAsia="宋体" w:cs="宋体"/>
          <w:color w:val="auto"/>
          <w:sz w:val="21"/>
          <w:szCs w:val="21"/>
          <w:highlight w:val="none"/>
        </w:rPr>
        <w:t>19</w:t>
      </w:r>
      <w:r>
        <w:rPr>
          <w:rFonts w:hint="eastAsia" w:ascii="宋体" w:hAnsi="宋体" w:eastAsia="宋体" w:cs="宋体"/>
          <w:b w:val="0"/>
          <w:bCs/>
          <w:color w:val="auto"/>
          <w:sz w:val="21"/>
          <w:szCs w:val="21"/>
          <w:highlight w:val="none"/>
        </w:rPr>
        <w:t>.2.3磋商参加人员：供应商法定代表人、负责人、自然人或相应的委托代理人持有效身份证原件和供应商广西政府采购云平台CA数字证书参加磋商。请供应商实时登陆“广西政府采购云平台”等候在线磋商。</w:t>
      </w:r>
      <w:bookmarkEnd w:id="102"/>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b w:val="0"/>
          <w:bCs/>
          <w:color w:val="auto"/>
          <w:sz w:val="21"/>
          <w:szCs w:val="21"/>
          <w:highlight w:val="none"/>
        </w:rPr>
      </w:pPr>
      <w:bookmarkStart w:id="103" w:name="_Toc6288"/>
      <w:r>
        <w:rPr>
          <w:rFonts w:hint="eastAsia" w:ascii="宋体" w:hAnsi="宋体" w:eastAsia="宋体" w:cs="宋体"/>
          <w:b w:val="0"/>
          <w:bCs/>
          <w:color w:val="auto"/>
          <w:sz w:val="21"/>
          <w:szCs w:val="21"/>
          <w:highlight w:val="none"/>
        </w:rPr>
        <w:t>19.2.4响应文件递交截止时间后，由磋商小组在评标室内线上开启响应文件。</w:t>
      </w:r>
      <w:bookmarkEnd w:id="103"/>
    </w:p>
    <w:p>
      <w:pPr>
        <w:pStyle w:val="4"/>
        <w:pageBreakBefore w:val="0"/>
        <w:widowControl w:val="0"/>
        <w:kinsoku/>
        <w:wordWrap/>
        <w:overflowPunct/>
        <w:topLinePunct w:val="0"/>
        <w:bidi w:val="0"/>
        <w:snapToGrid/>
        <w:spacing w:before="0" w:after="0" w:line="380" w:lineRule="exact"/>
        <w:ind w:left="0" w:leftChars="0" w:firstLine="422" w:firstLineChars="200"/>
        <w:textAlignment w:val="auto"/>
        <w:rPr>
          <w:rFonts w:hint="eastAsia" w:ascii="宋体" w:hAnsi="宋体" w:eastAsia="宋体" w:cs="宋体"/>
          <w:color w:val="auto"/>
          <w:sz w:val="21"/>
          <w:szCs w:val="21"/>
          <w:highlight w:val="none"/>
        </w:rPr>
      </w:pPr>
      <w:bookmarkStart w:id="104" w:name="_Toc25258"/>
      <w:bookmarkStart w:id="105" w:name="_Toc21088"/>
      <w:r>
        <w:rPr>
          <w:rFonts w:hint="eastAsia" w:ascii="宋体" w:hAnsi="宋体" w:eastAsia="宋体" w:cs="宋体"/>
          <w:color w:val="auto"/>
          <w:sz w:val="21"/>
          <w:szCs w:val="21"/>
          <w:highlight w:val="none"/>
        </w:rPr>
        <w:t>20. 评审原则</w:t>
      </w:r>
      <w:bookmarkEnd w:id="104"/>
      <w:bookmarkEnd w:id="105"/>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20.1 磋商小组必须坚持公平、公正、科学和择优的原则。</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20.2 评审办法：综合评分法，具体详见第四章评审办法。</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20.3 磋商小组应按磋商文件进行评审，不得擅自更改评审办法。</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20.4 在评审过程中，磋商小组任何人不得对某个供应商发表任何倾向性意见，不得向其他磋商小组成员明示或者暗示自己的评审意见。</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20.5 磋商小组成员对需要共同认定的事项存在争议的，按照少数服从多数的原则作出结论。持不同意见的磋商小组成员应当在评审报告上签署不同意见并说明理由，否则视为同意。</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20.6 响应文件最后报价出现前后不一致的，除竞争性磋商文件另有规定外，按照下列规定修正：</w:t>
      </w:r>
    </w:p>
    <w:p>
      <w:pPr>
        <w:pStyle w:val="25"/>
        <w:keepNext w:val="0"/>
        <w:keepLines w:val="0"/>
        <w:pageBreakBefore w:val="0"/>
        <w:widowControl w:val="0"/>
        <w:tabs>
          <w:tab w:val="left" w:pos="1099"/>
        </w:tabs>
        <w:kinsoku/>
        <w:wordWrap/>
        <w:overflowPunct/>
        <w:topLinePunct w:val="0"/>
        <w:autoSpaceDE/>
        <w:autoSpaceDN/>
        <w:bidi w:val="0"/>
        <w:adjustRightInd/>
        <w:snapToGrid/>
        <w:spacing w:line="380" w:lineRule="exact"/>
        <w:ind w:left="0" w:leftChars="0"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 响应文件中磋商报价表内容与响应文件中相应内容不一致的，以最后磋商报价表为准；</w:t>
      </w:r>
    </w:p>
    <w:p>
      <w:pPr>
        <w:pStyle w:val="25"/>
        <w:keepNext w:val="0"/>
        <w:keepLines w:val="0"/>
        <w:pageBreakBefore w:val="0"/>
        <w:widowControl w:val="0"/>
        <w:tabs>
          <w:tab w:val="left" w:pos="1099"/>
        </w:tabs>
        <w:kinsoku/>
        <w:wordWrap/>
        <w:overflowPunct/>
        <w:topLinePunct w:val="0"/>
        <w:autoSpaceDE/>
        <w:autoSpaceDN/>
        <w:bidi w:val="0"/>
        <w:adjustRightInd/>
        <w:snapToGrid/>
        <w:spacing w:line="380" w:lineRule="exact"/>
        <w:ind w:left="0" w:leftChars="0"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 大写金额和小写金额不一致的，以大写金额为准；</w:t>
      </w:r>
    </w:p>
    <w:p>
      <w:pPr>
        <w:pStyle w:val="25"/>
        <w:keepNext w:val="0"/>
        <w:keepLines w:val="0"/>
        <w:pageBreakBefore w:val="0"/>
        <w:widowControl w:val="0"/>
        <w:tabs>
          <w:tab w:val="left" w:pos="1099"/>
        </w:tabs>
        <w:kinsoku/>
        <w:wordWrap/>
        <w:overflowPunct/>
        <w:topLinePunct w:val="0"/>
        <w:autoSpaceDE/>
        <w:autoSpaceDN/>
        <w:bidi w:val="0"/>
        <w:adjustRightInd/>
        <w:snapToGrid/>
        <w:spacing w:line="380" w:lineRule="exact"/>
        <w:ind w:left="0" w:leftChars="0"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 单价金额小数点或者百分比有明显错位的，以报价表的总价为准，并修改单价；</w:t>
      </w:r>
    </w:p>
    <w:p>
      <w:pPr>
        <w:pStyle w:val="25"/>
        <w:keepNext w:val="0"/>
        <w:keepLines w:val="0"/>
        <w:pageBreakBefore w:val="0"/>
        <w:widowControl w:val="0"/>
        <w:tabs>
          <w:tab w:val="left" w:pos="1099"/>
        </w:tabs>
        <w:kinsoku/>
        <w:wordWrap/>
        <w:overflowPunct/>
        <w:topLinePunct w:val="0"/>
        <w:autoSpaceDE/>
        <w:autoSpaceDN/>
        <w:bidi w:val="0"/>
        <w:adjustRightInd/>
        <w:snapToGrid/>
        <w:spacing w:line="380" w:lineRule="exact"/>
        <w:ind w:left="0" w:leftChars="0"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 总价金额与按单价汇总金额不一致的，以单价金额计算结果为准。</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同时出现两种以上不一致的，按照前款规定的顺序修正。修正后的报价（不得超出响应文件的范围或者改变响应文件的实质性内容）经磋商供应商确认后产生约束力，磋商供应商不确认的，作无效响应处理。</w:t>
      </w:r>
    </w:p>
    <w:p>
      <w:pPr>
        <w:pStyle w:val="4"/>
        <w:pageBreakBefore w:val="0"/>
        <w:widowControl w:val="0"/>
        <w:kinsoku/>
        <w:wordWrap/>
        <w:overflowPunct/>
        <w:topLinePunct w:val="0"/>
        <w:bidi w:val="0"/>
        <w:snapToGrid/>
        <w:spacing w:before="0" w:after="0" w:line="380" w:lineRule="exact"/>
        <w:ind w:left="0" w:leftChars="0" w:firstLine="422" w:firstLineChars="200"/>
        <w:textAlignment w:val="auto"/>
        <w:rPr>
          <w:rFonts w:hint="eastAsia" w:ascii="宋体" w:hAnsi="宋体" w:eastAsia="宋体" w:cs="宋体"/>
          <w:color w:val="auto"/>
          <w:sz w:val="21"/>
          <w:szCs w:val="21"/>
          <w:highlight w:val="none"/>
        </w:rPr>
      </w:pPr>
      <w:bookmarkStart w:id="106" w:name="_Toc21012"/>
      <w:bookmarkStart w:id="107" w:name="_Toc27193"/>
      <w:r>
        <w:rPr>
          <w:rFonts w:hint="eastAsia" w:ascii="宋体" w:hAnsi="宋体" w:eastAsia="宋体" w:cs="宋体"/>
          <w:color w:val="auto"/>
          <w:sz w:val="21"/>
          <w:szCs w:val="21"/>
          <w:highlight w:val="none"/>
        </w:rPr>
        <w:t>21. 评审程序及磋商要求</w:t>
      </w:r>
      <w:bookmarkEnd w:id="106"/>
      <w:bookmarkEnd w:id="107"/>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21.1磋商小组成员的通讯工具或相关电子设备交由桂林市公共资源交易中心统一保管后到达评标室，采购 </w:t>
      </w:r>
    </w:p>
    <w:p>
      <w:pPr>
        <w:pageBreakBefore w:val="0"/>
        <w:widowControl w:val="0"/>
        <w:kinsoku/>
        <w:wordWrap/>
        <w:overflowPunct/>
        <w:topLinePunct w:val="0"/>
        <w:bidi w:val="0"/>
        <w:snapToGrid/>
        <w:spacing w:line="380" w:lineRule="exact"/>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代理机构核实磋商小组成员身份，告知回避要求，宣布评审工作纪律和程序，推选磋商小组组长。</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21.2磋商小组应当对发布公告的竞争性磋商文件（简称磋商文件）进行确认，审查供应商的响应文件并作出评价；要求供应商解释或者澄清其响应文件；编写评审报告；告知采购人、采购代理机构在评审过程中发现的供应商的违法违规行为。</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21.3 磋商小组依据竞争性磋商文件的规定，首先对响应文件进行资格性审查，以确定供应商是否具备本项 目供应商资格；再对通过资格性审查的供应商响应文件的有效性、完整性和对磋商文件的响应程度进行符合性 审查，以确定是否对磋商文件的实质性要求做出响应。 </w:t>
      </w:r>
    </w:p>
    <w:p>
      <w:pPr>
        <w:pageBreakBefore w:val="0"/>
        <w:widowControl w:val="0"/>
        <w:kinsoku/>
        <w:wordWrap/>
        <w:overflowPunct/>
        <w:topLinePunct w:val="0"/>
        <w:bidi w:val="0"/>
        <w:snapToGrid/>
        <w:spacing w:line="380" w:lineRule="exact"/>
        <w:ind w:left="0" w:leftChars="0" w:firstLine="422" w:firstLineChars="20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21.4 磋商小组在对供应商进行资格性审查时，将对供应商企业股东及出资等信息进行查询。根据 《 中华人民共和国政府采购法实施条例 》 第十八条第一款规定，审查中如发现供应商存在单位负责人为同一人或者存在直接控股、管理关系的不同供应商参加同一合同项下的政府采购活动的，按响应文件无效处理 。</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21.4.1 查询渠道：《国家企业信用信息公示系统》（网址：www.gsxt.gov.cn/index.html）</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21.4.2 审查流程：</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（1）进入《国家企业信用信息公示系统》（网址：www.gsxt.gov.cn/index.html），输入企业名称，进入企业信息主页面；</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（2）查看主页“股东及出资信息”栏，或年报中的“股东及出资信息”栏信息；</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（3）将各供应商的股东及出资信息进行比对，得出审查结论；</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（4）将相关资料作为评审资料打印存档。</w:t>
      </w:r>
    </w:p>
    <w:p>
      <w:pPr>
        <w:pageBreakBefore w:val="0"/>
        <w:widowControl w:val="0"/>
        <w:kinsoku/>
        <w:wordWrap/>
        <w:overflowPunct/>
        <w:topLinePunct w:val="0"/>
        <w:bidi w:val="0"/>
        <w:snapToGrid/>
        <w:spacing w:line="380" w:lineRule="exact"/>
        <w:ind w:left="0" w:leftChars="0" w:firstLine="422" w:firstLineChars="20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21.5 磋商小组如发现供应商提供的证明文件不齐全或不符合规定格式的，应一次性告知供应商，供应商应在规定的时间内</w:t>
      </w:r>
      <w:r>
        <w:rPr>
          <w:rFonts w:hint="eastAsia" w:ascii="宋体" w:hAnsi="宋体" w:eastAsia="宋体" w:cs="宋体"/>
          <w:b/>
          <w:bCs/>
          <w:color w:val="auto"/>
          <w:sz w:val="21"/>
          <w:szCs w:val="21"/>
          <w:highlight w:val="none"/>
          <w:lang w:eastAsia="zh-CN"/>
        </w:rPr>
        <w:t>线上</w:t>
      </w:r>
      <w:r>
        <w:rPr>
          <w:rFonts w:hint="eastAsia" w:ascii="宋体" w:hAnsi="宋体" w:eastAsia="宋体" w:cs="宋体"/>
          <w:b/>
          <w:bCs/>
          <w:color w:val="auto"/>
          <w:sz w:val="21"/>
          <w:szCs w:val="21"/>
          <w:highlight w:val="none"/>
        </w:rPr>
        <w:t>补正或更正。</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21.6 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澄清、说明或者更正应由其法定代表人或相应的授权委托代表签字</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个人CA签章)</w:t>
      </w:r>
      <w:r>
        <w:rPr>
          <w:rFonts w:hint="eastAsia" w:ascii="宋体" w:hAnsi="宋体" w:eastAsia="宋体" w:cs="宋体"/>
          <w:color w:val="auto"/>
          <w:sz w:val="21"/>
          <w:szCs w:val="21"/>
          <w:highlight w:val="none"/>
        </w:rPr>
        <w:t>或者加盖供应商公章</w:t>
      </w:r>
      <w:r>
        <w:rPr>
          <w:rFonts w:hint="eastAsia" w:ascii="宋体" w:hAnsi="宋体" w:eastAsia="宋体" w:cs="宋体"/>
          <w:color w:val="auto"/>
          <w:sz w:val="21"/>
          <w:szCs w:val="21"/>
          <w:highlight w:val="none"/>
          <w:lang w:val="en-US" w:eastAsia="zh-CN"/>
        </w:rPr>
        <w:t>(CA签章)</w:t>
      </w:r>
      <w:r>
        <w:rPr>
          <w:rFonts w:hint="eastAsia" w:ascii="宋体" w:hAnsi="宋体" w:eastAsia="宋体" w:cs="宋体"/>
          <w:color w:val="auto"/>
          <w:sz w:val="21"/>
          <w:szCs w:val="21"/>
          <w:highlight w:val="none"/>
        </w:rPr>
        <w:t>。</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根据磋商文件规定的程序、评定成交的标准等事项与实质性响应竞争性磋商文件要求的供应商进行磋商。 </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未实质性响应磋商文件的响应文件按无效处理，磋商小组应当告知有关供应商。 </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磋商小组所有成员应当按已确定的磋商顺序集中与单一供应商分别进行磋商，并给予所有实质性响应竞争性磋商文件要求的供应商平等的磋商机会。 </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磋商中，磋商小组不得透露与磋商有关的其他供应商的技术资料、价格和其他信息。 </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磋商小组对磋商过程和重要磋商内容进行记录，磋商双方在记录上签字确认。 </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21.7当磋商小组一致确定磋商供应商的竞争性磋商响应文件能够详细列明采购标的的技术、服务要求且符合竞争性磋商文件要求，无需再磋商的，磋商小组按竞争性磋商文件设定的21.11、21.16程序和综合评分法确定成交候选人。第一轮磋商后竞争性磋商文件有实质性变动或仍需磋商的，磋商小组对竞争性磋商文件变动或提出磋商意见后进行第二轮磋商。</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21.8 在磋商过程中，磋商小组可以根据磋商文件和磋商情况实质性变动项目需求中的技术、服务要求以及合同草案条款，但不得变动磋商文件中的其他内容。实质性变动的内容，须经采购人代表确认。 </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对磋商文件作出的实质性变动是磋商文件的有效组成部分，磋商小组应当及时</w:t>
      </w:r>
      <w:r>
        <w:rPr>
          <w:rFonts w:hint="eastAsia" w:ascii="宋体" w:hAnsi="宋体" w:eastAsia="宋体" w:cs="宋体"/>
          <w:color w:val="auto"/>
          <w:sz w:val="21"/>
          <w:szCs w:val="21"/>
          <w:highlight w:val="none"/>
          <w:lang w:eastAsia="zh-CN"/>
        </w:rPr>
        <w:t>通过</w:t>
      </w:r>
      <w:r>
        <w:rPr>
          <w:rFonts w:hint="eastAsia" w:ascii="宋体" w:hAnsi="宋体" w:eastAsia="宋体" w:cs="宋体"/>
          <w:color w:val="auto"/>
          <w:sz w:val="21"/>
          <w:szCs w:val="21"/>
          <w:highlight w:val="none"/>
        </w:rPr>
        <w:t>广西政府采购云平台</w:t>
      </w:r>
      <w:r>
        <w:rPr>
          <w:rFonts w:hint="eastAsia" w:ascii="宋体" w:hAnsi="宋体" w:eastAsia="宋体" w:cs="宋体"/>
          <w:color w:val="auto"/>
          <w:sz w:val="21"/>
          <w:szCs w:val="21"/>
          <w:highlight w:val="none"/>
          <w:lang w:eastAsia="zh-CN"/>
        </w:rPr>
        <w:t>同时</w:t>
      </w:r>
      <w:r>
        <w:rPr>
          <w:rFonts w:hint="eastAsia" w:ascii="宋体" w:hAnsi="宋体" w:eastAsia="宋体" w:cs="宋体"/>
          <w:color w:val="auto"/>
          <w:sz w:val="21"/>
          <w:szCs w:val="21"/>
          <w:highlight w:val="none"/>
        </w:rPr>
        <w:t xml:space="preserve">通知所有参加磋商的供应商。 </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供应商应当按照磋商文件的变动情况和磋商小组的要求重新提交响应文件，并由其法定代表人、负责人、</w:t>
      </w:r>
      <w:r>
        <w:rPr>
          <w:rFonts w:hint="eastAsia" w:ascii="宋体" w:hAnsi="宋体" w:eastAsia="宋体" w:cs="宋体"/>
          <w:color w:val="auto"/>
          <w:sz w:val="21"/>
          <w:szCs w:val="21"/>
          <w:highlight w:val="none"/>
          <w:lang w:eastAsia="zh-CN"/>
        </w:rPr>
        <w:t>自然人或相应的授权委托代表签字（个人</w:t>
      </w:r>
      <w:r>
        <w:rPr>
          <w:rFonts w:hint="eastAsia" w:ascii="宋体" w:hAnsi="宋体" w:eastAsia="宋体" w:cs="宋体"/>
          <w:color w:val="auto"/>
          <w:sz w:val="21"/>
          <w:szCs w:val="21"/>
          <w:highlight w:val="none"/>
          <w:lang w:val="en-US" w:eastAsia="zh-CN"/>
        </w:rPr>
        <w:t>CA签章</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或者加盖供应商公章</w:t>
      </w:r>
      <w:r>
        <w:rPr>
          <w:rFonts w:hint="eastAsia" w:ascii="宋体" w:hAnsi="宋体" w:eastAsia="宋体" w:cs="宋体"/>
          <w:color w:val="auto"/>
          <w:sz w:val="21"/>
          <w:szCs w:val="21"/>
          <w:highlight w:val="none"/>
          <w:lang w:val="en-US" w:eastAsia="zh-CN"/>
        </w:rPr>
        <w:t>(CA签章)</w:t>
      </w:r>
      <w:r>
        <w:rPr>
          <w:rFonts w:hint="eastAsia" w:ascii="宋体" w:hAnsi="宋体" w:eastAsia="宋体" w:cs="宋体"/>
          <w:color w:val="auto"/>
          <w:sz w:val="21"/>
          <w:szCs w:val="21"/>
          <w:highlight w:val="none"/>
        </w:rPr>
        <w:t xml:space="preserve">。逾时不交的，视同放弃磋商。 </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21.9 第二轮磋商</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磋商小组集中就重新提交的响应文件或磋商小组提出的磋商意见与单一响应供应商分别进行磋商。磋商小组对磋商过程和重要磋商内容进行记录，磋商双方在记录上签字确认</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CA签章确认</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磋商后，供应商根据磋商小组统一整理的书面磋商记录要求做出书面承诺，并由其法定代表人或授权代表签字或者加盖公章</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CA签章</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后按时</w:t>
      </w:r>
      <w:r>
        <w:rPr>
          <w:rFonts w:hint="eastAsia" w:ascii="宋体" w:hAnsi="宋体" w:eastAsia="宋体" w:cs="宋体"/>
          <w:color w:val="auto"/>
          <w:sz w:val="21"/>
          <w:szCs w:val="21"/>
          <w:highlight w:val="none"/>
          <w:lang w:eastAsia="zh-CN"/>
        </w:rPr>
        <w:t>线上</w:t>
      </w:r>
      <w:r>
        <w:rPr>
          <w:rFonts w:hint="eastAsia" w:ascii="宋体" w:hAnsi="宋体" w:eastAsia="宋体" w:cs="宋体"/>
          <w:color w:val="auto"/>
          <w:sz w:val="21"/>
          <w:szCs w:val="21"/>
          <w:highlight w:val="none"/>
          <w:lang w:val="en-US" w:eastAsia="zh-CN"/>
        </w:rPr>
        <w:t>提交</w:t>
      </w:r>
      <w:r>
        <w:rPr>
          <w:rFonts w:hint="eastAsia" w:ascii="宋体" w:hAnsi="宋体" w:eastAsia="宋体" w:cs="宋体"/>
          <w:color w:val="auto"/>
          <w:sz w:val="21"/>
          <w:szCs w:val="21"/>
          <w:highlight w:val="none"/>
        </w:rPr>
        <w:t>。</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当磋商小组一致确定供应商的竞争性磋商响应文件符合竞争性磋商文件要求，无需再磋商的，磋商小组按竞争性磋商文件设定的21.11、21.16程序和评审方法确定成交候选人。第二轮磋商后竞争性磋商文件仍有实质性变动的或仍需磋商的，磋商小组对竞争性磋商文件变动或提出磋商意见后进行第三轮磋商。以此类推。</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21.10 在采购过程中符合竞争要求的供应商或者报价未超过采购预算的供应商不足 3 家的，采购人或者采购代理机构应当终止竞争性磋商采购活动。 </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21.11 最后报价 </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21.11.1 磋商文件能够详细列明采购标的的质量要求的，磋商结束后，磋商小组应当要求所有继续参加磋商的供应商在规定时间内</w:t>
      </w:r>
      <w:r>
        <w:rPr>
          <w:rFonts w:hint="eastAsia" w:ascii="宋体" w:hAnsi="宋体" w:eastAsia="宋体" w:cs="宋体"/>
          <w:color w:val="auto"/>
          <w:sz w:val="21"/>
          <w:szCs w:val="21"/>
          <w:highlight w:val="none"/>
          <w:lang w:eastAsia="zh-CN"/>
        </w:rPr>
        <w:t>线上</w:t>
      </w:r>
      <w:r>
        <w:rPr>
          <w:rFonts w:hint="eastAsia" w:ascii="宋体" w:hAnsi="宋体" w:eastAsia="宋体" w:cs="宋体"/>
          <w:color w:val="auto"/>
          <w:sz w:val="21"/>
          <w:szCs w:val="21"/>
          <w:highlight w:val="none"/>
        </w:rPr>
        <w:t xml:space="preserve">提交最后报价，提交最后报价的供应商不得少于 3 家。 </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21.11.2 磋商文件不能详细列明采购标的的施工要求，需经磋商由供应商提供最终设计方案或解决方案的，磋商结束后，磋商小组应当按照少数服从多数的原则投票推荐 3 家以上（含 3 家）供应商的设计方案或者解决方案，并要求其在规定时间内</w:t>
      </w:r>
      <w:r>
        <w:rPr>
          <w:rFonts w:hint="eastAsia" w:ascii="宋体" w:hAnsi="宋体" w:eastAsia="宋体" w:cs="宋体"/>
          <w:color w:val="auto"/>
          <w:sz w:val="21"/>
          <w:szCs w:val="21"/>
          <w:highlight w:val="none"/>
          <w:lang w:eastAsia="zh-CN"/>
        </w:rPr>
        <w:t>线上</w:t>
      </w:r>
      <w:r>
        <w:rPr>
          <w:rFonts w:hint="eastAsia" w:ascii="宋体" w:hAnsi="宋体" w:eastAsia="宋体" w:cs="宋体"/>
          <w:color w:val="auto"/>
          <w:sz w:val="21"/>
          <w:szCs w:val="21"/>
          <w:highlight w:val="none"/>
        </w:rPr>
        <w:t xml:space="preserve">提交最后报价。 </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21.11.3</w:t>
      </w:r>
      <w:r>
        <w:rPr>
          <w:rFonts w:hint="eastAsia" w:ascii="宋体" w:hAnsi="宋体" w:eastAsia="宋体" w:cs="宋体"/>
          <w:color w:val="auto"/>
          <w:kern w:val="0"/>
          <w:sz w:val="21"/>
          <w:szCs w:val="21"/>
          <w:highlight w:val="none"/>
        </w:rPr>
        <w:t>最后报价（应答文件）是供应商响应文件的有效组成部分：</w:t>
      </w:r>
      <w:r>
        <w:rPr>
          <w:rFonts w:hint="eastAsia" w:ascii="宋体" w:hAnsi="宋体" w:eastAsia="宋体" w:cs="宋体"/>
          <w:b/>
          <w:color w:val="auto"/>
          <w:spacing w:val="-4"/>
          <w:sz w:val="21"/>
          <w:szCs w:val="21"/>
          <w:highlight w:val="none"/>
        </w:rPr>
        <w:t>供应商做最终报价时，如供应商维持磋商报价不变</w:t>
      </w:r>
      <w:r>
        <w:rPr>
          <w:rFonts w:hint="eastAsia" w:ascii="宋体" w:hAnsi="宋体" w:eastAsia="宋体" w:cs="宋体"/>
          <w:b/>
          <w:color w:val="auto"/>
          <w:spacing w:val="-4"/>
          <w:sz w:val="21"/>
          <w:szCs w:val="21"/>
          <w:highlight w:val="none"/>
          <w:lang w:eastAsia="zh-CN"/>
        </w:rPr>
        <w:t>，</w:t>
      </w:r>
      <w:r>
        <w:rPr>
          <w:rFonts w:hint="eastAsia" w:ascii="宋体" w:hAnsi="宋体" w:eastAsia="宋体" w:cs="宋体"/>
          <w:b/>
          <w:color w:val="auto"/>
          <w:spacing w:val="-4"/>
          <w:sz w:val="21"/>
          <w:szCs w:val="21"/>
          <w:highlight w:val="none"/>
        </w:rPr>
        <w:t>以原磋商报价作为供应商最后报价；供应商应预先准备好调整后的完整已标价的工程量清单。如供应商在磋商过程中，改变原报价且未按竞争性磋商文件要求提供调整后的磋商报价</w:t>
      </w:r>
      <w:r>
        <w:rPr>
          <w:rFonts w:hint="eastAsia" w:ascii="宋体" w:hAnsi="宋体" w:eastAsia="宋体" w:cs="宋体"/>
          <w:b/>
          <w:color w:val="auto"/>
          <w:spacing w:val="-4"/>
          <w:sz w:val="21"/>
          <w:szCs w:val="21"/>
          <w:highlight w:val="none"/>
          <w:lang w:eastAsia="zh-CN"/>
        </w:rPr>
        <w:t>电子</w:t>
      </w:r>
      <w:r>
        <w:rPr>
          <w:rFonts w:hint="eastAsia" w:ascii="宋体" w:hAnsi="宋体" w:eastAsia="宋体" w:cs="宋体"/>
          <w:b/>
          <w:color w:val="auto"/>
          <w:spacing w:val="-4"/>
          <w:sz w:val="21"/>
          <w:szCs w:val="21"/>
          <w:highlight w:val="none"/>
        </w:rPr>
        <w:t>版的，其报价不予认可，视供应商维持原磋商报价不变</w:t>
      </w:r>
      <w:r>
        <w:rPr>
          <w:rFonts w:hint="eastAsia" w:ascii="宋体" w:hAnsi="宋体" w:eastAsia="宋体" w:cs="宋体"/>
          <w:b/>
          <w:color w:val="auto"/>
          <w:sz w:val="21"/>
          <w:szCs w:val="21"/>
          <w:highlight w:val="none"/>
        </w:rPr>
        <w:t>。</w:t>
      </w:r>
      <w:r>
        <w:rPr>
          <w:rFonts w:hint="eastAsia" w:ascii="宋体" w:hAnsi="宋体" w:eastAsia="宋体" w:cs="宋体"/>
          <w:color w:val="auto"/>
          <w:spacing w:val="-4"/>
          <w:sz w:val="21"/>
          <w:szCs w:val="21"/>
          <w:highlight w:val="none"/>
        </w:rPr>
        <w:t>必须由供应商</w:t>
      </w:r>
      <w:r>
        <w:rPr>
          <w:rFonts w:hint="eastAsia" w:ascii="宋体" w:hAnsi="宋体" w:eastAsia="宋体" w:cs="宋体"/>
          <w:color w:val="auto"/>
          <w:sz w:val="21"/>
          <w:szCs w:val="21"/>
          <w:highlight w:val="none"/>
        </w:rPr>
        <w:t>加盖公章</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CA签章</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pacing w:val="-4"/>
          <w:sz w:val="21"/>
          <w:szCs w:val="21"/>
          <w:highlight w:val="none"/>
        </w:rPr>
        <w:t>。</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21.11.</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 xml:space="preserve"> 根据《财政部关于政府采购竞争性磋商采购方式管理暂行办法有关问题的补充通知》</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财库〔2014〕214 号</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的规定，如采购项目为政府购买服务项目（含政府和社会资本合作项目），在采购过程中符合要求的供应商（社会资本）只有 2 家的，竞争性磋商采购活动可以继续进行，并要求其在规定时间内</w:t>
      </w:r>
      <w:r>
        <w:rPr>
          <w:rFonts w:hint="eastAsia" w:ascii="宋体" w:hAnsi="宋体" w:eastAsia="宋体" w:cs="宋体"/>
          <w:color w:val="auto"/>
          <w:sz w:val="21"/>
          <w:szCs w:val="21"/>
          <w:highlight w:val="none"/>
          <w:lang w:eastAsia="zh-CN"/>
        </w:rPr>
        <w:t>线上</w:t>
      </w:r>
      <w:r>
        <w:rPr>
          <w:rFonts w:hint="eastAsia" w:ascii="宋体" w:hAnsi="宋体" w:eastAsia="宋体" w:cs="宋体"/>
          <w:color w:val="auto"/>
          <w:sz w:val="21"/>
          <w:szCs w:val="21"/>
          <w:highlight w:val="none"/>
        </w:rPr>
        <w:t xml:space="preserve">提交最后报价；采购过程中符合要求的供应商（社会资本）只有 1 家的，采购人或者采购代理机构应当终止竞争性磋商采购活动，发布项目终止公告并说明原因，重新开展采购活动。 </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21.11.</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 xml:space="preserve"> 根据《政府采购竞争性磋商采购方式管理暂行办法》</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财库〔2014〕214 号</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的规定：</w:t>
      </w:r>
      <w:r>
        <w:rPr>
          <w:rFonts w:hint="eastAsia" w:ascii="宋体" w:hAnsi="宋体" w:eastAsia="宋体" w:cs="宋体"/>
          <w:b/>
          <w:bCs/>
          <w:color w:val="auto"/>
          <w:sz w:val="21"/>
          <w:szCs w:val="21"/>
          <w:highlight w:val="none"/>
        </w:rPr>
        <w:t xml:space="preserve">最后报价是供应商响应文件的有效组成部分。 </w:t>
      </w:r>
      <w:r>
        <w:rPr>
          <w:rFonts w:hint="eastAsia" w:ascii="宋体" w:hAnsi="宋体" w:eastAsia="宋体" w:cs="宋体"/>
          <w:color w:val="auto"/>
          <w:sz w:val="21"/>
          <w:szCs w:val="21"/>
          <w:highlight w:val="none"/>
        </w:rPr>
        <w:t>符合本办法(财库〔2014〕214号文)第三条第四项情形的，提交最后报价的供应商可以为2家。</w:t>
      </w:r>
      <w:r>
        <w:rPr>
          <w:rFonts w:hint="eastAsia" w:ascii="宋体" w:hAnsi="宋体" w:eastAsia="宋体" w:cs="宋体"/>
          <w:b/>
          <w:bCs/>
          <w:color w:val="auto"/>
          <w:sz w:val="21"/>
          <w:szCs w:val="21"/>
          <w:highlight w:val="none"/>
        </w:rPr>
        <w:t>（财库〔2014〕214号文第三条第四项：市场竞争不充分的科研项目，以及需要扶持的科技成果转化项目。）</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21.12 已提交响应文件的供应商，在提交最后报价之前，可以根据磋商情况书面退出磋商。 </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未书面退出磋商的供应商在规定时间内</w:t>
      </w:r>
      <w:r>
        <w:rPr>
          <w:rFonts w:hint="eastAsia" w:ascii="宋体" w:hAnsi="宋体" w:eastAsia="宋体" w:cs="宋体"/>
          <w:color w:val="auto"/>
          <w:sz w:val="21"/>
          <w:szCs w:val="21"/>
          <w:highlight w:val="none"/>
          <w:lang w:eastAsia="zh-CN"/>
        </w:rPr>
        <w:t>线上</w:t>
      </w:r>
      <w:r>
        <w:rPr>
          <w:rFonts w:hint="eastAsia" w:ascii="宋体" w:hAnsi="宋体" w:eastAsia="宋体" w:cs="宋体"/>
          <w:color w:val="auto"/>
          <w:sz w:val="21"/>
          <w:szCs w:val="21"/>
          <w:highlight w:val="none"/>
        </w:rPr>
        <w:t xml:space="preserve">提交最后报价，其最后报价超出采购预算导致已通过评审的响应文件无效的，按供应商在提交响应文件截止时间后撤回响应文件处理。 </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21.13 评审报告 </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磋商小组应当从质量和服务均能满足磋商文件全部实质性响应要求的供应商中，按照最后综合得分由高到低的顺序提出 3 名以上（含 3 名）成交候选人，并编写评审报告。</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21.14 在评审过程中出现法律法规和磋商文件均没有明确规定的情形时，由磋商小组现场协商解决，协商不一致的，由全体磋商小组投票表决，以得票率二分之一以上磋商小组成员的意见为准。 </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21.15 采购代理机构发现磋商小组有明显的违规倾向或歧视现象，或不按评审办法进行，或其他不正常行为的，应当及时制止。如制止无效，应及时向政府采购监督管理机构报告。</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color w:val="auto"/>
          <w:sz w:val="21"/>
          <w:szCs w:val="21"/>
          <w:highlight w:val="none"/>
        </w:rPr>
        <w:t>21.16 本采购项目的评审依据为竞争性磋商文件和竞争性磋商响应文件，采用的评审方法为</w:t>
      </w:r>
      <w:r>
        <w:rPr>
          <w:rFonts w:hint="eastAsia" w:ascii="宋体" w:hAnsi="宋体" w:eastAsia="宋体" w:cs="宋体"/>
          <w:b w:val="0"/>
          <w:bCs w:val="0"/>
          <w:color w:val="auto"/>
          <w:sz w:val="21"/>
          <w:szCs w:val="21"/>
          <w:highlight w:val="none"/>
        </w:rPr>
        <w:t>综合评分法。</w:t>
      </w:r>
    </w:p>
    <w:p>
      <w:pPr>
        <w:pStyle w:val="4"/>
        <w:pageBreakBefore w:val="0"/>
        <w:widowControl w:val="0"/>
        <w:kinsoku/>
        <w:wordWrap/>
        <w:overflowPunct/>
        <w:topLinePunct w:val="0"/>
        <w:bidi w:val="0"/>
        <w:snapToGrid/>
        <w:spacing w:before="0" w:after="0" w:line="380" w:lineRule="exact"/>
        <w:ind w:left="0" w:leftChars="0" w:firstLine="422" w:firstLineChars="200"/>
        <w:textAlignment w:val="auto"/>
        <w:rPr>
          <w:rFonts w:hint="eastAsia" w:ascii="宋体" w:hAnsi="宋体" w:eastAsia="宋体" w:cs="宋体"/>
          <w:color w:val="auto"/>
          <w:sz w:val="21"/>
          <w:szCs w:val="21"/>
          <w:highlight w:val="none"/>
        </w:rPr>
      </w:pPr>
      <w:bookmarkStart w:id="108" w:name="_Toc32470"/>
      <w:bookmarkStart w:id="109" w:name="_Toc18722"/>
      <w:r>
        <w:rPr>
          <w:rFonts w:hint="eastAsia" w:ascii="宋体" w:hAnsi="宋体" w:eastAsia="宋体" w:cs="宋体"/>
          <w:color w:val="auto"/>
          <w:sz w:val="21"/>
          <w:szCs w:val="21"/>
          <w:highlight w:val="none"/>
        </w:rPr>
        <w:t>22. 确定成交供应商</w:t>
      </w:r>
      <w:bookmarkEnd w:id="108"/>
      <w:bookmarkEnd w:id="109"/>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22.1磋商小组应当根据综合得分情况，按照综合得分由高到低顺序推荐成交候选人，并编写评审报告。磋商小组根据综合得分由高到低排列次序，若得分相同时，以评审报价由低到高顺序排列；若得分相同且评审报价相同的，以最后报价由低到高顺序排列；若仍相同的，由磋商小组按照抽签的方式决定排列次序。</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22.2采购单位应当确定磋商小组推荐排名第一的成交候选人为成交供应商。</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22.3排名第一的成交候选人放弃成交、因不可抗力提出不能履行合同，或信用信息记录不符合相关规定的，或者磋商文件规定应当提交履约保证金而在规定的期限内未能提交的（本项目免收履约保证金），采购单位可以确定排名第二的成交候选人为成交供应商。</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22.4排名第二的成交候选人因前款规定的同样原因不能签订合同的，采购单位可以确定排名第三的成交候选人为成交供应商。</w:t>
      </w:r>
    </w:p>
    <w:p>
      <w:pPr>
        <w:pStyle w:val="4"/>
        <w:pageBreakBefore w:val="0"/>
        <w:widowControl w:val="0"/>
        <w:kinsoku/>
        <w:wordWrap/>
        <w:overflowPunct/>
        <w:topLinePunct w:val="0"/>
        <w:bidi w:val="0"/>
        <w:snapToGrid/>
        <w:spacing w:before="0" w:after="0" w:line="380" w:lineRule="exact"/>
        <w:ind w:left="0" w:leftChars="0" w:firstLine="422" w:firstLineChars="200"/>
        <w:textAlignment w:val="auto"/>
        <w:rPr>
          <w:rFonts w:hint="eastAsia" w:ascii="宋体" w:hAnsi="宋体" w:eastAsia="宋体" w:cs="宋体"/>
          <w:color w:val="auto"/>
          <w:sz w:val="21"/>
          <w:szCs w:val="21"/>
          <w:highlight w:val="none"/>
        </w:rPr>
      </w:pPr>
      <w:bookmarkStart w:id="110" w:name="_Toc21715"/>
      <w:bookmarkStart w:id="111" w:name="_Toc15332"/>
      <w:r>
        <w:rPr>
          <w:rFonts w:hint="eastAsia" w:ascii="宋体" w:hAnsi="宋体" w:eastAsia="宋体" w:cs="宋体"/>
          <w:color w:val="auto"/>
          <w:sz w:val="21"/>
          <w:szCs w:val="21"/>
          <w:highlight w:val="none"/>
        </w:rPr>
        <w:t>23. 属于下列情况之一者，响应文件无效</w:t>
      </w:r>
      <w:bookmarkEnd w:id="110"/>
      <w:bookmarkEnd w:id="111"/>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（1）未按磋商文件规定完整</w:t>
      </w:r>
      <w:r>
        <w:rPr>
          <w:rFonts w:hint="eastAsia" w:ascii="宋体" w:hAnsi="宋体" w:eastAsia="宋体" w:cs="宋体"/>
          <w:color w:val="auto"/>
          <w:sz w:val="21"/>
          <w:szCs w:val="21"/>
          <w:highlight w:val="none"/>
          <w:lang w:val="en-US" w:eastAsia="zh-CN"/>
        </w:rPr>
        <w:t>线上</w:t>
      </w:r>
      <w:r>
        <w:rPr>
          <w:rFonts w:hint="eastAsia" w:ascii="宋体" w:hAnsi="宋体" w:eastAsia="宋体" w:cs="宋体"/>
          <w:color w:val="auto"/>
          <w:sz w:val="21"/>
          <w:szCs w:val="21"/>
          <w:highlight w:val="none"/>
        </w:rPr>
        <w:t>提交响应文件或未按规定要求</w:t>
      </w:r>
      <w:r>
        <w:rPr>
          <w:rFonts w:hint="eastAsia" w:ascii="宋体" w:hAnsi="宋体" w:eastAsia="宋体" w:cs="宋体"/>
          <w:color w:val="auto"/>
          <w:sz w:val="21"/>
          <w:szCs w:val="21"/>
          <w:highlight w:val="none"/>
          <w:lang w:eastAsia="zh-CN"/>
        </w:rPr>
        <w:t>线上</w:t>
      </w:r>
      <w:r>
        <w:rPr>
          <w:rFonts w:hint="eastAsia" w:ascii="宋体" w:hAnsi="宋体" w:eastAsia="宋体" w:cs="宋体"/>
          <w:color w:val="auto"/>
          <w:sz w:val="21"/>
          <w:szCs w:val="21"/>
          <w:highlight w:val="none"/>
        </w:rPr>
        <w:t>签字、</w:t>
      </w:r>
      <w:r>
        <w:rPr>
          <w:rFonts w:hint="eastAsia" w:ascii="宋体" w:hAnsi="宋体" w:eastAsia="宋体" w:cs="宋体"/>
          <w:color w:val="auto"/>
          <w:sz w:val="21"/>
          <w:szCs w:val="21"/>
          <w:highlight w:val="none"/>
          <w:lang w:val="en-US" w:eastAsia="zh-CN"/>
        </w:rPr>
        <w:t>签章</w:t>
      </w:r>
      <w:r>
        <w:rPr>
          <w:rFonts w:hint="eastAsia" w:ascii="宋体" w:hAnsi="宋体" w:eastAsia="宋体" w:cs="宋体"/>
          <w:color w:val="auto"/>
          <w:sz w:val="21"/>
          <w:szCs w:val="21"/>
          <w:highlight w:val="none"/>
        </w:rPr>
        <w:t>的；</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（2）不具备磋商文件规定的资格要求的；</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在进行资格性审查时，磋商小组将进入《国家企业信用信息公示系统》对企业股东及出资等信息进行查询，对存在《中华人民共和国政府采购法实施条例》第十八条第一款情形的，即单位负责人为同一人或者存在直接控股、管理关系的不同供应商，不得参加同一合同项下的政府采购活动，其磋商文件将被视为无效文件；</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）响应文件未按磋商文件的内容和要求编制，或提供虚假材料的；</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）响应文件有效期、质量要求、工期要求不能满足采购文件要求的；</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）供应商未就工程量清单中的所有内容作完整唯一报价的；</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）未在磋商小组规定的时间内提交响应文件(包括最后报价)的；</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）超越了按照法律法规规定必须获得行政许可或者行政审批的经营范围的；</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rPr>
        <w:t>）未满足磋商文件实质性要求的或者响应文件有采购人不能接受的附加条件的；</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）响应文件实质性要求未做变动，供应商最后报价高于第一次报价的；</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）不符合法律、法规和磋商文件规定的其他实质性要求和条件的。</w:t>
      </w:r>
    </w:p>
    <w:p>
      <w:pPr>
        <w:pageBreakBefore w:val="0"/>
        <w:widowControl w:val="0"/>
        <w:kinsoku/>
        <w:wordWrap/>
        <w:overflowPunct/>
        <w:topLinePunct w:val="0"/>
        <w:bidi w:val="0"/>
        <w:snapToGrid/>
        <w:spacing w:line="380" w:lineRule="exact"/>
        <w:ind w:left="0" w:leftChars="0" w:firstLine="422" w:firstLineChars="20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供应商有下列情形之一的视为供应商相互串通磋商，响应文件将被视为无效</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（1）不同供应商的响应文件由同一单位或者个人编制；或不同供应商报名的IP地址一致的；</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（2）不同供应商委托同一单位或者个人办理磋商事宜；</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（3）不同的供应商的响应文件载明的项目管理员为同一个人；</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（4）不同供应商的响应文件异常一致或竞标报价呈规律性差异；</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（5）不同供应商的响应文件相互混</w:t>
      </w:r>
      <w:r>
        <w:rPr>
          <w:rFonts w:hint="eastAsia" w:ascii="宋体" w:hAnsi="宋体" w:eastAsia="宋体" w:cs="宋体"/>
          <w:color w:val="auto"/>
          <w:sz w:val="21"/>
          <w:szCs w:val="21"/>
          <w:highlight w:val="none"/>
          <w:lang w:eastAsia="zh-CN"/>
        </w:rPr>
        <w:t>编</w:t>
      </w:r>
      <w:r>
        <w:rPr>
          <w:rFonts w:hint="eastAsia" w:ascii="宋体" w:hAnsi="宋体" w:eastAsia="宋体" w:cs="宋体"/>
          <w:color w:val="auto"/>
          <w:sz w:val="21"/>
          <w:szCs w:val="21"/>
          <w:highlight w:val="none"/>
        </w:rPr>
        <w:t>。</w:t>
      </w:r>
    </w:p>
    <w:p>
      <w:pPr>
        <w:pStyle w:val="4"/>
        <w:pageBreakBefore w:val="0"/>
        <w:widowControl w:val="0"/>
        <w:kinsoku/>
        <w:wordWrap/>
        <w:overflowPunct/>
        <w:topLinePunct w:val="0"/>
        <w:bidi w:val="0"/>
        <w:snapToGrid/>
        <w:spacing w:before="0" w:after="0" w:line="380" w:lineRule="exact"/>
        <w:ind w:left="0" w:leftChars="0" w:firstLine="422" w:firstLineChars="200"/>
        <w:textAlignment w:val="auto"/>
        <w:rPr>
          <w:rFonts w:hint="eastAsia" w:ascii="宋体" w:hAnsi="宋体" w:eastAsia="宋体" w:cs="宋体"/>
          <w:color w:val="auto"/>
          <w:sz w:val="21"/>
          <w:szCs w:val="21"/>
          <w:highlight w:val="none"/>
        </w:rPr>
      </w:pPr>
      <w:bookmarkStart w:id="112" w:name="_Toc27786"/>
      <w:bookmarkStart w:id="113" w:name="_Toc5714"/>
      <w:r>
        <w:rPr>
          <w:rFonts w:hint="eastAsia" w:ascii="宋体" w:hAnsi="宋体" w:eastAsia="宋体" w:cs="宋体"/>
          <w:color w:val="auto"/>
          <w:sz w:val="21"/>
          <w:szCs w:val="21"/>
          <w:highlight w:val="none"/>
        </w:rPr>
        <w:t>24. 出现下列情形之一的，采购人或者采购代理机构应当终止竞争性磋商采购活动，发布项目终止公告并说明原因，重新开展采购活动</w:t>
      </w:r>
      <w:bookmarkEnd w:id="112"/>
      <w:bookmarkEnd w:id="113"/>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（1）因情况变化，不再符合规定的竞争性磋商采购方式适用情形的；</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（2）出现影响采购公正的违法、违规行为的； </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（3）在采购过程中符合竞争要求的供应商或者报价未超过采购预算的供应商不足3家的。</w:t>
      </w:r>
      <w:r>
        <w:rPr>
          <w:rFonts w:hint="eastAsia" w:ascii="宋体" w:hAnsi="宋体" w:eastAsia="宋体" w:cs="宋体"/>
          <w:b/>
          <w:bCs/>
          <w:color w:val="auto"/>
          <w:sz w:val="21"/>
          <w:szCs w:val="21"/>
          <w:highlight w:val="none"/>
        </w:rPr>
        <w:t xml:space="preserve">（除财库〔2014〕214 号《政府采购竞争性磋商采购方式管理暂行办法》第二十一条第三款规定的情形外） </w:t>
      </w:r>
    </w:p>
    <w:p>
      <w:pPr>
        <w:pStyle w:val="4"/>
        <w:pageBreakBefore w:val="0"/>
        <w:widowControl w:val="0"/>
        <w:kinsoku/>
        <w:wordWrap/>
        <w:overflowPunct/>
        <w:topLinePunct w:val="0"/>
        <w:bidi w:val="0"/>
        <w:snapToGrid/>
        <w:spacing w:before="0" w:after="0" w:line="380" w:lineRule="exact"/>
        <w:ind w:left="0" w:leftChars="0" w:firstLine="422" w:firstLineChars="200"/>
        <w:textAlignment w:val="auto"/>
        <w:rPr>
          <w:rFonts w:hint="eastAsia" w:ascii="宋体" w:hAnsi="宋体" w:eastAsia="宋体" w:cs="宋体"/>
          <w:color w:val="auto"/>
          <w:sz w:val="21"/>
          <w:szCs w:val="21"/>
          <w:highlight w:val="none"/>
        </w:rPr>
      </w:pPr>
      <w:bookmarkStart w:id="114" w:name="_Toc19105"/>
      <w:bookmarkStart w:id="115" w:name="_Toc19910"/>
      <w:r>
        <w:rPr>
          <w:rFonts w:hint="eastAsia" w:ascii="宋体" w:hAnsi="宋体" w:eastAsia="宋体" w:cs="宋体"/>
          <w:color w:val="auto"/>
          <w:sz w:val="21"/>
          <w:szCs w:val="21"/>
          <w:highlight w:val="none"/>
        </w:rPr>
        <w:t>25. 磋商过程的监控</w:t>
      </w:r>
      <w:bookmarkEnd w:id="114"/>
      <w:bookmarkEnd w:id="115"/>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本项目磋商过程实行全程录音、录像监控，供应商在磋商过程中所进行的试图影响磋商结果的不公正活动，可能导致其磋商被拒绝。</w:t>
      </w:r>
    </w:p>
    <w:p>
      <w:pPr>
        <w:pStyle w:val="4"/>
        <w:pageBreakBefore w:val="0"/>
        <w:widowControl w:val="0"/>
        <w:numPr>
          <w:ilvl w:val="0"/>
          <w:numId w:val="4"/>
        </w:numPr>
        <w:kinsoku/>
        <w:wordWrap/>
        <w:overflowPunct/>
        <w:topLinePunct w:val="0"/>
        <w:bidi w:val="0"/>
        <w:snapToGrid/>
        <w:spacing w:before="0" w:after="0" w:line="380" w:lineRule="exact"/>
        <w:ind w:left="0" w:leftChars="0" w:firstLine="422" w:firstLineChars="200"/>
        <w:textAlignment w:val="auto"/>
        <w:rPr>
          <w:rFonts w:hint="eastAsia" w:ascii="宋体" w:hAnsi="宋体" w:eastAsia="宋体" w:cs="宋体"/>
          <w:color w:val="auto"/>
          <w:sz w:val="21"/>
          <w:szCs w:val="21"/>
          <w:highlight w:val="none"/>
        </w:rPr>
      </w:pPr>
      <w:bookmarkStart w:id="116" w:name="_Toc14787"/>
      <w:bookmarkStart w:id="117" w:name="_Toc26291"/>
      <w:r>
        <w:rPr>
          <w:rFonts w:hint="eastAsia" w:ascii="宋体" w:hAnsi="宋体" w:eastAsia="宋体" w:cs="宋体"/>
          <w:color w:val="auto"/>
          <w:sz w:val="21"/>
          <w:szCs w:val="21"/>
          <w:highlight w:val="none"/>
        </w:rPr>
        <w:t>信用查询</w:t>
      </w:r>
      <w:bookmarkEnd w:id="116"/>
      <w:bookmarkEnd w:id="117"/>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根据《关于做好政府采购有关信用主体标识码登记及在政府采购活动中查询使用信用记录有关问题的通知》桂财采〔2016〕37号的通知，采购代理机构对成交人的成交资格进行信用查询：</w:t>
      </w:r>
    </w:p>
    <w:p>
      <w:pPr>
        <w:pageBreakBefore w:val="0"/>
        <w:widowControl w:val="0"/>
        <w:kinsoku/>
        <w:wordWrap/>
        <w:overflowPunct/>
        <w:topLinePunct w:val="0"/>
        <w:bidi w:val="0"/>
        <w:snapToGrid/>
        <w:spacing w:line="380" w:lineRule="exact"/>
        <w:ind w:left="0" w:leftChars="0"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（1）查询渠道：“信用中国”网站(www.creditchina.gov.cn)、中国政府采购网(www.ccgp.gov.cn)等；</w:t>
      </w:r>
    </w:p>
    <w:p>
      <w:pPr>
        <w:pageBreakBefore w:val="0"/>
        <w:widowControl w:val="0"/>
        <w:kinsoku/>
        <w:wordWrap/>
        <w:overflowPunct/>
        <w:topLinePunct w:val="0"/>
        <w:bidi w:val="0"/>
        <w:snapToGrid/>
        <w:spacing w:line="380" w:lineRule="exact"/>
        <w:ind w:left="0" w:leftChars="0"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（2）查询时间：成交通知书发出前；</w:t>
      </w:r>
    </w:p>
    <w:p>
      <w:pPr>
        <w:pageBreakBefore w:val="0"/>
        <w:widowControl w:val="0"/>
        <w:kinsoku/>
        <w:wordWrap/>
        <w:overflowPunct/>
        <w:topLinePunct w:val="0"/>
        <w:bidi w:val="0"/>
        <w:snapToGrid/>
        <w:spacing w:line="380" w:lineRule="exact"/>
        <w:ind w:left="0" w:leftChars="0"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（3）信用信息查询记录和证据留存方式：在查询网站中直接打印查询记录，打印材料作为采购活动资料保存。</w:t>
      </w:r>
    </w:p>
    <w:p>
      <w:pPr>
        <w:pageBreakBefore w:val="0"/>
        <w:widowControl w:val="0"/>
        <w:kinsoku/>
        <w:wordWrap/>
        <w:overflowPunct/>
        <w:topLinePunct w:val="0"/>
        <w:bidi w:val="0"/>
        <w:snapToGrid/>
        <w:spacing w:line="380" w:lineRule="exact"/>
        <w:ind w:left="0" w:leftChars="0"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取消其成交候选人资格。采购人依法按照评审报告中磋商小组推荐成交候选人排序表确定排名第二的成交候选人为成交供应商或者重新组织采购。</w:t>
      </w:r>
    </w:p>
    <w:p>
      <w:pPr>
        <w:pStyle w:val="4"/>
        <w:pageBreakBefore w:val="0"/>
        <w:widowControl w:val="0"/>
        <w:kinsoku/>
        <w:wordWrap/>
        <w:overflowPunct/>
        <w:topLinePunct w:val="0"/>
        <w:bidi w:val="0"/>
        <w:snapToGrid/>
        <w:spacing w:before="0" w:after="0" w:line="380" w:lineRule="exact"/>
        <w:ind w:left="0" w:leftChars="0" w:firstLine="422" w:firstLineChars="200"/>
        <w:textAlignment w:val="auto"/>
        <w:rPr>
          <w:rFonts w:hint="eastAsia" w:ascii="宋体" w:hAnsi="宋体" w:eastAsia="宋体" w:cs="宋体"/>
          <w:color w:val="auto"/>
          <w:sz w:val="21"/>
          <w:szCs w:val="21"/>
          <w:highlight w:val="none"/>
        </w:rPr>
      </w:pPr>
      <w:bookmarkStart w:id="118" w:name="_Toc25468"/>
      <w:bookmarkStart w:id="119" w:name="_Toc9438"/>
      <w:r>
        <w:rPr>
          <w:rFonts w:hint="eastAsia" w:ascii="宋体" w:hAnsi="宋体" w:eastAsia="宋体" w:cs="宋体"/>
          <w:color w:val="auto"/>
          <w:sz w:val="21"/>
          <w:szCs w:val="21"/>
          <w:highlight w:val="none"/>
        </w:rPr>
        <w:t>27. 成交结果公告及成交通知书</w:t>
      </w:r>
      <w:bookmarkEnd w:id="118"/>
      <w:bookmarkEnd w:id="119"/>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27.1 采购代理机构于磋商结束后两个工作日内将评审报告送交采购人，采购人应当自收到评审报告五个工作日内在评审报告推荐的成交候选人中按顺序确定成交供应商，采购代理机构在成交供应商确定之日起两个工作日内发出成交通知书，并在指定媒体上公告成交信息。</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27.2 在发布成交公告的同时，采购代理机构向成交供应商发出成交通知书。成交供应商自接到通知之日起七个工作日内，办理成交通知书领取手续。</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27.3 采购代理机构无义务向未成交的供应商解释未成交原因和退还响应文件。</w:t>
      </w:r>
    </w:p>
    <w:p>
      <w:pPr>
        <w:pStyle w:val="2"/>
        <w:keepNext/>
        <w:keepLines/>
        <w:pageBreakBefore w:val="0"/>
        <w:widowControl w:val="0"/>
        <w:tabs>
          <w:tab w:val="left" w:pos="567"/>
        </w:tabs>
        <w:kinsoku/>
        <w:wordWrap/>
        <w:overflowPunct/>
        <w:topLinePunct w:val="0"/>
        <w:autoSpaceDE/>
        <w:autoSpaceDN/>
        <w:bidi w:val="0"/>
        <w:adjustRightInd/>
        <w:snapToGrid/>
        <w:spacing w:before="0" w:after="0" w:line="380" w:lineRule="exact"/>
        <w:ind w:left="0" w:leftChars="0"/>
        <w:jc w:val="center"/>
        <w:textAlignment w:val="auto"/>
        <w:rPr>
          <w:rFonts w:hint="eastAsia" w:ascii="宋体" w:hAnsi="宋体" w:eastAsia="宋体" w:cs="宋体"/>
          <w:b/>
          <w:bCs w:val="0"/>
          <w:color w:val="auto"/>
          <w:sz w:val="21"/>
          <w:szCs w:val="21"/>
          <w:highlight w:val="none"/>
        </w:rPr>
      </w:pPr>
      <w:bookmarkStart w:id="120" w:name="_Toc6064"/>
      <w:bookmarkStart w:id="121" w:name="_Toc24102"/>
      <w:bookmarkStart w:id="122" w:name="_Toc25593"/>
    </w:p>
    <w:p>
      <w:pPr>
        <w:pStyle w:val="2"/>
        <w:keepNext/>
        <w:keepLines/>
        <w:pageBreakBefore w:val="0"/>
        <w:widowControl w:val="0"/>
        <w:tabs>
          <w:tab w:val="left" w:pos="567"/>
        </w:tabs>
        <w:kinsoku/>
        <w:wordWrap/>
        <w:overflowPunct/>
        <w:topLinePunct w:val="0"/>
        <w:autoSpaceDE/>
        <w:autoSpaceDN/>
        <w:bidi w:val="0"/>
        <w:adjustRightInd/>
        <w:snapToGrid/>
        <w:spacing w:before="0" w:after="0" w:line="380" w:lineRule="exact"/>
        <w:ind w:left="0" w:leftChars="0"/>
        <w:jc w:val="center"/>
        <w:textAlignment w:val="auto"/>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五、签订合同</w:t>
      </w:r>
      <w:bookmarkEnd w:id="120"/>
      <w:bookmarkEnd w:id="121"/>
      <w:bookmarkEnd w:id="122"/>
    </w:p>
    <w:p>
      <w:pPr>
        <w:pStyle w:val="4"/>
        <w:pageBreakBefore w:val="0"/>
        <w:widowControl w:val="0"/>
        <w:kinsoku/>
        <w:wordWrap/>
        <w:overflowPunct/>
        <w:topLinePunct w:val="0"/>
        <w:bidi w:val="0"/>
        <w:snapToGrid/>
        <w:spacing w:before="0" w:after="0" w:line="380" w:lineRule="exact"/>
        <w:ind w:left="0" w:leftChars="0" w:firstLine="422" w:firstLineChars="200"/>
        <w:textAlignment w:val="auto"/>
        <w:rPr>
          <w:rFonts w:hint="eastAsia" w:ascii="宋体" w:hAnsi="宋体" w:eastAsia="宋体" w:cs="宋体"/>
          <w:color w:val="auto"/>
          <w:sz w:val="21"/>
          <w:szCs w:val="21"/>
          <w:highlight w:val="none"/>
        </w:rPr>
      </w:pPr>
      <w:bookmarkStart w:id="123" w:name="_Toc1032"/>
      <w:bookmarkStart w:id="124" w:name="_Toc26520"/>
      <w:r>
        <w:rPr>
          <w:rFonts w:hint="eastAsia" w:ascii="宋体" w:hAnsi="宋体" w:eastAsia="宋体" w:cs="宋体"/>
          <w:color w:val="auto"/>
          <w:sz w:val="21"/>
          <w:szCs w:val="21"/>
          <w:highlight w:val="none"/>
        </w:rPr>
        <w:t>28. 履约保证金</w:t>
      </w:r>
      <w:bookmarkEnd w:id="123"/>
      <w:bookmarkEnd w:id="124"/>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bookmarkStart w:id="125" w:name="_Toc22004"/>
      <w:bookmarkStart w:id="126" w:name="_Toc4956"/>
      <w:r>
        <w:rPr>
          <w:rFonts w:hint="eastAsia" w:ascii="宋体" w:hAnsi="宋体" w:eastAsia="宋体" w:cs="宋体"/>
          <w:color w:val="auto"/>
          <w:sz w:val="21"/>
          <w:szCs w:val="21"/>
          <w:highlight w:val="none"/>
          <w:lang w:eastAsia="zh-CN"/>
        </w:rPr>
        <w:t>本项目不收取履约保证金</w:t>
      </w:r>
      <w:r>
        <w:rPr>
          <w:rFonts w:hint="eastAsia" w:ascii="宋体" w:hAnsi="宋体" w:eastAsia="宋体" w:cs="宋体"/>
          <w:color w:val="auto"/>
          <w:sz w:val="21"/>
          <w:szCs w:val="21"/>
          <w:highlight w:val="none"/>
        </w:rPr>
        <w:t>。</w:t>
      </w:r>
    </w:p>
    <w:p>
      <w:pPr>
        <w:pStyle w:val="4"/>
        <w:pageBreakBefore w:val="0"/>
        <w:widowControl w:val="0"/>
        <w:kinsoku/>
        <w:wordWrap/>
        <w:overflowPunct/>
        <w:topLinePunct w:val="0"/>
        <w:bidi w:val="0"/>
        <w:snapToGrid/>
        <w:spacing w:before="0" w:after="0" w:line="380" w:lineRule="exact"/>
        <w:ind w:left="0" w:leftChars="0" w:firstLine="422"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29. 签订合同</w:t>
      </w:r>
      <w:bookmarkEnd w:id="125"/>
      <w:bookmarkEnd w:id="126"/>
    </w:p>
    <w:p>
      <w:pPr>
        <w:pageBreakBefore w:val="0"/>
        <w:widowControl w:val="0"/>
        <w:kinsoku/>
        <w:wordWrap/>
        <w:overflowPunct/>
        <w:topLinePunct w:val="0"/>
        <w:bidi w:val="0"/>
        <w:snapToGrid/>
        <w:spacing w:line="380" w:lineRule="exact"/>
        <w:ind w:left="0" w:leftChars="0" w:firstLine="422" w:firstLineChars="20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29.1 签订合同时间：</w:t>
      </w:r>
      <w:r>
        <w:rPr>
          <w:rFonts w:hint="eastAsia" w:ascii="宋体" w:hAnsi="宋体" w:eastAsia="宋体" w:cs="宋体"/>
          <w:b/>
          <w:bCs/>
          <w:color w:val="auto"/>
          <w:sz w:val="21"/>
          <w:szCs w:val="21"/>
          <w:highlight w:val="none"/>
          <w:lang w:eastAsia="zh-CN"/>
        </w:rPr>
        <w:t>成交通知书</w:t>
      </w:r>
      <w:r>
        <w:rPr>
          <w:rFonts w:hint="eastAsia" w:ascii="宋体" w:hAnsi="宋体" w:eastAsia="宋体" w:cs="宋体"/>
          <w:b/>
          <w:bCs/>
          <w:color w:val="auto"/>
          <w:sz w:val="21"/>
          <w:szCs w:val="21"/>
          <w:highlight w:val="none"/>
        </w:rPr>
        <w:t>发出之日起</w:t>
      </w:r>
      <w:r>
        <w:rPr>
          <w:rFonts w:hint="eastAsia" w:ascii="宋体" w:hAnsi="宋体" w:eastAsia="宋体" w:cs="宋体"/>
          <w:b/>
          <w:bCs/>
          <w:color w:val="auto"/>
          <w:sz w:val="21"/>
          <w:szCs w:val="21"/>
          <w:highlight w:val="none"/>
        </w:rPr>
        <w:t>8个工作日内</w:t>
      </w:r>
      <w:r>
        <w:rPr>
          <w:rFonts w:hint="eastAsia" w:ascii="宋体" w:hAnsi="宋体" w:eastAsia="宋体" w:cs="宋体"/>
          <w:b/>
          <w:bCs/>
          <w:color w:val="auto"/>
          <w:sz w:val="21"/>
          <w:szCs w:val="21"/>
          <w:highlight w:val="none"/>
        </w:rPr>
        <w:t>签订合同。成交供应商领取成交通知书后，应按规定与采购人签订合同。</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29.2 如成交供应商有下列情形之一的，情节严重的，由财政部门将其列入不良行为记录名单，在一至三年内禁止参加政府采购活动，并予以通报。采购代理机构可从磋商小组推荐的成交候选人中按顺序重新确定成交供应商或重新组织采购。拒绝签订政府采购合同的成交供应商不得参加对该项目重新开展的采购活动。</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（1）成交后不与采购人签订合同的（不可抗力除外）；</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（2）将成交项目转让给他人，或者在响应文件中未说明，且未经采购人同意，将成交项目分包给他人的；</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（3）拒绝履行合同义务的。</w:t>
      </w:r>
    </w:p>
    <w:p>
      <w:pPr>
        <w:pageBreakBefore w:val="0"/>
        <w:widowControl w:val="0"/>
        <w:kinsoku/>
        <w:wordWrap/>
        <w:overflowPunct/>
        <w:topLinePunct w:val="0"/>
        <w:bidi w:val="0"/>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29.3 合同备案存档：政府采购合同双方自签订之日起一个工作日内将合同原件</w:t>
      </w:r>
      <w:r>
        <w:rPr>
          <w:rFonts w:hint="eastAsia" w:ascii="宋体" w:hAnsi="宋体" w:cs="宋体"/>
          <w:color w:val="auto"/>
          <w:sz w:val="21"/>
          <w:szCs w:val="21"/>
          <w:highlight w:val="none"/>
          <w:lang w:eastAsia="zh-CN"/>
        </w:rPr>
        <w:t>两</w:t>
      </w:r>
      <w:r>
        <w:rPr>
          <w:rFonts w:hint="eastAsia" w:ascii="宋体" w:hAnsi="宋体" w:eastAsia="宋体" w:cs="宋体"/>
          <w:color w:val="auto"/>
          <w:sz w:val="21"/>
          <w:szCs w:val="21"/>
          <w:highlight w:val="none"/>
        </w:rPr>
        <w:t>份交采购代理机构，采购代理机构将政府采购合同在省级以上人民政府财政部门指定媒体上公告。采购人于合同签订之日起七个工作日内将一份合同原件送本级财政部门备案，一份由</w:t>
      </w:r>
      <w:r>
        <w:rPr>
          <w:rFonts w:hint="eastAsia" w:ascii="宋体" w:hAnsi="宋体" w:eastAsia="宋体" w:cs="宋体"/>
          <w:color w:val="auto"/>
          <w:szCs w:val="21"/>
          <w:highlight w:val="none"/>
          <w:lang w:eastAsia="zh-CN"/>
        </w:rPr>
        <w:t>广西星鑫建设工程咨询有限公司</w:t>
      </w:r>
      <w:r>
        <w:rPr>
          <w:rFonts w:hint="eastAsia" w:ascii="宋体" w:hAnsi="宋体" w:eastAsia="宋体" w:cs="宋体"/>
          <w:color w:val="auto"/>
          <w:sz w:val="21"/>
          <w:szCs w:val="21"/>
          <w:highlight w:val="none"/>
        </w:rPr>
        <w:t>存档。</w:t>
      </w:r>
    </w:p>
    <w:p>
      <w:pPr>
        <w:pStyle w:val="2"/>
        <w:keepNext/>
        <w:keepLines/>
        <w:pageBreakBefore w:val="0"/>
        <w:widowControl w:val="0"/>
        <w:tabs>
          <w:tab w:val="left" w:pos="567"/>
        </w:tabs>
        <w:kinsoku/>
        <w:wordWrap/>
        <w:overflowPunct/>
        <w:topLinePunct w:val="0"/>
        <w:autoSpaceDE/>
        <w:autoSpaceDN/>
        <w:bidi w:val="0"/>
        <w:adjustRightInd/>
        <w:snapToGrid/>
        <w:spacing w:before="0" w:after="0" w:line="380" w:lineRule="exact"/>
        <w:ind w:left="0" w:leftChars="0"/>
        <w:jc w:val="center"/>
        <w:textAlignment w:val="auto"/>
        <w:rPr>
          <w:rFonts w:hint="eastAsia" w:ascii="宋体" w:hAnsi="宋体" w:eastAsia="宋体" w:cs="宋体"/>
          <w:b/>
          <w:bCs w:val="0"/>
          <w:color w:val="auto"/>
          <w:sz w:val="21"/>
          <w:szCs w:val="21"/>
          <w:highlight w:val="none"/>
        </w:rPr>
      </w:pPr>
      <w:bookmarkStart w:id="127" w:name="_Toc17898"/>
      <w:bookmarkStart w:id="128" w:name="_Toc26986"/>
      <w:bookmarkStart w:id="129" w:name="_Toc16348"/>
    </w:p>
    <w:p>
      <w:pPr>
        <w:pStyle w:val="2"/>
        <w:keepNext/>
        <w:keepLines/>
        <w:pageBreakBefore w:val="0"/>
        <w:widowControl w:val="0"/>
        <w:tabs>
          <w:tab w:val="left" w:pos="567"/>
        </w:tabs>
        <w:kinsoku/>
        <w:wordWrap/>
        <w:overflowPunct/>
        <w:topLinePunct w:val="0"/>
        <w:autoSpaceDE/>
        <w:autoSpaceDN/>
        <w:bidi w:val="0"/>
        <w:adjustRightInd/>
        <w:snapToGrid/>
        <w:spacing w:before="0" w:after="0" w:line="380" w:lineRule="exact"/>
        <w:ind w:left="0" w:leftChars="0"/>
        <w:jc w:val="center"/>
        <w:textAlignment w:val="auto"/>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六、其他事项</w:t>
      </w:r>
      <w:bookmarkEnd w:id="127"/>
      <w:bookmarkEnd w:id="128"/>
      <w:bookmarkEnd w:id="129"/>
    </w:p>
    <w:p>
      <w:pPr>
        <w:pStyle w:val="4"/>
        <w:pageBreakBefore w:val="0"/>
        <w:widowControl w:val="0"/>
        <w:kinsoku/>
        <w:wordWrap/>
        <w:overflowPunct/>
        <w:topLinePunct w:val="0"/>
        <w:bidi w:val="0"/>
        <w:snapToGrid/>
        <w:spacing w:before="0" w:after="0" w:line="380" w:lineRule="exact"/>
        <w:ind w:left="0" w:leftChars="0" w:firstLine="422" w:firstLineChars="200"/>
        <w:textAlignment w:val="auto"/>
        <w:rPr>
          <w:rFonts w:hint="eastAsia" w:ascii="宋体" w:hAnsi="宋体" w:eastAsia="宋体" w:cs="宋体"/>
          <w:color w:val="auto"/>
          <w:sz w:val="21"/>
          <w:szCs w:val="21"/>
          <w:highlight w:val="none"/>
        </w:rPr>
      </w:pPr>
      <w:bookmarkStart w:id="130" w:name="_Toc28647"/>
      <w:bookmarkStart w:id="131" w:name="_Toc29572"/>
      <w:r>
        <w:rPr>
          <w:rFonts w:hint="eastAsia" w:ascii="宋体" w:hAnsi="宋体" w:eastAsia="宋体" w:cs="宋体"/>
          <w:color w:val="auto"/>
          <w:sz w:val="21"/>
          <w:szCs w:val="21"/>
          <w:highlight w:val="none"/>
        </w:rPr>
        <w:t>30. 采购代理服务费</w:t>
      </w:r>
      <w:bookmarkEnd w:id="130"/>
      <w:bookmarkEnd w:id="131"/>
    </w:p>
    <w:p>
      <w:pPr>
        <w:pageBreakBefore w:val="0"/>
        <w:widowControl w:val="0"/>
        <w:kinsoku/>
        <w:wordWrap/>
        <w:overflowPunct/>
        <w:topLinePunct w:val="0"/>
        <w:bidi w:val="0"/>
        <w:snapToGrid/>
        <w:spacing w:line="380" w:lineRule="exact"/>
        <w:ind w:left="0" w:leftChars="0" w:firstLine="420"/>
        <w:textAlignment w:val="auto"/>
        <w:rPr>
          <w:rFonts w:hint="eastAsia" w:ascii="宋体" w:hAnsi="宋体" w:eastAsia="宋体" w:cs="宋体"/>
          <w:color w:val="auto"/>
          <w:sz w:val="21"/>
          <w:szCs w:val="21"/>
          <w:highlight w:val="none"/>
        </w:rPr>
      </w:pPr>
      <w:bookmarkStart w:id="132" w:name="_Toc12374"/>
      <w:r>
        <w:rPr>
          <w:rFonts w:hint="eastAsia" w:ascii="宋体" w:hAnsi="宋体" w:eastAsia="宋体" w:cs="宋体"/>
          <w:color w:val="auto"/>
          <w:sz w:val="21"/>
          <w:szCs w:val="21"/>
          <w:highlight w:val="none"/>
          <w:lang w:val="en-US" w:eastAsia="zh-CN"/>
        </w:rPr>
        <w:t>30.1</w:t>
      </w:r>
      <w:r>
        <w:rPr>
          <w:rFonts w:hint="eastAsia" w:ascii="宋体" w:hAnsi="宋体" w:eastAsia="宋体" w:cs="宋体"/>
          <w:color w:val="auto"/>
          <w:sz w:val="21"/>
          <w:szCs w:val="21"/>
          <w:highlight w:val="none"/>
        </w:rPr>
        <w:t>成交供应商领取成交通知书前，向</w:t>
      </w:r>
      <w:r>
        <w:rPr>
          <w:rFonts w:hint="eastAsia" w:ascii="宋体" w:hAnsi="宋体" w:eastAsia="宋体" w:cs="宋体"/>
          <w:color w:val="auto"/>
          <w:szCs w:val="21"/>
          <w:highlight w:val="none"/>
          <w:lang w:eastAsia="zh-CN"/>
        </w:rPr>
        <w:t>广西星鑫建设工程咨询有限公司</w:t>
      </w:r>
      <w:r>
        <w:rPr>
          <w:rFonts w:hint="eastAsia" w:ascii="宋体" w:hAnsi="宋体" w:eastAsia="宋体" w:cs="宋体"/>
          <w:color w:val="auto"/>
          <w:sz w:val="21"/>
          <w:szCs w:val="21"/>
          <w:highlight w:val="none"/>
        </w:rPr>
        <w:t>一次性付清代理服务费。本项目招标代理服务收费标准参照计价格[2002]1980号《招标代理服务收费管理暂行办法》</w:t>
      </w:r>
      <w:r>
        <w:rPr>
          <w:rFonts w:hint="eastAsia" w:ascii="宋体" w:hAnsi="宋体" w:eastAsia="宋体" w:cs="宋体"/>
          <w:color w:val="auto"/>
          <w:sz w:val="21"/>
          <w:szCs w:val="21"/>
          <w:highlight w:val="none"/>
          <w:lang w:eastAsia="zh-CN"/>
        </w:rPr>
        <w:t>工程</w:t>
      </w:r>
      <w:r>
        <w:rPr>
          <w:rFonts w:hint="eastAsia" w:ascii="宋体" w:hAnsi="宋体" w:eastAsia="宋体" w:cs="宋体"/>
          <w:color w:val="auto"/>
          <w:sz w:val="21"/>
          <w:szCs w:val="21"/>
          <w:highlight w:val="none"/>
        </w:rPr>
        <w:t>类收费标准向</w:t>
      </w:r>
      <w:r>
        <w:rPr>
          <w:rFonts w:hint="eastAsia" w:ascii="宋体" w:hAnsi="宋体" w:eastAsia="宋体" w:cs="宋体"/>
          <w:color w:val="auto"/>
          <w:sz w:val="21"/>
          <w:szCs w:val="21"/>
          <w:highlight w:val="none"/>
          <w:lang w:eastAsia="zh-CN"/>
        </w:rPr>
        <w:t>成交供应商</w:t>
      </w:r>
      <w:r>
        <w:rPr>
          <w:rFonts w:hint="eastAsia" w:ascii="宋体" w:hAnsi="宋体" w:eastAsia="宋体" w:cs="宋体"/>
          <w:color w:val="auto"/>
          <w:sz w:val="21"/>
          <w:szCs w:val="21"/>
          <w:highlight w:val="none"/>
        </w:rPr>
        <w:t>收取（不足人民币</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000元的，按</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000元支付）。</w:t>
      </w:r>
    </w:p>
    <w:tbl>
      <w:tblPr>
        <w:tblStyle w:val="19"/>
        <w:tblW w:w="9006"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1841"/>
        <w:gridCol w:w="1992"/>
        <w:gridCol w:w="2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880" w:type="dxa"/>
            <w:vAlign w:val="top"/>
          </w:tcPr>
          <w:p>
            <w:pPr>
              <w:pageBreakBefore w:val="0"/>
              <w:widowControl w:val="0"/>
              <w:kinsoku/>
              <w:wordWrap/>
              <w:overflowPunct/>
              <w:topLinePunct w:val="0"/>
              <w:bidi w:val="0"/>
              <w:snapToGrid/>
              <w:spacing w:before="0" w:after="0" w:line="380" w:lineRule="exact"/>
              <w:ind w:left="0" w:leftChars="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296545</wp:posOffset>
                      </wp:positionH>
                      <wp:positionV relativeFrom="paragraph">
                        <wp:posOffset>10795</wp:posOffset>
                      </wp:positionV>
                      <wp:extent cx="1463675" cy="653415"/>
                      <wp:effectExtent l="1905" t="4445" r="20320" b="8890"/>
                      <wp:wrapNone/>
                      <wp:docPr id="1026" name="直接连接符 1026"/>
                      <wp:cNvGraphicFramePr/>
                      <a:graphic xmlns:a="http://schemas.openxmlformats.org/drawingml/2006/main">
                        <a:graphicData uri="http://schemas.microsoft.com/office/word/2010/wordprocessingShape">
                          <wps:wsp>
                            <wps:cNvCnPr/>
                            <wps:spPr>
                              <a:xfrm>
                                <a:off x="0" y="0"/>
                                <a:ext cx="1463675" cy="653415"/>
                              </a:xfrm>
                              <a:prstGeom prst="line">
                                <a:avLst/>
                              </a:prstGeom>
                              <a:ln w="9525" cap="flat" cmpd="sng">
                                <a:solidFill>
                                  <a:srgbClr val="000000"/>
                                </a:solidFill>
                                <a:prstDash val="solid"/>
                                <a:round/>
                                <a:headEnd type="none" w="med" len="med"/>
                                <a:tailEnd type="none" w="med" len="med"/>
                              </a:ln>
                              <a:effectLst/>
                            </wps:spPr>
                            <wps:bodyPr/>
                          </wps:wsp>
                        </a:graphicData>
                      </a:graphic>
                    </wp:anchor>
                  </w:drawing>
                </mc:Choice>
                <mc:Fallback>
                  <w:pict>
                    <v:line id="_x0000_s1026" o:spid="_x0000_s1026" o:spt="20" style="position:absolute;left:0pt;margin-left:23.35pt;margin-top:0.85pt;height:51.45pt;width:115.25pt;z-index:251660288;mso-width-relative:page;mso-height-relative:page;" filled="f" stroked="t" coordsize="21600,21600" o:gfxdata="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UgFTNNYAAAAIAQAADwAAAAAAAAABACAAAAAiAAAAZHJzL2Rvd25yZXYu&#10;eG1sUEsBAhQAFAAAAAgAh07iQDnnG0P9AQAA+wMAAA4AAAAAAAAAAQAgAAAAJQEAAGRycy9lMm9E&#10;b2MueG1sUEsFBgAAAAAGAAYAWQEAAJQFAAAAAA==&#10;">
                      <v:fill on="f" focussize="0,0"/>
                      <v:stroke color="#000000" joinstyle="round"/>
                      <v:imagedata o:title=""/>
                      <o:lock v:ext="edit" aspectratio="f"/>
                    </v:line>
                  </w:pict>
                </mc:Fallback>
              </mc:AlternateContent>
            </w:r>
            <w:r>
              <w:rPr>
                <w:rFonts w:hint="eastAsia" w:ascii="宋体" w:hAnsi="宋体" w:eastAsia="宋体" w:cs="宋体"/>
                <w:color w:val="auto"/>
                <w:sz w:val="21"/>
                <w:szCs w:val="21"/>
                <w:highlight w:val="none"/>
              </w:rPr>
              <w:t>费率           服务类型</w:t>
            </w:r>
          </w:p>
          <w:p>
            <w:pPr>
              <w:pageBreakBefore w:val="0"/>
              <w:widowControl w:val="0"/>
              <w:kinsoku/>
              <w:wordWrap/>
              <w:overflowPunct/>
              <w:topLinePunct w:val="0"/>
              <w:bidi w:val="0"/>
              <w:snapToGrid/>
              <w:spacing w:before="0" w:after="0" w:line="380" w:lineRule="exact"/>
              <w:ind w:left="0" w:leftChars="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mc:AlternateContent>
                <mc:Choice Requires="wps">
                  <w:drawing>
                    <wp:anchor distT="0" distB="0" distL="114300" distR="114300" simplePos="0" relativeHeight="251661312" behindDoc="0" locked="0" layoutInCell="1" allowOverlap="1">
                      <wp:simplePos x="0" y="0"/>
                      <wp:positionH relativeFrom="column">
                        <wp:posOffset>-68580</wp:posOffset>
                      </wp:positionH>
                      <wp:positionV relativeFrom="paragraph">
                        <wp:posOffset>39370</wp:posOffset>
                      </wp:positionV>
                      <wp:extent cx="1828800" cy="396240"/>
                      <wp:effectExtent l="1270" t="4445" r="17780" b="18415"/>
                      <wp:wrapNone/>
                      <wp:docPr id="1027" name="直接连接符 1027"/>
                      <wp:cNvGraphicFramePr/>
                      <a:graphic xmlns:a="http://schemas.openxmlformats.org/drawingml/2006/main">
                        <a:graphicData uri="http://schemas.microsoft.com/office/word/2010/wordprocessingShape">
                          <wps:wsp>
                            <wps:cNvCnPr/>
                            <wps:spPr>
                              <a:xfrm>
                                <a:off x="0" y="0"/>
                                <a:ext cx="1828800" cy="396239"/>
                              </a:xfrm>
                              <a:prstGeom prst="line">
                                <a:avLst/>
                              </a:prstGeom>
                              <a:ln w="9525" cap="flat" cmpd="sng">
                                <a:solidFill>
                                  <a:srgbClr val="000000"/>
                                </a:solidFill>
                                <a:prstDash val="solid"/>
                                <a:round/>
                                <a:headEnd type="none" w="med" len="med"/>
                                <a:tailEnd type="none" w="med" len="med"/>
                              </a:ln>
                              <a:effectLst/>
                            </wps:spPr>
                            <wps:bodyPr/>
                          </wps:wsp>
                        </a:graphicData>
                      </a:graphic>
                    </wp:anchor>
                  </w:drawing>
                </mc:Choice>
                <mc:Fallback>
                  <w:pict>
                    <v:line id="_x0000_s1026" o:spid="_x0000_s1026" o:spt="20" style="position:absolute;left:0pt;margin-left:-5.4pt;margin-top:3.1pt;height:31.2pt;width:144pt;z-index:251661312;mso-width-relative:page;mso-height-relative:page;" filled="f" stroked="t" coordsize="21600,21600" o:gfxdata="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AOr0TWAAAACAEAAA8AAAAAAAAAAQAgAAAAIgAAAGRycy9kb3ducmV2&#10;LnhtbFBLAQIUABQAAAAIAIdO4kDL+yLd/gEAAPsDAAAOAAAAAAAAAAEAIAAAACUBAABkcnMvZTJv&#10;RG9jLnhtbFBLBQYAAAAABgAGAFkBAACVBQAAAAA=&#10;">
                      <v:fill on="f" focussize="0,0"/>
                      <v:stroke color="#000000" joinstyle="round"/>
                      <v:imagedata o:title=""/>
                      <o:lock v:ext="edit" aspectratio="f"/>
                    </v:line>
                  </w:pict>
                </mc:Fallback>
              </mc:AlternateContent>
            </w:r>
          </w:p>
          <w:p>
            <w:pPr>
              <w:pageBreakBefore w:val="0"/>
              <w:widowControl w:val="0"/>
              <w:kinsoku/>
              <w:wordWrap/>
              <w:overflowPunct/>
              <w:topLinePunct w:val="0"/>
              <w:bidi w:val="0"/>
              <w:snapToGrid/>
              <w:spacing w:before="0" w:after="0" w:line="380" w:lineRule="exact"/>
              <w:ind w:left="0" w:leftChars="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中标金额（万元）</w:t>
            </w:r>
          </w:p>
        </w:tc>
        <w:tc>
          <w:tcPr>
            <w:tcW w:w="1841" w:type="dxa"/>
            <w:vAlign w:val="center"/>
          </w:tcPr>
          <w:p>
            <w:pPr>
              <w:pageBreakBefore w:val="0"/>
              <w:widowControl w:val="0"/>
              <w:kinsoku/>
              <w:wordWrap/>
              <w:overflowPunct/>
              <w:topLinePunct w:val="0"/>
              <w:bidi w:val="0"/>
              <w:snapToGrid/>
              <w:spacing w:before="0" w:after="0" w:line="380" w:lineRule="exact"/>
              <w:ind w:left="0" w:leftChars="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货物招标</w:t>
            </w:r>
          </w:p>
        </w:tc>
        <w:tc>
          <w:tcPr>
            <w:tcW w:w="1992" w:type="dxa"/>
            <w:vAlign w:val="center"/>
          </w:tcPr>
          <w:p>
            <w:pPr>
              <w:pageBreakBefore w:val="0"/>
              <w:widowControl w:val="0"/>
              <w:kinsoku/>
              <w:wordWrap/>
              <w:overflowPunct/>
              <w:topLinePunct w:val="0"/>
              <w:bidi w:val="0"/>
              <w:snapToGrid/>
              <w:spacing w:before="0" w:after="0" w:line="380" w:lineRule="exact"/>
              <w:ind w:left="0" w:leftChars="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服务招标</w:t>
            </w:r>
          </w:p>
        </w:tc>
        <w:tc>
          <w:tcPr>
            <w:tcW w:w="2293" w:type="dxa"/>
            <w:vAlign w:val="center"/>
          </w:tcPr>
          <w:p>
            <w:pPr>
              <w:pageBreakBefore w:val="0"/>
              <w:widowControl w:val="0"/>
              <w:kinsoku/>
              <w:wordWrap/>
              <w:overflowPunct/>
              <w:topLinePunct w:val="0"/>
              <w:bidi w:val="0"/>
              <w:snapToGrid/>
              <w:spacing w:before="0" w:after="0" w:line="380" w:lineRule="exact"/>
              <w:ind w:left="0" w:leftChars="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2880" w:type="dxa"/>
            <w:vAlign w:val="top"/>
          </w:tcPr>
          <w:p>
            <w:pPr>
              <w:pageBreakBefore w:val="0"/>
              <w:widowControl w:val="0"/>
              <w:kinsoku/>
              <w:wordWrap/>
              <w:overflowPunct/>
              <w:topLinePunct w:val="0"/>
              <w:bidi w:val="0"/>
              <w:snapToGrid/>
              <w:spacing w:before="0" w:after="0" w:line="380" w:lineRule="exact"/>
              <w:ind w:left="0" w:leftChars="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100以下</w:t>
            </w:r>
          </w:p>
        </w:tc>
        <w:tc>
          <w:tcPr>
            <w:tcW w:w="1841" w:type="dxa"/>
            <w:vAlign w:val="top"/>
          </w:tcPr>
          <w:p>
            <w:pPr>
              <w:pageBreakBefore w:val="0"/>
              <w:widowControl w:val="0"/>
              <w:kinsoku/>
              <w:wordWrap/>
              <w:overflowPunct/>
              <w:topLinePunct w:val="0"/>
              <w:bidi w:val="0"/>
              <w:snapToGrid/>
              <w:spacing w:before="0" w:after="0" w:line="380" w:lineRule="exact"/>
              <w:ind w:left="0" w:leftChars="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w:t>
            </w:r>
          </w:p>
        </w:tc>
        <w:tc>
          <w:tcPr>
            <w:tcW w:w="1992" w:type="dxa"/>
            <w:vAlign w:val="top"/>
          </w:tcPr>
          <w:p>
            <w:pPr>
              <w:pageBreakBefore w:val="0"/>
              <w:widowControl w:val="0"/>
              <w:kinsoku/>
              <w:wordWrap/>
              <w:overflowPunct/>
              <w:topLinePunct w:val="0"/>
              <w:bidi w:val="0"/>
              <w:snapToGrid/>
              <w:spacing w:before="0" w:after="0" w:line="380" w:lineRule="exact"/>
              <w:ind w:left="0" w:leftChars="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w:t>
            </w:r>
          </w:p>
        </w:tc>
        <w:tc>
          <w:tcPr>
            <w:tcW w:w="2293" w:type="dxa"/>
            <w:vAlign w:val="top"/>
          </w:tcPr>
          <w:p>
            <w:pPr>
              <w:pageBreakBefore w:val="0"/>
              <w:widowControl w:val="0"/>
              <w:kinsoku/>
              <w:wordWrap/>
              <w:overflowPunct/>
              <w:topLinePunct w:val="0"/>
              <w:bidi w:val="0"/>
              <w:snapToGrid/>
              <w:spacing w:before="0" w:after="0" w:line="380" w:lineRule="exact"/>
              <w:ind w:left="0" w:leftChars="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2880" w:type="dxa"/>
            <w:vAlign w:val="top"/>
          </w:tcPr>
          <w:p>
            <w:pPr>
              <w:pageBreakBefore w:val="0"/>
              <w:widowControl w:val="0"/>
              <w:kinsoku/>
              <w:wordWrap/>
              <w:overflowPunct/>
              <w:topLinePunct w:val="0"/>
              <w:bidi w:val="0"/>
              <w:snapToGrid/>
              <w:spacing w:before="0" w:after="0" w:line="380" w:lineRule="exact"/>
              <w:ind w:left="0" w:leftChars="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100-500</w:t>
            </w:r>
          </w:p>
        </w:tc>
        <w:tc>
          <w:tcPr>
            <w:tcW w:w="1841" w:type="dxa"/>
            <w:vAlign w:val="top"/>
          </w:tcPr>
          <w:p>
            <w:pPr>
              <w:pageBreakBefore w:val="0"/>
              <w:widowControl w:val="0"/>
              <w:kinsoku/>
              <w:wordWrap/>
              <w:overflowPunct/>
              <w:topLinePunct w:val="0"/>
              <w:bidi w:val="0"/>
              <w:snapToGrid/>
              <w:spacing w:before="0" w:after="0" w:line="380" w:lineRule="exact"/>
              <w:ind w:left="0" w:leftChars="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w:t>
            </w:r>
          </w:p>
        </w:tc>
        <w:tc>
          <w:tcPr>
            <w:tcW w:w="1992" w:type="dxa"/>
            <w:vAlign w:val="top"/>
          </w:tcPr>
          <w:p>
            <w:pPr>
              <w:pageBreakBefore w:val="0"/>
              <w:widowControl w:val="0"/>
              <w:kinsoku/>
              <w:wordWrap/>
              <w:overflowPunct/>
              <w:topLinePunct w:val="0"/>
              <w:bidi w:val="0"/>
              <w:snapToGrid/>
              <w:spacing w:before="0" w:after="0" w:line="380" w:lineRule="exact"/>
              <w:ind w:left="0" w:leftChars="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0.8%</w:t>
            </w:r>
          </w:p>
        </w:tc>
        <w:tc>
          <w:tcPr>
            <w:tcW w:w="2293" w:type="dxa"/>
            <w:vAlign w:val="top"/>
          </w:tcPr>
          <w:p>
            <w:pPr>
              <w:pageBreakBefore w:val="0"/>
              <w:widowControl w:val="0"/>
              <w:kinsoku/>
              <w:wordWrap/>
              <w:overflowPunct/>
              <w:topLinePunct w:val="0"/>
              <w:bidi w:val="0"/>
              <w:snapToGrid/>
              <w:spacing w:before="0" w:after="0" w:line="380" w:lineRule="exact"/>
              <w:ind w:left="0" w:leftChars="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880" w:type="dxa"/>
            <w:vAlign w:val="top"/>
          </w:tcPr>
          <w:p>
            <w:pPr>
              <w:pageBreakBefore w:val="0"/>
              <w:widowControl w:val="0"/>
              <w:kinsoku/>
              <w:wordWrap/>
              <w:overflowPunct/>
              <w:topLinePunct w:val="0"/>
              <w:bidi w:val="0"/>
              <w:snapToGrid/>
              <w:spacing w:before="0" w:after="0" w:line="380" w:lineRule="exact"/>
              <w:ind w:left="0" w:leftChars="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500-1000</w:t>
            </w:r>
          </w:p>
        </w:tc>
        <w:tc>
          <w:tcPr>
            <w:tcW w:w="1841" w:type="dxa"/>
            <w:vAlign w:val="top"/>
          </w:tcPr>
          <w:p>
            <w:pPr>
              <w:pageBreakBefore w:val="0"/>
              <w:widowControl w:val="0"/>
              <w:kinsoku/>
              <w:wordWrap/>
              <w:overflowPunct/>
              <w:topLinePunct w:val="0"/>
              <w:bidi w:val="0"/>
              <w:snapToGrid/>
              <w:spacing w:before="0" w:after="0" w:line="380" w:lineRule="exact"/>
              <w:ind w:left="0" w:leftChars="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0.8%</w:t>
            </w:r>
          </w:p>
        </w:tc>
        <w:tc>
          <w:tcPr>
            <w:tcW w:w="1992" w:type="dxa"/>
            <w:vAlign w:val="top"/>
          </w:tcPr>
          <w:p>
            <w:pPr>
              <w:pageBreakBefore w:val="0"/>
              <w:widowControl w:val="0"/>
              <w:kinsoku/>
              <w:wordWrap/>
              <w:overflowPunct/>
              <w:topLinePunct w:val="0"/>
              <w:bidi w:val="0"/>
              <w:snapToGrid/>
              <w:spacing w:before="0" w:after="0" w:line="380" w:lineRule="exact"/>
              <w:ind w:left="0" w:leftChars="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0.45%</w:t>
            </w:r>
          </w:p>
        </w:tc>
        <w:tc>
          <w:tcPr>
            <w:tcW w:w="2293" w:type="dxa"/>
            <w:vAlign w:val="top"/>
          </w:tcPr>
          <w:p>
            <w:pPr>
              <w:pageBreakBefore w:val="0"/>
              <w:widowControl w:val="0"/>
              <w:kinsoku/>
              <w:wordWrap/>
              <w:overflowPunct/>
              <w:topLinePunct w:val="0"/>
              <w:bidi w:val="0"/>
              <w:snapToGrid/>
              <w:spacing w:before="0" w:after="0" w:line="380" w:lineRule="exact"/>
              <w:ind w:left="0" w:leftChars="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880" w:type="dxa"/>
            <w:vAlign w:val="top"/>
          </w:tcPr>
          <w:p>
            <w:pPr>
              <w:pageBreakBefore w:val="0"/>
              <w:widowControl w:val="0"/>
              <w:kinsoku/>
              <w:wordWrap/>
              <w:overflowPunct/>
              <w:topLinePunct w:val="0"/>
              <w:bidi w:val="0"/>
              <w:snapToGrid/>
              <w:spacing w:before="0" w:after="0" w:line="380" w:lineRule="exact"/>
              <w:ind w:left="0" w:leftChars="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1000-5000</w:t>
            </w:r>
          </w:p>
        </w:tc>
        <w:tc>
          <w:tcPr>
            <w:tcW w:w="1841" w:type="dxa"/>
            <w:vAlign w:val="top"/>
          </w:tcPr>
          <w:p>
            <w:pPr>
              <w:pageBreakBefore w:val="0"/>
              <w:widowControl w:val="0"/>
              <w:kinsoku/>
              <w:wordWrap/>
              <w:overflowPunct/>
              <w:topLinePunct w:val="0"/>
              <w:bidi w:val="0"/>
              <w:snapToGrid/>
              <w:spacing w:before="0" w:after="0" w:line="380" w:lineRule="exact"/>
              <w:ind w:left="0" w:leftChars="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0.5%</w:t>
            </w:r>
          </w:p>
        </w:tc>
        <w:tc>
          <w:tcPr>
            <w:tcW w:w="1992" w:type="dxa"/>
            <w:vAlign w:val="top"/>
          </w:tcPr>
          <w:p>
            <w:pPr>
              <w:pageBreakBefore w:val="0"/>
              <w:widowControl w:val="0"/>
              <w:kinsoku/>
              <w:wordWrap/>
              <w:overflowPunct/>
              <w:topLinePunct w:val="0"/>
              <w:bidi w:val="0"/>
              <w:snapToGrid/>
              <w:spacing w:before="0" w:after="0" w:line="380" w:lineRule="exact"/>
              <w:ind w:left="0" w:leftChars="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0.25%</w:t>
            </w:r>
          </w:p>
        </w:tc>
        <w:tc>
          <w:tcPr>
            <w:tcW w:w="2293" w:type="dxa"/>
            <w:vAlign w:val="top"/>
          </w:tcPr>
          <w:p>
            <w:pPr>
              <w:pageBreakBefore w:val="0"/>
              <w:widowControl w:val="0"/>
              <w:kinsoku/>
              <w:wordWrap/>
              <w:overflowPunct/>
              <w:topLinePunct w:val="0"/>
              <w:bidi w:val="0"/>
              <w:snapToGrid/>
              <w:spacing w:before="0" w:after="0" w:line="380" w:lineRule="exact"/>
              <w:ind w:left="0" w:leftChars="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880" w:type="dxa"/>
            <w:vAlign w:val="top"/>
          </w:tcPr>
          <w:p>
            <w:pPr>
              <w:pageBreakBefore w:val="0"/>
              <w:widowControl w:val="0"/>
              <w:kinsoku/>
              <w:wordWrap/>
              <w:overflowPunct/>
              <w:topLinePunct w:val="0"/>
              <w:bidi w:val="0"/>
              <w:snapToGrid/>
              <w:spacing w:before="0" w:after="0" w:line="380" w:lineRule="exact"/>
              <w:ind w:left="0" w:leftChars="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5000-10000</w:t>
            </w:r>
          </w:p>
        </w:tc>
        <w:tc>
          <w:tcPr>
            <w:tcW w:w="1841" w:type="dxa"/>
            <w:vAlign w:val="top"/>
          </w:tcPr>
          <w:p>
            <w:pPr>
              <w:pageBreakBefore w:val="0"/>
              <w:widowControl w:val="0"/>
              <w:kinsoku/>
              <w:wordWrap/>
              <w:overflowPunct/>
              <w:topLinePunct w:val="0"/>
              <w:bidi w:val="0"/>
              <w:snapToGrid/>
              <w:spacing w:before="0" w:after="0" w:line="380" w:lineRule="exact"/>
              <w:ind w:left="0" w:leftChars="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0.25%</w:t>
            </w:r>
          </w:p>
        </w:tc>
        <w:tc>
          <w:tcPr>
            <w:tcW w:w="1992" w:type="dxa"/>
            <w:vAlign w:val="top"/>
          </w:tcPr>
          <w:p>
            <w:pPr>
              <w:pageBreakBefore w:val="0"/>
              <w:widowControl w:val="0"/>
              <w:kinsoku/>
              <w:wordWrap/>
              <w:overflowPunct/>
              <w:topLinePunct w:val="0"/>
              <w:bidi w:val="0"/>
              <w:snapToGrid/>
              <w:spacing w:before="0" w:after="0" w:line="380" w:lineRule="exact"/>
              <w:ind w:left="0" w:leftChars="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0.1%</w:t>
            </w:r>
          </w:p>
        </w:tc>
        <w:tc>
          <w:tcPr>
            <w:tcW w:w="2293" w:type="dxa"/>
            <w:vAlign w:val="top"/>
          </w:tcPr>
          <w:p>
            <w:pPr>
              <w:pageBreakBefore w:val="0"/>
              <w:widowControl w:val="0"/>
              <w:kinsoku/>
              <w:wordWrap/>
              <w:overflowPunct/>
              <w:topLinePunct w:val="0"/>
              <w:bidi w:val="0"/>
              <w:snapToGrid/>
              <w:spacing w:before="0" w:after="0" w:line="380" w:lineRule="exact"/>
              <w:ind w:left="0" w:leftChars="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0.2%</w:t>
            </w:r>
          </w:p>
        </w:tc>
      </w:tr>
    </w:tbl>
    <w:p>
      <w:pPr>
        <w:pageBreakBefore w:val="0"/>
        <w:widowControl w:val="0"/>
        <w:kinsoku/>
        <w:wordWrap/>
        <w:overflowPunct/>
        <w:topLinePunct w:val="0"/>
        <w:bidi w:val="0"/>
        <w:snapToGrid/>
        <w:spacing w:before="0" w:after="0" w:line="380" w:lineRule="exact"/>
        <w:ind w:left="0" w:leftChars="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注：招标代理服务收费按差额定率累进法计算。</w:t>
      </w:r>
    </w:p>
    <w:p>
      <w:pPr>
        <w:pageBreakBefore w:val="0"/>
        <w:widowControl w:val="0"/>
        <w:kinsoku/>
        <w:wordWrap/>
        <w:overflowPunct/>
        <w:topLinePunct w:val="0"/>
        <w:bidi w:val="0"/>
        <w:snapToGrid/>
        <w:spacing w:line="380" w:lineRule="exact"/>
        <w:ind w:left="0" w:leftChars="0" w:firstLine="422" w:firstLineChars="200"/>
        <w:textAlignment w:val="auto"/>
        <w:rPr>
          <w:rFonts w:hint="eastAsia" w:ascii="宋体" w:hAnsi="宋体" w:eastAsia="宋体" w:cs="宋体"/>
          <w:color w:val="auto"/>
          <w:sz w:val="21"/>
          <w:szCs w:val="21"/>
          <w:highlight w:val="none"/>
        </w:rPr>
      </w:pPr>
      <w:bookmarkStart w:id="133" w:name="_Toc9779"/>
      <w:r>
        <w:rPr>
          <w:rStyle w:val="26"/>
          <w:rFonts w:hint="eastAsia" w:ascii="宋体" w:hAnsi="宋体" w:eastAsia="宋体" w:cs="宋体"/>
          <w:color w:val="auto"/>
          <w:sz w:val="21"/>
          <w:szCs w:val="21"/>
          <w:highlight w:val="none"/>
        </w:rPr>
        <w:t>31. 解释权</w:t>
      </w:r>
      <w:bookmarkEnd w:id="132"/>
      <w:bookmarkEnd w:id="133"/>
      <w:r>
        <w:rPr>
          <w:rFonts w:hint="eastAsia" w:ascii="宋体" w:hAnsi="宋体" w:eastAsia="宋体" w:cs="宋体"/>
          <w:color w:val="auto"/>
          <w:sz w:val="21"/>
          <w:szCs w:val="21"/>
          <w:highlight w:val="none"/>
        </w:rPr>
        <w:t>：本竞争性磋商文件是根据《中华人民共和国政府采购法》《中华人民共和国政府采购法实施条例》《政府采购竞争性磋商采购方式管理暂行办法》和政府采购管理有关规定编制，本竞争性磋商文件的解释权属于采购代理机构。</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2" w:firstLineChars="200"/>
        <w:textAlignment w:val="auto"/>
        <w:rPr>
          <w:rFonts w:hint="eastAsia" w:ascii="宋体" w:hAnsi="宋体" w:eastAsia="宋体" w:cs="宋体"/>
          <w:color w:val="auto"/>
          <w:sz w:val="21"/>
          <w:szCs w:val="21"/>
          <w:highlight w:val="none"/>
        </w:rPr>
      </w:pPr>
      <w:bookmarkStart w:id="134" w:name="_Toc32738"/>
      <w:r>
        <w:rPr>
          <w:rStyle w:val="26"/>
          <w:rFonts w:hint="eastAsia" w:ascii="宋体" w:hAnsi="宋体" w:eastAsia="宋体" w:cs="宋体"/>
          <w:color w:val="auto"/>
          <w:sz w:val="21"/>
          <w:szCs w:val="21"/>
          <w:highlight w:val="none"/>
        </w:rPr>
        <w:t>32. 监督管理机构</w:t>
      </w:r>
      <w:bookmarkEnd w:id="134"/>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eastAsia="zh-CN"/>
        </w:rPr>
        <w:t>兴安县政府采购管理办公室</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联系电话：</w:t>
      </w:r>
      <w:r>
        <w:rPr>
          <w:rFonts w:hint="eastAsia" w:ascii="宋体" w:hAnsi="宋体" w:eastAsia="宋体" w:cs="宋体"/>
          <w:color w:val="auto"/>
          <w:sz w:val="21"/>
          <w:szCs w:val="21"/>
          <w:highlight w:val="none"/>
          <w:lang w:eastAsia="zh-CN"/>
        </w:rPr>
        <w:t>0773-6220651</w:t>
      </w:r>
    </w:p>
    <w:p>
      <w:pPr>
        <w:pageBreakBefore w:val="0"/>
        <w:widowControl w:val="0"/>
        <w:kinsoku/>
        <w:wordWrap/>
        <w:overflowPunct/>
        <w:topLinePunct w:val="0"/>
        <w:bidi w:val="0"/>
        <w:snapToGrid w:val="0"/>
        <w:spacing w:line="440" w:lineRule="exact"/>
        <w:ind w:firstLine="420" w:firstLineChars="200"/>
        <w:textAlignment w:val="auto"/>
        <w:rPr>
          <w:rFonts w:hint="eastAsia" w:ascii="宋体" w:hAnsi="宋体" w:eastAsia="宋体" w:cs="宋体"/>
          <w:color w:val="auto"/>
          <w:sz w:val="21"/>
          <w:szCs w:val="21"/>
          <w:highlight w:val="none"/>
          <w:lang w:eastAsia="zh-CN"/>
        </w:rPr>
      </w:pPr>
    </w:p>
    <w:p>
      <w:pPr>
        <w:pageBreakBefore w:val="0"/>
        <w:widowControl w:val="0"/>
        <w:kinsoku/>
        <w:wordWrap/>
        <w:overflowPunct/>
        <w:topLinePunct w:val="0"/>
        <w:bidi w:val="0"/>
        <w:spacing w:line="440" w:lineRule="exact"/>
        <w:textAlignment w:val="auto"/>
        <w:rPr>
          <w:rFonts w:hint="eastAsia" w:ascii="宋体" w:hAnsi="宋体" w:eastAsia="宋体" w:cs="宋体"/>
          <w:color w:val="auto"/>
          <w:sz w:val="21"/>
          <w:szCs w:val="21"/>
          <w:highlight w:val="none"/>
          <w:lang w:eastAsia="zh-CN"/>
        </w:rPr>
      </w:pPr>
    </w:p>
    <w:p>
      <w:pPr>
        <w:pStyle w:val="10"/>
        <w:rPr>
          <w:rFonts w:hint="eastAsia" w:ascii="宋体" w:hAnsi="宋体" w:eastAsia="宋体" w:cs="宋体"/>
          <w:color w:val="auto"/>
          <w:sz w:val="21"/>
          <w:szCs w:val="21"/>
          <w:highlight w:val="none"/>
          <w:lang w:eastAsia="zh-CN"/>
        </w:rPr>
      </w:pPr>
    </w:p>
    <w:p>
      <w:pPr>
        <w:pStyle w:val="10"/>
        <w:rPr>
          <w:rFonts w:hint="eastAsia" w:ascii="宋体" w:hAnsi="宋体" w:eastAsia="宋体" w:cs="宋体"/>
          <w:color w:val="auto"/>
          <w:sz w:val="21"/>
          <w:szCs w:val="21"/>
          <w:highlight w:val="none"/>
          <w:lang w:eastAsia="zh-CN"/>
        </w:rPr>
      </w:pPr>
    </w:p>
    <w:p>
      <w:pPr>
        <w:pStyle w:val="10"/>
        <w:rPr>
          <w:rFonts w:hint="eastAsia" w:ascii="宋体" w:hAnsi="宋体" w:eastAsia="宋体" w:cs="宋体"/>
          <w:color w:val="auto"/>
          <w:sz w:val="21"/>
          <w:szCs w:val="21"/>
          <w:highlight w:val="none"/>
          <w:lang w:eastAsia="zh-CN"/>
        </w:rPr>
      </w:pPr>
    </w:p>
    <w:p>
      <w:pPr>
        <w:snapToGrid w:val="0"/>
        <w:rPr>
          <w:rFonts w:hint="eastAsia" w:ascii="宋体" w:hAnsi="宋体" w:eastAsia="宋体" w:cs="宋体"/>
          <w:b/>
          <w:color w:val="auto"/>
          <w:kern w:val="0"/>
          <w:sz w:val="21"/>
          <w:szCs w:val="21"/>
          <w:highlight w:val="none"/>
        </w:rPr>
      </w:pPr>
    </w:p>
    <w:p>
      <w:pPr>
        <w:snapToGrid w:val="0"/>
        <w:rPr>
          <w:rFonts w:hint="eastAsia" w:ascii="宋体" w:hAnsi="宋体" w:eastAsia="宋体" w:cs="宋体"/>
          <w:b/>
          <w:color w:val="auto"/>
          <w:kern w:val="0"/>
          <w:sz w:val="21"/>
          <w:szCs w:val="21"/>
          <w:highlight w:val="none"/>
        </w:rPr>
      </w:pPr>
    </w:p>
    <w:p>
      <w:pPr>
        <w:snapToGrid w:val="0"/>
        <w:rPr>
          <w:rFonts w:hint="eastAsia" w:ascii="宋体" w:hAnsi="宋体" w:eastAsia="宋体" w:cs="宋体"/>
          <w:b/>
          <w:color w:val="auto"/>
          <w:kern w:val="0"/>
          <w:sz w:val="21"/>
          <w:szCs w:val="21"/>
          <w:highlight w:val="none"/>
        </w:rPr>
        <w:sectPr>
          <w:pgSz w:w="11906" w:h="16838"/>
          <w:pgMar w:top="1418" w:right="1115" w:bottom="1418" w:left="1131" w:header="851" w:footer="992" w:gutter="0"/>
          <w:pgNumType w:fmt="decimal"/>
          <w:cols w:space="720" w:num="1"/>
          <w:titlePg/>
          <w:docGrid w:type="lines" w:linePitch="312" w:charSpace="0"/>
        </w:sectPr>
      </w:pPr>
    </w:p>
    <w:p>
      <w:pPr>
        <w:snapToGrid w:val="0"/>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附表1：</w:t>
      </w:r>
    </w:p>
    <w:p>
      <w:pPr>
        <w:spacing w:line="460" w:lineRule="exact"/>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质疑函（格式）</w:t>
      </w:r>
    </w:p>
    <w:p>
      <w:pPr>
        <w:snapToGrid w:val="0"/>
        <w:spacing w:line="360" w:lineRule="exact"/>
        <w:ind w:firstLine="422" w:firstLineChars="200"/>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一、质疑供应商基本信息：</w:t>
      </w:r>
    </w:p>
    <w:p>
      <w:pPr>
        <w:snapToGrid w:val="0"/>
        <w:spacing w:line="360" w:lineRule="exact"/>
        <w:ind w:firstLine="420" w:firstLineChars="200"/>
        <w:rPr>
          <w:rFonts w:hint="eastAsia" w:ascii="宋体" w:hAnsi="宋体" w:eastAsia="宋体" w:cs="宋体"/>
          <w:bCs/>
          <w:color w:val="auto"/>
          <w:kern w:val="0"/>
          <w:sz w:val="21"/>
          <w:szCs w:val="21"/>
          <w:highlight w:val="none"/>
          <w:u w:val="single"/>
        </w:rPr>
      </w:pPr>
      <w:r>
        <w:rPr>
          <w:rFonts w:hint="eastAsia" w:ascii="宋体" w:hAnsi="宋体" w:eastAsia="宋体" w:cs="宋体"/>
          <w:bCs/>
          <w:color w:val="auto"/>
          <w:kern w:val="0"/>
          <w:sz w:val="21"/>
          <w:szCs w:val="21"/>
          <w:highlight w:val="none"/>
        </w:rPr>
        <w:t>质疑供应商：</w:t>
      </w:r>
    </w:p>
    <w:p>
      <w:pPr>
        <w:snapToGrid w:val="0"/>
        <w:spacing w:line="360" w:lineRule="exact"/>
        <w:ind w:firstLine="420" w:firstLineChars="200"/>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地址：邮编：</w:t>
      </w:r>
    </w:p>
    <w:p>
      <w:pPr>
        <w:snapToGrid w:val="0"/>
        <w:spacing w:line="360" w:lineRule="exact"/>
        <w:ind w:firstLine="420" w:firstLineChars="200"/>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联系人：联系电话：</w:t>
      </w:r>
    </w:p>
    <w:p>
      <w:pPr>
        <w:snapToGrid w:val="0"/>
        <w:spacing w:line="360" w:lineRule="exact"/>
        <w:ind w:firstLine="420" w:firstLineChars="200"/>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授权代表：</w:t>
      </w:r>
    </w:p>
    <w:p>
      <w:pPr>
        <w:snapToGrid w:val="0"/>
        <w:spacing w:line="360" w:lineRule="exact"/>
        <w:ind w:firstLine="420" w:firstLineChars="200"/>
        <w:rPr>
          <w:rFonts w:hint="eastAsia" w:ascii="宋体" w:hAnsi="宋体" w:eastAsia="宋体" w:cs="宋体"/>
          <w:bCs/>
          <w:color w:val="auto"/>
          <w:kern w:val="0"/>
          <w:sz w:val="21"/>
          <w:szCs w:val="21"/>
          <w:highlight w:val="none"/>
          <w:u w:val="single"/>
        </w:rPr>
      </w:pPr>
      <w:r>
        <w:rPr>
          <w:rFonts w:hint="eastAsia" w:ascii="宋体" w:hAnsi="宋体" w:eastAsia="宋体" w:cs="宋体"/>
          <w:bCs/>
          <w:color w:val="auto"/>
          <w:kern w:val="0"/>
          <w:sz w:val="21"/>
          <w:szCs w:val="21"/>
          <w:highlight w:val="none"/>
        </w:rPr>
        <w:t>联系电话：</w:t>
      </w:r>
    </w:p>
    <w:p>
      <w:pPr>
        <w:snapToGrid w:val="0"/>
        <w:spacing w:line="360" w:lineRule="exact"/>
        <w:ind w:firstLine="420" w:firstLineChars="200"/>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地址：邮编：</w:t>
      </w:r>
    </w:p>
    <w:p>
      <w:pPr>
        <w:snapToGrid w:val="0"/>
        <w:spacing w:line="360" w:lineRule="exact"/>
        <w:ind w:firstLine="422" w:firstLineChars="200"/>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二、质疑项目基本情况：</w:t>
      </w:r>
    </w:p>
    <w:p>
      <w:pPr>
        <w:spacing w:line="360" w:lineRule="exact"/>
        <w:ind w:left="25" w:leftChars="12" w:firstLine="413" w:firstLineChars="197"/>
        <w:rPr>
          <w:rFonts w:hint="eastAsia" w:ascii="宋体" w:hAnsi="宋体" w:eastAsia="宋体" w:cs="宋体"/>
          <w:color w:val="auto"/>
          <w:kern w:val="0"/>
          <w:sz w:val="21"/>
          <w:szCs w:val="21"/>
          <w:highlight w:val="none"/>
        </w:rPr>
      </w:pPr>
      <w:r>
        <w:rPr>
          <w:rFonts w:hint="eastAsia" w:ascii="宋体" w:hAnsi="宋体" w:eastAsia="宋体" w:cs="宋体"/>
          <w:bCs/>
          <w:color w:val="auto"/>
          <w:kern w:val="0"/>
          <w:sz w:val="21"/>
          <w:szCs w:val="21"/>
          <w:highlight w:val="none"/>
        </w:rPr>
        <w:t>质疑</w:t>
      </w:r>
      <w:r>
        <w:rPr>
          <w:rFonts w:hint="eastAsia" w:ascii="宋体" w:hAnsi="宋体" w:eastAsia="宋体" w:cs="宋体"/>
          <w:color w:val="auto"/>
          <w:kern w:val="0"/>
          <w:sz w:val="21"/>
          <w:szCs w:val="21"/>
          <w:highlight w:val="none"/>
        </w:rPr>
        <w:t>项目的名称：</w:t>
      </w:r>
    </w:p>
    <w:p>
      <w:pPr>
        <w:spacing w:line="360" w:lineRule="exact"/>
        <w:ind w:left="25" w:leftChars="12" w:firstLine="413" w:firstLineChars="197"/>
        <w:rPr>
          <w:rFonts w:hint="eastAsia" w:ascii="宋体" w:hAnsi="宋体" w:eastAsia="宋体" w:cs="宋体"/>
          <w:color w:val="auto"/>
          <w:kern w:val="0"/>
          <w:sz w:val="21"/>
          <w:szCs w:val="21"/>
          <w:highlight w:val="none"/>
        </w:rPr>
      </w:pPr>
      <w:r>
        <w:rPr>
          <w:rFonts w:hint="eastAsia" w:ascii="宋体" w:hAnsi="宋体" w:eastAsia="宋体" w:cs="宋体"/>
          <w:bCs/>
          <w:color w:val="auto"/>
          <w:kern w:val="0"/>
          <w:sz w:val="21"/>
          <w:szCs w:val="21"/>
          <w:highlight w:val="none"/>
        </w:rPr>
        <w:t>质疑</w:t>
      </w:r>
      <w:r>
        <w:rPr>
          <w:rFonts w:hint="eastAsia" w:ascii="宋体" w:hAnsi="宋体" w:eastAsia="宋体" w:cs="宋体"/>
          <w:color w:val="auto"/>
          <w:kern w:val="0"/>
          <w:sz w:val="21"/>
          <w:szCs w:val="21"/>
          <w:highlight w:val="none"/>
        </w:rPr>
        <w:t>项目的编号：</w:t>
      </w:r>
    </w:p>
    <w:p>
      <w:pPr>
        <w:spacing w:line="360" w:lineRule="exact"/>
        <w:ind w:left="25" w:leftChars="12" w:firstLine="413" w:firstLineChars="197"/>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采购人名称：</w:t>
      </w:r>
    </w:p>
    <w:p>
      <w:pPr>
        <w:spacing w:line="360" w:lineRule="exact"/>
        <w:ind w:left="25" w:leftChars="12" w:firstLine="413" w:firstLineChars="197"/>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质疑事项：</w:t>
      </w:r>
    </w:p>
    <w:p>
      <w:pPr>
        <w:spacing w:line="360" w:lineRule="exact"/>
        <w:ind w:left="25" w:leftChars="12" w:firstLine="308" w:firstLineChars="147"/>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□采购文件   采购文件获取日期：</w:t>
      </w:r>
    </w:p>
    <w:p>
      <w:pPr>
        <w:spacing w:line="360" w:lineRule="exact"/>
        <w:ind w:left="25" w:leftChars="12" w:firstLine="308" w:firstLineChars="147"/>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□采购过程   </w:t>
      </w:r>
    </w:p>
    <w:p>
      <w:pPr>
        <w:spacing w:line="360" w:lineRule="exact"/>
        <w:ind w:left="25" w:leftChars="12" w:firstLine="308" w:firstLineChars="147"/>
        <w:rPr>
          <w:rFonts w:hint="eastAsia" w:ascii="宋体" w:hAnsi="宋体" w:eastAsia="宋体" w:cs="宋体"/>
          <w:bCs/>
          <w:color w:val="auto"/>
          <w:kern w:val="0"/>
          <w:sz w:val="21"/>
          <w:szCs w:val="21"/>
          <w:highlight w:val="none"/>
          <w:u w:val="single"/>
        </w:rPr>
      </w:pPr>
      <w:r>
        <w:rPr>
          <w:rFonts w:hint="eastAsia" w:ascii="宋体" w:hAnsi="宋体" w:eastAsia="宋体" w:cs="宋体"/>
          <w:color w:val="auto"/>
          <w:kern w:val="0"/>
          <w:sz w:val="21"/>
          <w:szCs w:val="21"/>
          <w:highlight w:val="none"/>
        </w:rPr>
        <w:t xml:space="preserve">□成交结果   </w:t>
      </w:r>
    </w:p>
    <w:p>
      <w:pPr>
        <w:spacing w:line="360" w:lineRule="exact"/>
        <w:ind w:left="25" w:leftChars="12" w:firstLine="413" w:firstLineChars="196"/>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三、质疑事项具体内容</w:t>
      </w:r>
    </w:p>
    <w:p>
      <w:pPr>
        <w:spacing w:line="360" w:lineRule="exact"/>
        <w:ind w:left="25" w:leftChars="12" w:firstLine="413" w:firstLineChars="197"/>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质疑事项1：</w:t>
      </w:r>
    </w:p>
    <w:p>
      <w:pPr>
        <w:spacing w:line="360" w:lineRule="exact"/>
        <w:ind w:left="25" w:leftChars="12" w:firstLine="413" w:firstLineChars="197"/>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事实依据：</w:t>
      </w:r>
    </w:p>
    <w:p>
      <w:pPr>
        <w:spacing w:line="360" w:lineRule="exact"/>
        <w:ind w:left="25" w:leftChars="12" w:firstLine="413" w:firstLineChars="197"/>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法律依据：</w:t>
      </w:r>
    </w:p>
    <w:p>
      <w:pPr>
        <w:spacing w:line="360" w:lineRule="exact"/>
        <w:ind w:left="25" w:leftChars="12" w:firstLine="413" w:firstLineChars="197"/>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质疑事项2</w:t>
      </w:r>
    </w:p>
    <w:p>
      <w:pPr>
        <w:spacing w:line="360" w:lineRule="exact"/>
        <w:ind w:left="25" w:leftChars="12" w:firstLine="413" w:firstLineChars="197"/>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p>
      <w:pPr>
        <w:spacing w:line="360" w:lineRule="exact"/>
        <w:ind w:left="25" w:leftChars="12" w:firstLine="413" w:firstLineChars="197"/>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四、与质疑事项相关的质疑请求：</w:t>
      </w:r>
    </w:p>
    <w:p>
      <w:pPr>
        <w:spacing w:line="360" w:lineRule="exact"/>
        <w:ind w:left="25" w:leftChars="12" w:firstLine="413" w:firstLineChars="197"/>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请求：</w:t>
      </w:r>
    </w:p>
    <w:p>
      <w:pPr>
        <w:spacing w:line="360" w:lineRule="exact"/>
        <w:ind w:left="25" w:leftChars="12" w:firstLine="308" w:firstLineChars="147"/>
        <w:rPr>
          <w:rFonts w:hint="eastAsia" w:ascii="宋体" w:hAnsi="宋体" w:eastAsia="宋体" w:cs="宋体"/>
          <w:color w:val="auto"/>
          <w:kern w:val="0"/>
          <w:sz w:val="21"/>
          <w:szCs w:val="21"/>
          <w:highlight w:val="none"/>
        </w:rPr>
      </w:pPr>
    </w:p>
    <w:p>
      <w:pPr>
        <w:spacing w:line="360" w:lineRule="exact"/>
        <w:ind w:left="25" w:leftChars="12" w:firstLine="413" w:firstLineChars="197"/>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签字（签章）：                                       公章：</w:t>
      </w:r>
    </w:p>
    <w:p>
      <w:pPr>
        <w:spacing w:line="360" w:lineRule="exact"/>
        <w:ind w:left="25" w:leftChars="12" w:firstLine="308" w:firstLineChars="147"/>
        <w:rPr>
          <w:rFonts w:hint="eastAsia" w:ascii="宋体" w:hAnsi="宋体" w:eastAsia="宋体" w:cs="宋体"/>
          <w:color w:val="auto"/>
          <w:kern w:val="0"/>
          <w:sz w:val="21"/>
          <w:szCs w:val="21"/>
          <w:highlight w:val="none"/>
        </w:rPr>
      </w:pPr>
    </w:p>
    <w:p>
      <w:pPr>
        <w:spacing w:line="360" w:lineRule="exact"/>
        <w:ind w:left="25" w:leftChars="12" w:firstLine="413" w:firstLineChars="197"/>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日期：</w:t>
      </w:r>
    </w:p>
    <w:p>
      <w:pPr>
        <w:snapToGrid w:val="0"/>
        <w:spacing w:line="340" w:lineRule="exact"/>
        <w:rPr>
          <w:rFonts w:hint="eastAsia" w:ascii="宋体" w:hAnsi="宋体" w:eastAsia="宋体" w:cs="宋体"/>
          <w:b/>
          <w:color w:val="auto"/>
          <w:kern w:val="0"/>
          <w:sz w:val="21"/>
          <w:szCs w:val="21"/>
          <w:highlight w:val="none"/>
        </w:rPr>
      </w:pPr>
    </w:p>
    <w:p>
      <w:pPr>
        <w:snapToGrid w:val="0"/>
        <w:spacing w:line="340" w:lineRule="exact"/>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说明：</w:t>
      </w:r>
    </w:p>
    <w:p>
      <w:pPr>
        <w:spacing w:line="340" w:lineRule="exact"/>
        <w:ind w:left="25" w:leftChars="12" w:firstLine="310" w:firstLineChars="147"/>
        <w:rPr>
          <w:rFonts w:hint="eastAsia" w:ascii="宋体" w:hAnsi="宋体" w:eastAsia="宋体" w:cs="宋体"/>
          <w:b/>
          <w:bCs/>
          <w:color w:val="auto"/>
          <w:kern w:val="0"/>
          <w:sz w:val="21"/>
          <w:szCs w:val="21"/>
          <w:highlight w:val="none"/>
        </w:rPr>
      </w:pPr>
      <w:r>
        <w:rPr>
          <w:rFonts w:hint="eastAsia" w:ascii="宋体" w:hAnsi="宋体" w:eastAsia="宋体" w:cs="宋体"/>
          <w:b/>
          <w:color w:val="auto"/>
          <w:kern w:val="0"/>
          <w:sz w:val="21"/>
          <w:szCs w:val="21"/>
          <w:highlight w:val="none"/>
        </w:rPr>
        <w:t>1.供应商提出质疑时，应提交质疑函和必要的证明材料</w:t>
      </w:r>
      <w:r>
        <w:rPr>
          <w:rFonts w:hint="eastAsia" w:ascii="宋体" w:hAnsi="宋体" w:eastAsia="宋体" w:cs="宋体"/>
          <w:b/>
          <w:bCs/>
          <w:color w:val="auto"/>
          <w:kern w:val="0"/>
          <w:sz w:val="21"/>
          <w:szCs w:val="21"/>
          <w:highlight w:val="none"/>
        </w:rPr>
        <w:t>。</w:t>
      </w:r>
    </w:p>
    <w:p>
      <w:pPr>
        <w:spacing w:line="340" w:lineRule="exact"/>
        <w:ind w:left="25" w:leftChars="12" w:firstLine="310" w:firstLineChars="147"/>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spacing w:line="340" w:lineRule="exact"/>
        <w:ind w:left="25" w:leftChars="12" w:firstLine="310" w:firstLineChars="147"/>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3.质疑函的质疑事项应具体、明确，并有必要的事实依据和法律依据。</w:t>
      </w:r>
    </w:p>
    <w:p>
      <w:pPr>
        <w:spacing w:line="340" w:lineRule="exact"/>
        <w:ind w:left="25" w:leftChars="12" w:firstLine="310" w:firstLineChars="147"/>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4.质疑函的质疑请求应与质疑事项相关。</w:t>
      </w:r>
    </w:p>
    <w:p>
      <w:pPr>
        <w:spacing w:line="340" w:lineRule="exact"/>
        <w:ind w:left="25" w:leftChars="12" w:firstLine="310" w:firstLineChars="147"/>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6.质疑供应商为法人或者其他组织的，质疑函应由法定代表人、主要负责人，或者其授权代表签字或者盖章，并加盖公章。</w:t>
      </w:r>
    </w:p>
    <w:p>
      <w:pPr>
        <w:snapToGrid w:val="0"/>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附表2：</w:t>
      </w:r>
    </w:p>
    <w:p>
      <w:pPr>
        <w:spacing w:line="460" w:lineRule="exact"/>
        <w:jc w:val="center"/>
        <w:rPr>
          <w:rFonts w:hint="eastAsia" w:ascii="宋体" w:hAnsi="宋体" w:eastAsia="宋体" w:cs="宋体"/>
          <w:color w:val="auto"/>
          <w:kern w:val="0"/>
          <w:sz w:val="21"/>
          <w:szCs w:val="21"/>
          <w:highlight w:val="none"/>
        </w:rPr>
      </w:pPr>
    </w:p>
    <w:p>
      <w:pPr>
        <w:spacing w:line="460" w:lineRule="exact"/>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投诉书（格式）</w:t>
      </w:r>
    </w:p>
    <w:p>
      <w:pPr>
        <w:snapToGrid w:val="0"/>
        <w:spacing w:line="400" w:lineRule="exact"/>
        <w:ind w:firstLine="422" w:firstLineChars="200"/>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一、投诉相关主体基本情况：</w:t>
      </w:r>
    </w:p>
    <w:p>
      <w:pPr>
        <w:snapToGrid w:val="0"/>
        <w:spacing w:line="400" w:lineRule="exact"/>
        <w:ind w:firstLine="420" w:firstLineChars="200"/>
        <w:rPr>
          <w:rFonts w:hint="eastAsia" w:ascii="宋体" w:hAnsi="宋体" w:eastAsia="宋体" w:cs="宋体"/>
          <w:bCs/>
          <w:color w:val="auto"/>
          <w:kern w:val="0"/>
          <w:sz w:val="21"/>
          <w:szCs w:val="21"/>
          <w:highlight w:val="none"/>
          <w:u w:val="single"/>
        </w:rPr>
      </w:pPr>
      <w:r>
        <w:rPr>
          <w:rFonts w:hint="eastAsia" w:ascii="宋体" w:hAnsi="宋体" w:eastAsia="宋体" w:cs="宋体"/>
          <w:bCs/>
          <w:color w:val="auto"/>
          <w:kern w:val="0"/>
          <w:sz w:val="21"/>
          <w:szCs w:val="21"/>
          <w:highlight w:val="none"/>
        </w:rPr>
        <w:t>供应商：</w:t>
      </w:r>
    </w:p>
    <w:p>
      <w:pPr>
        <w:snapToGrid w:val="0"/>
        <w:spacing w:line="400" w:lineRule="exact"/>
        <w:ind w:firstLine="420" w:firstLineChars="200"/>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地址：邮编：</w:t>
      </w:r>
    </w:p>
    <w:p>
      <w:pPr>
        <w:snapToGrid w:val="0"/>
        <w:spacing w:line="400" w:lineRule="exact"/>
        <w:ind w:firstLine="420" w:firstLineChars="200"/>
        <w:rPr>
          <w:rFonts w:hint="eastAsia" w:ascii="宋体" w:hAnsi="宋体" w:eastAsia="宋体" w:cs="宋体"/>
          <w:bCs/>
          <w:color w:val="auto"/>
          <w:kern w:val="0"/>
          <w:sz w:val="21"/>
          <w:szCs w:val="21"/>
          <w:highlight w:val="none"/>
          <w:u w:val="single"/>
        </w:rPr>
      </w:pPr>
      <w:r>
        <w:rPr>
          <w:rFonts w:hint="eastAsia" w:ascii="宋体" w:hAnsi="宋体" w:eastAsia="宋体" w:cs="宋体"/>
          <w:bCs/>
          <w:color w:val="auto"/>
          <w:kern w:val="0"/>
          <w:sz w:val="21"/>
          <w:szCs w:val="21"/>
          <w:highlight w:val="none"/>
        </w:rPr>
        <w:t>法定代表人/主要负责人：</w:t>
      </w:r>
    </w:p>
    <w:p>
      <w:pPr>
        <w:snapToGrid w:val="0"/>
        <w:spacing w:line="400" w:lineRule="exact"/>
        <w:ind w:firstLine="420" w:firstLineChars="200"/>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联系电话：</w:t>
      </w:r>
    </w:p>
    <w:p>
      <w:pPr>
        <w:snapToGrid w:val="0"/>
        <w:spacing w:line="400" w:lineRule="exact"/>
        <w:ind w:firstLine="420" w:firstLineChars="200"/>
        <w:rPr>
          <w:rFonts w:hint="eastAsia" w:ascii="宋体" w:hAnsi="宋体" w:eastAsia="宋体" w:cs="宋体"/>
          <w:bCs/>
          <w:color w:val="auto"/>
          <w:kern w:val="0"/>
          <w:sz w:val="21"/>
          <w:szCs w:val="21"/>
          <w:highlight w:val="none"/>
          <w:u w:val="single"/>
        </w:rPr>
      </w:pPr>
      <w:r>
        <w:rPr>
          <w:rFonts w:hint="eastAsia" w:ascii="宋体" w:hAnsi="宋体" w:eastAsia="宋体" w:cs="宋体"/>
          <w:bCs/>
          <w:color w:val="auto"/>
          <w:kern w:val="0"/>
          <w:sz w:val="21"/>
          <w:szCs w:val="21"/>
          <w:highlight w:val="none"/>
        </w:rPr>
        <w:t>授权代表：联系电话：</w:t>
      </w:r>
    </w:p>
    <w:p>
      <w:pPr>
        <w:snapToGrid w:val="0"/>
        <w:spacing w:line="400" w:lineRule="exact"/>
        <w:ind w:firstLine="420" w:firstLineChars="200"/>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地址：邮编：</w:t>
      </w:r>
    </w:p>
    <w:p>
      <w:pPr>
        <w:snapToGrid w:val="0"/>
        <w:spacing w:line="400" w:lineRule="exact"/>
        <w:ind w:firstLine="420" w:firstLineChars="200"/>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被投诉人1：</w:t>
      </w:r>
    </w:p>
    <w:p>
      <w:pPr>
        <w:snapToGrid w:val="0"/>
        <w:spacing w:line="400" w:lineRule="exact"/>
        <w:ind w:firstLine="420" w:firstLineChars="200"/>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地址：邮编：</w:t>
      </w:r>
    </w:p>
    <w:p>
      <w:pPr>
        <w:snapToGrid w:val="0"/>
        <w:spacing w:line="400" w:lineRule="exact"/>
        <w:ind w:firstLine="420" w:firstLineChars="200"/>
        <w:rPr>
          <w:rFonts w:hint="eastAsia" w:ascii="宋体" w:hAnsi="宋体" w:eastAsia="宋体" w:cs="宋体"/>
          <w:bCs/>
          <w:color w:val="auto"/>
          <w:kern w:val="0"/>
          <w:sz w:val="21"/>
          <w:szCs w:val="21"/>
          <w:highlight w:val="none"/>
          <w:u w:val="single"/>
        </w:rPr>
      </w:pPr>
      <w:r>
        <w:rPr>
          <w:rFonts w:hint="eastAsia" w:ascii="宋体" w:hAnsi="宋体" w:eastAsia="宋体" w:cs="宋体"/>
          <w:bCs/>
          <w:color w:val="auto"/>
          <w:kern w:val="0"/>
          <w:sz w:val="21"/>
          <w:szCs w:val="21"/>
          <w:highlight w:val="none"/>
        </w:rPr>
        <w:t>联系人：联系电话：</w:t>
      </w:r>
    </w:p>
    <w:p>
      <w:pPr>
        <w:snapToGrid w:val="0"/>
        <w:spacing w:line="400" w:lineRule="exact"/>
        <w:ind w:firstLine="420" w:firstLineChars="200"/>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被投诉人2：</w:t>
      </w:r>
    </w:p>
    <w:p>
      <w:pPr>
        <w:snapToGrid w:val="0"/>
        <w:spacing w:line="400" w:lineRule="exact"/>
        <w:ind w:firstLine="420" w:firstLineChars="200"/>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w:t>
      </w:r>
    </w:p>
    <w:p>
      <w:pPr>
        <w:snapToGrid w:val="0"/>
        <w:spacing w:line="400" w:lineRule="exact"/>
        <w:ind w:firstLine="420" w:firstLineChars="200"/>
        <w:rPr>
          <w:rFonts w:hint="eastAsia" w:ascii="宋体" w:hAnsi="宋体" w:eastAsia="宋体" w:cs="宋体"/>
          <w:bCs/>
          <w:color w:val="auto"/>
          <w:kern w:val="0"/>
          <w:sz w:val="21"/>
          <w:szCs w:val="21"/>
          <w:highlight w:val="none"/>
          <w:u w:val="single"/>
        </w:rPr>
      </w:pPr>
      <w:r>
        <w:rPr>
          <w:rFonts w:hint="eastAsia" w:ascii="宋体" w:hAnsi="宋体" w:eastAsia="宋体" w:cs="宋体"/>
          <w:bCs/>
          <w:color w:val="auto"/>
          <w:kern w:val="0"/>
          <w:sz w:val="21"/>
          <w:szCs w:val="21"/>
          <w:highlight w:val="none"/>
        </w:rPr>
        <w:t>相关供应商：</w:t>
      </w:r>
    </w:p>
    <w:p>
      <w:pPr>
        <w:snapToGrid w:val="0"/>
        <w:spacing w:line="400" w:lineRule="exact"/>
        <w:ind w:firstLine="420" w:firstLineChars="200"/>
        <w:rPr>
          <w:rFonts w:hint="eastAsia" w:ascii="宋体" w:hAnsi="宋体" w:eastAsia="宋体" w:cs="宋体"/>
          <w:bCs/>
          <w:color w:val="auto"/>
          <w:kern w:val="0"/>
          <w:sz w:val="21"/>
          <w:szCs w:val="21"/>
          <w:highlight w:val="none"/>
          <w:u w:val="single"/>
        </w:rPr>
      </w:pPr>
      <w:r>
        <w:rPr>
          <w:rFonts w:hint="eastAsia" w:ascii="宋体" w:hAnsi="宋体" w:eastAsia="宋体" w:cs="宋体"/>
          <w:bCs/>
          <w:color w:val="auto"/>
          <w:kern w:val="0"/>
          <w:sz w:val="21"/>
          <w:szCs w:val="21"/>
          <w:highlight w:val="none"/>
        </w:rPr>
        <w:t>地址：邮编：</w:t>
      </w:r>
    </w:p>
    <w:p>
      <w:pPr>
        <w:snapToGrid w:val="0"/>
        <w:spacing w:line="400" w:lineRule="exact"/>
        <w:ind w:firstLine="420" w:firstLineChars="200"/>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联系人：联系电话：</w:t>
      </w:r>
    </w:p>
    <w:p>
      <w:pPr>
        <w:snapToGrid w:val="0"/>
        <w:spacing w:line="400" w:lineRule="exact"/>
        <w:ind w:firstLine="422" w:firstLineChars="200"/>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二、投诉项目基本情况：</w:t>
      </w:r>
    </w:p>
    <w:p>
      <w:pPr>
        <w:spacing w:line="400" w:lineRule="exact"/>
        <w:ind w:left="25" w:leftChars="12" w:firstLine="413" w:firstLineChars="197"/>
        <w:rPr>
          <w:rFonts w:hint="eastAsia" w:ascii="宋体" w:hAnsi="宋体" w:eastAsia="宋体" w:cs="宋体"/>
          <w:color w:val="auto"/>
          <w:kern w:val="0"/>
          <w:sz w:val="21"/>
          <w:szCs w:val="21"/>
          <w:highlight w:val="none"/>
        </w:rPr>
      </w:pPr>
      <w:r>
        <w:rPr>
          <w:rFonts w:hint="eastAsia" w:ascii="宋体" w:hAnsi="宋体" w:eastAsia="宋体" w:cs="宋体"/>
          <w:bCs/>
          <w:color w:val="auto"/>
          <w:kern w:val="0"/>
          <w:sz w:val="21"/>
          <w:szCs w:val="21"/>
          <w:highlight w:val="none"/>
        </w:rPr>
        <w:t>采购</w:t>
      </w:r>
      <w:r>
        <w:rPr>
          <w:rFonts w:hint="eastAsia" w:ascii="宋体" w:hAnsi="宋体" w:eastAsia="宋体" w:cs="宋体"/>
          <w:color w:val="auto"/>
          <w:kern w:val="0"/>
          <w:sz w:val="21"/>
          <w:szCs w:val="21"/>
          <w:highlight w:val="none"/>
        </w:rPr>
        <w:t>项目的名称：</w:t>
      </w:r>
    </w:p>
    <w:p>
      <w:pPr>
        <w:spacing w:line="400" w:lineRule="exact"/>
        <w:ind w:left="25" w:leftChars="12" w:firstLine="413" w:firstLineChars="197"/>
        <w:rPr>
          <w:rFonts w:hint="eastAsia" w:ascii="宋体" w:hAnsi="宋体" w:eastAsia="宋体" w:cs="宋体"/>
          <w:color w:val="auto"/>
          <w:kern w:val="0"/>
          <w:sz w:val="21"/>
          <w:szCs w:val="21"/>
          <w:highlight w:val="none"/>
        </w:rPr>
      </w:pPr>
      <w:r>
        <w:rPr>
          <w:rFonts w:hint="eastAsia" w:ascii="宋体" w:hAnsi="宋体" w:eastAsia="宋体" w:cs="宋体"/>
          <w:bCs/>
          <w:color w:val="auto"/>
          <w:kern w:val="0"/>
          <w:sz w:val="21"/>
          <w:szCs w:val="21"/>
          <w:highlight w:val="none"/>
        </w:rPr>
        <w:t>采购</w:t>
      </w:r>
      <w:r>
        <w:rPr>
          <w:rFonts w:hint="eastAsia" w:ascii="宋体" w:hAnsi="宋体" w:eastAsia="宋体" w:cs="宋体"/>
          <w:color w:val="auto"/>
          <w:kern w:val="0"/>
          <w:sz w:val="21"/>
          <w:szCs w:val="21"/>
          <w:highlight w:val="none"/>
        </w:rPr>
        <w:t>项目的编号：</w:t>
      </w:r>
    </w:p>
    <w:p>
      <w:pPr>
        <w:spacing w:line="400" w:lineRule="exact"/>
        <w:ind w:left="25" w:leftChars="12" w:firstLine="413" w:firstLineChars="197"/>
        <w:rPr>
          <w:rFonts w:hint="eastAsia" w:ascii="宋体" w:hAnsi="宋体" w:eastAsia="宋体" w:cs="宋体"/>
          <w:bCs/>
          <w:color w:val="auto"/>
          <w:kern w:val="0"/>
          <w:sz w:val="21"/>
          <w:szCs w:val="21"/>
          <w:highlight w:val="none"/>
          <w:u w:val="single"/>
        </w:rPr>
      </w:pPr>
      <w:r>
        <w:rPr>
          <w:rFonts w:hint="eastAsia" w:ascii="宋体" w:hAnsi="宋体" w:eastAsia="宋体" w:cs="宋体"/>
          <w:color w:val="auto"/>
          <w:kern w:val="0"/>
          <w:sz w:val="21"/>
          <w:szCs w:val="21"/>
          <w:highlight w:val="none"/>
        </w:rPr>
        <w:t>采购人名称：</w:t>
      </w:r>
    </w:p>
    <w:p>
      <w:pPr>
        <w:spacing w:line="400" w:lineRule="exact"/>
        <w:ind w:left="25" w:leftChars="12" w:firstLine="413" w:firstLineChars="197"/>
        <w:rPr>
          <w:rFonts w:hint="eastAsia" w:ascii="宋体" w:hAnsi="宋体" w:eastAsia="宋体" w:cs="宋体"/>
          <w:bCs/>
          <w:color w:val="auto"/>
          <w:kern w:val="0"/>
          <w:sz w:val="21"/>
          <w:szCs w:val="21"/>
          <w:highlight w:val="none"/>
          <w:u w:val="single"/>
        </w:rPr>
      </w:pPr>
      <w:r>
        <w:rPr>
          <w:rFonts w:hint="eastAsia" w:ascii="宋体" w:hAnsi="宋体" w:eastAsia="宋体" w:cs="宋体"/>
          <w:color w:val="auto"/>
          <w:kern w:val="0"/>
          <w:sz w:val="21"/>
          <w:szCs w:val="21"/>
          <w:highlight w:val="none"/>
        </w:rPr>
        <w:t>代理机构名称：</w:t>
      </w:r>
    </w:p>
    <w:p>
      <w:pPr>
        <w:spacing w:line="400" w:lineRule="exact"/>
        <w:ind w:left="25" w:leftChars="12" w:firstLine="413" w:firstLineChars="197"/>
        <w:rPr>
          <w:rFonts w:hint="eastAsia" w:ascii="宋体" w:hAnsi="宋体" w:eastAsia="宋体" w:cs="宋体"/>
          <w:bCs/>
          <w:color w:val="auto"/>
          <w:kern w:val="0"/>
          <w:sz w:val="21"/>
          <w:szCs w:val="21"/>
          <w:highlight w:val="none"/>
          <w:u w:val="single"/>
        </w:rPr>
      </w:pPr>
      <w:r>
        <w:rPr>
          <w:rFonts w:hint="eastAsia" w:ascii="宋体" w:hAnsi="宋体" w:eastAsia="宋体" w:cs="宋体"/>
          <w:bCs/>
          <w:color w:val="auto"/>
          <w:kern w:val="0"/>
          <w:sz w:val="21"/>
          <w:szCs w:val="21"/>
          <w:highlight w:val="none"/>
        </w:rPr>
        <w:t>采购文件公告：</w:t>
      </w:r>
      <w:r>
        <w:rPr>
          <w:rFonts w:hint="eastAsia" w:ascii="宋体" w:hAnsi="宋体" w:eastAsia="宋体" w:cs="宋体"/>
          <w:bCs/>
          <w:color w:val="auto"/>
          <w:kern w:val="0"/>
          <w:sz w:val="21"/>
          <w:szCs w:val="21"/>
          <w:highlight w:val="none"/>
          <w:u w:val="single"/>
        </w:rPr>
        <w:t>是/否</w:t>
      </w:r>
      <w:r>
        <w:rPr>
          <w:rFonts w:hint="eastAsia" w:ascii="宋体" w:hAnsi="宋体" w:eastAsia="宋体" w:cs="宋体"/>
          <w:bCs/>
          <w:color w:val="auto"/>
          <w:kern w:val="0"/>
          <w:sz w:val="21"/>
          <w:szCs w:val="21"/>
          <w:highlight w:val="none"/>
        </w:rPr>
        <w:t>公告期限：</w:t>
      </w:r>
    </w:p>
    <w:p>
      <w:pPr>
        <w:spacing w:line="400" w:lineRule="exact"/>
        <w:ind w:left="25" w:leftChars="12" w:firstLine="413" w:firstLineChars="197"/>
        <w:rPr>
          <w:rFonts w:hint="eastAsia" w:ascii="宋体" w:hAnsi="宋体" w:eastAsia="宋体" w:cs="宋体"/>
          <w:b/>
          <w:color w:val="auto"/>
          <w:kern w:val="0"/>
          <w:sz w:val="21"/>
          <w:szCs w:val="21"/>
          <w:highlight w:val="none"/>
        </w:rPr>
      </w:pPr>
      <w:r>
        <w:rPr>
          <w:rFonts w:hint="eastAsia" w:ascii="宋体" w:hAnsi="宋体" w:eastAsia="宋体" w:cs="宋体"/>
          <w:bCs/>
          <w:color w:val="auto"/>
          <w:kern w:val="0"/>
          <w:sz w:val="21"/>
          <w:szCs w:val="21"/>
          <w:highlight w:val="none"/>
        </w:rPr>
        <w:t>采购结果公告：</w:t>
      </w:r>
      <w:r>
        <w:rPr>
          <w:rFonts w:hint="eastAsia" w:ascii="宋体" w:hAnsi="宋体" w:eastAsia="宋体" w:cs="宋体"/>
          <w:bCs/>
          <w:color w:val="auto"/>
          <w:kern w:val="0"/>
          <w:sz w:val="21"/>
          <w:szCs w:val="21"/>
          <w:highlight w:val="none"/>
          <w:u w:val="single"/>
        </w:rPr>
        <w:t>是/否</w:t>
      </w:r>
      <w:r>
        <w:rPr>
          <w:rFonts w:hint="eastAsia" w:ascii="宋体" w:hAnsi="宋体" w:eastAsia="宋体" w:cs="宋体"/>
          <w:bCs/>
          <w:color w:val="auto"/>
          <w:kern w:val="0"/>
          <w:sz w:val="21"/>
          <w:szCs w:val="21"/>
          <w:highlight w:val="none"/>
        </w:rPr>
        <w:t>公告期限：</w:t>
      </w:r>
    </w:p>
    <w:p>
      <w:pPr>
        <w:spacing w:line="400" w:lineRule="exact"/>
        <w:ind w:left="25" w:leftChars="12" w:firstLine="413" w:firstLineChars="196"/>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三、质疑基本情况</w:t>
      </w:r>
    </w:p>
    <w:p>
      <w:pPr>
        <w:spacing w:line="400" w:lineRule="exact"/>
        <w:ind w:left="25" w:leftChars="12" w:firstLine="833" w:firstLineChars="397"/>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投诉人于年月日，向提出质疑，质疑事项为：</w:t>
      </w:r>
    </w:p>
    <w:p>
      <w:pPr>
        <w:spacing w:line="400" w:lineRule="exact"/>
        <w:rPr>
          <w:rFonts w:hint="eastAsia" w:ascii="宋体" w:hAnsi="宋体" w:eastAsia="宋体" w:cs="宋体"/>
          <w:bCs/>
          <w:color w:val="auto"/>
          <w:kern w:val="0"/>
          <w:sz w:val="21"/>
          <w:szCs w:val="21"/>
          <w:highlight w:val="none"/>
          <w:u w:val="single"/>
        </w:rPr>
      </w:pPr>
    </w:p>
    <w:p>
      <w:pPr>
        <w:spacing w:line="400" w:lineRule="exact"/>
        <w:rPr>
          <w:rFonts w:hint="eastAsia" w:ascii="宋体" w:hAnsi="宋体" w:eastAsia="宋体" w:cs="宋体"/>
          <w:bCs/>
          <w:color w:val="auto"/>
          <w:kern w:val="0"/>
          <w:sz w:val="21"/>
          <w:szCs w:val="21"/>
          <w:highlight w:val="none"/>
          <w:u w:val="single"/>
        </w:rPr>
      </w:pPr>
    </w:p>
    <w:p>
      <w:pPr>
        <w:spacing w:line="400" w:lineRule="exact"/>
        <w:rPr>
          <w:rFonts w:hint="eastAsia" w:ascii="宋体" w:hAnsi="宋体" w:eastAsia="宋体" w:cs="宋体"/>
          <w:color w:val="auto"/>
          <w:kern w:val="0"/>
          <w:sz w:val="21"/>
          <w:szCs w:val="21"/>
          <w:highlight w:val="none"/>
        </w:rPr>
      </w:pPr>
      <w:r>
        <w:rPr>
          <w:rFonts w:hint="eastAsia" w:ascii="宋体" w:hAnsi="宋体" w:eastAsia="宋体" w:cs="宋体"/>
          <w:bCs/>
          <w:color w:val="auto"/>
          <w:kern w:val="0"/>
          <w:sz w:val="21"/>
          <w:szCs w:val="21"/>
          <w:highlight w:val="none"/>
          <w:u w:val="single"/>
        </w:rPr>
        <w:t>采购人/代理机构</w:t>
      </w:r>
      <w:r>
        <w:rPr>
          <w:rFonts w:hint="eastAsia" w:ascii="宋体" w:hAnsi="宋体" w:eastAsia="宋体" w:cs="宋体"/>
          <w:bCs/>
          <w:color w:val="auto"/>
          <w:kern w:val="0"/>
          <w:sz w:val="21"/>
          <w:szCs w:val="21"/>
          <w:highlight w:val="none"/>
        </w:rPr>
        <w:t>于</w:t>
      </w:r>
      <w:r>
        <w:rPr>
          <w:rFonts w:hint="eastAsia" w:ascii="宋体" w:hAnsi="宋体" w:eastAsia="宋体" w:cs="宋体"/>
          <w:color w:val="auto"/>
          <w:kern w:val="0"/>
          <w:sz w:val="21"/>
          <w:szCs w:val="21"/>
          <w:highlight w:val="none"/>
        </w:rPr>
        <w:t>年月日，</w:t>
      </w:r>
      <w:r>
        <w:rPr>
          <w:rFonts w:hint="eastAsia" w:ascii="宋体" w:hAnsi="宋体" w:eastAsia="宋体" w:cs="宋体"/>
          <w:bCs/>
          <w:color w:val="auto"/>
          <w:kern w:val="0"/>
          <w:sz w:val="21"/>
          <w:szCs w:val="21"/>
          <w:highlight w:val="none"/>
        </w:rPr>
        <w:t xml:space="preserve">就质疑事项作出了答复/没有在法定期限内作出答复。                                                                                             </w:t>
      </w:r>
    </w:p>
    <w:p>
      <w:pPr>
        <w:spacing w:line="400" w:lineRule="exact"/>
        <w:ind w:left="25" w:leftChars="12" w:firstLine="413" w:firstLineChars="196"/>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四、投诉事项具体内容</w:t>
      </w:r>
    </w:p>
    <w:p>
      <w:pPr>
        <w:spacing w:line="400" w:lineRule="exact"/>
        <w:ind w:left="25" w:leftChars="12" w:firstLine="413" w:firstLineChars="197"/>
        <w:rPr>
          <w:rFonts w:hint="eastAsia" w:ascii="宋体" w:hAnsi="宋体" w:eastAsia="宋体" w:cs="宋体"/>
          <w:bCs/>
          <w:color w:val="auto"/>
          <w:kern w:val="0"/>
          <w:sz w:val="21"/>
          <w:szCs w:val="21"/>
          <w:highlight w:val="none"/>
          <w:u w:val="single"/>
        </w:rPr>
      </w:pPr>
      <w:r>
        <w:rPr>
          <w:rFonts w:hint="eastAsia" w:ascii="宋体" w:hAnsi="宋体" w:eastAsia="宋体" w:cs="宋体"/>
          <w:color w:val="auto"/>
          <w:kern w:val="0"/>
          <w:sz w:val="21"/>
          <w:szCs w:val="21"/>
          <w:highlight w:val="none"/>
        </w:rPr>
        <w:t>投诉事项1：</w:t>
      </w:r>
    </w:p>
    <w:p>
      <w:pPr>
        <w:spacing w:line="400" w:lineRule="exact"/>
        <w:ind w:firstLine="420" w:firstLineChars="200"/>
        <w:rPr>
          <w:rFonts w:hint="eastAsia" w:ascii="宋体" w:hAnsi="宋体" w:eastAsia="宋体" w:cs="宋体"/>
          <w:bCs/>
          <w:color w:val="auto"/>
          <w:kern w:val="0"/>
          <w:sz w:val="21"/>
          <w:szCs w:val="21"/>
          <w:highlight w:val="none"/>
          <w:u w:val="single"/>
        </w:rPr>
      </w:pPr>
      <w:r>
        <w:rPr>
          <w:rFonts w:hint="eastAsia" w:ascii="宋体" w:hAnsi="宋体" w:eastAsia="宋体" w:cs="宋体"/>
          <w:bCs/>
          <w:color w:val="auto"/>
          <w:kern w:val="0"/>
          <w:sz w:val="21"/>
          <w:szCs w:val="21"/>
          <w:highlight w:val="none"/>
        </w:rPr>
        <w:t>事实依据：</w:t>
      </w:r>
    </w:p>
    <w:p>
      <w:pPr>
        <w:spacing w:line="400" w:lineRule="exact"/>
        <w:ind w:left="25" w:leftChars="12" w:firstLine="413" w:firstLineChars="197"/>
        <w:rPr>
          <w:rFonts w:hint="eastAsia" w:ascii="宋体" w:hAnsi="宋体" w:eastAsia="宋体" w:cs="宋体"/>
          <w:color w:val="auto"/>
          <w:kern w:val="0"/>
          <w:sz w:val="21"/>
          <w:szCs w:val="21"/>
          <w:highlight w:val="none"/>
        </w:rPr>
      </w:pPr>
    </w:p>
    <w:p>
      <w:pPr>
        <w:spacing w:line="400" w:lineRule="exact"/>
        <w:ind w:firstLine="420" w:firstLineChars="200"/>
        <w:rPr>
          <w:rFonts w:hint="eastAsia" w:ascii="宋体" w:hAnsi="宋体" w:eastAsia="宋体" w:cs="宋体"/>
          <w:bCs/>
          <w:color w:val="auto"/>
          <w:kern w:val="0"/>
          <w:sz w:val="21"/>
          <w:szCs w:val="21"/>
          <w:highlight w:val="none"/>
          <w:u w:val="single"/>
        </w:rPr>
      </w:pPr>
      <w:r>
        <w:rPr>
          <w:rFonts w:hint="eastAsia" w:ascii="宋体" w:hAnsi="宋体" w:eastAsia="宋体" w:cs="宋体"/>
          <w:bCs/>
          <w:color w:val="auto"/>
          <w:kern w:val="0"/>
          <w:sz w:val="21"/>
          <w:szCs w:val="21"/>
          <w:highlight w:val="none"/>
        </w:rPr>
        <w:t>法律依据：</w:t>
      </w:r>
    </w:p>
    <w:p>
      <w:pPr>
        <w:spacing w:line="400" w:lineRule="exact"/>
        <w:ind w:left="25" w:leftChars="12" w:firstLine="308" w:firstLineChars="147"/>
        <w:rPr>
          <w:rFonts w:hint="eastAsia" w:ascii="宋体" w:hAnsi="宋体" w:eastAsia="宋体" w:cs="宋体"/>
          <w:bCs/>
          <w:color w:val="auto"/>
          <w:kern w:val="0"/>
          <w:sz w:val="21"/>
          <w:szCs w:val="21"/>
          <w:highlight w:val="none"/>
          <w:u w:val="single"/>
        </w:rPr>
      </w:pPr>
    </w:p>
    <w:p>
      <w:pPr>
        <w:spacing w:line="400" w:lineRule="exact"/>
        <w:ind w:left="25" w:leftChars="12" w:firstLine="413" w:firstLineChars="197"/>
        <w:rPr>
          <w:rFonts w:hint="eastAsia" w:ascii="宋体" w:hAnsi="宋体" w:eastAsia="宋体" w:cs="宋体"/>
          <w:bCs/>
          <w:color w:val="auto"/>
          <w:kern w:val="0"/>
          <w:sz w:val="21"/>
          <w:szCs w:val="21"/>
          <w:highlight w:val="none"/>
        </w:rPr>
      </w:pPr>
      <w:r>
        <w:rPr>
          <w:rFonts w:hint="eastAsia" w:ascii="宋体" w:hAnsi="宋体" w:eastAsia="宋体" w:cs="宋体"/>
          <w:color w:val="auto"/>
          <w:kern w:val="0"/>
          <w:sz w:val="21"/>
          <w:szCs w:val="21"/>
          <w:highlight w:val="none"/>
        </w:rPr>
        <w:t xml:space="preserve">投诉事项2  </w:t>
      </w:r>
    </w:p>
    <w:p>
      <w:pPr>
        <w:spacing w:line="400" w:lineRule="exact"/>
        <w:ind w:left="25" w:leftChars="12" w:firstLine="413" w:firstLineChars="197"/>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w:t>
      </w:r>
    </w:p>
    <w:p>
      <w:pPr>
        <w:spacing w:line="400" w:lineRule="exact"/>
        <w:ind w:left="25" w:leftChars="12" w:firstLine="413" w:firstLineChars="196"/>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五、与投诉事项相关的投诉请求：</w:t>
      </w:r>
    </w:p>
    <w:p>
      <w:pPr>
        <w:spacing w:line="400" w:lineRule="exact"/>
        <w:ind w:left="25" w:leftChars="12" w:firstLine="413" w:firstLineChars="197"/>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请求：</w:t>
      </w:r>
    </w:p>
    <w:p>
      <w:pPr>
        <w:spacing w:line="400" w:lineRule="exact"/>
        <w:ind w:left="25" w:leftChars="12" w:firstLine="308" w:firstLineChars="147"/>
        <w:rPr>
          <w:rFonts w:hint="eastAsia" w:ascii="宋体" w:hAnsi="宋体" w:eastAsia="宋体" w:cs="宋体"/>
          <w:color w:val="auto"/>
          <w:kern w:val="0"/>
          <w:sz w:val="21"/>
          <w:szCs w:val="21"/>
          <w:highlight w:val="none"/>
        </w:rPr>
      </w:pPr>
    </w:p>
    <w:p>
      <w:pPr>
        <w:spacing w:line="400" w:lineRule="exact"/>
        <w:ind w:left="25" w:leftChars="12" w:firstLine="413" w:firstLineChars="197"/>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签字（签章）：                                       公章：</w:t>
      </w:r>
    </w:p>
    <w:p>
      <w:pPr>
        <w:spacing w:line="400" w:lineRule="exact"/>
        <w:ind w:left="25" w:leftChars="12" w:firstLine="308" w:firstLineChars="147"/>
        <w:rPr>
          <w:rFonts w:hint="eastAsia" w:ascii="宋体" w:hAnsi="宋体" w:eastAsia="宋体" w:cs="宋体"/>
          <w:color w:val="auto"/>
          <w:kern w:val="0"/>
          <w:sz w:val="21"/>
          <w:szCs w:val="21"/>
          <w:highlight w:val="none"/>
        </w:rPr>
      </w:pPr>
    </w:p>
    <w:p>
      <w:pPr>
        <w:spacing w:line="400" w:lineRule="exact"/>
        <w:ind w:left="25" w:leftChars="12" w:firstLine="413" w:firstLineChars="197"/>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日期：</w:t>
      </w:r>
    </w:p>
    <w:p>
      <w:pPr>
        <w:spacing w:line="360" w:lineRule="exact"/>
        <w:ind w:left="25" w:leftChars="12" w:firstLine="413" w:firstLineChars="197"/>
        <w:rPr>
          <w:rFonts w:hint="eastAsia" w:ascii="宋体" w:hAnsi="宋体" w:eastAsia="宋体" w:cs="宋体"/>
          <w:color w:val="auto"/>
          <w:kern w:val="0"/>
          <w:sz w:val="21"/>
          <w:szCs w:val="21"/>
          <w:highlight w:val="none"/>
        </w:rPr>
      </w:pPr>
    </w:p>
    <w:p>
      <w:pPr>
        <w:snapToGrid w:val="0"/>
        <w:spacing w:line="340" w:lineRule="exact"/>
        <w:rPr>
          <w:rFonts w:hint="eastAsia" w:ascii="宋体" w:hAnsi="宋体" w:eastAsia="宋体" w:cs="宋体"/>
          <w:b/>
          <w:color w:val="auto"/>
          <w:kern w:val="0"/>
          <w:sz w:val="21"/>
          <w:szCs w:val="21"/>
          <w:highlight w:val="none"/>
        </w:rPr>
      </w:pPr>
    </w:p>
    <w:p>
      <w:pPr>
        <w:snapToGrid w:val="0"/>
        <w:spacing w:line="340" w:lineRule="exact"/>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说明：</w:t>
      </w:r>
    </w:p>
    <w:p>
      <w:pPr>
        <w:spacing w:line="340" w:lineRule="exact"/>
        <w:ind w:left="25" w:leftChars="12" w:firstLine="310" w:firstLineChars="147"/>
        <w:rPr>
          <w:rFonts w:hint="eastAsia" w:ascii="宋体" w:hAnsi="宋体" w:eastAsia="宋体" w:cs="宋体"/>
          <w:b/>
          <w:bCs/>
          <w:color w:val="auto"/>
          <w:kern w:val="0"/>
          <w:sz w:val="21"/>
          <w:szCs w:val="21"/>
          <w:highlight w:val="none"/>
        </w:rPr>
      </w:pPr>
      <w:r>
        <w:rPr>
          <w:rFonts w:hint="eastAsia" w:ascii="宋体" w:hAnsi="宋体" w:eastAsia="宋体" w:cs="宋体"/>
          <w:b/>
          <w:color w:val="auto"/>
          <w:kern w:val="0"/>
          <w:sz w:val="21"/>
          <w:szCs w:val="21"/>
          <w:highlight w:val="none"/>
        </w:rPr>
        <w:t>1.投诉人提起投诉时，应当提交投诉书和必要的证明材料，并按照被投诉人和与投诉事项有关的供应商数量提供投诉书副本</w:t>
      </w:r>
      <w:r>
        <w:rPr>
          <w:rFonts w:hint="eastAsia" w:ascii="宋体" w:hAnsi="宋体" w:eastAsia="宋体" w:cs="宋体"/>
          <w:b/>
          <w:bCs/>
          <w:color w:val="auto"/>
          <w:kern w:val="0"/>
          <w:sz w:val="21"/>
          <w:szCs w:val="21"/>
          <w:highlight w:val="none"/>
        </w:rPr>
        <w:t>。</w:t>
      </w:r>
    </w:p>
    <w:p>
      <w:pPr>
        <w:spacing w:line="340" w:lineRule="exact"/>
        <w:ind w:left="25" w:leftChars="12" w:firstLine="310" w:firstLineChars="147"/>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2.投诉人若委托代理人进行投诉的，投诉书应按要求列明“授权代表”的有关内容，并在附件中提交由投诉人签署的授权委托书。授权委托书应当载明代理人的姓名或者名称、代理事项、具体权限、期限和相关事项。</w:t>
      </w:r>
    </w:p>
    <w:p>
      <w:pPr>
        <w:spacing w:line="340" w:lineRule="exact"/>
        <w:ind w:left="25" w:leftChars="12" w:firstLine="310" w:firstLineChars="147"/>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3.投诉书应简要列明质疑事项，质疑函、质疑答复等作为附件材料提供。</w:t>
      </w:r>
    </w:p>
    <w:p>
      <w:pPr>
        <w:spacing w:line="340" w:lineRule="exact"/>
        <w:ind w:left="25" w:leftChars="12" w:firstLine="310" w:firstLineChars="147"/>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4.投诉书的投诉事项应具体、明确，并有必要的事实依据和法律依据。</w:t>
      </w:r>
    </w:p>
    <w:p>
      <w:pPr>
        <w:spacing w:line="340" w:lineRule="exact"/>
        <w:ind w:left="25" w:leftChars="12" w:firstLine="310" w:firstLineChars="147"/>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5.投诉书的投诉请求应与投诉事项相关。</w:t>
      </w:r>
    </w:p>
    <w:p>
      <w:pPr>
        <w:spacing w:line="340" w:lineRule="exact"/>
        <w:ind w:left="25" w:leftChars="12" w:firstLine="310" w:firstLineChars="147"/>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rPr>
        <w:t>6.</w:t>
      </w:r>
      <w:r>
        <w:rPr>
          <w:rFonts w:hint="eastAsia" w:ascii="宋体" w:hAnsi="宋体" w:eastAsia="宋体" w:cs="宋体"/>
          <w:b/>
          <w:color w:val="auto"/>
          <w:sz w:val="21"/>
          <w:szCs w:val="21"/>
          <w:highlight w:val="none"/>
        </w:rPr>
        <w:t>投诉人为法人或者其他组织的，投诉书应由法定代表人、主要负责人，或者其授权代表签字或者盖章，并加盖公章。</w:t>
      </w:r>
    </w:p>
    <w:p>
      <w:pPr>
        <w:spacing w:line="340" w:lineRule="exact"/>
        <w:ind w:left="25" w:leftChars="12" w:firstLine="310" w:firstLineChars="147"/>
        <w:rPr>
          <w:rFonts w:hint="eastAsia" w:ascii="宋体" w:hAnsi="宋体" w:eastAsia="宋体" w:cs="宋体"/>
          <w:b/>
          <w:color w:val="auto"/>
          <w:kern w:val="0"/>
          <w:sz w:val="21"/>
          <w:szCs w:val="21"/>
          <w:highlight w:val="none"/>
        </w:rPr>
      </w:pPr>
    </w:p>
    <w:p>
      <w:pPr>
        <w:pStyle w:val="8"/>
        <w:spacing w:before="191" w:line="219" w:lineRule="auto"/>
        <w:ind w:left="9"/>
        <w:rPr>
          <w:color w:val="auto"/>
          <w:spacing w:val="-8"/>
          <w:sz w:val="24"/>
          <w:szCs w:val="24"/>
          <w:highlight w:val="none"/>
          <w14:textOutline w14:w="4358" w14:cap="sq" w14:cmpd="sng">
            <w14:solidFill>
              <w14:srgbClr w14:val="000000"/>
            </w14:solidFill>
            <w14:prstDash w14:val="solid"/>
            <w14:bevel/>
          </w14:textOutline>
        </w:rPr>
      </w:pPr>
    </w:p>
    <w:p>
      <w:pPr>
        <w:pStyle w:val="8"/>
        <w:spacing w:before="191" w:line="219" w:lineRule="auto"/>
        <w:ind w:left="9"/>
        <w:rPr>
          <w:color w:val="auto"/>
          <w:spacing w:val="-8"/>
          <w:sz w:val="24"/>
          <w:szCs w:val="24"/>
          <w:highlight w:val="none"/>
          <w14:textOutline w14:w="4358" w14:cap="sq" w14:cmpd="sng">
            <w14:solidFill>
              <w14:srgbClr w14:val="000000"/>
            </w14:solidFill>
            <w14:prstDash w14:val="solid"/>
            <w14:bevel/>
          </w14:textOutline>
        </w:rPr>
      </w:pPr>
    </w:p>
    <w:p>
      <w:pPr>
        <w:pStyle w:val="8"/>
        <w:spacing w:before="191" w:line="219" w:lineRule="auto"/>
        <w:ind w:left="9"/>
        <w:rPr>
          <w:color w:val="auto"/>
          <w:spacing w:val="-8"/>
          <w:sz w:val="24"/>
          <w:szCs w:val="24"/>
          <w:highlight w:val="none"/>
          <w14:textOutline w14:w="4358" w14:cap="sq" w14:cmpd="sng">
            <w14:solidFill>
              <w14:srgbClr w14:val="000000"/>
            </w14:solidFill>
            <w14:prstDash w14:val="solid"/>
            <w14:bevel/>
          </w14:textOutline>
        </w:rPr>
      </w:pPr>
    </w:p>
    <w:p>
      <w:pPr>
        <w:pStyle w:val="8"/>
        <w:spacing w:before="191" w:line="219" w:lineRule="auto"/>
        <w:ind w:left="9"/>
        <w:rPr>
          <w:color w:val="auto"/>
          <w:spacing w:val="-8"/>
          <w:sz w:val="24"/>
          <w:szCs w:val="24"/>
          <w:highlight w:val="none"/>
          <w14:textOutline w14:w="4358" w14:cap="sq" w14:cmpd="sng">
            <w14:solidFill>
              <w14:srgbClr w14:val="000000"/>
            </w14:solidFill>
            <w14:prstDash w14:val="solid"/>
            <w14:bevel/>
          </w14:textOutline>
        </w:rPr>
      </w:pPr>
    </w:p>
    <w:p>
      <w:pPr>
        <w:pStyle w:val="8"/>
        <w:spacing w:before="191" w:line="219" w:lineRule="auto"/>
        <w:ind w:left="9"/>
        <w:rPr>
          <w:color w:val="auto"/>
          <w:spacing w:val="-8"/>
          <w:sz w:val="24"/>
          <w:szCs w:val="24"/>
          <w:highlight w:val="none"/>
          <w14:textOutline w14:w="4358" w14:cap="sq" w14:cmpd="sng">
            <w14:solidFill>
              <w14:srgbClr w14:val="000000"/>
            </w14:solidFill>
            <w14:prstDash w14:val="solid"/>
            <w14:bevel/>
          </w14:textOutline>
        </w:rPr>
      </w:pPr>
    </w:p>
    <w:p>
      <w:pPr>
        <w:pStyle w:val="8"/>
        <w:spacing w:before="191" w:line="219" w:lineRule="auto"/>
        <w:ind w:left="9"/>
        <w:rPr>
          <w:color w:val="auto"/>
          <w:spacing w:val="-8"/>
          <w:sz w:val="24"/>
          <w:szCs w:val="24"/>
          <w:highlight w:val="none"/>
          <w14:textOutline w14:w="4358" w14:cap="sq" w14:cmpd="sng">
            <w14:solidFill>
              <w14:srgbClr w14:val="000000"/>
            </w14:solidFill>
            <w14:prstDash w14:val="solid"/>
            <w14:bevel/>
          </w14:textOutline>
        </w:rPr>
      </w:pPr>
    </w:p>
    <w:p>
      <w:pPr>
        <w:pStyle w:val="8"/>
        <w:spacing w:before="191" w:line="219" w:lineRule="auto"/>
        <w:ind w:left="9"/>
        <w:rPr>
          <w:color w:val="auto"/>
          <w:spacing w:val="-8"/>
          <w:sz w:val="24"/>
          <w:szCs w:val="24"/>
          <w:highlight w:val="none"/>
          <w14:textOutline w14:w="4358" w14:cap="sq" w14:cmpd="sng">
            <w14:solidFill>
              <w14:srgbClr w14:val="000000"/>
            </w14:solidFill>
            <w14:prstDash w14:val="solid"/>
            <w14:bevel/>
          </w14:textOutline>
        </w:rPr>
      </w:pPr>
    </w:p>
    <w:p>
      <w:pPr>
        <w:pStyle w:val="8"/>
        <w:spacing w:before="191" w:line="219" w:lineRule="auto"/>
        <w:ind w:left="9"/>
        <w:rPr>
          <w:color w:val="auto"/>
          <w:spacing w:val="-8"/>
          <w:sz w:val="24"/>
          <w:szCs w:val="24"/>
          <w:highlight w:val="none"/>
          <w14:textOutline w14:w="4358" w14:cap="sq" w14:cmpd="sng">
            <w14:solidFill>
              <w14:srgbClr w14:val="000000"/>
            </w14:solidFill>
            <w14:prstDash w14:val="solid"/>
            <w14:bevel/>
          </w14:textOutline>
        </w:rPr>
      </w:pPr>
    </w:p>
    <w:p>
      <w:pPr>
        <w:pStyle w:val="8"/>
        <w:spacing w:before="191" w:line="219" w:lineRule="auto"/>
        <w:ind w:left="9"/>
        <w:rPr>
          <w:color w:val="auto"/>
          <w:spacing w:val="-8"/>
          <w:sz w:val="24"/>
          <w:szCs w:val="24"/>
          <w:highlight w:val="none"/>
          <w14:textOutline w14:w="4358" w14:cap="sq" w14:cmpd="sng">
            <w14:solidFill>
              <w14:srgbClr w14:val="000000"/>
            </w14:solidFill>
            <w14:prstDash w14:val="solid"/>
            <w14:bevel/>
          </w14:textOutline>
        </w:rPr>
      </w:pPr>
    </w:p>
    <w:p>
      <w:pPr>
        <w:pStyle w:val="8"/>
        <w:spacing w:before="191" w:line="219" w:lineRule="auto"/>
        <w:ind w:left="9"/>
        <w:rPr>
          <w:color w:val="auto"/>
          <w:spacing w:val="-8"/>
          <w:sz w:val="24"/>
          <w:szCs w:val="24"/>
          <w:highlight w:val="none"/>
          <w14:textOutline w14:w="4358" w14:cap="sq" w14:cmpd="sng">
            <w14:solidFill>
              <w14:srgbClr w14:val="000000"/>
            </w14:solidFill>
            <w14:prstDash w14:val="solid"/>
            <w14:bevel/>
          </w14:textOutline>
        </w:rPr>
      </w:pPr>
    </w:p>
    <w:p>
      <w:pPr>
        <w:pStyle w:val="8"/>
        <w:spacing w:before="191" w:line="219" w:lineRule="auto"/>
        <w:ind w:left="9"/>
        <w:rPr>
          <w:color w:val="auto"/>
          <w:spacing w:val="-8"/>
          <w:sz w:val="24"/>
          <w:szCs w:val="24"/>
          <w:highlight w:val="none"/>
          <w14:textOutline w14:w="4358" w14:cap="sq" w14:cmpd="sng">
            <w14:solidFill>
              <w14:srgbClr w14:val="000000"/>
            </w14:solidFill>
            <w14:prstDash w14:val="solid"/>
            <w14:bevel/>
          </w14:textOutline>
        </w:rPr>
      </w:pPr>
    </w:p>
    <w:p>
      <w:pPr>
        <w:rPr>
          <w:color w:val="auto"/>
          <w:highlight w:val="none"/>
        </w:rPr>
      </w:pPr>
    </w:p>
    <w:p>
      <w:pPr>
        <w:pStyle w:val="8"/>
        <w:rPr>
          <w:color w:val="auto"/>
          <w:highlight w:val="none"/>
        </w:rPr>
      </w:pPr>
    </w:p>
    <w:p>
      <w:pPr>
        <w:snapToGrid w:val="0"/>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附表 3:</w:t>
      </w:r>
    </w:p>
    <w:p>
      <w:pPr>
        <w:pStyle w:val="8"/>
        <w:keepNext w:val="0"/>
        <w:keepLines w:val="0"/>
        <w:pageBreakBefore w:val="0"/>
        <w:widowControl w:val="0"/>
        <w:kinsoku/>
        <w:wordWrap/>
        <w:overflowPunct/>
        <w:topLinePunct w:val="0"/>
        <w:autoSpaceDE/>
        <w:autoSpaceDN/>
        <w:bidi w:val="0"/>
        <w:adjustRightInd/>
        <w:snapToGrid/>
        <w:spacing w:after="0" w:line="400" w:lineRule="atLeast"/>
        <w:ind w:left="0"/>
        <w:jc w:val="center"/>
        <w:textAlignment w:val="auto"/>
        <w:rPr>
          <w:color w:val="auto"/>
          <w:sz w:val="24"/>
          <w:szCs w:val="24"/>
          <w:highlight w:val="none"/>
        </w:rPr>
      </w:pPr>
      <w:r>
        <w:rPr>
          <w:color w:val="auto"/>
          <w:spacing w:val="9"/>
          <w:sz w:val="24"/>
          <w:szCs w:val="24"/>
          <w:highlight w:val="none"/>
          <w14:textOutline w14:w="5793" w14:cap="sq" w14:cmpd="sng">
            <w14:solidFill>
              <w14:srgbClr w14:val="000000"/>
            </w14:solidFill>
            <w14:prstDash w14:val="solid"/>
            <w14:bevel/>
          </w14:textOutline>
        </w:rPr>
        <w:t>政府采购项目合同验收报告（格式）</w:t>
      </w:r>
    </w:p>
    <w:p>
      <w:pPr>
        <w:spacing w:line="242"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before="65" w:line="229" w:lineRule="auto"/>
        <w:jc w:val="right"/>
        <w:rPr>
          <w:rFonts w:ascii="仿宋" w:hAnsi="仿宋" w:eastAsia="仿宋" w:cs="仿宋"/>
          <w:color w:val="auto"/>
          <w:sz w:val="20"/>
          <w:szCs w:val="20"/>
          <w:highlight w:val="none"/>
        </w:rPr>
      </w:pPr>
      <w:r>
        <w:rPr>
          <w:rFonts w:ascii="仿宋" w:hAnsi="仿宋" w:eastAsia="仿宋" w:cs="仿宋"/>
          <w:color w:val="auto"/>
          <w:spacing w:val="7"/>
          <w:sz w:val="20"/>
          <w:szCs w:val="20"/>
          <w:highlight w:val="none"/>
        </w:rPr>
        <w:t>根据政府采购项目（</w:t>
      </w:r>
      <w:r>
        <w:rPr>
          <w:rFonts w:ascii="仿宋" w:hAnsi="仿宋" w:eastAsia="仿宋" w:cs="仿宋"/>
          <w:color w:val="auto"/>
          <w:spacing w:val="7"/>
          <w:sz w:val="20"/>
          <w:szCs w:val="20"/>
          <w:highlight w:val="none"/>
          <w:u w:val="single" w:color="auto"/>
        </w:rPr>
        <w:t>采购合同编号</w:t>
      </w:r>
      <w:r>
        <w:rPr>
          <w:rFonts w:ascii="仿宋" w:hAnsi="仿宋" w:eastAsia="仿宋" w:cs="仿宋"/>
          <w:color w:val="auto"/>
          <w:spacing w:val="2"/>
          <w:sz w:val="20"/>
          <w:szCs w:val="20"/>
          <w:highlight w:val="none"/>
          <w:u w:val="single" w:color="auto"/>
        </w:rPr>
        <w:t>：</w:t>
      </w:r>
      <w:r>
        <w:rPr>
          <w:rFonts w:ascii="仿宋" w:hAnsi="仿宋" w:eastAsia="仿宋" w:cs="仿宋"/>
          <w:color w:val="auto"/>
          <w:spacing w:val="17"/>
          <w:sz w:val="20"/>
          <w:szCs w:val="20"/>
          <w:highlight w:val="none"/>
          <w:u w:val="single" w:color="auto"/>
        </w:rPr>
        <w:t xml:space="preserve"> </w:t>
      </w:r>
      <w:r>
        <w:rPr>
          <w:rFonts w:ascii="仿宋" w:hAnsi="仿宋" w:eastAsia="仿宋" w:cs="仿宋"/>
          <w:color w:val="auto"/>
          <w:spacing w:val="-70"/>
          <w:sz w:val="20"/>
          <w:szCs w:val="20"/>
          <w:highlight w:val="none"/>
        </w:rPr>
        <w:t xml:space="preserve"> </w:t>
      </w:r>
      <w:r>
        <w:rPr>
          <w:rFonts w:ascii="仿宋" w:hAnsi="仿宋" w:eastAsia="仿宋" w:cs="仿宋"/>
          <w:color w:val="auto"/>
          <w:spacing w:val="2"/>
          <w:sz w:val="20"/>
          <w:szCs w:val="20"/>
          <w:highlight w:val="none"/>
        </w:rPr>
        <w:t>）</w:t>
      </w:r>
      <w:r>
        <w:rPr>
          <w:rFonts w:ascii="仿宋" w:hAnsi="仿宋" w:eastAsia="仿宋" w:cs="仿宋"/>
          <w:color w:val="auto"/>
          <w:spacing w:val="7"/>
          <w:sz w:val="20"/>
          <w:szCs w:val="20"/>
          <w:highlight w:val="none"/>
        </w:rPr>
        <w:t>的约定，我单位对（</w:t>
      </w:r>
      <w:r>
        <w:rPr>
          <w:rFonts w:ascii="仿宋" w:hAnsi="仿宋" w:eastAsia="仿宋" w:cs="仿宋"/>
          <w:color w:val="auto"/>
          <w:spacing w:val="53"/>
          <w:sz w:val="20"/>
          <w:szCs w:val="20"/>
          <w:highlight w:val="none"/>
          <w:u w:val="single" w:color="auto"/>
        </w:rPr>
        <w:t xml:space="preserve"> </w:t>
      </w:r>
      <w:r>
        <w:rPr>
          <w:rFonts w:ascii="仿宋" w:hAnsi="仿宋" w:eastAsia="仿宋" w:cs="仿宋"/>
          <w:color w:val="auto"/>
          <w:spacing w:val="7"/>
          <w:sz w:val="20"/>
          <w:szCs w:val="20"/>
          <w:highlight w:val="none"/>
          <w:u w:val="single" w:color="auto"/>
        </w:rPr>
        <w:t>项目名称</w:t>
      </w:r>
      <w:r>
        <w:rPr>
          <w:rFonts w:ascii="仿宋" w:hAnsi="仿宋" w:eastAsia="仿宋" w:cs="仿宋"/>
          <w:color w:val="auto"/>
          <w:spacing w:val="38"/>
          <w:sz w:val="20"/>
          <w:szCs w:val="20"/>
          <w:highlight w:val="none"/>
          <w:u w:val="single" w:color="auto"/>
        </w:rPr>
        <w:t xml:space="preserve"> </w:t>
      </w:r>
      <w:r>
        <w:rPr>
          <w:rFonts w:ascii="仿宋" w:hAnsi="仿宋" w:eastAsia="仿宋" w:cs="仿宋"/>
          <w:color w:val="auto"/>
          <w:spacing w:val="7"/>
          <w:sz w:val="20"/>
          <w:szCs w:val="20"/>
          <w:highlight w:val="none"/>
        </w:rPr>
        <w:t>）政府采购项目中</w:t>
      </w:r>
      <w:r>
        <w:rPr>
          <w:rFonts w:ascii="仿宋" w:hAnsi="仿宋" w:eastAsia="仿宋" w:cs="仿宋"/>
          <w:color w:val="auto"/>
          <w:spacing w:val="6"/>
          <w:sz w:val="20"/>
          <w:szCs w:val="20"/>
          <w:highlight w:val="none"/>
        </w:rPr>
        <w:t>标（或成</w:t>
      </w:r>
    </w:p>
    <w:p>
      <w:pPr>
        <w:spacing w:before="73" w:line="221" w:lineRule="auto"/>
        <w:rPr>
          <w:rFonts w:ascii="仿宋" w:hAnsi="仿宋" w:eastAsia="仿宋" w:cs="仿宋"/>
          <w:color w:val="auto"/>
          <w:sz w:val="20"/>
          <w:szCs w:val="20"/>
          <w:highlight w:val="none"/>
        </w:rPr>
      </w:pPr>
      <w:r>
        <w:rPr>
          <w:rFonts w:ascii="仿宋" w:hAnsi="仿宋" w:eastAsia="仿宋" w:cs="仿宋"/>
          <w:color w:val="auto"/>
          <w:spacing w:val="6"/>
          <w:sz w:val="20"/>
          <w:szCs w:val="20"/>
          <w:highlight w:val="none"/>
        </w:rPr>
        <w:t>交）供应商</w:t>
      </w:r>
      <w:r>
        <w:rPr>
          <w:rFonts w:ascii="仿宋" w:hAnsi="仿宋" w:eastAsia="仿宋" w:cs="仿宋"/>
          <w:color w:val="auto"/>
          <w:spacing w:val="6"/>
          <w:sz w:val="20"/>
          <w:szCs w:val="20"/>
          <w:highlight w:val="none"/>
          <w:u w:val="single" w:color="auto"/>
        </w:rPr>
        <w:t>（</w:t>
      </w:r>
      <w:r>
        <w:rPr>
          <w:rFonts w:ascii="仿宋" w:hAnsi="仿宋" w:eastAsia="仿宋" w:cs="仿宋"/>
          <w:color w:val="auto"/>
          <w:spacing w:val="72"/>
          <w:sz w:val="20"/>
          <w:szCs w:val="20"/>
          <w:highlight w:val="none"/>
          <w:u w:val="single" w:color="auto"/>
        </w:rPr>
        <w:t xml:space="preserve"> </w:t>
      </w:r>
      <w:r>
        <w:rPr>
          <w:rFonts w:ascii="仿宋" w:hAnsi="仿宋" w:eastAsia="仿宋" w:cs="仿宋"/>
          <w:color w:val="auto"/>
          <w:spacing w:val="6"/>
          <w:sz w:val="20"/>
          <w:szCs w:val="20"/>
          <w:highlight w:val="none"/>
          <w:u w:val="single" w:color="auto"/>
        </w:rPr>
        <w:t>公司名称</w:t>
      </w:r>
      <w:r>
        <w:rPr>
          <w:rFonts w:ascii="仿宋" w:hAnsi="仿宋" w:eastAsia="仿宋" w:cs="仿宋"/>
          <w:color w:val="auto"/>
          <w:spacing w:val="38"/>
          <w:sz w:val="20"/>
          <w:szCs w:val="20"/>
          <w:highlight w:val="none"/>
          <w:u w:val="single" w:color="auto"/>
        </w:rPr>
        <w:t xml:space="preserve"> </w:t>
      </w:r>
      <w:r>
        <w:rPr>
          <w:rFonts w:ascii="仿宋" w:hAnsi="仿宋" w:eastAsia="仿宋" w:cs="仿宋"/>
          <w:color w:val="auto"/>
          <w:spacing w:val="6"/>
          <w:sz w:val="20"/>
          <w:szCs w:val="20"/>
          <w:highlight w:val="none"/>
          <w:u w:val="single" w:color="auto"/>
        </w:rPr>
        <w:t xml:space="preserve">） </w:t>
      </w:r>
      <w:r>
        <w:rPr>
          <w:rFonts w:ascii="仿宋" w:hAnsi="仿宋" w:eastAsia="仿宋" w:cs="仿宋"/>
          <w:color w:val="auto"/>
          <w:spacing w:val="-84"/>
          <w:sz w:val="20"/>
          <w:szCs w:val="20"/>
          <w:highlight w:val="none"/>
        </w:rPr>
        <w:t xml:space="preserve"> </w:t>
      </w:r>
      <w:r>
        <w:rPr>
          <w:rFonts w:ascii="仿宋" w:hAnsi="仿宋" w:eastAsia="仿宋" w:cs="仿宋"/>
          <w:color w:val="auto"/>
          <w:spacing w:val="6"/>
          <w:sz w:val="20"/>
          <w:szCs w:val="20"/>
          <w:highlight w:val="none"/>
        </w:rPr>
        <w:t>提供的货物（或工程、服务）进行了验收，验收情况如下：</w:t>
      </w:r>
    </w:p>
    <w:tbl>
      <w:tblPr>
        <w:tblStyle w:val="48"/>
        <w:tblW w:w="8449" w:type="dxa"/>
        <w:tblInd w:w="57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338"/>
        <w:gridCol w:w="1917"/>
        <w:gridCol w:w="695"/>
        <w:gridCol w:w="102"/>
        <w:gridCol w:w="2100"/>
        <w:gridCol w:w="178"/>
        <w:gridCol w:w="684"/>
        <w:gridCol w:w="14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1" w:hRule="atLeast"/>
        </w:trPr>
        <w:tc>
          <w:tcPr>
            <w:tcW w:w="3255" w:type="dxa"/>
            <w:gridSpan w:val="2"/>
            <w:vAlign w:val="top"/>
          </w:tcPr>
          <w:p>
            <w:pPr>
              <w:pStyle w:val="47"/>
              <w:spacing w:before="172" w:line="228" w:lineRule="auto"/>
              <w:ind w:left="1103"/>
              <w:rPr>
                <w:color w:val="auto"/>
                <w:highlight w:val="none"/>
              </w:rPr>
            </w:pPr>
            <w:r>
              <w:rPr>
                <w:color w:val="auto"/>
                <w:spacing w:val="6"/>
                <w:highlight w:val="none"/>
              </w:rPr>
              <w:t>验收方式：</w:t>
            </w:r>
          </w:p>
        </w:tc>
        <w:tc>
          <w:tcPr>
            <w:tcW w:w="5194" w:type="dxa"/>
            <w:gridSpan w:val="6"/>
            <w:vAlign w:val="top"/>
          </w:tcPr>
          <w:p>
            <w:pPr>
              <w:pStyle w:val="47"/>
              <w:spacing w:before="172" w:line="196" w:lineRule="auto"/>
              <w:ind w:left="1823"/>
              <w:rPr>
                <w:color w:val="auto"/>
                <w:highlight w:val="none"/>
              </w:rPr>
            </w:pPr>
            <w:r>
              <w:rPr>
                <w:rFonts w:ascii="微软雅黑" w:hAnsi="微软雅黑" w:eastAsia="微软雅黑" w:cs="微软雅黑"/>
                <w:color w:val="auto"/>
                <w:spacing w:val="-15"/>
                <w:highlight w:val="none"/>
              </w:rPr>
              <w:t>口</w:t>
            </w:r>
            <w:r>
              <w:rPr>
                <w:rFonts w:ascii="微软雅黑" w:hAnsi="微软雅黑" w:eastAsia="微软雅黑" w:cs="微软雅黑"/>
                <w:color w:val="auto"/>
                <w:spacing w:val="-13"/>
                <w:highlight w:val="none"/>
              </w:rPr>
              <w:t xml:space="preserve"> </w:t>
            </w:r>
            <w:r>
              <w:rPr>
                <w:color w:val="auto"/>
                <w:spacing w:val="-15"/>
                <w:highlight w:val="none"/>
              </w:rPr>
              <w:t>自行验收</w:t>
            </w:r>
            <w:r>
              <w:rPr>
                <w:color w:val="auto"/>
                <w:spacing w:val="23"/>
                <w:highlight w:val="none"/>
              </w:rPr>
              <w:t xml:space="preserve"> </w:t>
            </w:r>
            <w:r>
              <w:rPr>
                <w:rFonts w:ascii="微软雅黑" w:hAnsi="微软雅黑" w:eastAsia="微软雅黑" w:cs="微软雅黑"/>
                <w:color w:val="auto"/>
                <w:spacing w:val="-15"/>
                <w:highlight w:val="none"/>
              </w:rPr>
              <w:t>口</w:t>
            </w:r>
            <w:r>
              <w:rPr>
                <w:color w:val="auto"/>
                <w:spacing w:val="-15"/>
                <w:highlight w:val="none"/>
              </w:rPr>
              <w:t>委托验收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4" w:hRule="atLeast"/>
        </w:trPr>
        <w:tc>
          <w:tcPr>
            <w:tcW w:w="1338" w:type="dxa"/>
            <w:vAlign w:val="top"/>
          </w:tcPr>
          <w:p>
            <w:pPr>
              <w:pStyle w:val="47"/>
              <w:spacing w:before="234" w:line="229" w:lineRule="auto"/>
              <w:ind w:left="458"/>
              <w:rPr>
                <w:color w:val="auto"/>
                <w:highlight w:val="none"/>
              </w:rPr>
            </w:pPr>
            <w:r>
              <w:rPr>
                <w:color w:val="auto"/>
                <w:spacing w:val="5"/>
                <w:highlight w:val="none"/>
              </w:rPr>
              <w:t>序号</w:t>
            </w:r>
          </w:p>
        </w:tc>
        <w:tc>
          <w:tcPr>
            <w:tcW w:w="1917" w:type="dxa"/>
            <w:vAlign w:val="top"/>
          </w:tcPr>
          <w:p>
            <w:pPr>
              <w:pStyle w:val="47"/>
              <w:spacing w:before="234" w:line="230" w:lineRule="auto"/>
              <w:ind w:left="698"/>
              <w:rPr>
                <w:color w:val="auto"/>
                <w:highlight w:val="none"/>
              </w:rPr>
            </w:pPr>
            <w:r>
              <w:rPr>
                <w:color w:val="auto"/>
                <w:highlight w:val="none"/>
              </w:rPr>
              <w:t>名</w:t>
            </w:r>
            <w:r>
              <w:rPr>
                <w:color w:val="auto"/>
                <w:spacing w:val="12"/>
                <w:highlight w:val="none"/>
              </w:rPr>
              <w:t xml:space="preserve"> </w:t>
            </w:r>
            <w:r>
              <w:rPr>
                <w:color w:val="auto"/>
                <w:highlight w:val="none"/>
              </w:rPr>
              <w:t>称</w:t>
            </w:r>
          </w:p>
        </w:tc>
        <w:tc>
          <w:tcPr>
            <w:tcW w:w="2897" w:type="dxa"/>
            <w:gridSpan w:val="3"/>
            <w:vAlign w:val="top"/>
          </w:tcPr>
          <w:p>
            <w:pPr>
              <w:pStyle w:val="47"/>
              <w:spacing w:before="75" w:line="227" w:lineRule="auto"/>
              <w:ind w:left="91"/>
              <w:rPr>
                <w:color w:val="auto"/>
                <w:highlight w:val="none"/>
              </w:rPr>
            </w:pPr>
            <w:r>
              <w:rPr>
                <w:color w:val="auto"/>
                <w:spacing w:val="8"/>
                <w:highlight w:val="none"/>
              </w:rPr>
              <w:t>货物型号规格、标准及配置等</w:t>
            </w:r>
          </w:p>
          <w:p>
            <w:pPr>
              <w:pStyle w:val="47"/>
              <w:spacing w:before="73" w:line="220" w:lineRule="auto"/>
              <w:ind w:left="411"/>
              <w:rPr>
                <w:color w:val="auto"/>
                <w:highlight w:val="none"/>
              </w:rPr>
            </w:pPr>
            <w:r>
              <w:rPr>
                <w:color w:val="auto"/>
                <w:spacing w:val="7"/>
                <w:highlight w:val="none"/>
              </w:rPr>
              <w:t>（或服务内容、标准）</w:t>
            </w:r>
          </w:p>
        </w:tc>
        <w:tc>
          <w:tcPr>
            <w:tcW w:w="862" w:type="dxa"/>
            <w:gridSpan w:val="2"/>
            <w:vAlign w:val="top"/>
          </w:tcPr>
          <w:p>
            <w:pPr>
              <w:pStyle w:val="47"/>
              <w:spacing w:before="234" w:line="228" w:lineRule="auto"/>
              <w:ind w:left="227"/>
              <w:rPr>
                <w:color w:val="auto"/>
                <w:highlight w:val="none"/>
              </w:rPr>
            </w:pPr>
            <w:r>
              <w:rPr>
                <w:color w:val="auto"/>
                <w:spacing w:val="3"/>
                <w:highlight w:val="none"/>
              </w:rPr>
              <w:t>数量</w:t>
            </w:r>
          </w:p>
        </w:tc>
        <w:tc>
          <w:tcPr>
            <w:tcW w:w="1435" w:type="dxa"/>
            <w:vAlign w:val="top"/>
          </w:tcPr>
          <w:p>
            <w:pPr>
              <w:pStyle w:val="47"/>
              <w:spacing w:before="234" w:line="228" w:lineRule="auto"/>
              <w:ind w:left="459"/>
              <w:rPr>
                <w:color w:val="auto"/>
                <w:highlight w:val="none"/>
              </w:rPr>
            </w:pPr>
            <w:r>
              <w:rPr>
                <w:color w:val="auto"/>
                <w:highlight w:val="none"/>
              </w:rPr>
              <w:t>金</w:t>
            </w:r>
            <w:r>
              <w:rPr>
                <w:color w:val="auto"/>
                <w:spacing w:val="13"/>
                <w:highlight w:val="none"/>
              </w:rPr>
              <w:t xml:space="preserve"> </w:t>
            </w:r>
            <w:r>
              <w:rPr>
                <w:color w:val="auto"/>
                <w:highlight w:val="none"/>
              </w:rPr>
              <w:t>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1" w:hRule="atLeast"/>
        </w:trPr>
        <w:tc>
          <w:tcPr>
            <w:tcW w:w="1338" w:type="dxa"/>
            <w:vAlign w:val="top"/>
          </w:tcPr>
          <w:p>
            <w:pPr>
              <w:rPr>
                <w:rFonts w:ascii="Arial"/>
                <w:color w:val="auto"/>
                <w:sz w:val="21"/>
                <w:highlight w:val="none"/>
              </w:rPr>
            </w:pPr>
          </w:p>
        </w:tc>
        <w:tc>
          <w:tcPr>
            <w:tcW w:w="1917" w:type="dxa"/>
            <w:vAlign w:val="top"/>
          </w:tcPr>
          <w:p>
            <w:pPr>
              <w:rPr>
                <w:rFonts w:ascii="Arial"/>
                <w:color w:val="auto"/>
                <w:sz w:val="21"/>
                <w:highlight w:val="none"/>
              </w:rPr>
            </w:pPr>
          </w:p>
        </w:tc>
        <w:tc>
          <w:tcPr>
            <w:tcW w:w="2897" w:type="dxa"/>
            <w:gridSpan w:val="3"/>
            <w:vAlign w:val="top"/>
          </w:tcPr>
          <w:p>
            <w:pPr>
              <w:rPr>
                <w:rFonts w:ascii="Arial"/>
                <w:color w:val="auto"/>
                <w:sz w:val="21"/>
                <w:highlight w:val="none"/>
              </w:rPr>
            </w:pPr>
          </w:p>
        </w:tc>
        <w:tc>
          <w:tcPr>
            <w:tcW w:w="862" w:type="dxa"/>
            <w:gridSpan w:val="2"/>
            <w:vAlign w:val="top"/>
          </w:tcPr>
          <w:p>
            <w:pPr>
              <w:rPr>
                <w:rFonts w:ascii="Arial"/>
                <w:color w:val="auto"/>
                <w:sz w:val="21"/>
                <w:highlight w:val="none"/>
              </w:rPr>
            </w:pPr>
          </w:p>
        </w:tc>
        <w:tc>
          <w:tcPr>
            <w:tcW w:w="1435" w:type="dxa"/>
            <w:vAlign w:val="top"/>
          </w:tcPr>
          <w:p>
            <w:pPr>
              <w:rPr>
                <w:rFonts w:ascii="Arial"/>
                <w:color w:val="auto"/>
                <w:sz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1" w:hRule="atLeast"/>
        </w:trPr>
        <w:tc>
          <w:tcPr>
            <w:tcW w:w="1338" w:type="dxa"/>
            <w:vAlign w:val="top"/>
          </w:tcPr>
          <w:p>
            <w:pPr>
              <w:rPr>
                <w:rFonts w:ascii="Arial"/>
                <w:color w:val="auto"/>
                <w:sz w:val="21"/>
                <w:highlight w:val="none"/>
              </w:rPr>
            </w:pPr>
          </w:p>
        </w:tc>
        <w:tc>
          <w:tcPr>
            <w:tcW w:w="1917" w:type="dxa"/>
            <w:vAlign w:val="top"/>
          </w:tcPr>
          <w:p>
            <w:pPr>
              <w:rPr>
                <w:rFonts w:ascii="Arial"/>
                <w:color w:val="auto"/>
                <w:sz w:val="21"/>
                <w:highlight w:val="none"/>
              </w:rPr>
            </w:pPr>
          </w:p>
        </w:tc>
        <w:tc>
          <w:tcPr>
            <w:tcW w:w="2897" w:type="dxa"/>
            <w:gridSpan w:val="3"/>
            <w:vAlign w:val="top"/>
          </w:tcPr>
          <w:p>
            <w:pPr>
              <w:rPr>
                <w:rFonts w:ascii="Arial"/>
                <w:color w:val="auto"/>
                <w:sz w:val="21"/>
                <w:highlight w:val="none"/>
              </w:rPr>
            </w:pPr>
          </w:p>
        </w:tc>
        <w:tc>
          <w:tcPr>
            <w:tcW w:w="862" w:type="dxa"/>
            <w:gridSpan w:val="2"/>
            <w:vAlign w:val="top"/>
          </w:tcPr>
          <w:p>
            <w:pPr>
              <w:rPr>
                <w:rFonts w:ascii="Arial"/>
                <w:color w:val="auto"/>
                <w:sz w:val="21"/>
                <w:highlight w:val="none"/>
              </w:rPr>
            </w:pPr>
          </w:p>
        </w:tc>
        <w:tc>
          <w:tcPr>
            <w:tcW w:w="1435" w:type="dxa"/>
            <w:vAlign w:val="top"/>
          </w:tcPr>
          <w:p>
            <w:pPr>
              <w:rPr>
                <w:rFonts w:ascii="Arial"/>
                <w:color w:val="auto"/>
                <w:sz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2" w:hRule="atLeast"/>
        </w:trPr>
        <w:tc>
          <w:tcPr>
            <w:tcW w:w="1338" w:type="dxa"/>
            <w:vAlign w:val="top"/>
          </w:tcPr>
          <w:p>
            <w:pPr>
              <w:rPr>
                <w:rFonts w:ascii="Arial"/>
                <w:color w:val="auto"/>
                <w:sz w:val="21"/>
                <w:highlight w:val="none"/>
              </w:rPr>
            </w:pPr>
          </w:p>
        </w:tc>
        <w:tc>
          <w:tcPr>
            <w:tcW w:w="1917" w:type="dxa"/>
            <w:vAlign w:val="top"/>
          </w:tcPr>
          <w:p>
            <w:pPr>
              <w:rPr>
                <w:rFonts w:ascii="Arial"/>
                <w:color w:val="auto"/>
                <w:sz w:val="21"/>
                <w:highlight w:val="none"/>
              </w:rPr>
            </w:pPr>
          </w:p>
        </w:tc>
        <w:tc>
          <w:tcPr>
            <w:tcW w:w="2897" w:type="dxa"/>
            <w:gridSpan w:val="3"/>
            <w:vAlign w:val="top"/>
          </w:tcPr>
          <w:p>
            <w:pPr>
              <w:rPr>
                <w:rFonts w:ascii="Arial"/>
                <w:color w:val="auto"/>
                <w:sz w:val="21"/>
                <w:highlight w:val="none"/>
              </w:rPr>
            </w:pPr>
          </w:p>
        </w:tc>
        <w:tc>
          <w:tcPr>
            <w:tcW w:w="862" w:type="dxa"/>
            <w:gridSpan w:val="2"/>
            <w:vAlign w:val="top"/>
          </w:tcPr>
          <w:p>
            <w:pPr>
              <w:rPr>
                <w:rFonts w:ascii="Arial"/>
                <w:color w:val="auto"/>
                <w:sz w:val="21"/>
                <w:highlight w:val="none"/>
              </w:rPr>
            </w:pPr>
          </w:p>
        </w:tc>
        <w:tc>
          <w:tcPr>
            <w:tcW w:w="1435" w:type="dxa"/>
            <w:vAlign w:val="top"/>
          </w:tcPr>
          <w:p>
            <w:pPr>
              <w:rPr>
                <w:rFonts w:ascii="Arial"/>
                <w:color w:val="auto"/>
                <w:sz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1" w:hRule="atLeast"/>
        </w:trPr>
        <w:tc>
          <w:tcPr>
            <w:tcW w:w="6152" w:type="dxa"/>
            <w:gridSpan w:val="5"/>
            <w:vAlign w:val="top"/>
          </w:tcPr>
          <w:p>
            <w:pPr>
              <w:pStyle w:val="47"/>
              <w:spacing w:before="161" w:line="229" w:lineRule="auto"/>
              <w:ind w:left="2821"/>
              <w:rPr>
                <w:color w:val="auto"/>
                <w:highlight w:val="none"/>
              </w:rPr>
            </w:pPr>
            <w:r>
              <w:rPr>
                <w:color w:val="auto"/>
                <w:highlight w:val="none"/>
              </w:rPr>
              <w:t>合</w:t>
            </w:r>
            <w:r>
              <w:rPr>
                <w:color w:val="auto"/>
                <w:spacing w:val="13"/>
                <w:highlight w:val="none"/>
              </w:rPr>
              <w:t xml:space="preserve"> </w:t>
            </w:r>
            <w:r>
              <w:rPr>
                <w:color w:val="auto"/>
                <w:highlight w:val="none"/>
              </w:rPr>
              <w:t>计</w:t>
            </w:r>
          </w:p>
        </w:tc>
        <w:tc>
          <w:tcPr>
            <w:tcW w:w="862" w:type="dxa"/>
            <w:gridSpan w:val="2"/>
            <w:vAlign w:val="top"/>
          </w:tcPr>
          <w:p>
            <w:pPr>
              <w:rPr>
                <w:rFonts w:ascii="Arial"/>
                <w:color w:val="auto"/>
                <w:sz w:val="21"/>
                <w:highlight w:val="none"/>
              </w:rPr>
            </w:pPr>
          </w:p>
        </w:tc>
        <w:tc>
          <w:tcPr>
            <w:tcW w:w="1435" w:type="dxa"/>
            <w:vAlign w:val="top"/>
          </w:tcPr>
          <w:p>
            <w:pPr>
              <w:rPr>
                <w:rFonts w:ascii="Arial"/>
                <w:color w:val="auto"/>
                <w:sz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5" w:hRule="atLeast"/>
        </w:trPr>
        <w:tc>
          <w:tcPr>
            <w:tcW w:w="8449" w:type="dxa"/>
            <w:gridSpan w:val="8"/>
            <w:vAlign w:val="top"/>
          </w:tcPr>
          <w:p>
            <w:pPr>
              <w:pStyle w:val="47"/>
              <w:spacing w:before="238" w:line="228" w:lineRule="auto"/>
              <w:ind w:left="15"/>
              <w:rPr>
                <w:color w:val="auto"/>
                <w:highlight w:val="none"/>
              </w:rPr>
            </w:pPr>
            <w:r>
              <w:rPr>
                <w:color w:val="auto"/>
                <w:spacing w:val="6"/>
                <w:highlight w:val="none"/>
              </w:rPr>
              <w:t>合计大写金额：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5" w:hRule="atLeast"/>
        </w:trPr>
        <w:tc>
          <w:tcPr>
            <w:tcW w:w="1338" w:type="dxa"/>
            <w:vAlign w:val="top"/>
          </w:tcPr>
          <w:p>
            <w:pPr>
              <w:pStyle w:val="47"/>
              <w:spacing w:before="240" w:line="227" w:lineRule="auto"/>
              <w:ind w:left="44"/>
              <w:rPr>
                <w:color w:val="auto"/>
                <w:highlight w:val="none"/>
              </w:rPr>
            </w:pPr>
            <w:r>
              <w:rPr>
                <w:color w:val="auto"/>
                <w:spacing w:val="7"/>
                <w:highlight w:val="none"/>
              </w:rPr>
              <w:t>实际供货日期</w:t>
            </w:r>
          </w:p>
        </w:tc>
        <w:tc>
          <w:tcPr>
            <w:tcW w:w="2714" w:type="dxa"/>
            <w:gridSpan w:val="3"/>
            <w:vAlign w:val="top"/>
          </w:tcPr>
          <w:p>
            <w:pPr>
              <w:rPr>
                <w:rFonts w:ascii="Arial"/>
                <w:color w:val="auto"/>
                <w:sz w:val="21"/>
                <w:highlight w:val="none"/>
              </w:rPr>
            </w:pPr>
          </w:p>
        </w:tc>
        <w:tc>
          <w:tcPr>
            <w:tcW w:w="2278" w:type="dxa"/>
            <w:gridSpan w:val="2"/>
            <w:vAlign w:val="top"/>
          </w:tcPr>
          <w:p>
            <w:pPr>
              <w:pStyle w:val="47"/>
              <w:spacing w:before="240" w:line="227" w:lineRule="auto"/>
              <w:ind w:left="324"/>
              <w:rPr>
                <w:color w:val="auto"/>
                <w:highlight w:val="none"/>
              </w:rPr>
            </w:pPr>
            <w:r>
              <w:rPr>
                <w:color w:val="auto"/>
                <w:spacing w:val="8"/>
                <w:highlight w:val="none"/>
              </w:rPr>
              <w:t>合同交货验收日期</w:t>
            </w:r>
          </w:p>
        </w:tc>
        <w:tc>
          <w:tcPr>
            <w:tcW w:w="2119" w:type="dxa"/>
            <w:gridSpan w:val="2"/>
            <w:vAlign w:val="top"/>
          </w:tcPr>
          <w:p>
            <w:pPr>
              <w:rPr>
                <w:rFonts w:ascii="Arial"/>
                <w:color w:val="auto"/>
                <w:sz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9" w:hRule="atLeast"/>
        </w:trPr>
        <w:tc>
          <w:tcPr>
            <w:tcW w:w="1338" w:type="dxa"/>
            <w:vAlign w:val="top"/>
          </w:tcPr>
          <w:p>
            <w:pPr>
              <w:rPr>
                <w:rFonts w:ascii="Arial"/>
                <w:color w:val="auto"/>
                <w:sz w:val="21"/>
                <w:highlight w:val="none"/>
              </w:rPr>
            </w:pPr>
          </w:p>
        </w:tc>
        <w:tc>
          <w:tcPr>
            <w:tcW w:w="2714" w:type="dxa"/>
            <w:gridSpan w:val="3"/>
            <w:vAlign w:val="top"/>
          </w:tcPr>
          <w:p>
            <w:pPr>
              <w:rPr>
                <w:rFonts w:ascii="Arial"/>
                <w:color w:val="auto"/>
                <w:sz w:val="21"/>
                <w:highlight w:val="none"/>
              </w:rPr>
            </w:pPr>
          </w:p>
        </w:tc>
        <w:tc>
          <w:tcPr>
            <w:tcW w:w="2278" w:type="dxa"/>
            <w:gridSpan w:val="2"/>
            <w:vAlign w:val="top"/>
          </w:tcPr>
          <w:p>
            <w:pPr>
              <w:rPr>
                <w:rFonts w:ascii="Arial"/>
                <w:color w:val="auto"/>
                <w:sz w:val="21"/>
                <w:highlight w:val="none"/>
              </w:rPr>
            </w:pPr>
          </w:p>
        </w:tc>
        <w:tc>
          <w:tcPr>
            <w:tcW w:w="2119" w:type="dxa"/>
            <w:gridSpan w:val="2"/>
            <w:vAlign w:val="top"/>
          </w:tcPr>
          <w:p>
            <w:pPr>
              <w:rPr>
                <w:rFonts w:ascii="Arial"/>
                <w:color w:val="auto"/>
                <w:sz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83" w:hRule="atLeast"/>
        </w:trPr>
        <w:tc>
          <w:tcPr>
            <w:tcW w:w="1338" w:type="dxa"/>
            <w:vAlign w:val="top"/>
          </w:tcPr>
          <w:p>
            <w:pPr>
              <w:spacing w:line="332" w:lineRule="auto"/>
              <w:rPr>
                <w:rFonts w:ascii="Arial"/>
                <w:color w:val="auto"/>
                <w:sz w:val="21"/>
                <w:highlight w:val="none"/>
              </w:rPr>
            </w:pPr>
          </w:p>
          <w:p>
            <w:pPr>
              <w:pStyle w:val="47"/>
              <w:spacing w:before="65" w:line="263" w:lineRule="auto"/>
              <w:ind w:left="113" w:right="171" w:hanging="3"/>
              <w:rPr>
                <w:color w:val="auto"/>
                <w:highlight w:val="none"/>
              </w:rPr>
            </w:pPr>
            <w:r>
              <w:rPr>
                <w:color w:val="auto"/>
                <w:spacing w:val="8"/>
                <w:highlight w:val="none"/>
              </w:rPr>
              <w:t>验收具体内</w:t>
            </w:r>
            <w:r>
              <w:rPr>
                <w:color w:val="auto"/>
                <w:highlight w:val="none"/>
              </w:rPr>
              <w:t xml:space="preserve"> 容</w:t>
            </w:r>
          </w:p>
        </w:tc>
        <w:tc>
          <w:tcPr>
            <w:tcW w:w="7111" w:type="dxa"/>
            <w:gridSpan w:val="7"/>
            <w:vAlign w:val="top"/>
          </w:tcPr>
          <w:p>
            <w:pPr>
              <w:pStyle w:val="47"/>
              <w:spacing w:before="79" w:line="255" w:lineRule="auto"/>
              <w:ind w:left="103" w:right="103" w:firstLine="9"/>
              <w:rPr>
                <w:rFonts w:ascii="微软雅黑" w:hAnsi="微软雅黑" w:eastAsia="微软雅黑" w:cs="微软雅黑"/>
                <w:color w:val="auto"/>
                <w:highlight w:val="none"/>
              </w:rPr>
            </w:pPr>
            <w:r>
              <w:rPr>
                <w:color w:val="auto"/>
                <w:spacing w:val="8"/>
                <w:highlight w:val="none"/>
              </w:rPr>
              <w:t>（应按采购合同、采购文件、投标响应文件及验收方案等进行验收；并核对</w:t>
            </w:r>
            <w:r>
              <w:rPr>
                <w:color w:val="auto"/>
                <w:spacing w:val="14"/>
                <w:highlight w:val="none"/>
              </w:rPr>
              <w:t xml:space="preserve"> </w:t>
            </w:r>
            <w:r>
              <w:rPr>
                <w:color w:val="auto"/>
                <w:spacing w:val="9"/>
                <w:highlight w:val="none"/>
              </w:rPr>
              <w:t>中标或者成交供应商在安装调试等方面是否违反合同</w:t>
            </w:r>
            <w:r>
              <w:rPr>
                <w:color w:val="auto"/>
                <w:spacing w:val="8"/>
                <w:highlight w:val="none"/>
              </w:rPr>
              <w:t>约定或服务规范要求、</w:t>
            </w:r>
            <w:r>
              <w:rPr>
                <w:color w:val="auto"/>
                <w:highlight w:val="none"/>
              </w:rPr>
              <w:t xml:space="preserve"> </w:t>
            </w:r>
            <w:r>
              <w:rPr>
                <w:color w:val="auto"/>
                <w:spacing w:val="9"/>
                <w:highlight w:val="none"/>
              </w:rPr>
              <w:t xml:space="preserve">提供的质量保证证明材料是否齐全、应有的配件及附件是否达到合同约定  </w:t>
            </w:r>
            <w:r>
              <w:rPr>
                <w:color w:val="auto"/>
                <w:spacing w:val="11"/>
                <w:highlight w:val="none"/>
              </w:rPr>
              <w:t>等。可附件</w:t>
            </w:r>
            <w:r>
              <w:rPr>
                <w:rFonts w:ascii="微软雅黑" w:hAnsi="微软雅黑" w:eastAsia="微软雅黑" w:cs="微软雅黑"/>
                <w:color w:val="auto"/>
                <w:spacing w:val="11"/>
                <w:highlight w:val="none"/>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84" w:hRule="atLeast"/>
        </w:trPr>
        <w:tc>
          <w:tcPr>
            <w:tcW w:w="1338" w:type="dxa"/>
            <w:vMerge w:val="restart"/>
            <w:tcBorders>
              <w:bottom w:val="nil"/>
            </w:tcBorders>
            <w:vAlign w:val="top"/>
          </w:tcPr>
          <w:p>
            <w:pPr>
              <w:spacing w:line="267" w:lineRule="auto"/>
              <w:rPr>
                <w:rFonts w:ascii="Arial"/>
                <w:color w:val="auto"/>
                <w:sz w:val="21"/>
                <w:highlight w:val="none"/>
              </w:rPr>
            </w:pPr>
          </w:p>
          <w:p>
            <w:pPr>
              <w:spacing w:line="268" w:lineRule="auto"/>
              <w:rPr>
                <w:rFonts w:ascii="Arial"/>
                <w:color w:val="auto"/>
                <w:sz w:val="21"/>
                <w:highlight w:val="none"/>
              </w:rPr>
            </w:pPr>
          </w:p>
          <w:p>
            <w:pPr>
              <w:spacing w:line="268" w:lineRule="auto"/>
              <w:rPr>
                <w:rFonts w:ascii="Arial"/>
                <w:color w:val="auto"/>
                <w:sz w:val="21"/>
                <w:highlight w:val="none"/>
              </w:rPr>
            </w:pPr>
          </w:p>
          <w:p>
            <w:pPr>
              <w:pStyle w:val="47"/>
              <w:spacing w:before="66" w:line="261" w:lineRule="auto"/>
              <w:ind w:left="114" w:right="171" w:hanging="4"/>
              <w:rPr>
                <w:color w:val="auto"/>
                <w:highlight w:val="none"/>
              </w:rPr>
            </w:pPr>
            <w:r>
              <w:rPr>
                <w:color w:val="auto"/>
                <w:spacing w:val="8"/>
                <w:highlight w:val="none"/>
              </w:rPr>
              <w:t>验收小组意</w:t>
            </w:r>
            <w:r>
              <w:rPr>
                <w:color w:val="auto"/>
                <w:highlight w:val="none"/>
              </w:rPr>
              <w:t xml:space="preserve"> 见</w:t>
            </w:r>
          </w:p>
        </w:tc>
        <w:tc>
          <w:tcPr>
            <w:tcW w:w="7111" w:type="dxa"/>
            <w:gridSpan w:val="7"/>
            <w:vAlign w:val="top"/>
          </w:tcPr>
          <w:p>
            <w:pPr>
              <w:spacing w:line="247" w:lineRule="auto"/>
              <w:rPr>
                <w:rFonts w:ascii="Arial"/>
                <w:color w:val="auto"/>
                <w:sz w:val="21"/>
                <w:highlight w:val="none"/>
              </w:rPr>
            </w:pPr>
          </w:p>
          <w:p>
            <w:pPr>
              <w:spacing w:line="248" w:lineRule="auto"/>
              <w:rPr>
                <w:rFonts w:ascii="Arial"/>
                <w:color w:val="auto"/>
                <w:sz w:val="21"/>
                <w:highlight w:val="none"/>
              </w:rPr>
            </w:pPr>
          </w:p>
          <w:p>
            <w:pPr>
              <w:pStyle w:val="47"/>
              <w:spacing w:before="65" w:line="228" w:lineRule="auto"/>
              <w:ind w:left="5"/>
              <w:rPr>
                <w:color w:val="auto"/>
                <w:highlight w:val="none"/>
              </w:rPr>
            </w:pPr>
            <w:r>
              <w:rPr>
                <w:color w:val="auto"/>
                <w:spacing w:val="7"/>
                <w:highlight w:val="none"/>
              </w:rPr>
              <w:t>验收结论性意见：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24" w:hRule="atLeast"/>
        </w:trPr>
        <w:tc>
          <w:tcPr>
            <w:tcW w:w="1338" w:type="dxa"/>
            <w:vMerge w:val="continue"/>
            <w:tcBorders>
              <w:top w:val="nil"/>
            </w:tcBorders>
            <w:vAlign w:val="top"/>
          </w:tcPr>
          <w:p>
            <w:pPr>
              <w:rPr>
                <w:rFonts w:ascii="Arial"/>
                <w:color w:val="auto"/>
                <w:sz w:val="21"/>
                <w:highlight w:val="none"/>
              </w:rPr>
            </w:pPr>
          </w:p>
        </w:tc>
        <w:tc>
          <w:tcPr>
            <w:tcW w:w="7111" w:type="dxa"/>
            <w:gridSpan w:val="7"/>
            <w:vAlign w:val="top"/>
          </w:tcPr>
          <w:p>
            <w:pPr>
              <w:pStyle w:val="47"/>
              <w:spacing w:before="85" w:line="600" w:lineRule="exact"/>
              <w:ind w:left="7"/>
              <w:rPr>
                <w:color w:val="auto"/>
                <w:highlight w:val="none"/>
              </w:rPr>
            </w:pPr>
            <w:r>
              <w:rPr>
                <w:color w:val="auto"/>
                <w:spacing w:val="8"/>
                <w:position w:val="30"/>
                <w:highlight w:val="none"/>
              </w:rPr>
              <w:t>有异议的意见和说明理由：</w:t>
            </w:r>
          </w:p>
          <w:p>
            <w:pPr>
              <w:pStyle w:val="47"/>
              <w:spacing w:line="210" w:lineRule="auto"/>
              <w:ind w:left="6"/>
              <w:rPr>
                <w:color w:val="auto"/>
                <w:highlight w:val="none"/>
              </w:rPr>
            </w:pPr>
            <w:r>
              <w:rPr>
                <w:color w:val="auto"/>
                <w:spacing w:val="3"/>
                <w:highlight w:val="none"/>
              </w:rPr>
              <w:t>签字：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1" w:hRule="atLeast"/>
        </w:trPr>
        <w:tc>
          <w:tcPr>
            <w:tcW w:w="8449" w:type="dxa"/>
            <w:gridSpan w:val="8"/>
            <w:vAlign w:val="top"/>
          </w:tcPr>
          <w:p>
            <w:pPr>
              <w:pStyle w:val="47"/>
              <w:spacing w:before="178" w:line="228" w:lineRule="auto"/>
              <w:ind w:left="110"/>
              <w:rPr>
                <w:color w:val="auto"/>
                <w:highlight w:val="none"/>
              </w:rPr>
            </w:pPr>
            <w:r>
              <w:rPr>
                <w:color w:val="auto"/>
                <w:spacing w:val="7"/>
                <w:highlight w:val="none"/>
              </w:rPr>
              <w:t>验收小组成员签字：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24" w:hRule="atLeast"/>
        </w:trPr>
        <w:tc>
          <w:tcPr>
            <w:tcW w:w="8449" w:type="dxa"/>
            <w:gridSpan w:val="8"/>
            <w:vAlign w:val="top"/>
          </w:tcPr>
          <w:p>
            <w:pPr>
              <w:pStyle w:val="47"/>
              <w:spacing w:before="87" w:line="600" w:lineRule="exact"/>
              <w:ind w:left="111"/>
              <w:rPr>
                <w:color w:val="auto"/>
                <w:highlight w:val="none"/>
              </w:rPr>
            </w:pPr>
            <w:r>
              <w:rPr>
                <w:color w:val="auto"/>
                <w:spacing w:val="8"/>
                <w:position w:val="30"/>
                <w:highlight w:val="none"/>
              </w:rPr>
              <w:t>监督人员或其他相关人员签字：</w:t>
            </w:r>
          </w:p>
          <w:p>
            <w:pPr>
              <w:pStyle w:val="47"/>
              <w:spacing w:line="209" w:lineRule="auto"/>
              <w:ind w:left="113"/>
              <w:rPr>
                <w:color w:val="auto"/>
                <w:highlight w:val="none"/>
              </w:rPr>
            </w:pPr>
            <w:r>
              <w:rPr>
                <w:color w:val="auto"/>
                <w:spacing w:val="8"/>
                <w:highlight w:val="none"/>
              </w:rPr>
              <w:t>或受邀机构的意见（盖章</w:t>
            </w:r>
            <w:r>
              <w:rPr>
                <w:color w:val="auto"/>
                <w:spacing w:val="4"/>
                <w:highlight w:val="none"/>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3" w:hRule="atLeast"/>
        </w:trPr>
        <w:tc>
          <w:tcPr>
            <w:tcW w:w="3950" w:type="dxa"/>
            <w:gridSpan w:val="3"/>
            <w:tcBorders>
              <w:right w:val="single" w:color="000000" w:sz="2" w:space="0"/>
            </w:tcBorders>
            <w:vAlign w:val="top"/>
          </w:tcPr>
          <w:p>
            <w:pPr>
              <w:pStyle w:val="47"/>
              <w:spacing w:before="89" w:line="600" w:lineRule="exact"/>
              <w:ind w:left="130"/>
              <w:rPr>
                <w:color w:val="auto"/>
                <w:highlight w:val="none"/>
              </w:rPr>
            </w:pPr>
            <w:r>
              <w:rPr>
                <w:color w:val="auto"/>
                <w:spacing w:val="7"/>
                <w:position w:val="30"/>
                <w:highlight w:val="none"/>
              </w:rPr>
              <w:t>中标或者成交供应商负责人签字或盖章：</w:t>
            </w:r>
          </w:p>
          <w:p>
            <w:pPr>
              <w:pStyle w:val="47"/>
              <w:spacing w:before="1" w:line="215" w:lineRule="auto"/>
              <w:ind w:left="111"/>
              <w:rPr>
                <w:color w:val="auto"/>
                <w:highlight w:val="none"/>
              </w:rPr>
            </w:pPr>
            <w:r>
              <w:rPr>
                <w:color w:val="auto"/>
                <w:spacing w:val="3"/>
                <w:highlight w:val="none"/>
              </w:rPr>
              <w:t>联系电话：</w:t>
            </w:r>
            <w:r>
              <w:rPr>
                <w:color w:val="auto"/>
                <w:spacing w:val="25"/>
                <w:highlight w:val="none"/>
              </w:rPr>
              <w:t xml:space="preserve"> </w:t>
            </w:r>
            <w:r>
              <w:rPr>
                <w:color w:val="auto"/>
                <w:spacing w:val="3"/>
                <w:highlight w:val="none"/>
              </w:rPr>
              <w:t>年</w:t>
            </w:r>
            <w:r>
              <w:rPr>
                <w:color w:val="auto"/>
                <w:spacing w:val="12"/>
                <w:highlight w:val="none"/>
              </w:rPr>
              <w:t xml:space="preserve">  </w:t>
            </w:r>
            <w:r>
              <w:rPr>
                <w:color w:val="auto"/>
                <w:spacing w:val="3"/>
                <w:highlight w:val="none"/>
              </w:rPr>
              <w:t>月</w:t>
            </w:r>
            <w:r>
              <w:rPr>
                <w:color w:val="auto"/>
                <w:spacing w:val="27"/>
                <w:highlight w:val="none"/>
              </w:rPr>
              <w:t xml:space="preserve">  </w:t>
            </w:r>
            <w:r>
              <w:rPr>
                <w:color w:val="auto"/>
                <w:spacing w:val="3"/>
                <w:highlight w:val="none"/>
              </w:rPr>
              <w:t>日</w:t>
            </w:r>
          </w:p>
        </w:tc>
        <w:tc>
          <w:tcPr>
            <w:tcW w:w="4499" w:type="dxa"/>
            <w:gridSpan w:val="5"/>
            <w:tcBorders>
              <w:left w:val="single" w:color="000000" w:sz="2" w:space="0"/>
            </w:tcBorders>
            <w:vAlign w:val="top"/>
          </w:tcPr>
          <w:p>
            <w:pPr>
              <w:pStyle w:val="47"/>
              <w:spacing w:before="89" w:line="600" w:lineRule="exact"/>
              <w:ind w:left="209"/>
              <w:rPr>
                <w:color w:val="auto"/>
                <w:highlight w:val="none"/>
              </w:rPr>
            </w:pPr>
            <w:r>
              <w:rPr>
                <w:color w:val="auto"/>
                <w:spacing w:val="9"/>
                <w:position w:val="30"/>
                <w:highlight w:val="none"/>
              </w:rPr>
              <w:t>采购人或受托机构的意见（盖章</w:t>
            </w:r>
            <w:r>
              <w:rPr>
                <w:color w:val="auto"/>
                <w:spacing w:val="1"/>
                <w:position w:val="30"/>
                <w:highlight w:val="none"/>
              </w:rPr>
              <w:t>）：</w:t>
            </w:r>
          </w:p>
          <w:p>
            <w:pPr>
              <w:pStyle w:val="47"/>
              <w:spacing w:before="1" w:line="215" w:lineRule="auto"/>
              <w:ind w:left="210"/>
              <w:rPr>
                <w:color w:val="auto"/>
                <w:highlight w:val="none"/>
              </w:rPr>
            </w:pPr>
            <w:r>
              <w:rPr>
                <w:color w:val="auto"/>
                <w:spacing w:val="3"/>
                <w:highlight w:val="none"/>
              </w:rPr>
              <w:t>联系电话：</w:t>
            </w:r>
            <w:r>
              <w:rPr>
                <w:color w:val="auto"/>
                <w:spacing w:val="25"/>
                <w:highlight w:val="none"/>
              </w:rPr>
              <w:t xml:space="preserve"> </w:t>
            </w:r>
            <w:r>
              <w:rPr>
                <w:color w:val="auto"/>
                <w:spacing w:val="3"/>
                <w:highlight w:val="none"/>
              </w:rPr>
              <w:t>年</w:t>
            </w:r>
            <w:r>
              <w:rPr>
                <w:color w:val="auto"/>
                <w:spacing w:val="12"/>
                <w:highlight w:val="none"/>
              </w:rPr>
              <w:t xml:space="preserve">  </w:t>
            </w:r>
            <w:r>
              <w:rPr>
                <w:color w:val="auto"/>
                <w:spacing w:val="3"/>
                <w:highlight w:val="none"/>
              </w:rPr>
              <w:t>月</w:t>
            </w:r>
            <w:r>
              <w:rPr>
                <w:color w:val="auto"/>
                <w:spacing w:val="27"/>
                <w:highlight w:val="none"/>
              </w:rPr>
              <w:t xml:space="preserve">  </w:t>
            </w:r>
            <w:r>
              <w:rPr>
                <w:color w:val="auto"/>
                <w:spacing w:val="3"/>
                <w:highlight w:val="none"/>
              </w:rPr>
              <w:t>日</w:t>
            </w:r>
          </w:p>
        </w:tc>
      </w:tr>
    </w:tbl>
    <w:p>
      <w:pPr>
        <w:rPr>
          <w:rFonts w:ascii="Arial"/>
          <w:color w:val="auto"/>
          <w:sz w:val="21"/>
          <w:highlight w:val="none"/>
        </w:rPr>
      </w:pPr>
    </w:p>
    <w:p>
      <w:pPr>
        <w:rPr>
          <w:rFonts w:ascii="Arial" w:hAnsi="Arial" w:eastAsia="Arial" w:cs="Arial"/>
          <w:color w:val="auto"/>
          <w:sz w:val="21"/>
          <w:szCs w:val="21"/>
          <w:highlight w:val="none"/>
        </w:rPr>
        <w:sectPr>
          <w:footerReference r:id="rId9" w:type="default"/>
          <w:pgSz w:w="11906" w:h="16839"/>
          <w:pgMar w:top="1431" w:right="1158" w:bottom="1362" w:left="1151" w:header="0" w:footer="1200" w:gutter="0"/>
          <w:pgNumType w:fmt="decimal"/>
          <w:cols w:space="720" w:num="1"/>
        </w:sectPr>
      </w:pPr>
    </w:p>
    <w:p>
      <w:pPr>
        <w:keepNext w:val="0"/>
        <w:keepLines w:val="0"/>
        <w:pageBreakBefore w:val="0"/>
        <w:widowControl w:val="0"/>
        <w:kinsoku/>
        <w:wordWrap/>
        <w:overflowPunct/>
        <w:topLinePunct w:val="0"/>
        <w:autoSpaceDE/>
        <w:autoSpaceDN/>
        <w:bidi w:val="0"/>
        <w:adjustRightInd/>
        <w:snapToGrid/>
        <w:spacing w:line="231" w:lineRule="auto"/>
        <w:ind w:left="0"/>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6"/>
          <w:sz w:val="24"/>
          <w:szCs w:val="24"/>
          <w:highlight w:val="none"/>
        </w:rPr>
        <w:t>附件</w:t>
      </w:r>
    </w:p>
    <w:p>
      <w:pPr>
        <w:spacing w:before="184" w:line="186" w:lineRule="auto"/>
        <w:jc w:val="center"/>
        <w:rPr>
          <w:rFonts w:hint="eastAsia" w:ascii="宋体" w:hAnsi="宋体" w:eastAsia="宋体" w:cs="宋体"/>
          <w:color w:val="auto"/>
          <w:sz w:val="28"/>
          <w:szCs w:val="28"/>
          <w:highlight w:val="none"/>
        </w:rPr>
      </w:pPr>
      <w:r>
        <w:rPr>
          <w:rFonts w:hint="eastAsia" w:ascii="宋体" w:hAnsi="宋体" w:eastAsia="宋体" w:cs="宋体"/>
          <w:color w:val="auto"/>
          <w:spacing w:val="9"/>
          <w:sz w:val="28"/>
          <w:szCs w:val="28"/>
          <w:highlight w:val="none"/>
        </w:rPr>
        <w:t>广西线上“政采贷”政策告知函</w:t>
      </w:r>
    </w:p>
    <w:p>
      <w:pPr>
        <w:spacing w:line="291" w:lineRule="auto"/>
        <w:rPr>
          <w:rFonts w:hint="eastAsia" w:ascii="宋体" w:hAnsi="宋体" w:eastAsia="宋体" w:cs="宋体"/>
          <w:color w:val="auto"/>
          <w:sz w:val="24"/>
          <w:szCs w:val="24"/>
          <w:highlight w:val="none"/>
        </w:rPr>
      </w:pPr>
    </w:p>
    <w:p>
      <w:pPr>
        <w:spacing w:before="101" w:line="229" w:lineRule="auto"/>
        <w:ind w:left="12"/>
        <w:rPr>
          <w:rFonts w:hint="eastAsia" w:ascii="宋体" w:hAnsi="宋体" w:eastAsia="宋体" w:cs="宋体"/>
          <w:color w:val="auto"/>
          <w:sz w:val="24"/>
          <w:szCs w:val="24"/>
          <w:highlight w:val="none"/>
        </w:rPr>
      </w:pPr>
      <w:r>
        <w:rPr>
          <w:rFonts w:hint="eastAsia" w:ascii="宋体" w:hAnsi="宋体" w:eastAsia="宋体" w:cs="宋体"/>
          <w:color w:val="auto"/>
          <w:spacing w:val="3"/>
          <w:sz w:val="24"/>
          <w:szCs w:val="24"/>
          <w:highlight w:val="none"/>
        </w:rPr>
        <w:t>各供应商：</w:t>
      </w:r>
    </w:p>
    <w:p>
      <w:pPr>
        <w:spacing w:before="196" w:line="228" w:lineRule="auto"/>
        <w:ind w:left="651"/>
        <w:rPr>
          <w:rFonts w:hint="eastAsia" w:ascii="宋体" w:hAnsi="宋体" w:eastAsia="宋体" w:cs="宋体"/>
          <w:color w:val="auto"/>
          <w:sz w:val="24"/>
          <w:szCs w:val="24"/>
          <w:highlight w:val="none"/>
        </w:rPr>
      </w:pPr>
      <w:r>
        <w:rPr>
          <w:rFonts w:hint="eastAsia" w:ascii="宋体" w:hAnsi="宋体" w:eastAsia="宋体" w:cs="宋体"/>
          <w:color w:val="auto"/>
          <w:spacing w:val="8"/>
          <w:sz w:val="24"/>
          <w:szCs w:val="24"/>
          <w:highlight w:val="none"/>
        </w:rPr>
        <w:t>欢迎贵公司参与广西政府采购活动！</w:t>
      </w:r>
    </w:p>
    <w:p>
      <w:pPr>
        <w:spacing w:before="203" w:line="345" w:lineRule="auto"/>
        <w:ind w:left="13" w:firstLine="648"/>
        <w:rPr>
          <w:rFonts w:hint="eastAsia" w:ascii="宋体" w:hAnsi="宋体" w:eastAsia="宋体" w:cs="宋体"/>
          <w:color w:val="auto"/>
          <w:sz w:val="24"/>
          <w:szCs w:val="24"/>
          <w:highlight w:val="none"/>
        </w:rPr>
      </w:pPr>
      <w:r>
        <w:rPr>
          <w:rFonts w:hint="eastAsia" w:ascii="宋体" w:hAnsi="宋体" w:eastAsia="宋体" w:cs="宋体"/>
          <w:color w:val="auto"/>
          <w:spacing w:val="8"/>
          <w:sz w:val="24"/>
          <w:szCs w:val="24"/>
          <w:highlight w:val="none"/>
        </w:rPr>
        <w:t>线上“政采贷</w:t>
      </w:r>
      <w:r>
        <w:rPr>
          <w:rFonts w:hint="eastAsia" w:ascii="宋体" w:hAnsi="宋体" w:eastAsia="宋体" w:cs="宋体"/>
          <w:color w:val="auto"/>
          <w:spacing w:val="-97"/>
          <w:sz w:val="24"/>
          <w:szCs w:val="24"/>
          <w:highlight w:val="none"/>
        </w:rPr>
        <w:t xml:space="preserve"> </w:t>
      </w:r>
      <w:r>
        <w:rPr>
          <w:rFonts w:hint="eastAsia" w:ascii="宋体" w:hAnsi="宋体" w:eastAsia="宋体" w:cs="宋体"/>
          <w:color w:val="auto"/>
          <w:spacing w:val="8"/>
          <w:sz w:val="24"/>
          <w:szCs w:val="24"/>
          <w:highlight w:val="none"/>
        </w:rPr>
        <w:t>”是人民银行南宁中心支行和自治区财政厅共同支</w:t>
      </w:r>
      <w:r>
        <w:rPr>
          <w:rFonts w:hint="eastAsia" w:ascii="宋体" w:hAnsi="宋体" w:eastAsia="宋体" w:cs="宋体"/>
          <w:color w:val="auto"/>
          <w:sz w:val="24"/>
          <w:szCs w:val="24"/>
          <w:highlight w:val="none"/>
        </w:rPr>
        <w:t xml:space="preserve"> </w:t>
      </w:r>
      <w:r>
        <w:rPr>
          <w:rFonts w:hint="eastAsia" w:ascii="宋体" w:hAnsi="宋体" w:eastAsia="宋体" w:cs="宋体"/>
          <w:color w:val="auto"/>
          <w:spacing w:val="3"/>
          <w:sz w:val="24"/>
          <w:szCs w:val="24"/>
          <w:highlight w:val="none"/>
        </w:rPr>
        <w:t>持企业发展，针对参与政府采购活动的企业融资难、融资贵、融资慢、</w:t>
      </w:r>
      <w:r>
        <w:rPr>
          <w:rFonts w:hint="eastAsia" w:ascii="宋体" w:hAnsi="宋体" w:eastAsia="宋体" w:cs="宋体"/>
          <w:color w:val="auto"/>
          <w:spacing w:val="10"/>
          <w:sz w:val="24"/>
          <w:szCs w:val="24"/>
          <w:highlight w:val="none"/>
        </w:rPr>
        <w:t xml:space="preserve">融资繁问题推出的一项融资政策。贵公司若成为本次政府采购项目的中标（成交）供应商，可持政府采购合同在线向银行业金融机构申请 </w:t>
      </w:r>
      <w:r>
        <w:rPr>
          <w:rFonts w:hint="eastAsia" w:ascii="宋体" w:hAnsi="宋体" w:eastAsia="宋体" w:cs="宋体"/>
          <w:color w:val="auto"/>
          <w:spacing w:val="5"/>
          <w:sz w:val="24"/>
          <w:szCs w:val="24"/>
          <w:highlight w:val="none"/>
        </w:rPr>
        <w:t>贷款，融资机构将根据《中国人民银行南宁中心支行 广西壮族自治区</w:t>
      </w:r>
      <w:r>
        <w:rPr>
          <w:rFonts w:hint="eastAsia" w:ascii="宋体" w:hAnsi="宋体" w:eastAsia="宋体" w:cs="宋体"/>
          <w:color w:val="auto"/>
          <w:spacing w:val="2"/>
          <w:sz w:val="24"/>
          <w:szCs w:val="24"/>
          <w:highlight w:val="none"/>
        </w:rPr>
        <w:t>财政厅关于推广线上“政采贷</w:t>
      </w:r>
      <w:r>
        <w:rPr>
          <w:rFonts w:hint="eastAsia" w:ascii="宋体" w:hAnsi="宋体" w:eastAsia="宋体" w:cs="宋体"/>
          <w:color w:val="auto"/>
          <w:spacing w:val="-112"/>
          <w:sz w:val="24"/>
          <w:szCs w:val="24"/>
          <w:highlight w:val="none"/>
        </w:rPr>
        <w:t xml:space="preserve"> </w:t>
      </w:r>
      <w:r>
        <w:rPr>
          <w:rFonts w:hint="eastAsia" w:ascii="宋体" w:hAnsi="宋体" w:eastAsia="宋体" w:cs="宋体"/>
          <w:color w:val="auto"/>
          <w:spacing w:val="2"/>
          <w:sz w:val="24"/>
          <w:szCs w:val="24"/>
          <w:highlight w:val="none"/>
        </w:rPr>
        <w:t>”融资模式的通知》（南宁银发〔202</w:t>
      </w:r>
      <w:r>
        <w:rPr>
          <w:rFonts w:hint="eastAsia" w:ascii="宋体" w:hAnsi="宋体" w:eastAsia="宋体" w:cs="宋体"/>
          <w:color w:val="auto"/>
          <w:spacing w:val="1"/>
          <w:sz w:val="24"/>
          <w:szCs w:val="24"/>
          <w:highlight w:val="none"/>
        </w:rPr>
        <w:t>1〕</w:t>
      </w:r>
      <w:r>
        <w:rPr>
          <w:rFonts w:hint="eastAsia" w:ascii="宋体" w:hAnsi="宋体" w:eastAsia="宋体" w:cs="宋体"/>
          <w:color w:val="auto"/>
          <w:spacing w:val="6"/>
          <w:sz w:val="24"/>
          <w:szCs w:val="24"/>
          <w:highlight w:val="none"/>
        </w:rPr>
        <w:t>258</w:t>
      </w:r>
      <w:r>
        <w:rPr>
          <w:rFonts w:hint="eastAsia" w:ascii="宋体" w:hAnsi="宋体" w:eastAsia="宋体" w:cs="宋体"/>
          <w:color w:val="auto"/>
          <w:spacing w:val="-45"/>
          <w:sz w:val="24"/>
          <w:szCs w:val="24"/>
          <w:highlight w:val="none"/>
        </w:rPr>
        <w:t xml:space="preserve"> </w:t>
      </w:r>
      <w:r>
        <w:rPr>
          <w:rFonts w:hint="eastAsia" w:ascii="宋体" w:hAnsi="宋体" w:eastAsia="宋体" w:cs="宋体"/>
          <w:color w:val="auto"/>
          <w:spacing w:val="6"/>
          <w:sz w:val="24"/>
          <w:szCs w:val="24"/>
          <w:highlight w:val="none"/>
        </w:rPr>
        <w:t>号</w:t>
      </w:r>
      <w:r>
        <w:rPr>
          <w:rFonts w:hint="eastAsia" w:ascii="宋体" w:hAnsi="宋体" w:eastAsia="宋体" w:cs="宋体"/>
          <w:color w:val="auto"/>
          <w:spacing w:val="27"/>
          <w:sz w:val="24"/>
          <w:szCs w:val="24"/>
          <w:highlight w:val="none"/>
        </w:rPr>
        <w:t>），</w:t>
      </w:r>
      <w:r>
        <w:rPr>
          <w:rFonts w:hint="eastAsia" w:ascii="宋体" w:hAnsi="宋体" w:eastAsia="宋体" w:cs="宋体"/>
          <w:color w:val="auto"/>
          <w:spacing w:val="6"/>
          <w:sz w:val="24"/>
          <w:szCs w:val="24"/>
          <w:highlight w:val="none"/>
        </w:rPr>
        <w:t>按照双方自愿的原则提供便捷、优惠的贷款服务。</w:t>
      </w:r>
    </w:p>
    <w:p>
      <w:pPr>
        <w:pStyle w:val="2"/>
        <w:rPr>
          <w:rFonts w:hint="eastAsia" w:ascii="宋体" w:hAnsi="宋体" w:eastAsia="宋体" w:cs="宋体"/>
          <w:color w:val="auto"/>
          <w:sz w:val="21"/>
          <w:szCs w:val="21"/>
          <w:highlight w:val="none"/>
          <w:lang w:eastAsia="zh-CN"/>
        </w:rPr>
      </w:pPr>
      <w:r>
        <w:rPr>
          <w:rFonts w:hint="eastAsia" w:ascii="宋体" w:hAnsi="宋体" w:eastAsia="宋体" w:cs="宋体"/>
          <w:color w:val="auto"/>
          <w:spacing w:val="10"/>
          <w:sz w:val="24"/>
          <w:szCs w:val="24"/>
          <w:highlight w:val="none"/>
        </w:rPr>
        <w:t>相关金融产品和银行业金融机构联系方式，可在中征应收账款融</w:t>
      </w:r>
      <w:r>
        <w:rPr>
          <w:rFonts w:hint="eastAsia" w:ascii="宋体" w:hAnsi="宋体" w:eastAsia="宋体" w:cs="宋体"/>
          <w:color w:val="auto"/>
          <w:spacing w:val="-3"/>
          <w:sz w:val="24"/>
          <w:szCs w:val="24"/>
          <w:highlight w:val="none"/>
        </w:rPr>
        <w:t>资</w:t>
      </w:r>
      <w:r>
        <w:rPr>
          <w:rFonts w:hint="eastAsia" w:ascii="宋体" w:hAnsi="宋体" w:eastAsia="宋体" w:cs="宋体"/>
          <w:color w:val="auto"/>
          <w:spacing w:val="-77"/>
          <w:sz w:val="24"/>
          <w:szCs w:val="24"/>
          <w:highlight w:val="none"/>
        </w:rPr>
        <w:t xml:space="preserve"> </w:t>
      </w:r>
      <w:r>
        <w:rPr>
          <w:rFonts w:hint="eastAsia" w:ascii="宋体" w:hAnsi="宋体" w:eastAsia="宋体" w:cs="宋体"/>
          <w:color w:val="auto"/>
          <w:spacing w:val="-3"/>
          <w:sz w:val="24"/>
          <w:szCs w:val="24"/>
          <w:highlight w:val="none"/>
        </w:rPr>
        <w:t>服</w:t>
      </w:r>
      <w:r>
        <w:rPr>
          <w:rFonts w:hint="eastAsia" w:ascii="宋体" w:hAnsi="宋体" w:eastAsia="宋体" w:cs="宋体"/>
          <w:color w:val="auto"/>
          <w:spacing w:val="-70"/>
          <w:sz w:val="24"/>
          <w:szCs w:val="24"/>
          <w:highlight w:val="none"/>
        </w:rPr>
        <w:t xml:space="preserve"> </w:t>
      </w:r>
      <w:r>
        <w:rPr>
          <w:rFonts w:hint="eastAsia" w:ascii="宋体" w:hAnsi="宋体" w:eastAsia="宋体" w:cs="宋体"/>
          <w:color w:val="auto"/>
          <w:spacing w:val="-3"/>
          <w:sz w:val="24"/>
          <w:szCs w:val="24"/>
          <w:highlight w:val="none"/>
        </w:rPr>
        <w:t>务</w:t>
      </w:r>
      <w:r>
        <w:rPr>
          <w:rFonts w:hint="eastAsia" w:ascii="宋体" w:hAnsi="宋体" w:eastAsia="宋体" w:cs="宋体"/>
          <w:color w:val="auto"/>
          <w:spacing w:val="-76"/>
          <w:sz w:val="24"/>
          <w:szCs w:val="24"/>
          <w:highlight w:val="none"/>
        </w:rPr>
        <w:t xml:space="preserve"> </w:t>
      </w:r>
      <w:r>
        <w:rPr>
          <w:rFonts w:hint="eastAsia" w:ascii="宋体" w:hAnsi="宋体" w:eastAsia="宋体" w:cs="宋体"/>
          <w:color w:val="auto"/>
          <w:spacing w:val="-3"/>
          <w:sz w:val="24"/>
          <w:szCs w:val="24"/>
          <w:highlight w:val="none"/>
        </w:rPr>
        <w:t>平</w:t>
      </w:r>
      <w:r>
        <w:rPr>
          <w:rFonts w:hint="eastAsia" w:ascii="宋体" w:hAnsi="宋体" w:eastAsia="宋体" w:cs="宋体"/>
          <w:color w:val="auto"/>
          <w:spacing w:val="-49"/>
          <w:sz w:val="24"/>
          <w:szCs w:val="24"/>
          <w:highlight w:val="none"/>
        </w:rPr>
        <w:t xml:space="preserve"> </w:t>
      </w:r>
      <w:r>
        <w:rPr>
          <w:rFonts w:hint="eastAsia" w:ascii="宋体" w:hAnsi="宋体" w:eastAsia="宋体" w:cs="宋体"/>
          <w:color w:val="auto"/>
          <w:spacing w:val="-3"/>
          <w:sz w:val="24"/>
          <w:szCs w:val="24"/>
          <w:highlight w:val="none"/>
        </w:rPr>
        <w:t>台</w:t>
      </w:r>
      <w:r>
        <w:rPr>
          <w:rFonts w:hint="eastAsia" w:ascii="宋体" w:hAnsi="宋体" w:eastAsia="宋体" w:cs="宋体"/>
          <w:color w:val="auto"/>
          <w:spacing w:val="-73"/>
          <w:sz w:val="24"/>
          <w:szCs w:val="24"/>
          <w:highlight w:val="none"/>
        </w:rPr>
        <w:t xml:space="preserve"> </w:t>
      </w:r>
      <w:r>
        <w:rPr>
          <w:rFonts w:hint="eastAsia" w:ascii="宋体" w:hAnsi="宋体" w:eastAsia="宋体" w:cs="宋体"/>
          <w:color w:val="auto"/>
          <w:spacing w:val="-3"/>
          <w:sz w:val="24"/>
          <w:szCs w:val="24"/>
          <w:highlight w:val="none"/>
        </w:rPr>
        <w:t>查</w:t>
      </w:r>
      <w:r>
        <w:rPr>
          <w:rFonts w:hint="eastAsia" w:ascii="宋体" w:hAnsi="宋体" w:eastAsia="宋体" w:cs="宋体"/>
          <w:color w:val="auto"/>
          <w:spacing w:val="-80"/>
          <w:sz w:val="24"/>
          <w:szCs w:val="24"/>
          <w:highlight w:val="none"/>
        </w:rPr>
        <w:t xml:space="preserve"> </w:t>
      </w:r>
      <w:r>
        <w:rPr>
          <w:rFonts w:hint="eastAsia" w:ascii="宋体" w:hAnsi="宋体" w:eastAsia="宋体" w:cs="宋体"/>
          <w:color w:val="auto"/>
          <w:spacing w:val="-3"/>
          <w:sz w:val="24"/>
          <w:szCs w:val="24"/>
          <w:highlight w:val="none"/>
        </w:rPr>
        <w:t>询</w:t>
      </w:r>
      <w:r>
        <w:rPr>
          <w:rFonts w:hint="eastAsia" w:ascii="宋体" w:hAnsi="宋体" w:eastAsia="宋体" w:cs="宋体"/>
          <w:color w:val="auto"/>
          <w:spacing w:val="-92"/>
          <w:sz w:val="24"/>
          <w:szCs w:val="24"/>
          <w:highlight w:val="none"/>
        </w:rPr>
        <w:t xml:space="preserve"> </w:t>
      </w:r>
      <w:r>
        <w:rPr>
          <w:rFonts w:hint="eastAsia" w:ascii="宋体" w:hAnsi="宋体" w:eastAsia="宋体" w:cs="宋体"/>
          <w:color w:val="auto"/>
          <w:spacing w:val="-3"/>
          <w:sz w:val="24"/>
          <w:szCs w:val="24"/>
          <w:highlight w:val="none"/>
        </w:rPr>
        <w:t>（网</w:t>
      </w:r>
      <w:r>
        <w:rPr>
          <w:rFonts w:hint="eastAsia" w:ascii="宋体" w:hAnsi="宋体" w:eastAsia="宋体" w:cs="宋体"/>
          <w:color w:val="auto"/>
          <w:spacing w:val="-72"/>
          <w:sz w:val="24"/>
          <w:szCs w:val="24"/>
          <w:highlight w:val="none"/>
        </w:rPr>
        <w:t xml:space="preserve"> </w:t>
      </w:r>
      <w:r>
        <w:rPr>
          <w:rFonts w:hint="eastAsia" w:ascii="宋体" w:hAnsi="宋体" w:eastAsia="宋体" w:cs="宋体"/>
          <w:color w:val="auto"/>
          <w:spacing w:val="-3"/>
          <w:sz w:val="24"/>
          <w:szCs w:val="24"/>
          <w:highlight w:val="none"/>
        </w:rPr>
        <w:t>址</w:t>
      </w:r>
      <w:r>
        <w:rPr>
          <w:rFonts w:hint="eastAsia" w:ascii="宋体" w:hAnsi="宋体" w:eastAsia="宋体" w:cs="宋体"/>
          <w:color w:val="auto"/>
          <w:spacing w:val="-52"/>
          <w:sz w:val="24"/>
          <w:szCs w:val="24"/>
          <w:highlight w:val="none"/>
        </w:rPr>
        <w:t xml:space="preserve"> </w:t>
      </w:r>
      <w:r>
        <w:rPr>
          <w:rFonts w:hint="eastAsia" w:ascii="宋体" w:hAnsi="宋体" w:eastAsia="宋体" w:cs="宋体"/>
          <w:color w:val="auto"/>
          <w:spacing w:val="-3"/>
          <w:sz w:val="24"/>
          <w:szCs w:val="24"/>
          <w:highlight w:val="none"/>
        </w:rPr>
        <w:t>：</w:t>
      </w:r>
      <w:r>
        <w:rPr>
          <w:rFonts w:hint="eastAsia" w:ascii="宋体" w:hAnsi="宋体" w:eastAsia="宋体" w:cs="宋体"/>
          <w:color w:val="auto"/>
          <w:spacing w:val="-92"/>
          <w:sz w:val="24"/>
          <w:szCs w:val="24"/>
          <w:highlight w:val="none"/>
        </w:rPr>
        <w:t xml:space="preserve"> </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"https://www.crcrfsp.com/"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pacing w:val="-3"/>
          <w:sz w:val="24"/>
          <w:szCs w:val="24"/>
          <w:highlight w:val="none"/>
          <w:u w:val="single" w:color="auto"/>
        </w:rPr>
        <w:t>https://www.crcrfsp.com/</w:t>
      </w:r>
      <w:r>
        <w:rPr>
          <w:rFonts w:hint="eastAsia" w:ascii="宋体" w:hAnsi="宋体" w:eastAsia="宋体" w:cs="宋体"/>
          <w:color w:val="auto"/>
          <w:spacing w:val="-3"/>
          <w:sz w:val="24"/>
          <w:szCs w:val="24"/>
          <w:highlight w:val="none"/>
          <w:u w:val="single" w:color="auto"/>
        </w:rPr>
        <w:fldChar w:fldCharType="end"/>
      </w:r>
      <w:r>
        <w:rPr>
          <w:rFonts w:hint="eastAsia" w:ascii="宋体" w:hAnsi="宋体" w:eastAsia="宋体" w:cs="宋体"/>
          <w:color w:val="auto"/>
          <w:spacing w:val="-3"/>
          <w:sz w:val="24"/>
          <w:szCs w:val="24"/>
          <w:highlight w:val="none"/>
        </w:rPr>
        <w:t>，</w:t>
      </w:r>
      <w:r>
        <w:rPr>
          <w:rFonts w:hint="eastAsia" w:ascii="宋体" w:hAnsi="宋体" w:eastAsia="宋体" w:cs="宋体"/>
          <w:color w:val="auto"/>
          <w:spacing w:val="-65"/>
          <w:sz w:val="24"/>
          <w:szCs w:val="24"/>
          <w:highlight w:val="none"/>
        </w:rPr>
        <w:t xml:space="preserve"> </w:t>
      </w:r>
      <w:r>
        <w:rPr>
          <w:rFonts w:hint="eastAsia" w:ascii="宋体" w:hAnsi="宋体" w:eastAsia="宋体" w:cs="宋体"/>
          <w:color w:val="auto"/>
          <w:spacing w:val="-3"/>
          <w:sz w:val="24"/>
          <w:szCs w:val="24"/>
          <w:highlight w:val="none"/>
        </w:rPr>
        <w:t>客</w:t>
      </w:r>
      <w:r>
        <w:rPr>
          <w:rFonts w:hint="eastAsia" w:ascii="宋体" w:hAnsi="宋体" w:eastAsia="宋体" w:cs="宋体"/>
          <w:color w:val="auto"/>
          <w:spacing w:val="-79"/>
          <w:sz w:val="24"/>
          <w:szCs w:val="24"/>
          <w:highlight w:val="none"/>
        </w:rPr>
        <w:t xml:space="preserve"> </w:t>
      </w:r>
      <w:r>
        <w:rPr>
          <w:rFonts w:hint="eastAsia" w:ascii="宋体" w:hAnsi="宋体" w:eastAsia="宋体" w:cs="宋体"/>
          <w:color w:val="auto"/>
          <w:spacing w:val="-3"/>
          <w:sz w:val="24"/>
          <w:szCs w:val="24"/>
          <w:highlight w:val="none"/>
        </w:rPr>
        <w:t>服</w:t>
      </w:r>
      <w:r>
        <w:rPr>
          <w:rFonts w:hint="eastAsia" w:ascii="宋体" w:hAnsi="宋体" w:eastAsia="宋体" w:cs="宋体"/>
          <w:color w:val="auto"/>
          <w:spacing w:val="-41"/>
          <w:sz w:val="24"/>
          <w:szCs w:val="24"/>
          <w:highlight w:val="none"/>
        </w:rPr>
        <w:t xml:space="preserve"> </w:t>
      </w:r>
      <w:r>
        <w:rPr>
          <w:rFonts w:hint="eastAsia" w:ascii="宋体" w:hAnsi="宋体" w:eastAsia="宋体" w:cs="宋体"/>
          <w:color w:val="auto"/>
          <w:spacing w:val="-3"/>
          <w:sz w:val="24"/>
          <w:szCs w:val="24"/>
          <w:highlight w:val="none"/>
        </w:rPr>
        <w:t>电</w:t>
      </w:r>
      <w:r>
        <w:rPr>
          <w:rFonts w:hint="eastAsia" w:ascii="宋体" w:hAnsi="宋体" w:eastAsia="宋体" w:cs="宋体"/>
          <w:color w:val="auto"/>
          <w:spacing w:val="-79"/>
          <w:sz w:val="24"/>
          <w:szCs w:val="24"/>
          <w:highlight w:val="none"/>
        </w:rPr>
        <w:t xml:space="preserve"> </w:t>
      </w:r>
      <w:r>
        <w:rPr>
          <w:rFonts w:hint="eastAsia" w:ascii="宋体" w:hAnsi="宋体" w:eastAsia="宋体" w:cs="宋体"/>
          <w:color w:val="auto"/>
          <w:spacing w:val="-3"/>
          <w:sz w:val="24"/>
          <w:szCs w:val="24"/>
          <w:highlight w:val="none"/>
        </w:rPr>
        <w:t>话：</w:t>
      </w:r>
      <w:r>
        <w:rPr>
          <w:rFonts w:hint="eastAsia" w:ascii="宋体" w:hAnsi="宋体" w:eastAsia="宋体" w:cs="宋体"/>
          <w:color w:val="auto"/>
          <w:spacing w:val="3"/>
          <w:sz w:val="24"/>
          <w:szCs w:val="24"/>
          <w:highlight w:val="none"/>
        </w:rPr>
        <w:t>400-009-0001）。</w:t>
      </w:r>
    </w:p>
    <w:p>
      <w:pPr>
        <w:rPr>
          <w:rFonts w:hint="eastAsia" w:ascii="宋体" w:hAnsi="宋体" w:eastAsia="宋体" w:cs="宋体"/>
          <w:color w:val="auto"/>
          <w:sz w:val="21"/>
          <w:szCs w:val="21"/>
          <w:highlight w:val="none"/>
          <w:lang w:eastAsia="zh-CN"/>
        </w:rPr>
      </w:pPr>
    </w:p>
    <w:p>
      <w:pPr>
        <w:pStyle w:val="2"/>
        <w:rPr>
          <w:rFonts w:hint="eastAsia" w:ascii="宋体" w:hAnsi="宋体" w:eastAsia="宋体" w:cs="宋体"/>
          <w:color w:val="auto"/>
          <w:sz w:val="21"/>
          <w:szCs w:val="21"/>
          <w:highlight w:val="none"/>
          <w:lang w:eastAsia="zh-CN"/>
        </w:rPr>
      </w:pPr>
    </w:p>
    <w:p>
      <w:pPr>
        <w:rPr>
          <w:rFonts w:hint="eastAsia" w:ascii="宋体" w:hAnsi="宋体" w:eastAsia="宋体" w:cs="宋体"/>
          <w:color w:val="auto"/>
          <w:sz w:val="21"/>
          <w:szCs w:val="21"/>
          <w:highlight w:val="none"/>
          <w:lang w:eastAsia="zh-CN"/>
        </w:rPr>
      </w:pPr>
    </w:p>
    <w:p>
      <w:pPr>
        <w:pStyle w:val="2"/>
        <w:rPr>
          <w:rFonts w:hint="eastAsia" w:ascii="宋体" w:hAnsi="宋体" w:eastAsia="宋体" w:cs="宋体"/>
          <w:color w:val="auto"/>
          <w:sz w:val="21"/>
          <w:szCs w:val="21"/>
          <w:highlight w:val="none"/>
          <w:lang w:eastAsia="zh-CN"/>
        </w:rPr>
      </w:pPr>
    </w:p>
    <w:p>
      <w:pPr>
        <w:rPr>
          <w:rFonts w:hint="eastAsia" w:ascii="宋体" w:hAnsi="宋体" w:eastAsia="宋体" w:cs="宋体"/>
          <w:color w:val="auto"/>
          <w:sz w:val="21"/>
          <w:szCs w:val="21"/>
          <w:highlight w:val="none"/>
          <w:lang w:eastAsia="zh-CN"/>
        </w:rPr>
      </w:pPr>
    </w:p>
    <w:p>
      <w:pPr>
        <w:pStyle w:val="23"/>
        <w:rPr>
          <w:rFonts w:hint="eastAsia" w:ascii="宋体" w:hAnsi="宋体" w:eastAsia="宋体" w:cs="宋体"/>
          <w:color w:val="auto"/>
          <w:sz w:val="21"/>
          <w:szCs w:val="21"/>
          <w:highlight w:val="none"/>
          <w:lang w:eastAsia="zh-CN"/>
        </w:rPr>
      </w:pPr>
    </w:p>
    <w:p>
      <w:pPr>
        <w:rPr>
          <w:rFonts w:hint="eastAsia" w:ascii="宋体" w:hAnsi="宋体" w:eastAsia="宋体" w:cs="宋体"/>
          <w:color w:val="auto"/>
          <w:sz w:val="21"/>
          <w:szCs w:val="21"/>
          <w:highlight w:val="none"/>
          <w:lang w:eastAsia="zh-CN"/>
        </w:rPr>
      </w:pPr>
    </w:p>
    <w:p>
      <w:pPr>
        <w:pStyle w:val="8"/>
        <w:rPr>
          <w:rFonts w:hint="eastAsia" w:ascii="宋体" w:hAnsi="宋体" w:eastAsia="宋体" w:cs="宋体"/>
          <w:color w:val="auto"/>
          <w:sz w:val="21"/>
          <w:szCs w:val="21"/>
          <w:highlight w:val="none"/>
          <w:lang w:eastAsia="zh-CN"/>
        </w:rPr>
      </w:pPr>
    </w:p>
    <w:p>
      <w:pPr>
        <w:rPr>
          <w:rFonts w:hint="eastAsia" w:ascii="宋体" w:hAnsi="宋体" w:eastAsia="宋体" w:cs="宋体"/>
          <w:color w:val="auto"/>
          <w:sz w:val="21"/>
          <w:szCs w:val="21"/>
          <w:highlight w:val="none"/>
          <w:lang w:eastAsia="zh-CN"/>
        </w:rPr>
      </w:pPr>
    </w:p>
    <w:p>
      <w:pPr>
        <w:pStyle w:val="8"/>
        <w:rPr>
          <w:rFonts w:hint="eastAsia" w:ascii="宋体" w:hAnsi="宋体" w:eastAsia="宋体" w:cs="宋体"/>
          <w:color w:val="auto"/>
          <w:sz w:val="21"/>
          <w:szCs w:val="21"/>
          <w:highlight w:val="none"/>
          <w:lang w:eastAsia="zh-CN"/>
        </w:rPr>
      </w:pPr>
    </w:p>
    <w:p>
      <w:pPr>
        <w:rPr>
          <w:rFonts w:hint="eastAsia" w:ascii="宋体" w:hAnsi="宋体" w:eastAsia="宋体" w:cs="宋体"/>
          <w:color w:val="auto"/>
          <w:sz w:val="21"/>
          <w:szCs w:val="21"/>
          <w:highlight w:val="none"/>
          <w:lang w:eastAsia="zh-CN"/>
        </w:rPr>
      </w:pPr>
    </w:p>
    <w:p>
      <w:pPr>
        <w:pStyle w:val="8"/>
        <w:rPr>
          <w:rFonts w:hint="eastAsia" w:ascii="宋体" w:hAnsi="宋体" w:eastAsia="宋体" w:cs="宋体"/>
          <w:color w:val="auto"/>
          <w:sz w:val="21"/>
          <w:szCs w:val="21"/>
          <w:highlight w:val="none"/>
          <w:lang w:eastAsia="zh-CN"/>
        </w:rPr>
      </w:pPr>
    </w:p>
    <w:p>
      <w:pPr>
        <w:rPr>
          <w:rFonts w:hint="eastAsia" w:ascii="宋体" w:hAnsi="宋体" w:eastAsia="宋体" w:cs="宋体"/>
          <w:color w:val="auto"/>
          <w:sz w:val="21"/>
          <w:szCs w:val="21"/>
          <w:highlight w:val="none"/>
          <w:lang w:eastAsia="zh-CN"/>
        </w:rPr>
      </w:pPr>
    </w:p>
    <w:p>
      <w:pPr>
        <w:pStyle w:val="8"/>
        <w:rPr>
          <w:rFonts w:hint="eastAsia"/>
          <w:color w:val="auto"/>
          <w:highlight w:val="none"/>
          <w:lang w:eastAsia="zh-CN"/>
        </w:rPr>
      </w:pPr>
    </w:p>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color w:val="auto"/>
          <w:sz w:val="21"/>
          <w:szCs w:val="21"/>
          <w:highlight w:val="none"/>
        </w:rPr>
      </w:pPr>
      <w:bookmarkStart w:id="135" w:name="_Toc28939"/>
      <w:bookmarkStart w:id="136" w:name="_Toc2989"/>
    </w:p>
    <w:p>
      <w:pPr>
        <w:rPr>
          <w:rFonts w:hint="eastAsia"/>
          <w:color w:val="auto"/>
          <w:highlight w:val="none"/>
        </w:rPr>
      </w:pPr>
    </w:p>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color w:val="auto"/>
          <w:sz w:val="32"/>
          <w:szCs w:val="32"/>
          <w:highlight w:val="none"/>
          <w:lang w:eastAsia="zh-CN"/>
        </w:rPr>
      </w:pPr>
      <w:bookmarkStart w:id="137" w:name="_Toc23263"/>
      <w:r>
        <w:rPr>
          <w:rFonts w:hint="eastAsia" w:ascii="宋体" w:hAnsi="宋体" w:eastAsia="宋体" w:cs="宋体"/>
          <w:color w:val="auto"/>
          <w:sz w:val="32"/>
          <w:szCs w:val="32"/>
          <w:highlight w:val="none"/>
        </w:rPr>
        <w:t xml:space="preserve">第三章 </w:t>
      </w:r>
      <w:r>
        <w:rPr>
          <w:rFonts w:hint="eastAsia" w:ascii="宋体" w:hAnsi="宋体" w:eastAsia="宋体" w:cs="宋体"/>
          <w:color w:val="auto"/>
          <w:sz w:val="32"/>
          <w:szCs w:val="32"/>
          <w:highlight w:val="none"/>
          <w:lang w:eastAsia="zh-CN"/>
        </w:rPr>
        <w:t>工程量清单</w:t>
      </w:r>
      <w:bookmarkEnd w:id="135"/>
      <w:bookmarkEnd w:id="137"/>
    </w:p>
    <w:p>
      <w:pPr>
        <w:pStyle w:val="11"/>
        <w:keepNext w:val="0"/>
        <w:keepLines w:val="0"/>
        <w:pageBreakBefore w:val="0"/>
        <w:widowControl w:val="0"/>
        <w:kinsoku/>
        <w:wordWrap/>
        <w:overflowPunct/>
        <w:topLinePunct w:val="0"/>
        <w:autoSpaceDE/>
        <w:autoSpaceDN/>
        <w:bidi w:val="0"/>
        <w:snapToGrid/>
        <w:spacing w:line="380" w:lineRule="exact"/>
        <w:textAlignment w:val="auto"/>
        <w:rPr>
          <w:rFonts w:hint="eastAsia" w:ascii="宋体" w:hAnsi="宋体" w:eastAsia="宋体" w:cs="宋体"/>
          <w:color w:val="auto"/>
          <w:kern w:val="21"/>
          <w:sz w:val="21"/>
          <w:szCs w:val="21"/>
          <w:highlight w:val="none"/>
        </w:rPr>
      </w:pPr>
      <w:bookmarkStart w:id="138" w:name="_Toc164138057"/>
      <w:bookmarkStart w:id="139" w:name="_Toc160609998"/>
      <w:bookmarkStart w:id="140" w:name="_Toc194308407"/>
      <w:r>
        <w:rPr>
          <w:rFonts w:hint="eastAsia" w:ascii="宋体" w:hAnsi="宋体" w:eastAsia="宋体" w:cs="宋体"/>
          <w:b/>
          <w:color w:val="auto"/>
          <w:sz w:val="21"/>
          <w:szCs w:val="21"/>
          <w:highlight w:val="none"/>
        </w:rPr>
        <w:t>一、工程量清单说明</w:t>
      </w:r>
      <w:bookmarkEnd w:id="138"/>
      <w:bookmarkEnd w:id="139"/>
      <w:r>
        <w:rPr>
          <w:rFonts w:hint="eastAsia" w:ascii="宋体" w:hAnsi="宋体" w:eastAsia="宋体" w:cs="宋体"/>
          <w:color w:val="auto"/>
          <w:kern w:val="21"/>
          <w:sz w:val="21"/>
          <w:szCs w:val="21"/>
          <w:highlight w:val="none"/>
        </w:rPr>
        <w:t>：</w:t>
      </w:r>
      <w:bookmarkEnd w:id="140"/>
      <w:r>
        <w:rPr>
          <w:rFonts w:hint="eastAsia" w:ascii="宋体" w:hAnsi="宋体" w:eastAsia="宋体" w:cs="宋体"/>
          <w:color w:val="auto"/>
          <w:kern w:val="21"/>
          <w:sz w:val="21"/>
          <w:szCs w:val="21"/>
          <w:highlight w:val="none"/>
        </w:rPr>
        <w:t xml:space="preserve"> </w:t>
      </w:r>
    </w:p>
    <w:p>
      <w:pPr>
        <w:keepNext w:val="0"/>
        <w:keepLines w:val="0"/>
        <w:pageBreakBefore w:val="0"/>
        <w:widowControl w:val="0"/>
        <w:tabs>
          <w:tab w:val="left" w:pos="210"/>
        </w:tabs>
        <w:kinsoku/>
        <w:wordWrap/>
        <w:overflowPunct/>
        <w:topLinePunct w:val="0"/>
        <w:autoSpaceDE/>
        <w:autoSpaceDN/>
        <w:bidi w:val="0"/>
        <w:adjustRightInd/>
        <w:snapToGrid/>
        <w:spacing w:line="380" w:lineRule="exact"/>
        <w:ind w:left="0"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kern w:val="21"/>
          <w:sz w:val="21"/>
          <w:szCs w:val="21"/>
          <w:highlight w:val="none"/>
          <w:lang w:val="en-US" w:eastAsia="zh-CN"/>
        </w:rPr>
        <w:t>1、</w:t>
      </w:r>
      <w:r>
        <w:rPr>
          <w:rFonts w:hint="eastAsia" w:ascii="宋体" w:hAnsi="宋体" w:eastAsia="宋体" w:cs="宋体"/>
          <w:color w:val="auto"/>
          <w:sz w:val="21"/>
          <w:szCs w:val="21"/>
          <w:highlight w:val="none"/>
          <w:lang w:eastAsia="zh-CN"/>
        </w:rPr>
        <w:t>工程概况：</w:t>
      </w:r>
    </w:p>
    <w:p>
      <w:pPr>
        <w:keepNext w:val="0"/>
        <w:keepLines w:val="0"/>
        <w:pageBreakBefore w:val="0"/>
        <w:widowControl w:val="0"/>
        <w:kinsoku/>
        <w:wordWrap/>
        <w:overflowPunct/>
        <w:topLinePunct w:val="0"/>
        <w:autoSpaceDE/>
        <w:autoSpaceDN/>
        <w:bidi w:val="0"/>
        <w:snapToGrid/>
        <w:spacing w:line="380" w:lineRule="exact"/>
        <w:ind w:left="0" w:leftChars="0" w:firstLine="420" w:firstLineChars="200"/>
        <w:textAlignment w:val="auto"/>
        <w:rPr>
          <w:rFonts w:hint="eastAsia" w:ascii="宋体" w:hAnsi="宋体" w:eastAsia="宋体" w:cs="宋体"/>
          <w:b w:val="0"/>
          <w:bCs w:val="0"/>
          <w:color w:val="auto"/>
          <w:kern w:val="2"/>
          <w:sz w:val="21"/>
          <w:szCs w:val="21"/>
          <w:highlight w:val="none"/>
          <w:u w:val="none"/>
          <w:lang w:val="en-US" w:eastAsia="zh-CN" w:bidi="ar-SA"/>
        </w:rPr>
      </w:pPr>
      <w:r>
        <w:rPr>
          <w:rFonts w:hint="eastAsia" w:ascii="宋体" w:hAnsi="宋体" w:eastAsia="宋体" w:cs="宋体"/>
          <w:color w:val="auto"/>
          <w:sz w:val="21"/>
          <w:szCs w:val="21"/>
          <w:highlight w:val="none"/>
          <w:lang w:eastAsia="zh-CN"/>
        </w:rPr>
        <w:t>工程名称：</w:t>
      </w:r>
      <w:r>
        <w:rPr>
          <w:rFonts w:hint="eastAsia" w:ascii="宋体" w:hAnsi="宋体" w:eastAsia="宋体" w:cs="宋体"/>
          <w:color w:val="auto"/>
          <w:sz w:val="21"/>
          <w:szCs w:val="21"/>
          <w:highlight w:val="none"/>
          <w:lang w:val="en-US" w:eastAsia="zh-CN"/>
        </w:rPr>
        <w:t>兴安县溶江镇市民广场阙楼工程</w:t>
      </w:r>
    </w:p>
    <w:p>
      <w:pPr>
        <w:keepNext w:val="0"/>
        <w:keepLines w:val="0"/>
        <w:pageBreakBefore w:val="0"/>
        <w:widowControl w:val="0"/>
        <w:tabs>
          <w:tab w:val="left" w:pos="210"/>
        </w:tabs>
        <w:kinsoku/>
        <w:wordWrap/>
        <w:overflowPunct/>
        <w:topLinePunct w:val="0"/>
        <w:autoSpaceDE/>
        <w:autoSpaceDN/>
        <w:bidi w:val="0"/>
        <w:adjustRightInd/>
        <w:snapToGrid/>
        <w:spacing w:line="380" w:lineRule="exact"/>
        <w:ind w:left="0" w:firstLine="420" w:firstLineChars="200"/>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建设地址；</w:t>
      </w:r>
      <w:r>
        <w:rPr>
          <w:rFonts w:hint="eastAsia" w:ascii="宋体" w:hAnsi="宋体" w:cs="宋体"/>
          <w:color w:val="auto"/>
          <w:sz w:val="21"/>
          <w:szCs w:val="21"/>
          <w:highlight w:val="none"/>
          <w:lang w:val="en-US" w:eastAsia="zh-CN"/>
        </w:rPr>
        <w:t>兴安县溶江镇市民文化广场</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color w:val="auto"/>
          <w:sz w:val="21"/>
          <w:szCs w:val="21"/>
          <w:highlight w:val="none"/>
          <w:lang w:eastAsia="zh-CN"/>
        </w:rPr>
        <w:t>建设内容：</w:t>
      </w:r>
      <w:r>
        <w:rPr>
          <w:rFonts w:hint="eastAsia" w:ascii="宋体" w:hAnsi="宋体" w:eastAsia="宋体" w:cs="宋体"/>
          <w:b w:val="0"/>
          <w:bCs w:val="0"/>
          <w:color w:val="auto"/>
          <w:sz w:val="21"/>
          <w:szCs w:val="21"/>
          <w:highlight w:val="none"/>
          <w:lang w:val="en-US" w:eastAsia="zh-CN"/>
        </w:rPr>
        <w:t>本工程属</w:t>
      </w:r>
      <w:r>
        <w:rPr>
          <w:rFonts w:hint="eastAsia" w:ascii="宋体" w:hAnsi="宋体" w:cs="宋体"/>
          <w:b w:val="0"/>
          <w:bCs w:val="0"/>
          <w:color w:val="auto"/>
          <w:sz w:val="21"/>
          <w:szCs w:val="21"/>
          <w:highlight w:val="none"/>
          <w:lang w:val="en-US" w:eastAsia="zh-CN"/>
        </w:rPr>
        <w:t>景观标志性建筑</w:t>
      </w:r>
      <w:r>
        <w:rPr>
          <w:rFonts w:hint="eastAsia" w:ascii="宋体" w:hAnsi="宋体" w:eastAsia="宋体" w:cs="宋体"/>
          <w:b w:val="0"/>
          <w:bCs w:val="0"/>
          <w:color w:val="auto"/>
          <w:sz w:val="21"/>
          <w:szCs w:val="21"/>
          <w:highlight w:val="none"/>
          <w:lang w:val="en-US" w:eastAsia="zh-CN"/>
        </w:rPr>
        <w:t>，其主要建设内容</w:t>
      </w:r>
      <w:r>
        <w:rPr>
          <w:rFonts w:hint="eastAsia" w:ascii="宋体" w:hAnsi="宋体" w:cs="宋体"/>
          <w:b w:val="0"/>
          <w:bCs w:val="0"/>
          <w:color w:val="auto"/>
          <w:sz w:val="21"/>
          <w:szCs w:val="21"/>
          <w:highlight w:val="none"/>
          <w:lang w:val="en-US" w:eastAsia="zh-CN"/>
        </w:rPr>
        <w:t>拟建阙楼两座，广场两侧回填种植土后种植绿化，绿化面积约2500平方米</w:t>
      </w:r>
      <w:r>
        <w:rPr>
          <w:rFonts w:hint="eastAsia" w:ascii="宋体" w:hAnsi="宋体" w:eastAsia="宋体" w:cs="宋体"/>
          <w:b w:val="0"/>
          <w:bCs w:val="0"/>
          <w:color w:val="auto"/>
          <w:sz w:val="21"/>
          <w:szCs w:val="21"/>
          <w:highlight w:val="none"/>
          <w:lang w:val="en-US" w:eastAsia="zh-CN"/>
        </w:rPr>
        <w:t>。具体详见施工图纸及财评后工程量清单。</w:t>
      </w:r>
    </w:p>
    <w:p>
      <w:pPr>
        <w:keepNext w:val="0"/>
        <w:keepLines w:val="0"/>
        <w:pageBreakBefore w:val="0"/>
        <w:widowControl w:val="0"/>
        <w:numPr>
          <w:ilvl w:val="0"/>
          <w:numId w:val="5"/>
        </w:numPr>
        <w:tabs>
          <w:tab w:val="left" w:pos="210"/>
        </w:tabs>
        <w:kinsoku/>
        <w:wordWrap/>
        <w:overflowPunct/>
        <w:topLinePunct w:val="0"/>
        <w:autoSpaceDE/>
        <w:autoSpaceDN/>
        <w:bidi w:val="0"/>
        <w:adjustRightInd/>
        <w:snapToGrid/>
        <w:spacing w:line="380" w:lineRule="exact"/>
        <w:ind w:firstLine="422" w:firstLineChars="200"/>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编制依据：</w:t>
      </w:r>
    </w:p>
    <w:p>
      <w:pPr>
        <w:keepNext w:val="0"/>
        <w:keepLines w:val="0"/>
        <w:pageBreakBefore w:val="0"/>
        <w:widowControl w:val="0"/>
        <w:numPr>
          <w:ilvl w:val="0"/>
          <w:numId w:val="6"/>
        </w:numPr>
        <w:tabs>
          <w:tab w:val="left" w:pos="210"/>
        </w:tabs>
        <w:kinsoku/>
        <w:wordWrap/>
        <w:overflowPunct/>
        <w:topLinePunct w:val="0"/>
        <w:autoSpaceDE/>
        <w:autoSpaceDN/>
        <w:bidi w:val="0"/>
        <w:adjustRightInd/>
        <w:snapToGrid/>
        <w:spacing w:line="380" w:lineRule="exact"/>
        <w:ind w:firstLine="420" w:firstLineChars="200"/>
        <w:textAlignment w:val="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设计施工图</w:t>
      </w:r>
    </w:p>
    <w:p>
      <w:pPr>
        <w:keepNext w:val="0"/>
        <w:keepLines w:val="0"/>
        <w:pageBreakBefore w:val="0"/>
        <w:widowControl w:val="0"/>
        <w:numPr>
          <w:ilvl w:val="0"/>
          <w:numId w:val="0"/>
        </w:numPr>
        <w:tabs>
          <w:tab w:val="left" w:pos="210"/>
        </w:tabs>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《建设工程造价咨询规范》（GB/T51095-2015</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w:t>
      </w:r>
    </w:p>
    <w:p>
      <w:pPr>
        <w:keepNext w:val="0"/>
        <w:keepLines w:val="0"/>
        <w:pageBreakBefore w:val="0"/>
        <w:widowControl w:val="0"/>
        <w:tabs>
          <w:tab w:val="left" w:pos="210"/>
        </w:tabs>
        <w:kinsoku/>
        <w:wordWrap/>
        <w:overflowPunct/>
        <w:topLinePunct w:val="0"/>
        <w:autoSpaceDE/>
        <w:autoSpaceDN/>
        <w:bidi w:val="0"/>
        <w:adjustRightInd/>
        <w:snapToGrid/>
        <w:spacing w:line="380" w:lineRule="exact"/>
        <w:ind w:left="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《建设工程工程量清单计价规范》（GB50500-2013）广西壮族自治区实施细则；</w:t>
      </w:r>
    </w:p>
    <w:p>
      <w:pPr>
        <w:keepNext w:val="0"/>
        <w:keepLines w:val="0"/>
        <w:pageBreakBefore w:val="0"/>
        <w:widowControl w:val="0"/>
        <w:tabs>
          <w:tab w:val="left" w:pos="210"/>
        </w:tabs>
        <w:kinsoku/>
        <w:wordWrap/>
        <w:overflowPunct/>
        <w:topLinePunct w:val="0"/>
        <w:autoSpaceDE/>
        <w:autoSpaceDN/>
        <w:bidi w:val="0"/>
        <w:adjustRightInd/>
        <w:snapToGrid/>
        <w:spacing w:line="380" w:lineRule="exact"/>
        <w:ind w:left="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lang w:val="en-US" w:eastAsia="zh-CN"/>
        </w:rPr>
        <w:t>《建设工程工程量计算规范》（GB50854~50862-2013）广西壮族自治区实施细则（修订本）</w:t>
      </w:r>
      <w:r>
        <w:rPr>
          <w:rFonts w:hint="eastAsia" w:ascii="宋体" w:hAnsi="宋体" w:cs="宋体"/>
          <w:color w:val="auto"/>
          <w:sz w:val="21"/>
          <w:szCs w:val="21"/>
          <w:highlight w:val="none"/>
          <w:lang w:val="en-US" w:eastAsia="zh-CN"/>
        </w:rPr>
        <w:t>；</w:t>
      </w:r>
    </w:p>
    <w:p>
      <w:pPr>
        <w:keepNext w:val="0"/>
        <w:keepLines w:val="0"/>
        <w:pageBreakBefore w:val="0"/>
        <w:widowControl w:val="0"/>
        <w:tabs>
          <w:tab w:val="left" w:pos="210"/>
        </w:tabs>
        <w:kinsoku/>
        <w:wordWrap/>
        <w:overflowPunct/>
        <w:topLinePunct w:val="0"/>
        <w:autoSpaceDE/>
        <w:autoSpaceDN/>
        <w:bidi w:val="0"/>
        <w:adjustRightInd/>
        <w:snapToGrid/>
        <w:spacing w:line="380" w:lineRule="exact"/>
        <w:ind w:left="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 xml:space="preserve">（5） </w:t>
      </w:r>
      <w:r>
        <w:rPr>
          <w:rFonts w:hint="eastAsia" w:ascii="宋体" w:hAnsi="宋体" w:eastAsia="宋体" w:cs="宋体"/>
          <w:color w:val="auto"/>
          <w:sz w:val="21"/>
          <w:szCs w:val="21"/>
          <w:highlight w:val="none"/>
          <w:lang w:val="en-US" w:eastAsia="zh-CN"/>
        </w:rPr>
        <w:t>2014年《广西壮族自治区市政工程消耗量定额》；</w:t>
      </w:r>
    </w:p>
    <w:p>
      <w:pPr>
        <w:keepNext w:val="0"/>
        <w:keepLines w:val="0"/>
        <w:pageBreakBefore w:val="0"/>
        <w:widowControl w:val="0"/>
        <w:tabs>
          <w:tab w:val="left" w:pos="210"/>
        </w:tabs>
        <w:kinsoku/>
        <w:wordWrap/>
        <w:overflowPunct/>
        <w:topLinePunct w:val="0"/>
        <w:autoSpaceDE/>
        <w:autoSpaceDN/>
        <w:bidi w:val="0"/>
        <w:adjustRightInd/>
        <w:snapToGrid/>
        <w:spacing w:line="380" w:lineRule="exact"/>
        <w:ind w:left="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 xml:space="preserve">（6） </w:t>
      </w:r>
      <w:r>
        <w:rPr>
          <w:rFonts w:hint="eastAsia" w:ascii="宋体" w:hAnsi="宋体" w:eastAsia="宋体" w:cs="宋体"/>
          <w:color w:val="auto"/>
          <w:sz w:val="21"/>
          <w:szCs w:val="21"/>
          <w:highlight w:val="none"/>
          <w:lang w:val="en-US" w:eastAsia="zh-CN"/>
        </w:rPr>
        <w:t>2015年《广西壮族自治区安装工程消耗量定额》；</w:t>
      </w:r>
    </w:p>
    <w:p>
      <w:pPr>
        <w:keepNext w:val="0"/>
        <w:keepLines w:val="0"/>
        <w:pageBreakBefore w:val="0"/>
        <w:widowControl w:val="0"/>
        <w:tabs>
          <w:tab w:val="left" w:pos="210"/>
        </w:tabs>
        <w:kinsoku/>
        <w:wordWrap/>
        <w:overflowPunct/>
        <w:topLinePunct w:val="0"/>
        <w:autoSpaceDE/>
        <w:autoSpaceDN/>
        <w:bidi w:val="0"/>
        <w:adjustRightInd/>
        <w:snapToGrid/>
        <w:spacing w:line="380" w:lineRule="exact"/>
        <w:ind w:left="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 xml:space="preserve">（7） </w:t>
      </w:r>
      <w:r>
        <w:rPr>
          <w:rFonts w:hint="eastAsia" w:ascii="宋体" w:hAnsi="宋体" w:eastAsia="宋体" w:cs="宋体"/>
          <w:color w:val="auto"/>
          <w:sz w:val="21"/>
          <w:szCs w:val="21"/>
          <w:highlight w:val="none"/>
          <w:lang w:val="en-US" w:eastAsia="zh-CN"/>
        </w:rPr>
        <w:t>2013年《广西壮族自治区园林绿化工程消耗量定额》；</w:t>
      </w:r>
    </w:p>
    <w:p>
      <w:pPr>
        <w:keepNext w:val="0"/>
        <w:keepLines w:val="0"/>
        <w:pageBreakBefore w:val="0"/>
        <w:widowControl w:val="0"/>
        <w:tabs>
          <w:tab w:val="left" w:pos="210"/>
        </w:tabs>
        <w:kinsoku/>
        <w:wordWrap/>
        <w:overflowPunct/>
        <w:topLinePunct w:val="0"/>
        <w:autoSpaceDE/>
        <w:autoSpaceDN/>
        <w:bidi w:val="0"/>
        <w:adjustRightInd/>
        <w:snapToGrid/>
        <w:spacing w:line="380" w:lineRule="exact"/>
        <w:ind w:left="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（8）《自治区住房城乡建设厅关于调整建设工程定额人工费及有关费率的通知》(桂建标〔2023〕7号)；</w:t>
      </w:r>
    </w:p>
    <w:p>
      <w:pPr>
        <w:keepNext w:val="0"/>
        <w:keepLines w:val="0"/>
        <w:pageBreakBefore w:val="0"/>
        <w:widowControl w:val="0"/>
        <w:tabs>
          <w:tab w:val="left" w:pos="210"/>
        </w:tabs>
        <w:kinsoku/>
        <w:wordWrap/>
        <w:overflowPunct/>
        <w:topLinePunct w:val="0"/>
        <w:autoSpaceDE/>
        <w:autoSpaceDN/>
        <w:bidi w:val="0"/>
        <w:adjustRightInd/>
        <w:snapToGrid/>
        <w:spacing w:line="380" w:lineRule="exact"/>
        <w:ind w:left="0" w:firstLine="420" w:firstLineChars="200"/>
        <w:textAlignment w:val="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（9） 管理费和利润按《广西壮族自治区建设工程费用定额》中值计算；</w:t>
      </w:r>
    </w:p>
    <w:p>
      <w:pPr>
        <w:keepNext w:val="0"/>
        <w:keepLines w:val="0"/>
        <w:pageBreakBefore w:val="0"/>
        <w:widowControl w:val="0"/>
        <w:tabs>
          <w:tab w:val="left" w:pos="210"/>
        </w:tabs>
        <w:kinsoku/>
        <w:wordWrap/>
        <w:overflowPunct/>
        <w:topLinePunct w:val="0"/>
        <w:autoSpaceDE/>
        <w:autoSpaceDN/>
        <w:bidi w:val="0"/>
        <w:adjustRightInd/>
        <w:snapToGrid/>
        <w:spacing w:line="380" w:lineRule="exact"/>
        <w:ind w:left="0" w:firstLine="420" w:firstLineChars="200"/>
        <w:textAlignment w:val="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（10） 增值税及有关费率按《关于建筑业实施营业税改征增值税后广西壮族自治区建设工程计价依据调整的通知》（桂建标[ 2016]17号）及《关于调整建设工程计价增值税税率的通知(桂建标[2019]12号)调整。</w:t>
      </w:r>
    </w:p>
    <w:p>
      <w:pPr>
        <w:keepNext w:val="0"/>
        <w:keepLines w:val="0"/>
        <w:pageBreakBefore w:val="0"/>
        <w:widowControl w:val="0"/>
        <w:tabs>
          <w:tab w:val="left" w:pos="210"/>
        </w:tabs>
        <w:kinsoku/>
        <w:wordWrap/>
        <w:overflowPunct/>
        <w:topLinePunct w:val="0"/>
        <w:autoSpaceDE/>
        <w:autoSpaceDN/>
        <w:bidi w:val="0"/>
        <w:adjustRightInd/>
        <w:snapToGrid/>
        <w:spacing w:line="380" w:lineRule="exact"/>
        <w:ind w:left="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 xml:space="preserve">（11） 应业主要求，材料价格主要按照2023年第7期《桂林市建设工程造价信息》兴安县材料价格，兴安县未公布的材料价格参照同期桂林市公布信息价计或市场询价。    </w:t>
      </w:r>
    </w:p>
    <w:p>
      <w:pPr>
        <w:keepNext w:val="0"/>
        <w:keepLines w:val="0"/>
        <w:pageBreakBefore w:val="0"/>
        <w:widowControl w:val="0"/>
        <w:kinsoku/>
        <w:wordWrap/>
        <w:overflowPunct/>
        <w:topLinePunct w:val="0"/>
        <w:autoSpaceDE/>
        <w:autoSpaceDN/>
        <w:bidi w:val="0"/>
        <w:adjustRightInd w:val="0"/>
        <w:snapToGrid/>
        <w:spacing w:line="380" w:lineRule="exact"/>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val="en-US" w:eastAsia="zh-CN"/>
        </w:rPr>
        <w:t>二</w:t>
      </w:r>
      <w:r>
        <w:rPr>
          <w:rFonts w:hint="eastAsia" w:ascii="宋体" w:hAnsi="宋体" w:eastAsia="宋体" w:cs="宋体"/>
          <w:b/>
          <w:color w:val="auto"/>
          <w:sz w:val="21"/>
          <w:szCs w:val="21"/>
          <w:highlight w:val="none"/>
        </w:rPr>
        <w:t>、注意事项及要求：</w:t>
      </w:r>
    </w:p>
    <w:p>
      <w:pPr>
        <w:keepNext w:val="0"/>
        <w:keepLines w:val="0"/>
        <w:pageBreakBefore w:val="0"/>
        <w:widowControl w:val="0"/>
        <w:tabs>
          <w:tab w:val="left" w:pos="210"/>
        </w:tabs>
        <w:kinsoku/>
        <w:wordWrap/>
        <w:overflowPunct/>
        <w:topLinePunct w:val="0"/>
        <w:autoSpaceDE/>
        <w:autoSpaceDN/>
        <w:bidi w:val="0"/>
        <w:adjustRightInd/>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rPr>
        <w:t>严格按国家标准及本项目工程量清单、图纸要求施工；</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hAnsi="宋体" w:cs="宋体"/>
          <w:color w:val="auto"/>
          <w:sz w:val="21"/>
          <w:szCs w:val="21"/>
          <w:highlight w:val="none"/>
          <w:lang w:val="en-US" w:eastAsia="zh-CN"/>
        </w:rPr>
        <w:t>.</w:t>
      </w:r>
      <w:r>
        <w:rPr>
          <w:rFonts w:hint="eastAsia" w:ascii="宋体" w:hAnsi="宋体" w:eastAsia="宋体" w:cs="宋体"/>
          <w:color w:val="auto"/>
          <w:sz w:val="21"/>
          <w:szCs w:val="21"/>
          <w:highlight w:val="none"/>
        </w:rPr>
        <w:t>要求工期：</w:t>
      </w:r>
      <w:r>
        <w:rPr>
          <w:rFonts w:hint="eastAsia" w:ascii="宋体" w:hAnsi="宋体" w:eastAsia="宋体" w:cs="宋体"/>
          <w:color w:val="auto"/>
          <w:sz w:val="21"/>
          <w:szCs w:val="21"/>
          <w:highlight w:val="none"/>
          <w:lang w:val="en-US" w:eastAsia="zh-CN"/>
        </w:rPr>
        <w:t>自合同签订之日起</w:t>
      </w:r>
      <w:r>
        <w:rPr>
          <w:rFonts w:hint="eastAsia" w:hAnsi="宋体" w:cs="宋体"/>
          <w:color w:val="auto"/>
          <w:sz w:val="21"/>
          <w:szCs w:val="21"/>
          <w:highlight w:val="none"/>
          <w:lang w:val="en-US" w:eastAsia="zh-CN"/>
        </w:rPr>
        <w:t>6</w:t>
      </w:r>
      <w:r>
        <w:rPr>
          <w:rFonts w:hint="eastAsia" w:ascii="宋体" w:hAnsi="宋体" w:eastAsia="宋体" w:cs="宋体"/>
          <w:color w:val="auto"/>
          <w:sz w:val="21"/>
          <w:szCs w:val="21"/>
          <w:highlight w:val="none"/>
          <w:lang w:val="en-US" w:eastAsia="zh-CN"/>
        </w:rPr>
        <w:t>0个日历天内完工</w:t>
      </w:r>
      <w:r>
        <w:rPr>
          <w:rFonts w:hint="eastAsia" w:ascii="宋体" w:hAnsi="宋体" w:eastAsia="宋体" w:cs="宋体"/>
          <w:i w:val="0"/>
          <w:iCs w:val="0"/>
          <w:color w:val="auto"/>
          <w:sz w:val="21"/>
          <w:szCs w:val="21"/>
          <w:highlight w:val="none"/>
          <w:lang w:val="en-US" w:eastAsia="zh-CN"/>
        </w:rPr>
        <w:t>。</w:t>
      </w:r>
      <w:r>
        <w:rPr>
          <w:rFonts w:hint="eastAsia" w:ascii="宋体" w:hAnsi="宋体" w:eastAsia="宋体" w:cs="宋体"/>
          <w:color w:val="auto"/>
          <w:sz w:val="21"/>
          <w:szCs w:val="21"/>
          <w:highlight w:val="none"/>
        </w:rPr>
        <w:t xml:space="preserve"> </w:t>
      </w:r>
    </w:p>
    <w:p>
      <w:pPr>
        <w:keepNext w:val="0"/>
        <w:keepLines w:val="0"/>
        <w:pageBreakBefore w:val="0"/>
        <w:widowControl w:val="0"/>
        <w:tabs>
          <w:tab w:val="left" w:pos="210"/>
        </w:tabs>
        <w:kinsoku/>
        <w:wordWrap/>
        <w:overflowPunct/>
        <w:topLinePunct w:val="0"/>
        <w:autoSpaceDE/>
        <w:autoSpaceDN/>
        <w:bidi w:val="0"/>
        <w:adjustRightInd/>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rPr>
        <w:t>质量标准：</w:t>
      </w:r>
      <w:r>
        <w:rPr>
          <w:rFonts w:hint="eastAsia" w:ascii="宋体" w:hAnsi="宋体" w:eastAsia="宋体" w:cs="宋体"/>
          <w:color w:val="auto"/>
          <w:sz w:val="21"/>
          <w:szCs w:val="21"/>
          <w:highlight w:val="none"/>
          <w:lang w:eastAsia="zh-CN"/>
        </w:rPr>
        <w:t>达到国家施工验收规范合格标准</w:t>
      </w:r>
      <w:r>
        <w:rPr>
          <w:rFonts w:hint="eastAsia" w:ascii="宋体" w:hAnsi="宋体" w:eastAsia="宋体" w:cs="宋体"/>
          <w:color w:val="auto"/>
          <w:sz w:val="21"/>
          <w:szCs w:val="21"/>
          <w:highlight w:val="none"/>
        </w:rPr>
        <w:t>。</w:t>
      </w:r>
    </w:p>
    <w:p>
      <w:pPr>
        <w:keepNext w:val="0"/>
        <w:keepLines w:val="0"/>
        <w:pageBreakBefore w:val="0"/>
        <w:widowControl w:val="0"/>
        <w:tabs>
          <w:tab w:val="left" w:pos="210"/>
        </w:tabs>
        <w:kinsoku/>
        <w:wordWrap/>
        <w:overflowPunct/>
        <w:topLinePunct w:val="0"/>
        <w:autoSpaceDE/>
        <w:autoSpaceDN/>
        <w:bidi w:val="0"/>
        <w:adjustRightInd/>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cs="宋体"/>
          <w:color w:val="auto"/>
          <w:sz w:val="21"/>
          <w:szCs w:val="21"/>
          <w:highlight w:val="none"/>
          <w:lang w:val="en-US" w:eastAsia="zh-CN"/>
        </w:rPr>
        <w:t>.</w:t>
      </w:r>
      <w:r>
        <w:rPr>
          <w:rFonts w:hint="eastAsia" w:ascii="宋体" w:hAnsi="宋体" w:eastAsia="宋体" w:cs="宋体"/>
          <w:b/>
          <w:bCs/>
          <w:color w:val="auto"/>
          <w:sz w:val="21"/>
          <w:szCs w:val="21"/>
          <w:highlight w:val="none"/>
        </w:rPr>
        <w:t>供应商承诺工程竣工后，供应商应按照采购人的要求免费对开工的工程场地进行清理及清洁。</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rPr>
        <w:t>工程量</w:t>
      </w:r>
      <w:r>
        <w:rPr>
          <w:rFonts w:hint="eastAsia" w:ascii="宋体" w:hAnsi="宋体" w:eastAsia="宋体" w:cs="宋体"/>
          <w:color w:val="auto"/>
          <w:sz w:val="21"/>
          <w:szCs w:val="21"/>
          <w:highlight w:val="none"/>
          <w:lang w:eastAsia="zh-CN"/>
        </w:rPr>
        <w:t>按采购人提供的工程量清单，供应商进行自行报价。</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rPr>
          <w:rFonts w:hint="eastAsia" w:ascii="宋体" w:hAnsi="宋体" w:eastAsia="宋体" w:cs="宋体"/>
          <w:b/>
          <w:color w:val="auto"/>
          <w:kern w:val="0"/>
          <w:sz w:val="21"/>
          <w:szCs w:val="21"/>
          <w:highlight w:val="none"/>
          <w:lang w:eastAsia="zh-CN"/>
        </w:rPr>
      </w:pPr>
      <w:r>
        <w:rPr>
          <w:rFonts w:hint="eastAsia" w:ascii="宋体" w:hAnsi="宋体" w:eastAsia="宋体" w:cs="宋体"/>
          <w:color w:val="auto"/>
          <w:sz w:val="21"/>
          <w:szCs w:val="21"/>
          <w:highlight w:val="none"/>
          <w:lang w:val="en-US" w:eastAsia="zh-CN"/>
        </w:rPr>
        <w:t>6</w:t>
      </w:r>
      <w:r>
        <w:rPr>
          <w:rFonts w:hint="eastAsia" w:ascii="宋体" w:hAnsi="宋体" w:cs="宋体"/>
          <w:color w:val="auto"/>
          <w:sz w:val="21"/>
          <w:szCs w:val="21"/>
          <w:highlight w:val="none"/>
          <w:lang w:val="en-US" w:eastAsia="zh-CN"/>
        </w:rPr>
        <w:t>.</w:t>
      </w:r>
      <w:r>
        <w:rPr>
          <w:rFonts w:hint="eastAsia" w:ascii="宋体" w:hAnsi="宋体" w:eastAsia="宋体" w:cs="宋体"/>
          <w:b/>
          <w:color w:val="auto"/>
          <w:kern w:val="0"/>
          <w:sz w:val="21"/>
          <w:szCs w:val="21"/>
          <w:highlight w:val="none"/>
        </w:rPr>
        <w:t>本工程</w:t>
      </w:r>
      <w:r>
        <w:rPr>
          <w:rFonts w:hint="eastAsia" w:ascii="宋体" w:hAnsi="宋体" w:eastAsia="宋体" w:cs="宋体"/>
          <w:b/>
          <w:bCs/>
          <w:color w:val="auto"/>
          <w:sz w:val="21"/>
          <w:szCs w:val="21"/>
          <w:highlight w:val="none"/>
          <w:lang w:eastAsia="zh-CN"/>
        </w:rPr>
        <w:t>财评后的</w:t>
      </w:r>
      <w:r>
        <w:rPr>
          <w:rFonts w:hint="eastAsia" w:ascii="宋体" w:hAnsi="宋体" w:eastAsia="宋体" w:cs="宋体"/>
          <w:b/>
          <w:color w:val="auto"/>
          <w:kern w:val="0"/>
          <w:sz w:val="21"/>
          <w:szCs w:val="21"/>
          <w:highlight w:val="none"/>
          <w:lang w:val="en-US" w:eastAsia="zh-CN"/>
        </w:rPr>
        <w:t>预算控制价为</w:t>
      </w:r>
      <w:r>
        <w:rPr>
          <w:rFonts w:hint="eastAsia" w:ascii="宋体" w:hAnsi="宋体" w:eastAsia="宋体" w:cs="宋体"/>
          <w:b/>
          <w:color w:val="auto"/>
          <w:kern w:val="0"/>
          <w:sz w:val="21"/>
          <w:szCs w:val="21"/>
          <w:highlight w:val="none"/>
        </w:rPr>
        <w:t>人民币</w:t>
      </w:r>
      <w:r>
        <w:rPr>
          <w:rFonts w:hint="eastAsia" w:ascii="宋体" w:hAnsi="宋体" w:eastAsia="宋体" w:cs="宋体"/>
          <w:b/>
          <w:color w:val="auto"/>
          <w:kern w:val="0"/>
          <w:sz w:val="21"/>
          <w:szCs w:val="21"/>
          <w:highlight w:val="none"/>
          <w:u w:val="single"/>
          <w:lang w:val="en-US" w:eastAsia="zh-CN"/>
        </w:rPr>
        <w:t>1056029.72</w:t>
      </w:r>
      <w:r>
        <w:rPr>
          <w:rFonts w:hint="eastAsia" w:ascii="宋体" w:hAnsi="宋体" w:eastAsia="宋体" w:cs="宋体"/>
          <w:b/>
          <w:color w:val="auto"/>
          <w:kern w:val="0"/>
          <w:sz w:val="21"/>
          <w:szCs w:val="21"/>
          <w:highlight w:val="none"/>
        </w:rPr>
        <w:t>元</w:t>
      </w:r>
      <w:r>
        <w:rPr>
          <w:rFonts w:hint="eastAsia" w:ascii="宋体" w:hAnsi="宋体" w:eastAsia="宋体" w:cs="宋体"/>
          <w:b/>
          <w:color w:val="auto"/>
          <w:kern w:val="0"/>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2" w:firstLineChars="200"/>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
          <w:bCs/>
          <w:color w:val="auto"/>
          <w:sz w:val="21"/>
          <w:szCs w:val="21"/>
          <w:highlight w:val="none"/>
          <w:lang w:eastAsia="zh-CN"/>
        </w:rPr>
        <w:t>经采购人同意，</w:t>
      </w:r>
      <w:r>
        <w:rPr>
          <w:rFonts w:hint="eastAsia" w:ascii="宋体" w:hAnsi="宋体" w:eastAsia="宋体" w:cs="宋体"/>
          <w:b/>
          <w:bCs/>
          <w:color w:val="auto"/>
          <w:sz w:val="21"/>
          <w:szCs w:val="21"/>
          <w:highlight w:val="none"/>
        </w:rPr>
        <w:t>本工程最高磋商限价</w:t>
      </w:r>
      <w:r>
        <w:rPr>
          <w:rFonts w:hint="eastAsia" w:ascii="宋体" w:hAnsi="宋体" w:eastAsia="宋体" w:cs="宋体"/>
          <w:b/>
          <w:bCs/>
          <w:color w:val="auto"/>
          <w:sz w:val="21"/>
          <w:szCs w:val="21"/>
          <w:highlight w:val="none"/>
          <w:lang w:eastAsia="zh-CN"/>
        </w:rPr>
        <w:t>（预算</w:t>
      </w:r>
      <w:r>
        <w:rPr>
          <w:rFonts w:hint="eastAsia" w:ascii="宋体" w:hAnsi="宋体" w:eastAsia="宋体" w:cs="宋体"/>
          <w:b/>
          <w:bCs/>
          <w:color w:val="auto"/>
          <w:sz w:val="21"/>
          <w:szCs w:val="21"/>
          <w:highlight w:val="none"/>
          <w:lang w:val="en-US" w:eastAsia="zh-CN"/>
        </w:rPr>
        <w:t>控制价</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为</w:t>
      </w:r>
      <w:r>
        <w:rPr>
          <w:rFonts w:hint="eastAsia" w:ascii="宋体" w:hAnsi="宋体" w:eastAsia="宋体" w:cs="宋体"/>
          <w:b/>
          <w:color w:val="auto"/>
          <w:kern w:val="0"/>
          <w:sz w:val="21"/>
          <w:szCs w:val="21"/>
          <w:highlight w:val="none"/>
          <w:u w:val="single"/>
          <w:lang w:val="en-US" w:eastAsia="zh-CN"/>
        </w:rPr>
        <w:t>1056029.72</w:t>
      </w:r>
      <w:r>
        <w:rPr>
          <w:rFonts w:hint="eastAsia" w:ascii="宋体" w:hAnsi="宋体" w:eastAsia="宋体" w:cs="宋体"/>
          <w:b/>
          <w:bCs/>
          <w:color w:val="auto"/>
          <w:kern w:val="0"/>
          <w:sz w:val="21"/>
          <w:szCs w:val="21"/>
          <w:highlight w:val="none"/>
          <w:u w:val="single"/>
        </w:rPr>
        <w:t>元</w:t>
      </w:r>
      <w:r>
        <w:rPr>
          <w:rFonts w:hint="eastAsia" w:ascii="宋体" w:hAnsi="宋体" w:eastAsia="宋体" w:cs="宋体"/>
          <w:b/>
          <w:bCs/>
          <w:color w:val="auto"/>
          <w:sz w:val="21"/>
          <w:szCs w:val="21"/>
          <w:highlight w:val="none"/>
          <w:lang w:eastAsia="zh-CN"/>
        </w:rPr>
        <w:t>。</w:t>
      </w:r>
    </w:p>
    <w:p>
      <w:pPr>
        <w:keepNext w:val="0"/>
        <w:keepLines w:val="0"/>
        <w:pageBreakBefore w:val="0"/>
        <w:widowControl w:val="0"/>
        <w:tabs>
          <w:tab w:val="left" w:pos="1305"/>
        </w:tabs>
        <w:kinsoku/>
        <w:wordWrap/>
        <w:overflowPunct/>
        <w:topLinePunct w:val="0"/>
        <w:autoSpaceDE/>
        <w:autoSpaceDN/>
        <w:bidi w:val="0"/>
        <w:adjustRightInd/>
        <w:snapToGrid/>
        <w:spacing w:line="380" w:lineRule="exact"/>
        <w:ind w:left="0" w:leftChars="0" w:firstLine="422" w:firstLineChars="20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注：</w:t>
      </w:r>
      <w:r>
        <w:rPr>
          <w:rFonts w:hint="eastAsia" w:ascii="宋体" w:hAnsi="宋体" w:eastAsia="宋体" w:cs="宋体"/>
          <w:b/>
          <w:color w:val="auto"/>
          <w:sz w:val="21"/>
          <w:szCs w:val="21"/>
          <w:highlight w:val="none"/>
          <w:lang w:eastAsia="zh-CN"/>
        </w:rPr>
        <w:t>供应商的磋商报价不得超过本工程</w:t>
      </w:r>
      <w:r>
        <w:rPr>
          <w:rFonts w:hint="eastAsia" w:ascii="宋体" w:hAnsi="宋体" w:eastAsia="宋体" w:cs="宋体"/>
          <w:b/>
          <w:bCs/>
          <w:color w:val="auto"/>
          <w:sz w:val="21"/>
          <w:szCs w:val="21"/>
          <w:highlight w:val="none"/>
        </w:rPr>
        <w:t>最高磋商限价</w:t>
      </w:r>
      <w:r>
        <w:rPr>
          <w:rFonts w:hint="eastAsia" w:ascii="宋体" w:hAnsi="宋体" w:eastAsia="宋体" w:cs="宋体"/>
          <w:b/>
          <w:bCs/>
          <w:color w:val="auto"/>
          <w:sz w:val="21"/>
          <w:szCs w:val="21"/>
          <w:highlight w:val="none"/>
          <w:lang w:eastAsia="zh-CN"/>
        </w:rPr>
        <w:t>（预算</w:t>
      </w:r>
      <w:r>
        <w:rPr>
          <w:rFonts w:hint="eastAsia" w:ascii="宋体" w:hAnsi="宋体" w:eastAsia="宋体" w:cs="宋体"/>
          <w:b/>
          <w:bCs/>
          <w:color w:val="auto"/>
          <w:sz w:val="21"/>
          <w:szCs w:val="21"/>
          <w:highlight w:val="none"/>
          <w:lang w:val="en-US" w:eastAsia="zh-CN"/>
        </w:rPr>
        <w:t>控制价</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kern w:val="0"/>
          <w:sz w:val="21"/>
          <w:szCs w:val="21"/>
          <w:highlight w:val="none"/>
          <w:lang w:eastAsia="zh-CN"/>
        </w:rPr>
        <w:t>，否则作无效标处理；</w:t>
      </w:r>
      <w:r>
        <w:rPr>
          <w:rFonts w:hint="eastAsia" w:ascii="宋体" w:hAnsi="宋体" w:eastAsia="宋体" w:cs="宋体"/>
          <w:b/>
          <w:color w:val="auto"/>
          <w:sz w:val="21"/>
          <w:szCs w:val="21"/>
          <w:highlight w:val="none"/>
        </w:rPr>
        <w:t>供应商的第二次磋商报价不得高于该供应商第一次磋商报价，否则做无效标处理。如供应商维持</w:t>
      </w:r>
      <w:r>
        <w:rPr>
          <w:rFonts w:hint="eastAsia" w:ascii="宋体" w:hAnsi="宋体" w:eastAsia="宋体" w:cs="宋体"/>
          <w:b/>
          <w:color w:val="auto"/>
          <w:sz w:val="21"/>
          <w:szCs w:val="21"/>
          <w:highlight w:val="none"/>
          <w:lang w:eastAsia="zh-CN"/>
        </w:rPr>
        <w:t>磋商</w:t>
      </w:r>
      <w:r>
        <w:rPr>
          <w:rFonts w:hint="eastAsia" w:ascii="宋体" w:hAnsi="宋体" w:eastAsia="宋体" w:cs="宋体"/>
          <w:b/>
          <w:color w:val="auto"/>
          <w:sz w:val="21"/>
          <w:szCs w:val="21"/>
          <w:highlight w:val="none"/>
        </w:rPr>
        <w:t>报价不变，以原磋商报价作为供应商最后报价</w:t>
      </w:r>
      <w:r>
        <w:rPr>
          <w:rFonts w:hint="eastAsia" w:ascii="宋体" w:hAnsi="宋体" w:eastAsia="宋体" w:cs="宋体"/>
          <w:b/>
          <w:bCs/>
          <w:color w:val="auto"/>
          <w:sz w:val="21"/>
          <w:szCs w:val="21"/>
          <w:highlight w:val="none"/>
        </w:rPr>
        <w:t>；如供应商需要改变原磋商报价时，</w:t>
      </w:r>
      <w:r>
        <w:rPr>
          <w:rFonts w:hint="eastAsia" w:ascii="宋体" w:hAnsi="宋体" w:eastAsia="宋体" w:cs="宋体"/>
          <w:b/>
          <w:color w:val="auto"/>
          <w:sz w:val="21"/>
          <w:szCs w:val="21"/>
          <w:highlight w:val="none"/>
        </w:rPr>
        <w:t>供应商应预先准备好调整后的</w:t>
      </w:r>
      <w:r>
        <w:rPr>
          <w:rFonts w:hint="eastAsia" w:ascii="宋体" w:hAnsi="宋体" w:eastAsia="宋体" w:cs="宋体"/>
          <w:b/>
          <w:color w:val="auto"/>
          <w:sz w:val="21"/>
          <w:szCs w:val="21"/>
          <w:highlight w:val="none"/>
          <w:lang w:eastAsia="zh-CN"/>
        </w:rPr>
        <w:t>已标价的工程量清单</w:t>
      </w:r>
      <w:r>
        <w:rPr>
          <w:rFonts w:hint="eastAsia" w:ascii="宋体" w:hAnsi="宋体" w:eastAsia="宋体" w:cs="宋体"/>
          <w:b/>
          <w:color w:val="auto"/>
          <w:sz w:val="21"/>
          <w:szCs w:val="21"/>
          <w:highlight w:val="none"/>
        </w:rPr>
        <w:t>。</w:t>
      </w:r>
    </w:p>
    <w:p>
      <w:pPr>
        <w:keepNext w:val="0"/>
        <w:keepLines w:val="0"/>
        <w:pageBreakBefore w:val="0"/>
        <w:widowControl w:val="0"/>
        <w:tabs>
          <w:tab w:val="left" w:pos="1305"/>
        </w:tabs>
        <w:kinsoku/>
        <w:wordWrap/>
        <w:overflowPunct/>
        <w:topLinePunct w:val="0"/>
        <w:autoSpaceDE/>
        <w:autoSpaceDN/>
        <w:bidi w:val="0"/>
        <w:adjustRightInd/>
        <w:snapToGrid/>
        <w:spacing w:line="380" w:lineRule="exact"/>
        <w:textAlignment w:val="auto"/>
        <w:rPr>
          <w:rFonts w:hint="eastAsia" w:ascii="宋体" w:hAnsi="宋体" w:eastAsia="宋体" w:cs="宋体"/>
          <w:color w:val="auto"/>
          <w:kern w:val="0"/>
          <w:sz w:val="21"/>
          <w:szCs w:val="21"/>
          <w:highlight w:val="none"/>
          <w:lang w:eastAsia="zh-CN"/>
        </w:rPr>
      </w:pPr>
      <w:r>
        <w:rPr>
          <w:rFonts w:hint="eastAsia" w:ascii="宋体" w:hAnsi="宋体" w:eastAsia="宋体" w:cs="宋体"/>
          <w:b/>
          <w:color w:val="auto"/>
          <w:sz w:val="21"/>
          <w:szCs w:val="21"/>
          <w:highlight w:val="none"/>
        </w:rPr>
        <w:t>三、工程量清单（另册），是本竞争</w:t>
      </w:r>
      <w:r>
        <w:rPr>
          <w:rFonts w:hint="eastAsia" w:ascii="宋体" w:hAnsi="宋体" w:eastAsia="宋体" w:cs="宋体"/>
          <w:b/>
          <w:color w:val="auto"/>
          <w:sz w:val="21"/>
          <w:szCs w:val="21"/>
          <w:highlight w:val="none"/>
          <w:lang w:val="en-US" w:eastAsia="zh-CN"/>
        </w:rPr>
        <w:t>性磋商</w:t>
      </w:r>
      <w:r>
        <w:rPr>
          <w:rFonts w:hint="eastAsia" w:ascii="宋体" w:hAnsi="宋体" w:eastAsia="宋体" w:cs="宋体"/>
          <w:b/>
          <w:color w:val="auto"/>
          <w:sz w:val="21"/>
          <w:szCs w:val="21"/>
          <w:highlight w:val="none"/>
        </w:rPr>
        <w:t>文件的一个重要组成部分</w:t>
      </w:r>
      <w:r>
        <w:rPr>
          <w:rFonts w:hint="eastAsia" w:ascii="宋体" w:hAnsi="宋体" w:cs="宋体"/>
          <w:b/>
          <w:color w:val="auto"/>
          <w:sz w:val="21"/>
          <w:szCs w:val="21"/>
          <w:highlight w:val="none"/>
          <w:lang w:eastAsia="zh-CN"/>
        </w:rPr>
        <w:t>。</w:t>
      </w:r>
    </w:p>
    <w:bookmarkEnd w:id="136"/>
    <w:p>
      <w:pPr>
        <w:pStyle w:val="3"/>
        <w:pageBreakBefore w:val="0"/>
        <w:widowControl w:val="0"/>
        <w:numPr>
          <w:ilvl w:val="0"/>
          <w:numId w:val="0"/>
        </w:numPr>
        <w:tabs>
          <w:tab w:val="left" w:pos="0"/>
        </w:tabs>
        <w:kinsoku/>
        <w:wordWrap/>
        <w:overflowPunct/>
        <w:topLinePunct w:val="0"/>
        <w:autoSpaceDE w:val="0"/>
        <w:autoSpaceDN w:val="0"/>
        <w:bidi w:val="0"/>
        <w:adjustRightInd w:val="0"/>
        <w:snapToGrid/>
        <w:spacing w:before="0" w:after="0" w:line="440" w:lineRule="exact"/>
        <w:jc w:val="center"/>
        <w:textAlignment w:val="auto"/>
        <w:rPr>
          <w:rFonts w:hint="eastAsia" w:ascii="宋体" w:hAnsi="宋体" w:eastAsia="宋体" w:cs="宋体"/>
          <w:b/>
          <w:bCs/>
          <w:color w:val="auto"/>
          <w:sz w:val="32"/>
          <w:szCs w:val="32"/>
          <w:highlight w:val="none"/>
        </w:rPr>
      </w:pPr>
      <w:bookmarkStart w:id="141" w:name="_Toc5828"/>
      <w:r>
        <w:rPr>
          <w:rFonts w:hint="eastAsia" w:ascii="宋体" w:hAnsi="宋体" w:eastAsia="宋体" w:cs="宋体"/>
          <w:color w:val="auto"/>
          <w:sz w:val="32"/>
          <w:szCs w:val="32"/>
          <w:highlight w:val="none"/>
          <w:lang w:eastAsia="zh-CN"/>
        </w:rPr>
        <w:t>第四章</w:t>
      </w:r>
      <w:r>
        <w:rPr>
          <w:rFonts w:hint="eastAsia" w:ascii="宋体" w:hAnsi="宋体" w:eastAsia="宋体" w:cs="宋体"/>
          <w:color w:val="auto"/>
          <w:sz w:val="32"/>
          <w:szCs w:val="32"/>
          <w:highlight w:val="none"/>
          <w:lang w:val="en-US" w:eastAsia="zh-CN"/>
        </w:rPr>
        <w:t xml:space="preserve"> </w:t>
      </w:r>
      <w:r>
        <w:rPr>
          <w:rFonts w:hint="eastAsia" w:ascii="宋体" w:hAnsi="宋体" w:eastAsia="宋体" w:cs="宋体"/>
          <w:color w:val="auto"/>
          <w:sz w:val="32"/>
          <w:szCs w:val="32"/>
          <w:highlight w:val="none"/>
        </w:rPr>
        <w:t>评审办法</w:t>
      </w:r>
      <w:bookmarkEnd w:id="141"/>
    </w:p>
    <w:p>
      <w:pPr>
        <w:pStyle w:val="11"/>
        <w:keepNext w:val="0"/>
        <w:keepLines w:val="0"/>
        <w:pageBreakBefore w:val="0"/>
        <w:widowControl w:val="0"/>
        <w:kinsoku/>
        <w:wordWrap/>
        <w:overflowPunct/>
        <w:topLinePunct w:val="0"/>
        <w:autoSpaceDE/>
        <w:autoSpaceDN/>
        <w:bidi w:val="0"/>
        <w:adjustRightInd/>
        <w:snapToGrid/>
        <w:spacing w:line="400" w:lineRule="exact"/>
        <w:ind w:left="0" w:leftChars="0" w:firstLine="422" w:firstLineChars="200"/>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rPr>
        <w:t>一、评审依据及方式</w:t>
      </w:r>
      <w:r>
        <w:rPr>
          <w:rFonts w:hint="eastAsia" w:ascii="宋体" w:hAnsi="宋体" w:eastAsia="宋体" w:cs="宋体"/>
          <w:b/>
          <w:bCs/>
          <w:color w:val="auto"/>
          <w:sz w:val="21"/>
          <w:szCs w:val="21"/>
          <w:highlight w:val="none"/>
          <w:lang w:eastAsia="zh-CN"/>
        </w:rPr>
        <w:t>；</w:t>
      </w:r>
    </w:p>
    <w:p>
      <w:pPr>
        <w:pStyle w:val="11"/>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1.评审依据：磋商小组以竞争性磋商文件和响应文件为评审依据，</w:t>
      </w:r>
      <w:r>
        <w:rPr>
          <w:rFonts w:hint="eastAsia" w:ascii="宋体" w:hAnsi="宋体" w:eastAsia="宋体" w:cs="宋体"/>
          <w:color w:val="auto"/>
          <w:sz w:val="21"/>
          <w:szCs w:val="21"/>
          <w:highlight w:val="none"/>
          <w:lang w:val="en-US" w:eastAsia="zh-CN"/>
        </w:rPr>
        <w:t>对磋商供应商的响应文件按百分制打分</w:t>
      </w:r>
      <w:r>
        <w:rPr>
          <w:rFonts w:hint="eastAsia" w:ascii="宋体" w:hAnsi="宋体" w:eastAsia="宋体" w:cs="宋体"/>
          <w:color w:val="auto"/>
          <w:sz w:val="21"/>
          <w:szCs w:val="21"/>
          <w:highlight w:val="none"/>
        </w:rPr>
        <w:t>。</w:t>
      </w:r>
    </w:p>
    <w:p>
      <w:pPr>
        <w:pStyle w:val="11"/>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2.评审方式：以封闭方式进行评审。</w:t>
      </w:r>
    </w:p>
    <w:p>
      <w:pPr>
        <w:pStyle w:val="11"/>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3.根据财库〔2012〕69号文规定，采购人和采购代理机构，磋商小组成员要严格遵守政府采购相关法律制度，依法履行各自职责，公正、客观、审慎地组织和参与评审工作。</w:t>
      </w:r>
    </w:p>
    <w:p>
      <w:pPr>
        <w:pStyle w:val="11"/>
        <w:keepNext w:val="0"/>
        <w:keepLines w:val="0"/>
        <w:pageBreakBefore w:val="0"/>
        <w:widowControl w:val="0"/>
        <w:kinsoku/>
        <w:wordWrap/>
        <w:overflowPunct/>
        <w:topLinePunct w:val="0"/>
        <w:autoSpaceDE/>
        <w:autoSpaceDN/>
        <w:bidi w:val="0"/>
        <w:adjustRightInd/>
        <w:snapToGrid/>
        <w:spacing w:line="400" w:lineRule="exact"/>
        <w:ind w:left="0" w:leftChars="0" w:firstLine="422" w:firstLineChars="20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二、评审办法</w:t>
      </w:r>
    </w:p>
    <w:p>
      <w:pPr>
        <w:pStyle w:val="11"/>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（一）本次评标采用综合评分法。</w:t>
      </w:r>
      <w:r>
        <w:rPr>
          <w:rFonts w:hint="eastAsia" w:ascii="宋体" w:hAnsi="宋体" w:eastAsia="宋体" w:cs="宋体"/>
          <w:bCs/>
          <w:color w:val="auto"/>
          <w:sz w:val="21"/>
          <w:szCs w:val="21"/>
          <w:highlight w:val="none"/>
          <w:lang w:eastAsia="zh-CN"/>
        </w:rPr>
        <w:t>磋商小组</w:t>
      </w:r>
      <w:r>
        <w:rPr>
          <w:rFonts w:hint="eastAsia" w:ascii="宋体" w:hAnsi="宋体" w:eastAsia="宋体" w:cs="宋体"/>
          <w:bCs/>
          <w:color w:val="auto"/>
          <w:sz w:val="21"/>
          <w:szCs w:val="21"/>
          <w:highlight w:val="none"/>
        </w:rPr>
        <w:t>会首先对</w:t>
      </w:r>
      <w:r>
        <w:rPr>
          <w:rFonts w:hint="eastAsia" w:ascii="宋体" w:hAnsi="宋体" w:eastAsia="宋体" w:cs="宋体"/>
          <w:bCs/>
          <w:color w:val="auto"/>
          <w:sz w:val="21"/>
          <w:szCs w:val="21"/>
          <w:highlight w:val="none"/>
          <w:lang w:eastAsia="zh-CN"/>
        </w:rPr>
        <w:t>磋商供应商</w:t>
      </w:r>
      <w:r>
        <w:rPr>
          <w:rFonts w:hint="eastAsia" w:ascii="宋体" w:hAnsi="宋体" w:eastAsia="宋体" w:cs="宋体"/>
          <w:bCs/>
          <w:color w:val="auto"/>
          <w:sz w:val="21"/>
          <w:szCs w:val="21"/>
          <w:highlight w:val="none"/>
        </w:rPr>
        <w:t>提交的响应文件进行资格性审查和符合性审查，只有通过了资格性审查和符合性审查才能进入详评。</w:t>
      </w:r>
    </w:p>
    <w:p>
      <w:pPr>
        <w:keepNext w:val="0"/>
        <w:keepLines w:val="0"/>
        <w:pageBreakBefore w:val="0"/>
        <w:kinsoku/>
        <w:wordWrap/>
        <w:overflowPunct/>
        <w:topLinePunct w:val="0"/>
        <w:autoSpaceDE/>
        <w:autoSpaceDN/>
        <w:bidi w:val="0"/>
        <w:adjustRightInd/>
        <w:spacing w:line="400" w:lineRule="exact"/>
        <w:ind w:left="0" w:leftChars="0"/>
        <w:jc w:val="left"/>
        <w:rPr>
          <w:rFonts w:hint="eastAsia" w:ascii="宋体" w:hAnsi="宋体" w:eastAsia="宋体" w:cs="宋体"/>
          <w:b/>
          <w:color w:val="auto"/>
          <w:w w:val="99"/>
          <w:kern w:val="0"/>
          <w:sz w:val="21"/>
          <w:szCs w:val="21"/>
          <w:highlight w:val="none"/>
          <w:lang w:val="en-US" w:eastAsia="zh-CN"/>
        </w:rPr>
      </w:pPr>
      <w:r>
        <w:rPr>
          <w:rFonts w:hint="eastAsia" w:ascii="宋体" w:hAnsi="宋体" w:eastAsia="宋体" w:cs="宋体"/>
          <w:b/>
          <w:color w:val="auto"/>
          <w:w w:val="99"/>
          <w:kern w:val="0"/>
          <w:sz w:val="21"/>
          <w:szCs w:val="21"/>
          <w:highlight w:val="none"/>
          <w:lang w:val="en-US" w:eastAsia="zh-CN"/>
        </w:rPr>
        <w:t>初步评审：</w:t>
      </w:r>
    </w:p>
    <w:tbl>
      <w:tblPr>
        <w:tblStyle w:val="19"/>
        <w:tblW w:w="9948" w:type="dxa"/>
        <w:jc w:val="center"/>
        <w:tblLayout w:type="fixed"/>
        <w:tblCellMar>
          <w:top w:w="0" w:type="dxa"/>
          <w:left w:w="108" w:type="dxa"/>
          <w:bottom w:w="0" w:type="dxa"/>
          <w:right w:w="108" w:type="dxa"/>
        </w:tblCellMar>
      </w:tblPr>
      <w:tblGrid>
        <w:gridCol w:w="944"/>
        <w:gridCol w:w="1460"/>
        <w:gridCol w:w="2344"/>
        <w:gridCol w:w="5200"/>
      </w:tblGrid>
      <w:tr>
        <w:tblPrEx>
          <w:tblCellMar>
            <w:top w:w="0" w:type="dxa"/>
            <w:left w:w="108" w:type="dxa"/>
            <w:bottom w:w="0" w:type="dxa"/>
            <w:right w:w="108" w:type="dxa"/>
          </w:tblCellMar>
        </w:tblPrEx>
        <w:trPr>
          <w:trHeight w:val="609" w:hRule="atLeast"/>
          <w:jc w:val="center"/>
        </w:trPr>
        <w:tc>
          <w:tcPr>
            <w:tcW w:w="944" w:type="dxa"/>
            <w:tcBorders>
              <w:top w:val="single" w:color="auto" w:sz="4" w:space="0"/>
              <w:left w:val="single" w:color="auto" w:sz="4" w:space="0"/>
              <w:bottom w:val="single" w:color="auto" w:sz="4" w:space="0"/>
              <w:right w:val="single" w:color="000000" w:sz="4" w:space="0"/>
            </w:tcBorders>
            <w:vAlign w:val="center"/>
          </w:tcPr>
          <w:p>
            <w:pPr>
              <w:pStyle w:val="27"/>
              <w:keepNext w:val="0"/>
              <w:keepLines w:val="0"/>
              <w:pageBreakBefore w:val="0"/>
              <w:kinsoku/>
              <w:wordWrap/>
              <w:overflowPunct/>
              <w:topLinePunct w:val="0"/>
              <w:autoSpaceDE/>
              <w:autoSpaceDN/>
              <w:bidi w:val="0"/>
              <w:adjustRightInd/>
              <w:snapToGrid w:val="0"/>
              <w:spacing w:line="400" w:lineRule="exact"/>
              <w:ind w:left="0" w:leftChars="0"/>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条款号</w:t>
            </w:r>
          </w:p>
        </w:tc>
        <w:tc>
          <w:tcPr>
            <w:tcW w:w="9004" w:type="dxa"/>
            <w:gridSpan w:val="3"/>
            <w:tcBorders>
              <w:top w:val="single" w:color="auto" w:sz="4" w:space="0"/>
              <w:left w:val="nil"/>
              <w:bottom w:val="single" w:color="auto" w:sz="4" w:space="0"/>
              <w:right w:val="single" w:color="auto" w:sz="4" w:space="0"/>
            </w:tcBorders>
            <w:vAlign w:val="center"/>
          </w:tcPr>
          <w:p>
            <w:pPr>
              <w:pStyle w:val="27"/>
              <w:keepNext w:val="0"/>
              <w:keepLines w:val="0"/>
              <w:pageBreakBefore w:val="0"/>
              <w:kinsoku/>
              <w:wordWrap/>
              <w:overflowPunct/>
              <w:topLinePunct w:val="0"/>
              <w:autoSpaceDE/>
              <w:autoSpaceDN/>
              <w:bidi w:val="0"/>
              <w:adjustRightInd/>
              <w:snapToGrid w:val="0"/>
              <w:spacing w:line="400" w:lineRule="exact"/>
              <w:ind w:left="0" w:leftChars="0"/>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评审标准</w:t>
            </w:r>
          </w:p>
        </w:tc>
      </w:tr>
      <w:tr>
        <w:tblPrEx>
          <w:tblCellMar>
            <w:top w:w="0" w:type="dxa"/>
            <w:left w:w="108" w:type="dxa"/>
            <w:bottom w:w="0" w:type="dxa"/>
            <w:right w:w="108" w:type="dxa"/>
          </w:tblCellMar>
        </w:tblPrEx>
        <w:trPr>
          <w:trHeight w:val="453" w:hRule="atLeast"/>
          <w:jc w:val="center"/>
        </w:trPr>
        <w:tc>
          <w:tcPr>
            <w:tcW w:w="94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ind w:left="0" w:left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2.1.1</w:t>
            </w:r>
          </w:p>
        </w:tc>
        <w:tc>
          <w:tcPr>
            <w:tcW w:w="1460" w:type="dxa"/>
            <w:vMerge w:val="restart"/>
            <w:tcBorders>
              <w:top w:val="single" w:color="auto" w:sz="4" w:space="0"/>
              <w:left w:val="single" w:color="auto" w:sz="4" w:space="0"/>
              <w:bottom w:val="single" w:color="auto" w:sz="4" w:space="0"/>
              <w:right w:val="single" w:color="auto" w:sz="4" w:space="0"/>
            </w:tcBorders>
            <w:vAlign w:val="center"/>
          </w:tcPr>
          <w:p>
            <w:pPr>
              <w:pStyle w:val="27"/>
              <w:keepNext w:val="0"/>
              <w:keepLines w:val="0"/>
              <w:pageBreakBefore w:val="0"/>
              <w:kinsoku/>
              <w:wordWrap/>
              <w:overflowPunct/>
              <w:topLinePunct w:val="0"/>
              <w:autoSpaceDE/>
              <w:autoSpaceDN/>
              <w:bidi w:val="0"/>
              <w:adjustRightInd/>
              <w:snapToGrid w:val="0"/>
              <w:spacing w:line="400" w:lineRule="exact"/>
              <w:ind w:left="0" w:leftChars="0"/>
              <w:jc w:val="center"/>
              <w:rPr>
                <w:rFonts w:hint="eastAsia" w:ascii="宋体" w:hAnsi="宋体" w:eastAsia="宋体" w:cs="宋体"/>
                <w:color w:val="auto"/>
                <w:spacing w:val="-6"/>
                <w:sz w:val="21"/>
                <w:szCs w:val="21"/>
                <w:highlight w:val="none"/>
                <w:lang w:eastAsia="zh-CN"/>
              </w:rPr>
            </w:pPr>
            <w:r>
              <w:rPr>
                <w:rFonts w:hint="eastAsia" w:ascii="宋体" w:hAnsi="宋体" w:eastAsia="宋体" w:cs="宋体"/>
                <w:color w:val="auto"/>
                <w:sz w:val="21"/>
                <w:szCs w:val="21"/>
                <w:highlight w:val="none"/>
              </w:rPr>
              <w:t>资格</w:t>
            </w:r>
            <w:r>
              <w:rPr>
                <w:rFonts w:hint="eastAsia" w:ascii="宋体" w:hAnsi="宋体" w:eastAsia="宋体" w:cs="宋体"/>
                <w:color w:val="auto"/>
                <w:sz w:val="21"/>
                <w:szCs w:val="21"/>
                <w:highlight w:val="none"/>
                <w:lang w:eastAsia="zh-CN"/>
              </w:rPr>
              <w:t>评审</w:t>
            </w:r>
          </w:p>
          <w:p>
            <w:pPr>
              <w:pStyle w:val="14"/>
              <w:keepNext w:val="0"/>
              <w:keepLines w:val="0"/>
              <w:pageBreakBefore w:val="0"/>
              <w:kinsoku/>
              <w:wordWrap/>
              <w:overflowPunct/>
              <w:topLinePunct w:val="0"/>
              <w:autoSpaceDE/>
              <w:autoSpaceDN/>
              <w:bidi w:val="0"/>
              <w:adjustRightInd/>
              <w:snapToGrid w:val="0"/>
              <w:spacing w:line="400" w:lineRule="exact"/>
              <w:ind w:left="0" w:leftChars="0"/>
              <w:jc w:val="center"/>
              <w:rPr>
                <w:rFonts w:hint="eastAsia" w:ascii="宋体" w:hAnsi="宋体" w:eastAsia="宋体" w:cs="宋体"/>
                <w:color w:val="auto"/>
                <w:spacing w:val="-6"/>
                <w:sz w:val="21"/>
                <w:szCs w:val="21"/>
                <w:highlight w:val="none"/>
              </w:rPr>
            </w:pPr>
          </w:p>
        </w:tc>
        <w:tc>
          <w:tcPr>
            <w:tcW w:w="2344" w:type="dxa"/>
            <w:tcBorders>
              <w:top w:val="single" w:color="auto" w:sz="4" w:space="0"/>
              <w:left w:val="single" w:color="auto" w:sz="4" w:space="0"/>
              <w:bottom w:val="single" w:color="auto" w:sz="4" w:space="0"/>
              <w:right w:val="single" w:color="auto" w:sz="4" w:space="0"/>
            </w:tcBorders>
            <w:vAlign w:val="center"/>
          </w:tcPr>
          <w:p>
            <w:pPr>
              <w:pStyle w:val="27"/>
              <w:keepNext w:val="0"/>
              <w:keepLines w:val="0"/>
              <w:pageBreakBefore w:val="0"/>
              <w:kinsoku/>
              <w:wordWrap/>
              <w:overflowPunct/>
              <w:topLinePunct w:val="0"/>
              <w:autoSpaceDE/>
              <w:autoSpaceDN/>
              <w:bidi w:val="0"/>
              <w:adjustRightInd/>
              <w:snapToGrid w:val="0"/>
              <w:spacing w:line="400" w:lineRule="exact"/>
              <w:ind w:left="0" w:leftChars="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评审因素</w:t>
            </w:r>
          </w:p>
        </w:tc>
        <w:tc>
          <w:tcPr>
            <w:tcW w:w="5200" w:type="dxa"/>
            <w:tcBorders>
              <w:top w:val="single" w:color="auto" w:sz="4" w:space="0"/>
              <w:left w:val="single" w:color="auto" w:sz="4" w:space="0"/>
              <w:bottom w:val="single" w:color="auto" w:sz="4" w:space="0"/>
              <w:right w:val="single" w:color="auto" w:sz="4" w:space="0"/>
            </w:tcBorders>
            <w:vAlign w:val="center"/>
          </w:tcPr>
          <w:p>
            <w:pPr>
              <w:pStyle w:val="27"/>
              <w:keepNext w:val="0"/>
              <w:keepLines w:val="0"/>
              <w:pageBreakBefore w:val="0"/>
              <w:kinsoku/>
              <w:wordWrap/>
              <w:overflowPunct/>
              <w:topLinePunct w:val="0"/>
              <w:autoSpaceDE/>
              <w:autoSpaceDN/>
              <w:bidi w:val="0"/>
              <w:adjustRightInd/>
              <w:snapToGrid w:val="0"/>
              <w:spacing w:line="400" w:lineRule="exact"/>
              <w:ind w:left="0" w:leftChars="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评审标准</w:t>
            </w:r>
            <w:r>
              <w:rPr>
                <w:rFonts w:hint="eastAsia" w:ascii="宋体" w:hAnsi="宋体" w:eastAsia="宋体" w:cs="宋体"/>
                <w:b/>
                <w:bCs/>
                <w:color w:val="auto"/>
                <w:sz w:val="21"/>
                <w:szCs w:val="21"/>
                <w:highlight w:val="none"/>
              </w:rPr>
              <w:t>（合格标准：缺少任何一项或有任何一项不合格者，其资格</w:t>
            </w:r>
            <w:r>
              <w:rPr>
                <w:rFonts w:hint="eastAsia" w:ascii="宋体" w:hAnsi="宋体" w:eastAsia="宋体" w:cs="宋体"/>
                <w:b/>
                <w:bCs/>
                <w:color w:val="auto"/>
                <w:sz w:val="21"/>
                <w:szCs w:val="21"/>
                <w:highlight w:val="none"/>
                <w:lang w:eastAsia="zh-CN"/>
              </w:rPr>
              <w:t>评审</w:t>
            </w:r>
            <w:r>
              <w:rPr>
                <w:rFonts w:hint="eastAsia" w:ascii="宋体" w:hAnsi="宋体" w:eastAsia="宋体" w:cs="宋体"/>
                <w:b/>
                <w:bCs/>
                <w:color w:val="auto"/>
                <w:sz w:val="21"/>
                <w:szCs w:val="21"/>
                <w:highlight w:val="none"/>
              </w:rPr>
              <w:t>视为不合格）</w:t>
            </w:r>
          </w:p>
        </w:tc>
      </w:tr>
      <w:tr>
        <w:tblPrEx>
          <w:tblCellMar>
            <w:top w:w="0" w:type="dxa"/>
            <w:left w:w="108" w:type="dxa"/>
            <w:bottom w:w="0" w:type="dxa"/>
            <w:right w:w="108" w:type="dxa"/>
          </w:tblCellMar>
        </w:tblPrEx>
        <w:trPr>
          <w:trHeight w:val="537" w:hRule="atLeast"/>
          <w:jc w:val="center"/>
        </w:trPr>
        <w:tc>
          <w:tcPr>
            <w:tcW w:w="944" w:type="dxa"/>
            <w:vMerge w:val="continue"/>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ind w:left="0" w:leftChars="0"/>
              <w:jc w:val="left"/>
              <w:rPr>
                <w:rFonts w:hint="eastAsia" w:ascii="宋体" w:hAnsi="宋体" w:eastAsia="宋体" w:cs="宋体"/>
                <w:color w:val="auto"/>
                <w:sz w:val="21"/>
                <w:szCs w:val="21"/>
                <w:highlight w:val="none"/>
              </w:rPr>
            </w:pPr>
          </w:p>
        </w:tc>
        <w:tc>
          <w:tcPr>
            <w:tcW w:w="1460" w:type="dxa"/>
            <w:vMerge w:val="continue"/>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ind w:left="0" w:leftChars="0"/>
              <w:jc w:val="left"/>
              <w:rPr>
                <w:rFonts w:hint="eastAsia" w:ascii="宋体" w:hAnsi="宋体" w:eastAsia="宋体" w:cs="宋体"/>
                <w:color w:val="auto"/>
                <w:kern w:val="0"/>
                <w:sz w:val="21"/>
                <w:szCs w:val="21"/>
                <w:highlight w:val="none"/>
              </w:rPr>
            </w:pPr>
          </w:p>
        </w:tc>
        <w:tc>
          <w:tcPr>
            <w:tcW w:w="2344" w:type="dxa"/>
            <w:tcBorders>
              <w:top w:val="single" w:color="auto" w:sz="4" w:space="0"/>
              <w:left w:val="single" w:color="auto" w:sz="4" w:space="0"/>
              <w:bottom w:val="single" w:color="auto" w:sz="4" w:space="0"/>
              <w:right w:val="single" w:color="auto" w:sz="4" w:space="0"/>
            </w:tcBorders>
            <w:vAlign w:val="center"/>
          </w:tcPr>
          <w:p>
            <w:pPr>
              <w:pStyle w:val="27"/>
              <w:keepNext w:val="0"/>
              <w:keepLines w:val="0"/>
              <w:pageBreakBefore w:val="0"/>
              <w:widowControl/>
              <w:kinsoku/>
              <w:wordWrap/>
              <w:overflowPunct/>
              <w:topLinePunct w:val="0"/>
              <w:autoSpaceDE/>
              <w:autoSpaceDN/>
              <w:bidi w:val="0"/>
              <w:adjustRightInd/>
              <w:snapToGrid w:val="0"/>
              <w:spacing w:line="400" w:lineRule="exact"/>
              <w:ind w:left="0" w:leftChars="0" w:firstLine="0"/>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法定代表人、委托代理人身份证明</w:t>
            </w:r>
          </w:p>
        </w:tc>
        <w:tc>
          <w:tcPr>
            <w:tcW w:w="5200" w:type="dxa"/>
            <w:tcBorders>
              <w:top w:val="single" w:color="auto" w:sz="4" w:space="0"/>
              <w:left w:val="single" w:color="auto" w:sz="4" w:space="0"/>
              <w:bottom w:val="single" w:color="auto" w:sz="4" w:space="0"/>
              <w:right w:val="single" w:color="auto" w:sz="4" w:space="0"/>
            </w:tcBorders>
            <w:vAlign w:val="center"/>
          </w:tcPr>
          <w:p>
            <w:pPr>
              <w:pStyle w:val="27"/>
              <w:keepNext w:val="0"/>
              <w:keepLines w:val="0"/>
              <w:pageBreakBefore w:val="0"/>
              <w:kinsoku/>
              <w:wordWrap/>
              <w:overflowPunct/>
              <w:topLinePunct w:val="0"/>
              <w:autoSpaceDE/>
              <w:autoSpaceDN/>
              <w:bidi w:val="0"/>
              <w:adjustRightInd/>
              <w:snapToGrid w:val="0"/>
              <w:spacing w:line="400" w:lineRule="exact"/>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有效的法定代表人身份</w:t>
            </w:r>
            <w:r>
              <w:rPr>
                <w:rFonts w:hint="eastAsia" w:ascii="宋体" w:hAnsi="宋体" w:eastAsia="宋体" w:cs="宋体"/>
                <w:color w:val="auto"/>
                <w:sz w:val="21"/>
                <w:szCs w:val="21"/>
                <w:highlight w:val="none"/>
                <w:lang w:eastAsia="zh-CN"/>
              </w:rPr>
              <w:t>证</w:t>
            </w:r>
            <w:r>
              <w:rPr>
                <w:rFonts w:hint="eastAsia" w:ascii="宋体" w:hAnsi="宋体" w:eastAsia="宋体" w:cs="宋体"/>
                <w:color w:val="auto"/>
                <w:sz w:val="21"/>
                <w:szCs w:val="21"/>
                <w:highlight w:val="none"/>
              </w:rPr>
              <w:t>复印件</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法人授权委托书（附身份证复印件，</w:t>
            </w:r>
            <w:r>
              <w:rPr>
                <w:rFonts w:hint="eastAsia" w:ascii="宋体" w:hAnsi="宋体" w:eastAsia="宋体" w:cs="宋体"/>
                <w:color w:val="auto"/>
                <w:sz w:val="21"/>
                <w:szCs w:val="21"/>
                <w:highlight w:val="none"/>
                <w:lang w:eastAsia="zh-CN"/>
              </w:rPr>
              <w:t>社会保险缴纳证明材料</w:t>
            </w:r>
            <w:r>
              <w:rPr>
                <w:rFonts w:hint="eastAsia" w:ascii="宋体" w:hAnsi="宋体" w:eastAsia="宋体" w:cs="宋体"/>
                <w:color w:val="auto"/>
                <w:sz w:val="21"/>
                <w:szCs w:val="21"/>
                <w:highlight w:val="none"/>
              </w:rPr>
              <w:t>授权代理时提供）</w:t>
            </w:r>
          </w:p>
        </w:tc>
      </w:tr>
      <w:tr>
        <w:tblPrEx>
          <w:tblCellMar>
            <w:top w:w="0" w:type="dxa"/>
            <w:left w:w="108" w:type="dxa"/>
            <w:bottom w:w="0" w:type="dxa"/>
            <w:right w:w="108" w:type="dxa"/>
          </w:tblCellMar>
        </w:tblPrEx>
        <w:trPr>
          <w:trHeight w:val="537" w:hRule="atLeast"/>
          <w:jc w:val="center"/>
        </w:trPr>
        <w:tc>
          <w:tcPr>
            <w:tcW w:w="944"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ind w:left="0" w:leftChars="0"/>
              <w:jc w:val="left"/>
              <w:rPr>
                <w:rFonts w:hint="eastAsia" w:ascii="宋体" w:hAnsi="宋体" w:eastAsia="宋体" w:cs="宋体"/>
                <w:color w:val="auto"/>
                <w:sz w:val="21"/>
                <w:szCs w:val="21"/>
                <w:highlight w:val="none"/>
              </w:rPr>
            </w:pPr>
          </w:p>
        </w:tc>
        <w:tc>
          <w:tcPr>
            <w:tcW w:w="14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ind w:left="0" w:leftChars="0"/>
              <w:jc w:val="left"/>
              <w:rPr>
                <w:rFonts w:hint="eastAsia" w:ascii="宋体" w:hAnsi="宋体" w:eastAsia="宋体" w:cs="宋体"/>
                <w:color w:val="auto"/>
                <w:kern w:val="0"/>
                <w:sz w:val="21"/>
                <w:szCs w:val="21"/>
                <w:highlight w:val="none"/>
              </w:rPr>
            </w:pPr>
          </w:p>
        </w:tc>
        <w:tc>
          <w:tcPr>
            <w:tcW w:w="2344" w:type="dxa"/>
            <w:tcBorders>
              <w:top w:val="single" w:color="auto" w:sz="4" w:space="0"/>
              <w:left w:val="single" w:color="auto" w:sz="4" w:space="0"/>
              <w:bottom w:val="single" w:color="auto" w:sz="4" w:space="0"/>
              <w:right w:val="single" w:color="auto" w:sz="4" w:space="0"/>
            </w:tcBorders>
            <w:vAlign w:val="center"/>
          </w:tcPr>
          <w:p>
            <w:pPr>
              <w:pStyle w:val="27"/>
              <w:keepNext w:val="0"/>
              <w:keepLines w:val="0"/>
              <w:pageBreakBefore w:val="0"/>
              <w:widowControl/>
              <w:kinsoku/>
              <w:wordWrap/>
              <w:overflowPunct/>
              <w:topLinePunct w:val="0"/>
              <w:autoSpaceDE/>
              <w:autoSpaceDN/>
              <w:bidi w:val="0"/>
              <w:adjustRightInd/>
              <w:snapToGrid w:val="0"/>
              <w:spacing w:line="400" w:lineRule="exact"/>
              <w:ind w:left="0" w:leftChars="0" w:firstLine="0"/>
              <w:jc w:val="left"/>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sz w:val="21"/>
                <w:szCs w:val="21"/>
                <w:highlight w:val="none"/>
                <w:lang w:eastAsia="zh-CN"/>
              </w:rPr>
              <w:t>无</w:t>
            </w:r>
            <w:r>
              <w:rPr>
                <w:rFonts w:hint="eastAsia" w:ascii="宋体" w:hAnsi="宋体" w:eastAsia="宋体" w:cs="宋体"/>
                <w:color w:val="auto"/>
                <w:sz w:val="21"/>
                <w:szCs w:val="21"/>
                <w:highlight w:val="none"/>
              </w:rPr>
              <w:t>重大违法记录的书面声明</w:t>
            </w:r>
          </w:p>
        </w:tc>
        <w:tc>
          <w:tcPr>
            <w:tcW w:w="5200" w:type="dxa"/>
            <w:tcBorders>
              <w:top w:val="single" w:color="auto" w:sz="4" w:space="0"/>
              <w:left w:val="single" w:color="auto" w:sz="4" w:space="0"/>
              <w:bottom w:val="single" w:color="auto" w:sz="4" w:space="0"/>
              <w:right w:val="single" w:color="auto" w:sz="4" w:space="0"/>
            </w:tcBorders>
            <w:vAlign w:val="center"/>
          </w:tcPr>
          <w:p>
            <w:pPr>
              <w:pStyle w:val="27"/>
              <w:keepNext w:val="0"/>
              <w:keepLines w:val="0"/>
              <w:pageBreakBefore w:val="0"/>
              <w:kinsoku/>
              <w:wordWrap/>
              <w:overflowPunct/>
              <w:topLinePunct w:val="0"/>
              <w:autoSpaceDE/>
              <w:autoSpaceDN/>
              <w:bidi w:val="0"/>
              <w:adjustRightInd/>
              <w:snapToGrid w:val="0"/>
              <w:spacing w:line="400" w:lineRule="exact"/>
              <w:ind w:left="0" w:leftChars="0"/>
              <w:rPr>
                <w:rFonts w:hint="eastAsia" w:ascii="宋体" w:hAnsi="宋体" w:eastAsia="宋体" w:cs="宋体"/>
                <w:bCs/>
                <w:color w:val="auto"/>
                <w:kern w:val="0"/>
                <w:sz w:val="21"/>
                <w:szCs w:val="21"/>
                <w:highlight w:val="none"/>
                <w:lang w:val="en-US" w:eastAsia="zh-CN" w:bidi="ar-SA"/>
              </w:rPr>
            </w:pPr>
            <w:r>
              <w:rPr>
                <w:rFonts w:hint="eastAsia" w:ascii="宋体" w:hAnsi="宋体" w:eastAsia="宋体" w:cs="宋体"/>
                <w:color w:val="auto"/>
                <w:sz w:val="21"/>
                <w:szCs w:val="21"/>
                <w:highlight w:val="none"/>
                <w:lang w:eastAsia="zh-CN"/>
              </w:rPr>
              <w:t>竞标人</w:t>
            </w:r>
            <w:r>
              <w:rPr>
                <w:rFonts w:hint="eastAsia" w:ascii="宋体" w:hAnsi="宋体" w:eastAsia="宋体" w:cs="宋体"/>
                <w:color w:val="auto"/>
                <w:sz w:val="21"/>
                <w:szCs w:val="21"/>
                <w:highlight w:val="none"/>
              </w:rPr>
              <w:t>参加政府采购活动前3年内在经营活动中没有重大违法记录的书面声明</w:t>
            </w:r>
          </w:p>
        </w:tc>
      </w:tr>
      <w:tr>
        <w:tblPrEx>
          <w:tblCellMar>
            <w:top w:w="0" w:type="dxa"/>
            <w:left w:w="108" w:type="dxa"/>
            <w:bottom w:w="0" w:type="dxa"/>
            <w:right w:w="108" w:type="dxa"/>
          </w:tblCellMar>
        </w:tblPrEx>
        <w:trPr>
          <w:trHeight w:val="622" w:hRule="atLeast"/>
          <w:jc w:val="center"/>
        </w:trPr>
        <w:tc>
          <w:tcPr>
            <w:tcW w:w="944"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ind w:left="0" w:leftChars="0"/>
              <w:jc w:val="left"/>
              <w:rPr>
                <w:rFonts w:hint="eastAsia" w:ascii="宋体" w:hAnsi="宋体" w:eastAsia="宋体" w:cs="宋体"/>
                <w:color w:val="auto"/>
                <w:sz w:val="21"/>
                <w:szCs w:val="21"/>
                <w:highlight w:val="none"/>
              </w:rPr>
            </w:pPr>
          </w:p>
        </w:tc>
        <w:tc>
          <w:tcPr>
            <w:tcW w:w="14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ind w:left="0" w:leftChars="0"/>
              <w:jc w:val="left"/>
              <w:rPr>
                <w:rFonts w:hint="eastAsia" w:ascii="宋体" w:hAnsi="宋体" w:eastAsia="宋体" w:cs="宋体"/>
                <w:color w:val="auto"/>
                <w:kern w:val="0"/>
                <w:sz w:val="21"/>
                <w:szCs w:val="21"/>
                <w:highlight w:val="none"/>
              </w:rPr>
            </w:pPr>
          </w:p>
        </w:tc>
        <w:tc>
          <w:tcPr>
            <w:tcW w:w="2344" w:type="dxa"/>
            <w:tcBorders>
              <w:top w:val="single" w:color="auto" w:sz="4" w:space="0"/>
              <w:left w:val="single" w:color="auto" w:sz="4" w:space="0"/>
              <w:bottom w:val="single" w:color="auto" w:sz="4" w:space="0"/>
              <w:right w:val="single" w:color="auto" w:sz="4" w:space="0"/>
            </w:tcBorders>
            <w:vAlign w:val="center"/>
          </w:tcPr>
          <w:p>
            <w:pPr>
              <w:pStyle w:val="27"/>
              <w:keepNext w:val="0"/>
              <w:keepLines w:val="0"/>
              <w:pageBreakBefore w:val="0"/>
              <w:widowControl/>
              <w:kinsoku/>
              <w:wordWrap/>
              <w:overflowPunct/>
              <w:topLinePunct w:val="0"/>
              <w:autoSpaceDE/>
              <w:autoSpaceDN/>
              <w:bidi w:val="0"/>
              <w:adjustRightInd/>
              <w:snapToGrid w:val="0"/>
              <w:spacing w:line="400" w:lineRule="exact"/>
              <w:ind w:left="0" w:leftChars="0" w:firstLine="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营业执照</w:t>
            </w:r>
          </w:p>
        </w:tc>
        <w:tc>
          <w:tcPr>
            <w:tcW w:w="5200" w:type="dxa"/>
            <w:tcBorders>
              <w:top w:val="single" w:color="auto" w:sz="4" w:space="0"/>
              <w:left w:val="single" w:color="auto" w:sz="4" w:space="0"/>
              <w:bottom w:val="single" w:color="auto" w:sz="4" w:space="0"/>
              <w:right w:val="single" w:color="auto" w:sz="4" w:space="0"/>
            </w:tcBorders>
            <w:vAlign w:val="center"/>
          </w:tcPr>
          <w:p>
            <w:pPr>
              <w:pStyle w:val="27"/>
              <w:keepNext w:val="0"/>
              <w:keepLines w:val="0"/>
              <w:pageBreakBefore w:val="0"/>
              <w:kinsoku/>
              <w:wordWrap/>
              <w:overflowPunct/>
              <w:topLinePunct w:val="0"/>
              <w:autoSpaceDE/>
              <w:autoSpaceDN/>
              <w:bidi w:val="0"/>
              <w:adjustRightInd/>
              <w:snapToGrid w:val="0"/>
              <w:spacing w:line="400" w:lineRule="exact"/>
              <w:ind w:left="0" w:leftChars="0"/>
              <w:rPr>
                <w:rFonts w:hint="eastAsia" w:ascii="宋体" w:hAnsi="宋体" w:eastAsia="宋体" w:cs="宋体"/>
                <w:bCs/>
                <w:color w:val="auto"/>
                <w:sz w:val="21"/>
                <w:szCs w:val="21"/>
                <w:highlight w:val="none"/>
                <w:lang w:eastAsia="zh-CN"/>
              </w:rPr>
            </w:pPr>
            <w:r>
              <w:rPr>
                <w:rFonts w:hint="eastAsia" w:ascii="宋体" w:hAnsi="宋体" w:eastAsia="宋体" w:cs="宋体"/>
                <w:color w:val="auto"/>
                <w:sz w:val="21"/>
                <w:szCs w:val="21"/>
                <w:highlight w:val="none"/>
                <w:lang w:eastAsia="zh-CN"/>
              </w:rPr>
              <w:t>提供</w:t>
            </w:r>
            <w:r>
              <w:rPr>
                <w:rFonts w:hint="eastAsia" w:ascii="宋体" w:hAnsi="宋体" w:eastAsia="宋体" w:cs="宋体"/>
                <w:color w:val="auto"/>
                <w:sz w:val="21"/>
                <w:szCs w:val="21"/>
                <w:highlight w:val="none"/>
              </w:rPr>
              <w:t>有效的营业执照</w:t>
            </w:r>
            <w:r>
              <w:rPr>
                <w:rFonts w:hint="eastAsia" w:ascii="宋体" w:hAnsi="宋体" w:eastAsia="宋体" w:cs="宋体"/>
                <w:color w:val="auto"/>
                <w:sz w:val="21"/>
                <w:szCs w:val="21"/>
                <w:highlight w:val="none"/>
                <w:lang w:eastAsia="zh-CN"/>
              </w:rPr>
              <w:t>复印件</w:t>
            </w:r>
          </w:p>
        </w:tc>
      </w:tr>
      <w:tr>
        <w:tblPrEx>
          <w:tblCellMar>
            <w:top w:w="0" w:type="dxa"/>
            <w:left w:w="108" w:type="dxa"/>
            <w:bottom w:w="0" w:type="dxa"/>
            <w:right w:w="108" w:type="dxa"/>
          </w:tblCellMar>
        </w:tblPrEx>
        <w:trPr>
          <w:trHeight w:val="622" w:hRule="atLeast"/>
          <w:jc w:val="center"/>
        </w:trPr>
        <w:tc>
          <w:tcPr>
            <w:tcW w:w="944"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ind w:left="0" w:leftChars="0"/>
              <w:jc w:val="left"/>
              <w:rPr>
                <w:rFonts w:hint="eastAsia" w:ascii="宋体" w:hAnsi="宋体" w:eastAsia="宋体" w:cs="宋体"/>
                <w:color w:val="auto"/>
                <w:sz w:val="21"/>
                <w:szCs w:val="21"/>
                <w:highlight w:val="none"/>
              </w:rPr>
            </w:pPr>
          </w:p>
        </w:tc>
        <w:tc>
          <w:tcPr>
            <w:tcW w:w="14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ind w:left="0" w:leftChars="0"/>
              <w:jc w:val="left"/>
              <w:rPr>
                <w:rFonts w:hint="eastAsia" w:ascii="宋体" w:hAnsi="宋体" w:eastAsia="宋体" w:cs="宋体"/>
                <w:color w:val="auto"/>
                <w:kern w:val="0"/>
                <w:sz w:val="21"/>
                <w:szCs w:val="21"/>
                <w:highlight w:val="none"/>
              </w:rPr>
            </w:pPr>
          </w:p>
        </w:tc>
        <w:tc>
          <w:tcPr>
            <w:tcW w:w="2344" w:type="dxa"/>
            <w:tcBorders>
              <w:top w:val="single" w:color="auto" w:sz="4" w:space="0"/>
              <w:left w:val="single" w:color="auto" w:sz="4" w:space="0"/>
              <w:bottom w:val="single" w:color="auto" w:sz="4" w:space="0"/>
              <w:right w:val="single" w:color="auto" w:sz="4" w:space="0"/>
            </w:tcBorders>
            <w:vAlign w:val="center"/>
          </w:tcPr>
          <w:p>
            <w:pPr>
              <w:pStyle w:val="27"/>
              <w:keepNext w:val="0"/>
              <w:keepLines w:val="0"/>
              <w:pageBreakBefore w:val="0"/>
              <w:widowControl/>
              <w:kinsoku/>
              <w:wordWrap/>
              <w:overflowPunct/>
              <w:topLinePunct w:val="0"/>
              <w:autoSpaceDE/>
              <w:autoSpaceDN/>
              <w:bidi w:val="0"/>
              <w:adjustRightInd/>
              <w:snapToGrid w:val="0"/>
              <w:spacing w:line="400" w:lineRule="exact"/>
              <w:ind w:left="0" w:leftChars="0" w:firstLine="0"/>
              <w:jc w:val="left"/>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sz w:val="21"/>
                <w:szCs w:val="21"/>
                <w:highlight w:val="none"/>
                <w:lang w:eastAsia="zh-CN"/>
              </w:rPr>
              <w:t>资质证书</w:t>
            </w:r>
          </w:p>
        </w:tc>
        <w:tc>
          <w:tcPr>
            <w:tcW w:w="5200" w:type="dxa"/>
            <w:tcBorders>
              <w:top w:val="single" w:color="auto" w:sz="4" w:space="0"/>
              <w:left w:val="single" w:color="auto" w:sz="4" w:space="0"/>
              <w:bottom w:val="single" w:color="auto" w:sz="4" w:space="0"/>
              <w:right w:val="single" w:color="auto" w:sz="4" w:space="0"/>
            </w:tcBorders>
            <w:vAlign w:val="center"/>
          </w:tcPr>
          <w:p>
            <w:pPr>
              <w:pStyle w:val="27"/>
              <w:keepNext w:val="0"/>
              <w:keepLines w:val="0"/>
              <w:pageBreakBefore w:val="0"/>
              <w:kinsoku/>
              <w:wordWrap/>
              <w:overflowPunct/>
              <w:topLinePunct w:val="0"/>
              <w:autoSpaceDE/>
              <w:autoSpaceDN/>
              <w:bidi w:val="0"/>
              <w:adjustRightInd/>
              <w:snapToGrid w:val="0"/>
              <w:spacing w:line="400" w:lineRule="exact"/>
              <w:ind w:left="0" w:leftChars="0"/>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sz w:val="21"/>
                <w:szCs w:val="21"/>
                <w:highlight w:val="none"/>
              </w:rPr>
              <w:t>符合</w:t>
            </w:r>
            <w:r>
              <w:rPr>
                <w:rFonts w:hint="eastAsia" w:ascii="宋体" w:hAnsi="宋体" w:eastAsia="宋体" w:cs="宋体"/>
                <w:color w:val="auto"/>
                <w:sz w:val="21"/>
                <w:szCs w:val="21"/>
                <w:highlight w:val="none"/>
                <w:lang w:eastAsia="zh-CN"/>
              </w:rPr>
              <w:t>采购文件要求。</w:t>
            </w:r>
          </w:p>
        </w:tc>
      </w:tr>
      <w:tr>
        <w:tblPrEx>
          <w:tblCellMar>
            <w:top w:w="0" w:type="dxa"/>
            <w:left w:w="108" w:type="dxa"/>
            <w:bottom w:w="0" w:type="dxa"/>
            <w:right w:w="108" w:type="dxa"/>
          </w:tblCellMar>
        </w:tblPrEx>
        <w:trPr>
          <w:trHeight w:val="622" w:hRule="atLeast"/>
          <w:jc w:val="center"/>
        </w:trPr>
        <w:tc>
          <w:tcPr>
            <w:tcW w:w="944"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ind w:left="0" w:leftChars="0"/>
              <w:jc w:val="left"/>
              <w:rPr>
                <w:rFonts w:hint="eastAsia" w:ascii="宋体" w:hAnsi="宋体" w:eastAsia="宋体" w:cs="宋体"/>
                <w:color w:val="auto"/>
                <w:sz w:val="21"/>
                <w:szCs w:val="21"/>
                <w:highlight w:val="none"/>
              </w:rPr>
            </w:pPr>
          </w:p>
        </w:tc>
        <w:tc>
          <w:tcPr>
            <w:tcW w:w="14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ind w:left="0" w:leftChars="0"/>
              <w:jc w:val="left"/>
              <w:rPr>
                <w:rFonts w:hint="eastAsia" w:ascii="宋体" w:hAnsi="宋体" w:eastAsia="宋体" w:cs="宋体"/>
                <w:color w:val="auto"/>
                <w:kern w:val="0"/>
                <w:sz w:val="21"/>
                <w:szCs w:val="21"/>
                <w:highlight w:val="none"/>
              </w:rPr>
            </w:pPr>
          </w:p>
        </w:tc>
        <w:tc>
          <w:tcPr>
            <w:tcW w:w="2344" w:type="dxa"/>
            <w:tcBorders>
              <w:top w:val="single" w:color="auto" w:sz="4" w:space="0"/>
              <w:left w:val="single" w:color="auto" w:sz="4" w:space="0"/>
              <w:bottom w:val="single" w:color="auto" w:sz="4" w:space="0"/>
              <w:right w:val="single" w:color="auto" w:sz="4" w:space="0"/>
            </w:tcBorders>
            <w:vAlign w:val="center"/>
          </w:tcPr>
          <w:p>
            <w:pPr>
              <w:pStyle w:val="27"/>
              <w:keepNext w:val="0"/>
              <w:keepLines w:val="0"/>
              <w:pageBreakBefore w:val="0"/>
              <w:widowControl/>
              <w:kinsoku/>
              <w:wordWrap/>
              <w:overflowPunct/>
              <w:topLinePunct w:val="0"/>
              <w:autoSpaceDE/>
              <w:autoSpaceDN/>
              <w:bidi w:val="0"/>
              <w:adjustRightInd/>
              <w:snapToGrid w:val="0"/>
              <w:spacing w:line="400" w:lineRule="exact"/>
              <w:ind w:left="0" w:leftChars="0" w:firstLine="0"/>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落实政府采购政策需满足的资格要求</w:t>
            </w:r>
          </w:p>
        </w:tc>
        <w:tc>
          <w:tcPr>
            <w:tcW w:w="5200" w:type="dxa"/>
            <w:tcBorders>
              <w:top w:val="single" w:color="auto" w:sz="4" w:space="0"/>
              <w:left w:val="single" w:color="auto" w:sz="4" w:space="0"/>
              <w:bottom w:val="single" w:color="auto" w:sz="4" w:space="0"/>
              <w:right w:val="single" w:color="auto" w:sz="4" w:space="0"/>
            </w:tcBorders>
            <w:vAlign w:val="center"/>
          </w:tcPr>
          <w:p>
            <w:pPr>
              <w:pStyle w:val="27"/>
              <w:keepNext w:val="0"/>
              <w:keepLines w:val="0"/>
              <w:pageBreakBefore w:val="0"/>
              <w:kinsoku/>
              <w:wordWrap/>
              <w:overflowPunct/>
              <w:topLinePunct w:val="0"/>
              <w:autoSpaceDE/>
              <w:autoSpaceDN/>
              <w:bidi w:val="0"/>
              <w:adjustRightInd/>
              <w:snapToGrid w:val="0"/>
              <w:spacing w:line="400" w:lineRule="exact"/>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《中小企业声明函》或《残疾人福利性单位声明函》或省级以上监狱管理局、戒毒管理局（含新疆生产建设兵团）出具的属于监狱企业的证明文件复印件（必须提供其中一项）。</w:t>
            </w:r>
          </w:p>
        </w:tc>
      </w:tr>
      <w:tr>
        <w:tblPrEx>
          <w:tblCellMar>
            <w:top w:w="0" w:type="dxa"/>
            <w:left w:w="108" w:type="dxa"/>
            <w:bottom w:w="0" w:type="dxa"/>
            <w:right w:w="108" w:type="dxa"/>
          </w:tblCellMar>
        </w:tblPrEx>
        <w:trPr>
          <w:trHeight w:val="497" w:hRule="atLeast"/>
          <w:jc w:val="center"/>
        </w:trPr>
        <w:tc>
          <w:tcPr>
            <w:tcW w:w="944"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ind w:left="0" w:leftChars="0"/>
              <w:jc w:val="left"/>
              <w:rPr>
                <w:rFonts w:hint="eastAsia" w:ascii="宋体" w:hAnsi="宋体" w:eastAsia="宋体" w:cs="宋体"/>
                <w:color w:val="auto"/>
                <w:sz w:val="21"/>
                <w:szCs w:val="21"/>
                <w:highlight w:val="none"/>
              </w:rPr>
            </w:pPr>
          </w:p>
        </w:tc>
        <w:tc>
          <w:tcPr>
            <w:tcW w:w="14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ind w:left="0" w:leftChars="0"/>
              <w:jc w:val="left"/>
              <w:rPr>
                <w:rFonts w:hint="eastAsia" w:ascii="宋体" w:hAnsi="宋体" w:eastAsia="宋体" w:cs="宋体"/>
                <w:color w:val="auto"/>
                <w:kern w:val="0"/>
                <w:sz w:val="21"/>
                <w:szCs w:val="21"/>
                <w:highlight w:val="none"/>
              </w:rPr>
            </w:pPr>
          </w:p>
        </w:tc>
        <w:tc>
          <w:tcPr>
            <w:tcW w:w="2344" w:type="dxa"/>
            <w:tcBorders>
              <w:top w:val="single" w:color="auto" w:sz="4" w:space="0"/>
              <w:left w:val="single" w:color="auto" w:sz="4" w:space="0"/>
              <w:bottom w:val="single" w:color="auto" w:sz="4" w:space="0"/>
              <w:right w:val="single" w:color="auto" w:sz="4" w:space="0"/>
            </w:tcBorders>
            <w:vAlign w:val="center"/>
          </w:tcPr>
          <w:p>
            <w:pPr>
              <w:pStyle w:val="27"/>
              <w:keepNext w:val="0"/>
              <w:keepLines w:val="0"/>
              <w:pageBreakBefore w:val="0"/>
              <w:widowControl/>
              <w:kinsoku/>
              <w:wordWrap/>
              <w:overflowPunct/>
              <w:topLinePunct w:val="0"/>
              <w:autoSpaceDE/>
              <w:autoSpaceDN/>
              <w:bidi w:val="0"/>
              <w:adjustRightInd/>
              <w:snapToGrid w:val="0"/>
              <w:spacing w:line="400" w:lineRule="exact"/>
              <w:ind w:left="0" w:leftChars="0" w:firstLine="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安全生产许可证</w:t>
            </w:r>
          </w:p>
        </w:tc>
        <w:tc>
          <w:tcPr>
            <w:tcW w:w="5200" w:type="dxa"/>
            <w:tcBorders>
              <w:top w:val="single" w:color="auto" w:sz="4" w:space="0"/>
              <w:left w:val="single" w:color="auto" w:sz="4" w:space="0"/>
              <w:bottom w:val="single" w:color="auto" w:sz="4" w:space="0"/>
              <w:right w:val="single" w:color="auto" w:sz="4" w:space="0"/>
            </w:tcBorders>
            <w:vAlign w:val="center"/>
          </w:tcPr>
          <w:p>
            <w:pPr>
              <w:pStyle w:val="27"/>
              <w:keepNext w:val="0"/>
              <w:keepLines w:val="0"/>
              <w:pageBreakBefore w:val="0"/>
              <w:kinsoku/>
              <w:wordWrap/>
              <w:overflowPunct/>
              <w:topLinePunct w:val="0"/>
              <w:autoSpaceDE/>
              <w:autoSpaceDN/>
              <w:bidi w:val="0"/>
              <w:adjustRightInd/>
              <w:snapToGrid w:val="0"/>
              <w:spacing w:line="400" w:lineRule="exact"/>
              <w:ind w:left="0" w:left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提供</w:t>
            </w:r>
            <w:r>
              <w:rPr>
                <w:rFonts w:hint="eastAsia" w:ascii="宋体" w:hAnsi="宋体" w:eastAsia="宋体" w:cs="宋体"/>
                <w:color w:val="auto"/>
                <w:sz w:val="21"/>
                <w:szCs w:val="21"/>
                <w:highlight w:val="none"/>
              </w:rPr>
              <w:t>有效的安全生产许可证</w:t>
            </w:r>
            <w:r>
              <w:rPr>
                <w:rFonts w:hint="eastAsia" w:ascii="宋体" w:hAnsi="宋体" w:eastAsia="宋体" w:cs="宋体"/>
                <w:color w:val="auto"/>
                <w:sz w:val="21"/>
                <w:szCs w:val="21"/>
                <w:highlight w:val="none"/>
                <w:lang w:eastAsia="zh-CN"/>
              </w:rPr>
              <w:t>复印件取得“三证合一”的除外。</w:t>
            </w:r>
          </w:p>
        </w:tc>
      </w:tr>
      <w:tr>
        <w:tblPrEx>
          <w:tblCellMar>
            <w:top w:w="0" w:type="dxa"/>
            <w:left w:w="108" w:type="dxa"/>
            <w:bottom w:w="0" w:type="dxa"/>
            <w:right w:w="108" w:type="dxa"/>
          </w:tblCellMar>
        </w:tblPrEx>
        <w:trPr>
          <w:trHeight w:val="560" w:hRule="atLeast"/>
          <w:jc w:val="center"/>
        </w:trPr>
        <w:tc>
          <w:tcPr>
            <w:tcW w:w="944"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ind w:left="0" w:leftChars="0"/>
              <w:jc w:val="left"/>
              <w:rPr>
                <w:rFonts w:hint="eastAsia" w:ascii="宋体" w:hAnsi="宋体" w:eastAsia="宋体" w:cs="宋体"/>
                <w:color w:val="auto"/>
                <w:sz w:val="21"/>
                <w:szCs w:val="21"/>
                <w:highlight w:val="none"/>
              </w:rPr>
            </w:pPr>
          </w:p>
        </w:tc>
        <w:tc>
          <w:tcPr>
            <w:tcW w:w="14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ind w:left="0" w:leftChars="0"/>
              <w:jc w:val="left"/>
              <w:rPr>
                <w:rFonts w:hint="eastAsia" w:ascii="宋体" w:hAnsi="宋体" w:eastAsia="宋体" w:cs="宋体"/>
                <w:color w:val="auto"/>
                <w:kern w:val="0"/>
                <w:sz w:val="21"/>
                <w:szCs w:val="21"/>
                <w:highlight w:val="none"/>
              </w:rPr>
            </w:pPr>
          </w:p>
        </w:tc>
        <w:tc>
          <w:tcPr>
            <w:tcW w:w="2344" w:type="dxa"/>
            <w:tcBorders>
              <w:top w:val="single" w:color="auto" w:sz="4" w:space="0"/>
              <w:left w:val="single" w:color="auto" w:sz="4" w:space="0"/>
              <w:bottom w:val="single" w:color="auto" w:sz="4" w:space="0"/>
              <w:right w:val="single" w:color="auto" w:sz="4" w:space="0"/>
            </w:tcBorders>
            <w:vAlign w:val="center"/>
          </w:tcPr>
          <w:p>
            <w:pPr>
              <w:pStyle w:val="27"/>
              <w:keepNext w:val="0"/>
              <w:keepLines w:val="0"/>
              <w:pageBreakBefore w:val="0"/>
              <w:widowControl/>
              <w:kinsoku/>
              <w:wordWrap/>
              <w:overflowPunct/>
              <w:topLinePunct w:val="0"/>
              <w:autoSpaceDE/>
              <w:autoSpaceDN/>
              <w:bidi w:val="0"/>
              <w:adjustRightInd/>
              <w:snapToGrid w:val="0"/>
              <w:spacing w:line="400" w:lineRule="exact"/>
              <w:ind w:left="0" w:leftChars="0" w:firstLine="0"/>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财务状况报告</w:t>
            </w:r>
          </w:p>
        </w:tc>
        <w:tc>
          <w:tcPr>
            <w:tcW w:w="5200" w:type="dxa"/>
            <w:tcBorders>
              <w:top w:val="single" w:color="auto" w:sz="4" w:space="0"/>
              <w:left w:val="single" w:color="auto" w:sz="4" w:space="0"/>
              <w:bottom w:val="single" w:color="auto" w:sz="4" w:space="0"/>
              <w:right w:val="single" w:color="auto" w:sz="4" w:space="0"/>
            </w:tcBorders>
            <w:vAlign w:val="center"/>
          </w:tcPr>
          <w:p>
            <w:pPr>
              <w:pStyle w:val="27"/>
              <w:keepNext w:val="0"/>
              <w:keepLines w:val="0"/>
              <w:pageBreakBefore w:val="0"/>
              <w:kinsoku/>
              <w:wordWrap/>
              <w:overflowPunct/>
              <w:topLinePunct w:val="0"/>
              <w:autoSpaceDE/>
              <w:autoSpaceDN/>
              <w:bidi w:val="0"/>
              <w:adjustRightInd/>
              <w:snapToGrid w:val="0"/>
              <w:spacing w:line="400" w:lineRule="exact"/>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按采购文件要求提供。</w:t>
            </w:r>
          </w:p>
        </w:tc>
      </w:tr>
      <w:tr>
        <w:tblPrEx>
          <w:tblCellMar>
            <w:top w:w="0" w:type="dxa"/>
            <w:left w:w="108" w:type="dxa"/>
            <w:bottom w:w="0" w:type="dxa"/>
            <w:right w:w="108" w:type="dxa"/>
          </w:tblCellMar>
        </w:tblPrEx>
        <w:trPr>
          <w:trHeight w:val="610" w:hRule="atLeast"/>
          <w:jc w:val="center"/>
        </w:trPr>
        <w:tc>
          <w:tcPr>
            <w:tcW w:w="944"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ind w:left="0" w:leftChars="0"/>
              <w:jc w:val="left"/>
              <w:rPr>
                <w:rFonts w:hint="eastAsia" w:ascii="宋体" w:hAnsi="宋体" w:eastAsia="宋体" w:cs="宋体"/>
                <w:color w:val="auto"/>
                <w:sz w:val="21"/>
                <w:szCs w:val="21"/>
                <w:highlight w:val="none"/>
              </w:rPr>
            </w:pPr>
          </w:p>
        </w:tc>
        <w:tc>
          <w:tcPr>
            <w:tcW w:w="14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ind w:left="0" w:leftChars="0"/>
              <w:jc w:val="left"/>
              <w:rPr>
                <w:rFonts w:hint="eastAsia" w:ascii="宋体" w:hAnsi="宋体" w:eastAsia="宋体" w:cs="宋体"/>
                <w:color w:val="auto"/>
                <w:kern w:val="0"/>
                <w:sz w:val="21"/>
                <w:szCs w:val="21"/>
                <w:highlight w:val="none"/>
              </w:rPr>
            </w:pPr>
          </w:p>
        </w:tc>
        <w:tc>
          <w:tcPr>
            <w:tcW w:w="2344" w:type="dxa"/>
            <w:tcBorders>
              <w:top w:val="single" w:color="auto" w:sz="4" w:space="0"/>
              <w:left w:val="single" w:color="auto" w:sz="4" w:space="0"/>
              <w:bottom w:val="single" w:color="auto" w:sz="4" w:space="0"/>
              <w:right w:val="single" w:color="auto" w:sz="4" w:space="0"/>
            </w:tcBorders>
            <w:vAlign w:val="center"/>
          </w:tcPr>
          <w:p>
            <w:pPr>
              <w:pStyle w:val="27"/>
              <w:keepNext w:val="0"/>
              <w:keepLines w:val="0"/>
              <w:pageBreakBefore w:val="0"/>
              <w:widowControl/>
              <w:kinsoku/>
              <w:wordWrap/>
              <w:overflowPunct/>
              <w:topLinePunct w:val="0"/>
              <w:autoSpaceDE/>
              <w:autoSpaceDN/>
              <w:bidi w:val="0"/>
              <w:adjustRightInd/>
              <w:snapToGrid w:val="0"/>
              <w:spacing w:line="400" w:lineRule="exact"/>
              <w:ind w:left="0" w:leftChars="0" w:firstLine="0"/>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依法纳税证明材料</w:t>
            </w:r>
          </w:p>
        </w:tc>
        <w:tc>
          <w:tcPr>
            <w:tcW w:w="5200" w:type="dxa"/>
            <w:tcBorders>
              <w:top w:val="single" w:color="auto" w:sz="4" w:space="0"/>
              <w:left w:val="single" w:color="auto" w:sz="4" w:space="0"/>
              <w:bottom w:val="single" w:color="auto" w:sz="4" w:space="0"/>
              <w:right w:val="single" w:color="auto" w:sz="4" w:space="0"/>
            </w:tcBorders>
            <w:vAlign w:val="center"/>
          </w:tcPr>
          <w:p>
            <w:pPr>
              <w:pStyle w:val="27"/>
              <w:keepNext w:val="0"/>
              <w:keepLines w:val="0"/>
              <w:pageBreakBefore w:val="0"/>
              <w:kinsoku/>
              <w:wordWrap/>
              <w:overflowPunct/>
              <w:topLinePunct w:val="0"/>
              <w:autoSpaceDE/>
              <w:autoSpaceDN/>
              <w:bidi w:val="0"/>
              <w:adjustRightInd/>
              <w:snapToGrid w:val="0"/>
              <w:spacing w:line="400" w:lineRule="exact"/>
              <w:ind w:left="0" w:left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按采购文件要求提供。</w:t>
            </w:r>
          </w:p>
        </w:tc>
      </w:tr>
      <w:tr>
        <w:tblPrEx>
          <w:tblCellMar>
            <w:top w:w="0" w:type="dxa"/>
            <w:left w:w="108" w:type="dxa"/>
            <w:bottom w:w="0" w:type="dxa"/>
            <w:right w:w="108" w:type="dxa"/>
          </w:tblCellMar>
        </w:tblPrEx>
        <w:trPr>
          <w:trHeight w:val="487" w:hRule="atLeast"/>
          <w:jc w:val="center"/>
        </w:trPr>
        <w:tc>
          <w:tcPr>
            <w:tcW w:w="944" w:type="dxa"/>
            <w:vMerge w:val="restart"/>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pacing w:line="400" w:lineRule="exact"/>
              <w:ind w:left="0" w:leftChars="0"/>
              <w:jc w:val="center"/>
              <w:rPr>
                <w:rFonts w:hint="eastAsia" w:ascii="宋体" w:hAnsi="宋体" w:eastAsia="宋体" w:cs="宋体"/>
                <w:b/>
                <w:color w:val="auto"/>
                <w:sz w:val="21"/>
                <w:szCs w:val="21"/>
                <w:highlight w:val="none"/>
              </w:rPr>
            </w:pPr>
            <w:r>
              <w:rPr>
                <w:rFonts w:hint="eastAsia" w:ascii="宋体" w:hAnsi="宋体" w:eastAsia="宋体" w:cs="宋体"/>
                <w:bCs/>
                <w:color w:val="auto"/>
                <w:sz w:val="21"/>
                <w:szCs w:val="21"/>
                <w:highlight w:val="none"/>
              </w:rPr>
              <w:t>2.1.2</w:t>
            </w:r>
          </w:p>
        </w:tc>
        <w:tc>
          <w:tcPr>
            <w:tcW w:w="1460" w:type="dxa"/>
            <w:vMerge w:val="restart"/>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pacing w:line="400" w:lineRule="exact"/>
              <w:ind w:left="0" w:leftChars="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符合性评审</w:t>
            </w:r>
          </w:p>
        </w:tc>
        <w:tc>
          <w:tcPr>
            <w:tcW w:w="2344"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pacing w:line="400" w:lineRule="exact"/>
              <w:ind w:left="0" w:leftChars="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评审因素</w:t>
            </w:r>
          </w:p>
        </w:tc>
        <w:tc>
          <w:tcPr>
            <w:tcW w:w="5200"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pacing w:line="400" w:lineRule="exact"/>
              <w:ind w:left="0" w:leftChars="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评审标准（合格标准：缺少任何一项或有任何一项不合格者，其</w:t>
            </w:r>
            <w:r>
              <w:rPr>
                <w:rFonts w:hint="eastAsia" w:ascii="宋体" w:hAnsi="宋体" w:eastAsia="宋体" w:cs="宋体"/>
                <w:b/>
                <w:bCs/>
                <w:color w:val="auto"/>
                <w:sz w:val="21"/>
                <w:szCs w:val="21"/>
                <w:highlight w:val="none"/>
                <w:lang w:eastAsia="zh-CN"/>
              </w:rPr>
              <w:t>符合性评审</w:t>
            </w:r>
            <w:r>
              <w:rPr>
                <w:rFonts w:hint="eastAsia" w:ascii="宋体" w:hAnsi="宋体" w:eastAsia="宋体" w:cs="宋体"/>
                <w:b/>
                <w:bCs/>
                <w:color w:val="auto"/>
                <w:sz w:val="21"/>
                <w:szCs w:val="21"/>
                <w:highlight w:val="none"/>
              </w:rPr>
              <w:t>视为不合格）</w:t>
            </w:r>
          </w:p>
        </w:tc>
      </w:tr>
      <w:tr>
        <w:tblPrEx>
          <w:tblCellMar>
            <w:top w:w="0" w:type="dxa"/>
            <w:left w:w="108" w:type="dxa"/>
            <w:bottom w:w="0" w:type="dxa"/>
            <w:right w:w="108" w:type="dxa"/>
          </w:tblCellMar>
        </w:tblPrEx>
        <w:trPr>
          <w:trHeight w:val="515" w:hRule="atLeast"/>
          <w:jc w:val="center"/>
        </w:trPr>
        <w:tc>
          <w:tcPr>
            <w:tcW w:w="944"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pacing w:line="400" w:lineRule="exact"/>
              <w:ind w:left="0" w:leftChars="0"/>
              <w:rPr>
                <w:rFonts w:hint="eastAsia" w:ascii="宋体" w:hAnsi="宋体" w:eastAsia="宋体" w:cs="宋体"/>
                <w:color w:val="auto"/>
                <w:sz w:val="21"/>
                <w:szCs w:val="21"/>
                <w:highlight w:val="none"/>
              </w:rPr>
            </w:pPr>
          </w:p>
        </w:tc>
        <w:tc>
          <w:tcPr>
            <w:tcW w:w="1460"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pacing w:line="400" w:lineRule="exact"/>
              <w:ind w:left="0" w:leftChars="0"/>
              <w:rPr>
                <w:rFonts w:hint="eastAsia" w:ascii="宋体" w:hAnsi="宋体" w:eastAsia="宋体" w:cs="宋体"/>
                <w:color w:val="auto"/>
                <w:sz w:val="21"/>
                <w:szCs w:val="21"/>
                <w:highlight w:val="none"/>
              </w:rPr>
            </w:pPr>
          </w:p>
        </w:tc>
        <w:tc>
          <w:tcPr>
            <w:tcW w:w="23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pacing w:line="400" w:lineRule="exact"/>
              <w:ind w:left="0" w:leftChars="0"/>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eastAsia="zh-CN"/>
              </w:rPr>
              <w:t>响应函</w:t>
            </w:r>
          </w:p>
        </w:tc>
        <w:tc>
          <w:tcPr>
            <w:tcW w:w="52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pacing w:line="400" w:lineRule="exact"/>
              <w:ind w:left="0" w:leftChars="0"/>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lang w:eastAsia="zh-CN"/>
              </w:rPr>
              <w:t>必须提供</w:t>
            </w:r>
          </w:p>
        </w:tc>
      </w:tr>
      <w:tr>
        <w:tblPrEx>
          <w:tblCellMar>
            <w:top w:w="0" w:type="dxa"/>
            <w:left w:w="108" w:type="dxa"/>
            <w:bottom w:w="0" w:type="dxa"/>
            <w:right w:w="108" w:type="dxa"/>
          </w:tblCellMar>
        </w:tblPrEx>
        <w:trPr>
          <w:trHeight w:val="546" w:hRule="atLeast"/>
          <w:jc w:val="center"/>
        </w:trPr>
        <w:tc>
          <w:tcPr>
            <w:tcW w:w="944"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400" w:lineRule="exact"/>
              <w:ind w:left="0" w:leftChars="0"/>
              <w:jc w:val="left"/>
              <w:rPr>
                <w:rFonts w:hint="eastAsia" w:ascii="宋体" w:hAnsi="宋体" w:eastAsia="宋体" w:cs="宋体"/>
                <w:color w:val="auto"/>
                <w:sz w:val="21"/>
                <w:szCs w:val="21"/>
                <w:highlight w:val="none"/>
              </w:rPr>
            </w:pPr>
          </w:p>
        </w:tc>
        <w:tc>
          <w:tcPr>
            <w:tcW w:w="1460"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400" w:lineRule="exact"/>
              <w:ind w:left="0" w:leftChars="0"/>
              <w:jc w:val="left"/>
              <w:rPr>
                <w:rFonts w:hint="eastAsia" w:ascii="宋体" w:hAnsi="宋体" w:eastAsia="宋体" w:cs="宋体"/>
                <w:color w:val="auto"/>
                <w:sz w:val="21"/>
                <w:szCs w:val="21"/>
                <w:highlight w:val="none"/>
              </w:rPr>
            </w:pPr>
          </w:p>
        </w:tc>
        <w:tc>
          <w:tcPr>
            <w:tcW w:w="23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pacing w:line="400" w:lineRule="exact"/>
              <w:ind w:left="0" w:leftChars="0"/>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lang w:eastAsia="zh-CN"/>
              </w:rPr>
              <w:t>工程报价汇总表</w:t>
            </w:r>
          </w:p>
        </w:tc>
        <w:tc>
          <w:tcPr>
            <w:tcW w:w="52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pacing w:line="400" w:lineRule="exact"/>
              <w:ind w:left="0" w:leftChars="0"/>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lang w:eastAsia="zh-CN"/>
              </w:rPr>
              <w:t>必须提供</w:t>
            </w:r>
          </w:p>
        </w:tc>
      </w:tr>
      <w:tr>
        <w:tblPrEx>
          <w:tblCellMar>
            <w:top w:w="0" w:type="dxa"/>
            <w:left w:w="108" w:type="dxa"/>
            <w:bottom w:w="0" w:type="dxa"/>
            <w:right w:w="108" w:type="dxa"/>
          </w:tblCellMar>
        </w:tblPrEx>
        <w:trPr>
          <w:trHeight w:val="525" w:hRule="atLeast"/>
          <w:jc w:val="center"/>
        </w:trPr>
        <w:tc>
          <w:tcPr>
            <w:tcW w:w="944"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400" w:lineRule="exact"/>
              <w:ind w:left="0" w:leftChars="0"/>
              <w:jc w:val="left"/>
              <w:rPr>
                <w:rFonts w:hint="eastAsia" w:ascii="宋体" w:hAnsi="宋体" w:eastAsia="宋体" w:cs="宋体"/>
                <w:color w:val="auto"/>
                <w:sz w:val="21"/>
                <w:szCs w:val="21"/>
                <w:highlight w:val="none"/>
              </w:rPr>
            </w:pPr>
          </w:p>
        </w:tc>
        <w:tc>
          <w:tcPr>
            <w:tcW w:w="1460"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400" w:lineRule="exact"/>
              <w:ind w:left="0" w:leftChars="0"/>
              <w:jc w:val="left"/>
              <w:rPr>
                <w:rFonts w:hint="eastAsia" w:ascii="宋体" w:hAnsi="宋体" w:eastAsia="宋体" w:cs="宋体"/>
                <w:color w:val="auto"/>
                <w:sz w:val="21"/>
                <w:szCs w:val="21"/>
                <w:highlight w:val="none"/>
              </w:rPr>
            </w:pPr>
          </w:p>
        </w:tc>
        <w:tc>
          <w:tcPr>
            <w:tcW w:w="2344"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pacing w:line="400" w:lineRule="exact"/>
              <w:ind w:left="0" w:left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已标价工程量清单</w:t>
            </w:r>
          </w:p>
        </w:tc>
        <w:tc>
          <w:tcPr>
            <w:tcW w:w="52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pacing w:line="400" w:lineRule="exact"/>
              <w:ind w:left="0" w:leftChars="0"/>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eastAsia="zh-CN"/>
              </w:rPr>
              <w:t>必须提供</w:t>
            </w:r>
          </w:p>
        </w:tc>
      </w:tr>
      <w:tr>
        <w:tblPrEx>
          <w:tblCellMar>
            <w:top w:w="0" w:type="dxa"/>
            <w:left w:w="108" w:type="dxa"/>
            <w:bottom w:w="0" w:type="dxa"/>
            <w:right w:w="108" w:type="dxa"/>
          </w:tblCellMar>
        </w:tblPrEx>
        <w:trPr>
          <w:trHeight w:val="491" w:hRule="atLeast"/>
          <w:jc w:val="center"/>
        </w:trPr>
        <w:tc>
          <w:tcPr>
            <w:tcW w:w="944"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400" w:lineRule="exact"/>
              <w:ind w:left="0" w:leftChars="0"/>
              <w:jc w:val="left"/>
              <w:rPr>
                <w:rFonts w:hint="eastAsia" w:ascii="宋体" w:hAnsi="宋体" w:eastAsia="宋体" w:cs="宋体"/>
                <w:color w:val="auto"/>
                <w:sz w:val="21"/>
                <w:szCs w:val="21"/>
                <w:highlight w:val="none"/>
              </w:rPr>
            </w:pPr>
          </w:p>
        </w:tc>
        <w:tc>
          <w:tcPr>
            <w:tcW w:w="1460"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400" w:lineRule="exact"/>
              <w:ind w:left="0" w:leftChars="0"/>
              <w:jc w:val="left"/>
              <w:rPr>
                <w:rFonts w:hint="eastAsia" w:ascii="宋体" w:hAnsi="宋体" w:eastAsia="宋体" w:cs="宋体"/>
                <w:color w:val="auto"/>
                <w:sz w:val="21"/>
                <w:szCs w:val="21"/>
                <w:highlight w:val="none"/>
              </w:rPr>
            </w:pPr>
          </w:p>
        </w:tc>
        <w:tc>
          <w:tcPr>
            <w:tcW w:w="2344"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pacing w:line="400" w:lineRule="exact"/>
              <w:ind w:left="0" w:leftChars="0"/>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lang w:eastAsia="zh-CN"/>
              </w:rPr>
              <w:t>拟投入主要施工管理人员</w:t>
            </w:r>
          </w:p>
        </w:tc>
        <w:tc>
          <w:tcPr>
            <w:tcW w:w="5200"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pacing w:line="400" w:lineRule="exact"/>
              <w:ind w:left="0" w:leftChars="0"/>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lang w:eastAsia="zh-CN"/>
              </w:rPr>
              <w:t>符合采购文件要求</w:t>
            </w:r>
          </w:p>
        </w:tc>
      </w:tr>
      <w:tr>
        <w:tblPrEx>
          <w:tblCellMar>
            <w:top w:w="0" w:type="dxa"/>
            <w:left w:w="108" w:type="dxa"/>
            <w:bottom w:w="0" w:type="dxa"/>
            <w:right w:w="108" w:type="dxa"/>
          </w:tblCellMar>
        </w:tblPrEx>
        <w:trPr>
          <w:trHeight w:val="429" w:hRule="atLeast"/>
          <w:jc w:val="center"/>
        </w:trPr>
        <w:tc>
          <w:tcPr>
            <w:tcW w:w="944"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400" w:lineRule="exact"/>
              <w:ind w:left="0" w:leftChars="0"/>
              <w:jc w:val="left"/>
              <w:rPr>
                <w:rFonts w:hint="eastAsia" w:ascii="宋体" w:hAnsi="宋体" w:eastAsia="宋体" w:cs="宋体"/>
                <w:color w:val="auto"/>
                <w:sz w:val="21"/>
                <w:szCs w:val="21"/>
                <w:highlight w:val="none"/>
              </w:rPr>
            </w:pPr>
          </w:p>
        </w:tc>
        <w:tc>
          <w:tcPr>
            <w:tcW w:w="1460"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400" w:lineRule="exact"/>
              <w:ind w:left="0" w:leftChars="0"/>
              <w:jc w:val="left"/>
              <w:rPr>
                <w:rFonts w:hint="eastAsia" w:ascii="宋体" w:hAnsi="宋体" w:eastAsia="宋体" w:cs="宋体"/>
                <w:color w:val="auto"/>
                <w:sz w:val="21"/>
                <w:szCs w:val="21"/>
                <w:highlight w:val="none"/>
              </w:rPr>
            </w:pPr>
          </w:p>
        </w:tc>
        <w:tc>
          <w:tcPr>
            <w:tcW w:w="23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pacing w:line="400" w:lineRule="exact"/>
              <w:ind w:left="0" w:left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kern w:val="0"/>
                <w:sz w:val="21"/>
                <w:szCs w:val="21"/>
                <w:highlight w:val="none"/>
                <w:lang w:eastAsia="zh-CN"/>
              </w:rPr>
              <w:t>项目经理</w:t>
            </w:r>
          </w:p>
        </w:tc>
        <w:tc>
          <w:tcPr>
            <w:tcW w:w="5200"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pacing w:line="400" w:lineRule="exact"/>
              <w:ind w:left="0" w:leftChars="0"/>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eastAsia="zh-CN"/>
              </w:rPr>
              <w:t>符合采购文件要求</w:t>
            </w:r>
          </w:p>
        </w:tc>
      </w:tr>
      <w:tr>
        <w:tblPrEx>
          <w:tblCellMar>
            <w:top w:w="0" w:type="dxa"/>
            <w:left w:w="108" w:type="dxa"/>
            <w:bottom w:w="0" w:type="dxa"/>
            <w:right w:w="108" w:type="dxa"/>
          </w:tblCellMar>
        </w:tblPrEx>
        <w:trPr>
          <w:trHeight w:val="470" w:hRule="atLeast"/>
          <w:jc w:val="center"/>
        </w:trPr>
        <w:tc>
          <w:tcPr>
            <w:tcW w:w="944"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400" w:lineRule="exact"/>
              <w:ind w:left="0" w:leftChars="0"/>
              <w:jc w:val="left"/>
              <w:rPr>
                <w:rFonts w:hint="eastAsia" w:ascii="宋体" w:hAnsi="宋体" w:eastAsia="宋体" w:cs="宋体"/>
                <w:color w:val="auto"/>
                <w:sz w:val="21"/>
                <w:szCs w:val="21"/>
                <w:highlight w:val="none"/>
              </w:rPr>
            </w:pPr>
          </w:p>
        </w:tc>
        <w:tc>
          <w:tcPr>
            <w:tcW w:w="1460"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400" w:lineRule="exact"/>
              <w:ind w:left="0" w:leftChars="0"/>
              <w:jc w:val="left"/>
              <w:rPr>
                <w:rFonts w:hint="eastAsia" w:ascii="宋体" w:hAnsi="宋体" w:eastAsia="宋体" w:cs="宋体"/>
                <w:color w:val="auto"/>
                <w:sz w:val="21"/>
                <w:szCs w:val="21"/>
                <w:highlight w:val="none"/>
              </w:rPr>
            </w:pPr>
          </w:p>
        </w:tc>
        <w:tc>
          <w:tcPr>
            <w:tcW w:w="23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pacing w:line="400" w:lineRule="exact"/>
              <w:ind w:left="0" w:leftChars="0"/>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lang w:eastAsia="zh-CN"/>
              </w:rPr>
              <w:t>施工组织方案</w:t>
            </w:r>
          </w:p>
        </w:tc>
        <w:tc>
          <w:tcPr>
            <w:tcW w:w="5200"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pacing w:line="400" w:lineRule="exact"/>
              <w:ind w:left="0" w:leftChars="0"/>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lang w:eastAsia="zh-CN"/>
              </w:rPr>
              <w:t>必须提供</w:t>
            </w:r>
          </w:p>
        </w:tc>
      </w:tr>
      <w:tr>
        <w:tblPrEx>
          <w:tblCellMar>
            <w:top w:w="0" w:type="dxa"/>
            <w:left w:w="108" w:type="dxa"/>
            <w:bottom w:w="0" w:type="dxa"/>
            <w:right w:w="108" w:type="dxa"/>
          </w:tblCellMar>
        </w:tblPrEx>
        <w:trPr>
          <w:trHeight w:val="523" w:hRule="atLeast"/>
          <w:jc w:val="center"/>
        </w:trPr>
        <w:tc>
          <w:tcPr>
            <w:tcW w:w="944"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400" w:lineRule="exact"/>
              <w:ind w:left="0" w:leftChars="0"/>
              <w:jc w:val="left"/>
              <w:rPr>
                <w:rFonts w:hint="eastAsia" w:ascii="宋体" w:hAnsi="宋体" w:eastAsia="宋体" w:cs="宋体"/>
                <w:color w:val="auto"/>
                <w:sz w:val="21"/>
                <w:szCs w:val="21"/>
                <w:highlight w:val="none"/>
              </w:rPr>
            </w:pPr>
          </w:p>
        </w:tc>
        <w:tc>
          <w:tcPr>
            <w:tcW w:w="1460"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400" w:lineRule="exact"/>
              <w:ind w:left="0" w:leftChars="0"/>
              <w:jc w:val="left"/>
              <w:rPr>
                <w:rFonts w:hint="eastAsia" w:ascii="宋体" w:hAnsi="宋体" w:eastAsia="宋体" w:cs="宋体"/>
                <w:color w:val="auto"/>
                <w:sz w:val="21"/>
                <w:szCs w:val="21"/>
                <w:highlight w:val="none"/>
              </w:rPr>
            </w:pPr>
          </w:p>
        </w:tc>
        <w:tc>
          <w:tcPr>
            <w:tcW w:w="23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pacing w:line="400" w:lineRule="exact"/>
              <w:ind w:left="0" w:leftChars="0"/>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lang w:eastAsia="zh-CN"/>
              </w:rPr>
              <w:t>工程完工服务承诺书</w:t>
            </w:r>
          </w:p>
        </w:tc>
        <w:tc>
          <w:tcPr>
            <w:tcW w:w="5200"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pacing w:line="400" w:lineRule="exact"/>
              <w:ind w:left="0" w:leftChars="0"/>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eastAsia="zh-CN"/>
              </w:rPr>
              <w:t>必须提供</w:t>
            </w:r>
          </w:p>
        </w:tc>
      </w:tr>
      <w:tr>
        <w:tblPrEx>
          <w:tblCellMar>
            <w:top w:w="0" w:type="dxa"/>
            <w:left w:w="108" w:type="dxa"/>
            <w:bottom w:w="0" w:type="dxa"/>
            <w:right w:w="108" w:type="dxa"/>
          </w:tblCellMar>
        </w:tblPrEx>
        <w:trPr>
          <w:trHeight w:val="577" w:hRule="atLeast"/>
          <w:jc w:val="center"/>
        </w:trPr>
        <w:tc>
          <w:tcPr>
            <w:tcW w:w="944"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400" w:lineRule="exact"/>
              <w:ind w:left="0" w:leftChars="0"/>
              <w:jc w:val="left"/>
              <w:rPr>
                <w:rFonts w:hint="eastAsia" w:ascii="宋体" w:hAnsi="宋体" w:eastAsia="宋体" w:cs="宋体"/>
                <w:color w:val="auto"/>
                <w:sz w:val="21"/>
                <w:szCs w:val="21"/>
                <w:highlight w:val="none"/>
              </w:rPr>
            </w:pPr>
          </w:p>
        </w:tc>
        <w:tc>
          <w:tcPr>
            <w:tcW w:w="1460"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400" w:lineRule="exact"/>
              <w:ind w:left="0" w:leftChars="0"/>
              <w:jc w:val="left"/>
              <w:rPr>
                <w:rFonts w:hint="eastAsia" w:ascii="宋体" w:hAnsi="宋体" w:eastAsia="宋体" w:cs="宋体"/>
                <w:color w:val="auto"/>
                <w:sz w:val="21"/>
                <w:szCs w:val="21"/>
                <w:highlight w:val="none"/>
              </w:rPr>
            </w:pPr>
          </w:p>
        </w:tc>
        <w:tc>
          <w:tcPr>
            <w:tcW w:w="23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pacing w:line="400" w:lineRule="exact"/>
              <w:ind w:left="0" w:leftChars="0"/>
              <w:rPr>
                <w:rFonts w:hint="eastAsia" w:ascii="宋体" w:hAnsi="宋体" w:eastAsia="宋体" w:cs="宋体"/>
                <w:bCs/>
                <w:color w:val="auto"/>
                <w:sz w:val="21"/>
                <w:szCs w:val="21"/>
                <w:highlight w:val="none"/>
                <w:lang w:eastAsia="zh-CN"/>
              </w:rPr>
            </w:pPr>
            <w:r>
              <w:rPr>
                <w:rFonts w:hint="eastAsia" w:ascii="宋体" w:hAnsi="宋体" w:eastAsia="宋体" w:cs="宋体"/>
                <w:color w:val="auto"/>
                <w:kern w:val="0"/>
                <w:sz w:val="21"/>
                <w:szCs w:val="21"/>
                <w:highlight w:val="none"/>
                <w:lang w:eastAsia="zh-CN"/>
              </w:rPr>
              <w:t>农民工工资保障金缴纳与使用承诺书</w:t>
            </w:r>
          </w:p>
        </w:tc>
        <w:tc>
          <w:tcPr>
            <w:tcW w:w="5200"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pacing w:line="400" w:lineRule="exact"/>
              <w:ind w:left="0" w:leftChars="0"/>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eastAsia="zh-CN"/>
              </w:rPr>
              <w:t>必须提供</w:t>
            </w:r>
          </w:p>
        </w:tc>
      </w:tr>
      <w:tr>
        <w:tblPrEx>
          <w:tblCellMar>
            <w:top w:w="0" w:type="dxa"/>
            <w:left w:w="108" w:type="dxa"/>
            <w:bottom w:w="0" w:type="dxa"/>
            <w:right w:w="108" w:type="dxa"/>
          </w:tblCellMar>
        </w:tblPrEx>
        <w:trPr>
          <w:trHeight w:val="1039" w:hRule="exact"/>
          <w:jc w:val="center"/>
        </w:trPr>
        <w:tc>
          <w:tcPr>
            <w:tcW w:w="944"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400" w:lineRule="exact"/>
              <w:ind w:left="0" w:leftChars="0"/>
              <w:jc w:val="left"/>
              <w:rPr>
                <w:rFonts w:hint="eastAsia" w:ascii="宋体" w:hAnsi="宋体" w:eastAsia="宋体" w:cs="宋体"/>
                <w:color w:val="auto"/>
                <w:sz w:val="21"/>
                <w:szCs w:val="21"/>
                <w:highlight w:val="none"/>
              </w:rPr>
            </w:pPr>
          </w:p>
        </w:tc>
        <w:tc>
          <w:tcPr>
            <w:tcW w:w="1460"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400" w:lineRule="exact"/>
              <w:ind w:left="0" w:leftChars="0"/>
              <w:jc w:val="left"/>
              <w:rPr>
                <w:rFonts w:hint="eastAsia" w:ascii="宋体" w:hAnsi="宋体" w:eastAsia="宋体" w:cs="宋体"/>
                <w:color w:val="auto"/>
                <w:sz w:val="21"/>
                <w:szCs w:val="21"/>
                <w:highlight w:val="none"/>
              </w:rPr>
            </w:pPr>
          </w:p>
        </w:tc>
        <w:tc>
          <w:tcPr>
            <w:tcW w:w="2344"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pacing w:line="400" w:lineRule="exact"/>
              <w:ind w:left="0" w:leftChars="0"/>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城乡清洁工程渣土清运承诺书</w:t>
            </w:r>
          </w:p>
        </w:tc>
        <w:tc>
          <w:tcPr>
            <w:tcW w:w="5200" w:type="dxa"/>
            <w:tcBorders>
              <w:top w:val="single" w:color="000000"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400" w:lineRule="exact"/>
              <w:ind w:left="0" w:left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eastAsia="zh-CN"/>
              </w:rPr>
              <w:t>必须提供</w:t>
            </w:r>
          </w:p>
        </w:tc>
      </w:tr>
    </w:tbl>
    <w:p>
      <w:pPr>
        <w:pStyle w:val="11"/>
        <w:keepNext w:val="0"/>
        <w:keepLines w:val="0"/>
        <w:pageBreakBefore w:val="0"/>
        <w:widowControl w:val="0"/>
        <w:kinsoku/>
        <w:wordWrap/>
        <w:overflowPunct/>
        <w:topLinePunct w:val="0"/>
        <w:autoSpaceDE/>
        <w:autoSpaceDN/>
        <w:bidi w:val="0"/>
        <w:adjustRightInd/>
        <w:snapToGrid/>
        <w:spacing w:line="400" w:lineRule="exact"/>
        <w:ind w:left="0" w:leftChars="0"/>
        <w:textAlignment w:val="auto"/>
        <w:rPr>
          <w:rFonts w:hint="eastAsia" w:ascii="宋体" w:hAnsi="宋体" w:eastAsia="宋体" w:cs="宋体"/>
          <w:b/>
          <w:color w:val="auto"/>
          <w:sz w:val="21"/>
          <w:szCs w:val="21"/>
          <w:highlight w:val="none"/>
        </w:rPr>
      </w:pPr>
      <w:r>
        <w:rPr>
          <w:rFonts w:hint="eastAsia" w:ascii="宋体" w:hAnsi="宋体" w:eastAsia="宋体" w:cs="宋体"/>
          <w:b/>
          <w:bCs w:val="0"/>
          <w:color w:val="auto"/>
          <w:sz w:val="21"/>
          <w:szCs w:val="21"/>
          <w:highlight w:val="none"/>
          <w:lang w:val="en-US" w:eastAsia="zh-CN"/>
        </w:rPr>
        <w:t>1.</w:t>
      </w:r>
      <w:r>
        <w:rPr>
          <w:rFonts w:hint="eastAsia" w:ascii="宋体" w:hAnsi="宋体" w:eastAsia="宋体" w:cs="宋体"/>
          <w:b/>
          <w:bCs w:val="0"/>
          <w:color w:val="auto"/>
          <w:sz w:val="21"/>
          <w:szCs w:val="21"/>
          <w:highlight w:val="none"/>
          <w:lang w:eastAsia="zh-CN"/>
        </w:rPr>
        <w:t>详细</w:t>
      </w:r>
      <w:r>
        <w:rPr>
          <w:rFonts w:hint="eastAsia" w:ascii="宋体" w:hAnsi="宋体" w:eastAsia="宋体" w:cs="宋体"/>
          <w:b/>
          <w:color w:val="auto"/>
          <w:sz w:val="21"/>
          <w:szCs w:val="21"/>
          <w:highlight w:val="none"/>
        </w:rPr>
        <w:t>价格分………………………………………………………………………………</w:t>
      </w:r>
      <w:r>
        <w:rPr>
          <w:rFonts w:hint="eastAsia" w:ascii="宋体" w:hAnsi="宋体" w:eastAsia="宋体" w:cs="宋体"/>
          <w:b/>
          <w:bCs w:val="0"/>
          <w:color w:val="auto"/>
          <w:sz w:val="21"/>
          <w:szCs w:val="21"/>
          <w:highlight w:val="none"/>
        </w:rPr>
        <w:t>……</w:t>
      </w:r>
      <w:r>
        <w:rPr>
          <w:rFonts w:hint="eastAsia" w:ascii="宋体" w:hAnsi="宋体" w:eastAsia="宋体" w:cs="宋体"/>
          <w:b/>
          <w:color w:val="auto"/>
          <w:sz w:val="21"/>
          <w:szCs w:val="21"/>
          <w:highlight w:val="none"/>
        </w:rPr>
        <w:t>……</w:t>
      </w:r>
      <w:r>
        <w:rPr>
          <w:rFonts w:hint="eastAsia" w:ascii="宋体" w:hAnsi="宋体" w:eastAsia="宋体" w:cs="宋体"/>
          <w:b/>
          <w:color w:val="auto"/>
          <w:sz w:val="21"/>
          <w:szCs w:val="21"/>
          <w:highlight w:val="none"/>
          <w:lang w:val="en-US" w:eastAsia="zh-CN"/>
        </w:rPr>
        <w:t>满分30</w:t>
      </w:r>
      <w:r>
        <w:rPr>
          <w:rFonts w:hint="eastAsia" w:ascii="宋体" w:hAnsi="宋体" w:eastAsia="宋体" w:cs="宋体"/>
          <w:b/>
          <w:color w:val="auto"/>
          <w:sz w:val="21"/>
          <w:szCs w:val="21"/>
          <w:highlight w:val="none"/>
        </w:rPr>
        <w:t>分</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（1）本项目为专门面向中小微企业采购的项目（供应商应为中小微企业、监狱企业、残疾人福利性单位)，不再执行价格评审优惠的扶持政策。即评标价=最终报价。</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按照《关于政府采购支持监狱企业发展有关问题的通知》（财库〔2014〕68号）认定为监狱企业的，在政府采购活动中，监狱企业视同小型、微型企业。监狱企业参加政府采购活动时，应当提供由省级以上监狱管理局、戒毒管理局（含新疆生产建设兵团）出具的属于监狱企业的证明文件。</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符合《关于促进残疾人就业政府采购政策的通知》(财库〔2017〕141号)规定条件，认定为残疾人福利性单位的，在政府采购活动中，残疾人福利性单位视同小型、微型企业。残疾人福利性单位参加政府采购活动时，应当提供该通知规定的《残疾人福利性单位声明函》，并对声明的真实性负责。</w:t>
      </w:r>
      <w:r>
        <w:rPr>
          <w:rFonts w:hint="eastAsia" w:ascii="宋体" w:hAnsi="宋体" w:eastAsia="宋体" w:cs="宋体"/>
          <w:b w:val="0"/>
          <w:bCs/>
          <w:color w:val="auto"/>
          <w:sz w:val="21"/>
          <w:szCs w:val="21"/>
          <w:highlight w:val="none"/>
          <w:lang w:eastAsia="zh-CN"/>
        </w:rPr>
        <w:t>成交</w:t>
      </w:r>
      <w:r>
        <w:rPr>
          <w:rFonts w:hint="eastAsia" w:ascii="宋体" w:hAnsi="宋体" w:eastAsia="宋体" w:cs="宋体"/>
          <w:b w:val="0"/>
          <w:bCs/>
          <w:color w:val="auto"/>
          <w:sz w:val="21"/>
          <w:szCs w:val="21"/>
          <w:highlight w:val="none"/>
        </w:rPr>
        <w:t>人为残疾人福利性单位的，随</w:t>
      </w:r>
      <w:r>
        <w:rPr>
          <w:rFonts w:hint="eastAsia" w:ascii="宋体" w:hAnsi="宋体" w:eastAsia="宋体" w:cs="宋体"/>
          <w:b w:val="0"/>
          <w:bCs/>
          <w:color w:val="auto"/>
          <w:sz w:val="21"/>
          <w:szCs w:val="21"/>
          <w:highlight w:val="none"/>
          <w:lang w:eastAsia="zh-CN"/>
        </w:rPr>
        <w:t>成交</w:t>
      </w:r>
      <w:r>
        <w:rPr>
          <w:rFonts w:hint="eastAsia" w:ascii="宋体" w:hAnsi="宋体" w:eastAsia="宋体" w:cs="宋体"/>
          <w:b w:val="0"/>
          <w:bCs/>
          <w:color w:val="auto"/>
          <w:sz w:val="21"/>
          <w:szCs w:val="21"/>
          <w:highlight w:val="none"/>
        </w:rPr>
        <w:t>结果公告其《残疾人福利性单位声明函》，接受社会监督。</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（2）以进入评审的最低的评标价为</w:t>
      </w:r>
      <w:r>
        <w:rPr>
          <w:rFonts w:hint="eastAsia" w:ascii="宋体" w:hAnsi="宋体" w:eastAsia="宋体" w:cs="宋体"/>
          <w:b w:val="0"/>
          <w:bCs/>
          <w:color w:val="auto"/>
          <w:sz w:val="21"/>
          <w:szCs w:val="21"/>
          <w:highlight w:val="none"/>
          <w:lang w:val="en-US" w:eastAsia="zh-CN"/>
        </w:rPr>
        <w:t>30</w:t>
      </w:r>
      <w:r>
        <w:rPr>
          <w:rFonts w:hint="eastAsia" w:ascii="宋体" w:hAnsi="宋体" w:eastAsia="宋体" w:cs="宋体"/>
          <w:b w:val="0"/>
          <w:bCs/>
          <w:color w:val="auto"/>
          <w:sz w:val="21"/>
          <w:szCs w:val="21"/>
          <w:highlight w:val="none"/>
        </w:rPr>
        <w:t>分。</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（3）某供应商价格分 = 供应商最低评</w:t>
      </w:r>
      <w:r>
        <w:rPr>
          <w:rFonts w:hint="eastAsia" w:ascii="宋体" w:hAnsi="宋体" w:eastAsia="宋体" w:cs="宋体"/>
          <w:b w:val="0"/>
          <w:bCs/>
          <w:color w:val="auto"/>
          <w:sz w:val="21"/>
          <w:szCs w:val="21"/>
          <w:highlight w:val="none"/>
          <w:lang w:eastAsia="zh-CN"/>
        </w:rPr>
        <w:t>审</w:t>
      </w:r>
      <w:r>
        <w:rPr>
          <w:rFonts w:hint="eastAsia" w:ascii="宋体" w:hAnsi="宋体" w:eastAsia="宋体" w:cs="宋体"/>
          <w:b w:val="0"/>
          <w:bCs/>
          <w:color w:val="auto"/>
          <w:sz w:val="21"/>
          <w:szCs w:val="21"/>
          <w:highlight w:val="none"/>
        </w:rPr>
        <w:t>报价（金额）/某供应商评</w:t>
      </w:r>
      <w:r>
        <w:rPr>
          <w:rFonts w:hint="eastAsia" w:ascii="宋体" w:hAnsi="宋体" w:eastAsia="宋体" w:cs="宋体"/>
          <w:b w:val="0"/>
          <w:bCs/>
          <w:color w:val="auto"/>
          <w:sz w:val="21"/>
          <w:szCs w:val="21"/>
          <w:highlight w:val="none"/>
          <w:lang w:eastAsia="zh-CN"/>
        </w:rPr>
        <w:t>审</w:t>
      </w:r>
      <w:r>
        <w:rPr>
          <w:rFonts w:hint="eastAsia" w:ascii="宋体" w:hAnsi="宋体" w:eastAsia="宋体" w:cs="宋体"/>
          <w:b w:val="0"/>
          <w:bCs/>
          <w:color w:val="auto"/>
          <w:sz w:val="21"/>
          <w:szCs w:val="21"/>
          <w:highlight w:val="none"/>
        </w:rPr>
        <w:t>报价（金额）×</w:t>
      </w:r>
      <w:r>
        <w:rPr>
          <w:rFonts w:hint="eastAsia" w:ascii="宋体" w:hAnsi="宋体" w:eastAsia="宋体" w:cs="宋体"/>
          <w:b w:val="0"/>
          <w:bCs/>
          <w:color w:val="auto"/>
          <w:sz w:val="21"/>
          <w:szCs w:val="21"/>
          <w:highlight w:val="none"/>
          <w:lang w:val="en-US" w:eastAsia="zh-CN"/>
        </w:rPr>
        <w:t>30</w:t>
      </w:r>
      <w:r>
        <w:rPr>
          <w:rFonts w:hint="eastAsia" w:ascii="宋体" w:hAnsi="宋体" w:eastAsia="宋体" w:cs="宋体"/>
          <w:b w:val="0"/>
          <w:bCs/>
          <w:color w:val="auto"/>
          <w:sz w:val="21"/>
          <w:szCs w:val="21"/>
          <w:highlight w:val="none"/>
        </w:rPr>
        <w:t>分。</w:t>
      </w:r>
    </w:p>
    <w:p>
      <w:pPr>
        <w:keepNext w:val="0"/>
        <w:keepLines w:val="0"/>
        <w:pageBreakBefore w:val="0"/>
        <w:widowControl w:val="0"/>
        <w:kinsoku/>
        <w:wordWrap/>
        <w:overflowPunct/>
        <w:topLinePunct w:val="0"/>
        <w:autoSpaceDE/>
        <w:autoSpaceDN/>
        <w:bidi w:val="0"/>
        <w:adjustRightInd/>
        <w:snapToGrid/>
        <w:spacing w:line="400" w:lineRule="exact"/>
        <w:ind w:left="0" w:leftChars="0"/>
        <w:textAlignment w:val="auto"/>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lang w:val="en-US" w:eastAsia="zh-CN"/>
        </w:rPr>
        <w:t>2.技术分</w:t>
      </w:r>
      <w:r>
        <w:rPr>
          <w:rFonts w:hint="eastAsia" w:ascii="宋体" w:hAnsi="宋体" w:eastAsia="宋体" w:cs="宋体"/>
          <w:b/>
          <w:bCs w:val="0"/>
          <w:color w:val="auto"/>
          <w:sz w:val="21"/>
          <w:szCs w:val="21"/>
          <w:highlight w:val="none"/>
        </w:rPr>
        <w:t>…………………………………………………………………………………………</w:t>
      </w:r>
      <w:r>
        <w:rPr>
          <w:rFonts w:hint="eastAsia" w:ascii="宋体" w:hAnsi="宋体" w:eastAsia="宋体" w:cs="宋体"/>
          <w:b/>
          <w:bCs w:val="0"/>
          <w:color w:val="auto"/>
          <w:sz w:val="21"/>
          <w:szCs w:val="21"/>
          <w:highlight w:val="none"/>
          <w:lang w:val="en-US" w:eastAsia="zh-CN"/>
        </w:rPr>
        <w:t>满分</w:t>
      </w:r>
      <w:r>
        <w:rPr>
          <w:rFonts w:hint="eastAsia" w:ascii="宋体" w:hAnsi="宋体" w:cs="宋体"/>
          <w:b/>
          <w:bCs w:val="0"/>
          <w:color w:val="auto"/>
          <w:sz w:val="21"/>
          <w:szCs w:val="21"/>
          <w:highlight w:val="none"/>
          <w:lang w:val="en-US" w:eastAsia="zh-CN"/>
        </w:rPr>
        <w:t>60</w:t>
      </w:r>
      <w:r>
        <w:rPr>
          <w:rFonts w:hint="eastAsia" w:ascii="宋体" w:hAnsi="宋体" w:eastAsia="宋体" w:cs="宋体"/>
          <w:b/>
          <w:bCs w:val="0"/>
          <w:color w:val="auto"/>
          <w:sz w:val="21"/>
          <w:szCs w:val="21"/>
          <w:highlight w:val="none"/>
        </w:rPr>
        <w:t>分</w:t>
      </w:r>
    </w:p>
    <w:p>
      <w:pPr>
        <w:pStyle w:val="11"/>
        <w:keepNext w:val="0"/>
        <w:keepLines w:val="0"/>
        <w:pageBreakBefore w:val="0"/>
        <w:widowControl w:val="0"/>
        <w:tabs>
          <w:tab w:val="left" w:leader="middleDot" w:pos="8820"/>
        </w:tabs>
        <w:kinsoku/>
        <w:wordWrap/>
        <w:overflowPunct/>
        <w:topLinePunct w:val="0"/>
        <w:autoSpaceDE/>
        <w:autoSpaceDN/>
        <w:bidi w:val="0"/>
        <w:adjustRightInd/>
        <w:snapToGrid/>
        <w:spacing w:line="400" w:lineRule="exact"/>
        <w:textAlignment w:val="auto"/>
        <w:rPr>
          <w:rFonts w:hint="eastAsia" w:ascii="宋体" w:hAnsi="宋体" w:eastAsia="宋体" w:cs="宋体"/>
          <w:b/>
          <w:bCs w:val="0"/>
          <w:color w:val="auto"/>
          <w:sz w:val="21"/>
          <w:szCs w:val="21"/>
          <w:highlight w:val="none"/>
          <w:lang w:eastAsia="zh-CN"/>
        </w:rPr>
      </w:pPr>
      <w:r>
        <w:rPr>
          <w:rFonts w:hint="eastAsia" w:ascii="宋体" w:hAnsi="宋体" w:eastAsia="宋体" w:cs="宋体"/>
          <w:b/>
          <w:bCs w:val="0"/>
          <w:color w:val="auto"/>
          <w:sz w:val="21"/>
          <w:szCs w:val="21"/>
          <w:highlight w:val="none"/>
          <w:lang w:eastAsia="zh-CN"/>
        </w:rPr>
        <w:t>（</w:t>
      </w:r>
      <w:r>
        <w:rPr>
          <w:rFonts w:hint="eastAsia" w:ascii="宋体" w:hAnsi="宋体" w:eastAsia="宋体" w:cs="宋体"/>
          <w:b/>
          <w:bCs w:val="0"/>
          <w:color w:val="auto"/>
          <w:sz w:val="21"/>
          <w:szCs w:val="21"/>
          <w:highlight w:val="none"/>
        </w:rPr>
        <w:t>1）总体概述</w:t>
      </w:r>
      <w:r>
        <w:rPr>
          <w:rFonts w:hint="eastAsia" w:ascii="宋体" w:hAnsi="宋体" w:eastAsia="宋体" w:cs="宋体"/>
          <w:b/>
          <w:bCs w:val="0"/>
          <w:color w:val="auto"/>
          <w:sz w:val="21"/>
          <w:szCs w:val="21"/>
          <w:highlight w:val="none"/>
          <w:lang w:eastAsia="zh-CN"/>
        </w:rPr>
        <w:t>（</w:t>
      </w:r>
      <w:r>
        <w:rPr>
          <w:rFonts w:hint="eastAsia" w:hAnsi="宋体" w:cs="宋体"/>
          <w:b/>
          <w:bCs w:val="0"/>
          <w:color w:val="auto"/>
          <w:sz w:val="21"/>
          <w:szCs w:val="21"/>
          <w:highlight w:val="none"/>
          <w:lang w:val="en-US" w:eastAsia="zh-CN"/>
        </w:rPr>
        <w:t>10</w:t>
      </w:r>
      <w:r>
        <w:rPr>
          <w:rFonts w:hint="eastAsia" w:ascii="宋体" w:hAnsi="宋体" w:eastAsia="宋体" w:cs="宋体"/>
          <w:b/>
          <w:bCs w:val="0"/>
          <w:color w:val="auto"/>
          <w:sz w:val="21"/>
          <w:szCs w:val="21"/>
          <w:highlight w:val="none"/>
        </w:rPr>
        <w:t>分</w:t>
      </w:r>
      <w:r>
        <w:rPr>
          <w:rFonts w:hint="eastAsia" w:ascii="宋体" w:hAnsi="宋体" w:eastAsia="宋体" w:cs="宋体"/>
          <w:b/>
          <w:bCs w:val="0"/>
          <w:color w:val="auto"/>
          <w:sz w:val="21"/>
          <w:szCs w:val="21"/>
          <w:highlight w:val="none"/>
          <w:lang w:eastAsia="zh-CN"/>
        </w:rPr>
        <w:t>）</w:t>
      </w:r>
    </w:p>
    <w:p>
      <w:pPr>
        <w:pStyle w:val="11"/>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b w:val="0"/>
          <w:bCs/>
          <w:color w:val="auto"/>
          <w:kern w:val="0"/>
          <w:sz w:val="21"/>
          <w:szCs w:val="21"/>
          <w:highlight w:val="none"/>
          <w:lang w:eastAsia="zh-CN"/>
        </w:rPr>
      </w:pPr>
      <w:r>
        <w:rPr>
          <w:rFonts w:hint="eastAsia" w:ascii="宋体" w:hAnsi="宋体" w:eastAsia="宋体" w:cs="宋体"/>
          <w:b w:val="0"/>
          <w:bCs/>
          <w:color w:val="auto"/>
          <w:kern w:val="0"/>
          <w:sz w:val="21"/>
          <w:szCs w:val="21"/>
          <w:highlight w:val="none"/>
        </w:rPr>
        <w:t>优</w:t>
      </w:r>
      <w:r>
        <w:rPr>
          <w:rFonts w:hint="eastAsia" w:ascii="宋体" w:hAnsi="宋体" w:eastAsia="宋体" w:cs="宋体"/>
          <w:b w:val="0"/>
          <w:bCs/>
          <w:color w:val="auto"/>
          <w:kern w:val="0"/>
          <w:sz w:val="21"/>
          <w:szCs w:val="21"/>
          <w:highlight w:val="none"/>
          <w:lang w:eastAsia="zh-CN"/>
        </w:rPr>
        <w:t>（</w:t>
      </w:r>
      <w:r>
        <w:rPr>
          <w:rFonts w:hint="eastAsia" w:hAnsi="宋体" w:cs="宋体"/>
          <w:b w:val="0"/>
          <w:bCs/>
          <w:color w:val="auto"/>
          <w:kern w:val="0"/>
          <w:sz w:val="21"/>
          <w:szCs w:val="21"/>
          <w:highlight w:val="none"/>
          <w:lang w:val="en-US" w:eastAsia="zh-CN"/>
        </w:rPr>
        <w:t>10</w:t>
      </w:r>
      <w:r>
        <w:rPr>
          <w:rFonts w:hint="eastAsia" w:ascii="宋体" w:hAnsi="宋体" w:eastAsia="宋体" w:cs="宋体"/>
          <w:b w:val="0"/>
          <w:bCs/>
          <w:color w:val="auto"/>
          <w:kern w:val="0"/>
          <w:sz w:val="21"/>
          <w:szCs w:val="21"/>
          <w:highlight w:val="none"/>
          <w:lang w:val="en-US" w:eastAsia="zh-CN"/>
        </w:rPr>
        <w:t>分</w:t>
      </w:r>
      <w:r>
        <w:rPr>
          <w:rFonts w:hint="eastAsia" w:ascii="宋体" w:hAnsi="宋体" w:eastAsia="宋体" w:cs="宋体"/>
          <w:b w:val="0"/>
          <w:bCs/>
          <w:color w:val="auto"/>
          <w:kern w:val="0"/>
          <w:sz w:val="21"/>
          <w:szCs w:val="21"/>
          <w:highlight w:val="none"/>
          <w:lang w:eastAsia="zh-CN"/>
        </w:rPr>
        <w:t>）</w:t>
      </w:r>
      <w:r>
        <w:rPr>
          <w:rFonts w:hint="eastAsia" w:ascii="宋体" w:hAnsi="宋体" w:eastAsia="宋体" w:cs="宋体"/>
          <w:b w:val="0"/>
          <w:bCs/>
          <w:color w:val="auto"/>
          <w:kern w:val="0"/>
          <w:sz w:val="21"/>
          <w:szCs w:val="21"/>
          <w:highlight w:val="none"/>
        </w:rPr>
        <w:t>：对项目总体有深刻认识，表达清晰、完整、严谨、合理，措施先进、具体、有效、成熟；施工段划分清晰、合理，符合规范要求</w:t>
      </w:r>
      <w:r>
        <w:rPr>
          <w:rFonts w:hint="eastAsia" w:ascii="宋体" w:hAnsi="宋体" w:eastAsia="宋体" w:cs="宋体"/>
          <w:b w:val="0"/>
          <w:bCs/>
          <w:color w:val="auto"/>
          <w:kern w:val="0"/>
          <w:sz w:val="21"/>
          <w:szCs w:val="21"/>
          <w:highlight w:val="none"/>
          <w:lang w:eastAsia="zh-CN"/>
        </w:rPr>
        <w:t>；</w:t>
      </w:r>
    </w:p>
    <w:p>
      <w:pPr>
        <w:pStyle w:val="11"/>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b w:val="0"/>
          <w:bCs/>
          <w:color w:val="auto"/>
          <w:kern w:val="0"/>
          <w:sz w:val="21"/>
          <w:szCs w:val="21"/>
          <w:highlight w:val="none"/>
          <w:lang w:eastAsia="zh-CN"/>
        </w:rPr>
      </w:pPr>
      <w:r>
        <w:rPr>
          <w:rFonts w:hint="eastAsia" w:ascii="宋体" w:hAnsi="宋体" w:eastAsia="宋体" w:cs="宋体"/>
          <w:b w:val="0"/>
          <w:bCs/>
          <w:color w:val="auto"/>
          <w:kern w:val="0"/>
          <w:sz w:val="21"/>
          <w:szCs w:val="21"/>
          <w:highlight w:val="none"/>
        </w:rPr>
        <w:t>良</w:t>
      </w:r>
      <w:r>
        <w:rPr>
          <w:rFonts w:hint="eastAsia" w:ascii="宋体" w:hAnsi="宋体" w:eastAsia="宋体" w:cs="宋体"/>
          <w:b w:val="0"/>
          <w:bCs/>
          <w:color w:val="auto"/>
          <w:kern w:val="0"/>
          <w:sz w:val="21"/>
          <w:szCs w:val="21"/>
          <w:highlight w:val="none"/>
          <w:lang w:eastAsia="zh-CN"/>
        </w:rPr>
        <w:t>（</w:t>
      </w:r>
      <w:r>
        <w:rPr>
          <w:rFonts w:hint="eastAsia" w:hAnsi="宋体" w:cs="宋体"/>
          <w:b w:val="0"/>
          <w:bCs/>
          <w:color w:val="auto"/>
          <w:kern w:val="0"/>
          <w:sz w:val="21"/>
          <w:szCs w:val="21"/>
          <w:highlight w:val="none"/>
          <w:lang w:val="en-US" w:eastAsia="zh-CN"/>
        </w:rPr>
        <w:t>9</w:t>
      </w:r>
      <w:r>
        <w:rPr>
          <w:rFonts w:hint="eastAsia" w:ascii="宋体" w:hAnsi="宋体" w:eastAsia="宋体" w:cs="宋体"/>
          <w:b w:val="0"/>
          <w:bCs/>
          <w:color w:val="auto"/>
          <w:kern w:val="0"/>
          <w:sz w:val="21"/>
          <w:szCs w:val="21"/>
          <w:highlight w:val="none"/>
          <w:lang w:val="en-US" w:eastAsia="zh-CN"/>
        </w:rPr>
        <w:t>分</w:t>
      </w:r>
      <w:r>
        <w:rPr>
          <w:rFonts w:hint="eastAsia" w:ascii="宋体" w:hAnsi="宋体" w:eastAsia="宋体" w:cs="宋体"/>
          <w:b w:val="0"/>
          <w:bCs/>
          <w:color w:val="auto"/>
          <w:kern w:val="0"/>
          <w:sz w:val="21"/>
          <w:szCs w:val="21"/>
          <w:highlight w:val="none"/>
          <w:lang w:eastAsia="zh-CN"/>
        </w:rPr>
        <w:t>）</w:t>
      </w:r>
      <w:r>
        <w:rPr>
          <w:rFonts w:hint="eastAsia" w:ascii="宋体" w:hAnsi="宋体" w:eastAsia="宋体" w:cs="宋体"/>
          <w:b w:val="0"/>
          <w:bCs/>
          <w:color w:val="auto"/>
          <w:kern w:val="0"/>
          <w:sz w:val="21"/>
          <w:szCs w:val="21"/>
          <w:highlight w:val="none"/>
        </w:rPr>
        <w:t>：对项目总体有一定认识，表达清晰、完整，措施具体有效；施工段划分清晰，符合规范要求</w:t>
      </w:r>
      <w:r>
        <w:rPr>
          <w:rFonts w:hint="eastAsia" w:ascii="宋体" w:hAnsi="宋体" w:eastAsia="宋体" w:cs="宋体"/>
          <w:b w:val="0"/>
          <w:bCs/>
          <w:color w:val="auto"/>
          <w:kern w:val="0"/>
          <w:sz w:val="21"/>
          <w:szCs w:val="21"/>
          <w:highlight w:val="none"/>
          <w:lang w:eastAsia="zh-CN"/>
        </w:rPr>
        <w:t>；</w:t>
      </w:r>
    </w:p>
    <w:p>
      <w:pPr>
        <w:pStyle w:val="11"/>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b w:val="0"/>
          <w:bCs/>
          <w:color w:val="auto"/>
          <w:kern w:val="0"/>
          <w:sz w:val="21"/>
          <w:szCs w:val="21"/>
          <w:highlight w:val="none"/>
          <w:lang w:eastAsia="zh-CN"/>
        </w:rPr>
      </w:pPr>
      <w:r>
        <w:rPr>
          <w:rFonts w:hint="eastAsia" w:ascii="宋体" w:hAnsi="宋体" w:eastAsia="宋体" w:cs="宋体"/>
          <w:b w:val="0"/>
          <w:bCs/>
          <w:color w:val="auto"/>
          <w:kern w:val="0"/>
          <w:sz w:val="21"/>
          <w:szCs w:val="21"/>
          <w:highlight w:val="none"/>
        </w:rPr>
        <w:t>中</w:t>
      </w:r>
      <w:r>
        <w:rPr>
          <w:rFonts w:hint="eastAsia" w:ascii="宋体" w:hAnsi="宋体" w:eastAsia="宋体" w:cs="宋体"/>
          <w:b w:val="0"/>
          <w:bCs/>
          <w:color w:val="auto"/>
          <w:kern w:val="0"/>
          <w:sz w:val="21"/>
          <w:szCs w:val="21"/>
          <w:highlight w:val="none"/>
          <w:lang w:eastAsia="zh-CN"/>
        </w:rPr>
        <w:t>（</w:t>
      </w:r>
      <w:r>
        <w:rPr>
          <w:rFonts w:hint="eastAsia" w:hAnsi="宋体" w:cs="宋体"/>
          <w:b w:val="0"/>
          <w:bCs/>
          <w:color w:val="auto"/>
          <w:kern w:val="0"/>
          <w:sz w:val="21"/>
          <w:szCs w:val="21"/>
          <w:highlight w:val="none"/>
          <w:lang w:val="en-US" w:eastAsia="zh-CN"/>
        </w:rPr>
        <w:t>3</w:t>
      </w:r>
      <w:r>
        <w:rPr>
          <w:rFonts w:hint="eastAsia" w:ascii="宋体" w:hAnsi="宋体" w:eastAsia="宋体" w:cs="宋体"/>
          <w:b w:val="0"/>
          <w:bCs/>
          <w:color w:val="auto"/>
          <w:kern w:val="0"/>
          <w:sz w:val="21"/>
          <w:szCs w:val="21"/>
          <w:highlight w:val="none"/>
          <w:lang w:val="en-US" w:eastAsia="zh-CN"/>
        </w:rPr>
        <w:t>分</w:t>
      </w:r>
      <w:r>
        <w:rPr>
          <w:rFonts w:hint="eastAsia" w:ascii="宋体" w:hAnsi="宋体" w:eastAsia="宋体" w:cs="宋体"/>
          <w:b w:val="0"/>
          <w:bCs/>
          <w:color w:val="auto"/>
          <w:kern w:val="0"/>
          <w:sz w:val="21"/>
          <w:szCs w:val="21"/>
          <w:highlight w:val="none"/>
          <w:lang w:eastAsia="zh-CN"/>
        </w:rPr>
        <w:t>）</w:t>
      </w:r>
      <w:r>
        <w:rPr>
          <w:rFonts w:hint="eastAsia" w:ascii="宋体" w:hAnsi="宋体" w:eastAsia="宋体" w:cs="宋体"/>
          <w:b w:val="0"/>
          <w:bCs/>
          <w:color w:val="auto"/>
          <w:kern w:val="0"/>
          <w:sz w:val="21"/>
          <w:szCs w:val="21"/>
          <w:highlight w:val="none"/>
        </w:rPr>
        <w:t>：对项目总体有认识，有一定的措施但部分不具体；施工段划分较合理，符合规范要求</w:t>
      </w:r>
      <w:r>
        <w:rPr>
          <w:rFonts w:hint="eastAsia" w:ascii="宋体" w:hAnsi="宋体" w:eastAsia="宋体" w:cs="宋体"/>
          <w:b w:val="0"/>
          <w:bCs/>
          <w:color w:val="auto"/>
          <w:kern w:val="0"/>
          <w:sz w:val="21"/>
          <w:szCs w:val="21"/>
          <w:highlight w:val="none"/>
          <w:lang w:eastAsia="zh-CN"/>
        </w:rPr>
        <w:t>；</w:t>
      </w:r>
    </w:p>
    <w:p>
      <w:pPr>
        <w:pStyle w:val="11"/>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差</w:t>
      </w:r>
      <w:r>
        <w:rPr>
          <w:rFonts w:hint="eastAsia" w:ascii="宋体" w:hAnsi="宋体" w:eastAsia="宋体" w:cs="宋体"/>
          <w:b w:val="0"/>
          <w:bCs/>
          <w:color w:val="auto"/>
          <w:kern w:val="0"/>
          <w:sz w:val="21"/>
          <w:szCs w:val="21"/>
          <w:highlight w:val="none"/>
          <w:lang w:eastAsia="zh-CN"/>
        </w:rPr>
        <w:t>（</w:t>
      </w:r>
      <w:r>
        <w:rPr>
          <w:rFonts w:hint="eastAsia" w:hAnsi="宋体" w:cs="宋体"/>
          <w:b w:val="0"/>
          <w:bCs/>
          <w:color w:val="auto"/>
          <w:kern w:val="0"/>
          <w:sz w:val="21"/>
          <w:szCs w:val="21"/>
          <w:highlight w:val="none"/>
          <w:lang w:val="en-US" w:eastAsia="zh-CN"/>
        </w:rPr>
        <w:t>1</w:t>
      </w:r>
      <w:r>
        <w:rPr>
          <w:rFonts w:hint="eastAsia" w:ascii="宋体" w:hAnsi="宋体" w:eastAsia="宋体" w:cs="宋体"/>
          <w:b w:val="0"/>
          <w:bCs/>
          <w:color w:val="auto"/>
          <w:kern w:val="0"/>
          <w:sz w:val="21"/>
          <w:szCs w:val="21"/>
          <w:highlight w:val="none"/>
          <w:lang w:val="en-US" w:eastAsia="zh-CN"/>
        </w:rPr>
        <w:t>分</w:t>
      </w:r>
      <w:r>
        <w:rPr>
          <w:rFonts w:hint="eastAsia" w:ascii="宋体" w:hAnsi="宋体" w:eastAsia="宋体" w:cs="宋体"/>
          <w:b w:val="0"/>
          <w:bCs/>
          <w:color w:val="auto"/>
          <w:kern w:val="0"/>
          <w:sz w:val="21"/>
          <w:szCs w:val="21"/>
          <w:highlight w:val="none"/>
          <w:lang w:eastAsia="zh-CN"/>
        </w:rPr>
        <w:t>）</w:t>
      </w:r>
      <w:r>
        <w:rPr>
          <w:rFonts w:hint="eastAsia" w:ascii="宋体" w:hAnsi="宋体" w:eastAsia="宋体" w:cs="宋体"/>
          <w:b w:val="0"/>
          <w:bCs/>
          <w:color w:val="auto"/>
          <w:kern w:val="0"/>
          <w:sz w:val="21"/>
          <w:szCs w:val="21"/>
          <w:highlight w:val="none"/>
        </w:rPr>
        <w:t>：对项目认识不足，表达不清晰，措施不具体；施工段划分不合理。</w:t>
      </w:r>
    </w:p>
    <w:p>
      <w:pPr>
        <w:pStyle w:val="11"/>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（2）主要施工方法</w:t>
      </w:r>
      <w:r>
        <w:rPr>
          <w:rFonts w:hint="eastAsia" w:ascii="宋体" w:hAnsi="宋体" w:eastAsia="宋体" w:cs="宋体"/>
          <w:b/>
          <w:bCs w:val="0"/>
          <w:color w:val="auto"/>
          <w:sz w:val="21"/>
          <w:szCs w:val="21"/>
          <w:highlight w:val="none"/>
          <w:lang w:eastAsia="zh-CN"/>
        </w:rPr>
        <w:t>（</w:t>
      </w:r>
      <w:r>
        <w:rPr>
          <w:rFonts w:hint="eastAsia" w:hAnsi="宋体" w:cs="宋体"/>
          <w:b/>
          <w:bCs w:val="0"/>
          <w:color w:val="auto"/>
          <w:sz w:val="21"/>
          <w:szCs w:val="21"/>
          <w:highlight w:val="none"/>
          <w:lang w:val="en-US" w:eastAsia="zh-CN"/>
        </w:rPr>
        <w:t>12</w:t>
      </w:r>
      <w:r>
        <w:rPr>
          <w:rFonts w:hint="eastAsia" w:ascii="宋体" w:hAnsi="宋体" w:eastAsia="宋体" w:cs="宋体"/>
          <w:b/>
          <w:bCs w:val="0"/>
          <w:color w:val="auto"/>
          <w:sz w:val="21"/>
          <w:szCs w:val="21"/>
          <w:highlight w:val="none"/>
        </w:rPr>
        <w:t>分</w:t>
      </w:r>
      <w:r>
        <w:rPr>
          <w:rFonts w:hint="eastAsia" w:ascii="宋体" w:hAnsi="宋体" w:eastAsia="宋体" w:cs="宋体"/>
          <w:b/>
          <w:bCs w:val="0"/>
          <w:color w:val="auto"/>
          <w:sz w:val="21"/>
          <w:szCs w:val="21"/>
          <w:highlight w:val="none"/>
          <w:lang w:eastAsia="zh-CN"/>
        </w:rPr>
        <w:t>）</w:t>
      </w:r>
    </w:p>
    <w:p>
      <w:pPr>
        <w:pStyle w:val="11"/>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优</w:t>
      </w:r>
      <w:r>
        <w:rPr>
          <w:rFonts w:hint="eastAsia" w:ascii="宋体" w:hAnsi="宋体" w:eastAsia="宋体" w:cs="宋体"/>
          <w:b w:val="0"/>
          <w:bCs/>
          <w:color w:val="auto"/>
          <w:sz w:val="21"/>
          <w:szCs w:val="21"/>
          <w:highlight w:val="none"/>
          <w:lang w:eastAsia="zh-CN"/>
        </w:rPr>
        <w:t>（</w:t>
      </w:r>
      <w:r>
        <w:rPr>
          <w:rFonts w:hint="eastAsia" w:hAnsi="宋体" w:cs="宋体"/>
          <w:b w:val="0"/>
          <w:bCs/>
          <w:color w:val="auto"/>
          <w:sz w:val="21"/>
          <w:szCs w:val="21"/>
          <w:highlight w:val="none"/>
          <w:lang w:val="en-US" w:eastAsia="zh-CN"/>
        </w:rPr>
        <w:t>12</w:t>
      </w:r>
      <w:r>
        <w:rPr>
          <w:rFonts w:hint="eastAsia" w:ascii="宋体" w:hAnsi="宋体" w:eastAsia="宋体" w:cs="宋体"/>
          <w:b w:val="0"/>
          <w:bCs w:val="0"/>
          <w:color w:val="auto"/>
          <w:kern w:val="0"/>
          <w:sz w:val="21"/>
          <w:szCs w:val="21"/>
          <w:highlight w:val="none"/>
          <w:lang w:val="en-US" w:eastAsia="zh-CN"/>
        </w:rPr>
        <w:t>分</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：各主要分部施工方法符合项目实际，有详尽的施工技术方案，工艺先进、方法科学合理、可行，能指导具体施工并确保安全；</w:t>
      </w:r>
    </w:p>
    <w:p>
      <w:pPr>
        <w:pStyle w:val="11"/>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良</w:t>
      </w:r>
      <w:r>
        <w:rPr>
          <w:rFonts w:hint="eastAsia" w:ascii="宋体" w:hAnsi="宋体" w:eastAsia="宋体" w:cs="宋体"/>
          <w:b w:val="0"/>
          <w:bCs/>
          <w:color w:val="auto"/>
          <w:sz w:val="21"/>
          <w:szCs w:val="21"/>
          <w:highlight w:val="none"/>
          <w:lang w:eastAsia="zh-CN"/>
        </w:rPr>
        <w:t>（</w:t>
      </w:r>
      <w:r>
        <w:rPr>
          <w:rFonts w:hint="eastAsia" w:hAnsi="宋体" w:cs="宋体"/>
          <w:b w:val="0"/>
          <w:bCs/>
          <w:color w:val="auto"/>
          <w:sz w:val="21"/>
          <w:szCs w:val="21"/>
          <w:highlight w:val="none"/>
          <w:lang w:val="en-US" w:eastAsia="zh-CN"/>
        </w:rPr>
        <w:t>8</w:t>
      </w:r>
      <w:r>
        <w:rPr>
          <w:rFonts w:hint="eastAsia" w:ascii="宋体" w:hAnsi="宋体" w:eastAsia="宋体" w:cs="宋体"/>
          <w:b w:val="0"/>
          <w:bCs w:val="0"/>
          <w:color w:val="auto"/>
          <w:kern w:val="0"/>
          <w:sz w:val="21"/>
          <w:szCs w:val="21"/>
          <w:highlight w:val="none"/>
          <w:lang w:val="en-US" w:eastAsia="zh-CN"/>
        </w:rPr>
        <w:t>分</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：各主要分部施工方法符合项目实际，有较详尽的施工技术方案，工艺较好、方法科学合理、可行，能指导具体施工并确保安全；</w:t>
      </w:r>
    </w:p>
    <w:p>
      <w:pPr>
        <w:pStyle w:val="11"/>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中</w:t>
      </w:r>
      <w:r>
        <w:rPr>
          <w:rFonts w:hint="eastAsia" w:ascii="宋体" w:hAnsi="宋体" w:eastAsia="宋体" w:cs="宋体"/>
          <w:b w:val="0"/>
          <w:bCs/>
          <w:color w:val="auto"/>
          <w:sz w:val="21"/>
          <w:szCs w:val="21"/>
          <w:highlight w:val="none"/>
          <w:lang w:eastAsia="zh-CN"/>
        </w:rPr>
        <w:t>（</w:t>
      </w:r>
      <w:r>
        <w:rPr>
          <w:rFonts w:hint="eastAsia" w:hAnsi="宋体" w:cs="宋体"/>
          <w:b w:val="0"/>
          <w:bCs/>
          <w:color w:val="auto"/>
          <w:sz w:val="21"/>
          <w:szCs w:val="21"/>
          <w:highlight w:val="none"/>
          <w:lang w:val="en-US" w:eastAsia="zh-CN"/>
        </w:rPr>
        <w:t>5</w:t>
      </w:r>
      <w:r>
        <w:rPr>
          <w:rFonts w:hint="eastAsia" w:ascii="宋体" w:hAnsi="宋体" w:eastAsia="宋体" w:cs="宋体"/>
          <w:b w:val="0"/>
          <w:bCs w:val="0"/>
          <w:color w:val="auto"/>
          <w:kern w:val="0"/>
          <w:sz w:val="21"/>
          <w:szCs w:val="21"/>
          <w:highlight w:val="none"/>
          <w:lang w:val="en-US" w:eastAsia="zh-CN"/>
        </w:rPr>
        <w:t>分</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：各主要分部施工方法能满足项目需求，有施工技术方案，能指导具体施工并确保安全；</w:t>
      </w:r>
    </w:p>
    <w:p>
      <w:pPr>
        <w:pStyle w:val="11"/>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差</w:t>
      </w:r>
      <w:r>
        <w:rPr>
          <w:rFonts w:hint="eastAsia" w:ascii="宋体" w:hAnsi="宋体" w:eastAsia="宋体" w:cs="宋体"/>
          <w:b w:val="0"/>
          <w:bCs/>
          <w:color w:val="auto"/>
          <w:sz w:val="21"/>
          <w:szCs w:val="21"/>
          <w:highlight w:val="none"/>
          <w:lang w:eastAsia="zh-CN"/>
        </w:rPr>
        <w:t>（</w:t>
      </w:r>
      <w:r>
        <w:rPr>
          <w:rFonts w:hint="eastAsia" w:hAnsi="宋体" w:cs="宋体"/>
          <w:b w:val="0"/>
          <w:bCs/>
          <w:color w:val="auto"/>
          <w:sz w:val="21"/>
          <w:szCs w:val="21"/>
          <w:highlight w:val="none"/>
          <w:lang w:val="en-US" w:eastAsia="zh-CN"/>
        </w:rPr>
        <w:t>1</w:t>
      </w:r>
      <w:r>
        <w:rPr>
          <w:rFonts w:hint="eastAsia" w:ascii="宋体" w:hAnsi="宋体" w:eastAsia="宋体" w:cs="宋体"/>
          <w:b w:val="0"/>
          <w:bCs w:val="0"/>
          <w:color w:val="auto"/>
          <w:kern w:val="0"/>
          <w:sz w:val="21"/>
          <w:szCs w:val="21"/>
          <w:highlight w:val="none"/>
          <w:lang w:val="en-US" w:eastAsia="zh-CN"/>
        </w:rPr>
        <w:t>分</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：各主要分部施工方法不能满足项目需求，没有施工技术方案，不能指导具体施工并确保安全。</w:t>
      </w:r>
    </w:p>
    <w:p>
      <w:pPr>
        <w:pStyle w:val="11"/>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（3）施工进度计划和各阶段进度的保证措施</w:t>
      </w:r>
      <w:r>
        <w:rPr>
          <w:rFonts w:hint="eastAsia" w:ascii="宋体" w:hAnsi="宋体" w:eastAsia="宋体" w:cs="宋体"/>
          <w:b/>
          <w:bCs w:val="0"/>
          <w:color w:val="auto"/>
          <w:sz w:val="21"/>
          <w:szCs w:val="21"/>
          <w:highlight w:val="none"/>
          <w:lang w:eastAsia="zh-CN"/>
        </w:rPr>
        <w:t>（</w:t>
      </w:r>
      <w:r>
        <w:rPr>
          <w:rFonts w:hint="eastAsia" w:hAnsi="宋体" w:cs="宋体"/>
          <w:b/>
          <w:bCs w:val="0"/>
          <w:color w:val="auto"/>
          <w:sz w:val="21"/>
          <w:szCs w:val="21"/>
          <w:highlight w:val="none"/>
          <w:lang w:val="en-US" w:eastAsia="zh-CN"/>
        </w:rPr>
        <w:t>7</w:t>
      </w:r>
      <w:r>
        <w:rPr>
          <w:rFonts w:hint="eastAsia" w:ascii="宋体" w:hAnsi="宋体" w:eastAsia="宋体" w:cs="宋体"/>
          <w:b/>
          <w:bCs w:val="0"/>
          <w:color w:val="auto"/>
          <w:sz w:val="21"/>
          <w:szCs w:val="21"/>
          <w:highlight w:val="none"/>
        </w:rPr>
        <w:t>分</w:t>
      </w:r>
      <w:r>
        <w:rPr>
          <w:rFonts w:hint="eastAsia" w:ascii="宋体" w:hAnsi="宋体" w:eastAsia="宋体" w:cs="宋体"/>
          <w:b/>
          <w:bCs w:val="0"/>
          <w:color w:val="auto"/>
          <w:sz w:val="21"/>
          <w:szCs w:val="21"/>
          <w:highlight w:val="none"/>
          <w:lang w:eastAsia="zh-CN"/>
        </w:rPr>
        <w:t>）</w:t>
      </w:r>
    </w:p>
    <w:p>
      <w:pPr>
        <w:pStyle w:val="11"/>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优</w:t>
      </w:r>
      <w:r>
        <w:rPr>
          <w:rFonts w:hint="eastAsia" w:ascii="宋体" w:hAnsi="宋体" w:eastAsia="宋体" w:cs="宋体"/>
          <w:b w:val="0"/>
          <w:bCs/>
          <w:color w:val="auto"/>
          <w:sz w:val="21"/>
          <w:szCs w:val="21"/>
          <w:highlight w:val="none"/>
          <w:lang w:eastAsia="zh-CN"/>
        </w:rPr>
        <w:t>（</w:t>
      </w:r>
      <w:r>
        <w:rPr>
          <w:rFonts w:hint="eastAsia" w:hAnsi="宋体" w:cs="宋体"/>
          <w:b w:val="0"/>
          <w:bCs/>
          <w:color w:val="auto"/>
          <w:sz w:val="21"/>
          <w:szCs w:val="21"/>
          <w:highlight w:val="none"/>
          <w:lang w:val="en-US" w:eastAsia="zh-CN"/>
        </w:rPr>
        <w:t>7</w:t>
      </w:r>
      <w:r>
        <w:rPr>
          <w:rFonts w:hint="eastAsia" w:ascii="宋体" w:hAnsi="宋体" w:eastAsia="宋体" w:cs="宋体"/>
          <w:b w:val="0"/>
          <w:bCs/>
          <w:color w:val="auto"/>
          <w:sz w:val="21"/>
          <w:szCs w:val="21"/>
          <w:highlight w:val="none"/>
          <w:lang w:val="en-US" w:eastAsia="zh-CN"/>
        </w:rPr>
        <w:t>分</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：关键线路清晰、准确、完整，计划编制合理、可行，关键节点的控制措施有力、合理、可行</w:t>
      </w:r>
      <w:r>
        <w:rPr>
          <w:rFonts w:hint="eastAsia" w:ascii="宋体" w:hAnsi="宋体" w:eastAsia="宋体" w:cs="宋体"/>
          <w:b w:val="0"/>
          <w:bCs/>
          <w:color w:val="auto"/>
          <w:sz w:val="21"/>
          <w:szCs w:val="21"/>
          <w:highlight w:val="none"/>
          <w:lang w:eastAsia="zh-CN"/>
        </w:rPr>
        <w:t>；</w:t>
      </w:r>
    </w:p>
    <w:p>
      <w:pPr>
        <w:pStyle w:val="11"/>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良</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lang w:val="en-US" w:eastAsia="zh-CN"/>
        </w:rPr>
        <w:t>5分</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：关键线路清晰、准确、完整，计划编制可行，关键节点的控制措施合理、可行</w:t>
      </w:r>
      <w:r>
        <w:rPr>
          <w:rFonts w:hint="eastAsia" w:ascii="宋体" w:hAnsi="宋体" w:eastAsia="宋体" w:cs="宋体"/>
          <w:b w:val="0"/>
          <w:bCs/>
          <w:color w:val="auto"/>
          <w:sz w:val="21"/>
          <w:szCs w:val="21"/>
          <w:highlight w:val="none"/>
          <w:lang w:eastAsia="zh-CN"/>
        </w:rPr>
        <w:t>；</w:t>
      </w:r>
    </w:p>
    <w:p>
      <w:pPr>
        <w:pStyle w:val="11"/>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中</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lang w:val="en-US" w:eastAsia="zh-CN"/>
        </w:rPr>
        <w:t>3分</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：关键线路基本准确，计划编制合理，关键节点的控制措施基本可行</w:t>
      </w:r>
      <w:r>
        <w:rPr>
          <w:rFonts w:hint="eastAsia" w:ascii="宋体" w:hAnsi="宋体" w:eastAsia="宋体" w:cs="宋体"/>
          <w:b w:val="0"/>
          <w:bCs/>
          <w:color w:val="auto"/>
          <w:sz w:val="21"/>
          <w:szCs w:val="21"/>
          <w:highlight w:val="none"/>
          <w:lang w:eastAsia="zh-CN"/>
        </w:rPr>
        <w:t>；</w:t>
      </w:r>
    </w:p>
    <w:p>
      <w:pPr>
        <w:pStyle w:val="11"/>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差</w:t>
      </w:r>
      <w:r>
        <w:rPr>
          <w:rFonts w:hint="eastAsia" w:ascii="宋体" w:hAnsi="宋体" w:eastAsia="宋体" w:cs="宋体"/>
          <w:b w:val="0"/>
          <w:bCs/>
          <w:color w:val="auto"/>
          <w:sz w:val="21"/>
          <w:szCs w:val="21"/>
          <w:highlight w:val="none"/>
          <w:lang w:eastAsia="zh-CN"/>
        </w:rPr>
        <w:t>（</w:t>
      </w:r>
      <w:r>
        <w:rPr>
          <w:rFonts w:hint="eastAsia" w:hAnsi="宋体" w:cs="宋体"/>
          <w:b w:val="0"/>
          <w:bCs/>
          <w:color w:val="auto"/>
          <w:sz w:val="21"/>
          <w:szCs w:val="21"/>
          <w:highlight w:val="none"/>
          <w:lang w:val="en-US" w:eastAsia="zh-CN"/>
        </w:rPr>
        <w:t>1</w:t>
      </w:r>
      <w:r>
        <w:rPr>
          <w:rFonts w:hint="eastAsia" w:ascii="宋体" w:hAnsi="宋体" w:eastAsia="宋体" w:cs="宋体"/>
          <w:b w:val="0"/>
          <w:bCs/>
          <w:color w:val="auto"/>
          <w:sz w:val="21"/>
          <w:szCs w:val="21"/>
          <w:highlight w:val="none"/>
          <w:lang w:val="en-US" w:eastAsia="zh-CN"/>
        </w:rPr>
        <w:t>分</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：关键线路不准确，计划编制不合理，关键节点的控制不可行。</w:t>
      </w:r>
    </w:p>
    <w:p>
      <w:pPr>
        <w:pStyle w:val="11"/>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宋体" w:hAnsi="宋体" w:eastAsia="宋体" w:cs="宋体"/>
          <w:b/>
          <w:bCs w:val="0"/>
          <w:color w:val="auto"/>
          <w:sz w:val="21"/>
          <w:szCs w:val="21"/>
          <w:highlight w:val="none"/>
          <w:lang w:val="en-US"/>
        </w:rPr>
      </w:pPr>
      <w:r>
        <w:rPr>
          <w:rFonts w:hint="eastAsia" w:ascii="宋体" w:hAnsi="宋体" w:eastAsia="宋体" w:cs="宋体"/>
          <w:b/>
          <w:bCs w:val="0"/>
          <w:color w:val="auto"/>
          <w:sz w:val="21"/>
          <w:szCs w:val="21"/>
          <w:highlight w:val="none"/>
        </w:rPr>
        <w:t>（4）劳动力和材料投入计划及其保证措施</w:t>
      </w:r>
      <w:r>
        <w:rPr>
          <w:rFonts w:hint="eastAsia" w:ascii="宋体" w:hAnsi="宋体" w:eastAsia="宋体" w:cs="宋体"/>
          <w:b/>
          <w:bCs w:val="0"/>
          <w:color w:val="auto"/>
          <w:sz w:val="21"/>
          <w:szCs w:val="21"/>
          <w:highlight w:val="none"/>
          <w:lang w:eastAsia="zh-CN"/>
        </w:rPr>
        <w:t>（</w:t>
      </w:r>
      <w:r>
        <w:rPr>
          <w:rFonts w:hint="eastAsia" w:hAnsi="宋体" w:cs="宋体"/>
          <w:b/>
          <w:color w:val="auto"/>
          <w:sz w:val="21"/>
          <w:szCs w:val="21"/>
          <w:highlight w:val="none"/>
          <w:lang w:val="en-US" w:eastAsia="zh-CN"/>
        </w:rPr>
        <w:t>6</w:t>
      </w:r>
      <w:r>
        <w:rPr>
          <w:rFonts w:hint="eastAsia" w:ascii="宋体" w:hAnsi="宋体" w:eastAsia="宋体" w:cs="宋体"/>
          <w:b/>
          <w:bCs w:val="0"/>
          <w:color w:val="auto"/>
          <w:sz w:val="21"/>
          <w:szCs w:val="21"/>
          <w:highlight w:val="none"/>
        </w:rPr>
        <w:t>分</w:t>
      </w:r>
      <w:r>
        <w:rPr>
          <w:rFonts w:hint="eastAsia" w:ascii="宋体" w:hAnsi="宋体" w:eastAsia="宋体" w:cs="宋体"/>
          <w:b/>
          <w:bCs w:val="0"/>
          <w:color w:val="auto"/>
          <w:sz w:val="21"/>
          <w:szCs w:val="21"/>
          <w:highlight w:val="none"/>
          <w:lang w:eastAsia="zh-CN"/>
        </w:rPr>
        <w:t>）</w:t>
      </w:r>
    </w:p>
    <w:p>
      <w:pPr>
        <w:pStyle w:val="11"/>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优</w:t>
      </w:r>
      <w:r>
        <w:rPr>
          <w:rFonts w:hint="eastAsia" w:ascii="宋体" w:hAnsi="宋体" w:eastAsia="宋体" w:cs="宋体"/>
          <w:b w:val="0"/>
          <w:bCs/>
          <w:color w:val="auto"/>
          <w:sz w:val="21"/>
          <w:szCs w:val="21"/>
          <w:highlight w:val="none"/>
          <w:lang w:eastAsia="zh-CN"/>
        </w:rPr>
        <w:t>（</w:t>
      </w:r>
      <w:r>
        <w:rPr>
          <w:rFonts w:hint="eastAsia" w:hAnsi="宋体" w:cs="宋体"/>
          <w:b w:val="0"/>
          <w:bCs/>
          <w:color w:val="auto"/>
          <w:sz w:val="21"/>
          <w:szCs w:val="21"/>
          <w:highlight w:val="none"/>
          <w:lang w:val="en-US" w:eastAsia="zh-CN"/>
        </w:rPr>
        <w:t>6</w:t>
      </w:r>
      <w:r>
        <w:rPr>
          <w:rFonts w:hint="eastAsia" w:ascii="宋体" w:hAnsi="宋体" w:eastAsia="宋体" w:cs="宋体"/>
          <w:b w:val="0"/>
          <w:bCs/>
          <w:color w:val="auto"/>
          <w:sz w:val="21"/>
          <w:szCs w:val="21"/>
          <w:highlight w:val="none"/>
          <w:lang w:val="en-US" w:eastAsia="zh-CN"/>
        </w:rPr>
        <w:t>分</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：投入计划与进度计划呼应，较好满足施工需要，调配投入计划合理、准确</w:t>
      </w:r>
      <w:r>
        <w:rPr>
          <w:rFonts w:hint="eastAsia" w:ascii="宋体" w:hAnsi="宋体" w:eastAsia="宋体" w:cs="宋体"/>
          <w:b w:val="0"/>
          <w:bCs/>
          <w:color w:val="auto"/>
          <w:sz w:val="21"/>
          <w:szCs w:val="21"/>
          <w:highlight w:val="none"/>
          <w:lang w:eastAsia="zh-CN"/>
        </w:rPr>
        <w:t>；</w:t>
      </w:r>
    </w:p>
    <w:p>
      <w:pPr>
        <w:pStyle w:val="11"/>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良</w:t>
      </w:r>
      <w:r>
        <w:rPr>
          <w:rFonts w:hint="eastAsia" w:ascii="宋体" w:hAnsi="宋体" w:eastAsia="宋体" w:cs="宋体"/>
          <w:b w:val="0"/>
          <w:bCs/>
          <w:color w:val="auto"/>
          <w:sz w:val="21"/>
          <w:szCs w:val="21"/>
          <w:highlight w:val="none"/>
          <w:lang w:eastAsia="zh-CN"/>
        </w:rPr>
        <w:t>（</w:t>
      </w:r>
      <w:r>
        <w:rPr>
          <w:rFonts w:hint="eastAsia" w:hAnsi="宋体" w:cs="宋体"/>
          <w:b w:val="0"/>
          <w:bCs/>
          <w:color w:val="auto"/>
          <w:sz w:val="21"/>
          <w:szCs w:val="21"/>
          <w:highlight w:val="none"/>
          <w:lang w:val="en-US" w:eastAsia="zh-CN"/>
        </w:rPr>
        <w:t>4</w:t>
      </w:r>
      <w:r>
        <w:rPr>
          <w:rFonts w:hint="eastAsia" w:ascii="宋体" w:hAnsi="宋体" w:eastAsia="宋体" w:cs="宋体"/>
          <w:b w:val="0"/>
          <w:bCs/>
          <w:color w:val="auto"/>
          <w:sz w:val="21"/>
          <w:szCs w:val="21"/>
          <w:highlight w:val="none"/>
          <w:lang w:val="en-US" w:eastAsia="zh-CN"/>
        </w:rPr>
        <w:t>分</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：投入计划与进度计划呼应，基本满足施工需要，调配投入计划基本合理、准确</w:t>
      </w:r>
      <w:r>
        <w:rPr>
          <w:rFonts w:hint="eastAsia" w:ascii="宋体" w:hAnsi="宋体" w:eastAsia="宋体" w:cs="宋体"/>
          <w:b w:val="0"/>
          <w:bCs/>
          <w:color w:val="auto"/>
          <w:sz w:val="21"/>
          <w:szCs w:val="21"/>
          <w:highlight w:val="none"/>
          <w:lang w:eastAsia="zh-CN"/>
        </w:rPr>
        <w:t>；</w:t>
      </w:r>
    </w:p>
    <w:p>
      <w:pPr>
        <w:pStyle w:val="11"/>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中</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lang w:val="en-US" w:eastAsia="zh-CN"/>
        </w:rPr>
        <w:t>2分</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：投入计划与进度计划呼应，基本满足施工需要，调配投入计划基本合理</w:t>
      </w:r>
      <w:r>
        <w:rPr>
          <w:rFonts w:hint="eastAsia" w:ascii="宋体" w:hAnsi="宋体" w:eastAsia="宋体" w:cs="宋体"/>
          <w:b w:val="0"/>
          <w:bCs/>
          <w:color w:val="auto"/>
          <w:sz w:val="21"/>
          <w:szCs w:val="21"/>
          <w:highlight w:val="none"/>
          <w:lang w:eastAsia="zh-CN"/>
        </w:rPr>
        <w:t>；</w:t>
      </w:r>
    </w:p>
    <w:p>
      <w:pPr>
        <w:pStyle w:val="11"/>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差</w:t>
      </w:r>
      <w:r>
        <w:rPr>
          <w:rFonts w:hint="eastAsia" w:ascii="宋体" w:hAnsi="宋体" w:eastAsia="宋体" w:cs="宋体"/>
          <w:b w:val="0"/>
          <w:bCs/>
          <w:color w:val="auto"/>
          <w:sz w:val="21"/>
          <w:szCs w:val="21"/>
          <w:highlight w:val="none"/>
          <w:lang w:eastAsia="zh-CN"/>
        </w:rPr>
        <w:t>（</w:t>
      </w:r>
      <w:r>
        <w:rPr>
          <w:rFonts w:hint="eastAsia" w:hAnsi="宋体" w:cs="宋体"/>
          <w:b w:val="0"/>
          <w:bCs/>
          <w:color w:val="auto"/>
          <w:sz w:val="21"/>
          <w:szCs w:val="21"/>
          <w:highlight w:val="none"/>
          <w:lang w:val="en-US" w:eastAsia="zh-CN"/>
        </w:rPr>
        <w:t>1</w:t>
      </w:r>
      <w:r>
        <w:rPr>
          <w:rFonts w:hint="eastAsia" w:ascii="宋体" w:hAnsi="宋体" w:eastAsia="宋体" w:cs="宋体"/>
          <w:b w:val="0"/>
          <w:bCs/>
          <w:color w:val="auto"/>
          <w:sz w:val="21"/>
          <w:szCs w:val="21"/>
          <w:highlight w:val="none"/>
          <w:lang w:val="en-US" w:eastAsia="zh-CN"/>
        </w:rPr>
        <w:t>分</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：投入计划与进度计划不呼应，不能满足施工需要。</w:t>
      </w:r>
    </w:p>
    <w:p>
      <w:pPr>
        <w:pStyle w:val="11"/>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（5）施工平面布置和临时设施布置</w:t>
      </w:r>
      <w:r>
        <w:rPr>
          <w:rFonts w:hint="eastAsia" w:ascii="宋体" w:hAnsi="宋体" w:eastAsia="宋体" w:cs="宋体"/>
          <w:b/>
          <w:bCs w:val="0"/>
          <w:color w:val="auto"/>
          <w:sz w:val="21"/>
          <w:szCs w:val="21"/>
          <w:highlight w:val="none"/>
          <w:lang w:eastAsia="zh-CN"/>
        </w:rPr>
        <w:t>（</w:t>
      </w:r>
      <w:r>
        <w:rPr>
          <w:rFonts w:hint="eastAsia" w:ascii="宋体" w:hAnsi="宋体" w:eastAsia="宋体" w:cs="宋体"/>
          <w:b/>
          <w:bCs w:val="0"/>
          <w:color w:val="auto"/>
          <w:sz w:val="21"/>
          <w:szCs w:val="21"/>
          <w:highlight w:val="none"/>
          <w:lang w:val="en-US" w:eastAsia="zh-CN"/>
        </w:rPr>
        <w:t>5</w:t>
      </w:r>
      <w:r>
        <w:rPr>
          <w:rFonts w:hint="eastAsia" w:ascii="宋体" w:hAnsi="宋体" w:eastAsia="宋体" w:cs="宋体"/>
          <w:b/>
          <w:bCs w:val="0"/>
          <w:color w:val="auto"/>
          <w:sz w:val="21"/>
          <w:szCs w:val="21"/>
          <w:highlight w:val="none"/>
        </w:rPr>
        <w:t>分</w:t>
      </w:r>
      <w:r>
        <w:rPr>
          <w:rFonts w:hint="eastAsia" w:ascii="宋体" w:hAnsi="宋体" w:eastAsia="宋体" w:cs="宋体"/>
          <w:b/>
          <w:bCs w:val="0"/>
          <w:color w:val="auto"/>
          <w:sz w:val="21"/>
          <w:szCs w:val="21"/>
          <w:highlight w:val="none"/>
          <w:lang w:eastAsia="zh-CN"/>
        </w:rPr>
        <w:t>）</w:t>
      </w:r>
    </w:p>
    <w:p>
      <w:pPr>
        <w:pStyle w:val="11"/>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优</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lang w:val="en-US" w:eastAsia="zh-CN"/>
        </w:rPr>
        <w:t>5分</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：总体布置有针对性、合理，较好满足施工需要，符合安全、文明生产要求</w:t>
      </w:r>
      <w:r>
        <w:rPr>
          <w:rFonts w:hint="eastAsia" w:ascii="宋体" w:hAnsi="宋体" w:eastAsia="宋体" w:cs="宋体"/>
          <w:b w:val="0"/>
          <w:bCs/>
          <w:color w:val="auto"/>
          <w:sz w:val="21"/>
          <w:szCs w:val="21"/>
          <w:highlight w:val="none"/>
          <w:lang w:eastAsia="zh-CN"/>
        </w:rPr>
        <w:t>；</w:t>
      </w:r>
    </w:p>
    <w:p>
      <w:pPr>
        <w:pStyle w:val="11"/>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良</w:t>
      </w:r>
      <w:r>
        <w:rPr>
          <w:rFonts w:hint="eastAsia" w:ascii="宋体" w:hAnsi="宋体" w:eastAsia="宋体" w:cs="宋体"/>
          <w:b w:val="0"/>
          <w:bCs/>
          <w:color w:val="auto"/>
          <w:sz w:val="21"/>
          <w:szCs w:val="21"/>
          <w:highlight w:val="none"/>
          <w:lang w:eastAsia="zh-CN"/>
        </w:rPr>
        <w:t>（</w:t>
      </w:r>
      <w:r>
        <w:rPr>
          <w:rFonts w:hint="eastAsia" w:hAnsi="宋体" w:cs="宋体"/>
          <w:b w:val="0"/>
          <w:bCs/>
          <w:color w:val="auto"/>
          <w:sz w:val="21"/>
          <w:szCs w:val="21"/>
          <w:highlight w:val="none"/>
          <w:lang w:val="en-US" w:eastAsia="zh-CN"/>
        </w:rPr>
        <w:t>4</w:t>
      </w:r>
      <w:r>
        <w:rPr>
          <w:rFonts w:hint="eastAsia" w:ascii="宋体" w:hAnsi="宋体" w:eastAsia="宋体" w:cs="宋体"/>
          <w:b w:val="0"/>
          <w:bCs/>
          <w:color w:val="auto"/>
          <w:sz w:val="21"/>
          <w:szCs w:val="21"/>
          <w:highlight w:val="none"/>
          <w:lang w:val="en-US" w:eastAsia="zh-CN"/>
        </w:rPr>
        <w:t>分</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：总体布置合理，能满足施工需要，基本符合安全、文明生产要求</w:t>
      </w:r>
      <w:r>
        <w:rPr>
          <w:rFonts w:hint="eastAsia" w:ascii="宋体" w:hAnsi="宋体" w:eastAsia="宋体" w:cs="宋体"/>
          <w:b w:val="0"/>
          <w:bCs/>
          <w:color w:val="auto"/>
          <w:sz w:val="21"/>
          <w:szCs w:val="21"/>
          <w:highlight w:val="none"/>
          <w:lang w:eastAsia="zh-CN"/>
        </w:rPr>
        <w:t>；</w:t>
      </w:r>
    </w:p>
    <w:p>
      <w:pPr>
        <w:pStyle w:val="11"/>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中</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lang w:val="en-US" w:eastAsia="zh-CN"/>
        </w:rPr>
        <w:t>2分</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：总体布置基本合理，基本满足施工需要</w:t>
      </w:r>
      <w:r>
        <w:rPr>
          <w:rFonts w:hint="eastAsia" w:ascii="宋体" w:hAnsi="宋体" w:eastAsia="宋体" w:cs="宋体"/>
          <w:b w:val="0"/>
          <w:bCs/>
          <w:color w:val="auto"/>
          <w:sz w:val="21"/>
          <w:szCs w:val="21"/>
          <w:highlight w:val="none"/>
          <w:lang w:eastAsia="zh-CN"/>
        </w:rPr>
        <w:t>；</w:t>
      </w:r>
    </w:p>
    <w:p>
      <w:pPr>
        <w:pStyle w:val="11"/>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差</w:t>
      </w:r>
      <w:r>
        <w:rPr>
          <w:rFonts w:hint="eastAsia" w:ascii="宋体" w:hAnsi="宋体" w:eastAsia="宋体" w:cs="宋体"/>
          <w:b w:val="0"/>
          <w:bCs/>
          <w:color w:val="auto"/>
          <w:sz w:val="21"/>
          <w:szCs w:val="21"/>
          <w:highlight w:val="none"/>
          <w:lang w:eastAsia="zh-CN"/>
        </w:rPr>
        <w:t>（</w:t>
      </w:r>
      <w:r>
        <w:rPr>
          <w:rFonts w:hint="eastAsia" w:hAnsi="宋体" w:cs="宋体"/>
          <w:b w:val="0"/>
          <w:bCs/>
          <w:color w:val="auto"/>
          <w:sz w:val="21"/>
          <w:szCs w:val="21"/>
          <w:highlight w:val="none"/>
          <w:lang w:val="en-US" w:eastAsia="zh-CN"/>
        </w:rPr>
        <w:t>1</w:t>
      </w:r>
      <w:r>
        <w:rPr>
          <w:rFonts w:hint="eastAsia" w:ascii="宋体" w:hAnsi="宋体" w:eastAsia="宋体" w:cs="宋体"/>
          <w:b w:val="0"/>
          <w:bCs/>
          <w:color w:val="auto"/>
          <w:sz w:val="21"/>
          <w:szCs w:val="21"/>
          <w:highlight w:val="none"/>
          <w:lang w:val="en-US" w:eastAsia="zh-CN"/>
        </w:rPr>
        <w:t>分</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：总体布置不合理，不符合安全、文明生产要求。</w:t>
      </w:r>
    </w:p>
    <w:p>
      <w:pPr>
        <w:pStyle w:val="11"/>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（6）关键施工技术、工艺及工程实施的重点、难点和解决方案</w:t>
      </w:r>
      <w:r>
        <w:rPr>
          <w:rFonts w:hint="eastAsia" w:ascii="宋体" w:hAnsi="宋体" w:eastAsia="宋体" w:cs="宋体"/>
          <w:b/>
          <w:bCs w:val="0"/>
          <w:color w:val="auto"/>
          <w:sz w:val="21"/>
          <w:szCs w:val="21"/>
          <w:highlight w:val="none"/>
          <w:lang w:eastAsia="zh-CN"/>
        </w:rPr>
        <w:t>（</w:t>
      </w:r>
      <w:r>
        <w:rPr>
          <w:rFonts w:hint="eastAsia" w:hAnsi="宋体" w:cs="宋体"/>
          <w:b/>
          <w:bCs w:val="0"/>
          <w:color w:val="auto"/>
          <w:sz w:val="21"/>
          <w:szCs w:val="21"/>
          <w:highlight w:val="none"/>
          <w:lang w:val="en-US" w:eastAsia="zh-CN"/>
        </w:rPr>
        <w:t>5</w:t>
      </w:r>
      <w:r>
        <w:rPr>
          <w:rFonts w:hint="eastAsia" w:ascii="宋体" w:hAnsi="宋体" w:eastAsia="宋体" w:cs="宋体"/>
          <w:b/>
          <w:bCs w:val="0"/>
          <w:color w:val="auto"/>
          <w:sz w:val="21"/>
          <w:szCs w:val="21"/>
          <w:highlight w:val="none"/>
        </w:rPr>
        <w:t>分</w:t>
      </w:r>
      <w:r>
        <w:rPr>
          <w:rFonts w:hint="eastAsia" w:ascii="宋体" w:hAnsi="宋体" w:eastAsia="宋体" w:cs="宋体"/>
          <w:b/>
          <w:bCs w:val="0"/>
          <w:color w:val="auto"/>
          <w:sz w:val="21"/>
          <w:szCs w:val="21"/>
          <w:highlight w:val="none"/>
          <w:lang w:eastAsia="zh-CN"/>
        </w:rPr>
        <w:t>）</w:t>
      </w:r>
    </w:p>
    <w:p>
      <w:pPr>
        <w:pStyle w:val="11"/>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优</w:t>
      </w:r>
      <w:r>
        <w:rPr>
          <w:rFonts w:hint="eastAsia" w:ascii="宋体" w:hAnsi="宋体" w:eastAsia="宋体" w:cs="宋体"/>
          <w:b w:val="0"/>
          <w:bCs/>
          <w:color w:val="auto"/>
          <w:sz w:val="21"/>
          <w:szCs w:val="21"/>
          <w:highlight w:val="none"/>
          <w:lang w:eastAsia="zh-CN"/>
        </w:rPr>
        <w:t>（</w:t>
      </w:r>
      <w:r>
        <w:rPr>
          <w:rFonts w:hint="eastAsia" w:hAnsi="宋体" w:cs="宋体"/>
          <w:b w:val="0"/>
          <w:bCs/>
          <w:color w:val="auto"/>
          <w:sz w:val="21"/>
          <w:szCs w:val="21"/>
          <w:highlight w:val="none"/>
          <w:lang w:val="en-US" w:eastAsia="zh-CN"/>
        </w:rPr>
        <w:t>5</w:t>
      </w:r>
      <w:r>
        <w:rPr>
          <w:rFonts w:hint="eastAsia" w:ascii="宋体" w:hAnsi="宋体" w:eastAsia="宋体" w:cs="宋体"/>
          <w:b w:val="0"/>
          <w:bCs/>
          <w:color w:val="auto"/>
          <w:sz w:val="21"/>
          <w:szCs w:val="21"/>
          <w:highlight w:val="none"/>
          <w:lang w:val="en-US" w:eastAsia="zh-CN"/>
        </w:rPr>
        <w:t>分</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：对项目关键技术、工艺有深入的表达，对重点</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难点有先进合理的施工措施并有可行的安全措施，解决方案完整、经济、安全、切实可行，措施得力。</w:t>
      </w:r>
    </w:p>
    <w:p>
      <w:pPr>
        <w:pStyle w:val="11"/>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良</w:t>
      </w:r>
      <w:r>
        <w:rPr>
          <w:rFonts w:hint="eastAsia" w:ascii="宋体" w:hAnsi="宋体" w:eastAsia="宋体" w:cs="宋体"/>
          <w:b w:val="0"/>
          <w:bCs/>
          <w:color w:val="auto"/>
          <w:sz w:val="21"/>
          <w:szCs w:val="21"/>
          <w:highlight w:val="none"/>
          <w:lang w:eastAsia="zh-CN"/>
        </w:rPr>
        <w:t>（</w:t>
      </w:r>
      <w:r>
        <w:rPr>
          <w:rFonts w:hint="eastAsia" w:hAnsi="宋体" w:cs="宋体"/>
          <w:b w:val="0"/>
          <w:bCs/>
          <w:color w:val="auto"/>
          <w:sz w:val="21"/>
          <w:szCs w:val="21"/>
          <w:highlight w:val="none"/>
          <w:lang w:val="en-US" w:eastAsia="zh-CN"/>
        </w:rPr>
        <w:t>4</w:t>
      </w:r>
      <w:r>
        <w:rPr>
          <w:rFonts w:hint="eastAsia" w:ascii="宋体" w:hAnsi="宋体" w:eastAsia="宋体" w:cs="宋体"/>
          <w:b w:val="0"/>
          <w:bCs/>
          <w:color w:val="auto"/>
          <w:sz w:val="21"/>
          <w:szCs w:val="21"/>
          <w:highlight w:val="none"/>
          <w:lang w:val="en-US" w:eastAsia="zh-CN"/>
        </w:rPr>
        <w:t>分</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：对项目关键技术、工艺有深入的表达，对重点、难点有合理的建议，解决方案经济、安全、基本可行。</w:t>
      </w:r>
    </w:p>
    <w:p>
      <w:pPr>
        <w:pStyle w:val="11"/>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中</w:t>
      </w:r>
      <w:r>
        <w:rPr>
          <w:rFonts w:hint="eastAsia" w:ascii="宋体" w:hAnsi="宋体" w:eastAsia="宋体" w:cs="宋体"/>
          <w:b w:val="0"/>
          <w:bCs/>
          <w:color w:val="auto"/>
          <w:sz w:val="21"/>
          <w:szCs w:val="21"/>
          <w:highlight w:val="none"/>
          <w:lang w:eastAsia="zh-CN"/>
        </w:rPr>
        <w:t>（</w:t>
      </w:r>
      <w:r>
        <w:rPr>
          <w:rFonts w:hint="eastAsia" w:hAnsi="宋体" w:cs="宋体"/>
          <w:b w:val="0"/>
          <w:bCs/>
          <w:color w:val="auto"/>
          <w:sz w:val="21"/>
          <w:szCs w:val="21"/>
          <w:highlight w:val="none"/>
          <w:lang w:val="en-US" w:eastAsia="zh-CN"/>
        </w:rPr>
        <w:t>2</w:t>
      </w:r>
      <w:r>
        <w:rPr>
          <w:rFonts w:hint="eastAsia" w:ascii="宋体" w:hAnsi="宋体" w:eastAsia="宋体" w:cs="宋体"/>
          <w:b w:val="0"/>
          <w:bCs/>
          <w:color w:val="auto"/>
          <w:sz w:val="21"/>
          <w:szCs w:val="21"/>
          <w:highlight w:val="none"/>
          <w:lang w:val="en-US" w:eastAsia="zh-CN"/>
        </w:rPr>
        <w:t>分</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：对项目关键技术有一定了解，对重点、难点有建议，解决方案基本可行。</w:t>
      </w:r>
    </w:p>
    <w:p>
      <w:pPr>
        <w:pStyle w:val="11"/>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差</w:t>
      </w:r>
      <w:r>
        <w:rPr>
          <w:rFonts w:hint="eastAsia" w:ascii="宋体" w:hAnsi="宋体" w:eastAsia="宋体" w:cs="宋体"/>
          <w:b w:val="0"/>
          <w:bCs/>
          <w:color w:val="auto"/>
          <w:sz w:val="21"/>
          <w:szCs w:val="21"/>
          <w:highlight w:val="none"/>
          <w:lang w:eastAsia="zh-CN"/>
        </w:rPr>
        <w:t>（</w:t>
      </w:r>
      <w:r>
        <w:rPr>
          <w:rFonts w:hint="eastAsia" w:hAnsi="宋体" w:cs="宋体"/>
          <w:b w:val="0"/>
          <w:bCs/>
          <w:color w:val="auto"/>
          <w:sz w:val="21"/>
          <w:szCs w:val="21"/>
          <w:highlight w:val="none"/>
          <w:lang w:val="en-US" w:eastAsia="zh-CN"/>
        </w:rPr>
        <w:t>1</w:t>
      </w:r>
      <w:r>
        <w:rPr>
          <w:rFonts w:hint="eastAsia" w:ascii="宋体" w:hAnsi="宋体" w:eastAsia="宋体" w:cs="宋体"/>
          <w:b w:val="0"/>
          <w:bCs/>
          <w:color w:val="auto"/>
          <w:sz w:val="21"/>
          <w:szCs w:val="21"/>
          <w:highlight w:val="none"/>
          <w:lang w:val="en-US" w:eastAsia="zh-CN"/>
        </w:rPr>
        <w:t>分</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：对项目关键技术有表述，对重点、难点有建议，解决方案不可行。</w:t>
      </w:r>
    </w:p>
    <w:p>
      <w:pPr>
        <w:pStyle w:val="11"/>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val="0"/>
          <w:color w:val="auto"/>
          <w:sz w:val="21"/>
          <w:szCs w:val="21"/>
          <w:highlight w:val="none"/>
        </w:rPr>
      </w:pPr>
      <w:r>
        <w:rPr>
          <w:rFonts w:hint="eastAsia" w:ascii="宋体" w:hAnsi="宋体" w:eastAsia="宋体" w:cs="宋体"/>
          <w:b/>
          <w:bCs w:val="0"/>
          <w:color w:val="auto"/>
          <w:kern w:val="0"/>
          <w:sz w:val="21"/>
          <w:szCs w:val="21"/>
          <w:highlight w:val="none"/>
        </w:rPr>
        <w:t>（7）安全文明施工措施</w:t>
      </w:r>
      <w:r>
        <w:rPr>
          <w:rFonts w:hint="eastAsia" w:ascii="宋体" w:hAnsi="宋体" w:eastAsia="宋体" w:cs="宋体"/>
          <w:b/>
          <w:bCs w:val="0"/>
          <w:color w:val="auto"/>
          <w:sz w:val="21"/>
          <w:szCs w:val="21"/>
          <w:highlight w:val="none"/>
          <w:lang w:eastAsia="zh-CN"/>
        </w:rPr>
        <w:t>（</w:t>
      </w:r>
      <w:r>
        <w:rPr>
          <w:rFonts w:hint="eastAsia" w:hAnsi="宋体" w:cs="宋体"/>
          <w:b/>
          <w:bCs w:val="0"/>
          <w:color w:val="auto"/>
          <w:sz w:val="21"/>
          <w:szCs w:val="21"/>
          <w:highlight w:val="none"/>
          <w:lang w:val="en-US" w:eastAsia="zh-CN"/>
        </w:rPr>
        <w:t>5</w:t>
      </w:r>
      <w:r>
        <w:rPr>
          <w:rFonts w:hint="eastAsia" w:ascii="宋体" w:hAnsi="宋体" w:eastAsia="宋体" w:cs="宋体"/>
          <w:b/>
          <w:bCs w:val="0"/>
          <w:color w:val="auto"/>
          <w:sz w:val="21"/>
          <w:szCs w:val="21"/>
          <w:highlight w:val="none"/>
        </w:rPr>
        <w:t>分</w:t>
      </w:r>
      <w:r>
        <w:rPr>
          <w:rFonts w:hint="eastAsia" w:ascii="宋体" w:hAnsi="宋体" w:eastAsia="宋体" w:cs="宋体"/>
          <w:b/>
          <w:bCs w:val="0"/>
          <w:color w:val="auto"/>
          <w:sz w:val="21"/>
          <w:szCs w:val="21"/>
          <w:highlight w:val="none"/>
          <w:lang w:eastAsia="zh-CN"/>
        </w:rPr>
        <w:t>）</w:t>
      </w:r>
    </w:p>
    <w:p>
      <w:pPr>
        <w:pStyle w:val="11"/>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优</w:t>
      </w:r>
      <w:r>
        <w:rPr>
          <w:rFonts w:hint="eastAsia" w:ascii="宋体" w:hAnsi="宋体" w:eastAsia="宋体" w:cs="宋体"/>
          <w:b w:val="0"/>
          <w:bCs/>
          <w:color w:val="auto"/>
          <w:sz w:val="21"/>
          <w:szCs w:val="21"/>
          <w:highlight w:val="none"/>
          <w:lang w:eastAsia="zh-CN"/>
        </w:rPr>
        <w:t>（</w:t>
      </w:r>
      <w:r>
        <w:rPr>
          <w:rFonts w:hint="eastAsia" w:hAnsi="宋体" w:cs="宋体"/>
          <w:b w:val="0"/>
          <w:bCs/>
          <w:color w:val="auto"/>
          <w:sz w:val="21"/>
          <w:szCs w:val="21"/>
          <w:highlight w:val="none"/>
          <w:lang w:val="en-US" w:eastAsia="zh-CN"/>
        </w:rPr>
        <w:t>5</w:t>
      </w:r>
      <w:r>
        <w:rPr>
          <w:rFonts w:hint="eastAsia" w:ascii="宋体" w:hAnsi="宋体" w:eastAsia="宋体" w:cs="宋体"/>
          <w:b w:val="0"/>
          <w:bCs/>
          <w:color w:val="auto"/>
          <w:sz w:val="21"/>
          <w:szCs w:val="21"/>
          <w:highlight w:val="none"/>
          <w:lang w:val="en-US" w:eastAsia="zh-CN"/>
        </w:rPr>
        <w:t>分</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：针对项目实际情况，有先进、具体、完整、可行的实施措施，采用规范正确、清晰。</w:t>
      </w:r>
    </w:p>
    <w:p>
      <w:pPr>
        <w:pStyle w:val="11"/>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良</w:t>
      </w:r>
      <w:r>
        <w:rPr>
          <w:rFonts w:hint="eastAsia" w:ascii="宋体" w:hAnsi="宋体" w:eastAsia="宋体" w:cs="宋体"/>
          <w:b w:val="0"/>
          <w:bCs/>
          <w:color w:val="auto"/>
          <w:sz w:val="21"/>
          <w:szCs w:val="21"/>
          <w:highlight w:val="none"/>
          <w:lang w:eastAsia="zh-CN"/>
        </w:rPr>
        <w:t>（</w:t>
      </w:r>
      <w:r>
        <w:rPr>
          <w:rFonts w:hint="eastAsia" w:hAnsi="宋体" w:cs="宋体"/>
          <w:b w:val="0"/>
          <w:bCs/>
          <w:color w:val="auto"/>
          <w:sz w:val="21"/>
          <w:szCs w:val="21"/>
          <w:highlight w:val="none"/>
          <w:lang w:val="en-US" w:eastAsia="zh-CN"/>
        </w:rPr>
        <w:t>4</w:t>
      </w:r>
      <w:r>
        <w:rPr>
          <w:rFonts w:hint="eastAsia" w:ascii="宋体" w:hAnsi="宋体" w:eastAsia="宋体" w:cs="宋体"/>
          <w:b w:val="0"/>
          <w:bCs/>
          <w:color w:val="auto"/>
          <w:sz w:val="21"/>
          <w:szCs w:val="21"/>
          <w:highlight w:val="none"/>
          <w:lang w:val="en-US" w:eastAsia="zh-CN"/>
        </w:rPr>
        <w:t>分</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：针对项目实际情况，有合理的措施且具体、完整，采用规范正确。</w:t>
      </w:r>
    </w:p>
    <w:p>
      <w:pPr>
        <w:pStyle w:val="11"/>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中</w:t>
      </w:r>
      <w:r>
        <w:rPr>
          <w:rFonts w:hint="eastAsia" w:ascii="宋体" w:hAnsi="宋体" w:eastAsia="宋体" w:cs="宋体"/>
          <w:b w:val="0"/>
          <w:bCs/>
          <w:color w:val="auto"/>
          <w:sz w:val="21"/>
          <w:szCs w:val="21"/>
          <w:highlight w:val="none"/>
          <w:lang w:eastAsia="zh-CN"/>
        </w:rPr>
        <w:t>（</w:t>
      </w:r>
      <w:r>
        <w:rPr>
          <w:rFonts w:hint="eastAsia" w:hAnsi="宋体" w:cs="宋体"/>
          <w:b w:val="0"/>
          <w:bCs/>
          <w:color w:val="auto"/>
          <w:sz w:val="21"/>
          <w:szCs w:val="21"/>
          <w:highlight w:val="none"/>
          <w:lang w:val="en-US" w:eastAsia="zh-CN"/>
        </w:rPr>
        <w:t>2</w:t>
      </w:r>
      <w:r>
        <w:rPr>
          <w:rFonts w:hint="eastAsia" w:ascii="宋体" w:hAnsi="宋体" w:eastAsia="宋体" w:cs="宋体"/>
          <w:b w:val="0"/>
          <w:bCs/>
          <w:color w:val="auto"/>
          <w:sz w:val="21"/>
          <w:szCs w:val="21"/>
          <w:highlight w:val="none"/>
          <w:lang w:val="en-US" w:eastAsia="zh-CN"/>
        </w:rPr>
        <w:t>分</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：有基本合理的措施，采用规范正确。</w:t>
      </w:r>
    </w:p>
    <w:p>
      <w:pPr>
        <w:pStyle w:val="11"/>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差</w:t>
      </w:r>
      <w:r>
        <w:rPr>
          <w:rFonts w:hint="eastAsia" w:ascii="宋体" w:hAnsi="宋体" w:eastAsia="宋体" w:cs="宋体"/>
          <w:b w:val="0"/>
          <w:bCs/>
          <w:color w:val="auto"/>
          <w:sz w:val="21"/>
          <w:szCs w:val="21"/>
          <w:highlight w:val="none"/>
          <w:lang w:eastAsia="zh-CN"/>
        </w:rPr>
        <w:t>（</w:t>
      </w:r>
      <w:r>
        <w:rPr>
          <w:rFonts w:hint="eastAsia" w:hAnsi="宋体" w:cs="宋体"/>
          <w:b w:val="0"/>
          <w:bCs/>
          <w:color w:val="auto"/>
          <w:sz w:val="21"/>
          <w:szCs w:val="21"/>
          <w:highlight w:val="none"/>
          <w:lang w:val="en-US" w:eastAsia="zh-CN"/>
        </w:rPr>
        <w:t>1</w:t>
      </w:r>
      <w:r>
        <w:rPr>
          <w:rFonts w:hint="eastAsia" w:ascii="宋体" w:hAnsi="宋体" w:eastAsia="宋体" w:cs="宋体"/>
          <w:b w:val="0"/>
          <w:bCs/>
          <w:color w:val="auto"/>
          <w:sz w:val="21"/>
          <w:szCs w:val="21"/>
          <w:highlight w:val="none"/>
          <w:lang w:val="en-US" w:eastAsia="zh-CN"/>
        </w:rPr>
        <w:t>分</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：安全文明措施不得力，采用规范不正确。</w:t>
      </w:r>
    </w:p>
    <w:p>
      <w:pPr>
        <w:pStyle w:val="11"/>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（8）质量保证与承诺</w:t>
      </w:r>
      <w:r>
        <w:rPr>
          <w:rFonts w:hint="eastAsia" w:ascii="宋体" w:hAnsi="宋体" w:eastAsia="宋体" w:cs="宋体"/>
          <w:b/>
          <w:bCs w:val="0"/>
          <w:color w:val="auto"/>
          <w:sz w:val="21"/>
          <w:szCs w:val="21"/>
          <w:highlight w:val="none"/>
          <w:lang w:eastAsia="zh-CN"/>
        </w:rPr>
        <w:t>（</w:t>
      </w:r>
      <w:r>
        <w:rPr>
          <w:rFonts w:hint="eastAsia" w:hAnsi="宋体" w:cs="宋体"/>
          <w:b/>
          <w:bCs w:val="0"/>
          <w:color w:val="auto"/>
          <w:sz w:val="21"/>
          <w:szCs w:val="21"/>
          <w:highlight w:val="none"/>
          <w:lang w:val="en-US" w:eastAsia="zh-CN"/>
        </w:rPr>
        <w:t>5</w:t>
      </w:r>
      <w:r>
        <w:rPr>
          <w:rFonts w:hint="eastAsia" w:ascii="宋体" w:hAnsi="宋体" w:eastAsia="宋体" w:cs="宋体"/>
          <w:b/>
          <w:bCs w:val="0"/>
          <w:color w:val="auto"/>
          <w:sz w:val="21"/>
          <w:szCs w:val="21"/>
          <w:highlight w:val="none"/>
        </w:rPr>
        <w:t>分</w:t>
      </w:r>
      <w:r>
        <w:rPr>
          <w:rFonts w:hint="eastAsia" w:ascii="宋体" w:hAnsi="宋体" w:eastAsia="宋体" w:cs="宋体"/>
          <w:b/>
          <w:bCs w:val="0"/>
          <w:color w:val="auto"/>
          <w:sz w:val="21"/>
          <w:szCs w:val="21"/>
          <w:highlight w:val="none"/>
          <w:lang w:eastAsia="zh-CN"/>
        </w:rPr>
        <w:t>）</w:t>
      </w:r>
    </w:p>
    <w:p>
      <w:pPr>
        <w:pStyle w:val="11"/>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优</w:t>
      </w:r>
      <w:r>
        <w:rPr>
          <w:rFonts w:hint="eastAsia" w:ascii="宋体" w:hAnsi="宋体" w:eastAsia="宋体" w:cs="宋体"/>
          <w:b w:val="0"/>
          <w:bCs/>
          <w:color w:val="auto"/>
          <w:sz w:val="21"/>
          <w:szCs w:val="21"/>
          <w:highlight w:val="none"/>
          <w:lang w:eastAsia="zh-CN"/>
        </w:rPr>
        <w:t>（</w:t>
      </w:r>
      <w:r>
        <w:rPr>
          <w:rFonts w:hint="eastAsia" w:hAnsi="宋体" w:cs="宋体"/>
          <w:b w:val="0"/>
          <w:bCs/>
          <w:color w:val="auto"/>
          <w:sz w:val="21"/>
          <w:szCs w:val="21"/>
          <w:highlight w:val="none"/>
          <w:lang w:val="en-US" w:eastAsia="zh-CN"/>
        </w:rPr>
        <w:t>5</w:t>
      </w:r>
      <w:r>
        <w:rPr>
          <w:rFonts w:hint="eastAsia" w:ascii="宋体" w:hAnsi="宋体" w:eastAsia="宋体" w:cs="宋体"/>
          <w:b w:val="0"/>
          <w:bCs/>
          <w:color w:val="auto"/>
          <w:sz w:val="21"/>
          <w:szCs w:val="21"/>
          <w:highlight w:val="none"/>
          <w:lang w:val="en-US" w:eastAsia="zh-CN"/>
        </w:rPr>
        <w:t>分</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：针对项目实际提出先进、可行、具体的保证措施，超过招标文件的质量要求及施工验收规范要求。</w:t>
      </w:r>
    </w:p>
    <w:p>
      <w:pPr>
        <w:pStyle w:val="11"/>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良</w:t>
      </w:r>
      <w:r>
        <w:rPr>
          <w:rFonts w:hint="eastAsia" w:ascii="宋体" w:hAnsi="宋体" w:eastAsia="宋体" w:cs="宋体"/>
          <w:b w:val="0"/>
          <w:bCs/>
          <w:color w:val="auto"/>
          <w:sz w:val="21"/>
          <w:szCs w:val="21"/>
          <w:highlight w:val="none"/>
          <w:lang w:eastAsia="zh-CN"/>
        </w:rPr>
        <w:t>（</w:t>
      </w:r>
      <w:r>
        <w:rPr>
          <w:rFonts w:hint="eastAsia" w:hAnsi="宋体" w:cs="宋体"/>
          <w:b w:val="0"/>
          <w:bCs/>
          <w:color w:val="auto"/>
          <w:sz w:val="21"/>
          <w:szCs w:val="21"/>
          <w:highlight w:val="none"/>
          <w:lang w:val="en-US" w:eastAsia="zh-CN"/>
        </w:rPr>
        <w:t>4</w:t>
      </w:r>
      <w:r>
        <w:rPr>
          <w:rFonts w:hint="eastAsia" w:ascii="宋体" w:hAnsi="宋体" w:eastAsia="宋体" w:cs="宋体"/>
          <w:b w:val="0"/>
          <w:bCs/>
          <w:color w:val="auto"/>
          <w:sz w:val="21"/>
          <w:szCs w:val="21"/>
          <w:highlight w:val="none"/>
          <w:lang w:val="en-US" w:eastAsia="zh-CN"/>
        </w:rPr>
        <w:t>分</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：针对项目实际提出先进、可行、具体的保证措施，满足招标文件的质量要求。</w:t>
      </w:r>
    </w:p>
    <w:p>
      <w:pPr>
        <w:pStyle w:val="11"/>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中</w:t>
      </w:r>
      <w:r>
        <w:rPr>
          <w:rFonts w:hint="eastAsia" w:ascii="宋体" w:hAnsi="宋体" w:eastAsia="宋体" w:cs="宋体"/>
          <w:b w:val="0"/>
          <w:bCs/>
          <w:color w:val="auto"/>
          <w:sz w:val="21"/>
          <w:szCs w:val="21"/>
          <w:highlight w:val="none"/>
          <w:lang w:eastAsia="zh-CN"/>
        </w:rPr>
        <w:t>（</w:t>
      </w:r>
      <w:r>
        <w:rPr>
          <w:rFonts w:hint="eastAsia" w:hAnsi="宋体" w:cs="宋体"/>
          <w:b w:val="0"/>
          <w:bCs/>
          <w:color w:val="auto"/>
          <w:sz w:val="21"/>
          <w:szCs w:val="21"/>
          <w:highlight w:val="none"/>
          <w:lang w:val="en-US" w:eastAsia="zh-CN"/>
        </w:rPr>
        <w:t>2</w:t>
      </w:r>
      <w:r>
        <w:rPr>
          <w:rFonts w:hint="eastAsia" w:ascii="宋体" w:hAnsi="宋体" w:eastAsia="宋体" w:cs="宋体"/>
          <w:b w:val="0"/>
          <w:bCs/>
          <w:color w:val="auto"/>
          <w:sz w:val="21"/>
          <w:szCs w:val="21"/>
          <w:highlight w:val="none"/>
          <w:lang w:val="en-US" w:eastAsia="zh-CN"/>
        </w:rPr>
        <w:t>分</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：具体措施可行，满足招标文件的质量要求。</w:t>
      </w:r>
    </w:p>
    <w:p>
      <w:pPr>
        <w:pStyle w:val="11"/>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差</w:t>
      </w:r>
      <w:r>
        <w:rPr>
          <w:rFonts w:hint="eastAsia" w:ascii="宋体" w:hAnsi="宋体" w:eastAsia="宋体" w:cs="宋体"/>
          <w:b w:val="0"/>
          <w:bCs/>
          <w:color w:val="auto"/>
          <w:sz w:val="21"/>
          <w:szCs w:val="21"/>
          <w:highlight w:val="none"/>
          <w:lang w:eastAsia="zh-CN"/>
        </w:rPr>
        <w:t>（</w:t>
      </w:r>
      <w:r>
        <w:rPr>
          <w:rFonts w:hint="eastAsia" w:hAnsi="宋体" w:cs="宋体"/>
          <w:b w:val="0"/>
          <w:bCs/>
          <w:color w:val="auto"/>
          <w:sz w:val="21"/>
          <w:szCs w:val="21"/>
          <w:highlight w:val="none"/>
          <w:lang w:val="en-US" w:eastAsia="zh-CN"/>
        </w:rPr>
        <w:t>1</w:t>
      </w:r>
      <w:r>
        <w:rPr>
          <w:rFonts w:hint="eastAsia" w:ascii="宋体" w:hAnsi="宋体" w:eastAsia="宋体" w:cs="宋体"/>
          <w:b w:val="0"/>
          <w:bCs/>
          <w:color w:val="auto"/>
          <w:sz w:val="21"/>
          <w:szCs w:val="21"/>
          <w:highlight w:val="none"/>
          <w:lang w:val="en-US" w:eastAsia="zh-CN"/>
        </w:rPr>
        <w:t>分</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：措施不可行。</w:t>
      </w:r>
    </w:p>
    <w:p>
      <w:pPr>
        <w:pStyle w:val="11"/>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（9）新技术应用与承诺</w:t>
      </w:r>
      <w:r>
        <w:rPr>
          <w:rFonts w:hint="eastAsia" w:ascii="宋体" w:hAnsi="宋体" w:eastAsia="宋体" w:cs="宋体"/>
          <w:b/>
          <w:bCs w:val="0"/>
          <w:color w:val="auto"/>
          <w:sz w:val="21"/>
          <w:szCs w:val="21"/>
          <w:highlight w:val="none"/>
          <w:lang w:eastAsia="zh-CN"/>
        </w:rPr>
        <w:t>（</w:t>
      </w:r>
      <w:r>
        <w:rPr>
          <w:rFonts w:hint="eastAsia" w:hAnsi="宋体" w:cs="宋体"/>
          <w:b/>
          <w:bCs w:val="0"/>
          <w:color w:val="auto"/>
          <w:sz w:val="21"/>
          <w:szCs w:val="21"/>
          <w:highlight w:val="none"/>
          <w:lang w:val="en-US" w:eastAsia="zh-CN"/>
        </w:rPr>
        <w:t>5</w:t>
      </w:r>
      <w:r>
        <w:rPr>
          <w:rFonts w:hint="eastAsia" w:ascii="宋体" w:hAnsi="宋体" w:eastAsia="宋体" w:cs="宋体"/>
          <w:b/>
          <w:bCs w:val="0"/>
          <w:color w:val="auto"/>
          <w:sz w:val="21"/>
          <w:szCs w:val="21"/>
          <w:highlight w:val="none"/>
        </w:rPr>
        <w:t>分</w:t>
      </w:r>
      <w:r>
        <w:rPr>
          <w:rFonts w:hint="eastAsia" w:ascii="宋体" w:hAnsi="宋体" w:eastAsia="宋体" w:cs="宋体"/>
          <w:b/>
          <w:bCs w:val="0"/>
          <w:color w:val="auto"/>
          <w:sz w:val="21"/>
          <w:szCs w:val="21"/>
          <w:highlight w:val="none"/>
          <w:lang w:eastAsia="zh-CN"/>
        </w:rPr>
        <w:t>）</w:t>
      </w:r>
    </w:p>
    <w:p>
      <w:pPr>
        <w:pStyle w:val="11"/>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优</w:t>
      </w:r>
      <w:r>
        <w:rPr>
          <w:rFonts w:hint="eastAsia" w:ascii="宋体" w:hAnsi="宋体" w:eastAsia="宋体" w:cs="宋体"/>
          <w:b w:val="0"/>
          <w:bCs/>
          <w:color w:val="auto"/>
          <w:sz w:val="21"/>
          <w:szCs w:val="21"/>
          <w:highlight w:val="none"/>
          <w:lang w:eastAsia="zh-CN"/>
        </w:rPr>
        <w:t>（</w:t>
      </w:r>
      <w:r>
        <w:rPr>
          <w:rFonts w:hint="eastAsia" w:hAnsi="宋体" w:cs="宋体"/>
          <w:b w:val="0"/>
          <w:bCs/>
          <w:color w:val="auto"/>
          <w:sz w:val="21"/>
          <w:szCs w:val="21"/>
          <w:highlight w:val="none"/>
          <w:lang w:val="en-US" w:eastAsia="zh-CN"/>
        </w:rPr>
        <w:t>5</w:t>
      </w:r>
      <w:r>
        <w:rPr>
          <w:rFonts w:hint="eastAsia" w:ascii="宋体" w:hAnsi="宋体" w:eastAsia="宋体" w:cs="宋体"/>
          <w:b w:val="0"/>
          <w:bCs/>
          <w:color w:val="auto"/>
          <w:sz w:val="21"/>
          <w:szCs w:val="21"/>
          <w:highlight w:val="none"/>
          <w:lang w:val="en-US" w:eastAsia="zh-CN"/>
        </w:rPr>
        <w:t>分</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：针对项目实际，提出采用新技术的具体措施。新技术的验证材料可靠，对节约投资和工期的保证措施得力、具体、严谨。对采用新技术可能产生的风险预见充分，对新技术的实施有安全生产的可靠方案。</w:t>
      </w:r>
    </w:p>
    <w:p>
      <w:pPr>
        <w:pStyle w:val="11"/>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良</w:t>
      </w:r>
      <w:r>
        <w:rPr>
          <w:rFonts w:hint="eastAsia" w:ascii="宋体" w:hAnsi="宋体" w:eastAsia="宋体" w:cs="宋体"/>
          <w:b w:val="0"/>
          <w:bCs/>
          <w:color w:val="auto"/>
          <w:sz w:val="21"/>
          <w:szCs w:val="21"/>
          <w:highlight w:val="none"/>
          <w:lang w:eastAsia="zh-CN"/>
        </w:rPr>
        <w:t>（</w:t>
      </w:r>
      <w:r>
        <w:rPr>
          <w:rFonts w:hint="eastAsia" w:hAnsi="宋体" w:cs="宋体"/>
          <w:b w:val="0"/>
          <w:bCs/>
          <w:color w:val="auto"/>
          <w:sz w:val="21"/>
          <w:szCs w:val="21"/>
          <w:highlight w:val="none"/>
          <w:lang w:val="en-US" w:eastAsia="zh-CN"/>
        </w:rPr>
        <w:t>4</w:t>
      </w:r>
      <w:r>
        <w:rPr>
          <w:rFonts w:hint="eastAsia" w:ascii="宋体" w:hAnsi="宋体" w:eastAsia="宋体" w:cs="宋体"/>
          <w:b w:val="0"/>
          <w:bCs/>
          <w:color w:val="auto"/>
          <w:sz w:val="21"/>
          <w:szCs w:val="21"/>
          <w:highlight w:val="none"/>
          <w:lang w:val="en-US" w:eastAsia="zh-CN"/>
        </w:rPr>
        <w:t>分</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：针对项目实际，提出采用新技术的具体措施。新技术的验证材料可靠，对节约投资和工期有保证措施。对采用新技术可能产生的风险有一定的预见。</w:t>
      </w:r>
    </w:p>
    <w:p>
      <w:pPr>
        <w:pStyle w:val="11"/>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中</w:t>
      </w:r>
      <w:r>
        <w:rPr>
          <w:rFonts w:hint="eastAsia" w:ascii="宋体" w:hAnsi="宋体" w:eastAsia="宋体" w:cs="宋体"/>
          <w:b w:val="0"/>
          <w:bCs/>
          <w:color w:val="auto"/>
          <w:sz w:val="21"/>
          <w:szCs w:val="21"/>
          <w:highlight w:val="none"/>
          <w:lang w:eastAsia="zh-CN"/>
        </w:rPr>
        <w:t>（</w:t>
      </w:r>
      <w:r>
        <w:rPr>
          <w:rFonts w:hint="eastAsia" w:hAnsi="宋体" w:cs="宋体"/>
          <w:b w:val="0"/>
          <w:bCs/>
          <w:color w:val="auto"/>
          <w:sz w:val="21"/>
          <w:szCs w:val="21"/>
          <w:highlight w:val="none"/>
          <w:lang w:val="en-US" w:eastAsia="zh-CN"/>
        </w:rPr>
        <w:t>2</w:t>
      </w:r>
      <w:r>
        <w:rPr>
          <w:rFonts w:hint="eastAsia" w:ascii="宋体" w:hAnsi="宋体" w:eastAsia="宋体" w:cs="宋体"/>
          <w:b w:val="0"/>
          <w:bCs/>
          <w:color w:val="auto"/>
          <w:sz w:val="21"/>
          <w:szCs w:val="21"/>
          <w:highlight w:val="none"/>
          <w:lang w:val="en-US" w:eastAsia="zh-CN"/>
        </w:rPr>
        <w:t>分</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：有新技术措施，但验证材料不充分，对节约投资和工期可能有一定收益，对采用新技术可能产生的风险预见不足。</w:t>
      </w:r>
    </w:p>
    <w:p>
      <w:pPr>
        <w:pStyle w:val="11"/>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差</w:t>
      </w:r>
      <w:r>
        <w:rPr>
          <w:rFonts w:hint="eastAsia" w:ascii="宋体" w:hAnsi="宋体" w:eastAsia="宋体" w:cs="宋体"/>
          <w:b w:val="0"/>
          <w:bCs/>
          <w:color w:val="auto"/>
          <w:sz w:val="21"/>
          <w:szCs w:val="21"/>
          <w:highlight w:val="none"/>
          <w:lang w:eastAsia="zh-CN"/>
        </w:rPr>
        <w:t>（</w:t>
      </w:r>
      <w:r>
        <w:rPr>
          <w:rFonts w:hint="eastAsia" w:hAnsi="宋体" w:cs="宋体"/>
          <w:b w:val="0"/>
          <w:bCs/>
          <w:color w:val="auto"/>
          <w:sz w:val="21"/>
          <w:szCs w:val="21"/>
          <w:highlight w:val="none"/>
          <w:lang w:val="en-US" w:eastAsia="zh-CN"/>
        </w:rPr>
        <w:t>1</w:t>
      </w:r>
      <w:r>
        <w:rPr>
          <w:rFonts w:hint="eastAsia" w:ascii="宋体" w:hAnsi="宋体" w:eastAsia="宋体" w:cs="宋体"/>
          <w:b w:val="0"/>
          <w:bCs/>
          <w:color w:val="auto"/>
          <w:sz w:val="21"/>
          <w:szCs w:val="21"/>
          <w:highlight w:val="none"/>
          <w:lang w:val="en-US" w:eastAsia="zh-CN"/>
        </w:rPr>
        <w:t>分</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：采用的新技术针对性不强或验证材料不可靠，对节约投资和工期没有具体收益。</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316" w:firstLineChars="150"/>
        <w:textAlignment w:val="auto"/>
        <w:outlineLvl w:val="0"/>
        <w:rPr>
          <w:rFonts w:hint="eastAsia" w:ascii="宋体" w:hAnsi="宋体" w:eastAsia="宋体" w:cs="宋体"/>
          <w:b/>
          <w:bCs/>
          <w:color w:val="auto"/>
          <w:kern w:val="0"/>
          <w:sz w:val="21"/>
          <w:szCs w:val="21"/>
          <w:highlight w:val="none"/>
        </w:rPr>
      </w:pPr>
      <w:bookmarkStart w:id="142" w:name="_Toc9651"/>
      <w:r>
        <w:rPr>
          <w:rFonts w:hint="eastAsia" w:ascii="宋体" w:hAnsi="宋体" w:eastAsia="宋体" w:cs="宋体"/>
          <w:b/>
          <w:color w:val="auto"/>
          <w:kern w:val="0"/>
          <w:sz w:val="21"/>
          <w:szCs w:val="21"/>
          <w:highlight w:val="none"/>
        </w:rPr>
        <w:t>注：</w:t>
      </w:r>
      <w:r>
        <w:rPr>
          <w:rFonts w:hint="eastAsia" w:ascii="宋体" w:hAnsi="宋体" w:eastAsia="宋体" w:cs="宋体"/>
          <w:b/>
          <w:bCs/>
          <w:color w:val="auto"/>
          <w:kern w:val="0"/>
          <w:sz w:val="21"/>
          <w:szCs w:val="21"/>
          <w:highlight w:val="none"/>
        </w:rPr>
        <w:t>供应商未提供上述“施工组织技术方案”相应内容的，相应项不得分。</w:t>
      </w:r>
      <w:bookmarkEnd w:id="142"/>
    </w:p>
    <w:p>
      <w:pPr>
        <w:keepNext w:val="0"/>
        <w:keepLines w:val="0"/>
        <w:pageBreakBefore w:val="0"/>
        <w:widowControl w:val="0"/>
        <w:tabs>
          <w:tab w:val="left" w:pos="1305"/>
        </w:tabs>
        <w:kinsoku/>
        <w:wordWrap/>
        <w:overflowPunct/>
        <w:topLinePunct w:val="0"/>
        <w:autoSpaceDE/>
        <w:autoSpaceDN/>
        <w:bidi w:val="0"/>
        <w:adjustRightInd/>
        <w:snapToGrid/>
        <w:spacing w:line="400" w:lineRule="exact"/>
        <w:ind w:left="0" w:leftChars="0" w:firstLine="211" w:firstLineChars="100"/>
        <w:textAlignment w:val="auto"/>
        <w:rPr>
          <w:rFonts w:hint="eastAsia" w:ascii="宋体" w:hAnsi="宋体" w:eastAsia="宋体" w:cs="宋体"/>
          <w:b/>
          <w:bCs w:val="0"/>
          <w:color w:val="auto"/>
          <w:kern w:val="2"/>
          <w:sz w:val="21"/>
          <w:szCs w:val="21"/>
          <w:highlight w:val="none"/>
          <w:lang w:val="en-US" w:eastAsia="zh-CN" w:bidi="ar-SA"/>
        </w:rPr>
      </w:pPr>
      <w:r>
        <w:rPr>
          <w:rFonts w:hint="eastAsia" w:ascii="宋体" w:hAnsi="宋体" w:eastAsia="宋体" w:cs="宋体"/>
          <w:b/>
          <w:bCs w:val="0"/>
          <w:color w:val="auto"/>
          <w:kern w:val="2"/>
          <w:sz w:val="21"/>
          <w:szCs w:val="21"/>
          <w:highlight w:val="none"/>
          <w:lang w:val="en-US" w:eastAsia="zh-CN" w:bidi="ar-SA"/>
        </w:rPr>
        <w:t>3.拟投入主要管理人员配置…………………………………</w:t>
      </w:r>
      <w:r>
        <w:rPr>
          <w:rFonts w:hint="eastAsia" w:ascii="宋体" w:hAnsi="宋体" w:eastAsia="宋体" w:cs="宋体"/>
          <w:b/>
          <w:color w:val="auto"/>
          <w:sz w:val="21"/>
          <w:szCs w:val="21"/>
          <w:highlight w:val="none"/>
        </w:rPr>
        <w:t>………………………</w:t>
      </w:r>
      <w:r>
        <w:rPr>
          <w:rFonts w:hint="eastAsia" w:ascii="宋体" w:hAnsi="宋体" w:eastAsia="宋体" w:cs="宋体"/>
          <w:b/>
          <w:bCs w:val="0"/>
          <w:color w:val="auto"/>
          <w:kern w:val="2"/>
          <w:sz w:val="21"/>
          <w:szCs w:val="21"/>
          <w:highlight w:val="none"/>
          <w:lang w:val="en-US" w:eastAsia="zh-CN" w:bidi="ar-SA"/>
        </w:rPr>
        <w:t>……………</w:t>
      </w:r>
      <w:r>
        <w:rPr>
          <w:rFonts w:hint="eastAsia" w:ascii="宋体" w:hAnsi="宋体" w:eastAsia="宋体" w:cs="宋体"/>
          <w:b/>
          <w:bCs/>
          <w:color w:val="auto"/>
          <w:kern w:val="0"/>
          <w:sz w:val="21"/>
          <w:szCs w:val="21"/>
          <w:highlight w:val="none"/>
          <w:lang w:val="en-US" w:eastAsia="zh-CN" w:bidi="ar-SA"/>
        </w:rPr>
        <w:t>满分</w:t>
      </w:r>
      <w:r>
        <w:rPr>
          <w:rFonts w:hint="eastAsia" w:ascii="宋体" w:hAnsi="宋体" w:cs="宋体"/>
          <w:b/>
          <w:bCs/>
          <w:color w:val="auto"/>
          <w:kern w:val="0"/>
          <w:sz w:val="21"/>
          <w:szCs w:val="21"/>
          <w:highlight w:val="none"/>
          <w:lang w:val="en-US" w:eastAsia="zh-CN" w:bidi="ar-SA"/>
        </w:rPr>
        <w:t>4</w:t>
      </w:r>
      <w:r>
        <w:rPr>
          <w:rFonts w:hint="eastAsia" w:ascii="宋体" w:hAnsi="宋体" w:eastAsia="宋体" w:cs="宋体"/>
          <w:b/>
          <w:bCs/>
          <w:color w:val="auto"/>
          <w:kern w:val="0"/>
          <w:sz w:val="21"/>
          <w:szCs w:val="21"/>
          <w:highlight w:val="none"/>
          <w:lang w:val="en-US" w:eastAsia="zh-CN" w:bidi="ar-SA"/>
        </w:rPr>
        <w:t>分</w:t>
      </w:r>
    </w:p>
    <w:p>
      <w:pPr>
        <w:keepNext w:val="0"/>
        <w:keepLines w:val="0"/>
        <w:pageBreakBefore w:val="0"/>
        <w:kinsoku/>
        <w:wordWrap/>
        <w:overflowPunct/>
        <w:topLinePunct w:val="0"/>
        <w:autoSpaceDE/>
        <w:autoSpaceDN/>
        <w:bidi w:val="0"/>
        <w:adjustRightInd/>
        <w:spacing w:line="400" w:lineRule="exact"/>
        <w:ind w:left="0" w:leftChars="0" w:firstLine="420" w:firstLineChars="200"/>
        <w:rPr>
          <w:rFonts w:hint="eastAsia" w:ascii="宋体" w:hAnsi="宋体" w:eastAsia="宋体" w:cs="宋体"/>
          <w:b/>
          <w:bCs/>
          <w:color w:val="auto"/>
          <w:sz w:val="21"/>
          <w:szCs w:val="21"/>
          <w:highlight w:val="none"/>
        </w:rPr>
      </w:pPr>
      <w:r>
        <w:rPr>
          <w:rFonts w:hint="eastAsia" w:ascii="宋体" w:hAnsi="宋体" w:eastAsia="宋体" w:cs="宋体"/>
          <w:b w:val="0"/>
          <w:bCs w:val="0"/>
          <w:color w:val="auto"/>
          <w:kern w:val="2"/>
          <w:sz w:val="21"/>
          <w:szCs w:val="21"/>
          <w:highlight w:val="none"/>
          <w:lang w:val="en-US" w:eastAsia="zh-CN" w:bidi="ar-SA"/>
        </w:rPr>
        <w:t>（1）项目经理资格：具有</w:t>
      </w:r>
      <w:r>
        <w:rPr>
          <w:rFonts w:hint="eastAsia" w:ascii="宋体" w:hAnsi="宋体" w:cs="宋体"/>
          <w:b w:val="0"/>
          <w:bCs w:val="0"/>
          <w:color w:val="auto"/>
          <w:kern w:val="2"/>
          <w:sz w:val="21"/>
          <w:szCs w:val="21"/>
          <w:highlight w:val="none"/>
          <w:lang w:val="en-US" w:eastAsia="zh-CN" w:bidi="ar-SA"/>
        </w:rPr>
        <w:t>建筑工程专业</w:t>
      </w:r>
      <w:r>
        <w:rPr>
          <w:rFonts w:hint="eastAsia" w:ascii="宋体" w:hAnsi="宋体" w:eastAsia="宋体" w:cs="宋体"/>
          <w:b w:val="0"/>
          <w:bCs w:val="0"/>
          <w:color w:val="auto"/>
          <w:kern w:val="2"/>
          <w:sz w:val="21"/>
          <w:szCs w:val="21"/>
          <w:highlight w:val="none"/>
          <w:lang w:val="en-US" w:eastAsia="zh-CN" w:bidi="ar-SA"/>
        </w:rPr>
        <w:t>的二级注册建造师级和有效的安全生产考核</w:t>
      </w:r>
      <w:r>
        <w:rPr>
          <w:rFonts w:hint="eastAsia" w:ascii="宋体" w:hAnsi="宋体" w:eastAsia="宋体" w:cs="宋体"/>
          <w:b w:val="0"/>
          <w:bCs w:val="0"/>
          <w:color w:val="auto"/>
          <w:kern w:val="0"/>
          <w:sz w:val="21"/>
          <w:szCs w:val="21"/>
          <w:highlight w:val="none"/>
        </w:rPr>
        <w:t>合格证</w:t>
      </w:r>
      <w:r>
        <w:rPr>
          <w:rFonts w:hint="eastAsia" w:ascii="宋体" w:hAnsi="宋体" w:eastAsia="宋体" w:cs="宋体"/>
          <w:color w:val="auto"/>
          <w:kern w:val="0"/>
          <w:sz w:val="21"/>
          <w:szCs w:val="21"/>
          <w:highlight w:val="none"/>
        </w:rPr>
        <w:t>书（B类）的得</w:t>
      </w:r>
      <w:r>
        <w:rPr>
          <w:rFonts w:hint="eastAsia" w:ascii="宋体" w:hAnsi="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分</w:t>
      </w:r>
      <w:r>
        <w:rPr>
          <w:rFonts w:hint="eastAsia" w:ascii="宋体" w:hAnsi="宋体" w:cs="宋体"/>
          <w:color w:val="auto"/>
          <w:kern w:val="0"/>
          <w:sz w:val="21"/>
          <w:szCs w:val="21"/>
          <w:highlight w:val="none"/>
          <w:lang w:eastAsia="zh-CN"/>
        </w:rPr>
        <w:t>。</w:t>
      </w:r>
      <w:r>
        <w:rPr>
          <w:rFonts w:hint="eastAsia" w:ascii="宋体" w:hAnsi="宋体" w:eastAsia="宋体" w:cs="宋体"/>
          <w:b/>
          <w:bCs/>
          <w:color w:val="auto"/>
          <w:sz w:val="21"/>
          <w:szCs w:val="21"/>
          <w:highlight w:val="none"/>
        </w:rPr>
        <w:t>（满分</w:t>
      </w:r>
      <w:r>
        <w:rPr>
          <w:rFonts w:hint="eastAsia" w:ascii="宋体" w:hAnsi="宋体" w:cs="宋体"/>
          <w:b/>
          <w:bCs/>
          <w:color w:val="auto"/>
          <w:sz w:val="21"/>
          <w:szCs w:val="21"/>
          <w:highlight w:val="none"/>
          <w:lang w:val="en-US" w:eastAsia="zh-CN"/>
        </w:rPr>
        <w:t>1</w:t>
      </w:r>
      <w:r>
        <w:rPr>
          <w:rFonts w:hint="eastAsia" w:ascii="宋体" w:hAnsi="宋体" w:eastAsia="宋体" w:cs="宋体"/>
          <w:b/>
          <w:bCs/>
          <w:color w:val="auto"/>
          <w:sz w:val="21"/>
          <w:szCs w:val="21"/>
          <w:highlight w:val="none"/>
        </w:rPr>
        <w:t>分）</w:t>
      </w:r>
    </w:p>
    <w:p>
      <w:pPr>
        <w:pStyle w:val="27"/>
        <w:keepNext w:val="0"/>
        <w:keepLines w:val="0"/>
        <w:pageBreakBefore w:val="0"/>
        <w:kinsoku/>
        <w:wordWrap/>
        <w:overflowPunct/>
        <w:topLinePunct w:val="0"/>
        <w:autoSpaceDE/>
        <w:autoSpaceDN/>
        <w:bidi w:val="0"/>
        <w:adjustRightInd/>
        <w:snapToGrid w:val="0"/>
        <w:spacing w:line="4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eastAsia="zh-CN"/>
        </w:rPr>
        <w:t>）技术负责人：</w:t>
      </w:r>
      <w:r>
        <w:rPr>
          <w:rFonts w:hint="eastAsia" w:ascii="宋体" w:hAnsi="宋体" w:eastAsia="宋体" w:cs="宋体"/>
          <w:color w:val="auto"/>
          <w:sz w:val="21"/>
          <w:szCs w:val="21"/>
          <w:highlight w:val="none"/>
        </w:rPr>
        <w:t>具有</w:t>
      </w:r>
      <w:r>
        <w:rPr>
          <w:rFonts w:hint="eastAsia" w:ascii="宋体" w:hAnsi="宋体" w:cs="宋体"/>
          <w:b w:val="0"/>
          <w:bCs w:val="0"/>
          <w:color w:val="auto"/>
          <w:kern w:val="2"/>
          <w:sz w:val="21"/>
          <w:szCs w:val="21"/>
          <w:highlight w:val="none"/>
          <w:lang w:val="en-US" w:eastAsia="zh-CN" w:bidi="ar-SA"/>
        </w:rPr>
        <w:t>建筑工程专业</w:t>
      </w:r>
      <w:r>
        <w:rPr>
          <w:rFonts w:hint="eastAsia" w:ascii="宋体" w:hAnsi="宋体" w:eastAsia="宋体" w:cs="宋体"/>
          <w:color w:val="auto"/>
          <w:sz w:val="21"/>
          <w:szCs w:val="21"/>
          <w:highlight w:val="none"/>
        </w:rPr>
        <w:t>中级工程师职称的得</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分；</w:t>
      </w:r>
      <w:r>
        <w:rPr>
          <w:rFonts w:hint="eastAsia" w:ascii="宋体" w:hAnsi="宋体" w:eastAsia="宋体" w:cs="宋体"/>
          <w:b/>
          <w:bCs/>
          <w:color w:val="auto"/>
          <w:sz w:val="21"/>
          <w:szCs w:val="21"/>
          <w:highlight w:val="none"/>
        </w:rPr>
        <w:t>（满分</w:t>
      </w:r>
      <w:r>
        <w:rPr>
          <w:rFonts w:hint="eastAsia" w:ascii="宋体" w:hAnsi="宋体" w:cs="宋体"/>
          <w:b/>
          <w:bCs/>
          <w:color w:val="auto"/>
          <w:sz w:val="21"/>
          <w:szCs w:val="21"/>
          <w:highlight w:val="none"/>
          <w:lang w:val="en-US" w:eastAsia="zh-CN"/>
        </w:rPr>
        <w:t>1</w:t>
      </w:r>
      <w:r>
        <w:rPr>
          <w:rFonts w:hint="eastAsia" w:ascii="宋体" w:hAnsi="宋体" w:eastAsia="宋体" w:cs="宋体"/>
          <w:b/>
          <w:bCs/>
          <w:color w:val="auto"/>
          <w:sz w:val="21"/>
          <w:szCs w:val="21"/>
          <w:highlight w:val="none"/>
        </w:rPr>
        <w:t>分）</w:t>
      </w:r>
    </w:p>
    <w:p>
      <w:pPr>
        <w:keepNext w:val="0"/>
        <w:keepLines w:val="0"/>
        <w:pageBreakBefore w:val="0"/>
        <w:widowControl/>
        <w:kinsoku/>
        <w:wordWrap/>
        <w:overflowPunct/>
        <w:topLinePunct w:val="0"/>
        <w:autoSpaceDE/>
        <w:autoSpaceDN/>
        <w:bidi w:val="0"/>
        <w:adjustRightInd/>
        <w:spacing w:line="400" w:lineRule="exact"/>
        <w:ind w:left="0" w:leftChars="0" w:firstLine="420" w:firstLineChars="200"/>
        <w:jc w:val="left"/>
        <w:textAlignment w:val="center"/>
        <w:rPr>
          <w:rFonts w:hint="eastAsia" w:ascii="宋体" w:hAnsi="宋体" w:eastAsia="宋体" w:cs="宋体"/>
          <w:b/>
          <w:bCs/>
          <w:color w:val="auto"/>
          <w:sz w:val="21"/>
          <w:szCs w:val="21"/>
          <w:highlight w:val="none"/>
        </w:rPr>
      </w:pPr>
      <w:r>
        <w:rPr>
          <w:rFonts w:hint="eastAsia" w:ascii="宋体" w:hAnsi="宋体" w:eastAsia="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val="en-US" w:eastAsia="zh-CN" w:bidi="ar"/>
        </w:rPr>
        <w:t>3</w:t>
      </w:r>
      <w:r>
        <w:rPr>
          <w:rFonts w:hint="eastAsia" w:ascii="宋体" w:hAnsi="宋体" w:eastAsia="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安全员具备有效安全生产考核合格证书（C类）</w:t>
      </w:r>
      <w:r>
        <w:rPr>
          <w:rFonts w:hint="eastAsia" w:ascii="宋体" w:hAnsi="宋体" w:eastAsia="宋体" w:cs="宋体"/>
          <w:color w:val="auto"/>
          <w:sz w:val="21"/>
          <w:szCs w:val="21"/>
          <w:highlight w:val="none"/>
        </w:rPr>
        <w:t>的得</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分。</w:t>
      </w:r>
      <w:r>
        <w:rPr>
          <w:rFonts w:hint="eastAsia" w:ascii="宋体" w:hAnsi="宋体" w:eastAsia="宋体" w:cs="宋体"/>
          <w:b/>
          <w:bCs/>
          <w:color w:val="auto"/>
          <w:sz w:val="21"/>
          <w:szCs w:val="21"/>
          <w:highlight w:val="none"/>
        </w:rPr>
        <w:t>（满分</w:t>
      </w:r>
      <w:r>
        <w:rPr>
          <w:rFonts w:hint="eastAsia" w:ascii="宋体" w:hAnsi="宋体" w:eastAsia="宋体" w:cs="宋体"/>
          <w:b/>
          <w:bCs/>
          <w:color w:val="auto"/>
          <w:sz w:val="21"/>
          <w:szCs w:val="21"/>
          <w:highlight w:val="none"/>
          <w:lang w:val="en-US" w:eastAsia="zh-CN"/>
        </w:rPr>
        <w:t>1</w:t>
      </w:r>
      <w:r>
        <w:rPr>
          <w:rFonts w:hint="eastAsia" w:ascii="宋体" w:hAnsi="宋体" w:eastAsia="宋体" w:cs="宋体"/>
          <w:b/>
          <w:bCs/>
          <w:color w:val="auto"/>
          <w:sz w:val="21"/>
          <w:szCs w:val="21"/>
          <w:highlight w:val="none"/>
        </w:rPr>
        <w:t>分）</w:t>
      </w:r>
    </w:p>
    <w:p>
      <w:pPr>
        <w:keepNext w:val="0"/>
        <w:keepLines w:val="0"/>
        <w:pageBreakBefore w:val="0"/>
        <w:widowControl/>
        <w:kinsoku/>
        <w:wordWrap/>
        <w:overflowPunct/>
        <w:topLinePunct w:val="0"/>
        <w:autoSpaceDE/>
        <w:autoSpaceDN/>
        <w:bidi w:val="0"/>
        <w:adjustRightInd/>
        <w:spacing w:line="400" w:lineRule="exact"/>
        <w:ind w:left="0" w:leftChars="0" w:firstLine="420" w:firstLineChars="200"/>
        <w:jc w:val="left"/>
        <w:textAlignment w:val="center"/>
        <w:rPr>
          <w:rFonts w:hint="eastAsia" w:ascii="宋体" w:hAnsi="宋体" w:eastAsia="宋体" w:cs="宋体"/>
          <w:b/>
          <w:bCs/>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（4）</w:t>
      </w:r>
      <w:r>
        <w:rPr>
          <w:rFonts w:hint="eastAsia" w:ascii="宋体" w:hAnsi="宋体" w:eastAsia="宋体" w:cs="宋体"/>
          <w:color w:val="auto"/>
          <w:kern w:val="0"/>
          <w:sz w:val="21"/>
          <w:szCs w:val="21"/>
          <w:highlight w:val="none"/>
          <w:lang w:bidi="ar"/>
        </w:rPr>
        <w:t>施工员具备有</w:t>
      </w:r>
      <w:r>
        <w:rPr>
          <w:rFonts w:hint="eastAsia" w:ascii="宋体" w:hAnsi="宋体" w:cs="宋体"/>
          <w:color w:val="auto"/>
          <w:kern w:val="0"/>
          <w:sz w:val="21"/>
          <w:szCs w:val="21"/>
          <w:highlight w:val="none"/>
          <w:lang w:eastAsia="zh-CN" w:bidi="ar"/>
        </w:rPr>
        <w:t>岗位证</w:t>
      </w:r>
      <w:r>
        <w:rPr>
          <w:rFonts w:hint="eastAsia" w:ascii="宋体" w:hAnsi="宋体" w:eastAsia="宋体" w:cs="宋体"/>
          <w:color w:val="auto"/>
          <w:kern w:val="0"/>
          <w:sz w:val="21"/>
          <w:szCs w:val="21"/>
          <w:highlight w:val="none"/>
          <w:lang w:bidi="ar"/>
        </w:rPr>
        <w:t>的得</w:t>
      </w:r>
      <w:r>
        <w:rPr>
          <w:rFonts w:hint="eastAsia" w:ascii="宋体" w:hAnsi="宋体" w:eastAsia="宋体" w:cs="宋体"/>
          <w:color w:val="auto"/>
          <w:kern w:val="0"/>
          <w:sz w:val="21"/>
          <w:szCs w:val="21"/>
          <w:highlight w:val="none"/>
          <w:lang w:val="en-US" w:eastAsia="zh-CN" w:bidi="ar"/>
        </w:rPr>
        <w:t>0.5</w:t>
      </w:r>
      <w:r>
        <w:rPr>
          <w:rFonts w:hint="eastAsia" w:ascii="宋体" w:hAnsi="宋体" w:eastAsia="宋体" w:cs="宋体"/>
          <w:color w:val="auto"/>
          <w:kern w:val="0"/>
          <w:sz w:val="21"/>
          <w:szCs w:val="21"/>
          <w:highlight w:val="none"/>
          <w:lang w:bidi="ar"/>
        </w:rPr>
        <w:t>分。</w:t>
      </w:r>
      <w:r>
        <w:rPr>
          <w:rFonts w:hint="eastAsia" w:ascii="宋体" w:hAnsi="宋体" w:eastAsia="宋体" w:cs="宋体"/>
          <w:b/>
          <w:bCs/>
          <w:color w:val="auto"/>
          <w:kern w:val="0"/>
          <w:sz w:val="21"/>
          <w:szCs w:val="21"/>
          <w:highlight w:val="none"/>
          <w:lang w:bidi="ar"/>
        </w:rPr>
        <w:t>（满分</w:t>
      </w:r>
      <w:r>
        <w:rPr>
          <w:rFonts w:hint="eastAsia" w:ascii="宋体" w:hAnsi="宋体" w:cs="宋体"/>
          <w:b/>
          <w:bCs/>
          <w:color w:val="auto"/>
          <w:kern w:val="0"/>
          <w:sz w:val="21"/>
          <w:szCs w:val="21"/>
          <w:highlight w:val="none"/>
          <w:lang w:val="en-US" w:eastAsia="zh-CN" w:bidi="ar"/>
        </w:rPr>
        <w:t>0.5</w:t>
      </w:r>
      <w:r>
        <w:rPr>
          <w:rFonts w:hint="eastAsia" w:ascii="宋体" w:hAnsi="宋体" w:eastAsia="宋体" w:cs="宋体"/>
          <w:b/>
          <w:bCs/>
          <w:color w:val="auto"/>
          <w:kern w:val="0"/>
          <w:sz w:val="21"/>
          <w:szCs w:val="21"/>
          <w:highlight w:val="none"/>
          <w:lang w:bidi="ar"/>
        </w:rPr>
        <w:t>分）</w:t>
      </w:r>
    </w:p>
    <w:p>
      <w:pPr>
        <w:keepNext w:val="0"/>
        <w:keepLines w:val="0"/>
        <w:pageBreakBefore w:val="0"/>
        <w:widowControl/>
        <w:kinsoku/>
        <w:wordWrap/>
        <w:overflowPunct/>
        <w:topLinePunct w:val="0"/>
        <w:autoSpaceDE/>
        <w:autoSpaceDN/>
        <w:bidi w:val="0"/>
        <w:adjustRightInd/>
        <w:spacing w:line="400" w:lineRule="exact"/>
        <w:ind w:left="0" w:leftChars="0" w:firstLine="420" w:firstLineChars="200"/>
        <w:jc w:val="left"/>
        <w:textAlignment w:val="center"/>
        <w:rPr>
          <w:rFonts w:hint="eastAsia" w:ascii="宋体" w:hAnsi="宋体" w:eastAsia="宋体" w:cs="宋体"/>
          <w:b/>
          <w:bCs w:val="0"/>
          <w:color w:val="auto"/>
          <w:kern w:val="2"/>
          <w:sz w:val="21"/>
          <w:szCs w:val="21"/>
          <w:highlight w:val="none"/>
          <w:lang w:val="en-US" w:eastAsia="zh-CN" w:bidi="ar-SA"/>
        </w:rPr>
      </w:pPr>
      <w:r>
        <w:rPr>
          <w:rFonts w:hint="eastAsia" w:ascii="宋体" w:hAnsi="宋体" w:eastAsia="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val="en-US" w:eastAsia="zh-CN" w:bidi="ar"/>
        </w:rPr>
        <w:t>5</w:t>
      </w:r>
      <w:r>
        <w:rPr>
          <w:rFonts w:hint="eastAsia" w:ascii="宋体" w:hAnsi="宋体" w:eastAsia="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质量员</w:t>
      </w:r>
      <w:r>
        <w:rPr>
          <w:rFonts w:hint="eastAsia" w:ascii="宋体" w:hAnsi="宋体" w:eastAsia="宋体" w:cs="宋体"/>
          <w:color w:val="auto"/>
          <w:sz w:val="21"/>
          <w:szCs w:val="21"/>
          <w:highlight w:val="none"/>
        </w:rPr>
        <w:t>具有</w:t>
      </w:r>
      <w:r>
        <w:rPr>
          <w:rFonts w:hint="eastAsia" w:ascii="宋体" w:hAnsi="宋体" w:cs="宋体"/>
          <w:color w:val="auto"/>
          <w:kern w:val="0"/>
          <w:sz w:val="21"/>
          <w:szCs w:val="21"/>
          <w:highlight w:val="none"/>
          <w:lang w:eastAsia="zh-CN" w:bidi="ar"/>
        </w:rPr>
        <w:t>岗位证</w:t>
      </w:r>
      <w:r>
        <w:rPr>
          <w:rFonts w:hint="eastAsia" w:ascii="宋体" w:hAnsi="宋体" w:eastAsia="宋体" w:cs="宋体"/>
          <w:color w:val="auto"/>
          <w:sz w:val="21"/>
          <w:szCs w:val="21"/>
          <w:highlight w:val="none"/>
        </w:rPr>
        <w:t>的得</w:t>
      </w:r>
      <w:r>
        <w:rPr>
          <w:rFonts w:hint="eastAsia" w:ascii="宋体" w:hAnsi="宋体" w:eastAsia="宋体" w:cs="宋体"/>
          <w:color w:val="auto"/>
          <w:sz w:val="21"/>
          <w:szCs w:val="21"/>
          <w:highlight w:val="none"/>
          <w:lang w:val="en-US" w:eastAsia="zh-CN"/>
        </w:rPr>
        <w:t>0.5</w:t>
      </w:r>
      <w:r>
        <w:rPr>
          <w:rFonts w:hint="eastAsia" w:ascii="宋体" w:hAnsi="宋体" w:eastAsia="宋体" w:cs="宋体"/>
          <w:color w:val="auto"/>
          <w:sz w:val="21"/>
          <w:szCs w:val="21"/>
          <w:highlight w:val="none"/>
        </w:rPr>
        <w:t>分。</w:t>
      </w:r>
      <w:r>
        <w:rPr>
          <w:rFonts w:hint="eastAsia" w:ascii="宋体" w:hAnsi="宋体" w:eastAsia="宋体" w:cs="宋体"/>
          <w:b/>
          <w:bCs/>
          <w:color w:val="auto"/>
          <w:sz w:val="21"/>
          <w:szCs w:val="21"/>
          <w:highlight w:val="none"/>
        </w:rPr>
        <w:t>（满分</w:t>
      </w:r>
      <w:r>
        <w:rPr>
          <w:rFonts w:hint="eastAsia" w:ascii="宋体" w:hAnsi="宋体" w:cs="宋体"/>
          <w:b/>
          <w:bCs/>
          <w:color w:val="auto"/>
          <w:sz w:val="21"/>
          <w:szCs w:val="21"/>
          <w:highlight w:val="none"/>
          <w:lang w:val="en-US" w:eastAsia="zh-CN"/>
        </w:rPr>
        <w:t>0.5</w:t>
      </w:r>
      <w:r>
        <w:rPr>
          <w:rFonts w:hint="eastAsia" w:ascii="宋体" w:hAnsi="宋体" w:eastAsia="宋体" w:cs="宋体"/>
          <w:b/>
          <w:bCs/>
          <w:color w:val="auto"/>
          <w:sz w:val="21"/>
          <w:szCs w:val="21"/>
          <w:highlight w:val="none"/>
        </w:rPr>
        <w:t>分）</w:t>
      </w:r>
    </w:p>
    <w:p>
      <w:pPr>
        <w:keepNext w:val="0"/>
        <w:keepLines w:val="0"/>
        <w:pageBreakBefore w:val="0"/>
        <w:widowControl w:val="0"/>
        <w:numPr>
          <w:ilvl w:val="0"/>
          <w:numId w:val="0"/>
        </w:numPr>
        <w:tabs>
          <w:tab w:val="left" w:pos="1305"/>
        </w:tabs>
        <w:kinsoku/>
        <w:wordWrap/>
        <w:overflowPunct/>
        <w:topLinePunct w:val="0"/>
        <w:autoSpaceDE/>
        <w:autoSpaceDN/>
        <w:bidi w:val="0"/>
        <w:adjustRightInd/>
        <w:snapToGrid/>
        <w:spacing w:line="400" w:lineRule="exact"/>
        <w:ind w:left="0" w:leftChars="0" w:firstLine="211" w:firstLineChars="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kern w:val="2"/>
          <w:sz w:val="21"/>
          <w:szCs w:val="21"/>
          <w:highlight w:val="none"/>
          <w:lang w:val="en-US" w:eastAsia="zh-CN" w:bidi="ar-SA"/>
        </w:rPr>
        <w:t>4.</w:t>
      </w:r>
      <w:r>
        <w:rPr>
          <w:rFonts w:hint="eastAsia" w:ascii="宋体" w:hAnsi="宋体" w:eastAsia="宋体" w:cs="宋体"/>
          <w:b/>
          <w:bCs/>
          <w:color w:val="auto"/>
          <w:sz w:val="21"/>
          <w:szCs w:val="21"/>
          <w:highlight w:val="none"/>
          <w:lang w:val="en-US" w:eastAsia="zh-CN"/>
        </w:rPr>
        <w:t>信誉业绩分</w:t>
      </w:r>
      <w:r>
        <w:rPr>
          <w:rFonts w:hint="eastAsia" w:ascii="宋体" w:hAnsi="宋体" w:eastAsia="宋体" w:cs="宋体"/>
          <w:b/>
          <w:bCs/>
          <w:color w:val="auto"/>
          <w:sz w:val="21"/>
          <w:szCs w:val="21"/>
          <w:highlight w:val="none"/>
        </w:rPr>
        <w:t>………………………………</w:t>
      </w:r>
      <w:r>
        <w:rPr>
          <w:rFonts w:hint="eastAsia" w:ascii="宋体" w:hAnsi="宋体" w:eastAsia="宋体" w:cs="宋体"/>
          <w:b/>
          <w:bCs w:val="0"/>
          <w:color w:val="auto"/>
          <w:kern w:val="2"/>
          <w:sz w:val="21"/>
          <w:szCs w:val="21"/>
          <w:highlight w:val="none"/>
          <w:lang w:val="en-US" w:eastAsia="zh-CN" w:bidi="ar-SA"/>
        </w:rPr>
        <w:t>……………………</w:t>
      </w:r>
      <w:r>
        <w:rPr>
          <w:rFonts w:hint="eastAsia" w:ascii="宋体" w:hAnsi="宋体" w:eastAsia="宋体" w:cs="宋体"/>
          <w:b/>
          <w:bCs/>
          <w:color w:val="auto"/>
          <w:sz w:val="21"/>
          <w:szCs w:val="21"/>
          <w:highlight w:val="none"/>
        </w:rPr>
        <w:t>……………………</w:t>
      </w:r>
      <w:r>
        <w:rPr>
          <w:rFonts w:hint="eastAsia" w:ascii="宋体" w:hAnsi="宋体" w:eastAsia="宋体" w:cs="宋体"/>
          <w:b/>
          <w:bCs w:val="0"/>
          <w:color w:val="auto"/>
          <w:kern w:val="2"/>
          <w:sz w:val="21"/>
          <w:szCs w:val="21"/>
          <w:highlight w:val="none"/>
          <w:lang w:val="en-US" w:eastAsia="zh-CN" w:bidi="ar-SA"/>
        </w:rPr>
        <w:t>……………</w:t>
      </w:r>
      <w:r>
        <w:rPr>
          <w:rFonts w:hint="eastAsia" w:ascii="宋体" w:hAnsi="宋体" w:eastAsia="宋体" w:cs="宋体"/>
          <w:b/>
          <w:bCs/>
          <w:color w:val="auto"/>
          <w:sz w:val="21"/>
          <w:szCs w:val="21"/>
          <w:highlight w:val="none"/>
          <w:lang w:eastAsia="zh-CN"/>
        </w:rPr>
        <w:t>满分</w:t>
      </w:r>
      <w:r>
        <w:rPr>
          <w:rFonts w:hint="eastAsia" w:ascii="宋体" w:hAnsi="宋体" w:cs="宋体"/>
          <w:b/>
          <w:bCs/>
          <w:color w:val="auto"/>
          <w:sz w:val="21"/>
          <w:szCs w:val="21"/>
          <w:highlight w:val="none"/>
          <w:lang w:val="en-US" w:eastAsia="zh-CN"/>
        </w:rPr>
        <w:t>6</w:t>
      </w:r>
      <w:r>
        <w:rPr>
          <w:rFonts w:hint="eastAsia" w:ascii="宋体" w:hAnsi="宋体" w:eastAsia="宋体" w:cs="宋体"/>
          <w:b/>
          <w:bCs/>
          <w:color w:val="auto"/>
          <w:sz w:val="21"/>
          <w:szCs w:val="21"/>
          <w:highlight w:val="none"/>
        </w:rPr>
        <w:t>分</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eastAsia="zh-CN"/>
        </w:rPr>
        <w:t>供应商202</w:t>
      </w:r>
      <w:r>
        <w:rPr>
          <w:rFonts w:hint="eastAsia" w:ascii="宋体" w:hAnsi="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eastAsia="zh-CN"/>
        </w:rPr>
        <w:t>年1月1日以来</w:t>
      </w:r>
      <w:r>
        <w:rPr>
          <w:rFonts w:hint="eastAsia" w:ascii="宋体" w:hAnsi="宋体" w:eastAsia="宋体" w:cs="宋体"/>
          <w:color w:val="auto"/>
          <w:highlight w:val="none"/>
          <w:lang w:val="zh-CN"/>
        </w:rPr>
        <w:t>承接过</w:t>
      </w:r>
      <w:r>
        <w:rPr>
          <w:rFonts w:hint="eastAsia" w:ascii="宋体" w:hAnsi="宋体" w:cs="宋体"/>
          <w:color w:val="auto"/>
          <w:highlight w:val="none"/>
          <w:lang w:val="zh-CN"/>
        </w:rPr>
        <w:t>或在建房屋</w:t>
      </w:r>
      <w:r>
        <w:rPr>
          <w:rFonts w:hint="eastAsia" w:ascii="宋体" w:hAnsi="宋体" w:cs="宋体"/>
          <w:color w:val="auto"/>
          <w:highlight w:val="none"/>
          <w:lang w:val="en-US" w:eastAsia="zh-CN"/>
        </w:rPr>
        <w:t>建筑工程</w:t>
      </w:r>
      <w:r>
        <w:rPr>
          <w:rFonts w:hint="eastAsia" w:ascii="宋体" w:hAnsi="宋体" w:eastAsia="宋体" w:cs="宋体"/>
          <w:color w:val="auto"/>
          <w:highlight w:val="none"/>
          <w:lang w:val="zh-CN"/>
        </w:rPr>
        <w:t>项目的，每项得</w:t>
      </w:r>
      <w:r>
        <w:rPr>
          <w:rFonts w:hint="eastAsia" w:ascii="宋体" w:hAnsi="宋体" w:cs="宋体"/>
          <w:color w:val="auto"/>
          <w:highlight w:val="none"/>
          <w:lang w:val="en-US" w:eastAsia="zh-CN"/>
        </w:rPr>
        <w:t>2</w:t>
      </w:r>
      <w:r>
        <w:rPr>
          <w:rFonts w:hint="eastAsia" w:ascii="宋体" w:hAnsi="宋体" w:eastAsia="宋体" w:cs="宋体"/>
          <w:color w:val="auto"/>
          <w:highlight w:val="none"/>
          <w:lang w:val="zh-CN"/>
        </w:rPr>
        <w:t>分，满分</w:t>
      </w:r>
      <w:r>
        <w:rPr>
          <w:rFonts w:hint="eastAsia" w:ascii="宋体" w:hAnsi="宋体" w:cs="宋体"/>
          <w:color w:val="auto"/>
          <w:highlight w:val="none"/>
          <w:lang w:val="en-US" w:eastAsia="zh-CN"/>
        </w:rPr>
        <w:t>6</w:t>
      </w:r>
      <w:r>
        <w:rPr>
          <w:rFonts w:hint="eastAsia" w:ascii="宋体" w:hAnsi="宋体" w:eastAsia="宋体" w:cs="宋体"/>
          <w:color w:val="auto"/>
          <w:highlight w:val="none"/>
          <w:lang w:val="zh-CN"/>
        </w:rPr>
        <w:t>分。（类似工程应附中标通知书或合同协议书扫描件。以上扫描件均须加盖投标单位公章投标人公章 (CA 签章）</w:t>
      </w:r>
      <w:r>
        <w:rPr>
          <w:rFonts w:hint="eastAsia" w:ascii="宋体" w:hAnsi="宋体" w:cs="宋体"/>
          <w:color w:val="auto"/>
          <w:highlight w:val="none"/>
          <w:lang w:val="zh-CN"/>
        </w:rPr>
        <w:t>。</w:t>
      </w:r>
    </w:p>
    <w:p>
      <w:pPr>
        <w:pStyle w:val="28"/>
        <w:keepNext w:val="0"/>
        <w:keepLines w:val="0"/>
        <w:pageBreakBefore w:val="0"/>
        <w:kinsoku/>
        <w:wordWrap/>
        <w:overflowPunct/>
        <w:topLinePunct w:val="0"/>
        <w:autoSpaceDE/>
        <w:autoSpaceDN/>
        <w:bidi w:val="0"/>
        <w:adjustRightInd/>
        <w:spacing w:line="400" w:lineRule="exact"/>
        <w:ind w:left="0" w:leftChars="0" w:firstLine="0" w:firstLineChars="0"/>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 xml:space="preserve">  5.综合得分＝1+2+3+4</w:t>
      </w:r>
    </w:p>
    <w:p>
      <w:pPr>
        <w:keepNext w:val="0"/>
        <w:keepLines w:val="0"/>
        <w:pageBreakBefore w:val="0"/>
        <w:widowControl w:val="0"/>
        <w:tabs>
          <w:tab w:val="left" w:pos="1305"/>
        </w:tabs>
        <w:kinsoku/>
        <w:wordWrap/>
        <w:overflowPunct/>
        <w:topLinePunct w:val="0"/>
        <w:autoSpaceDE/>
        <w:autoSpaceDN/>
        <w:bidi w:val="0"/>
        <w:adjustRightInd/>
        <w:snapToGrid/>
        <w:spacing w:line="400" w:lineRule="exact"/>
        <w:ind w:left="0" w:leftChars="0" w:firstLine="211" w:firstLineChars="10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val="en-US" w:eastAsia="zh-CN"/>
        </w:rPr>
        <w:t>三、</w:t>
      </w:r>
      <w:r>
        <w:rPr>
          <w:rFonts w:hint="eastAsia" w:ascii="宋体" w:hAnsi="宋体" w:eastAsia="宋体" w:cs="宋体"/>
          <w:b/>
          <w:color w:val="auto"/>
          <w:sz w:val="21"/>
          <w:szCs w:val="21"/>
          <w:highlight w:val="none"/>
        </w:rPr>
        <w:t>推荐成交候选人原则</w:t>
      </w:r>
    </w:p>
    <w:p>
      <w:pPr>
        <w:keepNext w:val="0"/>
        <w:keepLines w:val="0"/>
        <w:pageBreakBefore w:val="0"/>
        <w:widowControl w:val="0"/>
        <w:tabs>
          <w:tab w:val="left" w:pos="1305"/>
        </w:tabs>
        <w:kinsoku/>
        <w:wordWrap/>
        <w:overflowPunct/>
        <w:topLinePunct w:val="0"/>
        <w:autoSpaceDE/>
        <w:autoSpaceDN/>
        <w:bidi w:val="0"/>
        <w:adjustRightInd/>
        <w:snapToGrid/>
        <w:spacing w:line="400" w:lineRule="exact"/>
        <w:ind w:left="0" w:leftChars="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磋商小组应当根据综合评分情况，按照综合得分由高到低顺序推荐三名成交候选供应商，并编写评审报告。磋商小组根据综合得分由高到低排列次序，若得分相同时，以最后报价由低到高顺序排列；若仍相同的，依次按技术分、</w:t>
      </w:r>
      <w:r>
        <w:rPr>
          <w:rFonts w:hint="eastAsia" w:ascii="宋体" w:hAnsi="宋体" w:eastAsia="宋体" w:cs="宋体"/>
          <w:color w:val="auto"/>
          <w:sz w:val="21"/>
          <w:szCs w:val="21"/>
          <w:highlight w:val="none"/>
          <w:lang w:val="en-US" w:eastAsia="zh-CN"/>
        </w:rPr>
        <w:t>企业信誉实力</w:t>
      </w:r>
      <w:r>
        <w:rPr>
          <w:rFonts w:hint="eastAsia" w:ascii="宋体" w:hAnsi="宋体" w:eastAsia="宋体" w:cs="宋体"/>
          <w:color w:val="auto"/>
          <w:sz w:val="21"/>
          <w:szCs w:val="21"/>
          <w:highlight w:val="none"/>
        </w:rPr>
        <w:t>分由高到低顺序排列并推荐成交候选供应商。</w:t>
      </w:r>
    </w:p>
    <w:p>
      <w:pPr>
        <w:keepNext w:val="0"/>
        <w:keepLines w:val="0"/>
        <w:pageBreakBefore w:val="0"/>
        <w:widowControl w:val="0"/>
        <w:tabs>
          <w:tab w:val="left" w:pos="1305"/>
        </w:tabs>
        <w:kinsoku/>
        <w:wordWrap/>
        <w:overflowPunct/>
        <w:topLinePunct w:val="0"/>
        <w:autoSpaceDE/>
        <w:autoSpaceDN/>
        <w:bidi w:val="0"/>
        <w:adjustRightInd/>
        <w:snapToGrid/>
        <w:spacing w:line="400" w:lineRule="exact"/>
        <w:ind w:left="0" w:leftChars="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（2）采购人应当确定磋商小组推荐排名第一的成交候选供应商为成交供应商。</w:t>
      </w:r>
    </w:p>
    <w:p>
      <w:pPr>
        <w:keepNext w:val="0"/>
        <w:keepLines w:val="0"/>
        <w:pageBreakBefore w:val="0"/>
        <w:widowControl w:val="0"/>
        <w:tabs>
          <w:tab w:val="left" w:pos="1305"/>
        </w:tabs>
        <w:kinsoku/>
        <w:wordWrap/>
        <w:overflowPunct/>
        <w:topLinePunct w:val="0"/>
        <w:autoSpaceDE/>
        <w:autoSpaceDN/>
        <w:bidi w:val="0"/>
        <w:adjustRightInd/>
        <w:snapToGrid/>
        <w:spacing w:line="400" w:lineRule="exact"/>
        <w:ind w:left="0" w:leftChars="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（3）排名第一的成交候选供应商放弃成交、因不可抗力提出不能履行合同，采购人可以按照评审报告推荐的成交候选供应商名单排序，确定下一候选供应商为成交供应商，也可以重新开展政府采购活动。</w:t>
      </w:r>
    </w:p>
    <w:p>
      <w:pPr>
        <w:keepNext w:val="0"/>
        <w:keepLines w:val="0"/>
        <w:pageBreakBefore w:val="0"/>
        <w:widowControl w:val="0"/>
        <w:tabs>
          <w:tab w:val="left" w:pos="1305"/>
        </w:tabs>
        <w:kinsoku/>
        <w:wordWrap/>
        <w:overflowPunct/>
        <w:topLinePunct w:val="0"/>
        <w:autoSpaceDE/>
        <w:autoSpaceDN/>
        <w:bidi w:val="0"/>
        <w:adjustRightInd/>
        <w:snapToGrid/>
        <w:spacing w:line="400" w:lineRule="exact"/>
        <w:ind w:left="0" w:leftChars="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磋商小组认为，某供应商的响应报价或者某些分项报价明显不合理或者低于成本，有可能影响质量和不能诚信履约的，应要求其在规定的期限内提供书面文件予以解释说明，并提交相关证明材料，否则，磋商小组可以取消该供应商的成交候选资格，按顺序由排在其后面的供应商递补，以此类推。</w:t>
      </w:r>
    </w:p>
    <w:p>
      <w:pPr>
        <w:pStyle w:val="23"/>
        <w:rPr>
          <w:rFonts w:hint="eastAsia" w:ascii="宋体" w:hAnsi="宋体" w:eastAsia="宋体" w:cs="宋体"/>
          <w:color w:val="auto"/>
          <w:sz w:val="21"/>
          <w:szCs w:val="21"/>
          <w:highlight w:val="none"/>
        </w:rPr>
      </w:pPr>
    </w:p>
    <w:p>
      <w:pPr>
        <w:pStyle w:val="3"/>
        <w:numPr>
          <w:ilvl w:val="0"/>
          <w:numId w:val="0"/>
        </w:numPr>
        <w:tabs>
          <w:tab w:val="left" w:pos="0"/>
        </w:tabs>
        <w:autoSpaceDE w:val="0"/>
        <w:autoSpaceDN w:val="0"/>
        <w:adjustRightInd w:val="0"/>
        <w:spacing w:before="0" w:after="0" w:line="360" w:lineRule="auto"/>
        <w:jc w:val="center"/>
        <w:rPr>
          <w:rFonts w:hint="eastAsia" w:ascii="宋体" w:hAnsi="宋体" w:eastAsia="宋体" w:cs="宋体"/>
          <w:color w:val="auto"/>
          <w:sz w:val="32"/>
          <w:szCs w:val="32"/>
          <w:highlight w:val="none"/>
        </w:rPr>
      </w:pPr>
      <w:bookmarkStart w:id="143" w:name="_Toc8466"/>
      <w:bookmarkStart w:id="144" w:name="_Toc4774"/>
      <w:bookmarkStart w:id="145" w:name="_Toc25717"/>
      <w:bookmarkStart w:id="146" w:name="_Toc5821"/>
      <w:r>
        <w:rPr>
          <w:rFonts w:hint="eastAsia" w:ascii="宋体" w:hAnsi="宋体" w:eastAsia="宋体" w:cs="宋体"/>
          <w:color w:val="auto"/>
          <w:sz w:val="32"/>
          <w:szCs w:val="32"/>
          <w:highlight w:val="none"/>
          <w:lang w:eastAsia="zh-CN"/>
        </w:rPr>
        <w:t>第五章</w:t>
      </w:r>
      <w:r>
        <w:rPr>
          <w:rFonts w:hint="eastAsia" w:ascii="宋体" w:hAnsi="宋体" w:eastAsia="宋体" w:cs="宋体"/>
          <w:color w:val="auto"/>
          <w:sz w:val="32"/>
          <w:szCs w:val="32"/>
          <w:highlight w:val="none"/>
          <w:lang w:val="en-US" w:eastAsia="zh-CN"/>
        </w:rPr>
        <w:t xml:space="preserve"> </w:t>
      </w:r>
      <w:r>
        <w:rPr>
          <w:rFonts w:hint="eastAsia" w:ascii="宋体" w:hAnsi="宋体" w:eastAsia="宋体" w:cs="宋体"/>
          <w:color w:val="auto"/>
          <w:sz w:val="32"/>
          <w:szCs w:val="32"/>
          <w:highlight w:val="none"/>
        </w:rPr>
        <w:t>采购合同（合同主要条款及格式）</w:t>
      </w:r>
      <w:bookmarkEnd w:id="143"/>
      <w:bookmarkEnd w:id="144"/>
      <w:bookmarkEnd w:id="145"/>
      <w:bookmarkEnd w:id="146"/>
    </w:p>
    <w:p>
      <w:pPr>
        <w:pStyle w:val="29"/>
        <w:numPr>
          <w:ilvl w:val="0"/>
          <w:numId w:val="7"/>
        </w:numPr>
        <w:spacing w:line="340" w:lineRule="exact"/>
        <w:jc w:val="center"/>
        <w:rPr>
          <w:rFonts w:hint="eastAsia" w:ascii="宋体" w:hAnsi="宋体" w:eastAsia="宋体" w:cs="宋体"/>
          <w:color w:val="auto"/>
          <w:sz w:val="21"/>
          <w:szCs w:val="21"/>
          <w:highlight w:val="none"/>
        </w:rPr>
      </w:pPr>
      <w:bookmarkStart w:id="147" w:name="_Toc522201558"/>
      <w:bookmarkStart w:id="148" w:name="_Toc256000031"/>
      <w:bookmarkStart w:id="149" w:name="_Toc30988"/>
      <w:bookmarkStart w:id="150" w:name="_Toc10014"/>
      <w:bookmarkStart w:id="151" w:name="_Toc24269"/>
      <w:r>
        <w:rPr>
          <w:rFonts w:hint="eastAsia" w:ascii="宋体" w:hAnsi="宋体" w:eastAsia="宋体" w:cs="宋体"/>
          <w:color w:val="auto"/>
          <w:sz w:val="21"/>
          <w:szCs w:val="21"/>
          <w:highlight w:val="none"/>
        </w:rPr>
        <w:t>合同协议书</w:t>
      </w:r>
      <w:bookmarkEnd w:id="147"/>
      <w:bookmarkEnd w:id="148"/>
      <w:bookmarkEnd w:id="149"/>
    </w:p>
    <w:p>
      <w:pPr>
        <w:pStyle w:val="29"/>
        <w:numPr>
          <w:ilvl w:val="0"/>
          <w:numId w:val="0"/>
        </w:numPr>
        <w:spacing w:line="340" w:lineRule="exact"/>
        <w:jc w:val="both"/>
        <w:rPr>
          <w:rFonts w:hint="eastAsia" w:ascii="宋体" w:hAnsi="宋体" w:eastAsia="宋体" w:cs="宋体"/>
          <w:color w:val="auto"/>
          <w:sz w:val="21"/>
          <w:szCs w:val="21"/>
          <w:highlight w:val="none"/>
        </w:rPr>
      </w:pPr>
    </w:p>
    <w:p>
      <w:pPr>
        <w:pStyle w:val="33"/>
        <w:adjustRightInd w:val="0"/>
        <w:snapToGrid w:val="0"/>
        <w:spacing w:line="400" w:lineRule="exac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发包人（全称）：</w:t>
      </w:r>
      <w:r>
        <w:rPr>
          <w:rFonts w:hint="eastAsia" w:ascii="宋体" w:hAnsi="宋体" w:eastAsia="宋体" w:cs="宋体"/>
          <w:color w:val="auto"/>
          <w:sz w:val="21"/>
          <w:szCs w:val="21"/>
          <w:highlight w:val="none"/>
          <w:u w:val="single"/>
          <w:lang w:eastAsia="zh-CN"/>
        </w:rPr>
        <w:t>兴安县</w:t>
      </w:r>
      <w:r>
        <w:rPr>
          <w:rFonts w:hint="eastAsia" w:ascii="宋体" w:hAnsi="宋体" w:cs="宋体"/>
          <w:color w:val="auto"/>
          <w:sz w:val="21"/>
          <w:szCs w:val="21"/>
          <w:highlight w:val="none"/>
          <w:u w:val="single"/>
          <w:lang w:val="en-US" w:eastAsia="zh-CN"/>
        </w:rPr>
        <w:t>溶江镇人民政府</w:t>
      </w:r>
      <w:r>
        <w:rPr>
          <w:rFonts w:hint="eastAsia" w:ascii="宋体" w:hAnsi="宋体" w:eastAsia="宋体" w:cs="宋体"/>
          <w:color w:val="auto"/>
          <w:sz w:val="21"/>
          <w:szCs w:val="21"/>
          <w:highlight w:val="none"/>
          <w:lang w:val="en-US" w:eastAsia="zh-CN"/>
        </w:rPr>
        <w:t xml:space="preserve"> </w:t>
      </w:r>
    </w:p>
    <w:p>
      <w:pPr>
        <w:pStyle w:val="33"/>
        <w:adjustRightInd w:val="0"/>
        <w:snapToGrid w:val="0"/>
        <w:spacing w:line="400" w:lineRule="exac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承包人（全称）：</w:t>
      </w:r>
      <w:r>
        <w:rPr>
          <w:rFonts w:hint="eastAsia" w:ascii="宋体" w:hAnsi="宋体" w:eastAsia="宋体" w:cs="宋体"/>
          <w:color w:val="auto"/>
          <w:sz w:val="21"/>
          <w:szCs w:val="21"/>
          <w:highlight w:val="none"/>
          <w:u w:val="single"/>
          <w:lang w:val="en-US" w:eastAsia="zh-CN"/>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p>
    <w:p>
      <w:pPr>
        <w:pStyle w:val="33"/>
        <w:adjustRightInd w:val="0"/>
        <w:snapToGrid w:val="0"/>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根据《中华人民共和国</w:t>
      </w:r>
      <w:r>
        <w:rPr>
          <w:rFonts w:hint="eastAsia" w:ascii="宋体" w:hAnsi="宋体" w:eastAsia="宋体" w:cs="宋体"/>
          <w:color w:val="auto"/>
          <w:sz w:val="21"/>
          <w:szCs w:val="21"/>
          <w:highlight w:val="none"/>
          <w:lang w:eastAsia="zh-CN"/>
        </w:rPr>
        <w:t>民法典</w:t>
      </w:r>
      <w:r>
        <w:rPr>
          <w:rFonts w:hint="eastAsia" w:ascii="宋体" w:hAnsi="宋体" w:eastAsia="宋体" w:cs="宋体"/>
          <w:color w:val="auto"/>
          <w:sz w:val="21"/>
          <w:szCs w:val="21"/>
          <w:highlight w:val="none"/>
        </w:rPr>
        <w:t>》、《中华人民共和国建筑法》及有关法律规定，遵循平等、自愿、公平和诚实信用的原则，双方就</w:t>
      </w:r>
      <w:r>
        <w:rPr>
          <w:rFonts w:hint="eastAsia" w:ascii="宋体" w:hAnsi="宋体" w:cs="宋体"/>
          <w:color w:val="auto"/>
          <w:sz w:val="21"/>
          <w:szCs w:val="21"/>
          <w:highlight w:val="none"/>
          <w:u w:val="single"/>
          <w:lang w:val="en-US" w:eastAsia="zh-CN"/>
        </w:rPr>
        <w:t>兴安县溶江镇市民广场阙楼工程</w:t>
      </w:r>
      <w:r>
        <w:rPr>
          <w:rFonts w:hint="eastAsia" w:ascii="宋体" w:hAnsi="宋体" w:eastAsia="宋体" w:cs="宋体"/>
          <w:color w:val="auto"/>
          <w:sz w:val="21"/>
          <w:szCs w:val="21"/>
          <w:highlight w:val="none"/>
        </w:rPr>
        <w:t>及有关事项协商一致，共同达成如下协议：</w:t>
      </w:r>
      <w:bookmarkStart w:id="152" w:name="_Toc351203481"/>
    </w:p>
    <w:p>
      <w:pPr>
        <w:pStyle w:val="34"/>
        <w:adjustRightInd w:val="0"/>
        <w:snapToGrid w:val="0"/>
        <w:spacing w:line="400" w:lineRule="exact"/>
        <w:ind w:firstLine="422"/>
        <w:outlineLvl w:val="0"/>
        <w:rPr>
          <w:rFonts w:hint="eastAsia" w:ascii="宋体" w:hAnsi="宋体" w:eastAsia="宋体" w:cs="宋体"/>
          <w:b/>
          <w:color w:val="auto"/>
          <w:sz w:val="21"/>
          <w:szCs w:val="21"/>
          <w:highlight w:val="none"/>
        </w:rPr>
      </w:pPr>
      <w:bookmarkStart w:id="153" w:name="_Toc17678"/>
      <w:bookmarkStart w:id="154" w:name="_Toc406419153"/>
      <w:bookmarkStart w:id="155" w:name="_Toc406522028"/>
      <w:bookmarkStart w:id="156" w:name="_Toc522201559"/>
      <w:bookmarkStart w:id="157" w:name="_Toc20764"/>
      <w:r>
        <w:rPr>
          <w:rFonts w:hint="eastAsia" w:ascii="宋体" w:hAnsi="宋体" w:eastAsia="宋体" w:cs="宋体"/>
          <w:b/>
          <w:color w:val="auto"/>
          <w:sz w:val="21"/>
          <w:szCs w:val="21"/>
          <w:highlight w:val="none"/>
        </w:rPr>
        <w:t>一、工程概况</w:t>
      </w:r>
      <w:bookmarkEnd w:id="152"/>
      <w:bookmarkEnd w:id="153"/>
      <w:bookmarkEnd w:id="154"/>
      <w:bookmarkEnd w:id="155"/>
      <w:bookmarkEnd w:id="156"/>
      <w:bookmarkEnd w:id="157"/>
    </w:p>
    <w:p>
      <w:pPr>
        <w:pStyle w:val="33"/>
        <w:adjustRightInd w:val="0"/>
        <w:snapToGrid w:val="0"/>
        <w:spacing w:line="400" w:lineRule="exact"/>
        <w:ind w:firstLine="459"/>
        <w:rPr>
          <w:rFonts w:hint="eastAsia" w:ascii="宋体" w:hAnsi="宋体" w:eastAsia="宋体" w:cs="宋体"/>
          <w:b w:val="0"/>
          <w:bCs w:val="0"/>
          <w:color w:val="auto"/>
          <w:kern w:val="2"/>
          <w:sz w:val="21"/>
          <w:szCs w:val="21"/>
          <w:highlight w:val="none"/>
          <w:u w:val="none"/>
          <w:lang w:val="en-US" w:eastAsia="zh-CN" w:bidi="ar-SA"/>
        </w:rPr>
      </w:pPr>
      <w:r>
        <w:rPr>
          <w:rFonts w:hint="eastAsia" w:ascii="宋体" w:hAnsi="宋体" w:eastAsia="宋体" w:cs="宋体"/>
          <w:color w:val="auto"/>
          <w:sz w:val="21"/>
          <w:szCs w:val="21"/>
          <w:highlight w:val="none"/>
        </w:rPr>
        <w:t>1.工程名称：</w:t>
      </w:r>
      <w:r>
        <w:rPr>
          <w:rFonts w:hint="eastAsia" w:ascii="宋体" w:hAnsi="宋体" w:cs="宋体"/>
          <w:color w:val="auto"/>
          <w:sz w:val="21"/>
          <w:szCs w:val="21"/>
          <w:highlight w:val="none"/>
          <w:u w:val="single"/>
          <w:lang w:val="en-US" w:eastAsia="zh-CN"/>
        </w:rPr>
        <w:t>兴安县溶江镇市民广场阙楼工程</w:t>
      </w:r>
      <w:r>
        <w:rPr>
          <w:rFonts w:hint="eastAsia" w:ascii="宋体" w:hAnsi="宋体" w:cs="宋体"/>
          <w:b w:val="0"/>
          <w:bCs w:val="0"/>
          <w:color w:val="auto"/>
          <w:kern w:val="2"/>
          <w:sz w:val="21"/>
          <w:szCs w:val="21"/>
          <w:highlight w:val="none"/>
          <w:u w:val="single"/>
          <w:lang w:val="en-US" w:eastAsia="zh-CN" w:bidi="ar-SA"/>
        </w:rPr>
        <w:t>。</w:t>
      </w:r>
    </w:p>
    <w:p>
      <w:pPr>
        <w:pStyle w:val="33"/>
        <w:adjustRightInd w:val="0"/>
        <w:snapToGrid w:val="0"/>
        <w:spacing w:line="400" w:lineRule="exact"/>
        <w:ind w:firstLine="45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2.工程地点：</w:t>
      </w:r>
      <w:r>
        <w:rPr>
          <w:rFonts w:hint="eastAsia" w:ascii="宋体" w:hAnsi="宋体" w:eastAsia="宋体" w:cs="宋体"/>
          <w:color w:val="auto"/>
          <w:sz w:val="21"/>
          <w:szCs w:val="21"/>
          <w:highlight w:val="none"/>
          <w:u w:val="single"/>
          <w:lang w:val="en-US" w:eastAsia="zh-CN"/>
        </w:rPr>
        <w:t>兴安县</w:t>
      </w:r>
      <w:r>
        <w:rPr>
          <w:rFonts w:hint="eastAsia" w:ascii="宋体" w:hAnsi="宋体" w:cs="宋体"/>
          <w:color w:val="auto"/>
          <w:sz w:val="21"/>
          <w:szCs w:val="21"/>
          <w:highlight w:val="none"/>
          <w:u w:val="single"/>
          <w:lang w:val="en-US" w:eastAsia="zh-CN"/>
        </w:rPr>
        <w:t>溶江市民文化广场</w:t>
      </w:r>
      <w:r>
        <w:rPr>
          <w:rFonts w:hint="eastAsia" w:ascii="宋体" w:hAnsi="宋体" w:eastAsia="宋体" w:cs="宋体"/>
          <w:color w:val="auto"/>
          <w:sz w:val="21"/>
          <w:szCs w:val="21"/>
          <w:highlight w:val="none"/>
        </w:rPr>
        <w:t>。</w:t>
      </w:r>
    </w:p>
    <w:p>
      <w:pPr>
        <w:pStyle w:val="33"/>
        <w:adjustRightInd w:val="0"/>
        <w:snapToGrid w:val="0"/>
        <w:spacing w:line="400" w:lineRule="exact"/>
        <w:ind w:firstLine="459"/>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3.资金来源：</w:t>
      </w:r>
      <w:r>
        <w:rPr>
          <w:rFonts w:hint="eastAsia" w:ascii="宋体" w:hAnsi="宋体" w:cs="宋体"/>
          <w:color w:val="auto"/>
          <w:sz w:val="21"/>
          <w:szCs w:val="21"/>
          <w:highlight w:val="none"/>
          <w:u w:val="single"/>
          <w:lang w:val="en-US" w:eastAsia="zh-CN"/>
        </w:rPr>
        <w:t>上级财政资金。</w:t>
      </w:r>
    </w:p>
    <w:p>
      <w:pPr>
        <w:pStyle w:val="33"/>
        <w:adjustRightInd w:val="0"/>
        <w:snapToGrid w:val="0"/>
        <w:spacing w:line="400" w:lineRule="exact"/>
        <w:ind w:firstLine="45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.工程内容：</w:t>
      </w:r>
      <w:r>
        <w:rPr>
          <w:rFonts w:hint="eastAsia" w:ascii="宋体" w:hAnsi="宋体" w:eastAsia="宋体" w:cs="宋体"/>
          <w:b w:val="0"/>
          <w:bCs w:val="0"/>
          <w:color w:val="auto"/>
          <w:sz w:val="21"/>
          <w:szCs w:val="21"/>
          <w:highlight w:val="none"/>
          <w:u w:val="single"/>
          <w:lang w:val="en-US" w:eastAsia="zh-CN"/>
        </w:rPr>
        <w:t>本工程属</w:t>
      </w:r>
      <w:r>
        <w:rPr>
          <w:rFonts w:hint="eastAsia" w:ascii="宋体" w:hAnsi="宋体" w:cs="宋体"/>
          <w:b w:val="0"/>
          <w:bCs w:val="0"/>
          <w:color w:val="auto"/>
          <w:sz w:val="21"/>
          <w:szCs w:val="21"/>
          <w:highlight w:val="none"/>
          <w:u w:val="single"/>
          <w:lang w:val="en-US" w:eastAsia="zh-CN"/>
        </w:rPr>
        <w:t>景观标志性建筑</w:t>
      </w:r>
      <w:r>
        <w:rPr>
          <w:rFonts w:hint="eastAsia" w:ascii="宋体" w:hAnsi="宋体" w:eastAsia="宋体" w:cs="宋体"/>
          <w:b w:val="0"/>
          <w:bCs w:val="0"/>
          <w:color w:val="auto"/>
          <w:sz w:val="21"/>
          <w:szCs w:val="21"/>
          <w:highlight w:val="none"/>
          <w:u w:val="single"/>
          <w:lang w:val="en-US" w:eastAsia="zh-CN"/>
        </w:rPr>
        <w:t>，其主要建设内容</w:t>
      </w:r>
      <w:r>
        <w:rPr>
          <w:rFonts w:hint="eastAsia" w:ascii="宋体" w:hAnsi="宋体" w:cs="宋体"/>
          <w:b w:val="0"/>
          <w:bCs w:val="0"/>
          <w:color w:val="auto"/>
          <w:sz w:val="21"/>
          <w:szCs w:val="21"/>
          <w:highlight w:val="none"/>
          <w:u w:val="single"/>
          <w:lang w:val="en-US" w:eastAsia="zh-CN"/>
        </w:rPr>
        <w:t>拟建阙楼两座，广场两侧回填种植土后种植绿化，绿化面积约2500平方米。</w:t>
      </w:r>
      <w:r>
        <w:rPr>
          <w:rFonts w:hint="eastAsia" w:ascii="宋体" w:hAnsi="宋体" w:eastAsia="宋体" w:cs="宋体"/>
          <w:color w:val="auto"/>
          <w:sz w:val="21"/>
          <w:szCs w:val="21"/>
          <w:highlight w:val="none"/>
          <w:u w:val="single"/>
          <w:lang w:val="en-US" w:eastAsia="zh-CN"/>
        </w:rPr>
        <w:t>具体详见施工图纸及财评后工程量清单</w:t>
      </w:r>
      <w:r>
        <w:rPr>
          <w:rFonts w:hint="eastAsia" w:ascii="宋体" w:hAnsi="宋体" w:eastAsia="宋体" w:cs="宋体"/>
          <w:color w:val="auto"/>
          <w:sz w:val="21"/>
          <w:szCs w:val="21"/>
          <w:highlight w:val="none"/>
          <w:u w:val="single"/>
        </w:rPr>
        <w:t>。</w:t>
      </w:r>
    </w:p>
    <w:p>
      <w:pPr>
        <w:pStyle w:val="33"/>
        <w:adjustRightInd w:val="0"/>
        <w:snapToGrid w:val="0"/>
        <w:spacing w:line="400" w:lineRule="exact"/>
        <w:ind w:firstLine="459"/>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.工程承包范围：</w:t>
      </w:r>
      <w:r>
        <w:rPr>
          <w:rFonts w:hint="eastAsia" w:ascii="宋体" w:hAnsi="宋体" w:eastAsia="宋体" w:cs="宋体"/>
          <w:b w:val="0"/>
          <w:bCs w:val="0"/>
          <w:color w:val="auto"/>
          <w:sz w:val="21"/>
          <w:szCs w:val="21"/>
          <w:highlight w:val="none"/>
          <w:u w:val="single"/>
          <w:lang w:val="en-US" w:eastAsia="zh-CN"/>
        </w:rPr>
        <w:t>本工程属</w:t>
      </w:r>
      <w:r>
        <w:rPr>
          <w:rFonts w:hint="eastAsia" w:ascii="宋体" w:hAnsi="宋体" w:cs="宋体"/>
          <w:b w:val="0"/>
          <w:bCs w:val="0"/>
          <w:color w:val="auto"/>
          <w:sz w:val="21"/>
          <w:szCs w:val="21"/>
          <w:highlight w:val="none"/>
          <w:u w:val="single"/>
          <w:lang w:val="en-US" w:eastAsia="zh-CN"/>
        </w:rPr>
        <w:t>景观标志性建筑</w:t>
      </w:r>
      <w:r>
        <w:rPr>
          <w:rFonts w:hint="eastAsia" w:ascii="宋体" w:hAnsi="宋体" w:eastAsia="宋体" w:cs="宋体"/>
          <w:b w:val="0"/>
          <w:bCs w:val="0"/>
          <w:color w:val="auto"/>
          <w:sz w:val="21"/>
          <w:szCs w:val="21"/>
          <w:highlight w:val="none"/>
          <w:u w:val="single"/>
          <w:lang w:val="en-US" w:eastAsia="zh-CN"/>
        </w:rPr>
        <w:t>，其主要建设内容</w:t>
      </w:r>
      <w:r>
        <w:rPr>
          <w:rFonts w:hint="eastAsia" w:ascii="宋体" w:hAnsi="宋体" w:cs="宋体"/>
          <w:b w:val="0"/>
          <w:bCs w:val="0"/>
          <w:color w:val="auto"/>
          <w:sz w:val="21"/>
          <w:szCs w:val="21"/>
          <w:highlight w:val="none"/>
          <w:u w:val="single"/>
          <w:lang w:val="en-US" w:eastAsia="zh-CN"/>
        </w:rPr>
        <w:t>拟建阙楼两座，广场两侧回填种植土后种植绿化，绿化面积约2500平方米</w:t>
      </w:r>
      <w:r>
        <w:rPr>
          <w:rFonts w:hint="eastAsia" w:ascii="宋体" w:hAnsi="宋体" w:eastAsia="宋体" w:cs="宋体"/>
          <w:color w:val="auto"/>
          <w:sz w:val="21"/>
          <w:szCs w:val="21"/>
          <w:highlight w:val="none"/>
          <w:u w:val="single"/>
          <w:lang w:val="en-US" w:eastAsia="zh-CN"/>
        </w:rPr>
        <w:t>。具体详见施工图纸及财评后工程量清单。</w:t>
      </w:r>
    </w:p>
    <w:p>
      <w:pPr>
        <w:pStyle w:val="34"/>
        <w:adjustRightInd w:val="0"/>
        <w:snapToGrid w:val="0"/>
        <w:spacing w:line="400" w:lineRule="exact"/>
        <w:ind w:firstLine="422"/>
        <w:outlineLvl w:val="0"/>
        <w:rPr>
          <w:rFonts w:hint="eastAsia" w:ascii="宋体" w:hAnsi="宋体" w:eastAsia="宋体" w:cs="宋体"/>
          <w:b/>
          <w:color w:val="auto"/>
          <w:sz w:val="21"/>
          <w:szCs w:val="21"/>
          <w:highlight w:val="none"/>
        </w:rPr>
      </w:pPr>
      <w:bookmarkStart w:id="158" w:name="_Toc3754"/>
      <w:bookmarkStart w:id="159" w:name="_Toc406522029"/>
      <w:bookmarkStart w:id="160" w:name="_Toc406419154"/>
      <w:bookmarkStart w:id="161" w:name="_Toc349"/>
      <w:bookmarkStart w:id="162" w:name="_Toc522201560"/>
      <w:bookmarkStart w:id="163" w:name="_Toc351203482"/>
      <w:r>
        <w:rPr>
          <w:rFonts w:hint="eastAsia" w:ascii="宋体" w:hAnsi="宋体" w:eastAsia="宋体" w:cs="宋体"/>
          <w:b/>
          <w:color w:val="auto"/>
          <w:sz w:val="21"/>
          <w:szCs w:val="21"/>
          <w:highlight w:val="none"/>
        </w:rPr>
        <w:t>二、合同工期</w:t>
      </w:r>
      <w:bookmarkEnd w:id="158"/>
      <w:bookmarkEnd w:id="159"/>
      <w:bookmarkEnd w:id="160"/>
      <w:bookmarkEnd w:id="161"/>
      <w:bookmarkEnd w:id="162"/>
      <w:bookmarkEnd w:id="163"/>
    </w:p>
    <w:p>
      <w:pPr>
        <w:pStyle w:val="33"/>
        <w:adjustRightInd w:val="0"/>
        <w:snapToGrid w:val="0"/>
        <w:spacing w:line="400" w:lineRule="exact"/>
        <w:ind w:firstLine="45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计划开工日期：</w:t>
      </w:r>
      <w:r>
        <w:rPr>
          <w:rFonts w:hint="eastAsia" w:ascii="宋体" w:hAnsi="宋体" w:eastAsia="宋体" w:cs="宋体"/>
          <w:color w:val="auto"/>
          <w:sz w:val="21"/>
          <w:szCs w:val="21"/>
          <w:highlight w:val="none"/>
          <w:u w:val="single"/>
          <w:lang w:val="en-US" w:eastAsia="zh-CN"/>
        </w:rPr>
        <w:t>2024</w:t>
      </w:r>
      <w:r>
        <w:rPr>
          <w:rFonts w:hint="eastAsia" w:ascii="宋体" w:hAnsi="宋体" w:eastAsia="宋体" w:cs="宋体"/>
          <w:color w:val="auto"/>
          <w:sz w:val="21"/>
          <w:szCs w:val="21"/>
          <w:highlight w:val="none"/>
        </w:rPr>
        <w:t>年</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日。（实际开工日期以开工令为准）</w:t>
      </w:r>
    </w:p>
    <w:p>
      <w:pPr>
        <w:pStyle w:val="33"/>
        <w:adjustRightInd w:val="0"/>
        <w:snapToGrid w:val="0"/>
        <w:spacing w:line="400" w:lineRule="exact"/>
        <w:ind w:firstLine="45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计划竣工日期：</w:t>
      </w:r>
      <w:r>
        <w:rPr>
          <w:rFonts w:hint="eastAsia" w:ascii="宋体" w:hAnsi="宋体" w:eastAsia="宋体" w:cs="宋体"/>
          <w:color w:val="auto"/>
          <w:sz w:val="21"/>
          <w:szCs w:val="21"/>
          <w:highlight w:val="none"/>
          <w:u w:val="single"/>
          <w:lang w:val="en-US" w:eastAsia="zh-CN"/>
        </w:rPr>
        <w:t>2024</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p>
    <w:p>
      <w:pPr>
        <w:pStyle w:val="33"/>
        <w:adjustRightInd w:val="0"/>
        <w:snapToGrid w:val="0"/>
        <w:spacing w:line="400" w:lineRule="exact"/>
        <w:ind w:firstLine="45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工期总日历天数：</w:t>
      </w:r>
      <w:r>
        <w:rPr>
          <w:rFonts w:hint="eastAsia" w:ascii="宋体" w:hAnsi="宋体" w:eastAsia="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60</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天</w:t>
      </w:r>
      <w:r>
        <w:rPr>
          <w:rFonts w:hint="eastAsia" w:ascii="宋体" w:hAnsi="宋体" w:eastAsia="宋体" w:cs="宋体"/>
          <w:color w:val="auto"/>
          <w:sz w:val="21"/>
          <w:szCs w:val="21"/>
          <w:highlight w:val="none"/>
        </w:rPr>
        <w:t>。工期总日历天数与根据前述计划开竣工日期计算的工期天数不一致的，以工期总日历天数为准。</w:t>
      </w:r>
    </w:p>
    <w:p>
      <w:pPr>
        <w:pStyle w:val="34"/>
        <w:adjustRightInd w:val="0"/>
        <w:snapToGrid w:val="0"/>
        <w:spacing w:line="400" w:lineRule="exact"/>
        <w:ind w:firstLine="422"/>
        <w:outlineLvl w:val="0"/>
        <w:rPr>
          <w:rFonts w:hint="eastAsia" w:ascii="宋体" w:hAnsi="宋体" w:eastAsia="宋体" w:cs="宋体"/>
          <w:b/>
          <w:color w:val="auto"/>
          <w:sz w:val="21"/>
          <w:szCs w:val="21"/>
          <w:highlight w:val="none"/>
        </w:rPr>
      </w:pPr>
      <w:bookmarkStart w:id="164" w:name="_Toc15140"/>
      <w:bookmarkStart w:id="165" w:name="_Toc351203483"/>
      <w:bookmarkStart w:id="166" w:name="_Toc522201561"/>
      <w:bookmarkStart w:id="167" w:name="_Toc21915"/>
      <w:bookmarkStart w:id="168" w:name="_Toc406419155"/>
      <w:bookmarkStart w:id="169" w:name="_Toc406522030"/>
      <w:r>
        <w:rPr>
          <w:rFonts w:hint="eastAsia" w:ascii="宋体" w:hAnsi="宋体" w:eastAsia="宋体" w:cs="宋体"/>
          <w:b/>
          <w:color w:val="auto"/>
          <w:sz w:val="21"/>
          <w:szCs w:val="21"/>
          <w:highlight w:val="none"/>
        </w:rPr>
        <w:t>三、质量标准</w:t>
      </w:r>
      <w:bookmarkEnd w:id="164"/>
      <w:bookmarkEnd w:id="165"/>
      <w:bookmarkEnd w:id="166"/>
      <w:bookmarkEnd w:id="167"/>
      <w:bookmarkEnd w:id="168"/>
      <w:bookmarkEnd w:id="169"/>
    </w:p>
    <w:p>
      <w:pPr>
        <w:tabs>
          <w:tab w:val="left" w:pos="210"/>
        </w:tabs>
        <w:spacing w:line="3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质量标准：</w:t>
      </w:r>
      <w:r>
        <w:rPr>
          <w:rFonts w:hint="eastAsia" w:ascii="宋体" w:hAnsi="宋体" w:eastAsia="宋体" w:cs="宋体"/>
          <w:color w:val="auto"/>
          <w:sz w:val="21"/>
          <w:szCs w:val="21"/>
          <w:highlight w:val="none"/>
          <w:lang w:eastAsia="zh-CN"/>
        </w:rPr>
        <w:t>达到国家施工验收规范合格标准</w:t>
      </w:r>
      <w:r>
        <w:rPr>
          <w:rFonts w:hint="eastAsia" w:ascii="宋体" w:hAnsi="宋体" w:eastAsia="宋体" w:cs="宋体"/>
          <w:color w:val="auto"/>
          <w:sz w:val="21"/>
          <w:szCs w:val="21"/>
          <w:highlight w:val="none"/>
        </w:rPr>
        <w:t>。</w:t>
      </w:r>
    </w:p>
    <w:p>
      <w:pPr>
        <w:pStyle w:val="34"/>
        <w:adjustRightInd w:val="0"/>
        <w:snapToGrid w:val="0"/>
        <w:spacing w:line="400" w:lineRule="exact"/>
        <w:ind w:firstLine="422"/>
        <w:outlineLvl w:val="0"/>
        <w:rPr>
          <w:rFonts w:hint="eastAsia" w:ascii="宋体" w:hAnsi="宋体" w:eastAsia="宋体" w:cs="宋体"/>
          <w:b/>
          <w:color w:val="auto"/>
          <w:sz w:val="21"/>
          <w:szCs w:val="21"/>
          <w:highlight w:val="none"/>
        </w:rPr>
      </w:pPr>
      <w:bookmarkStart w:id="170" w:name="_Toc522201562"/>
      <w:bookmarkStart w:id="171" w:name="_Toc351203484"/>
      <w:bookmarkStart w:id="172" w:name="_Toc20328"/>
      <w:bookmarkStart w:id="173" w:name="_Toc406419156"/>
      <w:bookmarkStart w:id="174" w:name="_Toc8031"/>
      <w:bookmarkStart w:id="175" w:name="_Toc406522031"/>
      <w:r>
        <w:rPr>
          <w:rFonts w:hint="eastAsia" w:ascii="宋体" w:hAnsi="宋体" w:eastAsia="宋体" w:cs="宋体"/>
          <w:b/>
          <w:color w:val="auto"/>
          <w:sz w:val="21"/>
          <w:szCs w:val="21"/>
          <w:highlight w:val="none"/>
        </w:rPr>
        <w:t>四、签约合同价与合同价格形式</w:t>
      </w:r>
      <w:bookmarkEnd w:id="170"/>
      <w:bookmarkEnd w:id="171"/>
      <w:bookmarkEnd w:id="172"/>
      <w:bookmarkEnd w:id="173"/>
      <w:bookmarkEnd w:id="174"/>
      <w:bookmarkEnd w:id="175"/>
    </w:p>
    <w:p>
      <w:pPr>
        <w:pStyle w:val="33"/>
        <w:adjustRightInd w:val="0"/>
        <w:snapToGrid w:val="0"/>
        <w:spacing w:line="400" w:lineRule="exact"/>
        <w:ind w:firstLine="45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 签约合同价为：</w:t>
      </w:r>
    </w:p>
    <w:p>
      <w:pPr>
        <w:pStyle w:val="33"/>
        <w:adjustRightInd w:val="0"/>
        <w:snapToGrid w:val="0"/>
        <w:spacing w:line="400" w:lineRule="exact"/>
        <w:ind w:firstLine="525" w:firstLineChars="250"/>
        <w:jc w:val="left"/>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中标</w:t>
      </w:r>
      <w:r>
        <w:rPr>
          <w:rFonts w:hint="eastAsia" w:ascii="宋体" w:hAnsi="宋体" w:eastAsia="宋体" w:cs="宋体"/>
          <w:color w:val="auto"/>
          <w:sz w:val="21"/>
          <w:szCs w:val="21"/>
          <w:highlight w:val="none"/>
        </w:rPr>
        <w:t>总价：人民币（大写）</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元）；</w:t>
      </w:r>
    </w:p>
    <w:p>
      <w:pPr>
        <w:pStyle w:val="33"/>
        <w:adjustRightInd w:val="0"/>
        <w:snapToGrid w:val="0"/>
        <w:spacing w:line="400" w:lineRule="exact"/>
        <w:ind w:firstLine="525" w:firstLineChars="2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其中：</w:t>
      </w:r>
    </w:p>
    <w:p>
      <w:pPr>
        <w:pStyle w:val="33"/>
        <w:adjustRightInd w:val="0"/>
        <w:snapToGrid w:val="0"/>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（1）投标报价：</w:t>
      </w:r>
    </w:p>
    <w:p>
      <w:pPr>
        <w:pStyle w:val="33"/>
        <w:adjustRightInd w:val="0"/>
        <w:snapToGrid w:val="0"/>
        <w:spacing w:line="400" w:lineRule="exact"/>
        <w:ind w:firstLine="978" w:firstLineChars="46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人民币（大写）</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元）；</w:t>
      </w:r>
    </w:p>
    <w:p>
      <w:pPr>
        <w:pStyle w:val="33"/>
        <w:adjustRightInd w:val="0"/>
        <w:snapToGrid w:val="0"/>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（2）安全文明施工费：</w:t>
      </w:r>
    </w:p>
    <w:p>
      <w:pPr>
        <w:pStyle w:val="33"/>
        <w:adjustRightInd w:val="0"/>
        <w:snapToGrid w:val="0"/>
        <w:spacing w:line="400" w:lineRule="exact"/>
        <w:ind w:firstLine="978" w:firstLineChars="46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人民币（大写）</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元）；</w:t>
      </w:r>
    </w:p>
    <w:p>
      <w:pPr>
        <w:pStyle w:val="33"/>
        <w:adjustRightInd w:val="0"/>
        <w:snapToGrid w:val="0"/>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（3）规费：人民币（大写）</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元）；</w:t>
      </w:r>
    </w:p>
    <w:p>
      <w:pPr>
        <w:pStyle w:val="33"/>
        <w:adjustRightInd w:val="0"/>
        <w:snapToGrid w:val="0"/>
        <w:spacing w:line="400" w:lineRule="exact"/>
        <w:ind w:firstLine="1050" w:firstLineChars="5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其中社会保险费：</w:t>
      </w:r>
    </w:p>
    <w:p>
      <w:pPr>
        <w:pStyle w:val="33"/>
        <w:adjustRightInd w:val="0"/>
        <w:snapToGrid w:val="0"/>
        <w:spacing w:line="400" w:lineRule="exact"/>
        <w:ind w:left="420" w:leftChars="200" w:firstLine="638" w:firstLineChars="304"/>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人民币（大写）</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元）；</w:t>
      </w:r>
    </w:p>
    <w:p>
      <w:pPr>
        <w:pStyle w:val="33"/>
        <w:adjustRightInd w:val="0"/>
        <w:snapToGrid w:val="0"/>
        <w:spacing w:line="400" w:lineRule="exact"/>
        <w:ind w:firstLine="945" w:firstLineChars="45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其他：</w:t>
      </w:r>
      <w:r>
        <w:rPr>
          <w:rFonts w:hint="eastAsia" w:ascii="宋体" w:hAnsi="宋体" w:eastAsia="宋体" w:cs="宋体"/>
          <w:color w:val="auto"/>
          <w:sz w:val="21"/>
          <w:szCs w:val="21"/>
          <w:highlight w:val="none"/>
        </w:rPr>
        <w:t>人民币（大写）</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元）；</w:t>
      </w:r>
    </w:p>
    <w:p>
      <w:pPr>
        <w:pStyle w:val="33"/>
        <w:numPr>
          <w:ilvl w:val="0"/>
          <w:numId w:val="8"/>
        </w:numPr>
        <w:adjustRightInd w:val="0"/>
        <w:snapToGrid w:val="0"/>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增值税：</w:t>
      </w:r>
    </w:p>
    <w:p>
      <w:pPr>
        <w:pStyle w:val="33"/>
        <w:adjustRightInd w:val="0"/>
        <w:snapToGrid w:val="0"/>
        <w:spacing w:line="400" w:lineRule="exact"/>
        <w:ind w:left="420" w:leftChars="20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人民币（大写）</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元）；</w:t>
      </w:r>
    </w:p>
    <w:p>
      <w:pPr>
        <w:pStyle w:val="33"/>
        <w:adjustRightInd w:val="0"/>
        <w:snapToGrid w:val="0"/>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（5）材料和工程设备暂估价金额：</w:t>
      </w:r>
    </w:p>
    <w:p>
      <w:pPr>
        <w:pStyle w:val="33"/>
        <w:adjustRightInd w:val="0"/>
        <w:snapToGrid w:val="0"/>
        <w:spacing w:line="400" w:lineRule="exact"/>
        <w:ind w:firstLine="945" w:firstLineChars="4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人民币（大写）</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元）；</w:t>
      </w:r>
    </w:p>
    <w:p>
      <w:pPr>
        <w:pStyle w:val="33"/>
        <w:adjustRightInd w:val="0"/>
        <w:snapToGrid w:val="0"/>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（6）专业工程暂估价金额：</w:t>
      </w:r>
    </w:p>
    <w:p>
      <w:pPr>
        <w:pStyle w:val="33"/>
        <w:adjustRightInd w:val="0"/>
        <w:snapToGrid w:val="0"/>
        <w:spacing w:line="400" w:lineRule="exact"/>
        <w:ind w:firstLine="945" w:firstLineChars="4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人民币（大写）</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元）；</w:t>
      </w:r>
    </w:p>
    <w:p>
      <w:pPr>
        <w:pStyle w:val="33"/>
        <w:adjustRightInd w:val="0"/>
        <w:snapToGrid w:val="0"/>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（7）暂列金额：</w:t>
      </w:r>
    </w:p>
    <w:p>
      <w:pPr>
        <w:pStyle w:val="33"/>
        <w:adjustRightInd w:val="0"/>
        <w:snapToGrid w:val="0"/>
        <w:spacing w:line="400" w:lineRule="exact"/>
        <w:ind w:firstLine="945" w:firstLineChars="4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人民币（大写）</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元）。</w:t>
      </w:r>
    </w:p>
    <w:p>
      <w:pPr>
        <w:pStyle w:val="33"/>
        <w:adjustRightInd w:val="0"/>
        <w:snapToGrid w:val="0"/>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 合同价格形式：</w:t>
      </w:r>
      <w:r>
        <w:rPr>
          <w:rFonts w:hint="eastAsia" w:ascii="宋体" w:hAnsi="宋体" w:eastAsia="宋体" w:cs="宋体"/>
          <w:color w:val="auto"/>
          <w:sz w:val="21"/>
          <w:szCs w:val="21"/>
          <w:highlight w:val="none"/>
          <w:u w:val="single"/>
        </w:rPr>
        <w:t>采用固定综合单价合同形式</w:t>
      </w:r>
      <w:r>
        <w:rPr>
          <w:rFonts w:hint="eastAsia" w:ascii="宋体" w:hAnsi="宋体" w:eastAsia="宋体" w:cs="宋体"/>
          <w:color w:val="auto"/>
          <w:sz w:val="21"/>
          <w:szCs w:val="21"/>
          <w:highlight w:val="none"/>
        </w:rPr>
        <w:t>。</w:t>
      </w:r>
    </w:p>
    <w:p>
      <w:pPr>
        <w:pStyle w:val="34"/>
        <w:adjustRightInd w:val="0"/>
        <w:snapToGrid w:val="0"/>
        <w:spacing w:line="400" w:lineRule="exact"/>
        <w:ind w:firstLine="422"/>
        <w:outlineLvl w:val="0"/>
        <w:rPr>
          <w:rFonts w:hint="eastAsia" w:ascii="宋体" w:hAnsi="宋体" w:eastAsia="宋体" w:cs="宋体"/>
          <w:b/>
          <w:color w:val="auto"/>
          <w:sz w:val="21"/>
          <w:szCs w:val="21"/>
          <w:highlight w:val="none"/>
        </w:rPr>
      </w:pPr>
      <w:bookmarkStart w:id="176" w:name="_Toc351203485"/>
      <w:bookmarkStart w:id="177" w:name="_Toc2133"/>
      <w:bookmarkStart w:id="178" w:name="_Toc10860"/>
      <w:bookmarkStart w:id="179" w:name="_Toc522201563"/>
      <w:bookmarkStart w:id="180" w:name="_Toc406419157"/>
      <w:bookmarkStart w:id="181" w:name="_Toc406522032"/>
      <w:r>
        <w:rPr>
          <w:rFonts w:hint="eastAsia" w:ascii="宋体" w:hAnsi="宋体" w:eastAsia="宋体" w:cs="宋体"/>
          <w:b/>
          <w:color w:val="auto"/>
          <w:sz w:val="21"/>
          <w:szCs w:val="21"/>
          <w:highlight w:val="none"/>
        </w:rPr>
        <w:t>五、</w:t>
      </w:r>
      <w:bookmarkEnd w:id="176"/>
      <w:r>
        <w:rPr>
          <w:rFonts w:hint="eastAsia" w:ascii="宋体" w:hAnsi="宋体" w:eastAsia="宋体" w:cs="宋体"/>
          <w:b/>
          <w:color w:val="auto"/>
          <w:sz w:val="21"/>
          <w:szCs w:val="21"/>
          <w:highlight w:val="none"/>
        </w:rPr>
        <w:t>项目经理</w:t>
      </w:r>
      <w:bookmarkEnd w:id="177"/>
      <w:bookmarkEnd w:id="178"/>
      <w:bookmarkEnd w:id="179"/>
      <w:bookmarkEnd w:id="180"/>
      <w:bookmarkEnd w:id="181"/>
    </w:p>
    <w:p>
      <w:pPr>
        <w:pStyle w:val="33"/>
        <w:adjustRightInd w:val="0"/>
        <w:snapToGrid w:val="0"/>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承包人项目经理：</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none"/>
          <w:lang w:eastAsia="zh-CN"/>
        </w:rPr>
        <w:t>；</w:t>
      </w:r>
      <w:r>
        <w:rPr>
          <w:rFonts w:hint="eastAsia" w:ascii="宋体" w:hAnsi="宋体" w:eastAsia="宋体" w:cs="宋体"/>
          <w:color w:val="auto"/>
          <w:sz w:val="21"/>
          <w:szCs w:val="21"/>
          <w:highlight w:val="none"/>
          <w:u w:val="none"/>
          <w:lang w:val="en-US" w:eastAsia="zh-CN"/>
        </w:rPr>
        <w:t>联系方式：</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w:t>
      </w:r>
    </w:p>
    <w:p>
      <w:pPr>
        <w:pStyle w:val="34"/>
        <w:adjustRightInd w:val="0"/>
        <w:snapToGrid w:val="0"/>
        <w:spacing w:line="400" w:lineRule="exact"/>
        <w:ind w:firstLine="422"/>
        <w:outlineLvl w:val="0"/>
        <w:rPr>
          <w:rFonts w:hint="eastAsia" w:ascii="宋体" w:hAnsi="宋体" w:eastAsia="宋体" w:cs="宋体"/>
          <w:b/>
          <w:color w:val="auto"/>
          <w:sz w:val="21"/>
          <w:szCs w:val="21"/>
          <w:highlight w:val="none"/>
        </w:rPr>
      </w:pPr>
      <w:bookmarkStart w:id="182" w:name="_Toc29699"/>
      <w:bookmarkStart w:id="183" w:name="_Toc406522033"/>
      <w:bookmarkStart w:id="184" w:name="_Toc406419158"/>
      <w:bookmarkStart w:id="185" w:name="_Toc522201564"/>
      <w:bookmarkStart w:id="186" w:name="_Toc351203486"/>
      <w:bookmarkStart w:id="187" w:name="_Toc23735"/>
      <w:r>
        <w:rPr>
          <w:rFonts w:hint="eastAsia" w:ascii="宋体" w:hAnsi="宋体" w:eastAsia="宋体" w:cs="宋体"/>
          <w:b/>
          <w:color w:val="auto"/>
          <w:sz w:val="21"/>
          <w:szCs w:val="21"/>
          <w:highlight w:val="none"/>
        </w:rPr>
        <w:t>六、合同文件构成</w:t>
      </w:r>
      <w:bookmarkEnd w:id="182"/>
      <w:bookmarkEnd w:id="183"/>
      <w:bookmarkEnd w:id="184"/>
      <w:bookmarkEnd w:id="185"/>
      <w:bookmarkEnd w:id="186"/>
      <w:bookmarkEnd w:id="187"/>
    </w:p>
    <w:p>
      <w:pPr>
        <w:pStyle w:val="33"/>
        <w:adjustRightInd w:val="0"/>
        <w:snapToGrid w:val="0"/>
        <w:spacing w:line="400" w:lineRule="exact"/>
        <w:ind w:firstLine="420" w:firstLineChars="200"/>
        <w:rPr>
          <w:rFonts w:hint="eastAsia" w:ascii="宋体" w:hAnsi="宋体" w:eastAsia="宋体" w:cs="宋体"/>
          <w:color w:val="auto"/>
          <w:sz w:val="21"/>
          <w:szCs w:val="21"/>
          <w:highlight w:val="none"/>
        </w:rPr>
      </w:pPr>
      <w:bookmarkStart w:id="188" w:name="_Toc406522034"/>
      <w:bookmarkStart w:id="189" w:name="_Toc351203487"/>
      <w:bookmarkStart w:id="190" w:name="_Toc406419159"/>
      <w:bookmarkStart w:id="191" w:name="_Toc7021"/>
      <w:r>
        <w:rPr>
          <w:rFonts w:hint="eastAsia" w:ascii="宋体" w:hAnsi="宋体" w:eastAsia="宋体" w:cs="宋体"/>
          <w:color w:val="auto"/>
          <w:sz w:val="21"/>
          <w:szCs w:val="21"/>
          <w:highlight w:val="none"/>
        </w:rPr>
        <w:t>本协议书与下列文件一起构成合同文件：</w:t>
      </w:r>
    </w:p>
    <w:p>
      <w:pPr>
        <w:pStyle w:val="33"/>
        <w:adjustRightInd w:val="0"/>
        <w:snapToGrid w:val="0"/>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（1）中标通知书（如果有）；</w:t>
      </w:r>
    </w:p>
    <w:p>
      <w:pPr>
        <w:pStyle w:val="33"/>
        <w:adjustRightInd w:val="0"/>
        <w:snapToGrid w:val="0"/>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（2）投标函及其附录（如果有）； </w:t>
      </w:r>
    </w:p>
    <w:p>
      <w:pPr>
        <w:pStyle w:val="33"/>
        <w:adjustRightInd w:val="0"/>
        <w:snapToGrid w:val="0"/>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（3）专用合同条款及其附件；</w:t>
      </w:r>
    </w:p>
    <w:p>
      <w:pPr>
        <w:pStyle w:val="33"/>
        <w:adjustRightInd w:val="0"/>
        <w:snapToGrid w:val="0"/>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（4）通用合同条款；</w:t>
      </w:r>
    </w:p>
    <w:p>
      <w:pPr>
        <w:pStyle w:val="33"/>
        <w:adjustRightInd w:val="0"/>
        <w:snapToGrid w:val="0"/>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（5）技术标准和要求；</w:t>
      </w:r>
    </w:p>
    <w:p>
      <w:pPr>
        <w:pStyle w:val="33"/>
        <w:adjustRightInd w:val="0"/>
        <w:snapToGrid w:val="0"/>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（6）图纸；</w:t>
      </w:r>
    </w:p>
    <w:p>
      <w:pPr>
        <w:pStyle w:val="33"/>
        <w:adjustRightInd w:val="0"/>
        <w:snapToGrid w:val="0"/>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（7）已标价工程量清单或预算书；</w:t>
      </w:r>
    </w:p>
    <w:p>
      <w:pPr>
        <w:pStyle w:val="33"/>
        <w:adjustRightInd w:val="0"/>
        <w:snapToGrid w:val="0"/>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（8）其他合同文件。</w:t>
      </w:r>
    </w:p>
    <w:p>
      <w:pPr>
        <w:pStyle w:val="33"/>
        <w:adjustRightInd w:val="0"/>
        <w:snapToGrid w:val="0"/>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在合同订立及履行过程中形成的与合同有关的文件均构成合同文件组成部分。</w:t>
      </w:r>
    </w:p>
    <w:p>
      <w:pPr>
        <w:pStyle w:val="33"/>
        <w:adjustRightInd w:val="0"/>
        <w:snapToGrid w:val="0"/>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上述各项合同文件包括合同当事人就该项合同文件所作出的补充和修改，属于同一类内容的文件，应以最新签署的为准。专用合同条款及其附件须经合同当事人签字或盖章。</w:t>
      </w:r>
    </w:p>
    <w:p>
      <w:pPr>
        <w:pStyle w:val="34"/>
        <w:adjustRightInd w:val="0"/>
        <w:snapToGrid w:val="0"/>
        <w:spacing w:line="400" w:lineRule="exact"/>
        <w:ind w:firstLine="422"/>
        <w:outlineLvl w:val="0"/>
        <w:rPr>
          <w:rFonts w:hint="eastAsia" w:ascii="宋体" w:hAnsi="宋体" w:eastAsia="宋体" w:cs="宋体"/>
          <w:b/>
          <w:color w:val="auto"/>
          <w:sz w:val="21"/>
          <w:szCs w:val="21"/>
          <w:highlight w:val="none"/>
        </w:rPr>
      </w:pPr>
      <w:bookmarkStart w:id="192" w:name="_Toc4424"/>
      <w:bookmarkStart w:id="193" w:name="_Toc522201565"/>
      <w:r>
        <w:rPr>
          <w:rFonts w:hint="eastAsia" w:ascii="宋体" w:hAnsi="宋体" w:eastAsia="宋体" w:cs="宋体"/>
          <w:b/>
          <w:color w:val="auto"/>
          <w:sz w:val="21"/>
          <w:szCs w:val="21"/>
          <w:highlight w:val="none"/>
        </w:rPr>
        <w:t>七、承诺</w:t>
      </w:r>
      <w:bookmarkEnd w:id="188"/>
      <w:bookmarkEnd w:id="189"/>
      <w:bookmarkEnd w:id="190"/>
      <w:bookmarkEnd w:id="191"/>
      <w:bookmarkEnd w:id="192"/>
      <w:bookmarkEnd w:id="193"/>
    </w:p>
    <w:p>
      <w:pPr>
        <w:pStyle w:val="33"/>
        <w:adjustRightInd w:val="0"/>
        <w:snapToGrid w:val="0"/>
        <w:spacing w:line="400" w:lineRule="exact"/>
        <w:ind w:firstLine="420" w:firstLineChars="200"/>
        <w:rPr>
          <w:rFonts w:hint="eastAsia" w:ascii="宋体" w:hAnsi="宋体" w:eastAsia="宋体" w:cs="宋体"/>
          <w:color w:val="auto"/>
          <w:sz w:val="21"/>
          <w:szCs w:val="21"/>
          <w:highlight w:val="none"/>
        </w:rPr>
      </w:pPr>
      <w:bookmarkStart w:id="194" w:name="_Toc406522035"/>
      <w:bookmarkStart w:id="195" w:name="_Toc11962"/>
      <w:bookmarkStart w:id="196" w:name="_Toc406419160"/>
      <w:bookmarkStart w:id="197" w:name="_Toc351203488"/>
      <w:r>
        <w:rPr>
          <w:rFonts w:hint="eastAsia" w:ascii="宋体" w:hAnsi="宋体" w:eastAsia="宋体" w:cs="宋体"/>
          <w:color w:val="auto"/>
          <w:sz w:val="21"/>
          <w:szCs w:val="21"/>
          <w:highlight w:val="none"/>
        </w:rPr>
        <w:t>1.发包人承诺按照法律规定履行项目审批手续、筹集工程建设资金并按照合同约定的期限和方式支付合同价款。</w:t>
      </w:r>
    </w:p>
    <w:p>
      <w:pPr>
        <w:pStyle w:val="33"/>
        <w:adjustRightInd w:val="0"/>
        <w:snapToGrid w:val="0"/>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2.承包人承诺按照法律规定及合同约定组织完成工程施工，确保工程质量和安全，不进行转包及违法分包，并在缺陷责任期及保修期内承担相应的工程维修责任。</w:t>
      </w:r>
    </w:p>
    <w:p>
      <w:pPr>
        <w:pStyle w:val="33"/>
        <w:adjustRightInd w:val="0"/>
        <w:snapToGrid w:val="0"/>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3.发包人和承包人通过招投标形式签订合同的，双方理解并承诺不再就同一工程另行签订与合同实质性内容相背离的协议。</w:t>
      </w:r>
    </w:p>
    <w:p>
      <w:pPr>
        <w:pStyle w:val="34"/>
        <w:adjustRightInd w:val="0"/>
        <w:snapToGrid w:val="0"/>
        <w:spacing w:line="400" w:lineRule="exact"/>
        <w:ind w:firstLine="422"/>
        <w:outlineLvl w:val="0"/>
        <w:rPr>
          <w:rFonts w:hint="eastAsia" w:ascii="宋体" w:hAnsi="宋体" w:eastAsia="宋体" w:cs="宋体"/>
          <w:b/>
          <w:color w:val="auto"/>
          <w:sz w:val="21"/>
          <w:szCs w:val="21"/>
          <w:highlight w:val="none"/>
        </w:rPr>
      </w:pPr>
      <w:bookmarkStart w:id="198" w:name="_Toc28024"/>
      <w:bookmarkStart w:id="199" w:name="_Toc522201566"/>
      <w:r>
        <w:rPr>
          <w:rFonts w:hint="eastAsia" w:ascii="宋体" w:hAnsi="宋体" w:eastAsia="宋体" w:cs="宋体"/>
          <w:b/>
          <w:color w:val="auto"/>
          <w:sz w:val="21"/>
          <w:szCs w:val="21"/>
          <w:highlight w:val="none"/>
        </w:rPr>
        <w:t>八、词语含义</w:t>
      </w:r>
      <w:bookmarkEnd w:id="194"/>
      <w:bookmarkEnd w:id="195"/>
      <w:bookmarkEnd w:id="196"/>
      <w:bookmarkEnd w:id="197"/>
      <w:bookmarkEnd w:id="198"/>
      <w:bookmarkEnd w:id="199"/>
    </w:p>
    <w:p>
      <w:pPr>
        <w:pStyle w:val="33"/>
        <w:adjustRightInd w:val="0"/>
        <w:snapToGrid w:val="0"/>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本协议书中词语含义与第二部分通用合同条款中赋予的含义相同。</w:t>
      </w:r>
    </w:p>
    <w:p>
      <w:pPr>
        <w:pStyle w:val="34"/>
        <w:adjustRightInd w:val="0"/>
        <w:snapToGrid w:val="0"/>
        <w:spacing w:line="400" w:lineRule="exact"/>
        <w:ind w:firstLine="422"/>
        <w:outlineLvl w:val="0"/>
        <w:rPr>
          <w:rFonts w:hint="eastAsia" w:ascii="宋体" w:hAnsi="宋体" w:eastAsia="宋体" w:cs="宋体"/>
          <w:b/>
          <w:color w:val="auto"/>
          <w:sz w:val="21"/>
          <w:szCs w:val="21"/>
          <w:highlight w:val="none"/>
        </w:rPr>
      </w:pPr>
      <w:bookmarkStart w:id="200" w:name="_Toc32285"/>
      <w:bookmarkStart w:id="201" w:name="_Toc522201567"/>
      <w:bookmarkStart w:id="202" w:name="_Toc351203489"/>
      <w:bookmarkStart w:id="203" w:name="_Toc406419161"/>
      <w:bookmarkStart w:id="204" w:name="_Toc22011"/>
      <w:bookmarkStart w:id="205" w:name="_Toc406522036"/>
      <w:r>
        <w:rPr>
          <w:rFonts w:hint="eastAsia" w:ascii="宋体" w:hAnsi="宋体" w:eastAsia="宋体" w:cs="宋体"/>
          <w:b/>
          <w:color w:val="auto"/>
          <w:sz w:val="21"/>
          <w:szCs w:val="21"/>
          <w:highlight w:val="none"/>
        </w:rPr>
        <w:t>九、签订时间</w:t>
      </w:r>
      <w:bookmarkEnd w:id="200"/>
      <w:bookmarkEnd w:id="201"/>
      <w:bookmarkEnd w:id="202"/>
      <w:bookmarkEnd w:id="203"/>
      <w:bookmarkEnd w:id="204"/>
      <w:bookmarkEnd w:id="205"/>
    </w:p>
    <w:p>
      <w:pPr>
        <w:pStyle w:val="33"/>
        <w:adjustRightInd w:val="0"/>
        <w:snapToGrid w:val="0"/>
        <w:spacing w:line="40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本合同于</w:t>
      </w:r>
      <w:r>
        <w:rPr>
          <w:rFonts w:hint="eastAsia" w:ascii="宋体" w:hAnsi="宋体" w:eastAsia="宋体" w:cs="宋体"/>
          <w:bCs/>
          <w:color w:val="auto"/>
          <w:sz w:val="21"/>
          <w:szCs w:val="21"/>
          <w:highlight w:val="none"/>
          <w:u w:val="single"/>
        </w:rPr>
        <w:t xml:space="preserve">  </w:t>
      </w:r>
      <w:r>
        <w:rPr>
          <w:rFonts w:hint="eastAsia" w:ascii="宋体" w:hAnsi="宋体" w:eastAsia="宋体" w:cs="宋体"/>
          <w:bCs/>
          <w:color w:val="auto"/>
          <w:sz w:val="21"/>
          <w:szCs w:val="21"/>
          <w:highlight w:val="none"/>
        </w:rPr>
        <w:t>年</w:t>
      </w:r>
      <w:r>
        <w:rPr>
          <w:rFonts w:hint="eastAsia" w:ascii="宋体" w:hAnsi="宋体" w:eastAsia="宋体" w:cs="宋体"/>
          <w:bCs/>
          <w:color w:val="auto"/>
          <w:sz w:val="21"/>
          <w:szCs w:val="21"/>
          <w:highlight w:val="none"/>
          <w:u w:val="single"/>
          <w:lang w:val="en-US" w:eastAsia="zh-CN"/>
        </w:rPr>
        <w:t xml:space="preserve"> </w:t>
      </w:r>
      <w:r>
        <w:rPr>
          <w:rFonts w:hint="eastAsia" w:ascii="宋体" w:hAnsi="宋体" w:eastAsia="宋体" w:cs="宋体"/>
          <w:bCs/>
          <w:color w:val="auto"/>
          <w:sz w:val="21"/>
          <w:szCs w:val="21"/>
          <w:highlight w:val="none"/>
          <w:u w:val="single"/>
        </w:rPr>
        <w:t xml:space="preserve"> </w:t>
      </w:r>
      <w:r>
        <w:rPr>
          <w:rFonts w:hint="eastAsia" w:ascii="宋体" w:hAnsi="宋体" w:eastAsia="宋体" w:cs="宋体"/>
          <w:bCs/>
          <w:color w:val="auto"/>
          <w:sz w:val="21"/>
          <w:szCs w:val="21"/>
          <w:highlight w:val="none"/>
        </w:rPr>
        <w:t>月</w:t>
      </w:r>
      <w:r>
        <w:rPr>
          <w:rFonts w:hint="eastAsia" w:ascii="宋体" w:hAnsi="宋体" w:eastAsia="宋体" w:cs="宋体"/>
          <w:bCs/>
          <w:color w:val="auto"/>
          <w:sz w:val="21"/>
          <w:szCs w:val="21"/>
          <w:highlight w:val="none"/>
          <w:u w:val="single"/>
        </w:rPr>
        <w:t xml:space="preserve">  </w:t>
      </w:r>
      <w:r>
        <w:rPr>
          <w:rFonts w:hint="eastAsia" w:ascii="宋体" w:hAnsi="宋体" w:eastAsia="宋体" w:cs="宋体"/>
          <w:bCs/>
          <w:color w:val="auto"/>
          <w:sz w:val="21"/>
          <w:szCs w:val="21"/>
          <w:highlight w:val="none"/>
        </w:rPr>
        <w:t>日签订。</w:t>
      </w:r>
    </w:p>
    <w:p>
      <w:pPr>
        <w:pStyle w:val="34"/>
        <w:adjustRightInd w:val="0"/>
        <w:snapToGrid w:val="0"/>
        <w:spacing w:line="400" w:lineRule="exact"/>
        <w:ind w:firstLine="422"/>
        <w:outlineLvl w:val="0"/>
        <w:rPr>
          <w:rFonts w:hint="eastAsia" w:ascii="宋体" w:hAnsi="宋体" w:eastAsia="宋体" w:cs="宋体"/>
          <w:b/>
          <w:color w:val="auto"/>
          <w:sz w:val="21"/>
          <w:szCs w:val="21"/>
          <w:highlight w:val="none"/>
        </w:rPr>
      </w:pPr>
      <w:bookmarkStart w:id="206" w:name="_Toc406419162"/>
      <w:bookmarkStart w:id="207" w:name="_Toc522201568"/>
      <w:bookmarkStart w:id="208" w:name="_Toc22784"/>
      <w:bookmarkStart w:id="209" w:name="_Toc351203490"/>
      <w:bookmarkStart w:id="210" w:name="_Toc406522037"/>
      <w:bookmarkStart w:id="211" w:name="_Toc3692"/>
      <w:r>
        <w:rPr>
          <w:rFonts w:hint="eastAsia" w:ascii="宋体" w:hAnsi="宋体" w:eastAsia="宋体" w:cs="宋体"/>
          <w:b/>
          <w:color w:val="auto"/>
          <w:sz w:val="21"/>
          <w:szCs w:val="21"/>
          <w:highlight w:val="none"/>
        </w:rPr>
        <w:t>十、签订地点</w:t>
      </w:r>
      <w:bookmarkEnd w:id="206"/>
      <w:bookmarkEnd w:id="207"/>
      <w:bookmarkEnd w:id="208"/>
      <w:bookmarkEnd w:id="209"/>
      <w:bookmarkEnd w:id="210"/>
      <w:bookmarkEnd w:id="211"/>
    </w:p>
    <w:p>
      <w:pPr>
        <w:pStyle w:val="33"/>
        <w:adjustRightInd w:val="0"/>
        <w:snapToGrid w:val="0"/>
        <w:spacing w:line="40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本合同在</w:t>
      </w:r>
      <w:r>
        <w:rPr>
          <w:rFonts w:hint="eastAsia" w:ascii="宋体" w:hAnsi="宋体" w:eastAsia="宋体" w:cs="宋体"/>
          <w:bCs/>
          <w:color w:val="auto"/>
          <w:sz w:val="21"/>
          <w:szCs w:val="21"/>
          <w:highlight w:val="none"/>
          <w:u w:val="single"/>
        </w:rPr>
        <w:t xml:space="preserve">  广西桂林市</w:t>
      </w:r>
      <w:r>
        <w:rPr>
          <w:rFonts w:hint="eastAsia" w:ascii="宋体" w:hAnsi="宋体" w:eastAsia="宋体" w:cs="宋体"/>
          <w:bCs/>
          <w:color w:val="auto"/>
          <w:sz w:val="21"/>
          <w:szCs w:val="21"/>
          <w:highlight w:val="none"/>
          <w:u w:val="single"/>
          <w:lang w:val="en-US" w:eastAsia="zh-CN"/>
        </w:rPr>
        <w:t>兴安县</w:t>
      </w:r>
      <w:r>
        <w:rPr>
          <w:rFonts w:hint="eastAsia" w:ascii="宋体" w:hAnsi="宋体" w:eastAsia="宋体" w:cs="宋体"/>
          <w:bCs/>
          <w:color w:val="auto"/>
          <w:sz w:val="21"/>
          <w:szCs w:val="21"/>
          <w:highlight w:val="none"/>
          <w:u w:val="single"/>
        </w:rPr>
        <w:t xml:space="preserve"> </w:t>
      </w:r>
      <w:r>
        <w:rPr>
          <w:rFonts w:hint="eastAsia" w:ascii="宋体" w:hAnsi="宋体" w:eastAsia="宋体" w:cs="宋体"/>
          <w:bCs/>
          <w:color w:val="auto"/>
          <w:sz w:val="21"/>
          <w:szCs w:val="21"/>
          <w:highlight w:val="none"/>
        </w:rPr>
        <w:t>签订。</w:t>
      </w:r>
    </w:p>
    <w:p>
      <w:pPr>
        <w:pStyle w:val="34"/>
        <w:adjustRightInd w:val="0"/>
        <w:snapToGrid w:val="0"/>
        <w:spacing w:line="400" w:lineRule="exact"/>
        <w:ind w:firstLine="422"/>
        <w:outlineLvl w:val="0"/>
        <w:rPr>
          <w:rFonts w:hint="eastAsia" w:ascii="宋体" w:hAnsi="宋体" w:eastAsia="宋体" w:cs="宋体"/>
          <w:b/>
          <w:color w:val="auto"/>
          <w:sz w:val="21"/>
          <w:szCs w:val="21"/>
          <w:highlight w:val="none"/>
        </w:rPr>
      </w:pPr>
      <w:bookmarkStart w:id="212" w:name="_Toc9576"/>
      <w:bookmarkStart w:id="213" w:name="_Toc406522038"/>
      <w:bookmarkStart w:id="214" w:name="_Toc27791"/>
      <w:bookmarkStart w:id="215" w:name="_Toc522201569"/>
      <w:bookmarkStart w:id="216" w:name="_Toc351203491"/>
      <w:bookmarkStart w:id="217" w:name="_Toc406419163"/>
      <w:r>
        <w:rPr>
          <w:rFonts w:hint="eastAsia" w:ascii="宋体" w:hAnsi="宋体" w:eastAsia="宋体" w:cs="宋体"/>
          <w:b/>
          <w:color w:val="auto"/>
          <w:sz w:val="21"/>
          <w:szCs w:val="21"/>
          <w:highlight w:val="none"/>
        </w:rPr>
        <w:t>十一、补充协议</w:t>
      </w:r>
      <w:bookmarkEnd w:id="212"/>
      <w:bookmarkEnd w:id="213"/>
      <w:bookmarkEnd w:id="214"/>
      <w:bookmarkEnd w:id="215"/>
      <w:bookmarkEnd w:id="216"/>
      <w:bookmarkEnd w:id="217"/>
    </w:p>
    <w:p>
      <w:pPr>
        <w:pStyle w:val="33"/>
        <w:adjustRightInd w:val="0"/>
        <w:snapToGrid w:val="0"/>
        <w:spacing w:line="40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合同未尽事宜，合同当事人另行签订补充协议，补充协议是合同的组成部分。</w:t>
      </w:r>
    </w:p>
    <w:p>
      <w:pPr>
        <w:pStyle w:val="34"/>
        <w:adjustRightInd w:val="0"/>
        <w:snapToGrid w:val="0"/>
        <w:spacing w:line="400" w:lineRule="exact"/>
        <w:ind w:firstLine="422"/>
        <w:outlineLvl w:val="0"/>
        <w:rPr>
          <w:rFonts w:hint="eastAsia" w:ascii="宋体" w:hAnsi="宋体" w:eastAsia="宋体" w:cs="宋体"/>
          <w:b/>
          <w:color w:val="auto"/>
          <w:sz w:val="21"/>
          <w:szCs w:val="21"/>
          <w:highlight w:val="none"/>
        </w:rPr>
      </w:pPr>
      <w:bookmarkStart w:id="218" w:name="_Toc406522039"/>
      <w:bookmarkStart w:id="219" w:name="_Toc9517"/>
      <w:bookmarkStart w:id="220" w:name="_Toc32443"/>
      <w:bookmarkStart w:id="221" w:name="_Toc522201570"/>
      <w:bookmarkStart w:id="222" w:name="_Toc351203492"/>
      <w:bookmarkStart w:id="223" w:name="_Toc406419164"/>
      <w:r>
        <w:rPr>
          <w:rFonts w:hint="eastAsia" w:ascii="宋体" w:hAnsi="宋体" w:eastAsia="宋体" w:cs="宋体"/>
          <w:b/>
          <w:color w:val="auto"/>
          <w:sz w:val="21"/>
          <w:szCs w:val="21"/>
          <w:highlight w:val="none"/>
        </w:rPr>
        <w:t>十二、合同生效</w:t>
      </w:r>
      <w:bookmarkEnd w:id="218"/>
      <w:bookmarkEnd w:id="219"/>
      <w:bookmarkEnd w:id="220"/>
      <w:bookmarkEnd w:id="221"/>
      <w:bookmarkEnd w:id="222"/>
      <w:bookmarkEnd w:id="223"/>
    </w:p>
    <w:p>
      <w:pPr>
        <w:pStyle w:val="33"/>
        <w:adjustRightInd w:val="0"/>
        <w:snapToGrid w:val="0"/>
        <w:spacing w:line="40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本合同自</w:t>
      </w:r>
      <w:r>
        <w:rPr>
          <w:rFonts w:hint="eastAsia" w:ascii="宋体" w:hAnsi="宋体" w:eastAsia="宋体" w:cs="宋体"/>
          <w:bCs/>
          <w:color w:val="auto"/>
          <w:sz w:val="21"/>
          <w:szCs w:val="21"/>
          <w:highlight w:val="none"/>
          <w:u w:val="single"/>
        </w:rPr>
        <w:t xml:space="preserve">  </w:t>
      </w:r>
      <w:r>
        <w:rPr>
          <w:rFonts w:hint="eastAsia" w:ascii="宋体" w:hAnsi="宋体" w:eastAsia="宋体" w:cs="宋体"/>
          <w:color w:val="auto"/>
          <w:sz w:val="21"/>
          <w:szCs w:val="21"/>
          <w:highlight w:val="none"/>
          <w:u w:val="single"/>
        </w:rPr>
        <w:t>双方法定代表人或其委托代理人签字或盖章并加盖单位</w:t>
      </w:r>
      <w:r>
        <w:rPr>
          <w:rFonts w:hint="eastAsia" w:ascii="宋体" w:hAnsi="宋体" w:eastAsia="宋体" w:cs="宋体"/>
          <w:color w:val="auto"/>
          <w:sz w:val="21"/>
          <w:szCs w:val="21"/>
          <w:highlight w:val="none"/>
          <w:u w:val="single"/>
          <w:lang w:eastAsia="zh-CN"/>
        </w:rPr>
        <w:t>公</w:t>
      </w:r>
      <w:r>
        <w:rPr>
          <w:rFonts w:hint="eastAsia" w:ascii="宋体" w:hAnsi="宋体" w:eastAsia="宋体" w:cs="宋体"/>
          <w:color w:val="auto"/>
          <w:sz w:val="21"/>
          <w:szCs w:val="21"/>
          <w:highlight w:val="none"/>
          <w:u w:val="single"/>
        </w:rPr>
        <w:t>章后</w:t>
      </w:r>
      <w:r>
        <w:rPr>
          <w:rFonts w:hint="eastAsia" w:ascii="宋体" w:hAnsi="宋体" w:eastAsia="宋体" w:cs="宋体"/>
          <w:bCs/>
          <w:color w:val="auto"/>
          <w:sz w:val="21"/>
          <w:szCs w:val="21"/>
          <w:highlight w:val="none"/>
          <w:u w:val="single"/>
        </w:rPr>
        <w:t xml:space="preserve"> </w:t>
      </w:r>
      <w:r>
        <w:rPr>
          <w:rFonts w:hint="eastAsia" w:ascii="宋体" w:hAnsi="宋体" w:eastAsia="宋体" w:cs="宋体"/>
          <w:bCs/>
          <w:color w:val="auto"/>
          <w:sz w:val="21"/>
          <w:szCs w:val="21"/>
          <w:highlight w:val="none"/>
        </w:rPr>
        <w:t>生效。</w:t>
      </w:r>
    </w:p>
    <w:p>
      <w:pPr>
        <w:pStyle w:val="34"/>
        <w:adjustRightInd w:val="0"/>
        <w:snapToGrid w:val="0"/>
        <w:spacing w:line="400" w:lineRule="exact"/>
        <w:ind w:firstLine="422"/>
        <w:outlineLvl w:val="0"/>
        <w:rPr>
          <w:rFonts w:hint="eastAsia" w:ascii="宋体" w:hAnsi="宋体" w:eastAsia="宋体" w:cs="宋体"/>
          <w:b/>
          <w:color w:val="auto"/>
          <w:sz w:val="21"/>
          <w:szCs w:val="21"/>
          <w:highlight w:val="none"/>
        </w:rPr>
      </w:pPr>
      <w:bookmarkStart w:id="224" w:name="_Toc522201571"/>
      <w:bookmarkStart w:id="225" w:name="_Toc406419165"/>
      <w:bookmarkStart w:id="226" w:name="_Toc16804"/>
      <w:bookmarkStart w:id="227" w:name="_Toc14945"/>
      <w:bookmarkStart w:id="228" w:name="_Toc406522040"/>
      <w:bookmarkStart w:id="229" w:name="_Toc351203493"/>
      <w:r>
        <w:rPr>
          <w:rFonts w:hint="eastAsia" w:ascii="宋体" w:hAnsi="宋体" w:eastAsia="宋体" w:cs="宋体"/>
          <w:b/>
          <w:color w:val="auto"/>
          <w:sz w:val="21"/>
          <w:szCs w:val="21"/>
          <w:highlight w:val="none"/>
        </w:rPr>
        <w:t>十三、合同份数</w:t>
      </w:r>
      <w:bookmarkEnd w:id="224"/>
      <w:bookmarkEnd w:id="225"/>
      <w:bookmarkEnd w:id="226"/>
      <w:bookmarkEnd w:id="227"/>
      <w:bookmarkEnd w:id="228"/>
      <w:bookmarkEnd w:id="229"/>
    </w:p>
    <w:p>
      <w:pPr>
        <w:pStyle w:val="33"/>
        <w:adjustRightInd w:val="0"/>
        <w:snapToGrid w:val="0"/>
        <w:spacing w:line="40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本合同一式</w:t>
      </w:r>
      <w:r>
        <w:rPr>
          <w:rFonts w:hint="eastAsia" w:ascii="宋体" w:hAnsi="宋体" w:eastAsia="宋体" w:cs="宋体"/>
          <w:bCs/>
          <w:color w:val="auto"/>
          <w:sz w:val="21"/>
          <w:szCs w:val="21"/>
          <w:highlight w:val="none"/>
          <w:u w:val="single"/>
        </w:rPr>
        <w:t xml:space="preserve"> </w:t>
      </w:r>
      <w:r>
        <w:rPr>
          <w:rFonts w:hint="eastAsia" w:ascii="宋体" w:hAnsi="宋体" w:eastAsia="宋体" w:cs="宋体"/>
          <w:bCs/>
          <w:color w:val="auto"/>
          <w:sz w:val="21"/>
          <w:szCs w:val="21"/>
          <w:highlight w:val="none"/>
          <w:u w:val="single"/>
          <w:lang w:val="en-US" w:eastAsia="zh-CN"/>
        </w:rPr>
        <w:t xml:space="preserve"> </w:t>
      </w:r>
      <w:r>
        <w:rPr>
          <w:rFonts w:hint="eastAsia" w:ascii="宋体" w:hAnsi="宋体" w:eastAsia="宋体" w:cs="宋体"/>
          <w:bCs/>
          <w:color w:val="auto"/>
          <w:sz w:val="21"/>
          <w:szCs w:val="21"/>
          <w:highlight w:val="none"/>
          <w:u w:val="single"/>
        </w:rPr>
        <w:t xml:space="preserve"> </w:t>
      </w:r>
      <w:r>
        <w:rPr>
          <w:rFonts w:hint="eastAsia" w:ascii="宋体" w:hAnsi="宋体" w:eastAsia="宋体" w:cs="宋体"/>
          <w:bCs/>
          <w:color w:val="auto"/>
          <w:sz w:val="21"/>
          <w:szCs w:val="21"/>
          <w:highlight w:val="none"/>
        </w:rPr>
        <w:t>份，均具有同等法律效力，发包人执</w:t>
      </w:r>
      <w:r>
        <w:rPr>
          <w:rFonts w:hint="eastAsia" w:ascii="宋体" w:hAnsi="宋体" w:eastAsia="宋体" w:cs="宋体"/>
          <w:bCs/>
          <w:color w:val="auto"/>
          <w:sz w:val="21"/>
          <w:szCs w:val="21"/>
          <w:highlight w:val="none"/>
          <w:u w:val="single"/>
        </w:rPr>
        <w:t xml:space="preserve">  </w:t>
      </w:r>
      <w:r>
        <w:rPr>
          <w:rFonts w:hint="eastAsia" w:ascii="宋体" w:hAnsi="宋体" w:eastAsia="宋体" w:cs="宋体"/>
          <w:bCs/>
          <w:color w:val="auto"/>
          <w:sz w:val="21"/>
          <w:szCs w:val="21"/>
          <w:highlight w:val="none"/>
          <w:u w:val="single"/>
          <w:lang w:val="en-US" w:eastAsia="zh-CN"/>
        </w:rPr>
        <w:t xml:space="preserve"> </w:t>
      </w:r>
      <w:r>
        <w:rPr>
          <w:rFonts w:hint="eastAsia" w:ascii="宋体" w:hAnsi="宋体" w:eastAsia="宋体" w:cs="宋体"/>
          <w:bCs/>
          <w:color w:val="auto"/>
          <w:sz w:val="21"/>
          <w:szCs w:val="21"/>
          <w:highlight w:val="none"/>
          <w:u w:val="single"/>
        </w:rPr>
        <w:t xml:space="preserve">  </w:t>
      </w:r>
      <w:r>
        <w:rPr>
          <w:rFonts w:hint="eastAsia" w:ascii="宋体" w:hAnsi="宋体" w:eastAsia="宋体" w:cs="宋体"/>
          <w:bCs/>
          <w:color w:val="auto"/>
          <w:sz w:val="21"/>
          <w:szCs w:val="21"/>
          <w:highlight w:val="none"/>
        </w:rPr>
        <w:t>份，承包人执</w:t>
      </w:r>
      <w:r>
        <w:rPr>
          <w:rFonts w:hint="eastAsia" w:ascii="宋体" w:hAnsi="宋体" w:eastAsia="宋体" w:cs="宋体"/>
          <w:bCs/>
          <w:color w:val="auto"/>
          <w:sz w:val="21"/>
          <w:szCs w:val="21"/>
          <w:highlight w:val="none"/>
          <w:u w:val="single"/>
        </w:rPr>
        <w:t xml:space="preserve"> </w:t>
      </w:r>
      <w:r>
        <w:rPr>
          <w:rFonts w:hint="eastAsia" w:ascii="宋体" w:hAnsi="宋体" w:eastAsia="宋体" w:cs="宋体"/>
          <w:bCs/>
          <w:color w:val="auto"/>
          <w:sz w:val="21"/>
          <w:szCs w:val="21"/>
          <w:highlight w:val="none"/>
          <w:u w:val="single"/>
          <w:lang w:val="en-US" w:eastAsia="zh-CN"/>
        </w:rPr>
        <w:t xml:space="preserve"> </w:t>
      </w:r>
      <w:r>
        <w:rPr>
          <w:rFonts w:hint="eastAsia" w:ascii="宋体" w:hAnsi="宋体" w:eastAsia="宋体" w:cs="宋体"/>
          <w:bCs/>
          <w:color w:val="auto"/>
          <w:sz w:val="21"/>
          <w:szCs w:val="21"/>
          <w:highlight w:val="none"/>
          <w:u w:val="single"/>
        </w:rPr>
        <w:t xml:space="preserve"> </w:t>
      </w:r>
      <w:r>
        <w:rPr>
          <w:rFonts w:hint="eastAsia" w:ascii="宋体" w:hAnsi="宋体" w:eastAsia="宋体" w:cs="宋体"/>
          <w:bCs/>
          <w:color w:val="auto"/>
          <w:sz w:val="21"/>
          <w:szCs w:val="21"/>
          <w:highlight w:val="none"/>
        </w:rPr>
        <w:t>份，招标代理机构执</w:t>
      </w:r>
      <w:r>
        <w:rPr>
          <w:rFonts w:hint="eastAsia" w:ascii="宋体" w:hAnsi="宋体" w:eastAsia="宋体" w:cs="宋体"/>
          <w:bCs/>
          <w:color w:val="auto"/>
          <w:sz w:val="21"/>
          <w:szCs w:val="21"/>
          <w:highlight w:val="none"/>
          <w:u w:val="single"/>
        </w:rPr>
        <w:t xml:space="preserve"> </w:t>
      </w:r>
      <w:r>
        <w:rPr>
          <w:rFonts w:hint="eastAsia" w:ascii="宋体" w:hAnsi="宋体" w:eastAsia="宋体" w:cs="宋体"/>
          <w:bCs/>
          <w:color w:val="auto"/>
          <w:sz w:val="21"/>
          <w:szCs w:val="21"/>
          <w:highlight w:val="none"/>
          <w:u w:val="single"/>
          <w:lang w:val="en-US" w:eastAsia="zh-CN"/>
        </w:rPr>
        <w:t xml:space="preserve"> </w:t>
      </w:r>
      <w:r>
        <w:rPr>
          <w:rFonts w:hint="eastAsia" w:ascii="宋体" w:hAnsi="宋体" w:eastAsia="宋体" w:cs="宋体"/>
          <w:bCs/>
          <w:color w:val="auto"/>
          <w:sz w:val="21"/>
          <w:szCs w:val="21"/>
          <w:highlight w:val="none"/>
          <w:u w:val="single"/>
        </w:rPr>
        <w:t xml:space="preserve"> </w:t>
      </w:r>
      <w:r>
        <w:rPr>
          <w:rFonts w:hint="eastAsia" w:ascii="宋体" w:hAnsi="宋体" w:eastAsia="宋体" w:cs="宋体"/>
          <w:bCs/>
          <w:color w:val="auto"/>
          <w:sz w:val="21"/>
          <w:szCs w:val="21"/>
          <w:highlight w:val="none"/>
        </w:rPr>
        <w:t>份。</w:t>
      </w:r>
    </w:p>
    <w:p>
      <w:pPr>
        <w:pStyle w:val="33"/>
        <w:adjustRightInd w:val="0"/>
        <w:snapToGrid w:val="0"/>
        <w:spacing w:line="400" w:lineRule="exact"/>
        <w:ind w:firstLine="420" w:firstLineChars="200"/>
        <w:rPr>
          <w:rFonts w:hint="eastAsia" w:ascii="宋体" w:hAnsi="宋体" w:eastAsia="宋体" w:cs="宋体"/>
          <w:bCs/>
          <w:color w:val="auto"/>
          <w:sz w:val="21"/>
          <w:szCs w:val="21"/>
          <w:highlight w:val="none"/>
        </w:rPr>
      </w:pPr>
    </w:p>
    <w:tbl>
      <w:tblPr>
        <w:tblStyle w:val="20"/>
        <w:tblW w:w="8900" w:type="dxa"/>
        <w:tblInd w:w="46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03"/>
        <w:gridCol w:w="45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303" w:type="dxa"/>
            <w:vAlign w:val="top"/>
          </w:tcPr>
          <w:p>
            <w:pPr>
              <w:spacing w:line="360" w:lineRule="auto"/>
              <w:rPr>
                <w:rFonts w:hint="eastAsia" w:ascii="宋体" w:hAnsi="宋体" w:eastAsia="宋体" w:cs="宋体"/>
                <w:color w:val="auto"/>
                <w:kern w:val="0"/>
                <w:sz w:val="21"/>
                <w:szCs w:val="21"/>
                <w:highlight w:val="none"/>
                <w:u w:val="none"/>
                <w:lang w:val="en-US" w:eastAsia="zh-CN"/>
              </w:rPr>
            </w:pPr>
            <w:r>
              <w:rPr>
                <w:rFonts w:hint="eastAsia" w:ascii="宋体" w:hAnsi="宋体" w:eastAsia="宋体" w:cs="宋体"/>
                <w:color w:val="auto"/>
                <w:kern w:val="0"/>
                <w:sz w:val="21"/>
                <w:szCs w:val="21"/>
                <w:highlight w:val="none"/>
                <w:u w:val="none"/>
                <w:lang w:val="en-US" w:eastAsia="zh-CN"/>
              </w:rPr>
              <w:t>发包人：（公章）</w:t>
            </w:r>
          </w:p>
          <w:p>
            <w:pPr>
              <w:spacing w:line="360" w:lineRule="auto"/>
              <w:rPr>
                <w:rFonts w:hint="eastAsia" w:ascii="宋体" w:hAnsi="宋体" w:eastAsia="宋体" w:cs="宋体"/>
                <w:color w:val="auto"/>
                <w:kern w:val="0"/>
                <w:sz w:val="21"/>
                <w:szCs w:val="21"/>
                <w:highlight w:val="none"/>
                <w:u w:val="none"/>
                <w:lang w:val="en-US" w:eastAsia="zh-CN"/>
              </w:rPr>
            </w:pPr>
            <w:r>
              <w:rPr>
                <w:rFonts w:hint="eastAsia" w:ascii="宋体" w:hAnsi="宋体" w:eastAsia="宋体" w:cs="宋体"/>
                <w:color w:val="auto"/>
                <w:kern w:val="0"/>
                <w:sz w:val="21"/>
                <w:szCs w:val="21"/>
                <w:highlight w:val="none"/>
                <w:u w:val="none"/>
                <w:lang w:val="en-US" w:eastAsia="zh-CN"/>
              </w:rPr>
              <w:t xml:space="preserve"> </w:t>
            </w:r>
          </w:p>
        </w:tc>
        <w:tc>
          <w:tcPr>
            <w:tcW w:w="4597" w:type="dxa"/>
            <w:vAlign w:val="top"/>
          </w:tcPr>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承包人：（公章）</w:t>
            </w:r>
          </w:p>
          <w:p>
            <w:pPr>
              <w:pStyle w:val="8"/>
              <w:rPr>
                <w:rFonts w:hint="eastAsia" w:ascii="宋体" w:hAnsi="宋体" w:eastAsia="宋体" w:cs="宋体"/>
                <w:color w:val="auto"/>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303" w:type="dxa"/>
            <w:vAlign w:val="top"/>
          </w:tcPr>
          <w:p>
            <w:pPr>
              <w:spacing w:line="360" w:lineRule="auto"/>
              <w:rPr>
                <w:rFonts w:hint="eastAsia" w:ascii="宋体" w:hAnsi="宋体" w:eastAsia="宋体" w:cs="宋体"/>
                <w:color w:val="auto"/>
                <w:kern w:val="0"/>
                <w:sz w:val="21"/>
                <w:szCs w:val="21"/>
                <w:highlight w:val="none"/>
                <w:u w:val="none"/>
                <w:lang w:val="en-US" w:eastAsia="zh-CN"/>
              </w:rPr>
            </w:pPr>
          </w:p>
        </w:tc>
        <w:tc>
          <w:tcPr>
            <w:tcW w:w="4597" w:type="dxa"/>
            <w:vAlign w:val="top"/>
          </w:tcPr>
          <w:p>
            <w:pPr>
              <w:spacing w:line="360" w:lineRule="auto"/>
              <w:rPr>
                <w:rFonts w:hint="eastAsia" w:ascii="宋体" w:hAnsi="宋体" w:eastAsia="宋体" w:cs="宋体"/>
                <w:color w:val="auto"/>
                <w:kern w:val="0"/>
                <w:sz w:val="21"/>
                <w:szCs w:val="21"/>
                <w:highlight w:val="none"/>
                <w:u w:val="none"/>
                <w:lang w:val="en-US" w:eastAsia="zh-CN"/>
              </w:rPr>
            </w:pPr>
            <w:r>
              <w:rPr>
                <w:rFonts w:hint="eastAsia" w:ascii="宋体" w:hAnsi="宋体" w:eastAsia="宋体" w:cs="宋体"/>
                <w:color w:val="auto"/>
                <w:kern w:val="0"/>
                <w:sz w:val="21"/>
                <w:szCs w:val="21"/>
                <w:highlight w:val="none"/>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303" w:type="dxa"/>
            <w:vAlign w:val="top"/>
          </w:tcPr>
          <w:p>
            <w:pPr>
              <w:spacing w:line="360" w:lineRule="auto"/>
              <w:rPr>
                <w:rFonts w:hint="eastAsia" w:ascii="宋体" w:hAnsi="宋体" w:eastAsia="宋体" w:cs="宋体"/>
                <w:color w:val="auto"/>
                <w:kern w:val="0"/>
                <w:sz w:val="21"/>
                <w:szCs w:val="21"/>
                <w:highlight w:val="none"/>
                <w:u w:val="none"/>
                <w:lang w:val="en-US" w:eastAsia="zh-CN"/>
              </w:rPr>
            </w:pPr>
            <w:r>
              <w:rPr>
                <w:rFonts w:hint="eastAsia" w:ascii="宋体" w:hAnsi="宋体" w:eastAsia="宋体" w:cs="宋体"/>
                <w:color w:val="auto"/>
                <w:kern w:val="0"/>
                <w:sz w:val="21"/>
                <w:szCs w:val="21"/>
                <w:highlight w:val="none"/>
                <w:u w:val="none"/>
                <w:lang w:val="en-US" w:eastAsia="zh-CN"/>
              </w:rPr>
              <w:t>法定代表人</w:t>
            </w:r>
            <w:r>
              <w:rPr>
                <w:rFonts w:hint="eastAsia" w:ascii="宋体" w:hAnsi="宋体" w:eastAsia="宋体" w:cs="宋体"/>
                <w:color w:val="auto"/>
                <w:sz w:val="21"/>
                <w:szCs w:val="21"/>
                <w:highlight w:val="none"/>
              </w:rPr>
              <w:t>或其委托代理人</w:t>
            </w:r>
            <w:r>
              <w:rPr>
                <w:rFonts w:hint="eastAsia" w:ascii="宋体" w:hAnsi="宋体" w:eastAsia="宋体" w:cs="宋体"/>
                <w:color w:val="auto"/>
                <w:kern w:val="0"/>
                <w:sz w:val="21"/>
                <w:szCs w:val="21"/>
                <w:highlight w:val="none"/>
                <w:u w:val="none"/>
                <w:lang w:val="en-US" w:eastAsia="zh-CN"/>
              </w:rPr>
              <w:t>：</w:t>
            </w:r>
          </w:p>
          <w:p>
            <w:pPr>
              <w:spacing w:line="360" w:lineRule="auto"/>
              <w:rPr>
                <w:rFonts w:hint="eastAsia" w:ascii="宋体" w:hAnsi="宋体" w:eastAsia="宋体" w:cs="宋体"/>
                <w:color w:val="auto"/>
                <w:kern w:val="0"/>
                <w:sz w:val="21"/>
                <w:szCs w:val="21"/>
                <w:highlight w:val="none"/>
                <w:u w:val="none"/>
                <w:lang w:val="en-US" w:eastAsia="zh-CN"/>
              </w:rPr>
            </w:pPr>
            <w:r>
              <w:rPr>
                <w:rFonts w:hint="eastAsia" w:ascii="宋体" w:hAnsi="宋体" w:eastAsia="宋体" w:cs="宋体"/>
                <w:color w:val="auto"/>
                <w:kern w:val="0"/>
                <w:sz w:val="21"/>
                <w:szCs w:val="21"/>
                <w:highlight w:val="none"/>
                <w:u w:val="none"/>
                <w:lang w:val="en-US" w:eastAsia="zh-CN"/>
              </w:rPr>
              <w:t>（签字或盖章）</w:t>
            </w:r>
          </w:p>
        </w:tc>
        <w:tc>
          <w:tcPr>
            <w:tcW w:w="4597" w:type="dxa"/>
            <w:vAlign w:val="top"/>
          </w:tcPr>
          <w:p>
            <w:pPr>
              <w:spacing w:line="360" w:lineRule="auto"/>
              <w:rPr>
                <w:rFonts w:hint="eastAsia" w:ascii="宋体" w:hAnsi="宋体" w:eastAsia="宋体" w:cs="宋体"/>
                <w:color w:val="auto"/>
                <w:kern w:val="0"/>
                <w:sz w:val="21"/>
                <w:szCs w:val="21"/>
                <w:highlight w:val="none"/>
                <w:u w:val="none"/>
                <w:lang w:val="en-US" w:eastAsia="zh-CN"/>
              </w:rPr>
            </w:pPr>
            <w:r>
              <w:rPr>
                <w:rFonts w:hint="eastAsia" w:ascii="宋体" w:hAnsi="宋体" w:eastAsia="宋体" w:cs="宋体"/>
                <w:color w:val="auto"/>
                <w:kern w:val="0"/>
                <w:sz w:val="21"/>
                <w:szCs w:val="21"/>
                <w:highlight w:val="none"/>
                <w:u w:val="none"/>
                <w:lang w:val="en-US" w:eastAsia="zh-CN"/>
              </w:rPr>
              <w:t>法定代表人</w:t>
            </w:r>
            <w:r>
              <w:rPr>
                <w:rFonts w:hint="eastAsia" w:ascii="宋体" w:hAnsi="宋体" w:eastAsia="宋体" w:cs="宋体"/>
                <w:color w:val="auto"/>
                <w:sz w:val="21"/>
                <w:szCs w:val="21"/>
                <w:highlight w:val="none"/>
              </w:rPr>
              <w:t>或其委托代理人</w:t>
            </w:r>
            <w:r>
              <w:rPr>
                <w:rFonts w:hint="eastAsia" w:ascii="宋体" w:hAnsi="宋体" w:eastAsia="宋体" w:cs="宋体"/>
                <w:color w:val="auto"/>
                <w:kern w:val="0"/>
                <w:sz w:val="21"/>
                <w:szCs w:val="21"/>
                <w:highlight w:val="none"/>
                <w:u w:val="none"/>
                <w:lang w:val="en-US" w:eastAsia="zh-CN"/>
              </w:rPr>
              <w:t>：</w:t>
            </w:r>
          </w:p>
          <w:p>
            <w:pPr>
              <w:spacing w:line="360" w:lineRule="auto"/>
              <w:rPr>
                <w:rFonts w:hint="eastAsia" w:ascii="宋体" w:hAnsi="宋体" w:eastAsia="宋体" w:cs="宋体"/>
                <w:color w:val="auto"/>
                <w:kern w:val="0"/>
                <w:sz w:val="21"/>
                <w:szCs w:val="21"/>
                <w:highlight w:val="none"/>
                <w:u w:val="none"/>
                <w:lang w:val="en-US" w:eastAsia="zh-CN"/>
              </w:rPr>
            </w:pPr>
            <w:r>
              <w:rPr>
                <w:rFonts w:hint="eastAsia" w:ascii="宋体" w:hAnsi="宋体" w:eastAsia="宋体" w:cs="宋体"/>
                <w:color w:val="auto"/>
                <w:kern w:val="0"/>
                <w:sz w:val="21"/>
                <w:szCs w:val="21"/>
                <w:highlight w:val="none"/>
                <w:u w:val="none"/>
                <w:lang w:val="en-US" w:eastAsia="zh-CN"/>
              </w:rPr>
              <w:t>（签字或盖章）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4303" w:type="dxa"/>
            <w:vAlign w:val="top"/>
          </w:tcPr>
          <w:p>
            <w:pPr>
              <w:spacing w:line="360" w:lineRule="auto"/>
              <w:rPr>
                <w:rFonts w:hint="eastAsia" w:ascii="宋体" w:hAnsi="宋体" w:eastAsia="宋体" w:cs="宋体"/>
                <w:color w:val="auto"/>
                <w:kern w:val="0"/>
                <w:sz w:val="21"/>
                <w:szCs w:val="21"/>
                <w:highlight w:val="none"/>
                <w:u w:val="none"/>
                <w:lang w:val="en-US" w:eastAsia="zh-CN"/>
              </w:rPr>
            </w:pPr>
            <w:r>
              <w:rPr>
                <w:rFonts w:hint="eastAsia" w:ascii="宋体" w:hAnsi="宋体" w:eastAsia="宋体" w:cs="宋体"/>
                <w:color w:val="auto"/>
                <w:kern w:val="0"/>
                <w:sz w:val="21"/>
                <w:szCs w:val="21"/>
                <w:highlight w:val="none"/>
                <w:u w:val="none"/>
                <w:lang w:val="en-US" w:eastAsia="zh-CN"/>
              </w:rPr>
              <w:t>统一社会信用代码：</w:t>
            </w:r>
          </w:p>
        </w:tc>
        <w:tc>
          <w:tcPr>
            <w:tcW w:w="4597" w:type="dxa"/>
            <w:vAlign w:val="top"/>
          </w:tcPr>
          <w:p>
            <w:pPr>
              <w:spacing w:line="360" w:lineRule="auto"/>
              <w:rPr>
                <w:rFonts w:hint="eastAsia" w:ascii="宋体" w:hAnsi="宋体" w:eastAsia="宋体" w:cs="宋体"/>
                <w:color w:val="auto"/>
                <w:kern w:val="0"/>
                <w:sz w:val="21"/>
                <w:szCs w:val="21"/>
                <w:highlight w:val="none"/>
                <w:u w:val="none"/>
                <w:lang w:val="en-US" w:eastAsia="zh-CN"/>
              </w:rPr>
            </w:pPr>
            <w:r>
              <w:rPr>
                <w:rFonts w:hint="eastAsia" w:ascii="宋体" w:hAnsi="宋体" w:eastAsia="宋体" w:cs="宋体"/>
                <w:color w:val="auto"/>
                <w:kern w:val="0"/>
                <w:sz w:val="21"/>
                <w:szCs w:val="21"/>
                <w:highlight w:val="none"/>
                <w:u w:val="none"/>
                <w:lang w:val="en-US" w:eastAsia="zh-CN"/>
              </w:rPr>
              <w:t xml:space="preserve">统一社会信用代码：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303" w:type="dxa"/>
            <w:vAlign w:val="top"/>
          </w:tcPr>
          <w:p>
            <w:pPr>
              <w:spacing w:line="360" w:lineRule="auto"/>
              <w:rPr>
                <w:rFonts w:hint="eastAsia" w:ascii="宋体" w:hAnsi="宋体" w:eastAsia="宋体" w:cs="宋体"/>
                <w:color w:val="auto"/>
                <w:kern w:val="0"/>
                <w:sz w:val="21"/>
                <w:szCs w:val="21"/>
                <w:highlight w:val="none"/>
                <w:u w:val="none"/>
                <w:lang w:val="en-US" w:eastAsia="zh-CN"/>
              </w:rPr>
            </w:pPr>
            <w:r>
              <w:rPr>
                <w:rFonts w:hint="eastAsia" w:ascii="宋体" w:hAnsi="宋体" w:eastAsia="宋体" w:cs="宋体"/>
                <w:color w:val="auto"/>
                <w:kern w:val="0"/>
                <w:sz w:val="21"/>
                <w:szCs w:val="21"/>
                <w:highlight w:val="none"/>
                <w:u w:val="none"/>
                <w:lang w:val="en-US" w:eastAsia="zh-CN"/>
              </w:rPr>
              <w:t>地址：</w:t>
            </w:r>
          </w:p>
        </w:tc>
        <w:tc>
          <w:tcPr>
            <w:tcW w:w="4597" w:type="dxa"/>
            <w:vAlign w:val="top"/>
          </w:tcPr>
          <w:p>
            <w:pPr>
              <w:spacing w:line="360" w:lineRule="auto"/>
              <w:rPr>
                <w:rFonts w:hint="eastAsia" w:ascii="宋体" w:hAnsi="宋体" w:eastAsia="宋体" w:cs="宋体"/>
                <w:color w:val="auto"/>
                <w:kern w:val="0"/>
                <w:sz w:val="21"/>
                <w:szCs w:val="21"/>
                <w:highlight w:val="none"/>
                <w:u w:val="none"/>
                <w:lang w:val="en-US" w:eastAsia="zh-CN"/>
              </w:rPr>
            </w:pPr>
            <w:r>
              <w:rPr>
                <w:rFonts w:hint="eastAsia" w:ascii="宋体" w:hAnsi="宋体" w:eastAsia="宋体" w:cs="宋体"/>
                <w:color w:val="auto"/>
                <w:kern w:val="0"/>
                <w:sz w:val="21"/>
                <w:szCs w:val="21"/>
                <w:highlight w:val="none"/>
                <w:u w:val="none"/>
                <w:lang w:val="en-US" w:eastAsia="zh-CN"/>
              </w:rPr>
              <w:t>地址：</w:t>
            </w:r>
            <w:r>
              <w:rPr>
                <w:rFonts w:hint="eastAsia" w:ascii="宋体" w:hAnsi="宋体" w:eastAsia="宋体" w:cs="宋体"/>
                <w:color w:val="auto"/>
                <w:sz w:val="21"/>
                <w:szCs w:val="21"/>
                <w:highlight w:val="none"/>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303" w:type="dxa"/>
            <w:vAlign w:val="top"/>
          </w:tcPr>
          <w:p>
            <w:pPr>
              <w:spacing w:line="360" w:lineRule="auto"/>
              <w:rPr>
                <w:rFonts w:hint="eastAsia" w:ascii="宋体" w:hAnsi="宋体" w:eastAsia="宋体" w:cs="宋体"/>
                <w:color w:val="auto"/>
                <w:kern w:val="0"/>
                <w:sz w:val="21"/>
                <w:szCs w:val="21"/>
                <w:highlight w:val="none"/>
                <w:u w:val="none"/>
                <w:lang w:val="en-US" w:eastAsia="zh-CN"/>
              </w:rPr>
            </w:pPr>
            <w:r>
              <w:rPr>
                <w:rFonts w:hint="eastAsia" w:ascii="宋体" w:hAnsi="宋体" w:eastAsia="宋体" w:cs="宋体"/>
                <w:color w:val="auto"/>
                <w:kern w:val="0"/>
                <w:sz w:val="21"/>
                <w:szCs w:val="21"/>
                <w:highlight w:val="none"/>
                <w:u w:val="none"/>
                <w:lang w:val="en-US" w:eastAsia="zh-CN"/>
              </w:rPr>
              <w:t>邮政编码：</w:t>
            </w:r>
          </w:p>
        </w:tc>
        <w:tc>
          <w:tcPr>
            <w:tcW w:w="4597" w:type="dxa"/>
            <w:vAlign w:val="top"/>
          </w:tcPr>
          <w:p>
            <w:pPr>
              <w:spacing w:line="360" w:lineRule="auto"/>
              <w:rPr>
                <w:rFonts w:hint="eastAsia" w:ascii="宋体" w:hAnsi="宋体" w:eastAsia="宋体" w:cs="宋体"/>
                <w:color w:val="auto"/>
                <w:kern w:val="0"/>
                <w:sz w:val="21"/>
                <w:szCs w:val="21"/>
                <w:highlight w:val="none"/>
                <w:u w:val="none"/>
                <w:lang w:val="en-US" w:eastAsia="zh-CN"/>
              </w:rPr>
            </w:pPr>
            <w:r>
              <w:rPr>
                <w:rFonts w:hint="eastAsia" w:ascii="宋体" w:hAnsi="宋体" w:eastAsia="宋体" w:cs="宋体"/>
                <w:color w:val="auto"/>
                <w:kern w:val="0"/>
                <w:sz w:val="21"/>
                <w:szCs w:val="21"/>
                <w:highlight w:val="none"/>
                <w:u w:val="none"/>
                <w:lang w:val="en-US" w:eastAsia="zh-CN"/>
              </w:rPr>
              <w:t xml:space="preserve">邮政编码：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303" w:type="dxa"/>
            <w:vAlign w:val="top"/>
          </w:tcPr>
          <w:p>
            <w:pPr>
              <w:spacing w:line="360" w:lineRule="auto"/>
              <w:rPr>
                <w:rFonts w:hint="eastAsia" w:ascii="宋体" w:hAnsi="宋体" w:eastAsia="宋体" w:cs="宋体"/>
                <w:color w:val="auto"/>
                <w:kern w:val="0"/>
                <w:sz w:val="21"/>
                <w:szCs w:val="21"/>
                <w:highlight w:val="none"/>
                <w:u w:val="none"/>
                <w:lang w:val="en-US" w:eastAsia="zh-CN"/>
              </w:rPr>
            </w:pPr>
            <w:r>
              <w:rPr>
                <w:rFonts w:hint="eastAsia" w:ascii="宋体" w:hAnsi="宋体" w:eastAsia="宋体" w:cs="宋体"/>
                <w:color w:val="auto"/>
                <w:kern w:val="0"/>
                <w:sz w:val="21"/>
                <w:szCs w:val="21"/>
                <w:highlight w:val="none"/>
                <w:u w:val="none"/>
                <w:lang w:val="en-US" w:eastAsia="zh-CN"/>
              </w:rPr>
              <w:t>联系人：</w:t>
            </w:r>
          </w:p>
        </w:tc>
        <w:tc>
          <w:tcPr>
            <w:tcW w:w="4597" w:type="dxa"/>
            <w:vAlign w:val="top"/>
          </w:tcPr>
          <w:p>
            <w:pPr>
              <w:spacing w:line="360" w:lineRule="auto"/>
              <w:rPr>
                <w:rFonts w:hint="eastAsia" w:ascii="宋体" w:hAnsi="宋体" w:eastAsia="宋体" w:cs="宋体"/>
                <w:color w:val="auto"/>
                <w:kern w:val="0"/>
                <w:sz w:val="21"/>
                <w:szCs w:val="21"/>
                <w:highlight w:val="none"/>
                <w:u w:val="none"/>
                <w:lang w:val="en-US" w:eastAsia="zh-CN"/>
              </w:rPr>
            </w:pPr>
            <w:r>
              <w:rPr>
                <w:rFonts w:hint="eastAsia" w:ascii="宋体" w:hAnsi="宋体" w:eastAsia="宋体" w:cs="宋体"/>
                <w:color w:val="auto"/>
                <w:kern w:val="0"/>
                <w:sz w:val="21"/>
                <w:szCs w:val="21"/>
                <w:highlight w:val="none"/>
                <w:u w:val="none"/>
                <w:lang w:val="en-US" w:eastAsia="zh-CN"/>
              </w:rPr>
              <w:t>联系人：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303" w:type="dxa"/>
            <w:vAlign w:val="top"/>
          </w:tcPr>
          <w:p>
            <w:pPr>
              <w:spacing w:line="360" w:lineRule="auto"/>
              <w:rPr>
                <w:rFonts w:hint="eastAsia" w:ascii="宋体" w:hAnsi="宋体" w:eastAsia="宋体" w:cs="宋体"/>
                <w:color w:val="auto"/>
                <w:kern w:val="0"/>
                <w:sz w:val="21"/>
                <w:szCs w:val="21"/>
                <w:highlight w:val="none"/>
                <w:u w:val="none"/>
                <w:lang w:val="en-US" w:eastAsia="zh-CN"/>
              </w:rPr>
            </w:pPr>
            <w:r>
              <w:rPr>
                <w:rFonts w:hint="eastAsia" w:ascii="宋体" w:hAnsi="宋体" w:eastAsia="宋体" w:cs="宋体"/>
                <w:color w:val="auto"/>
                <w:kern w:val="0"/>
                <w:sz w:val="21"/>
                <w:szCs w:val="21"/>
                <w:highlight w:val="none"/>
                <w:u w:val="none"/>
                <w:lang w:val="en-US" w:eastAsia="zh-CN"/>
              </w:rPr>
              <w:t>电话：</w:t>
            </w:r>
          </w:p>
        </w:tc>
        <w:tc>
          <w:tcPr>
            <w:tcW w:w="4597" w:type="dxa"/>
            <w:vAlign w:val="top"/>
          </w:tcPr>
          <w:p>
            <w:pPr>
              <w:spacing w:line="360" w:lineRule="auto"/>
              <w:rPr>
                <w:rFonts w:hint="eastAsia" w:ascii="宋体" w:hAnsi="宋体" w:eastAsia="宋体" w:cs="宋体"/>
                <w:color w:val="auto"/>
                <w:kern w:val="0"/>
                <w:sz w:val="21"/>
                <w:szCs w:val="21"/>
                <w:highlight w:val="none"/>
                <w:u w:val="none"/>
                <w:lang w:val="en-US" w:eastAsia="zh-CN"/>
              </w:rPr>
            </w:pPr>
            <w:r>
              <w:rPr>
                <w:rFonts w:hint="eastAsia" w:ascii="宋体" w:hAnsi="宋体" w:eastAsia="宋体" w:cs="宋体"/>
                <w:color w:val="auto"/>
                <w:kern w:val="0"/>
                <w:sz w:val="21"/>
                <w:szCs w:val="21"/>
                <w:highlight w:val="none"/>
                <w:u w:val="none"/>
                <w:lang w:val="en-US" w:eastAsia="zh-CN"/>
              </w:rPr>
              <w:t xml:space="preserve">电话：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303" w:type="dxa"/>
            <w:vAlign w:val="top"/>
          </w:tcPr>
          <w:p>
            <w:pPr>
              <w:spacing w:line="360" w:lineRule="auto"/>
              <w:rPr>
                <w:rFonts w:hint="eastAsia" w:ascii="宋体" w:hAnsi="宋体" w:eastAsia="宋体" w:cs="宋体"/>
                <w:color w:val="auto"/>
                <w:kern w:val="0"/>
                <w:sz w:val="21"/>
                <w:szCs w:val="21"/>
                <w:highlight w:val="none"/>
                <w:u w:val="none"/>
                <w:lang w:val="en-US" w:eastAsia="zh-CN"/>
              </w:rPr>
            </w:pPr>
            <w:r>
              <w:rPr>
                <w:rFonts w:hint="eastAsia" w:ascii="宋体" w:hAnsi="宋体" w:eastAsia="宋体" w:cs="宋体"/>
                <w:color w:val="auto"/>
                <w:kern w:val="0"/>
                <w:sz w:val="21"/>
                <w:szCs w:val="21"/>
                <w:highlight w:val="none"/>
                <w:u w:val="none"/>
                <w:lang w:val="en-US" w:eastAsia="zh-CN"/>
              </w:rPr>
              <w:t>传真：</w:t>
            </w:r>
          </w:p>
        </w:tc>
        <w:tc>
          <w:tcPr>
            <w:tcW w:w="4597" w:type="dxa"/>
            <w:vAlign w:val="top"/>
          </w:tcPr>
          <w:p>
            <w:pPr>
              <w:spacing w:line="360" w:lineRule="auto"/>
              <w:rPr>
                <w:rFonts w:hint="eastAsia" w:ascii="宋体" w:hAnsi="宋体" w:eastAsia="宋体" w:cs="宋体"/>
                <w:color w:val="auto"/>
                <w:kern w:val="0"/>
                <w:sz w:val="21"/>
                <w:szCs w:val="21"/>
                <w:highlight w:val="none"/>
                <w:u w:val="none"/>
                <w:lang w:val="en-US" w:eastAsia="zh-CN"/>
              </w:rPr>
            </w:pPr>
            <w:r>
              <w:rPr>
                <w:rFonts w:hint="eastAsia" w:ascii="宋体" w:hAnsi="宋体" w:eastAsia="宋体" w:cs="宋体"/>
                <w:color w:val="auto"/>
                <w:kern w:val="0"/>
                <w:sz w:val="21"/>
                <w:szCs w:val="21"/>
                <w:highlight w:val="none"/>
                <w:u w:val="none"/>
                <w:lang w:val="en-US" w:eastAsia="zh-CN"/>
              </w:rPr>
              <w:t xml:space="preserve">传真：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303" w:type="dxa"/>
            <w:vAlign w:val="top"/>
          </w:tcPr>
          <w:p>
            <w:pPr>
              <w:spacing w:line="360" w:lineRule="auto"/>
              <w:rPr>
                <w:rFonts w:hint="eastAsia" w:ascii="宋体" w:hAnsi="宋体" w:eastAsia="宋体" w:cs="宋体"/>
                <w:color w:val="auto"/>
                <w:kern w:val="0"/>
                <w:sz w:val="21"/>
                <w:szCs w:val="21"/>
                <w:highlight w:val="none"/>
                <w:u w:val="none"/>
                <w:lang w:val="en-US" w:eastAsia="zh-CN"/>
              </w:rPr>
            </w:pPr>
            <w:r>
              <w:rPr>
                <w:rFonts w:hint="eastAsia" w:ascii="宋体" w:hAnsi="宋体" w:eastAsia="宋体" w:cs="宋体"/>
                <w:color w:val="auto"/>
                <w:kern w:val="0"/>
                <w:sz w:val="21"/>
                <w:szCs w:val="21"/>
                <w:highlight w:val="none"/>
                <w:u w:val="none"/>
                <w:lang w:val="en-US" w:eastAsia="zh-CN"/>
              </w:rPr>
              <w:t>电子信箱：</w:t>
            </w:r>
          </w:p>
        </w:tc>
        <w:tc>
          <w:tcPr>
            <w:tcW w:w="4597" w:type="dxa"/>
            <w:vAlign w:val="top"/>
          </w:tcPr>
          <w:p>
            <w:pPr>
              <w:spacing w:line="360" w:lineRule="auto"/>
              <w:rPr>
                <w:rFonts w:hint="eastAsia" w:ascii="宋体" w:hAnsi="宋体" w:eastAsia="宋体" w:cs="宋体"/>
                <w:color w:val="auto"/>
                <w:kern w:val="0"/>
                <w:sz w:val="21"/>
                <w:szCs w:val="21"/>
                <w:highlight w:val="none"/>
                <w:u w:val="none"/>
                <w:lang w:val="en-US" w:eastAsia="zh-CN"/>
              </w:rPr>
            </w:pPr>
            <w:r>
              <w:rPr>
                <w:rFonts w:hint="eastAsia" w:ascii="宋体" w:hAnsi="宋体" w:eastAsia="宋体" w:cs="宋体"/>
                <w:color w:val="auto"/>
                <w:kern w:val="0"/>
                <w:sz w:val="21"/>
                <w:szCs w:val="21"/>
                <w:highlight w:val="none"/>
                <w:u w:val="none"/>
                <w:lang w:val="en-US" w:eastAsia="zh-CN"/>
              </w:rPr>
              <w:t xml:space="preserve">电子信箱：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303" w:type="dxa"/>
            <w:vAlign w:val="top"/>
          </w:tcPr>
          <w:p>
            <w:pPr>
              <w:spacing w:line="360" w:lineRule="auto"/>
              <w:rPr>
                <w:rFonts w:hint="eastAsia" w:ascii="宋体" w:hAnsi="宋体" w:eastAsia="宋体" w:cs="宋体"/>
                <w:color w:val="auto"/>
                <w:kern w:val="0"/>
                <w:sz w:val="21"/>
                <w:szCs w:val="21"/>
                <w:highlight w:val="none"/>
                <w:u w:val="none"/>
                <w:lang w:val="en-US" w:eastAsia="zh-CN"/>
              </w:rPr>
            </w:pPr>
            <w:r>
              <w:rPr>
                <w:rFonts w:hint="eastAsia" w:ascii="宋体" w:hAnsi="宋体" w:eastAsia="宋体" w:cs="宋体"/>
                <w:color w:val="auto"/>
                <w:kern w:val="0"/>
                <w:sz w:val="21"/>
                <w:szCs w:val="21"/>
                <w:highlight w:val="none"/>
                <w:u w:val="none"/>
                <w:lang w:val="en-US" w:eastAsia="zh-CN"/>
              </w:rPr>
              <w:t>开户银行：</w:t>
            </w:r>
          </w:p>
        </w:tc>
        <w:tc>
          <w:tcPr>
            <w:tcW w:w="4597" w:type="dxa"/>
            <w:vAlign w:val="top"/>
          </w:tcPr>
          <w:p>
            <w:pPr>
              <w:spacing w:line="360" w:lineRule="auto"/>
              <w:rPr>
                <w:rFonts w:hint="eastAsia" w:ascii="宋体" w:hAnsi="宋体" w:eastAsia="宋体" w:cs="宋体"/>
                <w:color w:val="auto"/>
                <w:kern w:val="0"/>
                <w:sz w:val="21"/>
                <w:szCs w:val="21"/>
                <w:highlight w:val="none"/>
                <w:u w:val="none"/>
                <w:lang w:val="en-US" w:eastAsia="zh-CN"/>
              </w:rPr>
            </w:pPr>
            <w:r>
              <w:rPr>
                <w:rFonts w:hint="eastAsia" w:ascii="宋体" w:hAnsi="宋体" w:eastAsia="宋体" w:cs="宋体"/>
                <w:color w:val="auto"/>
                <w:kern w:val="0"/>
                <w:sz w:val="21"/>
                <w:szCs w:val="21"/>
                <w:highlight w:val="none"/>
                <w:u w:val="none"/>
                <w:lang w:val="en-US" w:eastAsia="zh-CN"/>
              </w:rPr>
              <w:t xml:space="preserve">开户银行：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303" w:type="dxa"/>
            <w:vAlign w:val="top"/>
          </w:tcPr>
          <w:p>
            <w:pPr>
              <w:spacing w:line="360" w:lineRule="auto"/>
              <w:rPr>
                <w:rFonts w:hint="eastAsia" w:ascii="宋体" w:hAnsi="宋体" w:eastAsia="宋体" w:cs="宋体"/>
                <w:color w:val="auto"/>
                <w:kern w:val="0"/>
                <w:sz w:val="21"/>
                <w:szCs w:val="21"/>
                <w:highlight w:val="none"/>
                <w:u w:val="none"/>
                <w:lang w:val="en-US" w:eastAsia="zh-CN"/>
              </w:rPr>
            </w:pPr>
            <w:r>
              <w:rPr>
                <w:rFonts w:hint="eastAsia" w:ascii="宋体" w:hAnsi="宋体" w:eastAsia="宋体" w:cs="宋体"/>
                <w:color w:val="auto"/>
                <w:kern w:val="0"/>
                <w:sz w:val="21"/>
                <w:szCs w:val="21"/>
                <w:highlight w:val="none"/>
                <w:u w:val="none"/>
                <w:lang w:val="en-US" w:eastAsia="zh-CN"/>
              </w:rPr>
              <w:t>开户名称：</w:t>
            </w:r>
          </w:p>
        </w:tc>
        <w:tc>
          <w:tcPr>
            <w:tcW w:w="4597" w:type="dxa"/>
            <w:vAlign w:val="top"/>
          </w:tcPr>
          <w:p>
            <w:pPr>
              <w:spacing w:line="360" w:lineRule="auto"/>
              <w:rPr>
                <w:rFonts w:hint="eastAsia" w:ascii="宋体" w:hAnsi="宋体" w:eastAsia="宋体" w:cs="宋体"/>
                <w:color w:val="auto"/>
                <w:kern w:val="0"/>
                <w:sz w:val="21"/>
                <w:szCs w:val="21"/>
                <w:highlight w:val="none"/>
                <w:u w:val="none"/>
                <w:lang w:val="en-US" w:eastAsia="zh-CN"/>
              </w:rPr>
            </w:pPr>
            <w:r>
              <w:rPr>
                <w:rFonts w:hint="eastAsia" w:ascii="宋体" w:hAnsi="宋体" w:eastAsia="宋体" w:cs="宋体"/>
                <w:color w:val="auto"/>
                <w:kern w:val="0"/>
                <w:sz w:val="21"/>
                <w:szCs w:val="21"/>
                <w:highlight w:val="none"/>
                <w:u w:val="none"/>
                <w:lang w:val="en-US" w:eastAsia="zh-CN"/>
              </w:rPr>
              <w:t>开户名称：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303" w:type="dxa"/>
            <w:vAlign w:val="top"/>
          </w:tcPr>
          <w:p>
            <w:pPr>
              <w:spacing w:line="360" w:lineRule="auto"/>
              <w:rPr>
                <w:rFonts w:hint="eastAsia" w:ascii="宋体" w:hAnsi="宋体" w:eastAsia="宋体" w:cs="宋体"/>
                <w:color w:val="auto"/>
                <w:kern w:val="0"/>
                <w:sz w:val="21"/>
                <w:szCs w:val="21"/>
                <w:highlight w:val="none"/>
                <w:u w:val="none"/>
                <w:lang w:val="en-US" w:eastAsia="zh-CN" w:bidi="ar-SA"/>
              </w:rPr>
            </w:pPr>
            <w:r>
              <w:rPr>
                <w:rFonts w:hint="eastAsia" w:ascii="宋体" w:hAnsi="宋体" w:eastAsia="宋体" w:cs="宋体"/>
                <w:color w:val="auto"/>
                <w:kern w:val="0"/>
                <w:sz w:val="21"/>
                <w:szCs w:val="21"/>
                <w:highlight w:val="none"/>
                <w:u w:val="none"/>
                <w:lang w:val="en-US" w:eastAsia="zh-CN"/>
              </w:rPr>
              <w:t>账号：</w:t>
            </w:r>
          </w:p>
        </w:tc>
        <w:tc>
          <w:tcPr>
            <w:tcW w:w="4597" w:type="dxa"/>
            <w:vAlign w:val="top"/>
          </w:tcPr>
          <w:p>
            <w:pPr>
              <w:spacing w:line="360" w:lineRule="auto"/>
              <w:rPr>
                <w:rFonts w:hint="eastAsia" w:ascii="宋体" w:hAnsi="宋体" w:eastAsia="宋体" w:cs="宋体"/>
                <w:color w:val="auto"/>
                <w:kern w:val="0"/>
                <w:sz w:val="21"/>
                <w:szCs w:val="21"/>
                <w:highlight w:val="none"/>
                <w:u w:val="none"/>
                <w:lang w:val="en-US" w:eastAsia="zh-CN" w:bidi="ar-SA"/>
              </w:rPr>
            </w:pPr>
            <w:r>
              <w:rPr>
                <w:rFonts w:hint="eastAsia" w:ascii="宋体" w:hAnsi="宋体" w:eastAsia="宋体" w:cs="宋体"/>
                <w:color w:val="auto"/>
                <w:kern w:val="0"/>
                <w:sz w:val="21"/>
                <w:szCs w:val="21"/>
                <w:highlight w:val="none"/>
                <w:u w:val="none"/>
                <w:lang w:val="en-US" w:eastAsia="zh-CN"/>
              </w:rPr>
              <w:t xml:space="preserve">账号： </w:t>
            </w:r>
          </w:p>
        </w:tc>
      </w:tr>
    </w:tbl>
    <w:p>
      <w:pPr>
        <w:pStyle w:val="33"/>
        <w:adjustRightInd w:val="0"/>
        <w:snapToGrid w:val="0"/>
        <w:spacing w:line="400" w:lineRule="exact"/>
        <w:jc w:val="center"/>
        <w:rPr>
          <w:rFonts w:hint="eastAsia" w:ascii="宋体" w:hAnsi="宋体" w:eastAsia="宋体" w:cs="宋体"/>
          <w:b/>
          <w:bCs/>
          <w:color w:val="auto"/>
          <w:sz w:val="21"/>
          <w:szCs w:val="21"/>
          <w:highlight w:val="none"/>
        </w:rPr>
      </w:pPr>
    </w:p>
    <w:p>
      <w:pPr>
        <w:pStyle w:val="29"/>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br w:type="page"/>
      </w:r>
      <w:bookmarkStart w:id="230" w:name="_Toc30906"/>
      <w:bookmarkStart w:id="231" w:name="_Toc2370"/>
      <w:bookmarkStart w:id="232" w:name="_Toc256000032"/>
      <w:bookmarkStart w:id="233" w:name="_Toc522201572"/>
      <w:bookmarkStart w:id="234" w:name="_Toc351203494"/>
      <w:r>
        <w:rPr>
          <w:rFonts w:hint="eastAsia" w:ascii="宋体" w:hAnsi="宋体" w:eastAsia="宋体" w:cs="宋体"/>
          <w:color w:val="auto"/>
          <w:sz w:val="21"/>
          <w:szCs w:val="21"/>
          <w:highlight w:val="none"/>
        </w:rPr>
        <w:t>第二部分 通用合同条款</w:t>
      </w:r>
      <w:bookmarkEnd w:id="230"/>
      <w:bookmarkEnd w:id="231"/>
      <w:bookmarkEnd w:id="232"/>
      <w:bookmarkEnd w:id="233"/>
      <w:bookmarkEnd w:id="234"/>
      <w:bookmarkStart w:id="235" w:name="_Toc337558727"/>
    </w:p>
    <w:bookmarkEnd w:id="235"/>
    <w:p>
      <w:pPr>
        <w:pStyle w:val="4"/>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b w:val="0"/>
          <w:bCs w:val="0"/>
          <w:color w:val="auto"/>
          <w:sz w:val="21"/>
          <w:szCs w:val="21"/>
          <w:highlight w:val="none"/>
        </w:rPr>
      </w:pPr>
      <w:bookmarkStart w:id="236" w:name="_Toc16978"/>
    </w:p>
    <w:p>
      <w:pPr>
        <w:pStyle w:val="4"/>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本工程的施工合同通用条款按国家工商行政管理局和建设部颁布的：《建设工程施工合同（示范文本）》（GF-2017-0201）通用条款执行。</w:t>
      </w:r>
      <w:bookmarkEnd w:id="236"/>
    </w:p>
    <w:p>
      <w:pPr>
        <w:pStyle w:val="32"/>
        <w:ind w:left="63" w:right="63"/>
        <w:rPr>
          <w:rFonts w:hint="eastAsia" w:ascii="宋体" w:hAnsi="宋体" w:eastAsia="宋体" w:cs="宋体"/>
          <w:color w:val="auto"/>
          <w:sz w:val="21"/>
          <w:szCs w:val="21"/>
          <w:highlight w:val="none"/>
        </w:rPr>
        <w:sectPr>
          <w:footerReference r:id="rId10" w:type="default"/>
          <w:pgSz w:w="11906" w:h="16838"/>
          <w:pgMar w:top="1134" w:right="1134" w:bottom="1134" w:left="1418" w:header="851" w:footer="992" w:gutter="0"/>
          <w:pgNumType w:fmt="decimal"/>
          <w:cols w:space="720" w:num="1"/>
          <w:docGrid w:type="lines" w:linePitch="312" w:charSpace="0"/>
        </w:sectPr>
      </w:pPr>
    </w:p>
    <w:p>
      <w:pPr>
        <w:pStyle w:val="29"/>
        <w:spacing w:line="400" w:lineRule="atLeast"/>
        <w:jc w:val="center"/>
        <w:rPr>
          <w:rFonts w:hint="eastAsia" w:ascii="宋体" w:hAnsi="宋体" w:eastAsia="宋体" w:cs="宋体"/>
          <w:color w:val="auto"/>
          <w:sz w:val="21"/>
          <w:szCs w:val="21"/>
          <w:highlight w:val="none"/>
        </w:rPr>
      </w:pPr>
      <w:bookmarkStart w:id="237" w:name="_Toc20404"/>
      <w:bookmarkStart w:id="238" w:name="_Toc256000171"/>
      <w:r>
        <w:rPr>
          <w:rFonts w:hint="eastAsia" w:ascii="宋体" w:hAnsi="宋体" w:eastAsia="宋体" w:cs="宋体"/>
          <w:color w:val="auto"/>
          <w:sz w:val="21"/>
          <w:szCs w:val="21"/>
          <w:highlight w:val="none"/>
        </w:rPr>
        <w:t>第三部分 专用合同条款</w:t>
      </w:r>
      <w:bookmarkEnd w:id="237"/>
      <w:bookmarkEnd w:id="238"/>
    </w:p>
    <w:p>
      <w:pPr>
        <w:pStyle w:val="29"/>
        <w:spacing w:line="380" w:lineRule="exact"/>
        <w:rPr>
          <w:rFonts w:hint="eastAsia" w:ascii="宋体" w:hAnsi="宋体" w:eastAsia="宋体" w:cs="宋体"/>
          <w:color w:val="auto"/>
          <w:sz w:val="21"/>
          <w:szCs w:val="21"/>
          <w:highlight w:val="none"/>
        </w:rPr>
      </w:pPr>
      <w:bookmarkStart w:id="239" w:name="_Toc406522213"/>
      <w:bookmarkStart w:id="240" w:name="_Toc418752235"/>
      <w:bookmarkStart w:id="241" w:name="_Toc497746774"/>
      <w:bookmarkStart w:id="242" w:name="_Toc497747171"/>
      <w:bookmarkStart w:id="243" w:name="_Toc256000172"/>
      <w:bookmarkStart w:id="244" w:name="_Toc12553"/>
      <w:bookmarkStart w:id="245" w:name="_Toc418751789"/>
      <w:bookmarkStart w:id="246" w:name="_Toc522201723"/>
      <w:bookmarkStart w:id="247" w:name="_Toc351203633"/>
      <w:bookmarkStart w:id="248" w:name="_Toc484024116"/>
      <w:r>
        <w:rPr>
          <w:rFonts w:hint="eastAsia" w:ascii="宋体" w:hAnsi="宋体" w:eastAsia="宋体" w:cs="宋体"/>
          <w:color w:val="auto"/>
          <w:sz w:val="21"/>
          <w:szCs w:val="21"/>
          <w:highlight w:val="none"/>
        </w:rPr>
        <w:t>1</w:t>
      </w:r>
      <w:bookmarkStart w:id="249" w:name="_Toc296944495"/>
      <w:bookmarkStart w:id="250" w:name="_Toc296346657"/>
      <w:bookmarkStart w:id="251" w:name="_Toc297120456"/>
      <w:bookmarkStart w:id="252" w:name="_Toc296347155"/>
      <w:bookmarkStart w:id="253" w:name="_Toc296890984"/>
      <w:bookmarkStart w:id="254" w:name="_Toc296503156"/>
      <w:bookmarkStart w:id="255" w:name="_Toc292559361"/>
      <w:bookmarkStart w:id="256" w:name="_Toc297048342"/>
      <w:bookmarkStart w:id="257" w:name="_Toc296891196"/>
      <w:bookmarkStart w:id="258" w:name="_Toc292559866"/>
      <w:r>
        <w:rPr>
          <w:rFonts w:hint="eastAsia" w:ascii="宋体" w:hAnsi="宋体" w:eastAsia="宋体" w:cs="宋体"/>
          <w:color w:val="auto"/>
          <w:sz w:val="21"/>
          <w:szCs w:val="21"/>
          <w:highlight w:val="none"/>
        </w:rPr>
        <w:t>. 一般约定</w:t>
      </w:r>
      <w:bookmarkEnd w:id="239"/>
      <w:bookmarkEnd w:id="240"/>
      <w:bookmarkEnd w:id="241"/>
      <w:bookmarkEnd w:id="242"/>
      <w:bookmarkEnd w:id="243"/>
      <w:bookmarkEnd w:id="244"/>
      <w:bookmarkEnd w:id="245"/>
      <w:bookmarkEnd w:id="246"/>
      <w:bookmarkEnd w:id="247"/>
    </w:p>
    <w:bookmarkEnd w:id="249"/>
    <w:bookmarkEnd w:id="250"/>
    <w:bookmarkEnd w:id="251"/>
    <w:bookmarkEnd w:id="252"/>
    <w:bookmarkEnd w:id="253"/>
    <w:bookmarkEnd w:id="254"/>
    <w:bookmarkEnd w:id="255"/>
    <w:bookmarkEnd w:id="256"/>
    <w:bookmarkEnd w:id="257"/>
    <w:bookmarkEnd w:id="258"/>
    <w:p>
      <w:pPr>
        <w:pStyle w:val="29"/>
        <w:spacing w:line="380" w:lineRule="exact"/>
        <w:ind w:firstLine="422" w:firstLineChars="200"/>
        <w:rPr>
          <w:rFonts w:hint="eastAsia" w:ascii="宋体" w:hAnsi="宋体" w:eastAsia="宋体" w:cs="宋体"/>
          <w:color w:val="auto"/>
          <w:sz w:val="21"/>
          <w:szCs w:val="21"/>
          <w:highlight w:val="none"/>
        </w:rPr>
      </w:pPr>
      <w:bookmarkStart w:id="259" w:name="_Toc406522214"/>
      <w:bookmarkStart w:id="260" w:name="_Toc497746775"/>
      <w:bookmarkStart w:id="261" w:name="_Toc522201724"/>
      <w:bookmarkStart w:id="262" w:name="_Toc497747172"/>
      <w:bookmarkStart w:id="263" w:name="_Toc418751790"/>
      <w:bookmarkStart w:id="264" w:name="_Toc256000173"/>
      <w:bookmarkStart w:id="265" w:name="_Toc2420"/>
      <w:bookmarkStart w:id="266" w:name="_Toc418752236"/>
      <w:r>
        <w:rPr>
          <w:rFonts w:hint="eastAsia" w:ascii="宋体" w:hAnsi="宋体" w:eastAsia="宋体" w:cs="宋体"/>
          <w:color w:val="auto"/>
          <w:sz w:val="21"/>
          <w:szCs w:val="21"/>
          <w:highlight w:val="none"/>
        </w:rPr>
        <w:t>1.1 词语定义</w:t>
      </w:r>
      <w:bookmarkEnd w:id="259"/>
      <w:bookmarkEnd w:id="260"/>
      <w:bookmarkEnd w:id="261"/>
      <w:bookmarkEnd w:id="262"/>
      <w:bookmarkEnd w:id="263"/>
      <w:bookmarkEnd w:id="264"/>
      <w:bookmarkEnd w:id="265"/>
      <w:bookmarkEnd w:id="266"/>
    </w:p>
    <w:p>
      <w:pPr>
        <w:pStyle w:val="36"/>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1.1.1合同</w:t>
      </w:r>
    </w:p>
    <w:p>
      <w:pPr>
        <w:pStyle w:val="36"/>
        <w:spacing w:line="380" w:lineRule="exac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1.1.1.10其他合同文件包括：</w:t>
      </w:r>
      <w:r>
        <w:rPr>
          <w:rFonts w:hint="eastAsia" w:ascii="宋体" w:hAnsi="宋体" w:eastAsia="宋体" w:cs="宋体"/>
          <w:color w:val="auto"/>
          <w:sz w:val="21"/>
          <w:szCs w:val="21"/>
          <w:highlight w:val="none"/>
          <w:u w:val="single"/>
        </w:rPr>
        <w:t>（1）本合同协议书；（2）中标通知书；（3）投标书及其附件；（4）本合同专用条款及补充条款；（5）本合同通用条款；（6）标准、规范及有关技术文件；（7）图纸（含图纸修改通知单及图纸设计变更文件）；（8）工程量清单；（9）本工程预算控制价造价成果文件及其他合同文件</w:t>
      </w:r>
      <w:r>
        <w:rPr>
          <w:rFonts w:hint="eastAsia" w:ascii="宋体" w:hAnsi="宋体" w:eastAsia="宋体" w:cs="宋体"/>
          <w:color w:val="auto"/>
          <w:sz w:val="21"/>
          <w:szCs w:val="21"/>
          <w:highlight w:val="none"/>
        </w:rPr>
        <w:t>。</w:t>
      </w:r>
    </w:p>
    <w:p>
      <w:pPr>
        <w:pStyle w:val="36"/>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1.1.2 合同当事人及其他相关方</w:t>
      </w:r>
    </w:p>
    <w:p>
      <w:pPr>
        <w:pStyle w:val="36"/>
        <w:spacing w:line="380" w:lineRule="exac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1.1.2.4监理人：</w:t>
      </w:r>
      <w:r>
        <w:rPr>
          <w:rFonts w:hint="eastAsia" w:ascii="宋体" w:hAnsi="宋体" w:eastAsia="宋体" w:cs="宋体"/>
          <w:color w:val="auto"/>
          <w:sz w:val="21"/>
          <w:szCs w:val="21"/>
          <w:highlight w:val="none"/>
          <w:u w:val="single"/>
          <w:lang w:val="en-US" w:eastAsia="zh-CN"/>
        </w:rPr>
        <w:t>/</w:t>
      </w:r>
    </w:p>
    <w:p>
      <w:pPr>
        <w:pStyle w:val="36"/>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名    称：</w:t>
      </w:r>
      <w:r>
        <w:rPr>
          <w:rFonts w:hint="eastAsia" w:ascii="宋体" w:hAnsi="宋体" w:eastAsia="宋体" w:cs="宋体"/>
          <w:color w:val="auto"/>
          <w:sz w:val="21"/>
          <w:szCs w:val="21"/>
          <w:highlight w:val="none"/>
          <w:u w:val="single"/>
          <w:lang w:val="en-US" w:eastAsia="zh-CN"/>
        </w:rPr>
        <w:t>/</w:t>
      </w:r>
      <w:r>
        <w:rPr>
          <w:rFonts w:hint="eastAsia" w:ascii="宋体" w:hAnsi="宋体" w:eastAsia="宋体" w:cs="宋体"/>
          <w:color w:val="auto"/>
          <w:sz w:val="21"/>
          <w:szCs w:val="21"/>
          <w:highlight w:val="none"/>
        </w:rPr>
        <w:t>；</w:t>
      </w:r>
    </w:p>
    <w:p>
      <w:pPr>
        <w:pStyle w:val="36"/>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资质类别和等级：</w:t>
      </w:r>
      <w:r>
        <w:rPr>
          <w:rFonts w:hint="eastAsia" w:ascii="宋体" w:hAnsi="宋体" w:eastAsia="宋体" w:cs="宋体"/>
          <w:color w:val="auto"/>
          <w:sz w:val="21"/>
          <w:szCs w:val="21"/>
          <w:highlight w:val="none"/>
          <w:u w:val="single"/>
          <w:lang w:val="en-US" w:eastAsia="zh-CN"/>
        </w:rPr>
        <w:t>/</w:t>
      </w:r>
      <w:r>
        <w:rPr>
          <w:rFonts w:hint="eastAsia" w:ascii="宋体" w:hAnsi="宋体" w:eastAsia="宋体" w:cs="宋体"/>
          <w:color w:val="auto"/>
          <w:sz w:val="21"/>
          <w:szCs w:val="21"/>
          <w:highlight w:val="none"/>
        </w:rPr>
        <w:t>；</w:t>
      </w:r>
    </w:p>
    <w:p>
      <w:pPr>
        <w:pStyle w:val="36"/>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联系电话：</w:t>
      </w:r>
      <w:r>
        <w:rPr>
          <w:rFonts w:hint="eastAsia" w:ascii="宋体" w:hAnsi="宋体" w:eastAsia="宋体" w:cs="宋体"/>
          <w:color w:val="auto"/>
          <w:sz w:val="21"/>
          <w:szCs w:val="21"/>
          <w:highlight w:val="none"/>
          <w:u w:val="single"/>
          <w:lang w:val="en-US" w:eastAsia="zh-CN"/>
        </w:rPr>
        <w:t>/</w:t>
      </w:r>
      <w:r>
        <w:rPr>
          <w:rFonts w:hint="eastAsia" w:ascii="宋体" w:hAnsi="宋体" w:eastAsia="宋体" w:cs="宋体"/>
          <w:color w:val="auto"/>
          <w:sz w:val="21"/>
          <w:szCs w:val="21"/>
          <w:highlight w:val="none"/>
        </w:rPr>
        <w:t>；</w:t>
      </w:r>
    </w:p>
    <w:p>
      <w:pPr>
        <w:pStyle w:val="36"/>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电子信箱：</w:t>
      </w:r>
      <w:r>
        <w:rPr>
          <w:rFonts w:hint="eastAsia" w:ascii="宋体" w:hAnsi="宋体" w:eastAsia="宋体" w:cs="宋体"/>
          <w:color w:val="auto"/>
          <w:sz w:val="21"/>
          <w:szCs w:val="21"/>
          <w:highlight w:val="none"/>
          <w:u w:val="single"/>
          <w:lang w:val="en-US" w:eastAsia="zh-CN"/>
        </w:rPr>
        <w:t>/</w:t>
      </w:r>
      <w:r>
        <w:rPr>
          <w:rFonts w:hint="eastAsia" w:ascii="宋体" w:hAnsi="宋体" w:eastAsia="宋体" w:cs="宋体"/>
          <w:color w:val="auto"/>
          <w:sz w:val="21"/>
          <w:szCs w:val="21"/>
          <w:highlight w:val="none"/>
        </w:rPr>
        <w:t>；</w:t>
      </w:r>
    </w:p>
    <w:p>
      <w:pPr>
        <w:pStyle w:val="36"/>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通信地址：</w:t>
      </w:r>
      <w:r>
        <w:rPr>
          <w:rFonts w:hint="eastAsia" w:ascii="宋体" w:hAnsi="宋体" w:eastAsia="宋体" w:cs="宋体"/>
          <w:color w:val="auto"/>
          <w:sz w:val="21"/>
          <w:szCs w:val="21"/>
          <w:highlight w:val="none"/>
          <w:u w:val="single"/>
          <w:lang w:val="en-US" w:eastAsia="zh-CN"/>
        </w:rPr>
        <w:t>/</w:t>
      </w:r>
      <w:r>
        <w:rPr>
          <w:rFonts w:hint="eastAsia" w:ascii="宋体" w:hAnsi="宋体" w:eastAsia="宋体" w:cs="宋体"/>
          <w:color w:val="auto"/>
          <w:sz w:val="21"/>
          <w:szCs w:val="21"/>
          <w:highlight w:val="none"/>
        </w:rPr>
        <w:t>。</w:t>
      </w:r>
    </w:p>
    <w:p>
      <w:pPr>
        <w:pStyle w:val="36"/>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1.1.2.5 设计人：</w:t>
      </w:r>
    </w:p>
    <w:p>
      <w:pPr>
        <w:pStyle w:val="36"/>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名    称：</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pStyle w:val="36"/>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资质类别和等级：</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pStyle w:val="36"/>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联系电话：</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pStyle w:val="36"/>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电子信箱：</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pStyle w:val="36"/>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通信地址：</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pStyle w:val="36"/>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1.1.3 工程和设备</w:t>
      </w:r>
    </w:p>
    <w:p>
      <w:pPr>
        <w:pStyle w:val="36"/>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1.1.3.7 作为施工现场组成部分的其他场所包括：</w:t>
      </w:r>
      <w:r>
        <w:rPr>
          <w:rFonts w:hint="eastAsia" w:ascii="宋体" w:hAnsi="宋体" w:eastAsia="宋体" w:cs="宋体"/>
          <w:color w:val="auto"/>
          <w:sz w:val="21"/>
          <w:szCs w:val="21"/>
          <w:highlight w:val="none"/>
          <w:u w:val="single"/>
        </w:rPr>
        <w:t xml:space="preserve">  按通用条款执行</w:t>
      </w:r>
      <w:r>
        <w:rPr>
          <w:rFonts w:hint="eastAsia" w:ascii="宋体" w:hAnsi="宋体" w:eastAsia="宋体" w:cs="宋体"/>
          <w:color w:val="auto"/>
          <w:sz w:val="21"/>
          <w:szCs w:val="21"/>
          <w:highlight w:val="none"/>
        </w:rPr>
        <w:t>。</w:t>
      </w:r>
    </w:p>
    <w:p>
      <w:pPr>
        <w:pStyle w:val="36"/>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1.1.3.9 永久占地包括：</w:t>
      </w:r>
      <w:r>
        <w:rPr>
          <w:rFonts w:hint="eastAsia" w:ascii="宋体" w:hAnsi="宋体" w:eastAsia="宋体" w:cs="宋体"/>
          <w:color w:val="auto"/>
          <w:sz w:val="21"/>
          <w:szCs w:val="21"/>
          <w:highlight w:val="none"/>
          <w:u w:val="single"/>
        </w:rPr>
        <w:t xml:space="preserve">  为实施工程需永久占用的土地</w:t>
      </w:r>
      <w:r>
        <w:rPr>
          <w:rFonts w:hint="eastAsia" w:ascii="宋体" w:hAnsi="宋体" w:eastAsia="宋体" w:cs="宋体"/>
          <w:color w:val="auto"/>
          <w:sz w:val="21"/>
          <w:szCs w:val="21"/>
          <w:highlight w:val="none"/>
        </w:rPr>
        <w:t>。</w:t>
      </w:r>
    </w:p>
    <w:p>
      <w:pPr>
        <w:pStyle w:val="36"/>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1.1.3.10 临时占地包括：</w:t>
      </w:r>
      <w:r>
        <w:rPr>
          <w:rFonts w:hint="eastAsia" w:ascii="宋体" w:hAnsi="宋体" w:eastAsia="宋体" w:cs="宋体"/>
          <w:color w:val="auto"/>
          <w:sz w:val="21"/>
          <w:szCs w:val="21"/>
          <w:highlight w:val="none"/>
          <w:u w:val="single"/>
        </w:rPr>
        <w:t xml:space="preserve"> 为实施工程需临时占用的土地 </w:t>
      </w:r>
      <w:r>
        <w:rPr>
          <w:rFonts w:hint="eastAsia" w:ascii="宋体" w:hAnsi="宋体" w:eastAsia="宋体" w:cs="宋体"/>
          <w:color w:val="auto"/>
          <w:sz w:val="21"/>
          <w:szCs w:val="21"/>
          <w:highlight w:val="none"/>
        </w:rPr>
        <w:t>。</w:t>
      </w:r>
    </w:p>
    <w:p>
      <w:pPr>
        <w:pStyle w:val="29"/>
        <w:spacing w:line="380" w:lineRule="exact"/>
        <w:ind w:firstLine="422" w:firstLineChars="200"/>
        <w:rPr>
          <w:rFonts w:hint="eastAsia" w:ascii="宋体" w:hAnsi="宋体" w:eastAsia="宋体" w:cs="宋体"/>
          <w:color w:val="auto"/>
          <w:sz w:val="21"/>
          <w:szCs w:val="21"/>
          <w:highlight w:val="none"/>
        </w:rPr>
      </w:pPr>
      <w:bookmarkStart w:id="267" w:name="_Toc522201725"/>
      <w:bookmarkStart w:id="268" w:name="_Toc256000174"/>
      <w:bookmarkStart w:id="269" w:name="_Toc497747173"/>
      <w:bookmarkStart w:id="270" w:name="_Toc497746776"/>
      <w:bookmarkStart w:id="271" w:name="_Toc15717"/>
      <w:bookmarkStart w:id="272" w:name="_Toc406522215"/>
      <w:bookmarkStart w:id="273" w:name="_Toc418752237"/>
      <w:bookmarkStart w:id="274" w:name="_Toc418751791"/>
      <w:r>
        <w:rPr>
          <w:rFonts w:hint="eastAsia" w:ascii="宋体" w:hAnsi="宋体" w:eastAsia="宋体" w:cs="宋体"/>
          <w:color w:val="auto"/>
          <w:sz w:val="21"/>
          <w:szCs w:val="21"/>
          <w:highlight w:val="none"/>
        </w:rPr>
        <w:t>1.3法律</w:t>
      </w:r>
      <w:bookmarkEnd w:id="267"/>
      <w:bookmarkEnd w:id="268"/>
      <w:bookmarkEnd w:id="269"/>
      <w:bookmarkEnd w:id="270"/>
      <w:bookmarkEnd w:id="271"/>
      <w:bookmarkEnd w:id="272"/>
      <w:bookmarkEnd w:id="273"/>
      <w:bookmarkEnd w:id="274"/>
      <w:r>
        <w:rPr>
          <w:rFonts w:hint="eastAsia" w:ascii="宋体" w:hAnsi="宋体" w:eastAsia="宋体" w:cs="宋体"/>
          <w:color w:val="auto"/>
          <w:sz w:val="21"/>
          <w:szCs w:val="21"/>
          <w:highlight w:val="none"/>
        </w:rPr>
        <w:t xml:space="preserve"> </w:t>
      </w:r>
    </w:p>
    <w:p>
      <w:pPr>
        <w:pStyle w:val="36"/>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适用于合同的其他规范性文件：</w:t>
      </w:r>
      <w:r>
        <w:rPr>
          <w:rFonts w:hint="eastAsia" w:ascii="宋体" w:hAnsi="宋体" w:eastAsia="宋体" w:cs="宋体"/>
          <w:color w:val="auto"/>
          <w:sz w:val="21"/>
          <w:szCs w:val="21"/>
          <w:highlight w:val="none"/>
          <w:u w:val="single"/>
        </w:rPr>
        <w:t>同通用条款</w:t>
      </w:r>
      <w:r>
        <w:rPr>
          <w:rFonts w:hint="eastAsia" w:ascii="宋体" w:hAnsi="宋体" w:eastAsia="宋体" w:cs="宋体"/>
          <w:color w:val="auto"/>
          <w:sz w:val="21"/>
          <w:szCs w:val="21"/>
          <w:highlight w:val="none"/>
        </w:rPr>
        <w:t>。</w:t>
      </w:r>
    </w:p>
    <w:p>
      <w:pPr>
        <w:pStyle w:val="29"/>
        <w:spacing w:line="380" w:lineRule="exact"/>
        <w:ind w:firstLine="422" w:firstLineChars="200"/>
        <w:rPr>
          <w:rFonts w:hint="eastAsia" w:ascii="宋体" w:hAnsi="宋体" w:eastAsia="宋体" w:cs="宋体"/>
          <w:color w:val="auto"/>
          <w:sz w:val="21"/>
          <w:szCs w:val="21"/>
          <w:highlight w:val="none"/>
        </w:rPr>
      </w:pPr>
      <w:bookmarkStart w:id="275" w:name="_Toc406522216"/>
      <w:bookmarkStart w:id="276" w:name="_Toc522201726"/>
      <w:bookmarkStart w:id="277" w:name="_Toc256000175"/>
      <w:bookmarkStart w:id="278" w:name="_Toc418751792"/>
      <w:bookmarkStart w:id="279" w:name="_Toc497747174"/>
      <w:bookmarkStart w:id="280" w:name="_Toc497746777"/>
      <w:bookmarkStart w:id="281" w:name="_Toc418752238"/>
      <w:bookmarkStart w:id="282" w:name="_Toc4777"/>
      <w:r>
        <w:rPr>
          <w:rFonts w:hint="eastAsia" w:ascii="宋体" w:hAnsi="宋体" w:eastAsia="宋体" w:cs="宋体"/>
          <w:color w:val="auto"/>
          <w:sz w:val="21"/>
          <w:szCs w:val="21"/>
          <w:highlight w:val="none"/>
        </w:rPr>
        <w:t>1.4 标准和规范</w:t>
      </w:r>
      <w:bookmarkEnd w:id="275"/>
      <w:bookmarkEnd w:id="276"/>
      <w:bookmarkEnd w:id="277"/>
      <w:bookmarkEnd w:id="278"/>
      <w:bookmarkEnd w:id="279"/>
      <w:bookmarkEnd w:id="280"/>
      <w:bookmarkEnd w:id="281"/>
      <w:bookmarkEnd w:id="282"/>
    </w:p>
    <w:p>
      <w:pPr>
        <w:pStyle w:val="36"/>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1.4.1适用于工程的标准规范包括：</w:t>
      </w:r>
      <w:r>
        <w:rPr>
          <w:rFonts w:hint="eastAsia" w:ascii="宋体" w:hAnsi="宋体" w:eastAsia="宋体" w:cs="宋体"/>
          <w:color w:val="auto"/>
          <w:sz w:val="21"/>
          <w:szCs w:val="21"/>
          <w:highlight w:val="none"/>
          <w:u w:val="single"/>
        </w:rPr>
        <w:t>现行国家、地方、部门有关标准规范</w:t>
      </w:r>
      <w:r>
        <w:rPr>
          <w:rFonts w:hint="eastAsia" w:ascii="宋体" w:hAnsi="宋体" w:eastAsia="宋体" w:cs="宋体"/>
          <w:color w:val="auto"/>
          <w:sz w:val="21"/>
          <w:szCs w:val="21"/>
          <w:highlight w:val="none"/>
        </w:rPr>
        <w:t>。</w:t>
      </w:r>
    </w:p>
    <w:p>
      <w:pPr>
        <w:pStyle w:val="36"/>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1.4.2 发包人提供国外标准、规范的名称：</w:t>
      </w:r>
      <w:r>
        <w:rPr>
          <w:rFonts w:hint="eastAsia" w:ascii="宋体" w:hAnsi="宋体" w:eastAsia="宋体" w:cs="宋体"/>
          <w:color w:val="auto"/>
          <w:sz w:val="21"/>
          <w:szCs w:val="21"/>
          <w:highlight w:val="none"/>
          <w:u w:val="single"/>
        </w:rPr>
        <w:t xml:space="preserve"> 无 </w:t>
      </w:r>
      <w:r>
        <w:rPr>
          <w:rFonts w:hint="eastAsia" w:ascii="宋体" w:hAnsi="宋体" w:eastAsia="宋体" w:cs="宋体"/>
          <w:color w:val="auto"/>
          <w:sz w:val="21"/>
          <w:szCs w:val="21"/>
          <w:highlight w:val="none"/>
        </w:rPr>
        <w:t>；</w:t>
      </w:r>
    </w:p>
    <w:p>
      <w:pPr>
        <w:pStyle w:val="36"/>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发包人提供国外标准、规范的份数：</w:t>
      </w:r>
      <w:r>
        <w:rPr>
          <w:rFonts w:hint="eastAsia" w:ascii="宋体" w:hAnsi="宋体" w:eastAsia="宋体" w:cs="宋体"/>
          <w:color w:val="auto"/>
          <w:sz w:val="21"/>
          <w:szCs w:val="21"/>
          <w:highlight w:val="none"/>
          <w:u w:val="single"/>
        </w:rPr>
        <w:t xml:space="preserve">  无 </w:t>
      </w:r>
      <w:r>
        <w:rPr>
          <w:rFonts w:hint="eastAsia" w:ascii="宋体" w:hAnsi="宋体" w:eastAsia="宋体" w:cs="宋体"/>
          <w:color w:val="auto"/>
          <w:sz w:val="21"/>
          <w:szCs w:val="21"/>
          <w:highlight w:val="none"/>
        </w:rPr>
        <w:t>；</w:t>
      </w:r>
    </w:p>
    <w:p>
      <w:pPr>
        <w:pStyle w:val="36"/>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发包人提供国外标准、规范的名称：</w:t>
      </w:r>
      <w:r>
        <w:rPr>
          <w:rFonts w:hint="eastAsia" w:ascii="宋体" w:hAnsi="宋体" w:eastAsia="宋体" w:cs="宋体"/>
          <w:color w:val="auto"/>
          <w:sz w:val="21"/>
          <w:szCs w:val="21"/>
          <w:highlight w:val="none"/>
          <w:u w:val="single"/>
        </w:rPr>
        <w:t xml:space="preserve"> 无 </w:t>
      </w:r>
      <w:r>
        <w:rPr>
          <w:rFonts w:hint="eastAsia" w:ascii="宋体" w:hAnsi="宋体" w:eastAsia="宋体" w:cs="宋体"/>
          <w:color w:val="auto"/>
          <w:sz w:val="21"/>
          <w:szCs w:val="21"/>
          <w:highlight w:val="none"/>
        </w:rPr>
        <w:t>。</w:t>
      </w:r>
    </w:p>
    <w:p>
      <w:pPr>
        <w:pStyle w:val="36"/>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1.4.3发包人对工程的技术标准和功能要求的特殊要求：</w:t>
      </w:r>
      <w:r>
        <w:rPr>
          <w:rFonts w:hint="eastAsia" w:ascii="宋体" w:hAnsi="宋体" w:eastAsia="宋体" w:cs="宋体"/>
          <w:color w:val="auto"/>
          <w:sz w:val="21"/>
          <w:szCs w:val="21"/>
          <w:highlight w:val="none"/>
          <w:u w:val="single"/>
        </w:rPr>
        <w:t xml:space="preserve">无 </w:t>
      </w:r>
      <w:r>
        <w:rPr>
          <w:rFonts w:hint="eastAsia" w:ascii="宋体" w:hAnsi="宋体" w:eastAsia="宋体" w:cs="宋体"/>
          <w:color w:val="auto"/>
          <w:sz w:val="21"/>
          <w:szCs w:val="21"/>
          <w:highlight w:val="none"/>
        </w:rPr>
        <w:t>。</w:t>
      </w:r>
    </w:p>
    <w:p>
      <w:pPr>
        <w:pStyle w:val="29"/>
        <w:spacing w:line="380" w:lineRule="exact"/>
        <w:ind w:firstLine="422" w:firstLineChars="200"/>
        <w:rPr>
          <w:rFonts w:hint="eastAsia" w:ascii="宋体" w:hAnsi="宋体" w:eastAsia="宋体" w:cs="宋体"/>
          <w:color w:val="auto"/>
          <w:sz w:val="21"/>
          <w:szCs w:val="21"/>
          <w:highlight w:val="none"/>
        </w:rPr>
      </w:pPr>
      <w:bookmarkStart w:id="283" w:name="_Toc522201727"/>
      <w:bookmarkStart w:id="284" w:name="_Toc418752239"/>
      <w:bookmarkStart w:id="285" w:name="_Toc497747175"/>
      <w:bookmarkStart w:id="286" w:name="_Toc406522217"/>
      <w:bookmarkStart w:id="287" w:name="_Toc1411"/>
      <w:bookmarkStart w:id="288" w:name="_Toc418751793"/>
      <w:bookmarkStart w:id="289" w:name="_Toc256000176"/>
      <w:bookmarkStart w:id="290" w:name="_Toc497746778"/>
      <w:r>
        <w:rPr>
          <w:rFonts w:hint="eastAsia" w:ascii="宋体" w:hAnsi="宋体" w:eastAsia="宋体" w:cs="宋体"/>
          <w:color w:val="auto"/>
          <w:sz w:val="21"/>
          <w:szCs w:val="21"/>
          <w:highlight w:val="none"/>
        </w:rPr>
        <w:t>1.5 合同文件的优先顺序</w:t>
      </w:r>
      <w:bookmarkEnd w:id="283"/>
      <w:bookmarkEnd w:id="284"/>
      <w:bookmarkEnd w:id="285"/>
      <w:bookmarkEnd w:id="286"/>
      <w:bookmarkEnd w:id="287"/>
      <w:bookmarkEnd w:id="288"/>
      <w:bookmarkEnd w:id="289"/>
      <w:bookmarkEnd w:id="290"/>
    </w:p>
    <w:p>
      <w:pPr>
        <w:pStyle w:val="31"/>
        <w:spacing w:line="3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合同文件组成及优先顺序为：</w:t>
      </w:r>
    </w:p>
    <w:p>
      <w:pPr>
        <w:pStyle w:val="31"/>
        <w:spacing w:line="380" w:lineRule="exact"/>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（1）合同协议书；</w:t>
      </w:r>
    </w:p>
    <w:p>
      <w:pPr>
        <w:pStyle w:val="31"/>
        <w:spacing w:line="380" w:lineRule="exact"/>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（2）中标通知书（如果有）；</w:t>
      </w:r>
    </w:p>
    <w:p>
      <w:pPr>
        <w:pStyle w:val="31"/>
        <w:spacing w:line="380" w:lineRule="exact"/>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（3）投标函及其附录（如果有）；</w:t>
      </w:r>
    </w:p>
    <w:p>
      <w:pPr>
        <w:pStyle w:val="31"/>
        <w:spacing w:line="380" w:lineRule="exact"/>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（4）专用合同条款及其附件；</w:t>
      </w:r>
    </w:p>
    <w:p>
      <w:pPr>
        <w:pStyle w:val="31"/>
        <w:spacing w:line="380" w:lineRule="exact"/>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（5）通用合同条款；</w:t>
      </w:r>
    </w:p>
    <w:p>
      <w:pPr>
        <w:pStyle w:val="31"/>
        <w:spacing w:line="380" w:lineRule="exact"/>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（6）技术标准和要求 ；</w:t>
      </w:r>
    </w:p>
    <w:p>
      <w:pPr>
        <w:pStyle w:val="31"/>
        <w:spacing w:line="380" w:lineRule="exact"/>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（7）图纸（含图纸修改通知单及图纸设计变更文件）；</w:t>
      </w:r>
    </w:p>
    <w:p>
      <w:pPr>
        <w:pStyle w:val="31"/>
        <w:spacing w:line="380" w:lineRule="exact"/>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（8）已标价工程量清单 ；</w:t>
      </w:r>
    </w:p>
    <w:p>
      <w:pPr>
        <w:pStyle w:val="31"/>
        <w:spacing w:line="380" w:lineRule="exact"/>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（9）其他合同文件（包括本工程预算控制价造价成果文件、招标文件等文件）；</w:t>
      </w:r>
    </w:p>
    <w:p>
      <w:pPr>
        <w:pStyle w:val="31"/>
        <w:spacing w:line="380" w:lineRule="exact"/>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建设工程工程量清单计价规范（GB5050-2013）》及其广西实施细则及《关于建筑业实施营业税改征增值税后广西壮族自治区建设工程计价依据调整的通知》（桂建标〔2016〕17号）、《建设工程工程量清单计算规范（</w:t>
      </w:r>
      <w:r>
        <w:rPr>
          <w:rFonts w:hint="eastAsia" w:ascii="宋体" w:hAnsi="宋体" w:eastAsia="宋体" w:cs="宋体"/>
          <w:color w:val="auto"/>
          <w:kern w:val="0"/>
          <w:sz w:val="21"/>
          <w:szCs w:val="21"/>
          <w:highlight w:val="none"/>
          <w:lang w:eastAsia="zh-CN"/>
        </w:rPr>
        <w:t>GB50854</w:t>
      </w:r>
      <w:r>
        <w:rPr>
          <w:rFonts w:hint="eastAsia" w:ascii="宋体" w:hAnsi="宋体" w:eastAsia="宋体" w:cs="宋体"/>
          <w:color w:val="auto"/>
          <w:kern w:val="0"/>
          <w:sz w:val="21"/>
          <w:szCs w:val="21"/>
          <w:highlight w:val="none"/>
        </w:rPr>
        <w:t>～50862-2013）》及其广西实施细则（修订本）。</w:t>
      </w:r>
    </w:p>
    <w:p>
      <w:pPr>
        <w:pStyle w:val="29"/>
        <w:spacing w:line="380" w:lineRule="exact"/>
        <w:ind w:firstLine="422" w:firstLineChars="200"/>
        <w:rPr>
          <w:rFonts w:hint="eastAsia" w:ascii="宋体" w:hAnsi="宋体" w:eastAsia="宋体" w:cs="宋体"/>
          <w:color w:val="auto"/>
          <w:kern w:val="0"/>
          <w:sz w:val="21"/>
          <w:szCs w:val="21"/>
          <w:highlight w:val="none"/>
        </w:rPr>
      </w:pPr>
      <w:bookmarkStart w:id="291" w:name="_Toc256000177"/>
      <w:bookmarkStart w:id="292" w:name="_Toc17204"/>
      <w:bookmarkStart w:id="293" w:name="_Toc497746779"/>
      <w:bookmarkStart w:id="294" w:name="_Toc418751794"/>
      <w:bookmarkStart w:id="295" w:name="_Toc497747176"/>
      <w:bookmarkStart w:id="296" w:name="_Toc418752240"/>
      <w:bookmarkStart w:id="297" w:name="_Toc522201728"/>
      <w:bookmarkStart w:id="298" w:name="_Toc406522218"/>
      <w:r>
        <w:rPr>
          <w:rFonts w:hint="eastAsia" w:ascii="宋体" w:hAnsi="宋体" w:eastAsia="宋体" w:cs="宋体"/>
          <w:color w:val="auto"/>
          <w:kern w:val="0"/>
          <w:sz w:val="21"/>
          <w:szCs w:val="21"/>
          <w:highlight w:val="none"/>
        </w:rPr>
        <w:t>说明：（6）、（7）、（8）、（9）填空内容分别限于技术标准和要求、图纸、已标价工程量清单或预算书、其他合同文件四者之一，其优先顺序可根据采取的不同合同方式由双方约定。</w:t>
      </w:r>
      <w:bookmarkEnd w:id="291"/>
      <w:bookmarkEnd w:id="292"/>
    </w:p>
    <w:p>
      <w:pPr>
        <w:pStyle w:val="29"/>
        <w:spacing w:line="380" w:lineRule="exact"/>
        <w:ind w:firstLine="422" w:firstLineChars="200"/>
        <w:rPr>
          <w:rFonts w:hint="eastAsia" w:ascii="宋体" w:hAnsi="宋体" w:eastAsia="宋体" w:cs="宋体"/>
          <w:color w:val="auto"/>
          <w:sz w:val="21"/>
          <w:szCs w:val="21"/>
          <w:highlight w:val="none"/>
        </w:rPr>
      </w:pPr>
      <w:bookmarkStart w:id="299" w:name="_Toc256000178"/>
      <w:bookmarkStart w:id="300" w:name="_Toc15573"/>
      <w:r>
        <w:rPr>
          <w:rFonts w:hint="eastAsia" w:ascii="宋体" w:hAnsi="宋体" w:eastAsia="宋体" w:cs="宋体"/>
          <w:color w:val="auto"/>
          <w:sz w:val="21"/>
          <w:szCs w:val="21"/>
          <w:highlight w:val="none"/>
        </w:rPr>
        <w:t>1.6 图纸和承包人文件</w:t>
      </w:r>
      <w:bookmarkEnd w:id="293"/>
      <w:bookmarkEnd w:id="294"/>
      <w:bookmarkEnd w:id="295"/>
      <w:bookmarkEnd w:id="296"/>
      <w:bookmarkEnd w:id="297"/>
      <w:bookmarkEnd w:id="298"/>
      <w:bookmarkEnd w:id="299"/>
      <w:bookmarkEnd w:id="300"/>
    </w:p>
    <w:p>
      <w:pPr>
        <w:pStyle w:val="36"/>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1.6.1 图纸的提供</w:t>
      </w:r>
    </w:p>
    <w:p>
      <w:pPr>
        <w:pStyle w:val="31"/>
        <w:spacing w:line="3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发包人向承包人提供图纸的期限：</w:t>
      </w:r>
      <w:r>
        <w:rPr>
          <w:rFonts w:hint="eastAsia" w:ascii="宋体" w:hAnsi="宋体" w:eastAsia="宋体" w:cs="宋体"/>
          <w:color w:val="auto"/>
          <w:sz w:val="21"/>
          <w:szCs w:val="21"/>
          <w:highlight w:val="none"/>
          <w:u w:val="single"/>
        </w:rPr>
        <w:t>合同签订生效后7天内</w:t>
      </w:r>
      <w:r>
        <w:rPr>
          <w:rFonts w:hint="eastAsia" w:ascii="宋体" w:hAnsi="宋体" w:eastAsia="宋体" w:cs="宋体"/>
          <w:color w:val="auto"/>
          <w:sz w:val="21"/>
          <w:szCs w:val="21"/>
          <w:highlight w:val="none"/>
        </w:rPr>
        <w:t>；</w:t>
      </w:r>
    </w:p>
    <w:p>
      <w:pPr>
        <w:pStyle w:val="31"/>
        <w:spacing w:line="3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发包人向承包人提供图纸的数量：</w:t>
      </w:r>
      <w:r>
        <w:rPr>
          <w:rFonts w:hint="eastAsia" w:ascii="宋体" w:hAnsi="宋体" w:eastAsia="宋体" w:cs="宋体"/>
          <w:color w:val="auto"/>
          <w:sz w:val="21"/>
          <w:szCs w:val="21"/>
          <w:highlight w:val="none"/>
          <w:u w:val="single"/>
        </w:rPr>
        <w:t>贰份，上述图纸及技术资料，未经监理工程师和发包人同意，承包人不得提供给与本工程无关的第三方。承包人需要增加图纸套数的，承包人自行复制，复制费用由承包人承担。</w:t>
      </w:r>
    </w:p>
    <w:p>
      <w:pPr>
        <w:pStyle w:val="31"/>
        <w:spacing w:line="3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发包人向承包人提供图纸的内容：</w:t>
      </w:r>
      <w:r>
        <w:rPr>
          <w:rFonts w:hint="eastAsia" w:ascii="宋体" w:hAnsi="宋体" w:eastAsia="宋体" w:cs="宋体"/>
          <w:color w:val="auto"/>
          <w:kern w:val="0"/>
          <w:sz w:val="21"/>
          <w:szCs w:val="21"/>
          <w:highlight w:val="none"/>
          <w:u w:val="single"/>
        </w:rPr>
        <w:t>经备案的全套施工图纸和其他技术资料</w:t>
      </w:r>
      <w:r>
        <w:rPr>
          <w:rFonts w:hint="eastAsia" w:ascii="宋体" w:hAnsi="宋体" w:eastAsia="宋体" w:cs="宋体"/>
          <w:color w:val="auto"/>
          <w:sz w:val="21"/>
          <w:szCs w:val="21"/>
          <w:highlight w:val="none"/>
        </w:rPr>
        <w:t>。</w:t>
      </w:r>
    </w:p>
    <w:p>
      <w:pPr>
        <w:pStyle w:val="31"/>
        <w:spacing w:line="3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1.6.4 承包人文件</w:t>
      </w:r>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需要由承包人提供的文件，包括：</w:t>
      </w:r>
      <w:r>
        <w:rPr>
          <w:rFonts w:hint="eastAsia" w:ascii="宋体" w:hAnsi="宋体" w:eastAsia="宋体" w:cs="宋体"/>
          <w:color w:val="auto"/>
          <w:sz w:val="21"/>
          <w:szCs w:val="21"/>
          <w:highlight w:val="none"/>
          <w:u w:val="single"/>
        </w:rPr>
        <w:t>1、施工组织设计；2、工程进度计划；3、管理人员名单、职称、职务、上岗证等；4、安全文明施工措施；5、质量保证体系；6、每月25日前提供当月施工统计报表和下月进度计划各一份交监理工程师及发包人；7</w:t>
      </w:r>
      <w:r>
        <w:rPr>
          <w:rFonts w:hint="eastAsia" w:ascii="宋体" w:hAnsi="宋体" w:eastAsia="宋体" w:cs="宋体"/>
          <w:color w:val="auto"/>
          <w:sz w:val="21"/>
          <w:szCs w:val="21"/>
          <w:highlight w:val="none"/>
          <w:u w:val="single"/>
          <w:lang w:val="zh-CN"/>
        </w:rPr>
        <w:t>、</w:t>
      </w:r>
      <w:r>
        <w:rPr>
          <w:rFonts w:hint="eastAsia" w:ascii="宋体" w:hAnsi="宋体" w:eastAsia="宋体" w:cs="宋体"/>
          <w:color w:val="auto"/>
          <w:sz w:val="21"/>
          <w:szCs w:val="21"/>
          <w:highlight w:val="none"/>
          <w:u w:val="single"/>
        </w:rPr>
        <w:t>施工图以外的大样图、加工图、标准图、以及建筑装饰深化设计图纸设计优化建议等。但设计成果文件需经原设计单位审核及认可。最终设计成果归发包人所有。</w:t>
      </w:r>
    </w:p>
    <w:p>
      <w:pPr>
        <w:pStyle w:val="31"/>
        <w:spacing w:line="3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承包人提供的文件的期限为：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kern w:val="0"/>
          <w:sz w:val="21"/>
          <w:szCs w:val="21"/>
          <w:highlight w:val="none"/>
          <w:u w:val="single"/>
        </w:rPr>
        <w:t xml:space="preserve">开始施工前7天内  </w:t>
      </w:r>
      <w:r>
        <w:rPr>
          <w:rFonts w:hint="eastAsia" w:ascii="宋体" w:hAnsi="宋体" w:eastAsia="宋体" w:cs="宋体"/>
          <w:color w:val="auto"/>
          <w:sz w:val="21"/>
          <w:szCs w:val="21"/>
          <w:highlight w:val="none"/>
        </w:rPr>
        <w:t>；</w:t>
      </w:r>
    </w:p>
    <w:p>
      <w:pPr>
        <w:pStyle w:val="31"/>
        <w:spacing w:line="3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承包人提供的文件的数量为：</w:t>
      </w:r>
      <w:r>
        <w:rPr>
          <w:rFonts w:hint="eastAsia" w:ascii="宋体" w:hAnsi="宋体" w:eastAsia="宋体" w:cs="宋体"/>
          <w:color w:val="auto"/>
          <w:sz w:val="21"/>
          <w:szCs w:val="21"/>
          <w:highlight w:val="none"/>
          <w:u w:val="single"/>
        </w:rPr>
        <w:t xml:space="preserve">  6</w:t>
      </w:r>
      <w:r>
        <w:rPr>
          <w:rFonts w:hint="eastAsia" w:ascii="宋体" w:hAnsi="宋体" w:eastAsia="宋体" w:cs="宋体"/>
          <w:color w:val="auto"/>
          <w:kern w:val="0"/>
          <w:sz w:val="21"/>
          <w:szCs w:val="21"/>
          <w:highlight w:val="none"/>
          <w:u w:val="single"/>
        </w:rPr>
        <w:t>份</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pStyle w:val="31"/>
        <w:spacing w:line="3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承包人提供的文件的形式为：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kern w:val="0"/>
          <w:sz w:val="21"/>
          <w:szCs w:val="21"/>
          <w:highlight w:val="none"/>
          <w:u w:val="single"/>
        </w:rPr>
        <w:t>纸质版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pStyle w:val="36"/>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发包人审批承包人文件的期限：</w:t>
      </w:r>
      <w:r>
        <w:rPr>
          <w:rFonts w:hint="eastAsia" w:ascii="宋体" w:hAnsi="宋体" w:eastAsia="宋体" w:cs="宋体"/>
          <w:color w:val="auto"/>
          <w:sz w:val="21"/>
          <w:szCs w:val="21"/>
          <w:highlight w:val="none"/>
          <w:u w:val="single"/>
        </w:rPr>
        <w:t xml:space="preserve"> 收到承包人提供的文件后七天内 </w:t>
      </w:r>
      <w:r>
        <w:rPr>
          <w:rFonts w:hint="eastAsia" w:ascii="宋体" w:hAnsi="宋体" w:eastAsia="宋体" w:cs="宋体"/>
          <w:color w:val="auto"/>
          <w:sz w:val="21"/>
          <w:szCs w:val="21"/>
          <w:highlight w:val="none"/>
        </w:rPr>
        <w:t>。</w:t>
      </w:r>
    </w:p>
    <w:p>
      <w:pPr>
        <w:pStyle w:val="36"/>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1.6.5 现场图纸准备</w:t>
      </w:r>
    </w:p>
    <w:p>
      <w:pPr>
        <w:pStyle w:val="36"/>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关于现场图纸准备的约定：</w:t>
      </w:r>
      <w:r>
        <w:rPr>
          <w:rFonts w:hint="eastAsia" w:ascii="宋体" w:hAnsi="宋体" w:eastAsia="宋体" w:cs="宋体"/>
          <w:color w:val="auto"/>
          <w:sz w:val="21"/>
          <w:szCs w:val="21"/>
          <w:highlight w:val="none"/>
          <w:u w:val="single"/>
        </w:rPr>
        <w:t xml:space="preserve">  按通用条款执行</w:t>
      </w:r>
      <w:r>
        <w:rPr>
          <w:rFonts w:hint="eastAsia" w:ascii="宋体" w:hAnsi="宋体" w:eastAsia="宋体" w:cs="宋体"/>
          <w:color w:val="auto"/>
          <w:sz w:val="21"/>
          <w:szCs w:val="21"/>
          <w:highlight w:val="none"/>
        </w:rPr>
        <w:t>。</w:t>
      </w:r>
    </w:p>
    <w:p>
      <w:pPr>
        <w:pStyle w:val="29"/>
        <w:spacing w:line="380" w:lineRule="exact"/>
        <w:ind w:firstLine="422" w:firstLineChars="200"/>
        <w:rPr>
          <w:rFonts w:hint="eastAsia" w:ascii="宋体" w:hAnsi="宋体" w:eastAsia="宋体" w:cs="宋体"/>
          <w:color w:val="auto"/>
          <w:sz w:val="21"/>
          <w:szCs w:val="21"/>
          <w:highlight w:val="none"/>
        </w:rPr>
      </w:pPr>
      <w:bookmarkStart w:id="301" w:name="_Toc256000179"/>
      <w:bookmarkStart w:id="302" w:name="_Toc497746780"/>
      <w:bookmarkStart w:id="303" w:name="_Toc406522219"/>
      <w:bookmarkStart w:id="304" w:name="_Toc522201729"/>
      <w:bookmarkStart w:id="305" w:name="_Toc418752241"/>
      <w:bookmarkStart w:id="306" w:name="_Toc418751795"/>
      <w:bookmarkStart w:id="307" w:name="_Toc6020"/>
      <w:bookmarkStart w:id="308" w:name="_Toc497747177"/>
      <w:r>
        <w:rPr>
          <w:rFonts w:hint="eastAsia" w:ascii="宋体" w:hAnsi="宋体" w:eastAsia="宋体" w:cs="宋体"/>
          <w:color w:val="auto"/>
          <w:sz w:val="21"/>
          <w:szCs w:val="21"/>
          <w:highlight w:val="none"/>
        </w:rPr>
        <w:t>1.7 联络</w:t>
      </w:r>
      <w:bookmarkEnd w:id="301"/>
      <w:bookmarkEnd w:id="302"/>
      <w:bookmarkEnd w:id="303"/>
      <w:bookmarkEnd w:id="304"/>
      <w:bookmarkEnd w:id="305"/>
      <w:bookmarkEnd w:id="306"/>
      <w:bookmarkEnd w:id="307"/>
      <w:bookmarkEnd w:id="308"/>
    </w:p>
    <w:p>
      <w:pPr>
        <w:pStyle w:val="36"/>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1.7.1发包人和承包人应当在</w:t>
      </w:r>
      <w:r>
        <w:rPr>
          <w:rFonts w:hint="eastAsia" w:ascii="宋体" w:hAnsi="宋体" w:eastAsia="宋体" w:cs="宋体"/>
          <w:color w:val="auto"/>
          <w:sz w:val="21"/>
          <w:szCs w:val="21"/>
          <w:highlight w:val="none"/>
          <w:u w:val="single"/>
        </w:rPr>
        <w:t xml:space="preserve">  7 </w:t>
      </w:r>
      <w:r>
        <w:rPr>
          <w:rFonts w:hint="eastAsia" w:ascii="宋体" w:hAnsi="宋体" w:eastAsia="宋体" w:cs="宋体"/>
          <w:color w:val="auto"/>
          <w:sz w:val="21"/>
          <w:szCs w:val="21"/>
          <w:highlight w:val="none"/>
        </w:rPr>
        <w:t>天内将与合同有关的通知、批准、证明、证书、指示、指令、要求、请求、同意、意见、确定和决定等书面函件送达对方当事人。</w:t>
      </w:r>
    </w:p>
    <w:p>
      <w:pPr>
        <w:pStyle w:val="31"/>
        <w:spacing w:line="380" w:lineRule="exact"/>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1.7.2发包人接收文件的地点：</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kern w:val="0"/>
          <w:sz w:val="21"/>
          <w:szCs w:val="21"/>
          <w:highlight w:val="none"/>
        </w:rPr>
        <w:t>；</w:t>
      </w:r>
    </w:p>
    <w:p>
      <w:pPr>
        <w:pStyle w:val="31"/>
        <w:spacing w:line="380" w:lineRule="exact"/>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发包人指定的接收人为：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w:t>
      </w:r>
    </w:p>
    <w:p>
      <w:pPr>
        <w:pStyle w:val="31"/>
        <w:spacing w:line="380" w:lineRule="exact"/>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承包人接收文件的地点：</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kern w:val="0"/>
          <w:sz w:val="21"/>
          <w:szCs w:val="21"/>
          <w:highlight w:val="none"/>
          <w:u w:val="single"/>
        </w:rPr>
        <w:t>施工现场项目部</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kern w:val="0"/>
          <w:sz w:val="21"/>
          <w:szCs w:val="21"/>
          <w:highlight w:val="none"/>
        </w:rPr>
        <w:t>；</w:t>
      </w:r>
    </w:p>
    <w:p>
      <w:pPr>
        <w:pStyle w:val="31"/>
        <w:spacing w:line="380" w:lineRule="exact"/>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承包人指定的接收人为：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kern w:val="0"/>
          <w:sz w:val="21"/>
          <w:szCs w:val="21"/>
          <w:highlight w:val="none"/>
        </w:rPr>
        <w:t>。</w:t>
      </w:r>
    </w:p>
    <w:p>
      <w:pPr>
        <w:pStyle w:val="31"/>
        <w:spacing w:line="380" w:lineRule="exact"/>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监理人接收文件的地点：</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kern w:val="0"/>
          <w:sz w:val="21"/>
          <w:szCs w:val="21"/>
          <w:highlight w:val="none"/>
        </w:rPr>
        <w:t>；</w:t>
      </w:r>
    </w:p>
    <w:p>
      <w:pPr>
        <w:pStyle w:val="36"/>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监理人指定的接收人为：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pStyle w:val="29"/>
        <w:spacing w:line="380" w:lineRule="exact"/>
        <w:ind w:firstLine="422" w:firstLineChars="200"/>
        <w:rPr>
          <w:rFonts w:hint="eastAsia" w:ascii="宋体" w:hAnsi="宋体" w:eastAsia="宋体" w:cs="宋体"/>
          <w:color w:val="auto"/>
          <w:sz w:val="21"/>
          <w:szCs w:val="21"/>
          <w:highlight w:val="none"/>
        </w:rPr>
      </w:pPr>
      <w:bookmarkStart w:id="309" w:name="_Toc497747178"/>
      <w:bookmarkStart w:id="310" w:name="_Toc20909"/>
      <w:bookmarkStart w:id="311" w:name="_Toc418752242"/>
      <w:bookmarkStart w:id="312" w:name="_Toc256000180"/>
      <w:bookmarkStart w:id="313" w:name="_Toc522201730"/>
      <w:bookmarkStart w:id="314" w:name="_Toc418751796"/>
      <w:bookmarkStart w:id="315" w:name="_Toc406522220"/>
      <w:bookmarkStart w:id="316" w:name="_Toc497746781"/>
      <w:r>
        <w:rPr>
          <w:rFonts w:hint="eastAsia" w:ascii="宋体" w:hAnsi="宋体" w:eastAsia="宋体" w:cs="宋体"/>
          <w:color w:val="auto"/>
          <w:sz w:val="21"/>
          <w:szCs w:val="21"/>
          <w:highlight w:val="none"/>
        </w:rPr>
        <w:t>1.10 交通运输</w:t>
      </w:r>
      <w:bookmarkEnd w:id="309"/>
      <w:bookmarkEnd w:id="310"/>
      <w:bookmarkEnd w:id="311"/>
      <w:bookmarkEnd w:id="312"/>
      <w:bookmarkEnd w:id="313"/>
      <w:bookmarkEnd w:id="314"/>
      <w:bookmarkEnd w:id="315"/>
      <w:bookmarkEnd w:id="316"/>
    </w:p>
    <w:p>
      <w:pPr>
        <w:pStyle w:val="36"/>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bookmarkStart w:id="317" w:name="_Toc304295521"/>
      <w:bookmarkStart w:id="318" w:name="_Toc312677986"/>
      <w:bookmarkStart w:id="319" w:name="_Toc303539100"/>
      <w:bookmarkStart w:id="320" w:name="_Toc318581155"/>
      <w:bookmarkStart w:id="321" w:name="_Toc300934943"/>
      <w:r>
        <w:rPr>
          <w:rFonts w:hint="eastAsia" w:ascii="宋体" w:hAnsi="宋体" w:eastAsia="宋体" w:cs="宋体"/>
          <w:color w:val="auto"/>
          <w:sz w:val="21"/>
          <w:szCs w:val="21"/>
          <w:highlight w:val="none"/>
        </w:rPr>
        <w:t>.10.1 出入现场的权利</w:t>
      </w:r>
    </w:p>
    <w:p>
      <w:pPr>
        <w:pStyle w:val="36"/>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关于出入现场的权利的约定：</w:t>
      </w:r>
      <w:r>
        <w:rPr>
          <w:rFonts w:hint="eastAsia" w:ascii="宋体" w:hAnsi="宋体" w:eastAsia="宋体" w:cs="宋体"/>
          <w:color w:val="auto"/>
          <w:sz w:val="21"/>
          <w:szCs w:val="21"/>
          <w:highlight w:val="none"/>
          <w:u w:val="single"/>
        </w:rPr>
        <w:t xml:space="preserve"> 除正常施工涉及的人员及车辆外，其他人员及车辆进出场内须经过发包人同意，且由承包人进行管理登记 </w:t>
      </w:r>
      <w:r>
        <w:rPr>
          <w:rFonts w:hint="eastAsia" w:ascii="宋体" w:hAnsi="宋体" w:eastAsia="宋体" w:cs="宋体"/>
          <w:color w:val="auto"/>
          <w:sz w:val="21"/>
          <w:szCs w:val="21"/>
          <w:highlight w:val="none"/>
        </w:rPr>
        <w:t>。</w:t>
      </w:r>
    </w:p>
    <w:bookmarkEnd w:id="317"/>
    <w:bookmarkEnd w:id="318"/>
    <w:bookmarkEnd w:id="319"/>
    <w:bookmarkEnd w:id="320"/>
    <w:bookmarkEnd w:id="321"/>
    <w:p>
      <w:pPr>
        <w:pStyle w:val="36"/>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bookmarkStart w:id="322" w:name="_Toc303539101"/>
      <w:bookmarkStart w:id="323" w:name="_Toc312677987"/>
      <w:bookmarkStart w:id="324" w:name="_Toc318581156"/>
      <w:bookmarkStart w:id="325" w:name="_Toc304295522"/>
      <w:bookmarkStart w:id="326" w:name="_Toc300934944"/>
      <w:r>
        <w:rPr>
          <w:rFonts w:hint="eastAsia" w:ascii="宋体" w:hAnsi="宋体" w:eastAsia="宋体" w:cs="宋体"/>
          <w:color w:val="auto"/>
          <w:sz w:val="21"/>
          <w:szCs w:val="21"/>
          <w:highlight w:val="none"/>
        </w:rPr>
        <w:t>.10.3 场内交通</w:t>
      </w:r>
    </w:p>
    <w:p>
      <w:pPr>
        <w:pStyle w:val="36"/>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关于场外交通和场内交通的边界的约定：</w:t>
      </w:r>
      <w:r>
        <w:rPr>
          <w:rFonts w:hint="eastAsia" w:ascii="宋体" w:hAnsi="宋体" w:eastAsia="宋体" w:cs="宋体"/>
          <w:color w:val="auto"/>
          <w:sz w:val="21"/>
          <w:szCs w:val="21"/>
          <w:highlight w:val="none"/>
          <w:u w:val="single"/>
        </w:rPr>
        <w:t xml:space="preserve">  规划批复总平用地红线  </w:t>
      </w:r>
      <w:r>
        <w:rPr>
          <w:rFonts w:hint="eastAsia" w:ascii="宋体" w:hAnsi="宋体" w:eastAsia="宋体" w:cs="宋体"/>
          <w:color w:val="auto"/>
          <w:sz w:val="21"/>
          <w:szCs w:val="21"/>
          <w:highlight w:val="none"/>
        </w:rPr>
        <w:t>。</w:t>
      </w:r>
    </w:p>
    <w:p>
      <w:pPr>
        <w:pStyle w:val="36"/>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关于发包人向承包人免费提供满足工程施工需要的场内道路和交通设施的约定：</w:t>
      </w:r>
      <w:r>
        <w:rPr>
          <w:rFonts w:hint="eastAsia" w:ascii="宋体" w:hAnsi="宋体" w:eastAsia="宋体" w:cs="宋体"/>
          <w:color w:val="auto"/>
          <w:sz w:val="21"/>
          <w:szCs w:val="21"/>
          <w:highlight w:val="none"/>
          <w:u w:val="single"/>
        </w:rPr>
        <w:t>承包人负责场内道路和交通设施的修建并承担相应费用</w:t>
      </w:r>
      <w:r>
        <w:rPr>
          <w:rFonts w:hint="eastAsia" w:ascii="宋体" w:hAnsi="宋体" w:eastAsia="宋体" w:cs="宋体"/>
          <w:color w:val="auto"/>
          <w:sz w:val="21"/>
          <w:szCs w:val="21"/>
          <w:highlight w:val="none"/>
        </w:rPr>
        <w:t>。</w:t>
      </w:r>
      <w:bookmarkEnd w:id="322"/>
      <w:bookmarkEnd w:id="323"/>
      <w:bookmarkEnd w:id="324"/>
      <w:bookmarkEnd w:id="325"/>
      <w:bookmarkEnd w:id="326"/>
      <w:r>
        <w:rPr>
          <w:rFonts w:hint="eastAsia" w:ascii="宋体" w:hAnsi="宋体" w:eastAsia="宋体" w:cs="宋体"/>
          <w:color w:val="auto"/>
          <w:sz w:val="21"/>
          <w:szCs w:val="21"/>
          <w:highlight w:val="none"/>
        </w:rPr>
        <w:t xml:space="preserve">  </w:t>
      </w:r>
      <w:bookmarkStart w:id="327" w:name="_Toc318581157"/>
    </w:p>
    <w:p>
      <w:pPr>
        <w:pStyle w:val="36"/>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1.10.4超大件和超重件的运输</w:t>
      </w:r>
    </w:p>
    <w:p>
      <w:pPr>
        <w:pStyle w:val="36"/>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运输超大件或超重件所需的道路和桥梁临时加固改造费用和其他有关费用由</w:t>
      </w:r>
      <w:r>
        <w:rPr>
          <w:rFonts w:hint="eastAsia" w:ascii="宋体" w:hAnsi="宋体" w:eastAsia="宋体" w:cs="宋体"/>
          <w:color w:val="auto"/>
          <w:sz w:val="21"/>
          <w:szCs w:val="21"/>
          <w:highlight w:val="none"/>
          <w:u w:val="single"/>
        </w:rPr>
        <w:t>承包人</w:t>
      </w:r>
      <w:r>
        <w:rPr>
          <w:rFonts w:hint="eastAsia" w:ascii="宋体" w:hAnsi="宋体" w:eastAsia="宋体" w:cs="宋体"/>
          <w:color w:val="auto"/>
          <w:sz w:val="21"/>
          <w:szCs w:val="21"/>
          <w:highlight w:val="none"/>
        </w:rPr>
        <w:t>承担。</w:t>
      </w:r>
    </w:p>
    <w:bookmarkEnd w:id="327"/>
    <w:p>
      <w:pPr>
        <w:pStyle w:val="29"/>
        <w:spacing w:line="380" w:lineRule="exact"/>
        <w:ind w:firstLine="422" w:firstLineChars="200"/>
        <w:rPr>
          <w:rFonts w:hint="eastAsia" w:ascii="宋体" w:hAnsi="宋体" w:eastAsia="宋体" w:cs="宋体"/>
          <w:color w:val="auto"/>
          <w:sz w:val="21"/>
          <w:szCs w:val="21"/>
          <w:highlight w:val="none"/>
        </w:rPr>
      </w:pPr>
      <w:bookmarkStart w:id="328" w:name="_Toc406522221"/>
      <w:bookmarkStart w:id="329" w:name="_Toc8643"/>
      <w:bookmarkStart w:id="330" w:name="_Toc256000181"/>
      <w:bookmarkStart w:id="331" w:name="_Toc522201731"/>
      <w:bookmarkStart w:id="332" w:name="_Toc497746782"/>
      <w:bookmarkStart w:id="333" w:name="_Toc418752243"/>
      <w:bookmarkStart w:id="334" w:name="_Toc497747179"/>
      <w:bookmarkStart w:id="335" w:name="_Toc418751797"/>
      <w:r>
        <w:rPr>
          <w:rFonts w:hint="eastAsia" w:ascii="宋体" w:hAnsi="宋体" w:eastAsia="宋体" w:cs="宋体"/>
          <w:color w:val="auto"/>
          <w:sz w:val="21"/>
          <w:szCs w:val="21"/>
          <w:highlight w:val="none"/>
        </w:rPr>
        <w:t>1.11 知识产权</w:t>
      </w:r>
      <w:bookmarkEnd w:id="328"/>
      <w:bookmarkEnd w:id="329"/>
      <w:bookmarkEnd w:id="330"/>
      <w:bookmarkEnd w:id="331"/>
      <w:bookmarkEnd w:id="332"/>
      <w:bookmarkEnd w:id="333"/>
      <w:bookmarkEnd w:id="334"/>
      <w:bookmarkEnd w:id="335"/>
    </w:p>
    <w:p>
      <w:pPr>
        <w:pStyle w:val="36"/>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1.11.1关于发包人提供给承包人的图纸、发包人为实施工程自行编制或委托编制的技术规范以及反映发包人关于合同要求或其他类似性质的文件的著作权的归属：</w:t>
      </w:r>
      <w:r>
        <w:rPr>
          <w:rFonts w:hint="eastAsia" w:ascii="宋体" w:hAnsi="宋体" w:eastAsia="宋体" w:cs="宋体"/>
          <w:color w:val="auto"/>
          <w:sz w:val="21"/>
          <w:szCs w:val="21"/>
          <w:highlight w:val="none"/>
          <w:u w:val="single"/>
        </w:rPr>
        <w:t>著作权属于发包人</w:t>
      </w:r>
      <w:r>
        <w:rPr>
          <w:rFonts w:hint="eastAsia" w:ascii="宋体" w:hAnsi="宋体" w:eastAsia="宋体" w:cs="宋体"/>
          <w:color w:val="auto"/>
          <w:sz w:val="21"/>
          <w:szCs w:val="21"/>
          <w:highlight w:val="none"/>
        </w:rPr>
        <w:t>。</w:t>
      </w:r>
    </w:p>
    <w:p>
      <w:pPr>
        <w:pStyle w:val="36"/>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关于发包人提供的上述文件的使用限制的要求：</w:t>
      </w:r>
      <w:r>
        <w:rPr>
          <w:rFonts w:hint="eastAsia" w:ascii="宋体" w:hAnsi="宋体" w:eastAsia="宋体" w:cs="宋体"/>
          <w:color w:val="auto"/>
          <w:sz w:val="21"/>
          <w:szCs w:val="21"/>
          <w:highlight w:val="none"/>
          <w:u w:val="single"/>
        </w:rPr>
        <w:t>未经发包人同意，承包人不得为了合同以外的目的而复制、使用上述文件或将之提供给任何第三方</w:t>
      </w:r>
      <w:r>
        <w:rPr>
          <w:rFonts w:hint="eastAsia" w:ascii="宋体" w:hAnsi="宋体" w:eastAsia="宋体" w:cs="宋体"/>
          <w:color w:val="auto"/>
          <w:sz w:val="21"/>
          <w:szCs w:val="21"/>
          <w:highlight w:val="none"/>
        </w:rPr>
        <w:t>。</w:t>
      </w:r>
    </w:p>
    <w:p>
      <w:pPr>
        <w:pStyle w:val="36"/>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1.11.2 关于承包人为实施工程所编制文件的著作权的归属：</w:t>
      </w:r>
      <w:r>
        <w:rPr>
          <w:rFonts w:hint="eastAsia" w:ascii="宋体" w:hAnsi="宋体" w:eastAsia="宋体" w:cs="宋体"/>
          <w:color w:val="auto"/>
          <w:sz w:val="21"/>
          <w:szCs w:val="21"/>
          <w:highlight w:val="none"/>
          <w:u w:val="single"/>
        </w:rPr>
        <w:t>除署名以外著作权属于发包人</w:t>
      </w:r>
      <w:r>
        <w:rPr>
          <w:rFonts w:hint="eastAsia" w:ascii="宋体" w:hAnsi="宋体" w:eastAsia="宋体" w:cs="宋体"/>
          <w:color w:val="auto"/>
          <w:sz w:val="21"/>
          <w:szCs w:val="21"/>
          <w:highlight w:val="none"/>
        </w:rPr>
        <w:t>。</w:t>
      </w:r>
    </w:p>
    <w:p>
      <w:pPr>
        <w:pStyle w:val="36"/>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关于承包人提供的上述文件的使用限制的要求：</w:t>
      </w:r>
      <w:r>
        <w:rPr>
          <w:rFonts w:hint="eastAsia" w:ascii="宋体" w:hAnsi="宋体" w:eastAsia="宋体" w:cs="宋体"/>
          <w:color w:val="auto"/>
          <w:sz w:val="21"/>
          <w:szCs w:val="21"/>
          <w:highlight w:val="none"/>
          <w:u w:val="single"/>
        </w:rPr>
        <w:t>未经发包人同意，承包人不得为了合同以外的目的而复制、使用上述文件或将之提供给任何第三方</w:t>
      </w:r>
      <w:r>
        <w:rPr>
          <w:rFonts w:hint="eastAsia" w:ascii="宋体" w:hAnsi="宋体" w:eastAsia="宋体" w:cs="宋体"/>
          <w:color w:val="auto"/>
          <w:sz w:val="21"/>
          <w:szCs w:val="21"/>
          <w:highlight w:val="none"/>
        </w:rPr>
        <w:t>。</w:t>
      </w:r>
    </w:p>
    <w:p>
      <w:pPr>
        <w:pStyle w:val="36"/>
        <w:spacing w:line="380" w:lineRule="exac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1.11.4 承包人在施工过程中所采用的专利、专有技术、技术秘密的使用费的承担方式：</w:t>
      </w:r>
      <w:r>
        <w:rPr>
          <w:rFonts w:hint="eastAsia" w:ascii="宋体" w:hAnsi="宋体" w:eastAsia="宋体" w:cs="宋体"/>
          <w:color w:val="auto"/>
          <w:sz w:val="21"/>
          <w:szCs w:val="21"/>
          <w:highlight w:val="none"/>
          <w:u w:val="single"/>
        </w:rPr>
        <w:t>由承包人承担</w:t>
      </w:r>
      <w:r>
        <w:rPr>
          <w:rFonts w:hint="eastAsia" w:ascii="宋体" w:hAnsi="宋体" w:eastAsia="宋体" w:cs="宋体"/>
          <w:color w:val="auto"/>
          <w:sz w:val="21"/>
          <w:szCs w:val="21"/>
          <w:highlight w:val="none"/>
        </w:rPr>
        <w:t>。</w:t>
      </w:r>
    </w:p>
    <w:p>
      <w:pPr>
        <w:pStyle w:val="36"/>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1.13工程量清单错误的修正</w:t>
      </w:r>
    </w:p>
    <w:p>
      <w:pPr>
        <w:pStyle w:val="36"/>
        <w:spacing w:line="380" w:lineRule="exac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出现工程量清单错误时，是否调整合同价格：</w:t>
      </w:r>
      <w:r>
        <w:rPr>
          <w:rFonts w:hint="eastAsia" w:ascii="宋体" w:hAnsi="宋体" w:eastAsia="宋体" w:cs="宋体"/>
          <w:color w:val="auto"/>
          <w:sz w:val="21"/>
          <w:szCs w:val="21"/>
          <w:highlight w:val="none"/>
          <w:lang w:val="en-US" w:eastAsia="zh-CN"/>
        </w:rPr>
        <w:t>是，</w:t>
      </w:r>
      <w:r>
        <w:rPr>
          <w:rFonts w:hint="eastAsia" w:ascii="宋体" w:hAnsi="宋体" w:eastAsia="宋体" w:cs="宋体"/>
          <w:color w:val="auto"/>
          <w:sz w:val="21"/>
          <w:szCs w:val="21"/>
          <w:highlight w:val="none"/>
          <w:u w:val="single"/>
        </w:rPr>
        <w:t>按《建设工程工程量清单计价规范（GB5050-2013）》及其广西实施细则、《建设工程工程量清单计算规范（</w:t>
      </w:r>
      <w:r>
        <w:rPr>
          <w:rFonts w:hint="eastAsia" w:ascii="宋体" w:hAnsi="宋体" w:eastAsia="宋体" w:cs="宋体"/>
          <w:color w:val="auto"/>
          <w:sz w:val="21"/>
          <w:szCs w:val="21"/>
          <w:highlight w:val="none"/>
          <w:u w:val="single"/>
          <w:lang w:eastAsia="zh-CN"/>
        </w:rPr>
        <w:t>GB50854</w:t>
      </w:r>
      <w:r>
        <w:rPr>
          <w:rFonts w:hint="eastAsia" w:ascii="宋体" w:hAnsi="宋体" w:eastAsia="宋体" w:cs="宋体"/>
          <w:color w:val="auto"/>
          <w:sz w:val="21"/>
          <w:szCs w:val="21"/>
          <w:highlight w:val="none"/>
          <w:u w:val="single"/>
        </w:rPr>
        <w:t>～50862-2013）》及其广西实施细则（修订本）等规定。</w:t>
      </w:r>
    </w:p>
    <w:p>
      <w:pPr>
        <w:pStyle w:val="36"/>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允许调整合同价格的工程量偏差范围： </w:t>
      </w:r>
      <w:r>
        <w:rPr>
          <w:rFonts w:hint="eastAsia" w:ascii="宋体" w:hAnsi="宋体" w:eastAsia="宋体" w:cs="宋体"/>
          <w:color w:val="auto"/>
          <w:sz w:val="21"/>
          <w:szCs w:val="21"/>
          <w:highlight w:val="none"/>
          <w:u w:val="single"/>
          <w:lang w:val="en-US" w:eastAsia="zh-CN"/>
        </w:rPr>
        <w:t>除严重不平衡报价外，分部分项工程量清单项目中工程量增减均不调整价格</w:t>
      </w:r>
      <w:r>
        <w:rPr>
          <w:rFonts w:hint="eastAsia" w:ascii="宋体" w:hAnsi="宋体" w:eastAsia="宋体" w:cs="宋体"/>
          <w:color w:val="auto"/>
          <w:sz w:val="21"/>
          <w:szCs w:val="21"/>
          <w:highlight w:val="none"/>
        </w:rPr>
        <w:t>。</w:t>
      </w:r>
    </w:p>
    <w:p>
      <w:pPr>
        <w:pStyle w:val="29"/>
        <w:spacing w:line="380" w:lineRule="exact"/>
        <w:rPr>
          <w:rFonts w:hint="eastAsia" w:ascii="宋体" w:hAnsi="宋体" w:eastAsia="宋体" w:cs="宋体"/>
          <w:color w:val="auto"/>
          <w:sz w:val="21"/>
          <w:szCs w:val="21"/>
          <w:highlight w:val="none"/>
        </w:rPr>
      </w:pPr>
      <w:bookmarkStart w:id="336" w:name="_Toc351203634"/>
      <w:bookmarkStart w:id="337" w:name="_Toc406522222"/>
      <w:bookmarkStart w:id="338" w:name="_Toc497746783"/>
      <w:bookmarkStart w:id="339" w:name="_Toc418751798"/>
      <w:bookmarkStart w:id="340" w:name="_Toc497747180"/>
      <w:bookmarkStart w:id="341" w:name="_Toc256000182"/>
      <w:bookmarkStart w:id="342" w:name="_Toc522201732"/>
      <w:bookmarkStart w:id="343" w:name="_Toc24129"/>
      <w:bookmarkStart w:id="344" w:name="_Toc418752244"/>
      <w:r>
        <w:rPr>
          <w:rFonts w:hint="eastAsia" w:ascii="宋体" w:hAnsi="宋体" w:eastAsia="宋体" w:cs="宋体"/>
          <w:color w:val="auto"/>
          <w:sz w:val="21"/>
          <w:szCs w:val="21"/>
          <w:highlight w:val="none"/>
        </w:rPr>
        <w:t>2</w:t>
      </w:r>
      <w:bookmarkStart w:id="345" w:name="_Toc296503157"/>
      <w:bookmarkStart w:id="346" w:name="_Toc292559867"/>
      <w:bookmarkStart w:id="347" w:name="_Toc297120457"/>
      <w:bookmarkStart w:id="348" w:name="_Toc296346658"/>
      <w:bookmarkStart w:id="349" w:name="_Toc296944496"/>
      <w:bookmarkStart w:id="350" w:name="_Toc297048343"/>
      <w:bookmarkStart w:id="351" w:name="_Toc296347156"/>
      <w:bookmarkStart w:id="352" w:name="_Toc292559362"/>
      <w:bookmarkStart w:id="353" w:name="_Toc296890985"/>
      <w:bookmarkStart w:id="354" w:name="_Toc296891197"/>
      <w:r>
        <w:rPr>
          <w:rFonts w:hint="eastAsia" w:ascii="宋体" w:hAnsi="宋体" w:eastAsia="宋体" w:cs="宋体"/>
          <w:color w:val="auto"/>
          <w:sz w:val="21"/>
          <w:szCs w:val="21"/>
          <w:highlight w:val="none"/>
        </w:rPr>
        <w:t>. 发包人</w:t>
      </w:r>
      <w:bookmarkEnd w:id="336"/>
      <w:bookmarkEnd w:id="337"/>
      <w:bookmarkEnd w:id="338"/>
      <w:bookmarkEnd w:id="339"/>
      <w:bookmarkEnd w:id="340"/>
      <w:bookmarkEnd w:id="341"/>
      <w:bookmarkEnd w:id="342"/>
      <w:bookmarkEnd w:id="343"/>
      <w:bookmarkEnd w:id="344"/>
    </w:p>
    <w:bookmarkEnd w:id="345"/>
    <w:bookmarkEnd w:id="346"/>
    <w:bookmarkEnd w:id="347"/>
    <w:bookmarkEnd w:id="348"/>
    <w:bookmarkEnd w:id="349"/>
    <w:bookmarkEnd w:id="350"/>
    <w:bookmarkEnd w:id="351"/>
    <w:bookmarkEnd w:id="352"/>
    <w:bookmarkEnd w:id="353"/>
    <w:bookmarkEnd w:id="354"/>
    <w:p>
      <w:pPr>
        <w:pStyle w:val="29"/>
        <w:spacing w:line="380" w:lineRule="exact"/>
        <w:ind w:firstLine="422" w:firstLineChars="200"/>
        <w:rPr>
          <w:rFonts w:hint="eastAsia" w:ascii="宋体" w:hAnsi="宋体" w:eastAsia="宋体" w:cs="宋体"/>
          <w:color w:val="auto"/>
          <w:sz w:val="21"/>
          <w:szCs w:val="21"/>
          <w:highlight w:val="none"/>
        </w:rPr>
      </w:pPr>
      <w:bookmarkStart w:id="355" w:name="_Toc406522223"/>
      <w:bookmarkStart w:id="356" w:name="_Toc418752245"/>
      <w:bookmarkStart w:id="357" w:name="_Toc497746784"/>
      <w:bookmarkStart w:id="358" w:name="_Toc26929"/>
      <w:bookmarkStart w:id="359" w:name="_Toc418751799"/>
      <w:bookmarkStart w:id="360" w:name="_Toc497747181"/>
      <w:bookmarkStart w:id="361" w:name="_Toc256000183"/>
      <w:bookmarkStart w:id="362" w:name="_Toc522201733"/>
      <w:r>
        <w:rPr>
          <w:rFonts w:hint="eastAsia" w:ascii="宋体" w:hAnsi="宋体" w:eastAsia="宋体" w:cs="宋体"/>
          <w:color w:val="auto"/>
          <w:sz w:val="21"/>
          <w:szCs w:val="21"/>
          <w:highlight w:val="none"/>
        </w:rPr>
        <w:t>2.2 发包人代表</w:t>
      </w:r>
      <w:bookmarkEnd w:id="355"/>
      <w:bookmarkEnd w:id="356"/>
      <w:bookmarkEnd w:id="357"/>
      <w:bookmarkEnd w:id="358"/>
      <w:bookmarkEnd w:id="359"/>
      <w:bookmarkEnd w:id="360"/>
      <w:bookmarkEnd w:id="361"/>
      <w:bookmarkEnd w:id="362"/>
    </w:p>
    <w:p>
      <w:pPr>
        <w:pStyle w:val="36"/>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发包人代表：</w:t>
      </w:r>
    </w:p>
    <w:p>
      <w:pPr>
        <w:pStyle w:val="36"/>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姓    名：</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pStyle w:val="36"/>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职    务：</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pStyle w:val="36"/>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联系电话：</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pStyle w:val="36"/>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电子信箱：</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pStyle w:val="36"/>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通信地址：</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w:t>
      </w:r>
    </w:p>
    <w:p>
      <w:pPr>
        <w:pStyle w:val="36"/>
        <w:spacing w:line="380" w:lineRule="exact"/>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发包人对发包人代表的授权范围如下：</w:t>
      </w:r>
      <w:r>
        <w:rPr>
          <w:rFonts w:hint="eastAsia" w:ascii="宋体" w:hAnsi="宋体" w:eastAsia="宋体" w:cs="宋体"/>
          <w:color w:val="auto"/>
          <w:sz w:val="21"/>
          <w:szCs w:val="21"/>
          <w:highlight w:val="none"/>
          <w:u w:val="single"/>
        </w:rPr>
        <w:t>对工程进度、质量进行监督、办理中间交工工程验收手续，负责现场签证，解决由发包人授权处理的事宜</w:t>
      </w:r>
      <w:r>
        <w:rPr>
          <w:rFonts w:hint="eastAsia" w:ascii="宋体" w:hAnsi="宋体" w:eastAsia="宋体" w:cs="宋体"/>
          <w:color w:val="auto"/>
          <w:sz w:val="21"/>
          <w:szCs w:val="21"/>
          <w:highlight w:val="none"/>
        </w:rPr>
        <w:t>。</w:t>
      </w:r>
    </w:p>
    <w:p>
      <w:pPr>
        <w:pStyle w:val="29"/>
        <w:spacing w:line="380" w:lineRule="exact"/>
        <w:ind w:firstLine="422" w:firstLineChars="200"/>
        <w:rPr>
          <w:rFonts w:hint="eastAsia" w:ascii="宋体" w:hAnsi="宋体" w:eastAsia="宋体" w:cs="宋体"/>
          <w:color w:val="auto"/>
          <w:sz w:val="21"/>
          <w:szCs w:val="21"/>
          <w:highlight w:val="none"/>
        </w:rPr>
      </w:pPr>
      <w:bookmarkStart w:id="363" w:name="_Toc497747182"/>
      <w:bookmarkStart w:id="364" w:name="_Toc29460"/>
      <w:bookmarkStart w:id="365" w:name="_Toc497746785"/>
      <w:bookmarkStart w:id="366" w:name="_Toc522201734"/>
      <w:bookmarkStart w:id="367" w:name="_Toc418752246"/>
      <w:bookmarkStart w:id="368" w:name="_Toc418751800"/>
      <w:bookmarkStart w:id="369" w:name="_Toc406522224"/>
      <w:bookmarkStart w:id="370" w:name="_Toc256000184"/>
      <w:r>
        <w:rPr>
          <w:rFonts w:hint="eastAsia" w:ascii="宋体" w:hAnsi="宋体" w:eastAsia="宋体" w:cs="宋体"/>
          <w:color w:val="auto"/>
          <w:sz w:val="21"/>
          <w:szCs w:val="21"/>
          <w:highlight w:val="none"/>
        </w:rPr>
        <w:t>2.4 施工现场、施工条件和基础资料的提供</w:t>
      </w:r>
      <w:bookmarkEnd w:id="363"/>
      <w:bookmarkEnd w:id="364"/>
      <w:bookmarkEnd w:id="365"/>
      <w:bookmarkEnd w:id="366"/>
      <w:bookmarkEnd w:id="367"/>
      <w:bookmarkEnd w:id="368"/>
      <w:bookmarkEnd w:id="369"/>
      <w:bookmarkEnd w:id="370"/>
    </w:p>
    <w:p>
      <w:pPr>
        <w:pStyle w:val="36"/>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2.4.1 提供施工现场</w:t>
      </w:r>
    </w:p>
    <w:p>
      <w:pPr>
        <w:pStyle w:val="36"/>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关于发包人移交施工现场的期限要求：</w:t>
      </w:r>
      <w:r>
        <w:rPr>
          <w:rFonts w:hint="eastAsia" w:ascii="宋体" w:hAnsi="宋体" w:eastAsia="宋体" w:cs="宋体"/>
          <w:color w:val="auto"/>
          <w:sz w:val="21"/>
          <w:szCs w:val="21"/>
          <w:highlight w:val="none"/>
          <w:u w:val="single"/>
        </w:rPr>
        <w:t xml:space="preserve"> 施工场地应当在监理人发出的开工通知中载明的开工日期前七天具备施工条件并移交给承包人，具体施工条件在施工合同中约定。发包人最迟应当在移交施工场地的同时向承包人提供施工场地内地下管线和地下设施等有关资料，并保证资料的真实、准确和完整</w:t>
      </w:r>
      <w:r>
        <w:rPr>
          <w:rFonts w:hint="eastAsia" w:ascii="宋体" w:hAnsi="宋体" w:eastAsia="宋体" w:cs="宋体"/>
          <w:color w:val="auto"/>
          <w:sz w:val="21"/>
          <w:szCs w:val="21"/>
          <w:highlight w:val="none"/>
        </w:rPr>
        <w:t>。</w:t>
      </w:r>
    </w:p>
    <w:p>
      <w:pPr>
        <w:pStyle w:val="36"/>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2.4.2 提供施工条件</w:t>
      </w:r>
    </w:p>
    <w:p>
      <w:pPr>
        <w:pStyle w:val="36"/>
        <w:spacing w:line="380" w:lineRule="exac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关于发包人应负责提供施工所需要的条件，包括：</w:t>
      </w:r>
      <w:r>
        <w:rPr>
          <w:rFonts w:hint="eastAsia" w:ascii="宋体" w:hAnsi="宋体" w:eastAsia="宋体" w:cs="宋体"/>
          <w:color w:val="auto"/>
          <w:sz w:val="21"/>
          <w:szCs w:val="21"/>
          <w:highlight w:val="none"/>
          <w:u w:val="single"/>
        </w:rPr>
        <w:t>发包人可配合承包人办理开工所需手续及相关申请，费用由承包人自行解决，施工场地与公共道路的通道，由承包人负责实施，费用已包含在合同价中</w:t>
      </w:r>
      <w:r>
        <w:rPr>
          <w:rFonts w:hint="eastAsia" w:ascii="宋体" w:hAnsi="宋体" w:eastAsia="宋体" w:cs="宋体"/>
          <w:color w:val="auto"/>
          <w:sz w:val="21"/>
          <w:szCs w:val="21"/>
          <w:highlight w:val="none"/>
        </w:rPr>
        <w:t>。</w:t>
      </w:r>
    </w:p>
    <w:p>
      <w:pPr>
        <w:pStyle w:val="29"/>
        <w:spacing w:line="380" w:lineRule="exact"/>
        <w:ind w:firstLine="422" w:firstLineChars="200"/>
        <w:rPr>
          <w:rFonts w:hint="eastAsia" w:ascii="宋体" w:hAnsi="宋体" w:eastAsia="宋体" w:cs="宋体"/>
          <w:color w:val="auto"/>
          <w:sz w:val="21"/>
          <w:szCs w:val="21"/>
          <w:highlight w:val="none"/>
        </w:rPr>
      </w:pPr>
      <w:bookmarkStart w:id="371" w:name="_Toc20872"/>
      <w:bookmarkStart w:id="372" w:name="_Toc497746786"/>
      <w:bookmarkStart w:id="373" w:name="_Toc418751801"/>
      <w:bookmarkStart w:id="374" w:name="_Toc522201735"/>
      <w:bookmarkStart w:id="375" w:name="_Toc256000185"/>
      <w:bookmarkStart w:id="376" w:name="_Toc497747183"/>
      <w:bookmarkStart w:id="377" w:name="_Toc418752247"/>
      <w:bookmarkStart w:id="378" w:name="_Toc406522225"/>
      <w:r>
        <w:rPr>
          <w:rFonts w:hint="eastAsia" w:ascii="宋体" w:hAnsi="宋体" w:eastAsia="宋体" w:cs="宋体"/>
          <w:color w:val="auto"/>
          <w:sz w:val="21"/>
          <w:szCs w:val="21"/>
          <w:highlight w:val="none"/>
        </w:rPr>
        <w:t>2.5 资金来源证明及支付担保</w:t>
      </w:r>
      <w:bookmarkEnd w:id="371"/>
      <w:bookmarkEnd w:id="372"/>
      <w:bookmarkEnd w:id="373"/>
      <w:bookmarkEnd w:id="374"/>
      <w:bookmarkEnd w:id="375"/>
      <w:bookmarkEnd w:id="376"/>
      <w:bookmarkEnd w:id="377"/>
      <w:bookmarkEnd w:id="378"/>
    </w:p>
    <w:p>
      <w:pPr>
        <w:pStyle w:val="36"/>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发包人提供资金来源证明的期限要求：</w:t>
      </w:r>
      <w:r>
        <w:rPr>
          <w:rFonts w:hint="eastAsia" w:ascii="宋体" w:hAnsi="宋体" w:eastAsia="宋体" w:cs="宋体"/>
          <w:color w:val="auto"/>
          <w:sz w:val="21"/>
          <w:szCs w:val="21"/>
          <w:highlight w:val="none"/>
          <w:u w:val="single"/>
        </w:rPr>
        <w:t xml:space="preserve"> 无 </w:t>
      </w:r>
      <w:r>
        <w:rPr>
          <w:rFonts w:hint="eastAsia" w:ascii="宋体" w:hAnsi="宋体" w:eastAsia="宋体" w:cs="宋体"/>
          <w:color w:val="auto"/>
          <w:sz w:val="21"/>
          <w:szCs w:val="21"/>
          <w:highlight w:val="none"/>
        </w:rPr>
        <w:t>。</w:t>
      </w:r>
    </w:p>
    <w:p>
      <w:pPr>
        <w:pStyle w:val="36"/>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发包人是否提供支付担保：</w:t>
      </w:r>
      <w:r>
        <w:rPr>
          <w:rFonts w:hint="eastAsia" w:ascii="宋体" w:hAnsi="宋体" w:eastAsia="宋体" w:cs="宋体"/>
          <w:color w:val="auto"/>
          <w:sz w:val="21"/>
          <w:szCs w:val="21"/>
          <w:highlight w:val="none"/>
          <w:u w:val="single"/>
        </w:rPr>
        <w:t xml:space="preserve">    否　　　   </w:t>
      </w:r>
      <w:r>
        <w:rPr>
          <w:rFonts w:hint="eastAsia" w:ascii="宋体" w:hAnsi="宋体" w:eastAsia="宋体" w:cs="宋体"/>
          <w:color w:val="auto"/>
          <w:sz w:val="21"/>
          <w:szCs w:val="21"/>
          <w:highlight w:val="none"/>
        </w:rPr>
        <w:t>。</w:t>
      </w:r>
    </w:p>
    <w:p>
      <w:pPr>
        <w:pStyle w:val="36"/>
        <w:spacing w:line="380" w:lineRule="exac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发包人提供支付担保的形式：</w:t>
      </w:r>
      <w:r>
        <w:rPr>
          <w:rFonts w:hint="eastAsia" w:ascii="宋体" w:hAnsi="宋体" w:eastAsia="宋体" w:cs="宋体"/>
          <w:color w:val="auto"/>
          <w:sz w:val="21"/>
          <w:szCs w:val="21"/>
          <w:highlight w:val="none"/>
          <w:u w:val="single"/>
        </w:rPr>
        <w:t xml:space="preserve">   /　       </w:t>
      </w:r>
      <w:r>
        <w:rPr>
          <w:rFonts w:hint="eastAsia" w:ascii="宋体" w:hAnsi="宋体" w:eastAsia="宋体" w:cs="宋体"/>
          <w:color w:val="auto"/>
          <w:sz w:val="21"/>
          <w:szCs w:val="21"/>
          <w:highlight w:val="none"/>
        </w:rPr>
        <w:t>。</w:t>
      </w:r>
    </w:p>
    <w:p>
      <w:pPr>
        <w:pStyle w:val="29"/>
        <w:spacing w:line="380" w:lineRule="exact"/>
        <w:rPr>
          <w:rFonts w:hint="eastAsia" w:ascii="宋体" w:hAnsi="宋体" w:eastAsia="宋体" w:cs="宋体"/>
          <w:color w:val="auto"/>
          <w:sz w:val="21"/>
          <w:szCs w:val="21"/>
          <w:highlight w:val="none"/>
        </w:rPr>
      </w:pPr>
      <w:bookmarkStart w:id="379" w:name="_Toc418751802"/>
      <w:bookmarkStart w:id="380" w:name="_Toc3400"/>
      <w:bookmarkStart w:id="381" w:name="_Toc351203635"/>
      <w:bookmarkStart w:id="382" w:name="_Toc497747184"/>
      <w:bookmarkStart w:id="383" w:name="_Toc497746787"/>
      <w:bookmarkStart w:id="384" w:name="_Toc418752248"/>
      <w:bookmarkStart w:id="385" w:name="_Toc256000186"/>
      <w:bookmarkStart w:id="386" w:name="_Toc522201736"/>
      <w:bookmarkStart w:id="387" w:name="_Toc406522226"/>
      <w:r>
        <w:rPr>
          <w:rFonts w:hint="eastAsia" w:ascii="宋体" w:hAnsi="宋体" w:eastAsia="宋体" w:cs="宋体"/>
          <w:color w:val="auto"/>
          <w:sz w:val="21"/>
          <w:szCs w:val="21"/>
          <w:highlight w:val="none"/>
        </w:rPr>
        <w:t>3</w:t>
      </w:r>
      <w:bookmarkStart w:id="388" w:name="_Toc296503158"/>
      <w:bookmarkStart w:id="389" w:name="_Toc296890986"/>
      <w:bookmarkStart w:id="390" w:name="_Toc297120458"/>
      <w:bookmarkStart w:id="391" w:name="_Toc296347157"/>
      <w:bookmarkStart w:id="392" w:name="_Toc297048344"/>
      <w:bookmarkStart w:id="393" w:name="_Toc292559868"/>
      <w:bookmarkStart w:id="394" w:name="_Toc296891198"/>
      <w:bookmarkStart w:id="395" w:name="_Toc296346659"/>
      <w:bookmarkStart w:id="396" w:name="_Toc292559363"/>
      <w:bookmarkStart w:id="397" w:name="_Toc296944497"/>
      <w:r>
        <w:rPr>
          <w:rFonts w:hint="eastAsia" w:ascii="宋体" w:hAnsi="宋体" w:eastAsia="宋体" w:cs="宋体"/>
          <w:color w:val="auto"/>
          <w:sz w:val="21"/>
          <w:szCs w:val="21"/>
          <w:highlight w:val="none"/>
        </w:rPr>
        <w:t>. 承包人</w:t>
      </w:r>
      <w:bookmarkEnd w:id="379"/>
      <w:bookmarkEnd w:id="380"/>
      <w:bookmarkEnd w:id="381"/>
      <w:bookmarkEnd w:id="382"/>
      <w:bookmarkEnd w:id="383"/>
      <w:bookmarkEnd w:id="384"/>
      <w:bookmarkEnd w:id="385"/>
      <w:bookmarkEnd w:id="386"/>
      <w:bookmarkEnd w:id="387"/>
    </w:p>
    <w:bookmarkEnd w:id="388"/>
    <w:bookmarkEnd w:id="389"/>
    <w:bookmarkEnd w:id="390"/>
    <w:bookmarkEnd w:id="391"/>
    <w:bookmarkEnd w:id="392"/>
    <w:bookmarkEnd w:id="393"/>
    <w:bookmarkEnd w:id="394"/>
    <w:bookmarkEnd w:id="395"/>
    <w:bookmarkEnd w:id="396"/>
    <w:bookmarkEnd w:id="397"/>
    <w:p>
      <w:pPr>
        <w:pStyle w:val="29"/>
        <w:spacing w:line="380" w:lineRule="exact"/>
        <w:ind w:firstLine="422" w:firstLineChars="200"/>
        <w:rPr>
          <w:rFonts w:hint="eastAsia" w:ascii="宋体" w:hAnsi="宋体" w:eastAsia="宋体" w:cs="宋体"/>
          <w:color w:val="auto"/>
          <w:sz w:val="21"/>
          <w:szCs w:val="21"/>
          <w:highlight w:val="none"/>
        </w:rPr>
      </w:pPr>
      <w:bookmarkStart w:id="398" w:name="_Toc522201737"/>
      <w:bookmarkStart w:id="399" w:name="_Toc497747185"/>
      <w:bookmarkStart w:id="400" w:name="_Toc12900"/>
      <w:bookmarkStart w:id="401" w:name="_Toc497746788"/>
      <w:bookmarkStart w:id="402" w:name="_Toc418752249"/>
      <w:bookmarkStart w:id="403" w:name="_Toc406522227"/>
      <w:bookmarkStart w:id="404" w:name="_Toc418751803"/>
      <w:bookmarkStart w:id="405" w:name="_Toc256000187"/>
      <w:r>
        <w:rPr>
          <w:rFonts w:hint="eastAsia" w:ascii="宋体" w:hAnsi="宋体" w:eastAsia="宋体" w:cs="宋体"/>
          <w:color w:val="auto"/>
          <w:sz w:val="21"/>
          <w:szCs w:val="21"/>
          <w:highlight w:val="none"/>
        </w:rPr>
        <w:t>3.1 承包人的一般义务</w:t>
      </w:r>
      <w:bookmarkEnd w:id="398"/>
      <w:bookmarkEnd w:id="399"/>
      <w:bookmarkEnd w:id="400"/>
      <w:bookmarkEnd w:id="401"/>
      <w:bookmarkEnd w:id="402"/>
      <w:bookmarkEnd w:id="403"/>
      <w:bookmarkEnd w:id="404"/>
      <w:bookmarkEnd w:id="405"/>
    </w:p>
    <w:p>
      <w:pPr>
        <w:pStyle w:val="31"/>
        <w:spacing w:line="380" w:lineRule="exact"/>
        <w:ind w:firstLine="420" w:firstLineChars="200"/>
        <w:jc w:val="left"/>
        <w:rPr>
          <w:rFonts w:hint="eastAsia" w:ascii="宋体" w:hAnsi="宋体" w:eastAsia="宋体" w:cs="宋体"/>
          <w:color w:val="auto"/>
          <w:sz w:val="21"/>
          <w:szCs w:val="21"/>
          <w:highlight w:val="none"/>
          <w:u w:val="single"/>
        </w:rPr>
      </w:pPr>
      <w:r>
        <w:rPr>
          <w:rFonts w:hint="eastAsia" w:ascii="宋体" w:hAnsi="宋体" w:eastAsia="宋体" w:cs="宋体"/>
          <w:color w:val="auto"/>
          <w:kern w:val="0"/>
          <w:sz w:val="21"/>
          <w:szCs w:val="21"/>
          <w:highlight w:val="none"/>
        </w:rPr>
        <w:t>（9）</w:t>
      </w:r>
      <w:r>
        <w:rPr>
          <w:rFonts w:hint="eastAsia" w:ascii="宋体" w:hAnsi="宋体" w:eastAsia="宋体" w:cs="宋体"/>
          <w:color w:val="auto"/>
          <w:sz w:val="21"/>
          <w:szCs w:val="21"/>
          <w:highlight w:val="none"/>
        </w:rPr>
        <w:t>承包人提交的竣工资料的内容：</w:t>
      </w:r>
      <w:r>
        <w:rPr>
          <w:rFonts w:hint="eastAsia" w:ascii="宋体" w:hAnsi="宋体" w:eastAsia="宋体" w:cs="宋体"/>
          <w:color w:val="auto"/>
          <w:sz w:val="21"/>
          <w:szCs w:val="21"/>
          <w:highlight w:val="none"/>
          <w:u w:val="single"/>
        </w:rPr>
        <w:t>工程具备竣工验收条件，承包人按工程竣工验收有关规定，向发包人提交符合《建设工程文件归档整理规范》内容装订成册的完整竣工资料及竣工验收报告、工程竣工图</w:t>
      </w:r>
      <w:r>
        <w:rPr>
          <w:rFonts w:hint="eastAsia" w:ascii="宋体" w:hAnsi="宋体" w:eastAsia="宋体" w:cs="宋体"/>
          <w:color w:val="auto"/>
          <w:sz w:val="21"/>
          <w:szCs w:val="21"/>
          <w:highlight w:val="none"/>
        </w:rPr>
        <w:t>。</w:t>
      </w:r>
    </w:p>
    <w:p>
      <w:pPr>
        <w:pStyle w:val="31"/>
        <w:spacing w:line="380" w:lineRule="exact"/>
        <w:ind w:firstLine="420" w:firstLineChars="200"/>
        <w:jc w:val="lef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承包人需要提交的竣工资料套数：</w:t>
      </w:r>
      <w:r>
        <w:rPr>
          <w:rFonts w:hint="eastAsia" w:ascii="宋体" w:hAnsi="宋体" w:eastAsia="宋体" w:cs="宋体"/>
          <w:color w:val="auto"/>
          <w:sz w:val="21"/>
          <w:szCs w:val="21"/>
          <w:highlight w:val="none"/>
          <w:u w:val="single"/>
        </w:rPr>
        <w:t xml:space="preserve">  承包人向发包人提交竣工档案份数为一式四份；备案资料一式两份；建设工程质量监督档案一式两份  </w:t>
      </w:r>
      <w:r>
        <w:rPr>
          <w:rFonts w:hint="eastAsia" w:ascii="宋体" w:hAnsi="宋体" w:eastAsia="宋体" w:cs="宋体"/>
          <w:color w:val="auto"/>
          <w:sz w:val="21"/>
          <w:szCs w:val="21"/>
          <w:highlight w:val="none"/>
        </w:rPr>
        <w:t>。</w:t>
      </w:r>
    </w:p>
    <w:p>
      <w:pPr>
        <w:pStyle w:val="31"/>
        <w:spacing w:line="38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承包人提交的竣工资料的费用承担：</w:t>
      </w:r>
      <w:r>
        <w:rPr>
          <w:rFonts w:hint="eastAsia" w:ascii="宋体" w:hAnsi="宋体" w:eastAsia="宋体" w:cs="宋体"/>
          <w:color w:val="auto"/>
          <w:sz w:val="21"/>
          <w:szCs w:val="21"/>
          <w:highlight w:val="none"/>
          <w:u w:val="single"/>
        </w:rPr>
        <w:t xml:space="preserve">  由承包人承担相关费用 </w:t>
      </w:r>
      <w:r>
        <w:rPr>
          <w:rFonts w:hint="eastAsia" w:ascii="宋体" w:hAnsi="宋体" w:eastAsia="宋体" w:cs="宋体"/>
          <w:color w:val="auto"/>
          <w:sz w:val="21"/>
          <w:szCs w:val="21"/>
          <w:highlight w:val="none"/>
        </w:rPr>
        <w:t>。</w:t>
      </w:r>
    </w:p>
    <w:p>
      <w:pPr>
        <w:pStyle w:val="31"/>
        <w:spacing w:line="38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承包人提交的竣工资料移交时间：</w:t>
      </w:r>
      <w:r>
        <w:rPr>
          <w:rFonts w:hint="eastAsia" w:ascii="宋体" w:hAnsi="宋体" w:eastAsia="宋体" w:cs="宋体"/>
          <w:color w:val="auto"/>
          <w:sz w:val="21"/>
          <w:szCs w:val="21"/>
          <w:highlight w:val="none"/>
          <w:u w:val="single"/>
        </w:rPr>
        <w:t xml:space="preserve">  工程竣工验收合格后30天内  </w:t>
      </w:r>
      <w:r>
        <w:rPr>
          <w:rFonts w:hint="eastAsia" w:ascii="宋体" w:hAnsi="宋体" w:eastAsia="宋体" w:cs="宋体"/>
          <w:color w:val="auto"/>
          <w:sz w:val="21"/>
          <w:szCs w:val="21"/>
          <w:highlight w:val="none"/>
        </w:rPr>
        <w:t>。</w:t>
      </w:r>
    </w:p>
    <w:p>
      <w:pPr>
        <w:pStyle w:val="31"/>
        <w:spacing w:line="380" w:lineRule="exact"/>
        <w:ind w:firstLine="420" w:firstLineChars="200"/>
        <w:jc w:val="lef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承包人提交的竣工资料形式要求：</w:t>
      </w:r>
      <w:r>
        <w:rPr>
          <w:rFonts w:hint="eastAsia" w:ascii="宋体" w:hAnsi="宋体" w:eastAsia="宋体" w:cs="宋体"/>
          <w:color w:val="auto"/>
          <w:sz w:val="21"/>
          <w:szCs w:val="21"/>
          <w:highlight w:val="none"/>
          <w:u w:val="single"/>
        </w:rPr>
        <w:t>竣工档案（竣工档案的内容：施工单位竣工验收文件、施工文件、竣工图（按城市建设档案馆要求整理，相关费用由承包人承担）、备案资料（应由承包人提供的部分按</w:t>
      </w:r>
      <w:r>
        <w:rPr>
          <w:rFonts w:hint="eastAsia" w:ascii="宋体" w:hAnsi="宋体" w:eastAsia="宋体" w:cs="宋体"/>
          <w:color w:val="auto"/>
          <w:sz w:val="21"/>
          <w:szCs w:val="21"/>
          <w:highlight w:val="none"/>
          <w:u w:val="single"/>
          <w:lang w:val="en-US" w:eastAsia="zh-CN"/>
        </w:rPr>
        <w:t>兴安县</w:t>
      </w:r>
      <w:r>
        <w:rPr>
          <w:rFonts w:hint="eastAsia" w:ascii="宋体" w:hAnsi="宋体" w:eastAsia="宋体" w:cs="宋体"/>
          <w:color w:val="auto"/>
          <w:sz w:val="21"/>
          <w:szCs w:val="21"/>
          <w:highlight w:val="none"/>
          <w:u w:val="single"/>
        </w:rPr>
        <w:t>住建局要求整理）、建设工程质量监督档案（应由承包人提供的部分按</w:t>
      </w:r>
      <w:r>
        <w:rPr>
          <w:rFonts w:hint="eastAsia" w:ascii="宋体" w:hAnsi="宋体" w:eastAsia="宋体" w:cs="宋体"/>
          <w:color w:val="auto"/>
          <w:sz w:val="21"/>
          <w:szCs w:val="21"/>
          <w:highlight w:val="none"/>
          <w:u w:val="single"/>
          <w:lang w:val="en-US" w:eastAsia="zh-CN"/>
        </w:rPr>
        <w:t>兴安县</w:t>
      </w:r>
      <w:r>
        <w:rPr>
          <w:rFonts w:hint="eastAsia" w:ascii="宋体" w:hAnsi="宋体" w:eastAsia="宋体" w:cs="宋体"/>
          <w:color w:val="auto"/>
          <w:sz w:val="21"/>
          <w:szCs w:val="21"/>
          <w:highlight w:val="none"/>
          <w:u w:val="single"/>
        </w:rPr>
        <w:t>建设工程质量监督管理站要求整理）</w:t>
      </w:r>
      <w:r>
        <w:rPr>
          <w:rFonts w:hint="eastAsia" w:ascii="宋体" w:hAnsi="宋体" w:eastAsia="宋体" w:cs="宋体"/>
          <w:color w:val="auto"/>
          <w:sz w:val="21"/>
          <w:szCs w:val="21"/>
          <w:highlight w:val="none"/>
        </w:rPr>
        <w:t>。</w:t>
      </w:r>
    </w:p>
    <w:p>
      <w:pPr>
        <w:pStyle w:val="31"/>
        <w:spacing w:line="380" w:lineRule="exact"/>
        <w:ind w:firstLine="420" w:firstLineChars="200"/>
        <w:rPr>
          <w:rFonts w:hint="eastAsia" w:ascii="宋体" w:hAnsi="宋体" w:eastAsia="宋体" w:cs="宋体"/>
          <w:color w:val="auto"/>
          <w:sz w:val="21"/>
          <w:szCs w:val="21"/>
          <w:highlight w:val="none"/>
          <w:u w:val="single"/>
        </w:rPr>
      </w:pPr>
      <w:r>
        <w:rPr>
          <w:rFonts w:hint="eastAsia" w:ascii="宋体" w:hAnsi="宋体" w:eastAsia="宋体" w:cs="宋体"/>
          <w:color w:val="auto"/>
          <w:kern w:val="0"/>
          <w:sz w:val="21"/>
          <w:szCs w:val="21"/>
          <w:highlight w:val="none"/>
        </w:rPr>
        <w:t>（10）承包人应履行的其他义务：</w:t>
      </w:r>
      <w:r>
        <w:rPr>
          <w:rFonts w:hint="eastAsia" w:ascii="宋体" w:hAnsi="宋体" w:eastAsia="宋体" w:cs="宋体"/>
          <w:color w:val="auto"/>
          <w:sz w:val="21"/>
          <w:szCs w:val="21"/>
          <w:highlight w:val="none"/>
          <w:u w:val="single"/>
        </w:rPr>
        <w:t>①施工用水、用电按表计量，费用由承包人承担，由承包人指派专人配合发包人的计量工作，水费及电费按发包人要求进行交付；单位工程内其他单位用水、用电由承包人与相关用水、用电单位协商解决。②本工程在施工过程中如存在多个施工单位同时作业时，承包人必须顾全大局、相互协作、密切配合，严格服从发包人和监理单位的协调指挥；承包人须积极协调解决施工过程中存在的各类问题，处理好与相邻施工单位的施工接口关系，否则，发包人有权要求承包人整改或另行指定其他单位来完成相关配合工作，其发生的费用从承包人的工程进度款中扣除，且并不需要承包人同意。承包人应始终采取各种合理的预防措施，对于存在的问题及时反映，对于需要发包人协调解决的问题，要提前提出，否则，由此所造成的损失由承包人承担 。③承包人负责办理施工有关的交通特别通告证、有害污水、环卫、环保和噪音等审批手续，并承担费用，如因承包人未交纳相关费用，发包人有权从工程款中扣除用于支付相关费用并计入结算。承包人负责对施工场地内的化石、文物具有保护责任，</w:t>
      </w:r>
      <w:r>
        <w:rPr>
          <w:rFonts w:hint="eastAsia" w:ascii="宋体" w:hAnsi="宋体" w:eastAsia="宋体" w:cs="宋体"/>
          <w:color w:val="auto"/>
          <w:sz w:val="21"/>
          <w:szCs w:val="21"/>
          <w:highlight w:val="none"/>
          <w:u w:val="single"/>
          <w:lang w:val="en-US" w:eastAsia="zh-CN"/>
        </w:rPr>
        <w:t>采取的保护措施产生的费用由发包人</w:t>
      </w:r>
      <w:r>
        <w:rPr>
          <w:rFonts w:hint="eastAsia" w:ascii="宋体" w:hAnsi="宋体" w:eastAsia="宋体" w:cs="宋体"/>
          <w:color w:val="auto"/>
          <w:sz w:val="21"/>
          <w:szCs w:val="21"/>
          <w:highlight w:val="none"/>
          <w:u w:val="single"/>
        </w:rPr>
        <w:t>承担。承包人负责满足施工期间政府职能部门对工地消防设施有关要求，并承担相关费用。④承包人应负责协调解决本项目当地居民对工程施工的人为干扰，施工机械进出、材料运输如需通过村道及村民土地；承包人应当协调与施工现场周边农村及村民的关系，确保项目施工顺利进行</w:t>
      </w:r>
      <w:r>
        <w:rPr>
          <w:rFonts w:hint="eastAsia" w:ascii="宋体" w:hAnsi="宋体" w:eastAsia="宋体" w:cs="宋体"/>
          <w:color w:val="auto"/>
          <w:sz w:val="21"/>
          <w:szCs w:val="21"/>
          <w:highlight w:val="none"/>
          <w:u w:val="single"/>
          <w:lang w:eastAsia="zh-CN"/>
        </w:rPr>
        <w:t>，</w:t>
      </w:r>
      <w:r>
        <w:rPr>
          <w:rFonts w:hint="eastAsia" w:ascii="宋体" w:hAnsi="宋体" w:eastAsia="宋体" w:cs="宋体"/>
          <w:color w:val="auto"/>
          <w:sz w:val="21"/>
          <w:szCs w:val="21"/>
          <w:highlight w:val="none"/>
          <w:u w:val="single"/>
          <w:lang w:val="en-US" w:eastAsia="zh-CN"/>
        </w:rPr>
        <w:t>如因施工原因造成损失，由承包人</w:t>
      </w:r>
      <w:r>
        <w:rPr>
          <w:rFonts w:hint="eastAsia" w:ascii="宋体" w:hAnsi="宋体" w:eastAsia="宋体" w:cs="宋体"/>
          <w:color w:val="auto"/>
          <w:sz w:val="21"/>
          <w:szCs w:val="21"/>
          <w:highlight w:val="none"/>
          <w:u w:val="single"/>
        </w:rPr>
        <w:t>承担相关费用，</w:t>
      </w:r>
      <w:r>
        <w:rPr>
          <w:rFonts w:hint="eastAsia" w:ascii="宋体" w:hAnsi="宋体" w:eastAsia="宋体" w:cs="宋体"/>
          <w:color w:val="auto"/>
          <w:sz w:val="21"/>
          <w:szCs w:val="21"/>
          <w:highlight w:val="none"/>
          <w:u w:val="single"/>
          <w:lang w:val="en-US" w:eastAsia="zh-CN"/>
        </w:rPr>
        <w:t>除此之外产生的费用，不由承包人承担</w:t>
      </w:r>
      <w:r>
        <w:rPr>
          <w:rFonts w:hint="eastAsia" w:ascii="宋体" w:hAnsi="宋体" w:eastAsia="宋体" w:cs="宋体"/>
          <w:color w:val="auto"/>
          <w:sz w:val="21"/>
          <w:szCs w:val="21"/>
          <w:highlight w:val="none"/>
          <w:u w:val="single"/>
        </w:rPr>
        <w:t>。⑤承包人应始终采取各种合理的预防措施，防止承包人员或其内部发生任何非法的、骚动的或无序的行为，以保持安定，保护现场及第三人的财产和人身安全。⑥为发包人和监理人在施工现场提供必要的办公室和办公桌椅等设备。⑦按建设行政主管部门有关规定配合发包人其他工程的施工等。⑧施工期间和施工完毕后，均应及时对施工场地和为其施工提供的公共道路进行保洁、维护以及维修，产生的垃圾和被破坏的场地，必须遵照监理人和发包人的指示进行清理、修复，并根据实际情况将场地恢复到原有状态，费用自理。⑨由于本工程施工现场为居民区，承包人应合理安排施工时间，确保做到不影响周边居民的正常生活，对居民的合理意见应积极整改，确保工程顺利进行。⑩配合发包人做好安全文明工程、领导检查、宣传等工作。以上相关费用均由承包人承担，并在投标报价清单中综合考虑，不再另计。⑪承包人在工程施工期间由于承包人原因引起的责任事故，全部由承包人承担经济责任和法律责任。⑫满足国家、行业、控制标准和验收规范，在质量管理过程中达到或超过质量标准，杜绝重大设备一般及以上质量事故，确保工程无永久性缺陷。</w:t>
      </w:r>
    </w:p>
    <w:p>
      <w:pPr>
        <w:pStyle w:val="29"/>
        <w:spacing w:line="380" w:lineRule="exact"/>
        <w:ind w:firstLine="422" w:firstLineChars="200"/>
        <w:rPr>
          <w:rFonts w:hint="eastAsia" w:ascii="宋体" w:hAnsi="宋体" w:eastAsia="宋体" w:cs="宋体"/>
          <w:color w:val="auto"/>
          <w:sz w:val="21"/>
          <w:szCs w:val="21"/>
          <w:highlight w:val="none"/>
        </w:rPr>
      </w:pPr>
      <w:bookmarkStart w:id="406" w:name="_Toc403578942"/>
      <w:bookmarkStart w:id="407" w:name="_Toc497747186"/>
      <w:bookmarkStart w:id="408" w:name="_Toc24807"/>
      <w:bookmarkStart w:id="409" w:name="_Toc497746789"/>
      <w:bookmarkStart w:id="410" w:name="_Toc418751804"/>
      <w:bookmarkStart w:id="411" w:name="_Toc418752250"/>
      <w:bookmarkStart w:id="412" w:name="_Toc418518118"/>
      <w:bookmarkStart w:id="413" w:name="_Toc418518354"/>
      <w:bookmarkStart w:id="414" w:name="_Toc389065274"/>
      <w:bookmarkStart w:id="415" w:name="_Toc418061319"/>
      <w:bookmarkStart w:id="416" w:name="_Toc373227708"/>
      <w:bookmarkStart w:id="417" w:name="_Toc256000188"/>
      <w:bookmarkStart w:id="418" w:name="_Toc522201738"/>
      <w:bookmarkStart w:id="419" w:name="_Toc373478355"/>
      <w:r>
        <w:rPr>
          <w:rFonts w:hint="eastAsia" w:ascii="宋体" w:hAnsi="宋体" w:eastAsia="宋体" w:cs="宋体"/>
          <w:color w:val="auto"/>
          <w:sz w:val="21"/>
          <w:szCs w:val="21"/>
          <w:highlight w:val="none"/>
        </w:rPr>
        <w:t>3.2 项目经理</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31"/>
        <w:spacing w:line="3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 xml:space="preserve">3.2.1 </w:t>
      </w:r>
      <w:r>
        <w:rPr>
          <w:rFonts w:hint="eastAsia" w:ascii="宋体" w:hAnsi="宋体" w:eastAsia="宋体" w:cs="宋体"/>
          <w:color w:val="auto"/>
          <w:sz w:val="21"/>
          <w:szCs w:val="21"/>
          <w:highlight w:val="none"/>
        </w:rPr>
        <w:t>项目经理：</w:t>
      </w:r>
    </w:p>
    <w:p>
      <w:pPr>
        <w:pStyle w:val="31"/>
        <w:spacing w:line="3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姓    名：</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pStyle w:val="31"/>
        <w:spacing w:line="3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身份证号：</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pStyle w:val="31"/>
        <w:spacing w:line="3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建造师执业资格等级：</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pStyle w:val="31"/>
        <w:spacing w:line="3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建造师注册证书号：</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pStyle w:val="31"/>
        <w:spacing w:line="3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建造师执业印章号：</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pStyle w:val="31"/>
        <w:spacing w:line="3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安全生产考核合格证书号：</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pStyle w:val="31"/>
        <w:spacing w:line="3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联系电话：</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pStyle w:val="31"/>
        <w:spacing w:line="3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电子信箱：</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pStyle w:val="31"/>
        <w:spacing w:line="3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通信地址：</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pStyle w:val="31"/>
        <w:spacing w:line="380" w:lineRule="exact"/>
        <w:ind w:firstLine="420" w:firstLineChars="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 xml:space="preserve">承包人对项目经理的授权范围如下： </w:t>
      </w:r>
      <w:r>
        <w:rPr>
          <w:rFonts w:hint="eastAsia" w:ascii="宋体" w:hAnsi="宋体" w:eastAsia="宋体" w:cs="宋体"/>
          <w:color w:val="auto"/>
          <w:sz w:val="21"/>
          <w:szCs w:val="21"/>
          <w:highlight w:val="none"/>
          <w:u w:val="single"/>
        </w:rPr>
        <w:t>（1）对本工程的建设进行全面管理，行使合同约定的权利，履行合同约定的义务；（2）负责本工程的施工组织方案制定和施工组织设计；（3）负责本工程的劳动力组织和机械设备组织；（4）经发包人同意分包的专业工程，项目经理参与选择并使用具有相应资质的分包人； （5）合同约定由承包人采购的材料、工程设备，项目经理参与选择物资供应单位；（6）在授权范围内协调与项目有关的内、外部关系；（7）负责与发包人、监理人办理设计变更、现场签证等手续，及时办理本工程相关索赔；（8）负责签收发包人、监理人往来函件，承包人的要求、通知均应以书面形式由承包人项目经理签字并加盖承包人公司公章后递交发包人；（9）代表承包人接受监理工程师或发包人现场代表发出的指示和指令。但未经承包人盖章同意不得以承包人名义向外融资、 采购材料设备、 租用建筑周转材料、 雇佣劳动力、签订分包合同等从事一切为承包人设立义务或责任的行为</w:t>
      </w:r>
      <w:r>
        <w:rPr>
          <w:rFonts w:hint="eastAsia" w:ascii="宋体" w:hAnsi="宋体" w:eastAsia="宋体" w:cs="宋体"/>
          <w:color w:val="auto"/>
          <w:sz w:val="21"/>
          <w:szCs w:val="21"/>
          <w:highlight w:val="none"/>
        </w:rPr>
        <w:t>。</w:t>
      </w:r>
    </w:p>
    <w:p>
      <w:pPr>
        <w:pStyle w:val="31"/>
        <w:spacing w:line="380" w:lineRule="exact"/>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关于项目经理每月在施工现场的时间要求：</w:t>
      </w:r>
      <w:r>
        <w:rPr>
          <w:rFonts w:hint="eastAsia" w:ascii="宋体" w:hAnsi="宋体" w:eastAsia="宋体" w:cs="宋体"/>
          <w:color w:val="auto"/>
          <w:sz w:val="21"/>
          <w:szCs w:val="21"/>
          <w:highlight w:val="none"/>
          <w:u w:val="single"/>
        </w:rPr>
        <w:t xml:space="preserve">  不少于22个工作日,若项目经理每月在岗时间少于22个工作日，发包人有权更换项目经理，由此造成的一切损失由承包人承担</w:t>
      </w:r>
      <w:r>
        <w:rPr>
          <w:rFonts w:hint="eastAsia" w:ascii="宋体" w:hAnsi="宋体" w:eastAsia="宋体" w:cs="宋体"/>
          <w:color w:val="auto"/>
          <w:sz w:val="21"/>
          <w:szCs w:val="21"/>
          <w:highlight w:val="none"/>
        </w:rPr>
        <w:t>。</w:t>
      </w:r>
    </w:p>
    <w:p>
      <w:pPr>
        <w:pStyle w:val="31"/>
        <w:spacing w:line="380" w:lineRule="exact"/>
        <w:ind w:firstLine="420" w:firstLineChars="200"/>
        <w:rPr>
          <w:rFonts w:hint="eastAsia" w:ascii="宋体" w:hAnsi="宋体" w:eastAsia="宋体" w:cs="宋体"/>
          <w:color w:val="auto"/>
          <w:sz w:val="21"/>
          <w:szCs w:val="21"/>
          <w:highlight w:val="none"/>
          <w:u w:val="single"/>
        </w:rPr>
      </w:pPr>
      <w:r>
        <w:rPr>
          <w:rFonts w:hint="eastAsia" w:ascii="宋体" w:hAnsi="宋体" w:eastAsia="宋体" w:cs="宋体"/>
          <w:color w:val="auto"/>
          <w:kern w:val="0"/>
          <w:sz w:val="21"/>
          <w:szCs w:val="21"/>
          <w:highlight w:val="none"/>
        </w:rPr>
        <w:t>承包人未提交劳动合同，以及没有为项目经理缴纳社会保险证明的违约责任：</w:t>
      </w:r>
      <w:r>
        <w:rPr>
          <w:rFonts w:hint="eastAsia" w:ascii="宋体" w:hAnsi="宋体" w:eastAsia="宋体" w:cs="宋体"/>
          <w:color w:val="auto"/>
          <w:sz w:val="21"/>
          <w:szCs w:val="21"/>
          <w:highlight w:val="none"/>
          <w:u w:val="single"/>
        </w:rPr>
        <w:t>承包人不提交上述文件的，项目经理无权履行职责，发包人有权要求更换项目经理，由此增加的费用和延误的工期由承包人承担</w:t>
      </w:r>
      <w:r>
        <w:rPr>
          <w:rFonts w:hint="eastAsia" w:ascii="宋体" w:hAnsi="宋体" w:eastAsia="宋体" w:cs="宋体"/>
          <w:color w:val="auto"/>
          <w:sz w:val="21"/>
          <w:szCs w:val="21"/>
          <w:highlight w:val="none"/>
        </w:rPr>
        <w:t>。</w:t>
      </w:r>
    </w:p>
    <w:p>
      <w:pPr>
        <w:pStyle w:val="31"/>
        <w:spacing w:line="380" w:lineRule="exact"/>
        <w:ind w:firstLine="420" w:firstLineChars="200"/>
        <w:rPr>
          <w:rFonts w:hint="eastAsia" w:ascii="宋体" w:hAnsi="宋体" w:eastAsia="宋体" w:cs="宋体"/>
          <w:color w:val="auto"/>
          <w:sz w:val="21"/>
          <w:szCs w:val="21"/>
          <w:highlight w:val="none"/>
          <w:u w:val="single"/>
        </w:rPr>
      </w:pPr>
      <w:r>
        <w:rPr>
          <w:rFonts w:hint="eastAsia" w:ascii="宋体" w:hAnsi="宋体" w:eastAsia="宋体" w:cs="宋体"/>
          <w:color w:val="auto"/>
          <w:kern w:val="0"/>
          <w:sz w:val="21"/>
          <w:szCs w:val="21"/>
          <w:highlight w:val="none"/>
        </w:rPr>
        <w:t>项目经理未经批准，擅自离开施工现场的违约责任：</w:t>
      </w:r>
      <w:r>
        <w:rPr>
          <w:rFonts w:hint="eastAsia" w:ascii="宋体" w:hAnsi="宋体" w:eastAsia="宋体" w:cs="宋体"/>
          <w:color w:val="auto"/>
          <w:sz w:val="21"/>
          <w:szCs w:val="21"/>
          <w:highlight w:val="none"/>
          <w:u w:val="single"/>
        </w:rPr>
        <w:t>项目经理每月在岗带班时间不得少于22天。未经发包人同意或正当理由，项目经理每月在岗带班时间少于22天的，少在岗带班一天，发包人有权处违约金 500元/日（人民币）</w:t>
      </w:r>
      <w:r>
        <w:rPr>
          <w:rFonts w:hint="eastAsia" w:ascii="宋体" w:hAnsi="宋体" w:eastAsia="宋体" w:cs="宋体"/>
          <w:color w:val="auto"/>
          <w:sz w:val="21"/>
          <w:szCs w:val="21"/>
          <w:highlight w:val="none"/>
        </w:rPr>
        <w:t>。</w:t>
      </w:r>
    </w:p>
    <w:p>
      <w:pPr>
        <w:pStyle w:val="31"/>
        <w:spacing w:line="3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3.2.3 承包人擅自更换项目经理的违约责任：</w:t>
      </w:r>
      <w:r>
        <w:rPr>
          <w:rFonts w:hint="eastAsia" w:ascii="宋体" w:hAnsi="宋体" w:eastAsia="宋体" w:cs="宋体"/>
          <w:color w:val="auto"/>
          <w:sz w:val="21"/>
          <w:szCs w:val="21"/>
          <w:highlight w:val="none"/>
          <w:u w:val="single"/>
        </w:rPr>
        <w:t>承包人项目经理必须与承包人投标时所承诺的人员一致，并在（开工日期）前到任。在监理人向承包人颁发（竣工证明材料名称）前，项目经理不得同时兼任其他任何项目的项目经理（符合桂建管﹝2013﹞17号和桂建管﹝2014﹞25号文除外）。未经发包人书面同意，承包人擅自更换项目经理的视为违约，违约金处10000元/人•次（人民币）</w:t>
      </w:r>
      <w:r>
        <w:rPr>
          <w:rFonts w:hint="eastAsia" w:ascii="宋体" w:hAnsi="宋体" w:eastAsia="宋体" w:cs="宋体"/>
          <w:color w:val="auto"/>
          <w:sz w:val="21"/>
          <w:szCs w:val="21"/>
          <w:highlight w:val="none"/>
        </w:rPr>
        <w:t>。</w:t>
      </w:r>
    </w:p>
    <w:p>
      <w:pPr>
        <w:pStyle w:val="31"/>
        <w:spacing w:line="3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3.2.4 承包人无正当理由拒绝更换项目经理的违约责任：</w:t>
      </w:r>
      <w:r>
        <w:rPr>
          <w:rFonts w:hint="eastAsia" w:ascii="宋体" w:hAnsi="宋体" w:eastAsia="宋体" w:cs="宋体"/>
          <w:color w:val="auto"/>
          <w:sz w:val="21"/>
          <w:szCs w:val="21"/>
          <w:highlight w:val="none"/>
          <w:u w:val="single"/>
        </w:rPr>
        <w:t>因承包人项目经理不称职，发包人要求调换而未及时调换的，视为承包人违约，必须向发包人交纳处罚金5000元/人•次（人民币）</w:t>
      </w:r>
      <w:r>
        <w:rPr>
          <w:rFonts w:hint="eastAsia" w:ascii="宋体" w:hAnsi="宋体" w:eastAsia="宋体" w:cs="宋体"/>
          <w:color w:val="auto"/>
          <w:sz w:val="21"/>
          <w:szCs w:val="21"/>
          <w:highlight w:val="none"/>
        </w:rPr>
        <w:t>。</w:t>
      </w:r>
    </w:p>
    <w:p>
      <w:pPr>
        <w:pStyle w:val="29"/>
        <w:spacing w:line="380" w:lineRule="exact"/>
        <w:ind w:firstLine="422" w:firstLineChars="200"/>
        <w:rPr>
          <w:rFonts w:hint="eastAsia" w:ascii="宋体" w:hAnsi="宋体" w:eastAsia="宋体" w:cs="宋体"/>
          <w:color w:val="auto"/>
          <w:sz w:val="21"/>
          <w:szCs w:val="21"/>
          <w:highlight w:val="none"/>
        </w:rPr>
      </w:pPr>
      <w:bookmarkStart w:id="420" w:name="_Toc418518119"/>
      <w:bookmarkStart w:id="421" w:name="_Toc497747187"/>
      <w:bookmarkStart w:id="422" w:name="_Toc403578943"/>
      <w:bookmarkStart w:id="423" w:name="_Toc373227709"/>
      <w:bookmarkStart w:id="424" w:name="_Toc418751805"/>
      <w:bookmarkStart w:id="425" w:name="_Toc18179"/>
      <w:bookmarkStart w:id="426" w:name="_Toc389065275"/>
      <w:bookmarkStart w:id="427" w:name="_Toc373478356"/>
      <w:bookmarkStart w:id="428" w:name="_Toc522201739"/>
      <w:bookmarkStart w:id="429" w:name="_Toc418518355"/>
      <w:bookmarkStart w:id="430" w:name="_Toc256000189"/>
      <w:bookmarkStart w:id="431" w:name="_Toc418752251"/>
      <w:bookmarkStart w:id="432" w:name="_Toc497746790"/>
      <w:bookmarkStart w:id="433" w:name="_Toc418061320"/>
      <w:r>
        <w:rPr>
          <w:rFonts w:hint="eastAsia" w:ascii="宋体" w:hAnsi="宋体" w:eastAsia="宋体" w:cs="宋体"/>
          <w:color w:val="auto"/>
          <w:sz w:val="21"/>
          <w:szCs w:val="21"/>
          <w:highlight w:val="none"/>
        </w:rPr>
        <w:t>3.3 承包人人员</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31"/>
        <w:spacing w:line="3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3.3.1 承包人提交项目管理机构及施工现场管理人员安排报告（格式见合同附件6）的期限：</w:t>
      </w:r>
      <w:r>
        <w:rPr>
          <w:rFonts w:hint="eastAsia" w:ascii="宋体" w:hAnsi="宋体" w:eastAsia="宋体" w:cs="宋体"/>
          <w:color w:val="auto"/>
          <w:sz w:val="21"/>
          <w:szCs w:val="21"/>
          <w:highlight w:val="none"/>
          <w:u w:val="single"/>
        </w:rPr>
        <w:t>开工前7日内</w:t>
      </w:r>
      <w:r>
        <w:rPr>
          <w:rFonts w:hint="eastAsia" w:ascii="宋体" w:hAnsi="宋体" w:eastAsia="宋体" w:cs="宋体"/>
          <w:color w:val="auto"/>
          <w:sz w:val="21"/>
          <w:szCs w:val="21"/>
          <w:highlight w:val="none"/>
        </w:rPr>
        <w:t>。</w:t>
      </w:r>
    </w:p>
    <w:p>
      <w:pPr>
        <w:pStyle w:val="31"/>
        <w:spacing w:line="3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3.3.3 承包人无正当理由拒绝撤换主要施工管理人员的违约责任：</w:t>
      </w:r>
      <w:r>
        <w:rPr>
          <w:rFonts w:hint="eastAsia" w:ascii="宋体" w:hAnsi="宋体" w:eastAsia="宋体" w:cs="宋体"/>
          <w:color w:val="auto"/>
          <w:sz w:val="21"/>
          <w:szCs w:val="21"/>
          <w:highlight w:val="none"/>
          <w:u w:val="single"/>
        </w:rPr>
        <w:t>因承包人主要施工管理人员不称职，发包人要求调换而无正当理由拒绝撤换或未及时调换的，视为承包人违约，必须向发包人交纳处罚金，处罚标准：技术负责人3000元/人•次（人民币）；专业工程师1000元/人•次（人民币）</w:t>
      </w:r>
      <w:r>
        <w:rPr>
          <w:rFonts w:hint="eastAsia" w:ascii="宋体" w:hAnsi="宋体" w:eastAsia="宋体" w:cs="宋体"/>
          <w:color w:val="auto"/>
          <w:sz w:val="21"/>
          <w:szCs w:val="21"/>
          <w:highlight w:val="none"/>
        </w:rPr>
        <w:t>。</w:t>
      </w:r>
    </w:p>
    <w:p>
      <w:pPr>
        <w:pStyle w:val="31"/>
        <w:spacing w:line="380" w:lineRule="exact"/>
        <w:ind w:firstLine="420" w:firstLineChars="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3.3.4 承包人主要施工管理人员离开施工现场的批准要求：</w:t>
      </w:r>
      <w:r>
        <w:rPr>
          <w:rFonts w:hint="eastAsia" w:ascii="宋体" w:hAnsi="宋体" w:eastAsia="宋体" w:cs="宋体"/>
          <w:color w:val="auto"/>
          <w:sz w:val="21"/>
          <w:szCs w:val="21"/>
          <w:highlight w:val="none"/>
          <w:u w:val="single"/>
        </w:rPr>
        <w:t>经建设单位及监理单位批准同意后</w:t>
      </w:r>
      <w:r>
        <w:rPr>
          <w:rFonts w:hint="eastAsia" w:ascii="宋体" w:hAnsi="宋体" w:eastAsia="宋体" w:cs="宋体"/>
          <w:color w:val="auto"/>
          <w:sz w:val="21"/>
          <w:szCs w:val="21"/>
          <w:highlight w:val="none"/>
        </w:rPr>
        <w:t>。</w:t>
      </w:r>
    </w:p>
    <w:p>
      <w:pPr>
        <w:pStyle w:val="31"/>
        <w:spacing w:line="3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3.3.5 承包人擅自更换主要施工管理人员的违约责任：</w:t>
      </w:r>
      <w:r>
        <w:rPr>
          <w:rFonts w:hint="eastAsia" w:ascii="宋体" w:hAnsi="宋体" w:eastAsia="宋体" w:cs="宋体"/>
          <w:color w:val="auto"/>
          <w:sz w:val="21"/>
          <w:szCs w:val="21"/>
          <w:highlight w:val="none"/>
          <w:u w:val="single"/>
        </w:rPr>
        <w:t>项目技术负责人、专职安全员及其承诺的其它在场管理人员未经发包人书面同意不准擅自更换，擅自更换项目技术负责人处 3000元/人•次（人民币）违约金；擅自更换专职安全员处1000元/人•次（人民币）违约金；擅自更换其它在场管理人员处500元/人•次（人民币）违约金</w:t>
      </w:r>
      <w:r>
        <w:rPr>
          <w:rFonts w:hint="eastAsia" w:ascii="宋体" w:hAnsi="宋体" w:eastAsia="宋体" w:cs="宋体"/>
          <w:color w:val="auto"/>
          <w:sz w:val="21"/>
          <w:szCs w:val="21"/>
          <w:highlight w:val="none"/>
        </w:rPr>
        <w:t>。</w:t>
      </w:r>
    </w:p>
    <w:p>
      <w:pPr>
        <w:pStyle w:val="31"/>
        <w:spacing w:line="3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承包人主要施工管理人员擅自离开施工现场的违约责任：</w:t>
      </w:r>
      <w:r>
        <w:rPr>
          <w:rFonts w:hint="eastAsia" w:ascii="宋体" w:hAnsi="宋体" w:eastAsia="宋体" w:cs="宋体"/>
          <w:color w:val="auto"/>
          <w:sz w:val="21"/>
          <w:szCs w:val="21"/>
          <w:highlight w:val="none"/>
          <w:u w:val="single"/>
        </w:rPr>
        <w:t>未经发包人同意，项目技术负责人擅自离岗的，视为承包人违约，发包人有权处违约金500元/人•次（人民币）；未经发包人同意，专职安全员擅自离岗的，视为承包人违约，发包人有权处违约金500元/人•次（人民币）；其它在场管理人员擅自离岗的，视为承包人违约，发包人有权处违约金300元/人•次（人民币）</w:t>
      </w:r>
      <w:r>
        <w:rPr>
          <w:rFonts w:hint="eastAsia" w:ascii="宋体" w:hAnsi="宋体" w:eastAsia="宋体" w:cs="宋体"/>
          <w:color w:val="auto"/>
          <w:sz w:val="21"/>
          <w:szCs w:val="21"/>
          <w:highlight w:val="none"/>
        </w:rPr>
        <w:t>。</w:t>
      </w:r>
    </w:p>
    <w:p>
      <w:pPr>
        <w:pStyle w:val="29"/>
        <w:spacing w:line="380" w:lineRule="exact"/>
        <w:ind w:firstLine="422" w:firstLineChars="200"/>
        <w:rPr>
          <w:rFonts w:hint="eastAsia" w:ascii="宋体" w:hAnsi="宋体" w:eastAsia="宋体" w:cs="宋体"/>
          <w:color w:val="auto"/>
          <w:sz w:val="21"/>
          <w:szCs w:val="21"/>
          <w:highlight w:val="none"/>
        </w:rPr>
      </w:pPr>
      <w:bookmarkStart w:id="434" w:name="_Toc373227710"/>
      <w:bookmarkStart w:id="435" w:name="_Toc373478357"/>
      <w:bookmarkStart w:id="436" w:name="_Toc418061321"/>
      <w:bookmarkStart w:id="437" w:name="_Toc418518356"/>
      <w:bookmarkStart w:id="438" w:name="_Toc522201740"/>
      <w:bookmarkStart w:id="439" w:name="_Toc418752252"/>
      <w:bookmarkStart w:id="440" w:name="_Toc403578944"/>
      <w:bookmarkStart w:id="441" w:name="_Toc7729"/>
      <w:bookmarkStart w:id="442" w:name="_Toc389065276"/>
      <w:bookmarkStart w:id="443" w:name="_Toc418751806"/>
      <w:bookmarkStart w:id="444" w:name="_Toc418518120"/>
      <w:bookmarkStart w:id="445" w:name="_Toc497747188"/>
      <w:bookmarkStart w:id="446" w:name="_Toc497746791"/>
      <w:bookmarkStart w:id="447" w:name="_Toc256000190"/>
      <w:r>
        <w:rPr>
          <w:rFonts w:hint="eastAsia" w:ascii="宋体" w:hAnsi="宋体" w:eastAsia="宋体" w:cs="宋体"/>
          <w:color w:val="auto"/>
          <w:sz w:val="21"/>
          <w:szCs w:val="21"/>
          <w:highlight w:val="none"/>
        </w:rPr>
        <w:t>3</w:t>
      </w:r>
      <w:bookmarkStart w:id="448" w:name="_Toc296944498"/>
      <w:bookmarkStart w:id="449" w:name="_Toc296347158"/>
      <w:bookmarkStart w:id="450" w:name="_Toc297123492"/>
      <w:bookmarkStart w:id="451" w:name="_Toc296346660"/>
      <w:bookmarkStart w:id="452" w:name="_Toc292559364"/>
      <w:bookmarkStart w:id="453" w:name="_Toc296891199"/>
      <w:bookmarkStart w:id="454" w:name="_Toc296503159"/>
      <w:bookmarkStart w:id="455" w:name="_Toc296890987"/>
      <w:bookmarkStart w:id="456" w:name="_Toc312677988"/>
      <w:bookmarkStart w:id="457" w:name="_Toc303539102"/>
      <w:bookmarkStart w:id="458" w:name="_Toc297048345"/>
      <w:bookmarkStart w:id="459" w:name="_Toc297120459"/>
      <w:bookmarkStart w:id="460" w:name="_Toc292559869"/>
      <w:bookmarkStart w:id="461" w:name="_Toc297216151"/>
      <w:bookmarkStart w:id="462" w:name="_Toc304295523"/>
      <w:bookmarkStart w:id="463" w:name="_Toc300934945"/>
      <w:r>
        <w:rPr>
          <w:rFonts w:hint="eastAsia" w:ascii="宋体" w:hAnsi="宋体" w:eastAsia="宋体" w:cs="宋体"/>
          <w:color w:val="auto"/>
          <w:sz w:val="21"/>
          <w:szCs w:val="21"/>
          <w:highlight w:val="none"/>
        </w:rPr>
        <w:t>.5 分包</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Pr>
        <w:pStyle w:val="31"/>
        <w:spacing w:line="3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bookmarkStart w:id="464" w:name="_Toc297048346"/>
      <w:bookmarkStart w:id="465" w:name="_Toc318581158"/>
      <w:bookmarkStart w:id="466" w:name="_Toc296346661"/>
      <w:bookmarkStart w:id="467" w:name="_Toc296944499"/>
      <w:bookmarkStart w:id="468" w:name="_Toc300934946"/>
      <w:bookmarkStart w:id="469" w:name="_Toc312677989"/>
      <w:bookmarkStart w:id="470" w:name="_Toc296503160"/>
      <w:bookmarkStart w:id="471" w:name="_Toc296891200"/>
      <w:bookmarkStart w:id="472" w:name="_Toc303539103"/>
      <w:bookmarkStart w:id="473" w:name="_Toc297216152"/>
      <w:bookmarkStart w:id="474" w:name="_Toc292559365"/>
      <w:bookmarkStart w:id="475" w:name="_Toc304295524"/>
      <w:bookmarkStart w:id="476" w:name="_Toc296347159"/>
      <w:bookmarkStart w:id="477" w:name="_Toc292559870"/>
      <w:bookmarkStart w:id="478" w:name="_Toc297120460"/>
      <w:bookmarkStart w:id="479" w:name="_Toc297123493"/>
      <w:bookmarkStart w:id="480" w:name="_Toc296890988"/>
      <w:r>
        <w:rPr>
          <w:rFonts w:hint="eastAsia" w:ascii="宋体" w:hAnsi="宋体" w:eastAsia="宋体" w:cs="宋体"/>
          <w:color w:val="auto"/>
          <w:sz w:val="21"/>
          <w:szCs w:val="21"/>
          <w:highlight w:val="none"/>
        </w:rPr>
        <w:t>.5.1 分包的一般约定</w:t>
      </w:r>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禁止分包的工程包括：</w:t>
      </w:r>
      <w:r>
        <w:rPr>
          <w:rFonts w:hint="eastAsia" w:ascii="宋体" w:hAnsi="宋体" w:eastAsia="宋体" w:cs="宋体"/>
          <w:color w:val="auto"/>
          <w:sz w:val="21"/>
          <w:szCs w:val="21"/>
          <w:highlight w:val="none"/>
          <w:u w:val="single"/>
        </w:rPr>
        <w:t xml:space="preserve">除劳务工程外 </w:t>
      </w:r>
      <w:r>
        <w:rPr>
          <w:rFonts w:hint="eastAsia" w:ascii="宋体" w:hAnsi="宋体" w:eastAsia="宋体" w:cs="宋体"/>
          <w:color w:val="auto"/>
          <w:sz w:val="21"/>
          <w:szCs w:val="21"/>
          <w:highlight w:val="none"/>
        </w:rPr>
        <w:t>。</w:t>
      </w:r>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主体结构、关键性工作的范围：</w:t>
      </w:r>
      <w:r>
        <w:rPr>
          <w:rFonts w:hint="eastAsia" w:ascii="宋体" w:hAnsi="宋体" w:eastAsia="宋体" w:cs="宋体"/>
          <w:color w:val="auto"/>
          <w:sz w:val="21"/>
          <w:szCs w:val="21"/>
          <w:highlight w:val="none"/>
          <w:u w:val="single"/>
        </w:rPr>
        <w:t xml:space="preserve">禁止分包  </w:t>
      </w:r>
      <w:r>
        <w:rPr>
          <w:rFonts w:hint="eastAsia" w:ascii="宋体" w:hAnsi="宋体" w:eastAsia="宋体" w:cs="宋体"/>
          <w:color w:val="auto"/>
          <w:sz w:val="21"/>
          <w:szCs w:val="21"/>
          <w:highlight w:val="none"/>
        </w:rPr>
        <w:t>。</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bookmarkStart w:id="481" w:name="_Toc318581159"/>
      <w:bookmarkStart w:id="482" w:name="_Toc312677990"/>
      <w:r>
        <w:rPr>
          <w:rFonts w:hint="eastAsia" w:ascii="宋体" w:hAnsi="宋体" w:eastAsia="宋体" w:cs="宋体"/>
          <w:color w:val="auto"/>
          <w:sz w:val="21"/>
          <w:szCs w:val="21"/>
          <w:highlight w:val="none"/>
        </w:rPr>
        <w:t>.5.2 分包的确定</w:t>
      </w:r>
    </w:p>
    <w:p>
      <w:pPr>
        <w:pStyle w:val="31"/>
        <w:spacing w:line="3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允许分包的专业工程包括：</w:t>
      </w:r>
      <w:r>
        <w:rPr>
          <w:rFonts w:hint="eastAsia" w:ascii="宋体" w:hAnsi="宋体" w:eastAsia="宋体" w:cs="宋体"/>
          <w:color w:val="auto"/>
          <w:sz w:val="21"/>
          <w:szCs w:val="21"/>
          <w:highlight w:val="none"/>
          <w:u w:val="single"/>
        </w:rPr>
        <w:t xml:space="preserve">劳务工程  </w:t>
      </w:r>
      <w:r>
        <w:rPr>
          <w:rFonts w:hint="eastAsia" w:ascii="宋体" w:hAnsi="宋体" w:eastAsia="宋体" w:cs="宋体"/>
          <w:color w:val="auto"/>
          <w:sz w:val="21"/>
          <w:szCs w:val="21"/>
          <w:highlight w:val="none"/>
        </w:rPr>
        <w:t>。</w:t>
      </w:r>
    </w:p>
    <w:p>
      <w:pPr>
        <w:pStyle w:val="31"/>
        <w:spacing w:line="3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其他关于分包的约定：</w:t>
      </w:r>
    </w:p>
    <w:p>
      <w:pPr>
        <w:pStyle w:val="31"/>
        <w:spacing w:line="380" w:lineRule="exact"/>
        <w:ind w:firstLine="420" w:firstLineChars="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1）除前款约定的分包内容外，经过发包人和监理人同意，承包人可以将其他非主体、非关键性工作分包给第三人，但分包人应当经过发包人和监理人审批。发包人和监理人有权拒绝承包人的分包请求和承包人选择的分包人。本项目分包人主要施工管理人员名单详见合同附件7。</w:t>
      </w:r>
    </w:p>
    <w:p>
      <w:pPr>
        <w:pStyle w:val="31"/>
        <w:spacing w:line="380" w:lineRule="exact"/>
        <w:ind w:firstLine="420" w:firstLineChars="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（2）在相关分包合同签订并报送有关建设行政主管部门备案后7天内，承包人应当将一份副本提交给监理人，承包人应保障分包工作不得再次分包。</w:t>
      </w:r>
    </w:p>
    <w:p>
      <w:pPr>
        <w:pStyle w:val="31"/>
        <w:spacing w:line="380" w:lineRule="exact"/>
        <w:ind w:firstLine="420" w:firstLineChars="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（3）未经承包人和监理人审批同意的分包工程和分包人，承包人有权拒绝验收分包工程和支付相应款项，由此引起的发包人费用增加和(或)延误的工期由发包人承担。</w:t>
      </w:r>
    </w:p>
    <w:p>
      <w:pPr>
        <w:pStyle w:val="31"/>
        <w:spacing w:line="3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3.5.4 分包合同价款 </w:t>
      </w:r>
    </w:p>
    <w:p>
      <w:pPr>
        <w:pStyle w:val="31"/>
        <w:spacing w:line="3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关于分包合同价款支付的约定：</w:t>
      </w:r>
      <w:r>
        <w:rPr>
          <w:rFonts w:hint="eastAsia" w:ascii="宋体" w:hAnsi="宋体" w:eastAsia="宋体" w:cs="宋体"/>
          <w:color w:val="auto"/>
          <w:sz w:val="21"/>
          <w:szCs w:val="21"/>
          <w:highlight w:val="none"/>
          <w:u w:val="single"/>
        </w:rPr>
        <w:t>分包工程价款由承包人与分包人（包括专业分包人）结算。发包人未经承包人同意不得以任何形式向分包人（包括专业分包人）支付相关分包合同项下的任何工程款项。因发包人未经承包人同意直接向分包人（包括专业分包人）支付相关分包合同项下的任何工程款项而影响承包人工作的，所造成的承包人费用增加和（或）延误的工期由发包人承担。</w:t>
      </w:r>
    </w:p>
    <w:bookmarkEnd w:id="481"/>
    <w:bookmarkEnd w:id="482"/>
    <w:p>
      <w:pPr>
        <w:pStyle w:val="29"/>
        <w:spacing w:line="380" w:lineRule="exact"/>
        <w:ind w:firstLine="422" w:firstLineChars="200"/>
        <w:rPr>
          <w:rFonts w:hint="eastAsia" w:ascii="宋体" w:hAnsi="宋体" w:eastAsia="宋体" w:cs="宋体"/>
          <w:color w:val="auto"/>
          <w:sz w:val="21"/>
          <w:szCs w:val="21"/>
          <w:highlight w:val="none"/>
        </w:rPr>
      </w:pPr>
      <w:bookmarkStart w:id="483" w:name="_Toc373227711"/>
      <w:bookmarkStart w:id="484" w:name="_Toc403578945"/>
      <w:bookmarkStart w:id="485" w:name="_Toc389065277"/>
      <w:bookmarkStart w:id="486" w:name="_Toc418751807"/>
      <w:bookmarkStart w:id="487" w:name="_Toc256000191"/>
      <w:bookmarkStart w:id="488" w:name="_Toc418518357"/>
      <w:bookmarkStart w:id="489" w:name="_Toc418518121"/>
      <w:bookmarkStart w:id="490" w:name="_Toc497747189"/>
      <w:bookmarkStart w:id="491" w:name="_Toc418752253"/>
      <w:bookmarkStart w:id="492" w:name="_Toc8402"/>
      <w:bookmarkStart w:id="493" w:name="_Toc497746792"/>
      <w:bookmarkStart w:id="494" w:name="_Toc418061322"/>
      <w:bookmarkStart w:id="495" w:name="_Toc522201741"/>
      <w:bookmarkStart w:id="496" w:name="_Toc373478358"/>
      <w:r>
        <w:rPr>
          <w:rFonts w:hint="eastAsia" w:ascii="宋体" w:hAnsi="宋体" w:eastAsia="宋体" w:cs="宋体"/>
          <w:color w:val="auto"/>
          <w:sz w:val="21"/>
          <w:szCs w:val="21"/>
          <w:highlight w:val="none"/>
        </w:rPr>
        <w:t>3.6 工程照管与成品、半成品保护</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31"/>
        <w:spacing w:line="380" w:lineRule="exact"/>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承包人负责照管工程及工程相关的材料、工程设备的起始时间：</w:t>
      </w:r>
      <w:r>
        <w:rPr>
          <w:rFonts w:hint="eastAsia" w:ascii="宋体" w:hAnsi="宋体" w:eastAsia="宋体" w:cs="宋体"/>
          <w:color w:val="auto"/>
          <w:sz w:val="21"/>
          <w:szCs w:val="21"/>
          <w:highlight w:val="none"/>
          <w:u w:val="single"/>
        </w:rPr>
        <w:t>自发包人向承包人移交施工现场之日起，到颁发工程接收证书之日止</w:t>
      </w:r>
      <w:r>
        <w:rPr>
          <w:rFonts w:hint="eastAsia" w:ascii="宋体" w:hAnsi="宋体" w:eastAsia="宋体" w:cs="宋体"/>
          <w:color w:val="auto"/>
          <w:kern w:val="0"/>
          <w:sz w:val="21"/>
          <w:szCs w:val="21"/>
          <w:highlight w:val="none"/>
        </w:rPr>
        <w:t>。</w:t>
      </w:r>
    </w:p>
    <w:p>
      <w:pPr>
        <w:pStyle w:val="36"/>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承包人负责照管工程及工程相关的材料、工程设备的范围：</w:t>
      </w:r>
      <w:r>
        <w:rPr>
          <w:rFonts w:hint="eastAsia" w:ascii="宋体" w:hAnsi="宋体" w:eastAsia="宋体" w:cs="宋体"/>
          <w:color w:val="auto"/>
          <w:sz w:val="21"/>
          <w:szCs w:val="21"/>
          <w:highlight w:val="none"/>
          <w:u w:val="single"/>
        </w:rPr>
        <w:t>除承包人自身承包范围内的材料、工程设备外，也有义务照管与本项目相关的由发包人另行发包的其他专业工程设备。并有义务避免因自身的原因造成对其他承包人的成品、半成品的损坏、污染</w:t>
      </w:r>
      <w:r>
        <w:rPr>
          <w:rFonts w:hint="eastAsia" w:ascii="宋体" w:hAnsi="宋体" w:eastAsia="宋体" w:cs="宋体"/>
          <w:color w:val="auto"/>
          <w:sz w:val="21"/>
          <w:szCs w:val="21"/>
          <w:highlight w:val="none"/>
        </w:rPr>
        <w:t>。</w:t>
      </w:r>
    </w:p>
    <w:p>
      <w:pPr>
        <w:pStyle w:val="29"/>
        <w:spacing w:line="380" w:lineRule="exact"/>
        <w:ind w:firstLine="422" w:firstLineChars="200"/>
        <w:rPr>
          <w:rFonts w:hint="eastAsia" w:ascii="宋体" w:hAnsi="宋体" w:eastAsia="宋体" w:cs="宋体"/>
          <w:color w:val="auto"/>
          <w:sz w:val="21"/>
          <w:szCs w:val="21"/>
          <w:highlight w:val="none"/>
        </w:rPr>
      </w:pPr>
      <w:bookmarkStart w:id="497" w:name="_Toc497746793"/>
      <w:bookmarkStart w:id="498" w:name="_Toc418061323"/>
      <w:bookmarkStart w:id="499" w:name="_Toc497747190"/>
      <w:bookmarkStart w:id="500" w:name="_Toc418518122"/>
      <w:bookmarkStart w:id="501" w:name="_Toc522201742"/>
      <w:bookmarkStart w:id="502" w:name="_Toc418518358"/>
      <w:bookmarkStart w:id="503" w:name="_Toc389065278"/>
      <w:bookmarkStart w:id="504" w:name="_Toc373227712"/>
      <w:bookmarkStart w:id="505" w:name="_Toc403578946"/>
      <w:bookmarkStart w:id="506" w:name="_Toc418751808"/>
      <w:bookmarkStart w:id="507" w:name="_Toc373478359"/>
      <w:bookmarkStart w:id="508" w:name="_Toc418752254"/>
      <w:bookmarkStart w:id="509" w:name="_Toc21084"/>
      <w:bookmarkStart w:id="510" w:name="_Toc256000192"/>
      <w:r>
        <w:rPr>
          <w:rFonts w:hint="eastAsia" w:ascii="宋体" w:hAnsi="宋体" w:eastAsia="宋体" w:cs="宋体"/>
          <w:color w:val="auto"/>
          <w:sz w:val="21"/>
          <w:szCs w:val="21"/>
          <w:highlight w:val="none"/>
        </w:rPr>
        <w:t>3.7 履约</w:t>
      </w:r>
      <w:bookmarkEnd w:id="497"/>
      <w:bookmarkEnd w:id="498"/>
      <w:bookmarkEnd w:id="499"/>
      <w:bookmarkEnd w:id="500"/>
      <w:bookmarkEnd w:id="501"/>
      <w:bookmarkEnd w:id="502"/>
      <w:bookmarkEnd w:id="503"/>
      <w:bookmarkEnd w:id="504"/>
      <w:bookmarkEnd w:id="505"/>
      <w:bookmarkEnd w:id="506"/>
      <w:bookmarkEnd w:id="507"/>
      <w:bookmarkEnd w:id="508"/>
      <w:r>
        <w:rPr>
          <w:rFonts w:hint="eastAsia" w:ascii="宋体" w:hAnsi="宋体" w:eastAsia="宋体" w:cs="宋体"/>
          <w:color w:val="auto"/>
          <w:sz w:val="21"/>
          <w:szCs w:val="21"/>
          <w:highlight w:val="none"/>
        </w:rPr>
        <w:t>担保</w:t>
      </w:r>
      <w:bookmarkEnd w:id="509"/>
      <w:bookmarkEnd w:id="510"/>
    </w:p>
    <w:p>
      <w:pPr>
        <w:pStyle w:val="36"/>
        <w:spacing w:line="380" w:lineRule="exact"/>
        <w:rPr>
          <w:rFonts w:hint="eastAsia" w:ascii="宋体" w:hAnsi="宋体" w:eastAsia="宋体" w:cs="宋体"/>
          <w:color w:val="auto"/>
          <w:sz w:val="21"/>
          <w:szCs w:val="21"/>
          <w:highlight w:val="none"/>
        </w:rPr>
      </w:pPr>
      <w:bookmarkStart w:id="511" w:name="_Toc418752255"/>
      <w:bookmarkStart w:id="512" w:name="_Toc373478360"/>
      <w:bookmarkStart w:id="513" w:name="_Toc418518359"/>
      <w:bookmarkStart w:id="514" w:name="_Toc373227713"/>
      <w:bookmarkStart w:id="515" w:name="_Toc351203636"/>
      <w:bookmarkStart w:id="516" w:name="_Toc418518123"/>
      <w:bookmarkStart w:id="517" w:name="_Toc418751809"/>
      <w:bookmarkStart w:id="518" w:name="_Toc418061324"/>
      <w:bookmarkStart w:id="519" w:name="_Toc389065279"/>
      <w:bookmarkStart w:id="520" w:name="_Toc403578947"/>
      <w:r>
        <w:rPr>
          <w:rFonts w:hint="eastAsia" w:ascii="宋体" w:hAnsi="宋体" w:eastAsia="宋体" w:cs="宋体"/>
          <w:color w:val="auto"/>
          <w:sz w:val="21"/>
          <w:szCs w:val="21"/>
          <w:highlight w:val="none"/>
        </w:rPr>
        <w:t>承包人是否提供履约担保：</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eastAsia="zh-CN"/>
        </w:rPr>
        <w:t>否</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pStyle w:val="31"/>
        <w:spacing w:line="380" w:lineRule="exact"/>
        <w:ind w:firstLine="420" w:firstLineChars="200"/>
        <w:rPr>
          <w:rFonts w:hint="eastAsia" w:ascii="宋体" w:hAnsi="宋体" w:eastAsia="宋体" w:cs="宋体"/>
          <w:color w:val="auto"/>
          <w:kern w:val="0"/>
          <w:sz w:val="21"/>
          <w:szCs w:val="21"/>
          <w:highlight w:val="none"/>
          <w:u w:val="single"/>
        </w:rPr>
      </w:pPr>
      <w:r>
        <w:rPr>
          <w:rFonts w:hint="eastAsia" w:ascii="宋体" w:hAnsi="宋体" w:eastAsia="宋体" w:cs="宋体"/>
          <w:color w:val="auto"/>
          <w:kern w:val="0"/>
          <w:sz w:val="21"/>
          <w:szCs w:val="21"/>
          <w:highlight w:val="none"/>
        </w:rPr>
        <w:t>承包人提供履约担保的形式、金额及期限的：</w:t>
      </w:r>
      <w:r>
        <w:rPr>
          <w:rFonts w:hint="eastAsia" w:ascii="宋体" w:hAnsi="宋体" w:eastAsia="宋体" w:cs="宋体"/>
          <w:color w:val="auto"/>
          <w:kern w:val="0"/>
          <w:sz w:val="21"/>
          <w:szCs w:val="21"/>
          <w:highlight w:val="none"/>
          <w:lang w:val="en-US" w:eastAsia="zh-CN"/>
        </w:rPr>
        <w:t xml:space="preserve"> </w:t>
      </w:r>
      <w:r>
        <w:rPr>
          <w:rFonts w:hint="eastAsia" w:ascii="宋体" w:hAnsi="宋体" w:eastAsia="宋体" w:cs="宋体"/>
          <w:color w:val="auto"/>
          <w:sz w:val="21"/>
          <w:szCs w:val="21"/>
          <w:highlight w:val="none"/>
          <w:u w:val="single"/>
          <w:lang w:val="en-US" w:eastAsia="zh-CN"/>
        </w:rPr>
        <w:t>/</w:t>
      </w:r>
      <w:r>
        <w:rPr>
          <w:rFonts w:hint="eastAsia" w:ascii="宋体" w:hAnsi="宋体" w:eastAsia="宋体" w:cs="宋体"/>
          <w:color w:val="auto"/>
          <w:sz w:val="21"/>
          <w:szCs w:val="21"/>
          <w:highlight w:val="none"/>
          <w:u w:val="single"/>
        </w:rPr>
        <w:t>。</w:t>
      </w:r>
    </w:p>
    <w:p>
      <w:pPr>
        <w:pStyle w:val="31"/>
        <w:spacing w:line="380" w:lineRule="exact"/>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工程竣工验收合格并对验收发现的问题完成整改后的7个日历天内，</w:t>
      </w:r>
      <w:r>
        <w:rPr>
          <w:rFonts w:hint="eastAsia" w:ascii="宋体" w:hAnsi="宋体" w:eastAsia="宋体" w:cs="宋体"/>
          <w:color w:val="auto"/>
          <w:sz w:val="21"/>
          <w:szCs w:val="21"/>
          <w:highlight w:val="none"/>
        </w:rPr>
        <w:t>承包人可向发包人申请退还履约保证金。发包人应在收到申请之日起28个日历天内</w:t>
      </w:r>
      <w:r>
        <w:rPr>
          <w:rFonts w:hint="eastAsia" w:ascii="宋体" w:hAnsi="宋体" w:eastAsia="宋体" w:cs="宋体"/>
          <w:color w:val="auto"/>
          <w:kern w:val="0"/>
          <w:sz w:val="21"/>
          <w:szCs w:val="21"/>
          <w:highlight w:val="none"/>
        </w:rPr>
        <w:t>扣减承包人赔偿金和其他应从承包人扣回的款项后，</w:t>
      </w:r>
      <w:r>
        <w:rPr>
          <w:rFonts w:hint="eastAsia" w:ascii="宋体" w:hAnsi="宋体" w:eastAsia="宋体" w:cs="宋体"/>
          <w:color w:val="auto"/>
          <w:sz w:val="21"/>
          <w:szCs w:val="21"/>
          <w:highlight w:val="none"/>
        </w:rPr>
        <w:t>将履约保证金退还给承包人（无息）。</w:t>
      </w:r>
    </w:p>
    <w:p>
      <w:pPr>
        <w:pStyle w:val="31"/>
        <w:spacing w:line="380" w:lineRule="exact"/>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签订合同前承包人必须按市财建（2018）73号文规定将农民工工资保障金存入帐户。工程竣工验收结算经审定后，按照规定程序，将农民工工资保障金没有使用或剩余的金额退还给承包人。</w:t>
      </w:r>
    </w:p>
    <w:p>
      <w:pPr>
        <w:pStyle w:val="29"/>
        <w:spacing w:line="380" w:lineRule="exact"/>
        <w:rPr>
          <w:rFonts w:hint="eastAsia" w:ascii="宋体" w:hAnsi="宋体" w:eastAsia="宋体" w:cs="宋体"/>
          <w:color w:val="auto"/>
          <w:sz w:val="21"/>
          <w:szCs w:val="21"/>
          <w:highlight w:val="none"/>
        </w:rPr>
      </w:pPr>
      <w:bookmarkStart w:id="521" w:name="_Toc497747191"/>
      <w:bookmarkStart w:id="522" w:name="_Toc23464"/>
      <w:bookmarkStart w:id="523" w:name="_Toc497746794"/>
      <w:bookmarkStart w:id="524" w:name="_Toc256000193"/>
      <w:bookmarkStart w:id="525" w:name="_Toc522201743"/>
      <w:r>
        <w:rPr>
          <w:rFonts w:hint="eastAsia" w:ascii="宋体" w:hAnsi="宋体" w:eastAsia="宋体" w:cs="宋体"/>
          <w:color w:val="auto"/>
          <w:sz w:val="21"/>
          <w:szCs w:val="21"/>
          <w:highlight w:val="none"/>
        </w:rPr>
        <w:t>4</w:t>
      </w:r>
      <w:bookmarkStart w:id="526" w:name="_Toc296891202"/>
      <w:bookmarkStart w:id="527" w:name="_Toc296944501"/>
      <w:bookmarkStart w:id="528" w:name="_Toc267251413"/>
      <w:bookmarkStart w:id="529" w:name="_Toc297120462"/>
      <w:bookmarkStart w:id="530" w:name="_Toc296890990"/>
      <w:bookmarkStart w:id="531" w:name="_Toc296503162"/>
      <w:bookmarkStart w:id="532" w:name="_Toc296347161"/>
      <w:bookmarkStart w:id="533" w:name="_Toc292559871"/>
      <w:bookmarkStart w:id="534" w:name="_Toc297048348"/>
      <w:bookmarkStart w:id="535" w:name="_Toc292559366"/>
      <w:bookmarkStart w:id="536" w:name="_Toc296346663"/>
      <w:r>
        <w:rPr>
          <w:rFonts w:hint="eastAsia" w:ascii="宋体" w:hAnsi="宋体" w:eastAsia="宋体" w:cs="宋体"/>
          <w:color w:val="auto"/>
          <w:sz w:val="21"/>
          <w:szCs w:val="21"/>
          <w:highlight w:val="none"/>
        </w:rPr>
        <w:t>. 监</w:t>
      </w:r>
      <w:bookmarkEnd w:id="526"/>
      <w:bookmarkEnd w:id="527"/>
      <w:bookmarkEnd w:id="528"/>
      <w:bookmarkEnd w:id="529"/>
      <w:bookmarkEnd w:id="530"/>
      <w:bookmarkEnd w:id="531"/>
      <w:bookmarkEnd w:id="532"/>
      <w:bookmarkEnd w:id="533"/>
      <w:bookmarkEnd w:id="534"/>
      <w:bookmarkEnd w:id="535"/>
      <w:bookmarkEnd w:id="536"/>
      <w:r>
        <w:rPr>
          <w:rFonts w:hint="eastAsia" w:ascii="宋体" w:hAnsi="宋体" w:eastAsia="宋体" w:cs="宋体"/>
          <w:color w:val="auto"/>
          <w:sz w:val="21"/>
          <w:szCs w:val="21"/>
          <w:highlight w:val="none"/>
        </w:rPr>
        <w:t>理人</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29"/>
        <w:spacing w:line="380" w:lineRule="exact"/>
        <w:ind w:firstLine="422" w:firstLineChars="200"/>
        <w:rPr>
          <w:rFonts w:hint="eastAsia" w:ascii="宋体" w:hAnsi="宋体" w:eastAsia="宋体" w:cs="宋体"/>
          <w:color w:val="auto"/>
          <w:sz w:val="21"/>
          <w:szCs w:val="21"/>
          <w:highlight w:val="none"/>
          <w:lang w:val="en-US" w:eastAsia="zh-CN"/>
        </w:rPr>
      </w:pPr>
      <w:bookmarkStart w:id="537" w:name="_Toc418752256"/>
      <w:bookmarkStart w:id="538" w:name="_Toc373227714"/>
      <w:bookmarkStart w:id="539" w:name="_Toc418518360"/>
      <w:bookmarkStart w:id="540" w:name="_Toc403578948"/>
      <w:bookmarkStart w:id="541" w:name="_Toc497747192"/>
      <w:bookmarkStart w:id="542" w:name="_Toc418061325"/>
      <w:bookmarkStart w:id="543" w:name="_Toc373478361"/>
      <w:bookmarkStart w:id="544" w:name="_Toc522201744"/>
      <w:bookmarkStart w:id="545" w:name="_Toc256000194"/>
      <w:bookmarkStart w:id="546" w:name="_Toc497746795"/>
      <w:bookmarkStart w:id="547" w:name="_Toc418751810"/>
      <w:bookmarkStart w:id="548" w:name="_Toc418518124"/>
      <w:bookmarkStart w:id="549" w:name="_Toc389065280"/>
      <w:bookmarkStart w:id="550" w:name="_Toc18295"/>
      <w:r>
        <w:rPr>
          <w:rFonts w:hint="eastAsia" w:ascii="宋体" w:hAnsi="宋体" w:eastAsia="宋体" w:cs="宋体"/>
          <w:color w:val="auto"/>
          <w:sz w:val="21"/>
          <w:szCs w:val="21"/>
          <w:highlight w:val="none"/>
        </w:rPr>
        <w:t>4.1 监理人的一般规定</w:t>
      </w:r>
      <w:bookmarkEnd w:id="537"/>
      <w:bookmarkEnd w:id="538"/>
      <w:bookmarkEnd w:id="539"/>
      <w:bookmarkEnd w:id="540"/>
      <w:bookmarkEnd w:id="541"/>
      <w:bookmarkEnd w:id="542"/>
      <w:bookmarkEnd w:id="543"/>
      <w:bookmarkEnd w:id="544"/>
      <w:bookmarkEnd w:id="545"/>
      <w:bookmarkEnd w:id="546"/>
      <w:bookmarkEnd w:id="547"/>
      <w:bookmarkEnd w:id="548"/>
      <w:bookmarkEnd w:id="549"/>
      <w:r>
        <w:rPr>
          <w:rFonts w:hint="eastAsia" w:ascii="宋体" w:hAnsi="宋体" w:eastAsia="宋体" w:cs="宋体"/>
          <w:color w:val="auto"/>
          <w:sz w:val="21"/>
          <w:szCs w:val="21"/>
          <w:highlight w:val="none"/>
          <w:lang w:val="en-US" w:eastAsia="zh-CN"/>
        </w:rPr>
        <w:t>(如有监理人）</w:t>
      </w:r>
      <w:bookmarkEnd w:id="550"/>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关于监理人的监理内容：</w:t>
      </w:r>
      <w:r>
        <w:rPr>
          <w:rFonts w:hint="eastAsia" w:ascii="宋体" w:hAnsi="宋体" w:eastAsia="宋体" w:cs="宋体"/>
          <w:color w:val="auto"/>
          <w:sz w:val="21"/>
          <w:szCs w:val="21"/>
          <w:highlight w:val="none"/>
          <w:u w:val="single"/>
        </w:rPr>
        <w:t xml:space="preserve"> 检查施工承包人工程质量，安全生产管理制度及组织机构人员资格；审查施工承包人员提交的施工进度计划及工程施工范围内所有内容。</w:t>
      </w:r>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关于监理人的监理权限：</w:t>
      </w:r>
      <w:r>
        <w:rPr>
          <w:rFonts w:hint="eastAsia" w:ascii="宋体" w:hAnsi="宋体" w:eastAsia="宋体" w:cs="宋体"/>
          <w:color w:val="auto"/>
          <w:sz w:val="21"/>
          <w:szCs w:val="21"/>
          <w:highlight w:val="none"/>
          <w:u w:val="single"/>
        </w:rPr>
        <w:t>代表发包人对工程施工相关事项进行检查、查验、审核、验收，并签发相关指示，但监理人无权修改合同，且无权减轻或免除合同约定的承包人的任何责任与义务: 1、在发出施工进度计划和施工方案说明以及有关能引起工程费用实际增加（减少）或延长工期的指令前，应得到发包人的书面批准。2、监理工程师在向承包人发出有关技术规范的重大变更或有关变更合同条款的任何指令前均应获得发包人书面批准。3、工程实际竣工日期提前或超过工程承包合同规定的竣工期限的签证之前应得到发包人的书面批准。4、签证单监理只有证明权，无确认权。5、工程内容和材料变更确认应得到发包人的书面批准。不管通用合同条款如何约定，监理人履行须经发包人批准行使的权利时，应当向承包人出示其行使该权利已经取得发包人批准的文件或者其他合法有效的证明 。</w:t>
      </w:r>
      <w:r>
        <w:rPr>
          <w:rFonts w:hint="eastAsia" w:ascii="宋体" w:hAnsi="宋体" w:eastAsia="宋体" w:cs="宋体"/>
          <w:color w:val="auto"/>
          <w:sz w:val="21"/>
          <w:szCs w:val="21"/>
          <w:highlight w:val="none"/>
        </w:rPr>
        <w:t xml:space="preserve">  </w:t>
      </w:r>
    </w:p>
    <w:p>
      <w:pPr>
        <w:pStyle w:val="31"/>
        <w:spacing w:line="3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关于监理人在施工现场的办公场所、生活场所的提供和费用承担的约定：</w:t>
      </w:r>
      <w:r>
        <w:rPr>
          <w:rFonts w:hint="eastAsia" w:ascii="宋体" w:hAnsi="宋体" w:eastAsia="宋体" w:cs="宋体"/>
          <w:color w:val="auto"/>
          <w:sz w:val="21"/>
          <w:szCs w:val="21"/>
          <w:highlight w:val="none"/>
          <w:u w:val="single"/>
        </w:rPr>
        <w:t>由承包人为发包人、监理单位免费提供三间办公室并承担相关费用</w:t>
      </w:r>
      <w:r>
        <w:rPr>
          <w:rFonts w:hint="eastAsia" w:ascii="宋体" w:hAnsi="宋体" w:eastAsia="宋体" w:cs="宋体"/>
          <w:color w:val="auto"/>
          <w:sz w:val="21"/>
          <w:szCs w:val="21"/>
          <w:highlight w:val="none"/>
        </w:rPr>
        <w:t>。</w:t>
      </w:r>
    </w:p>
    <w:p>
      <w:pPr>
        <w:pStyle w:val="29"/>
        <w:spacing w:line="380" w:lineRule="exact"/>
        <w:ind w:firstLine="422" w:firstLineChars="200"/>
        <w:rPr>
          <w:rFonts w:hint="eastAsia" w:ascii="宋体" w:hAnsi="宋体" w:eastAsia="宋体" w:cs="宋体"/>
          <w:color w:val="auto"/>
          <w:sz w:val="21"/>
          <w:szCs w:val="21"/>
          <w:highlight w:val="none"/>
        </w:rPr>
      </w:pPr>
      <w:bookmarkStart w:id="551" w:name="_Toc389065281"/>
      <w:bookmarkStart w:id="552" w:name="_Toc373227715"/>
      <w:bookmarkStart w:id="553" w:name="_Toc418518361"/>
      <w:bookmarkStart w:id="554" w:name="_Toc522201745"/>
      <w:bookmarkStart w:id="555" w:name="_Toc418061326"/>
      <w:bookmarkStart w:id="556" w:name="_Toc403578949"/>
      <w:bookmarkStart w:id="557" w:name="_Toc497746796"/>
      <w:bookmarkStart w:id="558" w:name="_Toc418751811"/>
      <w:bookmarkStart w:id="559" w:name="_Toc418752257"/>
      <w:bookmarkStart w:id="560" w:name="_Toc256000195"/>
      <w:bookmarkStart w:id="561" w:name="_Toc418518125"/>
      <w:bookmarkStart w:id="562" w:name="_Toc497747193"/>
      <w:bookmarkStart w:id="563" w:name="_Toc373478362"/>
      <w:bookmarkStart w:id="564" w:name="_Toc2209"/>
      <w:r>
        <w:rPr>
          <w:rFonts w:hint="eastAsia" w:ascii="宋体" w:hAnsi="宋体" w:eastAsia="宋体" w:cs="宋体"/>
          <w:color w:val="auto"/>
          <w:sz w:val="21"/>
          <w:szCs w:val="21"/>
          <w:highlight w:val="none"/>
        </w:rPr>
        <w:t>4.2 监理人员</w:t>
      </w:r>
      <w:bookmarkEnd w:id="551"/>
      <w:bookmarkEnd w:id="552"/>
      <w:bookmarkEnd w:id="553"/>
      <w:bookmarkEnd w:id="554"/>
      <w:bookmarkEnd w:id="555"/>
      <w:bookmarkEnd w:id="556"/>
      <w:bookmarkEnd w:id="557"/>
      <w:bookmarkEnd w:id="558"/>
      <w:bookmarkEnd w:id="559"/>
      <w:bookmarkEnd w:id="560"/>
      <w:bookmarkEnd w:id="561"/>
      <w:bookmarkEnd w:id="562"/>
      <w:bookmarkEnd w:id="563"/>
      <w:r>
        <w:rPr>
          <w:rFonts w:hint="eastAsia" w:ascii="宋体" w:hAnsi="宋体" w:eastAsia="宋体" w:cs="宋体"/>
          <w:color w:val="auto"/>
          <w:sz w:val="21"/>
          <w:szCs w:val="21"/>
          <w:highlight w:val="none"/>
          <w:lang w:val="en-US" w:eastAsia="zh-CN"/>
        </w:rPr>
        <w:t>(如有监理人）</w:t>
      </w:r>
      <w:bookmarkEnd w:id="564"/>
    </w:p>
    <w:p>
      <w:pPr>
        <w:pStyle w:val="31"/>
        <w:spacing w:line="3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总监理工程师：</w:t>
      </w:r>
    </w:p>
    <w:p>
      <w:pPr>
        <w:pStyle w:val="31"/>
        <w:spacing w:line="3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姓    名：</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w:t>
      </w:r>
    </w:p>
    <w:p>
      <w:pPr>
        <w:pStyle w:val="31"/>
        <w:spacing w:line="3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职    务：</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pStyle w:val="31"/>
        <w:spacing w:line="3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监理工程师执业资格证书号：</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pStyle w:val="31"/>
        <w:spacing w:line="380" w:lineRule="exact"/>
        <w:ind w:firstLine="420" w:firstLineChars="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联系电话：</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none"/>
        </w:rPr>
        <w:t>；</w:t>
      </w:r>
    </w:p>
    <w:p>
      <w:pPr>
        <w:pStyle w:val="31"/>
        <w:spacing w:line="3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电子信箱：</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none"/>
        </w:rPr>
        <w:t>；</w:t>
      </w:r>
    </w:p>
    <w:p>
      <w:pPr>
        <w:pStyle w:val="31"/>
        <w:spacing w:line="380" w:lineRule="exact"/>
        <w:ind w:firstLine="420" w:firstLineChars="200"/>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rPr>
        <w:t>通信地址：</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none"/>
        </w:rPr>
        <w:t>；</w:t>
      </w:r>
    </w:p>
    <w:p>
      <w:pPr>
        <w:pStyle w:val="31"/>
        <w:spacing w:line="3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关于监理人的其他约定：</w:t>
      </w:r>
      <w:r>
        <w:rPr>
          <w:rFonts w:hint="eastAsia" w:ascii="宋体" w:hAnsi="宋体" w:eastAsia="宋体" w:cs="宋体"/>
          <w:color w:val="auto"/>
          <w:sz w:val="21"/>
          <w:szCs w:val="21"/>
          <w:highlight w:val="none"/>
          <w:u w:val="single"/>
        </w:rPr>
        <w:t xml:space="preserve"> 见监理合同</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none"/>
        </w:rPr>
        <w:t>。</w:t>
      </w:r>
    </w:p>
    <w:p>
      <w:pPr>
        <w:pStyle w:val="29"/>
        <w:spacing w:line="380" w:lineRule="exact"/>
        <w:ind w:firstLine="422" w:firstLineChars="200"/>
        <w:rPr>
          <w:rFonts w:hint="eastAsia" w:ascii="宋体" w:hAnsi="宋体" w:eastAsia="宋体" w:cs="宋体"/>
          <w:color w:val="auto"/>
          <w:sz w:val="21"/>
          <w:szCs w:val="21"/>
          <w:highlight w:val="none"/>
        </w:rPr>
      </w:pPr>
      <w:bookmarkStart w:id="565" w:name="_Toc389065282"/>
      <w:bookmarkStart w:id="566" w:name="_Toc522201746"/>
      <w:bookmarkStart w:id="567" w:name="_Toc373227716"/>
      <w:bookmarkStart w:id="568" w:name="_Toc418061327"/>
      <w:bookmarkStart w:id="569" w:name="_Toc418752258"/>
      <w:bookmarkStart w:id="570" w:name="_Toc497746797"/>
      <w:bookmarkStart w:id="571" w:name="_Toc403578950"/>
      <w:bookmarkStart w:id="572" w:name="_Toc418518362"/>
      <w:bookmarkStart w:id="573" w:name="_Toc373478363"/>
      <w:bookmarkStart w:id="574" w:name="_Toc418518126"/>
      <w:bookmarkStart w:id="575" w:name="_Toc497747194"/>
      <w:bookmarkStart w:id="576" w:name="_Toc418751812"/>
      <w:bookmarkStart w:id="577" w:name="_Toc256000196"/>
      <w:bookmarkStart w:id="578" w:name="_Toc9296"/>
      <w:r>
        <w:rPr>
          <w:rFonts w:hint="eastAsia" w:ascii="宋体" w:hAnsi="宋体" w:eastAsia="宋体" w:cs="宋体"/>
          <w:color w:val="auto"/>
          <w:sz w:val="21"/>
          <w:szCs w:val="21"/>
          <w:highlight w:val="none"/>
        </w:rPr>
        <w:t>4.4 商定或确定</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31"/>
        <w:spacing w:line="380" w:lineRule="exact"/>
        <w:ind w:firstLine="420" w:firstLineChars="200"/>
        <w:rPr>
          <w:rFonts w:hint="eastAsia" w:ascii="宋体" w:hAnsi="宋体" w:eastAsia="宋体" w:cs="宋体"/>
          <w:color w:val="auto"/>
          <w:sz w:val="21"/>
          <w:szCs w:val="21"/>
          <w:highlight w:val="none"/>
        </w:rPr>
      </w:pPr>
      <w:bookmarkStart w:id="579" w:name="_Toc267251418"/>
      <w:r>
        <w:rPr>
          <w:rFonts w:hint="eastAsia" w:ascii="宋体" w:hAnsi="宋体" w:eastAsia="宋体" w:cs="宋体"/>
          <w:color w:val="auto"/>
          <w:sz w:val="21"/>
          <w:szCs w:val="21"/>
          <w:highlight w:val="none"/>
        </w:rPr>
        <w:t>在发包人和承包人不能通过协商达成一致意见时，发包人授权监理人对以下事项进行确定：</w:t>
      </w:r>
      <w:r>
        <w:rPr>
          <w:rFonts w:hint="eastAsia" w:ascii="宋体" w:hAnsi="宋体" w:eastAsia="宋体" w:cs="宋体"/>
          <w:color w:val="auto"/>
          <w:kern w:val="0"/>
          <w:sz w:val="21"/>
          <w:szCs w:val="21"/>
          <w:highlight w:val="none"/>
          <w:u w:val="single"/>
        </w:rPr>
        <w:t>无</w:t>
      </w:r>
      <w:r>
        <w:rPr>
          <w:rFonts w:hint="eastAsia" w:ascii="宋体" w:hAnsi="宋体" w:eastAsia="宋体" w:cs="宋体"/>
          <w:color w:val="auto"/>
          <w:sz w:val="21"/>
          <w:szCs w:val="21"/>
          <w:highlight w:val="none"/>
        </w:rPr>
        <w:t>；</w:t>
      </w:r>
    </w:p>
    <w:p>
      <w:pPr>
        <w:pStyle w:val="29"/>
        <w:spacing w:line="380" w:lineRule="exact"/>
        <w:rPr>
          <w:rFonts w:hint="eastAsia" w:ascii="宋体" w:hAnsi="宋体" w:eastAsia="宋体" w:cs="宋体"/>
          <w:color w:val="auto"/>
          <w:sz w:val="21"/>
          <w:szCs w:val="21"/>
          <w:highlight w:val="none"/>
        </w:rPr>
      </w:pPr>
      <w:bookmarkStart w:id="580" w:name="_Toc418518127"/>
      <w:bookmarkStart w:id="581" w:name="_Toc522201747"/>
      <w:bookmarkStart w:id="582" w:name="_Toc351203637"/>
      <w:bookmarkStart w:id="583" w:name="_Toc418518363"/>
      <w:bookmarkStart w:id="584" w:name="_Toc256000197"/>
      <w:bookmarkStart w:id="585" w:name="_Toc11502"/>
      <w:bookmarkStart w:id="586" w:name="_Toc497746798"/>
      <w:bookmarkStart w:id="587" w:name="_Toc418751813"/>
      <w:bookmarkStart w:id="588" w:name="_Toc497747195"/>
      <w:bookmarkStart w:id="589" w:name="_Toc418752259"/>
      <w:bookmarkStart w:id="590" w:name="_Toc389065283"/>
      <w:bookmarkStart w:id="591" w:name="_Toc418061328"/>
      <w:bookmarkStart w:id="592" w:name="_Toc373227717"/>
      <w:bookmarkStart w:id="593" w:name="_Toc373478364"/>
      <w:bookmarkStart w:id="594" w:name="_Toc403578951"/>
      <w:r>
        <w:rPr>
          <w:rFonts w:hint="eastAsia" w:ascii="宋体" w:hAnsi="宋体" w:eastAsia="宋体" w:cs="宋体"/>
          <w:color w:val="auto"/>
          <w:sz w:val="21"/>
          <w:szCs w:val="21"/>
          <w:highlight w:val="none"/>
        </w:rPr>
        <w:t>5</w:t>
      </w:r>
      <w:bookmarkEnd w:id="579"/>
      <w:bookmarkStart w:id="595" w:name="_Toc296944502"/>
      <w:bookmarkStart w:id="596" w:name="_Toc296890991"/>
      <w:bookmarkStart w:id="597" w:name="_Toc292559367"/>
      <w:bookmarkStart w:id="598" w:name="_Toc296503163"/>
      <w:bookmarkStart w:id="599" w:name="_Toc292559872"/>
      <w:bookmarkStart w:id="600" w:name="_Toc296347162"/>
      <w:bookmarkStart w:id="601" w:name="_Toc296891203"/>
      <w:bookmarkStart w:id="602" w:name="_Toc296346664"/>
      <w:bookmarkStart w:id="603" w:name="_Toc297120463"/>
      <w:bookmarkStart w:id="604" w:name="_Toc297048349"/>
      <w:r>
        <w:rPr>
          <w:rFonts w:hint="eastAsia" w:ascii="宋体" w:hAnsi="宋体" w:eastAsia="宋体" w:cs="宋体"/>
          <w:color w:val="auto"/>
          <w:sz w:val="21"/>
          <w:szCs w:val="21"/>
          <w:highlight w:val="none"/>
        </w:rPr>
        <w:t>. 工程质量</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29"/>
        <w:spacing w:line="380" w:lineRule="exact"/>
        <w:ind w:firstLine="422" w:firstLineChars="200"/>
        <w:rPr>
          <w:rFonts w:hint="eastAsia" w:ascii="宋体" w:hAnsi="宋体" w:eastAsia="宋体" w:cs="宋体"/>
          <w:color w:val="auto"/>
          <w:sz w:val="21"/>
          <w:szCs w:val="21"/>
          <w:highlight w:val="none"/>
        </w:rPr>
      </w:pPr>
      <w:bookmarkStart w:id="605" w:name="_Toc418518128"/>
      <w:bookmarkStart w:id="606" w:name="_Toc497746799"/>
      <w:bookmarkStart w:id="607" w:name="_Toc389065284"/>
      <w:bookmarkStart w:id="608" w:name="_Toc373227718"/>
      <w:bookmarkStart w:id="609" w:name="_Toc373478365"/>
      <w:bookmarkStart w:id="610" w:name="_Toc522201748"/>
      <w:bookmarkStart w:id="611" w:name="_Toc418061329"/>
      <w:bookmarkStart w:id="612" w:name="_Toc418752260"/>
      <w:bookmarkStart w:id="613" w:name="_Toc256000198"/>
      <w:bookmarkStart w:id="614" w:name="_Toc418751814"/>
      <w:bookmarkStart w:id="615" w:name="_Toc497747196"/>
      <w:bookmarkStart w:id="616" w:name="_Toc21637"/>
      <w:bookmarkStart w:id="617" w:name="_Toc403578952"/>
      <w:bookmarkStart w:id="618" w:name="_Toc418518364"/>
      <w:r>
        <w:rPr>
          <w:rFonts w:hint="eastAsia" w:ascii="宋体" w:hAnsi="宋体" w:eastAsia="宋体" w:cs="宋体"/>
          <w:color w:val="auto"/>
          <w:sz w:val="21"/>
          <w:szCs w:val="21"/>
          <w:highlight w:val="none"/>
        </w:rPr>
        <w:t>5.1 质量要求</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31"/>
        <w:spacing w:line="380" w:lineRule="exact"/>
        <w:ind w:firstLine="420" w:firstLineChars="200"/>
        <w:jc w:val="lef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5</w:t>
      </w:r>
      <w:bookmarkStart w:id="619" w:name="_Toc300934949"/>
      <w:bookmarkStart w:id="620" w:name="_Toc304295527"/>
      <w:bookmarkStart w:id="621" w:name="_Toc297123496"/>
      <w:bookmarkStart w:id="622" w:name="_Toc303539106"/>
      <w:bookmarkStart w:id="623" w:name="_Toc318581164"/>
      <w:bookmarkStart w:id="624" w:name="_Toc297216155"/>
      <w:bookmarkStart w:id="625" w:name="_Toc312677997"/>
      <w:r>
        <w:rPr>
          <w:rFonts w:hint="eastAsia" w:ascii="宋体" w:hAnsi="宋体" w:eastAsia="宋体" w:cs="宋体"/>
          <w:color w:val="auto"/>
          <w:sz w:val="21"/>
          <w:szCs w:val="21"/>
          <w:highlight w:val="none"/>
        </w:rPr>
        <w:t>.1.1 特殊质量标准和要求：</w:t>
      </w:r>
      <w:r>
        <w:rPr>
          <w:rFonts w:hint="eastAsia" w:ascii="宋体" w:hAnsi="宋体" w:eastAsia="宋体" w:cs="宋体"/>
          <w:color w:val="auto"/>
          <w:sz w:val="21"/>
          <w:szCs w:val="21"/>
          <w:highlight w:val="none"/>
          <w:u w:val="single"/>
        </w:rPr>
        <w:t xml:space="preserve"> 工程质量达到国家验收合格标准 </w:t>
      </w:r>
      <w:r>
        <w:rPr>
          <w:rFonts w:hint="eastAsia" w:ascii="宋体" w:hAnsi="宋体" w:eastAsia="宋体" w:cs="宋体"/>
          <w:color w:val="auto"/>
          <w:sz w:val="21"/>
          <w:szCs w:val="21"/>
          <w:highlight w:val="none"/>
        </w:rPr>
        <w:t>。</w:t>
      </w:r>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关于工程奖项的约定：</w:t>
      </w:r>
      <w:r>
        <w:rPr>
          <w:rFonts w:hint="eastAsia" w:ascii="宋体" w:hAnsi="宋体" w:eastAsia="宋体" w:cs="宋体"/>
          <w:color w:val="auto"/>
          <w:sz w:val="21"/>
          <w:szCs w:val="21"/>
          <w:highlight w:val="none"/>
          <w:u w:val="single"/>
        </w:rPr>
        <w:t xml:space="preserve"> 无 </w:t>
      </w:r>
      <w:r>
        <w:rPr>
          <w:rFonts w:hint="eastAsia" w:ascii="宋体" w:hAnsi="宋体" w:eastAsia="宋体" w:cs="宋体"/>
          <w:color w:val="auto"/>
          <w:sz w:val="21"/>
          <w:szCs w:val="21"/>
          <w:highlight w:val="none"/>
        </w:rPr>
        <w:t>。</w:t>
      </w:r>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5.3 隐蔽工程检查</w:t>
      </w:r>
    </w:p>
    <w:p>
      <w:pPr>
        <w:pStyle w:val="31"/>
        <w:spacing w:line="380" w:lineRule="exact"/>
        <w:ind w:firstLine="420" w:firstLineChars="200"/>
        <w:jc w:val="left"/>
        <w:rPr>
          <w:rFonts w:hint="eastAsia" w:ascii="宋体" w:hAnsi="宋体" w:eastAsia="宋体" w:cs="宋体"/>
          <w:color w:val="auto"/>
          <w:kern w:val="0"/>
          <w:sz w:val="21"/>
          <w:szCs w:val="21"/>
          <w:highlight w:val="none"/>
          <w:u w:val="single"/>
        </w:rPr>
      </w:pPr>
      <w:r>
        <w:rPr>
          <w:rFonts w:hint="eastAsia" w:ascii="宋体" w:hAnsi="宋体" w:eastAsia="宋体" w:cs="宋体"/>
          <w:color w:val="auto"/>
          <w:sz w:val="21"/>
          <w:szCs w:val="21"/>
          <w:highlight w:val="none"/>
        </w:rPr>
        <w:t>5.3.2承包人提前通知监理人隐蔽工程检查的期限的约定：</w:t>
      </w:r>
      <w:r>
        <w:rPr>
          <w:rFonts w:hint="eastAsia" w:ascii="宋体" w:hAnsi="宋体" w:eastAsia="宋体" w:cs="宋体"/>
          <w:color w:val="auto"/>
          <w:kern w:val="0"/>
          <w:sz w:val="21"/>
          <w:szCs w:val="21"/>
          <w:highlight w:val="none"/>
          <w:u w:val="single"/>
        </w:rPr>
        <w:t>任何部位的隐蔽工程需要覆盖或隐蔽前，承包人均应提前 48 小时通知发包人、监理工程师和质量监督站进行中间验收并拍照，没有发包人、监理工程师和质量监督站的批准，均不得隐蔽或验收。对相关单位所提出涉及工程质量、安全管理等存在问题时，必须进行整改，承包人应在监理人及相关人员指示的时间内修正返工后，由监理人及相关人员重新检查。否则发包人按规定有权进行经济处罚</w:t>
      </w:r>
      <w:r>
        <w:rPr>
          <w:rFonts w:hint="eastAsia" w:ascii="宋体" w:hAnsi="宋体" w:eastAsia="宋体" w:cs="宋体"/>
          <w:bCs/>
          <w:color w:val="auto"/>
          <w:sz w:val="21"/>
          <w:szCs w:val="21"/>
          <w:highlight w:val="none"/>
          <w:u w:val="single"/>
        </w:rPr>
        <w:t>。</w:t>
      </w:r>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监理人不能按时进行检查时，应提前</w:t>
      </w:r>
      <w:r>
        <w:rPr>
          <w:rFonts w:hint="eastAsia" w:ascii="宋体" w:hAnsi="宋体" w:eastAsia="宋体" w:cs="宋体"/>
          <w:color w:val="auto"/>
          <w:sz w:val="21"/>
          <w:szCs w:val="21"/>
          <w:highlight w:val="none"/>
          <w:u w:val="single"/>
        </w:rPr>
        <w:t xml:space="preserve"> 24 </w:t>
      </w:r>
      <w:r>
        <w:rPr>
          <w:rFonts w:hint="eastAsia" w:ascii="宋体" w:hAnsi="宋体" w:eastAsia="宋体" w:cs="宋体"/>
          <w:color w:val="auto"/>
          <w:sz w:val="21"/>
          <w:szCs w:val="21"/>
          <w:highlight w:val="none"/>
        </w:rPr>
        <w:t>小时提交书面延期要求。</w:t>
      </w:r>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关于延期最长不得超过：</w:t>
      </w:r>
      <w:r>
        <w:rPr>
          <w:rFonts w:hint="eastAsia" w:ascii="宋体" w:hAnsi="宋体" w:eastAsia="宋体" w:cs="宋体"/>
          <w:color w:val="auto"/>
          <w:sz w:val="21"/>
          <w:szCs w:val="21"/>
          <w:highlight w:val="none"/>
          <w:u w:val="single"/>
        </w:rPr>
        <w:t xml:space="preserve"> 48 </w:t>
      </w:r>
      <w:r>
        <w:rPr>
          <w:rFonts w:hint="eastAsia" w:ascii="宋体" w:hAnsi="宋体" w:eastAsia="宋体" w:cs="宋体"/>
          <w:color w:val="auto"/>
          <w:sz w:val="21"/>
          <w:szCs w:val="21"/>
          <w:highlight w:val="none"/>
        </w:rPr>
        <w:t>小时。</w:t>
      </w:r>
    </w:p>
    <w:p>
      <w:pPr>
        <w:pStyle w:val="29"/>
        <w:spacing w:line="380" w:lineRule="exact"/>
        <w:rPr>
          <w:rFonts w:hint="eastAsia" w:ascii="宋体" w:hAnsi="宋体" w:eastAsia="宋体" w:cs="宋体"/>
          <w:color w:val="auto"/>
          <w:sz w:val="21"/>
          <w:szCs w:val="21"/>
          <w:highlight w:val="none"/>
        </w:rPr>
      </w:pPr>
      <w:bookmarkStart w:id="626" w:name="_Toc351203638"/>
      <w:bookmarkStart w:id="627" w:name="_Toc373227719"/>
      <w:bookmarkStart w:id="628" w:name="_Toc418752261"/>
      <w:bookmarkStart w:id="629" w:name="_Toc256000199"/>
      <w:bookmarkStart w:id="630" w:name="_Toc389065285"/>
      <w:bookmarkStart w:id="631" w:name="_Toc373478366"/>
      <w:bookmarkStart w:id="632" w:name="_Toc522201749"/>
      <w:bookmarkStart w:id="633" w:name="_Toc497746800"/>
      <w:bookmarkStart w:id="634" w:name="_Toc418751815"/>
      <w:bookmarkStart w:id="635" w:name="_Toc418061330"/>
      <w:bookmarkStart w:id="636" w:name="_Toc23581"/>
      <w:bookmarkStart w:id="637" w:name="_Toc418518365"/>
      <w:bookmarkStart w:id="638" w:name="_Toc403578953"/>
      <w:bookmarkStart w:id="639" w:name="_Toc418518129"/>
      <w:bookmarkStart w:id="640" w:name="_Toc497747197"/>
      <w:r>
        <w:rPr>
          <w:rFonts w:hint="eastAsia" w:ascii="宋体" w:hAnsi="宋体" w:eastAsia="宋体" w:cs="宋体"/>
          <w:color w:val="auto"/>
          <w:sz w:val="21"/>
          <w:szCs w:val="21"/>
          <w:highlight w:val="none"/>
        </w:rPr>
        <w:t>6. 安全文明施工与环境保护</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29"/>
        <w:spacing w:line="380" w:lineRule="exact"/>
        <w:ind w:firstLine="422" w:firstLineChars="200"/>
        <w:rPr>
          <w:rFonts w:hint="eastAsia" w:ascii="宋体" w:hAnsi="宋体" w:eastAsia="宋体" w:cs="宋体"/>
          <w:color w:val="auto"/>
          <w:sz w:val="21"/>
          <w:szCs w:val="21"/>
          <w:highlight w:val="none"/>
        </w:rPr>
      </w:pPr>
      <w:bookmarkStart w:id="641" w:name="_Toc389065286"/>
      <w:bookmarkStart w:id="642" w:name="_Toc16942"/>
      <w:bookmarkStart w:id="643" w:name="_Toc418752262"/>
      <w:bookmarkStart w:id="644" w:name="_Toc418518366"/>
      <w:bookmarkStart w:id="645" w:name="_Toc403578954"/>
      <w:bookmarkStart w:id="646" w:name="_Toc497746801"/>
      <w:bookmarkStart w:id="647" w:name="_Toc418751816"/>
      <w:bookmarkStart w:id="648" w:name="_Toc497747198"/>
      <w:bookmarkStart w:id="649" w:name="_Toc418061331"/>
      <w:bookmarkStart w:id="650" w:name="_Toc373478367"/>
      <w:bookmarkStart w:id="651" w:name="_Toc418518130"/>
      <w:bookmarkStart w:id="652" w:name="_Toc373227720"/>
      <w:bookmarkStart w:id="653" w:name="_Toc256000200"/>
      <w:bookmarkStart w:id="654" w:name="_Toc522201750"/>
      <w:r>
        <w:rPr>
          <w:rFonts w:hint="eastAsia" w:ascii="宋体" w:hAnsi="宋体" w:eastAsia="宋体" w:cs="宋体"/>
          <w:color w:val="auto"/>
          <w:sz w:val="21"/>
          <w:szCs w:val="21"/>
          <w:highlight w:val="none"/>
        </w:rPr>
        <w:t>6.1 安全文明施工</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6.1.1 项目安全生产的达标目标及相应事项的约定：</w:t>
      </w:r>
      <w:r>
        <w:rPr>
          <w:rFonts w:hint="eastAsia" w:ascii="宋体" w:hAnsi="宋体" w:eastAsia="宋体" w:cs="宋体"/>
          <w:color w:val="auto"/>
          <w:sz w:val="21"/>
          <w:szCs w:val="21"/>
          <w:highlight w:val="none"/>
          <w:u w:val="single"/>
        </w:rPr>
        <w:t xml:space="preserve"> 按照国家及地方安全文明施工的有关规定执行 </w:t>
      </w:r>
      <w:r>
        <w:rPr>
          <w:rFonts w:hint="eastAsia" w:ascii="宋体" w:hAnsi="宋体" w:eastAsia="宋体" w:cs="宋体"/>
          <w:color w:val="auto"/>
          <w:sz w:val="21"/>
          <w:szCs w:val="21"/>
          <w:highlight w:val="none"/>
        </w:rPr>
        <w:t>。</w:t>
      </w:r>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关于安全文明施工奖项的约定：</w:t>
      </w:r>
      <w:r>
        <w:rPr>
          <w:rFonts w:hint="eastAsia" w:ascii="宋体" w:hAnsi="宋体" w:eastAsia="宋体" w:cs="宋体"/>
          <w:color w:val="auto"/>
          <w:sz w:val="21"/>
          <w:szCs w:val="21"/>
          <w:highlight w:val="none"/>
          <w:u w:val="single"/>
        </w:rPr>
        <w:t xml:space="preserve">  承包人应当负责统一管理施工场地的治安保卫事项，履行合同工程的治安保卫职责  </w:t>
      </w:r>
      <w:r>
        <w:rPr>
          <w:rFonts w:hint="eastAsia" w:ascii="宋体" w:hAnsi="宋体" w:eastAsia="宋体" w:cs="宋体"/>
          <w:color w:val="auto"/>
          <w:sz w:val="21"/>
          <w:szCs w:val="21"/>
          <w:highlight w:val="none"/>
        </w:rPr>
        <w:t>。</w:t>
      </w:r>
    </w:p>
    <w:p>
      <w:pPr>
        <w:pStyle w:val="31"/>
        <w:spacing w:line="380" w:lineRule="exact"/>
        <w:ind w:firstLine="420" w:firstLineChars="200"/>
        <w:jc w:val="lef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6.1.4 关于治安保卫的特别约定：</w:t>
      </w:r>
      <w:r>
        <w:rPr>
          <w:rFonts w:hint="eastAsia" w:ascii="宋体" w:hAnsi="宋体" w:eastAsia="宋体" w:cs="宋体"/>
          <w:color w:val="auto"/>
          <w:sz w:val="21"/>
          <w:szCs w:val="21"/>
          <w:highlight w:val="none"/>
          <w:u w:val="single"/>
        </w:rPr>
        <w:t>承包人应承担施工安全保卫工作及非夜间施工照明的责任，承包人应采取一切合理的预防措施，防止人员伤亡、财产损失事故，</w:t>
      </w:r>
      <w:r>
        <w:rPr>
          <w:rFonts w:hint="eastAsia" w:ascii="宋体" w:hAnsi="宋体" w:eastAsia="宋体" w:cs="宋体"/>
          <w:color w:val="auto"/>
          <w:sz w:val="21"/>
          <w:szCs w:val="21"/>
          <w:highlight w:val="none"/>
          <w:u w:val="single"/>
          <w:lang w:val="en-US" w:eastAsia="zh-CN"/>
        </w:rPr>
        <w:t>由承包人造成损失的，</w:t>
      </w:r>
      <w:r>
        <w:rPr>
          <w:rFonts w:hint="eastAsia" w:ascii="宋体" w:hAnsi="宋体" w:eastAsia="宋体" w:cs="宋体"/>
          <w:color w:val="auto"/>
          <w:sz w:val="21"/>
          <w:szCs w:val="21"/>
          <w:highlight w:val="none"/>
          <w:u w:val="single"/>
        </w:rPr>
        <w:t>费用由承包人承担。承包人生活设施及施工场应自费配备消防设备，防止火灾发生</w:t>
      </w:r>
      <w:r>
        <w:rPr>
          <w:rFonts w:hint="eastAsia" w:ascii="宋体" w:hAnsi="宋体" w:eastAsia="宋体" w:cs="宋体"/>
          <w:color w:val="auto"/>
          <w:sz w:val="21"/>
          <w:szCs w:val="21"/>
          <w:highlight w:val="none"/>
        </w:rPr>
        <w:t>。</w:t>
      </w:r>
    </w:p>
    <w:p>
      <w:pPr>
        <w:pStyle w:val="32"/>
        <w:rPr>
          <w:rFonts w:hint="eastAsia" w:ascii="宋体" w:hAnsi="宋体" w:eastAsia="宋体" w:cs="宋体"/>
          <w:color w:val="auto"/>
          <w:sz w:val="21"/>
          <w:szCs w:val="21"/>
          <w:highlight w:val="none"/>
        </w:rPr>
      </w:pPr>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关于编制施工场地治安管理计划的约定：</w:t>
      </w:r>
      <w:r>
        <w:rPr>
          <w:rFonts w:hint="eastAsia" w:ascii="宋体" w:hAnsi="宋体" w:eastAsia="宋体" w:cs="宋体"/>
          <w:color w:val="auto"/>
          <w:sz w:val="21"/>
          <w:szCs w:val="21"/>
          <w:highlight w:val="none"/>
          <w:u w:val="single"/>
        </w:rPr>
        <w:t xml:space="preserve">  开工前7天内承包人编制施工场地治安管理计划和突发治安事件紧急预案</w:t>
      </w:r>
      <w:r>
        <w:rPr>
          <w:rFonts w:hint="eastAsia" w:ascii="宋体" w:hAnsi="宋体" w:eastAsia="宋体" w:cs="宋体"/>
          <w:color w:val="auto"/>
          <w:sz w:val="21"/>
          <w:szCs w:val="21"/>
          <w:highlight w:val="none"/>
        </w:rPr>
        <w:t>。</w:t>
      </w:r>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6.1.5 文明施工</w:t>
      </w:r>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合同当事人对文明施工的要求：</w:t>
      </w:r>
      <w:r>
        <w:rPr>
          <w:rFonts w:hint="eastAsia" w:ascii="宋体" w:hAnsi="宋体" w:eastAsia="宋体" w:cs="宋体"/>
          <w:color w:val="auto"/>
          <w:sz w:val="21"/>
          <w:szCs w:val="21"/>
          <w:highlight w:val="none"/>
          <w:u w:val="single"/>
        </w:rPr>
        <w:t>按照国家及地方安全文明施工的有关规定执行</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6.1.6 关于安全文明施工费支付比例和支付期限的约定：</w:t>
      </w:r>
      <w:r>
        <w:rPr>
          <w:rFonts w:hint="eastAsia" w:ascii="宋体" w:hAnsi="宋体" w:eastAsia="宋体" w:cs="宋体"/>
          <w:color w:val="auto"/>
          <w:kern w:val="0"/>
          <w:sz w:val="21"/>
          <w:szCs w:val="21"/>
          <w:highlight w:val="none"/>
          <w:u w:val="single"/>
        </w:rPr>
        <w:t>专款专用</w:t>
      </w:r>
      <w:r>
        <w:rPr>
          <w:rFonts w:hint="eastAsia" w:ascii="宋体" w:hAnsi="宋体" w:eastAsia="宋体" w:cs="宋体"/>
          <w:color w:val="auto"/>
          <w:kern w:val="0"/>
          <w:sz w:val="21"/>
          <w:szCs w:val="21"/>
          <w:highlight w:val="none"/>
        </w:rPr>
        <w:t>。具体按《广西壮族自治区建筑工程安全防护、文明施工措施费及管理细则》（桂建质〔2006〕22号）和</w:t>
      </w:r>
      <w:r>
        <w:rPr>
          <w:rFonts w:hint="eastAsia" w:ascii="宋体" w:hAnsi="宋体" w:eastAsia="宋体" w:cs="宋体"/>
          <w:color w:val="auto"/>
          <w:sz w:val="21"/>
          <w:szCs w:val="21"/>
          <w:highlight w:val="none"/>
          <w:u w:val="single"/>
        </w:rPr>
        <w:t>桂林市建规[2007]131号文及市建规[2008]224号文</w:t>
      </w:r>
      <w:r>
        <w:rPr>
          <w:rFonts w:hint="eastAsia" w:ascii="宋体" w:hAnsi="宋体" w:eastAsia="宋体" w:cs="宋体"/>
          <w:color w:val="auto"/>
          <w:kern w:val="0"/>
          <w:sz w:val="21"/>
          <w:szCs w:val="21"/>
          <w:highlight w:val="none"/>
        </w:rPr>
        <w:t>相关规定执行。</w:t>
      </w:r>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（3）支付约定：</w:t>
      </w:r>
      <w:r>
        <w:rPr>
          <w:rFonts w:hint="eastAsia" w:ascii="宋体" w:hAnsi="宋体" w:eastAsia="宋体" w:cs="宋体"/>
          <w:color w:val="auto"/>
          <w:sz w:val="21"/>
          <w:szCs w:val="21"/>
          <w:highlight w:val="none"/>
          <w:u w:val="single"/>
        </w:rPr>
        <w:t>具体按《广西壮族自治区建筑工程安全防护、文明施工措施费及管理细则》（桂建质〔2006〕22号）和桂林市建规[2007]131号文及市建规[2008]224号文相关规定执行。。</w:t>
      </w:r>
      <w:r>
        <w:rPr>
          <w:rFonts w:hint="eastAsia" w:ascii="宋体" w:hAnsi="宋体" w:eastAsia="宋体" w:cs="宋体"/>
          <w:color w:val="auto"/>
          <w:sz w:val="21"/>
          <w:szCs w:val="21"/>
          <w:highlight w:val="none"/>
        </w:rPr>
        <w:t xml:space="preserve">  </w:t>
      </w:r>
    </w:p>
    <w:p>
      <w:pPr>
        <w:pStyle w:val="36"/>
        <w:spacing w:line="380" w:lineRule="exact"/>
        <w:rPr>
          <w:rFonts w:hint="eastAsia" w:ascii="宋体" w:hAnsi="宋体" w:eastAsia="宋体" w:cs="宋体"/>
          <w:color w:val="auto"/>
          <w:sz w:val="21"/>
          <w:szCs w:val="21"/>
          <w:highlight w:val="none"/>
          <w:u w:val="single"/>
        </w:rPr>
      </w:pPr>
      <w:bookmarkStart w:id="655" w:name="_Toc403578955"/>
      <w:bookmarkStart w:id="656" w:name="_Toc497746802"/>
      <w:bookmarkStart w:id="657" w:name="_Toc418752263"/>
      <w:bookmarkStart w:id="658" w:name="_Toc497747199"/>
      <w:bookmarkStart w:id="659" w:name="_Toc418518131"/>
      <w:bookmarkStart w:id="660" w:name="_Toc418518367"/>
      <w:bookmarkStart w:id="661" w:name="_Toc373478368"/>
      <w:bookmarkStart w:id="662" w:name="_Toc418751817"/>
      <w:bookmarkStart w:id="663" w:name="_Toc418061332"/>
      <w:bookmarkStart w:id="664" w:name="_Toc373227721"/>
      <w:bookmarkStart w:id="665" w:name="_Toc389065287"/>
      <w:r>
        <w:rPr>
          <w:rFonts w:hint="eastAsia" w:ascii="宋体" w:hAnsi="宋体" w:eastAsia="宋体" w:cs="宋体"/>
          <w:color w:val="auto"/>
          <w:sz w:val="21"/>
          <w:szCs w:val="21"/>
          <w:highlight w:val="none"/>
        </w:rPr>
        <w:t>6.2职业健康</w:t>
      </w:r>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6.2.3 扬尘防治：严格执行市住建【2016】71号《关于进一步加强全市建筑工地扬尘治理工作的通知》的相关规定。关于扬尘防治费支付比例和支付期限的约定为：</w:t>
      </w:r>
      <w:r>
        <w:rPr>
          <w:rFonts w:hint="eastAsia" w:ascii="宋体" w:hAnsi="宋体" w:eastAsia="宋体" w:cs="宋体"/>
          <w:color w:val="auto"/>
          <w:sz w:val="21"/>
          <w:szCs w:val="21"/>
          <w:highlight w:val="none"/>
          <w:u w:val="single"/>
        </w:rPr>
        <w:t>市住建〔2016〕34号文规定 。</w:t>
      </w:r>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6.3 环境保护</w:t>
      </w:r>
      <w:bookmarkEnd w:id="655"/>
      <w:bookmarkEnd w:id="656"/>
      <w:bookmarkEnd w:id="657"/>
      <w:bookmarkEnd w:id="658"/>
      <w:bookmarkEnd w:id="659"/>
      <w:bookmarkEnd w:id="660"/>
      <w:bookmarkEnd w:id="661"/>
      <w:bookmarkEnd w:id="662"/>
      <w:bookmarkEnd w:id="663"/>
      <w:bookmarkEnd w:id="664"/>
      <w:bookmarkEnd w:id="665"/>
      <w:r>
        <w:rPr>
          <w:rFonts w:hint="eastAsia" w:ascii="宋体" w:hAnsi="宋体" w:eastAsia="宋体" w:cs="宋体"/>
          <w:color w:val="auto"/>
          <w:sz w:val="21"/>
          <w:szCs w:val="21"/>
          <w:highlight w:val="none"/>
        </w:rPr>
        <w:t>因施工需要，经发包人批准，由承包人办理有关施工场地交通、环卫和施工噪音管理等手续，费用由承包人负责。</w:t>
      </w:r>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经过城市道路的施工车辆，必须按交警、城管、运输等部门相关规定执行。由于施工车辆造成的道路、环境等污染，其责任和费用均由承包人承担。</w:t>
      </w:r>
    </w:p>
    <w:p>
      <w:pPr>
        <w:pStyle w:val="36"/>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环保工作的约定：</w:t>
      </w:r>
      <w:r>
        <w:rPr>
          <w:rFonts w:hint="eastAsia" w:ascii="宋体" w:hAnsi="宋体" w:eastAsia="宋体" w:cs="宋体"/>
          <w:color w:val="auto"/>
          <w:sz w:val="21"/>
          <w:szCs w:val="21"/>
          <w:highlight w:val="none"/>
          <w:u w:val="single"/>
        </w:rPr>
        <w:t>承包人</w:t>
      </w:r>
      <w:r>
        <w:rPr>
          <w:rFonts w:hint="eastAsia" w:ascii="宋体" w:hAnsi="宋体" w:eastAsia="宋体" w:cs="宋体"/>
          <w:color w:val="auto"/>
          <w:sz w:val="21"/>
          <w:szCs w:val="21"/>
          <w:highlight w:val="none"/>
          <w:u w:val="single"/>
          <w:lang w:eastAsia="zh-CN"/>
        </w:rPr>
        <w:t>协助发包人</w:t>
      </w:r>
      <w:r>
        <w:rPr>
          <w:rFonts w:hint="eastAsia" w:ascii="宋体" w:hAnsi="宋体" w:eastAsia="宋体" w:cs="宋体"/>
          <w:color w:val="auto"/>
          <w:sz w:val="21"/>
          <w:szCs w:val="21"/>
          <w:highlight w:val="none"/>
          <w:u w:val="single"/>
        </w:rPr>
        <w:t>办理有关环保报批手续，并承担相应的费用。在施工期间对环境主要影响是机械声和废水、废渣、尘埃，对此承包人应采取相应的防治措施和严格管理，严格控制污染物排放，污染物排放前必须处理，达到排污标准后再排放。严禁把污染物直接排入江中。控制标准：《地面环境质量标准》GB3838-88Ⅱ。施工完毕后，承包人应及时将被破坏的场地，遵照监理工程师的指示进行清理、修正，并根据实际情况将场地恢复到原有状态，费用自理。</w:t>
      </w:r>
    </w:p>
    <w:bookmarkEnd w:id="619"/>
    <w:bookmarkEnd w:id="620"/>
    <w:bookmarkEnd w:id="621"/>
    <w:bookmarkEnd w:id="622"/>
    <w:bookmarkEnd w:id="623"/>
    <w:bookmarkEnd w:id="624"/>
    <w:bookmarkEnd w:id="625"/>
    <w:p>
      <w:pPr>
        <w:pStyle w:val="29"/>
        <w:spacing w:line="380" w:lineRule="exact"/>
        <w:rPr>
          <w:rFonts w:hint="eastAsia" w:ascii="宋体" w:hAnsi="宋体" w:eastAsia="宋体" w:cs="宋体"/>
          <w:color w:val="auto"/>
          <w:sz w:val="21"/>
          <w:szCs w:val="21"/>
          <w:highlight w:val="none"/>
        </w:rPr>
      </w:pPr>
      <w:bookmarkStart w:id="666" w:name="_Toc418518368"/>
      <w:bookmarkStart w:id="667" w:name="_Toc497747200"/>
      <w:bookmarkStart w:id="668" w:name="_Toc351203639"/>
      <w:bookmarkStart w:id="669" w:name="_Toc29091"/>
      <w:bookmarkStart w:id="670" w:name="_Toc522201751"/>
      <w:bookmarkStart w:id="671" w:name="_Toc418751818"/>
      <w:bookmarkStart w:id="672" w:name="_Toc403578956"/>
      <w:bookmarkStart w:id="673" w:name="_Toc256000201"/>
      <w:bookmarkStart w:id="674" w:name="_Toc373478369"/>
      <w:bookmarkStart w:id="675" w:name="_Toc389065288"/>
      <w:bookmarkStart w:id="676" w:name="_Toc418061333"/>
      <w:bookmarkStart w:id="677" w:name="_Toc497746803"/>
      <w:bookmarkStart w:id="678" w:name="_Toc418752264"/>
      <w:bookmarkStart w:id="679" w:name="_Toc373227722"/>
      <w:bookmarkStart w:id="680" w:name="_Toc418518132"/>
      <w:r>
        <w:rPr>
          <w:rFonts w:hint="eastAsia" w:ascii="宋体" w:hAnsi="宋体" w:eastAsia="宋体" w:cs="宋体"/>
          <w:color w:val="auto"/>
          <w:sz w:val="21"/>
          <w:szCs w:val="21"/>
          <w:highlight w:val="none"/>
        </w:rPr>
        <w:t>7. 工期和进度</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29"/>
        <w:spacing w:line="380" w:lineRule="exact"/>
        <w:ind w:firstLine="422" w:firstLineChars="200"/>
        <w:rPr>
          <w:rFonts w:hint="eastAsia" w:ascii="宋体" w:hAnsi="宋体" w:eastAsia="宋体" w:cs="宋体"/>
          <w:color w:val="auto"/>
          <w:sz w:val="21"/>
          <w:szCs w:val="21"/>
          <w:highlight w:val="none"/>
        </w:rPr>
      </w:pPr>
      <w:bookmarkStart w:id="681" w:name="_Toc403578957"/>
      <w:bookmarkStart w:id="682" w:name="_Toc418752265"/>
      <w:bookmarkStart w:id="683" w:name="_Toc497747201"/>
      <w:bookmarkStart w:id="684" w:name="_Toc418751819"/>
      <w:bookmarkStart w:id="685" w:name="_Toc373227723"/>
      <w:bookmarkStart w:id="686" w:name="_Toc418518369"/>
      <w:bookmarkStart w:id="687" w:name="_Toc418061334"/>
      <w:bookmarkStart w:id="688" w:name="_Toc373478370"/>
      <w:bookmarkStart w:id="689" w:name="_Toc256000202"/>
      <w:bookmarkStart w:id="690" w:name="_Toc30142"/>
      <w:bookmarkStart w:id="691" w:name="_Toc389065289"/>
      <w:bookmarkStart w:id="692" w:name="_Toc522201752"/>
      <w:bookmarkStart w:id="693" w:name="_Toc497746804"/>
      <w:bookmarkStart w:id="694" w:name="_Toc418518133"/>
      <w:r>
        <w:rPr>
          <w:rFonts w:hint="eastAsia" w:ascii="宋体" w:hAnsi="宋体" w:eastAsia="宋体" w:cs="宋体"/>
          <w:color w:val="auto"/>
          <w:sz w:val="21"/>
          <w:szCs w:val="21"/>
          <w:highlight w:val="none"/>
        </w:rPr>
        <w:t>7.1 施工组织设计</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36"/>
        <w:spacing w:line="380" w:lineRule="exac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7.1.1 合同当事人约定的施工组织设计应包括的其他内容：</w:t>
      </w:r>
      <w:r>
        <w:rPr>
          <w:rFonts w:hint="eastAsia" w:ascii="宋体" w:hAnsi="宋体" w:eastAsia="宋体" w:cs="宋体"/>
          <w:color w:val="auto"/>
          <w:sz w:val="21"/>
          <w:szCs w:val="21"/>
          <w:highlight w:val="none"/>
          <w:u w:val="single"/>
        </w:rPr>
        <w:t>(1)管理人员名单，含职称、职务并附相关人员岗位证书等复印件；（2）施工进度计划包括总进度计划、分阶段和分项进度计划、设备材料人员进场计划；施工方案说明包括分部、分项工程或工程部位的名称及施工顺序和方法；（3）国家及地方有关规定应当提交的内容。</w:t>
      </w:r>
    </w:p>
    <w:p>
      <w:pPr>
        <w:pStyle w:val="31"/>
        <w:autoSpaceDE w:val="0"/>
        <w:autoSpaceDN w:val="0"/>
        <w:adjustRightInd w:val="0"/>
        <w:spacing w:line="380" w:lineRule="exact"/>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 xml:space="preserve">7.1.2 </w:t>
      </w:r>
      <w:r>
        <w:rPr>
          <w:rFonts w:hint="eastAsia" w:ascii="宋体" w:hAnsi="宋体" w:eastAsia="宋体" w:cs="宋体"/>
          <w:color w:val="auto"/>
          <w:kern w:val="0"/>
          <w:sz w:val="21"/>
          <w:szCs w:val="21"/>
          <w:highlight w:val="none"/>
        </w:rPr>
        <w:t>施工组织设计的提交和修改</w:t>
      </w:r>
    </w:p>
    <w:p>
      <w:pPr>
        <w:pStyle w:val="31"/>
        <w:autoSpaceDE w:val="0"/>
        <w:autoSpaceDN w:val="0"/>
        <w:adjustRightInd w:val="0"/>
        <w:spacing w:line="380" w:lineRule="exact"/>
        <w:ind w:firstLine="420" w:firstLineChars="200"/>
        <w:jc w:val="left"/>
        <w:rPr>
          <w:rFonts w:hint="eastAsia" w:ascii="宋体" w:hAnsi="宋体" w:eastAsia="宋体" w:cs="宋体"/>
          <w:color w:val="auto"/>
          <w:sz w:val="21"/>
          <w:szCs w:val="21"/>
          <w:highlight w:val="none"/>
          <w:u w:val="single"/>
        </w:rPr>
      </w:pPr>
      <w:r>
        <w:rPr>
          <w:rFonts w:hint="eastAsia" w:ascii="宋体" w:hAnsi="宋体" w:eastAsia="宋体" w:cs="宋体"/>
          <w:color w:val="auto"/>
          <w:kern w:val="0"/>
          <w:sz w:val="21"/>
          <w:szCs w:val="21"/>
          <w:highlight w:val="none"/>
        </w:rPr>
        <w:t>承包人提交详细施工组织设计的期限的约定：</w:t>
      </w:r>
      <w:r>
        <w:rPr>
          <w:rFonts w:hint="eastAsia" w:ascii="宋体" w:hAnsi="宋体" w:eastAsia="宋体" w:cs="宋体"/>
          <w:color w:val="auto"/>
          <w:sz w:val="21"/>
          <w:szCs w:val="21"/>
          <w:highlight w:val="none"/>
          <w:u w:val="single"/>
        </w:rPr>
        <w:t xml:space="preserve">  合同签订后14天内，最迟不得晚于开工通知载明的开工日期前7天  </w:t>
      </w:r>
      <w:r>
        <w:rPr>
          <w:rFonts w:hint="eastAsia" w:ascii="宋体" w:hAnsi="宋体" w:eastAsia="宋体" w:cs="宋体"/>
          <w:color w:val="auto"/>
          <w:sz w:val="21"/>
          <w:szCs w:val="21"/>
          <w:highlight w:val="none"/>
        </w:rPr>
        <w:t>。</w:t>
      </w:r>
    </w:p>
    <w:p>
      <w:pPr>
        <w:pStyle w:val="31"/>
        <w:spacing w:line="380" w:lineRule="exact"/>
        <w:ind w:firstLine="420" w:firstLineChars="200"/>
        <w:jc w:val="lef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发包人和监理人在收到详细的施工组织设计后确认或提出修改意见的期限：</w:t>
      </w:r>
      <w:r>
        <w:rPr>
          <w:rFonts w:hint="eastAsia" w:ascii="宋体" w:hAnsi="宋体" w:eastAsia="宋体" w:cs="宋体"/>
          <w:color w:val="auto"/>
          <w:sz w:val="21"/>
          <w:szCs w:val="21"/>
          <w:highlight w:val="none"/>
          <w:u w:val="single"/>
        </w:rPr>
        <w:t>收到施工组织设计后7天内确认或提出修改意见。</w:t>
      </w:r>
    </w:p>
    <w:p>
      <w:pPr>
        <w:pStyle w:val="29"/>
        <w:spacing w:line="380" w:lineRule="exact"/>
        <w:ind w:firstLine="422" w:firstLineChars="200"/>
        <w:rPr>
          <w:rFonts w:hint="eastAsia" w:ascii="宋体" w:hAnsi="宋体" w:eastAsia="宋体" w:cs="宋体"/>
          <w:color w:val="auto"/>
          <w:sz w:val="21"/>
          <w:szCs w:val="21"/>
          <w:highlight w:val="none"/>
        </w:rPr>
      </w:pPr>
      <w:bookmarkStart w:id="695" w:name="_Toc19372"/>
      <w:bookmarkStart w:id="696" w:name="_Toc418751820"/>
      <w:bookmarkStart w:id="697" w:name="_Toc418752266"/>
      <w:bookmarkStart w:id="698" w:name="_Toc256000203"/>
      <w:bookmarkStart w:id="699" w:name="_Toc373478371"/>
      <w:bookmarkStart w:id="700" w:name="_Toc497746805"/>
      <w:bookmarkStart w:id="701" w:name="_Toc418518370"/>
      <w:bookmarkStart w:id="702" w:name="_Toc418518134"/>
      <w:bookmarkStart w:id="703" w:name="_Toc389065290"/>
      <w:bookmarkStart w:id="704" w:name="_Toc403578958"/>
      <w:bookmarkStart w:id="705" w:name="_Toc522201753"/>
      <w:bookmarkStart w:id="706" w:name="_Toc373227724"/>
      <w:bookmarkStart w:id="707" w:name="_Toc497747202"/>
      <w:bookmarkStart w:id="708" w:name="_Toc418061335"/>
      <w:r>
        <w:rPr>
          <w:rFonts w:hint="eastAsia" w:ascii="宋体" w:hAnsi="宋体" w:eastAsia="宋体" w:cs="宋体"/>
          <w:color w:val="auto"/>
          <w:sz w:val="21"/>
          <w:szCs w:val="21"/>
          <w:highlight w:val="none"/>
        </w:rPr>
        <w:t>7</w:t>
      </w:r>
      <w:bookmarkStart w:id="709" w:name="_Toc303539123"/>
      <w:bookmarkStart w:id="710" w:name="_Toc312677479"/>
      <w:bookmarkStart w:id="711" w:name="_Toc312678005"/>
      <w:bookmarkStart w:id="712" w:name="_Toc297216173"/>
      <w:bookmarkStart w:id="713" w:name="_Toc297123514"/>
      <w:bookmarkStart w:id="714" w:name="_Toc304295541"/>
      <w:bookmarkStart w:id="715" w:name="_Toc300934966"/>
      <w:r>
        <w:rPr>
          <w:rFonts w:hint="eastAsia" w:ascii="宋体" w:hAnsi="宋体" w:eastAsia="宋体" w:cs="宋体"/>
          <w:color w:val="auto"/>
          <w:sz w:val="21"/>
          <w:szCs w:val="21"/>
          <w:highlight w:val="none"/>
        </w:rPr>
        <w:t>.2 施工进度计划</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7.2.2 施工进度计划的修订</w:t>
      </w:r>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（1）发包人和监理人在收到修订的施工进度计划后确认或提出修改意见的期限：</w:t>
      </w:r>
      <w:r>
        <w:rPr>
          <w:rFonts w:hint="eastAsia" w:ascii="宋体" w:hAnsi="宋体" w:eastAsia="宋体" w:cs="宋体"/>
          <w:color w:val="auto"/>
          <w:sz w:val="21"/>
          <w:szCs w:val="21"/>
          <w:highlight w:val="none"/>
          <w:u w:val="single"/>
        </w:rPr>
        <w:t>自监理人收到承包人报送的相关进度计划后 7天内。</w:t>
      </w:r>
      <w:r>
        <w:rPr>
          <w:rFonts w:hint="eastAsia" w:ascii="宋体" w:hAnsi="宋体" w:eastAsia="宋体" w:cs="宋体"/>
          <w:color w:val="auto"/>
          <w:sz w:val="21"/>
          <w:szCs w:val="21"/>
          <w:highlight w:val="none"/>
        </w:rPr>
        <w:t xml:space="preserve"> </w:t>
      </w:r>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（2）承包人编制分阶段或分项施工进度计划和施工方案说明的内容：</w:t>
      </w:r>
      <w:r>
        <w:rPr>
          <w:rFonts w:hint="eastAsia" w:ascii="宋体" w:hAnsi="宋体" w:eastAsia="宋体" w:cs="宋体"/>
          <w:color w:val="auto"/>
          <w:sz w:val="21"/>
          <w:szCs w:val="21"/>
          <w:highlight w:val="none"/>
          <w:u w:val="single"/>
        </w:rPr>
        <w:t>包含但不限于月进度计划、原地面测量方案、不良地基处理方案等。</w:t>
      </w:r>
      <w:r>
        <w:rPr>
          <w:rFonts w:hint="eastAsia" w:ascii="宋体" w:hAnsi="宋体" w:eastAsia="宋体" w:cs="宋体"/>
          <w:color w:val="auto"/>
          <w:sz w:val="21"/>
          <w:szCs w:val="21"/>
          <w:highlight w:val="none"/>
        </w:rPr>
        <w:t xml:space="preserve"> </w:t>
      </w:r>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（3） 承包人报送分阶段或分项施工进度计划和施工方案说明的期限： </w:t>
      </w:r>
      <w:r>
        <w:rPr>
          <w:rFonts w:hint="eastAsia" w:ascii="宋体" w:hAnsi="宋体" w:eastAsia="宋体" w:cs="宋体"/>
          <w:color w:val="auto"/>
          <w:sz w:val="21"/>
          <w:szCs w:val="21"/>
          <w:highlight w:val="none"/>
          <w:u w:val="single"/>
        </w:rPr>
        <w:t>月进度计划于上月 30 日前提交，分项施工进度计划和施工方案说明应不迟于该分项工程施工前14 天提交。</w:t>
      </w:r>
    </w:p>
    <w:p>
      <w:pPr>
        <w:pStyle w:val="29"/>
        <w:spacing w:line="380" w:lineRule="exact"/>
        <w:ind w:firstLine="422" w:firstLineChars="200"/>
        <w:rPr>
          <w:rFonts w:hint="eastAsia" w:ascii="宋体" w:hAnsi="宋体" w:eastAsia="宋体" w:cs="宋体"/>
          <w:color w:val="auto"/>
          <w:sz w:val="21"/>
          <w:szCs w:val="21"/>
          <w:highlight w:val="none"/>
        </w:rPr>
      </w:pPr>
      <w:bookmarkStart w:id="716" w:name="_Toc5649"/>
      <w:bookmarkStart w:id="717" w:name="_Toc418752267"/>
      <w:bookmarkStart w:id="718" w:name="_Toc497746806"/>
      <w:bookmarkStart w:id="719" w:name="_Toc418518135"/>
      <w:bookmarkStart w:id="720" w:name="_Toc497747203"/>
      <w:bookmarkStart w:id="721" w:name="_Toc522201754"/>
      <w:bookmarkStart w:id="722" w:name="_Toc418061336"/>
      <w:bookmarkStart w:id="723" w:name="_Toc389065291"/>
      <w:bookmarkStart w:id="724" w:name="_Toc418518371"/>
      <w:bookmarkStart w:id="725" w:name="_Toc403578959"/>
      <w:bookmarkStart w:id="726" w:name="_Toc373478372"/>
      <w:bookmarkStart w:id="727" w:name="_Toc418751821"/>
      <w:bookmarkStart w:id="728" w:name="_Toc256000204"/>
      <w:bookmarkStart w:id="729" w:name="_Toc373227725"/>
      <w:r>
        <w:rPr>
          <w:rFonts w:hint="eastAsia" w:ascii="宋体" w:hAnsi="宋体" w:eastAsia="宋体" w:cs="宋体"/>
          <w:color w:val="auto"/>
          <w:sz w:val="21"/>
          <w:szCs w:val="21"/>
          <w:highlight w:val="none"/>
        </w:rPr>
        <w:t>7.3 开工</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7.3.1 开工准备</w:t>
      </w:r>
    </w:p>
    <w:p>
      <w:pPr>
        <w:pStyle w:val="31"/>
        <w:spacing w:line="380" w:lineRule="exact"/>
        <w:ind w:firstLine="525" w:firstLineChars="250"/>
        <w:jc w:val="lef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关于承包人提交</w:t>
      </w:r>
      <w:r>
        <w:rPr>
          <w:rFonts w:hint="eastAsia" w:ascii="宋体" w:hAnsi="宋体" w:eastAsia="宋体" w:cs="宋体"/>
          <w:color w:val="auto"/>
          <w:kern w:val="0"/>
          <w:sz w:val="21"/>
          <w:szCs w:val="21"/>
          <w:highlight w:val="none"/>
        </w:rPr>
        <w:t>工程开工报审表的期限：</w:t>
      </w:r>
      <w:r>
        <w:rPr>
          <w:rFonts w:hint="eastAsia" w:ascii="宋体" w:hAnsi="宋体" w:eastAsia="宋体" w:cs="宋体"/>
          <w:color w:val="auto"/>
          <w:sz w:val="21"/>
          <w:szCs w:val="21"/>
          <w:highlight w:val="none"/>
          <w:u w:val="single"/>
        </w:rPr>
        <w:t xml:space="preserve">  7天   </w:t>
      </w:r>
      <w:r>
        <w:rPr>
          <w:rFonts w:hint="eastAsia" w:ascii="宋体" w:hAnsi="宋体" w:eastAsia="宋体" w:cs="宋体"/>
          <w:color w:val="auto"/>
          <w:sz w:val="21"/>
          <w:szCs w:val="21"/>
          <w:highlight w:val="none"/>
        </w:rPr>
        <w:t>。</w:t>
      </w:r>
    </w:p>
    <w:p>
      <w:pPr>
        <w:pStyle w:val="31"/>
        <w:spacing w:line="38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关于发包人应完成的其他开工准备工作及期限：</w:t>
      </w:r>
      <w:r>
        <w:rPr>
          <w:rFonts w:hint="eastAsia" w:ascii="宋体" w:hAnsi="宋体" w:eastAsia="宋体" w:cs="宋体"/>
          <w:color w:val="auto"/>
          <w:sz w:val="21"/>
          <w:szCs w:val="21"/>
          <w:highlight w:val="none"/>
          <w:u w:val="single"/>
        </w:rPr>
        <w:t xml:space="preserve">   7天    </w:t>
      </w:r>
      <w:r>
        <w:rPr>
          <w:rFonts w:hint="eastAsia" w:ascii="宋体" w:hAnsi="宋体" w:eastAsia="宋体" w:cs="宋体"/>
          <w:color w:val="auto"/>
          <w:sz w:val="21"/>
          <w:szCs w:val="21"/>
          <w:highlight w:val="none"/>
        </w:rPr>
        <w:t>。</w:t>
      </w:r>
    </w:p>
    <w:p>
      <w:pPr>
        <w:pStyle w:val="31"/>
        <w:spacing w:line="380" w:lineRule="exact"/>
        <w:ind w:firstLine="420" w:firstLineChars="200"/>
        <w:jc w:val="lef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 xml:space="preserve"> 关于承包人应完成的其他开工准备工作及期限：</w:t>
      </w:r>
      <w:r>
        <w:rPr>
          <w:rFonts w:hint="eastAsia" w:ascii="宋体" w:hAnsi="宋体" w:eastAsia="宋体" w:cs="宋体"/>
          <w:color w:val="auto"/>
          <w:sz w:val="21"/>
          <w:szCs w:val="21"/>
          <w:highlight w:val="none"/>
          <w:u w:val="single"/>
        </w:rPr>
        <w:t xml:space="preserve">   7天   </w:t>
      </w:r>
      <w:r>
        <w:rPr>
          <w:rFonts w:hint="eastAsia" w:ascii="宋体" w:hAnsi="宋体" w:eastAsia="宋体" w:cs="宋体"/>
          <w:color w:val="auto"/>
          <w:sz w:val="21"/>
          <w:szCs w:val="21"/>
          <w:highlight w:val="none"/>
        </w:rPr>
        <w:t>。</w:t>
      </w:r>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7.3.2 开工通知</w:t>
      </w:r>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因发包人原因造成监理人未能在计划开工日期之日起</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天内发出开工通知的，承包人有权提出价格调整要求，或者解除合同。</w:t>
      </w:r>
    </w:p>
    <w:bookmarkEnd w:id="709"/>
    <w:bookmarkEnd w:id="710"/>
    <w:bookmarkEnd w:id="711"/>
    <w:bookmarkEnd w:id="712"/>
    <w:bookmarkEnd w:id="713"/>
    <w:bookmarkEnd w:id="714"/>
    <w:bookmarkEnd w:id="715"/>
    <w:p>
      <w:pPr>
        <w:pStyle w:val="29"/>
        <w:spacing w:line="380" w:lineRule="exact"/>
        <w:ind w:firstLine="422" w:firstLineChars="200"/>
        <w:rPr>
          <w:rFonts w:hint="eastAsia" w:ascii="宋体" w:hAnsi="宋体" w:eastAsia="宋体" w:cs="宋体"/>
          <w:color w:val="auto"/>
          <w:sz w:val="21"/>
          <w:szCs w:val="21"/>
          <w:highlight w:val="none"/>
        </w:rPr>
      </w:pPr>
      <w:bookmarkStart w:id="730" w:name="_Toc418751822"/>
      <w:bookmarkStart w:id="731" w:name="_Toc403578960"/>
      <w:bookmarkStart w:id="732" w:name="_Toc373478373"/>
      <w:bookmarkStart w:id="733" w:name="_Toc418061337"/>
      <w:bookmarkStart w:id="734" w:name="_Toc389065292"/>
      <w:bookmarkStart w:id="735" w:name="_Toc256000205"/>
      <w:bookmarkStart w:id="736" w:name="_Toc522201755"/>
      <w:bookmarkStart w:id="737" w:name="_Toc14722"/>
      <w:bookmarkStart w:id="738" w:name="_Toc418518372"/>
      <w:bookmarkStart w:id="739" w:name="_Toc373227726"/>
      <w:bookmarkStart w:id="740" w:name="_Toc418518136"/>
      <w:bookmarkStart w:id="741" w:name="_Toc418752268"/>
      <w:bookmarkStart w:id="742" w:name="_Toc497746807"/>
      <w:bookmarkStart w:id="743" w:name="_Toc497747204"/>
      <w:r>
        <w:rPr>
          <w:rFonts w:hint="eastAsia" w:ascii="宋体" w:hAnsi="宋体" w:eastAsia="宋体" w:cs="宋体"/>
          <w:color w:val="auto"/>
          <w:sz w:val="21"/>
          <w:szCs w:val="21"/>
          <w:highlight w:val="none"/>
        </w:rPr>
        <w:t>7.4 测量放线</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pPr>
        <w:pStyle w:val="31"/>
        <w:spacing w:line="380" w:lineRule="exact"/>
        <w:ind w:firstLine="420" w:firstLineChars="200"/>
        <w:jc w:val="lef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7.4.1发包人通过监理人向承包人提供测量基准点、基准线和水准点及其书面资料的期限：</w:t>
      </w:r>
      <w:r>
        <w:rPr>
          <w:rFonts w:hint="eastAsia" w:ascii="宋体" w:hAnsi="宋体" w:eastAsia="宋体" w:cs="宋体"/>
          <w:color w:val="auto"/>
          <w:sz w:val="21"/>
          <w:szCs w:val="21"/>
          <w:highlight w:val="none"/>
          <w:u w:val="single"/>
        </w:rPr>
        <w:t>开工通知载明的开工日前 7 天，承包人进入工地后进行现场书面交桩。水准点、座标控制点交验完毕，即由承包人负责保护，此后由于破坏或失准带来的重新测量、放点费用及由此造成的其他损失均由承包人负担； 承包人应于开工通知后七天内现场校验，并根据国家测绘基准、测绘系统和工程测量技术规范，按上述基准点（线）以及合同工程精度要求，测设施工控制网，三方做好签认工作；承包人应于开工前3天，并在工程竣工后将施工控制网点移交发包人 。</w:t>
      </w:r>
    </w:p>
    <w:p>
      <w:pPr>
        <w:pStyle w:val="29"/>
        <w:spacing w:line="380" w:lineRule="exact"/>
        <w:ind w:firstLine="422" w:firstLineChars="200"/>
        <w:rPr>
          <w:rFonts w:hint="eastAsia" w:ascii="宋体" w:hAnsi="宋体" w:eastAsia="宋体" w:cs="宋体"/>
          <w:color w:val="auto"/>
          <w:sz w:val="21"/>
          <w:szCs w:val="21"/>
          <w:highlight w:val="none"/>
        </w:rPr>
      </w:pPr>
      <w:bookmarkStart w:id="744" w:name="_Toc497747205"/>
      <w:bookmarkStart w:id="745" w:name="_Toc497746808"/>
      <w:bookmarkStart w:id="746" w:name="_Toc403578961"/>
      <w:bookmarkStart w:id="747" w:name="_Toc522201756"/>
      <w:bookmarkStart w:id="748" w:name="_Toc20928"/>
      <w:bookmarkStart w:id="749" w:name="_Toc373227727"/>
      <w:bookmarkStart w:id="750" w:name="_Toc418518137"/>
      <w:bookmarkStart w:id="751" w:name="_Toc389065293"/>
      <w:bookmarkStart w:id="752" w:name="_Toc418518373"/>
      <w:bookmarkStart w:id="753" w:name="_Toc256000206"/>
      <w:bookmarkStart w:id="754" w:name="_Toc418752269"/>
      <w:bookmarkStart w:id="755" w:name="_Toc418061338"/>
      <w:bookmarkStart w:id="756" w:name="_Toc373478374"/>
      <w:bookmarkStart w:id="757" w:name="_Toc418751823"/>
      <w:r>
        <w:rPr>
          <w:rFonts w:hint="eastAsia" w:ascii="宋体" w:hAnsi="宋体" w:eastAsia="宋体" w:cs="宋体"/>
          <w:color w:val="auto"/>
          <w:sz w:val="21"/>
          <w:szCs w:val="21"/>
          <w:highlight w:val="none"/>
        </w:rPr>
        <w:t>7</w:t>
      </w:r>
      <w:bookmarkStart w:id="758" w:name="_Toc304295546"/>
      <w:bookmarkStart w:id="759" w:name="_Toc297123516"/>
      <w:bookmarkStart w:id="760" w:name="_Toc312678010"/>
      <w:bookmarkStart w:id="761" w:name="_Toc300934968"/>
      <w:bookmarkStart w:id="762" w:name="_Toc312677484"/>
      <w:bookmarkStart w:id="763" w:name="_Toc297216175"/>
      <w:bookmarkStart w:id="764" w:name="_Toc303539125"/>
      <w:r>
        <w:rPr>
          <w:rFonts w:hint="eastAsia" w:ascii="宋体" w:hAnsi="宋体" w:eastAsia="宋体" w:cs="宋体"/>
          <w:color w:val="auto"/>
          <w:sz w:val="21"/>
          <w:szCs w:val="21"/>
          <w:highlight w:val="none"/>
        </w:rPr>
        <w:t>.5 工期延误</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bookmarkEnd w:id="758"/>
    <w:bookmarkEnd w:id="759"/>
    <w:bookmarkEnd w:id="760"/>
    <w:bookmarkEnd w:id="761"/>
    <w:bookmarkEnd w:id="762"/>
    <w:bookmarkEnd w:id="763"/>
    <w:bookmarkEnd w:id="764"/>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7.5.1 因发包人原因导致工期延误</w:t>
      </w:r>
    </w:p>
    <w:p>
      <w:pPr>
        <w:pStyle w:val="31"/>
        <w:spacing w:line="380" w:lineRule="exact"/>
        <w:ind w:firstLine="420" w:firstLineChars="200"/>
        <w:jc w:val="lef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（7）因发包人原因导致工期延误的其他情形：</w:t>
      </w:r>
      <w:r>
        <w:rPr>
          <w:rFonts w:hint="eastAsia" w:ascii="宋体" w:hAnsi="宋体" w:eastAsia="宋体" w:cs="宋体"/>
          <w:color w:val="auto"/>
          <w:sz w:val="21"/>
          <w:szCs w:val="21"/>
          <w:highlight w:val="none"/>
          <w:u w:val="single"/>
          <w:lang w:eastAsia="zh-CN"/>
        </w:rPr>
        <w:t>按通用条款执行</w:t>
      </w:r>
      <w:r>
        <w:rPr>
          <w:rFonts w:hint="eastAsia" w:ascii="宋体" w:hAnsi="宋体" w:eastAsia="宋体" w:cs="宋体"/>
          <w:color w:val="auto"/>
          <w:sz w:val="21"/>
          <w:szCs w:val="21"/>
          <w:highlight w:val="none"/>
          <w:u w:val="single"/>
        </w:rPr>
        <w:t>。</w:t>
      </w:r>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bookmarkStart w:id="765" w:name="_Toc312677486"/>
      <w:bookmarkStart w:id="766" w:name="_Toc318581169"/>
      <w:bookmarkStart w:id="767" w:name="_Toc312678012"/>
      <w:bookmarkStart w:id="768" w:name="_Toc300934970"/>
      <w:bookmarkStart w:id="769" w:name="_Toc303539127"/>
      <w:bookmarkStart w:id="770" w:name="_Toc304295548"/>
      <w:bookmarkStart w:id="771" w:name="_Toc297216177"/>
      <w:bookmarkStart w:id="772" w:name="_Toc297123518"/>
      <w:r>
        <w:rPr>
          <w:rFonts w:hint="eastAsia" w:ascii="宋体" w:hAnsi="宋体" w:eastAsia="宋体" w:cs="宋体"/>
          <w:color w:val="auto"/>
          <w:sz w:val="21"/>
          <w:szCs w:val="21"/>
          <w:highlight w:val="none"/>
        </w:rPr>
        <w:t>.5.2 因承包人原因导致工期延误</w:t>
      </w:r>
    </w:p>
    <w:bookmarkEnd w:id="765"/>
    <w:bookmarkEnd w:id="766"/>
    <w:bookmarkEnd w:id="767"/>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双方约定经监理工程师确认，工期相应顺延的情况：</w:t>
      </w:r>
      <w:r>
        <w:rPr>
          <w:rFonts w:hint="eastAsia" w:ascii="宋体" w:hAnsi="宋体" w:eastAsia="宋体" w:cs="宋体"/>
          <w:color w:val="auto"/>
          <w:sz w:val="21"/>
          <w:szCs w:val="21"/>
          <w:highlight w:val="none"/>
          <w:u w:val="single"/>
        </w:rPr>
        <w:t xml:space="preserve">  非承包人原因导致的工期延误，合同工期相应顺延</w:t>
      </w:r>
      <w:r>
        <w:rPr>
          <w:rFonts w:hint="eastAsia" w:ascii="宋体" w:hAnsi="宋体" w:eastAsia="宋体" w:cs="宋体"/>
          <w:color w:val="auto"/>
          <w:sz w:val="21"/>
          <w:szCs w:val="21"/>
          <w:highlight w:val="none"/>
        </w:rPr>
        <w:t>。</w:t>
      </w:r>
    </w:p>
    <w:p>
      <w:pPr>
        <w:pStyle w:val="31"/>
        <w:spacing w:line="380" w:lineRule="exact"/>
        <w:ind w:firstLine="420" w:firstLineChars="200"/>
        <w:jc w:val="lef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因</w:t>
      </w:r>
      <w:bookmarkStart w:id="773" w:name="_Toc318581170"/>
      <w:bookmarkStart w:id="774" w:name="_Toc312678013"/>
      <w:bookmarkStart w:id="775" w:name="_Toc312677487"/>
      <w:r>
        <w:rPr>
          <w:rFonts w:hint="eastAsia" w:ascii="宋体" w:hAnsi="宋体" w:eastAsia="宋体" w:cs="宋体"/>
          <w:color w:val="auto"/>
          <w:sz w:val="21"/>
          <w:szCs w:val="21"/>
          <w:highlight w:val="none"/>
        </w:rPr>
        <w:t>承包人原因造成工期延误，逾期竣工违约金的计算方法为：</w:t>
      </w:r>
      <w:r>
        <w:rPr>
          <w:rFonts w:hint="eastAsia" w:ascii="宋体" w:hAnsi="宋体" w:eastAsia="宋体" w:cs="宋体"/>
          <w:color w:val="auto"/>
          <w:sz w:val="21"/>
          <w:szCs w:val="21"/>
          <w:highlight w:val="none"/>
          <w:u w:val="single"/>
        </w:rPr>
        <w:t xml:space="preserve">非上述原因，承包人不能按合同约定的时间竣工，承包人应承担违约责任，并应向发包人支付误期赔偿费（每天赔偿金额为合同价款扣除社会保险费、发包人材料价款、暂估专业工程、暂列金额后的的万分之四），误期时间从规定竣工日期起直到全部工程或相应部分工程竣工验收各方签章日期之间的天数（扣除发包人批准顺延的工期）。发包人可从应向承包人支付的任何金额中扣除此项赔款费或其他方式收回此款，此赔偿款的支付并不能解除承包人应完成工程的责任或合同规定的其他责任。如非承包人原因造成工期延误则承包人须在规定的时间内提出书面意见，逾期则视为承包人自行放弃。由于承包人原因造成本工程延期三个月的，除按上述标准赔偿给发包人外，发包人有权中止合同，并依法追究承包人的违约责任，由此造成的一切损失均由责任人负责。 </w:t>
      </w:r>
    </w:p>
    <w:bookmarkEnd w:id="768"/>
    <w:bookmarkEnd w:id="769"/>
    <w:bookmarkEnd w:id="770"/>
    <w:bookmarkEnd w:id="771"/>
    <w:bookmarkEnd w:id="772"/>
    <w:bookmarkEnd w:id="773"/>
    <w:bookmarkEnd w:id="774"/>
    <w:bookmarkEnd w:id="775"/>
    <w:p>
      <w:pPr>
        <w:pStyle w:val="31"/>
        <w:spacing w:line="380" w:lineRule="exact"/>
        <w:ind w:firstLine="420" w:firstLineChars="200"/>
        <w:jc w:val="lef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因承包人原因造成工期延误，逾</w:t>
      </w:r>
      <w:bookmarkStart w:id="776" w:name="_Toc318581171"/>
      <w:bookmarkStart w:id="777" w:name="_Toc312678014"/>
      <w:r>
        <w:rPr>
          <w:rFonts w:hint="eastAsia" w:ascii="宋体" w:hAnsi="宋体" w:eastAsia="宋体" w:cs="宋体"/>
          <w:color w:val="auto"/>
          <w:sz w:val="21"/>
          <w:szCs w:val="21"/>
          <w:highlight w:val="none"/>
        </w:rPr>
        <w:t>期竣工违约金的上限：</w:t>
      </w:r>
      <w:r>
        <w:rPr>
          <w:rFonts w:hint="eastAsia" w:ascii="宋体" w:hAnsi="宋体" w:eastAsia="宋体" w:cs="宋体"/>
          <w:color w:val="auto"/>
          <w:sz w:val="21"/>
          <w:szCs w:val="21"/>
          <w:highlight w:val="none"/>
          <w:u w:val="single"/>
          <w:lang w:eastAsia="zh-CN"/>
        </w:rPr>
        <w:t>结算</w:t>
      </w:r>
      <w:r>
        <w:rPr>
          <w:rFonts w:hint="eastAsia" w:ascii="宋体" w:hAnsi="宋体" w:eastAsia="宋体" w:cs="宋体"/>
          <w:color w:val="auto"/>
          <w:sz w:val="21"/>
          <w:szCs w:val="21"/>
          <w:highlight w:val="none"/>
          <w:u w:val="single"/>
        </w:rPr>
        <w:t>价扣除社会保险费、发包人材料价款、暂估专业工程、暂列金额后的3%</w:t>
      </w:r>
      <w:r>
        <w:rPr>
          <w:rFonts w:hint="eastAsia" w:ascii="宋体" w:hAnsi="宋体" w:eastAsia="宋体" w:cs="宋体"/>
          <w:color w:val="auto"/>
          <w:sz w:val="21"/>
          <w:szCs w:val="21"/>
          <w:highlight w:val="none"/>
        </w:rPr>
        <w:t>。</w:t>
      </w:r>
    </w:p>
    <w:bookmarkEnd w:id="776"/>
    <w:bookmarkEnd w:id="777"/>
    <w:p>
      <w:pPr>
        <w:pStyle w:val="29"/>
        <w:spacing w:line="380" w:lineRule="exact"/>
        <w:ind w:firstLine="422" w:firstLineChars="200"/>
        <w:rPr>
          <w:rFonts w:hint="eastAsia" w:ascii="宋体" w:hAnsi="宋体" w:eastAsia="宋体" w:cs="宋体"/>
          <w:color w:val="auto"/>
          <w:sz w:val="21"/>
          <w:szCs w:val="21"/>
          <w:highlight w:val="none"/>
        </w:rPr>
      </w:pPr>
      <w:bookmarkStart w:id="778" w:name="_Toc418518374"/>
      <w:bookmarkStart w:id="779" w:name="_Toc418518138"/>
      <w:bookmarkStart w:id="780" w:name="_Toc8708"/>
      <w:bookmarkStart w:id="781" w:name="_Toc373478375"/>
      <w:bookmarkStart w:id="782" w:name="_Toc418751824"/>
      <w:bookmarkStart w:id="783" w:name="_Toc256000207"/>
      <w:bookmarkStart w:id="784" w:name="_Toc418752270"/>
      <w:bookmarkStart w:id="785" w:name="_Toc497746809"/>
      <w:bookmarkStart w:id="786" w:name="_Toc373227728"/>
      <w:bookmarkStart w:id="787" w:name="_Toc389065294"/>
      <w:bookmarkStart w:id="788" w:name="_Toc418061339"/>
      <w:bookmarkStart w:id="789" w:name="_Toc403578962"/>
      <w:bookmarkStart w:id="790" w:name="_Toc497747206"/>
      <w:bookmarkStart w:id="791" w:name="_Toc522201757"/>
      <w:r>
        <w:rPr>
          <w:rFonts w:hint="eastAsia" w:ascii="宋体" w:hAnsi="宋体" w:eastAsia="宋体" w:cs="宋体"/>
          <w:color w:val="auto"/>
          <w:sz w:val="21"/>
          <w:szCs w:val="21"/>
          <w:highlight w:val="none"/>
        </w:rPr>
        <w:t>7</w:t>
      </w:r>
      <w:bookmarkStart w:id="792" w:name="_Toc312678015"/>
      <w:bookmarkStart w:id="793" w:name="_Toc303539128"/>
      <w:bookmarkStart w:id="794" w:name="_Toc304295549"/>
      <w:bookmarkStart w:id="795" w:name="_Toc297123519"/>
      <w:bookmarkStart w:id="796" w:name="_Toc300934971"/>
      <w:bookmarkStart w:id="797" w:name="_Toc297216178"/>
      <w:r>
        <w:rPr>
          <w:rFonts w:hint="eastAsia" w:ascii="宋体" w:hAnsi="宋体" w:eastAsia="宋体" w:cs="宋体"/>
          <w:color w:val="auto"/>
          <w:sz w:val="21"/>
          <w:szCs w:val="21"/>
          <w:highlight w:val="none"/>
        </w:rPr>
        <w:t>.6 不</w:t>
      </w:r>
      <w:bookmarkEnd w:id="792"/>
      <w:bookmarkEnd w:id="793"/>
      <w:bookmarkEnd w:id="794"/>
      <w:bookmarkEnd w:id="795"/>
      <w:bookmarkEnd w:id="796"/>
      <w:bookmarkEnd w:id="797"/>
      <w:r>
        <w:rPr>
          <w:rFonts w:hint="eastAsia" w:ascii="宋体" w:hAnsi="宋体" w:eastAsia="宋体" w:cs="宋体"/>
          <w:color w:val="auto"/>
          <w:sz w:val="21"/>
          <w:szCs w:val="21"/>
          <w:highlight w:val="none"/>
        </w:rPr>
        <w:t>利物质条件</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pPr>
        <w:pStyle w:val="31"/>
        <w:spacing w:line="380" w:lineRule="exact"/>
        <w:ind w:firstLine="420" w:firstLineChars="200"/>
        <w:jc w:val="left"/>
        <w:rPr>
          <w:rFonts w:hint="eastAsia" w:ascii="宋体" w:hAnsi="宋体" w:eastAsia="宋体" w:cs="宋体"/>
          <w:color w:val="auto"/>
          <w:sz w:val="21"/>
          <w:szCs w:val="21"/>
          <w:highlight w:val="none"/>
          <w:u w:val="single"/>
        </w:rPr>
      </w:pPr>
      <w:bookmarkStart w:id="798" w:name="_Toc300934972"/>
      <w:bookmarkStart w:id="799" w:name="_Toc312678016"/>
      <w:bookmarkStart w:id="800" w:name="_Toc304295550"/>
      <w:bookmarkStart w:id="801" w:name="_Toc303539129"/>
      <w:bookmarkStart w:id="802" w:name="_Toc318581172"/>
      <w:bookmarkStart w:id="803" w:name="_Toc297216179"/>
      <w:bookmarkStart w:id="804" w:name="_Toc297123520"/>
      <w:r>
        <w:rPr>
          <w:rFonts w:hint="eastAsia" w:ascii="宋体" w:hAnsi="宋体" w:eastAsia="宋体" w:cs="宋体"/>
          <w:color w:val="auto"/>
          <w:sz w:val="21"/>
          <w:szCs w:val="21"/>
          <w:highlight w:val="none"/>
        </w:rPr>
        <w:t>不利物质条件的其他情形和有关约定：</w:t>
      </w:r>
      <w:r>
        <w:rPr>
          <w:rFonts w:hint="eastAsia" w:ascii="宋体" w:hAnsi="宋体" w:eastAsia="宋体" w:cs="宋体"/>
          <w:color w:val="auto"/>
          <w:sz w:val="21"/>
          <w:szCs w:val="21"/>
          <w:highlight w:val="none"/>
          <w:u w:val="single"/>
        </w:rPr>
        <w:t xml:space="preserve">  一周内非承包人原因，停水、停电、停气造成停工连续超过8小时；重大设计变更和工程量增加；发包人手续不全致使施工不能正常进行；发包人未能按约定时间支付工程款致使施工不能正常进行的；非承包人原因的政府及发包人有关的停工通知，以上不利物质条件延误工期的相应延长工期，因发包人原因给承包人造成损失的由发包人相应赔偿承包人，属政府和环境等原因的，双方协商处理</w:t>
      </w:r>
      <w:r>
        <w:rPr>
          <w:rFonts w:hint="eastAsia" w:ascii="宋体" w:hAnsi="宋体" w:eastAsia="宋体" w:cs="宋体"/>
          <w:color w:val="auto"/>
          <w:sz w:val="21"/>
          <w:szCs w:val="21"/>
          <w:highlight w:val="none"/>
        </w:rPr>
        <w:t>。</w:t>
      </w:r>
    </w:p>
    <w:bookmarkEnd w:id="798"/>
    <w:bookmarkEnd w:id="799"/>
    <w:bookmarkEnd w:id="800"/>
    <w:bookmarkEnd w:id="801"/>
    <w:bookmarkEnd w:id="802"/>
    <w:bookmarkEnd w:id="803"/>
    <w:bookmarkEnd w:id="804"/>
    <w:p>
      <w:pPr>
        <w:pStyle w:val="29"/>
        <w:spacing w:line="380" w:lineRule="exact"/>
        <w:ind w:firstLine="422" w:firstLineChars="200"/>
        <w:rPr>
          <w:rFonts w:hint="eastAsia" w:ascii="宋体" w:hAnsi="宋体" w:eastAsia="宋体" w:cs="宋体"/>
          <w:color w:val="auto"/>
          <w:sz w:val="21"/>
          <w:szCs w:val="21"/>
          <w:highlight w:val="none"/>
        </w:rPr>
      </w:pPr>
      <w:bookmarkStart w:id="805" w:name="_Toc418518139"/>
      <w:bookmarkStart w:id="806" w:name="_Toc418518375"/>
      <w:bookmarkStart w:id="807" w:name="_Toc497747207"/>
      <w:bookmarkStart w:id="808" w:name="_Toc17453"/>
      <w:bookmarkStart w:id="809" w:name="_Toc389065295"/>
      <w:bookmarkStart w:id="810" w:name="_Toc373478376"/>
      <w:bookmarkStart w:id="811" w:name="_Toc373227729"/>
      <w:bookmarkStart w:id="812" w:name="_Toc497746810"/>
      <w:bookmarkStart w:id="813" w:name="_Toc403578963"/>
      <w:bookmarkStart w:id="814" w:name="_Toc418061340"/>
      <w:bookmarkStart w:id="815" w:name="_Toc522201758"/>
      <w:bookmarkStart w:id="816" w:name="_Toc256000208"/>
      <w:bookmarkStart w:id="817" w:name="_Toc418751825"/>
      <w:bookmarkStart w:id="818" w:name="_Toc418752271"/>
      <w:r>
        <w:rPr>
          <w:rFonts w:hint="eastAsia" w:ascii="宋体" w:hAnsi="宋体" w:eastAsia="宋体" w:cs="宋体"/>
          <w:color w:val="auto"/>
          <w:sz w:val="21"/>
          <w:szCs w:val="21"/>
          <w:highlight w:val="none"/>
        </w:rPr>
        <w:t>7</w:t>
      </w:r>
      <w:bookmarkStart w:id="819" w:name="_Toc297123521"/>
      <w:bookmarkStart w:id="820" w:name="_Toc304295551"/>
      <w:bookmarkStart w:id="821" w:name="_Toc303539130"/>
      <w:bookmarkStart w:id="822" w:name="_Toc300934973"/>
      <w:bookmarkStart w:id="823" w:name="_Toc297216180"/>
      <w:bookmarkStart w:id="824" w:name="_Toc312678017"/>
      <w:r>
        <w:rPr>
          <w:rFonts w:hint="eastAsia" w:ascii="宋体" w:hAnsi="宋体" w:eastAsia="宋体" w:cs="宋体"/>
          <w:color w:val="auto"/>
          <w:sz w:val="21"/>
          <w:szCs w:val="21"/>
          <w:highlight w:val="none"/>
        </w:rPr>
        <w:t>.7 异常恶劣的气候条件</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bookmarkEnd w:id="819"/>
    <w:bookmarkEnd w:id="820"/>
    <w:bookmarkEnd w:id="821"/>
    <w:bookmarkEnd w:id="822"/>
    <w:bookmarkEnd w:id="823"/>
    <w:bookmarkEnd w:id="824"/>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发包人和承包人同意以下情形视为异常恶劣的气候条件：</w:t>
      </w:r>
    </w:p>
    <w:p>
      <w:pPr>
        <w:pStyle w:val="31"/>
        <w:spacing w:line="380" w:lineRule="exact"/>
        <w:ind w:firstLine="420" w:firstLineChars="200"/>
        <w:rPr>
          <w:rFonts w:hint="eastAsia" w:ascii="宋体" w:hAnsi="宋体" w:eastAsia="宋体" w:cs="宋体"/>
          <w:color w:val="auto"/>
          <w:sz w:val="21"/>
          <w:szCs w:val="21"/>
          <w:highlight w:val="none"/>
          <w:u w:val="single"/>
        </w:rPr>
      </w:pPr>
      <w:bookmarkStart w:id="825" w:name="_Toc373227730"/>
      <w:bookmarkStart w:id="826" w:name="_Toc418751826"/>
      <w:bookmarkStart w:id="827" w:name="_Toc373478377"/>
      <w:bookmarkStart w:id="828" w:name="_Toc418061341"/>
      <w:bookmarkStart w:id="829" w:name="_Toc418518376"/>
      <w:bookmarkStart w:id="830" w:name="_Toc418518140"/>
      <w:bookmarkStart w:id="831" w:name="_Toc403578964"/>
      <w:bookmarkStart w:id="832" w:name="_Toc497746811"/>
      <w:bookmarkStart w:id="833" w:name="_Toc418752272"/>
      <w:bookmarkStart w:id="834" w:name="_Toc497747208"/>
      <w:bookmarkStart w:id="835" w:name="_Toc389065296"/>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u w:val="single"/>
        </w:rPr>
        <w:t>10级以上持续1天的大风；</w:t>
      </w:r>
    </w:p>
    <w:p>
      <w:pPr>
        <w:pStyle w:val="31"/>
        <w:numPr>
          <w:ilvl w:val="0"/>
          <w:numId w:val="9"/>
        </w:numPr>
        <w:spacing w:line="380" w:lineRule="exact"/>
        <w:ind w:firstLine="420" w:firstLineChars="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暴雨级以上持续2天的大雨；</w:t>
      </w:r>
    </w:p>
    <w:p>
      <w:pPr>
        <w:pStyle w:val="31"/>
        <w:numPr>
          <w:ilvl w:val="0"/>
          <w:numId w:val="9"/>
        </w:numPr>
        <w:spacing w:line="380" w:lineRule="exact"/>
        <w:ind w:firstLine="420" w:firstLineChars="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当地6级以上的破坏性地震；</w:t>
      </w:r>
    </w:p>
    <w:p>
      <w:pPr>
        <w:pStyle w:val="31"/>
        <w:numPr>
          <w:ilvl w:val="0"/>
          <w:numId w:val="9"/>
        </w:numPr>
        <w:spacing w:line="380" w:lineRule="exact"/>
        <w:ind w:firstLine="420" w:firstLineChars="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50年以上未发生过的持续2天的高温天气；</w:t>
      </w:r>
    </w:p>
    <w:p>
      <w:pPr>
        <w:pStyle w:val="31"/>
        <w:numPr>
          <w:ilvl w:val="0"/>
          <w:numId w:val="9"/>
        </w:numPr>
        <w:spacing w:line="380" w:lineRule="exact"/>
        <w:ind w:firstLine="420" w:firstLineChars="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50年以上未发生的持续2天的低温天气。</w:t>
      </w:r>
    </w:p>
    <w:p>
      <w:pPr>
        <w:pStyle w:val="31"/>
        <w:spacing w:line="380" w:lineRule="exact"/>
        <w:ind w:firstLine="630" w:firstLineChars="3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施工场地受淹超过发包人提供设计图纸指明的设计洪水位以及因天气原因无法施工并经监理确认引起延误的情况。承包人有权要求发包人延长工期, 但对上述几种情形，对工程施工造成影响和灾害的，需提供政府相关部门对不可抗力认定的证明材料为依据。</w:t>
      </w:r>
    </w:p>
    <w:p>
      <w:pPr>
        <w:pStyle w:val="31"/>
        <w:spacing w:line="380" w:lineRule="exact"/>
        <w:jc w:val="lef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7.8暂停施工</w:t>
      </w:r>
    </w:p>
    <w:p>
      <w:pPr>
        <w:pStyle w:val="36"/>
        <w:spacing w:line="380" w:lineRule="exact"/>
        <w:ind w:firstLine="0" w:firstLineChars="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7.8.2承包人原因引起的暂停施工</w:t>
      </w:r>
    </w:p>
    <w:p>
      <w:pPr>
        <w:pStyle w:val="31"/>
        <w:spacing w:line="380" w:lineRule="exact"/>
        <w:ind w:firstLine="420" w:firstLineChars="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承包人承担暂停施工责任的其他情形：</w:t>
      </w:r>
      <w:r>
        <w:rPr>
          <w:rFonts w:hint="eastAsia" w:ascii="宋体" w:hAnsi="宋体" w:eastAsia="宋体" w:cs="宋体"/>
          <w:color w:val="auto"/>
          <w:sz w:val="21"/>
          <w:szCs w:val="21"/>
          <w:highlight w:val="none"/>
          <w:u w:val="single"/>
        </w:rPr>
        <w:t>（1）监理工程师为保证工程质量和施工安全所指令的暂停施工；（2）因质量安全隐患或事故，被建设行政主管部门及安全生产监督责令暂停施工或自行暂停施工；（3）因承包人违反规范或任何工程质量不合格而进行返工、重建、修建的工期；（4）未按设计要求进行施工、或因施工组织方案不可行导致发包人未能按时审批而影响开工的；（5）工程验收不合格发现存在质量问题或技术问题需要修改的；（6）承包人与发包人未能在约定时间内达成一致而暂停施工；（7）工程质量未达到等级标准要求，发包人要求承包人返工的；（8）承包人因农忙时期而暂停施工；综述其工期不予顺延，责任自负。</w:t>
      </w:r>
    </w:p>
    <w:p>
      <w:pPr>
        <w:pStyle w:val="36"/>
        <w:spacing w:line="380" w:lineRule="exac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因承包人责任暂停施工延误施工时机而导致遭遇不利条件物质条件和异常恶劣的气候条件、不可抗力造成的工期延误和费用增加由承包人承担。</w:t>
      </w:r>
    </w:p>
    <w:p>
      <w:pPr>
        <w:pStyle w:val="36"/>
        <w:spacing w:line="380" w:lineRule="exact"/>
        <w:ind w:firstLine="0" w:firstLineChars="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7.8.5暂停施工后的复工</w:t>
      </w:r>
    </w:p>
    <w:p>
      <w:pPr>
        <w:pStyle w:val="36"/>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监理人发出复工通知后，监理人应和承包人一起对受到暂停施工影响的工程、材料和工程设备进行检查。承包人负责修复在暂停施工期间发生在工程、材料和工程设备上的任何损蚀、缺陷或损失，修复费用由承担暂停施工责任的责任人承担。</w:t>
      </w:r>
    </w:p>
    <w:p>
      <w:pPr>
        <w:pStyle w:val="29"/>
        <w:spacing w:line="380" w:lineRule="exact"/>
        <w:ind w:firstLine="422" w:firstLineChars="200"/>
        <w:rPr>
          <w:rFonts w:hint="eastAsia" w:ascii="宋体" w:hAnsi="宋体" w:eastAsia="宋体" w:cs="宋体"/>
          <w:color w:val="auto"/>
          <w:sz w:val="21"/>
          <w:szCs w:val="21"/>
          <w:highlight w:val="none"/>
        </w:rPr>
      </w:pPr>
      <w:bookmarkStart w:id="836" w:name="_Toc19207"/>
      <w:bookmarkStart w:id="837" w:name="_Toc522201759"/>
      <w:bookmarkStart w:id="838" w:name="_Toc256000209"/>
      <w:r>
        <w:rPr>
          <w:rFonts w:hint="eastAsia" w:ascii="宋体" w:hAnsi="宋体" w:eastAsia="宋体" w:cs="宋体"/>
          <w:color w:val="auto"/>
          <w:sz w:val="21"/>
          <w:szCs w:val="21"/>
          <w:highlight w:val="none"/>
        </w:rPr>
        <w:t>7.9 提前竣工</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7.9.2提前竣工的奖励：</w:t>
      </w:r>
      <w:r>
        <w:rPr>
          <w:rFonts w:hint="eastAsia" w:ascii="宋体" w:hAnsi="宋体" w:eastAsia="宋体" w:cs="宋体"/>
          <w:color w:val="auto"/>
          <w:sz w:val="21"/>
          <w:szCs w:val="21"/>
          <w:highlight w:val="none"/>
          <w:u w:val="single"/>
        </w:rPr>
        <w:t xml:space="preserve"> 无 </w:t>
      </w:r>
      <w:r>
        <w:rPr>
          <w:rFonts w:hint="eastAsia" w:ascii="宋体" w:hAnsi="宋体" w:eastAsia="宋体" w:cs="宋体"/>
          <w:color w:val="auto"/>
          <w:sz w:val="21"/>
          <w:szCs w:val="21"/>
          <w:highlight w:val="none"/>
        </w:rPr>
        <w:t>。</w:t>
      </w:r>
    </w:p>
    <w:p>
      <w:pPr>
        <w:pStyle w:val="29"/>
        <w:numPr>
          <w:ilvl w:val="0"/>
          <w:numId w:val="10"/>
        </w:numPr>
        <w:spacing w:line="380" w:lineRule="exact"/>
        <w:rPr>
          <w:rFonts w:hint="eastAsia" w:ascii="宋体" w:hAnsi="宋体" w:eastAsia="宋体" w:cs="宋体"/>
          <w:color w:val="auto"/>
          <w:sz w:val="21"/>
          <w:szCs w:val="21"/>
          <w:highlight w:val="none"/>
        </w:rPr>
      </w:pPr>
      <w:bookmarkStart w:id="839" w:name="_Toc418061342"/>
      <w:bookmarkStart w:id="840" w:name="_Toc389065297"/>
      <w:bookmarkStart w:id="841" w:name="_Toc522201760"/>
      <w:bookmarkStart w:id="842" w:name="_Toc15338"/>
      <w:bookmarkStart w:id="843" w:name="_Toc403578965"/>
      <w:bookmarkStart w:id="844" w:name="_Toc418518141"/>
      <w:bookmarkStart w:id="845" w:name="_Toc256000210"/>
      <w:bookmarkStart w:id="846" w:name="_Toc351203640"/>
      <w:bookmarkStart w:id="847" w:name="_Toc497746812"/>
      <w:bookmarkStart w:id="848" w:name="_Toc418751827"/>
      <w:bookmarkStart w:id="849" w:name="_Toc418752273"/>
      <w:bookmarkStart w:id="850" w:name="_Toc373478378"/>
      <w:bookmarkStart w:id="851" w:name="_Toc497747209"/>
      <w:bookmarkStart w:id="852" w:name="_Toc373227731"/>
      <w:bookmarkStart w:id="853" w:name="_Toc418518377"/>
      <w:r>
        <w:rPr>
          <w:rFonts w:hint="eastAsia" w:ascii="宋体" w:hAnsi="宋体" w:eastAsia="宋体" w:cs="宋体"/>
          <w:color w:val="auto"/>
          <w:sz w:val="21"/>
          <w:szCs w:val="21"/>
          <w:highlight w:val="none"/>
        </w:rPr>
        <w:t>材料与设备</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36"/>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承包人采购材料和设备的约定：</w:t>
      </w:r>
    </w:p>
    <w:bookmarkEnd w:id="595"/>
    <w:bookmarkEnd w:id="596"/>
    <w:bookmarkEnd w:id="597"/>
    <w:bookmarkEnd w:id="598"/>
    <w:bookmarkEnd w:id="599"/>
    <w:bookmarkEnd w:id="600"/>
    <w:bookmarkEnd w:id="601"/>
    <w:bookmarkEnd w:id="602"/>
    <w:bookmarkEnd w:id="603"/>
    <w:bookmarkEnd w:id="604"/>
    <w:p>
      <w:pPr>
        <w:pStyle w:val="29"/>
        <w:spacing w:line="380" w:lineRule="exact"/>
        <w:ind w:firstLine="422" w:firstLineChars="200"/>
        <w:rPr>
          <w:rFonts w:hint="eastAsia" w:ascii="宋体" w:hAnsi="宋体" w:eastAsia="宋体" w:cs="宋体"/>
          <w:color w:val="auto"/>
          <w:sz w:val="21"/>
          <w:szCs w:val="21"/>
          <w:highlight w:val="none"/>
        </w:rPr>
      </w:pPr>
      <w:bookmarkStart w:id="854" w:name="_Toc497747210"/>
      <w:bookmarkStart w:id="855" w:name="_Toc373227732"/>
      <w:bookmarkStart w:id="856" w:name="_Toc403578966"/>
      <w:bookmarkStart w:id="857" w:name="_Toc12443"/>
      <w:bookmarkStart w:id="858" w:name="_Toc418752274"/>
      <w:bookmarkStart w:id="859" w:name="_Toc522201761"/>
      <w:bookmarkStart w:id="860" w:name="_Toc256000211"/>
      <w:bookmarkStart w:id="861" w:name="_Toc418518142"/>
      <w:bookmarkStart w:id="862" w:name="_Toc497746813"/>
      <w:bookmarkStart w:id="863" w:name="_Toc389065298"/>
      <w:bookmarkStart w:id="864" w:name="_Toc418751828"/>
      <w:bookmarkStart w:id="865" w:name="_Toc418061343"/>
      <w:bookmarkStart w:id="866" w:name="_Toc373478379"/>
      <w:bookmarkStart w:id="867" w:name="_Toc418518378"/>
      <w:r>
        <w:rPr>
          <w:rFonts w:hint="eastAsia" w:ascii="宋体" w:hAnsi="宋体" w:eastAsia="宋体" w:cs="宋体"/>
          <w:color w:val="auto"/>
          <w:sz w:val="21"/>
          <w:szCs w:val="21"/>
          <w:highlight w:val="none"/>
        </w:rPr>
        <w:t>8.2 承包人采购材料与工程设备</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pPr>
        <w:pStyle w:val="31"/>
        <w:autoSpaceDE w:val="0"/>
        <w:autoSpaceDN w:val="0"/>
        <w:adjustRightInd w:val="0"/>
        <w:spacing w:line="380" w:lineRule="exact"/>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除已标价工程量清单《发包人提供主要材料和工程设备一览表》（表-21）中明确的材料、工程设备外，由承包人负责材料和工程设备的采购、运输和保管。《</w:t>
      </w:r>
      <w:r>
        <w:rPr>
          <w:rFonts w:hint="eastAsia" w:ascii="宋体" w:hAnsi="宋体" w:eastAsia="宋体" w:cs="宋体"/>
          <w:color w:val="auto"/>
          <w:sz w:val="21"/>
          <w:szCs w:val="21"/>
          <w:highlight w:val="none"/>
        </w:rPr>
        <w:t>承包人提供主要材料和工程设备一览表》</w:t>
      </w:r>
      <w:r>
        <w:rPr>
          <w:rFonts w:hint="eastAsia" w:ascii="宋体" w:hAnsi="宋体" w:eastAsia="宋体" w:cs="宋体"/>
          <w:color w:val="auto"/>
          <w:kern w:val="0"/>
          <w:sz w:val="21"/>
          <w:szCs w:val="21"/>
          <w:highlight w:val="none"/>
        </w:rPr>
        <w:t>（表-22）见已标价工程量清单。</w:t>
      </w:r>
    </w:p>
    <w:p>
      <w:pPr>
        <w:pStyle w:val="29"/>
        <w:spacing w:line="380" w:lineRule="exact"/>
        <w:ind w:firstLine="422" w:firstLineChars="200"/>
        <w:rPr>
          <w:rFonts w:hint="eastAsia" w:ascii="宋体" w:hAnsi="宋体" w:eastAsia="宋体" w:cs="宋体"/>
          <w:color w:val="auto"/>
          <w:sz w:val="21"/>
          <w:szCs w:val="21"/>
          <w:highlight w:val="none"/>
        </w:rPr>
      </w:pPr>
      <w:bookmarkStart w:id="868" w:name="_Toc389065299"/>
      <w:bookmarkStart w:id="869" w:name="_Toc418751829"/>
      <w:bookmarkStart w:id="870" w:name="_Toc497746814"/>
      <w:bookmarkStart w:id="871" w:name="_Toc373227733"/>
      <w:bookmarkStart w:id="872" w:name="_Toc418752275"/>
      <w:bookmarkStart w:id="873" w:name="_Toc403578967"/>
      <w:bookmarkStart w:id="874" w:name="_Toc418518143"/>
      <w:bookmarkStart w:id="875" w:name="_Toc522201762"/>
      <w:bookmarkStart w:id="876" w:name="_Toc418061344"/>
      <w:bookmarkStart w:id="877" w:name="_Toc497747211"/>
      <w:bookmarkStart w:id="878" w:name="_Toc256000212"/>
      <w:bookmarkStart w:id="879" w:name="_Toc373478380"/>
      <w:bookmarkStart w:id="880" w:name="_Toc13675"/>
      <w:bookmarkStart w:id="881" w:name="_Toc418518379"/>
      <w:r>
        <w:rPr>
          <w:rFonts w:hint="eastAsia" w:ascii="宋体" w:hAnsi="宋体" w:eastAsia="宋体" w:cs="宋体"/>
          <w:color w:val="auto"/>
          <w:sz w:val="21"/>
          <w:szCs w:val="21"/>
          <w:highlight w:val="none"/>
        </w:rPr>
        <w:t>8</w:t>
      </w:r>
      <w:bookmarkStart w:id="882" w:name="_Toc296891207"/>
      <w:bookmarkStart w:id="883" w:name="_Toc312677493"/>
      <w:bookmarkStart w:id="884" w:name="_Toc292559877"/>
      <w:bookmarkStart w:id="885" w:name="_Toc303539136"/>
      <w:bookmarkStart w:id="886" w:name="_Toc297048353"/>
      <w:bookmarkStart w:id="887" w:name="_Toc292559372"/>
      <w:bookmarkStart w:id="888" w:name="_Toc296346668"/>
      <w:bookmarkStart w:id="889" w:name="_Toc300934979"/>
      <w:bookmarkStart w:id="890" w:name="_Toc304295556"/>
      <w:bookmarkStart w:id="891" w:name="_Toc296944506"/>
      <w:bookmarkStart w:id="892" w:name="_Toc297216186"/>
      <w:bookmarkStart w:id="893" w:name="_Toc296890995"/>
      <w:bookmarkStart w:id="894" w:name="_Toc296347166"/>
      <w:bookmarkStart w:id="895" w:name="_Toc280868654"/>
      <w:bookmarkStart w:id="896" w:name="_Toc296503167"/>
      <w:bookmarkStart w:id="897" w:name="_Toc297123527"/>
      <w:bookmarkStart w:id="898" w:name="_Toc312678019"/>
      <w:bookmarkStart w:id="899" w:name="_Toc297120467"/>
      <w:bookmarkStart w:id="900" w:name="_Toc280868656"/>
      <w:bookmarkStart w:id="901" w:name="_Toc267251424"/>
      <w:bookmarkStart w:id="902" w:name="_Toc280868655"/>
      <w:r>
        <w:rPr>
          <w:rFonts w:hint="eastAsia" w:ascii="宋体" w:hAnsi="宋体" w:eastAsia="宋体" w:cs="宋体"/>
          <w:color w:val="auto"/>
          <w:sz w:val="21"/>
          <w:szCs w:val="21"/>
          <w:highlight w:val="none"/>
        </w:rPr>
        <w:t>.4 材料与工程设备的保管与使用</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w:t>
      </w:r>
      <w:bookmarkStart w:id="903" w:name="_Toc292559373"/>
      <w:bookmarkStart w:id="904" w:name="_Toc292559878"/>
      <w:bookmarkStart w:id="905" w:name="_Toc296890996"/>
      <w:bookmarkStart w:id="906" w:name="_Toc318581173"/>
      <w:bookmarkStart w:id="907" w:name="_Toc303539137"/>
      <w:bookmarkStart w:id="908" w:name="_Toc304295557"/>
      <w:bookmarkStart w:id="909" w:name="_Toc296891208"/>
      <w:bookmarkStart w:id="910" w:name="_Toc296503168"/>
      <w:bookmarkStart w:id="911" w:name="_Toc312678020"/>
      <w:bookmarkStart w:id="912" w:name="_Toc296346669"/>
      <w:bookmarkStart w:id="913" w:name="_Toc296944507"/>
      <w:bookmarkStart w:id="914" w:name="_Toc297048354"/>
      <w:bookmarkStart w:id="915" w:name="_Toc296347167"/>
      <w:bookmarkStart w:id="916" w:name="_Toc297123528"/>
      <w:bookmarkStart w:id="917" w:name="_Toc297216187"/>
      <w:bookmarkStart w:id="918" w:name="_Toc297120468"/>
      <w:bookmarkStart w:id="919" w:name="_Toc312677494"/>
      <w:bookmarkStart w:id="920" w:name="_Toc300934980"/>
      <w:r>
        <w:rPr>
          <w:rFonts w:hint="eastAsia" w:ascii="宋体" w:hAnsi="宋体" w:eastAsia="宋体" w:cs="宋体"/>
          <w:color w:val="auto"/>
          <w:sz w:val="21"/>
          <w:szCs w:val="21"/>
          <w:highlight w:val="none"/>
        </w:rPr>
        <w:t>.4.1发包人供应的材料设备的保管费用的承担：</w:t>
      </w:r>
      <w:r>
        <w:rPr>
          <w:rFonts w:hint="eastAsia" w:ascii="宋体" w:hAnsi="宋体" w:eastAsia="宋体" w:cs="宋体"/>
          <w:color w:val="auto"/>
          <w:sz w:val="21"/>
          <w:szCs w:val="21"/>
          <w:highlight w:val="none"/>
          <w:u w:val="single"/>
        </w:rPr>
        <w:t>发包人供应的材料和设备经三方验收合格后，保管费用由承包人承担</w:t>
      </w:r>
      <w:r>
        <w:rPr>
          <w:rFonts w:hint="eastAsia" w:ascii="宋体" w:hAnsi="宋体" w:eastAsia="宋体" w:cs="宋体"/>
          <w:color w:val="auto"/>
          <w:sz w:val="21"/>
          <w:szCs w:val="21"/>
          <w:highlight w:val="none"/>
        </w:rPr>
        <w:t>。</w:t>
      </w:r>
    </w:p>
    <w:bookmarkEnd w:id="903"/>
    <w:bookmarkEnd w:id="904"/>
    <w:p>
      <w:pPr>
        <w:pStyle w:val="29"/>
        <w:spacing w:line="380" w:lineRule="exact"/>
        <w:ind w:firstLine="422" w:firstLineChars="200"/>
        <w:rPr>
          <w:rFonts w:hint="eastAsia" w:ascii="宋体" w:hAnsi="宋体" w:eastAsia="宋体" w:cs="宋体"/>
          <w:color w:val="auto"/>
          <w:sz w:val="21"/>
          <w:szCs w:val="21"/>
          <w:highlight w:val="none"/>
        </w:rPr>
      </w:pPr>
      <w:bookmarkStart w:id="921" w:name="_Toc373478381"/>
      <w:bookmarkStart w:id="922" w:name="_Toc4994"/>
      <w:bookmarkStart w:id="923" w:name="_Toc522201763"/>
      <w:bookmarkStart w:id="924" w:name="_Toc256000213"/>
      <w:bookmarkStart w:id="925" w:name="_Toc418751830"/>
      <w:bookmarkStart w:id="926" w:name="_Toc418518144"/>
      <w:bookmarkStart w:id="927" w:name="_Toc418752276"/>
      <w:bookmarkStart w:id="928" w:name="_Toc497747212"/>
      <w:bookmarkStart w:id="929" w:name="_Toc373227734"/>
      <w:bookmarkStart w:id="930" w:name="_Toc418518380"/>
      <w:bookmarkStart w:id="931" w:name="_Toc497746815"/>
      <w:bookmarkStart w:id="932" w:name="_Toc403578968"/>
      <w:bookmarkStart w:id="933" w:name="_Toc418061345"/>
      <w:bookmarkStart w:id="934" w:name="_Toc389065300"/>
      <w:r>
        <w:rPr>
          <w:rFonts w:hint="eastAsia" w:ascii="宋体" w:hAnsi="宋体" w:eastAsia="宋体" w:cs="宋体"/>
          <w:color w:val="auto"/>
          <w:sz w:val="21"/>
          <w:szCs w:val="21"/>
          <w:highlight w:val="none"/>
        </w:rPr>
        <w:t>8.6 样品</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pPr>
        <w:pStyle w:val="31"/>
        <w:autoSpaceDE w:val="0"/>
        <w:autoSpaceDN w:val="0"/>
        <w:adjustRightInd w:val="0"/>
        <w:spacing w:line="380" w:lineRule="exact"/>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8.6.1 样品的报送与封存</w:t>
      </w:r>
    </w:p>
    <w:p>
      <w:pPr>
        <w:pStyle w:val="31"/>
        <w:autoSpaceDE w:val="0"/>
        <w:autoSpaceDN w:val="0"/>
        <w:adjustRightInd w:val="0"/>
        <w:spacing w:line="380" w:lineRule="exact"/>
        <w:ind w:firstLine="420" w:firstLineChars="200"/>
        <w:jc w:val="left"/>
        <w:rPr>
          <w:rFonts w:hint="eastAsia" w:ascii="宋体" w:hAnsi="宋体" w:eastAsia="宋体" w:cs="宋体"/>
          <w:color w:val="auto"/>
          <w:sz w:val="21"/>
          <w:szCs w:val="21"/>
          <w:highlight w:val="none"/>
          <w:u w:val="single"/>
        </w:rPr>
      </w:pPr>
      <w:r>
        <w:rPr>
          <w:rFonts w:hint="eastAsia" w:ascii="宋体" w:hAnsi="宋体" w:eastAsia="宋体" w:cs="宋体"/>
          <w:color w:val="auto"/>
          <w:kern w:val="0"/>
          <w:sz w:val="21"/>
          <w:szCs w:val="21"/>
          <w:highlight w:val="none"/>
        </w:rPr>
        <w:t>需要承包人报送样品的材料或工程设备，样品的种类、名称、规格、数量要求：</w:t>
      </w:r>
      <w:r>
        <w:rPr>
          <w:rFonts w:hint="eastAsia" w:ascii="宋体" w:hAnsi="宋体" w:eastAsia="宋体" w:cs="宋体"/>
          <w:color w:val="auto"/>
          <w:sz w:val="21"/>
          <w:szCs w:val="21"/>
          <w:highlight w:val="none"/>
          <w:u w:val="single"/>
        </w:rPr>
        <w:t>主要材料涉及品种、款式、颜色等方面内容的，承包人在进货前需将货物样品报送监理或发包人现场办公室，待设计及发包人确认样品，并封存样品后，承包人方可订货。除上述材料外招标文件和招标工程量清单中对材料、设备有档次或质量要求的，按招标文件和招标工程量清单确定；其他由合同各方协商确定。</w:t>
      </w:r>
    </w:p>
    <w:p>
      <w:pPr>
        <w:pStyle w:val="29"/>
        <w:spacing w:line="380" w:lineRule="exact"/>
        <w:ind w:firstLine="422" w:firstLineChars="200"/>
        <w:rPr>
          <w:rFonts w:hint="eastAsia" w:ascii="宋体" w:hAnsi="宋体" w:eastAsia="宋体" w:cs="宋体"/>
          <w:color w:val="auto"/>
          <w:sz w:val="21"/>
          <w:szCs w:val="21"/>
          <w:highlight w:val="none"/>
        </w:rPr>
      </w:pPr>
      <w:bookmarkStart w:id="935" w:name="_Toc497747213"/>
      <w:bookmarkStart w:id="936" w:name="_Toc373227735"/>
      <w:bookmarkStart w:id="937" w:name="_Toc497746816"/>
      <w:bookmarkStart w:id="938" w:name="_Toc13340"/>
      <w:bookmarkStart w:id="939" w:name="_Toc418518145"/>
      <w:bookmarkStart w:id="940" w:name="_Toc418518381"/>
      <w:bookmarkStart w:id="941" w:name="_Toc373478382"/>
      <w:bookmarkStart w:id="942" w:name="_Toc389065301"/>
      <w:bookmarkStart w:id="943" w:name="_Toc418751831"/>
      <w:bookmarkStart w:id="944" w:name="_Toc418752277"/>
      <w:bookmarkStart w:id="945" w:name="_Toc522201764"/>
      <w:bookmarkStart w:id="946" w:name="_Toc418061346"/>
      <w:bookmarkStart w:id="947" w:name="_Toc256000214"/>
      <w:bookmarkStart w:id="948" w:name="_Toc403578969"/>
      <w:r>
        <w:rPr>
          <w:rFonts w:hint="eastAsia" w:ascii="宋体" w:hAnsi="宋体" w:eastAsia="宋体" w:cs="宋体"/>
          <w:color w:val="auto"/>
          <w:sz w:val="21"/>
          <w:szCs w:val="21"/>
          <w:highlight w:val="none"/>
        </w:rPr>
        <w:t>8.8 施工设备和临时设施</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p>
      <w:pPr>
        <w:pStyle w:val="31"/>
        <w:autoSpaceDE w:val="0"/>
        <w:autoSpaceDN w:val="0"/>
        <w:adjustRightInd w:val="0"/>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8.8.1 承包人提供的施工设备和临时设施</w:t>
      </w:r>
    </w:p>
    <w:p>
      <w:pPr>
        <w:pStyle w:val="31"/>
        <w:autoSpaceDE w:val="0"/>
        <w:autoSpaceDN w:val="0"/>
        <w:adjustRightInd w:val="0"/>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除专用合同条款另有约定的其他独立承包人和监理人指示的他人提供条件外，承包人运入施工场地的所有施工设备以及在施工场地建设的临时设施仅限于用于合同工程。承包人用于本工程的主要机械设备清单见合同附件5。</w:t>
      </w:r>
    </w:p>
    <w:p>
      <w:pPr>
        <w:pStyle w:val="31"/>
        <w:autoSpaceDE w:val="0"/>
        <w:autoSpaceDN w:val="0"/>
        <w:adjustRightInd w:val="0"/>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关于修建临时设施费用承担的约定：</w:t>
      </w:r>
    </w:p>
    <w:p>
      <w:pPr>
        <w:pStyle w:val="31"/>
        <w:autoSpaceDE w:val="0"/>
        <w:autoSpaceDN w:val="0"/>
        <w:adjustRightInd w:val="0"/>
        <w:spacing w:line="380" w:lineRule="exact"/>
        <w:ind w:firstLine="420" w:firstLineChars="200"/>
        <w:jc w:val="lef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 xml:space="preserve">①承包人的临时用地（含项目部驻地等）租用费（含拆迁补偿）、临时用地的环保、恢复、临时用地的青苗补偿及地面附着物拆除等费用均由承包人负责，以上费用在投标报价中综合考虑。 </w:t>
      </w:r>
    </w:p>
    <w:p>
      <w:pPr>
        <w:pStyle w:val="31"/>
        <w:autoSpaceDE w:val="0"/>
        <w:autoSpaceDN w:val="0"/>
        <w:adjustRightInd w:val="0"/>
        <w:spacing w:line="380" w:lineRule="exact"/>
        <w:ind w:firstLine="420" w:firstLineChars="200"/>
        <w:jc w:val="lef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 xml:space="preserve">②承包人负责合同实施期间其合同段内临时交通道路和交通设施的修建、维修、养护和交通管理工作，并承担一切费用。 </w:t>
      </w:r>
    </w:p>
    <w:p>
      <w:pPr>
        <w:pStyle w:val="31"/>
        <w:autoSpaceDE w:val="0"/>
        <w:autoSpaceDN w:val="0"/>
        <w:adjustRightInd w:val="0"/>
        <w:spacing w:line="380" w:lineRule="exact"/>
        <w:ind w:firstLine="420" w:firstLineChars="200"/>
        <w:jc w:val="lef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 xml:space="preserve">③承包人修建的临时道路和交通设施，应免费提供给发包人、监理工程师和其他合同段的承包人使用，如共同使用的路基损坏严重，发包人或监理工程师将负责通知有关承包人共同出资修复，若使用频率相差悬殊，则按比例分摊。 </w:t>
      </w:r>
    </w:p>
    <w:p>
      <w:pPr>
        <w:pStyle w:val="31"/>
        <w:autoSpaceDE w:val="0"/>
        <w:autoSpaceDN w:val="0"/>
        <w:adjustRightInd w:val="0"/>
        <w:spacing w:line="380" w:lineRule="exact"/>
        <w:ind w:firstLine="420" w:firstLineChars="200"/>
        <w:jc w:val="lef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④承包人在发包人拟开发区域内已经搭设的施工现场办公等临时设施，一旦发包人因开发需要，通知承包人搬迁、拆除的，承包人应无条件在规定期限内搬迁、拆除，发包人不另行支付搬迁、拆除等费用。承包人自行解决民工住宿问题，并承担因此而增加的交通费用、工人生产降效等相关费用。</w:t>
      </w:r>
    </w:p>
    <w:p>
      <w:pPr>
        <w:pStyle w:val="31"/>
        <w:autoSpaceDE w:val="0"/>
        <w:autoSpaceDN w:val="0"/>
        <w:adjustRightInd w:val="0"/>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8.8.2 发包人提供的施工设备和临时设施</w:t>
      </w:r>
    </w:p>
    <w:p>
      <w:pPr>
        <w:pStyle w:val="31"/>
        <w:autoSpaceDE w:val="0"/>
        <w:autoSpaceDN w:val="0"/>
        <w:adjustRightInd w:val="0"/>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发包人提供的施工设备和临时设施：</w:t>
      </w:r>
      <w:r>
        <w:rPr>
          <w:rFonts w:hint="eastAsia" w:ascii="宋体" w:hAnsi="宋体" w:eastAsia="宋体" w:cs="宋体"/>
          <w:color w:val="auto"/>
          <w:sz w:val="21"/>
          <w:szCs w:val="21"/>
          <w:highlight w:val="none"/>
          <w:u w:val="single"/>
        </w:rPr>
        <w:t xml:space="preserve">  无 </w:t>
      </w:r>
      <w:r>
        <w:rPr>
          <w:rFonts w:hint="eastAsia" w:ascii="宋体" w:hAnsi="宋体" w:eastAsia="宋体" w:cs="宋体"/>
          <w:color w:val="auto"/>
          <w:sz w:val="21"/>
          <w:szCs w:val="21"/>
          <w:highlight w:val="none"/>
        </w:rPr>
        <w:t>。</w:t>
      </w:r>
    </w:p>
    <w:p>
      <w:pPr>
        <w:pStyle w:val="31"/>
        <w:autoSpaceDE w:val="0"/>
        <w:autoSpaceDN w:val="0"/>
        <w:adjustRightInd w:val="0"/>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发包人提供的施工设备和临时设施的运行、维护、拆除、清运费用的承担人：</w:t>
      </w:r>
      <w:r>
        <w:rPr>
          <w:rFonts w:hint="eastAsia" w:ascii="宋体" w:hAnsi="宋体" w:eastAsia="宋体" w:cs="宋体"/>
          <w:color w:val="auto"/>
          <w:sz w:val="21"/>
          <w:szCs w:val="21"/>
          <w:highlight w:val="none"/>
          <w:u w:val="single"/>
        </w:rPr>
        <w:t xml:space="preserve">  承包人  </w:t>
      </w:r>
      <w:r>
        <w:rPr>
          <w:rFonts w:hint="eastAsia" w:ascii="宋体" w:hAnsi="宋体" w:eastAsia="宋体" w:cs="宋体"/>
          <w:color w:val="auto"/>
          <w:sz w:val="21"/>
          <w:szCs w:val="21"/>
          <w:highlight w:val="none"/>
        </w:rPr>
        <w:t>。</w:t>
      </w:r>
    </w:p>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Pr>
        <w:pStyle w:val="29"/>
        <w:spacing w:line="380" w:lineRule="exact"/>
        <w:rPr>
          <w:rFonts w:hint="eastAsia" w:ascii="宋体" w:hAnsi="宋体" w:eastAsia="宋体" w:cs="宋体"/>
          <w:color w:val="auto"/>
          <w:sz w:val="21"/>
          <w:szCs w:val="21"/>
          <w:highlight w:val="none"/>
        </w:rPr>
      </w:pPr>
      <w:bookmarkStart w:id="949" w:name="_Toc373478383"/>
      <w:bookmarkStart w:id="950" w:name="_Toc418752278"/>
      <w:bookmarkStart w:id="951" w:name="_Toc389065302"/>
      <w:bookmarkStart w:id="952" w:name="_Toc497747214"/>
      <w:bookmarkStart w:id="953" w:name="_Toc418518146"/>
      <w:bookmarkStart w:id="954" w:name="_Toc256000215"/>
      <w:bookmarkStart w:id="955" w:name="_Toc351203641"/>
      <w:bookmarkStart w:id="956" w:name="_Toc403578970"/>
      <w:bookmarkStart w:id="957" w:name="_Toc373227736"/>
      <w:bookmarkStart w:id="958" w:name="_Toc497746817"/>
      <w:bookmarkStart w:id="959" w:name="_Toc418751832"/>
      <w:bookmarkStart w:id="960" w:name="_Toc24671"/>
      <w:bookmarkStart w:id="961" w:name="_Toc522201765"/>
      <w:bookmarkStart w:id="962" w:name="_Toc418061347"/>
      <w:bookmarkStart w:id="963" w:name="_Toc418518382"/>
      <w:r>
        <w:rPr>
          <w:rFonts w:hint="eastAsia" w:ascii="宋体" w:hAnsi="宋体" w:eastAsia="宋体" w:cs="宋体"/>
          <w:color w:val="auto"/>
          <w:sz w:val="21"/>
          <w:szCs w:val="21"/>
          <w:highlight w:val="none"/>
        </w:rPr>
        <w:t>9</w:t>
      </w:r>
      <w:bookmarkEnd w:id="900"/>
      <w:bookmarkEnd w:id="901"/>
      <w:bookmarkEnd w:id="902"/>
      <w:bookmarkStart w:id="964" w:name="_Toc312677495"/>
      <w:bookmarkStart w:id="965" w:name="_Toc303539139"/>
      <w:bookmarkStart w:id="966" w:name="_Toc297123533"/>
      <w:bookmarkStart w:id="967" w:name="_Toc297216192"/>
      <w:bookmarkStart w:id="968" w:name="_Toc304295559"/>
      <w:bookmarkStart w:id="969" w:name="_Toc312678021"/>
      <w:bookmarkStart w:id="970" w:name="_Toc300934982"/>
      <w:bookmarkStart w:id="971" w:name="_Toc296503173"/>
      <w:bookmarkStart w:id="972" w:name="_Toc292559378"/>
      <w:bookmarkStart w:id="973" w:name="_Toc296944512"/>
      <w:bookmarkStart w:id="974" w:name="_Toc296891213"/>
      <w:bookmarkStart w:id="975" w:name="_Toc267251428"/>
      <w:bookmarkStart w:id="976" w:name="_Toc267251427"/>
      <w:bookmarkStart w:id="977" w:name="_Toc292559883"/>
      <w:bookmarkStart w:id="978" w:name="_Toc296891001"/>
      <w:bookmarkStart w:id="979" w:name="_Toc297048359"/>
      <w:bookmarkStart w:id="980" w:name="_Toc297120473"/>
      <w:bookmarkStart w:id="981" w:name="_Toc296347172"/>
      <w:bookmarkStart w:id="982" w:name="_Toc296346674"/>
      <w:r>
        <w:rPr>
          <w:rFonts w:hint="eastAsia" w:ascii="宋体" w:hAnsi="宋体" w:eastAsia="宋体" w:cs="宋体"/>
          <w:color w:val="auto"/>
          <w:sz w:val="21"/>
          <w:szCs w:val="21"/>
          <w:highlight w:val="none"/>
        </w:rPr>
        <w:t>. 试验与检验</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bookmarkEnd w:id="964"/>
    <w:bookmarkEnd w:id="965"/>
    <w:bookmarkEnd w:id="966"/>
    <w:bookmarkEnd w:id="967"/>
    <w:bookmarkEnd w:id="968"/>
    <w:bookmarkEnd w:id="969"/>
    <w:bookmarkEnd w:id="970"/>
    <w:p>
      <w:pPr>
        <w:pStyle w:val="29"/>
        <w:spacing w:line="380" w:lineRule="exact"/>
        <w:ind w:firstLine="422" w:firstLineChars="200"/>
        <w:rPr>
          <w:rFonts w:hint="eastAsia" w:ascii="宋体" w:hAnsi="宋体" w:eastAsia="宋体" w:cs="宋体"/>
          <w:color w:val="auto"/>
          <w:sz w:val="21"/>
          <w:szCs w:val="21"/>
          <w:highlight w:val="none"/>
        </w:rPr>
      </w:pPr>
      <w:bookmarkStart w:id="983" w:name="_Toc497746818"/>
      <w:bookmarkStart w:id="984" w:name="_Toc418518383"/>
      <w:bookmarkStart w:id="985" w:name="_Toc389065303"/>
      <w:bookmarkStart w:id="986" w:name="_Toc256000216"/>
      <w:bookmarkStart w:id="987" w:name="_Toc373478384"/>
      <w:bookmarkStart w:id="988" w:name="_Toc418061348"/>
      <w:bookmarkStart w:id="989" w:name="_Toc522201766"/>
      <w:bookmarkStart w:id="990" w:name="_Toc497747215"/>
      <w:bookmarkStart w:id="991" w:name="_Toc418518147"/>
      <w:bookmarkStart w:id="992" w:name="_Toc403578971"/>
      <w:bookmarkStart w:id="993" w:name="_Toc373227737"/>
      <w:bookmarkStart w:id="994" w:name="_Toc13651"/>
      <w:bookmarkStart w:id="995" w:name="_Toc418752279"/>
      <w:bookmarkStart w:id="996" w:name="_Toc418751833"/>
      <w:r>
        <w:rPr>
          <w:rFonts w:hint="eastAsia" w:ascii="宋体" w:hAnsi="宋体" w:eastAsia="宋体" w:cs="宋体"/>
          <w:color w:val="auto"/>
          <w:sz w:val="21"/>
          <w:szCs w:val="21"/>
          <w:highlight w:val="none"/>
        </w:rPr>
        <w:t>9</w:t>
      </w:r>
      <w:bookmarkStart w:id="997" w:name="_Toc297123534"/>
      <w:bookmarkStart w:id="998" w:name="_Toc300934983"/>
      <w:bookmarkStart w:id="999" w:name="_Toc304295560"/>
      <w:bookmarkStart w:id="1000" w:name="_Toc312677496"/>
      <w:bookmarkStart w:id="1001" w:name="_Toc303539140"/>
      <w:bookmarkStart w:id="1002" w:name="_Toc297216193"/>
      <w:bookmarkStart w:id="1003" w:name="_Toc312678022"/>
      <w:r>
        <w:rPr>
          <w:rFonts w:hint="eastAsia" w:ascii="宋体" w:hAnsi="宋体" w:eastAsia="宋体" w:cs="宋体"/>
          <w:color w:val="auto"/>
          <w:sz w:val="21"/>
          <w:szCs w:val="21"/>
          <w:highlight w:val="none"/>
        </w:rPr>
        <w:t>.1 试验设备与试验人员</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bookmarkEnd w:id="997"/>
    <w:bookmarkEnd w:id="998"/>
    <w:bookmarkEnd w:id="999"/>
    <w:bookmarkEnd w:id="1000"/>
    <w:bookmarkEnd w:id="1001"/>
    <w:bookmarkEnd w:id="1002"/>
    <w:bookmarkEnd w:id="1003"/>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w:t>
      </w:r>
      <w:bookmarkStart w:id="1004" w:name="_Toc300934984"/>
      <w:bookmarkStart w:id="1005" w:name="_Toc303539141"/>
      <w:bookmarkStart w:id="1006" w:name="_Toc304295561"/>
      <w:bookmarkStart w:id="1007" w:name="_Toc297123535"/>
      <w:bookmarkStart w:id="1008" w:name="_Toc312677497"/>
      <w:bookmarkStart w:id="1009" w:name="_Toc297216194"/>
      <w:bookmarkStart w:id="1010" w:name="_Toc312678023"/>
      <w:bookmarkStart w:id="1011" w:name="_Toc318581174"/>
      <w:r>
        <w:rPr>
          <w:rFonts w:hint="eastAsia" w:ascii="宋体" w:hAnsi="宋体" w:eastAsia="宋体" w:cs="宋体"/>
          <w:color w:val="auto"/>
          <w:sz w:val="21"/>
          <w:szCs w:val="21"/>
          <w:highlight w:val="none"/>
        </w:rPr>
        <w:t>.1.2 试验设备</w:t>
      </w:r>
    </w:p>
    <w:bookmarkEnd w:id="1004"/>
    <w:bookmarkEnd w:id="1005"/>
    <w:bookmarkEnd w:id="1006"/>
    <w:bookmarkEnd w:id="1007"/>
    <w:bookmarkEnd w:id="1008"/>
    <w:bookmarkEnd w:id="1009"/>
    <w:bookmarkEnd w:id="1010"/>
    <w:p>
      <w:pPr>
        <w:pStyle w:val="31"/>
        <w:spacing w:line="380" w:lineRule="exact"/>
        <w:ind w:firstLine="420" w:firstLineChars="200"/>
        <w:jc w:val="left"/>
        <w:rPr>
          <w:rFonts w:hint="eastAsia" w:ascii="宋体" w:hAnsi="宋体" w:eastAsia="宋体" w:cs="宋体"/>
          <w:color w:val="auto"/>
          <w:sz w:val="21"/>
          <w:szCs w:val="21"/>
          <w:highlight w:val="none"/>
        </w:rPr>
      </w:pPr>
      <w:bookmarkStart w:id="1012" w:name="_Toc312678024"/>
      <w:bookmarkStart w:id="1013" w:name="_Toc297216195"/>
      <w:bookmarkStart w:id="1014" w:name="_Toc304295562"/>
      <w:bookmarkStart w:id="1015" w:name="_Toc297123536"/>
      <w:bookmarkStart w:id="1016" w:name="_Toc300934985"/>
      <w:bookmarkStart w:id="1017" w:name="_Toc303539142"/>
      <w:bookmarkStart w:id="1018" w:name="_Toc312677498"/>
      <w:r>
        <w:rPr>
          <w:rFonts w:hint="eastAsia" w:ascii="宋体" w:hAnsi="宋体" w:eastAsia="宋体" w:cs="宋体"/>
          <w:color w:val="auto"/>
          <w:sz w:val="21"/>
          <w:szCs w:val="21"/>
          <w:highlight w:val="none"/>
        </w:rPr>
        <w:t>施工现场需要配置的试验场所：</w:t>
      </w:r>
      <w:r>
        <w:rPr>
          <w:rFonts w:hint="eastAsia" w:ascii="宋体" w:hAnsi="宋体" w:eastAsia="宋体" w:cs="宋体"/>
          <w:color w:val="auto"/>
          <w:sz w:val="21"/>
          <w:szCs w:val="21"/>
          <w:highlight w:val="none"/>
          <w:u w:val="single"/>
        </w:rPr>
        <w:t xml:space="preserve"> 由承包人承担，所需费用包含在投标报价中 </w:t>
      </w:r>
      <w:r>
        <w:rPr>
          <w:rFonts w:hint="eastAsia" w:ascii="宋体" w:hAnsi="宋体" w:eastAsia="宋体" w:cs="宋体"/>
          <w:color w:val="auto"/>
          <w:sz w:val="21"/>
          <w:szCs w:val="21"/>
          <w:highlight w:val="none"/>
        </w:rPr>
        <w:t xml:space="preserve">。 </w:t>
      </w:r>
    </w:p>
    <w:p>
      <w:pPr>
        <w:pStyle w:val="31"/>
        <w:spacing w:line="38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施工现场需要配备的试验设备：</w:t>
      </w:r>
      <w:r>
        <w:rPr>
          <w:rFonts w:hint="eastAsia" w:ascii="宋体" w:hAnsi="宋体" w:eastAsia="宋体" w:cs="宋体"/>
          <w:color w:val="auto"/>
          <w:sz w:val="21"/>
          <w:szCs w:val="21"/>
          <w:highlight w:val="none"/>
          <w:u w:val="single"/>
        </w:rPr>
        <w:t xml:space="preserve"> 由承包人承担，所需费用包含在投标报价中 </w:t>
      </w:r>
      <w:r>
        <w:rPr>
          <w:rFonts w:hint="eastAsia" w:ascii="宋体" w:hAnsi="宋体" w:eastAsia="宋体" w:cs="宋体"/>
          <w:color w:val="auto"/>
          <w:sz w:val="21"/>
          <w:szCs w:val="21"/>
          <w:highlight w:val="none"/>
        </w:rPr>
        <w:t>。</w:t>
      </w:r>
    </w:p>
    <w:p>
      <w:pPr>
        <w:pStyle w:val="31"/>
        <w:spacing w:line="380" w:lineRule="exact"/>
        <w:ind w:firstLine="420" w:firstLineChars="200"/>
        <w:jc w:val="lef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施工现场需要具备的其他试验条件：</w:t>
      </w:r>
      <w:r>
        <w:rPr>
          <w:rFonts w:hint="eastAsia" w:ascii="宋体" w:hAnsi="宋体" w:eastAsia="宋体" w:cs="宋体"/>
          <w:color w:val="auto"/>
          <w:sz w:val="21"/>
          <w:szCs w:val="21"/>
          <w:highlight w:val="none"/>
          <w:u w:val="single"/>
        </w:rPr>
        <w:t xml:space="preserve"> 由承包人承担，所需费用包含在投标报价中 </w:t>
      </w:r>
      <w:r>
        <w:rPr>
          <w:rFonts w:hint="eastAsia" w:ascii="宋体" w:hAnsi="宋体" w:eastAsia="宋体" w:cs="宋体"/>
          <w:color w:val="auto"/>
          <w:sz w:val="21"/>
          <w:szCs w:val="21"/>
          <w:highlight w:val="none"/>
        </w:rPr>
        <w:t>。</w:t>
      </w:r>
    </w:p>
    <w:p>
      <w:pPr>
        <w:pStyle w:val="29"/>
        <w:spacing w:line="380" w:lineRule="exact"/>
        <w:ind w:firstLine="422" w:firstLineChars="200"/>
        <w:rPr>
          <w:rFonts w:hint="eastAsia" w:ascii="宋体" w:hAnsi="宋体" w:eastAsia="宋体" w:cs="宋体"/>
          <w:color w:val="auto"/>
          <w:sz w:val="21"/>
          <w:szCs w:val="21"/>
          <w:highlight w:val="none"/>
        </w:rPr>
      </w:pPr>
      <w:bookmarkStart w:id="1019" w:name="_Toc418752280"/>
      <w:bookmarkStart w:id="1020" w:name="_Toc389065304"/>
      <w:bookmarkStart w:id="1021" w:name="_Toc497747216"/>
      <w:bookmarkStart w:id="1022" w:name="_Toc256000217"/>
      <w:bookmarkStart w:id="1023" w:name="_Toc418518384"/>
      <w:bookmarkStart w:id="1024" w:name="_Toc373227738"/>
      <w:bookmarkStart w:id="1025" w:name="_Toc403578972"/>
      <w:bookmarkStart w:id="1026" w:name="_Toc418518148"/>
      <w:bookmarkStart w:id="1027" w:name="_Toc418061349"/>
      <w:bookmarkStart w:id="1028" w:name="_Toc23915"/>
      <w:bookmarkStart w:id="1029" w:name="_Toc497746819"/>
      <w:bookmarkStart w:id="1030" w:name="_Toc418751834"/>
      <w:bookmarkStart w:id="1031" w:name="_Toc522201767"/>
      <w:bookmarkStart w:id="1032" w:name="_Toc373478385"/>
      <w:r>
        <w:rPr>
          <w:rFonts w:hint="eastAsia" w:ascii="宋体" w:hAnsi="宋体" w:eastAsia="宋体" w:cs="宋体"/>
          <w:color w:val="auto"/>
          <w:sz w:val="21"/>
          <w:szCs w:val="21"/>
          <w:highlight w:val="none"/>
        </w:rPr>
        <w:t>9.4 现场工艺试验</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r>
        <w:rPr>
          <w:rFonts w:hint="eastAsia" w:ascii="宋体" w:hAnsi="宋体" w:eastAsia="宋体" w:cs="宋体"/>
          <w:color w:val="auto"/>
          <w:sz w:val="21"/>
          <w:szCs w:val="21"/>
          <w:highlight w:val="none"/>
        </w:rPr>
        <w:t xml:space="preserve"> </w:t>
      </w:r>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现场工艺试验的有关约定：</w:t>
      </w:r>
      <w:r>
        <w:rPr>
          <w:rFonts w:hint="eastAsia" w:ascii="宋体" w:hAnsi="宋体" w:eastAsia="宋体" w:cs="宋体"/>
          <w:color w:val="auto"/>
          <w:sz w:val="21"/>
          <w:szCs w:val="21"/>
          <w:highlight w:val="none"/>
          <w:u w:val="single"/>
        </w:rPr>
        <w:t xml:space="preserve">  按通用条款执行</w:t>
      </w:r>
      <w:r>
        <w:rPr>
          <w:rFonts w:hint="eastAsia" w:ascii="宋体" w:hAnsi="宋体" w:eastAsia="宋体" w:cs="宋体"/>
          <w:color w:val="auto"/>
          <w:sz w:val="21"/>
          <w:szCs w:val="21"/>
          <w:highlight w:val="none"/>
        </w:rPr>
        <w:t>。</w:t>
      </w:r>
      <w:bookmarkStart w:id="1033" w:name="_Toc406420990"/>
      <w:bookmarkStart w:id="1034" w:name="_Toc406522259"/>
      <w:bookmarkStart w:id="1035" w:name="_Toc395382541"/>
      <w:bookmarkStart w:id="1036" w:name="OLE_LINK1"/>
    </w:p>
    <w:p>
      <w:pPr>
        <w:pStyle w:val="31"/>
        <w:spacing w:line="380" w:lineRule="exact"/>
        <w:ind w:firstLine="422" w:firstLineChars="200"/>
        <w:jc w:val="lef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9.5 检验费用</w:t>
      </w:r>
      <w:bookmarkEnd w:id="1033"/>
      <w:bookmarkEnd w:id="1034"/>
      <w:bookmarkEnd w:id="1035"/>
    </w:p>
    <w:p>
      <w:pPr>
        <w:pStyle w:val="31"/>
        <w:spacing w:line="380" w:lineRule="exact"/>
        <w:ind w:firstLine="411" w:firstLineChars="19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根据《建设工程质量检测管理办法》（建设部令第141号）以及</w:t>
      </w:r>
      <w:r>
        <w:rPr>
          <w:rFonts w:hint="eastAsia" w:ascii="宋体" w:hAnsi="宋体" w:eastAsia="宋体" w:cs="宋体"/>
          <w:bCs/>
          <w:color w:val="auto"/>
          <w:sz w:val="21"/>
          <w:szCs w:val="21"/>
          <w:highlight w:val="none"/>
        </w:rPr>
        <w:t>《广西壮族自治区建设工程质量检测管理规定》（桂建管〔2013〕11号）</w:t>
      </w:r>
      <w:r>
        <w:rPr>
          <w:rFonts w:hint="eastAsia" w:ascii="宋体" w:hAnsi="宋体" w:eastAsia="宋体" w:cs="宋体"/>
          <w:color w:val="auto"/>
          <w:sz w:val="21"/>
          <w:szCs w:val="21"/>
          <w:highlight w:val="none"/>
        </w:rPr>
        <w:t>规定，工程质量检测业务由发包人委托有相应资质的检测机构检测。费用从发包人的项目建设经费中支出并直接支付给检测机构，不计入合同价款内。</w:t>
      </w:r>
      <w:bookmarkEnd w:id="1036"/>
    </w:p>
    <w:bookmarkEnd w:id="1011"/>
    <w:bookmarkEnd w:id="1012"/>
    <w:bookmarkEnd w:id="1013"/>
    <w:bookmarkEnd w:id="1014"/>
    <w:bookmarkEnd w:id="1015"/>
    <w:bookmarkEnd w:id="1016"/>
    <w:bookmarkEnd w:id="1017"/>
    <w:bookmarkEnd w:id="1018"/>
    <w:p>
      <w:pPr>
        <w:pStyle w:val="29"/>
        <w:spacing w:line="380" w:lineRule="exact"/>
        <w:rPr>
          <w:rFonts w:hint="eastAsia" w:ascii="宋体" w:hAnsi="宋体" w:eastAsia="宋体" w:cs="宋体"/>
          <w:color w:val="auto"/>
          <w:sz w:val="21"/>
          <w:szCs w:val="21"/>
          <w:highlight w:val="none"/>
        </w:rPr>
      </w:pPr>
      <w:bookmarkStart w:id="1037" w:name="_Toc389065305"/>
      <w:bookmarkStart w:id="1038" w:name="_Toc5053"/>
      <w:bookmarkStart w:id="1039" w:name="_Toc373478386"/>
      <w:bookmarkStart w:id="1040" w:name="_Toc256000218"/>
      <w:bookmarkStart w:id="1041" w:name="_Toc418061351"/>
      <w:bookmarkStart w:id="1042" w:name="_Toc418751836"/>
      <w:bookmarkStart w:id="1043" w:name="_Toc418518150"/>
      <w:bookmarkStart w:id="1044" w:name="_Toc497746821"/>
      <w:bookmarkStart w:id="1045" w:name="_Toc418518386"/>
      <w:bookmarkStart w:id="1046" w:name="_Toc497747218"/>
      <w:bookmarkStart w:id="1047" w:name="_Toc373227739"/>
      <w:bookmarkStart w:id="1048" w:name="_Toc522201768"/>
      <w:bookmarkStart w:id="1049" w:name="_Toc403578974"/>
      <w:bookmarkStart w:id="1050" w:name="_Toc351203642"/>
      <w:bookmarkStart w:id="1051" w:name="_Toc418752282"/>
      <w:r>
        <w:rPr>
          <w:rFonts w:hint="eastAsia" w:ascii="宋体" w:hAnsi="宋体" w:eastAsia="宋体" w:cs="宋体"/>
          <w:color w:val="auto"/>
          <w:sz w:val="21"/>
          <w:szCs w:val="21"/>
          <w:highlight w:val="none"/>
        </w:rPr>
        <w:t>1</w:t>
      </w:r>
      <w:bookmarkEnd w:id="971"/>
      <w:bookmarkEnd w:id="972"/>
      <w:bookmarkEnd w:id="973"/>
      <w:bookmarkEnd w:id="974"/>
      <w:bookmarkEnd w:id="975"/>
      <w:bookmarkEnd w:id="976"/>
      <w:bookmarkEnd w:id="977"/>
      <w:bookmarkEnd w:id="978"/>
      <w:bookmarkEnd w:id="979"/>
      <w:bookmarkEnd w:id="980"/>
      <w:bookmarkEnd w:id="981"/>
      <w:bookmarkEnd w:id="982"/>
      <w:bookmarkStart w:id="1052" w:name="_Toc292559903"/>
      <w:bookmarkStart w:id="1053" w:name="_Toc296503193"/>
      <w:bookmarkStart w:id="1054" w:name="_Toc303539146"/>
      <w:bookmarkStart w:id="1055" w:name="_Toc296346694"/>
      <w:bookmarkStart w:id="1056" w:name="_Toc296891233"/>
      <w:bookmarkStart w:id="1057" w:name="_Toc296944532"/>
      <w:bookmarkStart w:id="1058" w:name="_Toc300934989"/>
      <w:bookmarkStart w:id="1059" w:name="_Toc292559398"/>
      <w:bookmarkStart w:id="1060" w:name="_Toc296891021"/>
      <w:bookmarkStart w:id="1061" w:name="_Toc297048379"/>
      <w:bookmarkStart w:id="1062" w:name="_Toc304295566"/>
      <w:bookmarkStart w:id="1063" w:name="_Toc296347192"/>
      <w:bookmarkStart w:id="1064" w:name="_Toc297120493"/>
      <w:bookmarkStart w:id="1065" w:name="_Toc297123540"/>
      <w:bookmarkStart w:id="1066" w:name="_Toc297216199"/>
      <w:bookmarkStart w:id="1067" w:name="_Toc312677499"/>
      <w:bookmarkStart w:id="1068" w:name="_Toc312678025"/>
      <w:bookmarkStart w:id="1069" w:name="_Toc267251441"/>
      <w:bookmarkStart w:id="1070" w:name="_Toc267251440"/>
      <w:bookmarkStart w:id="1071" w:name="_Toc267251439"/>
      <w:bookmarkStart w:id="1072" w:name="_Toc267251437"/>
      <w:bookmarkStart w:id="1073" w:name="_Toc267251433"/>
      <w:bookmarkStart w:id="1074" w:name="_Toc267251435"/>
      <w:bookmarkStart w:id="1075" w:name="_Toc267251442"/>
      <w:r>
        <w:rPr>
          <w:rFonts w:hint="eastAsia" w:ascii="宋体" w:hAnsi="宋体" w:eastAsia="宋体" w:cs="宋体"/>
          <w:color w:val="auto"/>
          <w:sz w:val="21"/>
          <w:szCs w:val="21"/>
          <w:highlight w:val="none"/>
        </w:rPr>
        <w:t>0. 变更</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bookmarkEnd w:id="1067"/>
    <w:bookmarkEnd w:id="1068"/>
    <w:p>
      <w:pPr>
        <w:pStyle w:val="29"/>
        <w:spacing w:line="380" w:lineRule="exact"/>
        <w:ind w:firstLine="422" w:firstLineChars="200"/>
        <w:rPr>
          <w:rFonts w:hint="eastAsia" w:ascii="宋体" w:hAnsi="宋体" w:eastAsia="宋体" w:cs="宋体"/>
          <w:color w:val="auto"/>
          <w:sz w:val="21"/>
          <w:szCs w:val="21"/>
          <w:highlight w:val="none"/>
        </w:rPr>
      </w:pPr>
      <w:bookmarkStart w:id="1076" w:name="_Toc373478387"/>
      <w:bookmarkStart w:id="1077" w:name="_Toc497747219"/>
      <w:bookmarkStart w:id="1078" w:name="_Toc403578975"/>
      <w:bookmarkStart w:id="1079" w:name="_Toc418518151"/>
      <w:bookmarkStart w:id="1080" w:name="_Toc418518387"/>
      <w:bookmarkStart w:id="1081" w:name="_Toc497746822"/>
      <w:bookmarkStart w:id="1082" w:name="_Toc418752283"/>
      <w:bookmarkStart w:id="1083" w:name="_Toc389065306"/>
      <w:bookmarkStart w:id="1084" w:name="_Toc522201769"/>
      <w:bookmarkStart w:id="1085" w:name="_Toc418061352"/>
      <w:bookmarkStart w:id="1086" w:name="_Toc418751837"/>
      <w:bookmarkStart w:id="1087" w:name="_Toc15016"/>
      <w:bookmarkStart w:id="1088" w:name="_Toc256000219"/>
      <w:bookmarkStart w:id="1089" w:name="_Toc373227740"/>
      <w:r>
        <w:rPr>
          <w:rFonts w:hint="eastAsia" w:ascii="宋体" w:hAnsi="宋体" w:eastAsia="宋体" w:cs="宋体"/>
          <w:color w:val="auto"/>
          <w:sz w:val="21"/>
          <w:szCs w:val="21"/>
          <w:highlight w:val="none"/>
        </w:rPr>
        <w:t>1</w:t>
      </w:r>
      <w:bookmarkStart w:id="1090" w:name="_Toc297048380"/>
      <w:bookmarkStart w:id="1091" w:name="_Toc297120494"/>
      <w:bookmarkStart w:id="1092" w:name="_Toc297216200"/>
      <w:bookmarkStart w:id="1093" w:name="_Toc312678026"/>
      <w:bookmarkStart w:id="1094" w:name="_Toc297123541"/>
      <w:bookmarkStart w:id="1095" w:name="_Toc296944533"/>
      <w:bookmarkStart w:id="1096" w:name="_Toc296347193"/>
      <w:bookmarkStart w:id="1097" w:name="_Toc296891022"/>
      <w:bookmarkStart w:id="1098" w:name="_Toc296346695"/>
      <w:bookmarkStart w:id="1099" w:name="_Toc303539147"/>
      <w:bookmarkStart w:id="1100" w:name="_Toc292559904"/>
      <w:bookmarkStart w:id="1101" w:name="_Toc312677500"/>
      <w:bookmarkStart w:id="1102" w:name="_Toc296503194"/>
      <w:bookmarkStart w:id="1103" w:name="_Toc292559399"/>
      <w:bookmarkStart w:id="1104" w:name="_Toc304295567"/>
      <w:bookmarkStart w:id="1105" w:name="_Toc300934990"/>
      <w:bookmarkStart w:id="1106" w:name="_Toc296891234"/>
      <w:r>
        <w:rPr>
          <w:rFonts w:hint="eastAsia" w:ascii="宋体" w:hAnsi="宋体" w:eastAsia="宋体" w:cs="宋体"/>
          <w:color w:val="auto"/>
          <w:sz w:val="21"/>
          <w:szCs w:val="21"/>
          <w:highlight w:val="none"/>
        </w:rPr>
        <w:t>0.1 变更的范围</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pStyle w:val="31"/>
        <w:spacing w:line="380" w:lineRule="exact"/>
        <w:ind w:firstLine="411" w:firstLineChars="19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关于变更的范围的约定：</w:t>
      </w:r>
      <w:r>
        <w:rPr>
          <w:rFonts w:hint="eastAsia" w:ascii="宋体" w:hAnsi="宋体" w:eastAsia="宋体" w:cs="宋体"/>
          <w:color w:val="auto"/>
          <w:sz w:val="21"/>
          <w:szCs w:val="21"/>
          <w:highlight w:val="none"/>
          <w:u w:val="single"/>
        </w:rPr>
        <w:t>施工期间因不可预见因素或发包人要求所发生的工程量增减（由变更、签证产生），其工程量按实际发生并经监理工程师及发包人签证认可，工程变更综合单价按专用条款第10.4点规定执行</w:t>
      </w:r>
      <w:r>
        <w:rPr>
          <w:rFonts w:hint="eastAsia" w:ascii="宋体" w:hAnsi="宋体" w:eastAsia="宋体" w:cs="宋体"/>
          <w:color w:val="auto"/>
          <w:sz w:val="21"/>
          <w:szCs w:val="21"/>
          <w:highlight w:val="none"/>
        </w:rPr>
        <w:t>。</w:t>
      </w:r>
      <w:bookmarkStart w:id="1107" w:name="_Toc395382544"/>
      <w:bookmarkStart w:id="1108" w:name="_Toc373227741"/>
      <w:bookmarkStart w:id="1109" w:name="_Toc406522262"/>
      <w:bookmarkStart w:id="1110" w:name="_Toc373478388"/>
      <w:bookmarkStart w:id="1111" w:name="_Toc389065307"/>
    </w:p>
    <w:p>
      <w:pPr>
        <w:pStyle w:val="29"/>
        <w:spacing w:line="380" w:lineRule="exact"/>
        <w:ind w:firstLine="422" w:firstLineChars="200"/>
        <w:rPr>
          <w:rFonts w:hint="eastAsia" w:ascii="宋体" w:hAnsi="宋体" w:eastAsia="宋体" w:cs="宋体"/>
          <w:color w:val="auto"/>
          <w:sz w:val="21"/>
          <w:szCs w:val="21"/>
          <w:highlight w:val="none"/>
        </w:rPr>
      </w:pPr>
      <w:bookmarkStart w:id="1112" w:name="_Toc256000220"/>
      <w:bookmarkStart w:id="1113" w:name="_Toc10031"/>
      <w:r>
        <w:rPr>
          <w:rFonts w:hint="eastAsia" w:ascii="宋体" w:hAnsi="宋体" w:eastAsia="宋体" w:cs="宋体"/>
          <w:color w:val="auto"/>
          <w:sz w:val="21"/>
          <w:szCs w:val="21"/>
          <w:highlight w:val="none"/>
        </w:rPr>
        <w:t>10.3 变更程序</w:t>
      </w:r>
      <w:bookmarkEnd w:id="1107"/>
      <w:bookmarkEnd w:id="1108"/>
      <w:bookmarkEnd w:id="1109"/>
      <w:bookmarkEnd w:id="1110"/>
      <w:bookmarkEnd w:id="1111"/>
      <w:bookmarkEnd w:id="1112"/>
      <w:bookmarkEnd w:id="1113"/>
    </w:p>
    <w:p>
      <w:pPr>
        <w:pStyle w:val="31"/>
        <w:spacing w:line="380" w:lineRule="exact"/>
        <w:ind w:firstLine="411" w:firstLineChars="19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10.3.1 国有投资项目：</w:t>
      </w:r>
    </w:p>
    <w:p>
      <w:pPr>
        <w:pStyle w:val="31"/>
        <w:spacing w:line="380" w:lineRule="exact"/>
        <w:ind w:firstLine="411" w:firstLineChars="19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⑴设计变更和工程签证，按各市政府或相关部门的规定办理。属不可抗力（自然灾害、突发事件等）造成变更的，按特事特办原则予以办理。</w:t>
      </w:r>
    </w:p>
    <w:p>
      <w:pPr>
        <w:pStyle w:val="31"/>
        <w:spacing w:line="380" w:lineRule="exact"/>
        <w:ind w:firstLine="411" w:firstLineChars="19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⑵发包人在实施项目过程中，若发生单价变动，由发包人、监理单位、承包人及其他相关单位共同商定并签字确认。</w:t>
      </w:r>
    </w:p>
    <w:p>
      <w:pPr>
        <w:pStyle w:val="31"/>
        <w:spacing w:line="380" w:lineRule="exact"/>
        <w:ind w:firstLine="411" w:firstLineChars="19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⑶ 当合同规定的合同价款调整情况发生后，承包人未在规定时间内通知发包人，或者未在规定时间内提出调整报告，发包人可以根据有关资料，决定是否调整和调整的金额，并书面通知承包人。</w:t>
      </w:r>
    </w:p>
    <w:p>
      <w:pPr>
        <w:pStyle w:val="31"/>
        <w:spacing w:line="380" w:lineRule="exact"/>
        <w:ind w:firstLine="411" w:firstLineChars="19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10.3.2 非国有投资项目：同通用条款。</w:t>
      </w:r>
    </w:p>
    <w:p>
      <w:pPr>
        <w:pStyle w:val="29"/>
        <w:spacing w:line="380" w:lineRule="exact"/>
        <w:ind w:firstLine="422" w:firstLineChars="200"/>
        <w:rPr>
          <w:rFonts w:hint="eastAsia" w:ascii="宋体" w:hAnsi="宋体" w:eastAsia="宋体" w:cs="宋体"/>
          <w:color w:val="auto"/>
          <w:sz w:val="21"/>
          <w:szCs w:val="21"/>
          <w:highlight w:val="none"/>
        </w:rPr>
      </w:pPr>
      <w:bookmarkStart w:id="1114" w:name="_Toc522201770"/>
      <w:bookmarkStart w:id="1115" w:name="_Toc418752285"/>
      <w:bookmarkStart w:id="1116" w:name="_Toc497747221"/>
      <w:bookmarkStart w:id="1117" w:name="_Toc373478389"/>
      <w:bookmarkStart w:id="1118" w:name="_Toc373227742"/>
      <w:bookmarkStart w:id="1119" w:name="_Toc256000221"/>
      <w:bookmarkStart w:id="1120" w:name="_Toc418518389"/>
      <w:bookmarkStart w:id="1121" w:name="_Toc418061354"/>
      <w:bookmarkStart w:id="1122" w:name="_Toc497746824"/>
      <w:bookmarkStart w:id="1123" w:name="_Toc403578977"/>
      <w:bookmarkStart w:id="1124" w:name="_Toc16629"/>
      <w:bookmarkStart w:id="1125" w:name="_Toc389065308"/>
      <w:bookmarkStart w:id="1126" w:name="_Toc418518153"/>
      <w:bookmarkStart w:id="1127" w:name="_Toc418751839"/>
      <w:r>
        <w:rPr>
          <w:rFonts w:hint="eastAsia" w:ascii="宋体" w:hAnsi="宋体" w:eastAsia="宋体" w:cs="宋体"/>
          <w:color w:val="auto"/>
          <w:sz w:val="21"/>
          <w:szCs w:val="21"/>
          <w:highlight w:val="none"/>
        </w:rPr>
        <w:t>10.4 变更估价</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pPr>
        <w:pStyle w:val="31"/>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10.4.1 变更估价原则</w:t>
      </w:r>
    </w:p>
    <w:p>
      <w:pPr>
        <w:keepNext w:val="0"/>
        <w:keepLines w:val="0"/>
        <w:pageBreakBefore w:val="0"/>
        <w:widowControl w:val="0"/>
        <w:tabs>
          <w:tab w:val="left" w:pos="1766"/>
        </w:tabs>
        <w:kinsoku/>
        <w:wordWrap/>
        <w:overflowPunct/>
        <w:topLinePunct w:val="0"/>
        <w:autoSpaceDE/>
        <w:autoSpaceDN/>
        <w:bidi w:val="0"/>
        <w:adjustRightInd/>
        <w:snapToGrid/>
        <w:spacing w:line="380" w:lineRule="exact"/>
        <w:ind w:firstLine="420" w:firstLineChars="200"/>
        <w:jc w:val="left"/>
        <w:textAlignment w:val="auto"/>
        <w:rPr>
          <w:rFonts w:hint="eastAsia" w:ascii="宋体" w:hAnsi="宋体" w:eastAsia="宋体" w:cs="宋体"/>
          <w:b w:val="0"/>
          <w:bCs w:val="0"/>
          <w:color w:val="auto"/>
          <w:sz w:val="21"/>
          <w:szCs w:val="21"/>
          <w:highlight w:val="none"/>
        </w:rPr>
      </w:pPr>
      <w:bookmarkStart w:id="1128" w:name="_Toc3075"/>
      <w:r>
        <w:rPr>
          <w:rFonts w:hint="eastAsia" w:ascii="宋体" w:hAnsi="宋体" w:eastAsia="宋体" w:cs="宋体"/>
          <w:b w:val="0"/>
          <w:bCs w:val="0"/>
          <w:color w:val="auto"/>
          <w:sz w:val="21"/>
          <w:szCs w:val="21"/>
          <w:highlight w:val="none"/>
        </w:rPr>
        <w:t xml:space="preserve">关于变更估价的约定: </w:t>
      </w:r>
      <w:bookmarkStart w:id="1129" w:name="_Toc418518154"/>
      <w:bookmarkStart w:id="1130" w:name="_Toc418751840"/>
      <w:bookmarkStart w:id="1131" w:name="_Toc403578978"/>
      <w:bookmarkStart w:id="1132" w:name="_Toc418752286"/>
      <w:bookmarkStart w:id="1133" w:name="_Toc497747222"/>
      <w:bookmarkStart w:id="1134" w:name="_Toc497746825"/>
      <w:bookmarkStart w:id="1135" w:name="_Toc522201771"/>
      <w:bookmarkStart w:id="1136" w:name="_Toc373478390"/>
      <w:bookmarkStart w:id="1137" w:name="_Toc256000222"/>
      <w:bookmarkStart w:id="1138" w:name="_Toc389065309"/>
      <w:bookmarkStart w:id="1139" w:name="_Toc418518390"/>
      <w:bookmarkStart w:id="1140" w:name="_Toc418061355"/>
      <w:bookmarkStart w:id="1141" w:name="_Toc373227743"/>
      <w:r>
        <w:rPr>
          <w:rFonts w:hint="eastAsia" w:ascii="宋体" w:hAnsi="宋体" w:eastAsia="宋体" w:cs="宋体"/>
          <w:b w:val="0"/>
          <w:bCs w:val="0"/>
          <w:color w:val="auto"/>
          <w:sz w:val="21"/>
          <w:szCs w:val="21"/>
          <w:highlight w:val="none"/>
        </w:rPr>
        <w:t>因发包人要求的设计变更、相关签证和工程量清单错误引起的工程项目及工程量任何变化的（本工程的工程量以实际完成计算），其变更合同价款按下列方法进行：</w:t>
      </w:r>
      <w:bookmarkEnd w:id="1128"/>
    </w:p>
    <w:p>
      <w:pPr>
        <w:keepNext w:val="0"/>
        <w:keepLines w:val="0"/>
        <w:pageBreakBefore w:val="0"/>
        <w:widowControl w:val="0"/>
        <w:tabs>
          <w:tab w:val="left" w:pos="1966"/>
        </w:tabs>
        <w:kinsoku/>
        <w:wordWrap/>
        <w:overflowPunct/>
        <w:topLinePunct w:val="0"/>
        <w:autoSpaceDE/>
        <w:autoSpaceDN/>
        <w:bidi w:val="0"/>
        <w:adjustRightInd/>
        <w:snapToGrid/>
        <w:spacing w:line="380" w:lineRule="exact"/>
        <w:ind w:firstLine="420" w:firstLineChars="200"/>
        <w:jc w:val="left"/>
        <w:textAlignment w:val="auto"/>
        <w:rPr>
          <w:rFonts w:hint="eastAsia" w:ascii="宋体" w:hAnsi="宋体" w:eastAsia="宋体" w:cs="宋体"/>
          <w:b w:val="0"/>
          <w:bCs w:val="0"/>
          <w:color w:val="auto"/>
          <w:sz w:val="21"/>
          <w:szCs w:val="21"/>
          <w:highlight w:val="none"/>
        </w:rPr>
      </w:pPr>
      <w:bookmarkStart w:id="1142" w:name="_Toc32363"/>
      <w:r>
        <w:rPr>
          <w:rFonts w:hint="eastAsia" w:ascii="宋体" w:hAnsi="宋体" w:eastAsia="宋体" w:cs="宋体"/>
          <w:b w:val="0"/>
          <w:bCs w:val="0"/>
          <w:color w:val="auto"/>
          <w:sz w:val="21"/>
          <w:szCs w:val="21"/>
          <w:highlight w:val="none"/>
        </w:rPr>
        <w:t>（1）合同中已有相同清单项目的，按合同该清单项目价格进行计算；</w:t>
      </w:r>
      <w:bookmarkEnd w:id="1142"/>
    </w:p>
    <w:p>
      <w:pPr>
        <w:keepNext w:val="0"/>
        <w:keepLines w:val="0"/>
        <w:pageBreakBefore w:val="0"/>
        <w:widowControl w:val="0"/>
        <w:tabs>
          <w:tab w:val="left" w:pos="2441"/>
        </w:tabs>
        <w:kinsoku/>
        <w:wordWrap/>
        <w:overflowPunct/>
        <w:topLinePunct w:val="0"/>
        <w:autoSpaceDE/>
        <w:autoSpaceDN/>
        <w:bidi w:val="0"/>
        <w:adjustRightInd/>
        <w:snapToGrid/>
        <w:spacing w:line="380" w:lineRule="exact"/>
        <w:ind w:firstLine="420" w:firstLineChars="200"/>
        <w:jc w:val="left"/>
        <w:textAlignment w:val="auto"/>
        <w:rPr>
          <w:rFonts w:hint="eastAsia" w:ascii="宋体" w:hAnsi="宋体" w:eastAsia="宋体" w:cs="宋体"/>
          <w:b w:val="0"/>
          <w:bCs w:val="0"/>
          <w:color w:val="auto"/>
          <w:sz w:val="21"/>
          <w:szCs w:val="21"/>
          <w:highlight w:val="none"/>
        </w:rPr>
      </w:pPr>
      <w:bookmarkStart w:id="1143" w:name="_Toc5741"/>
      <w:r>
        <w:rPr>
          <w:rFonts w:hint="eastAsia" w:ascii="宋体" w:hAnsi="宋体" w:eastAsia="宋体" w:cs="宋体"/>
          <w:b w:val="0"/>
          <w:bCs w:val="0"/>
          <w:color w:val="auto"/>
          <w:sz w:val="21"/>
          <w:szCs w:val="21"/>
          <w:highlight w:val="none"/>
        </w:rPr>
        <w:t>（2）合同中只有类似清单项目的，参照该类似清单项目价格进行计算；</w:t>
      </w:r>
      <w:bookmarkEnd w:id="1143"/>
    </w:p>
    <w:p>
      <w:pPr>
        <w:keepNext w:val="0"/>
        <w:keepLines w:val="0"/>
        <w:pageBreakBefore w:val="0"/>
        <w:widowControl w:val="0"/>
        <w:tabs>
          <w:tab w:val="left" w:pos="791"/>
        </w:tabs>
        <w:kinsoku/>
        <w:wordWrap/>
        <w:overflowPunct/>
        <w:topLinePunct w:val="0"/>
        <w:autoSpaceDE/>
        <w:autoSpaceDN/>
        <w:bidi w:val="0"/>
        <w:adjustRightInd/>
        <w:snapToGrid/>
        <w:spacing w:line="380" w:lineRule="exact"/>
        <w:ind w:firstLine="420" w:firstLineChars="200"/>
        <w:jc w:val="left"/>
        <w:textAlignment w:val="auto"/>
        <w:rPr>
          <w:rFonts w:hint="eastAsia" w:ascii="宋体" w:hAnsi="宋体" w:eastAsia="宋体" w:cs="宋体"/>
          <w:b w:val="0"/>
          <w:bCs w:val="0"/>
          <w:color w:val="auto"/>
          <w:sz w:val="21"/>
          <w:szCs w:val="21"/>
          <w:highlight w:val="none"/>
        </w:rPr>
      </w:pPr>
      <w:bookmarkStart w:id="1144" w:name="_Toc741"/>
      <w:r>
        <w:rPr>
          <w:rFonts w:hint="eastAsia" w:ascii="宋体" w:hAnsi="宋体" w:eastAsia="宋体" w:cs="宋体"/>
          <w:b w:val="0"/>
          <w:bCs w:val="0"/>
          <w:color w:val="auto"/>
          <w:sz w:val="21"/>
          <w:szCs w:val="21"/>
          <w:highlight w:val="none"/>
        </w:rPr>
        <w:t>（3）合同中没有适用或类似清单项目的价格计算方法：有定额的套用定额，并按照本工程编制招标控制价的依据及相关文件规定计算，并乘以下浮系数（中标报价÷评审预算控制价）计算，其中材料价格按评审期的《桂林市建设工程造价信息》(兴安县)相应价格信息进行计算；《桂林市建设工程造价信息》(兴安县)评审期没有相应价格信息的参照《桂林市建设工程造价信息》桂林市评审期相应价格信息或按市场询价计算；无定额可套的，根据市场价格协商确定综合价格；</w:t>
      </w:r>
      <w:bookmarkEnd w:id="1144"/>
    </w:p>
    <w:p>
      <w:pPr>
        <w:keepNext w:val="0"/>
        <w:keepLines w:val="0"/>
        <w:pageBreakBefore w:val="0"/>
        <w:widowControl w:val="0"/>
        <w:tabs>
          <w:tab w:val="left" w:pos="1741"/>
        </w:tabs>
        <w:kinsoku/>
        <w:wordWrap/>
        <w:overflowPunct/>
        <w:topLinePunct w:val="0"/>
        <w:autoSpaceDE/>
        <w:autoSpaceDN/>
        <w:bidi w:val="0"/>
        <w:adjustRightInd/>
        <w:snapToGrid/>
        <w:spacing w:line="380" w:lineRule="exact"/>
        <w:ind w:firstLine="420" w:firstLineChars="200"/>
        <w:jc w:val="left"/>
        <w:textAlignment w:val="auto"/>
        <w:rPr>
          <w:rFonts w:hint="eastAsia" w:ascii="宋体" w:hAnsi="宋体" w:eastAsia="宋体" w:cs="宋体"/>
          <w:b w:val="0"/>
          <w:bCs w:val="0"/>
          <w:color w:val="auto"/>
          <w:sz w:val="21"/>
          <w:szCs w:val="21"/>
          <w:highlight w:val="none"/>
        </w:rPr>
      </w:pPr>
      <w:bookmarkStart w:id="1145" w:name="_Toc22894"/>
      <w:r>
        <w:rPr>
          <w:rFonts w:hint="eastAsia" w:ascii="宋体" w:hAnsi="宋体" w:eastAsia="宋体" w:cs="宋体"/>
          <w:b w:val="0"/>
          <w:bCs w:val="0"/>
          <w:color w:val="auto"/>
          <w:sz w:val="21"/>
          <w:szCs w:val="21"/>
          <w:highlight w:val="none"/>
        </w:rPr>
        <w:t>（4）若发包人和监理人认为有关的工作不能以实物工程量的方法计算及估值时，则按以下的方法计算：若工程量清单中有计日工价目表，则以计日工价目表中相应的项目计价；若计日工作价目表中无类似项目，则按三方协商的价格估值。附带条件为，承包人须提交每天用于该项工作的时间的记录、相关工人的姓名及经发包人、监理人复核的所用物料的清单。上述数据须于该项工作执行后的一星期内提交给发包人及监理人。</w:t>
      </w:r>
      <w:bookmarkEnd w:id="1145"/>
    </w:p>
    <w:p>
      <w:pPr>
        <w:keepNext w:val="0"/>
        <w:keepLines w:val="0"/>
        <w:pageBreakBefore w:val="0"/>
        <w:widowControl w:val="0"/>
        <w:tabs>
          <w:tab w:val="left" w:pos="1941"/>
        </w:tabs>
        <w:kinsoku/>
        <w:wordWrap/>
        <w:overflowPunct/>
        <w:topLinePunct w:val="0"/>
        <w:autoSpaceDE/>
        <w:autoSpaceDN/>
        <w:bidi w:val="0"/>
        <w:adjustRightInd/>
        <w:snapToGrid/>
        <w:spacing w:line="380" w:lineRule="exact"/>
        <w:ind w:firstLine="420" w:firstLineChars="200"/>
        <w:jc w:val="left"/>
        <w:textAlignment w:val="auto"/>
        <w:rPr>
          <w:rFonts w:hint="eastAsia" w:ascii="宋体" w:hAnsi="宋体" w:eastAsia="宋体" w:cs="宋体"/>
          <w:b w:val="0"/>
          <w:bCs w:val="0"/>
          <w:color w:val="auto"/>
          <w:sz w:val="21"/>
          <w:szCs w:val="21"/>
          <w:highlight w:val="none"/>
        </w:rPr>
      </w:pPr>
      <w:bookmarkStart w:id="1146" w:name="_Toc5552"/>
      <w:r>
        <w:rPr>
          <w:rFonts w:hint="eastAsia" w:ascii="宋体" w:hAnsi="宋体" w:eastAsia="宋体" w:cs="宋体"/>
          <w:b w:val="0"/>
          <w:bCs w:val="0"/>
          <w:color w:val="auto"/>
          <w:sz w:val="21"/>
          <w:szCs w:val="21"/>
          <w:highlight w:val="none"/>
        </w:rPr>
        <w:t>（5）暂定价调整方法为：暂定材料价格部分仅调整合同实施期间材料市场价与暂定价之间的材差并计相应的规费和增值税，投标书中相应的综合单价不再调整。专业工程暂估价的确定方法：由承包人申报单价，发包人组织监理人、造价审核机构共同询价确定。如发包人认为材料暂估价及专业工程暂估价需要进行市场询价的，应以询价小组（询价小组由发包人、承包人、监理人组成）调查确认的单价为准。</w:t>
      </w:r>
      <w:bookmarkEnd w:id="1146"/>
    </w:p>
    <w:p>
      <w:pPr>
        <w:pStyle w:val="29"/>
        <w:spacing w:line="380" w:lineRule="exact"/>
        <w:ind w:firstLine="420" w:firstLineChars="200"/>
        <w:rPr>
          <w:rFonts w:hint="eastAsia" w:ascii="宋体" w:hAnsi="宋体" w:eastAsia="宋体" w:cs="宋体"/>
          <w:b w:val="0"/>
          <w:bCs w:val="0"/>
          <w:color w:val="auto"/>
          <w:sz w:val="21"/>
          <w:szCs w:val="21"/>
          <w:highlight w:val="none"/>
        </w:rPr>
      </w:pPr>
      <w:bookmarkStart w:id="1147" w:name="_Toc9798"/>
      <w:r>
        <w:rPr>
          <w:rFonts w:hint="eastAsia" w:ascii="宋体" w:hAnsi="宋体" w:eastAsia="宋体" w:cs="宋体"/>
          <w:b w:val="0"/>
          <w:bCs w:val="0"/>
          <w:color w:val="auto"/>
          <w:sz w:val="21"/>
          <w:szCs w:val="21"/>
          <w:highlight w:val="none"/>
        </w:rPr>
        <w:t>（6）无约定的参照我区现行《建设工程工程量清单计价规范》及配套定额相关规定执行。</w:t>
      </w:r>
      <w:bookmarkEnd w:id="1147"/>
    </w:p>
    <w:p>
      <w:pPr>
        <w:pStyle w:val="29"/>
        <w:spacing w:line="380" w:lineRule="exact"/>
        <w:ind w:firstLine="420" w:firstLineChars="200"/>
        <w:rPr>
          <w:rFonts w:hint="eastAsia" w:ascii="宋体" w:hAnsi="宋体" w:eastAsia="宋体" w:cs="宋体"/>
          <w:b w:val="0"/>
          <w:bCs w:val="0"/>
          <w:color w:val="auto"/>
          <w:sz w:val="21"/>
          <w:szCs w:val="21"/>
          <w:highlight w:val="none"/>
        </w:rPr>
      </w:pPr>
      <w:bookmarkStart w:id="1148" w:name="_Toc21925"/>
      <w:r>
        <w:rPr>
          <w:rFonts w:hint="eastAsia" w:ascii="宋体" w:hAnsi="宋体" w:eastAsia="宋体" w:cs="宋体"/>
          <w:b w:val="0"/>
          <w:bCs w:val="0"/>
          <w:color w:val="auto"/>
          <w:sz w:val="21"/>
          <w:szCs w:val="21"/>
          <w:highlight w:val="none"/>
        </w:rPr>
        <w:t>（7）本工程最终结算以审计部门投资审计中心审核后并经发包人及承包人双方确认的金额为准。</w:t>
      </w:r>
      <w:bookmarkEnd w:id="1148"/>
    </w:p>
    <w:p>
      <w:pPr>
        <w:pStyle w:val="29"/>
        <w:spacing w:line="380" w:lineRule="exact"/>
        <w:ind w:firstLine="422" w:firstLineChars="200"/>
        <w:rPr>
          <w:rFonts w:hint="eastAsia" w:ascii="宋体" w:hAnsi="宋体" w:eastAsia="宋体" w:cs="宋体"/>
          <w:color w:val="auto"/>
          <w:sz w:val="21"/>
          <w:szCs w:val="21"/>
          <w:highlight w:val="none"/>
        </w:rPr>
      </w:pPr>
      <w:bookmarkStart w:id="1149" w:name="_Toc20630"/>
      <w:r>
        <w:rPr>
          <w:rFonts w:hint="eastAsia" w:ascii="宋体" w:hAnsi="宋体" w:eastAsia="宋体" w:cs="宋体"/>
          <w:color w:val="auto"/>
          <w:sz w:val="21"/>
          <w:szCs w:val="21"/>
          <w:highlight w:val="none"/>
        </w:rPr>
        <w:t>1</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Start w:id="1150" w:name="_Toc296347196"/>
      <w:bookmarkStart w:id="1151" w:name="_Toc296891025"/>
      <w:bookmarkStart w:id="1152" w:name="_Toc297123544"/>
      <w:bookmarkStart w:id="1153" w:name="_Toc296891237"/>
      <w:bookmarkStart w:id="1154" w:name="_Toc292559402"/>
      <w:bookmarkStart w:id="1155" w:name="_Toc297048383"/>
      <w:bookmarkStart w:id="1156" w:name="_Toc303539150"/>
      <w:bookmarkStart w:id="1157" w:name="_Toc292559907"/>
      <w:bookmarkStart w:id="1158" w:name="_Toc296503197"/>
      <w:bookmarkStart w:id="1159" w:name="_Toc297216203"/>
      <w:bookmarkStart w:id="1160" w:name="_Toc300934993"/>
      <w:bookmarkStart w:id="1161" w:name="_Toc297120497"/>
      <w:bookmarkStart w:id="1162" w:name="_Toc296944536"/>
      <w:bookmarkStart w:id="1163" w:name="_Toc296346698"/>
      <w:bookmarkStart w:id="1164" w:name="_Toc312678029"/>
      <w:bookmarkStart w:id="1165" w:name="_Toc312677503"/>
      <w:bookmarkStart w:id="1166" w:name="_Toc304295570"/>
      <w:r>
        <w:rPr>
          <w:rFonts w:hint="eastAsia" w:ascii="宋体" w:hAnsi="宋体" w:eastAsia="宋体" w:cs="宋体"/>
          <w:color w:val="auto"/>
          <w:sz w:val="21"/>
          <w:szCs w:val="21"/>
          <w:highlight w:val="none"/>
        </w:rPr>
        <w:t>0.5 承</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Start w:id="1167" w:name="_Toc300934994"/>
      <w:bookmarkStart w:id="1168" w:name="_Toc296503203"/>
      <w:bookmarkStart w:id="1169" w:name="_Toc296891243"/>
      <w:bookmarkStart w:id="1170" w:name="_Toc296347202"/>
      <w:bookmarkStart w:id="1171" w:name="_Toc297120503"/>
      <w:bookmarkStart w:id="1172" w:name="_Toc297123545"/>
      <w:bookmarkStart w:id="1173" w:name="_Toc303539151"/>
      <w:bookmarkStart w:id="1174" w:name="_Toc297216204"/>
      <w:bookmarkStart w:id="1175" w:name="_Toc296346704"/>
      <w:bookmarkStart w:id="1176" w:name="_Toc292559408"/>
      <w:bookmarkStart w:id="1177" w:name="_Toc296891031"/>
      <w:bookmarkStart w:id="1178" w:name="_Toc296944542"/>
      <w:bookmarkStart w:id="1179" w:name="_Toc297048389"/>
      <w:bookmarkStart w:id="1180" w:name="_Toc292559913"/>
      <w:r>
        <w:rPr>
          <w:rFonts w:hint="eastAsia" w:ascii="宋体" w:hAnsi="宋体" w:eastAsia="宋体" w:cs="宋体"/>
          <w:color w:val="auto"/>
          <w:sz w:val="21"/>
          <w:szCs w:val="21"/>
          <w:highlight w:val="none"/>
        </w:rPr>
        <w:t>包人的合理化建议</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9"/>
    </w:p>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监理人审查承包人合理化建议的期限：</w:t>
      </w:r>
      <w:r>
        <w:rPr>
          <w:rFonts w:hint="eastAsia" w:ascii="宋体" w:hAnsi="宋体" w:eastAsia="宋体" w:cs="宋体"/>
          <w:color w:val="auto"/>
          <w:sz w:val="21"/>
          <w:szCs w:val="21"/>
          <w:highlight w:val="none"/>
          <w:u w:val="single"/>
        </w:rPr>
        <w:t>监理人应在收到承包人提交的合理化建议后7天内审查完毕并报送发包人，发现其中存在技术上的缺陷，应通知承包人修改</w:t>
      </w:r>
      <w:r>
        <w:rPr>
          <w:rFonts w:hint="eastAsia" w:ascii="宋体" w:hAnsi="宋体" w:eastAsia="宋体" w:cs="宋体"/>
          <w:color w:val="auto"/>
          <w:sz w:val="21"/>
          <w:szCs w:val="21"/>
          <w:highlight w:val="none"/>
        </w:rPr>
        <w:t>。</w:t>
      </w:r>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发包人审批承包人合理化建议的期限：</w:t>
      </w:r>
      <w:r>
        <w:rPr>
          <w:rFonts w:hint="eastAsia" w:ascii="宋体" w:hAnsi="宋体" w:eastAsia="宋体" w:cs="宋体"/>
          <w:color w:val="auto"/>
          <w:sz w:val="21"/>
          <w:szCs w:val="21"/>
          <w:highlight w:val="none"/>
          <w:u w:val="single"/>
        </w:rPr>
        <w:t>发包人应在收到监理人报送的合理化建议后7天内审批完毕</w:t>
      </w:r>
      <w:r>
        <w:rPr>
          <w:rFonts w:hint="eastAsia" w:ascii="宋体" w:hAnsi="宋体" w:eastAsia="宋体" w:cs="宋体"/>
          <w:color w:val="auto"/>
          <w:sz w:val="21"/>
          <w:szCs w:val="21"/>
          <w:highlight w:val="none"/>
        </w:rPr>
        <w:t>。</w:t>
      </w:r>
    </w:p>
    <w:p>
      <w:pPr>
        <w:pStyle w:val="31"/>
        <w:spacing w:line="380" w:lineRule="exact"/>
        <w:ind w:firstLine="420" w:firstLineChars="200"/>
        <w:jc w:val="lef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承</w:t>
      </w:r>
      <w:bookmarkStart w:id="1181" w:name="_Toc304295571"/>
      <w:bookmarkStart w:id="1182" w:name="_Toc296346705"/>
      <w:bookmarkStart w:id="1183" w:name="_Toc296944543"/>
      <w:bookmarkStart w:id="1184" w:name="_Toc297048390"/>
      <w:bookmarkStart w:id="1185" w:name="_Toc312677504"/>
      <w:bookmarkStart w:id="1186" w:name="_Toc312678030"/>
      <w:bookmarkStart w:id="1187" w:name="_Toc296891032"/>
      <w:bookmarkStart w:id="1188" w:name="_Toc297216205"/>
      <w:bookmarkStart w:id="1189" w:name="_Toc300934995"/>
      <w:bookmarkStart w:id="1190" w:name="_Toc292559409"/>
      <w:bookmarkStart w:id="1191" w:name="_Toc297120504"/>
      <w:bookmarkStart w:id="1192" w:name="_Toc296891244"/>
      <w:bookmarkStart w:id="1193" w:name="_Toc296503204"/>
      <w:bookmarkStart w:id="1194" w:name="_Toc318581175"/>
      <w:bookmarkStart w:id="1195" w:name="_Toc292559914"/>
      <w:bookmarkStart w:id="1196" w:name="_Toc296347203"/>
      <w:bookmarkStart w:id="1197" w:name="_Toc303539152"/>
      <w:bookmarkStart w:id="1198" w:name="_Toc297123546"/>
      <w:r>
        <w:rPr>
          <w:rFonts w:hint="eastAsia" w:ascii="宋体" w:hAnsi="宋体" w:eastAsia="宋体" w:cs="宋体"/>
          <w:color w:val="auto"/>
          <w:sz w:val="21"/>
          <w:szCs w:val="21"/>
          <w:highlight w:val="none"/>
        </w:rPr>
        <w:t>包人提出的合理化建议降低了合同价格或者提高了工程经济效益的奖励的方法和金额为：</w:t>
      </w:r>
      <w:r>
        <w:rPr>
          <w:rFonts w:hint="eastAsia" w:ascii="宋体" w:hAnsi="宋体" w:eastAsia="宋体" w:cs="宋体"/>
          <w:color w:val="auto"/>
          <w:sz w:val="21"/>
          <w:szCs w:val="21"/>
          <w:highlight w:val="none"/>
          <w:u w:val="single"/>
        </w:rPr>
        <w:t xml:space="preserve"> 无 </w:t>
      </w:r>
      <w:r>
        <w:rPr>
          <w:rFonts w:hint="eastAsia" w:ascii="宋体" w:hAnsi="宋体" w:eastAsia="宋体" w:cs="宋体"/>
          <w:color w:val="auto"/>
          <w:sz w:val="21"/>
          <w:szCs w:val="21"/>
          <w:highlight w:val="none"/>
        </w:rPr>
        <w:t>。</w:t>
      </w:r>
    </w:p>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Pr>
        <w:pStyle w:val="29"/>
        <w:spacing w:line="380" w:lineRule="exact"/>
        <w:ind w:firstLine="422" w:firstLineChars="200"/>
        <w:rPr>
          <w:rFonts w:hint="eastAsia" w:ascii="宋体" w:hAnsi="宋体" w:eastAsia="宋体" w:cs="宋体"/>
          <w:color w:val="auto"/>
          <w:sz w:val="21"/>
          <w:szCs w:val="21"/>
          <w:highlight w:val="none"/>
        </w:rPr>
      </w:pPr>
      <w:bookmarkStart w:id="1199" w:name="_Toc418518155"/>
      <w:bookmarkStart w:id="1200" w:name="_Toc389065310"/>
      <w:bookmarkStart w:id="1201" w:name="_Toc497747223"/>
      <w:bookmarkStart w:id="1202" w:name="_Toc522201772"/>
      <w:bookmarkStart w:id="1203" w:name="_Toc497746826"/>
      <w:bookmarkStart w:id="1204" w:name="_Toc418751841"/>
      <w:bookmarkStart w:id="1205" w:name="_Toc9373"/>
      <w:bookmarkStart w:id="1206" w:name="_Toc418061356"/>
      <w:bookmarkStart w:id="1207" w:name="_Toc373227744"/>
      <w:bookmarkStart w:id="1208" w:name="_Toc418752287"/>
      <w:bookmarkStart w:id="1209" w:name="_Toc418518391"/>
      <w:bookmarkStart w:id="1210" w:name="_Toc373478391"/>
      <w:bookmarkStart w:id="1211" w:name="_Toc403578979"/>
      <w:bookmarkStart w:id="1212" w:name="_Toc256000223"/>
      <w:r>
        <w:rPr>
          <w:rFonts w:hint="eastAsia" w:ascii="宋体" w:hAnsi="宋体" w:eastAsia="宋体" w:cs="宋体"/>
          <w:color w:val="auto"/>
          <w:sz w:val="21"/>
          <w:szCs w:val="21"/>
          <w:highlight w:val="none"/>
        </w:rPr>
        <w:t>1</w:t>
      </w:r>
      <w:bookmarkStart w:id="1213" w:name="_Toc297048385"/>
      <w:bookmarkStart w:id="1214" w:name="_Toc296503199"/>
      <w:bookmarkStart w:id="1215" w:name="_Toc296944538"/>
      <w:bookmarkStart w:id="1216" w:name="_Toc296891239"/>
      <w:bookmarkStart w:id="1217" w:name="_Toc297120499"/>
      <w:bookmarkStart w:id="1218" w:name="_Toc312678033"/>
      <w:bookmarkStart w:id="1219" w:name="_Toc297123548"/>
      <w:bookmarkStart w:id="1220" w:name="_Toc303539154"/>
      <w:bookmarkStart w:id="1221" w:name="_Toc292559909"/>
      <w:bookmarkStart w:id="1222" w:name="_Toc296347198"/>
      <w:bookmarkStart w:id="1223" w:name="_Toc296891027"/>
      <w:bookmarkStart w:id="1224" w:name="_Toc297216207"/>
      <w:bookmarkStart w:id="1225" w:name="_Toc296346700"/>
      <w:bookmarkStart w:id="1226" w:name="_Toc312677507"/>
      <w:bookmarkStart w:id="1227" w:name="_Toc300934997"/>
      <w:bookmarkStart w:id="1228" w:name="_Toc304295574"/>
      <w:bookmarkStart w:id="1229" w:name="_Toc292559404"/>
      <w:r>
        <w:rPr>
          <w:rFonts w:hint="eastAsia" w:ascii="宋体" w:hAnsi="宋体" w:eastAsia="宋体" w:cs="宋体"/>
          <w:color w:val="auto"/>
          <w:sz w:val="21"/>
          <w:szCs w:val="21"/>
          <w:highlight w:val="none"/>
        </w:rPr>
        <w:t>0.7 暂估价</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p>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暂</w:t>
      </w:r>
      <w:bookmarkStart w:id="1230" w:name="_Toc318581176"/>
      <w:bookmarkStart w:id="1231" w:name="_Toc312678034"/>
      <w:bookmarkStart w:id="1232" w:name="_Toc312677508"/>
      <w:r>
        <w:rPr>
          <w:rFonts w:hint="eastAsia" w:ascii="宋体" w:hAnsi="宋体" w:eastAsia="宋体" w:cs="宋体"/>
          <w:color w:val="auto"/>
          <w:kern w:val="0"/>
          <w:sz w:val="21"/>
          <w:szCs w:val="21"/>
          <w:highlight w:val="none"/>
        </w:rPr>
        <w:t>估价材料和工程设备的明细详见已标价工程量清单《</w:t>
      </w:r>
      <w:r>
        <w:rPr>
          <w:rFonts w:hint="eastAsia" w:ascii="宋体" w:hAnsi="宋体" w:eastAsia="宋体" w:cs="宋体"/>
          <w:color w:val="auto"/>
          <w:sz w:val="21"/>
          <w:szCs w:val="21"/>
          <w:highlight w:val="none"/>
        </w:rPr>
        <w:t>材料（工程设备）暂估价格及调整表》</w:t>
      </w:r>
      <w:r>
        <w:rPr>
          <w:rFonts w:hint="eastAsia" w:ascii="宋体" w:hAnsi="宋体" w:eastAsia="宋体" w:cs="宋体"/>
          <w:color w:val="auto"/>
          <w:kern w:val="0"/>
          <w:sz w:val="21"/>
          <w:szCs w:val="21"/>
          <w:highlight w:val="none"/>
        </w:rPr>
        <w:t>（表12-2）和《</w:t>
      </w:r>
      <w:r>
        <w:rPr>
          <w:rFonts w:hint="eastAsia" w:ascii="宋体" w:hAnsi="宋体" w:eastAsia="宋体" w:cs="宋体"/>
          <w:color w:val="auto"/>
          <w:sz w:val="21"/>
          <w:szCs w:val="21"/>
          <w:highlight w:val="none"/>
        </w:rPr>
        <w:t>专业工程暂估价表》（</w:t>
      </w:r>
      <w:r>
        <w:rPr>
          <w:rFonts w:hint="eastAsia" w:ascii="宋体" w:hAnsi="宋体" w:eastAsia="宋体" w:cs="宋体"/>
          <w:color w:val="auto"/>
          <w:kern w:val="0"/>
          <w:sz w:val="21"/>
          <w:szCs w:val="21"/>
          <w:highlight w:val="none"/>
        </w:rPr>
        <w:t>表12-3）。</w:t>
      </w:r>
    </w:p>
    <w:bookmarkEnd w:id="1230"/>
    <w:bookmarkEnd w:id="1231"/>
    <w:bookmarkEnd w:id="1232"/>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bookmarkStart w:id="1233" w:name="_Toc312678035"/>
      <w:bookmarkStart w:id="1234" w:name="_Toc318581177"/>
      <w:bookmarkStart w:id="1235" w:name="_Toc312677509"/>
      <w:r>
        <w:rPr>
          <w:rFonts w:hint="eastAsia" w:ascii="宋体" w:hAnsi="宋体" w:eastAsia="宋体" w:cs="宋体"/>
          <w:color w:val="auto"/>
          <w:sz w:val="21"/>
          <w:szCs w:val="21"/>
          <w:highlight w:val="none"/>
        </w:rPr>
        <w:t>0.7.1 依法必须招标的暂估价项目</w:t>
      </w:r>
    </w:p>
    <w:bookmarkEnd w:id="1233"/>
    <w:bookmarkEnd w:id="1234"/>
    <w:bookmarkEnd w:id="1235"/>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对于依法必须招标的暂估价项目的确认和批准采取第</w:t>
      </w:r>
      <w:r>
        <w:rPr>
          <w:rFonts w:hint="eastAsia" w:ascii="宋体" w:hAnsi="宋体" w:eastAsia="宋体" w:cs="宋体"/>
          <w:color w:val="auto"/>
          <w:sz w:val="21"/>
          <w:szCs w:val="21"/>
          <w:highlight w:val="none"/>
          <w:u w:val="single"/>
        </w:rPr>
        <w:t xml:space="preserve">  2  </w:t>
      </w:r>
      <w:r>
        <w:rPr>
          <w:rFonts w:hint="eastAsia" w:ascii="宋体" w:hAnsi="宋体" w:eastAsia="宋体" w:cs="宋体"/>
          <w:color w:val="auto"/>
          <w:sz w:val="21"/>
          <w:szCs w:val="21"/>
          <w:highlight w:val="none"/>
        </w:rPr>
        <w:t>种方式确定。</w:t>
      </w:r>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10.7.2 不属于依法必须招标的暂估价项目</w:t>
      </w:r>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对于不属于依法必须招标的暂估价项目的确认和批准采取第</w:t>
      </w:r>
      <w:r>
        <w:rPr>
          <w:rFonts w:hint="eastAsia" w:ascii="宋体" w:hAnsi="宋体" w:eastAsia="宋体" w:cs="宋体"/>
          <w:color w:val="auto"/>
          <w:sz w:val="21"/>
          <w:szCs w:val="21"/>
          <w:highlight w:val="none"/>
          <w:u w:val="single"/>
        </w:rPr>
        <w:t xml:space="preserve"> 1 </w:t>
      </w:r>
      <w:r>
        <w:rPr>
          <w:rFonts w:hint="eastAsia" w:ascii="宋体" w:hAnsi="宋体" w:eastAsia="宋体" w:cs="宋体"/>
          <w:color w:val="auto"/>
          <w:sz w:val="21"/>
          <w:szCs w:val="21"/>
          <w:highlight w:val="none"/>
        </w:rPr>
        <w:t xml:space="preserve"> 种方式确定。</w:t>
      </w:r>
    </w:p>
    <w:p>
      <w:pPr>
        <w:pStyle w:val="31"/>
        <w:spacing w:line="380" w:lineRule="exact"/>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第3种方式：</w:t>
      </w:r>
      <w:r>
        <w:rPr>
          <w:rFonts w:hint="eastAsia" w:ascii="宋体" w:hAnsi="宋体" w:eastAsia="宋体" w:cs="宋体"/>
          <w:color w:val="auto"/>
          <w:kern w:val="0"/>
          <w:sz w:val="21"/>
          <w:szCs w:val="21"/>
          <w:highlight w:val="none"/>
        </w:rPr>
        <w:t>承包人直接实施的暂估价项目</w:t>
      </w:r>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承包人直接实施的暂估价项目的约定：</w:t>
      </w:r>
      <w:r>
        <w:rPr>
          <w:rFonts w:hint="eastAsia" w:ascii="宋体" w:hAnsi="宋体" w:eastAsia="宋体" w:cs="宋体"/>
          <w:color w:val="auto"/>
          <w:sz w:val="21"/>
          <w:szCs w:val="21"/>
          <w:highlight w:val="none"/>
          <w:u w:val="single"/>
        </w:rPr>
        <w:t xml:space="preserve"> 无 </w:t>
      </w:r>
      <w:r>
        <w:rPr>
          <w:rFonts w:hint="eastAsia" w:ascii="宋体" w:hAnsi="宋体" w:eastAsia="宋体" w:cs="宋体"/>
          <w:color w:val="auto"/>
          <w:sz w:val="21"/>
          <w:szCs w:val="21"/>
          <w:highlight w:val="none"/>
        </w:rPr>
        <w:t>。</w:t>
      </w:r>
    </w:p>
    <w:p>
      <w:pPr>
        <w:pStyle w:val="29"/>
        <w:spacing w:line="380" w:lineRule="exact"/>
        <w:ind w:firstLine="422" w:firstLineChars="200"/>
        <w:rPr>
          <w:rFonts w:hint="eastAsia" w:ascii="宋体" w:hAnsi="宋体" w:eastAsia="宋体" w:cs="宋体"/>
          <w:color w:val="auto"/>
          <w:sz w:val="21"/>
          <w:szCs w:val="21"/>
          <w:highlight w:val="none"/>
        </w:rPr>
      </w:pPr>
      <w:bookmarkStart w:id="1236" w:name="_Toc418518156"/>
      <w:bookmarkStart w:id="1237" w:name="_Toc373478392"/>
      <w:bookmarkStart w:id="1238" w:name="_Toc418751842"/>
      <w:bookmarkStart w:id="1239" w:name="_Toc418061357"/>
      <w:bookmarkStart w:id="1240" w:name="_Toc497747224"/>
      <w:bookmarkStart w:id="1241" w:name="_Toc403578980"/>
      <w:bookmarkStart w:id="1242" w:name="_Toc256000224"/>
      <w:bookmarkStart w:id="1243" w:name="_Toc389065311"/>
      <w:bookmarkStart w:id="1244" w:name="_Toc12436"/>
      <w:bookmarkStart w:id="1245" w:name="_Toc373227745"/>
      <w:bookmarkStart w:id="1246" w:name="_Toc418752288"/>
      <w:bookmarkStart w:id="1247" w:name="_Toc497746827"/>
      <w:bookmarkStart w:id="1248" w:name="_Toc418518392"/>
      <w:bookmarkStart w:id="1249" w:name="_Toc522201773"/>
      <w:r>
        <w:rPr>
          <w:rFonts w:hint="eastAsia" w:ascii="宋体" w:hAnsi="宋体" w:eastAsia="宋体" w:cs="宋体"/>
          <w:color w:val="auto"/>
          <w:sz w:val="21"/>
          <w:szCs w:val="21"/>
          <w:highlight w:val="none"/>
        </w:rPr>
        <w:t>10.8 暂列金额</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pPr>
        <w:pStyle w:val="31"/>
        <w:autoSpaceDE w:val="0"/>
        <w:autoSpaceDN w:val="0"/>
        <w:adjustRightInd w:val="0"/>
        <w:spacing w:line="380" w:lineRule="exact"/>
        <w:ind w:firstLine="420" w:firstLineChars="200"/>
        <w:jc w:val="left"/>
        <w:rPr>
          <w:rFonts w:hint="eastAsia" w:ascii="宋体" w:hAnsi="宋体" w:eastAsia="宋体" w:cs="宋体"/>
          <w:color w:val="auto"/>
          <w:sz w:val="21"/>
          <w:szCs w:val="21"/>
          <w:highlight w:val="none"/>
          <w:u w:val="single"/>
        </w:rPr>
      </w:pPr>
      <w:r>
        <w:rPr>
          <w:rFonts w:hint="eastAsia" w:ascii="宋体" w:hAnsi="宋体" w:eastAsia="宋体" w:cs="宋体"/>
          <w:color w:val="auto"/>
          <w:kern w:val="0"/>
          <w:sz w:val="21"/>
          <w:szCs w:val="21"/>
          <w:highlight w:val="none"/>
        </w:rPr>
        <w:t>合同当事人关于暂列金额使用的约定</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rPr>
        <w:t>如有</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w:t>
      </w:r>
      <w:r>
        <w:rPr>
          <w:rFonts w:hint="eastAsia" w:ascii="宋体" w:hAnsi="宋体" w:eastAsia="宋体" w:cs="宋体"/>
          <w:color w:val="auto"/>
          <w:sz w:val="21"/>
          <w:szCs w:val="21"/>
          <w:highlight w:val="none"/>
          <w:u w:val="single"/>
        </w:rPr>
        <w:t xml:space="preserve">（1）已签约合同价中的暂列金额由发包人掌握使用。（2）发包人按照规定所作支付后，暂列金额如有余额归发包人 </w:t>
      </w:r>
      <w:r>
        <w:rPr>
          <w:rFonts w:hint="eastAsia" w:ascii="宋体" w:hAnsi="宋体" w:eastAsia="宋体" w:cs="宋体"/>
          <w:color w:val="auto"/>
          <w:kern w:val="0"/>
          <w:sz w:val="21"/>
          <w:szCs w:val="21"/>
          <w:highlight w:val="none"/>
        </w:rPr>
        <w:t>。</w:t>
      </w:r>
    </w:p>
    <w:p>
      <w:pPr>
        <w:pStyle w:val="29"/>
        <w:spacing w:line="380" w:lineRule="exact"/>
        <w:rPr>
          <w:rFonts w:hint="eastAsia" w:ascii="宋体" w:hAnsi="宋体" w:eastAsia="宋体" w:cs="宋体"/>
          <w:color w:val="auto"/>
          <w:sz w:val="21"/>
          <w:szCs w:val="21"/>
          <w:highlight w:val="none"/>
        </w:rPr>
      </w:pPr>
      <w:bookmarkStart w:id="1250" w:name="_Toc418518157"/>
      <w:bookmarkStart w:id="1251" w:name="_Toc418752289"/>
      <w:bookmarkStart w:id="1252" w:name="_Toc403578981"/>
      <w:bookmarkStart w:id="1253" w:name="_Toc351203643"/>
      <w:bookmarkStart w:id="1254" w:name="_Toc10279"/>
      <w:bookmarkStart w:id="1255" w:name="_Toc497746828"/>
      <w:bookmarkStart w:id="1256" w:name="_Toc373478393"/>
      <w:bookmarkStart w:id="1257" w:name="_Toc497747225"/>
      <w:bookmarkStart w:id="1258" w:name="_Toc373227746"/>
      <w:bookmarkStart w:id="1259" w:name="_Toc522201774"/>
      <w:bookmarkStart w:id="1260" w:name="_Toc418518393"/>
      <w:bookmarkStart w:id="1261" w:name="_Toc418751843"/>
      <w:bookmarkStart w:id="1262" w:name="_Toc389065312"/>
      <w:bookmarkStart w:id="1263" w:name="_Toc418061358"/>
      <w:bookmarkStart w:id="1264" w:name="_Toc256000225"/>
      <w:r>
        <w:rPr>
          <w:rFonts w:hint="eastAsia" w:ascii="宋体" w:hAnsi="宋体" w:eastAsia="宋体" w:cs="宋体"/>
          <w:color w:val="auto"/>
          <w:sz w:val="21"/>
          <w:szCs w:val="21"/>
          <w:highlight w:val="none"/>
        </w:rPr>
        <w:t>11. 价格调整</w:t>
      </w:r>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pPr>
        <w:pStyle w:val="29"/>
        <w:spacing w:line="380" w:lineRule="exact"/>
        <w:ind w:firstLine="422" w:firstLineChars="200"/>
        <w:rPr>
          <w:rFonts w:hint="eastAsia" w:ascii="宋体" w:hAnsi="宋体" w:eastAsia="宋体" w:cs="宋体"/>
          <w:color w:val="auto"/>
          <w:sz w:val="21"/>
          <w:szCs w:val="21"/>
          <w:highlight w:val="none"/>
        </w:rPr>
      </w:pPr>
      <w:bookmarkStart w:id="1265" w:name="_Toc373478394"/>
      <w:bookmarkStart w:id="1266" w:name="_Toc256000226"/>
      <w:bookmarkStart w:id="1267" w:name="_Toc418518394"/>
      <w:bookmarkStart w:id="1268" w:name="_Toc418751844"/>
      <w:bookmarkStart w:id="1269" w:name="_Toc497747226"/>
      <w:bookmarkStart w:id="1270" w:name="_Toc181"/>
      <w:bookmarkStart w:id="1271" w:name="_Toc403578982"/>
      <w:bookmarkStart w:id="1272" w:name="_Toc373227747"/>
      <w:bookmarkStart w:id="1273" w:name="_Toc418752290"/>
      <w:bookmarkStart w:id="1274" w:name="_Toc389065313"/>
      <w:bookmarkStart w:id="1275" w:name="_Toc418061359"/>
      <w:bookmarkStart w:id="1276" w:name="_Toc522201775"/>
      <w:bookmarkStart w:id="1277" w:name="_Toc418518158"/>
      <w:bookmarkStart w:id="1278" w:name="_Toc497746829"/>
      <w:bookmarkStart w:id="1279" w:name="_Toc292559911"/>
      <w:bookmarkStart w:id="1280" w:name="_Toc296346702"/>
      <w:bookmarkStart w:id="1281" w:name="_Toc297123550"/>
      <w:bookmarkStart w:id="1282" w:name="_Toc296347200"/>
      <w:bookmarkStart w:id="1283" w:name="_Toc304295577"/>
      <w:bookmarkStart w:id="1284" w:name="_Toc297048387"/>
      <w:bookmarkStart w:id="1285" w:name="_Toc296891241"/>
      <w:bookmarkStart w:id="1286" w:name="_Toc297120501"/>
      <w:bookmarkStart w:id="1287" w:name="_Toc297216209"/>
      <w:bookmarkStart w:id="1288" w:name="_Toc292559406"/>
      <w:bookmarkStart w:id="1289" w:name="_Toc296944540"/>
      <w:bookmarkStart w:id="1290" w:name="_Toc296503201"/>
      <w:bookmarkStart w:id="1291" w:name="_Toc300935000"/>
      <w:bookmarkStart w:id="1292" w:name="_Toc296891029"/>
      <w:bookmarkStart w:id="1293" w:name="_Toc312678039"/>
      <w:bookmarkStart w:id="1294" w:name="_Toc303539157"/>
      <w:r>
        <w:rPr>
          <w:rFonts w:hint="eastAsia" w:ascii="宋体" w:hAnsi="宋体" w:eastAsia="宋体" w:cs="宋体"/>
          <w:color w:val="auto"/>
          <w:sz w:val="21"/>
          <w:szCs w:val="21"/>
          <w:highlight w:val="none"/>
        </w:rPr>
        <w:t>11.1 市场价格波动引起的调整</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p>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市场价格波动是否调整合同价格的约定：</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eastAsia="zh-CN"/>
        </w:rPr>
        <w:t>不</w:t>
      </w:r>
      <w:r>
        <w:rPr>
          <w:rFonts w:hint="eastAsia" w:ascii="宋体" w:hAnsi="宋体" w:eastAsia="宋体" w:cs="宋体"/>
          <w:color w:val="auto"/>
          <w:sz w:val="21"/>
          <w:szCs w:val="21"/>
          <w:highlight w:val="none"/>
          <w:u w:val="single"/>
        </w:rPr>
        <w:t xml:space="preserve">调整 </w:t>
      </w:r>
      <w:r>
        <w:rPr>
          <w:rFonts w:hint="eastAsia" w:ascii="宋体" w:hAnsi="宋体" w:eastAsia="宋体" w:cs="宋体"/>
          <w:color w:val="auto"/>
          <w:sz w:val="21"/>
          <w:szCs w:val="21"/>
          <w:highlight w:val="none"/>
        </w:rPr>
        <w:t>。</w:t>
      </w:r>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因市场价格波动调整合同价格，采用以下第</w:t>
      </w:r>
      <w:r>
        <w:rPr>
          <w:rFonts w:hint="eastAsia" w:ascii="宋体" w:hAnsi="宋体" w:eastAsia="宋体" w:cs="宋体"/>
          <w:color w:val="auto"/>
          <w:sz w:val="21"/>
          <w:szCs w:val="21"/>
          <w:highlight w:val="none"/>
          <w:u w:val="single"/>
          <w:lang w:val="en-US" w:eastAsia="zh-CN"/>
        </w:rPr>
        <w:t xml:space="preserve"> /  </w:t>
      </w:r>
      <w:r>
        <w:rPr>
          <w:rFonts w:hint="eastAsia" w:ascii="宋体" w:hAnsi="宋体" w:eastAsia="宋体" w:cs="宋体"/>
          <w:color w:val="auto"/>
          <w:sz w:val="21"/>
          <w:szCs w:val="21"/>
          <w:highlight w:val="none"/>
        </w:rPr>
        <w:t>种方式对合同价格进行调整：</w:t>
      </w:r>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第1种方式：采用价格指数进行价格调整。</w:t>
      </w:r>
    </w:p>
    <w:p>
      <w:pPr>
        <w:pStyle w:val="31"/>
        <w:spacing w:line="380" w:lineRule="exact"/>
        <w:ind w:firstLine="420" w:firstLineChars="200"/>
        <w:jc w:val="lef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关于各可调因子、定值和变值权重，以及基本价格指数及其来源的约定：</w:t>
      </w:r>
      <w:r>
        <w:rPr>
          <w:rFonts w:hint="eastAsia" w:ascii="宋体" w:hAnsi="宋体" w:eastAsia="宋体" w:cs="宋体"/>
          <w:color w:val="auto"/>
          <w:sz w:val="21"/>
          <w:szCs w:val="21"/>
          <w:highlight w:val="none"/>
          <w:u w:val="single"/>
        </w:rPr>
        <w:t xml:space="preserve">   /   </w:t>
      </w:r>
      <w:r>
        <w:rPr>
          <w:rFonts w:hint="eastAsia" w:ascii="宋体" w:hAnsi="宋体" w:eastAsia="宋体" w:cs="宋体"/>
          <w:color w:val="auto"/>
          <w:sz w:val="21"/>
          <w:szCs w:val="21"/>
          <w:highlight w:val="none"/>
        </w:rPr>
        <w:t xml:space="preserve">；  </w:t>
      </w:r>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第2种方式：采用造价信息进行价格调整。</w:t>
      </w:r>
    </w:p>
    <w:p>
      <w:pPr>
        <w:pStyle w:val="31"/>
        <w:spacing w:line="380" w:lineRule="exact"/>
        <w:ind w:firstLine="315" w:firstLineChars="1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（1）关于基准价格的约定：</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w:t>
      </w:r>
      <w:r>
        <w:rPr>
          <w:rFonts w:hint="eastAsia" w:ascii="宋体" w:hAnsi="宋体" w:eastAsia="宋体" w:cs="宋体"/>
          <w:color w:val="auto"/>
          <w:sz w:val="21"/>
          <w:szCs w:val="21"/>
          <w:highlight w:val="none"/>
          <w:u w:val="single"/>
        </w:rPr>
        <w:t>。</w:t>
      </w:r>
    </w:p>
    <w:p>
      <w:pPr>
        <w:pStyle w:val="31"/>
        <w:spacing w:line="380" w:lineRule="exact"/>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投</w:t>
      </w:r>
      <w:r>
        <w:rPr>
          <w:rFonts w:hint="eastAsia" w:ascii="宋体" w:hAnsi="宋体" w:eastAsia="宋体" w:cs="宋体"/>
          <w:color w:val="auto"/>
          <w:kern w:val="0"/>
          <w:sz w:val="21"/>
          <w:szCs w:val="21"/>
          <w:highlight w:val="none"/>
        </w:rPr>
        <w:t>标人应根据施工期间材料可能由于市场价格上涨（或下跌）因素自行考虑由此引起的风险并计入投标报价中，投标人应对自己的报价承担风险，除本合同约定的钢筋、水泥、商品混凝土、沥青混凝土、碎石、砂、片石、沥青、管材、石材、土方（含购土与弃土）等项材料价格可做调整外，其余材料价格不作调整。</w:t>
      </w:r>
    </w:p>
    <w:p>
      <w:pPr>
        <w:pStyle w:val="31"/>
        <w:spacing w:line="380" w:lineRule="exact"/>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①承包人在已标价工程量清单或预算书中载明的材料单价低于基准价格的，合同履行期间材料单价涨幅以基准价格为基础超过</w:t>
      </w:r>
      <w:r>
        <w:rPr>
          <w:rFonts w:hint="eastAsia" w:ascii="宋体" w:hAnsi="宋体" w:eastAsia="宋体" w:cs="宋体"/>
          <w:color w:val="auto"/>
          <w:kern w:val="0"/>
          <w:sz w:val="21"/>
          <w:szCs w:val="21"/>
          <w:highlight w:val="none"/>
          <w:lang w:eastAsia="zh-CN"/>
        </w:rPr>
        <w:t>5</w:t>
      </w:r>
      <w:r>
        <w:rPr>
          <w:rFonts w:hint="eastAsia" w:ascii="宋体" w:hAnsi="宋体" w:eastAsia="宋体" w:cs="宋体"/>
          <w:color w:val="auto"/>
          <w:kern w:val="0"/>
          <w:sz w:val="21"/>
          <w:szCs w:val="21"/>
          <w:highlight w:val="none"/>
        </w:rPr>
        <w:t>%时，或材料单价跌幅以已标价工程量清单或预算书中载明材料单价为基础超过</w:t>
      </w:r>
      <w:r>
        <w:rPr>
          <w:rFonts w:hint="eastAsia" w:ascii="宋体" w:hAnsi="宋体" w:eastAsia="宋体" w:cs="宋体"/>
          <w:color w:val="auto"/>
          <w:kern w:val="0"/>
          <w:sz w:val="21"/>
          <w:szCs w:val="21"/>
          <w:highlight w:val="none"/>
          <w:lang w:eastAsia="zh-CN"/>
        </w:rPr>
        <w:t>5</w:t>
      </w:r>
      <w:r>
        <w:rPr>
          <w:rFonts w:hint="eastAsia" w:ascii="宋体" w:hAnsi="宋体" w:eastAsia="宋体" w:cs="宋体"/>
          <w:color w:val="auto"/>
          <w:kern w:val="0"/>
          <w:sz w:val="21"/>
          <w:szCs w:val="21"/>
          <w:highlight w:val="none"/>
        </w:rPr>
        <w:t>%时，其超过部分据实调整。</w:t>
      </w:r>
    </w:p>
    <w:p>
      <w:pPr>
        <w:pStyle w:val="31"/>
        <w:spacing w:line="380" w:lineRule="exact"/>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②承包人在已标价工程量清单或预算书中载明的材料单价高于基准价格的：专用合同条款合同履行期间材料单价跌幅以基准价格为基础超过</w:t>
      </w:r>
      <w:r>
        <w:rPr>
          <w:rFonts w:hint="eastAsia" w:ascii="宋体" w:hAnsi="宋体" w:eastAsia="宋体" w:cs="宋体"/>
          <w:color w:val="auto"/>
          <w:kern w:val="0"/>
          <w:sz w:val="21"/>
          <w:szCs w:val="21"/>
          <w:highlight w:val="none"/>
          <w:lang w:eastAsia="zh-CN"/>
        </w:rPr>
        <w:t>5</w:t>
      </w:r>
      <w:r>
        <w:rPr>
          <w:rFonts w:hint="eastAsia" w:ascii="宋体" w:hAnsi="宋体" w:eastAsia="宋体" w:cs="宋体"/>
          <w:color w:val="auto"/>
          <w:kern w:val="0"/>
          <w:sz w:val="21"/>
          <w:szCs w:val="21"/>
          <w:highlight w:val="none"/>
        </w:rPr>
        <w:t>%时，材料单价涨幅以已标价工程量清单或预算书中载明材料单价为基础超过</w:t>
      </w:r>
      <w:r>
        <w:rPr>
          <w:rFonts w:hint="eastAsia" w:ascii="宋体" w:hAnsi="宋体" w:eastAsia="宋体" w:cs="宋体"/>
          <w:color w:val="auto"/>
          <w:kern w:val="0"/>
          <w:sz w:val="21"/>
          <w:szCs w:val="21"/>
          <w:highlight w:val="none"/>
          <w:lang w:eastAsia="zh-CN"/>
        </w:rPr>
        <w:t>5</w:t>
      </w:r>
      <w:r>
        <w:rPr>
          <w:rFonts w:hint="eastAsia" w:ascii="宋体" w:hAnsi="宋体" w:eastAsia="宋体" w:cs="宋体"/>
          <w:color w:val="auto"/>
          <w:kern w:val="0"/>
          <w:sz w:val="21"/>
          <w:szCs w:val="21"/>
          <w:highlight w:val="none"/>
        </w:rPr>
        <w:t>%时，其超过部分据实调整。</w:t>
      </w:r>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③承包人在已标价工程量清单或预算书中载明的材料单价等于基准单价的：专用合同条款合同履行期间材料单价涨跌幅以基准单价为基础超过±</w:t>
      </w:r>
      <w:r>
        <w:rPr>
          <w:rFonts w:hint="eastAsia" w:ascii="宋体" w:hAnsi="宋体" w:eastAsia="宋体" w:cs="宋体"/>
          <w:color w:val="auto"/>
          <w:sz w:val="21"/>
          <w:szCs w:val="21"/>
          <w:highlight w:val="none"/>
          <w:lang w:eastAsia="zh-CN"/>
        </w:rPr>
        <w:t>5</w:t>
      </w:r>
      <w:r>
        <w:rPr>
          <w:rFonts w:hint="eastAsia" w:ascii="宋体" w:hAnsi="宋体" w:eastAsia="宋体" w:cs="宋体"/>
          <w:color w:val="auto"/>
          <w:sz w:val="21"/>
          <w:szCs w:val="21"/>
          <w:highlight w:val="none"/>
        </w:rPr>
        <w:t>%时，其超过部分据实调整。</w:t>
      </w:r>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④除专用合同约定的钢筋、水泥、商品混凝土、沥青混凝土、碎石、砂、片石、沥青、管材、石材、土方</w:t>
      </w:r>
      <w:r>
        <w:rPr>
          <w:rFonts w:hint="eastAsia" w:ascii="宋体" w:hAnsi="宋体" w:eastAsia="宋体" w:cs="宋体"/>
          <w:color w:val="auto"/>
          <w:kern w:val="0"/>
          <w:sz w:val="21"/>
          <w:szCs w:val="21"/>
          <w:highlight w:val="none"/>
        </w:rPr>
        <w:t>（含购土与弃土）</w:t>
      </w:r>
      <w:r>
        <w:rPr>
          <w:rFonts w:hint="eastAsia" w:ascii="宋体" w:hAnsi="宋体" w:eastAsia="宋体" w:cs="宋体"/>
          <w:color w:val="auto"/>
          <w:sz w:val="21"/>
          <w:szCs w:val="21"/>
          <w:highlight w:val="none"/>
        </w:rPr>
        <w:t>等项材料外，其余材料价格不做调整。调整方法：钢筋、水泥、商品混凝土、沥青混凝土、碎石、砂、片石、沥青、管材、石材、土方</w:t>
      </w:r>
      <w:r>
        <w:rPr>
          <w:rFonts w:hint="eastAsia" w:ascii="宋体" w:hAnsi="宋体" w:eastAsia="宋体" w:cs="宋体"/>
          <w:color w:val="auto"/>
          <w:kern w:val="0"/>
          <w:sz w:val="21"/>
          <w:szCs w:val="21"/>
          <w:highlight w:val="none"/>
        </w:rPr>
        <w:t>（含购土与弃土）</w:t>
      </w:r>
      <w:r>
        <w:rPr>
          <w:rFonts w:hint="eastAsia" w:ascii="宋体" w:hAnsi="宋体" w:eastAsia="宋体" w:cs="宋体"/>
          <w:color w:val="auto"/>
          <w:sz w:val="21"/>
          <w:szCs w:val="21"/>
          <w:highlight w:val="none"/>
        </w:rPr>
        <w:t>价格超过部分×中标下浮系数（中标人的投标报价÷预算价），该部分费用列入税前独立费。</w:t>
      </w:r>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在工程施工期间，国家及地区如有新的人工费调整政策文件出台，可按国家及地区相关文件进行人工费调差。</w:t>
      </w:r>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第3种方式：</w:t>
      </w:r>
      <w:r>
        <w:rPr>
          <w:rFonts w:hint="eastAsia" w:ascii="宋体" w:hAnsi="宋体" w:eastAsia="宋体" w:cs="宋体"/>
          <w:color w:val="auto"/>
          <w:sz w:val="21"/>
          <w:szCs w:val="21"/>
          <w:highlight w:val="none"/>
          <w:u w:val="single"/>
        </w:rPr>
        <w:t xml:space="preserve">       /          </w:t>
      </w:r>
      <w:r>
        <w:rPr>
          <w:rFonts w:hint="eastAsia" w:ascii="宋体" w:hAnsi="宋体" w:eastAsia="宋体" w:cs="宋体"/>
          <w:color w:val="auto"/>
          <w:sz w:val="21"/>
          <w:szCs w:val="21"/>
          <w:highlight w:val="none"/>
        </w:rPr>
        <w:t>。</w:t>
      </w:r>
    </w:p>
    <w:bookmarkEnd w:id="1069"/>
    <w:bookmarkEnd w:id="1070"/>
    <w:bookmarkEnd w:id="1071"/>
    <w:bookmarkEnd w:id="1072"/>
    <w:bookmarkEnd w:id="1073"/>
    <w:bookmarkEnd w:id="1074"/>
    <w:p>
      <w:pPr>
        <w:pStyle w:val="29"/>
        <w:spacing w:line="380" w:lineRule="exact"/>
        <w:rPr>
          <w:rFonts w:hint="eastAsia" w:ascii="宋体" w:hAnsi="宋体" w:eastAsia="宋体" w:cs="宋体"/>
          <w:color w:val="auto"/>
          <w:sz w:val="21"/>
          <w:szCs w:val="21"/>
          <w:highlight w:val="none"/>
        </w:rPr>
      </w:pPr>
      <w:bookmarkStart w:id="1295" w:name="_Toc292559915"/>
      <w:bookmarkStart w:id="1296" w:name="_Toc292559410"/>
      <w:bookmarkStart w:id="1297" w:name="_Toc296944544"/>
      <w:bookmarkStart w:id="1298" w:name="_Toc296346706"/>
      <w:bookmarkStart w:id="1299" w:name="_Toc296503205"/>
      <w:bookmarkStart w:id="1300" w:name="_Toc296891245"/>
      <w:bookmarkStart w:id="1301" w:name="_Toc296891033"/>
      <w:bookmarkStart w:id="1302" w:name="_Toc297120505"/>
      <w:bookmarkStart w:id="1303" w:name="_Toc297048391"/>
      <w:bookmarkStart w:id="1304" w:name="_Toc296347204"/>
      <w:bookmarkStart w:id="1305" w:name="_Toc497747227"/>
      <w:bookmarkStart w:id="1306" w:name="_Toc256000227"/>
      <w:bookmarkStart w:id="1307" w:name="_Toc418061360"/>
      <w:bookmarkStart w:id="1308" w:name="_Toc17450"/>
      <w:bookmarkStart w:id="1309" w:name="_Toc418518159"/>
      <w:bookmarkStart w:id="1310" w:name="_Toc373227748"/>
      <w:bookmarkStart w:id="1311" w:name="_Toc418752291"/>
      <w:bookmarkStart w:id="1312" w:name="_Toc403578983"/>
      <w:bookmarkStart w:id="1313" w:name="_Toc418751845"/>
      <w:bookmarkStart w:id="1314" w:name="_Toc373478395"/>
      <w:bookmarkStart w:id="1315" w:name="_Toc497746830"/>
      <w:bookmarkStart w:id="1316" w:name="_Toc522201776"/>
      <w:bookmarkStart w:id="1317" w:name="_Toc418518395"/>
      <w:bookmarkStart w:id="1318" w:name="_Toc351203644"/>
      <w:bookmarkStart w:id="1319" w:name="_Toc297216211"/>
      <w:bookmarkStart w:id="1320" w:name="_Toc297123552"/>
      <w:bookmarkStart w:id="1321" w:name="_Toc304295579"/>
      <w:bookmarkStart w:id="1322" w:name="_Toc303539159"/>
      <w:bookmarkStart w:id="1323" w:name="_Toc300935002"/>
      <w:bookmarkStart w:id="1324" w:name="_Toc312678040"/>
      <w:r>
        <w:rPr>
          <w:rFonts w:hint="eastAsia" w:ascii="宋体" w:hAnsi="宋体" w:eastAsia="宋体" w:cs="宋体"/>
          <w:color w:val="auto"/>
          <w:sz w:val="21"/>
          <w:szCs w:val="21"/>
          <w:highlight w:val="none"/>
        </w:rPr>
        <w:t xml:space="preserve">12. </w:t>
      </w:r>
      <w:bookmarkEnd w:id="1295"/>
      <w:bookmarkEnd w:id="1296"/>
      <w:bookmarkEnd w:id="1297"/>
      <w:bookmarkEnd w:id="1298"/>
      <w:bookmarkEnd w:id="1299"/>
      <w:bookmarkEnd w:id="1300"/>
      <w:bookmarkEnd w:id="1301"/>
      <w:bookmarkEnd w:id="1302"/>
      <w:bookmarkEnd w:id="1303"/>
      <w:bookmarkEnd w:id="1304"/>
      <w:r>
        <w:rPr>
          <w:rFonts w:hint="eastAsia" w:ascii="宋体" w:hAnsi="宋体" w:eastAsia="宋体" w:cs="宋体"/>
          <w:color w:val="auto"/>
          <w:sz w:val="21"/>
          <w:szCs w:val="21"/>
          <w:highlight w:val="none"/>
        </w:rPr>
        <w:t>合同价格、计量与支付</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p>
    <w:bookmarkEnd w:id="1319"/>
    <w:bookmarkEnd w:id="1320"/>
    <w:bookmarkEnd w:id="1321"/>
    <w:bookmarkEnd w:id="1322"/>
    <w:bookmarkEnd w:id="1323"/>
    <w:bookmarkEnd w:id="1324"/>
    <w:p>
      <w:pPr>
        <w:pStyle w:val="29"/>
        <w:spacing w:line="380" w:lineRule="exact"/>
        <w:ind w:firstLine="422" w:firstLineChars="200"/>
        <w:rPr>
          <w:rFonts w:hint="eastAsia" w:ascii="宋体" w:hAnsi="宋体" w:eastAsia="宋体" w:cs="宋体"/>
          <w:color w:val="auto"/>
          <w:sz w:val="21"/>
          <w:szCs w:val="21"/>
          <w:highlight w:val="none"/>
        </w:rPr>
      </w:pPr>
      <w:bookmarkStart w:id="1325" w:name="_Toc292559916"/>
      <w:bookmarkStart w:id="1326" w:name="_Toc292559411"/>
      <w:bookmarkStart w:id="1327" w:name="_Toc267251461"/>
      <w:bookmarkStart w:id="1328" w:name="_Toc297120506"/>
      <w:bookmarkStart w:id="1329" w:name="_Toc296891246"/>
      <w:bookmarkStart w:id="1330" w:name="_Toc296891034"/>
      <w:bookmarkStart w:id="1331" w:name="_Toc296944545"/>
      <w:bookmarkStart w:id="1332" w:name="_Toc296347205"/>
      <w:bookmarkStart w:id="1333" w:name="_Toc297048392"/>
      <w:bookmarkStart w:id="1334" w:name="_Toc296346707"/>
      <w:bookmarkStart w:id="1335" w:name="_Toc296503206"/>
      <w:bookmarkStart w:id="1336" w:name="_Toc418752292"/>
      <w:bookmarkStart w:id="1337" w:name="_Toc418751846"/>
      <w:bookmarkStart w:id="1338" w:name="_Toc418518396"/>
      <w:bookmarkStart w:id="1339" w:name="_Toc12705"/>
      <w:bookmarkStart w:id="1340" w:name="_Toc403578984"/>
      <w:bookmarkStart w:id="1341" w:name="_Toc256000228"/>
      <w:bookmarkStart w:id="1342" w:name="_Toc522201777"/>
      <w:bookmarkStart w:id="1343" w:name="_Toc373478396"/>
      <w:bookmarkStart w:id="1344" w:name="_Toc418518160"/>
      <w:bookmarkStart w:id="1345" w:name="_Toc373227749"/>
      <w:bookmarkStart w:id="1346" w:name="_Toc418061361"/>
      <w:bookmarkStart w:id="1347" w:name="_Toc389065314"/>
      <w:bookmarkStart w:id="1348" w:name="_Toc497747228"/>
      <w:bookmarkStart w:id="1349" w:name="_Toc497746831"/>
      <w:bookmarkStart w:id="1350" w:name="_Toc297123553"/>
      <w:bookmarkStart w:id="1351" w:name="_Toc312678041"/>
      <w:bookmarkStart w:id="1352" w:name="_Toc303539160"/>
      <w:bookmarkStart w:id="1353" w:name="_Toc304295580"/>
      <w:bookmarkStart w:id="1354" w:name="_Toc297216212"/>
      <w:bookmarkStart w:id="1355" w:name="_Toc300935003"/>
      <w:r>
        <w:rPr>
          <w:rFonts w:hint="eastAsia" w:ascii="宋体" w:hAnsi="宋体" w:eastAsia="宋体" w:cs="宋体"/>
          <w:color w:val="auto"/>
          <w:sz w:val="21"/>
          <w:szCs w:val="21"/>
          <w:highlight w:val="none"/>
        </w:rPr>
        <w:t>12.1 合</w:t>
      </w:r>
      <w:bookmarkEnd w:id="1325"/>
      <w:bookmarkEnd w:id="1326"/>
      <w:bookmarkEnd w:id="1327"/>
      <w:r>
        <w:rPr>
          <w:rFonts w:hint="eastAsia" w:ascii="宋体" w:hAnsi="宋体" w:eastAsia="宋体" w:cs="宋体"/>
          <w:color w:val="auto"/>
          <w:sz w:val="21"/>
          <w:szCs w:val="21"/>
          <w:highlight w:val="none"/>
        </w:rPr>
        <w:t>同价</w:t>
      </w:r>
      <w:bookmarkEnd w:id="1328"/>
      <w:bookmarkEnd w:id="1329"/>
      <w:bookmarkEnd w:id="1330"/>
      <w:bookmarkEnd w:id="1331"/>
      <w:bookmarkEnd w:id="1332"/>
      <w:bookmarkEnd w:id="1333"/>
      <w:bookmarkEnd w:id="1334"/>
      <w:bookmarkEnd w:id="1335"/>
      <w:r>
        <w:rPr>
          <w:rFonts w:hint="eastAsia" w:ascii="宋体" w:hAnsi="宋体" w:eastAsia="宋体" w:cs="宋体"/>
          <w:color w:val="auto"/>
          <w:sz w:val="21"/>
          <w:szCs w:val="21"/>
          <w:highlight w:val="none"/>
        </w:rPr>
        <w:t>格形式</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p>
    <w:bookmarkEnd w:id="1350"/>
    <w:bookmarkEnd w:id="1351"/>
    <w:bookmarkEnd w:id="1352"/>
    <w:bookmarkEnd w:id="1353"/>
    <w:bookmarkEnd w:id="1354"/>
    <w:bookmarkEnd w:id="1355"/>
    <w:p>
      <w:pPr>
        <w:pStyle w:val="31"/>
        <w:spacing w:line="380" w:lineRule="exact"/>
        <w:ind w:firstLine="420" w:firstLineChars="200"/>
        <w:jc w:val="left"/>
        <w:rPr>
          <w:rFonts w:hint="eastAsia" w:ascii="宋体" w:hAnsi="宋体" w:eastAsia="宋体" w:cs="宋体"/>
          <w:color w:val="auto"/>
          <w:sz w:val="21"/>
          <w:szCs w:val="21"/>
          <w:highlight w:val="none"/>
        </w:rPr>
      </w:pPr>
      <w:bookmarkStart w:id="1356" w:name="_Toc389065315"/>
      <w:bookmarkStart w:id="1357" w:name="_Toc373478397"/>
      <w:bookmarkStart w:id="1358" w:name="_Toc373227750"/>
      <w:bookmarkStart w:id="1359" w:name="_Toc303539161"/>
      <w:bookmarkStart w:id="1360" w:name="_Toc297216213"/>
      <w:bookmarkStart w:id="1361" w:name="_Toc312678042"/>
      <w:bookmarkStart w:id="1362" w:name="_Toc304295581"/>
      <w:bookmarkStart w:id="1363" w:name="_Toc297123554"/>
      <w:bookmarkStart w:id="1364" w:name="_Toc300935004"/>
      <w:bookmarkStart w:id="1365" w:name="_Toc296891035"/>
      <w:bookmarkStart w:id="1366" w:name="_Toc297120507"/>
      <w:bookmarkStart w:id="1367" w:name="_Toc296503207"/>
      <w:bookmarkStart w:id="1368" w:name="_Toc296347206"/>
      <w:bookmarkStart w:id="1369" w:name="_Toc296346708"/>
      <w:bookmarkStart w:id="1370" w:name="_Toc297048393"/>
      <w:bookmarkStart w:id="1371" w:name="_Toc292559917"/>
      <w:bookmarkStart w:id="1372" w:name="_Toc296944546"/>
      <w:bookmarkStart w:id="1373" w:name="_Toc296891247"/>
      <w:bookmarkStart w:id="1374" w:name="_Toc292559412"/>
      <w:r>
        <w:rPr>
          <w:rFonts w:hint="eastAsia" w:ascii="宋体" w:hAnsi="宋体" w:eastAsia="宋体" w:cs="宋体"/>
          <w:color w:val="auto"/>
          <w:sz w:val="21"/>
          <w:szCs w:val="21"/>
          <w:highlight w:val="none"/>
        </w:rPr>
        <w:t>（1）单价合同。</w:t>
      </w:r>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本合同价款采用</w:t>
      </w:r>
      <w:r>
        <w:rPr>
          <w:rFonts w:hint="eastAsia" w:ascii="宋体" w:hAnsi="宋体" w:eastAsia="宋体" w:cs="宋体"/>
          <w:color w:val="auto"/>
          <w:sz w:val="21"/>
          <w:szCs w:val="21"/>
          <w:highlight w:val="none"/>
          <w:u w:val="single"/>
        </w:rPr>
        <w:t>固定综合单价</w:t>
      </w:r>
      <w:r>
        <w:rPr>
          <w:rFonts w:hint="eastAsia" w:ascii="宋体" w:hAnsi="宋体" w:eastAsia="宋体" w:cs="宋体"/>
          <w:color w:val="auto"/>
          <w:sz w:val="21"/>
          <w:szCs w:val="21"/>
          <w:highlight w:val="none"/>
          <w:u w:val="single"/>
          <w:lang w:eastAsia="zh-CN"/>
        </w:rPr>
        <w:t>，工程量按实计算的方式</w:t>
      </w:r>
      <w:r>
        <w:rPr>
          <w:rFonts w:hint="eastAsia" w:ascii="宋体" w:hAnsi="宋体" w:eastAsia="宋体" w:cs="宋体"/>
          <w:color w:val="auto"/>
          <w:sz w:val="21"/>
          <w:szCs w:val="21"/>
          <w:highlight w:val="none"/>
        </w:rPr>
        <w:t>确定。</w:t>
      </w:r>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综合单价包含的风险范围：</w:t>
      </w:r>
      <w:r>
        <w:rPr>
          <w:rFonts w:hint="eastAsia" w:ascii="宋体" w:hAnsi="宋体" w:eastAsia="宋体" w:cs="宋体"/>
          <w:color w:val="auto"/>
          <w:sz w:val="21"/>
          <w:szCs w:val="21"/>
          <w:highlight w:val="none"/>
          <w:u w:val="single"/>
        </w:rPr>
        <w:t>除工程变更、政策性调整、风险以外因素。</w:t>
      </w:r>
    </w:p>
    <w:p>
      <w:pPr>
        <w:pStyle w:val="38"/>
        <w:spacing w:line="380" w:lineRule="exact"/>
        <w:ind w:firstLine="441" w:firstLineChars="21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风险范围以外合同价格的调整方法：</w:t>
      </w:r>
    </w:p>
    <w:p>
      <w:pPr>
        <w:pStyle w:val="38"/>
        <w:spacing w:line="380" w:lineRule="exact"/>
        <w:ind w:firstLine="441" w:firstLineChars="21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①工程变更：按10.4.1变更估价原则的约定调整。</w:t>
      </w:r>
    </w:p>
    <w:p>
      <w:pPr>
        <w:pStyle w:val="38"/>
        <w:spacing w:line="380" w:lineRule="exact"/>
        <w:ind w:firstLine="441" w:firstLineChars="21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②政策性调整：按自治区建设行政主管部门颁布的文件执行。</w:t>
      </w:r>
    </w:p>
    <w:p>
      <w:pPr>
        <w:pStyle w:val="38"/>
        <w:spacing w:line="380" w:lineRule="exact"/>
        <w:ind w:firstLine="441" w:firstLineChars="21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③材料、设备价格变动风险：按11.1的约定调整。</w:t>
      </w:r>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④其它：</w:t>
      </w:r>
      <w:r>
        <w:rPr>
          <w:rFonts w:hint="eastAsia" w:ascii="宋体" w:hAnsi="宋体" w:eastAsia="宋体" w:cs="宋体"/>
          <w:color w:val="auto"/>
          <w:sz w:val="21"/>
          <w:szCs w:val="21"/>
          <w:highlight w:val="none"/>
          <w:u w:val="single"/>
        </w:rPr>
        <w:t xml:space="preserve">     /                </w:t>
      </w:r>
      <w:r>
        <w:rPr>
          <w:rFonts w:hint="eastAsia" w:ascii="宋体" w:hAnsi="宋体" w:eastAsia="宋体" w:cs="宋体"/>
          <w:color w:val="auto"/>
          <w:sz w:val="21"/>
          <w:szCs w:val="21"/>
          <w:highlight w:val="none"/>
        </w:rPr>
        <w:t>。</w:t>
      </w:r>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（2）总价合同。</w:t>
      </w:r>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总价包含的风险范围：</w:t>
      </w:r>
      <w:r>
        <w:rPr>
          <w:rFonts w:hint="eastAsia" w:ascii="宋体" w:hAnsi="宋体" w:eastAsia="宋体" w:cs="宋体"/>
          <w:color w:val="auto"/>
          <w:sz w:val="21"/>
          <w:szCs w:val="21"/>
          <w:highlight w:val="none"/>
          <w:u w:val="single"/>
        </w:rPr>
        <w:t xml:space="preserve">    /       </w:t>
      </w:r>
      <w:r>
        <w:rPr>
          <w:rFonts w:hint="eastAsia" w:ascii="宋体" w:hAnsi="宋体" w:eastAsia="宋体" w:cs="宋体"/>
          <w:color w:val="auto"/>
          <w:sz w:val="21"/>
          <w:szCs w:val="21"/>
          <w:highlight w:val="none"/>
        </w:rPr>
        <w:t>。</w:t>
      </w:r>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风险范围以外合同价格的调整方法：</w:t>
      </w:r>
      <w:r>
        <w:rPr>
          <w:rFonts w:hint="eastAsia" w:ascii="宋体" w:hAnsi="宋体" w:eastAsia="宋体" w:cs="宋体"/>
          <w:color w:val="auto"/>
          <w:sz w:val="21"/>
          <w:szCs w:val="21"/>
          <w:highlight w:val="none"/>
          <w:u w:val="single"/>
        </w:rPr>
        <w:t xml:space="preserve">    /        </w:t>
      </w:r>
      <w:r>
        <w:rPr>
          <w:rFonts w:hint="eastAsia" w:ascii="宋体" w:hAnsi="宋体" w:eastAsia="宋体" w:cs="宋体"/>
          <w:color w:val="auto"/>
          <w:sz w:val="21"/>
          <w:szCs w:val="21"/>
          <w:highlight w:val="none"/>
        </w:rPr>
        <w:t>。</w:t>
      </w:r>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（3）其他价格方式：</w:t>
      </w:r>
      <w:r>
        <w:rPr>
          <w:rFonts w:hint="eastAsia" w:ascii="宋体" w:hAnsi="宋体" w:eastAsia="宋体" w:cs="宋体"/>
          <w:color w:val="auto"/>
          <w:sz w:val="21"/>
          <w:szCs w:val="21"/>
          <w:highlight w:val="none"/>
          <w:u w:val="single"/>
        </w:rPr>
        <w:t xml:space="preserve">      /        </w:t>
      </w:r>
      <w:r>
        <w:rPr>
          <w:rFonts w:hint="eastAsia" w:ascii="宋体" w:hAnsi="宋体" w:eastAsia="宋体" w:cs="宋体"/>
          <w:color w:val="auto"/>
          <w:sz w:val="21"/>
          <w:szCs w:val="21"/>
          <w:highlight w:val="none"/>
        </w:rPr>
        <w:t>。</w:t>
      </w:r>
    </w:p>
    <w:p>
      <w:pPr>
        <w:pStyle w:val="29"/>
        <w:spacing w:line="380" w:lineRule="exact"/>
        <w:ind w:firstLine="422" w:firstLineChars="200"/>
        <w:rPr>
          <w:rFonts w:hint="eastAsia" w:ascii="宋体" w:hAnsi="宋体" w:eastAsia="宋体" w:cs="宋体"/>
          <w:color w:val="auto"/>
          <w:sz w:val="21"/>
          <w:szCs w:val="21"/>
          <w:highlight w:val="none"/>
        </w:rPr>
      </w:pPr>
      <w:bookmarkStart w:id="1375" w:name="_Toc418751847"/>
      <w:bookmarkStart w:id="1376" w:name="_Toc403578985"/>
      <w:bookmarkStart w:id="1377" w:name="_Toc497747229"/>
      <w:bookmarkStart w:id="1378" w:name="_Toc418518397"/>
      <w:bookmarkStart w:id="1379" w:name="_Toc418518161"/>
      <w:bookmarkStart w:id="1380" w:name="_Toc497746832"/>
      <w:bookmarkStart w:id="1381" w:name="_Toc418752293"/>
      <w:bookmarkStart w:id="1382" w:name="_Toc418061362"/>
      <w:bookmarkStart w:id="1383" w:name="_Toc9258"/>
      <w:bookmarkStart w:id="1384" w:name="_Toc522201778"/>
      <w:bookmarkStart w:id="1385" w:name="_Toc256000229"/>
      <w:r>
        <w:rPr>
          <w:rFonts w:hint="eastAsia" w:ascii="宋体" w:hAnsi="宋体" w:eastAsia="宋体" w:cs="宋体"/>
          <w:color w:val="auto"/>
          <w:sz w:val="21"/>
          <w:szCs w:val="21"/>
          <w:highlight w:val="none"/>
        </w:rPr>
        <w:t>12.2 预付款</w:t>
      </w:r>
      <w:bookmarkEnd w:id="1356"/>
      <w:bookmarkEnd w:id="1357"/>
      <w:bookmarkEnd w:id="1358"/>
      <w:bookmarkEnd w:id="1375"/>
      <w:bookmarkEnd w:id="1376"/>
      <w:bookmarkEnd w:id="1377"/>
      <w:bookmarkEnd w:id="1378"/>
      <w:bookmarkEnd w:id="1379"/>
      <w:bookmarkEnd w:id="1380"/>
      <w:bookmarkEnd w:id="1381"/>
      <w:bookmarkEnd w:id="1382"/>
      <w:bookmarkEnd w:id="1383"/>
      <w:bookmarkEnd w:id="1384"/>
      <w:bookmarkEnd w:id="1385"/>
    </w:p>
    <w:bookmarkEnd w:id="1359"/>
    <w:bookmarkEnd w:id="1360"/>
    <w:bookmarkEnd w:id="1361"/>
    <w:bookmarkEnd w:id="1362"/>
    <w:bookmarkEnd w:id="1363"/>
    <w:bookmarkEnd w:id="1364"/>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12.2.1 预付款的支付</w:t>
      </w:r>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预付款支付比例或金额：</w:t>
      </w:r>
      <w:r>
        <w:rPr>
          <w:rFonts w:hint="eastAsia" w:ascii="宋体" w:hAnsi="宋体" w:eastAsia="宋体" w:cs="宋体"/>
          <w:color w:val="auto"/>
          <w:sz w:val="21"/>
          <w:szCs w:val="21"/>
          <w:highlight w:val="none"/>
          <w:u w:val="single"/>
          <w:lang w:eastAsia="zh-CN"/>
        </w:rPr>
        <w:t>按合同价的</w:t>
      </w:r>
      <w:r>
        <w:rPr>
          <w:rFonts w:hint="eastAsia" w:ascii="宋体" w:hAnsi="宋体" w:cs="宋体"/>
          <w:color w:val="auto"/>
          <w:sz w:val="21"/>
          <w:szCs w:val="21"/>
          <w:highlight w:val="none"/>
          <w:u w:val="single"/>
          <w:lang w:val="en-US" w:eastAsia="zh-CN"/>
        </w:rPr>
        <w:t>30</w:t>
      </w:r>
      <w:r>
        <w:rPr>
          <w:rFonts w:hint="eastAsia" w:ascii="宋体" w:hAnsi="宋体" w:eastAsia="宋体" w:cs="宋体"/>
          <w:color w:val="auto"/>
          <w:sz w:val="21"/>
          <w:szCs w:val="21"/>
          <w:highlight w:val="none"/>
          <w:u w:val="single"/>
          <w:lang w:val="en-US" w:eastAsia="zh-CN"/>
        </w:rPr>
        <w:t>%</w:t>
      </w:r>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预付款支付期限：</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签订合同7个工作日内</w:t>
      </w:r>
      <w:r>
        <w:rPr>
          <w:rFonts w:hint="eastAsia" w:ascii="宋体" w:hAnsi="宋体" w:eastAsia="宋体" w:cs="宋体"/>
          <w:color w:val="auto"/>
          <w:sz w:val="21"/>
          <w:szCs w:val="21"/>
          <w:highlight w:val="none"/>
        </w:rPr>
        <w:t>。</w:t>
      </w:r>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12.2.2 预付款担保</w:t>
      </w:r>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承包人提交预付款担保的期限：</w:t>
      </w:r>
      <w:r>
        <w:rPr>
          <w:rFonts w:hint="eastAsia" w:ascii="宋体" w:hAnsi="宋体" w:eastAsia="宋体" w:cs="宋体"/>
          <w:color w:val="auto"/>
          <w:sz w:val="21"/>
          <w:szCs w:val="21"/>
          <w:highlight w:val="none"/>
          <w:u w:val="single"/>
        </w:rPr>
        <w:t xml:space="preserve">  无  </w:t>
      </w:r>
      <w:r>
        <w:rPr>
          <w:rFonts w:hint="eastAsia" w:ascii="宋体" w:hAnsi="宋体" w:eastAsia="宋体" w:cs="宋体"/>
          <w:color w:val="auto"/>
          <w:sz w:val="21"/>
          <w:szCs w:val="21"/>
          <w:highlight w:val="none"/>
        </w:rPr>
        <w:t>。</w:t>
      </w:r>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预付款担保的形式为：</w:t>
      </w:r>
      <w:r>
        <w:rPr>
          <w:rFonts w:hint="eastAsia" w:ascii="宋体" w:hAnsi="宋体" w:eastAsia="宋体" w:cs="宋体"/>
          <w:color w:val="auto"/>
          <w:sz w:val="21"/>
          <w:szCs w:val="21"/>
          <w:highlight w:val="none"/>
          <w:u w:val="single"/>
        </w:rPr>
        <w:t xml:space="preserve">   无   </w:t>
      </w:r>
      <w:r>
        <w:rPr>
          <w:rFonts w:hint="eastAsia" w:ascii="宋体" w:hAnsi="宋体" w:eastAsia="宋体" w:cs="宋体"/>
          <w:color w:val="auto"/>
          <w:sz w:val="21"/>
          <w:szCs w:val="21"/>
          <w:highlight w:val="none"/>
        </w:rPr>
        <w:t>。</w:t>
      </w:r>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预付款担保格式见合同附件9。</w:t>
      </w:r>
    </w:p>
    <w:bookmarkEnd w:id="1365"/>
    <w:bookmarkEnd w:id="1366"/>
    <w:bookmarkEnd w:id="1367"/>
    <w:bookmarkEnd w:id="1368"/>
    <w:bookmarkEnd w:id="1369"/>
    <w:bookmarkEnd w:id="1370"/>
    <w:bookmarkEnd w:id="1371"/>
    <w:bookmarkEnd w:id="1372"/>
    <w:bookmarkEnd w:id="1373"/>
    <w:bookmarkEnd w:id="1374"/>
    <w:p>
      <w:pPr>
        <w:pStyle w:val="29"/>
        <w:spacing w:line="380" w:lineRule="exact"/>
        <w:ind w:firstLine="422" w:firstLineChars="200"/>
        <w:rPr>
          <w:rFonts w:hint="eastAsia" w:ascii="宋体" w:hAnsi="宋体" w:eastAsia="宋体" w:cs="宋体"/>
          <w:color w:val="auto"/>
          <w:sz w:val="21"/>
          <w:szCs w:val="21"/>
          <w:highlight w:val="none"/>
        </w:rPr>
      </w:pPr>
      <w:bookmarkStart w:id="1386" w:name="_Toc373478398"/>
      <w:bookmarkStart w:id="1387" w:name="_Toc13428"/>
      <w:bookmarkStart w:id="1388" w:name="_Toc373227751"/>
      <w:bookmarkStart w:id="1389" w:name="_Toc418518162"/>
      <w:bookmarkStart w:id="1390" w:name="_Toc389065316"/>
      <w:bookmarkStart w:id="1391" w:name="_Toc522201779"/>
      <w:bookmarkStart w:id="1392" w:name="_Toc256000230"/>
      <w:bookmarkStart w:id="1393" w:name="_Toc418752294"/>
      <w:bookmarkStart w:id="1394" w:name="_Toc497747230"/>
      <w:bookmarkStart w:id="1395" w:name="_Toc418061363"/>
      <w:bookmarkStart w:id="1396" w:name="_Toc403578986"/>
      <w:bookmarkStart w:id="1397" w:name="_Toc418751848"/>
      <w:bookmarkStart w:id="1398" w:name="_Toc418518398"/>
      <w:bookmarkStart w:id="1399" w:name="_Toc497746833"/>
      <w:r>
        <w:rPr>
          <w:rFonts w:hint="eastAsia" w:ascii="宋体" w:hAnsi="宋体" w:eastAsia="宋体" w:cs="宋体"/>
          <w:color w:val="auto"/>
          <w:sz w:val="21"/>
          <w:szCs w:val="21"/>
          <w:highlight w:val="none"/>
        </w:rPr>
        <w:t>12.3 计量</w:t>
      </w:r>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p>
    <w:p>
      <w:pPr>
        <w:pStyle w:val="31"/>
        <w:spacing w:line="380" w:lineRule="exact"/>
        <w:ind w:firstLine="420" w:firstLineChars="200"/>
        <w:jc w:val="left"/>
        <w:rPr>
          <w:rFonts w:hint="eastAsia" w:ascii="宋体" w:hAnsi="宋体" w:eastAsia="宋体" w:cs="宋体"/>
          <w:color w:val="auto"/>
          <w:sz w:val="21"/>
          <w:szCs w:val="21"/>
          <w:highlight w:val="none"/>
        </w:rPr>
      </w:pPr>
      <w:bookmarkStart w:id="1400" w:name="_Toc497747231"/>
      <w:bookmarkStart w:id="1401" w:name="_Toc418752295"/>
      <w:bookmarkStart w:id="1402" w:name="_Toc497746834"/>
      <w:bookmarkStart w:id="1403" w:name="_Toc373227752"/>
      <w:bookmarkStart w:id="1404" w:name="_Toc403578987"/>
      <w:bookmarkStart w:id="1405" w:name="_Toc373478399"/>
      <w:bookmarkStart w:id="1406" w:name="_Toc389065317"/>
      <w:bookmarkStart w:id="1407" w:name="_Toc418061364"/>
      <w:bookmarkStart w:id="1408" w:name="_Toc418518163"/>
      <w:bookmarkStart w:id="1409" w:name="_Toc418751849"/>
      <w:bookmarkStart w:id="1410" w:name="_Toc418518399"/>
      <w:r>
        <w:rPr>
          <w:rFonts w:hint="eastAsia" w:ascii="宋体" w:hAnsi="宋体" w:eastAsia="宋体" w:cs="宋体"/>
          <w:color w:val="auto"/>
          <w:sz w:val="21"/>
          <w:szCs w:val="21"/>
          <w:highlight w:val="none"/>
        </w:rPr>
        <w:t xml:space="preserve">12.3.1 计量原则 </w:t>
      </w:r>
    </w:p>
    <w:p>
      <w:pPr>
        <w:pStyle w:val="31"/>
        <w:spacing w:line="380" w:lineRule="exact"/>
        <w:ind w:firstLine="420" w:firstLineChars="200"/>
        <w:jc w:val="lef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工程量计算规则：</w:t>
      </w:r>
      <w:r>
        <w:rPr>
          <w:rFonts w:hint="eastAsia" w:ascii="宋体" w:hAnsi="宋体" w:eastAsia="宋体" w:cs="宋体"/>
          <w:color w:val="auto"/>
          <w:sz w:val="21"/>
          <w:szCs w:val="21"/>
          <w:highlight w:val="none"/>
          <w:u w:val="single"/>
        </w:rPr>
        <w:t>工程的计量均以《建设工程工程量清单计价规范》 （GB50500－2013）和及其广西壮族自治区实施细则、《建设工程工程量清单计算规范》 （GB50854～50862－2013）及其广西实施细则（修订本）、本工程补充项目清单为准。</w:t>
      </w:r>
      <w:r>
        <w:rPr>
          <w:rFonts w:hint="eastAsia" w:ascii="宋体" w:hAnsi="宋体" w:eastAsia="宋体" w:cs="宋体"/>
          <w:color w:val="auto"/>
          <w:sz w:val="21"/>
          <w:szCs w:val="21"/>
          <w:highlight w:val="none"/>
        </w:rPr>
        <w:t xml:space="preserve"> </w:t>
      </w:r>
    </w:p>
    <w:p>
      <w:pPr>
        <w:pStyle w:val="31"/>
        <w:spacing w:line="380" w:lineRule="exact"/>
        <w:ind w:firstLine="420" w:firstLineChars="200"/>
        <w:jc w:val="lef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 xml:space="preserve">12.3.2 计量周期 </w:t>
      </w:r>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关于计量周期的约定：</w:t>
      </w:r>
      <w:r>
        <w:rPr>
          <w:rFonts w:hint="eastAsia" w:ascii="宋体" w:hAnsi="宋体" w:eastAsia="宋体" w:cs="宋体"/>
          <w:color w:val="auto"/>
          <w:sz w:val="21"/>
          <w:szCs w:val="21"/>
          <w:highlight w:val="none"/>
          <w:u w:val="single"/>
        </w:rPr>
        <w:t>承包人每月25日前向监理人报送上月20日至本月19日完成的工程量报告，并附具进度款申请单、已完成工程量报表和有关资料。</w:t>
      </w:r>
      <w:r>
        <w:rPr>
          <w:rFonts w:hint="eastAsia" w:ascii="宋体" w:hAnsi="宋体" w:eastAsia="宋体" w:cs="宋体"/>
          <w:color w:val="auto"/>
          <w:sz w:val="21"/>
          <w:szCs w:val="21"/>
          <w:highlight w:val="none"/>
        </w:rPr>
        <w:t xml:space="preserve"> </w:t>
      </w:r>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12.3.3 单价合同的计量 </w:t>
      </w:r>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关于单价合同计量的约定：</w:t>
      </w:r>
      <w:r>
        <w:rPr>
          <w:rFonts w:hint="eastAsia" w:ascii="宋体" w:hAnsi="宋体" w:eastAsia="宋体" w:cs="宋体"/>
          <w:color w:val="auto"/>
          <w:sz w:val="21"/>
          <w:szCs w:val="21"/>
          <w:highlight w:val="none"/>
          <w:u w:val="single"/>
        </w:rPr>
        <w:t xml:space="preserve"> (1) 工程量清单所列的工程量，不能作为承包人按合同履行其责任依据，实际施工中发生的工程量增加或减少并不影响承包人履行合同的责任，工程结算以完成的实际工程量为准。(2) 除另有规定外，工程师应按照合同通过计量来核实确定已完成的工程量和价款，承包人应得到该价款扣除保留金后的金额。当工程师要对已完工的工程量进行计量时，应适时地通知承包人参加</w:t>
      </w:r>
      <w:r>
        <w:rPr>
          <w:rFonts w:hint="eastAsia" w:ascii="宋体" w:hAnsi="宋体" w:eastAsia="宋体" w:cs="宋体"/>
          <w:color w:val="auto"/>
          <w:sz w:val="21"/>
          <w:szCs w:val="21"/>
          <w:highlight w:val="none"/>
        </w:rPr>
        <w:t xml:space="preserve">。 </w:t>
      </w:r>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12.3.4 总价合同的计量 </w:t>
      </w:r>
    </w:p>
    <w:p>
      <w:pPr>
        <w:pStyle w:val="31"/>
        <w:spacing w:line="380" w:lineRule="exact"/>
        <w:ind w:firstLine="420" w:firstLineChars="200"/>
        <w:jc w:val="lef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关于总价合同计量的约定：</w:t>
      </w:r>
      <w:r>
        <w:rPr>
          <w:rFonts w:hint="eastAsia" w:ascii="宋体" w:hAnsi="宋体" w:eastAsia="宋体" w:cs="宋体"/>
          <w:color w:val="auto"/>
          <w:sz w:val="21"/>
          <w:szCs w:val="21"/>
          <w:highlight w:val="none"/>
          <w:u w:val="single"/>
        </w:rPr>
        <w:t xml:space="preserve">    /    </w:t>
      </w:r>
      <w:r>
        <w:rPr>
          <w:rFonts w:hint="eastAsia" w:ascii="宋体" w:hAnsi="宋体" w:eastAsia="宋体" w:cs="宋体"/>
          <w:color w:val="auto"/>
          <w:sz w:val="21"/>
          <w:szCs w:val="21"/>
          <w:highlight w:val="none"/>
        </w:rPr>
        <w:t>。</w:t>
      </w:r>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12.3.5 总价合同采用支付分解表计量支付的，是否适用第 12.3.4 项〔总价合同的计量〕约定进行计量：</w:t>
      </w:r>
      <w:r>
        <w:rPr>
          <w:rFonts w:hint="eastAsia" w:ascii="宋体" w:hAnsi="宋体" w:eastAsia="宋体" w:cs="宋体"/>
          <w:color w:val="auto"/>
          <w:sz w:val="21"/>
          <w:szCs w:val="21"/>
          <w:highlight w:val="none"/>
          <w:u w:val="single"/>
        </w:rPr>
        <w:t xml:space="preserve">无 </w:t>
      </w:r>
      <w:r>
        <w:rPr>
          <w:rFonts w:hint="eastAsia" w:ascii="宋体" w:hAnsi="宋体" w:eastAsia="宋体" w:cs="宋体"/>
          <w:color w:val="auto"/>
          <w:sz w:val="21"/>
          <w:szCs w:val="21"/>
          <w:highlight w:val="none"/>
        </w:rPr>
        <w:t xml:space="preserve">。 </w:t>
      </w:r>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12.3.6 其他价格形式合同的计量 </w:t>
      </w:r>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其他价格形式的计量方式和程序：</w:t>
      </w:r>
      <w:r>
        <w:rPr>
          <w:rFonts w:hint="eastAsia" w:ascii="宋体" w:hAnsi="宋体" w:eastAsia="宋体" w:cs="宋体"/>
          <w:color w:val="auto"/>
          <w:sz w:val="21"/>
          <w:szCs w:val="21"/>
          <w:highlight w:val="none"/>
          <w:u w:val="single"/>
        </w:rPr>
        <w:t xml:space="preserve"> 无 </w:t>
      </w:r>
      <w:r>
        <w:rPr>
          <w:rFonts w:hint="eastAsia" w:ascii="宋体" w:hAnsi="宋体" w:eastAsia="宋体" w:cs="宋体"/>
          <w:color w:val="auto"/>
          <w:sz w:val="21"/>
          <w:szCs w:val="21"/>
          <w:highlight w:val="none"/>
        </w:rPr>
        <w:t xml:space="preserve">。 </w:t>
      </w:r>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12.4 工程进度款支付</w:t>
      </w:r>
      <w:bookmarkEnd w:id="1400"/>
      <w:bookmarkEnd w:id="1401"/>
      <w:bookmarkEnd w:id="1402"/>
      <w:bookmarkEnd w:id="1403"/>
      <w:bookmarkEnd w:id="1404"/>
      <w:bookmarkEnd w:id="1405"/>
      <w:bookmarkEnd w:id="1406"/>
      <w:bookmarkEnd w:id="1407"/>
      <w:bookmarkEnd w:id="1408"/>
      <w:bookmarkEnd w:id="1409"/>
      <w:bookmarkEnd w:id="1410"/>
    </w:p>
    <w:p>
      <w:pPr>
        <w:pStyle w:val="31"/>
        <w:spacing w:line="380" w:lineRule="exact"/>
        <w:ind w:firstLine="420" w:firstLineChars="200"/>
        <w:jc w:val="left"/>
        <w:rPr>
          <w:rFonts w:hint="eastAsia" w:ascii="宋体" w:hAnsi="宋体" w:eastAsia="宋体" w:cs="宋体"/>
          <w:color w:val="auto"/>
          <w:sz w:val="21"/>
          <w:szCs w:val="21"/>
          <w:highlight w:val="none"/>
        </w:rPr>
      </w:pPr>
      <w:bookmarkStart w:id="1411" w:name="_Toc297120511"/>
      <w:bookmarkStart w:id="1412" w:name="_Toc303539163"/>
      <w:bookmarkStart w:id="1413" w:name="_Toc296891251"/>
      <w:bookmarkStart w:id="1414" w:name="_Toc292559416"/>
      <w:bookmarkStart w:id="1415" w:name="_Toc297048397"/>
      <w:bookmarkStart w:id="1416" w:name="_Toc296503211"/>
      <w:bookmarkStart w:id="1417" w:name="_Toc300935006"/>
      <w:bookmarkStart w:id="1418" w:name="_Toc297123556"/>
      <w:bookmarkStart w:id="1419" w:name="_Toc296891039"/>
      <w:bookmarkStart w:id="1420" w:name="_Toc296347210"/>
      <w:bookmarkStart w:id="1421" w:name="_Toc296944550"/>
      <w:bookmarkStart w:id="1422" w:name="_Toc296346712"/>
      <w:bookmarkStart w:id="1423" w:name="_Toc297216215"/>
      <w:bookmarkStart w:id="1424" w:name="_Toc292559921"/>
      <w:r>
        <w:rPr>
          <w:rFonts w:hint="eastAsia" w:ascii="宋体" w:hAnsi="宋体" w:eastAsia="宋体" w:cs="宋体"/>
          <w:color w:val="auto"/>
          <w:sz w:val="21"/>
          <w:szCs w:val="21"/>
          <w:highlight w:val="none"/>
        </w:rPr>
        <w:t>12.4.1 付款周期</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关于付款周期的约定</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支付条件和支付时间</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u w:val="single"/>
        </w:rPr>
        <w:t>工程</w:t>
      </w:r>
      <w:r>
        <w:rPr>
          <w:rFonts w:hint="eastAsia" w:ascii="宋体" w:hAnsi="宋体" w:eastAsia="宋体" w:cs="宋体"/>
          <w:color w:val="auto"/>
          <w:sz w:val="21"/>
          <w:szCs w:val="21"/>
          <w:highlight w:val="none"/>
          <w:u w:val="single"/>
          <w:lang w:eastAsia="zh-CN"/>
        </w:rPr>
        <w:t>进度</w:t>
      </w:r>
      <w:r>
        <w:rPr>
          <w:rFonts w:hint="eastAsia" w:ascii="宋体" w:hAnsi="宋体" w:eastAsia="宋体" w:cs="宋体"/>
          <w:color w:val="auto"/>
          <w:sz w:val="21"/>
          <w:szCs w:val="21"/>
          <w:highlight w:val="none"/>
          <w:u w:val="single"/>
        </w:rPr>
        <w:t>款按月</w:t>
      </w:r>
      <w:r>
        <w:rPr>
          <w:rFonts w:hint="eastAsia" w:ascii="宋体" w:hAnsi="宋体" w:eastAsia="宋体" w:cs="宋体"/>
          <w:color w:val="auto"/>
          <w:sz w:val="21"/>
          <w:szCs w:val="21"/>
          <w:highlight w:val="none"/>
          <w:u w:val="single"/>
          <w:lang w:eastAsia="zh-CN"/>
        </w:rPr>
        <w:t>以实际</w:t>
      </w:r>
      <w:r>
        <w:rPr>
          <w:rFonts w:hint="eastAsia" w:ascii="宋体" w:hAnsi="宋体" w:eastAsia="宋体" w:cs="宋体"/>
          <w:color w:val="auto"/>
          <w:sz w:val="21"/>
          <w:szCs w:val="21"/>
          <w:highlight w:val="none"/>
          <w:u w:val="single"/>
        </w:rPr>
        <w:t>施工完成额支付至70%；</w:t>
      </w:r>
      <w:r>
        <w:rPr>
          <w:rFonts w:hint="eastAsia" w:ascii="宋体" w:hAnsi="宋体" w:eastAsia="宋体" w:cs="宋体"/>
          <w:color w:val="auto"/>
          <w:sz w:val="21"/>
          <w:szCs w:val="21"/>
          <w:highlight w:val="none"/>
          <w:u w:val="single"/>
          <w:lang w:eastAsia="zh-CN"/>
        </w:rPr>
        <w:t>（</w:t>
      </w:r>
      <w:r>
        <w:rPr>
          <w:rFonts w:hint="eastAsia" w:ascii="宋体" w:hAnsi="宋体" w:eastAsia="宋体" w:cs="宋体"/>
          <w:color w:val="auto"/>
          <w:sz w:val="21"/>
          <w:szCs w:val="21"/>
          <w:highlight w:val="none"/>
          <w:u w:val="single"/>
          <w:lang w:val="en-US" w:eastAsia="zh-CN"/>
        </w:rPr>
        <w:t>2</w:t>
      </w:r>
      <w:r>
        <w:rPr>
          <w:rFonts w:hint="eastAsia" w:ascii="宋体" w:hAnsi="宋体" w:eastAsia="宋体" w:cs="宋体"/>
          <w:color w:val="auto"/>
          <w:sz w:val="21"/>
          <w:szCs w:val="21"/>
          <w:highlight w:val="none"/>
          <w:u w:val="single"/>
          <w:lang w:eastAsia="zh-CN"/>
        </w:rPr>
        <w:t>）</w:t>
      </w:r>
      <w:r>
        <w:rPr>
          <w:rFonts w:hint="eastAsia" w:ascii="宋体" w:hAnsi="宋体" w:eastAsia="宋体" w:cs="宋体"/>
          <w:color w:val="auto"/>
          <w:sz w:val="21"/>
          <w:szCs w:val="21"/>
          <w:highlight w:val="none"/>
          <w:u w:val="single"/>
        </w:rPr>
        <w:t>工程竣工验收合格后，以合同价作为支付依据</w:t>
      </w:r>
      <w:r>
        <w:rPr>
          <w:rFonts w:hint="eastAsia" w:ascii="宋体" w:hAnsi="宋体" w:eastAsia="宋体" w:cs="宋体"/>
          <w:color w:val="auto"/>
          <w:sz w:val="21"/>
          <w:szCs w:val="21"/>
          <w:highlight w:val="none"/>
          <w:u w:val="single"/>
          <w:lang w:eastAsia="zh-CN"/>
        </w:rPr>
        <w:t>，</w:t>
      </w:r>
      <w:r>
        <w:rPr>
          <w:rFonts w:hint="eastAsia" w:ascii="宋体" w:hAnsi="宋体" w:eastAsia="宋体" w:cs="宋体"/>
          <w:color w:val="auto"/>
          <w:sz w:val="21"/>
          <w:szCs w:val="21"/>
          <w:highlight w:val="none"/>
          <w:u w:val="single"/>
        </w:rPr>
        <w:t>工程款支付（含预付款）至合同价的80%；</w:t>
      </w:r>
      <w:r>
        <w:rPr>
          <w:rFonts w:hint="eastAsia" w:ascii="宋体" w:hAnsi="宋体" w:eastAsia="宋体" w:cs="宋体"/>
          <w:color w:val="auto"/>
          <w:sz w:val="21"/>
          <w:szCs w:val="21"/>
          <w:highlight w:val="none"/>
          <w:u w:val="single"/>
          <w:lang w:eastAsia="zh-CN"/>
        </w:rPr>
        <w:t>（</w:t>
      </w:r>
      <w:r>
        <w:rPr>
          <w:rFonts w:hint="eastAsia" w:ascii="宋体" w:hAnsi="宋体" w:eastAsia="宋体" w:cs="宋体"/>
          <w:color w:val="auto"/>
          <w:sz w:val="21"/>
          <w:szCs w:val="21"/>
          <w:highlight w:val="none"/>
          <w:u w:val="single"/>
          <w:lang w:val="en-US" w:eastAsia="zh-CN"/>
        </w:rPr>
        <w:t>3</w:t>
      </w:r>
      <w:r>
        <w:rPr>
          <w:rFonts w:hint="eastAsia" w:ascii="宋体" w:hAnsi="宋体" w:eastAsia="宋体" w:cs="宋体"/>
          <w:color w:val="auto"/>
          <w:sz w:val="21"/>
          <w:szCs w:val="21"/>
          <w:highlight w:val="none"/>
          <w:u w:val="single"/>
          <w:lang w:eastAsia="zh-CN"/>
        </w:rPr>
        <w:t>）</w:t>
      </w:r>
      <w:r>
        <w:rPr>
          <w:rFonts w:hint="eastAsia" w:ascii="宋体" w:hAnsi="宋体" w:eastAsia="宋体" w:cs="宋体"/>
          <w:color w:val="auto"/>
          <w:sz w:val="21"/>
          <w:szCs w:val="21"/>
          <w:highlight w:val="none"/>
          <w:u w:val="single"/>
        </w:rPr>
        <w:t>工程验收结算审核后，工程款支付至结算总价的97%；</w:t>
      </w:r>
      <w:r>
        <w:rPr>
          <w:rFonts w:hint="eastAsia" w:ascii="宋体" w:hAnsi="宋体" w:eastAsia="宋体" w:cs="宋体"/>
          <w:color w:val="auto"/>
          <w:sz w:val="21"/>
          <w:szCs w:val="21"/>
          <w:highlight w:val="none"/>
          <w:u w:val="single"/>
          <w:lang w:eastAsia="zh-CN"/>
        </w:rPr>
        <w:t>（</w:t>
      </w:r>
      <w:r>
        <w:rPr>
          <w:rFonts w:hint="eastAsia" w:ascii="宋体" w:hAnsi="宋体" w:eastAsia="宋体" w:cs="宋体"/>
          <w:color w:val="auto"/>
          <w:sz w:val="21"/>
          <w:szCs w:val="21"/>
          <w:highlight w:val="none"/>
          <w:u w:val="single"/>
          <w:lang w:val="en-US" w:eastAsia="zh-CN"/>
        </w:rPr>
        <w:t>4</w:t>
      </w:r>
      <w:r>
        <w:rPr>
          <w:rFonts w:hint="eastAsia" w:ascii="宋体" w:hAnsi="宋体" w:eastAsia="宋体" w:cs="宋体"/>
          <w:color w:val="auto"/>
          <w:sz w:val="21"/>
          <w:szCs w:val="21"/>
          <w:highlight w:val="none"/>
          <w:u w:val="single"/>
          <w:lang w:eastAsia="zh-CN"/>
        </w:rPr>
        <w:t>）</w:t>
      </w:r>
      <w:r>
        <w:rPr>
          <w:rFonts w:hint="eastAsia" w:ascii="宋体" w:hAnsi="宋体" w:eastAsia="宋体" w:cs="宋体"/>
          <w:color w:val="auto"/>
          <w:sz w:val="21"/>
          <w:szCs w:val="21"/>
          <w:highlight w:val="none"/>
          <w:u w:val="single"/>
        </w:rPr>
        <w:t>发包人按工程价款结算总额的3%预留工程质量保修金，</w:t>
      </w:r>
      <w:r>
        <w:rPr>
          <w:rFonts w:hint="eastAsia" w:ascii="宋体" w:hAnsi="宋体" w:eastAsia="宋体" w:cs="宋体"/>
          <w:color w:val="auto"/>
          <w:sz w:val="21"/>
          <w:szCs w:val="21"/>
          <w:highlight w:val="none"/>
          <w:u w:val="single"/>
          <w:lang w:eastAsia="zh-CN"/>
        </w:rPr>
        <w:t>待工程质保期满后工程无缺陷将工程质量保修金一次付清</w:t>
      </w:r>
      <w:r>
        <w:rPr>
          <w:rFonts w:hint="eastAsia" w:ascii="宋体" w:hAnsi="宋体" w:eastAsia="宋体" w:cs="宋体"/>
          <w:color w:val="auto"/>
          <w:sz w:val="21"/>
          <w:szCs w:val="21"/>
          <w:highlight w:val="none"/>
          <w:lang w:eastAsia="zh-CN"/>
        </w:rPr>
        <w:t>。</w:t>
      </w:r>
    </w:p>
    <w:p>
      <w:pPr>
        <w:pStyle w:val="31"/>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jc w:val="left"/>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每次付款前，承包人应按发包人的要求提供符合相关法律法规的增值税发票，如发票不符合要求，发包人有权拒收，承包人应承担因不合格发票产生的所有责任。</w:t>
      </w:r>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12.4.2 进度付款申请单的编制</w:t>
      </w:r>
    </w:p>
    <w:p>
      <w:pPr>
        <w:pStyle w:val="31"/>
        <w:spacing w:line="380" w:lineRule="exact"/>
        <w:ind w:firstLine="420" w:firstLineChars="200"/>
        <w:jc w:val="left"/>
        <w:rPr>
          <w:rFonts w:hint="eastAsia" w:ascii="宋体" w:hAnsi="宋体" w:eastAsia="宋体" w:cs="宋体"/>
          <w:bCs/>
          <w:color w:val="auto"/>
          <w:sz w:val="21"/>
          <w:szCs w:val="21"/>
          <w:highlight w:val="none"/>
          <w:u w:val="single"/>
        </w:rPr>
      </w:pPr>
      <w:r>
        <w:rPr>
          <w:rFonts w:hint="eastAsia" w:ascii="宋体" w:hAnsi="宋体" w:eastAsia="宋体" w:cs="宋体"/>
          <w:color w:val="auto"/>
          <w:sz w:val="21"/>
          <w:szCs w:val="21"/>
          <w:highlight w:val="none"/>
        </w:rPr>
        <w:t>关于进度付款申请单编制的约定：</w:t>
      </w:r>
      <w:r>
        <w:rPr>
          <w:rFonts w:hint="eastAsia" w:ascii="宋体" w:hAnsi="宋体" w:eastAsia="宋体" w:cs="宋体"/>
          <w:bCs/>
          <w:color w:val="auto"/>
          <w:sz w:val="21"/>
          <w:szCs w:val="21"/>
          <w:highlight w:val="none"/>
          <w:u w:val="single"/>
        </w:rPr>
        <w:t>承包人应在每个计量周期到期后的7天内向发包人提交已完工程进度款支付申请一式四份，详细说明此周期自己认为有权得到的款额，包括分包人已完工程的价款，</w:t>
      </w:r>
      <w:r>
        <w:rPr>
          <w:rFonts w:hint="eastAsia" w:ascii="宋体" w:hAnsi="宋体" w:eastAsia="宋体" w:cs="宋体"/>
          <w:bCs/>
          <w:color w:val="auto"/>
          <w:sz w:val="21"/>
          <w:szCs w:val="21"/>
          <w:highlight w:val="none"/>
          <w:u w:val="single"/>
          <w:lang w:val="en-US" w:eastAsia="zh-CN"/>
        </w:rPr>
        <w:t>附</w:t>
      </w:r>
      <w:r>
        <w:rPr>
          <w:rFonts w:hint="eastAsia" w:ascii="宋体" w:hAnsi="宋体" w:eastAsia="宋体" w:cs="宋体"/>
          <w:bCs/>
          <w:color w:val="auto"/>
          <w:sz w:val="21"/>
          <w:szCs w:val="21"/>
          <w:highlight w:val="none"/>
          <w:u w:val="single"/>
        </w:rPr>
        <w:t>已完工程</w:t>
      </w:r>
      <w:r>
        <w:rPr>
          <w:rFonts w:hint="eastAsia" w:ascii="宋体" w:hAnsi="宋体" w:eastAsia="宋体" w:cs="宋体"/>
          <w:bCs/>
          <w:color w:val="auto"/>
          <w:sz w:val="21"/>
          <w:szCs w:val="21"/>
          <w:highlight w:val="none"/>
          <w:u w:val="single"/>
          <w:lang w:eastAsia="zh-CN"/>
        </w:rPr>
        <w:t>量清单</w:t>
      </w:r>
      <w:r>
        <w:rPr>
          <w:rFonts w:hint="eastAsia" w:ascii="宋体" w:hAnsi="宋体" w:eastAsia="宋体" w:cs="宋体"/>
          <w:bCs/>
          <w:color w:val="auto"/>
          <w:sz w:val="21"/>
          <w:szCs w:val="21"/>
          <w:highlight w:val="none"/>
          <w:u w:val="single"/>
        </w:rPr>
        <w:t>预算书</w:t>
      </w:r>
      <w:r>
        <w:rPr>
          <w:rFonts w:hint="eastAsia" w:ascii="宋体" w:hAnsi="宋体" w:eastAsia="宋体" w:cs="宋体"/>
          <w:bCs/>
          <w:color w:val="auto"/>
          <w:sz w:val="21"/>
          <w:szCs w:val="21"/>
          <w:highlight w:val="none"/>
          <w:u w:val="single"/>
          <w:lang w:eastAsia="zh-CN"/>
        </w:rPr>
        <w:t>，具体以发包人要求为准</w:t>
      </w:r>
      <w:r>
        <w:rPr>
          <w:rFonts w:hint="eastAsia" w:ascii="宋体" w:hAnsi="宋体" w:eastAsia="宋体" w:cs="宋体"/>
          <w:bCs/>
          <w:color w:val="auto"/>
          <w:sz w:val="21"/>
          <w:szCs w:val="21"/>
          <w:highlight w:val="none"/>
          <w:u w:val="single"/>
        </w:rPr>
        <w:t>。</w:t>
      </w:r>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r>
        <w:rPr>
          <w:rFonts w:hint="eastAsia" w:ascii="宋体" w:hAnsi="宋体" w:eastAsia="宋体" w:cs="宋体"/>
          <w:color w:val="auto"/>
          <w:sz w:val="21"/>
          <w:szCs w:val="21"/>
          <w:highlight w:val="none"/>
        </w:rPr>
        <w:t>2.4.3 进度付款申请单的提交</w:t>
      </w:r>
    </w:p>
    <w:p>
      <w:pPr>
        <w:pStyle w:val="31"/>
        <w:spacing w:line="380" w:lineRule="exact"/>
        <w:ind w:firstLine="420" w:firstLineChars="200"/>
        <w:jc w:val="left"/>
        <w:rPr>
          <w:rFonts w:hint="eastAsia" w:ascii="宋体" w:hAnsi="宋体" w:eastAsia="宋体" w:cs="宋体"/>
          <w:bCs/>
          <w:color w:val="auto"/>
          <w:sz w:val="21"/>
          <w:szCs w:val="21"/>
          <w:highlight w:val="none"/>
          <w:u w:val="single"/>
        </w:rPr>
      </w:pPr>
      <w:r>
        <w:rPr>
          <w:rFonts w:hint="eastAsia" w:ascii="宋体" w:hAnsi="宋体" w:eastAsia="宋体" w:cs="宋体"/>
          <w:color w:val="auto"/>
          <w:sz w:val="21"/>
          <w:szCs w:val="21"/>
          <w:highlight w:val="none"/>
        </w:rPr>
        <w:t>（1）单价合同进度付款申请单提交的约定：</w:t>
      </w:r>
      <w:r>
        <w:rPr>
          <w:rFonts w:hint="eastAsia" w:ascii="宋体" w:hAnsi="宋体" w:eastAsia="宋体" w:cs="宋体"/>
          <w:bCs/>
          <w:color w:val="auto"/>
          <w:sz w:val="21"/>
          <w:szCs w:val="21"/>
          <w:highlight w:val="none"/>
          <w:u w:val="single"/>
        </w:rPr>
        <w:t>承包人应在每个计量周期到期后的3天内向发包人提交支付申请一式三份，承包人当月完成的产值不足合同价的1％时，不支付进度款，累计至下月一并支付。承包人应随投标文件提交不拖欠民工工资的承诺函和措施。具体支付手续按财政性资金支付程序有关规定办理</w:t>
      </w:r>
      <w:r>
        <w:rPr>
          <w:rFonts w:hint="eastAsia" w:ascii="宋体" w:hAnsi="宋体" w:eastAsia="宋体" w:cs="宋体"/>
          <w:bCs/>
          <w:color w:val="auto"/>
          <w:sz w:val="21"/>
          <w:szCs w:val="21"/>
          <w:highlight w:val="none"/>
          <w:u w:val="none"/>
        </w:rPr>
        <w:t>。</w:t>
      </w:r>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（2）总价合同进度付款申请单提交的约定：</w:t>
      </w:r>
      <w:r>
        <w:rPr>
          <w:rFonts w:hint="eastAsia" w:ascii="宋体" w:hAnsi="宋体" w:eastAsia="宋体" w:cs="宋体"/>
          <w:color w:val="auto"/>
          <w:sz w:val="21"/>
          <w:szCs w:val="21"/>
          <w:highlight w:val="none"/>
          <w:u w:val="single"/>
        </w:rPr>
        <w:t xml:space="preserve">  /   </w:t>
      </w:r>
      <w:r>
        <w:rPr>
          <w:rFonts w:hint="eastAsia" w:ascii="宋体" w:hAnsi="宋体" w:eastAsia="宋体" w:cs="宋体"/>
          <w:color w:val="auto"/>
          <w:sz w:val="21"/>
          <w:szCs w:val="21"/>
          <w:highlight w:val="none"/>
        </w:rPr>
        <w:t>。</w:t>
      </w:r>
    </w:p>
    <w:p>
      <w:pPr>
        <w:pStyle w:val="31"/>
        <w:spacing w:line="380" w:lineRule="exact"/>
        <w:ind w:firstLine="420" w:firstLineChars="200"/>
        <w:jc w:val="lef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（3）其他价格形式合同进度付款申请单提交的约定：</w:t>
      </w:r>
      <w:r>
        <w:rPr>
          <w:rFonts w:hint="eastAsia" w:ascii="宋体" w:hAnsi="宋体" w:eastAsia="宋体" w:cs="宋体"/>
          <w:color w:val="auto"/>
          <w:sz w:val="21"/>
          <w:szCs w:val="21"/>
          <w:highlight w:val="none"/>
          <w:u w:val="single"/>
        </w:rPr>
        <w:t xml:space="preserve">    /    </w:t>
      </w:r>
      <w:r>
        <w:rPr>
          <w:rFonts w:hint="eastAsia" w:ascii="宋体" w:hAnsi="宋体" w:eastAsia="宋体" w:cs="宋体"/>
          <w:color w:val="auto"/>
          <w:sz w:val="21"/>
          <w:szCs w:val="21"/>
          <w:highlight w:val="none"/>
        </w:rPr>
        <w:t>。</w:t>
      </w:r>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12.4.4 进度款审核和支付</w:t>
      </w:r>
    </w:p>
    <w:p>
      <w:pPr>
        <w:pStyle w:val="31"/>
        <w:spacing w:line="380" w:lineRule="exact"/>
        <w:ind w:firstLine="420" w:firstLineChars="200"/>
        <w:jc w:val="lef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（1）监理人审查并报送发包人的期限：</w:t>
      </w:r>
      <w:r>
        <w:rPr>
          <w:rFonts w:hint="eastAsia" w:ascii="宋体" w:hAnsi="宋体" w:eastAsia="宋体" w:cs="宋体"/>
          <w:color w:val="auto"/>
          <w:sz w:val="21"/>
          <w:szCs w:val="21"/>
          <w:highlight w:val="none"/>
          <w:u w:val="single"/>
        </w:rPr>
        <w:t>监理人收到承包人进度付款申请单以及相关资料后 7 天内完成审查并报送发包人</w:t>
      </w:r>
      <w:r>
        <w:rPr>
          <w:rFonts w:hint="eastAsia" w:ascii="宋体" w:hAnsi="宋体" w:eastAsia="宋体" w:cs="宋体"/>
          <w:color w:val="auto"/>
          <w:sz w:val="21"/>
          <w:szCs w:val="21"/>
          <w:highlight w:val="none"/>
        </w:rPr>
        <w:t>。</w:t>
      </w:r>
    </w:p>
    <w:p>
      <w:pPr>
        <w:pStyle w:val="31"/>
        <w:spacing w:line="380" w:lineRule="exact"/>
        <w:ind w:firstLine="420" w:firstLineChars="200"/>
        <w:jc w:val="lef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发包人完成审批并签发进度款支付证书的期限：</w:t>
      </w:r>
      <w:r>
        <w:rPr>
          <w:rFonts w:hint="eastAsia" w:ascii="宋体" w:hAnsi="宋体" w:eastAsia="宋体" w:cs="宋体"/>
          <w:color w:val="auto"/>
          <w:sz w:val="21"/>
          <w:szCs w:val="21"/>
          <w:highlight w:val="none"/>
          <w:u w:val="single"/>
        </w:rPr>
        <w:t>收到后 7 天内完成审批并签发</w:t>
      </w:r>
      <w:r>
        <w:rPr>
          <w:rFonts w:hint="eastAsia" w:ascii="宋体" w:hAnsi="宋体" w:eastAsia="宋体" w:cs="宋体"/>
          <w:color w:val="auto"/>
          <w:sz w:val="21"/>
          <w:szCs w:val="21"/>
          <w:highlight w:val="none"/>
        </w:rPr>
        <w:t>。</w:t>
      </w:r>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（2）发包人支付进度款的期限：</w:t>
      </w:r>
      <w:r>
        <w:rPr>
          <w:rFonts w:hint="eastAsia" w:ascii="宋体" w:hAnsi="宋体" w:eastAsia="宋体" w:cs="宋体"/>
          <w:color w:val="auto"/>
          <w:sz w:val="21"/>
          <w:szCs w:val="21"/>
          <w:highlight w:val="none"/>
          <w:u w:val="single"/>
        </w:rPr>
        <w:t xml:space="preserve">办理相关付款手续后的7天内 </w:t>
      </w:r>
      <w:r>
        <w:rPr>
          <w:rFonts w:hint="eastAsia" w:ascii="宋体" w:hAnsi="宋体" w:eastAsia="宋体" w:cs="宋体"/>
          <w:color w:val="auto"/>
          <w:sz w:val="21"/>
          <w:szCs w:val="21"/>
          <w:highlight w:val="none"/>
        </w:rPr>
        <w:t>。</w:t>
      </w:r>
    </w:p>
    <w:p>
      <w:pPr>
        <w:pStyle w:val="31"/>
        <w:spacing w:line="380" w:lineRule="exact"/>
        <w:ind w:firstLine="525" w:firstLineChars="25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发包人逾期支付进度款的违约金的计算方式：</w:t>
      </w:r>
      <w:r>
        <w:rPr>
          <w:rFonts w:hint="eastAsia" w:ascii="宋体" w:hAnsi="宋体" w:eastAsia="宋体" w:cs="宋体"/>
          <w:color w:val="auto"/>
          <w:sz w:val="21"/>
          <w:szCs w:val="21"/>
          <w:highlight w:val="none"/>
          <w:u w:val="single"/>
        </w:rPr>
        <w:t xml:space="preserve">   /   </w:t>
      </w:r>
      <w:r>
        <w:rPr>
          <w:rFonts w:hint="eastAsia" w:ascii="宋体" w:hAnsi="宋体" w:eastAsia="宋体" w:cs="宋体"/>
          <w:color w:val="auto"/>
          <w:sz w:val="21"/>
          <w:szCs w:val="21"/>
          <w:highlight w:val="none"/>
        </w:rPr>
        <w:t>。</w:t>
      </w:r>
    </w:p>
    <w:p>
      <w:pPr>
        <w:pStyle w:val="31"/>
        <w:spacing w:line="380" w:lineRule="exact"/>
        <w:ind w:firstLine="525" w:firstLineChars="25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进度款支付方式：</w:t>
      </w:r>
      <w:r>
        <w:rPr>
          <w:rFonts w:hint="eastAsia" w:ascii="宋体" w:hAnsi="宋体" w:eastAsia="宋体" w:cs="宋体"/>
          <w:color w:val="auto"/>
          <w:sz w:val="21"/>
          <w:szCs w:val="21"/>
          <w:highlight w:val="none"/>
          <w:u w:val="single"/>
        </w:rPr>
        <w:t>银行转账</w:t>
      </w:r>
      <w:r>
        <w:rPr>
          <w:rFonts w:hint="eastAsia" w:ascii="宋体" w:hAnsi="宋体" w:eastAsia="宋体" w:cs="宋体"/>
          <w:color w:val="auto"/>
          <w:sz w:val="21"/>
          <w:szCs w:val="21"/>
          <w:highlight w:val="none"/>
        </w:rPr>
        <w:t>。</w:t>
      </w:r>
    </w:p>
    <w:p>
      <w:pPr>
        <w:pStyle w:val="31"/>
        <w:spacing w:line="380" w:lineRule="exact"/>
        <w:ind w:firstLine="525" w:firstLineChars="25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12.4.6 支付分解表的编制</w:t>
      </w:r>
    </w:p>
    <w:p>
      <w:pPr>
        <w:pStyle w:val="31"/>
        <w:spacing w:line="380" w:lineRule="exact"/>
        <w:ind w:firstLine="525" w:firstLineChars="250"/>
        <w:jc w:val="lef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2. 总价合同支付分解表的编制与审批：</w:t>
      </w:r>
      <w:r>
        <w:rPr>
          <w:rFonts w:hint="eastAsia" w:ascii="宋体" w:hAnsi="宋体" w:eastAsia="宋体" w:cs="宋体"/>
          <w:color w:val="auto"/>
          <w:sz w:val="21"/>
          <w:szCs w:val="21"/>
          <w:highlight w:val="none"/>
          <w:u w:val="single"/>
        </w:rPr>
        <w:t xml:space="preserve"> 无 </w:t>
      </w:r>
      <w:r>
        <w:rPr>
          <w:rFonts w:hint="eastAsia" w:ascii="宋体" w:hAnsi="宋体" w:eastAsia="宋体" w:cs="宋体"/>
          <w:color w:val="auto"/>
          <w:sz w:val="21"/>
          <w:szCs w:val="21"/>
          <w:highlight w:val="none"/>
        </w:rPr>
        <w:t>。</w:t>
      </w:r>
    </w:p>
    <w:p>
      <w:pPr>
        <w:pStyle w:val="31"/>
        <w:spacing w:line="380" w:lineRule="exact"/>
        <w:ind w:firstLine="525" w:firstLineChars="250"/>
        <w:jc w:val="lef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3. 单价合同的总价项目支付分解表的编制与审批：</w:t>
      </w:r>
      <w:r>
        <w:rPr>
          <w:rFonts w:hint="eastAsia" w:ascii="宋体" w:hAnsi="宋体" w:eastAsia="宋体" w:cs="宋体"/>
          <w:color w:val="auto"/>
          <w:sz w:val="21"/>
          <w:szCs w:val="21"/>
          <w:highlight w:val="none"/>
          <w:u w:val="single"/>
        </w:rPr>
        <w:t>单价项目不采用支付分解表的方式计算，而按《建设工程工程量清单计价规范（GB50500-2013）广西壮族自治区实施细则（修订本）》的规定执行。</w:t>
      </w:r>
    </w:p>
    <w:bookmarkEnd w:id="1075"/>
    <w:p>
      <w:pPr>
        <w:pStyle w:val="29"/>
        <w:spacing w:line="380" w:lineRule="exact"/>
        <w:rPr>
          <w:rFonts w:hint="eastAsia" w:ascii="宋体" w:hAnsi="宋体" w:eastAsia="宋体" w:cs="宋体"/>
          <w:color w:val="auto"/>
          <w:sz w:val="21"/>
          <w:szCs w:val="21"/>
          <w:highlight w:val="none"/>
        </w:rPr>
      </w:pPr>
      <w:bookmarkStart w:id="1425" w:name="_Toc373478400"/>
      <w:bookmarkStart w:id="1426" w:name="_Toc418518164"/>
      <w:bookmarkStart w:id="1427" w:name="_Toc497746835"/>
      <w:bookmarkStart w:id="1428" w:name="_Toc418061365"/>
      <w:bookmarkStart w:id="1429" w:name="_Toc16855"/>
      <w:bookmarkStart w:id="1430" w:name="_Toc418751850"/>
      <w:bookmarkStart w:id="1431" w:name="_Toc373227753"/>
      <w:bookmarkStart w:id="1432" w:name="_Toc497747232"/>
      <w:bookmarkStart w:id="1433" w:name="_Toc403578988"/>
      <w:bookmarkStart w:id="1434" w:name="_Toc418518400"/>
      <w:bookmarkStart w:id="1435" w:name="_Toc418752296"/>
      <w:bookmarkStart w:id="1436" w:name="_Toc256000231"/>
      <w:bookmarkStart w:id="1437" w:name="_Toc351203645"/>
      <w:bookmarkStart w:id="1438" w:name="_Toc522201780"/>
      <w:bookmarkStart w:id="1439" w:name="_Toc389065318"/>
      <w:bookmarkStart w:id="1440" w:name="_Toc304295593"/>
      <w:bookmarkStart w:id="1441" w:name="_Toc312678053"/>
      <w:bookmarkStart w:id="1442" w:name="_Toc296346720"/>
      <w:bookmarkStart w:id="1443" w:name="_Toc297048405"/>
      <w:bookmarkStart w:id="1444" w:name="_Toc297123564"/>
      <w:bookmarkStart w:id="1445" w:name="_Toc296891259"/>
      <w:bookmarkStart w:id="1446" w:name="_Toc297216223"/>
      <w:bookmarkStart w:id="1447" w:name="_Toc296503219"/>
      <w:bookmarkStart w:id="1448" w:name="_Toc296944558"/>
      <w:bookmarkStart w:id="1449" w:name="_Toc303539172"/>
      <w:bookmarkStart w:id="1450" w:name="_Toc292559929"/>
      <w:bookmarkStart w:id="1451" w:name="_Toc296347218"/>
      <w:bookmarkStart w:id="1452" w:name="_Toc296891047"/>
      <w:bookmarkStart w:id="1453" w:name="_Toc297120519"/>
      <w:bookmarkStart w:id="1454" w:name="_Toc292559424"/>
      <w:bookmarkStart w:id="1455" w:name="_Toc300935015"/>
      <w:r>
        <w:rPr>
          <w:rFonts w:hint="eastAsia" w:ascii="宋体" w:hAnsi="宋体" w:eastAsia="宋体" w:cs="宋体"/>
          <w:color w:val="auto"/>
          <w:sz w:val="21"/>
          <w:szCs w:val="21"/>
          <w:highlight w:val="none"/>
        </w:rPr>
        <w:t>13. 验收和工程试车</w:t>
      </w:r>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p>
      <w:pPr>
        <w:pStyle w:val="29"/>
        <w:spacing w:line="380" w:lineRule="exact"/>
        <w:ind w:firstLine="422" w:firstLineChars="200"/>
        <w:rPr>
          <w:rFonts w:hint="eastAsia" w:ascii="宋体" w:hAnsi="宋体" w:eastAsia="宋体" w:cs="宋体"/>
          <w:color w:val="auto"/>
          <w:sz w:val="21"/>
          <w:szCs w:val="21"/>
          <w:highlight w:val="none"/>
        </w:rPr>
      </w:pPr>
      <w:bookmarkStart w:id="1456" w:name="_Toc256000232"/>
      <w:bookmarkStart w:id="1457" w:name="_Toc418061366"/>
      <w:bookmarkStart w:id="1458" w:name="_Toc418518165"/>
      <w:bookmarkStart w:id="1459" w:name="_Toc403578989"/>
      <w:bookmarkStart w:id="1460" w:name="_Toc522201781"/>
      <w:bookmarkStart w:id="1461" w:name="_Toc497747233"/>
      <w:bookmarkStart w:id="1462" w:name="_Toc373478401"/>
      <w:bookmarkStart w:id="1463" w:name="_Toc418751851"/>
      <w:bookmarkStart w:id="1464" w:name="_Toc418752297"/>
      <w:bookmarkStart w:id="1465" w:name="_Toc373227754"/>
      <w:bookmarkStart w:id="1466" w:name="_Toc418518401"/>
      <w:bookmarkStart w:id="1467" w:name="_Toc497746836"/>
      <w:bookmarkStart w:id="1468" w:name="_Toc15640"/>
      <w:bookmarkStart w:id="1469" w:name="_Toc389065319"/>
      <w:r>
        <w:rPr>
          <w:rFonts w:hint="eastAsia" w:ascii="宋体" w:hAnsi="宋体" w:eastAsia="宋体" w:cs="宋体"/>
          <w:color w:val="auto"/>
          <w:sz w:val="21"/>
          <w:szCs w:val="21"/>
          <w:highlight w:val="none"/>
        </w:rPr>
        <w:t>13.1 分部分项工程验收</w:t>
      </w:r>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13.1.2监理人不能按时进行验收时，应提前</w:t>
      </w:r>
      <w:r>
        <w:rPr>
          <w:rFonts w:hint="eastAsia" w:ascii="宋体" w:hAnsi="宋体" w:eastAsia="宋体" w:cs="宋体"/>
          <w:color w:val="auto"/>
          <w:sz w:val="21"/>
          <w:szCs w:val="21"/>
          <w:highlight w:val="none"/>
          <w:u w:val="single"/>
        </w:rPr>
        <w:t xml:space="preserve"> 24 </w:t>
      </w:r>
      <w:r>
        <w:rPr>
          <w:rFonts w:hint="eastAsia" w:ascii="宋体" w:hAnsi="宋体" w:eastAsia="宋体" w:cs="宋体"/>
          <w:color w:val="auto"/>
          <w:sz w:val="21"/>
          <w:szCs w:val="21"/>
          <w:highlight w:val="none"/>
        </w:rPr>
        <w:t>小时提交书面延期要求。</w:t>
      </w:r>
    </w:p>
    <w:p>
      <w:pPr>
        <w:pStyle w:val="31"/>
        <w:spacing w:line="380" w:lineRule="exact"/>
        <w:ind w:firstLine="420" w:firstLineChars="200"/>
        <w:jc w:val="left"/>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关于延期最长不得超过：</w:t>
      </w:r>
      <w:r>
        <w:rPr>
          <w:rFonts w:hint="eastAsia" w:ascii="宋体" w:hAnsi="宋体" w:eastAsia="宋体" w:cs="宋体"/>
          <w:color w:val="auto"/>
          <w:sz w:val="21"/>
          <w:szCs w:val="21"/>
          <w:highlight w:val="none"/>
          <w:u w:val="single"/>
        </w:rPr>
        <w:t xml:space="preserve"> 48 </w:t>
      </w:r>
      <w:r>
        <w:rPr>
          <w:rFonts w:hint="eastAsia" w:ascii="宋体" w:hAnsi="宋体" w:eastAsia="宋体" w:cs="宋体"/>
          <w:color w:val="auto"/>
          <w:sz w:val="21"/>
          <w:szCs w:val="21"/>
          <w:highlight w:val="none"/>
        </w:rPr>
        <w:t>小时。</w:t>
      </w:r>
    </w:p>
    <w:p>
      <w:pPr>
        <w:pStyle w:val="29"/>
        <w:spacing w:line="380" w:lineRule="exact"/>
        <w:ind w:firstLine="422" w:firstLineChars="200"/>
        <w:rPr>
          <w:rFonts w:hint="eastAsia" w:ascii="宋体" w:hAnsi="宋体" w:eastAsia="宋体" w:cs="宋体"/>
          <w:color w:val="auto"/>
          <w:sz w:val="21"/>
          <w:szCs w:val="21"/>
          <w:highlight w:val="none"/>
        </w:rPr>
      </w:pPr>
      <w:bookmarkStart w:id="1470" w:name="_Toc522201782"/>
      <w:bookmarkStart w:id="1471" w:name="_Toc497747234"/>
      <w:bookmarkStart w:id="1472" w:name="_Toc389065320"/>
      <w:bookmarkStart w:id="1473" w:name="_Toc418061367"/>
      <w:bookmarkStart w:id="1474" w:name="_Toc418518402"/>
      <w:bookmarkStart w:id="1475" w:name="_Toc403578990"/>
      <w:bookmarkStart w:id="1476" w:name="_Toc418752298"/>
      <w:bookmarkStart w:id="1477" w:name="_Toc418751852"/>
      <w:bookmarkStart w:id="1478" w:name="_Toc256000233"/>
      <w:bookmarkStart w:id="1479" w:name="_Toc373478402"/>
      <w:bookmarkStart w:id="1480" w:name="_Toc497746837"/>
      <w:bookmarkStart w:id="1481" w:name="_Toc373227755"/>
      <w:bookmarkStart w:id="1482" w:name="_Toc1670"/>
      <w:bookmarkStart w:id="1483" w:name="_Toc418518166"/>
      <w:bookmarkStart w:id="1484" w:name="_Toc297123565"/>
      <w:bookmarkStart w:id="1485" w:name="_Toc297120523"/>
      <w:bookmarkStart w:id="1486" w:name="_Toc300935016"/>
      <w:bookmarkStart w:id="1487" w:name="_Toc304295596"/>
      <w:bookmarkStart w:id="1488" w:name="_Toc296503223"/>
      <w:bookmarkStart w:id="1489" w:name="_Toc296891051"/>
      <w:bookmarkStart w:id="1490" w:name="_Toc296944562"/>
      <w:bookmarkStart w:id="1491" w:name="_Toc296891263"/>
      <w:bookmarkStart w:id="1492" w:name="_Toc292559933"/>
      <w:bookmarkStart w:id="1493" w:name="_Toc303539173"/>
      <w:bookmarkStart w:id="1494" w:name="_Toc297048409"/>
      <w:bookmarkStart w:id="1495" w:name="_Toc296346724"/>
      <w:bookmarkStart w:id="1496" w:name="_Toc297216224"/>
      <w:bookmarkStart w:id="1497" w:name="_Toc312678056"/>
      <w:bookmarkStart w:id="1498" w:name="_Toc292559428"/>
      <w:bookmarkStart w:id="1499" w:name="_Toc296347222"/>
      <w:bookmarkStart w:id="1500" w:name="_Toc267251470"/>
      <w:bookmarkStart w:id="1501" w:name="_Toc267251474"/>
      <w:bookmarkStart w:id="1502" w:name="_Toc267251476"/>
      <w:bookmarkStart w:id="1503" w:name="_Toc267251471"/>
      <w:bookmarkStart w:id="1504" w:name="_Toc267251473"/>
      <w:bookmarkStart w:id="1505" w:name="_Toc267251472"/>
      <w:bookmarkStart w:id="1506" w:name="_Toc267251475"/>
      <w:r>
        <w:rPr>
          <w:rFonts w:hint="eastAsia" w:ascii="宋体" w:hAnsi="宋体" w:eastAsia="宋体" w:cs="宋体"/>
          <w:color w:val="auto"/>
          <w:sz w:val="21"/>
          <w:szCs w:val="21"/>
          <w:highlight w:val="none"/>
        </w:rPr>
        <w:t>13.2 竣工验收</w:t>
      </w:r>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p>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p>
      <w:pPr>
        <w:pStyle w:val="31"/>
        <w:spacing w:line="380" w:lineRule="exact"/>
        <w:ind w:firstLine="420" w:firstLineChars="200"/>
        <w:jc w:val="left"/>
        <w:rPr>
          <w:rFonts w:hint="eastAsia" w:ascii="宋体" w:hAnsi="宋体" w:eastAsia="宋体" w:cs="宋体"/>
          <w:color w:val="auto"/>
          <w:sz w:val="21"/>
          <w:szCs w:val="21"/>
          <w:highlight w:val="none"/>
        </w:rPr>
      </w:pPr>
      <w:bookmarkStart w:id="1507" w:name="_Toc280868704"/>
      <w:bookmarkStart w:id="1508" w:name="_Toc280868705"/>
      <w:bookmarkStart w:id="1509" w:name="_Toc280868706"/>
      <w:bookmarkStart w:id="1510" w:name="_Toc280868707"/>
      <w:bookmarkStart w:id="1511" w:name="_Toc280868708"/>
      <w:bookmarkStart w:id="1512" w:name="_Toc280868709"/>
      <w:r>
        <w:rPr>
          <w:rFonts w:hint="eastAsia" w:ascii="宋体" w:hAnsi="宋体" w:eastAsia="宋体" w:cs="宋体"/>
          <w:color w:val="auto"/>
          <w:sz w:val="21"/>
          <w:szCs w:val="21"/>
          <w:highlight w:val="none"/>
        </w:rPr>
        <w:t>13.2.1竣工验收条件</w:t>
      </w:r>
    </w:p>
    <w:p>
      <w:pPr>
        <w:pStyle w:val="31"/>
        <w:spacing w:line="3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（3）承包人负责整理和提交的竣工验收资料应当符合工程所在地建设行政主管部门和(或)城市建设档案管理机构有关施工资料的要求，具体内容包括：</w:t>
      </w:r>
      <w:r>
        <w:rPr>
          <w:rFonts w:hint="eastAsia" w:ascii="宋体" w:hAnsi="宋体" w:eastAsia="宋体" w:cs="宋体"/>
          <w:color w:val="auto"/>
          <w:sz w:val="21"/>
          <w:szCs w:val="21"/>
          <w:highlight w:val="none"/>
          <w:u w:val="single"/>
        </w:rPr>
        <w:t xml:space="preserve">  1、工程具备竣工验收条件，承包人按工期竣工验收有关规定，向发包人提交符合桂林市城建档案馆归档要求内容装订成册的完整竣工资料及竣工验收报告、工程竣工图。2、承包人所提交的竣工资料必须符合《建设工程归档整理规范》</w:t>
      </w:r>
      <w:r>
        <w:rPr>
          <w:rFonts w:hint="eastAsia" w:ascii="宋体" w:hAnsi="宋体" w:eastAsia="宋体" w:cs="宋体"/>
          <w:color w:val="auto"/>
          <w:sz w:val="21"/>
          <w:szCs w:val="21"/>
          <w:highlight w:val="none"/>
          <w:u w:val="single"/>
        </w:rPr>
        <w:t>要求</w:t>
      </w:r>
      <w:r>
        <w:rPr>
          <w:rFonts w:hint="eastAsia" w:ascii="宋体" w:hAnsi="宋体" w:eastAsia="宋体" w:cs="宋体"/>
          <w:color w:val="auto"/>
          <w:sz w:val="21"/>
          <w:szCs w:val="21"/>
          <w:highlight w:val="none"/>
        </w:rPr>
        <w:t>。</w:t>
      </w:r>
    </w:p>
    <w:p>
      <w:pPr>
        <w:pStyle w:val="31"/>
        <w:spacing w:line="3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竣工验收资料的份数：</w:t>
      </w:r>
      <w:r>
        <w:rPr>
          <w:rFonts w:hint="eastAsia" w:ascii="宋体" w:hAnsi="宋体" w:eastAsia="宋体" w:cs="宋体"/>
          <w:color w:val="auto"/>
          <w:sz w:val="21"/>
          <w:szCs w:val="21"/>
          <w:highlight w:val="none"/>
          <w:u w:val="single"/>
        </w:rPr>
        <w:t>肆份，承包人承担竣工验收资料编制、立卷及至档案馆归档等一切费用</w:t>
      </w:r>
      <w:r>
        <w:rPr>
          <w:rFonts w:hint="eastAsia" w:ascii="宋体" w:hAnsi="宋体" w:eastAsia="宋体" w:cs="宋体"/>
          <w:color w:val="auto"/>
          <w:sz w:val="21"/>
          <w:szCs w:val="21"/>
          <w:highlight w:val="none"/>
        </w:rPr>
        <w:t>。</w:t>
      </w:r>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承包人提供竣工图的约定：</w:t>
      </w:r>
      <w:r>
        <w:rPr>
          <w:rFonts w:hint="eastAsia" w:ascii="宋体" w:hAnsi="宋体" w:eastAsia="宋体" w:cs="宋体"/>
          <w:bCs/>
          <w:color w:val="auto"/>
          <w:sz w:val="21"/>
          <w:szCs w:val="21"/>
          <w:highlight w:val="none"/>
          <w:u w:val="single"/>
        </w:rPr>
        <w:t>竣工验收正式通过后15天，提供4套竣工图。</w:t>
      </w:r>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13.2.2竣工验收程序</w:t>
      </w:r>
    </w:p>
    <w:bookmarkEnd w:id="1507"/>
    <w:p>
      <w:pPr>
        <w:pStyle w:val="31"/>
        <w:spacing w:line="380" w:lineRule="exact"/>
        <w:ind w:firstLine="420" w:firstLineChars="200"/>
        <w:jc w:val="left"/>
        <w:rPr>
          <w:rFonts w:hint="eastAsia" w:ascii="宋体" w:hAnsi="宋体" w:eastAsia="宋体" w:cs="宋体"/>
          <w:color w:val="auto"/>
          <w:sz w:val="21"/>
          <w:szCs w:val="21"/>
          <w:highlight w:val="none"/>
          <w:u w:val="single"/>
        </w:rPr>
      </w:pPr>
      <w:r>
        <w:rPr>
          <w:rFonts w:hint="eastAsia" w:ascii="宋体" w:hAnsi="宋体" w:eastAsia="宋体" w:cs="宋体"/>
          <w:color w:val="auto"/>
          <w:kern w:val="0"/>
          <w:sz w:val="21"/>
          <w:szCs w:val="21"/>
          <w:highlight w:val="none"/>
        </w:rPr>
        <w:t>关于竣工验收程序的约定</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sz w:val="21"/>
          <w:szCs w:val="21"/>
          <w:highlight w:val="none"/>
          <w:u w:val="single"/>
        </w:rPr>
        <w:t>由承包人提出申请，经监理工程师（如有）及发承包人审查同意后，通知各质检及监督部门进行竣工验收。</w:t>
      </w:r>
      <w:r>
        <w:rPr>
          <w:rFonts w:hint="eastAsia" w:ascii="宋体" w:hAnsi="宋体" w:eastAsia="宋体" w:cs="宋体"/>
          <w:color w:val="auto"/>
          <w:sz w:val="21"/>
          <w:szCs w:val="21"/>
          <w:highlight w:val="none"/>
          <w:u w:val="single"/>
        </w:rPr>
        <w:t>本工程竣工验收合格后，双方应在验收报告上签字认可，本工程实际竣工日期以建设、设计、勘察、监理、施工五家单位验收小组正式验收签字日期为准。工程保修按合同附件3《工程质量保修书》有关规定执行。</w:t>
      </w:r>
    </w:p>
    <w:p>
      <w:pPr>
        <w:pStyle w:val="31"/>
        <w:spacing w:line="380" w:lineRule="exact"/>
        <w:ind w:firstLine="420" w:firstLineChars="200"/>
        <w:jc w:val="left"/>
        <w:rPr>
          <w:rFonts w:hint="eastAsia" w:ascii="宋体" w:hAnsi="宋体" w:eastAsia="宋体" w:cs="宋体"/>
          <w:color w:val="auto"/>
          <w:sz w:val="21"/>
          <w:szCs w:val="21"/>
          <w:highlight w:val="none"/>
          <w:u w:val="single"/>
        </w:rPr>
      </w:pPr>
      <w:r>
        <w:rPr>
          <w:rFonts w:hint="eastAsia" w:ascii="宋体" w:hAnsi="宋体" w:eastAsia="宋体" w:cs="宋体"/>
          <w:color w:val="auto"/>
          <w:kern w:val="0"/>
          <w:sz w:val="21"/>
          <w:szCs w:val="21"/>
          <w:highlight w:val="none"/>
        </w:rPr>
        <w:t>发包人不按照本项约定组织竣工验收、颁发工程接收证书的违约金的计算方法：</w:t>
      </w:r>
      <w:r>
        <w:rPr>
          <w:rFonts w:hint="eastAsia" w:ascii="宋体" w:hAnsi="宋体" w:eastAsia="宋体" w:cs="宋体"/>
          <w:color w:val="auto"/>
          <w:sz w:val="21"/>
          <w:szCs w:val="21"/>
          <w:highlight w:val="none"/>
          <w:u w:val="single"/>
        </w:rPr>
        <w:t xml:space="preserve"> 无  </w:t>
      </w:r>
      <w:r>
        <w:rPr>
          <w:rFonts w:hint="eastAsia" w:ascii="宋体" w:hAnsi="宋体" w:eastAsia="宋体" w:cs="宋体"/>
          <w:color w:val="auto"/>
          <w:sz w:val="21"/>
          <w:szCs w:val="21"/>
          <w:highlight w:val="none"/>
        </w:rPr>
        <w:t>。</w:t>
      </w:r>
    </w:p>
    <w:bookmarkEnd w:id="1508"/>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13.2.5移交、接收全部与部分工程</w:t>
      </w:r>
    </w:p>
    <w:bookmarkEnd w:id="1509"/>
    <w:p>
      <w:pPr>
        <w:pStyle w:val="31"/>
        <w:spacing w:line="380" w:lineRule="exact"/>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承包人向发包人移交工程的期限：</w:t>
      </w:r>
      <w:r>
        <w:rPr>
          <w:rFonts w:hint="eastAsia" w:ascii="宋体" w:hAnsi="宋体" w:eastAsia="宋体" w:cs="宋体"/>
          <w:color w:val="auto"/>
          <w:sz w:val="21"/>
          <w:szCs w:val="21"/>
          <w:highlight w:val="none"/>
          <w:u w:val="single"/>
        </w:rPr>
        <w:t xml:space="preserve"> 竣工验收整改完毕三日内 </w:t>
      </w:r>
      <w:r>
        <w:rPr>
          <w:rFonts w:hint="eastAsia" w:ascii="宋体" w:hAnsi="宋体" w:eastAsia="宋体" w:cs="宋体"/>
          <w:color w:val="auto"/>
          <w:sz w:val="21"/>
          <w:szCs w:val="21"/>
          <w:highlight w:val="none"/>
        </w:rPr>
        <w:t>。</w:t>
      </w:r>
    </w:p>
    <w:p>
      <w:pPr>
        <w:pStyle w:val="31"/>
        <w:spacing w:line="380" w:lineRule="exact"/>
        <w:ind w:firstLine="420" w:firstLineChars="200"/>
        <w:jc w:val="left"/>
        <w:rPr>
          <w:rFonts w:hint="eastAsia" w:ascii="宋体" w:hAnsi="宋体" w:eastAsia="宋体" w:cs="宋体"/>
          <w:color w:val="auto"/>
          <w:sz w:val="21"/>
          <w:szCs w:val="21"/>
          <w:highlight w:val="none"/>
          <w:u w:val="single"/>
        </w:rPr>
      </w:pPr>
      <w:r>
        <w:rPr>
          <w:rFonts w:hint="eastAsia" w:ascii="宋体" w:hAnsi="宋体" w:eastAsia="宋体" w:cs="宋体"/>
          <w:color w:val="auto"/>
          <w:kern w:val="0"/>
          <w:sz w:val="21"/>
          <w:szCs w:val="21"/>
          <w:highlight w:val="none"/>
        </w:rPr>
        <w:t>发包人未按本合同约定接收全部或部分工程的，违约金的计算方法为：</w:t>
      </w:r>
      <w:r>
        <w:rPr>
          <w:rFonts w:hint="eastAsia" w:ascii="宋体" w:hAnsi="宋体" w:eastAsia="宋体" w:cs="宋体"/>
          <w:color w:val="auto"/>
          <w:sz w:val="21"/>
          <w:szCs w:val="21"/>
          <w:highlight w:val="none"/>
          <w:u w:val="single"/>
        </w:rPr>
        <w:t xml:space="preserve">  </w:t>
      </w:r>
      <w:r>
        <w:rPr>
          <w:rFonts w:hint="eastAsia" w:ascii="宋体" w:hAnsi="宋体" w:eastAsia="宋体" w:cs="宋体"/>
          <w:bCs/>
          <w:color w:val="auto"/>
          <w:sz w:val="21"/>
          <w:szCs w:val="21"/>
          <w:highlight w:val="none"/>
          <w:u w:val="single"/>
        </w:rPr>
        <w:t>每逾期一天，按</w:t>
      </w:r>
      <w:r>
        <w:rPr>
          <w:rFonts w:hint="eastAsia" w:ascii="宋体" w:hAnsi="宋体" w:eastAsia="宋体" w:cs="宋体"/>
          <w:color w:val="auto"/>
          <w:sz w:val="21"/>
          <w:szCs w:val="21"/>
          <w:highlight w:val="none"/>
          <w:u w:val="single"/>
          <w:lang w:val="zh-CN"/>
        </w:rPr>
        <w:t>签约合同价</w:t>
      </w:r>
      <w:r>
        <w:rPr>
          <w:rFonts w:hint="eastAsia" w:ascii="宋体" w:hAnsi="宋体" w:eastAsia="宋体" w:cs="宋体"/>
          <w:color w:val="auto"/>
          <w:sz w:val="21"/>
          <w:szCs w:val="21"/>
          <w:highlight w:val="none"/>
          <w:u w:val="single"/>
        </w:rPr>
        <w:t>款扣除社会保险费、发包人材料价款、暂估专业工程、暂列金额后的万分之四/天</w:t>
      </w:r>
      <w:r>
        <w:rPr>
          <w:rFonts w:hint="eastAsia" w:ascii="宋体" w:hAnsi="宋体" w:eastAsia="宋体" w:cs="宋体"/>
          <w:bCs/>
          <w:color w:val="auto"/>
          <w:sz w:val="21"/>
          <w:szCs w:val="21"/>
          <w:highlight w:val="none"/>
          <w:u w:val="single"/>
        </w:rPr>
        <w:t xml:space="preserve">支付违约金，最高限额为结算价的3% </w:t>
      </w:r>
      <w:r>
        <w:rPr>
          <w:rFonts w:hint="eastAsia" w:ascii="宋体" w:hAnsi="宋体" w:eastAsia="宋体" w:cs="宋体"/>
          <w:color w:val="auto"/>
          <w:sz w:val="21"/>
          <w:szCs w:val="21"/>
          <w:highlight w:val="none"/>
        </w:rPr>
        <w:t>。</w:t>
      </w:r>
    </w:p>
    <w:bookmarkEnd w:id="1510"/>
    <w:p>
      <w:pPr>
        <w:pStyle w:val="31"/>
        <w:spacing w:line="380" w:lineRule="exact"/>
        <w:ind w:firstLine="420" w:firstLineChars="200"/>
        <w:jc w:val="lef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承包人未按时移交工程的，违约金的计算方法为：</w:t>
      </w:r>
      <w:r>
        <w:rPr>
          <w:rFonts w:hint="eastAsia" w:ascii="宋体" w:hAnsi="宋体" w:eastAsia="宋体" w:cs="宋体"/>
          <w:color w:val="auto"/>
          <w:sz w:val="21"/>
          <w:szCs w:val="21"/>
          <w:highlight w:val="none"/>
          <w:u w:val="single"/>
        </w:rPr>
        <w:t xml:space="preserve">  </w:t>
      </w:r>
      <w:r>
        <w:rPr>
          <w:rFonts w:hint="eastAsia" w:ascii="宋体" w:hAnsi="宋体" w:eastAsia="宋体" w:cs="宋体"/>
          <w:bCs/>
          <w:color w:val="auto"/>
          <w:sz w:val="21"/>
          <w:szCs w:val="21"/>
          <w:highlight w:val="none"/>
          <w:u w:val="single"/>
        </w:rPr>
        <w:t>每逾期一天</w:t>
      </w:r>
      <w:r>
        <w:rPr>
          <w:rFonts w:hint="eastAsia" w:ascii="宋体" w:hAnsi="宋体" w:eastAsia="宋体" w:cs="宋体"/>
          <w:color w:val="auto"/>
          <w:sz w:val="21"/>
          <w:szCs w:val="21"/>
          <w:highlight w:val="none"/>
          <w:u w:val="single"/>
        </w:rPr>
        <w:t>，按</w:t>
      </w:r>
      <w:r>
        <w:rPr>
          <w:rFonts w:hint="eastAsia" w:ascii="宋体" w:hAnsi="宋体" w:eastAsia="宋体" w:cs="宋体"/>
          <w:color w:val="auto"/>
          <w:sz w:val="21"/>
          <w:szCs w:val="21"/>
          <w:highlight w:val="none"/>
          <w:u w:val="single"/>
          <w:lang w:val="zh-CN"/>
        </w:rPr>
        <w:t>签约合同价</w:t>
      </w:r>
      <w:r>
        <w:rPr>
          <w:rFonts w:hint="eastAsia" w:ascii="宋体" w:hAnsi="宋体" w:eastAsia="宋体" w:cs="宋体"/>
          <w:color w:val="auto"/>
          <w:sz w:val="21"/>
          <w:szCs w:val="21"/>
          <w:highlight w:val="none"/>
          <w:u w:val="single"/>
        </w:rPr>
        <w:t xml:space="preserve">款扣除社会保险费、发包人材料价款、暂估专业工程、暂列金额后的万分之四/天支付违约金，最高限额为结算价的3%  </w:t>
      </w:r>
      <w:r>
        <w:rPr>
          <w:rFonts w:hint="eastAsia" w:ascii="宋体" w:hAnsi="宋体" w:eastAsia="宋体" w:cs="宋体"/>
          <w:color w:val="auto"/>
          <w:sz w:val="21"/>
          <w:szCs w:val="21"/>
          <w:highlight w:val="none"/>
        </w:rPr>
        <w:t>。</w:t>
      </w:r>
    </w:p>
    <w:p>
      <w:pPr>
        <w:pStyle w:val="29"/>
        <w:spacing w:line="380" w:lineRule="exact"/>
        <w:ind w:firstLine="422" w:firstLineChars="200"/>
        <w:rPr>
          <w:rFonts w:hint="eastAsia" w:ascii="宋体" w:hAnsi="宋体" w:eastAsia="宋体" w:cs="宋体"/>
          <w:color w:val="auto"/>
          <w:sz w:val="21"/>
          <w:szCs w:val="21"/>
          <w:highlight w:val="none"/>
        </w:rPr>
      </w:pPr>
      <w:bookmarkStart w:id="1513" w:name="_Toc389065321"/>
      <w:bookmarkStart w:id="1514" w:name="_Toc497746838"/>
      <w:bookmarkStart w:id="1515" w:name="_Toc403578991"/>
      <w:bookmarkStart w:id="1516" w:name="_Toc373478403"/>
      <w:bookmarkStart w:id="1517" w:name="_Toc256000234"/>
      <w:bookmarkStart w:id="1518" w:name="_Toc497747235"/>
      <w:bookmarkStart w:id="1519" w:name="_Toc418751853"/>
      <w:bookmarkStart w:id="1520" w:name="_Toc418518167"/>
      <w:bookmarkStart w:id="1521" w:name="_Toc418518403"/>
      <w:bookmarkStart w:id="1522" w:name="_Toc18524"/>
      <w:bookmarkStart w:id="1523" w:name="_Toc418752299"/>
      <w:bookmarkStart w:id="1524" w:name="_Toc418061368"/>
      <w:bookmarkStart w:id="1525" w:name="_Toc373227756"/>
      <w:bookmarkStart w:id="1526" w:name="_Toc522201783"/>
      <w:r>
        <w:rPr>
          <w:rFonts w:hint="eastAsia" w:ascii="宋体" w:hAnsi="宋体" w:eastAsia="宋体" w:cs="宋体"/>
          <w:color w:val="auto"/>
          <w:sz w:val="21"/>
          <w:szCs w:val="21"/>
          <w:highlight w:val="none"/>
        </w:rPr>
        <w:t>13.3 工程试车</w:t>
      </w:r>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p>
    <w:bookmarkEnd w:id="1511"/>
    <w:p>
      <w:pPr>
        <w:pStyle w:val="31"/>
        <w:spacing w:line="380" w:lineRule="exact"/>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13.3.1 试车程序</w:t>
      </w:r>
    </w:p>
    <w:p>
      <w:pPr>
        <w:pStyle w:val="31"/>
        <w:spacing w:line="380" w:lineRule="exact"/>
        <w:ind w:firstLine="420" w:firstLineChars="200"/>
        <w:jc w:val="left"/>
        <w:rPr>
          <w:rFonts w:hint="eastAsia" w:ascii="宋体" w:hAnsi="宋体" w:eastAsia="宋体" w:cs="宋体"/>
          <w:color w:val="auto"/>
          <w:sz w:val="21"/>
          <w:szCs w:val="21"/>
          <w:highlight w:val="none"/>
          <w:u w:val="single"/>
        </w:rPr>
      </w:pPr>
      <w:r>
        <w:rPr>
          <w:rFonts w:hint="eastAsia" w:ascii="宋体" w:hAnsi="宋体" w:eastAsia="宋体" w:cs="宋体"/>
          <w:color w:val="auto"/>
          <w:kern w:val="0"/>
          <w:sz w:val="21"/>
          <w:szCs w:val="21"/>
          <w:highlight w:val="none"/>
        </w:rPr>
        <w:t>工程试车内容：</w:t>
      </w:r>
      <w:r>
        <w:rPr>
          <w:rFonts w:hint="eastAsia" w:ascii="宋体" w:hAnsi="宋体" w:eastAsia="宋体" w:cs="宋体"/>
          <w:color w:val="auto"/>
          <w:sz w:val="21"/>
          <w:szCs w:val="21"/>
          <w:highlight w:val="none"/>
          <w:u w:val="single"/>
        </w:rPr>
        <w:t xml:space="preserve">  为达到本工程的验收标准，工程范围内的设施和承包人安装的设备应进行试运行调试，费用由承包人自行负责并已包括在投标报价中 </w:t>
      </w:r>
      <w:r>
        <w:rPr>
          <w:rFonts w:hint="eastAsia" w:ascii="宋体" w:hAnsi="宋体" w:eastAsia="宋体" w:cs="宋体"/>
          <w:color w:val="auto"/>
          <w:sz w:val="21"/>
          <w:szCs w:val="21"/>
          <w:highlight w:val="none"/>
        </w:rPr>
        <w:t>。</w:t>
      </w:r>
    </w:p>
    <w:p>
      <w:pPr>
        <w:pStyle w:val="31"/>
        <w:spacing w:line="380" w:lineRule="exact"/>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（1）单机无负荷试车费用由</w:t>
      </w:r>
      <w:r>
        <w:rPr>
          <w:rFonts w:hint="eastAsia" w:ascii="宋体" w:hAnsi="宋体" w:eastAsia="宋体" w:cs="宋体"/>
          <w:color w:val="auto"/>
          <w:sz w:val="21"/>
          <w:szCs w:val="21"/>
          <w:highlight w:val="none"/>
          <w:u w:val="single"/>
        </w:rPr>
        <w:t xml:space="preserve">  承包人组织试运行，费用由承包人</w:t>
      </w:r>
      <w:r>
        <w:rPr>
          <w:rFonts w:hint="eastAsia" w:ascii="宋体" w:hAnsi="宋体" w:eastAsia="宋体" w:cs="宋体"/>
          <w:color w:val="auto"/>
          <w:kern w:val="0"/>
          <w:sz w:val="21"/>
          <w:szCs w:val="21"/>
          <w:highlight w:val="none"/>
        </w:rPr>
        <w:t>承担；</w:t>
      </w:r>
    </w:p>
    <w:p>
      <w:pPr>
        <w:pStyle w:val="31"/>
        <w:spacing w:line="380" w:lineRule="exact"/>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（2）无负荷联动试车费用由</w:t>
      </w:r>
      <w:r>
        <w:rPr>
          <w:rFonts w:hint="eastAsia" w:ascii="宋体" w:hAnsi="宋体" w:eastAsia="宋体" w:cs="宋体"/>
          <w:color w:val="auto"/>
          <w:sz w:val="21"/>
          <w:szCs w:val="21"/>
          <w:highlight w:val="none"/>
          <w:u w:val="single"/>
        </w:rPr>
        <w:t xml:space="preserve">  承包人组织试运行，费用由承包人</w:t>
      </w:r>
      <w:r>
        <w:rPr>
          <w:rFonts w:hint="eastAsia" w:ascii="宋体" w:hAnsi="宋体" w:eastAsia="宋体" w:cs="宋体"/>
          <w:color w:val="auto"/>
          <w:kern w:val="0"/>
          <w:sz w:val="21"/>
          <w:szCs w:val="21"/>
          <w:highlight w:val="none"/>
        </w:rPr>
        <w:t>承担。</w:t>
      </w:r>
    </w:p>
    <w:p>
      <w:pPr>
        <w:pStyle w:val="31"/>
        <w:spacing w:line="380" w:lineRule="exact"/>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13.3.3 投料试车</w:t>
      </w:r>
    </w:p>
    <w:p>
      <w:pPr>
        <w:pStyle w:val="31"/>
        <w:spacing w:line="380" w:lineRule="exact"/>
        <w:ind w:firstLine="420" w:firstLineChars="200"/>
        <w:jc w:val="left"/>
        <w:rPr>
          <w:rFonts w:hint="eastAsia" w:ascii="宋体" w:hAnsi="宋体" w:eastAsia="宋体" w:cs="宋体"/>
          <w:color w:val="auto"/>
          <w:sz w:val="21"/>
          <w:szCs w:val="21"/>
          <w:highlight w:val="none"/>
          <w:u w:val="single"/>
        </w:rPr>
      </w:pPr>
      <w:r>
        <w:rPr>
          <w:rFonts w:hint="eastAsia" w:ascii="宋体" w:hAnsi="宋体" w:eastAsia="宋体" w:cs="宋体"/>
          <w:color w:val="auto"/>
          <w:kern w:val="0"/>
          <w:sz w:val="21"/>
          <w:szCs w:val="21"/>
          <w:highlight w:val="none"/>
        </w:rPr>
        <w:t>关于投料试车相关事项的约定：</w:t>
      </w:r>
      <w:r>
        <w:rPr>
          <w:rFonts w:hint="eastAsia" w:ascii="宋体" w:hAnsi="宋体" w:eastAsia="宋体" w:cs="宋体"/>
          <w:color w:val="auto"/>
          <w:sz w:val="21"/>
          <w:szCs w:val="21"/>
          <w:highlight w:val="none"/>
          <w:u w:val="single"/>
        </w:rPr>
        <w:t xml:space="preserve"> 由承包人组织试运行，费用由承包人承担 </w:t>
      </w:r>
      <w:r>
        <w:rPr>
          <w:rFonts w:hint="eastAsia" w:ascii="宋体" w:hAnsi="宋体" w:eastAsia="宋体" w:cs="宋体"/>
          <w:color w:val="auto"/>
          <w:sz w:val="21"/>
          <w:szCs w:val="21"/>
          <w:highlight w:val="none"/>
        </w:rPr>
        <w:t>。</w:t>
      </w:r>
    </w:p>
    <w:p>
      <w:pPr>
        <w:pStyle w:val="29"/>
        <w:spacing w:line="380" w:lineRule="exact"/>
        <w:ind w:firstLine="422" w:firstLineChars="200"/>
        <w:rPr>
          <w:rFonts w:hint="eastAsia" w:ascii="宋体" w:hAnsi="宋体" w:eastAsia="宋体" w:cs="宋体"/>
          <w:color w:val="auto"/>
          <w:sz w:val="21"/>
          <w:szCs w:val="21"/>
          <w:highlight w:val="none"/>
        </w:rPr>
      </w:pPr>
      <w:bookmarkStart w:id="1527" w:name="_Toc31082"/>
      <w:bookmarkStart w:id="1528" w:name="_Toc403578992"/>
      <w:bookmarkStart w:id="1529" w:name="_Toc497746839"/>
      <w:bookmarkStart w:id="1530" w:name="_Toc389065322"/>
      <w:bookmarkStart w:id="1531" w:name="_Toc418752300"/>
      <w:bookmarkStart w:id="1532" w:name="_Toc418518168"/>
      <w:bookmarkStart w:id="1533" w:name="_Toc418518404"/>
      <w:bookmarkStart w:id="1534" w:name="_Toc497747236"/>
      <w:bookmarkStart w:id="1535" w:name="_Toc256000235"/>
      <w:bookmarkStart w:id="1536" w:name="_Toc373227757"/>
      <w:bookmarkStart w:id="1537" w:name="_Toc522201784"/>
      <w:bookmarkStart w:id="1538" w:name="_Toc418751854"/>
      <w:bookmarkStart w:id="1539" w:name="_Toc373478404"/>
      <w:bookmarkStart w:id="1540" w:name="_Toc418061369"/>
      <w:r>
        <w:rPr>
          <w:rFonts w:hint="eastAsia" w:ascii="宋体" w:hAnsi="宋体" w:eastAsia="宋体" w:cs="宋体"/>
          <w:color w:val="auto"/>
          <w:sz w:val="21"/>
          <w:szCs w:val="21"/>
          <w:highlight w:val="none"/>
        </w:rPr>
        <w:t>13.6 竣工退场</w:t>
      </w:r>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p>
    <w:p>
      <w:pPr>
        <w:pStyle w:val="31"/>
        <w:spacing w:line="380" w:lineRule="exact"/>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13.6.1 竣工退场</w:t>
      </w:r>
    </w:p>
    <w:p>
      <w:pPr>
        <w:pStyle w:val="31"/>
        <w:spacing w:line="380" w:lineRule="exact"/>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承包人完成竣工退场的期限：</w:t>
      </w:r>
      <w:r>
        <w:rPr>
          <w:rFonts w:hint="eastAsia" w:ascii="宋体" w:hAnsi="宋体" w:eastAsia="宋体" w:cs="宋体"/>
          <w:color w:val="auto"/>
          <w:sz w:val="21"/>
          <w:szCs w:val="21"/>
          <w:highlight w:val="none"/>
          <w:u w:val="single"/>
        </w:rPr>
        <w:t>监理人颁发(出具)工程接收证书后，承包人负责按照通用合同条款本项约定的要求对施工场地进行清理并承担相关费用，直至监理人检验合格后七日内，如承包人到期后不退场，发包人有权安排其他人员进行清理，费用从承包人工程款中扣除。</w:t>
      </w:r>
    </w:p>
    <w:p>
      <w:pPr>
        <w:pStyle w:val="29"/>
        <w:spacing w:line="380" w:lineRule="exact"/>
        <w:rPr>
          <w:rFonts w:hint="eastAsia" w:ascii="宋体" w:hAnsi="宋体" w:eastAsia="宋体" w:cs="宋体"/>
          <w:color w:val="auto"/>
          <w:sz w:val="21"/>
          <w:szCs w:val="21"/>
          <w:highlight w:val="none"/>
        </w:rPr>
      </w:pPr>
      <w:bookmarkStart w:id="1541" w:name="_Toc20411"/>
      <w:bookmarkStart w:id="1542" w:name="_Toc373227758"/>
      <w:bookmarkStart w:id="1543" w:name="_Toc418752301"/>
      <w:bookmarkStart w:id="1544" w:name="_Toc497746840"/>
      <w:bookmarkStart w:id="1545" w:name="_Toc418518405"/>
      <w:bookmarkStart w:id="1546" w:name="_Toc418518169"/>
      <w:bookmarkStart w:id="1547" w:name="_Toc256000236"/>
      <w:bookmarkStart w:id="1548" w:name="_Toc418061370"/>
      <w:bookmarkStart w:id="1549" w:name="_Toc522201785"/>
      <w:bookmarkStart w:id="1550" w:name="_Toc351203646"/>
      <w:bookmarkStart w:id="1551" w:name="_Toc418751855"/>
      <w:bookmarkStart w:id="1552" w:name="_Toc373478405"/>
      <w:bookmarkStart w:id="1553" w:name="_Toc389065323"/>
      <w:bookmarkStart w:id="1554" w:name="_Toc497747237"/>
      <w:bookmarkStart w:id="1555" w:name="_Toc403578993"/>
      <w:r>
        <w:rPr>
          <w:rFonts w:hint="eastAsia" w:ascii="宋体" w:hAnsi="宋体" w:eastAsia="宋体" w:cs="宋体"/>
          <w:color w:val="auto"/>
          <w:sz w:val="21"/>
          <w:szCs w:val="21"/>
          <w:highlight w:val="none"/>
        </w:rPr>
        <w:t>14. 竣工结算</w:t>
      </w:r>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p>
    <w:p>
      <w:pPr>
        <w:pStyle w:val="29"/>
        <w:spacing w:line="380" w:lineRule="exact"/>
        <w:ind w:firstLine="422" w:firstLineChars="200"/>
        <w:rPr>
          <w:rFonts w:hint="eastAsia" w:ascii="宋体" w:hAnsi="宋体" w:eastAsia="宋体" w:cs="宋体"/>
          <w:color w:val="auto"/>
          <w:sz w:val="21"/>
          <w:szCs w:val="21"/>
          <w:highlight w:val="none"/>
        </w:rPr>
      </w:pPr>
      <w:bookmarkStart w:id="1556" w:name="_Toc418518170"/>
      <w:bookmarkStart w:id="1557" w:name="_Toc418061371"/>
      <w:bookmarkStart w:id="1558" w:name="_Toc26822"/>
      <w:bookmarkStart w:id="1559" w:name="_Toc522201786"/>
      <w:bookmarkStart w:id="1560" w:name="_Toc403578994"/>
      <w:bookmarkStart w:id="1561" w:name="_Toc389065324"/>
      <w:bookmarkStart w:id="1562" w:name="_Toc497747238"/>
      <w:bookmarkStart w:id="1563" w:name="_Toc418752302"/>
      <w:bookmarkStart w:id="1564" w:name="_Toc373478406"/>
      <w:bookmarkStart w:id="1565" w:name="_Toc418518406"/>
      <w:bookmarkStart w:id="1566" w:name="_Toc497746841"/>
      <w:bookmarkStart w:id="1567" w:name="_Toc373227759"/>
      <w:bookmarkStart w:id="1568" w:name="_Toc256000237"/>
      <w:bookmarkStart w:id="1569" w:name="_Toc418751856"/>
      <w:r>
        <w:rPr>
          <w:rFonts w:hint="eastAsia" w:ascii="宋体" w:hAnsi="宋体" w:eastAsia="宋体" w:cs="宋体"/>
          <w:color w:val="auto"/>
          <w:sz w:val="21"/>
          <w:szCs w:val="21"/>
          <w:highlight w:val="none"/>
        </w:rPr>
        <w:t>14.1 竣工结算申请</w:t>
      </w:r>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承包人提交竣工结算申请单的期限：</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kern w:val="0"/>
          <w:sz w:val="21"/>
          <w:szCs w:val="21"/>
          <w:highlight w:val="none"/>
          <w:u w:val="single"/>
        </w:rPr>
        <w:t>具备竣工收条件后28天内</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pStyle w:val="31"/>
        <w:spacing w:line="380" w:lineRule="exact"/>
        <w:ind w:firstLine="420" w:firstLineChars="200"/>
        <w:jc w:val="lef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竣工结算申请单应包括的内容：</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kern w:val="0"/>
          <w:sz w:val="21"/>
          <w:szCs w:val="21"/>
          <w:highlight w:val="none"/>
          <w:u w:val="single"/>
        </w:rPr>
        <w:t>竣工结算由承包人提交相关结算资料（主要包括合同、工程量计算书、结算书、变更设计通知单、签证单、竣工图）齐全后经监理初审、发包人审核后，</w:t>
      </w:r>
      <w:r>
        <w:rPr>
          <w:rFonts w:hint="eastAsia" w:ascii="宋体" w:hAnsi="宋体" w:eastAsia="宋体" w:cs="宋体"/>
          <w:color w:val="auto"/>
          <w:sz w:val="21"/>
          <w:szCs w:val="21"/>
          <w:highlight w:val="none"/>
          <w:u w:val="single"/>
        </w:rPr>
        <w:t>最终结算以</w:t>
      </w:r>
      <w:r>
        <w:rPr>
          <w:rFonts w:hint="eastAsia" w:ascii="宋体" w:hAnsi="宋体" w:eastAsia="宋体" w:cs="宋体"/>
          <w:color w:val="auto"/>
          <w:sz w:val="21"/>
          <w:szCs w:val="21"/>
          <w:highlight w:val="none"/>
          <w:u w:val="single"/>
          <w:lang w:val="en-US" w:eastAsia="zh-CN"/>
        </w:rPr>
        <w:t>兴安县</w:t>
      </w:r>
      <w:r>
        <w:rPr>
          <w:rFonts w:hint="eastAsia" w:ascii="宋体" w:hAnsi="宋体" w:eastAsia="宋体" w:cs="宋体"/>
          <w:color w:val="auto"/>
          <w:sz w:val="21"/>
          <w:szCs w:val="21"/>
          <w:highlight w:val="none"/>
          <w:u w:val="single"/>
          <w:lang w:eastAsia="zh-CN"/>
        </w:rPr>
        <w:t>财政局</w:t>
      </w:r>
      <w:r>
        <w:rPr>
          <w:rFonts w:hint="eastAsia" w:ascii="宋体" w:hAnsi="宋体" w:eastAsia="宋体" w:cs="宋体"/>
          <w:color w:val="auto"/>
          <w:sz w:val="21"/>
          <w:szCs w:val="21"/>
          <w:highlight w:val="none"/>
          <w:u w:val="single"/>
        </w:rPr>
        <w:t xml:space="preserve">或发包人委托的造价咨询机构审定并经发包人及承包人双方确认的金额为准 </w:t>
      </w:r>
      <w:r>
        <w:rPr>
          <w:rFonts w:hint="eastAsia" w:ascii="宋体" w:hAnsi="宋体" w:eastAsia="宋体" w:cs="宋体"/>
          <w:color w:val="auto"/>
          <w:sz w:val="21"/>
          <w:szCs w:val="21"/>
          <w:highlight w:val="none"/>
        </w:rPr>
        <w:t>。</w:t>
      </w:r>
    </w:p>
    <w:p>
      <w:pPr>
        <w:pStyle w:val="29"/>
        <w:spacing w:line="380" w:lineRule="exact"/>
        <w:ind w:firstLine="422" w:firstLineChars="200"/>
        <w:rPr>
          <w:rFonts w:hint="eastAsia" w:ascii="宋体" w:hAnsi="宋体" w:eastAsia="宋体" w:cs="宋体"/>
          <w:color w:val="auto"/>
          <w:sz w:val="21"/>
          <w:szCs w:val="21"/>
          <w:highlight w:val="none"/>
        </w:rPr>
      </w:pPr>
      <w:bookmarkStart w:id="1570" w:name="_Toc373227760"/>
      <w:bookmarkStart w:id="1571" w:name="_Toc256000238"/>
      <w:bookmarkStart w:id="1572" w:name="_Toc389065325"/>
      <w:bookmarkStart w:id="1573" w:name="_Toc93"/>
      <w:bookmarkStart w:id="1574" w:name="_Toc418518407"/>
      <w:bookmarkStart w:id="1575" w:name="_Toc497746842"/>
      <w:bookmarkStart w:id="1576" w:name="_Toc418751857"/>
      <w:bookmarkStart w:id="1577" w:name="_Toc418752303"/>
      <w:bookmarkStart w:id="1578" w:name="_Toc418518171"/>
      <w:bookmarkStart w:id="1579" w:name="_Toc522201787"/>
      <w:bookmarkStart w:id="1580" w:name="_Toc497747239"/>
      <w:bookmarkStart w:id="1581" w:name="_Toc403578995"/>
      <w:bookmarkStart w:id="1582" w:name="_Toc373478407"/>
      <w:bookmarkStart w:id="1583" w:name="_Toc418061372"/>
      <w:r>
        <w:rPr>
          <w:rFonts w:hint="eastAsia" w:ascii="宋体" w:hAnsi="宋体" w:eastAsia="宋体" w:cs="宋体"/>
          <w:color w:val="auto"/>
          <w:sz w:val="21"/>
          <w:szCs w:val="21"/>
          <w:highlight w:val="none"/>
        </w:rPr>
        <w:t>14.2 竣工结算审核</w:t>
      </w:r>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发包人审批竣工付款申请单的期限：</w:t>
      </w:r>
    </w:p>
    <w:tbl>
      <w:tblPr>
        <w:tblStyle w:val="19"/>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2616"/>
        <w:gridCol w:w="5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pStyle w:val="31"/>
              <w:spacing w:line="380" w:lineRule="exact"/>
              <w:jc w:val="center"/>
              <w:rPr>
                <w:rFonts w:hint="eastAsia" w:ascii="宋体" w:hAnsi="宋体" w:eastAsia="宋体" w:cs="宋体"/>
                <w:bCs/>
                <w:color w:val="auto"/>
                <w:sz w:val="21"/>
                <w:szCs w:val="21"/>
                <w:highlight w:val="none"/>
              </w:rPr>
            </w:pPr>
          </w:p>
        </w:tc>
        <w:tc>
          <w:tcPr>
            <w:tcW w:w="2616" w:type="dxa"/>
            <w:vAlign w:val="center"/>
          </w:tcPr>
          <w:p>
            <w:pPr>
              <w:pStyle w:val="31"/>
              <w:spacing w:line="380" w:lineRule="exact"/>
              <w:ind w:firstLine="27" w:firstLineChars="13"/>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工程竣工结算报告金额</w:t>
            </w:r>
          </w:p>
        </w:tc>
        <w:tc>
          <w:tcPr>
            <w:tcW w:w="5817" w:type="dxa"/>
            <w:vAlign w:val="center"/>
          </w:tcPr>
          <w:p>
            <w:pPr>
              <w:pStyle w:val="31"/>
              <w:spacing w:line="38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发包人审查时间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pStyle w:val="31"/>
              <w:spacing w:line="38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w:t>
            </w:r>
          </w:p>
        </w:tc>
        <w:tc>
          <w:tcPr>
            <w:tcW w:w="2616" w:type="dxa"/>
            <w:vAlign w:val="center"/>
          </w:tcPr>
          <w:p>
            <w:pPr>
              <w:pStyle w:val="31"/>
              <w:spacing w:line="380" w:lineRule="exact"/>
              <w:ind w:firstLine="27" w:firstLineChars="13"/>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500万元以下</w:t>
            </w:r>
          </w:p>
        </w:tc>
        <w:tc>
          <w:tcPr>
            <w:tcW w:w="5817" w:type="dxa"/>
            <w:vAlign w:val="center"/>
          </w:tcPr>
          <w:p>
            <w:pPr>
              <w:pStyle w:val="31"/>
              <w:spacing w:line="38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从接到竣工结算报告和完整的竣工结算资料之日起20天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pStyle w:val="31"/>
              <w:spacing w:line="38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w:t>
            </w:r>
          </w:p>
        </w:tc>
        <w:tc>
          <w:tcPr>
            <w:tcW w:w="2616" w:type="dxa"/>
            <w:vAlign w:val="center"/>
          </w:tcPr>
          <w:p>
            <w:pPr>
              <w:pStyle w:val="31"/>
              <w:spacing w:line="380" w:lineRule="exact"/>
              <w:ind w:firstLine="27" w:firstLineChars="13"/>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500万元-2000万元</w:t>
            </w:r>
          </w:p>
        </w:tc>
        <w:tc>
          <w:tcPr>
            <w:tcW w:w="5817" w:type="dxa"/>
            <w:vAlign w:val="center"/>
          </w:tcPr>
          <w:p>
            <w:pPr>
              <w:pStyle w:val="31"/>
              <w:spacing w:line="38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从接到竣工结算报告和完整的竣工结算资料之日起30天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pStyle w:val="31"/>
              <w:spacing w:line="38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w:t>
            </w:r>
          </w:p>
        </w:tc>
        <w:tc>
          <w:tcPr>
            <w:tcW w:w="2616" w:type="dxa"/>
            <w:vAlign w:val="center"/>
          </w:tcPr>
          <w:p>
            <w:pPr>
              <w:pStyle w:val="31"/>
              <w:spacing w:line="380" w:lineRule="exact"/>
              <w:ind w:firstLine="27" w:firstLineChars="13"/>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2000万元-5000万元</w:t>
            </w:r>
          </w:p>
        </w:tc>
        <w:tc>
          <w:tcPr>
            <w:tcW w:w="5817" w:type="dxa"/>
            <w:vAlign w:val="center"/>
          </w:tcPr>
          <w:p>
            <w:pPr>
              <w:pStyle w:val="31"/>
              <w:spacing w:line="38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从接到竣工结算报告和完整的竣工结算资料之日起45天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pStyle w:val="31"/>
              <w:spacing w:line="38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w:t>
            </w:r>
          </w:p>
        </w:tc>
        <w:tc>
          <w:tcPr>
            <w:tcW w:w="2616" w:type="dxa"/>
            <w:vAlign w:val="center"/>
          </w:tcPr>
          <w:p>
            <w:pPr>
              <w:pStyle w:val="31"/>
              <w:spacing w:line="380" w:lineRule="exact"/>
              <w:ind w:firstLine="27" w:firstLineChars="13"/>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5000万元以上</w:t>
            </w:r>
          </w:p>
        </w:tc>
        <w:tc>
          <w:tcPr>
            <w:tcW w:w="5817" w:type="dxa"/>
            <w:vAlign w:val="center"/>
          </w:tcPr>
          <w:p>
            <w:pPr>
              <w:pStyle w:val="31"/>
              <w:spacing w:line="38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从接到竣工结算报告和完整的竣工结算资料之日起60天</w:t>
            </w:r>
          </w:p>
        </w:tc>
      </w:tr>
    </w:tbl>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因承包人提供的结算资料不完整而需要补充或承包人不按时对账耽误时间时，审查时间应相应顺延</w:t>
      </w:r>
      <w:r>
        <w:rPr>
          <w:rFonts w:hint="eastAsia" w:ascii="宋体" w:hAnsi="宋体" w:eastAsia="宋体" w:cs="宋体"/>
          <w:color w:val="auto"/>
          <w:sz w:val="21"/>
          <w:szCs w:val="21"/>
          <w:highlight w:val="none"/>
        </w:rPr>
        <w:t>。</w:t>
      </w:r>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发包人完成竣工付款的期限：</w:t>
      </w:r>
      <w:r>
        <w:rPr>
          <w:rFonts w:hint="eastAsia" w:ascii="宋体" w:hAnsi="宋体" w:eastAsia="宋体" w:cs="宋体"/>
          <w:color w:val="auto"/>
          <w:sz w:val="21"/>
          <w:szCs w:val="21"/>
          <w:highlight w:val="none"/>
          <w:u w:val="single"/>
        </w:rPr>
        <w:t>结算审核报告出具后且审核完承包人的竣工付款申请单30天内</w:t>
      </w:r>
      <w:r>
        <w:rPr>
          <w:rFonts w:hint="eastAsia" w:ascii="宋体" w:hAnsi="宋体" w:eastAsia="宋体" w:cs="宋体"/>
          <w:color w:val="auto"/>
          <w:sz w:val="21"/>
          <w:szCs w:val="21"/>
          <w:highlight w:val="none"/>
        </w:rPr>
        <w:t>。</w:t>
      </w:r>
    </w:p>
    <w:p>
      <w:pPr>
        <w:pStyle w:val="31"/>
        <w:spacing w:line="380" w:lineRule="exact"/>
        <w:ind w:firstLine="420" w:firstLineChars="200"/>
        <w:jc w:val="lef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关于竣工付款证书异议部分复核的方式和程序：</w:t>
      </w:r>
      <w:r>
        <w:rPr>
          <w:rFonts w:hint="eastAsia" w:ascii="宋体" w:hAnsi="宋体" w:eastAsia="宋体" w:cs="宋体"/>
          <w:color w:val="auto"/>
          <w:sz w:val="21"/>
          <w:szCs w:val="21"/>
          <w:highlight w:val="none"/>
          <w:u w:val="single"/>
        </w:rPr>
        <w:t>存在异议的部分，由承包人核对后对异议部分进行书面描叙，并交由发包人再次审定。</w:t>
      </w:r>
    </w:p>
    <w:p>
      <w:pPr>
        <w:pStyle w:val="29"/>
        <w:spacing w:line="380" w:lineRule="exact"/>
        <w:ind w:firstLine="422" w:firstLineChars="200"/>
        <w:rPr>
          <w:rFonts w:hint="eastAsia" w:ascii="宋体" w:hAnsi="宋体" w:eastAsia="宋体" w:cs="宋体"/>
          <w:color w:val="auto"/>
          <w:sz w:val="21"/>
          <w:szCs w:val="21"/>
          <w:highlight w:val="none"/>
        </w:rPr>
      </w:pPr>
      <w:bookmarkStart w:id="1584" w:name="_Toc418751858"/>
      <w:bookmarkStart w:id="1585" w:name="_Toc403578996"/>
      <w:bookmarkStart w:id="1586" w:name="_Toc497746843"/>
      <w:bookmarkStart w:id="1587" w:name="_Toc418061373"/>
      <w:bookmarkStart w:id="1588" w:name="_Toc373227761"/>
      <w:bookmarkStart w:id="1589" w:name="_Toc11621"/>
      <w:bookmarkStart w:id="1590" w:name="_Toc373478408"/>
      <w:bookmarkStart w:id="1591" w:name="_Toc389065326"/>
      <w:bookmarkStart w:id="1592" w:name="_Toc256000239"/>
      <w:bookmarkStart w:id="1593" w:name="_Toc522201788"/>
      <w:bookmarkStart w:id="1594" w:name="_Toc418518408"/>
      <w:bookmarkStart w:id="1595" w:name="_Toc497747240"/>
      <w:bookmarkStart w:id="1596" w:name="_Toc418752304"/>
      <w:bookmarkStart w:id="1597" w:name="_Toc418518172"/>
      <w:r>
        <w:rPr>
          <w:rFonts w:hint="eastAsia" w:ascii="宋体" w:hAnsi="宋体" w:eastAsia="宋体" w:cs="宋体"/>
          <w:color w:val="auto"/>
          <w:sz w:val="21"/>
          <w:szCs w:val="21"/>
          <w:highlight w:val="none"/>
        </w:rPr>
        <w:t>14.4 最终结清</w:t>
      </w:r>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p>
    <w:p>
      <w:pPr>
        <w:pStyle w:val="31"/>
        <w:spacing w:line="380" w:lineRule="exact"/>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14.4.1 最终结清申请单</w:t>
      </w:r>
    </w:p>
    <w:p>
      <w:pPr>
        <w:pStyle w:val="31"/>
        <w:spacing w:line="380" w:lineRule="exact"/>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承包人提交最终结清申请单的份数：</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kern w:val="0"/>
          <w:sz w:val="21"/>
          <w:szCs w:val="21"/>
          <w:highlight w:val="none"/>
          <w:u w:val="single"/>
        </w:rPr>
        <w:t xml:space="preserve">一式四份 </w:t>
      </w:r>
      <w:r>
        <w:rPr>
          <w:rFonts w:hint="eastAsia" w:ascii="宋体" w:hAnsi="宋体" w:eastAsia="宋体" w:cs="宋体"/>
          <w:color w:val="auto"/>
          <w:sz w:val="21"/>
          <w:szCs w:val="21"/>
          <w:highlight w:val="none"/>
        </w:rPr>
        <w:t>。</w:t>
      </w:r>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承包人提交最终结算申请单的期限：</w:t>
      </w:r>
      <w:r>
        <w:rPr>
          <w:rFonts w:hint="eastAsia" w:ascii="宋体" w:hAnsi="宋体" w:eastAsia="宋体" w:cs="宋体"/>
          <w:color w:val="auto"/>
          <w:kern w:val="0"/>
          <w:sz w:val="21"/>
          <w:szCs w:val="21"/>
          <w:highlight w:val="none"/>
          <w:u w:val="single"/>
        </w:rPr>
        <w:t>缺陷责任期终止证书签发后14天内向监理人提交4份竣工付款申请单及相关证明材料</w:t>
      </w:r>
      <w:r>
        <w:rPr>
          <w:rFonts w:hint="eastAsia" w:ascii="宋体" w:hAnsi="宋体" w:eastAsia="宋体" w:cs="宋体"/>
          <w:color w:val="auto"/>
          <w:sz w:val="21"/>
          <w:szCs w:val="21"/>
          <w:highlight w:val="none"/>
        </w:rPr>
        <w:t xml:space="preserve">。 </w:t>
      </w:r>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14.4.2 最终结清证书和支付</w:t>
      </w:r>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（1）发包人完成最终结清申请单的审批并颁发最终结清证书的期限：</w:t>
      </w:r>
      <w:r>
        <w:rPr>
          <w:rFonts w:hint="eastAsia" w:ascii="宋体" w:hAnsi="宋体" w:eastAsia="宋体" w:cs="宋体"/>
          <w:color w:val="auto"/>
          <w:kern w:val="0"/>
          <w:sz w:val="21"/>
          <w:szCs w:val="21"/>
          <w:highlight w:val="none"/>
          <w:u w:val="single"/>
        </w:rPr>
        <w:t xml:space="preserve">按通用条款执行 </w:t>
      </w:r>
      <w:r>
        <w:rPr>
          <w:rFonts w:hint="eastAsia" w:ascii="宋体" w:hAnsi="宋体" w:eastAsia="宋体" w:cs="宋体"/>
          <w:color w:val="auto"/>
          <w:sz w:val="21"/>
          <w:szCs w:val="21"/>
          <w:highlight w:val="none"/>
        </w:rPr>
        <w:t>。</w:t>
      </w:r>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（2）发包人完成支付的期限：</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kern w:val="0"/>
          <w:sz w:val="21"/>
          <w:szCs w:val="21"/>
          <w:highlight w:val="none"/>
          <w:u w:val="single"/>
        </w:rPr>
        <w:t xml:space="preserve">在颁发最终结清证书后的30天内 </w:t>
      </w:r>
      <w:r>
        <w:rPr>
          <w:rFonts w:hint="eastAsia" w:ascii="宋体" w:hAnsi="宋体" w:eastAsia="宋体" w:cs="宋体"/>
          <w:color w:val="auto"/>
          <w:sz w:val="21"/>
          <w:szCs w:val="21"/>
          <w:highlight w:val="none"/>
        </w:rPr>
        <w:t>。</w:t>
      </w:r>
    </w:p>
    <w:bookmarkEnd w:id="1500"/>
    <w:bookmarkEnd w:id="1501"/>
    <w:bookmarkEnd w:id="1502"/>
    <w:bookmarkEnd w:id="1503"/>
    <w:bookmarkEnd w:id="1504"/>
    <w:bookmarkEnd w:id="1505"/>
    <w:bookmarkEnd w:id="1506"/>
    <w:bookmarkEnd w:id="1512"/>
    <w:p>
      <w:pPr>
        <w:pStyle w:val="29"/>
        <w:spacing w:line="380" w:lineRule="exact"/>
        <w:rPr>
          <w:rFonts w:hint="eastAsia" w:ascii="宋体" w:hAnsi="宋体" w:eastAsia="宋体" w:cs="宋体"/>
          <w:color w:val="auto"/>
          <w:sz w:val="21"/>
          <w:szCs w:val="21"/>
          <w:highlight w:val="none"/>
        </w:rPr>
      </w:pPr>
      <w:bookmarkStart w:id="1598" w:name="_Toc418061374"/>
      <w:bookmarkStart w:id="1599" w:name="_Toc497747241"/>
      <w:bookmarkStart w:id="1600" w:name="_Toc373227762"/>
      <w:bookmarkStart w:id="1601" w:name="_Toc351203647"/>
      <w:bookmarkStart w:id="1602" w:name="_Toc256000240"/>
      <w:bookmarkStart w:id="1603" w:name="_Toc418751859"/>
      <w:bookmarkStart w:id="1604" w:name="_Toc389065327"/>
      <w:bookmarkStart w:id="1605" w:name="_Toc403578997"/>
      <w:bookmarkStart w:id="1606" w:name="_Toc418518173"/>
      <w:bookmarkStart w:id="1607" w:name="_Toc497746844"/>
      <w:bookmarkStart w:id="1608" w:name="_Toc418752305"/>
      <w:bookmarkStart w:id="1609" w:name="_Toc373478409"/>
      <w:bookmarkStart w:id="1610" w:name="_Toc522201789"/>
      <w:bookmarkStart w:id="1611" w:name="_Toc14101"/>
      <w:bookmarkStart w:id="1612" w:name="_Toc418518409"/>
      <w:bookmarkStart w:id="1613" w:name="_Toc267251483"/>
      <w:bookmarkStart w:id="1614" w:name="_Toc267251482"/>
      <w:bookmarkStart w:id="1615" w:name="_Toc267251484"/>
      <w:bookmarkStart w:id="1616" w:name="_Toc267251485"/>
      <w:bookmarkStart w:id="1617" w:name="_Toc267251486"/>
      <w:bookmarkStart w:id="1618" w:name="_Toc267251490"/>
      <w:bookmarkStart w:id="1619" w:name="_Toc267251489"/>
      <w:bookmarkStart w:id="1620" w:name="_Toc267251488"/>
      <w:bookmarkStart w:id="1621" w:name="_Toc267251492"/>
      <w:bookmarkStart w:id="1622" w:name="_Toc267251493"/>
      <w:bookmarkStart w:id="1623" w:name="_Toc267251502"/>
      <w:bookmarkStart w:id="1624" w:name="_Toc267251495"/>
      <w:bookmarkStart w:id="1625" w:name="_Toc267251503"/>
      <w:bookmarkStart w:id="1626" w:name="_Toc267251494"/>
      <w:bookmarkStart w:id="1627" w:name="_Toc267251499"/>
      <w:bookmarkStart w:id="1628" w:name="_Toc267251491"/>
      <w:bookmarkStart w:id="1629" w:name="_Toc267251497"/>
      <w:bookmarkStart w:id="1630" w:name="_Toc267251501"/>
      <w:bookmarkStart w:id="1631" w:name="_Toc267251496"/>
      <w:bookmarkStart w:id="1632" w:name="_Toc267251498"/>
      <w:bookmarkStart w:id="1633" w:name="_Toc267251506"/>
      <w:bookmarkStart w:id="1634" w:name="_Toc267251504"/>
      <w:bookmarkStart w:id="1635" w:name="_Toc267251507"/>
      <w:bookmarkStart w:id="1636" w:name="_Toc267251508"/>
      <w:bookmarkStart w:id="1637" w:name="_Toc267251514"/>
      <w:bookmarkStart w:id="1638" w:name="_Toc267251515"/>
      <w:bookmarkStart w:id="1639" w:name="_Toc267251513"/>
      <w:bookmarkStart w:id="1640" w:name="_Toc267251509"/>
      <w:bookmarkStart w:id="1641" w:name="_Toc267251511"/>
      <w:bookmarkStart w:id="1642" w:name="_Toc267251510"/>
      <w:r>
        <w:rPr>
          <w:rFonts w:hint="eastAsia" w:ascii="宋体" w:hAnsi="宋体" w:eastAsia="宋体" w:cs="宋体"/>
          <w:color w:val="auto"/>
          <w:sz w:val="21"/>
          <w:szCs w:val="21"/>
          <w:highlight w:val="none"/>
        </w:rPr>
        <w:t>15. 缺陷责任期与保修</w:t>
      </w:r>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p>
    <w:p>
      <w:pPr>
        <w:pStyle w:val="29"/>
        <w:spacing w:line="380" w:lineRule="exact"/>
        <w:ind w:firstLine="422" w:firstLineChars="200"/>
        <w:rPr>
          <w:rFonts w:hint="eastAsia" w:ascii="宋体" w:hAnsi="宋体" w:eastAsia="宋体" w:cs="宋体"/>
          <w:color w:val="auto"/>
          <w:sz w:val="21"/>
          <w:szCs w:val="21"/>
          <w:highlight w:val="none"/>
        </w:rPr>
      </w:pPr>
      <w:bookmarkStart w:id="1643" w:name="_Toc497747242"/>
      <w:bookmarkStart w:id="1644" w:name="_Toc497746845"/>
      <w:bookmarkStart w:id="1645" w:name="_Toc418751860"/>
      <w:bookmarkStart w:id="1646" w:name="_Toc418518174"/>
      <w:bookmarkStart w:id="1647" w:name="_Toc389065328"/>
      <w:bookmarkStart w:id="1648" w:name="_Toc373478410"/>
      <w:bookmarkStart w:id="1649" w:name="_Toc256000241"/>
      <w:bookmarkStart w:id="1650" w:name="_Toc418518410"/>
      <w:bookmarkStart w:id="1651" w:name="_Toc403578998"/>
      <w:bookmarkStart w:id="1652" w:name="_Toc418061375"/>
      <w:bookmarkStart w:id="1653" w:name="_Toc418752306"/>
      <w:bookmarkStart w:id="1654" w:name="_Toc373227763"/>
      <w:bookmarkStart w:id="1655" w:name="_Toc25372"/>
      <w:bookmarkStart w:id="1656" w:name="_Toc522201790"/>
      <w:r>
        <w:rPr>
          <w:rFonts w:hint="eastAsia" w:ascii="宋体" w:hAnsi="宋体" w:eastAsia="宋体" w:cs="宋体"/>
          <w:color w:val="auto"/>
          <w:sz w:val="21"/>
          <w:szCs w:val="21"/>
          <w:highlight w:val="none"/>
        </w:rPr>
        <w:t>15.2 缺陷责任期</w:t>
      </w:r>
      <w:bookmarkEnd w:id="1613"/>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p>
    <w:p>
      <w:pPr>
        <w:pStyle w:val="31"/>
        <w:spacing w:line="380" w:lineRule="exact"/>
        <w:ind w:firstLine="420" w:firstLineChars="200"/>
        <w:jc w:val="lef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缺陷责任期的具体期限：</w:t>
      </w:r>
      <w:r>
        <w:rPr>
          <w:rFonts w:hint="eastAsia" w:ascii="宋体" w:hAnsi="宋体" w:eastAsia="宋体" w:cs="宋体"/>
          <w:color w:val="auto"/>
          <w:sz w:val="21"/>
          <w:szCs w:val="21"/>
          <w:highlight w:val="none"/>
          <w:u w:val="single"/>
        </w:rPr>
        <w:t>24个月，</w:t>
      </w:r>
      <w:r>
        <w:rPr>
          <w:rFonts w:hint="eastAsia" w:ascii="宋体" w:hAnsi="宋体" w:eastAsia="宋体" w:cs="宋体"/>
          <w:color w:val="auto"/>
          <w:kern w:val="0"/>
          <w:sz w:val="21"/>
          <w:szCs w:val="21"/>
          <w:highlight w:val="none"/>
          <w:u w:val="single"/>
        </w:rPr>
        <w:t>工程竣工验收合格，自交付使用之日起计算</w:t>
      </w:r>
      <w:r>
        <w:rPr>
          <w:rFonts w:hint="eastAsia" w:ascii="宋体" w:hAnsi="宋体" w:eastAsia="宋体" w:cs="宋体"/>
          <w:color w:val="auto"/>
          <w:sz w:val="21"/>
          <w:szCs w:val="21"/>
          <w:highlight w:val="none"/>
          <w:u w:val="single"/>
        </w:rPr>
        <w:t xml:space="preserve"> ，按照《建设工程质量管理条例》执行，</w:t>
      </w:r>
      <w:r>
        <w:rPr>
          <w:rFonts w:hint="eastAsia" w:ascii="宋体" w:hAnsi="宋体" w:eastAsia="宋体" w:cs="宋体"/>
          <w:bCs/>
          <w:color w:val="auto"/>
          <w:sz w:val="21"/>
          <w:szCs w:val="21"/>
          <w:highlight w:val="none"/>
          <w:u w:val="single"/>
        </w:rPr>
        <w:t xml:space="preserve">详见本合同附件3：《工程质量保修书》 </w:t>
      </w:r>
      <w:r>
        <w:rPr>
          <w:rFonts w:hint="eastAsia" w:ascii="宋体" w:hAnsi="宋体" w:eastAsia="宋体" w:cs="宋体"/>
          <w:color w:val="auto"/>
          <w:sz w:val="21"/>
          <w:szCs w:val="21"/>
          <w:highlight w:val="none"/>
        </w:rPr>
        <w:t>。</w:t>
      </w:r>
    </w:p>
    <w:p>
      <w:pPr>
        <w:pStyle w:val="29"/>
        <w:spacing w:line="380" w:lineRule="exact"/>
        <w:ind w:firstLine="422" w:firstLineChars="200"/>
        <w:rPr>
          <w:rFonts w:hint="eastAsia" w:ascii="宋体" w:hAnsi="宋体" w:eastAsia="宋体" w:cs="宋体"/>
          <w:color w:val="auto"/>
          <w:sz w:val="21"/>
          <w:szCs w:val="21"/>
          <w:highlight w:val="none"/>
        </w:rPr>
      </w:pPr>
      <w:bookmarkStart w:id="1657" w:name="_Toc256000242"/>
      <w:bookmarkStart w:id="1658" w:name="_Toc418752307"/>
      <w:bookmarkStart w:id="1659" w:name="_Toc373227764"/>
      <w:bookmarkStart w:id="1660" w:name="_Toc403578999"/>
      <w:bookmarkStart w:id="1661" w:name="_Toc418061376"/>
      <w:bookmarkStart w:id="1662" w:name="_Toc497746846"/>
      <w:bookmarkStart w:id="1663" w:name="_Toc418751861"/>
      <w:bookmarkStart w:id="1664" w:name="_Toc373478411"/>
      <w:bookmarkStart w:id="1665" w:name="_Toc418518411"/>
      <w:bookmarkStart w:id="1666" w:name="_Toc522201791"/>
      <w:bookmarkStart w:id="1667" w:name="_Toc418518175"/>
      <w:bookmarkStart w:id="1668" w:name="_Toc20848"/>
      <w:bookmarkStart w:id="1669" w:name="_Toc497747243"/>
      <w:bookmarkStart w:id="1670" w:name="_Toc389065329"/>
      <w:r>
        <w:rPr>
          <w:rFonts w:hint="eastAsia" w:ascii="宋体" w:hAnsi="宋体" w:eastAsia="宋体" w:cs="宋体"/>
          <w:color w:val="auto"/>
          <w:sz w:val="21"/>
          <w:szCs w:val="21"/>
          <w:highlight w:val="none"/>
        </w:rPr>
        <w:t>15.3 质量保证金</w:t>
      </w:r>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关于是否扣留质量保证金的约定：</w:t>
      </w:r>
      <w:r>
        <w:rPr>
          <w:rFonts w:hint="eastAsia" w:ascii="宋体" w:hAnsi="宋体" w:eastAsia="宋体" w:cs="宋体"/>
          <w:color w:val="auto"/>
          <w:kern w:val="0"/>
          <w:sz w:val="21"/>
          <w:szCs w:val="21"/>
          <w:highlight w:val="none"/>
          <w:u w:val="single"/>
        </w:rPr>
        <w:t>按工程价款结算总额的</w:t>
      </w:r>
      <w:r>
        <w:rPr>
          <w:rFonts w:hint="eastAsia" w:ascii="宋体" w:hAnsi="宋体" w:eastAsia="宋体" w:cs="宋体"/>
          <w:color w:val="auto"/>
          <w:kern w:val="0"/>
          <w:sz w:val="21"/>
          <w:szCs w:val="21"/>
          <w:highlight w:val="none"/>
          <w:u w:val="single"/>
          <w:lang w:val="en-US" w:eastAsia="zh-CN"/>
        </w:rPr>
        <w:t>3</w:t>
      </w:r>
      <w:r>
        <w:rPr>
          <w:rFonts w:hint="eastAsia" w:ascii="宋体" w:hAnsi="宋体" w:eastAsia="宋体" w:cs="宋体"/>
          <w:color w:val="auto"/>
          <w:kern w:val="0"/>
          <w:sz w:val="21"/>
          <w:szCs w:val="21"/>
          <w:highlight w:val="none"/>
          <w:u w:val="single"/>
        </w:rPr>
        <w:t xml:space="preserve">%作为质保金 </w:t>
      </w:r>
      <w:r>
        <w:rPr>
          <w:rFonts w:hint="eastAsia" w:ascii="宋体" w:hAnsi="宋体" w:eastAsia="宋体" w:cs="宋体"/>
          <w:color w:val="auto"/>
          <w:sz w:val="21"/>
          <w:szCs w:val="21"/>
          <w:highlight w:val="none"/>
        </w:rPr>
        <w:t>。</w:t>
      </w:r>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15.3.1 承包人提供质量保证金的方式</w:t>
      </w:r>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质量保证金采用以下第</w:t>
      </w:r>
      <w:r>
        <w:rPr>
          <w:rFonts w:hint="eastAsia" w:ascii="宋体" w:hAnsi="宋体" w:eastAsia="宋体" w:cs="宋体"/>
          <w:color w:val="auto"/>
          <w:sz w:val="21"/>
          <w:szCs w:val="21"/>
          <w:highlight w:val="none"/>
          <w:u w:val="single"/>
        </w:rPr>
        <w:t xml:space="preserve">  （2）   </w:t>
      </w:r>
      <w:r>
        <w:rPr>
          <w:rFonts w:hint="eastAsia" w:ascii="宋体" w:hAnsi="宋体" w:eastAsia="宋体" w:cs="宋体"/>
          <w:color w:val="auto"/>
          <w:sz w:val="21"/>
          <w:szCs w:val="21"/>
          <w:highlight w:val="none"/>
        </w:rPr>
        <w:t>种方式：</w:t>
      </w:r>
    </w:p>
    <w:p>
      <w:pPr>
        <w:pStyle w:val="31"/>
        <w:autoSpaceDE w:val="0"/>
        <w:autoSpaceDN w:val="0"/>
        <w:adjustRightInd w:val="0"/>
        <w:spacing w:line="380" w:lineRule="exact"/>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（1）质量保证金保函，保证金额为：</w:t>
      </w:r>
      <w:r>
        <w:rPr>
          <w:rFonts w:hint="eastAsia" w:ascii="宋体" w:hAnsi="宋体" w:eastAsia="宋体" w:cs="宋体"/>
          <w:color w:val="auto"/>
          <w:kern w:val="0"/>
          <w:sz w:val="21"/>
          <w:szCs w:val="21"/>
          <w:highlight w:val="none"/>
          <w:u w:val="single"/>
        </w:rPr>
        <w:t xml:space="preserve">  /   </w:t>
      </w:r>
      <w:r>
        <w:rPr>
          <w:rFonts w:hint="eastAsia" w:ascii="宋体" w:hAnsi="宋体" w:eastAsia="宋体" w:cs="宋体"/>
          <w:color w:val="auto"/>
          <w:kern w:val="0"/>
          <w:sz w:val="21"/>
          <w:szCs w:val="21"/>
          <w:highlight w:val="none"/>
        </w:rPr>
        <w:t>；</w:t>
      </w:r>
    </w:p>
    <w:p>
      <w:pPr>
        <w:pStyle w:val="31"/>
        <w:autoSpaceDE w:val="0"/>
        <w:autoSpaceDN w:val="0"/>
        <w:adjustRightInd w:val="0"/>
        <w:spacing w:line="380" w:lineRule="exact"/>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r>
        <w:rPr>
          <w:rFonts w:hint="eastAsia" w:ascii="宋体" w:hAnsi="宋体" w:eastAsia="宋体" w:cs="宋体"/>
          <w:bCs/>
          <w:color w:val="auto"/>
          <w:sz w:val="21"/>
          <w:szCs w:val="21"/>
          <w:highlight w:val="none"/>
        </w:rPr>
        <w:t>发包人按工程价款结算总额的</w:t>
      </w:r>
      <w:r>
        <w:rPr>
          <w:rFonts w:hint="eastAsia" w:ascii="宋体" w:hAnsi="宋体" w:eastAsia="宋体" w:cs="宋体"/>
          <w:bCs/>
          <w:color w:val="auto"/>
          <w:sz w:val="21"/>
          <w:szCs w:val="21"/>
          <w:highlight w:val="none"/>
          <w:u w:val="single"/>
        </w:rPr>
        <w:t xml:space="preserve"> 3 </w:t>
      </w:r>
      <w:r>
        <w:rPr>
          <w:rFonts w:hint="eastAsia" w:ascii="宋体" w:hAnsi="宋体" w:eastAsia="宋体" w:cs="宋体"/>
          <w:bCs/>
          <w:color w:val="auto"/>
          <w:sz w:val="21"/>
          <w:szCs w:val="21"/>
          <w:highlight w:val="none"/>
        </w:rPr>
        <w:t>%预留工程</w:t>
      </w:r>
      <w:r>
        <w:rPr>
          <w:rFonts w:hint="eastAsia" w:ascii="宋体" w:hAnsi="宋体" w:eastAsia="宋体" w:cs="宋体"/>
          <w:bCs/>
          <w:color w:val="auto"/>
          <w:sz w:val="21"/>
          <w:szCs w:val="21"/>
          <w:highlight w:val="none"/>
          <w:lang w:eastAsia="zh-CN"/>
        </w:rPr>
        <w:t>质量保证金</w:t>
      </w:r>
      <w:r>
        <w:rPr>
          <w:rFonts w:hint="eastAsia" w:ascii="宋体" w:hAnsi="宋体" w:eastAsia="宋体" w:cs="宋体"/>
          <w:bCs/>
          <w:color w:val="auto"/>
          <w:sz w:val="21"/>
          <w:szCs w:val="21"/>
          <w:highlight w:val="none"/>
        </w:rPr>
        <w:t>，待缺陷责任期满后返还</w:t>
      </w:r>
      <w:r>
        <w:rPr>
          <w:rFonts w:hint="eastAsia" w:ascii="宋体" w:hAnsi="宋体" w:eastAsia="宋体" w:cs="宋体"/>
          <w:color w:val="auto"/>
          <w:kern w:val="0"/>
          <w:sz w:val="21"/>
          <w:szCs w:val="21"/>
          <w:highlight w:val="none"/>
        </w:rPr>
        <w:t>；</w:t>
      </w:r>
    </w:p>
    <w:p>
      <w:pPr>
        <w:pStyle w:val="31"/>
        <w:autoSpaceDE w:val="0"/>
        <w:autoSpaceDN w:val="0"/>
        <w:adjustRightInd w:val="0"/>
        <w:spacing w:line="380" w:lineRule="exact"/>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（3）其他方式：</w:t>
      </w:r>
      <w:r>
        <w:rPr>
          <w:rFonts w:hint="eastAsia" w:ascii="宋体" w:hAnsi="宋体" w:eastAsia="宋体" w:cs="宋体"/>
          <w:bCs/>
          <w:color w:val="auto"/>
          <w:sz w:val="21"/>
          <w:szCs w:val="21"/>
          <w:highlight w:val="none"/>
          <w:u w:val="single"/>
        </w:rPr>
        <w:t xml:space="preserve">   /        </w:t>
      </w:r>
      <w:r>
        <w:rPr>
          <w:rFonts w:hint="eastAsia" w:ascii="宋体" w:hAnsi="宋体" w:eastAsia="宋体" w:cs="宋体"/>
          <w:bCs/>
          <w:color w:val="auto"/>
          <w:sz w:val="21"/>
          <w:szCs w:val="21"/>
          <w:highlight w:val="none"/>
        </w:rPr>
        <w:t>。</w:t>
      </w:r>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15.3.2 质量保证金的扣留</w:t>
      </w:r>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质量保证金的扣留采取以下第</w:t>
      </w:r>
      <w:r>
        <w:rPr>
          <w:rFonts w:hint="eastAsia" w:ascii="宋体" w:hAnsi="宋体" w:eastAsia="宋体" w:cs="宋体"/>
          <w:color w:val="auto"/>
          <w:sz w:val="21"/>
          <w:szCs w:val="21"/>
          <w:highlight w:val="none"/>
          <w:u w:val="single"/>
        </w:rPr>
        <w:t xml:space="preserve">   （2）   </w:t>
      </w:r>
      <w:r>
        <w:rPr>
          <w:rFonts w:hint="eastAsia" w:ascii="宋体" w:hAnsi="宋体" w:eastAsia="宋体" w:cs="宋体"/>
          <w:color w:val="auto"/>
          <w:sz w:val="21"/>
          <w:szCs w:val="21"/>
          <w:highlight w:val="none"/>
        </w:rPr>
        <w:t>种方式：</w:t>
      </w:r>
    </w:p>
    <w:p>
      <w:pPr>
        <w:pStyle w:val="31"/>
        <w:autoSpaceDE w:val="0"/>
        <w:autoSpaceDN w:val="0"/>
        <w:adjustRightInd w:val="0"/>
        <w:spacing w:line="380" w:lineRule="exact"/>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（1）在支付工程进度款时逐次扣留，在此情形下，质量保证金的计算基数不包括预付款的支付、扣回以及价格调整的金额；</w:t>
      </w:r>
    </w:p>
    <w:p>
      <w:pPr>
        <w:pStyle w:val="31"/>
        <w:autoSpaceDE w:val="0"/>
        <w:autoSpaceDN w:val="0"/>
        <w:adjustRightInd w:val="0"/>
        <w:spacing w:line="380" w:lineRule="exact"/>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（2）工程竣工结算时一次性扣留质量保证金；</w:t>
      </w:r>
    </w:p>
    <w:p>
      <w:pPr>
        <w:pStyle w:val="31"/>
        <w:autoSpaceDE w:val="0"/>
        <w:autoSpaceDN w:val="0"/>
        <w:adjustRightInd w:val="0"/>
        <w:spacing w:line="380" w:lineRule="exact"/>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（3）其他扣留方式:</w:t>
      </w:r>
      <w:r>
        <w:rPr>
          <w:rFonts w:hint="eastAsia" w:ascii="宋体" w:hAnsi="宋体" w:eastAsia="宋体" w:cs="宋体"/>
          <w:color w:val="auto"/>
          <w:kern w:val="0"/>
          <w:sz w:val="21"/>
          <w:szCs w:val="21"/>
          <w:highlight w:val="none"/>
          <w:u w:val="single"/>
        </w:rPr>
        <w:t xml:space="preserve">    /                </w:t>
      </w:r>
      <w:r>
        <w:rPr>
          <w:rFonts w:hint="eastAsia" w:ascii="宋体" w:hAnsi="宋体" w:eastAsia="宋体" w:cs="宋体"/>
          <w:color w:val="auto"/>
          <w:kern w:val="0"/>
          <w:sz w:val="21"/>
          <w:szCs w:val="21"/>
          <w:highlight w:val="none"/>
        </w:rPr>
        <w:t>。</w:t>
      </w:r>
    </w:p>
    <w:p>
      <w:pPr>
        <w:pStyle w:val="31"/>
        <w:spacing w:line="380" w:lineRule="exact"/>
        <w:ind w:firstLine="420" w:firstLineChars="200"/>
        <w:jc w:val="left"/>
        <w:rPr>
          <w:rFonts w:hint="eastAsia" w:ascii="宋体" w:hAnsi="宋体" w:eastAsia="宋体" w:cs="宋体"/>
          <w:color w:val="auto"/>
          <w:kern w:val="0"/>
          <w:sz w:val="21"/>
          <w:szCs w:val="21"/>
          <w:highlight w:val="none"/>
          <w:u w:val="single"/>
        </w:rPr>
      </w:pPr>
      <w:r>
        <w:rPr>
          <w:rFonts w:hint="eastAsia" w:ascii="宋体" w:hAnsi="宋体" w:eastAsia="宋体" w:cs="宋体"/>
          <w:color w:val="auto"/>
          <w:sz w:val="21"/>
          <w:szCs w:val="21"/>
          <w:highlight w:val="none"/>
        </w:rPr>
        <w:t>关于质量保证金的补充约定：</w:t>
      </w:r>
      <w:r>
        <w:rPr>
          <w:rFonts w:hint="eastAsia" w:ascii="宋体" w:hAnsi="宋体" w:eastAsia="宋体" w:cs="宋体"/>
          <w:color w:val="auto"/>
          <w:sz w:val="21"/>
          <w:szCs w:val="21"/>
          <w:highlight w:val="none"/>
          <w:u w:val="single"/>
        </w:rPr>
        <w:t>承包人未按照法律法规有关规定和合同约定履行质量保修义务的，发包人有权从质量保证金中扣留用于质量保修的各项支出。</w:t>
      </w:r>
      <w:r>
        <w:rPr>
          <w:rFonts w:hint="eastAsia" w:ascii="宋体" w:hAnsi="宋体" w:eastAsia="宋体" w:cs="宋体"/>
          <w:color w:val="auto"/>
          <w:kern w:val="0"/>
          <w:sz w:val="21"/>
          <w:szCs w:val="21"/>
          <w:highlight w:val="none"/>
          <w:u w:val="single"/>
        </w:rPr>
        <w:t>发包人在工程缺陷责任期满后 14 天内将保修金一次性返回给承包人（无息）。质量保证金的返还，并不能免除承包人按照合同约定应承担的质量保修责任和应履行的质量保修义务。</w:t>
      </w:r>
    </w:p>
    <w:bookmarkEnd w:id="1614"/>
    <w:bookmarkEnd w:id="1615"/>
    <w:p>
      <w:pPr>
        <w:pStyle w:val="29"/>
        <w:spacing w:line="380" w:lineRule="exact"/>
        <w:ind w:firstLine="422" w:firstLineChars="200"/>
        <w:rPr>
          <w:rFonts w:hint="eastAsia" w:ascii="宋体" w:hAnsi="宋体" w:eastAsia="宋体" w:cs="宋体"/>
          <w:color w:val="auto"/>
          <w:sz w:val="21"/>
          <w:szCs w:val="21"/>
          <w:highlight w:val="none"/>
        </w:rPr>
      </w:pPr>
      <w:bookmarkStart w:id="1671" w:name="_Toc403579000"/>
      <w:bookmarkStart w:id="1672" w:name="_Toc418751862"/>
      <w:bookmarkStart w:id="1673" w:name="_Toc1578"/>
      <w:bookmarkStart w:id="1674" w:name="_Toc497746847"/>
      <w:bookmarkStart w:id="1675" w:name="_Toc373227765"/>
      <w:bookmarkStart w:id="1676" w:name="_Toc373478412"/>
      <w:bookmarkStart w:id="1677" w:name="_Toc418752308"/>
      <w:bookmarkStart w:id="1678" w:name="_Toc256000243"/>
      <w:bookmarkStart w:id="1679" w:name="_Toc418518176"/>
      <w:bookmarkStart w:id="1680" w:name="_Toc418061377"/>
      <w:bookmarkStart w:id="1681" w:name="_Toc418518412"/>
      <w:bookmarkStart w:id="1682" w:name="_Toc497747244"/>
      <w:bookmarkStart w:id="1683" w:name="_Toc389065330"/>
      <w:bookmarkStart w:id="1684" w:name="_Toc522201792"/>
      <w:r>
        <w:rPr>
          <w:rFonts w:hint="eastAsia" w:ascii="宋体" w:hAnsi="宋体" w:eastAsia="宋体" w:cs="宋体"/>
          <w:color w:val="auto"/>
          <w:sz w:val="21"/>
          <w:szCs w:val="21"/>
          <w:highlight w:val="none"/>
        </w:rPr>
        <w:t>15.4 保修</w:t>
      </w:r>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p>
    <w:bookmarkEnd w:id="1616"/>
    <w:p>
      <w:pPr>
        <w:pStyle w:val="31"/>
        <w:spacing w:line="380" w:lineRule="exact"/>
        <w:ind w:firstLine="409" w:firstLineChars="195"/>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15.4.1 保修责任</w:t>
      </w:r>
    </w:p>
    <w:p>
      <w:pPr>
        <w:pStyle w:val="31"/>
        <w:spacing w:line="380" w:lineRule="exact"/>
        <w:ind w:firstLine="409" w:firstLineChars="195"/>
        <w:jc w:val="left"/>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工程保修期为：</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sz w:val="21"/>
          <w:szCs w:val="21"/>
          <w:highlight w:val="none"/>
          <w:u w:val="single"/>
        </w:rPr>
        <w:t>根据《建设工程质量管理条例》及有关规定，约定本工程的保修期详见《工程质量保修书》。</w:t>
      </w:r>
    </w:p>
    <w:p>
      <w:pPr>
        <w:pStyle w:val="31"/>
        <w:spacing w:line="380" w:lineRule="exact"/>
        <w:ind w:firstLine="409" w:firstLineChars="195"/>
        <w:jc w:val="left"/>
        <w:rPr>
          <w:rFonts w:hint="eastAsia" w:ascii="宋体" w:hAnsi="宋体" w:eastAsia="宋体" w:cs="宋体"/>
          <w:color w:val="auto"/>
          <w:kern w:val="0"/>
          <w:sz w:val="21"/>
          <w:szCs w:val="21"/>
          <w:highlight w:val="none"/>
          <w:u w:val="single"/>
        </w:rPr>
      </w:pPr>
      <w:r>
        <w:rPr>
          <w:rFonts w:hint="eastAsia" w:ascii="宋体" w:hAnsi="宋体" w:eastAsia="宋体" w:cs="宋体"/>
          <w:color w:val="auto"/>
          <w:sz w:val="21"/>
          <w:szCs w:val="21"/>
          <w:highlight w:val="none"/>
        </w:rPr>
        <w:t>工程保修书具体内容见合同附件3。</w:t>
      </w:r>
    </w:p>
    <w:p>
      <w:pPr>
        <w:pStyle w:val="31"/>
        <w:spacing w:line="380" w:lineRule="exact"/>
        <w:ind w:firstLine="409" w:firstLineChars="195"/>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15.4.3 修复通知</w:t>
      </w:r>
    </w:p>
    <w:p>
      <w:pPr>
        <w:pStyle w:val="31"/>
        <w:spacing w:line="380" w:lineRule="exact"/>
        <w:ind w:firstLine="409" w:firstLineChars="195"/>
        <w:jc w:val="left"/>
        <w:rPr>
          <w:rFonts w:hint="eastAsia" w:ascii="宋体" w:hAnsi="宋体" w:eastAsia="宋体" w:cs="宋体"/>
          <w:color w:val="auto"/>
          <w:sz w:val="21"/>
          <w:szCs w:val="21"/>
          <w:highlight w:val="none"/>
          <w:u w:val="single"/>
        </w:rPr>
      </w:pPr>
      <w:r>
        <w:rPr>
          <w:rFonts w:hint="eastAsia" w:ascii="宋体" w:hAnsi="宋体" w:eastAsia="宋体" w:cs="宋体"/>
          <w:color w:val="auto"/>
          <w:kern w:val="0"/>
          <w:sz w:val="21"/>
          <w:szCs w:val="21"/>
          <w:highlight w:val="none"/>
        </w:rPr>
        <w:t>承包人收到保修通知并到达工程现场的合理时间：</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sz w:val="21"/>
          <w:szCs w:val="21"/>
          <w:highlight w:val="none"/>
          <w:u w:val="single"/>
        </w:rPr>
        <w:t xml:space="preserve"> 1、属于保修范围、内容的项目，承包人应当在接到保修通知之日起三天内派人保修。承包人不在约定期限内派人保修的，发包人有权直接安排维修，费用从工程保修金中扣除，不足部分发包人有权向承包人追索。2、发生紧急抢修事故的，承包人在接到事故通知后，应当立即到达事故现场抢修。3、对于涉及设备的质量问题，应当提出保修方案，及时更换设备，承包人实施保修。属于涉及结构安全的质量问题，应当按照《房屋建筑工程质量保修办法》的规定，立即向当地建设行政主管部门报告，采取安全防范措施；由原设计单位或者具有相应资质等级的设计单位提出保修方案，承包人实施保修。4、质量保修完成后，由发包人组织验收。5、保修费用由造成质量缺陷的责任方承担 。</w:t>
      </w:r>
    </w:p>
    <w:bookmarkEnd w:id="1617"/>
    <w:bookmarkEnd w:id="1618"/>
    <w:bookmarkEnd w:id="1619"/>
    <w:bookmarkEnd w:id="1620"/>
    <w:p>
      <w:pPr>
        <w:pStyle w:val="29"/>
        <w:spacing w:line="380" w:lineRule="exact"/>
        <w:rPr>
          <w:rFonts w:hint="eastAsia" w:ascii="宋体" w:hAnsi="宋体" w:eastAsia="宋体" w:cs="宋体"/>
          <w:color w:val="auto"/>
          <w:sz w:val="21"/>
          <w:szCs w:val="21"/>
          <w:highlight w:val="none"/>
        </w:rPr>
      </w:pPr>
      <w:bookmarkStart w:id="1685" w:name="_Toc373478413"/>
      <w:bookmarkStart w:id="1686" w:name="_Toc389065331"/>
      <w:bookmarkStart w:id="1687" w:name="_Toc373227766"/>
      <w:bookmarkStart w:id="1688" w:name="_Toc418751863"/>
      <w:bookmarkStart w:id="1689" w:name="_Toc418061378"/>
      <w:bookmarkStart w:id="1690" w:name="_Toc9227"/>
      <w:bookmarkStart w:id="1691" w:name="_Toc497747245"/>
      <w:bookmarkStart w:id="1692" w:name="_Toc522201793"/>
      <w:bookmarkStart w:id="1693" w:name="_Toc418752309"/>
      <w:bookmarkStart w:id="1694" w:name="_Toc256000244"/>
      <w:bookmarkStart w:id="1695" w:name="_Toc497746848"/>
      <w:bookmarkStart w:id="1696" w:name="_Toc351203648"/>
      <w:bookmarkStart w:id="1697" w:name="_Toc418518413"/>
      <w:bookmarkStart w:id="1698" w:name="_Toc403579001"/>
      <w:bookmarkStart w:id="1699" w:name="_Toc418518177"/>
      <w:bookmarkStart w:id="1700" w:name="_Toc280868717"/>
      <w:bookmarkStart w:id="1701" w:name="_Toc280868718"/>
      <w:r>
        <w:rPr>
          <w:rFonts w:hint="eastAsia" w:ascii="宋体" w:hAnsi="宋体" w:eastAsia="宋体" w:cs="宋体"/>
          <w:color w:val="auto"/>
          <w:sz w:val="21"/>
          <w:szCs w:val="21"/>
          <w:highlight w:val="none"/>
        </w:rPr>
        <w:t>16. 违约</w:t>
      </w:r>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p>
    <w:p>
      <w:pPr>
        <w:pStyle w:val="29"/>
        <w:spacing w:line="380" w:lineRule="exact"/>
        <w:ind w:firstLine="422" w:firstLineChars="200"/>
        <w:rPr>
          <w:rFonts w:hint="eastAsia" w:ascii="宋体" w:hAnsi="宋体" w:eastAsia="宋体" w:cs="宋体"/>
          <w:color w:val="auto"/>
          <w:sz w:val="21"/>
          <w:szCs w:val="21"/>
          <w:highlight w:val="none"/>
        </w:rPr>
      </w:pPr>
      <w:bookmarkStart w:id="1702" w:name="_Toc256000245"/>
      <w:bookmarkStart w:id="1703" w:name="_Toc418061379"/>
      <w:bookmarkStart w:id="1704" w:name="_Toc373227767"/>
      <w:bookmarkStart w:id="1705" w:name="_Toc9382"/>
      <w:bookmarkStart w:id="1706" w:name="_Toc522201794"/>
      <w:bookmarkStart w:id="1707" w:name="_Toc418752310"/>
      <w:bookmarkStart w:id="1708" w:name="_Toc497747246"/>
      <w:bookmarkStart w:id="1709" w:name="_Toc373478414"/>
      <w:bookmarkStart w:id="1710" w:name="_Toc418518414"/>
      <w:bookmarkStart w:id="1711" w:name="_Toc418518178"/>
      <w:bookmarkStart w:id="1712" w:name="_Toc418751864"/>
      <w:bookmarkStart w:id="1713" w:name="_Toc497746849"/>
      <w:bookmarkStart w:id="1714" w:name="_Toc389065332"/>
      <w:bookmarkStart w:id="1715" w:name="_Toc403579002"/>
      <w:r>
        <w:rPr>
          <w:rFonts w:hint="eastAsia" w:ascii="宋体" w:hAnsi="宋体" w:eastAsia="宋体" w:cs="宋体"/>
          <w:color w:val="auto"/>
          <w:sz w:val="21"/>
          <w:szCs w:val="21"/>
          <w:highlight w:val="none"/>
        </w:rPr>
        <w:t>16.1 发包人违约</w:t>
      </w:r>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16.1.1发包人违约的情形</w:t>
      </w:r>
    </w:p>
    <w:p>
      <w:pPr>
        <w:pStyle w:val="31"/>
        <w:spacing w:line="380" w:lineRule="exact"/>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发包人违约的其他情形：</w:t>
      </w:r>
      <w:r>
        <w:rPr>
          <w:rFonts w:hint="eastAsia" w:ascii="宋体" w:hAnsi="宋体" w:eastAsia="宋体" w:cs="宋体"/>
          <w:color w:val="auto"/>
          <w:kern w:val="0"/>
          <w:sz w:val="21"/>
          <w:szCs w:val="21"/>
          <w:highlight w:val="none"/>
          <w:u w:val="single"/>
        </w:rPr>
        <w:t xml:space="preserve">    无   </w:t>
      </w:r>
      <w:r>
        <w:rPr>
          <w:rFonts w:hint="eastAsia" w:ascii="宋体" w:hAnsi="宋体" w:eastAsia="宋体" w:cs="宋体"/>
          <w:color w:val="auto"/>
          <w:kern w:val="0"/>
          <w:sz w:val="21"/>
          <w:szCs w:val="21"/>
          <w:highlight w:val="none"/>
        </w:rPr>
        <w:t>。</w:t>
      </w:r>
    </w:p>
    <w:p>
      <w:pPr>
        <w:pStyle w:val="31"/>
        <w:spacing w:line="380" w:lineRule="exact"/>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16.1.2 发包人违约的责任</w:t>
      </w:r>
    </w:p>
    <w:p>
      <w:pPr>
        <w:pStyle w:val="31"/>
        <w:spacing w:line="380" w:lineRule="exact"/>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发包人违约责任的承担方式和计算方法：</w:t>
      </w:r>
    </w:p>
    <w:p>
      <w:pPr>
        <w:pStyle w:val="31"/>
        <w:spacing w:line="380" w:lineRule="exact"/>
        <w:ind w:firstLine="420" w:firstLineChars="200"/>
        <w:jc w:val="left"/>
        <w:rPr>
          <w:rFonts w:hint="eastAsia" w:ascii="宋体" w:hAnsi="宋体" w:eastAsia="宋体" w:cs="宋体"/>
          <w:color w:val="auto"/>
          <w:kern w:val="0"/>
          <w:sz w:val="21"/>
          <w:szCs w:val="21"/>
          <w:highlight w:val="none"/>
          <w:u w:val="single"/>
        </w:rPr>
      </w:pPr>
      <w:r>
        <w:rPr>
          <w:rFonts w:hint="eastAsia" w:ascii="宋体" w:hAnsi="宋体" w:eastAsia="宋体" w:cs="宋体"/>
          <w:color w:val="auto"/>
          <w:kern w:val="0"/>
          <w:sz w:val="21"/>
          <w:szCs w:val="21"/>
          <w:highlight w:val="none"/>
        </w:rPr>
        <w:t>（1）因发包人原因未能在计划开工日期前7天内下达开工通知的违约责任：</w:t>
      </w:r>
      <w:r>
        <w:rPr>
          <w:rFonts w:hint="eastAsia" w:ascii="宋体" w:hAnsi="宋体" w:eastAsia="宋体" w:cs="宋体"/>
          <w:color w:val="auto"/>
          <w:kern w:val="0"/>
          <w:sz w:val="21"/>
          <w:szCs w:val="21"/>
          <w:highlight w:val="none"/>
          <w:u w:val="single"/>
        </w:rPr>
        <w:t>工期相应顺延</w:t>
      </w:r>
      <w:r>
        <w:rPr>
          <w:rFonts w:hint="eastAsia" w:ascii="宋体" w:hAnsi="宋体" w:eastAsia="宋体" w:cs="宋体"/>
          <w:color w:val="auto"/>
          <w:kern w:val="0"/>
          <w:sz w:val="21"/>
          <w:szCs w:val="21"/>
          <w:highlight w:val="none"/>
        </w:rPr>
        <w:t>。</w:t>
      </w:r>
    </w:p>
    <w:p>
      <w:pPr>
        <w:pStyle w:val="31"/>
        <w:spacing w:line="380" w:lineRule="exact"/>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（2）因发包人原因未能按合同约定支付合同价款的违约责任：</w:t>
      </w:r>
      <w:r>
        <w:rPr>
          <w:rFonts w:hint="eastAsia" w:ascii="宋体" w:hAnsi="宋体" w:eastAsia="宋体" w:cs="宋体"/>
          <w:color w:val="auto"/>
          <w:kern w:val="0"/>
          <w:sz w:val="21"/>
          <w:szCs w:val="21"/>
          <w:highlight w:val="none"/>
          <w:u w:val="single"/>
        </w:rPr>
        <w:t xml:space="preserve"> / </w:t>
      </w:r>
      <w:r>
        <w:rPr>
          <w:rFonts w:hint="eastAsia" w:ascii="宋体" w:hAnsi="宋体" w:eastAsia="宋体" w:cs="宋体"/>
          <w:color w:val="auto"/>
          <w:kern w:val="0"/>
          <w:sz w:val="21"/>
          <w:szCs w:val="21"/>
          <w:highlight w:val="none"/>
        </w:rPr>
        <w:t>。</w:t>
      </w:r>
    </w:p>
    <w:p>
      <w:pPr>
        <w:pStyle w:val="31"/>
        <w:spacing w:line="380" w:lineRule="exact"/>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（3）发包人违反第10.1款〔变更的范围〕第（2）项约定，自行实施被取消的工作或转由他人实施的违约责任：</w:t>
      </w:r>
      <w:r>
        <w:rPr>
          <w:rFonts w:hint="eastAsia" w:ascii="宋体" w:hAnsi="宋体" w:eastAsia="宋体" w:cs="宋体"/>
          <w:color w:val="auto"/>
          <w:kern w:val="0"/>
          <w:sz w:val="21"/>
          <w:szCs w:val="21"/>
          <w:highlight w:val="none"/>
          <w:u w:val="single"/>
        </w:rPr>
        <w:t xml:space="preserve">  按通用条款执行  </w:t>
      </w:r>
      <w:r>
        <w:rPr>
          <w:rFonts w:hint="eastAsia" w:ascii="宋体" w:hAnsi="宋体" w:eastAsia="宋体" w:cs="宋体"/>
          <w:color w:val="auto"/>
          <w:kern w:val="0"/>
          <w:sz w:val="21"/>
          <w:szCs w:val="21"/>
          <w:highlight w:val="none"/>
        </w:rPr>
        <w:t>。</w:t>
      </w:r>
    </w:p>
    <w:p>
      <w:pPr>
        <w:pStyle w:val="31"/>
        <w:spacing w:line="380" w:lineRule="exact"/>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（4）发包人提供的材料、工程设备的规格、数量或质量不符合合同约定，或因发包人原因导致交货日期延误或交货地点变更等情况的违约责任：</w:t>
      </w:r>
      <w:r>
        <w:rPr>
          <w:rFonts w:hint="eastAsia" w:ascii="宋体" w:hAnsi="宋体" w:eastAsia="宋体" w:cs="宋体"/>
          <w:color w:val="auto"/>
          <w:kern w:val="0"/>
          <w:sz w:val="21"/>
          <w:szCs w:val="21"/>
          <w:highlight w:val="none"/>
          <w:u w:val="single"/>
        </w:rPr>
        <w:t>工期相应顺延</w:t>
      </w:r>
      <w:r>
        <w:rPr>
          <w:rFonts w:hint="eastAsia" w:ascii="宋体" w:hAnsi="宋体" w:eastAsia="宋体" w:cs="宋体"/>
          <w:color w:val="auto"/>
          <w:kern w:val="0"/>
          <w:sz w:val="21"/>
          <w:szCs w:val="21"/>
          <w:highlight w:val="none"/>
        </w:rPr>
        <w:t>。</w:t>
      </w:r>
    </w:p>
    <w:p>
      <w:pPr>
        <w:pStyle w:val="31"/>
        <w:spacing w:line="380" w:lineRule="exact"/>
        <w:ind w:firstLine="420" w:firstLineChars="200"/>
        <w:jc w:val="left"/>
        <w:rPr>
          <w:rFonts w:hint="eastAsia" w:ascii="宋体" w:hAnsi="宋体" w:eastAsia="宋体" w:cs="宋体"/>
          <w:color w:val="auto"/>
          <w:kern w:val="0"/>
          <w:sz w:val="21"/>
          <w:szCs w:val="21"/>
          <w:highlight w:val="none"/>
          <w:u w:val="single"/>
        </w:rPr>
      </w:pPr>
      <w:r>
        <w:rPr>
          <w:rFonts w:hint="eastAsia" w:ascii="宋体" w:hAnsi="宋体" w:eastAsia="宋体" w:cs="宋体"/>
          <w:color w:val="auto"/>
          <w:kern w:val="0"/>
          <w:sz w:val="21"/>
          <w:szCs w:val="21"/>
          <w:highlight w:val="none"/>
        </w:rPr>
        <w:t>（5）因发包人违反合同约定造成暂停施工的违约责任：</w:t>
      </w:r>
      <w:r>
        <w:rPr>
          <w:rFonts w:hint="eastAsia" w:ascii="宋体" w:hAnsi="宋体" w:eastAsia="宋体" w:cs="宋体"/>
          <w:color w:val="auto"/>
          <w:kern w:val="0"/>
          <w:sz w:val="21"/>
          <w:szCs w:val="21"/>
          <w:highlight w:val="none"/>
          <w:u w:val="single"/>
        </w:rPr>
        <w:t>按通用条款执行</w:t>
      </w:r>
      <w:r>
        <w:rPr>
          <w:rFonts w:hint="eastAsia" w:ascii="宋体" w:hAnsi="宋体" w:eastAsia="宋体" w:cs="宋体"/>
          <w:color w:val="auto"/>
          <w:kern w:val="0"/>
          <w:sz w:val="21"/>
          <w:szCs w:val="21"/>
          <w:highlight w:val="none"/>
        </w:rPr>
        <w:t>。</w:t>
      </w:r>
    </w:p>
    <w:p>
      <w:pPr>
        <w:pStyle w:val="31"/>
        <w:spacing w:line="380" w:lineRule="exact"/>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（6）发包人无正当理由没有在约定期限内发出复工指示，导致承包人无法复工的违约责任：</w:t>
      </w:r>
      <w:r>
        <w:rPr>
          <w:rFonts w:hint="eastAsia" w:ascii="宋体" w:hAnsi="宋体" w:eastAsia="宋体" w:cs="宋体"/>
          <w:color w:val="auto"/>
          <w:kern w:val="0"/>
          <w:sz w:val="21"/>
          <w:szCs w:val="21"/>
          <w:highlight w:val="none"/>
          <w:u w:val="single"/>
        </w:rPr>
        <w:t xml:space="preserve">   按通用条款执行</w:t>
      </w:r>
      <w:r>
        <w:rPr>
          <w:rFonts w:hint="eastAsia" w:ascii="宋体" w:hAnsi="宋体" w:eastAsia="宋体" w:cs="宋体"/>
          <w:color w:val="auto"/>
          <w:kern w:val="0"/>
          <w:sz w:val="21"/>
          <w:szCs w:val="21"/>
          <w:highlight w:val="none"/>
        </w:rPr>
        <w:t>。</w:t>
      </w:r>
    </w:p>
    <w:p>
      <w:pPr>
        <w:pStyle w:val="31"/>
        <w:spacing w:line="380" w:lineRule="exact"/>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（7）其他：</w:t>
      </w:r>
      <w:r>
        <w:rPr>
          <w:rFonts w:hint="eastAsia" w:ascii="宋体" w:hAnsi="宋体" w:eastAsia="宋体" w:cs="宋体"/>
          <w:color w:val="auto"/>
          <w:kern w:val="0"/>
          <w:sz w:val="21"/>
          <w:szCs w:val="21"/>
          <w:highlight w:val="none"/>
          <w:u w:val="single"/>
        </w:rPr>
        <w:t xml:space="preserve">  /  </w:t>
      </w:r>
      <w:r>
        <w:rPr>
          <w:rFonts w:hint="eastAsia" w:ascii="宋体" w:hAnsi="宋体" w:eastAsia="宋体" w:cs="宋体"/>
          <w:color w:val="auto"/>
          <w:kern w:val="0"/>
          <w:sz w:val="21"/>
          <w:szCs w:val="21"/>
          <w:highlight w:val="none"/>
        </w:rPr>
        <w:t>。</w:t>
      </w:r>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16.1.3 因发包人违约解除合同</w:t>
      </w:r>
    </w:p>
    <w:p>
      <w:pPr>
        <w:pStyle w:val="31"/>
        <w:autoSpaceDE w:val="0"/>
        <w:autoSpaceDN w:val="0"/>
        <w:adjustRightInd w:val="0"/>
        <w:spacing w:line="380" w:lineRule="exact"/>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承包人按16.1.1项〔发包人违约的情形〕约定暂停施工满</w:t>
      </w:r>
      <w:r>
        <w:rPr>
          <w:rFonts w:hint="eastAsia" w:ascii="宋体" w:hAnsi="宋体" w:eastAsia="宋体" w:cs="宋体"/>
          <w:color w:val="auto"/>
          <w:kern w:val="0"/>
          <w:sz w:val="21"/>
          <w:szCs w:val="21"/>
          <w:highlight w:val="none"/>
          <w:u w:val="single"/>
        </w:rPr>
        <w:t xml:space="preserve">  /  </w:t>
      </w:r>
      <w:r>
        <w:rPr>
          <w:rFonts w:hint="eastAsia" w:ascii="宋体" w:hAnsi="宋体" w:eastAsia="宋体" w:cs="宋体"/>
          <w:color w:val="auto"/>
          <w:kern w:val="0"/>
          <w:sz w:val="21"/>
          <w:szCs w:val="21"/>
          <w:highlight w:val="none"/>
        </w:rPr>
        <w:t>天后发包人仍不纠正其违约行为并致使合同目的不能实现的，承包人有权解除合同。</w:t>
      </w:r>
    </w:p>
    <w:p>
      <w:pPr>
        <w:pStyle w:val="29"/>
        <w:spacing w:line="380" w:lineRule="exact"/>
        <w:ind w:firstLine="422" w:firstLineChars="200"/>
        <w:rPr>
          <w:rFonts w:hint="eastAsia" w:ascii="宋体" w:hAnsi="宋体" w:eastAsia="宋体" w:cs="宋体"/>
          <w:color w:val="auto"/>
          <w:sz w:val="21"/>
          <w:szCs w:val="21"/>
          <w:highlight w:val="none"/>
        </w:rPr>
      </w:pPr>
      <w:bookmarkStart w:id="1716" w:name="_Toc522201795"/>
      <w:bookmarkStart w:id="1717" w:name="_Toc403579003"/>
      <w:bookmarkStart w:id="1718" w:name="_Toc497746850"/>
      <w:bookmarkStart w:id="1719" w:name="_Toc10444"/>
      <w:bookmarkStart w:id="1720" w:name="_Toc373478415"/>
      <w:bookmarkStart w:id="1721" w:name="_Toc418518179"/>
      <w:bookmarkStart w:id="1722" w:name="_Toc418752311"/>
      <w:bookmarkStart w:id="1723" w:name="_Toc418061380"/>
      <w:bookmarkStart w:id="1724" w:name="_Toc418751865"/>
      <w:bookmarkStart w:id="1725" w:name="_Toc373227768"/>
      <w:bookmarkStart w:id="1726" w:name="_Toc256000246"/>
      <w:bookmarkStart w:id="1727" w:name="_Toc389065333"/>
      <w:bookmarkStart w:id="1728" w:name="_Toc418518415"/>
      <w:bookmarkStart w:id="1729" w:name="_Toc497747247"/>
      <w:r>
        <w:rPr>
          <w:rFonts w:hint="eastAsia" w:ascii="宋体" w:hAnsi="宋体" w:eastAsia="宋体" w:cs="宋体"/>
          <w:color w:val="auto"/>
          <w:sz w:val="21"/>
          <w:szCs w:val="21"/>
          <w:highlight w:val="none"/>
        </w:rPr>
        <w:t>16.2 承包人违约</w:t>
      </w:r>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p>
    <w:p>
      <w:pPr>
        <w:pStyle w:val="31"/>
        <w:spacing w:line="380" w:lineRule="exact"/>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16.2.1 承包人违约的情形</w:t>
      </w:r>
    </w:p>
    <w:p>
      <w:pPr>
        <w:pStyle w:val="31"/>
        <w:spacing w:line="380" w:lineRule="exact"/>
        <w:ind w:firstLine="420" w:firstLineChars="200"/>
        <w:jc w:val="left"/>
        <w:rPr>
          <w:rFonts w:hint="eastAsia" w:ascii="宋体" w:hAnsi="宋体" w:eastAsia="宋体" w:cs="宋体"/>
          <w:color w:val="auto"/>
          <w:kern w:val="0"/>
          <w:sz w:val="21"/>
          <w:szCs w:val="21"/>
          <w:highlight w:val="none"/>
          <w:u w:val="single"/>
        </w:rPr>
      </w:pPr>
      <w:r>
        <w:rPr>
          <w:rFonts w:hint="eastAsia" w:ascii="宋体" w:hAnsi="宋体" w:eastAsia="宋体" w:cs="宋体"/>
          <w:color w:val="auto"/>
          <w:kern w:val="0"/>
          <w:sz w:val="21"/>
          <w:szCs w:val="21"/>
          <w:highlight w:val="none"/>
        </w:rPr>
        <w:t>承包人违约的其他情形：</w:t>
      </w:r>
      <w:r>
        <w:rPr>
          <w:rFonts w:hint="eastAsia" w:ascii="宋体" w:hAnsi="宋体" w:eastAsia="宋体" w:cs="宋体"/>
          <w:color w:val="auto"/>
          <w:kern w:val="0"/>
          <w:sz w:val="21"/>
          <w:szCs w:val="21"/>
          <w:highlight w:val="none"/>
          <w:u w:val="single"/>
        </w:rPr>
        <w:t xml:space="preserve">按通用条款执行 </w:t>
      </w:r>
      <w:r>
        <w:rPr>
          <w:rFonts w:hint="eastAsia" w:ascii="宋体" w:hAnsi="宋体" w:eastAsia="宋体" w:cs="宋体"/>
          <w:color w:val="auto"/>
          <w:kern w:val="0"/>
          <w:sz w:val="21"/>
          <w:szCs w:val="21"/>
          <w:highlight w:val="none"/>
        </w:rPr>
        <w:t>。</w:t>
      </w:r>
    </w:p>
    <w:p>
      <w:pPr>
        <w:pStyle w:val="31"/>
        <w:spacing w:line="380" w:lineRule="exact"/>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16.2.2承包人违约的责任</w:t>
      </w:r>
    </w:p>
    <w:p>
      <w:pPr>
        <w:pStyle w:val="31"/>
        <w:spacing w:line="380" w:lineRule="exact"/>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承包人违约责任的承担方式和计算方法：</w:t>
      </w:r>
    </w:p>
    <w:p>
      <w:pPr>
        <w:pStyle w:val="31"/>
        <w:spacing w:line="380" w:lineRule="exact"/>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承包人未按本合同通用条款第16.2.1（2）、（3）条内容完成的，承包人无条件返工处理，修复至工程质量要求并承担相关费用，并在发包人规定的时间内完成返工，否则发包人有权扣罚该分项工程10%的工程款作为处罚。</w:t>
      </w:r>
    </w:p>
    <w:p>
      <w:pPr>
        <w:pStyle w:val="31"/>
        <w:spacing w:line="380" w:lineRule="exact"/>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（2）承包人有本合同通用条款第16.2.1（6）条情形的，或经监理人检验认为修复质量不合格而承包人拒绝再进行修补的，发包人将扣除承包人全部</w:t>
      </w:r>
      <w:r>
        <w:rPr>
          <w:rFonts w:hint="eastAsia" w:ascii="宋体" w:hAnsi="宋体" w:eastAsia="宋体" w:cs="宋体"/>
          <w:color w:val="auto"/>
          <w:kern w:val="0"/>
          <w:sz w:val="21"/>
          <w:szCs w:val="21"/>
          <w:highlight w:val="none"/>
          <w:lang w:eastAsia="zh-CN"/>
        </w:rPr>
        <w:t>质量保证金</w:t>
      </w:r>
      <w:r>
        <w:rPr>
          <w:rFonts w:hint="eastAsia" w:ascii="宋体" w:hAnsi="宋体" w:eastAsia="宋体" w:cs="宋体"/>
          <w:color w:val="auto"/>
          <w:kern w:val="0"/>
          <w:sz w:val="21"/>
          <w:szCs w:val="21"/>
          <w:highlight w:val="none"/>
        </w:rPr>
        <w:t>。</w:t>
      </w:r>
    </w:p>
    <w:p>
      <w:pPr>
        <w:pStyle w:val="31"/>
        <w:spacing w:line="380" w:lineRule="exact"/>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承包人有本专用合同条款3.2、3.3条违约责任的，发包人有权扣除承包人的违约金。违约金金额均在承包人的履约保证金及计量支付款内扣除。监理人预先下发含有罚款意向的指令，如承包人不及时采取措施纠正，则在指令下达后十五天下发罚款通知书（不再陈述罚款理由）。</w:t>
      </w:r>
      <w:r>
        <w:rPr>
          <w:rFonts w:hint="eastAsia" w:ascii="宋体" w:hAnsi="宋体" w:eastAsia="宋体" w:cs="宋体"/>
          <w:color w:val="auto"/>
          <w:sz w:val="21"/>
          <w:szCs w:val="21"/>
          <w:highlight w:val="none"/>
        </w:rPr>
        <w:t>承包人在合同期内，完成合同规定的全部工程，且质量合格，在本工程施工竣工验收后十五天内可申请返还全部或部分罚款，返还金额由监理人审核，发包人批准。罚款金额返还时不包括银行利息。</w:t>
      </w:r>
      <w:r>
        <w:rPr>
          <w:rFonts w:hint="eastAsia" w:ascii="宋体" w:hAnsi="宋体" w:eastAsia="宋体" w:cs="宋体"/>
          <w:color w:val="auto"/>
          <w:kern w:val="0"/>
          <w:sz w:val="21"/>
          <w:szCs w:val="21"/>
          <w:highlight w:val="none"/>
        </w:rPr>
        <w:t>承包人履约保证金被罚款后由发包人从最后一次计量支付时扣除相应金额补足履约保证金。</w:t>
      </w:r>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16.2.3 因承包人违约解除合同</w:t>
      </w:r>
    </w:p>
    <w:p>
      <w:pPr>
        <w:pStyle w:val="31"/>
        <w:spacing w:line="380" w:lineRule="exact"/>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关于承包人违约解除合同的特别约定：</w:t>
      </w:r>
      <w:r>
        <w:rPr>
          <w:rFonts w:hint="eastAsia" w:ascii="宋体" w:hAnsi="宋体" w:eastAsia="宋体" w:cs="宋体"/>
          <w:color w:val="auto"/>
          <w:kern w:val="0"/>
          <w:sz w:val="21"/>
          <w:szCs w:val="21"/>
          <w:highlight w:val="none"/>
          <w:u w:val="single"/>
        </w:rPr>
        <w:t>承包人有违反以下情况之一的，发包人有权解除合同，并没收其全部履约保证金</w:t>
      </w:r>
      <w:r>
        <w:rPr>
          <w:rFonts w:hint="eastAsia" w:ascii="宋体" w:hAnsi="宋体" w:eastAsia="宋体" w:cs="宋体"/>
          <w:color w:val="auto"/>
          <w:kern w:val="0"/>
          <w:sz w:val="21"/>
          <w:szCs w:val="21"/>
          <w:highlight w:val="none"/>
        </w:rPr>
        <w:t>。</w:t>
      </w:r>
    </w:p>
    <w:p>
      <w:pPr>
        <w:pStyle w:val="31"/>
        <w:spacing w:line="380" w:lineRule="exact"/>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(1)承包人无正当理由不按开工通知的要求及时进场组织施工和不按签订协议书时商定的进度计划有效地开展施工准备，造成工期延误的；</w:t>
      </w:r>
    </w:p>
    <w:p>
      <w:pPr>
        <w:pStyle w:val="31"/>
        <w:spacing w:line="380" w:lineRule="exact"/>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(2)承包人违反本合同通用条款第3.5条规定私自将合同或合同的任何部分或任何权利转让给其他人，或私自将工程或工程的一部分分包出去的；</w:t>
      </w:r>
    </w:p>
    <w:p>
      <w:pPr>
        <w:pStyle w:val="31"/>
        <w:spacing w:line="380" w:lineRule="exact"/>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(3)未经监理人批准，承包人私自将已按投标文件承诺进入工地的工程设备、施工设备、临时工程或材料撤离工地的；</w:t>
      </w:r>
    </w:p>
    <w:p>
      <w:pPr>
        <w:pStyle w:val="31"/>
        <w:spacing w:line="380" w:lineRule="exact"/>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(4)由于承包人原因拒绝按合同进度计划及时完成合同规定的工程，而又未采取有效措施赶上进度，造成工期延误的；</w:t>
      </w:r>
    </w:p>
    <w:p>
      <w:pPr>
        <w:pStyle w:val="31"/>
        <w:spacing w:line="380" w:lineRule="exact"/>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(5)承包人否认合同有效或拒绝履行合同规定的承包人义务，或由于法律、财务等原因导致承包人无法继续履行或实质上已停止履行合同的义务的；</w:t>
      </w:r>
    </w:p>
    <w:p>
      <w:pPr>
        <w:pStyle w:val="31"/>
        <w:spacing w:line="380" w:lineRule="exact"/>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(6)合同签订之日起十五日内，承包人无法按合同规定及投标文件的承诺进场经监理工程师认可的全部人员和机械的。</w:t>
      </w:r>
    </w:p>
    <w:p>
      <w:pPr>
        <w:pStyle w:val="31"/>
        <w:spacing w:line="380" w:lineRule="exact"/>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发包人继续使用承包人在施工现场的材料、设备、临时工程、承包人文件和由承包人或以其名义编制的其他文件的费用承担方式：</w:t>
      </w:r>
      <w:r>
        <w:rPr>
          <w:rFonts w:hint="eastAsia" w:ascii="宋体" w:hAnsi="宋体" w:eastAsia="宋体" w:cs="宋体"/>
          <w:color w:val="auto"/>
          <w:kern w:val="0"/>
          <w:sz w:val="21"/>
          <w:szCs w:val="21"/>
          <w:highlight w:val="none"/>
          <w:u w:val="single"/>
        </w:rPr>
        <w:t xml:space="preserve">   协商决定   </w:t>
      </w:r>
      <w:r>
        <w:rPr>
          <w:rFonts w:hint="eastAsia" w:ascii="宋体" w:hAnsi="宋体" w:eastAsia="宋体" w:cs="宋体"/>
          <w:color w:val="auto"/>
          <w:kern w:val="0"/>
          <w:sz w:val="21"/>
          <w:szCs w:val="21"/>
          <w:highlight w:val="none"/>
        </w:rPr>
        <w:t>。</w:t>
      </w:r>
    </w:p>
    <w:p>
      <w:pPr>
        <w:pStyle w:val="29"/>
        <w:spacing w:line="380" w:lineRule="exact"/>
        <w:rPr>
          <w:rFonts w:hint="eastAsia" w:ascii="宋体" w:hAnsi="宋体" w:eastAsia="宋体" w:cs="宋体"/>
          <w:color w:val="auto"/>
          <w:sz w:val="21"/>
          <w:szCs w:val="21"/>
          <w:highlight w:val="none"/>
        </w:rPr>
      </w:pPr>
      <w:bookmarkStart w:id="1730" w:name="_Toc497747248"/>
      <w:bookmarkStart w:id="1731" w:name="_Toc3171"/>
      <w:bookmarkStart w:id="1732" w:name="_Toc256000247"/>
      <w:bookmarkStart w:id="1733" w:name="_Toc497746851"/>
      <w:bookmarkStart w:id="1734" w:name="_Toc418751866"/>
      <w:bookmarkStart w:id="1735" w:name="_Toc403579004"/>
      <w:bookmarkStart w:id="1736" w:name="_Toc389065334"/>
      <w:bookmarkStart w:id="1737" w:name="_Toc418061381"/>
      <w:bookmarkStart w:id="1738" w:name="_Toc351203649"/>
      <w:bookmarkStart w:id="1739" w:name="_Toc373478416"/>
      <w:bookmarkStart w:id="1740" w:name="_Toc373227769"/>
      <w:bookmarkStart w:id="1741" w:name="_Toc418518416"/>
      <w:bookmarkStart w:id="1742" w:name="_Toc522201796"/>
      <w:bookmarkStart w:id="1743" w:name="_Toc418752312"/>
      <w:bookmarkStart w:id="1744" w:name="_Toc418518180"/>
      <w:r>
        <w:rPr>
          <w:rFonts w:hint="eastAsia" w:ascii="宋体" w:hAnsi="宋体" w:eastAsia="宋体" w:cs="宋体"/>
          <w:color w:val="auto"/>
          <w:sz w:val="21"/>
          <w:szCs w:val="21"/>
          <w:highlight w:val="none"/>
        </w:rPr>
        <w:t>17. 不可抗力</w:t>
      </w:r>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r>
        <w:rPr>
          <w:rFonts w:hint="eastAsia" w:ascii="宋体" w:hAnsi="宋体" w:eastAsia="宋体" w:cs="宋体"/>
          <w:color w:val="auto"/>
          <w:sz w:val="21"/>
          <w:szCs w:val="21"/>
          <w:highlight w:val="none"/>
        </w:rPr>
        <w:t xml:space="preserve"> </w:t>
      </w:r>
      <w:bookmarkEnd w:id="1700"/>
    </w:p>
    <w:p>
      <w:pPr>
        <w:pStyle w:val="29"/>
        <w:spacing w:line="380" w:lineRule="exact"/>
        <w:ind w:firstLine="422" w:firstLineChars="200"/>
        <w:rPr>
          <w:rFonts w:hint="eastAsia" w:ascii="宋体" w:hAnsi="宋体" w:eastAsia="宋体" w:cs="宋体"/>
          <w:color w:val="auto"/>
          <w:sz w:val="21"/>
          <w:szCs w:val="21"/>
          <w:highlight w:val="none"/>
        </w:rPr>
      </w:pPr>
      <w:bookmarkStart w:id="1745" w:name="_Toc418752313"/>
      <w:bookmarkStart w:id="1746" w:name="_Toc522201797"/>
      <w:bookmarkStart w:id="1747" w:name="_Toc403579005"/>
      <w:bookmarkStart w:id="1748" w:name="_Toc418751867"/>
      <w:bookmarkStart w:id="1749" w:name="_Toc497746852"/>
      <w:bookmarkStart w:id="1750" w:name="_Toc418518181"/>
      <w:bookmarkStart w:id="1751" w:name="_Toc389065335"/>
      <w:bookmarkStart w:id="1752" w:name="_Toc19380"/>
      <w:bookmarkStart w:id="1753" w:name="_Toc373478417"/>
      <w:bookmarkStart w:id="1754" w:name="_Toc418061382"/>
      <w:bookmarkStart w:id="1755" w:name="_Toc256000248"/>
      <w:bookmarkStart w:id="1756" w:name="_Toc497747249"/>
      <w:bookmarkStart w:id="1757" w:name="_Toc373227770"/>
      <w:bookmarkStart w:id="1758" w:name="_Toc418518417"/>
      <w:r>
        <w:rPr>
          <w:rFonts w:hint="eastAsia" w:ascii="宋体" w:hAnsi="宋体" w:eastAsia="宋体" w:cs="宋体"/>
          <w:color w:val="auto"/>
          <w:sz w:val="21"/>
          <w:szCs w:val="21"/>
          <w:highlight w:val="none"/>
        </w:rPr>
        <w:t>17.1 不可抗力的确认</w:t>
      </w:r>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p>
    <w:p>
      <w:pPr>
        <w:pStyle w:val="31"/>
        <w:spacing w:line="380" w:lineRule="exact"/>
        <w:ind w:firstLine="420" w:firstLineChars="200"/>
        <w:rPr>
          <w:rFonts w:hint="eastAsia" w:ascii="宋体" w:hAnsi="宋体" w:eastAsia="宋体" w:cs="宋体"/>
          <w:color w:val="auto"/>
          <w:kern w:val="0"/>
          <w:sz w:val="21"/>
          <w:szCs w:val="21"/>
          <w:highlight w:val="none"/>
          <w:u w:val="single"/>
        </w:rPr>
      </w:pPr>
      <w:r>
        <w:rPr>
          <w:rFonts w:hint="eastAsia" w:ascii="宋体" w:hAnsi="宋体" w:eastAsia="宋体" w:cs="宋体"/>
          <w:color w:val="auto"/>
          <w:sz w:val="21"/>
          <w:szCs w:val="21"/>
          <w:highlight w:val="none"/>
        </w:rPr>
        <w:t>除通用合同条款约定的不可抗力事件之外，视为不可抗力的其他情形：</w:t>
      </w:r>
      <w:r>
        <w:rPr>
          <w:rFonts w:hint="eastAsia" w:ascii="宋体" w:hAnsi="宋体" w:eastAsia="宋体" w:cs="宋体"/>
          <w:color w:val="auto"/>
          <w:kern w:val="0"/>
          <w:sz w:val="21"/>
          <w:szCs w:val="21"/>
          <w:highlight w:val="none"/>
          <w:u w:val="single"/>
        </w:rPr>
        <w:t>（1）、6级以上地震；（2）、10级以上持续1天的大风；（3）、暴雨级以上持续1天的大雨；（4）、50年以上未发生过，持续2天的高温天气；（5）、50年以上未发生过，持续2天的低温天气；（6）、50年以上未发生过 的洪水；（7）、战争、敌对行动（不论宣战与否）、入侵、外敌行动；（8）、暴乱、骚乱、叛乱、革命、暴动，或军事政变、篡夺政权、内战等；（9）、由于任何有危险性物质所引起的离子辐射或放射性污染；（10）、以音速飞行的飞机或其他飞行装置产生的压力波；（11）、对以上几种形式，应以造成灾害和影响施工为准</w:t>
      </w:r>
      <w:r>
        <w:rPr>
          <w:rFonts w:hint="eastAsia" w:ascii="宋体" w:hAnsi="宋体" w:eastAsia="宋体" w:cs="宋体"/>
          <w:color w:val="auto"/>
          <w:kern w:val="0"/>
          <w:sz w:val="21"/>
          <w:szCs w:val="21"/>
          <w:highlight w:val="none"/>
        </w:rPr>
        <w:t>。</w:t>
      </w:r>
    </w:p>
    <w:p>
      <w:pPr>
        <w:pStyle w:val="29"/>
        <w:spacing w:line="380" w:lineRule="exact"/>
        <w:ind w:firstLine="422" w:firstLineChars="200"/>
        <w:rPr>
          <w:rFonts w:hint="eastAsia" w:ascii="宋体" w:hAnsi="宋体" w:eastAsia="宋体" w:cs="宋体"/>
          <w:color w:val="auto"/>
          <w:sz w:val="21"/>
          <w:szCs w:val="21"/>
          <w:highlight w:val="none"/>
        </w:rPr>
      </w:pPr>
      <w:bookmarkStart w:id="1759" w:name="_Toc418518182"/>
      <w:bookmarkStart w:id="1760" w:name="_Toc418751868"/>
      <w:bookmarkStart w:id="1761" w:name="_Toc497746853"/>
      <w:bookmarkStart w:id="1762" w:name="_Toc403579006"/>
      <w:bookmarkStart w:id="1763" w:name="_Toc418518418"/>
      <w:bookmarkStart w:id="1764" w:name="_Toc389065336"/>
      <w:bookmarkStart w:id="1765" w:name="_Toc522201798"/>
      <w:bookmarkStart w:id="1766" w:name="_Toc373227771"/>
      <w:bookmarkStart w:id="1767" w:name="_Toc497747250"/>
      <w:bookmarkStart w:id="1768" w:name="_Toc24817"/>
      <w:bookmarkStart w:id="1769" w:name="_Toc418752314"/>
      <w:bookmarkStart w:id="1770" w:name="_Toc418061383"/>
      <w:bookmarkStart w:id="1771" w:name="_Toc373478418"/>
      <w:bookmarkStart w:id="1772" w:name="_Toc256000249"/>
      <w:r>
        <w:rPr>
          <w:rFonts w:hint="eastAsia" w:ascii="宋体" w:hAnsi="宋体" w:eastAsia="宋体" w:cs="宋体"/>
          <w:color w:val="auto"/>
          <w:sz w:val="21"/>
          <w:szCs w:val="21"/>
          <w:highlight w:val="none"/>
        </w:rPr>
        <w:t>17.4 因不可抗力解除合同</w:t>
      </w:r>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合同解除后，发包人应在商定或确定发包人应支付款项后</w:t>
      </w:r>
      <w:r>
        <w:rPr>
          <w:rFonts w:hint="eastAsia" w:ascii="宋体" w:hAnsi="宋体" w:eastAsia="宋体" w:cs="宋体"/>
          <w:color w:val="auto"/>
          <w:sz w:val="21"/>
          <w:szCs w:val="21"/>
          <w:highlight w:val="none"/>
          <w:u w:val="single"/>
        </w:rPr>
        <w:t xml:space="preserve"> 30 </w:t>
      </w:r>
      <w:r>
        <w:rPr>
          <w:rFonts w:hint="eastAsia" w:ascii="宋体" w:hAnsi="宋体" w:eastAsia="宋体" w:cs="宋体"/>
          <w:color w:val="auto"/>
          <w:sz w:val="21"/>
          <w:szCs w:val="21"/>
          <w:highlight w:val="none"/>
        </w:rPr>
        <w:t>天内完成款项的支付。</w:t>
      </w:r>
    </w:p>
    <w:p>
      <w:pPr>
        <w:pStyle w:val="29"/>
        <w:spacing w:line="380" w:lineRule="exact"/>
        <w:rPr>
          <w:rFonts w:hint="eastAsia" w:ascii="宋体" w:hAnsi="宋体" w:eastAsia="宋体" w:cs="宋体"/>
          <w:color w:val="auto"/>
          <w:sz w:val="21"/>
          <w:szCs w:val="21"/>
          <w:highlight w:val="none"/>
        </w:rPr>
      </w:pPr>
      <w:bookmarkStart w:id="1773" w:name="_Toc256000250"/>
      <w:bookmarkStart w:id="1774" w:name="_Toc389065337"/>
      <w:bookmarkStart w:id="1775" w:name="_Toc418752315"/>
      <w:bookmarkStart w:id="1776" w:name="_Toc418518419"/>
      <w:bookmarkStart w:id="1777" w:name="_Toc373478419"/>
      <w:bookmarkStart w:id="1778" w:name="_Toc497747251"/>
      <w:bookmarkStart w:id="1779" w:name="_Toc351203650"/>
      <w:bookmarkStart w:id="1780" w:name="_Toc497746854"/>
      <w:bookmarkStart w:id="1781" w:name="_Toc418061384"/>
      <w:bookmarkStart w:id="1782" w:name="_Toc522201799"/>
      <w:bookmarkStart w:id="1783" w:name="_Toc418518183"/>
      <w:bookmarkStart w:id="1784" w:name="_Toc13149"/>
      <w:bookmarkStart w:id="1785" w:name="_Toc403579007"/>
      <w:bookmarkStart w:id="1786" w:name="_Toc373227772"/>
      <w:bookmarkStart w:id="1787" w:name="_Toc418751869"/>
      <w:r>
        <w:rPr>
          <w:rFonts w:hint="eastAsia" w:ascii="宋体" w:hAnsi="宋体" w:eastAsia="宋体" w:cs="宋体"/>
          <w:color w:val="auto"/>
          <w:sz w:val="21"/>
          <w:szCs w:val="21"/>
          <w:highlight w:val="none"/>
        </w:rPr>
        <w:t>18. 保险</w:t>
      </w:r>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p>
    <w:bookmarkEnd w:id="1701"/>
    <w:p>
      <w:pPr>
        <w:pStyle w:val="29"/>
        <w:spacing w:line="380" w:lineRule="exact"/>
        <w:ind w:firstLine="422" w:firstLineChars="200"/>
        <w:rPr>
          <w:rFonts w:hint="eastAsia" w:ascii="宋体" w:hAnsi="宋体" w:eastAsia="宋体" w:cs="宋体"/>
          <w:color w:val="auto"/>
          <w:sz w:val="21"/>
          <w:szCs w:val="21"/>
          <w:highlight w:val="none"/>
        </w:rPr>
      </w:pPr>
      <w:bookmarkStart w:id="1788" w:name="_Toc418518184"/>
      <w:bookmarkStart w:id="1789" w:name="_Toc256000251"/>
      <w:bookmarkStart w:id="1790" w:name="_Toc418752316"/>
      <w:bookmarkStart w:id="1791" w:name="_Toc497747252"/>
      <w:bookmarkStart w:id="1792" w:name="_Toc373227773"/>
      <w:bookmarkStart w:id="1793" w:name="_Toc418751870"/>
      <w:bookmarkStart w:id="1794" w:name="_Toc389065338"/>
      <w:bookmarkStart w:id="1795" w:name="_Toc418518420"/>
      <w:bookmarkStart w:id="1796" w:name="_Toc418061385"/>
      <w:bookmarkStart w:id="1797" w:name="_Toc522201800"/>
      <w:bookmarkStart w:id="1798" w:name="_Toc403579008"/>
      <w:bookmarkStart w:id="1799" w:name="_Toc8865"/>
      <w:bookmarkStart w:id="1800" w:name="_Toc373478420"/>
      <w:bookmarkStart w:id="1801" w:name="_Toc497746855"/>
      <w:r>
        <w:rPr>
          <w:rFonts w:hint="eastAsia" w:ascii="宋体" w:hAnsi="宋体" w:eastAsia="宋体" w:cs="宋体"/>
          <w:color w:val="auto"/>
          <w:sz w:val="21"/>
          <w:szCs w:val="21"/>
          <w:highlight w:val="none"/>
        </w:rPr>
        <w:t>18.1 工程保险</w:t>
      </w:r>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关于工程保险的特别约定：</w:t>
      </w:r>
      <w:r>
        <w:rPr>
          <w:rFonts w:hint="eastAsia" w:ascii="宋体" w:hAnsi="宋体" w:eastAsia="宋体" w:cs="宋体"/>
          <w:color w:val="auto"/>
          <w:kern w:val="0"/>
          <w:sz w:val="21"/>
          <w:szCs w:val="21"/>
          <w:highlight w:val="none"/>
          <w:u w:val="single"/>
        </w:rPr>
        <w:t>承包人应投保建筑工程一切险并承担与之相关的所有费用</w:t>
      </w:r>
      <w:r>
        <w:rPr>
          <w:rFonts w:hint="eastAsia" w:ascii="宋体" w:hAnsi="宋体" w:eastAsia="宋体" w:cs="宋体"/>
          <w:color w:val="auto"/>
          <w:kern w:val="0"/>
          <w:sz w:val="21"/>
          <w:szCs w:val="21"/>
          <w:highlight w:val="none"/>
        </w:rPr>
        <w:t>。</w:t>
      </w:r>
    </w:p>
    <w:p>
      <w:pPr>
        <w:pStyle w:val="29"/>
        <w:spacing w:line="380" w:lineRule="exact"/>
        <w:ind w:firstLine="422" w:firstLineChars="200"/>
        <w:rPr>
          <w:rFonts w:hint="eastAsia" w:ascii="宋体" w:hAnsi="宋体" w:eastAsia="宋体" w:cs="宋体"/>
          <w:color w:val="auto"/>
          <w:sz w:val="21"/>
          <w:szCs w:val="21"/>
          <w:highlight w:val="none"/>
        </w:rPr>
      </w:pPr>
      <w:bookmarkStart w:id="1802" w:name="_Toc418518185"/>
      <w:bookmarkStart w:id="1803" w:name="_Toc373227774"/>
      <w:bookmarkStart w:id="1804" w:name="_Toc389065339"/>
      <w:bookmarkStart w:id="1805" w:name="_Toc403579009"/>
      <w:bookmarkStart w:id="1806" w:name="_Toc418061386"/>
      <w:bookmarkStart w:id="1807" w:name="_Toc418751871"/>
      <w:bookmarkStart w:id="1808" w:name="_Toc497747253"/>
      <w:bookmarkStart w:id="1809" w:name="_Toc256000252"/>
      <w:bookmarkStart w:id="1810" w:name="_Toc522201801"/>
      <w:bookmarkStart w:id="1811" w:name="_Toc418518421"/>
      <w:bookmarkStart w:id="1812" w:name="_Toc373478421"/>
      <w:bookmarkStart w:id="1813" w:name="_Toc418752317"/>
      <w:bookmarkStart w:id="1814" w:name="_Toc497746856"/>
      <w:bookmarkStart w:id="1815" w:name="_Toc2667"/>
      <w:r>
        <w:rPr>
          <w:rFonts w:hint="eastAsia" w:ascii="宋体" w:hAnsi="宋体" w:eastAsia="宋体" w:cs="宋体"/>
          <w:color w:val="auto"/>
          <w:sz w:val="21"/>
          <w:szCs w:val="21"/>
          <w:highlight w:val="none"/>
        </w:rPr>
        <w:t>18.3 其他保险</w:t>
      </w:r>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p>
    <w:p>
      <w:pPr>
        <w:pStyle w:val="31"/>
        <w:spacing w:line="380" w:lineRule="exact"/>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关于其他保险的约定：</w:t>
      </w:r>
      <w:r>
        <w:rPr>
          <w:rFonts w:hint="eastAsia" w:ascii="宋体" w:hAnsi="宋体" w:eastAsia="宋体" w:cs="宋体"/>
          <w:color w:val="auto"/>
          <w:kern w:val="0"/>
          <w:sz w:val="21"/>
          <w:szCs w:val="21"/>
          <w:highlight w:val="none"/>
          <w:u w:val="single"/>
        </w:rPr>
        <w:t>承包人根据市建协字【2009】3号文必须</w:t>
      </w:r>
      <w:r>
        <w:rPr>
          <w:rFonts w:hint="eastAsia" w:ascii="宋体" w:hAnsi="宋体" w:eastAsia="宋体" w:cs="宋体"/>
          <w:color w:val="auto"/>
          <w:sz w:val="21"/>
          <w:szCs w:val="21"/>
          <w:highlight w:val="none"/>
          <w:u w:val="single"/>
        </w:rPr>
        <w:t>为施工现场从事施工的所有作业人员和管理人员办理意外伤害保险，并支付保险费</w:t>
      </w:r>
      <w:r>
        <w:rPr>
          <w:rFonts w:hint="eastAsia" w:ascii="宋体" w:hAnsi="宋体" w:eastAsia="宋体" w:cs="宋体"/>
          <w:bCs/>
          <w:color w:val="auto"/>
          <w:sz w:val="21"/>
          <w:szCs w:val="21"/>
          <w:highlight w:val="none"/>
        </w:rPr>
        <w:t>。</w:t>
      </w:r>
    </w:p>
    <w:p>
      <w:pPr>
        <w:pStyle w:val="31"/>
        <w:spacing w:line="380" w:lineRule="exact"/>
        <w:ind w:firstLine="420" w:firstLineChars="200"/>
        <w:jc w:val="lef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承包人是否应为其施工设备等办理财产保险：</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kern w:val="0"/>
          <w:sz w:val="21"/>
          <w:szCs w:val="21"/>
          <w:highlight w:val="none"/>
          <w:u w:val="single"/>
        </w:rPr>
        <w:t>按通用条款执行，无特殊约定</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pStyle w:val="29"/>
        <w:spacing w:line="380" w:lineRule="exact"/>
        <w:ind w:firstLine="422" w:firstLineChars="200"/>
        <w:rPr>
          <w:rFonts w:hint="eastAsia" w:ascii="宋体" w:hAnsi="宋体" w:eastAsia="宋体" w:cs="宋体"/>
          <w:color w:val="auto"/>
          <w:sz w:val="21"/>
          <w:szCs w:val="21"/>
          <w:highlight w:val="none"/>
        </w:rPr>
      </w:pPr>
      <w:bookmarkStart w:id="1816" w:name="_Toc418518422"/>
      <w:bookmarkStart w:id="1817" w:name="_Toc418518186"/>
      <w:bookmarkStart w:id="1818" w:name="_Toc418061387"/>
      <w:bookmarkStart w:id="1819" w:name="_Toc373478422"/>
      <w:bookmarkStart w:id="1820" w:name="_Toc497747254"/>
      <w:bookmarkStart w:id="1821" w:name="_Toc256000253"/>
      <w:bookmarkStart w:id="1822" w:name="_Toc418752318"/>
      <w:bookmarkStart w:id="1823" w:name="_Toc403579010"/>
      <w:bookmarkStart w:id="1824" w:name="_Toc389065340"/>
      <w:bookmarkStart w:id="1825" w:name="_Toc497746857"/>
      <w:bookmarkStart w:id="1826" w:name="_Toc522201802"/>
      <w:bookmarkStart w:id="1827" w:name="_Toc418751872"/>
      <w:bookmarkStart w:id="1828" w:name="_Toc373227775"/>
      <w:bookmarkStart w:id="1829" w:name="_Toc14012"/>
      <w:r>
        <w:rPr>
          <w:rFonts w:hint="eastAsia" w:ascii="宋体" w:hAnsi="宋体" w:eastAsia="宋体" w:cs="宋体"/>
          <w:color w:val="auto"/>
          <w:sz w:val="21"/>
          <w:szCs w:val="21"/>
          <w:highlight w:val="none"/>
        </w:rPr>
        <w:t>18.7 通知义务</w:t>
      </w:r>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p>
    <w:p>
      <w:pPr>
        <w:pStyle w:val="31"/>
        <w:spacing w:line="380" w:lineRule="exact"/>
        <w:ind w:firstLine="420" w:firstLineChars="200"/>
        <w:jc w:val="left"/>
        <w:rPr>
          <w:rFonts w:hint="eastAsia" w:ascii="宋体" w:hAnsi="宋体" w:eastAsia="宋体" w:cs="宋体"/>
          <w:color w:val="auto"/>
          <w:sz w:val="21"/>
          <w:szCs w:val="21"/>
          <w:highlight w:val="none"/>
          <w:u w:val="single"/>
        </w:rPr>
      </w:pPr>
      <w:r>
        <w:rPr>
          <w:rFonts w:hint="eastAsia" w:ascii="宋体" w:hAnsi="宋体" w:eastAsia="宋体" w:cs="宋体"/>
          <w:color w:val="auto"/>
          <w:kern w:val="0"/>
          <w:sz w:val="21"/>
          <w:szCs w:val="21"/>
          <w:highlight w:val="none"/>
        </w:rPr>
        <w:t>关于变更保险合同时的通知义务的约定：</w:t>
      </w:r>
      <w:r>
        <w:rPr>
          <w:rFonts w:hint="eastAsia" w:ascii="宋体" w:hAnsi="宋体" w:eastAsia="宋体" w:cs="宋体"/>
          <w:color w:val="auto"/>
          <w:sz w:val="21"/>
          <w:szCs w:val="21"/>
          <w:highlight w:val="none"/>
          <w:u w:val="single"/>
        </w:rPr>
        <w:t xml:space="preserve">  变更应通知当事人 </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sz w:val="21"/>
          <w:szCs w:val="21"/>
          <w:highlight w:val="none"/>
        </w:rPr>
        <w:t>。</w:t>
      </w:r>
    </w:p>
    <w:bookmarkEnd w:id="1621"/>
    <w:bookmarkEnd w:id="1622"/>
    <w:bookmarkEnd w:id="1623"/>
    <w:bookmarkEnd w:id="1624"/>
    <w:bookmarkEnd w:id="1625"/>
    <w:bookmarkEnd w:id="1626"/>
    <w:bookmarkEnd w:id="1627"/>
    <w:bookmarkEnd w:id="1628"/>
    <w:bookmarkEnd w:id="1629"/>
    <w:bookmarkEnd w:id="1630"/>
    <w:bookmarkEnd w:id="1631"/>
    <w:bookmarkEnd w:id="1632"/>
    <w:p>
      <w:pPr>
        <w:pStyle w:val="29"/>
        <w:spacing w:line="380" w:lineRule="exact"/>
        <w:rPr>
          <w:rFonts w:hint="eastAsia" w:ascii="宋体" w:hAnsi="宋体" w:eastAsia="宋体" w:cs="宋体"/>
          <w:color w:val="auto"/>
          <w:sz w:val="21"/>
          <w:szCs w:val="21"/>
          <w:highlight w:val="none"/>
        </w:rPr>
      </w:pPr>
      <w:bookmarkStart w:id="1830" w:name="_Toc418061388"/>
      <w:bookmarkStart w:id="1831" w:name="_Toc418752319"/>
      <w:bookmarkStart w:id="1832" w:name="_Toc497747255"/>
      <w:bookmarkStart w:id="1833" w:name="_Toc373227776"/>
      <w:bookmarkStart w:id="1834" w:name="_Toc497746858"/>
      <w:bookmarkStart w:id="1835" w:name="_Toc418518423"/>
      <w:bookmarkStart w:id="1836" w:name="_Toc389065341"/>
      <w:bookmarkStart w:id="1837" w:name="_Toc522201803"/>
      <w:bookmarkStart w:id="1838" w:name="_Toc256000254"/>
      <w:bookmarkStart w:id="1839" w:name="_Toc14706"/>
      <w:bookmarkStart w:id="1840" w:name="_Toc351203651"/>
      <w:bookmarkStart w:id="1841" w:name="_Toc418751873"/>
      <w:bookmarkStart w:id="1842" w:name="_Toc418518187"/>
      <w:bookmarkStart w:id="1843" w:name="_Toc403579011"/>
      <w:bookmarkStart w:id="1844" w:name="_Toc373478423"/>
      <w:r>
        <w:rPr>
          <w:rFonts w:hint="eastAsia" w:ascii="宋体" w:hAnsi="宋体" w:eastAsia="宋体" w:cs="宋体"/>
          <w:color w:val="auto"/>
          <w:sz w:val="21"/>
          <w:szCs w:val="21"/>
          <w:highlight w:val="none"/>
        </w:rPr>
        <w:t>20. 争议解决</w:t>
      </w:r>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p>
    <w:bookmarkEnd w:id="1633"/>
    <w:bookmarkEnd w:id="1634"/>
    <w:p>
      <w:pPr>
        <w:pStyle w:val="29"/>
        <w:spacing w:line="380" w:lineRule="exact"/>
        <w:ind w:firstLine="422" w:firstLineChars="200"/>
        <w:rPr>
          <w:rFonts w:hint="eastAsia" w:ascii="宋体" w:hAnsi="宋体" w:eastAsia="宋体" w:cs="宋体"/>
          <w:color w:val="auto"/>
          <w:sz w:val="21"/>
          <w:szCs w:val="21"/>
          <w:highlight w:val="none"/>
        </w:rPr>
      </w:pPr>
      <w:bookmarkStart w:id="1845" w:name="_Toc373478424"/>
      <w:bookmarkStart w:id="1846" w:name="_Toc418518424"/>
      <w:bookmarkStart w:id="1847" w:name="_Toc418751874"/>
      <w:bookmarkStart w:id="1848" w:name="_Toc403579012"/>
      <w:bookmarkStart w:id="1849" w:name="_Toc418061389"/>
      <w:bookmarkStart w:id="1850" w:name="_Toc522201804"/>
      <w:bookmarkStart w:id="1851" w:name="_Toc497747256"/>
      <w:bookmarkStart w:id="1852" w:name="_Toc497746859"/>
      <w:bookmarkStart w:id="1853" w:name="_Toc256000255"/>
      <w:bookmarkStart w:id="1854" w:name="_Toc418752320"/>
      <w:bookmarkStart w:id="1855" w:name="_Toc373227777"/>
      <w:bookmarkStart w:id="1856" w:name="_Toc16963"/>
      <w:bookmarkStart w:id="1857" w:name="_Toc389065342"/>
      <w:bookmarkStart w:id="1858" w:name="_Toc418518188"/>
      <w:r>
        <w:rPr>
          <w:rFonts w:hint="eastAsia" w:ascii="宋体" w:hAnsi="宋体" w:eastAsia="宋体" w:cs="宋体"/>
          <w:color w:val="auto"/>
          <w:sz w:val="21"/>
          <w:szCs w:val="21"/>
          <w:highlight w:val="none"/>
        </w:rPr>
        <w:t>20.3 争</w:t>
      </w:r>
      <w:bookmarkEnd w:id="1635"/>
      <w:r>
        <w:rPr>
          <w:rFonts w:hint="eastAsia" w:ascii="宋体" w:hAnsi="宋体" w:eastAsia="宋体" w:cs="宋体"/>
          <w:color w:val="auto"/>
          <w:sz w:val="21"/>
          <w:szCs w:val="21"/>
          <w:highlight w:val="none"/>
        </w:rPr>
        <w:t>议评审</w:t>
      </w:r>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p>
    <w:p>
      <w:pPr>
        <w:pStyle w:val="31"/>
        <w:spacing w:line="380" w:lineRule="exact"/>
        <w:ind w:left="149" w:leftChars="71" w:firstLine="315" w:firstLineChars="150"/>
        <w:jc w:val="lef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合同当事人是否同意将工程争议提交争议评审小组决定：</w:t>
      </w:r>
      <w:r>
        <w:rPr>
          <w:rFonts w:hint="eastAsia" w:ascii="宋体" w:hAnsi="宋体" w:eastAsia="宋体" w:cs="宋体"/>
          <w:color w:val="auto"/>
          <w:sz w:val="21"/>
          <w:szCs w:val="21"/>
          <w:highlight w:val="none"/>
          <w:u w:val="single"/>
        </w:rPr>
        <w:t xml:space="preserve">  不同意  </w:t>
      </w:r>
      <w:r>
        <w:rPr>
          <w:rFonts w:hint="eastAsia" w:ascii="宋体" w:hAnsi="宋体" w:eastAsia="宋体" w:cs="宋体"/>
          <w:color w:val="auto"/>
          <w:sz w:val="21"/>
          <w:szCs w:val="21"/>
          <w:highlight w:val="none"/>
        </w:rPr>
        <w:t>。</w:t>
      </w:r>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20.3.1 争议评审小组的确定</w:t>
      </w:r>
    </w:p>
    <w:p>
      <w:pPr>
        <w:pStyle w:val="31"/>
        <w:spacing w:line="380" w:lineRule="exact"/>
        <w:ind w:firstLine="420" w:firstLineChars="200"/>
        <w:jc w:val="lef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争议评审小组成员的确定：</w:t>
      </w:r>
      <w:r>
        <w:rPr>
          <w:rFonts w:hint="eastAsia" w:ascii="宋体" w:hAnsi="宋体" w:eastAsia="宋体" w:cs="宋体"/>
          <w:color w:val="auto"/>
          <w:sz w:val="21"/>
          <w:szCs w:val="21"/>
          <w:highlight w:val="none"/>
          <w:u w:val="single"/>
        </w:rPr>
        <w:t xml:space="preserve">            /                 </w:t>
      </w:r>
      <w:r>
        <w:rPr>
          <w:rFonts w:hint="eastAsia" w:ascii="宋体" w:hAnsi="宋体" w:eastAsia="宋体" w:cs="宋体"/>
          <w:color w:val="auto"/>
          <w:sz w:val="21"/>
          <w:szCs w:val="21"/>
          <w:highlight w:val="none"/>
        </w:rPr>
        <w:t>。</w:t>
      </w:r>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选定争议评审员的期限：</w:t>
      </w:r>
      <w:r>
        <w:rPr>
          <w:rFonts w:hint="eastAsia" w:ascii="宋体" w:hAnsi="宋体" w:eastAsia="宋体" w:cs="宋体"/>
          <w:color w:val="auto"/>
          <w:sz w:val="21"/>
          <w:szCs w:val="21"/>
          <w:highlight w:val="none"/>
          <w:u w:val="single"/>
        </w:rPr>
        <w:t xml:space="preserve">              /                 </w:t>
      </w:r>
      <w:r>
        <w:rPr>
          <w:rFonts w:hint="eastAsia" w:ascii="宋体" w:hAnsi="宋体" w:eastAsia="宋体" w:cs="宋体"/>
          <w:color w:val="auto"/>
          <w:sz w:val="21"/>
          <w:szCs w:val="21"/>
          <w:highlight w:val="none"/>
        </w:rPr>
        <w:t>。</w:t>
      </w:r>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争议评审小组成员的报酬承担方式：</w:t>
      </w:r>
      <w:r>
        <w:rPr>
          <w:rFonts w:hint="eastAsia" w:ascii="宋体" w:hAnsi="宋体" w:eastAsia="宋体" w:cs="宋体"/>
          <w:color w:val="auto"/>
          <w:sz w:val="21"/>
          <w:szCs w:val="21"/>
          <w:highlight w:val="none"/>
          <w:u w:val="single"/>
        </w:rPr>
        <w:t xml:space="preserve">          /           </w:t>
      </w:r>
      <w:r>
        <w:rPr>
          <w:rFonts w:hint="eastAsia" w:ascii="宋体" w:hAnsi="宋体" w:eastAsia="宋体" w:cs="宋体"/>
          <w:color w:val="auto"/>
          <w:sz w:val="21"/>
          <w:szCs w:val="21"/>
          <w:highlight w:val="none"/>
        </w:rPr>
        <w:t>。</w:t>
      </w:r>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其他事项的约定：</w:t>
      </w:r>
      <w:r>
        <w:rPr>
          <w:rFonts w:hint="eastAsia" w:ascii="宋体" w:hAnsi="宋体" w:eastAsia="宋体" w:cs="宋体"/>
          <w:color w:val="auto"/>
          <w:sz w:val="21"/>
          <w:szCs w:val="21"/>
          <w:highlight w:val="none"/>
          <w:u w:val="single"/>
        </w:rPr>
        <w:t xml:space="preserve">               /                      </w:t>
      </w:r>
      <w:r>
        <w:rPr>
          <w:rFonts w:hint="eastAsia" w:ascii="宋体" w:hAnsi="宋体" w:eastAsia="宋体" w:cs="宋体"/>
          <w:color w:val="auto"/>
          <w:sz w:val="21"/>
          <w:szCs w:val="21"/>
          <w:highlight w:val="none"/>
        </w:rPr>
        <w:t>。</w:t>
      </w:r>
    </w:p>
    <w:p>
      <w:pPr>
        <w:pStyle w:val="31"/>
        <w:autoSpaceDE w:val="0"/>
        <w:autoSpaceDN w:val="0"/>
        <w:adjustRightInd w:val="0"/>
        <w:spacing w:line="380" w:lineRule="exact"/>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20.3.2 争议评审小组的决定</w:t>
      </w:r>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合同当事人关于本项的约定：</w:t>
      </w:r>
      <w:r>
        <w:rPr>
          <w:rFonts w:hint="eastAsia" w:ascii="宋体" w:hAnsi="宋体" w:eastAsia="宋体" w:cs="宋体"/>
          <w:color w:val="auto"/>
          <w:sz w:val="21"/>
          <w:szCs w:val="21"/>
          <w:highlight w:val="none"/>
          <w:u w:val="single"/>
        </w:rPr>
        <w:t xml:space="preserve">         /                  </w:t>
      </w:r>
      <w:r>
        <w:rPr>
          <w:rFonts w:hint="eastAsia" w:ascii="宋体" w:hAnsi="宋体" w:eastAsia="宋体" w:cs="宋体"/>
          <w:color w:val="auto"/>
          <w:sz w:val="21"/>
          <w:szCs w:val="21"/>
          <w:highlight w:val="none"/>
        </w:rPr>
        <w:t>。</w:t>
      </w:r>
    </w:p>
    <w:p>
      <w:pPr>
        <w:pStyle w:val="29"/>
        <w:spacing w:line="380" w:lineRule="exact"/>
        <w:ind w:firstLine="422" w:firstLineChars="200"/>
        <w:rPr>
          <w:rFonts w:hint="eastAsia" w:ascii="宋体" w:hAnsi="宋体" w:eastAsia="宋体" w:cs="宋体"/>
          <w:color w:val="auto"/>
          <w:sz w:val="21"/>
          <w:szCs w:val="21"/>
          <w:highlight w:val="none"/>
        </w:rPr>
      </w:pPr>
      <w:bookmarkStart w:id="1859" w:name="_Toc418061390"/>
      <w:bookmarkStart w:id="1860" w:name="_Toc373478425"/>
      <w:bookmarkStart w:id="1861" w:name="_Toc418752321"/>
      <w:bookmarkStart w:id="1862" w:name="_Toc403579013"/>
      <w:bookmarkStart w:id="1863" w:name="_Toc15650"/>
      <w:bookmarkStart w:id="1864" w:name="_Toc497747257"/>
      <w:bookmarkStart w:id="1865" w:name="_Toc389065343"/>
      <w:bookmarkStart w:id="1866" w:name="_Toc497746860"/>
      <w:bookmarkStart w:id="1867" w:name="_Toc256000256"/>
      <w:bookmarkStart w:id="1868" w:name="_Toc418518189"/>
      <w:bookmarkStart w:id="1869" w:name="_Toc522201805"/>
      <w:bookmarkStart w:id="1870" w:name="_Toc418751875"/>
      <w:bookmarkStart w:id="1871" w:name="_Toc373227778"/>
      <w:bookmarkStart w:id="1872" w:name="_Toc418518425"/>
      <w:r>
        <w:rPr>
          <w:rFonts w:hint="eastAsia" w:ascii="宋体" w:hAnsi="宋体" w:eastAsia="宋体" w:cs="宋体"/>
          <w:color w:val="auto"/>
          <w:sz w:val="21"/>
          <w:szCs w:val="21"/>
          <w:highlight w:val="none"/>
        </w:rPr>
        <w:t>20.4 仲裁或诉讼</w:t>
      </w:r>
      <w:bookmarkEnd w:id="1636"/>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p>
    <w:p>
      <w:pPr>
        <w:pStyle w:val="31"/>
        <w:spacing w:line="3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因合同及合同有关事项发生的争议，按下列第</w:t>
      </w:r>
      <w:r>
        <w:rPr>
          <w:rFonts w:hint="eastAsia" w:ascii="宋体" w:hAnsi="宋体" w:eastAsia="宋体" w:cs="宋体"/>
          <w:color w:val="auto"/>
          <w:sz w:val="21"/>
          <w:szCs w:val="21"/>
          <w:highlight w:val="none"/>
          <w:u w:val="single"/>
        </w:rPr>
        <w:t xml:space="preserve">  （2）  </w:t>
      </w:r>
      <w:r>
        <w:rPr>
          <w:rFonts w:hint="eastAsia" w:ascii="宋体" w:hAnsi="宋体" w:eastAsia="宋体" w:cs="宋体"/>
          <w:color w:val="auto"/>
          <w:sz w:val="21"/>
          <w:szCs w:val="21"/>
          <w:highlight w:val="none"/>
        </w:rPr>
        <w:t>种方式解决：</w:t>
      </w:r>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（1）提请</w:t>
      </w:r>
      <w:r>
        <w:rPr>
          <w:rFonts w:hint="eastAsia" w:ascii="宋体" w:hAnsi="宋体" w:eastAsia="宋体" w:cs="宋体"/>
          <w:color w:val="auto"/>
          <w:sz w:val="21"/>
          <w:szCs w:val="21"/>
          <w:highlight w:val="none"/>
          <w:u w:val="single"/>
        </w:rPr>
        <w:t xml:space="preserve"> 本工程辖区内 </w:t>
      </w:r>
      <w:r>
        <w:rPr>
          <w:rFonts w:hint="eastAsia" w:ascii="宋体" w:hAnsi="宋体" w:eastAsia="宋体" w:cs="宋体"/>
          <w:color w:val="auto"/>
          <w:sz w:val="21"/>
          <w:szCs w:val="21"/>
          <w:highlight w:val="none"/>
        </w:rPr>
        <w:t>仲裁委员会按照该会仲裁规则进行仲裁，仲裁裁决是终局的，对合同双方均有约束力。</w:t>
      </w:r>
    </w:p>
    <w:p>
      <w:pPr>
        <w:pStyle w:val="31"/>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（2）向</w:t>
      </w:r>
      <w:r>
        <w:rPr>
          <w:rFonts w:hint="eastAsia" w:ascii="宋体" w:hAnsi="宋体" w:eastAsia="宋体" w:cs="宋体"/>
          <w:color w:val="auto"/>
          <w:sz w:val="21"/>
          <w:szCs w:val="21"/>
          <w:highlight w:val="none"/>
          <w:u w:val="single"/>
        </w:rPr>
        <w:t xml:space="preserve">  本工程辖区内 </w:t>
      </w:r>
      <w:r>
        <w:rPr>
          <w:rFonts w:hint="eastAsia" w:ascii="宋体" w:hAnsi="宋体" w:eastAsia="宋体" w:cs="宋体"/>
          <w:color w:val="auto"/>
          <w:sz w:val="21"/>
          <w:szCs w:val="21"/>
          <w:highlight w:val="none"/>
        </w:rPr>
        <w:t>人民法院起诉。</w:t>
      </w:r>
      <w:bookmarkEnd w:id="1637"/>
      <w:bookmarkEnd w:id="1638"/>
      <w:bookmarkEnd w:id="1639"/>
      <w:bookmarkEnd w:id="1640"/>
      <w:bookmarkEnd w:id="1641"/>
      <w:bookmarkEnd w:id="1642"/>
    </w:p>
    <w:p>
      <w:pPr>
        <w:pStyle w:val="29"/>
        <w:spacing w:line="380" w:lineRule="exact"/>
        <w:rPr>
          <w:rFonts w:hint="eastAsia" w:ascii="宋体" w:hAnsi="宋体" w:eastAsia="宋体" w:cs="宋体"/>
          <w:color w:val="auto"/>
          <w:sz w:val="21"/>
          <w:szCs w:val="21"/>
          <w:highlight w:val="none"/>
        </w:rPr>
      </w:pPr>
      <w:bookmarkStart w:id="1873" w:name="_Toc522201806"/>
      <w:bookmarkStart w:id="1874" w:name="_Toc497746861"/>
      <w:bookmarkStart w:id="1875" w:name="_Toc29694"/>
      <w:bookmarkStart w:id="1876" w:name="_Toc395382582"/>
      <w:bookmarkStart w:id="1877" w:name="_Toc373478426"/>
      <w:bookmarkStart w:id="1878" w:name="_Toc389065344"/>
      <w:bookmarkStart w:id="1879" w:name="_Toc497747258"/>
      <w:bookmarkStart w:id="1880" w:name="_Toc256000257"/>
      <w:bookmarkStart w:id="1881" w:name="_Toc373227779"/>
      <w:r>
        <w:rPr>
          <w:rFonts w:hint="eastAsia" w:ascii="宋体" w:hAnsi="宋体" w:eastAsia="宋体" w:cs="宋体"/>
          <w:color w:val="auto"/>
          <w:sz w:val="21"/>
          <w:szCs w:val="21"/>
          <w:highlight w:val="none"/>
        </w:rPr>
        <w:t>21. 补充条款</w:t>
      </w:r>
      <w:bookmarkEnd w:id="1873"/>
      <w:bookmarkEnd w:id="1874"/>
      <w:bookmarkEnd w:id="1875"/>
      <w:bookmarkEnd w:id="1876"/>
      <w:bookmarkEnd w:id="1877"/>
      <w:bookmarkEnd w:id="1878"/>
      <w:bookmarkEnd w:id="1879"/>
      <w:bookmarkEnd w:id="1880"/>
      <w:bookmarkEnd w:id="1881"/>
    </w:p>
    <w:p>
      <w:pPr>
        <w:pStyle w:val="31"/>
        <w:autoSpaceDE w:val="0"/>
        <w:autoSpaceDN w:val="0"/>
        <w:adjustRightInd w:val="0"/>
        <w:spacing w:line="380" w:lineRule="exact"/>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21.1 根据桂劳社[2003]150 号文，承包人在投标时必须在投标文件中承诺，在发包人发出交款通知之日起 7 个工作日内足额将民工工资保障金转入建设行政主管部门设立的农民工工资保障金专用帐号。发包人按节点足额支付工程款后，一旦其承包的建设工程项目中出现拖欠农民工工资情况的，由主管部门从其农民工工资保障金中先予支付。 </w:t>
      </w:r>
    </w:p>
    <w:p>
      <w:pPr>
        <w:pStyle w:val="31"/>
        <w:autoSpaceDE w:val="0"/>
        <w:autoSpaceDN w:val="0"/>
        <w:adjustRightInd w:val="0"/>
        <w:spacing w:line="380" w:lineRule="exact"/>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21.2 承包方采用新工艺新材料，必须在使用前 2 个月，向发包方提交相关的技术资料、发明专利、产品证书、样品及应用的实例、单价组成等有关资料；经发包方、设计单位认可后方可使用，凡未经批准擅自使用者除费用自行承担外还应赔偿发包方由此引起的经济损失。 </w:t>
      </w:r>
    </w:p>
    <w:p>
      <w:pPr>
        <w:pStyle w:val="31"/>
        <w:autoSpaceDE w:val="0"/>
        <w:autoSpaceDN w:val="0"/>
        <w:adjustRightInd w:val="0"/>
        <w:spacing w:line="380" w:lineRule="exact"/>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21.3 赶工费、夜间施工费由投标人结合自身企业的实际情况及对施工现场的考察、提供的图纸等各方面的资料自行报价，并包干使用，今后不作任何调整和签证。</w:t>
      </w:r>
    </w:p>
    <w:p>
      <w:pPr>
        <w:pStyle w:val="31"/>
        <w:autoSpaceDE w:val="0"/>
        <w:autoSpaceDN w:val="0"/>
        <w:adjustRightInd w:val="0"/>
        <w:spacing w:line="380" w:lineRule="exact"/>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21.4 根据《建设工程质量检测管理办法》（建设部令第 141 号）以及《广西壮族自治区建设工程质量检测管理规定》（桂建管〔2013〕11 号）规定，工程质量检测业务由招标人委托有相应资质的检测机构检测。费用从招标人的项目建设经费中支出并直接支付给检测机构，不计入合同价款内。 </w:t>
      </w:r>
    </w:p>
    <w:p>
      <w:pPr>
        <w:pStyle w:val="31"/>
        <w:autoSpaceDE w:val="0"/>
        <w:autoSpaceDN w:val="0"/>
        <w:adjustRightInd w:val="0"/>
        <w:spacing w:line="380" w:lineRule="exact"/>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21.6 发包人需要持散装水泥、多孔砖、砼砌块的材料发票原件到政府有关部门办理退款手续，承包人必须及时提供。否则，发包人有权按政府有关部门收缴标准及数额在承包人工程款中扣罚。 </w:t>
      </w:r>
    </w:p>
    <w:p>
      <w:pPr>
        <w:pStyle w:val="31"/>
        <w:autoSpaceDE w:val="0"/>
        <w:autoSpaceDN w:val="0"/>
        <w:adjustRightInd w:val="0"/>
        <w:spacing w:line="380" w:lineRule="exact"/>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21.7 由于承包人不能按时提供属承包人应提供的文件导致发包人不能及时办理施工许可证，所有造成的后果由承包人承担责任。造成发包人损失的，承包人应赔偿发包人损失。 </w:t>
      </w:r>
    </w:p>
    <w:p>
      <w:pPr>
        <w:pStyle w:val="31"/>
        <w:autoSpaceDE w:val="0"/>
        <w:autoSpaceDN w:val="0"/>
        <w:adjustRightInd w:val="0"/>
        <w:spacing w:line="380" w:lineRule="exact"/>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21.8 已完工程成品保护的特殊要求及费用承担： 已竣工工程未交付发包人之前，承包人负责已完工程的成品保护工作，保护期间发生损坏，承包人自费予以修复。工程已交付发包人或发包人提前使用后的损坏及所需的修理费用、 工程成品毁损的风险， 由发包人承担。 若发包人要求承包人采取特殊措施保护的，由发包人就保护的工程部位和相应的追加合同价款另外进行协商。 </w:t>
      </w:r>
    </w:p>
    <w:p>
      <w:pPr>
        <w:pStyle w:val="31"/>
        <w:autoSpaceDE w:val="0"/>
        <w:autoSpaceDN w:val="0"/>
        <w:adjustRightInd w:val="0"/>
        <w:spacing w:line="380" w:lineRule="exact"/>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21.9 材料严格保证质量，相同类型材料质量应一致，若发现有材料以次品冒充，则该部分所有材料均按次品处理且须重新更换合格材料才能使用。 </w:t>
      </w:r>
    </w:p>
    <w:p>
      <w:pPr>
        <w:pStyle w:val="31"/>
        <w:autoSpaceDE w:val="0"/>
        <w:autoSpaceDN w:val="0"/>
        <w:adjustRightInd w:val="0"/>
        <w:spacing w:line="380" w:lineRule="exact"/>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21.10 承包人必须配合监理工程师和发包人派驻工程师的工作，一切签证事宜均须在规定的时间内作出书面签证申请，过期补签无效，发包人超过规定期限没有签证的视为此签证发包人已同意。夜间施工增加费（含夜间加班加点）已包含在合同价款内，施工期间不予再签证。 </w:t>
      </w:r>
    </w:p>
    <w:p>
      <w:pPr>
        <w:pStyle w:val="31"/>
        <w:autoSpaceDE w:val="0"/>
        <w:autoSpaceDN w:val="0"/>
        <w:adjustRightInd w:val="0"/>
        <w:spacing w:line="380" w:lineRule="exact"/>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21.11 承包人有以下情形之一者，视为违约，发包人有权依法解除合同，没收其全部履约保证金，承包人还应承担相应的法律责任。  </w:t>
      </w:r>
    </w:p>
    <w:p>
      <w:pPr>
        <w:pStyle w:val="31"/>
        <w:autoSpaceDE w:val="0"/>
        <w:autoSpaceDN w:val="0"/>
        <w:adjustRightInd w:val="0"/>
        <w:spacing w:line="380" w:lineRule="exact"/>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① 经有关建设主管部门鉴定确认，承包人有挂靠行为。 </w:t>
      </w:r>
    </w:p>
    <w:p>
      <w:pPr>
        <w:pStyle w:val="31"/>
        <w:autoSpaceDE w:val="0"/>
        <w:autoSpaceDN w:val="0"/>
        <w:adjustRightInd w:val="0"/>
        <w:spacing w:line="380" w:lineRule="exact"/>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② 转包工程，以牟取转让费、管理费。  </w:t>
      </w:r>
    </w:p>
    <w:p>
      <w:pPr>
        <w:pStyle w:val="31"/>
        <w:autoSpaceDE w:val="0"/>
        <w:autoSpaceDN w:val="0"/>
        <w:adjustRightInd w:val="0"/>
        <w:spacing w:line="380" w:lineRule="exact"/>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③ 自签订合同之日起 15 日内，因承包人责任无法组织合同规定的人员、机械进场或进场人员机械与合同严重不符。 </w:t>
      </w:r>
    </w:p>
    <w:p>
      <w:pPr>
        <w:pStyle w:val="31"/>
        <w:autoSpaceDE w:val="0"/>
        <w:autoSpaceDN w:val="0"/>
        <w:adjustRightInd w:val="0"/>
        <w:spacing w:line="380" w:lineRule="exact"/>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21.12 工程竣工验收通过后 14 天之内，承包人必须将临时工棚、建筑垃圾等全部清理出现场，否则从第15天起，每天处以1000元罚款且不办理结算。</w:t>
      </w:r>
    </w:p>
    <w:p>
      <w:pPr>
        <w:pStyle w:val="31"/>
        <w:autoSpaceDE w:val="0"/>
        <w:autoSpaceDN w:val="0"/>
        <w:adjustRightInd w:val="0"/>
        <w:spacing w:line="380" w:lineRule="exact"/>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21.13 凡进入本工程工作的妇女应持有计生证、否则不准安排工作，禁止使用童工。</w:t>
      </w:r>
    </w:p>
    <w:bookmarkEnd w:id="248"/>
    <w:p>
      <w:pPr>
        <w:pStyle w:val="31"/>
        <w:autoSpaceDE w:val="0"/>
        <w:autoSpaceDN w:val="0"/>
        <w:adjustRightInd w:val="0"/>
        <w:spacing w:line="380" w:lineRule="exact"/>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21.14 如因政策性原因或者项目暂时（或永久）取消导致开工延误或无法开工，发包人不支付承包人任何赔偿或补偿，并可根据政策要求或项目情况延时开工或取消部分合同内容。</w:t>
      </w:r>
    </w:p>
    <w:p>
      <w:pPr>
        <w:pStyle w:val="31"/>
        <w:autoSpaceDE w:val="0"/>
        <w:autoSpaceDN w:val="0"/>
        <w:adjustRightInd w:val="0"/>
        <w:spacing w:line="380" w:lineRule="exact"/>
        <w:ind w:firstLine="420" w:firstLineChars="200"/>
        <w:rPr>
          <w:rFonts w:hint="eastAsia" w:ascii="宋体" w:hAnsi="宋体" w:eastAsia="宋体" w:cs="宋体"/>
          <w:b/>
          <w:color w:val="auto"/>
          <w:sz w:val="21"/>
          <w:szCs w:val="21"/>
          <w:highlight w:val="none"/>
        </w:rPr>
      </w:pPr>
      <w:r>
        <w:rPr>
          <w:rFonts w:hint="eastAsia" w:ascii="宋体" w:hAnsi="宋体" w:eastAsia="宋体" w:cs="宋体"/>
          <w:color w:val="auto"/>
          <w:kern w:val="0"/>
          <w:sz w:val="21"/>
          <w:szCs w:val="21"/>
          <w:highlight w:val="none"/>
        </w:rPr>
        <w:t>21.15 承包人应自行协调与施工现场周边及村民的关系，确保项目施工顺利进行。发包人不再支付承包人因协调施工现场周边及村民关系而发生的任何费用。如因征地拆迁造成的问题由由发包人负责牵头解决。</w:t>
      </w:r>
    </w:p>
    <w:p>
      <w:pPr>
        <w:pStyle w:val="23"/>
        <w:rPr>
          <w:rFonts w:hint="eastAsia" w:ascii="宋体" w:hAnsi="宋体" w:eastAsia="宋体" w:cs="宋体"/>
          <w:b/>
          <w:color w:val="auto"/>
          <w:sz w:val="21"/>
          <w:szCs w:val="21"/>
          <w:highlight w:val="none"/>
        </w:rPr>
      </w:pPr>
    </w:p>
    <w:p>
      <w:pPr>
        <w:pageBreakBefore w:val="0"/>
        <w:widowControl w:val="0"/>
        <w:kinsoku/>
        <w:wordWrap/>
        <w:overflowPunct/>
        <w:topLinePunct w:val="0"/>
        <w:bidi w:val="0"/>
        <w:snapToGrid/>
        <w:spacing w:line="360" w:lineRule="exact"/>
        <w:ind w:left="0" w:leftChars="0" w:right="0" w:rightChars="0"/>
        <w:jc w:val="left"/>
        <w:rPr>
          <w:rFonts w:hint="eastAsia" w:ascii="宋体" w:hAnsi="宋体" w:eastAsia="宋体" w:cs="宋体"/>
          <w:b/>
          <w:color w:val="auto"/>
          <w:sz w:val="21"/>
          <w:szCs w:val="21"/>
          <w:highlight w:val="none"/>
        </w:rPr>
      </w:pPr>
    </w:p>
    <w:p>
      <w:pPr>
        <w:pageBreakBefore w:val="0"/>
        <w:widowControl w:val="0"/>
        <w:kinsoku/>
        <w:wordWrap/>
        <w:overflowPunct/>
        <w:topLinePunct w:val="0"/>
        <w:bidi w:val="0"/>
        <w:snapToGrid/>
        <w:spacing w:line="360" w:lineRule="exact"/>
        <w:ind w:left="0" w:leftChars="0" w:right="0" w:rightChars="0"/>
        <w:jc w:val="left"/>
        <w:rPr>
          <w:rFonts w:hint="eastAsia" w:ascii="宋体" w:hAnsi="宋体" w:eastAsia="宋体" w:cs="宋体"/>
          <w:b/>
          <w:color w:val="auto"/>
          <w:sz w:val="21"/>
          <w:szCs w:val="21"/>
          <w:highlight w:val="none"/>
        </w:rPr>
      </w:pPr>
    </w:p>
    <w:p>
      <w:pPr>
        <w:pageBreakBefore w:val="0"/>
        <w:widowControl w:val="0"/>
        <w:kinsoku/>
        <w:wordWrap/>
        <w:overflowPunct/>
        <w:topLinePunct w:val="0"/>
        <w:bidi w:val="0"/>
        <w:snapToGrid/>
        <w:spacing w:line="360" w:lineRule="exact"/>
        <w:ind w:left="0" w:leftChars="0" w:right="0" w:rightChars="0"/>
        <w:jc w:val="left"/>
        <w:rPr>
          <w:rFonts w:hint="eastAsia" w:ascii="宋体" w:hAnsi="宋体" w:eastAsia="宋体" w:cs="宋体"/>
          <w:b/>
          <w:color w:val="auto"/>
          <w:sz w:val="21"/>
          <w:szCs w:val="21"/>
          <w:highlight w:val="none"/>
        </w:rPr>
      </w:pPr>
    </w:p>
    <w:p>
      <w:pPr>
        <w:pageBreakBefore w:val="0"/>
        <w:widowControl w:val="0"/>
        <w:kinsoku/>
        <w:wordWrap/>
        <w:overflowPunct/>
        <w:topLinePunct w:val="0"/>
        <w:bidi w:val="0"/>
        <w:snapToGrid/>
        <w:spacing w:line="360" w:lineRule="exact"/>
        <w:ind w:left="0" w:leftChars="0" w:right="0" w:rightChars="0"/>
        <w:jc w:val="left"/>
        <w:rPr>
          <w:rFonts w:hint="eastAsia" w:ascii="宋体" w:hAnsi="宋体" w:eastAsia="宋体" w:cs="宋体"/>
          <w:b/>
          <w:color w:val="auto"/>
          <w:sz w:val="21"/>
          <w:szCs w:val="21"/>
          <w:highlight w:val="none"/>
        </w:rPr>
      </w:pPr>
    </w:p>
    <w:p>
      <w:pPr>
        <w:pStyle w:val="8"/>
        <w:rPr>
          <w:rFonts w:hint="eastAsia" w:ascii="宋体" w:hAnsi="宋体" w:eastAsia="宋体" w:cs="宋体"/>
          <w:b/>
          <w:color w:val="auto"/>
          <w:sz w:val="21"/>
          <w:szCs w:val="21"/>
          <w:highlight w:val="none"/>
        </w:rPr>
      </w:pPr>
    </w:p>
    <w:p>
      <w:pPr>
        <w:rPr>
          <w:rFonts w:hint="eastAsia" w:ascii="宋体" w:hAnsi="宋体" w:eastAsia="宋体" w:cs="宋体"/>
          <w:b/>
          <w:color w:val="auto"/>
          <w:sz w:val="21"/>
          <w:szCs w:val="21"/>
          <w:highlight w:val="none"/>
        </w:rPr>
      </w:pPr>
    </w:p>
    <w:p>
      <w:pPr>
        <w:pStyle w:val="8"/>
        <w:rPr>
          <w:rFonts w:hint="eastAsia" w:ascii="宋体" w:hAnsi="宋体" w:eastAsia="宋体" w:cs="宋体"/>
          <w:b/>
          <w:color w:val="auto"/>
          <w:sz w:val="21"/>
          <w:szCs w:val="21"/>
          <w:highlight w:val="none"/>
        </w:rPr>
      </w:pPr>
    </w:p>
    <w:p>
      <w:pPr>
        <w:rPr>
          <w:rFonts w:hint="eastAsia" w:ascii="宋体" w:hAnsi="宋体" w:eastAsia="宋体" w:cs="宋体"/>
          <w:b/>
          <w:color w:val="auto"/>
          <w:sz w:val="21"/>
          <w:szCs w:val="21"/>
          <w:highlight w:val="none"/>
        </w:rPr>
      </w:pPr>
    </w:p>
    <w:p>
      <w:pPr>
        <w:pStyle w:val="8"/>
        <w:rPr>
          <w:rFonts w:hint="eastAsia" w:ascii="宋体" w:hAnsi="宋体" w:eastAsia="宋体" w:cs="宋体"/>
          <w:b/>
          <w:color w:val="auto"/>
          <w:sz w:val="21"/>
          <w:szCs w:val="21"/>
          <w:highlight w:val="none"/>
        </w:rPr>
      </w:pPr>
    </w:p>
    <w:p>
      <w:pPr>
        <w:rPr>
          <w:rFonts w:hint="eastAsia" w:ascii="宋体" w:hAnsi="宋体" w:eastAsia="宋体" w:cs="宋体"/>
          <w:b/>
          <w:color w:val="auto"/>
          <w:sz w:val="21"/>
          <w:szCs w:val="21"/>
          <w:highlight w:val="none"/>
        </w:rPr>
      </w:pPr>
    </w:p>
    <w:p>
      <w:pPr>
        <w:pStyle w:val="8"/>
        <w:rPr>
          <w:rFonts w:hint="eastAsia" w:ascii="宋体" w:hAnsi="宋体" w:eastAsia="宋体" w:cs="宋体"/>
          <w:b/>
          <w:color w:val="auto"/>
          <w:sz w:val="21"/>
          <w:szCs w:val="21"/>
          <w:highlight w:val="none"/>
        </w:rPr>
      </w:pPr>
    </w:p>
    <w:p>
      <w:pPr>
        <w:rPr>
          <w:rFonts w:hint="eastAsia" w:ascii="宋体" w:hAnsi="宋体" w:eastAsia="宋体" w:cs="宋体"/>
          <w:b/>
          <w:color w:val="auto"/>
          <w:sz w:val="21"/>
          <w:szCs w:val="21"/>
          <w:highlight w:val="none"/>
        </w:rPr>
      </w:pPr>
    </w:p>
    <w:p>
      <w:pPr>
        <w:pStyle w:val="8"/>
        <w:rPr>
          <w:rFonts w:hint="eastAsia" w:ascii="宋体" w:hAnsi="宋体" w:eastAsia="宋体" w:cs="宋体"/>
          <w:b/>
          <w:color w:val="auto"/>
          <w:sz w:val="21"/>
          <w:szCs w:val="21"/>
          <w:highlight w:val="none"/>
        </w:rPr>
      </w:pPr>
    </w:p>
    <w:p>
      <w:pPr>
        <w:rPr>
          <w:rFonts w:hint="eastAsia"/>
          <w:color w:val="auto"/>
          <w:highlight w:val="none"/>
        </w:rPr>
      </w:pPr>
    </w:p>
    <w:p>
      <w:pPr>
        <w:pageBreakBefore w:val="0"/>
        <w:widowControl w:val="0"/>
        <w:kinsoku/>
        <w:wordWrap/>
        <w:overflowPunct/>
        <w:topLinePunct w:val="0"/>
        <w:bidi w:val="0"/>
        <w:snapToGrid/>
        <w:spacing w:line="360" w:lineRule="exact"/>
        <w:ind w:left="0" w:leftChars="0" w:right="0" w:rightChars="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附件</w:t>
      </w:r>
    </w:p>
    <w:p>
      <w:pPr>
        <w:pageBreakBefore w:val="0"/>
        <w:widowControl w:val="0"/>
        <w:kinsoku/>
        <w:wordWrap/>
        <w:overflowPunct/>
        <w:topLinePunct w:val="0"/>
        <w:bidi w:val="0"/>
        <w:snapToGrid/>
        <w:spacing w:line="360" w:lineRule="exact"/>
        <w:ind w:left="0" w:leftChars="0" w:right="0" w:rightChars="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协议书附件：</w:t>
      </w:r>
    </w:p>
    <w:p>
      <w:pPr>
        <w:pageBreakBefore w:val="0"/>
        <w:widowControl w:val="0"/>
        <w:kinsoku/>
        <w:wordWrap/>
        <w:overflowPunct/>
        <w:topLinePunct w:val="0"/>
        <w:bidi w:val="0"/>
        <w:snapToGrid/>
        <w:spacing w:line="360" w:lineRule="exact"/>
        <w:ind w:left="0" w:leftChars="0" w:right="0" w:rightChars="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附件1：承包人承揽工程项目一览表</w:t>
      </w:r>
    </w:p>
    <w:p>
      <w:pPr>
        <w:pageBreakBefore w:val="0"/>
        <w:widowControl w:val="0"/>
        <w:kinsoku/>
        <w:wordWrap/>
        <w:overflowPunct/>
        <w:topLinePunct w:val="0"/>
        <w:bidi w:val="0"/>
        <w:snapToGrid/>
        <w:spacing w:line="360" w:lineRule="exact"/>
        <w:ind w:left="0" w:leftChars="0" w:right="0" w:rightChars="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专用合同条款附件：</w:t>
      </w:r>
    </w:p>
    <w:p>
      <w:pPr>
        <w:pageBreakBefore w:val="0"/>
        <w:widowControl w:val="0"/>
        <w:kinsoku/>
        <w:wordWrap/>
        <w:overflowPunct/>
        <w:topLinePunct w:val="0"/>
        <w:bidi w:val="0"/>
        <w:snapToGrid/>
        <w:spacing w:line="360" w:lineRule="exact"/>
        <w:ind w:left="0" w:leftChars="0" w:right="0" w:rightChars="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附件2：发包人供应材料设备一览表</w:t>
      </w:r>
    </w:p>
    <w:p>
      <w:pPr>
        <w:pageBreakBefore w:val="0"/>
        <w:widowControl w:val="0"/>
        <w:kinsoku/>
        <w:wordWrap/>
        <w:overflowPunct/>
        <w:topLinePunct w:val="0"/>
        <w:bidi w:val="0"/>
        <w:snapToGrid/>
        <w:spacing w:line="360" w:lineRule="exact"/>
        <w:ind w:left="0" w:leftChars="0" w:right="0" w:rightChars="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附件3：工程质量保修书</w:t>
      </w:r>
    </w:p>
    <w:p>
      <w:pPr>
        <w:pageBreakBefore w:val="0"/>
        <w:widowControl w:val="0"/>
        <w:kinsoku/>
        <w:wordWrap/>
        <w:overflowPunct/>
        <w:topLinePunct w:val="0"/>
        <w:bidi w:val="0"/>
        <w:snapToGrid/>
        <w:spacing w:line="360" w:lineRule="exact"/>
        <w:ind w:left="0" w:leftChars="0" w:right="0" w:rightChars="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附件4：主要建设工程文件目录</w:t>
      </w:r>
    </w:p>
    <w:p>
      <w:pPr>
        <w:pageBreakBefore w:val="0"/>
        <w:widowControl w:val="0"/>
        <w:kinsoku/>
        <w:wordWrap/>
        <w:overflowPunct/>
        <w:topLinePunct w:val="0"/>
        <w:bidi w:val="0"/>
        <w:snapToGrid/>
        <w:spacing w:line="360" w:lineRule="exact"/>
        <w:ind w:left="0" w:leftChars="0" w:right="0" w:rightChars="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附件5：承包人用于本工程施工的机械设备表</w:t>
      </w:r>
    </w:p>
    <w:p>
      <w:pPr>
        <w:pageBreakBefore w:val="0"/>
        <w:widowControl w:val="0"/>
        <w:kinsoku/>
        <w:wordWrap/>
        <w:overflowPunct/>
        <w:topLinePunct w:val="0"/>
        <w:bidi w:val="0"/>
        <w:snapToGrid/>
        <w:spacing w:line="360" w:lineRule="exact"/>
        <w:ind w:left="0" w:leftChars="0" w:right="0" w:rightChars="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附件6：承包人主要施工管理人员表</w:t>
      </w:r>
    </w:p>
    <w:p>
      <w:pPr>
        <w:pageBreakBefore w:val="0"/>
        <w:widowControl w:val="0"/>
        <w:kinsoku/>
        <w:wordWrap/>
        <w:overflowPunct/>
        <w:topLinePunct w:val="0"/>
        <w:bidi w:val="0"/>
        <w:snapToGrid/>
        <w:spacing w:line="360" w:lineRule="exact"/>
        <w:ind w:left="0" w:leftChars="0" w:right="0" w:rightChars="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附件7：分包人主要施工管理人员表</w:t>
      </w:r>
    </w:p>
    <w:p>
      <w:pPr>
        <w:pageBreakBefore w:val="0"/>
        <w:widowControl w:val="0"/>
        <w:kinsoku/>
        <w:wordWrap/>
        <w:overflowPunct/>
        <w:topLinePunct w:val="0"/>
        <w:bidi w:val="0"/>
        <w:snapToGrid/>
        <w:spacing w:line="360" w:lineRule="exact"/>
        <w:ind w:left="0" w:leftChars="0" w:right="0" w:rightChars="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附件8：履约担保格式</w:t>
      </w:r>
    </w:p>
    <w:p>
      <w:pPr>
        <w:pageBreakBefore w:val="0"/>
        <w:widowControl w:val="0"/>
        <w:kinsoku/>
        <w:wordWrap/>
        <w:overflowPunct/>
        <w:topLinePunct w:val="0"/>
        <w:bidi w:val="0"/>
        <w:snapToGrid/>
        <w:spacing w:line="360" w:lineRule="exact"/>
        <w:ind w:left="0" w:leftChars="0" w:right="0" w:rightChars="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附件9：预付款担保格式</w:t>
      </w:r>
    </w:p>
    <w:p>
      <w:pPr>
        <w:pageBreakBefore w:val="0"/>
        <w:widowControl w:val="0"/>
        <w:kinsoku/>
        <w:wordWrap/>
        <w:overflowPunct/>
        <w:topLinePunct w:val="0"/>
        <w:bidi w:val="0"/>
        <w:snapToGrid/>
        <w:spacing w:line="360" w:lineRule="exact"/>
        <w:ind w:left="0" w:leftChars="0" w:right="0" w:rightChars="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附件10：支付担保格式</w:t>
      </w:r>
    </w:p>
    <w:p>
      <w:pPr>
        <w:pageBreakBefore w:val="0"/>
        <w:widowControl w:val="0"/>
        <w:kinsoku/>
        <w:wordWrap/>
        <w:overflowPunct/>
        <w:topLinePunct w:val="0"/>
        <w:bidi w:val="0"/>
        <w:snapToGrid/>
        <w:spacing w:line="360" w:lineRule="exact"/>
        <w:ind w:left="0" w:leftChars="0" w:right="0" w:rightChars="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附件11：暂估价一览表</w:t>
      </w:r>
    </w:p>
    <w:p>
      <w:pPr>
        <w:pStyle w:val="8"/>
        <w:rPr>
          <w:rFonts w:hint="eastAsia" w:ascii="宋体" w:hAnsi="宋体" w:eastAsia="宋体" w:cs="宋体"/>
          <w:color w:val="auto"/>
          <w:sz w:val="21"/>
          <w:szCs w:val="21"/>
          <w:highlight w:val="none"/>
          <w:lang w:val="en-US" w:eastAsia="zh-CN"/>
        </w:rPr>
      </w:pPr>
    </w:p>
    <w:p>
      <w:pPr>
        <w:pStyle w:val="8"/>
        <w:rPr>
          <w:rFonts w:hint="eastAsia" w:ascii="宋体" w:hAnsi="宋体" w:eastAsia="宋体" w:cs="宋体"/>
          <w:color w:val="auto"/>
          <w:sz w:val="21"/>
          <w:szCs w:val="21"/>
          <w:highlight w:val="none"/>
          <w:lang w:val="en-US" w:eastAsia="zh-CN"/>
        </w:rPr>
        <w:sectPr>
          <w:pgSz w:w="11906" w:h="16838"/>
          <w:pgMar w:top="1418" w:right="1115" w:bottom="1418" w:left="1131" w:header="851" w:footer="992" w:gutter="0"/>
          <w:pgNumType w:fmt="decimal"/>
          <w:cols w:space="720" w:num="1"/>
          <w:titlePg/>
          <w:docGrid w:type="lines" w:linePitch="312" w:charSpace="0"/>
        </w:sectPr>
      </w:pPr>
    </w:p>
    <w:p>
      <w:pPr>
        <w:pageBreakBefore w:val="0"/>
        <w:widowControl w:val="0"/>
        <w:kinsoku/>
        <w:wordWrap/>
        <w:overflowPunct/>
        <w:topLinePunct w:val="0"/>
        <w:bidi w:val="0"/>
        <w:snapToGrid/>
        <w:spacing w:line="360" w:lineRule="exact"/>
        <w:ind w:left="0" w:leftChars="0" w:right="0" w:rightChars="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附件1：</w:t>
      </w:r>
    </w:p>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承包人承揽工程项目一览表</w:t>
      </w:r>
    </w:p>
    <w:tbl>
      <w:tblPr>
        <w:tblStyle w:val="19"/>
        <w:tblW w:w="14317" w:type="dxa"/>
        <w:tblInd w:w="-3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277"/>
        <w:gridCol w:w="1843"/>
        <w:gridCol w:w="1417"/>
        <w:gridCol w:w="2126"/>
        <w:gridCol w:w="850"/>
        <w:gridCol w:w="1560"/>
        <w:gridCol w:w="2126"/>
        <w:gridCol w:w="1417"/>
        <w:gridCol w:w="851"/>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277" w:type="dxa"/>
            <w:tcBorders>
              <w:top w:val="single" w:color="auto" w:sz="12" w:space="0"/>
              <w:bottom w:val="doub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单位工程名称</w:t>
            </w:r>
          </w:p>
        </w:tc>
        <w:tc>
          <w:tcPr>
            <w:tcW w:w="1843" w:type="dxa"/>
            <w:tcBorders>
              <w:top w:val="single" w:color="auto" w:sz="12" w:space="0"/>
              <w:bottom w:val="doub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建设规模</w:t>
            </w:r>
          </w:p>
        </w:tc>
        <w:tc>
          <w:tcPr>
            <w:tcW w:w="1417" w:type="dxa"/>
            <w:tcBorders>
              <w:top w:val="single" w:color="auto" w:sz="12" w:space="0"/>
              <w:bottom w:val="doub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建筑面积(平方米)</w:t>
            </w:r>
          </w:p>
        </w:tc>
        <w:tc>
          <w:tcPr>
            <w:tcW w:w="2126" w:type="dxa"/>
            <w:tcBorders>
              <w:top w:val="single" w:color="auto" w:sz="12" w:space="0"/>
              <w:bottom w:val="doub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结构形式</w:t>
            </w:r>
          </w:p>
        </w:tc>
        <w:tc>
          <w:tcPr>
            <w:tcW w:w="850" w:type="dxa"/>
            <w:tcBorders>
              <w:top w:val="single" w:color="auto" w:sz="12" w:space="0"/>
              <w:bottom w:val="doub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层数</w:t>
            </w:r>
          </w:p>
        </w:tc>
        <w:tc>
          <w:tcPr>
            <w:tcW w:w="1560" w:type="dxa"/>
            <w:tcBorders>
              <w:top w:val="single" w:color="auto" w:sz="12" w:space="0"/>
              <w:bottom w:val="doub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生产能力</w:t>
            </w:r>
          </w:p>
        </w:tc>
        <w:tc>
          <w:tcPr>
            <w:tcW w:w="2126" w:type="dxa"/>
            <w:tcBorders>
              <w:top w:val="single" w:color="auto" w:sz="12" w:space="0"/>
              <w:bottom w:val="doub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设备安装内容</w:t>
            </w:r>
          </w:p>
        </w:tc>
        <w:tc>
          <w:tcPr>
            <w:tcW w:w="1417" w:type="dxa"/>
            <w:tcBorders>
              <w:top w:val="single" w:color="auto" w:sz="12" w:space="0"/>
              <w:bottom w:val="doub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合同价格（元）</w:t>
            </w:r>
          </w:p>
        </w:tc>
        <w:tc>
          <w:tcPr>
            <w:tcW w:w="851" w:type="dxa"/>
            <w:tcBorders>
              <w:top w:val="single" w:color="auto" w:sz="12" w:space="0"/>
              <w:bottom w:val="doub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开工日期</w:t>
            </w:r>
          </w:p>
        </w:tc>
        <w:tc>
          <w:tcPr>
            <w:tcW w:w="850" w:type="dxa"/>
            <w:tcBorders>
              <w:top w:val="single" w:color="auto" w:sz="12" w:space="0"/>
              <w:bottom w:val="doub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double" w:color="auto" w:sz="6" w:space="0"/>
              <w:bottom w:val="sing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843" w:type="dxa"/>
            <w:tcBorders>
              <w:top w:val="double" w:color="auto" w:sz="6" w:space="0"/>
              <w:bottom w:val="sing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417" w:type="dxa"/>
            <w:tcBorders>
              <w:top w:val="double" w:color="auto" w:sz="6" w:space="0"/>
              <w:bottom w:val="sing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2126" w:type="dxa"/>
            <w:tcBorders>
              <w:top w:val="double" w:color="auto" w:sz="6" w:space="0"/>
              <w:bottom w:val="sing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850" w:type="dxa"/>
            <w:tcBorders>
              <w:top w:val="double" w:color="auto" w:sz="6" w:space="0"/>
              <w:bottom w:val="sing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560" w:type="dxa"/>
            <w:tcBorders>
              <w:top w:val="double" w:color="auto" w:sz="6" w:space="0"/>
              <w:bottom w:val="sing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2126" w:type="dxa"/>
            <w:tcBorders>
              <w:top w:val="double" w:color="auto" w:sz="6" w:space="0"/>
              <w:bottom w:val="sing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417" w:type="dxa"/>
            <w:tcBorders>
              <w:top w:val="double" w:color="auto" w:sz="6" w:space="0"/>
              <w:bottom w:val="sing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851" w:type="dxa"/>
            <w:tcBorders>
              <w:top w:val="double" w:color="auto" w:sz="6" w:space="0"/>
              <w:bottom w:val="sing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850" w:type="dxa"/>
            <w:tcBorders>
              <w:top w:val="double" w:color="auto" w:sz="6" w:space="0"/>
              <w:bottom w:val="sing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843"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417"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2126"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850"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560"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2126"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417"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851"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850"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843"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417"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2126"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850"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560"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2126"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417"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851"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850"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843"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417"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2126"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850"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560"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2126"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417"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851"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850"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843"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417"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2126"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850"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560"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2126"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417"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851"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850"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843"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417"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2126"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850"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560"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2126"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417"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851"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850"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843"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417"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2126"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850"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560"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2126"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417"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851"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850"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843"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417"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2126"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850"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560"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2126"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417"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851"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850"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843"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417"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2126"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850"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560"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2126"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417"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851"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850"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843"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417"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2126"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850"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560"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2126"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417"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851"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850"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843"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417"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2126"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850"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560"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2126"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417"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851"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850"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r>
    </w:tbl>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b/>
          <w:color w:val="auto"/>
          <w:sz w:val="21"/>
          <w:szCs w:val="21"/>
          <w:highlight w:val="none"/>
        </w:rPr>
        <w:sectPr>
          <w:pgSz w:w="16838" w:h="11906" w:orient="landscape"/>
          <w:pgMar w:top="1554" w:right="1418" w:bottom="1531" w:left="1418" w:header="851" w:footer="992" w:gutter="0"/>
          <w:pgNumType w:fmt="decimal"/>
          <w:cols w:space="720" w:num="1"/>
          <w:titlePg/>
          <w:docGrid w:type="linesAndChars" w:linePitch="312" w:charSpace="0"/>
        </w:sectPr>
      </w:pPr>
    </w:p>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附件2：</w:t>
      </w:r>
    </w:p>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发包人供应材料设备一览表</w:t>
      </w:r>
    </w:p>
    <w:tbl>
      <w:tblPr>
        <w:tblStyle w:val="19"/>
        <w:tblW w:w="869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402"/>
        <w:gridCol w:w="1099"/>
        <w:gridCol w:w="1134"/>
        <w:gridCol w:w="620"/>
        <w:gridCol w:w="690"/>
        <w:gridCol w:w="1044"/>
        <w:gridCol w:w="719"/>
        <w:gridCol w:w="716"/>
        <w:gridCol w:w="1487"/>
        <w:gridCol w:w="78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402" w:type="dxa"/>
            <w:tcBorders>
              <w:top w:val="single" w:color="auto" w:sz="12" w:space="0"/>
              <w:bottom w:val="doub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序号</w:t>
            </w:r>
          </w:p>
        </w:tc>
        <w:tc>
          <w:tcPr>
            <w:tcW w:w="1099" w:type="dxa"/>
            <w:tcBorders>
              <w:top w:val="single" w:color="auto" w:sz="12" w:space="0"/>
              <w:bottom w:val="doub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 xml:space="preserve">  材料、</w:t>
            </w:r>
          </w:p>
          <w:p>
            <w:pPr>
              <w:pStyle w:val="8"/>
              <w:keepNext/>
              <w:pageBreakBefore w:val="0"/>
              <w:widowControl w:val="0"/>
              <w:kinsoku/>
              <w:wordWrap/>
              <w:overflowPunct/>
              <w:topLinePunct w:val="0"/>
              <w:bidi w:val="0"/>
              <w:snapToGrid/>
              <w:spacing w:after="0" w:line="360" w:lineRule="exact"/>
              <w:ind w:left="0" w:leftChars="0" w:right="0" w:rightChars="0"/>
              <w:jc w:val="both"/>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设备品种</w:t>
            </w:r>
          </w:p>
        </w:tc>
        <w:tc>
          <w:tcPr>
            <w:tcW w:w="1134" w:type="dxa"/>
            <w:tcBorders>
              <w:top w:val="single" w:color="auto" w:sz="12" w:space="0"/>
              <w:bottom w:val="doub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规格型号</w:t>
            </w:r>
          </w:p>
        </w:tc>
        <w:tc>
          <w:tcPr>
            <w:tcW w:w="620" w:type="dxa"/>
            <w:tcBorders>
              <w:top w:val="single" w:color="auto" w:sz="12" w:space="0"/>
              <w:bottom w:val="doub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单位</w:t>
            </w:r>
          </w:p>
        </w:tc>
        <w:tc>
          <w:tcPr>
            <w:tcW w:w="690" w:type="dxa"/>
            <w:tcBorders>
              <w:top w:val="single" w:color="auto" w:sz="12" w:space="0"/>
              <w:bottom w:val="doub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数量</w:t>
            </w:r>
          </w:p>
        </w:tc>
        <w:tc>
          <w:tcPr>
            <w:tcW w:w="1044" w:type="dxa"/>
            <w:tcBorders>
              <w:top w:val="single" w:color="auto" w:sz="12" w:space="0"/>
              <w:bottom w:val="doub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单价（元）</w:t>
            </w:r>
          </w:p>
        </w:tc>
        <w:tc>
          <w:tcPr>
            <w:tcW w:w="719" w:type="dxa"/>
            <w:tcBorders>
              <w:top w:val="single" w:color="auto" w:sz="12" w:space="0"/>
              <w:bottom w:val="doub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质量等级</w:t>
            </w:r>
          </w:p>
        </w:tc>
        <w:tc>
          <w:tcPr>
            <w:tcW w:w="716" w:type="dxa"/>
            <w:tcBorders>
              <w:top w:val="single" w:color="auto" w:sz="12" w:space="0"/>
              <w:bottom w:val="doub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供应时间</w:t>
            </w:r>
          </w:p>
        </w:tc>
        <w:tc>
          <w:tcPr>
            <w:tcW w:w="1487" w:type="dxa"/>
            <w:tcBorders>
              <w:top w:val="single" w:color="auto" w:sz="12" w:space="0"/>
              <w:bottom w:val="doub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送达地点</w:t>
            </w:r>
          </w:p>
        </w:tc>
        <w:tc>
          <w:tcPr>
            <w:tcW w:w="783" w:type="dxa"/>
            <w:tcBorders>
              <w:top w:val="single" w:color="auto" w:sz="12" w:space="0"/>
              <w:bottom w:val="doub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402" w:type="dxa"/>
            <w:tcBorders>
              <w:top w:val="double" w:color="auto" w:sz="6" w:space="0"/>
              <w:bottom w:val="sing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099" w:type="dxa"/>
            <w:tcBorders>
              <w:top w:val="double" w:color="auto" w:sz="6" w:space="0"/>
              <w:bottom w:val="sing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134" w:type="dxa"/>
            <w:tcBorders>
              <w:top w:val="double" w:color="auto" w:sz="6" w:space="0"/>
              <w:bottom w:val="sing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620" w:type="dxa"/>
            <w:tcBorders>
              <w:top w:val="double" w:color="auto" w:sz="6" w:space="0"/>
              <w:bottom w:val="sing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690" w:type="dxa"/>
            <w:tcBorders>
              <w:top w:val="double" w:color="auto" w:sz="6" w:space="0"/>
              <w:bottom w:val="sing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044" w:type="dxa"/>
            <w:tcBorders>
              <w:top w:val="double" w:color="auto" w:sz="6" w:space="0"/>
              <w:bottom w:val="sing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719" w:type="dxa"/>
            <w:tcBorders>
              <w:top w:val="double" w:color="auto" w:sz="6" w:space="0"/>
              <w:bottom w:val="sing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716" w:type="dxa"/>
            <w:tcBorders>
              <w:top w:val="double" w:color="auto" w:sz="6" w:space="0"/>
              <w:bottom w:val="sing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487" w:type="dxa"/>
            <w:tcBorders>
              <w:top w:val="double" w:color="auto" w:sz="6" w:space="0"/>
              <w:bottom w:val="sing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783" w:type="dxa"/>
            <w:tcBorders>
              <w:top w:val="double" w:color="auto" w:sz="6" w:space="0"/>
              <w:bottom w:val="sing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402"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099"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134"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620"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690"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044"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719"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716"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487"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783"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402"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099"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134"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620"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690"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044"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719"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716"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487"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783"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402"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099"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134"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620"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690"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044"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719"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716"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487"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783"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402"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099"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134"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620"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690"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044"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719"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716"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487"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783"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402"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099"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134"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620"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690"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044"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719"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716"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487"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783"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402"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099"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134"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620"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690"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044"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719"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716"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487"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783"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402"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099"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134"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620"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690"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044"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719"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716"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487"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783"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402"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c>
          <w:tcPr>
            <w:tcW w:w="1099"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c>
          <w:tcPr>
            <w:tcW w:w="1134"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c>
          <w:tcPr>
            <w:tcW w:w="620"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c>
          <w:tcPr>
            <w:tcW w:w="690"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c>
          <w:tcPr>
            <w:tcW w:w="1044"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c>
          <w:tcPr>
            <w:tcW w:w="719"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c>
          <w:tcPr>
            <w:tcW w:w="716"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c>
          <w:tcPr>
            <w:tcW w:w="1487"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c>
          <w:tcPr>
            <w:tcW w:w="783"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402"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099"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134"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620"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690"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044"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719"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716"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487"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783"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402"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c>
          <w:tcPr>
            <w:tcW w:w="1099"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c>
          <w:tcPr>
            <w:tcW w:w="1134"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c>
          <w:tcPr>
            <w:tcW w:w="620"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c>
          <w:tcPr>
            <w:tcW w:w="690"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c>
          <w:tcPr>
            <w:tcW w:w="1044"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c>
          <w:tcPr>
            <w:tcW w:w="719"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c>
          <w:tcPr>
            <w:tcW w:w="716"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c>
          <w:tcPr>
            <w:tcW w:w="1487"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c>
          <w:tcPr>
            <w:tcW w:w="783"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402"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c>
          <w:tcPr>
            <w:tcW w:w="1099"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c>
          <w:tcPr>
            <w:tcW w:w="1134"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c>
          <w:tcPr>
            <w:tcW w:w="620"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c>
          <w:tcPr>
            <w:tcW w:w="690"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c>
          <w:tcPr>
            <w:tcW w:w="1044"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c>
          <w:tcPr>
            <w:tcW w:w="719"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c>
          <w:tcPr>
            <w:tcW w:w="716"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c>
          <w:tcPr>
            <w:tcW w:w="1487"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c>
          <w:tcPr>
            <w:tcW w:w="783"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402"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c>
          <w:tcPr>
            <w:tcW w:w="1099"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c>
          <w:tcPr>
            <w:tcW w:w="1134"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c>
          <w:tcPr>
            <w:tcW w:w="620"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c>
          <w:tcPr>
            <w:tcW w:w="690"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c>
          <w:tcPr>
            <w:tcW w:w="1044"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c>
          <w:tcPr>
            <w:tcW w:w="719"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c>
          <w:tcPr>
            <w:tcW w:w="716"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c>
          <w:tcPr>
            <w:tcW w:w="1487"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c>
          <w:tcPr>
            <w:tcW w:w="783"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402"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c>
          <w:tcPr>
            <w:tcW w:w="1099"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c>
          <w:tcPr>
            <w:tcW w:w="1134"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c>
          <w:tcPr>
            <w:tcW w:w="620"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c>
          <w:tcPr>
            <w:tcW w:w="690"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c>
          <w:tcPr>
            <w:tcW w:w="1044"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c>
          <w:tcPr>
            <w:tcW w:w="719"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c>
          <w:tcPr>
            <w:tcW w:w="716"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c>
          <w:tcPr>
            <w:tcW w:w="1487"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c>
          <w:tcPr>
            <w:tcW w:w="783"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402"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c>
          <w:tcPr>
            <w:tcW w:w="1099"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c>
          <w:tcPr>
            <w:tcW w:w="1134"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c>
          <w:tcPr>
            <w:tcW w:w="620"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c>
          <w:tcPr>
            <w:tcW w:w="690"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c>
          <w:tcPr>
            <w:tcW w:w="1044"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c>
          <w:tcPr>
            <w:tcW w:w="719"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c>
          <w:tcPr>
            <w:tcW w:w="716"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c>
          <w:tcPr>
            <w:tcW w:w="1487"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c>
          <w:tcPr>
            <w:tcW w:w="783"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402"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c>
          <w:tcPr>
            <w:tcW w:w="1099"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c>
          <w:tcPr>
            <w:tcW w:w="1134"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c>
          <w:tcPr>
            <w:tcW w:w="620"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c>
          <w:tcPr>
            <w:tcW w:w="690"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c>
          <w:tcPr>
            <w:tcW w:w="1044"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c>
          <w:tcPr>
            <w:tcW w:w="719"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c>
          <w:tcPr>
            <w:tcW w:w="716"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c>
          <w:tcPr>
            <w:tcW w:w="1487"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c>
          <w:tcPr>
            <w:tcW w:w="783"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402"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c>
          <w:tcPr>
            <w:tcW w:w="1099"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c>
          <w:tcPr>
            <w:tcW w:w="1134"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c>
          <w:tcPr>
            <w:tcW w:w="620"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c>
          <w:tcPr>
            <w:tcW w:w="690"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c>
          <w:tcPr>
            <w:tcW w:w="1044"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c>
          <w:tcPr>
            <w:tcW w:w="719"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c>
          <w:tcPr>
            <w:tcW w:w="716"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c>
          <w:tcPr>
            <w:tcW w:w="1487"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c>
          <w:tcPr>
            <w:tcW w:w="783"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402"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c>
          <w:tcPr>
            <w:tcW w:w="1099"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c>
          <w:tcPr>
            <w:tcW w:w="1134"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c>
          <w:tcPr>
            <w:tcW w:w="620"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c>
          <w:tcPr>
            <w:tcW w:w="690"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c>
          <w:tcPr>
            <w:tcW w:w="1044"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c>
          <w:tcPr>
            <w:tcW w:w="719"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c>
          <w:tcPr>
            <w:tcW w:w="716"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c>
          <w:tcPr>
            <w:tcW w:w="1487"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c>
          <w:tcPr>
            <w:tcW w:w="783" w:type="dxa"/>
            <w:vAlign w:val="center"/>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p>
        </w:tc>
      </w:tr>
    </w:tbl>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附件3：    </w:t>
      </w:r>
    </w:p>
    <w:p>
      <w:pPr>
        <w:keepNext/>
        <w:keepLines/>
        <w:spacing w:before="60" w:after="60" w:line="360" w:lineRule="auto"/>
        <w:jc w:val="center"/>
        <w:outlineLvl w:val="1"/>
        <w:rPr>
          <w:rFonts w:ascii="黑体" w:hAnsi="黑体" w:eastAsia="黑体"/>
          <w:b/>
          <w:bCs/>
          <w:color w:val="auto"/>
          <w:sz w:val="30"/>
          <w:szCs w:val="30"/>
          <w:highlight w:val="none"/>
        </w:rPr>
      </w:pPr>
      <w:r>
        <w:rPr>
          <w:rFonts w:hint="eastAsia" w:ascii="宋体" w:hAnsi="宋体" w:eastAsia="宋体" w:cs="宋体"/>
          <w:color w:val="auto"/>
          <w:sz w:val="21"/>
          <w:szCs w:val="21"/>
          <w:highlight w:val="none"/>
        </w:rPr>
        <w:t xml:space="preserve">  </w:t>
      </w:r>
      <w:r>
        <w:rPr>
          <w:rFonts w:hint="eastAsia" w:ascii="Times New Roman" w:hAnsi="Times New Roman"/>
          <w:b/>
          <w:bCs/>
          <w:color w:val="auto"/>
          <w:sz w:val="30"/>
          <w:szCs w:val="30"/>
          <w:highlight w:val="none"/>
        </w:rPr>
        <w:t xml:space="preserve">  工程质量保修书（房屋建筑工程）</w:t>
      </w:r>
    </w:p>
    <w:p>
      <w:pPr>
        <w:spacing w:line="440" w:lineRule="exact"/>
        <w:ind w:firstLine="420" w:firstLineChars="200"/>
        <w:rPr>
          <w:color w:val="auto"/>
          <w:highlight w:val="none"/>
        </w:rPr>
      </w:pPr>
      <w:r>
        <w:rPr>
          <w:rFonts w:hint="eastAsia" w:hAnsi="宋体" w:cs="宋体"/>
          <w:color w:val="auto"/>
          <w:highlight w:val="none"/>
        </w:rPr>
        <w:t>发包人（全称）：</w:t>
      </w:r>
      <w:r>
        <w:rPr>
          <w:color w:val="auto"/>
          <w:highlight w:val="none"/>
          <w:u w:val="single"/>
        </w:rPr>
        <w:t xml:space="preserve">  </w:t>
      </w:r>
      <w:r>
        <w:rPr>
          <w:rFonts w:hint="eastAsia" w:ascii="宋体" w:hAnsi="宋体" w:cs="宋体"/>
          <w:color w:val="auto"/>
          <w:sz w:val="21"/>
          <w:szCs w:val="21"/>
          <w:highlight w:val="none"/>
          <w:u w:val="single"/>
          <w:lang w:val="en-US" w:eastAsia="zh-CN"/>
        </w:rPr>
        <w:t>兴安县溶江镇人民政府</w:t>
      </w:r>
      <w:r>
        <w:rPr>
          <w:color w:val="auto"/>
          <w:highlight w:val="none"/>
          <w:u w:val="single"/>
        </w:rPr>
        <w:t xml:space="preserve">  </w:t>
      </w:r>
      <w:r>
        <w:rPr>
          <w:color w:val="auto"/>
          <w:highlight w:val="none"/>
        </w:rPr>
        <w:t xml:space="preserve"> </w:t>
      </w:r>
    </w:p>
    <w:p>
      <w:pPr>
        <w:spacing w:line="440" w:lineRule="exact"/>
        <w:ind w:firstLine="420" w:firstLineChars="200"/>
        <w:rPr>
          <w:color w:val="auto"/>
          <w:highlight w:val="none"/>
        </w:rPr>
      </w:pPr>
      <w:r>
        <w:rPr>
          <w:rFonts w:hint="eastAsia" w:hAnsi="宋体" w:cs="宋体"/>
          <w:color w:val="auto"/>
          <w:highlight w:val="none"/>
        </w:rPr>
        <w:t>承包人（全称）：</w:t>
      </w:r>
      <w:r>
        <w:rPr>
          <w:color w:val="auto"/>
          <w:highlight w:val="none"/>
          <w:u w:val="single"/>
        </w:rPr>
        <w:t xml:space="preserve">  </w:t>
      </w:r>
      <w:r>
        <w:rPr>
          <w:rFonts w:hint="eastAsia"/>
          <w:color w:val="auto"/>
          <w:highlight w:val="none"/>
          <w:u w:val="single"/>
        </w:rPr>
        <w:t>（中标后填写）</w:t>
      </w:r>
      <w:r>
        <w:rPr>
          <w:color w:val="auto"/>
          <w:highlight w:val="none"/>
          <w:u w:val="single"/>
        </w:rPr>
        <w:t xml:space="preserve">        </w:t>
      </w:r>
      <w:r>
        <w:rPr>
          <w:color w:val="auto"/>
          <w:highlight w:val="none"/>
        </w:rPr>
        <w:t xml:space="preserve"> </w:t>
      </w:r>
    </w:p>
    <w:p>
      <w:pPr>
        <w:spacing w:line="440" w:lineRule="exact"/>
        <w:rPr>
          <w:color w:val="auto"/>
          <w:highlight w:val="none"/>
        </w:rPr>
      </w:pPr>
    </w:p>
    <w:p>
      <w:pPr>
        <w:spacing w:line="360" w:lineRule="auto"/>
        <w:ind w:firstLine="420" w:firstLineChars="200"/>
        <w:rPr>
          <w:rFonts w:hAnsi="宋体"/>
          <w:color w:val="auto"/>
          <w:highlight w:val="none"/>
        </w:rPr>
      </w:pPr>
      <w:r>
        <w:rPr>
          <w:rFonts w:hint="eastAsia" w:hAnsi="宋体" w:cs="宋体"/>
          <w:color w:val="auto"/>
          <w:highlight w:val="none"/>
        </w:rPr>
        <w:t>发包人和承包人根据《中华人民共和国建筑法》和《建设工程质量管理条例》，经协商一致就</w:t>
      </w:r>
      <w:r>
        <w:rPr>
          <w:color w:val="auto"/>
          <w:highlight w:val="none"/>
          <w:u w:val="single"/>
        </w:rPr>
        <w:t xml:space="preserve"> </w:t>
      </w:r>
      <w:r>
        <w:rPr>
          <w:rFonts w:hint="eastAsia"/>
          <w:color w:val="auto"/>
          <w:highlight w:val="none"/>
          <w:u w:val="single"/>
          <w:lang w:val="en-US" w:eastAsia="zh-CN"/>
        </w:rPr>
        <w:t>兴安县溶江镇市民广场阙楼工程</w:t>
      </w:r>
      <w:r>
        <w:rPr>
          <w:rFonts w:hint="eastAsia" w:hAnsi="宋体" w:cs="宋体"/>
          <w:color w:val="auto"/>
          <w:highlight w:val="none"/>
        </w:rPr>
        <w:t>（工程全称）签订工程质量保修书。</w:t>
      </w:r>
    </w:p>
    <w:p>
      <w:pPr>
        <w:spacing w:line="360" w:lineRule="auto"/>
        <w:ind w:firstLine="420" w:firstLineChars="200"/>
        <w:rPr>
          <w:rFonts w:ascii="黑体" w:hAnsi="宋体" w:eastAsia="黑体"/>
          <w:color w:val="auto"/>
          <w:highlight w:val="none"/>
        </w:rPr>
      </w:pPr>
      <w:r>
        <w:rPr>
          <w:rFonts w:hint="eastAsia" w:ascii="黑体" w:hAnsi="宋体" w:eastAsia="黑体" w:cs="黑体"/>
          <w:color w:val="auto"/>
          <w:highlight w:val="none"/>
        </w:rPr>
        <w:t>一、工程质量保修范围和内容</w:t>
      </w:r>
    </w:p>
    <w:p>
      <w:pPr>
        <w:spacing w:line="360" w:lineRule="auto"/>
        <w:ind w:firstLine="420" w:firstLineChars="200"/>
        <w:rPr>
          <w:color w:val="auto"/>
          <w:highlight w:val="none"/>
        </w:rPr>
      </w:pPr>
      <w:r>
        <w:rPr>
          <w:rFonts w:hint="eastAsia" w:hAnsi="宋体" w:cs="宋体"/>
          <w:color w:val="auto"/>
          <w:highlight w:val="none"/>
        </w:rPr>
        <w:t>承包人在质量保修期内，按照有关法律规定和合同约定，承担工程质量保修责任。工程总承包单位应当对其承包的全部建设工程质量负责，分包单位对其分包工程的质量负责，分包不免除工程总承包单位对其承包的全部建设工程所负的质量责任。</w:t>
      </w:r>
    </w:p>
    <w:p>
      <w:pPr>
        <w:spacing w:line="360" w:lineRule="auto"/>
        <w:ind w:firstLine="420"/>
        <w:rPr>
          <w:rFonts w:hAnsi="宋体"/>
          <w:color w:val="auto"/>
          <w:highlight w:val="none"/>
        </w:rPr>
      </w:pPr>
      <w:r>
        <w:rPr>
          <w:rFonts w:hint="eastAsia" w:hAnsi="宋体" w:cs="宋体"/>
          <w:color w:val="auto"/>
          <w:highlight w:val="none"/>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hint="eastAsia" w:ascii="宋体" w:hAnsi="宋体" w:cs="宋体"/>
          <w:color w:val="auto"/>
          <w:sz w:val="22"/>
          <w:highlight w:val="none"/>
          <w:u w:val="single"/>
        </w:rPr>
        <w:t>在承包人承包范围内的工程质量问题以及承包人施工造成的质量问题，由承包人承担保险责任</w:t>
      </w:r>
      <w:r>
        <w:rPr>
          <w:color w:val="auto"/>
          <w:highlight w:val="none"/>
          <w:u w:val="single"/>
        </w:rPr>
        <w:t xml:space="preserve">  </w:t>
      </w:r>
      <w:r>
        <w:rPr>
          <w:rFonts w:hint="eastAsia" w:hAnsi="宋体" w:cs="宋体"/>
          <w:color w:val="auto"/>
          <w:highlight w:val="none"/>
        </w:rPr>
        <w:t>。</w:t>
      </w:r>
    </w:p>
    <w:p>
      <w:pPr>
        <w:spacing w:line="360" w:lineRule="auto"/>
        <w:ind w:firstLine="420"/>
        <w:rPr>
          <w:rFonts w:ascii="黑体" w:hAnsi="宋体" w:eastAsia="黑体"/>
          <w:color w:val="auto"/>
          <w:highlight w:val="none"/>
        </w:rPr>
      </w:pPr>
      <w:r>
        <w:rPr>
          <w:rFonts w:hint="eastAsia" w:ascii="黑体" w:hAnsi="宋体" w:eastAsia="黑体" w:cs="黑体"/>
          <w:color w:val="auto"/>
          <w:highlight w:val="none"/>
        </w:rPr>
        <w:t>二、质量保修期</w:t>
      </w:r>
    </w:p>
    <w:p>
      <w:pPr>
        <w:spacing w:line="360" w:lineRule="auto"/>
        <w:ind w:firstLine="420"/>
        <w:rPr>
          <w:rFonts w:hAnsi="宋体"/>
          <w:color w:val="auto"/>
          <w:highlight w:val="none"/>
        </w:rPr>
      </w:pPr>
      <w:r>
        <w:rPr>
          <w:rFonts w:hint="eastAsia" w:hAnsi="宋体" w:cs="宋体"/>
          <w:color w:val="auto"/>
          <w:highlight w:val="none"/>
        </w:rPr>
        <w:t>根据《建设工程质量管理条例》及有关规定，工程的质量保修期如下：</w:t>
      </w:r>
    </w:p>
    <w:p>
      <w:pPr>
        <w:spacing w:line="420" w:lineRule="exact"/>
        <w:ind w:firstLine="420" w:firstLineChars="200"/>
        <w:rPr>
          <w:rFonts w:hint="eastAsia" w:ascii="宋体" w:hAnsi="宋体" w:cs="宋体"/>
          <w:color w:val="auto"/>
          <w:highlight w:val="none"/>
        </w:rPr>
      </w:pPr>
      <w:r>
        <w:rPr>
          <w:rFonts w:hint="eastAsia" w:ascii="宋体" w:hAnsi="宋体" w:cs="宋体"/>
          <w:color w:val="auto"/>
          <w:highlight w:val="none"/>
        </w:rPr>
        <w:t>1．地基基础工程和主体结构工程为设计文件规定的工程合理使用年限；</w:t>
      </w:r>
    </w:p>
    <w:p>
      <w:pPr>
        <w:spacing w:line="420" w:lineRule="exact"/>
        <w:ind w:firstLine="420" w:firstLineChars="200"/>
        <w:rPr>
          <w:rFonts w:hint="eastAsia" w:ascii="宋体" w:hAnsi="宋体" w:cs="宋体"/>
          <w:color w:val="auto"/>
          <w:highlight w:val="none"/>
        </w:rPr>
      </w:pPr>
      <w:r>
        <w:rPr>
          <w:rFonts w:hint="eastAsia" w:ascii="宋体" w:hAnsi="宋体" w:cs="宋体"/>
          <w:color w:val="auto"/>
          <w:highlight w:val="none"/>
        </w:rPr>
        <w:t>2．屋面防水工程、有防水要求的卫生间、房间和外墙面的防渗为</w:t>
      </w:r>
      <w:r>
        <w:rPr>
          <w:rFonts w:hint="eastAsia" w:ascii="宋体" w:hAnsi="宋体" w:cs="宋体"/>
          <w:color w:val="auto"/>
          <w:highlight w:val="none"/>
          <w:u w:val="single"/>
        </w:rPr>
        <w:t xml:space="preserve"> 五 </w:t>
      </w:r>
      <w:r>
        <w:rPr>
          <w:rFonts w:hint="eastAsia" w:ascii="宋体" w:hAnsi="宋体" w:cs="宋体"/>
          <w:color w:val="auto"/>
          <w:highlight w:val="none"/>
        </w:rPr>
        <w:t>年；</w:t>
      </w:r>
    </w:p>
    <w:p>
      <w:pPr>
        <w:spacing w:line="420" w:lineRule="exact"/>
        <w:ind w:firstLine="420" w:firstLineChars="200"/>
        <w:rPr>
          <w:rFonts w:hint="eastAsia" w:ascii="宋体" w:hAnsi="宋体" w:cs="宋体"/>
          <w:color w:val="auto"/>
          <w:highlight w:val="none"/>
        </w:rPr>
      </w:pPr>
      <w:r>
        <w:rPr>
          <w:rFonts w:hint="eastAsia" w:ascii="宋体" w:hAnsi="宋体" w:cs="宋体"/>
          <w:color w:val="auto"/>
          <w:highlight w:val="none"/>
        </w:rPr>
        <w:t>3．装修工程为</w:t>
      </w:r>
      <w:r>
        <w:rPr>
          <w:rFonts w:hint="eastAsia" w:ascii="宋体" w:hAnsi="宋体" w:cs="宋体"/>
          <w:color w:val="auto"/>
          <w:highlight w:val="none"/>
          <w:u w:val="single"/>
        </w:rPr>
        <w:t xml:space="preserve">  两   </w:t>
      </w:r>
      <w:r>
        <w:rPr>
          <w:rFonts w:hint="eastAsia" w:ascii="宋体" w:hAnsi="宋体" w:cs="宋体"/>
          <w:color w:val="auto"/>
          <w:highlight w:val="none"/>
        </w:rPr>
        <w:t>年；</w:t>
      </w:r>
    </w:p>
    <w:p>
      <w:pPr>
        <w:spacing w:line="420" w:lineRule="exact"/>
        <w:ind w:firstLine="420" w:firstLineChars="200"/>
        <w:rPr>
          <w:rFonts w:hint="eastAsia" w:ascii="宋体" w:hAnsi="宋体" w:cs="宋体"/>
          <w:color w:val="auto"/>
          <w:highlight w:val="none"/>
        </w:rPr>
      </w:pPr>
      <w:r>
        <w:rPr>
          <w:rFonts w:hint="eastAsia" w:ascii="宋体" w:hAnsi="宋体" w:cs="宋体"/>
          <w:color w:val="auto"/>
          <w:highlight w:val="none"/>
        </w:rPr>
        <w:t>4．电气管线、给排水管道、设备安装工程为</w:t>
      </w:r>
      <w:r>
        <w:rPr>
          <w:rFonts w:hint="eastAsia" w:ascii="宋体" w:hAnsi="宋体" w:cs="宋体"/>
          <w:color w:val="auto"/>
          <w:highlight w:val="none"/>
          <w:u w:val="single"/>
        </w:rPr>
        <w:t xml:space="preserve"> 两  </w:t>
      </w:r>
      <w:r>
        <w:rPr>
          <w:rFonts w:hint="eastAsia" w:ascii="宋体" w:hAnsi="宋体" w:cs="宋体"/>
          <w:color w:val="auto"/>
          <w:highlight w:val="none"/>
        </w:rPr>
        <w:t>年；</w:t>
      </w:r>
    </w:p>
    <w:p>
      <w:pPr>
        <w:spacing w:line="420" w:lineRule="exact"/>
        <w:ind w:firstLine="420" w:firstLineChars="200"/>
        <w:rPr>
          <w:rFonts w:hint="eastAsia" w:ascii="宋体" w:hAnsi="宋体" w:cs="宋体"/>
          <w:color w:val="auto"/>
          <w:highlight w:val="none"/>
        </w:rPr>
      </w:pPr>
      <w:r>
        <w:rPr>
          <w:rFonts w:hint="eastAsia" w:ascii="宋体" w:hAnsi="宋体" w:cs="宋体"/>
          <w:color w:val="auto"/>
          <w:highlight w:val="none"/>
        </w:rPr>
        <w:t>5．供热与供冷系统为</w:t>
      </w:r>
      <w:r>
        <w:rPr>
          <w:rFonts w:hint="eastAsia" w:ascii="宋体" w:hAnsi="宋体" w:cs="宋体"/>
          <w:color w:val="auto"/>
          <w:highlight w:val="none"/>
          <w:u w:val="single"/>
        </w:rPr>
        <w:t xml:space="preserve">  两  </w:t>
      </w:r>
      <w:r>
        <w:rPr>
          <w:rFonts w:hint="eastAsia" w:ascii="宋体" w:hAnsi="宋体" w:cs="宋体"/>
          <w:color w:val="auto"/>
          <w:highlight w:val="none"/>
        </w:rPr>
        <w:t>个采暖期、供冷期；</w:t>
      </w:r>
    </w:p>
    <w:p>
      <w:pPr>
        <w:spacing w:line="420" w:lineRule="exact"/>
        <w:ind w:firstLine="420" w:firstLineChars="200"/>
        <w:rPr>
          <w:rFonts w:hint="eastAsia" w:ascii="宋体" w:hAnsi="宋体" w:cs="宋体"/>
          <w:color w:val="auto"/>
          <w:highlight w:val="none"/>
        </w:rPr>
      </w:pPr>
      <w:r>
        <w:rPr>
          <w:rFonts w:hint="eastAsia" w:ascii="宋体" w:hAnsi="宋体" w:cs="宋体"/>
          <w:color w:val="auto"/>
          <w:highlight w:val="none"/>
        </w:rPr>
        <w:t>6．住宅小区内的给排水设施、道路等配套工程为</w:t>
      </w:r>
      <w:r>
        <w:rPr>
          <w:rFonts w:hint="eastAsia" w:ascii="宋体" w:hAnsi="宋体" w:cs="宋体"/>
          <w:color w:val="auto"/>
          <w:highlight w:val="none"/>
          <w:u w:val="single"/>
        </w:rPr>
        <w:t xml:space="preserve"> 两  </w:t>
      </w:r>
      <w:r>
        <w:rPr>
          <w:rFonts w:hint="eastAsia" w:ascii="宋体" w:hAnsi="宋体" w:cs="宋体"/>
          <w:color w:val="auto"/>
          <w:highlight w:val="none"/>
        </w:rPr>
        <w:t>年；</w:t>
      </w:r>
    </w:p>
    <w:p>
      <w:pPr>
        <w:spacing w:line="420" w:lineRule="exact"/>
        <w:ind w:firstLine="420" w:firstLineChars="200"/>
        <w:rPr>
          <w:rFonts w:ascii="Times New Roman" w:hAnsi="宋体"/>
          <w:color w:val="auto"/>
          <w:highlight w:val="none"/>
        </w:rPr>
      </w:pPr>
      <w:r>
        <w:rPr>
          <w:rFonts w:hint="eastAsia" w:ascii="宋体" w:hAnsi="宋体" w:cs="宋体"/>
          <w:color w:val="auto"/>
          <w:highlight w:val="none"/>
        </w:rPr>
        <w:t>7．其他项目保修期限约定如下：</w:t>
      </w:r>
      <w:r>
        <w:rPr>
          <w:rFonts w:hint="eastAsia" w:ascii="宋体" w:hAnsi="宋体" w:cs="宋体"/>
          <w:color w:val="auto"/>
          <w:highlight w:val="none"/>
          <w:u w:val="single"/>
        </w:rPr>
        <w:t xml:space="preserve">   按国家有关保修规定执行      </w:t>
      </w:r>
      <w:r>
        <w:rPr>
          <w:rFonts w:hint="eastAsia" w:ascii="Times New Roman" w:hAnsi="宋体" w:cs="宋体"/>
          <w:color w:val="auto"/>
          <w:highlight w:val="none"/>
        </w:rPr>
        <w:t>。</w:t>
      </w:r>
    </w:p>
    <w:p>
      <w:pPr>
        <w:spacing w:line="360" w:lineRule="auto"/>
        <w:ind w:firstLine="420"/>
        <w:rPr>
          <w:rFonts w:hAnsi="宋体"/>
          <w:color w:val="auto"/>
          <w:highlight w:val="none"/>
        </w:rPr>
      </w:pPr>
      <w:r>
        <w:rPr>
          <w:rFonts w:hint="eastAsia" w:hAnsi="宋体" w:cs="宋体"/>
          <w:color w:val="auto"/>
          <w:highlight w:val="none"/>
        </w:rPr>
        <w:t>质量保修期自工程竣工验收合格之日起计算。</w:t>
      </w:r>
    </w:p>
    <w:p>
      <w:pPr>
        <w:spacing w:line="360" w:lineRule="auto"/>
        <w:ind w:firstLine="420"/>
        <w:rPr>
          <w:rFonts w:ascii="黑体" w:hAnsi="宋体" w:eastAsia="黑体"/>
          <w:color w:val="auto"/>
          <w:highlight w:val="none"/>
        </w:rPr>
      </w:pPr>
      <w:r>
        <w:rPr>
          <w:rFonts w:hint="eastAsia" w:ascii="黑体" w:hAnsi="宋体" w:eastAsia="黑体" w:cs="黑体"/>
          <w:color w:val="auto"/>
          <w:highlight w:val="none"/>
        </w:rPr>
        <w:t>三、缺陷责任期</w:t>
      </w:r>
    </w:p>
    <w:p>
      <w:pPr>
        <w:spacing w:line="360" w:lineRule="auto"/>
        <w:ind w:firstLine="420"/>
        <w:rPr>
          <w:rFonts w:hAnsi="宋体"/>
          <w:color w:val="auto"/>
          <w:highlight w:val="none"/>
        </w:rPr>
      </w:pPr>
      <w:r>
        <w:rPr>
          <w:rFonts w:hint="eastAsia" w:hAnsi="宋体" w:cs="宋体"/>
          <w:color w:val="auto"/>
          <w:highlight w:val="none"/>
        </w:rPr>
        <w:t>工程缺陷责任期为</w:t>
      </w:r>
      <w:r>
        <w:rPr>
          <w:color w:val="auto"/>
          <w:highlight w:val="none"/>
          <w:u w:val="single"/>
        </w:rPr>
        <w:t xml:space="preserve"> </w:t>
      </w:r>
      <w:r>
        <w:rPr>
          <w:rFonts w:hint="eastAsia"/>
          <w:color w:val="auto"/>
          <w:highlight w:val="none"/>
          <w:u w:val="single"/>
        </w:rPr>
        <w:t>24</w:t>
      </w:r>
      <w:r>
        <w:rPr>
          <w:color w:val="auto"/>
          <w:highlight w:val="none"/>
          <w:u w:val="single"/>
        </w:rPr>
        <w:t xml:space="preserve">  </w:t>
      </w:r>
      <w:r>
        <w:rPr>
          <w:rFonts w:hint="eastAsia" w:hAnsi="宋体" w:cs="宋体"/>
          <w:color w:val="auto"/>
          <w:highlight w:val="none"/>
        </w:rPr>
        <w:t>个月（最长不超过</w:t>
      </w:r>
      <w:r>
        <w:rPr>
          <w:rFonts w:hAnsi="宋体"/>
          <w:color w:val="auto"/>
          <w:highlight w:val="none"/>
        </w:rPr>
        <w:t>24</w:t>
      </w:r>
      <w:r>
        <w:rPr>
          <w:rFonts w:hint="eastAsia" w:hAnsi="宋体" w:cs="宋体"/>
          <w:color w:val="auto"/>
          <w:highlight w:val="none"/>
        </w:rPr>
        <w:t>个月），缺陷责任期自工程竣工验收合格之日起计算。单位工程先于全部工程进行验收，单位工程缺陷责任期自单位工程验收合格之日起算。</w:t>
      </w:r>
    </w:p>
    <w:p>
      <w:pPr>
        <w:spacing w:line="360" w:lineRule="auto"/>
        <w:ind w:firstLine="420"/>
        <w:rPr>
          <w:rFonts w:hAnsi="宋体"/>
          <w:color w:val="auto"/>
          <w:highlight w:val="none"/>
        </w:rPr>
      </w:pPr>
      <w:r>
        <w:rPr>
          <w:rFonts w:hint="eastAsia" w:hAnsi="宋体" w:cs="宋体"/>
          <w:color w:val="auto"/>
          <w:highlight w:val="none"/>
        </w:rPr>
        <w:t>缺陷责任期</w:t>
      </w:r>
      <w:r>
        <w:rPr>
          <w:rFonts w:hint="eastAsia" w:hAnsi="宋体" w:cs="宋体"/>
          <w:color w:val="auto"/>
          <w:highlight w:val="none"/>
          <w:u w:val="single"/>
        </w:rPr>
        <w:t>满</w:t>
      </w:r>
      <w:r>
        <w:rPr>
          <w:rFonts w:hint="eastAsia" w:ascii="仿宋_GB2312" w:hAnsi="宋体"/>
          <w:color w:val="auto"/>
          <w:highlight w:val="none"/>
        </w:rPr>
        <w:t>之日起</w:t>
      </w:r>
      <w:r>
        <w:rPr>
          <w:rFonts w:hint="eastAsia" w:ascii="仿宋_GB2312" w:hAnsi="宋体"/>
          <w:color w:val="auto"/>
          <w:highlight w:val="none"/>
          <w:u w:val="single"/>
        </w:rPr>
        <w:t xml:space="preserve"> </w:t>
      </w:r>
      <w:r>
        <w:rPr>
          <w:rFonts w:ascii="仿宋_GB2312" w:hAnsi="宋体"/>
          <w:color w:val="auto"/>
          <w:highlight w:val="none"/>
          <w:u w:val="single"/>
        </w:rPr>
        <w:t xml:space="preserve">  </w:t>
      </w:r>
      <w:r>
        <w:rPr>
          <w:rFonts w:hint="eastAsia" w:ascii="仿宋_GB2312" w:hAnsi="宋体"/>
          <w:color w:val="auto"/>
          <w:highlight w:val="none"/>
          <w:u w:val="single"/>
        </w:rPr>
        <w:t xml:space="preserve"> </w:t>
      </w:r>
      <w:r>
        <w:rPr>
          <w:rFonts w:hint="eastAsia" w:ascii="仿宋_GB2312" w:hAnsi="宋体"/>
          <w:color w:val="auto"/>
          <w:highlight w:val="none"/>
        </w:rPr>
        <w:t>天</w:t>
      </w:r>
      <w:r>
        <w:rPr>
          <w:rFonts w:hint="eastAsia" w:hAnsi="宋体" w:cs="宋体"/>
          <w:color w:val="auto"/>
          <w:highlight w:val="none"/>
          <w:u w:val="single"/>
        </w:rPr>
        <w:t>（按</w:t>
      </w:r>
      <w:r>
        <w:rPr>
          <w:rFonts w:hAnsi="宋体" w:cs="宋体"/>
          <w:color w:val="auto"/>
          <w:highlight w:val="none"/>
          <w:u w:val="single"/>
        </w:rPr>
        <w:t>合同约定期限）</w:t>
      </w:r>
      <w:r>
        <w:rPr>
          <w:rFonts w:hint="eastAsia" w:hAnsi="宋体" w:cs="宋体"/>
          <w:color w:val="auto"/>
          <w:highlight w:val="none"/>
          <w:u w:val="single"/>
        </w:rPr>
        <w:t>，</w:t>
      </w:r>
      <w:r>
        <w:rPr>
          <w:rFonts w:hint="eastAsia" w:hAnsi="宋体" w:cs="宋体"/>
          <w:color w:val="auto"/>
          <w:highlight w:val="none"/>
        </w:rPr>
        <w:t>发包人应退还剩余的质量保证金。</w:t>
      </w:r>
    </w:p>
    <w:p>
      <w:pPr>
        <w:spacing w:line="360" w:lineRule="auto"/>
        <w:ind w:firstLine="420"/>
        <w:rPr>
          <w:rFonts w:ascii="黑体" w:hAnsi="宋体" w:eastAsia="黑体"/>
          <w:color w:val="auto"/>
          <w:highlight w:val="none"/>
        </w:rPr>
      </w:pPr>
      <w:r>
        <w:rPr>
          <w:rFonts w:hint="eastAsia" w:ascii="黑体" w:hAnsi="宋体" w:eastAsia="黑体" w:cs="黑体"/>
          <w:color w:val="auto"/>
          <w:highlight w:val="none"/>
        </w:rPr>
        <w:t>四、质量保修责任</w:t>
      </w:r>
    </w:p>
    <w:p>
      <w:pPr>
        <w:spacing w:line="360" w:lineRule="auto"/>
        <w:ind w:left="105" w:leftChars="50" w:firstLine="430" w:firstLineChars="205"/>
        <w:rPr>
          <w:rFonts w:hAnsi="宋体"/>
          <w:color w:val="auto"/>
          <w:highlight w:val="none"/>
        </w:rPr>
      </w:pPr>
      <w:r>
        <w:rPr>
          <w:color w:val="auto"/>
          <w:highlight w:val="none"/>
        </w:rPr>
        <w:t>1</w:t>
      </w:r>
      <w:r>
        <w:rPr>
          <w:rFonts w:hint="eastAsia" w:hAnsi="宋体" w:cs="宋体"/>
          <w:color w:val="auto"/>
          <w:highlight w:val="none"/>
        </w:rPr>
        <w:t>．属于保修范围、内容的项目，承包人应当在接到保修通知之日起</w:t>
      </w:r>
      <w:r>
        <w:rPr>
          <w:color w:val="auto"/>
          <w:highlight w:val="none"/>
          <w:u w:val="single"/>
        </w:rPr>
        <w:t xml:space="preserve">  </w:t>
      </w:r>
      <w:r>
        <w:rPr>
          <w:rFonts w:hint="eastAsia"/>
          <w:color w:val="auto"/>
          <w:highlight w:val="none"/>
          <w:u w:val="single"/>
        </w:rPr>
        <w:t>7</w:t>
      </w:r>
      <w:r>
        <w:rPr>
          <w:color w:val="auto"/>
          <w:highlight w:val="none"/>
          <w:u w:val="single"/>
        </w:rPr>
        <w:t xml:space="preserve"> </w:t>
      </w:r>
      <w:r>
        <w:rPr>
          <w:rFonts w:hint="eastAsia" w:hAnsi="宋体" w:cs="宋体"/>
          <w:color w:val="auto"/>
          <w:highlight w:val="none"/>
        </w:rPr>
        <w:t>天内派人保修。承包人不在约定期限内派人保修的，发包人可以委托他人修理，修理费用从质量保证金内扣除。</w:t>
      </w:r>
    </w:p>
    <w:p>
      <w:pPr>
        <w:spacing w:line="360" w:lineRule="auto"/>
        <w:ind w:firstLine="420"/>
        <w:rPr>
          <w:rFonts w:hAnsi="宋体"/>
          <w:color w:val="auto"/>
          <w:highlight w:val="none"/>
        </w:rPr>
      </w:pPr>
      <w:r>
        <w:rPr>
          <w:color w:val="auto"/>
          <w:highlight w:val="none"/>
        </w:rPr>
        <w:t>2</w:t>
      </w:r>
      <w:r>
        <w:rPr>
          <w:rFonts w:hint="eastAsia" w:hAnsi="宋体" w:cs="宋体"/>
          <w:color w:val="auto"/>
          <w:highlight w:val="none"/>
        </w:rPr>
        <w:t>．发生紧急事故需抢修的，承包人在接到事故通知后，应当立即到达事故现场抢修。</w:t>
      </w:r>
    </w:p>
    <w:p>
      <w:pPr>
        <w:spacing w:line="360" w:lineRule="auto"/>
        <w:ind w:firstLine="420"/>
        <w:rPr>
          <w:rFonts w:hAnsi="宋体"/>
          <w:color w:val="auto"/>
          <w:highlight w:val="none"/>
        </w:rPr>
      </w:pPr>
      <w:r>
        <w:rPr>
          <w:color w:val="auto"/>
          <w:highlight w:val="none"/>
        </w:rPr>
        <w:t>3</w:t>
      </w:r>
      <w:r>
        <w:rPr>
          <w:rFonts w:hint="eastAsia" w:hAnsi="宋体" w:cs="宋体"/>
          <w:color w:val="auto"/>
          <w:highlight w:val="none"/>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ind w:firstLine="420"/>
        <w:rPr>
          <w:rFonts w:hAnsi="宋体"/>
          <w:color w:val="auto"/>
          <w:highlight w:val="none"/>
        </w:rPr>
      </w:pPr>
      <w:r>
        <w:rPr>
          <w:color w:val="auto"/>
          <w:highlight w:val="none"/>
        </w:rPr>
        <w:t>4</w:t>
      </w:r>
      <w:r>
        <w:rPr>
          <w:rFonts w:hint="eastAsia" w:hAnsi="宋体" w:cs="宋体"/>
          <w:color w:val="auto"/>
          <w:highlight w:val="none"/>
        </w:rPr>
        <w:t>．质量保修完成后，由发包人组织验收。</w:t>
      </w:r>
    </w:p>
    <w:p>
      <w:pPr>
        <w:spacing w:line="360" w:lineRule="auto"/>
        <w:ind w:firstLine="420"/>
        <w:rPr>
          <w:rFonts w:ascii="黑体" w:hAnsi="宋体" w:eastAsia="黑体"/>
          <w:color w:val="auto"/>
          <w:highlight w:val="none"/>
        </w:rPr>
      </w:pPr>
      <w:r>
        <w:rPr>
          <w:rFonts w:hint="eastAsia" w:ascii="黑体" w:hAnsi="宋体" w:eastAsia="黑体" w:cs="黑体"/>
          <w:color w:val="auto"/>
          <w:highlight w:val="none"/>
        </w:rPr>
        <w:t>五、保修费用</w:t>
      </w:r>
    </w:p>
    <w:p>
      <w:pPr>
        <w:tabs>
          <w:tab w:val="left" w:pos="7380"/>
        </w:tabs>
        <w:spacing w:line="360" w:lineRule="auto"/>
        <w:ind w:firstLine="420"/>
        <w:rPr>
          <w:rFonts w:hAnsi="宋体"/>
          <w:color w:val="auto"/>
          <w:highlight w:val="none"/>
        </w:rPr>
      </w:pPr>
      <w:r>
        <w:rPr>
          <w:rFonts w:hint="eastAsia" w:hAnsi="宋体" w:cs="宋体"/>
          <w:color w:val="auto"/>
          <w:highlight w:val="none"/>
        </w:rPr>
        <w:t>保修费用由造成质量缺陷的责任方承担。</w:t>
      </w:r>
    </w:p>
    <w:p>
      <w:pPr>
        <w:spacing w:line="360" w:lineRule="auto"/>
        <w:ind w:firstLine="420"/>
        <w:rPr>
          <w:rFonts w:ascii="黑体" w:hAnsi="宋体" w:eastAsia="黑体" w:cs="黑体"/>
          <w:color w:val="auto"/>
          <w:highlight w:val="none"/>
        </w:rPr>
      </w:pPr>
      <w:r>
        <w:rPr>
          <w:rFonts w:hint="eastAsia" w:ascii="黑体" w:hAnsi="宋体" w:eastAsia="黑体" w:cs="黑体"/>
          <w:color w:val="auto"/>
          <w:highlight w:val="none"/>
        </w:rPr>
        <w:t>六、双方约定的其他工程质量保修事项：</w:t>
      </w:r>
      <w:r>
        <w:rPr>
          <w:rFonts w:ascii="黑体" w:hAnsi="宋体" w:eastAsia="黑体" w:cs="黑体"/>
          <w:color w:val="auto"/>
          <w:highlight w:val="none"/>
        </w:rPr>
        <w:t xml:space="preserve"> </w:t>
      </w:r>
    </w:p>
    <w:p>
      <w:pPr>
        <w:spacing w:line="360" w:lineRule="auto"/>
        <w:ind w:firstLine="420" w:firstLineChars="200"/>
        <w:jc w:val="left"/>
        <w:rPr>
          <w:color w:val="auto"/>
          <w:highlight w:val="none"/>
        </w:rPr>
      </w:pPr>
      <w:r>
        <w:rPr>
          <w:color w:val="auto"/>
          <w:highlight w:val="none"/>
          <w:u w:val="single"/>
        </w:rPr>
        <w:t xml:space="preserve">   </w:t>
      </w:r>
      <w:r>
        <w:rPr>
          <w:rFonts w:hint="eastAsia" w:ascii="宋体" w:hAnsi="宋体" w:cs="宋体"/>
          <w:color w:val="auto"/>
          <w:highlight w:val="none"/>
          <w:u w:val="single"/>
        </w:rPr>
        <w:t>承包人未按照法律法规有关规定和合同约定履行质量保修义务的，发包人有权从质量保证金扣留用于质量保修的各项支出</w:t>
      </w:r>
      <w:r>
        <w:rPr>
          <w:color w:val="auto"/>
          <w:highlight w:val="none"/>
          <w:u w:val="single"/>
        </w:rPr>
        <w:t xml:space="preserve"> </w:t>
      </w:r>
      <w:r>
        <w:rPr>
          <w:rFonts w:hint="eastAsia" w:hAnsi="宋体" w:cs="宋体"/>
          <w:color w:val="auto"/>
          <w:highlight w:val="none"/>
        </w:rPr>
        <w:t>。</w:t>
      </w:r>
    </w:p>
    <w:p>
      <w:pPr>
        <w:spacing w:line="360" w:lineRule="auto"/>
        <w:ind w:firstLine="399" w:firstLineChars="190"/>
        <w:rPr>
          <w:color w:val="auto"/>
          <w:highlight w:val="none"/>
        </w:rPr>
      </w:pPr>
      <w:r>
        <w:rPr>
          <w:rFonts w:hint="eastAsia" w:hAnsi="宋体" w:cs="宋体"/>
          <w:color w:val="auto"/>
          <w:highlight w:val="none"/>
        </w:rPr>
        <w:t>工程质量保修书由发包人、承包人在工程竣工验收前共同签署，作为施工合同附件，其有效期限至保修期满。</w:t>
      </w:r>
    </w:p>
    <w:p>
      <w:pPr>
        <w:spacing w:line="360" w:lineRule="auto"/>
        <w:ind w:firstLine="420"/>
        <w:rPr>
          <w:color w:val="auto"/>
          <w:highlight w:val="none"/>
        </w:rPr>
      </w:pPr>
    </w:p>
    <w:p>
      <w:pPr>
        <w:spacing w:line="360" w:lineRule="auto"/>
        <w:rPr>
          <w:color w:val="auto"/>
          <w:highlight w:val="none"/>
        </w:rPr>
      </w:pPr>
      <w:r>
        <w:rPr>
          <w:rFonts w:hAnsi="宋体"/>
          <w:color w:val="auto"/>
          <w:highlight w:val="none"/>
        </w:rPr>
        <w:t>发包人</w:t>
      </w:r>
      <w:r>
        <w:rPr>
          <w:rFonts w:hint="eastAsia"/>
          <w:color w:val="auto"/>
          <w:highlight w:val="none"/>
        </w:rPr>
        <w:t>（</w:t>
      </w:r>
      <w:r>
        <w:rPr>
          <w:rFonts w:hAnsi="宋体"/>
          <w:color w:val="auto"/>
          <w:highlight w:val="none"/>
        </w:rPr>
        <w:t>公章</w:t>
      </w:r>
      <w:r>
        <w:rPr>
          <w:rFonts w:hint="eastAsia"/>
          <w:color w:val="auto"/>
          <w:highlight w:val="none"/>
        </w:rPr>
        <w:t>）</w:t>
      </w:r>
      <w:r>
        <w:rPr>
          <w:rFonts w:hAnsi="宋体"/>
          <w:color w:val="auto"/>
          <w:highlight w:val="none"/>
        </w:rPr>
        <w:t>：</w:t>
      </w:r>
      <w:r>
        <w:rPr>
          <w:color w:val="auto"/>
          <w:highlight w:val="none"/>
          <w:u w:val="single"/>
        </w:rPr>
        <w:t xml:space="preserve"> </w:t>
      </w:r>
      <w:r>
        <w:rPr>
          <w:rFonts w:ascii="宋体" w:hAnsi="宋体"/>
          <w:color w:val="auto"/>
          <w:highlight w:val="none"/>
          <w:u w:val="single"/>
        </w:rPr>
        <w:t></w:t>
      </w:r>
      <w:r>
        <w:rPr>
          <w:color w:val="auto"/>
          <w:highlight w:val="none"/>
          <w:u w:val="single"/>
        </w:rPr>
        <w:t xml:space="preserve"> </w:t>
      </w:r>
      <w:r>
        <w:rPr>
          <w:rFonts w:ascii="宋体" w:hAnsi="宋体"/>
          <w:color w:val="auto"/>
          <w:highlight w:val="none"/>
          <w:u w:val="single"/>
        </w:rPr>
        <w:t></w:t>
      </w:r>
      <w:r>
        <w:rPr>
          <w:color w:val="auto"/>
          <w:highlight w:val="none"/>
          <w:u w:val="single"/>
        </w:rPr>
        <w:t xml:space="preserve"> </w:t>
      </w:r>
      <w:r>
        <w:rPr>
          <w:rFonts w:hint="eastAsia"/>
          <w:color w:val="auto"/>
          <w:highlight w:val="none"/>
          <w:u w:val="single"/>
        </w:rPr>
        <w:t xml:space="preserve"> </w:t>
      </w:r>
      <w:r>
        <w:rPr>
          <w:color w:val="auto"/>
          <w:highlight w:val="none"/>
          <w:u w:val="single"/>
        </w:rPr>
        <w:t xml:space="preserve">     </w:t>
      </w:r>
      <w:r>
        <w:rPr>
          <w:color w:val="auto"/>
          <w:highlight w:val="none"/>
        </w:rPr>
        <w:t xml:space="preserve"> </w:t>
      </w:r>
      <w:r>
        <w:rPr>
          <w:rFonts w:hint="eastAsia"/>
          <w:color w:val="auto"/>
          <w:highlight w:val="none"/>
        </w:rPr>
        <w:t xml:space="preserve">            </w:t>
      </w:r>
      <w:r>
        <w:rPr>
          <w:rFonts w:hAnsi="宋体"/>
          <w:color w:val="auto"/>
          <w:highlight w:val="none"/>
        </w:rPr>
        <w:t>承包人</w:t>
      </w:r>
      <w:r>
        <w:rPr>
          <w:rFonts w:hint="eastAsia"/>
          <w:color w:val="auto"/>
          <w:highlight w:val="none"/>
        </w:rPr>
        <w:t>（</w:t>
      </w:r>
      <w:r>
        <w:rPr>
          <w:rFonts w:hAnsi="宋体"/>
          <w:color w:val="auto"/>
          <w:highlight w:val="none"/>
        </w:rPr>
        <w:t>公章</w:t>
      </w:r>
      <w:r>
        <w:rPr>
          <w:rFonts w:hint="eastAsia"/>
          <w:color w:val="auto"/>
          <w:highlight w:val="none"/>
        </w:rPr>
        <w:t>）</w:t>
      </w:r>
      <w:r>
        <w:rPr>
          <w:rFonts w:hAnsi="宋体"/>
          <w:color w:val="auto"/>
          <w:highlight w:val="none"/>
        </w:rPr>
        <w:t>：</w:t>
      </w:r>
      <w:r>
        <w:rPr>
          <w:rFonts w:ascii="宋体" w:hAnsi="宋体"/>
          <w:color w:val="auto"/>
          <w:highlight w:val="none"/>
          <w:u w:val="single"/>
        </w:rPr>
        <w:t></w:t>
      </w:r>
      <w:r>
        <w:rPr>
          <w:color w:val="auto"/>
          <w:highlight w:val="none"/>
          <w:u w:val="single"/>
        </w:rPr>
        <w:t xml:space="preserve">          </w:t>
      </w:r>
      <w:r>
        <w:rPr>
          <w:rFonts w:ascii="宋体" w:hAnsi="宋体"/>
          <w:color w:val="auto"/>
          <w:highlight w:val="none"/>
          <w:u w:val="single"/>
        </w:rPr>
        <w:t></w:t>
      </w:r>
    </w:p>
    <w:p>
      <w:pPr>
        <w:spacing w:line="360" w:lineRule="auto"/>
        <w:rPr>
          <w:color w:val="auto"/>
          <w:highlight w:val="none"/>
        </w:rPr>
      </w:pPr>
      <w:r>
        <w:rPr>
          <w:rFonts w:hAnsi="宋体"/>
          <w:color w:val="auto"/>
          <w:highlight w:val="none"/>
        </w:rPr>
        <w:t>地</w:t>
      </w:r>
      <w:r>
        <w:rPr>
          <w:color w:val="auto"/>
          <w:highlight w:val="none"/>
        </w:rPr>
        <w:t xml:space="preserve">  </w:t>
      </w:r>
      <w:r>
        <w:rPr>
          <w:rFonts w:hAnsi="宋体"/>
          <w:color w:val="auto"/>
          <w:highlight w:val="none"/>
        </w:rPr>
        <w:t>址：</w:t>
      </w:r>
      <w:r>
        <w:rPr>
          <w:color w:val="auto"/>
          <w:highlight w:val="none"/>
          <w:u w:val="single"/>
        </w:rPr>
        <w:t xml:space="preserve"> </w:t>
      </w:r>
      <w:r>
        <w:rPr>
          <w:rFonts w:ascii="宋体" w:hAnsi="宋体"/>
          <w:color w:val="auto"/>
          <w:highlight w:val="none"/>
          <w:u w:val="single"/>
        </w:rPr>
        <w:t></w:t>
      </w:r>
      <w:r>
        <w:rPr>
          <w:color w:val="auto"/>
          <w:highlight w:val="none"/>
          <w:u w:val="single"/>
        </w:rPr>
        <w:t xml:space="preserve">   </w:t>
      </w:r>
      <w:r>
        <w:rPr>
          <w:rFonts w:hint="eastAsia"/>
          <w:color w:val="auto"/>
          <w:highlight w:val="none"/>
          <w:u w:val="single"/>
        </w:rPr>
        <w:t xml:space="preserve">  </w:t>
      </w:r>
      <w:r>
        <w:rPr>
          <w:color w:val="auto"/>
          <w:highlight w:val="none"/>
          <w:u w:val="single"/>
        </w:rPr>
        <w:t xml:space="preserve"> </w:t>
      </w:r>
      <w:r>
        <w:rPr>
          <w:color w:val="auto"/>
          <w:highlight w:val="none"/>
        </w:rPr>
        <w:t xml:space="preserve"> </w:t>
      </w:r>
      <w:r>
        <w:rPr>
          <w:rFonts w:hint="eastAsia"/>
          <w:color w:val="auto"/>
          <w:highlight w:val="none"/>
        </w:rPr>
        <w:t xml:space="preserve">             </w:t>
      </w:r>
      <w:r>
        <w:rPr>
          <w:rFonts w:hAnsi="宋体"/>
          <w:color w:val="auto"/>
          <w:highlight w:val="none"/>
        </w:rPr>
        <w:t>地</w:t>
      </w:r>
      <w:r>
        <w:rPr>
          <w:color w:val="auto"/>
          <w:highlight w:val="none"/>
        </w:rPr>
        <w:t xml:space="preserve">  </w:t>
      </w:r>
      <w:r>
        <w:rPr>
          <w:rFonts w:hAnsi="宋体"/>
          <w:color w:val="auto"/>
          <w:highlight w:val="none"/>
        </w:rPr>
        <w:t>址：</w:t>
      </w:r>
      <w:r>
        <w:rPr>
          <w:rFonts w:ascii="宋体" w:hAnsi="宋体"/>
          <w:color w:val="auto"/>
          <w:highlight w:val="none"/>
          <w:u w:val="single"/>
        </w:rPr>
        <w:t></w:t>
      </w:r>
      <w:r>
        <w:rPr>
          <w:color w:val="auto"/>
          <w:highlight w:val="none"/>
          <w:u w:val="single"/>
        </w:rPr>
        <w:t xml:space="preserve"> </w:t>
      </w:r>
      <w:r>
        <w:rPr>
          <w:rFonts w:hint="eastAsia"/>
          <w:color w:val="auto"/>
          <w:highlight w:val="none"/>
          <w:u w:val="single"/>
        </w:rPr>
        <w:t xml:space="preserve">     </w:t>
      </w:r>
      <w:r>
        <w:rPr>
          <w:rFonts w:ascii="宋体" w:hAnsi="宋体"/>
          <w:color w:val="auto"/>
          <w:highlight w:val="none"/>
          <w:u w:val="single"/>
        </w:rPr>
        <w:t></w:t>
      </w:r>
    </w:p>
    <w:p>
      <w:pPr>
        <w:spacing w:line="360" w:lineRule="auto"/>
        <w:rPr>
          <w:color w:val="auto"/>
          <w:highlight w:val="none"/>
        </w:rPr>
      </w:pPr>
      <w:r>
        <w:rPr>
          <w:rFonts w:hAnsi="宋体"/>
          <w:color w:val="auto"/>
          <w:highlight w:val="none"/>
        </w:rPr>
        <w:t>法定代表人</w:t>
      </w:r>
      <w:r>
        <w:rPr>
          <w:rFonts w:hint="eastAsia"/>
          <w:color w:val="auto"/>
          <w:highlight w:val="none"/>
        </w:rPr>
        <w:t>（</w:t>
      </w:r>
      <w:r>
        <w:rPr>
          <w:rFonts w:hAnsi="宋体"/>
          <w:color w:val="auto"/>
          <w:highlight w:val="none"/>
        </w:rPr>
        <w:t>签字</w:t>
      </w:r>
      <w:r>
        <w:rPr>
          <w:rFonts w:hint="eastAsia"/>
          <w:color w:val="auto"/>
          <w:highlight w:val="none"/>
        </w:rPr>
        <w:t>）</w:t>
      </w:r>
      <w:r>
        <w:rPr>
          <w:rFonts w:hAnsi="宋体"/>
          <w:color w:val="auto"/>
          <w:highlight w:val="none"/>
        </w:rPr>
        <w:t>：</w:t>
      </w:r>
      <w:r>
        <w:rPr>
          <w:rFonts w:ascii="宋体" w:hAnsi="宋体"/>
          <w:color w:val="auto"/>
          <w:highlight w:val="none"/>
          <w:u w:val="single"/>
        </w:rPr>
        <w:t></w:t>
      </w:r>
      <w:r>
        <w:rPr>
          <w:color w:val="auto"/>
          <w:highlight w:val="none"/>
          <w:u w:val="single"/>
        </w:rPr>
        <w:t xml:space="preserve">      </w:t>
      </w:r>
      <w:r>
        <w:rPr>
          <w:color w:val="auto"/>
          <w:highlight w:val="none"/>
        </w:rPr>
        <w:t xml:space="preserve"> </w:t>
      </w:r>
      <w:r>
        <w:rPr>
          <w:rFonts w:hint="eastAsia"/>
          <w:color w:val="auto"/>
          <w:highlight w:val="none"/>
        </w:rPr>
        <w:t xml:space="preserve">             </w:t>
      </w:r>
      <w:r>
        <w:rPr>
          <w:rFonts w:hAnsi="宋体"/>
          <w:color w:val="auto"/>
          <w:highlight w:val="none"/>
        </w:rPr>
        <w:t>法定代表人</w:t>
      </w:r>
      <w:r>
        <w:rPr>
          <w:rFonts w:hint="eastAsia"/>
          <w:color w:val="auto"/>
          <w:highlight w:val="none"/>
        </w:rPr>
        <w:t>（</w:t>
      </w:r>
      <w:r>
        <w:rPr>
          <w:rFonts w:hAnsi="宋体"/>
          <w:color w:val="auto"/>
          <w:highlight w:val="none"/>
        </w:rPr>
        <w:t>签字</w:t>
      </w:r>
      <w:r>
        <w:rPr>
          <w:rFonts w:hint="eastAsia"/>
          <w:color w:val="auto"/>
          <w:highlight w:val="none"/>
        </w:rPr>
        <w:t>）</w:t>
      </w:r>
      <w:r>
        <w:rPr>
          <w:rFonts w:hAnsi="宋体"/>
          <w:color w:val="auto"/>
          <w:highlight w:val="none"/>
        </w:rPr>
        <w:t>：</w:t>
      </w:r>
      <w:r>
        <w:rPr>
          <w:rFonts w:ascii="宋体" w:hAnsi="宋体"/>
          <w:color w:val="auto"/>
          <w:highlight w:val="none"/>
          <w:u w:val="single"/>
        </w:rPr>
        <w:t></w:t>
      </w:r>
      <w:r>
        <w:rPr>
          <w:rFonts w:hint="eastAsia" w:ascii="宋体" w:hAnsi="宋体"/>
          <w:color w:val="auto"/>
          <w:highlight w:val="none"/>
          <w:u w:val="single"/>
        </w:rPr>
        <w:t xml:space="preserve">     </w:t>
      </w:r>
      <w:r>
        <w:rPr>
          <w:rFonts w:ascii="宋体" w:hAnsi="宋体"/>
          <w:color w:val="auto"/>
          <w:highlight w:val="none"/>
          <w:u w:val="single"/>
        </w:rPr>
        <w:t></w:t>
      </w:r>
    </w:p>
    <w:p>
      <w:pPr>
        <w:spacing w:line="360" w:lineRule="auto"/>
        <w:rPr>
          <w:color w:val="auto"/>
          <w:highlight w:val="none"/>
        </w:rPr>
      </w:pPr>
      <w:r>
        <w:rPr>
          <w:rFonts w:hAnsi="宋体"/>
          <w:color w:val="auto"/>
          <w:highlight w:val="none"/>
        </w:rPr>
        <w:t>委托代理人</w:t>
      </w:r>
      <w:r>
        <w:rPr>
          <w:rFonts w:hint="eastAsia"/>
          <w:color w:val="auto"/>
          <w:highlight w:val="none"/>
        </w:rPr>
        <w:t>（</w:t>
      </w:r>
      <w:r>
        <w:rPr>
          <w:rFonts w:hAnsi="宋体"/>
          <w:color w:val="auto"/>
          <w:highlight w:val="none"/>
        </w:rPr>
        <w:t>签字</w:t>
      </w:r>
      <w:r>
        <w:rPr>
          <w:rFonts w:hint="eastAsia"/>
          <w:color w:val="auto"/>
          <w:highlight w:val="none"/>
        </w:rPr>
        <w:t>）</w:t>
      </w:r>
      <w:r>
        <w:rPr>
          <w:rFonts w:hAnsi="宋体"/>
          <w:color w:val="auto"/>
          <w:highlight w:val="none"/>
        </w:rPr>
        <w:t>：</w:t>
      </w:r>
      <w:r>
        <w:rPr>
          <w:rFonts w:ascii="宋体" w:hAnsi="宋体"/>
          <w:color w:val="auto"/>
          <w:highlight w:val="none"/>
          <w:u w:val="single"/>
        </w:rPr>
        <w:t></w:t>
      </w:r>
      <w:r>
        <w:rPr>
          <w:color w:val="auto"/>
          <w:highlight w:val="none"/>
          <w:u w:val="single"/>
        </w:rPr>
        <w:t xml:space="preserve">      </w:t>
      </w:r>
      <w:r>
        <w:rPr>
          <w:color w:val="auto"/>
          <w:highlight w:val="none"/>
        </w:rPr>
        <w:t xml:space="preserve"> </w:t>
      </w:r>
      <w:r>
        <w:rPr>
          <w:rFonts w:hint="eastAsia"/>
          <w:color w:val="auto"/>
          <w:highlight w:val="none"/>
        </w:rPr>
        <w:t xml:space="preserve">             </w:t>
      </w:r>
      <w:r>
        <w:rPr>
          <w:rFonts w:hAnsi="宋体"/>
          <w:color w:val="auto"/>
          <w:highlight w:val="none"/>
        </w:rPr>
        <w:t>委托代理人</w:t>
      </w:r>
      <w:r>
        <w:rPr>
          <w:rFonts w:hint="eastAsia"/>
          <w:color w:val="auto"/>
          <w:highlight w:val="none"/>
        </w:rPr>
        <w:t>（</w:t>
      </w:r>
      <w:r>
        <w:rPr>
          <w:rFonts w:hAnsi="宋体"/>
          <w:color w:val="auto"/>
          <w:highlight w:val="none"/>
        </w:rPr>
        <w:t>签字</w:t>
      </w:r>
      <w:r>
        <w:rPr>
          <w:rFonts w:hint="eastAsia"/>
          <w:color w:val="auto"/>
          <w:highlight w:val="none"/>
        </w:rPr>
        <w:t>）</w:t>
      </w:r>
      <w:r>
        <w:rPr>
          <w:rFonts w:hAnsi="宋体"/>
          <w:color w:val="auto"/>
          <w:highlight w:val="none"/>
        </w:rPr>
        <w:t>：</w:t>
      </w:r>
      <w:r>
        <w:rPr>
          <w:rFonts w:ascii="宋体" w:hAnsi="宋体"/>
          <w:color w:val="auto"/>
          <w:highlight w:val="none"/>
          <w:u w:val="single"/>
        </w:rPr>
        <w:t></w:t>
      </w:r>
      <w:r>
        <w:rPr>
          <w:rFonts w:hint="eastAsia" w:ascii="宋体" w:hAnsi="宋体"/>
          <w:color w:val="auto"/>
          <w:highlight w:val="none"/>
          <w:u w:val="single"/>
        </w:rPr>
        <w:t xml:space="preserve">     </w:t>
      </w:r>
      <w:r>
        <w:rPr>
          <w:rFonts w:ascii="宋体" w:hAnsi="宋体"/>
          <w:color w:val="auto"/>
          <w:highlight w:val="none"/>
          <w:u w:val="single"/>
        </w:rPr>
        <w:t></w:t>
      </w:r>
    </w:p>
    <w:p>
      <w:pPr>
        <w:spacing w:line="360" w:lineRule="auto"/>
        <w:rPr>
          <w:color w:val="auto"/>
          <w:highlight w:val="none"/>
        </w:rPr>
      </w:pPr>
      <w:r>
        <w:rPr>
          <w:rFonts w:hAnsi="宋体"/>
          <w:color w:val="auto"/>
          <w:highlight w:val="none"/>
        </w:rPr>
        <w:t>电</w:t>
      </w:r>
      <w:r>
        <w:rPr>
          <w:color w:val="auto"/>
          <w:highlight w:val="none"/>
        </w:rPr>
        <w:t xml:space="preserve">  </w:t>
      </w:r>
      <w:r>
        <w:rPr>
          <w:rFonts w:hAnsi="宋体"/>
          <w:color w:val="auto"/>
          <w:highlight w:val="none"/>
        </w:rPr>
        <w:t>话：</w:t>
      </w:r>
      <w:r>
        <w:rPr>
          <w:rFonts w:ascii="宋体" w:hAnsi="宋体"/>
          <w:color w:val="auto"/>
          <w:highlight w:val="none"/>
          <w:u w:val="single"/>
        </w:rPr>
        <w:t></w:t>
      </w:r>
      <w:r>
        <w:rPr>
          <w:color w:val="auto"/>
          <w:highlight w:val="none"/>
          <w:u w:val="single"/>
        </w:rPr>
        <w:t xml:space="preserve"> </w:t>
      </w:r>
      <w:r>
        <w:rPr>
          <w:rFonts w:hint="eastAsia"/>
          <w:color w:val="auto"/>
          <w:highlight w:val="none"/>
          <w:u w:val="single"/>
        </w:rPr>
        <w:t xml:space="preserve">  </w:t>
      </w:r>
      <w:r>
        <w:rPr>
          <w:color w:val="auto"/>
          <w:highlight w:val="none"/>
          <w:u w:val="single"/>
        </w:rPr>
        <w:t xml:space="preserve">  </w:t>
      </w:r>
      <w:r>
        <w:rPr>
          <w:color w:val="auto"/>
          <w:highlight w:val="none"/>
        </w:rPr>
        <w:t xml:space="preserve"> </w:t>
      </w:r>
      <w:r>
        <w:rPr>
          <w:rFonts w:hint="eastAsia"/>
          <w:color w:val="auto"/>
          <w:highlight w:val="none"/>
        </w:rPr>
        <w:t xml:space="preserve">             </w:t>
      </w:r>
      <w:r>
        <w:rPr>
          <w:rFonts w:hAnsi="宋体"/>
          <w:color w:val="auto"/>
          <w:highlight w:val="none"/>
        </w:rPr>
        <w:t>电</w:t>
      </w:r>
      <w:r>
        <w:rPr>
          <w:color w:val="auto"/>
          <w:highlight w:val="none"/>
        </w:rPr>
        <w:t xml:space="preserve">  </w:t>
      </w:r>
      <w:r>
        <w:rPr>
          <w:rFonts w:hAnsi="宋体"/>
          <w:color w:val="auto"/>
          <w:highlight w:val="none"/>
        </w:rPr>
        <w:t>话：</w:t>
      </w:r>
      <w:r>
        <w:rPr>
          <w:rFonts w:ascii="宋体" w:hAnsi="宋体"/>
          <w:color w:val="auto"/>
          <w:highlight w:val="none"/>
          <w:u w:val="single"/>
        </w:rPr>
        <w:t></w:t>
      </w:r>
      <w:r>
        <w:rPr>
          <w:rFonts w:hint="eastAsia" w:ascii="宋体" w:hAnsi="宋体"/>
          <w:color w:val="auto"/>
          <w:highlight w:val="none"/>
          <w:u w:val="single"/>
        </w:rPr>
        <w:t xml:space="preserve">      </w:t>
      </w:r>
      <w:r>
        <w:rPr>
          <w:rFonts w:ascii="宋体" w:hAnsi="宋体"/>
          <w:color w:val="auto"/>
          <w:highlight w:val="none"/>
          <w:u w:val="single"/>
        </w:rPr>
        <w:t></w:t>
      </w:r>
    </w:p>
    <w:p>
      <w:pPr>
        <w:spacing w:line="360" w:lineRule="auto"/>
        <w:rPr>
          <w:color w:val="auto"/>
          <w:highlight w:val="none"/>
        </w:rPr>
      </w:pPr>
      <w:r>
        <w:rPr>
          <w:rFonts w:hAnsi="宋体"/>
          <w:color w:val="auto"/>
          <w:highlight w:val="none"/>
        </w:rPr>
        <w:t>传</w:t>
      </w:r>
      <w:r>
        <w:rPr>
          <w:color w:val="auto"/>
          <w:highlight w:val="none"/>
        </w:rPr>
        <w:t xml:space="preserve">  </w:t>
      </w:r>
      <w:r>
        <w:rPr>
          <w:rFonts w:hAnsi="宋体"/>
          <w:color w:val="auto"/>
          <w:highlight w:val="none"/>
        </w:rPr>
        <w:t>真：</w:t>
      </w:r>
      <w:r>
        <w:rPr>
          <w:rFonts w:ascii="宋体" w:hAnsi="宋体"/>
          <w:color w:val="auto"/>
          <w:highlight w:val="none"/>
          <w:u w:val="single"/>
        </w:rPr>
        <w:t></w:t>
      </w:r>
      <w:r>
        <w:rPr>
          <w:rFonts w:hint="eastAsia" w:ascii="宋体" w:hAnsi="宋体"/>
          <w:color w:val="auto"/>
          <w:highlight w:val="none"/>
          <w:u w:val="single"/>
        </w:rPr>
        <w:t xml:space="preserve">  </w:t>
      </w:r>
      <w:r>
        <w:rPr>
          <w:color w:val="auto"/>
          <w:highlight w:val="none"/>
          <w:u w:val="single"/>
        </w:rPr>
        <w:t xml:space="preserve">   </w:t>
      </w:r>
      <w:r>
        <w:rPr>
          <w:color w:val="auto"/>
          <w:highlight w:val="none"/>
        </w:rPr>
        <w:t xml:space="preserve"> </w:t>
      </w:r>
      <w:r>
        <w:rPr>
          <w:rFonts w:hint="eastAsia"/>
          <w:color w:val="auto"/>
          <w:highlight w:val="none"/>
        </w:rPr>
        <w:t xml:space="preserve">             </w:t>
      </w:r>
      <w:r>
        <w:rPr>
          <w:rFonts w:hAnsi="宋体"/>
          <w:color w:val="auto"/>
          <w:highlight w:val="none"/>
        </w:rPr>
        <w:t>传</w:t>
      </w:r>
      <w:r>
        <w:rPr>
          <w:color w:val="auto"/>
          <w:highlight w:val="none"/>
        </w:rPr>
        <w:t xml:space="preserve">  </w:t>
      </w:r>
      <w:r>
        <w:rPr>
          <w:rFonts w:hAnsi="宋体"/>
          <w:color w:val="auto"/>
          <w:highlight w:val="none"/>
        </w:rPr>
        <w:t>真：</w:t>
      </w:r>
      <w:r>
        <w:rPr>
          <w:rFonts w:ascii="宋体" w:hAnsi="宋体"/>
          <w:color w:val="auto"/>
          <w:highlight w:val="none"/>
          <w:u w:val="single"/>
        </w:rPr>
        <w:t></w:t>
      </w:r>
      <w:r>
        <w:rPr>
          <w:rFonts w:hint="eastAsia" w:ascii="宋体" w:hAnsi="宋体"/>
          <w:color w:val="auto"/>
          <w:highlight w:val="none"/>
          <w:u w:val="single"/>
        </w:rPr>
        <w:t xml:space="preserve">  </w:t>
      </w:r>
      <w:r>
        <w:rPr>
          <w:color w:val="auto"/>
          <w:highlight w:val="none"/>
          <w:u w:val="single"/>
        </w:rPr>
        <w:t xml:space="preserve">  </w:t>
      </w:r>
      <w:r>
        <w:rPr>
          <w:rFonts w:ascii="宋体" w:hAnsi="宋体"/>
          <w:color w:val="auto"/>
          <w:highlight w:val="none"/>
          <w:u w:val="single"/>
        </w:rPr>
        <w:t></w:t>
      </w:r>
    </w:p>
    <w:p>
      <w:pPr>
        <w:spacing w:line="360" w:lineRule="auto"/>
        <w:rPr>
          <w:color w:val="auto"/>
          <w:highlight w:val="none"/>
        </w:rPr>
      </w:pPr>
      <w:r>
        <w:rPr>
          <w:rFonts w:hAnsi="宋体"/>
          <w:color w:val="auto"/>
          <w:highlight w:val="none"/>
        </w:rPr>
        <w:t>开户银行：</w:t>
      </w:r>
      <w:r>
        <w:rPr>
          <w:rFonts w:ascii="宋体" w:hAnsi="宋体"/>
          <w:color w:val="auto"/>
          <w:highlight w:val="none"/>
          <w:u w:val="single"/>
        </w:rPr>
        <w:t></w:t>
      </w:r>
      <w:r>
        <w:rPr>
          <w:rFonts w:hint="eastAsia" w:ascii="宋体" w:hAnsi="宋体"/>
          <w:color w:val="auto"/>
          <w:highlight w:val="none"/>
          <w:u w:val="single"/>
        </w:rPr>
        <w:t xml:space="preserve">  </w:t>
      </w:r>
      <w:r>
        <w:rPr>
          <w:color w:val="auto"/>
          <w:highlight w:val="none"/>
          <w:u w:val="single"/>
        </w:rPr>
        <w:t xml:space="preserve">   </w:t>
      </w:r>
      <w:r>
        <w:rPr>
          <w:color w:val="auto"/>
          <w:highlight w:val="none"/>
        </w:rPr>
        <w:t xml:space="preserve"> </w:t>
      </w:r>
      <w:r>
        <w:rPr>
          <w:rFonts w:hint="eastAsia"/>
          <w:color w:val="auto"/>
          <w:highlight w:val="none"/>
        </w:rPr>
        <w:t xml:space="preserve">             </w:t>
      </w:r>
      <w:r>
        <w:rPr>
          <w:rFonts w:hAnsi="宋体"/>
          <w:color w:val="auto"/>
          <w:highlight w:val="none"/>
        </w:rPr>
        <w:t>开户银行：</w:t>
      </w:r>
      <w:r>
        <w:rPr>
          <w:rFonts w:ascii="宋体" w:hAnsi="宋体"/>
          <w:color w:val="auto"/>
          <w:highlight w:val="none"/>
          <w:u w:val="single"/>
        </w:rPr>
        <w:t></w:t>
      </w:r>
      <w:r>
        <w:rPr>
          <w:rFonts w:hint="eastAsia" w:ascii="宋体" w:hAnsi="宋体"/>
          <w:color w:val="auto"/>
          <w:highlight w:val="none"/>
          <w:u w:val="single"/>
        </w:rPr>
        <w:t xml:space="preserve">  </w:t>
      </w:r>
      <w:r>
        <w:rPr>
          <w:rFonts w:ascii="宋体" w:hAnsi="宋体"/>
          <w:color w:val="auto"/>
          <w:highlight w:val="none"/>
          <w:u w:val="single"/>
        </w:rPr>
        <w:t></w:t>
      </w:r>
    </w:p>
    <w:p>
      <w:pPr>
        <w:tabs>
          <w:tab w:val="left" w:pos="2880"/>
          <w:tab w:val="left" w:pos="3060"/>
          <w:tab w:val="left" w:pos="4500"/>
        </w:tabs>
        <w:spacing w:line="360" w:lineRule="auto"/>
        <w:rPr>
          <w:color w:val="auto"/>
          <w:highlight w:val="none"/>
        </w:rPr>
      </w:pPr>
      <w:r>
        <w:rPr>
          <w:rFonts w:hAnsi="宋体"/>
          <w:color w:val="auto"/>
          <w:highlight w:val="none"/>
        </w:rPr>
        <w:t>账</w:t>
      </w:r>
      <w:r>
        <w:rPr>
          <w:color w:val="auto"/>
          <w:highlight w:val="none"/>
        </w:rPr>
        <w:t xml:space="preserve">  </w:t>
      </w:r>
      <w:r>
        <w:rPr>
          <w:rFonts w:hAnsi="宋体"/>
          <w:color w:val="auto"/>
          <w:highlight w:val="none"/>
        </w:rPr>
        <w:t>号：</w:t>
      </w:r>
      <w:r>
        <w:rPr>
          <w:rFonts w:ascii="宋体" w:hAnsi="宋体"/>
          <w:color w:val="auto"/>
          <w:highlight w:val="none"/>
          <w:u w:val="single"/>
        </w:rPr>
        <w:t></w:t>
      </w:r>
      <w:r>
        <w:rPr>
          <w:color w:val="auto"/>
          <w:highlight w:val="none"/>
          <w:u w:val="single"/>
        </w:rPr>
        <w:t xml:space="preserve"> </w:t>
      </w:r>
      <w:r>
        <w:rPr>
          <w:rFonts w:ascii="宋体" w:hAnsi="宋体"/>
          <w:color w:val="auto"/>
          <w:highlight w:val="none"/>
          <w:u w:val="single"/>
        </w:rPr>
        <w:t></w:t>
      </w:r>
      <w:r>
        <w:rPr>
          <w:color w:val="auto"/>
          <w:highlight w:val="none"/>
          <w:u w:val="single"/>
        </w:rPr>
        <w:t xml:space="preserve">   </w:t>
      </w:r>
      <w:r>
        <w:rPr>
          <w:rFonts w:hint="eastAsia"/>
          <w:color w:val="auto"/>
          <w:highlight w:val="none"/>
          <w:u w:val="single"/>
        </w:rPr>
        <w:t xml:space="preserve">  </w:t>
      </w:r>
      <w:r>
        <w:rPr>
          <w:color w:val="auto"/>
          <w:highlight w:val="none"/>
          <w:u w:val="single"/>
        </w:rPr>
        <w:t xml:space="preserve"> </w:t>
      </w:r>
      <w:r>
        <w:rPr>
          <w:rFonts w:hint="eastAsia"/>
          <w:color w:val="auto"/>
          <w:highlight w:val="none"/>
          <w:u w:val="single"/>
        </w:rPr>
        <w:t xml:space="preserve"> </w:t>
      </w:r>
      <w:r>
        <w:rPr>
          <w:color w:val="auto"/>
          <w:highlight w:val="none"/>
          <w:u w:val="single"/>
        </w:rPr>
        <w:t xml:space="preserve">  </w:t>
      </w:r>
      <w:r>
        <w:rPr>
          <w:color w:val="auto"/>
          <w:highlight w:val="none"/>
        </w:rPr>
        <w:t xml:space="preserve">  </w:t>
      </w:r>
      <w:r>
        <w:rPr>
          <w:rFonts w:hint="eastAsia"/>
          <w:color w:val="auto"/>
          <w:highlight w:val="none"/>
        </w:rPr>
        <w:t xml:space="preserve">            </w:t>
      </w:r>
      <w:r>
        <w:rPr>
          <w:rFonts w:hAnsi="宋体"/>
          <w:color w:val="auto"/>
          <w:highlight w:val="none"/>
        </w:rPr>
        <w:t>账</w:t>
      </w:r>
      <w:r>
        <w:rPr>
          <w:color w:val="auto"/>
          <w:highlight w:val="none"/>
        </w:rPr>
        <w:t xml:space="preserve">  </w:t>
      </w:r>
      <w:r>
        <w:rPr>
          <w:rFonts w:hAnsi="宋体"/>
          <w:color w:val="auto"/>
          <w:highlight w:val="none"/>
        </w:rPr>
        <w:t>号：</w:t>
      </w:r>
      <w:r>
        <w:rPr>
          <w:rFonts w:ascii="宋体" w:hAnsi="宋体"/>
          <w:color w:val="auto"/>
          <w:highlight w:val="none"/>
          <w:u w:val="single"/>
        </w:rPr>
        <w:t></w:t>
      </w:r>
      <w:r>
        <w:rPr>
          <w:rFonts w:hint="eastAsia" w:ascii="宋体" w:hAnsi="宋体"/>
          <w:color w:val="auto"/>
          <w:highlight w:val="none"/>
          <w:u w:val="single"/>
        </w:rPr>
        <w:t xml:space="preserve">    </w:t>
      </w:r>
      <w:r>
        <w:rPr>
          <w:rFonts w:ascii="宋体" w:hAnsi="宋体"/>
          <w:color w:val="auto"/>
          <w:highlight w:val="none"/>
          <w:u w:val="single"/>
        </w:rPr>
        <w:t></w:t>
      </w:r>
    </w:p>
    <w:p>
      <w:pPr>
        <w:tabs>
          <w:tab w:val="left" w:pos="7200"/>
          <w:tab w:val="left" w:pos="7380"/>
          <w:tab w:val="left" w:pos="7560"/>
        </w:tabs>
        <w:spacing w:line="360" w:lineRule="auto"/>
        <w:rPr>
          <w:color w:val="auto"/>
          <w:highlight w:val="none"/>
        </w:rPr>
      </w:pPr>
      <w:r>
        <w:rPr>
          <w:rFonts w:hAnsi="宋体"/>
          <w:color w:val="auto"/>
          <w:highlight w:val="none"/>
        </w:rPr>
        <w:t>邮政编码：</w:t>
      </w:r>
      <w:r>
        <w:rPr>
          <w:color w:val="auto"/>
          <w:highlight w:val="none"/>
          <w:u w:val="single"/>
        </w:rPr>
        <w:t xml:space="preserve"> </w:t>
      </w:r>
      <w:r>
        <w:rPr>
          <w:rFonts w:ascii="宋体" w:hAnsi="宋体"/>
          <w:color w:val="auto"/>
          <w:highlight w:val="none"/>
          <w:u w:val="single"/>
        </w:rPr>
        <w:t></w:t>
      </w:r>
      <w:r>
        <w:rPr>
          <w:rFonts w:hint="eastAsia" w:ascii="宋体" w:hAnsi="宋体"/>
          <w:color w:val="auto"/>
          <w:highlight w:val="none"/>
          <w:u w:val="single"/>
        </w:rPr>
        <w:t xml:space="preserve">  </w:t>
      </w:r>
      <w:r>
        <w:rPr>
          <w:color w:val="auto"/>
          <w:highlight w:val="none"/>
          <w:u w:val="single"/>
        </w:rPr>
        <w:t xml:space="preserve">    </w:t>
      </w:r>
      <w:r>
        <w:rPr>
          <w:color w:val="auto"/>
          <w:highlight w:val="none"/>
        </w:rPr>
        <w:t xml:space="preserve"> </w:t>
      </w:r>
      <w:r>
        <w:rPr>
          <w:rFonts w:hint="eastAsia"/>
          <w:color w:val="auto"/>
          <w:highlight w:val="none"/>
        </w:rPr>
        <w:t xml:space="preserve">             </w:t>
      </w:r>
      <w:r>
        <w:rPr>
          <w:rFonts w:hAnsi="宋体"/>
          <w:color w:val="auto"/>
          <w:highlight w:val="none"/>
        </w:rPr>
        <w:t>邮政编码：</w:t>
      </w:r>
      <w:r>
        <w:rPr>
          <w:rFonts w:ascii="宋体" w:hAnsi="宋体"/>
          <w:color w:val="auto"/>
          <w:highlight w:val="none"/>
          <w:u w:val="single"/>
        </w:rPr>
        <w:t></w:t>
      </w:r>
      <w:r>
        <w:rPr>
          <w:rFonts w:hint="eastAsia" w:ascii="宋体" w:hAnsi="宋体"/>
          <w:color w:val="auto"/>
          <w:highlight w:val="none"/>
          <w:u w:val="single"/>
        </w:rPr>
        <w:t xml:space="preserve">   </w:t>
      </w:r>
      <w:r>
        <w:rPr>
          <w:rFonts w:ascii="宋体" w:hAnsi="宋体"/>
          <w:color w:val="auto"/>
          <w:highlight w:val="none"/>
          <w:u w:val="single"/>
        </w:rPr>
        <w:t></w:t>
      </w:r>
    </w:p>
    <w:p>
      <w:pPr>
        <w:pStyle w:val="36"/>
        <w:tabs>
          <w:tab w:val="left" w:pos="0"/>
        </w:tabs>
        <w:spacing w:line="276" w:lineRule="auto"/>
        <w:ind w:firstLine="0" w:firstLineChars="0"/>
        <w:rPr>
          <w:rFonts w:hint="eastAsia" w:ascii="宋体" w:hAnsi="宋体" w:eastAsia="宋体" w:cs="宋体"/>
          <w:color w:val="auto"/>
          <w:sz w:val="21"/>
          <w:szCs w:val="21"/>
          <w:highlight w:val="none"/>
        </w:rPr>
      </w:pPr>
    </w:p>
    <w:p>
      <w:pPr>
        <w:pStyle w:val="31"/>
        <w:jc w:val="center"/>
        <w:rPr>
          <w:rFonts w:hint="eastAsia" w:ascii="宋体" w:hAnsi="宋体" w:eastAsia="宋体" w:cs="宋体"/>
          <w:color w:val="auto"/>
          <w:sz w:val="21"/>
          <w:szCs w:val="21"/>
          <w:highlight w:val="none"/>
        </w:rPr>
      </w:pPr>
    </w:p>
    <w:p>
      <w:pPr>
        <w:pStyle w:val="31"/>
        <w:jc w:val="center"/>
        <w:rPr>
          <w:rFonts w:hint="eastAsia" w:ascii="宋体" w:hAnsi="宋体" w:eastAsia="宋体" w:cs="宋体"/>
          <w:color w:val="auto"/>
          <w:sz w:val="21"/>
          <w:szCs w:val="21"/>
          <w:highlight w:val="none"/>
        </w:rPr>
      </w:pPr>
    </w:p>
    <w:p>
      <w:pPr>
        <w:pStyle w:val="31"/>
        <w:jc w:val="center"/>
        <w:rPr>
          <w:rFonts w:hint="eastAsia" w:ascii="宋体" w:hAnsi="宋体" w:eastAsia="宋体" w:cs="宋体"/>
          <w:color w:val="auto"/>
          <w:sz w:val="21"/>
          <w:szCs w:val="21"/>
          <w:highlight w:val="none"/>
        </w:rPr>
      </w:pPr>
    </w:p>
    <w:p>
      <w:pPr>
        <w:pStyle w:val="31"/>
        <w:jc w:val="center"/>
        <w:rPr>
          <w:rFonts w:hint="eastAsia" w:ascii="宋体" w:hAnsi="宋体" w:eastAsia="宋体" w:cs="宋体"/>
          <w:color w:val="auto"/>
          <w:sz w:val="21"/>
          <w:szCs w:val="21"/>
          <w:highlight w:val="none"/>
        </w:rPr>
      </w:pPr>
    </w:p>
    <w:p>
      <w:pPr>
        <w:pStyle w:val="31"/>
        <w:jc w:val="center"/>
        <w:rPr>
          <w:rFonts w:hint="eastAsia" w:ascii="宋体" w:hAnsi="宋体" w:eastAsia="宋体" w:cs="宋体"/>
          <w:color w:val="auto"/>
          <w:sz w:val="21"/>
          <w:szCs w:val="21"/>
          <w:highlight w:val="none"/>
        </w:rPr>
      </w:pPr>
    </w:p>
    <w:p>
      <w:pPr>
        <w:pStyle w:val="31"/>
        <w:jc w:val="center"/>
        <w:rPr>
          <w:rFonts w:hint="eastAsia" w:ascii="宋体" w:hAnsi="宋体" w:eastAsia="宋体" w:cs="宋体"/>
          <w:color w:val="auto"/>
          <w:sz w:val="21"/>
          <w:szCs w:val="21"/>
          <w:highlight w:val="none"/>
        </w:rPr>
      </w:pPr>
    </w:p>
    <w:p>
      <w:pPr>
        <w:pStyle w:val="31"/>
        <w:jc w:val="center"/>
        <w:rPr>
          <w:rFonts w:hint="eastAsia" w:ascii="宋体" w:hAnsi="宋体" w:eastAsia="宋体" w:cs="宋体"/>
          <w:color w:val="auto"/>
          <w:sz w:val="21"/>
          <w:szCs w:val="21"/>
          <w:highlight w:val="none"/>
        </w:rPr>
      </w:pPr>
    </w:p>
    <w:p>
      <w:pPr>
        <w:pStyle w:val="31"/>
        <w:jc w:val="center"/>
        <w:rPr>
          <w:rFonts w:hint="eastAsia" w:ascii="宋体" w:hAnsi="宋体" w:eastAsia="宋体" w:cs="宋体"/>
          <w:color w:val="auto"/>
          <w:sz w:val="21"/>
          <w:szCs w:val="21"/>
          <w:highlight w:val="none"/>
        </w:rPr>
      </w:pPr>
    </w:p>
    <w:p>
      <w:pPr>
        <w:pStyle w:val="31"/>
        <w:jc w:val="center"/>
        <w:rPr>
          <w:rFonts w:hint="eastAsia" w:ascii="宋体" w:hAnsi="宋体" w:eastAsia="宋体" w:cs="宋体"/>
          <w:color w:val="auto"/>
          <w:sz w:val="21"/>
          <w:szCs w:val="21"/>
          <w:highlight w:val="none"/>
        </w:rPr>
      </w:pPr>
    </w:p>
    <w:p>
      <w:pPr>
        <w:pStyle w:val="31"/>
        <w:jc w:val="center"/>
        <w:rPr>
          <w:rFonts w:hint="eastAsia" w:ascii="宋体" w:hAnsi="宋体" w:eastAsia="宋体" w:cs="宋体"/>
          <w:color w:val="auto"/>
          <w:sz w:val="21"/>
          <w:szCs w:val="21"/>
          <w:highlight w:val="none"/>
        </w:rPr>
      </w:pPr>
    </w:p>
    <w:p>
      <w:pPr>
        <w:pStyle w:val="31"/>
        <w:jc w:val="center"/>
        <w:rPr>
          <w:rFonts w:hint="eastAsia" w:ascii="宋体" w:hAnsi="宋体" w:eastAsia="宋体" w:cs="宋体"/>
          <w:color w:val="auto"/>
          <w:sz w:val="21"/>
          <w:szCs w:val="21"/>
          <w:highlight w:val="none"/>
        </w:rPr>
      </w:pPr>
    </w:p>
    <w:p>
      <w:pPr>
        <w:pStyle w:val="31"/>
        <w:jc w:val="center"/>
        <w:rPr>
          <w:rFonts w:hint="eastAsia" w:ascii="宋体" w:hAnsi="宋体" w:eastAsia="宋体" w:cs="宋体"/>
          <w:color w:val="auto"/>
          <w:sz w:val="21"/>
          <w:szCs w:val="21"/>
          <w:highlight w:val="none"/>
        </w:rPr>
      </w:pPr>
    </w:p>
    <w:p>
      <w:pPr>
        <w:pStyle w:val="31"/>
        <w:jc w:val="center"/>
        <w:rPr>
          <w:rFonts w:hint="eastAsia" w:ascii="宋体" w:hAnsi="宋体" w:eastAsia="宋体" w:cs="宋体"/>
          <w:color w:val="auto"/>
          <w:sz w:val="21"/>
          <w:szCs w:val="21"/>
          <w:highlight w:val="none"/>
        </w:rPr>
      </w:pPr>
    </w:p>
    <w:p>
      <w:pPr>
        <w:pStyle w:val="31"/>
        <w:jc w:val="center"/>
        <w:rPr>
          <w:rFonts w:hint="eastAsia" w:ascii="宋体" w:hAnsi="宋体" w:eastAsia="宋体" w:cs="宋体"/>
          <w:color w:val="auto"/>
          <w:sz w:val="21"/>
          <w:szCs w:val="21"/>
          <w:highlight w:val="none"/>
        </w:rPr>
      </w:pPr>
    </w:p>
    <w:p>
      <w:pPr>
        <w:pStyle w:val="31"/>
        <w:jc w:val="center"/>
        <w:rPr>
          <w:rFonts w:hint="eastAsia" w:ascii="宋体" w:hAnsi="宋体" w:eastAsia="宋体" w:cs="宋体"/>
          <w:color w:val="auto"/>
          <w:sz w:val="21"/>
          <w:szCs w:val="21"/>
          <w:highlight w:val="none"/>
        </w:rPr>
      </w:pPr>
    </w:p>
    <w:p>
      <w:pPr>
        <w:pStyle w:val="31"/>
        <w:jc w:val="center"/>
        <w:rPr>
          <w:rFonts w:hint="eastAsia" w:ascii="宋体" w:hAnsi="宋体" w:eastAsia="宋体" w:cs="宋体"/>
          <w:color w:val="auto"/>
          <w:sz w:val="21"/>
          <w:szCs w:val="21"/>
          <w:highlight w:val="none"/>
        </w:rPr>
      </w:pPr>
    </w:p>
    <w:p>
      <w:pPr>
        <w:pStyle w:val="31"/>
        <w:jc w:val="center"/>
        <w:rPr>
          <w:rFonts w:hint="eastAsia" w:ascii="宋体" w:hAnsi="宋体" w:eastAsia="宋体" w:cs="宋体"/>
          <w:color w:val="auto"/>
          <w:sz w:val="21"/>
          <w:szCs w:val="21"/>
          <w:highlight w:val="none"/>
        </w:rPr>
      </w:pPr>
    </w:p>
    <w:p>
      <w:pPr>
        <w:pStyle w:val="31"/>
        <w:jc w:val="center"/>
        <w:rPr>
          <w:rFonts w:hint="eastAsia" w:ascii="宋体" w:hAnsi="宋体" w:eastAsia="宋体" w:cs="宋体"/>
          <w:b/>
          <w:bCs/>
          <w:color w:val="auto"/>
          <w:sz w:val="21"/>
          <w:szCs w:val="21"/>
          <w:highlight w:val="none"/>
        </w:rPr>
      </w:pPr>
    </w:p>
    <w:p>
      <w:pPr>
        <w:pStyle w:val="31"/>
        <w:jc w:val="center"/>
        <w:rPr>
          <w:rFonts w:hint="eastAsia" w:ascii="宋体" w:hAnsi="宋体" w:eastAsia="宋体" w:cs="宋体"/>
          <w:b/>
          <w:bCs/>
          <w:color w:val="auto"/>
          <w:sz w:val="28"/>
          <w:szCs w:val="28"/>
          <w:highlight w:val="none"/>
          <w:lang w:eastAsia="zh-CN"/>
        </w:rPr>
      </w:pPr>
      <w:r>
        <w:rPr>
          <w:rFonts w:hint="eastAsia" w:ascii="宋体" w:hAnsi="宋体" w:eastAsia="宋体" w:cs="宋体"/>
          <w:b/>
          <w:bCs/>
          <w:color w:val="auto"/>
          <w:sz w:val="28"/>
          <w:szCs w:val="28"/>
          <w:highlight w:val="none"/>
        </w:rPr>
        <w:t>工程质量保修书</w:t>
      </w:r>
      <w:r>
        <w:rPr>
          <w:rFonts w:hint="eastAsia" w:ascii="宋体" w:hAnsi="宋体" w:cs="宋体"/>
          <w:b/>
          <w:bCs/>
          <w:color w:val="auto"/>
          <w:sz w:val="28"/>
          <w:szCs w:val="28"/>
          <w:highlight w:val="none"/>
          <w:lang w:eastAsia="zh-CN"/>
        </w:rPr>
        <w:t>（市政工程）</w:t>
      </w:r>
    </w:p>
    <w:p>
      <w:pPr>
        <w:pStyle w:val="32"/>
        <w:rPr>
          <w:rFonts w:hint="eastAsia" w:ascii="宋体" w:hAnsi="宋体" w:eastAsia="宋体" w:cs="宋体"/>
          <w:color w:val="auto"/>
          <w:sz w:val="21"/>
          <w:szCs w:val="21"/>
          <w:highlight w:val="none"/>
        </w:rPr>
      </w:pPr>
    </w:p>
    <w:p>
      <w:pPr>
        <w:pStyle w:val="36"/>
        <w:spacing w:line="320" w:lineRule="exact"/>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发包人（全称）：</w:t>
      </w:r>
      <w:r>
        <w:rPr>
          <w:rFonts w:hint="eastAsia" w:ascii="宋体" w:hAnsi="宋体" w:eastAsia="宋体" w:cs="宋体"/>
          <w:color w:val="auto"/>
          <w:sz w:val="21"/>
          <w:szCs w:val="21"/>
          <w:highlight w:val="none"/>
          <w:u w:val="single"/>
          <w:lang w:val="en-US" w:eastAsia="zh-CN"/>
        </w:rPr>
        <w:t xml:space="preserve"> </w:t>
      </w:r>
      <w:r>
        <w:rPr>
          <w:rFonts w:hint="eastAsia" w:ascii="宋体" w:hAnsi="宋体" w:cs="宋体"/>
          <w:color w:val="auto"/>
          <w:sz w:val="21"/>
          <w:szCs w:val="21"/>
          <w:highlight w:val="none"/>
          <w:u w:val="single"/>
          <w:lang w:val="en-US" w:eastAsia="zh-CN"/>
        </w:rPr>
        <w:t xml:space="preserve">兴安县溶江镇人民政府 </w:t>
      </w:r>
      <w:r>
        <w:rPr>
          <w:rFonts w:hint="eastAsia" w:ascii="宋体" w:hAnsi="宋体" w:eastAsia="宋体" w:cs="宋体"/>
          <w:color w:val="auto"/>
          <w:sz w:val="21"/>
          <w:szCs w:val="21"/>
          <w:highlight w:val="none"/>
        </w:rPr>
        <w:t xml:space="preserve"> </w:t>
      </w:r>
    </w:p>
    <w:p>
      <w:pPr>
        <w:pStyle w:val="36"/>
        <w:spacing w:line="320" w:lineRule="exact"/>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承包人（全称）：</w:t>
      </w:r>
      <w:r>
        <w:rPr>
          <w:rFonts w:hint="eastAsia" w:ascii="宋体" w:hAnsi="宋体" w:eastAsia="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 xml:space="preserve"> </w:t>
      </w:r>
    </w:p>
    <w:p>
      <w:pPr>
        <w:pStyle w:val="31"/>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为保证</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兴安县溶江镇市民广场阙楼工程</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none"/>
          <w:lang w:eastAsia="zh-CN"/>
        </w:rPr>
        <w:t>工程</w:t>
      </w:r>
      <w:r>
        <w:rPr>
          <w:rFonts w:hint="eastAsia" w:ascii="宋体" w:hAnsi="宋体" w:eastAsia="宋体" w:cs="宋体"/>
          <w:color w:val="auto"/>
          <w:sz w:val="21"/>
          <w:szCs w:val="21"/>
          <w:highlight w:val="none"/>
        </w:rPr>
        <w:t>在合理使用期限内正常使用，经发包人、承包人协商一致签订本工程质量保修书。承包人在质量保修期内按照有关管理规定及双方约定承担工程质量保修责任。</w:t>
      </w:r>
    </w:p>
    <w:p>
      <w:pPr>
        <w:pStyle w:val="39"/>
        <w:spacing w:line="400" w:lineRule="exact"/>
        <w:ind w:firstLine="420" w:firstLineChars="200"/>
        <w:outlineLvl w:val="0"/>
        <w:rPr>
          <w:rFonts w:hint="eastAsia" w:ascii="宋体" w:hAnsi="宋体" w:eastAsia="宋体" w:cs="宋体"/>
          <w:color w:val="auto"/>
          <w:sz w:val="21"/>
          <w:szCs w:val="21"/>
          <w:highlight w:val="none"/>
        </w:rPr>
      </w:pPr>
      <w:bookmarkStart w:id="1882" w:name="_Toc522201808"/>
      <w:bookmarkStart w:id="1883" w:name="_Toc25270"/>
      <w:r>
        <w:rPr>
          <w:rFonts w:hint="eastAsia" w:ascii="宋体" w:hAnsi="宋体" w:eastAsia="宋体" w:cs="宋体"/>
          <w:color w:val="auto"/>
          <w:sz w:val="21"/>
          <w:szCs w:val="21"/>
          <w:highlight w:val="none"/>
        </w:rPr>
        <w:t>一、工程保修范围和内容</w:t>
      </w:r>
      <w:bookmarkEnd w:id="1882"/>
      <w:bookmarkEnd w:id="1883"/>
    </w:p>
    <w:p>
      <w:pPr>
        <w:pStyle w:val="31"/>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质量保修范围为施工图纸所包括的工程内容</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具体质量保修内容双方约定如下：</w:t>
      </w:r>
      <w:r>
        <w:rPr>
          <w:rFonts w:hint="eastAsia" w:ascii="宋体" w:hAnsi="宋体" w:eastAsia="宋体" w:cs="宋体"/>
          <w:color w:val="auto"/>
          <w:sz w:val="21"/>
          <w:szCs w:val="21"/>
          <w:highlight w:val="none"/>
          <w:u w:val="single"/>
        </w:rPr>
        <w:t xml:space="preserve"> 承包方所承包施工的全部工程内容 </w:t>
      </w:r>
      <w:r>
        <w:rPr>
          <w:rFonts w:hint="eastAsia" w:ascii="宋体" w:hAnsi="宋体" w:eastAsia="宋体" w:cs="宋体"/>
          <w:color w:val="auto"/>
          <w:sz w:val="21"/>
          <w:szCs w:val="21"/>
          <w:highlight w:val="none"/>
        </w:rPr>
        <w:t>。</w:t>
      </w:r>
    </w:p>
    <w:p>
      <w:pPr>
        <w:pStyle w:val="39"/>
        <w:spacing w:line="400" w:lineRule="exact"/>
        <w:ind w:firstLine="420" w:firstLineChars="200"/>
        <w:outlineLvl w:val="0"/>
        <w:rPr>
          <w:rFonts w:hint="eastAsia" w:ascii="宋体" w:hAnsi="宋体" w:eastAsia="宋体" w:cs="宋体"/>
          <w:color w:val="auto"/>
          <w:sz w:val="21"/>
          <w:szCs w:val="21"/>
          <w:highlight w:val="none"/>
        </w:rPr>
      </w:pPr>
      <w:bookmarkStart w:id="1884" w:name="_Toc32666"/>
      <w:bookmarkStart w:id="1885" w:name="_Toc522201809"/>
      <w:r>
        <w:rPr>
          <w:rFonts w:hint="eastAsia" w:ascii="宋体" w:hAnsi="宋体" w:eastAsia="宋体" w:cs="宋体"/>
          <w:color w:val="auto"/>
          <w:sz w:val="21"/>
          <w:szCs w:val="21"/>
          <w:highlight w:val="none"/>
        </w:rPr>
        <w:t>二、</w:t>
      </w:r>
      <w:r>
        <w:rPr>
          <w:rFonts w:hint="eastAsia" w:ascii="宋体" w:hAnsi="宋体" w:eastAsia="宋体" w:cs="宋体"/>
          <w:color w:val="auto"/>
          <w:sz w:val="21"/>
          <w:szCs w:val="21"/>
          <w:highlight w:val="none"/>
          <w:lang w:eastAsia="zh-CN"/>
        </w:rPr>
        <w:t>质量</w:t>
      </w:r>
      <w:r>
        <w:rPr>
          <w:rFonts w:hint="eastAsia" w:ascii="宋体" w:hAnsi="宋体" w:eastAsia="宋体" w:cs="宋体"/>
          <w:color w:val="auto"/>
          <w:sz w:val="21"/>
          <w:szCs w:val="21"/>
          <w:highlight w:val="none"/>
        </w:rPr>
        <w:t>保修期</w:t>
      </w:r>
      <w:bookmarkEnd w:id="1884"/>
      <w:bookmarkEnd w:id="1885"/>
    </w:p>
    <w:p>
      <w:pPr>
        <w:pStyle w:val="40"/>
        <w:spacing w:line="360" w:lineRule="auto"/>
        <w:ind w:firstLine="5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质量保修期从工程实际竣工验收通过之日算起。分单项竣工验收的工程，按单项工程分别计算质量保修期。</w:t>
      </w:r>
    </w:p>
    <w:p>
      <w:pPr>
        <w:pStyle w:val="31"/>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根据《建设工程质量管理条例》及有关规定，工程的质量保修期如下：</w:t>
      </w:r>
    </w:p>
    <w:p>
      <w:pPr>
        <w:pStyle w:val="31"/>
        <w:spacing w:line="400" w:lineRule="exact"/>
        <w:ind w:firstLine="42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1．桥梁工程为</w:t>
      </w:r>
      <w:r>
        <w:rPr>
          <w:rFonts w:hint="eastAsia" w:ascii="宋体" w:hAnsi="宋体" w:eastAsia="宋体" w:cs="宋体"/>
          <w:color w:val="auto"/>
          <w:sz w:val="21"/>
          <w:szCs w:val="21"/>
          <w:highlight w:val="none"/>
          <w:u w:val="single"/>
        </w:rPr>
        <w:t xml:space="preserve"> 桥梁隧道主体结构工程为设计文件规定的合理使用年限 </w:t>
      </w:r>
      <w:r>
        <w:rPr>
          <w:rFonts w:hint="eastAsia" w:ascii="宋体" w:hAnsi="宋体" w:eastAsia="宋体" w:cs="宋体"/>
          <w:color w:val="auto"/>
          <w:sz w:val="21"/>
          <w:szCs w:val="21"/>
          <w:highlight w:val="none"/>
        </w:rPr>
        <w:t>（建议桥梁隧道主体结构工程为设计文件规定的合理使用年限）；</w:t>
      </w:r>
    </w:p>
    <w:p>
      <w:pPr>
        <w:pStyle w:val="31"/>
        <w:spacing w:line="400" w:lineRule="exact"/>
        <w:ind w:firstLine="42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2．道路工程为</w:t>
      </w:r>
      <w:r>
        <w:rPr>
          <w:rFonts w:hint="eastAsia" w:ascii="宋体" w:hAnsi="宋体" w:eastAsia="宋体" w:cs="宋体"/>
          <w:color w:val="auto"/>
          <w:sz w:val="21"/>
          <w:szCs w:val="21"/>
          <w:highlight w:val="none"/>
          <w:u w:val="single"/>
        </w:rPr>
        <w:t xml:space="preserve">  2 </w:t>
      </w:r>
      <w:r>
        <w:rPr>
          <w:rFonts w:hint="eastAsia" w:ascii="宋体" w:hAnsi="宋体" w:eastAsia="宋体" w:cs="宋体"/>
          <w:color w:val="auto"/>
          <w:sz w:val="21"/>
          <w:szCs w:val="21"/>
          <w:highlight w:val="none"/>
        </w:rPr>
        <w:t>年（建议路基、路面、桥面为2年）；</w:t>
      </w:r>
    </w:p>
    <w:p>
      <w:pPr>
        <w:pStyle w:val="31"/>
        <w:spacing w:line="400" w:lineRule="exact"/>
        <w:ind w:firstLine="42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3．排水（雨水）工程为</w:t>
      </w:r>
      <w:r>
        <w:rPr>
          <w:rFonts w:hint="eastAsia" w:ascii="宋体" w:hAnsi="宋体" w:eastAsia="宋体" w:cs="宋体"/>
          <w:color w:val="auto"/>
          <w:sz w:val="21"/>
          <w:szCs w:val="21"/>
          <w:highlight w:val="none"/>
          <w:u w:val="single"/>
        </w:rPr>
        <w:t xml:space="preserve"> 3 </w:t>
      </w:r>
      <w:r>
        <w:rPr>
          <w:rFonts w:hint="eastAsia" w:ascii="宋体" w:hAnsi="宋体" w:eastAsia="宋体" w:cs="宋体"/>
          <w:color w:val="auto"/>
          <w:sz w:val="21"/>
          <w:szCs w:val="21"/>
          <w:highlight w:val="none"/>
        </w:rPr>
        <w:t>年（建议道路工程中的排水工程为3年）；</w:t>
      </w:r>
    </w:p>
    <w:p>
      <w:pPr>
        <w:pStyle w:val="31"/>
        <w:spacing w:line="400" w:lineRule="exact"/>
        <w:ind w:firstLine="42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4．绿化工程为 </w:t>
      </w:r>
      <w:r>
        <w:rPr>
          <w:rFonts w:hint="eastAsia" w:ascii="宋体" w:hAnsi="宋体" w:eastAsia="宋体" w:cs="宋体"/>
          <w:color w:val="auto"/>
          <w:sz w:val="21"/>
          <w:szCs w:val="21"/>
          <w:highlight w:val="none"/>
          <w:u w:val="single"/>
        </w:rPr>
        <w:t>单位工程竣工验收合格后1年</w:t>
      </w:r>
      <w:r>
        <w:rPr>
          <w:rFonts w:hint="eastAsia" w:ascii="宋体" w:hAnsi="宋体" w:eastAsia="宋体" w:cs="宋体"/>
          <w:color w:val="auto"/>
          <w:sz w:val="21"/>
          <w:szCs w:val="21"/>
          <w:highlight w:val="none"/>
        </w:rPr>
        <w:t>；</w:t>
      </w:r>
    </w:p>
    <w:p>
      <w:pPr>
        <w:pStyle w:val="31"/>
        <w:spacing w:line="400" w:lineRule="exact"/>
        <w:ind w:firstLine="42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 地下防水工程为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kern w:val="0"/>
          <w:sz w:val="21"/>
          <w:szCs w:val="21"/>
          <w:highlight w:val="none"/>
          <w:u w:val="single"/>
          <w:lang w:val="en-US" w:eastAsia="zh-CN"/>
        </w:rPr>
        <w:t>5</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年（建议为5年）；</w:t>
      </w:r>
    </w:p>
    <w:p>
      <w:pPr>
        <w:pStyle w:val="31"/>
        <w:spacing w:line="400" w:lineRule="exact"/>
        <w:ind w:firstLine="42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6．其他附属工程为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kern w:val="0"/>
          <w:sz w:val="21"/>
          <w:szCs w:val="21"/>
          <w:highlight w:val="none"/>
          <w:u w:val="single"/>
          <w:lang w:val="en-US" w:eastAsia="zh-CN"/>
        </w:rPr>
        <w:t>2</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p>
    <w:p>
      <w:pPr>
        <w:pStyle w:val="31"/>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7．其他项目保修期限约定如下：</w:t>
      </w:r>
      <w:r>
        <w:rPr>
          <w:rFonts w:hint="eastAsia" w:ascii="宋体" w:hAnsi="宋体" w:eastAsia="宋体" w:cs="宋体"/>
          <w:color w:val="auto"/>
          <w:sz w:val="21"/>
          <w:szCs w:val="21"/>
          <w:highlight w:val="none"/>
          <w:u w:val="single"/>
        </w:rPr>
        <w:t xml:space="preserve"> 本工程其余项目质保期均为两年，质量保修规范如国家有新规定，则按新规定执行 </w:t>
      </w:r>
      <w:r>
        <w:rPr>
          <w:rFonts w:hint="eastAsia" w:ascii="宋体" w:hAnsi="宋体" w:eastAsia="宋体" w:cs="宋体"/>
          <w:color w:val="auto"/>
          <w:sz w:val="21"/>
          <w:szCs w:val="21"/>
          <w:highlight w:val="none"/>
        </w:rPr>
        <w:t>。</w:t>
      </w:r>
    </w:p>
    <w:p>
      <w:pPr>
        <w:pStyle w:val="31"/>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质量保修期自工程竣工验收合格之日起计算。 </w:t>
      </w:r>
    </w:p>
    <w:p>
      <w:pPr>
        <w:pStyle w:val="39"/>
        <w:spacing w:line="400" w:lineRule="exact"/>
        <w:ind w:firstLine="420" w:firstLineChars="200"/>
        <w:outlineLvl w:val="0"/>
        <w:rPr>
          <w:rFonts w:hint="eastAsia" w:ascii="宋体" w:hAnsi="宋体" w:eastAsia="宋体" w:cs="宋体"/>
          <w:color w:val="auto"/>
          <w:sz w:val="21"/>
          <w:szCs w:val="21"/>
          <w:highlight w:val="none"/>
        </w:rPr>
      </w:pPr>
      <w:bookmarkStart w:id="1886" w:name="_Toc17657"/>
      <w:r>
        <w:rPr>
          <w:rFonts w:hint="eastAsia" w:ascii="宋体" w:hAnsi="宋体" w:eastAsia="宋体" w:cs="宋体"/>
          <w:color w:val="auto"/>
          <w:sz w:val="21"/>
          <w:szCs w:val="21"/>
          <w:highlight w:val="none"/>
        </w:rPr>
        <w:t>三、缺陷责任期</w:t>
      </w:r>
      <w:bookmarkEnd w:id="1886"/>
    </w:p>
    <w:p>
      <w:pPr>
        <w:pStyle w:val="31"/>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工程缺陷责任期为</w:t>
      </w:r>
      <w:r>
        <w:rPr>
          <w:rFonts w:hint="eastAsia" w:ascii="宋体" w:hAnsi="宋体" w:eastAsia="宋体" w:cs="宋体"/>
          <w:color w:val="auto"/>
          <w:sz w:val="21"/>
          <w:szCs w:val="21"/>
          <w:highlight w:val="none"/>
          <w:u w:val="single"/>
        </w:rPr>
        <w:t xml:space="preserve"> 24 </w:t>
      </w:r>
      <w:r>
        <w:rPr>
          <w:rFonts w:hint="eastAsia" w:ascii="宋体" w:hAnsi="宋体" w:eastAsia="宋体" w:cs="宋体"/>
          <w:color w:val="auto"/>
          <w:sz w:val="21"/>
          <w:szCs w:val="21"/>
          <w:highlight w:val="none"/>
        </w:rPr>
        <w:t>个月（最长不超过24个月），缺陷责任期自工程竣工验收合格之日起计算。单位工程先于全部工程进行验收，单位工程缺陷责任期自单位工程验收合格之日起算。</w:t>
      </w:r>
    </w:p>
    <w:p>
      <w:pPr>
        <w:pStyle w:val="31"/>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缺陷责任期终止后，发包人应退还剩余的质量保证金。</w:t>
      </w:r>
    </w:p>
    <w:p>
      <w:pPr>
        <w:pStyle w:val="39"/>
        <w:spacing w:line="400" w:lineRule="exact"/>
        <w:ind w:firstLine="420" w:firstLineChars="200"/>
        <w:outlineLvl w:val="0"/>
        <w:rPr>
          <w:rFonts w:hint="eastAsia" w:ascii="宋体" w:hAnsi="宋体" w:eastAsia="宋体" w:cs="宋体"/>
          <w:color w:val="auto"/>
          <w:sz w:val="21"/>
          <w:szCs w:val="21"/>
          <w:highlight w:val="none"/>
        </w:rPr>
      </w:pPr>
      <w:bookmarkStart w:id="1887" w:name="_Toc23338"/>
      <w:r>
        <w:rPr>
          <w:rFonts w:hint="eastAsia" w:ascii="宋体" w:hAnsi="宋体" w:eastAsia="宋体" w:cs="宋体"/>
          <w:color w:val="auto"/>
          <w:sz w:val="21"/>
          <w:szCs w:val="21"/>
          <w:highlight w:val="none"/>
        </w:rPr>
        <w:t>四、质量保修责任</w:t>
      </w:r>
      <w:bookmarkEnd w:id="1887"/>
    </w:p>
    <w:p>
      <w:pPr>
        <w:pStyle w:val="31"/>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1．属于保修范围、内容的项目，承包人应当在接到保修通知之日起</w:t>
      </w:r>
      <w:r>
        <w:rPr>
          <w:rFonts w:hint="eastAsia" w:ascii="宋体" w:hAnsi="宋体" w:eastAsia="宋体" w:cs="宋体"/>
          <w:color w:val="auto"/>
          <w:sz w:val="21"/>
          <w:szCs w:val="21"/>
          <w:highlight w:val="none"/>
          <w:u w:val="single"/>
        </w:rPr>
        <w:t xml:space="preserve">  三 </w:t>
      </w:r>
      <w:r>
        <w:rPr>
          <w:rFonts w:hint="eastAsia" w:ascii="宋体" w:hAnsi="宋体" w:eastAsia="宋体" w:cs="宋体"/>
          <w:color w:val="auto"/>
          <w:sz w:val="21"/>
          <w:szCs w:val="21"/>
          <w:highlight w:val="none"/>
        </w:rPr>
        <w:t>天内派人保修。承包人不在约定期限内派人保修的，发包人可以委托他人修理，修理费用从</w:t>
      </w:r>
      <w:r>
        <w:rPr>
          <w:rFonts w:hint="eastAsia" w:ascii="宋体" w:hAnsi="宋体" w:eastAsia="宋体" w:cs="宋体"/>
          <w:color w:val="auto"/>
          <w:sz w:val="21"/>
          <w:szCs w:val="21"/>
          <w:highlight w:val="none"/>
          <w:lang w:eastAsia="zh-CN"/>
        </w:rPr>
        <w:t>质量保证金</w:t>
      </w:r>
      <w:r>
        <w:rPr>
          <w:rFonts w:hint="eastAsia" w:ascii="宋体" w:hAnsi="宋体" w:eastAsia="宋体" w:cs="宋体"/>
          <w:color w:val="auto"/>
          <w:sz w:val="21"/>
          <w:szCs w:val="21"/>
          <w:highlight w:val="none"/>
        </w:rPr>
        <w:t>内扣除。</w:t>
      </w:r>
    </w:p>
    <w:p>
      <w:pPr>
        <w:pStyle w:val="31"/>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2．发生紧急事故需抢修的，承包人在接到事故通知后，应当立即到达事故现场抢修。</w:t>
      </w:r>
    </w:p>
    <w:p>
      <w:pPr>
        <w:pStyle w:val="31"/>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pStyle w:val="31"/>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4．质量保修完成后，由发包人组织验收。</w:t>
      </w:r>
    </w:p>
    <w:p>
      <w:pPr>
        <w:pStyle w:val="39"/>
        <w:spacing w:line="400" w:lineRule="exact"/>
        <w:ind w:firstLine="420" w:firstLineChars="200"/>
        <w:outlineLvl w:val="0"/>
        <w:rPr>
          <w:rFonts w:hint="eastAsia" w:ascii="宋体" w:hAnsi="宋体" w:eastAsia="宋体" w:cs="宋体"/>
          <w:color w:val="auto"/>
          <w:sz w:val="21"/>
          <w:szCs w:val="21"/>
          <w:highlight w:val="none"/>
        </w:rPr>
      </w:pPr>
      <w:bookmarkStart w:id="1888" w:name="_Toc30305"/>
      <w:r>
        <w:rPr>
          <w:rFonts w:hint="eastAsia" w:ascii="宋体" w:hAnsi="宋体" w:eastAsia="宋体" w:cs="宋体"/>
          <w:color w:val="auto"/>
          <w:sz w:val="21"/>
          <w:szCs w:val="21"/>
          <w:highlight w:val="none"/>
        </w:rPr>
        <w:t>五、保修费用</w:t>
      </w:r>
      <w:bookmarkEnd w:id="1888"/>
    </w:p>
    <w:p>
      <w:pPr>
        <w:pStyle w:val="31"/>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保修费用由造成质量缺陷的责任方承担。</w:t>
      </w:r>
    </w:p>
    <w:p>
      <w:pPr>
        <w:pStyle w:val="36"/>
        <w:numPr>
          <w:ilvl w:val="0"/>
          <w:numId w:val="0"/>
        </w:numPr>
        <w:spacing w:line="400" w:lineRule="exact"/>
        <w:ind w:firstLine="420" w:firstLineChars="200"/>
        <w:rPr>
          <w:rFonts w:hint="eastAsia" w:ascii="宋体" w:hAnsi="宋体" w:eastAsia="宋体" w:cs="宋体"/>
          <w:color w:val="auto"/>
          <w:sz w:val="21"/>
          <w:szCs w:val="21"/>
          <w:highlight w:val="none"/>
          <w:u w:val="single"/>
        </w:rPr>
      </w:pPr>
      <w:r>
        <w:rPr>
          <w:rFonts w:hint="eastAsia" w:ascii="宋体" w:hAnsi="宋体" w:eastAsia="宋体" w:cs="宋体"/>
          <w:color w:val="auto"/>
          <w:kern w:val="2"/>
          <w:sz w:val="21"/>
          <w:szCs w:val="21"/>
          <w:highlight w:val="none"/>
          <w:lang w:val="en-US" w:eastAsia="zh-CN" w:bidi="ar-SA"/>
        </w:rPr>
        <w:t>六、</w:t>
      </w:r>
      <w:r>
        <w:rPr>
          <w:rFonts w:hint="eastAsia" w:ascii="宋体" w:hAnsi="宋体" w:eastAsia="宋体" w:cs="宋体"/>
          <w:color w:val="auto"/>
          <w:sz w:val="21"/>
          <w:szCs w:val="21"/>
          <w:highlight w:val="none"/>
        </w:rPr>
        <w:t xml:space="preserve">双方约定的其他工程质量保修事项：  </w:t>
      </w:r>
    </w:p>
    <w:p>
      <w:pPr>
        <w:pStyle w:val="36"/>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u w:val="single"/>
        </w:rPr>
        <w:t>承包人未按照法律法规有关规定和合同约定履行质量保修义务的，发包人有权从质量保证金中扣留用于质量保修的各项支出。</w:t>
      </w:r>
    </w:p>
    <w:p>
      <w:pPr>
        <w:pStyle w:val="36"/>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kern w:val="2"/>
          <w:sz w:val="21"/>
          <w:szCs w:val="21"/>
          <w:highlight w:val="none"/>
          <w:lang w:val="en-US" w:eastAsia="zh-CN" w:bidi="ar-SA"/>
        </w:rPr>
        <w:t>2.</w:t>
      </w:r>
      <w:r>
        <w:rPr>
          <w:rFonts w:hint="eastAsia" w:ascii="宋体" w:hAnsi="宋体" w:eastAsia="宋体" w:cs="宋体"/>
          <w:color w:val="auto"/>
          <w:sz w:val="21"/>
          <w:szCs w:val="21"/>
          <w:highlight w:val="none"/>
          <w:u w:val="single"/>
          <w:lang w:eastAsia="zh-CN"/>
        </w:rPr>
        <w:t>质量保证金</w:t>
      </w:r>
      <w:r>
        <w:rPr>
          <w:rFonts w:hint="eastAsia" w:ascii="宋体" w:hAnsi="宋体" w:eastAsia="宋体" w:cs="宋体"/>
          <w:color w:val="auto"/>
          <w:sz w:val="21"/>
          <w:szCs w:val="21"/>
          <w:highlight w:val="none"/>
          <w:u w:val="single"/>
        </w:rPr>
        <w:t>比例：工程结算价的</w:t>
      </w:r>
      <w:r>
        <w:rPr>
          <w:rFonts w:hint="eastAsia" w:ascii="宋体" w:hAnsi="宋体" w:eastAsia="宋体" w:cs="宋体"/>
          <w:color w:val="auto"/>
          <w:sz w:val="21"/>
          <w:szCs w:val="21"/>
          <w:highlight w:val="none"/>
          <w:u w:val="single"/>
          <w:lang w:val="en-US" w:eastAsia="zh-CN"/>
        </w:rPr>
        <w:t>3</w:t>
      </w:r>
      <w:r>
        <w:rPr>
          <w:rFonts w:hint="eastAsia" w:ascii="宋体" w:hAnsi="宋体" w:eastAsia="宋体" w:cs="宋体"/>
          <w:color w:val="auto"/>
          <w:sz w:val="21"/>
          <w:szCs w:val="21"/>
          <w:highlight w:val="none"/>
          <w:u w:val="single"/>
        </w:rPr>
        <w:t>%。</w:t>
      </w:r>
    </w:p>
    <w:p>
      <w:pPr>
        <w:pStyle w:val="36"/>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lang w:val="en-US" w:eastAsia="zh-CN" w:bidi="ar-SA"/>
        </w:rPr>
        <w:t>3.</w:t>
      </w:r>
      <w:r>
        <w:rPr>
          <w:rFonts w:hint="eastAsia" w:ascii="宋体" w:hAnsi="宋体" w:eastAsia="宋体" w:cs="宋体"/>
          <w:color w:val="auto"/>
          <w:sz w:val="21"/>
          <w:szCs w:val="21"/>
          <w:highlight w:val="none"/>
          <w:u w:val="single"/>
          <w:lang w:eastAsia="zh-CN"/>
        </w:rPr>
        <w:t>质量保证金</w:t>
      </w:r>
      <w:r>
        <w:rPr>
          <w:rFonts w:hint="eastAsia" w:ascii="宋体" w:hAnsi="宋体" w:eastAsia="宋体" w:cs="宋体"/>
          <w:color w:val="auto"/>
          <w:sz w:val="21"/>
          <w:szCs w:val="21"/>
          <w:highlight w:val="none"/>
          <w:u w:val="single"/>
        </w:rPr>
        <w:t>返还：发包人在工程竣工验收合格之日起满两年后14天内将保修金（无息）的返回给承包人，</w:t>
      </w:r>
      <w:r>
        <w:rPr>
          <w:rFonts w:hint="eastAsia" w:ascii="宋体" w:hAnsi="宋体" w:eastAsia="宋体" w:cs="宋体"/>
          <w:color w:val="auto"/>
          <w:sz w:val="21"/>
          <w:szCs w:val="21"/>
          <w:highlight w:val="none"/>
          <w:u w:val="single"/>
          <w:lang w:eastAsia="zh-CN"/>
        </w:rPr>
        <w:t>质量保证金</w:t>
      </w:r>
      <w:r>
        <w:rPr>
          <w:rFonts w:hint="eastAsia" w:ascii="宋体" w:hAnsi="宋体" w:eastAsia="宋体" w:cs="宋体"/>
          <w:color w:val="auto"/>
          <w:sz w:val="21"/>
          <w:szCs w:val="21"/>
          <w:highlight w:val="none"/>
          <w:u w:val="single"/>
        </w:rPr>
        <w:t xml:space="preserve">的返还，并不能免除承包人按照合同约定应承担的质量保修责任和应履行的质量保修义务 </w:t>
      </w:r>
      <w:r>
        <w:rPr>
          <w:rFonts w:hint="eastAsia" w:ascii="宋体" w:hAnsi="宋体" w:eastAsia="宋体" w:cs="宋体"/>
          <w:color w:val="auto"/>
          <w:sz w:val="21"/>
          <w:szCs w:val="21"/>
          <w:highlight w:val="none"/>
        </w:rPr>
        <w:t>。</w:t>
      </w:r>
    </w:p>
    <w:p>
      <w:pPr>
        <w:pStyle w:val="31"/>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工程质量保修书由发包人、承包人在工程竣工验收前共同签署，作为施工合同附件，其有效期限至保修期满。</w:t>
      </w:r>
    </w:p>
    <w:p>
      <w:pPr>
        <w:pStyle w:val="31"/>
        <w:spacing w:line="320" w:lineRule="exact"/>
        <w:ind w:firstLine="420" w:firstLineChars="200"/>
        <w:rPr>
          <w:rFonts w:hint="eastAsia" w:ascii="宋体" w:hAnsi="宋体" w:eastAsia="宋体" w:cs="宋体"/>
          <w:color w:val="auto"/>
          <w:sz w:val="21"/>
          <w:szCs w:val="21"/>
          <w:highlight w:val="none"/>
        </w:rPr>
      </w:pPr>
    </w:p>
    <w:p>
      <w:pPr>
        <w:pStyle w:val="32"/>
        <w:ind w:left="63" w:right="63"/>
        <w:rPr>
          <w:rFonts w:hint="eastAsia" w:ascii="宋体" w:hAnsi="宋体" w:eastAsia="宋体" w:cs="宋体"/>
          <w:color w:val="auto"/>
          <w:sz w:val="21"/>
          <w:szCs w:val="21"/>
          <w:highlight w:val="none"/>
          <w:lang w:val="en-US" w:eastAsia="zh-CN"/>
        </w:rPr>
      </w:pPr>
    </w:p>
    <w:p>
      <w:pPr>
        <w:pStyle w:val="36"/>
        <w:spacing w:line="320" w:lineRule="exact"/>
        <w:ind w:left="0" w:leftChars="0" w:firstLine="0" w:firstLineChars="0"/>
        <w:rPr>
          <w:rFonts w:hint="eastAsia"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rPr>
        <w:t>发包人(公章)：</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none"/>
          <w:lang w:val="en-US" w:eastAsia="zh-CN"/>
        </w:rPr>
        <w:t xml:space="preserve">                </w:t>
      </w:r>
      <w:r>
        <w:rPr>
          <w:rFonts w:hint="eastAsia" w:ascii="宋体" w:hAnsi="宋体" w:eastAsia="宋体" w:cs="宋体"/>
          <w:color w:val="auto"/>
          <w:sz w:val="21"/>
          <w:szCs w:val="21"/>
          <w:highlight w:val="none"/>
        </w:rPr>
        <w:t>承包人(公章)：</w:t>
      </w:r>
      <w:r>
        <w:rPr>
          <w:rFonts w:hint="eastAsia" w:ascii="宋体" w:hAnsi="宋体" w:eastAsia="宋体" w:cs="宋体"/>
          <w:color w:val="auto"/>
          <w:sz w:val="21"/>
          <w:szCs w:val="21"/>
          <w:highlight w:val="none"/>
          <w:u w:val="single"/>
          <w:lang w:val="en-US" w:eastAsia="zh-CN"/>
        </w:rPr>
        <w:t xml:space="preserve">  </w:t>
      </w:r>
    </w:p>
    <w:p>
      <w:pPr>
        <w:pStyle w:val="36"/>
        <w:spacing w:line="320" w:lineRule="exact"/>
        <w:ind w:left="0" w:leftChars="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p>
      <w:pPr>
        <w:pStyle w:val="36"/>
        <w:spacing w:line="320" w:lineRule="exact"/>
        <w:ind w:left="0" w:leftChars="0" w:firstLine="0"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地  址：</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地  址：</w:t>
      </w:r>
      <w:r>
        <w:rPr>
          <w:rFonts w:hint="eastAsia" w:ascii="宋体" w:hAnsi="宋体" w:eastAsia="宋体" w:cs="宋体"/>
          <w:color w:val="auto"/>
          <w:sz w:val="21"/>
          <w:szCs w:val="21"/>
          <w:highlight w:val="none"/>
          <w:u w:val="single"/>
          <w:lang w:val="en-US" w:eastAsia="zh-CN"/>
        </w:rPr>
        <w:t xml:space="preserve"> </w:t>
      </w:r>
    </w:p>
    <w:p>
      <w:pPr>
        <w:pStyle w:val="36"/>
        <w:spacing w:line="320" w:lineRule="exact"/>
        <w:ind w:left="0" w:leftChars="0" w:firstLine="0"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法定代表人</w:t>
      </w:r>
      <w:r>
        <w:rPr>
          <w:rFonts w:hint="eastAsia" w:ascii="宋体" w:hAnsi="宋体" w:eastAsia="宋体" w:cs="宋体"/>
          <w:color w:val="auto"/>
          <w:sz w:val="21"/>
          <w:szCs w:val="21"/>
          <w:highlight w:val="none"/>
          <w:lang w:eastAsia="zh-CN"/>
        </w:rPr>
        <w:t>或</w:t>
      </w:r>
      <w:r>
        <w:rPr>
          <w:rFonts w:hint="eastAsia" w:ascii="宋体" w:hAnsi="宋体" w:eastAsia="宋体" w:cs="宋体"/>
          <w:color w:val="auto"/>
          <w:sz w:val="21"/>
          <w:szCs w:val="21"/>
          <w:highlight w:val="none"/>
        </w:rPr>
        <w:t xml:space="preserve">委托代理人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 xml:space="preserve"> 法定代表人</w:t>
      </w:r>
      <w:r>
        <w:rPr>
          <w:rFonts w:hint="eastAsia" w:ascii="宋体" w:hAnsi="宋体" w:eastAsia="宋体" w:cs="宋体"/>
          <w:color w:val="auto"/>
          <w:sz w:val="21"/>
          <w:szCs w:val="21"/>
          <w:highlight w:val="none"/>
          <w:lang w:eastAsia="zh-CN"/>
        </w:rPr>
        <w:t>或</w:t>
      </w:r>
      <w:r>
        <w:rPr>
          <w:rFonts w:hint="eastAsia" w:ascii="宋体" w:hAnsi="宋体" w:eastAsia="宋体" w:cs="宋体"/>
          <w:color w:val="auto"/>
          <w:sz w:val="21"/>
          <w:szCs w:val="21"/>
          <w:highlight w:val="none"/>
        </w:rPr>
        <w:t>委托代理人</w:t>
      </w:r>
    </w:p>
    <w:p>
      <w:pPr>
        <w:pStyle w:val="36"/>
        <w:spacing w:line="320" w:lineRule="exact"/>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(签字</w:t>
      </w:r>
      <w:r>
        <w:rPr>
          <w:rFonts w:hint="eastAsia" w:ascii="宋体" w:hAnsi="宋体" w:eastAsia="宋体" w:cs="宋体"/>
          <w:color w:val="auto"/>
          <w:sz w:val="21"/>
          <w:szCs w:val="21"/>
          <w:highlight w:val="none"/>
          <w:lang w:eastAsia="zh-CN"/>
        </w:rPr>
        <w:t>或盖章</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(签字</w:t>
      </w:r>
      <w:r>
        <w:rPr>
          <w:rFonts w:hint="eastAsia" w:ascii="宋体" w:hAnsi="宋体" w:eastAsia="宋体" w:cs="宋体"/>
          <w:color w:val="auto"/>
          <w:sz w:val="21"/>
          <w:szCs w:val="21"/>
          <w:highlight w:val="none"/>
          <w:lang w:eastAsia="zh-CN"/>
        </w:rPr>
        <w:t>或盖章</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lang w:val="en-US" w:eastAsia="zh-CN"/>
        </w:rPr>
        <w:t xml:space="preserve">   </w:t>
      </w:r>
    </w:p>
    <w:p>
      <w:pPr>
        <w:pStyle w:val="36"/>
        <w:spacing w:line="320" w:lineRule="exact"/>
        <w:ind w:left="0" w:leftChars="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  话：</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电  话：</w:t>
      </w:r>
      <w:r>
        <w:rPr>
          <w:rFonts w:hint="eastAsia" w:ascii="宋体" w:hAnsi="宋体" w:eastAsia="宋体" w:cs="宋体"/>
          <w:color w:val="auto"/>
          <w:sz w:val="21"/>
          <w:szCs w:val="21"/>
          <w:highlight w:val="none"/>
          <w:u w:val="single"/>
        </w:rPr>
        <w:t></w:t>
      </w:r>
    </w:p>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br w:type="page"/>
      </w:r>
      <w:r>
        <w:rPr>
          <w:rFonts w:hint="eastAsia" w:ascii="宋体" w:hAnsi="宋体" w:eastAsia="宋体" w:cs="宋体"/>
          <w:color w:val="auto"/>
          <w:sz w:val="21"/>
          <w:szCs w:val="21"/>
          <w:highlight w:val="none"/>
        </w:rPr>
        <w:t>附件4：</w:t>
      </w:r>
    </w:p>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主要建设工程文件目录</w:t>
      </w:r>
    </w:p>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bl>
      <w:tblPr>
        <w:tblStyle w:val="19"/>
        <w:tblpPr w:leftFromText="180" w:rightFromText="180" w:vertAnchor="text" w:horzAnchor="page" w:tblpX="1430" w:tblpY="14"/>
        <w:tblOverlap w:val="never"/>
        <w:tblW w:w="872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067"/>
        <w:gridCol w:w="1450"/>
        <w:gridCol w:w="1243"/>
        <w:gridCol w:w="1450"/>
        <w:gridCol w:w="15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953" w:type="dxa"/>
            <w:tcBorders>
              <w:top w:val="single" w:color="auto" w:sz="12" w:space="0"/>
              <w:bottom w:val="doub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文件名称</w:t>
            </w:r>
          </w:p>
        </w:tc>
        <w:tc>
          <w:tcPr>
            <w:tcW w:w="1067" w:type="dxa"/>
            <w:tcBorders>
              <w:top w:val="single" w:color="auto" w:sz="12" w:space="0"/>
              <w:bottom w:val="doub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套数</w:t>
            </w:r>
          </w:p>
        </w:tc>
        <w:tc>
          <w:tcPr>
            <w:tcW w:w="1450" w:type="dxa"/>
            <w:tcBorders>
              <w:top w:val="single" w:color="auto" w:sz="12" w:space="0"/>
              <w:bottom w:val="doub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费用（元）</w:t>
            </w:r>
          </w:p>
        </w:tc>
        <w:tc>
          <w:tcPr>
            <w:tcW w:w="1243" w:type="dxa"/>
            <w:tcBorders>
              <w:top w:val="single" w:color="auto" w:sz="12" w:space="0"/>
              <w:bottom w:val="doub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质量</w:t>
            </w:r>
          </w:p>
        </w:tc>
        <w:tc>
          <w:tcPr>
            <w:tcW w:w="1450" w:type="dxa"/>
            <w:tcBorders>
              <w:top w:val="single" w:color="auto" w:sz="12" w:space="0"/>
              <w:bottom w:val="double" w:color="auto" w:sz="6" w:space="0"/>
            </w:tcBorders>
            <w:vAlign w:val="top"/>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移交时间</w:t>
            </w:r>
          </w:p>
        </w:tc>
        <w:tc>
          <w:tcPr>
            <w:tcW w:w="1564" w:type="dxa"/>
            <w:tcBorders>
              <w:top w:val="single" w:color="auto" w:sz="12" w:space="0"/>
              <w:bottom w:val="double" w:color="auto" w:sz="6" w:space="0"/>
            </w:tcBorders>
            <w:vAlign w:val="top"/>
          </w:tcPr>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tcBorders>
              <w:top w:val="double" w:color="auto" w:sz="6" w:space="0"/>
              <w:bottom w:val="sing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067" w:type="dxa"/>
            <w:tcBorders>
              <w:top w:val="double" w:color="auto" w:sz="6" w:space="0"/>
              <w:bottom w:val="sing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450" w:type="dxa"/>
            <w:tcBorders>
              <w:top w:val="double" w:color="auto" w:sz="6" w:space="0"/>
              <w:bottom w:val="sing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243" w:type="dxa"/>
            <w:tcBorders>
              <w:top w:val="double" w:color="auto" w:sz="6" w:space="0"/>
              <w:bottom w:val="sing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450" w:type="dxa"/>
            <w:tcBorders>
              <w:top w:val="double" w:color="auto" w:sz="6" w:space="0"/>
              <w:bottom w:val="sing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564" w:type="dxa"/>
            <w:tcBorders>
              <w:top w:val="double" w:color="auto" w:sz="6" w:space="0"/>
              <w:bottom w:val="sing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067"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450"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243"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450"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564"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067"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450"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243"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450"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564"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067"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450"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243"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450"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564"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067"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450"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243"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450"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564"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067"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450"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243"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450"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564"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067"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450"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243"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450"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564"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067"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450"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243"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450"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564"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1067"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1450"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1243"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1450"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1564"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067"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450"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243"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450"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564"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1067"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1450"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1243"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1450"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1564"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1067"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1450"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1243"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1450"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1564"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1067"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1450"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1243"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1450"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1564"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1067"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1450"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1243"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1450"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1564"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1067"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1450"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1243"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1450"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1564"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1067"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1450"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1243"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1450"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1564"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1067"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1450"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1243"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1450"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1564"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1067"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1450"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1243"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1450"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1564"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1067"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1450"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1243"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1450"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1564"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r>
    </w:tbl>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r>
        <w:rPr>
          <w:rFonts w:hint="eastAsia" w:ascii="宋体" w:hAnsi="宋体" w:eastAsia="宋体" w:cs="宋体"/>
          <w:color w:val="auto"/>
          <w:sz w:val="21"/>
          <w:szCs w:val="21"/>
          <w:highlight w:val="none"/>
        </w:rPr>
        <w:t>附</w:t>
      </w:r>
      <w:bookmarkStart w:id="1889" w:name="_Toc296891055"/>
      <w:bookmarkStart w:id="1890" w:name="_Toc296944566"/>
      <w:bookmarkStart w:id="1891" w:name="_Toc296503227"/>
      <w:bookmarkStart w:id="1892" w:name="_Toc267261698"/>
      <w:bookmarkStart w:id="1893" w:name="_Toc296891267"/>
      <w:bookmarkStart w:id="1894" w:name="_Toc296346728"/>
      <w:bookmarkStart w:id="1895" w:name="_Toc296347226"/>
      <w:r>
        <w:rPr>
          <w:rFonts w:hint="eastAsia" w:ascii="宋体" w:hAnsi="宋体" w:eastAsia="宋体" w:cs="宋体"/>
          <w:color w:val="auto"/>
          <w:sz w:val="21"/>
          <w:szCs w:val="21"/>
          <w:highlight w:val="none"/>
        </w:rPr>
        <w:t>件5：</w:t>
      </w:r>
    </w:p>
    <w:bookmarkEnd w:id="1889"/>
    <w:bookmarkEnd w:id="1890"/>
    <w:bookmarkEnd w:id="1891"/>
    <w:bookmarkEnd w:id="1892"/>
    <w:bookmarkEnd w:id="1893"/>
    <w:bookmarkEnd w:id="1894"/>
    <w:bookmarkEnd w:id="1895"/>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承包人用于本工程施工的机械设备表</w:t>
      </w:r>
    </w:p>
    <w:tbl>
      <w:tblPr>
        <w:tblStyle w:val="19"/>
        <w:tblW w:w="85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629"/>
        <w:gridCol w:w="1418"/>
        <w:gridCol w:w="850"/>
        <w:gridCol w:w="1058"/>
        <w:gridCol w:w="880"/>
        <w:gridCol w:w="806"/>
        <w:gridCol w:w="1310"/>
        <w:gridCol w:w="906"/>
        <w:gridCol w:w="6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629" w:type="dxa"/>
            <w:tcBorders>
              <w:top w:val="single" w:color="auto" w:sz="12" w:space="0"/>
              <w:bottom w:val="doub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序号</w:t>
            </w:r>
          </w:p>
        </w:tc>
        <w:tc>
          <w:tcPr>
            <w:tcW w:w="1418" w:type="dxa"/>
            <w:tcBorders>
              <w:top w:val="single" w:color="auto" w:sz="12" w:space="0"/>
              <w:bottom w:val="doub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机械或设备名称</w:t>
            </w:r>
          </w:p>
        </w:tc>
        <w:tc>
          <w:tcPr>
            <w:tcW w:w="850" w:type="dxa"/>
            <w:tcBorders>
              <w:top w:val="single" w:color="auto" w:sz="12" w:space="0"/>
              <w:bottom w:val="doub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规格型号</w:t>
            </w:r>
          </w:p>
        </w:tc>
        <w:tc>
          <w:tcPr>
            <w:tcW w:w="1058" w:type="dxa"/>
            <w:tcBorders>
              <w:top w:val="single" w:color="auto" w:sz="12" w:space="0"/>
              <w:bottom w:val="doub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数量</w:t>
            </w:r>
          </w:p>
        </w:tc>
        <w:tc>
          <w:tcPr>
            <w:tcW w:w="880" w:type="dxa"/>
            <w:tcBorders>
              <w:top w:val="single" w:color="auto" w:sz="12" w:space="0"/>
              <w:bottom w:val="doub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产地</w:t>
            </w:r>
          </w:p>
        </w:tc>
        <w:tc>
          <w:tcPr>
            <w:tcW w:w="806" w:type="dxa"/>
            <w:tcBorders>
              <w:top w:val="single" w:color="auto" w:sz="12" w:space="0"/>
              <w:bottom w:val="doub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制造年份</w:t>
            </w:r>
          </w:p>
        </w:tc>
        <w:tc>
          <w:tcPr>
            <w:tcW w:w="1310" w:type="dxa"/>
            <w:tcBorders>
              <w:top w:val="single" w:color="auto" w:sz="12" w:space="0"/>
              <w:bottom w:val="doub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额定功率(kW)</w:t>
            </w:r>
          </w:p>
        </w:tc>
        <w:tc>
          <w:tcPr>
            <w:tcW w:w="906" w:type="dxa"/>
            <w:tcBorders>
              <w:top w:val="single" w:color="auto" w:sz="12" w:space="0"/>
              <w:bottom w:val="doub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生产能力</w:t>
            </w:r>
          </w:p>
        </w:tc>
        <w:tc>
          <w:tcPr>
            <w:tcW w:w="652" w:type="dxa"/>
            <w:tcBorders>
              <w:top w:val="single" w:color="auto" w:sz="12" w:space="0"/>
              <w:bottom w:val="doub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9" w:type="dxa"/>
            <w:tcBorders>
              <w:top w:val="double" w:color="auto" w:sz="6" w:space="0"/>
              <w:bottom w:val="sing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418" w:type="dxa"/>
            <w:tcBorders>
              <w:top w:val="double" w:color="auto" w:sz="6" w:space="0"/>
              <w:bottom w:val="sing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850" w:type="dxa"/>
            <w:tcBorders>
              <w:top w:val="double" w:color="auto" w:sz="6" w:space="0"/>
              <w:bottom w:val="sing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058" w:type="dxa"/>
            <w:tcBorders>
              <w:top w:val="double" w:color="auto" w:sz="6" w:space="0"/>
              <w:bottom w:val="sing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880" w:type="dxa"/>
            <w:tcBorders>
              <w:top w:val="double" w:color="auto" w:sz="6" w:space="0"/>
              <w:bottom w:val="sing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806" w:type="dxa"/>
            <w:tcBorders>
              <w:top w:val="double" w:color="auto" w:sz="6" w:space="0"/>
              <w:bottom w:val="sing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310" w:type="dxa"/>
            <w:tcBorders>
              <w:top w:val="double" w:color="auto" w:sz="6" w:space="0"/>
              <w:bottom w:val="sing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906" w:type="dxa"/>
            <w:tcBorders>
              <w:top w:val="double" w:color="auto" w:sz="6" w:space="0"/>
              <w:bottom w:val="sing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652" w:type="dxa"/>
            <w:tcBorders>
              <w:top w:val="double" w:color="auto" w:sz="6" w:space="0"/>
              <w:bottom w:val="sing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9"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418"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850"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058"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880"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806"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310"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906"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652"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9"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418"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850"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058"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880"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806"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310"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906"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652"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9"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418"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850"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058"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880"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806"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310"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906"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652"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9"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418"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850"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058"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880"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806"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310"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906"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652"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9"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418"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850"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058"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880"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806"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310"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906"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652"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9"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418"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850"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058"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880"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806"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310"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906"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652"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9"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418"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850"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058"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880"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806"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310"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906"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652"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9"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1418"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850"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1058"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880"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806"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1310"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906"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652"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9"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418"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850"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058"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880"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806"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310"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906"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652"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9"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1418"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850"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1058"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880"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806"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1310"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906"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652"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9"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1418"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850"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1058"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880"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806"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1310"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906"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652"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9"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1418"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850"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1058"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880"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806"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1310"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906"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652"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9"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1418"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850"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1058"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880"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806"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1310"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906"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652"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9"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1418"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850"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1058"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880"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806"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1310"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906"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652"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9"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1418"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850"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1058"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880"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806"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1310"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906"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652"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9"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1418"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850"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1058"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880"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806"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1310"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906"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652"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9"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1418"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850"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1058"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880"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806"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1310"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906"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652"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9"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1418"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850"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1058"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880"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806"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1310"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906"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c>
          <w:tcPr>
            <w:tcW w:w="652" w:type="dxa"/>
            <w:vAlign w:val="top"/>
          </w:tcPr>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tc>
      </w:tr>
    </w:tbl>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附件6：</w:t>
      </w:r>
    </w:p>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承包人主要施工管理人员表</w:t>
      </w:r>
    </w:p>
    <w:tbl>
      <w:tblPr>
        <w:tblStyle w:val="19"/>
        <w:tblW w:w="875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148"/>
        <w:gridCol w:w="941"/>
        <w:gridCol w:w="1134"/>
        <w:gridCol w:w="36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名    称</w:t>
            </w:r>
          </w:p>
        </w:tc>
        <w:tc>
          <w:tcPr>
            <w:tcW w:w="1148" w:type="dxa"/>
            <w:tcBorders>
              <w:top w:val="single" w:color="auto" w:sz="12" w:space="0"/>
              <w:bottom w:val="doub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姓名</w:t>
            </w:r>
          </w:p>
        </w:tc>
        <w:tc>
          <w:tcPr>
            <w:tcW w:w="941" w:type="dxa"/>
            <w:tcBorders>
              <w:top w:val="single" w:color="auto" w:sz="12" w:space="0"/>
              <w:bottom w:val="doub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职务</w:t>
            </w:r>
          </w:p>
        </w:tc>
        <w:tc>
          <w:tcPr>
            <w:tcW w:w="1134" w:type="dxa"/>
            <w:tcBorders>
              <w:top w:val="single" w:color="auto" w:sz="12" w:space="0"/>
              <w:bottom w:val="doub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职称</w:t>
            </w:r>
          </w:p>
        </w:tc>
        <w:tc>
          <w:tcPr>
            <w:tcW w:w="3660" w:type="dxa"/>
            <w:tcBorders>
              <w:top w:val="single" w:color="auto" w:sz="12" w:space="0"/>
              <w:bottom w:val="doub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54" w:type="dxa"/>
            <w:gridSpan w:val="5"/>
            <w:tcBorders>
              <w:top w:val="double" w:color="auto" w:sz="6" w:space="0"/>
              <w:bottom w:val="sing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项目主管</w:t>
            </w:r>
          </w:p>
        </w:tc>
        <w:tc>
          <w:tcPr>
            <w:tcW w:w="1148"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941"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134"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3660"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148"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941"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134"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3660"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其他人员</w:t>
            </w:r>
          </w:p>
        </w:tc>
        <w:tc>
          <w:tcPr>
            <w:tcW w:w="1148"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941"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134"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3660"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148"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941"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134"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3660"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54" w:type="dxa"/>
            <w:gridSpan w:val="5"/>
            <w:tcBorders>
              <w:top w:val="single" w:color="auto" w:sz="6" w:space="0"/>
              <w:bottom w:val="sing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项目经理</w:t>
            </w:r>
          </w:p>
        </w:tc>
        <w:tc>
          <w:tcPr>
            <w:tcW w:w="1148"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941"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134"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3660"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项目副经理</w:t>
            </w:r>
          </w:p>
        </w:tc>
        <w:tc>
          <w:tcPr>
            <w:tcW w:w="1148"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941"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134"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3660"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技术负责人</w:t>
            </w:r>
          </w:p>
        </w:tc>
        <w:tc>
          <w:tcPr>
            <w:tcW w:w="1148"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941"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134"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3660"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造价管理</w:t>
            </w:r>
          </w:p>
        </w:tc>
        <w:tc>
          <w:tcPr>
            <w:tcW w:w="1148"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941"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134"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3660"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质量管理</w:t>
            </w:r>
          </w:p>
        </w:tc>
        <w:tc>
          <w:tcPr>
            <w:tcW w:w="1148"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941"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134"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3660"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材料管理</w:t>
            </w:r>
          </w:p>
        </w:tc>
        <w:tc>
          <w:tcPr>
            <w:tcW w:w="1148"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941"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134"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3660"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计划管理</w:t>
            </w:r>
          </w:p>
        </w:tc>
        <w:tc>
          <w:tcPr>
            <w:tcW w:w="1148"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941"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134"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3660"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安全管理</w:t>
            </w:r>
          </w:p>
        </w:tc>
        <w:tc>
          <w:tcPr>
            <w:tcW w:w="1148"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941"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134"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3660"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其他人员</w:t>
            </w:r>
          </w:p>
        </w:tc>
        <w:tc>
          <w:tcPr>
            <w:tcW w:w="1148"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941"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134"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3660"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148" w:type="dxa"/>
            <w:tcBorders>
              <w:bottom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941" w:type="dxa"/>
            <w:tcBorders>
              <w:bottom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134" w:type="dxa"/>
            <w:tcBorders>
              <w:bottom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3660" w:type="dxa"/>
            <w:tcBorders>
              <w:bottom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148"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941"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134"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3660"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148"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941"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134"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3660"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148"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941"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134"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3660"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148" w:type="dxa"/>
            <w:tcBorders>
              <w:bottom w:val="single" w:color="auto" w:sz="12"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941" w:type="dxa"/>
            <w:tcBorders>
              <w:bottom w:val="single" w:color="auto" w:sz="12"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134" w:type="dxa"/>
            <w:tcBorders>
              <w:bottom w:val="single" w:color="auto" w:sz="12"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3660" w:type="dxa"/>
            <w:tcBorders>
              <w:bottom w:val="single" w:color="auto" w:sz="12"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r>
    </w:tbl>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r>
        <w:rPr>
          <w:rFonts w:hint="eastAsia" w:ascii="宋体" w:hAnsi="宋体" w:eastAsia="宋体" w:cs="宋体"/>
          <w:color w:val="auto"/>
          <w:sz w:val="21"/>
          <w:szCs w:val="21"/>
          <w:highlight w:val="none"/>
        </w:rPr>
        <w:t>附件7：</w:t>
      </w:r>
    </w:p>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分包人主要施工管理人员表</w:t>
      </w:r>
    </w:p>
    <w:tbl>
      <w:tblPr>
        <w:tblStyle w:val="19"/>
        <w:tblW w:w="862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563"/>
        <w:gridCol w:w="1418"/>
        <w:gridCol w:w="928"/>
        <w:gridCol w:w="902"/>
        <w:gridCol w:w="381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63" w:type="dxa"/>
            <w:tcBorders>
              <w:top w:val="single" w:color="auto" w:sz="12" w:space="0"/>
              <w:bottom w:val="doub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名    称</w:t>
            </w:r>
          </w:p>
        </w:tc>
        <w:tc>
          <w:tcPr>
            <w:tcW w:w="1418" w:type="dxa"/>
            <w:tcBorders>
              <w:top w:val="single" w:color="auto" w:sz="12" w:space="0"/>
              <w:bottom w:val="doub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姓名</w:t>
            </w:r>
          </w:p>
        </w:tc>
        <w:tc>
          <w:tcPr>
            <w:tcW w:w="928" w:type="dxa"/>
            <w:tcBorders>
              <w:top w:val="single" w:color="auto" w:sz="12" w:space="0"/>
              <w:bottom w:val="doub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职务</w:t>
            </w:r>
          </w:p>
        </w:tc>
        <w:tc>
          <w:tcPr>
            <w:tcW w:w="902" w:type="dxa"/>
            <w:tcBorders>
              <w:top w:val="single" w:color="auto" w:sz="12" w:space="0"/>
              <w:bottom w:val="doub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职称</w:t>
            </w:r>
          </w:p>
        </w:tc>
        <w:tc>
          <w:tcPr>
            <w:tcW w:w="3814" w:type="dxa"/>
            <w:tcBorders>
              <w:top w:val="single" w:color="auto" w:sz="12" w:space="0"/>
              <w:bottom w:val="doub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625" w:type="dxa"/>
            <w:gridSpan w:val="5"/>
            <w:tcBorders>
              <w:top w:val="double" w:color="auto" w:sz="6" w:space="0"/>
              <w:bottom w:val="sing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63" w:type="dxa"/>
            <w:tcBorders>
              <w:top w:val="nil"/>
              <w:bottom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项目主管</w:t>
            </w:r>
          </w:p>
        </w:tc>
        <w:tc>
          <w:tcPr>
            <w:tcW w:w="1418"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928"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902"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3814" w:type="dxa"/>
            <w:tcBorders>
              <w:top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63" w:type="dxa"/>
            <w:tcBorders>
              <w:top w:val="single" w:color="auto" w:sz="6" w:space="0"/>
              <w:bottom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418"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928"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902"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3814"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63" w:type="dxa"/>
            <w:tcBorders>
              <w:top w:val="nil"/>
              <w:bottom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其他人员</w:t>
            </w:r>
          </w:p>
        </w:tc>
        <w:tc>
          <w:tcPr>
            <w:tcW w:w="1418"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928"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902"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3814"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63" w:type="dxa"/>
            <w:tcBorders>
              <w:top w:val="nil"/>
              <w:bottom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418"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928"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902"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3814"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625" w:type="dxa"/>
            <w:gridSpan w:val="5"/>
            <w:tcBorders>
              <w:top w:val="single" w:color="auto" w:sz="6" w:space="0"/>
              <w:bottom w:val="sing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63" w:type="dxa"/>
            <w:tcBorders>
              <w:top w:val="single" w:color="auto" w:sz="6" w:space="0"/>
              <w:bottom w:val="sing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项目经理</w:t>
            </w:r>
          </w:p>
        </w:tc>
        <w:tc>
          <w:tcPr>
            <w:tcW w:w="1418"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928"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902"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3814"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63" w:type="dxa"/>
            <w:tcBorders>
              <w:top w:val="single" w:color="auto" w:sz="6" w:space="0"/>
              <w:bottom w:val="sing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项目副经理</w:t>
            </w:r>
          </w:p>
        </w:tc>
        <w:tc>
          <w:tcPr>
            <w:tcW w:w="1418"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928"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902"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3814"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63" w:type="dxa"/>
            <w:tcBorders>
              <w:top w:val="single" w:color="auto" w:sz="6" w:space="0"/>
              <w:bottom w:val="sing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技术负责人</w:t>
            </w:r>
          </w:p>
        </w:tc>
        <w:tc>
          <w:tcPr>
            <w:tcW w:w="1418"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928"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902"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3814"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63" w:type="dxa"/>
            <w:tcBorders>
              <w:top w:val="single" w:color="auto" w:sz="6" w:space="0"/>
              <w:bottom w:val="sing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造价管理</w:t>
            </w:r>
          </w:p>
        </w:tc>
        <w:tc>
          <w:tcPr>
            <w:tcW w:w="1418"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928"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902"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3814"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63" w:type="dxa"/>
            <w:tcBorders>
              <w:top w:val="single" w:color="auto" w:sz="6" w:space="0"/>
              <w:bottom w:val="sing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质量管理</w:t>
            </w:r>
          </w:p>
        </w:tc>
        <w:tc>
          <w:tcPr>
            <w:tcW w:w="1418"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928"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902"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3814"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63" w:type="dxa"/>
            <w:tcBorders>
              <w:top w:val="single" w:color="auto" w:sz="6" w:space="0"/>
              <w:bottom w:val="sing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材料管理</w:t>
            </w:r>
          </w:p>
        </w:tc>
        <w:tc>
          <w:tcPr>
            <w:tcW w:w="1418"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928"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902"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3814"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63" w:type="dxa"/>
            <w:tcBorders>
              <w:top w:val="single" w:color="auto" w:sz="6" w:space="0"/>
              <w:bottom w:val="sing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计划管理</w:t>
            </w:r>
          </w:p>
        </w:tc>
        <w:tc>
          <w:tcPr>
            <w:tcW w:w="1418"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928"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902"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3814"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63" w:type="dxa"/>
            <w:tcBorders>
              <w:top w:val="single" w:color="auto" w:sz="6" w:space="0"/>
              <w:bottom w:val="sing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安全管理</w:t>
            </w:r>
          </w:p>
        </w:tc>
        <w:tc>
          <w:tcPr>
            <w:tcW w:w="1418"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928"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902"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3814"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63" w:type="dxa"/>
            <w:vMerge w:val="restart"/>
            <w:tcBorders>
              <w:top w:val="single" w:color="auto" w:sz="6"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其他人员</w:t>
            </w:r>
          </w:p>
        </w:tc>
        <w:tc>
          <w:tcPr>
            <w:tcW w:w="1418"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928"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902"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3814"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63" w:type="dxa"/>
            <w:vMerge w:val="continue"/>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418" w:type="dxa"/>
            <w:tcBorders>
              <w:bottom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928" w:type="dxa"/>
            <w:tcBorders>
              <w:bottom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902" w:type="dxa"/>
            <w:tcBorders>
              <w:bottom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3814" w:type="dxa"/>
            <w:tcBorders>
              <w:bottom w:val="nil"/>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63" w:type="dxa"/>
            <w:vMerge w:val="continue"/>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418"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928"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902"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3814"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63" w:type="dxa"/>
            <w:vMerge w:val="continue"/>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418"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928"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902"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3814"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63" w:type="dxa"/>
            <w:vMerge w:val="continue"/>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418"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928"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902"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3814" w:type="dxa"/>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63" w:type="dxa"/>
            <w:vMerge w:val="continue"/>
            <w:tcBorders>
              <w:bottom w:val="single" w:color="auto" w:sz="12"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1418" w:type="dxa"/>
            <w:tcBorders>
              <w:bottom w:val="single" w:color="auto" w:sz="12"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928" w:type="dxa"/>
            <w:tcBorders>
              <w:bottom w:val="single" w:color="auto" w:sz="12"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902" w:type="dxa"/>
            <w:tcBorders>
              <w:bottom w:val="single" w:color="auto" w:sz="12"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c>
          <w:tcPr>
            <w:tcW w:w="3814" w:type="dxa"/>
            <w:tcBorders>
              <w:bottom w:val="single" w:color="auto" w:sz="12" w:space="0"/>
            </w:tcBorders>
            <w:vAlign w:val="center"/>
          </w:tcPr>
          <w:p>
            <w:pPr>
              <w:pStyle w:val="8"/>
              <w:keepNext/>
              <w:pageBreakBefore w:val="0"/>
              <w:widowControl w:val="0"/>
              <w:kinsoku/>
              <w:wordWrap/>
              <w:overflowPunct/>
              <w:topLinePunct w:val="0"/>
              <w:bidi w:val="0"/>
              <w:snapToGrid/>
              <w:spacing w:after="0" w:line="360" w:lineRule="exact"/>
              <w:ind w:left="0" w:leftChars="0" w:right="0" w:rightChars="0"/>
              <w:rPr>
                <w:rFonts w:hint="eastAsia" w:ascii="宋体" w:hAnsi="宋体" w:eastAsia="宋体" w:cs="宋体"/>
                <w:color w:val="auto"/>
                <w:kern w:val="2"/>
                <w:sz w:val="21"/>
                <w:szCs w:val="21"/>
                <w:highlight w:val="none"/>
                <w:lang w:val="en-US" w:eastAsia="zh-CN"/>
              </w:rPr>
            </w:pPr>
          </w:p>
        </w:tc>
      </w:tr>
    </w:tbl>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r>
        <w:rPr>
          <w:rFonts w:hint="eastAsia" w:ascii="宋体" w:hAnsi="宋体" w:eastAsia="宋体" w:cs="宋体"/>
          <w:color w:val="auto"/>
          <w:sz w:val="21"/>
          <w:szCs w:val="21"/>
          <w:highlight w:val="none"/>
        </w:rPr>
        <w:t>附件8：</w:t>
      </w:r>
    </w:p>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履约担保</w:t>
      </w:r>
    </w:p>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（发包人名称）：</w:t>
      </w:r>
    </w:p>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p>
      <w:pPr>
        <w:pageBreakBefore w:val="0"/>
        <w:widowControl w:val="0"/>
        <w:kinsoku/>
        <w:wordWrap/>
        <w:overflowPunct/>
        <w:topLinePunct w:val="0"/>
        <w:bidi w:val="0"/>
        <w:snapToGrid/>
        <w:spacing w:line="360" w:lineRule="exact"/>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鉴于</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（发包人名称，以下简称“发包人”）与</w:t>
      </w:r>
    </w:p>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（承包人名称）（以下称“承包人”）于</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日就</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（工程名称）施工及有关事项协商一致共同签订《建设工程施工合同》。我方愿意无条件地、不可撤销地就承包人履行与你方签订的合同，向你方提供连带责任担保。 </w:t>
      </w:r>
    </w:p>
    <w:p>
      <w:pPr>
        <w:pageBreakBefore w:val="0"/>
        <w:widowControl w:val="0"/>
        <w:kinsoku/>
        <w:wordWrap/>
        <w:overflowPunct/>
        <w:topLinePunct w:val="0"/>
        <w:bidi w:val="0"/>
        <w:snapToGrid/>
        <w:spacing w:line="360" w:lineRule="exact"/>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 担保金额人民币（大写）</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元（¥</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pageBreakBefore w:val="0"/>
        <w:widowControl w:val="0"/>
        <w:kinsoku/>
        <w:wordWrap/>
        <w:overflowPunct/>
        <w:topLinePunct w:val="0"/>
        <w:bidi w:val="0"/>
        <w:snapToGrid/>
        <w:spacing w:line="360" w:lineRule="exact"/>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 担保有效期自你方与承包人签订的合同生效之日起至你方签发或应签发工程接收证书之日止。</w:t>
      </w:r>
    </w:p>
    <w:p>
      <w:pPr>
        <w:pageBreakBefore w:val="0"/>
        <w:widowControl w:val="0"/>
        <w:kinsoku/>
        <w:wordWrap/>
        <w:overflowPunct/>
        <w:topLinePunct w:val="0"/>
        <w:bidi w:val="0"/>
        <w:snapToGrid/>
        <w:spacing w:line="360" w:lineRule="exact"/>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 在本担保有效期内，因承包人违反合同约定的义务给你方造成经济损失时，我方在收到你方以书面形式提出的在担保金额内的赔偿要求后，在7天内无条件支付。</w:t>
      </w:r>
    </w:p>
    <w:p>
      <w:pPr>
        <w:pageBreakBefore w:val="0"/>
        <w:widowControl w:val="0"/>
        <w:kinsoku/>
        <w:wordWrap/>
        <w:overflowPunct/>
        <w:topLinePunct w:val="0"/>
        <w:bidi w:val="0"/>
        <w:snapToGrid/>
        <w:spacing w:line="360" w:lineRule="exact"/>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 你方和承包人按合同约定变更合同时，我方承担本担保规定的义务不变。</w:t>
      </w:r>
    </w:p>
    <w:p>
      <w:pPr>
        <w:pageBreakBefore w:val="0"/>
        <w:widowControl w:val="0"/>
        <w:kinsoku/>
        <w:wordWrap/>
        <w:overflowPunct/>
        <w:topLinePunct w:val="0"/>
        <w:bidi w:val="0"/>
        <w:snapToGrid/>
        <w:spacing w:line="360" w:lineRule="exact"/>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 因本保函发生的纠纷，可由双方协商解决，协商不成的，任何一方均可提请</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仲裁委员会仲裁。</w:t>
      </w:r>
    </w:p>
    <w:p>
      <w:pPr>
        <w:pageBreakBefore w:val="0"/>
        <w:widowControl w:val="0"/>
        <w:kinsoku/>
        <w:wordWrap/>
        <w:overflowPunct/>
        <w:topLinePunct w:val="0"/>
        <w:bidi w:val="0"/>
        <w:snapToGrid/>
        <w:spacing w:line="360" w:lineRule="exact"/>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 本保函自我方法定代表人（或其授权代理人）签字并加盖公章之日起生效。</w:t>
      </w:r>
    </w:p>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担 保 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（盖单位章）</w:t>
      </w:r>
    </w:p>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法定代表人或其委托代理人：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（签字）</w:t>
      </w:r>
    </w:p>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    址：</w:t>
      </w:r>
      <w:r>
        <w:rPr>
          <w:rFonts w:hint="eastAsia" w:ascii="宋体" w:hAnsi="宋体" w:eastAsia="宋体" w:cs="宋体"/>
          <w:color w:val="auto"/>
          <w:sz w:val="21"/>
          <w:szCs w:val="21"/>
          <w:highlight w:val="none"/>
          <w:u w:val="single"/>
        </w:rPr>
        <w:t xml:space="preserve">                                      </w:t>
      </w:r>
    </w:p>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邮政编码：</w:t>
      </w:r>
      <w:r>
        <w:rPr>
          <w:rFonts w:hint="eastAsia" w:ascii="宋体" w:hAnsi="宋体" w:eastAsia="宋体" w:cs="宋体"/>
          <w:color w:val="auto"/>
          <w:sz w:val="21"/>
          <w:szCs w:val="21"/>
          <w:highlight w:val="none"/>
          <w:u w:val="single"/>
        </w:rPr>
        <w:t xml:space="preserve">                                      </w:t>
      </w:r>
    </w:p>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电    话：</w:t>
      </w:r>
      <w:r>
        <w:rPr>
          <w:rFonts w:hint="eastAsia" w:ascii="宋体" w:hAnsi="宋体" w:eastAsia="宋体" w:cs="宋体"/>
          <w:color w:val="auto"/>
          <w:sz w:val="21"/>
          <w:szCs w:val="21"/>
          <w:highlight w:val="none"/>
          <w:u w:val="single"/>
        </w:rPr>
        <w:t xml:space="preserve">                                      </w:t>
      </w:r>
    </w:p>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传    真：</w:t>
      </w:r>
      <w:r>
        <w:rPr>
          <w:rFonts w:hint="eastAsia" w:ascii="宋体" w:hAnsi="宋体" w:eastAsia="宋体" w:cs="宋体"/>
          <w:color w:val="auto"/>
          <w:sz w:val="21"/>
          <w:szCs w:val="21"/>
          <w:highlight w:val="none"/>
          <w:u w:val="single"/>
        </w:rPr>
        <w:t xml:space="preserve">                                      </w:t>
      </w:r>
    </w:p>
    <w:p>
      <w:pPr>
        <w:pageBreakBefore w:val="0"/>
        <w:widowControl w:val="0"/>
        <w:kinsoku/>
        <w:wordWrap/>
        <w:overflowPunct/>
        <w:topLinePunct w:val="0"/>
        <w:bidi w:val="0"/>
        <w:snapToGrid/>
        <w:spacing w:line="360" w:lineRule="exact"/>
        <w:ind w:left="0" w:leftChars="0" w:right="0" w:rightChars="0"/>
        <w:jc w:val="left"/>
        <w:rPr>
          <w:rFonts w:hint="eastAsia" w:ascii="宋体" w:hAnsi="宋体" w:eastAsia="宋体" w:cs="宋体"/>
          <w:color w:val="auto"/>
          <w:sz w:val="21"/>
          <w:szCs w:val="21"/>
          <w:highlight w:val="none"/>
          <w:u w:val="single"/>
        </w:rPr>
      </w:pPr>
    </w:p>
    <w:p>
      <w:pPr>
        <w:pageBreakBefore w:val="0"/>
        <w:widowControl w:val="0"/>
        <w:kinsoku/>
        <w:wordWrap/>
        <w:overflowPunct/>
        <w:topLinePunct w:val="0"/>
        <w:bidi w:val="0"/>
        <w:snapToGrid/>
        <w:spacing w:line="360" w:lineRule="exact"/>
        <w:ind w:left="1329" w:leftChars="0" w:right="0" w:rightChars="0" w:hanging="1329" w:hangingChars="63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p>
    <w:p>
      <w:pPr>
        <w:pageBreakBefore w:val="0"/>
        <w:widowControl w:val="0"/>
        <w:kinsoku/>
        <w:wordWrap/>
        <w:overflowPunct/>
        <w:topLinePunct w:val="0"/>
        <w:bidi w:val="0"/>
        <w:snapToGrid/>
        <w:spacing w:line="360" w:lineRule="exact"/>
        <w:ind w:left="1329" w:leftChars="0" w:right="0" w:rightChars="0" w:hanging="1329" w:hangingChars="633"/>
        <w:rPr>
          <w:rFonts w:hint="eastAsia" w:ascii="宋体" w:hAnsi="宋体" w:eastAsia="宋体" w:cs="宋体"/>
          <w:color w:val="auto"/>
          <w:sz w:val="21"/>
          <w:szCs w:val="21"/>
          <w:highlight w:val="none"/>
        </w:rPr>
      </w:pPr>
    </w:p>
    <w:p>
      <w:pPr>
        <w:pageBreakBefore w:val="0"/>
        <w:widowControl w:val="0"/>
        <w:kinsoku/>
        <w:wordWrap/>
        <w:overflowPunct/>
        <w:topLinePunct w:val="0"/>
        <w:bidi w:val="0"/>
        <w:snapToGrid/>
        <w:spacing w:line="360" w:lineRule="exact"/>
        <w:ind w:left="1329" w:leftChars="0" w:right="0" w:rightChars="0" w:hanging="1329" w:hangingChars="633"/>
        <w:rPr>
          <w:rFonts w:hint="eastAsia" w:ascii="宋体" w:hAnsi="宋体" w:eastAsia="宋体" w:cs="宋体"/>
          <w:color w:val="auto"/>
          <w:sz w:val="21"/>
          <w:szCs w:val="21"/>
          <w:highlight w:val="none"/>
        </w:rPr>
      </w:pPr>
    </w:p>
    <w:p>
      <w:pPr>
        <w:pageBreakBefore w:val="0"/>
        <w:widowControl w:val="0"/>
        <w:kinsoku/>
        <w:wordWrap/>
        <w:overflowPunct/>
        <w:topLinePunct w:val="0"/>
        <w:bidi w:val="0"/>
        <w:snapToGrid/>
        <w:spacing w:line="360" w:lineRule="exact"/>
        <w:ind w:left="1329" w:leftChars="0" w:right="0" w:rightChars="0" w:hanging="1329" w:hangingChars="633"/>
        <w:rPr>
          <w:rFonts w:hint="eastAsia" w:ascii="宋体" w:hAnsi="宋体" w:eastAsia="宋体" w:cs="宋体"/>
          <w:color w:val="auto"/>
          <w:sz w:val="21"/>
          <w:szCs w:val="21"/>
          <w:highlight w:val="none"/>
        </w:rPr>
      </w:pPr>
    </w:p>
    <w:p>
      <w:pPr>
        <w:pageBreakBefore w:val="0"/>
        <w:widowControl w:val="0"/>
        <w:kinsoku/>
        <w:wordWrap/>
        <w:overflowPunct/>
        <w:topLinePunct w:val="0"/>
        <w:bidi w:val="0"/>
        <w:snapToGrid/>
        <w:spacing w:line="360" w:lineRule="exact"/>
        <w:ind w:left="1329" w:leftChars="0" w:right="0" w:rightChars="0" w:hanging="1329" w:hangingChars="633"/>
        <w:rPr>
          <w:rFonts w:hint="eastAsia" w:ascii="宋体" w:hAnsi="宋体" w:eastAsia="宋体" w:cs="宋体"/>
          <w:color w:val="auto"/>
          <w:sz w:val="21"/>
          <w:szCs w:val="21"/>
          <w:highlight w:val="none"/>
        </w:rPr>
      </w:pPr>
    </w:p>
    <w:p>
      <w:pPr>
        <w:pageBreakBefore w:val="0"/>
        <w:widowControl w:val="0"/>
        <w:kinsoku/>
        <w:wordWrap/>
        <w:overflowPunct/>
        <w:topLinePunct w:val="0"/>
        <w:bidi w:val="0"/>
        <w:snapToGrid/>
        <w:spacing w:line="360" w:lineRule="exact"/>
        <w:ind w:left="1329" w:leftChars="0" w:right="0" w:rightChars="0" w:hanging="1329" w:hangingChars="633"/>
        <w:rPr>
          <w:rFonts w:hint="eastAsia" w:ascii="宋体" w:hAnsi="宋体" w:eastAsia="宋体" w:cs="宋体"/>
          <w:color w:val="auto"/>
          <w:sz w:val="21"/>
          <w:szCs w:val="21"/>
          <w:highlight w:val="none"/>
        </w:rPr>
      </w:pPr>
    </w:p>
    <w:p>
      <w:pPr>
        <w:pageBreakBefore w:val="0"/>
        <w:widowControl w:val="0"/>
        <w:kinsoku/>
        <w:wordWrap/>
        <w:overflowPunct/>
        <w:topLinePunct w:val="0"/>
        <w:bidi w:val="0"/>
        <w:snapToGrid/>
        <w:spacing w:line="360" w:lineRule="exact"/>
        <w:ind w:left="1329" w:leftChars="0" w:right="0" w:rightChars="0" w:hanging="1329" w:hangingChars="633"/>
        <w:rPr>
          <w:rFonts w:hint="eastAsia" w:ascii="宋体" w:hAnsi="宋体" w:eastAsia="宋体" w:cs="宋体"/>
          <w:color w:val="auto"/>
          <w:sz w:val="21"/>
          <w:szCs w:val="21"/>
          <w:highlight w:val="none"/>
        </w:rPr>
      </w:pPr>
    </w:p>
    <w:p>
      <w:pPr>
        <w:pageBreakBefore w:val="0"/>
        <w:widowControl w:val="0"/>
        <w:kinsoku/>
        <w:wordWrap/>
        <w:overflowPunct/>
        <w:topLinePunct w:val="0"/>
        <w:bidi w:val="0"/>
        <w:snapToGrid/>
        <w:spacing w:line="360" w:lineRule="exact"/>
        <w:ind w:left="1329" w:leftChars="0" w:right="0" w:rightChars="0" w:hanging="1329" w:hangingChars="633"/>
        <w:rPr>
          <w:rFonts w:hint="eastAsia" w:ascii="宋体" w:hAnsi="宋体" w:eastAsia="宋体" w:cs="宋体"/>
          <w:color w:val="auto"/>
          <w:sz w:val="21"/>
          <w:szCs w:val="21"/>
          <w:highlight w:val="none"/>
        </w:rPr>
      </w:pPr>
    </w:p>
    <w:p>
      <w:pPr>
        <w:pageBreakBefore w:val="0"/>
        <w:widowControl w:val="0"/>
        <w:kinsoku/>
        <w:wordWrap/>
        <w:overflowPunct/>
        <w:topLinePunct w:val="0"/>
        <w:bidi w:val="0"/>
        <w:snapToGrid/>
        <w:spacing w:line="360" w:lineRule="exact"/>
        <w:ind w:left="1329" w:leftChars="0" w:right="0" w:rightChars="0" w:hanging="1329" w:hangingChars="633"/>
        <w:rPr>
          <w:rFonts w:hint="eastAsia" w:ascii="宋体" w:hAnsi="宋体" w:eastAsia="宋体" w:cs="宋体"/>
          <w:color w:val="auto"/>
          <w:sz w:val="21"/>
          <w:szCs w:val="21"/>
          <w:highlight w:val="none"/>
        </w:rPr>
      </w:pPr>
    </w:p>
    <w:p>
      <w:pPr>
        <w:pageBreakBefore w:val="0"/>
        <w:widowControl w:val="0"/>
        <w:kinsoku/>
        <w:wordWrap/>
        <w:overflowPunct/>
        <w:topLinePunct w:val="0"/>
        <w:bidi w:val="0"/>
        <w:snapToGrid/>
        <w:spacing w:line="360" w:lineRule="exact"/>
        <w:ind w:left="1329" w:leftChars="0" w:right="0" w:rightChars="0" w:hanging="1329" w:hangingChars="633"/>
        <w:rPr>
          <w:rFonts w:hint="eastAsia" w:ascii="宋体" w:hAnsi="宋体" w:eastAsia="宋体" w:cs="宋体"/>
          <w:color w:val="auto"/>
          <w:sz w:val="21"/>
          <w:szCs w:val="21"/>
          <w:highlight w:val="none"/>
        </w:rPr>
      </w:pPr>
    </w:p>
    <w:p>
      <w:pPr>
        <w:pageBreakBefore w:val="0"/>
        <w:widowControl w:val="0"/>
        <w:kinsoku/>
        <w:wordWrap/>
        <w:overflowPunct/>
        <w:topLinePunct w:val="0"/>
        <w:bidi w:val="0"/>
        <w:snapToGrid/>
        <w:spacing w:line="360" w:lineRule="exact"/>
        <w:ind w:left="1329" w:leftChars="0" w:right="0" w:rightChars="0" w:hanging="1329" w:hangingChars="633"/>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w:t>
      </w:r>
      <w:bookmarkStart w:id="1896" w:name="_Toc296944571"/>
      <w:bookmarkStart w:id="1897" w:name="_Toc296891060"/>
      <w:bookmarkStart w:id="1898" w:name="_Toc296346733"/>
      <w:bookmarkStart w:id="1899" w:name="_Toc267261702"/>
      <w:bookmarkStart w:id="1900" w:name="_Toc296503232"/>
      <w:bookmarkStart w:id="1901" w:name="_Toc296347231"/>
      <w:bookmarkStart w:id="1902" w:name="_Toc296891272"/>
      <w:r>
        <w:rPr>
          <w:rFonts w:hint="eastAsia" w:ascii="宋体" w:hAnsi="宋体" w:eastAsia="宋体" w:cs="宋体"/>
          <w:color w:val="auto"/>
          <w:sz w:val="21"/>
          <w:szCs w:val="21"/>
          <w:highlight w:val="none"/>
        </w:rPr>
        <w:t>件9 ：</w:t>
      </w:r>
    </w:p>
    <w:bookmarkEnd w:id="1896"/>
    <w:bookmarkEnd w:id="1897"/>
    <w:bookmarkEnd w:id="1898"/>
    <w:bookmarkEnd w:id="1899"/>
    <w:bookmarkEnd w:id="1900"/>
    <w:bookmarkEnd w:id="1901"/>
    <w:bookmarkEnd w:id="1902"/>
    <w:p>
      <w:pPr>
        <w:pageBreakBefore w:val="0"/>
        <w:widowControl w:val="0"/>
        <w:kinsoku/>
        <w:wordWrap/>
        <w:overflowPunct/>
        <w:topLinePunct w:val="0"/>
        <w:bidi w:val="0"/>
        <w:snapToGrid/>
        <w:spacing w:line="360" w:lineRule="exact"/>
        <w:ind w:left="0" w:leftChars="0" w:right="0" w:right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预付款担保</w:t>
      </w:r>
    </w:p>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（发包人名称）：</w:t>
      </w:r>
    </w:p>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p>
      <w:pPr>
        <w:pageBreakBefore w:val="0"/>
        <w:widowControl w:val="0"/>
        <w:kinsoku/>
        <w:wordWrap/>
        <w:overflowPunct/>
        <w:topLinePunct w:val="0"/>
        <w:bidi w:val="0"/>
        <w:snapToGrid/>
        <w:spacing w:line="360" w:lineRule="exact"/>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（承包人名称）（以下称“承包人”）与</w:t>
      </w:r>
    </w:p>
    <w:p>
      <w:pPr>
        <w:pageBreakBefore w:val="0"/>
        <w:widowControl w:val="0"/>
        <w:kinsoku/>
        <w:wordWrap/>
        <w:overflowPunct/>
        <w:topLinePunct w:val="0"/>
        <w:bidi w:val="0"/>
        <w:snapToGrid/>
        <w:spacing w:line="360" w:lineRule="exact"/>
        <w:ind w:left="0" w:leftChars="0" w:right="0" w:rightChars="0"/>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 xml:space="preserve">                        </w:t>
      </w:r>
      <w:bookmarkStart w:id="1903" w:name="_Toc19561"/>
      <w:bookmarkStart w:id="1904" w:name="_Toc6475"/>
      <w:bookmarkStart w:id="1905" w:name="_Toc23079"/>
      <w:bookmarkStart w:id="1906" w:name="_Toc29110"/>
      <w:r>
        <w:rPr>
          <w:rFonts w:hint="eastAsia" w:ascii="宋体" w:hAnsi="宋体" w:eastAsia="宋体" w:cs="宋体"/>
          <w:color w:val="auto"/>
          <w:sz w:val="21"/>
          <w:szCs w:val="21"/>
          <w:highlight w:val="none"/>
        </w:rPr>
        <w:t>（发包人名称）（以下简称“发包人”）</w:t>
      </w:r>
      <w:bookmarkEnd w:id="1903"/>
      <w:bookmarkEnd w:id="1904"/>
      <w:bookmarkEnd w:id="1905"/>
      <w:bookmarkEnd w:id="1906"/>
    </w:p>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于</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日签订的</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（工程名称）《建设工程施工合同》，承包人按约定的金额向你方提交一份预付款担保，即有权得到你方支付相等金额的预付款。我方愿意就你方提供给承包人的预付款为承包人提供连带责任担保。</w:t>
      </w:r>
    </w:p>
    <w:p>
      <w:pPr>
        <w:pageBreakBefore w:val="0"/>
        <w:widowControl w:val="0"/>
        <w:kinsoku/>
        <w:wordWrap/>
        <w:overflowPunct/>
        <w:topLinePunct w:val="0"/>
        <w:bidi w:val="0"/>
        <w:snapToGrid/>
        <w:spacing w:line="360" w:lineRule="exact"/>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 担保金额人民币（大写）</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元（¥</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pageBreakBefore w:val="0"/>
        <w:widowControl w:val="0"/>
        <w:kinsoku/>
        <w:wordWrap/>
        <w:overflowPunct/>
        <w:topLinePunct w:val="0"/>
        <w:bidi w:val="0"/>
        <w:snapToGrid/>
        <w:spacing w:line="360" w:lineRule="exact"/>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 担保有效期自预付款支付给承包人起生效，至你方签发的进度款支付证书说明已完全扣清止。</w:t>
      </w:r>
    </w:p>
    <w:p>
      <w:pPr>
        <w:pageBreakBefore w:val="0"/>
        <w:widowControl w:val="0"/>
        <w:kinsoku/>
        <w:wordWrap/>
        <w:overflowPunct/>
        <w:topLinePunct w:val="0"/>
        <w:bidi w:val="0"/>
        <w:snapToGrid/>
        <w:spacing w:line="360" w:lineRule="exact"/>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 在本保函有效期内，因承包人违反合同约定的义务而要求收回预付款时，我方在收到你方的书面通知后，在７天内无条件支付。但本保函的担保金额，在任何时候不应超过预付款金额减去你方按合同约定在向承包人签发的进度款支付证书中扣除的金额。</w:t>
      </w:r>
    </w:p>
    <w:p>
      <w:pPr>
        <w:pageBreakBefore w:val="0"/>
        <w:widowControl w:val="0"/>
        <w:kinsoku/>
        <w:wordWrap/>
        <w:overflowPunct/>
        <w:topLinePunct w:val="0"/>
        <w:bidi w:val="0"/>
        <w:snapToGrid/>
        <w:spacing w:line="360" w:lineRule="exact"/>
        <w:ind w:left="0" w:leftChars="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 你方和承包人按合同约定变更合同时，我方承担本保函规定的义务不变。</w:t>
      </w:r>
    </w:p>
    <w:p>
      <w:pPr>
        <w:pageBreakBefore w:val="0"/>
        <w:widowControl w:val="0"/>
        <w:kinsoku/>
        <w:wordWrap/>
        <w:overflowPunct/>
        <w:topLinePunct w:val="0"/>
        <w:bidi w:val="0"/>
        <w:snapToGrid/>
        <w:spacing w:line="360" w:lineRule="exact"/>
        <w:ind w:left="0" w:leftChars="0" w:right="0" w:rightChars="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 因本保函发生的纠纷，可由双方协商解决，协商不成的，任何一方均可提请</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仲裁委员会仲裁。</w:t>
      </w:r>
    </w:p>
    <w:p>
      <w:pPr>
        <w:pageBreakBefore w:val="0"/>
        <w:widowControl w:val="0"/>
        <w:kinsoku/>
        <w:wordWrap/>
        <w:overflowPunct/>
        <w:topLinePunct w:val="0"/>
        <w:bidi w:val="0"/>
        <w:snapToGrid/>
        <w:spacing w:line="360" w:lineRule="exact"/>
        <w:ind w:left="0" w:leftChars="0" w:right="0" w:rightChars="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 本保函自我方法定代表人（或其授权代理人）签字并加盖公章之日起生效。</w:t>
      </w:r>
    </w:p>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p>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担保人：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（盖单位章）</w:t>
      </w:r>
    </w:p>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法定代表人或其委托代理人：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（签字）</w:t>
      </w:r>
    </w:p>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    址：</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ab/>
      </w:r>
    </w:p>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邮政编码：</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ab/>
      </w:r>
    </w:p>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电    话：</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ab/>
      </w:r>
    </w:p>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传    真：</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ab/>
      </w:r>
    </w:p>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u w:val="single"/>
        </w:rPr>
      </w:pPr>
    </w:p>
    <w:p>
      <w:pPr>
        <w:pageBreakBefore w:val="0"/>
        <w:widowControl w:val="0"/>
        <w:kinsoku/>
        <w:wordWrap/>
        <w:overflowPunct/>
        <w:topLinePunct w:val="0"/>
        <w:bidi w:val="0"/>
        <w:snapToGrid/>
        <w:spacing w:line="360" w:lineRule="exact"/>
        <w:ind w:left="0" w:leftChars="0" w:right="0" w:righ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p>
    <w:p>
      <w:pPr>
        <w:spacing w:line="440" w:lineRule="exact"/>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br w:type="page"/>
      </w:r>
      <w:r>
        <w:rPr>
          <w:rFonts w:hint="eastAsia" w:ascii="宋体" w:hAnsi="宋体" w:eastAsia="宋体" w:cs="宋体"/>
          <w:color w:val="auto"/>
          <w:sz w:val="21"/>
          <w:szCs w:val="21"/>
          <w:highlight w:val="none"/>
        </w:rPr>
        <w:t xml:space="preserve">附件10:  </w:t>
      </w:r>
    </w:p>
    <w:p>
      <w:pPr>
        <w:spacing w:before="120" w:beforeLines="50" w:after="120" w:afterLines="50"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支付担保</w:t>
      </w:r>
    </w:p>
    <w:p>
      <w:pPr>
        <w:spacing w:line="44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（承包人）：</w:t>
      </w:r>
    </w:p>
    <w:p>
      <w:pPr>
        <w:spacing w:line="440" w:lineRule="exact"/>
        <w:jc w:val="left"/>
        <w:rPr>
          <w:rFonts w:hint="eastAsia" w:ascii="宋体" w:hAnsi="宋体" w:eastAsia="宋体" w:cs="宋体"/>
          <w:color w:val="auto"/>
          <w:sz w:val="21"/>
          <w:szCs w:val="21"/>
          <w:highlight w:val="none"/>
        </w:rPr>
      </w:pPr>
    </w:p>
    <w:p>
      <w:pPr>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鉴于你方作为承包人已经与</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（发包人名称）（以下称“发包人”）于</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日签订了</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（工程名称）《建设工程施工合同》（以下称“主合同”），应发包人的申请，我方愿就发包人履行主合同约定的工程款支付义务以保证的方式向你方提供如下担保：</w:t>
      </w:r>
    </w:p>
    <w:p>
      <w:pPr>
        <w:spacing w:line="360" w:lineRule="auto"/>
        <w:ind w:firstLine="420" w:firstLineChars="200"/>
        <w:jc w:val="left"/>
        <w:outlineLvl w:val="0"/>
        <w:rPr>
          <w:rFonts w:hint="eastAsia" w:ascii="宋体" w:hAnsi="宋体" w:eastAsia="宋体" w:cs="宋体"/>
          <w:color w:val="auto"/>
          <w:sz w:val="21"/>
          <w:szCs w:val="21"/>
          <w:highlight w:val="none"/>
        </w:rPr>
      </w:pPr>
      <w:bookmarkStart w:id="1907" w:name="_Toc20380"/>
      <w:bookmarkStart w:id="1908" w:name="_Toc31131"/>
      <w:bookmarkStart w:id="1909" w:name="_Toc25964"/>
      <w:bookmarkStart w:id="1910" w:name="_Toc26895"/>
      <w:r>
        <w:rPr>
          <w:rFonts w:hint="eastAsia" w:ascii="宋体" w:hAnsi="宋体" w:eastAsia="宋体" w:cs="宋体"/>
          <w:color w:val="auto"/>
          <w:sz w:val="21"/>
          <w:szCs w:val="21"/>
          <w:highlight w:val="none"/>
        </w:rPr>
        <w:t>一、保证的范围及保证金额</w:t>
      </w:r>
      <w:bookmarkEnd w:id="1907"/>
      <w:bookmarkEnd w:id="1908"/>
      <w:bookmarkEnd w:id="1909"/>
      <w:bookmarkEnd w:id="1910"/>
    </w:p>
    <w:p>
      <w:pPr>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 我方的保证范围是主合同约定的工程款。</w:t>
      </w:r>
    </w:p>
    <w:p>
      <w:pPr>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 本保函所称主合同约定的工程款是指主合同约定的除工程质量保证金以外的合同价款。</w:t>
      </w:r>
    </w:p>
    <w:p>
      <w:pPr>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 我方保证的金额是主合同约定的工程款的</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%，数额最高不超过人民币元（大写：</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spacing w:line="360" w:lineRule="auto"/>
        <w:ind w:firstLine="420" w:firstLineChars="200"/>
        <w:jc w:val="left"/>
        <w:outlineLvl w:val="0"/>
        <w:rPr>
          <w:rFonts w:hint="eastAsia" w:ascii="宋体" w:hAnsi="宋体" w:eastAsia="宋体" w:cs="宋体"/>
          <w:color w:val="auto"/>
          <w:sz w:val="21"/>
          <w:szCs w:val="21"/>
          <w:highlight w:val="none"/>
        </w:rPr>
      </w:pPr>
      <w:bookmarkStart w:id="1911" w:name="_Toc10162"/>
      <w:bookmarkStart w:id="1912" w:name="_Toc19889"/>
      <w:bookmarkStart w:id="1913" w:name="_Toc16286"/>
      <w:bookmarkStart w:id="1914" w:name="_Toc31793"/>
      <w:r>
        <w:rPr>
          <w:rFonts w:hint="eastAsia" w:ascii="宋体" w:hAnsi="宋体" w:eastAsia="宋体" w:cs="宋体"/>
          <w:color w:val="auto"/>
          <w:sz w:val="21"/>
          <w:szCs w:val="21"/>
          <w:highlight w:val="none"/>
        </w:rPr>
        <w:t>二、保证的方式及保证期间</w:t>
      </w:r>
      <w:bookmarkEnd w:id="1911"/>
      <w:bookmarkEnd w:id="1912"/>
      <w:bookmarkEnd w:id="1913"/>
      <w:bookmarkEnd w:id="1914"/>
    </w:p>
    <w:p>
      <w:pPr>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 我方保证的方式为：连带责任保证。</w:t>
      </w:r>
    </w:p>
    <w:p>
      <w:pPr>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 我方保证的期间为：自本合同生效之日起至主合同约定的工程款支付完毕之日后</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日内。</w:t>
      </w:r>
    </w:p>
    <w:p>
      <w:pPr>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 你方与发包人协议变更工程款支付日期的，经我方书面同意后，保证期间按照变更后的支付日期做相应调整。</w:t>
      </w:r>
    </w:p>
    <w:p>
      <w:pPr>
        <w:spacing w:line="360" w:lineRule="auto"/>
        <w:ind w:firstLine="420" w:firstLineChars="200"/>
        <w:jc w:val="left"/>
        <w:outlineLvl w:val="0"/>
        <w:rPr>
          <w:rFonts w:hint="eastAsia" w:ascii="宋体" w:hAnsi="宋体" w:eastAsia="宋体" w:cs="宋体"/>
          <w:color w:val="auto"/>
          <w:sz w:val="21"/>
          <w:szCs w:val="21"/>
          <w:highlight w:val="none"/>
        </w:rPr>
      </w:pPr>
      <w:bookmarkStart w:id="1915" w:name="_Toc3217"/>
      <w:bookmarkStart w:id="1916" w:name="_Toc30010"/>
      <w:bookmarkStart w:id="1917" w:name="_Toc27567"/>
      <w:bookmarkStart w:id="1918" w:name="_Toc30478"/>
      <w:r>
        <w:rPr>
          <w:rFonts w:hint="eastAsia" w:ascii="宋体" w:hAnsi="宋体" w:eastAsia="宋体" w:cs="宋体"/>
          <w:color w:val="auto"/>
          <w:sz w:val="21"/>
          <w:szCs w:val="21"/>
          <w:highlight w:val="none"/>
        </w:rPr>
        <w:t>三、承担保证责任的形式</w:t>
      </w:r>
      <w:bookmarkEnd w:id="1915"/>
      <w:bookmarkEnd w:id="1916"/>
      <w:bookmarkEnd w:id="1917"/>
      <w:bookmarkEnd w:id="1918"/>
    </w:p>
    <w:p>
      <w:pPr>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我方承担保证责任的形式是代为支付。发包人未按主合同约定向你方支付工程款的，由我方在保证金额内代为支付。</w:t>
      </w:r>
    </w:p>
    <w:p>
      <w:pPr>
        <w:spacing w:line="360" w:lineRule="auto"/>
        <w:ind w:firstLine="420" w:firstLineChars="200"/>
        <w:jc w:val="left"/>
        <w:outlineLvl w:val="0"/>
        <w:rPr>
          <w:rFonts w:hint="eastAsia" w:ascii="宋体" w:hAnsi="宋体" w:eastAsia="宋体" w:cs="宋体"/>
          <w:color w:val="auto"/>
          <w:sz w:val="21"/>
          <w:szCs w:val="21"/>
          <w:highlight w:val="none"/>
        </w:rPr>
      </w:pPr>
      <w:bookmarkStart w:id="1919" w:name="_Toc11312"/>
      <w:bookmarkStart w:id="1920" w:name="_Toc19016"/>
      <w:bookmarkStart w:id="1921" w:name="_Toc4883"/>
      <w:bookmarkStart w:id="1922" w:name="_Toc5876"/>
      <w:r>
        <w:rPr>
          <w:rFonts w:hint="eastAsia" w:ascii="宋体" w:hAnsi="宋体" w:eastAsia="宋体" w:cs="宋体"/>
          <w:color w:val="auto"/>
          <w:sz w:val="21"/>
          <w:szCs w:val="21"/>
          <w:highlight w:val="none"/>
        </w:rPr>
        <w:t>四、代偿的安排</w:t>
      </w:r>
      <w:bookmarkEnd w:id="1919"/>
      <w:bookmarkEnd w:id="1920"/>
      <w:bookmarkEnd w:id="1921"/>
      <w:bookmarkEnd w:id="1922"/>
    </w:p>
    <w:p>
      <w:pPr>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 你方要求我方承担保证责任的，应向我方发出书面索赔通知及发包人未支付主合同约定工程款的证明材料。索赔通知应写明要求索赔的金额，支付款项应到达的账号。</w:t>
      </w:r>
    </w:p>
    <w:p>
      <w:pPr>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 在出现你方与发包人因工程质量发生争议，发包人拒绝向你方支付工程款的情形时，你方要求我方履行保证责任代为支付的，需提供符合相应条件要求的工程质量检测机构出具的质量说明材料。</w:t>
      </w:r>
    </w:p>
    <w:p>
      <w:pPr>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 我方收到你方的书面索赔通知及相应的证明材料后７天内无条件支付。</w:t>
      </w:r>
    </w:p>
    <w:p>
      <w:pPr>
        <w:spacing w:line="360" w:lineRule="auto"/>
        <w:ind w:firstLine="420" w:firstLineChars="200"/>
        <w:jc w:val="left"/>
        <w:outlineLvl w:val="0"/>
        <w:rPr>
          <w:rFonts w:hint="eastAsia" w:ascii="宋体" w:hAnsi="宋体" w:eastAsia="宋体" w:cs="宋体"/>
          <w:color w:val="auto"/>
          <w:sz w:val="21"/>
          <w:szCs w:val="21"/>
          <w:highlight w:val="none"/>
        </w:rPr>
      </w:pPr>
      <w:bookmarkStart w:id="1923" w:name="_Toc2711"/>
      <w:bookmarkStart w:id="1924" w:name="_Toc1507"/>
      <w:bookmarkStart w:id="1925" w:name="_Toc30624"/>
      <w:bookmarkStart w:id="1926" w:name="_Toc25107"/>
      <w:r>
        <w:rPr>
          <w:rFonts w:hint="eastAsia" w:ascii="宋体" w:hAnsi="宋体" w:eastAsia="宋体" w:cs="宋体"/>
          <w:color w:val="auto"/>
          <w:sz w:val="21"/>
          <w:szCs w:val="21"/>
          <w:highlight w:val="none"/>
        </w:rPr>
        <w:t>五、保证责任的解除</w:t>
      </w:r>
      <w:bookmarkEnd w:id="1923"/>
      <w:bookmarkEnd w:id="1924"/>
      <w:bookmarkEnd w:id="1925"/>
      <w:bookmarkEnd w:id="1926"/>
    </w:p>
    <w:p>
      <w:pPr>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 在本保函承诺的保证期间内，你方未书面向我方主张保证责任的，自保证期间届满次日起，我方保证责任解除。</w:t>
      </w:r>
    </w:p>
    <w:p>
      <w:pPr>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 发包人按主合同约定履行了工程款的全部支付义务的，自本保函承诺的保证期间届满次日起，我方保证责任解除。</w:t>
      </w:r>
    </w:p>
    <w:p>
      <w:pPr>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 我方按照本保函向你方履行保证责任所支付金额达到本保函保证金额时，自我方向你方支付（支付款项从我方账户划出）之日起，保证责任即解除。</w:t>
      </w:r>
    </w:p>
    <w:p>
      <w:pPr>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 按照法律法规的规定或出现应解除我方保证责任的其他情形的，我方在本保函项下的保证责任亦解除。</w:t>
      </w:r>
    </w:p>
    <w:p>
      <w:pPr>
        <w:spacing w:line="360" w:lineRule="auto"/>
        <w:jc w:val="left"/>
        <w:rPr>
          <w:rFonts w:hint="eastAsia" w:ascii="宋体" w:hAnsi="宋体" w:eastAsia="宋体" w:cs="宋体"/>
          <w:color w:val="auto"/>
          <w:sz w:val="21"/>
          <w:szCs w:val="21"/>
          <w:highlight w:val="none"/>
        </w:rPr>
      </w:pPr>
    </w:p>
    <w:p>
      <w:pPr>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 我方解除保证责任后，你方应自我方保证责任解除之日起</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个工作日内，将本保函原件返还我方。</w:t>
      </w:r>
    </w:p>
    <w:p>
      <w:pPr>
        <w:spacing w:line="360" w:lineRule="auto"/>
        <w:ind w:firstLine="420" w:firstLineChars="200"/>
        <w:jc w:val="left"/>
        <w:outlineLvl w:val="0"/>
        <w:rPr>
          <w:rFonts w:hint="eastAsia" w:ascii="宋体" w:hAnsi="宋体" w:eastAsia="宋体" w:cs="宋体"/>
          <w:color w:val="auto"/>
          <w:sz w:val="21"/>
          <w:szCs w:val="21"/>
          <w:highlight w:val="none"/>
        </w:rPr>
      </w:pPr>
      <w:bookmarkStart w:id="1927" w:name="_Toc11064"/>
      <w:bookmarkStart w:id="1928" w:name="_Toc23407"/>
      <w:bookmarkStart w:id="1929" w:name="_Toc3962"/>
      <w:bookmarkStart w:id="1930" w:name="_Toc32712"/>
      <w:r>
        <w:rPr>
          <w:rFonts w:hint="eastAsia" w:ascii="宋体" w:hAnsi="宋体" w:eastAsia="宋体" w:cs="宋体"/>
          <w:color w:val="auto"/>
          <w:sz w:val="21"/>
          <w:szCs w:val="21"/>
          <w:highlight w:val="none"/>
        </w:rPr>
        <w:t>六、免责条款</w:t>
      </w:r>
      <w:bookmarkEnd w:id="1927"/>
      <w:bookmarkEnd w:id="1928"/>
      <w:bookmarkEnd w:id="1929"/>
      <w:bookmarkEnd w:id="1930"/>
    </w:p>
    <w:p>
      <w:pPr>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 因你方违约致使发包人不能履行义务的，我方不承担保证责任。</w:t>
      </w:r>
    </w:p>
    <w:p>
      <w:pPr>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 依照法律法规的规定或你方与发包人的另行约定，免除发包人部分或全部义务的，我方亦免除其相应的保证责任。</w:t>
      </w:r>
    </w:p>
    <w:p>
      <w:pPr>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 你方与发包人协议变更主合同的，如加重发包人责任致使我方保证责任加重的，需征得我方书面同意，否则我方不再承担因此而加重部分的保证责任，但主合同第10条〔变更〕约定的变更不受本款限制。</w:t>
      </w:r>
    </w:p>
    <w:p>
      <w:pPr>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 因不可抗力造成发包人不能履行义务的，我方不承担保证责任。</w:t>
      </w:r>
    </w:p>
    <w:p>
      <w:pPr>
        <w:spacing w:line="360" w:lineRule="auto"/>
        <w:ind w:firstLine="420" w:firstLineChars="200"/>
        <w:jc w:val="left"/>
        <w:outlineLvl w:val="0"/>
        <w:rPr>
          <w:rFonts w:hint="eastAsia" w:ascii="宋体" w:hAnsi="宋体" w:eastAsia="宋体" w:cs="宋体"/>
          <w:color w:val="auto"/>
          <w:sz w:val="21"/>
          <w:szCs w:val="21"/>
          <w:highlight w:val="none"/>
        </w:rPr>
      </w:pPr>
      <w:bookmarkStart w:id="1931" w:name="_Toc24210"/>
      <w:bookmarkStart w:id="1932" w:name="_Toc20106"/>
      <w:bookmarkStart w:id="1933" w:name="_Toc28001"/>
      <w:bookmarkStart w:id="1934" w:name="_Toc5169"/>
      <w:r>
        <w:rPr>
          <w:rFonts w:hint="eastAsia" w:ascii="宋体" w:hAnsi="宋体" w:eastAsia="宋体" w:cs="宋体"/>
          <w:color w:val="auto"/>
          <w:sz w:val="21"/>
          <w:szCs w:val="21"/>
          <w:highlight w:val="none"/>
        </w:rPr>
        <w:t>七、争议解决</w:t>
      </w:r>
      <w:bookmarkEnd w:id="1931"/>
      <w:bookmarkEnd w:id="1932"/>
      <w:bookmarkEnd w:id="1933"/>
      <w:bookmarkEnd w:id="1934"/>
    </w:p>
    <w:p>
      <w:pPr>
        <w:spacing w:after="12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因本保函或本保函相关事项发生的纠纷，可由双方协商解决，协商不成的，按下列第</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种方式解决：</w:t>
      </w:r>
    </w:p>
    <w:p>
      <w:pPr>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（1）向</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仲裁委员会申请仲裁；</w:t>
      </w:r>
    </w:p>
    <w:p>
      <w:pPr>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（2）向</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人民法院起诉。</w:t>
      </w:r>
    </w:p>
    <w:p>
      <w:pPr>
        <w:spacing w:line="360" w:lineRule="auto"/>
        <w:ind w:firstLine="420" w:firstLineChars="200"/>
        <w:jc w:val="left"/>
        <w:outlineLvl w:val="0"/>
        <w:rPr>
          <w:rFonts w:hint="eastAsia" w:ascii="宋体" w:hAnsi="宋体" w:eastAsia="宋体" w:cs="宋体"/>
          <w:color w:val="auto"/>
          <w:sz w:val="21"/>
          <w:szCs w:val="21"/>
          <w:highlight w:val="none"/>
        </w:rPr>
      </w:pPr>
      <w:bookmarkStart w:id="1935" w:name="_Toc5124"/>
      <w:bookmarkStart w:id="1936" w:name="_Toc15122"/>
      <w:bookmarkStart w:id="1937" w:name="_Toc29914"/>
      <w:bookmarkStart w:id="1938" w:name="_Toc24785"/>
      <w:r>
        <w:rPr>
          <w:rFonts w:hint="eastAsia" w:ascii="宋体" w:hAnsi="宋体" w:eastAsia="宋体" w:cs="宋体"/>
          <w:color w:val="auto"/>
          <w:sz w:val="21"/>
          <w:szCs w:val="21"/>
          <w:highlight w:val="none"/>
        </w:rPr>
        <w:t>八、保函的生效</w:t>
      </w:r>
      <w:bookmarkEnd w:id="1935"/>
      <w:bookmarkEnd w:id="1936"/>
      <w:bookmarkEnd w:id="1937"/>
      <w:bookmarkEnd w:id="1938"/>
    </w:p>
    <w:p>
      <w:pPr>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本保函自我方法定代表人（或其授权代理人）签字并加盖公章之日起生效。</w:t>
      </w:r>
    </w:p>
    <w:p>
      <w:pPr>
        <w:spacing w:line="360" w:lineRule="auto"/>
        <w:ind w:firstLine="420" w:firstLineChars="200"/>
        <w:jc w:val="left"/>
        <w:rPr>
          <w:rFonts w:hint="eastAsia" w:ascii="宋体" w:hAnsi="宋体" w:eastAsia="宋体" w:cs="宋体"/>
          <w:color w:val="auto"/>
          <w:sz w:val="21"/>
          <w:szCs w:val="21"/>
          <w:highlight w:val="none"/>
        </w:rPr>
      </w:pPr>
    </w:p>
    <w:p>
      <w:pPr>
        <w:spacing w:line="360" w:lineRule="auto"/>
        <w:ind w:right="600"/>
        <w:jc w:val="left"/>
        <w:rPr>
          <w:rFonts w:hint="eastAsia" w:ascii="宋体" w:hAnsi="宋体" w:eastAsia="宋体" w:cs="宋体"/>
          <w:color w:val="auto"/>
          <w:sz w:val="21"/>
          <w:szCs w:val="21"/>
          <w:highlight w:val="none"/>
        </w:rPr>
      </w:pPr>
    </w:p>
    <w:p>
      <w:pPr>
        <w:spacing w:line="360" w:lineRule="auto"/>
        <w:ind w:right="6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担保人：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（盖章）</w:t>
      </w:r>
    </w:p>
    <w:p>
      <w:pPr>
        <w:spacing w:line="360" w:lineRule="auto"/>
        <w:ind w:right="1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法定代表人或委托代理人：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（签字）</w:t>
      </w:r>
    </w:p>
    <w:p>
      <w:pPr>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    址：</w:t>
      </w:r>
      <w:r>
        <w:rPr>
          <w:rFonts w:hint="eastAsia" w:ascii="宋体" w:hAnsi="宋体" w:eastAsia="宋体" w:cs="宋体"/>
          <w:color w:val="auto"/>
          <w:sz w:val="21"/>
          <w:szCs w:val="21"/>
          <w:highlight w:val="none"/>
          <w:u w:val="single"/>
        </w:rPr>
        <w:t xml:space="preserve">                                        </w:t>
      </w:r>
    </w:p>
    <w:p>
      <w:pPr>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邮政编码：</w:t>
      </w:r>
      <w:r>
        <w:rPr>
          <w:rFonts w:hint="eastAsia" w:ascii="宋体" w:hAnsi="宋体" w:eastAsia="宋体" w:cs="宋体"/>
          <w:color w:val="auto"/>
          <w:sz w:val="21"/>
          <w:szCs w:val="21"/>
          <w:highlight w:val="none"/>
          <w:u w:val="single"/>
        </w:rPr>
        <w:t xml:space="preserve">                                        </w:t>
      </w:r>
    </w:p>
    <w:p>
      <w:pPr>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传    真：</w:t>
      </w:r>
      <w:r>
        <w:rPr>
          <w:rFonts w:hint="eastAsia" w:ascii="宋体" w:hAnsi="宋体" w:eastAsia="宋体" w:cs="宋体"/>
          <w:color w:val="auto"/>
          <w:sz w:val="21"/>
          <w:szCs w:val="21"/>
          <w:highlight w:val="none"/>
          <w:u w:val="single"/>
        </w:rPr>
        <w:t xml:space="preserve">                                        </w:t>
      </w:r>
    </w:p>
    <w:p>
      <w:pPr>
        <w:spacing w:line="360" w:lineRule="auto"/>
        <w:ind w:right="150" w:firstLine="420" w:firstLineChars="200"/>
        <w:jc w:val="left"/>
        <w:rPr>
          <w:rFonts w:hint="eastAsia" w:ascii="宋体" w:hAnsi="宋体" w:eastAsia="宋体" w:cs="宋体"/>
          <w:color w:val="auto"/>
          <w:sz w:val="21"/>
          <w:szCs w:val="21"/>
          <w:highlight w:val="none"/>
          <w:u w:val="single"/>
        </w:rPr>
      </w:pPr>
    </w:p>
    <w:p>
      <w:pPr>
        <w:spacing w:line="360" w:lineRule="auto"/>
        <w:ind w:right="15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p>
    <w:p>
      <w:pPr>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r>
        <w:rPr>
          <w:rFonts w:hint="eastAsia" w:ascii="宋体" w:hAnsi="宋体" w:eastAsia="宋体" w:cs="宋体"/>
          <w:color w:val="auto"/>
          <w:sz w:val="21"/>
          <w:szCs w:val="21"/>
          <w:highlight w:val="none"/>
        </w:rPr>
        <w:t>附件11：</w:t>
      </w:r>
    </w:p>
    <w:p>
      <w:pPr>
        <w:spacing w:before="120" w:beforeLines="50" w:after="120" w:afterLines="50" w:line="440" w:lineRule="exact"/>
        <w:jc w:val="center"/>
        <w:outlineLvl w:val="0"/>
        <w:rPr>
          <w:rFonts w:hint="eastAsia" w:ascii="宋体" w:hAnsi="宋体" w:eastAsia="宋体" w:cs="宋体"/>
          <w:color w:val="auto"/>
          <w:sz w:val="21"/>
          <w:szCs w:val="21"/>
          <w:highlight w:val="none"/>
        </w:rPr>
      </w:pPr>
      <w:bookmarkStart w:id="1939" w:name="_Toc18176"/>
      <w:bookmarkStart w:id="1940" w:name="_Toc24367"/>
      <w:bookmarkStart w:id="1941" w:name="_Toc15518"/>
      <w:bookmarkStart w:id="1942" w:name="_Toc20900"/>
      <w:r>
        <w:rPr>
          <w:rFonts w:hint="eastAsia" w:ascii="宋体" w:hAnsi="宋体" w:eastAsia="宋体" w:cs="宋体"/>
          <w:color w:val="auto"/>
          <w:sz w:val="21"/>
          <w:szCs w:val="21"/>
          <w:highlight w:val="none"/>
        </w:rPr>
        <w:t>11-1：材料暂估价表</w:t>
      </w:r>
      <w:bookmarkEnd w:id="1939"/>
      <w:bookmarkEnd w:id="1940"/>
      <w:bookmarkEnd w:id="1941"/>
      <w:bookmarkEnd w:id="1942"/>
    </w:p>
    <w:tbl>
      <w:tblPr>
        <w:tblStyle w:val="19"/>
        <w:tblW w:w="867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30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序号</w:t>
            </w:r>
          </w:p>
        </w:tc>
        <w:tc>
          <w:tcPr>
            <w:tcW w:w="1984" w:type="dxa"/>
            <w:tcBorders>
              <w:top w:val="single" w:color="auto" w:sz="12" w:space="0"/>
              <w:bottom w:val="double" w:color="auto" w:sz="6" w:space="0"/>
            </w:tcBorders>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名称</w:t>
            </w:r>
          </w:p>
        </w:tc>
        <w:tc>
          <w:tcPr>
            <w:tcW w:w="851" w:type="dxa"/>
            <w:tcBorders>
              <w:top w:val="single" w:color="auto" w:sz="12" w:space="0"/>
              <w:bottom w:val="double" w:color="auto" w:sz="6" w:space="0"/>
            </w:tcBorders>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单位</w:t>
            </w:r>
          </w:p>
        </w:tc>
        <w:tc>
          <w:tcPr>
            <w:tcW w:w="774" w:type="dxa"/>
            <w:tcBorders>
              <w:top w:val="single" w:color="auto" w:sz="12" w:space="0"/>
              <w:bottom w:val="double" w:color="auto" w:sz="6" w:space="0"/>
            </w:tcBorders>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数量</w:t>
            </w:r>
          </w:p>
        </w:tc>
        <w:tc>
          <w:tcPr>
            <w:tcW w:w="1352" w:type="dxa"/>
            <w:tcBorders>
              <w:top w:val="single" w:color="auto" w:sz="12" w:space="0"/>
              <w:bottom w:val="double" w:color="auto" w:sz="6" w:space="0"/>
            </w:tcBorders>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单价（元）</w:t>
            </w:r>
          </w:p>
        </w:tc>
        <w:tc>
          <w:tcPr>
            <w:tcW w:w="1418" w:type="dxa"/>
            <w:tcBorders>
              <w:top w:val="single" w:color="auto" w:sz="12" w:space="0"/>
              <w:bottom w:val="double" w:color="auto" w:sz="6" w:space="0"/>
            </w:tcBorders>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合价（元）</w:t>
            </w:r>
          </w:p>
        </w:tc>
        <w:tc>
          <w:tcPr>
            <w:tcW w:w="1303" w:type="dxa"/>
            <w:tcBorders>
              <w:top w:val="single" w:color="auto" w:sz="12" w:space="0"/>
              <w:bottom w:val="double" w:color="auto" w:sz="6" w:space="0"/>
            </w:tcBorders>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984" w:type="dxa"/>
            <w:tcBorders>
              <w:top w:val="double" w:color="auto" w:sz="6" w:space="0"/>
              <w:bottom w:val="single" w:color="auto" w:sz="6" w:space="0"/>
            </w:tcBorders>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851" w:type="dxa"/>
            <w:tcBorders>
              <w:top w:val="double" w:color="auto" w:sz="6" w:space="0"/>
              <w:bottom w:val="single" w:color="auto" w:sz="6" w:space="0"/>
            </w:tcBorders>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774" w:type="dxa"/>
            <w:tcBorders>
              <w:top w:val="double" w:color="auto" w:sz="6" w:space="0"/>
              <w:bottom w:val="single" w:color="auto" w:sz="6" w:space="0"/>
            </w:tcBorders>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52" w:type="dxa"/>
            <w:tcBorders>
              <w:top w:val="double" w:color="auto" w:sz="6" w:space="0"/>
              <w:bottom w:val="single" w:color="auto" w:sz="6" w:space="0"/>
            </w:tcBorders>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418" w:type="dxa"/>
            <w:tcBorders>
              <w:top w:val="double" w:color="auto" w:sz="6" w:space="0"/>
              <w:bottom w:val="single" w:color="auto" w:sz="6" w:space="0"/>
            </w:tcBorders>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03" w:type="dxa"/>
            <w:tcBorders>
              <w:top w:val="double" w:color="auto" w:sz="6" w:space="0"/>
              <w:bottom w:val="single" w:color="auto" w:sz="6" w:space="0"/>
            </w:tcBorders>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984" w:type="dxa"/>
            <w:tcBorders>
              <w:top w:val="nil"/>
            </w:tcBorders>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851" w:type="dxa"/>
            <w:tcBorders>
              <w:top w:val="nil"/>
            </w:tcBorders>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774" w:type="dxa"/>
            <w:tcBorders>
              <w:top w:val="nil"/>
            </w:tcBorders>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52" w:type="dxa"/>
            <w:tcBorders>
              <w:top w:val="nil"/>
            </w:tcBorders>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418" w:type="dxa"/>
            <w:tcBorders>
              <w:top w:val="nil"/>
            </w:tcBorders>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03" w:type="dxa"/>
            <w:tcBorders>
              <w:top w:val="nil"/>
            </w:tcBorders>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98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851"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77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52"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418"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0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98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851"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77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52"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418"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0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98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851"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77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52"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418"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0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98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851"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77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52"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418"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0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98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851"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77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52"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418"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0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98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851"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77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52"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418"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0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98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851"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77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52"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418"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0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98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851"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77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52"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418"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0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98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851"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77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52"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418"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0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98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851"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77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52"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418"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0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98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851"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77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52"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418"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0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98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851"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77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52"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418"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0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98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851"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77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52"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418"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0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98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851"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77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52"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418"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0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98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851"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77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52"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418"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0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98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851"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77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52"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418"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0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98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851"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77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52"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418"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0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98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851"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77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52"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418"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0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98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851"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77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52"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418"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0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98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851"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77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52"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418"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0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98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851"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77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52"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418"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0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98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851"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77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52"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418"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0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98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851"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77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52"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418"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0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r>
    </w:tbl>
    <w:p>
      <w:pPr>
        <w:spacing w:before="120" w:beforeLines="50" w:after="120" w:afterLines="50" w:line="440" w:lineRule="exact"/>
        <w:rPr>
          <w:rFonts w:hint="eastAsia" w:ascii="宋体" w:hAnsi="宋体" w:eastAsia="宋体" w:cs="宋体"/>
          <w:color w:val="auto"/>
          <w:sz w:val="21"/>
          <w:szCs w:val="21"/>
          <w:highlight w:val="none"/>
        </w:rPr>
      </w:pPr>
    </w:p>
    <w:p>
      <w:pPr>
        <w:spacing w:before="120" w:beforeLines="50" w:after="120" w:afterLines="50"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11-2：工程设备暂估价表</w:t>
      </w:r>
    </w:p>
    <w:tbl>
      <w:tblPr>
        <w:tblStyle w:val="19"/>
        <w:tblW w:w="867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30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序号</w:t>
            </w:r>
          </w:p>
        </w:tc>
        <w:tc>
          <w:tcPr>
            <w:tcW w:w="1984" w:type="dxa"/>
            <w:tcBorders>
              <w:top w:val="single" w:color="auto" w:sz="12" w:space="0"/>
              <w:bottom w:val="double" w:color="auto" w:sz="6" w:space="0"/>
            </w:tcBorders>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名称</w:t>
            </w:r>
          </w:p>
        </w:tc>
        <w:tc>
          <w:tcPr>
            <w:tcW w:w="851" w:type="dxa"/>
            <w:tcBorders>
              <w:top w:val="single" w:color="auto" w:sz="12" w:space="0"/>
              <w:bottom w:val="double" w:color="auto" w:sz="6" w:space="0"/>
            </w:tcBorders>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单位</w:t>
            </w:r>
          </w:p>
        </w:tc>
        <w:tc>
          <w:tcPr>
            <w:tcW w:w="774" w:type="dxa"/>
            <w:tcBorders>
              <w:top w:val="single" w:color="auto" w:sz="12" w:space="0"/>
              <w:bottom w:val="double" w:color="auto" w:sz="6" w:space="0"/>
            </w:tcBorders>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数量</w:t>
            </w:r>
          </w:p>
        </w:tc>
        <w:tc>
          <w:tcPr>
            <w:tcW w:w="1352" w:type="dxa"/>
            <w:tcBorders>
              <w:top w:val="single" w:color="auto" w:sz="12" w:space="0"/>
              <w:bottom w:val="double" w:color="auto" w:sz="6" w:space="0"/>
            </w:tcBorders>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单价（元）</w:t>
            </w:r>
          </w:p>
        </w:tc>
        <w:tc>
          <w:tcPr>
            <w:tcW w:w="1418" w:type="dxa"/>
            <w:tcBorders>
              <w:top w:val="single" w:color="auto" w:sz="12" w:space="0"/>
              <w:bottom w:val="double" w:color="auto" w:sz="6" w:space="0"/>
            </w:tcBorders>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合价（元）</w:t>
            </w:r>
          </w:p>
        </w:tc>
        <w:tc>
          <w:tcPr>
            <w:tcW w:w="1303" w:type="dxa"/>
            <w:tcBorders>
              <w:top w:val="single" w:color="auto" w:sz="12" w:space="0"/>
              <w:bottom w:val="double" w:color="auto" w:sz="6" w:space="0"/>
            </w:tcBorders>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984" w:type="dxa"/>
            <w:tcBorders>
              <w:top w:val="double" w:color="auto" w:sz="6" w:space="0"/>
              <w:bottom w:val="single" w:color="auto" w:sz="6" w:space="0"/>
            </w:tcBorders>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851" w:type="dxa"/>
            <w:tcBorders>
              <w:top w:val="double" w:color="auto" w:sz="6" w:space="0"/>
              <w:bottom w:val="single" w:color="auto" w:sz="6" w:space="0"/>
            </w:tcBorders>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774" w:type="dxa"/>
            <w:tcBorders>
              <w:top w:val="double" w:color="auto" w:sz="6" w:space="0"/>
              <w:bottom w:val="single" w:color="auto" w:sz="6" w:space="0"/>
            </w:tcBorders>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52" w:type="dxa"/>
            <w:tcBorders>
              <w:top w:val="double" w:color="auto" w:sz="6" w:space="0"/>
              <w:bottom w:val="single" w:color="auto" w:sz="6" w:space="0"/>
            </w:tcBorders>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418" w:type="dxa"/>
            <w:tcBorders>
              <w:top w:val="double" w:color="auto" w:sz="6" w:space="0"/>
              <w:bottom w:val="single" w:color="auto" w:sz="6" w:space="0"/>
            </w:tcBorders>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03" w:type="dxa"/>
            <w:tcBorders>
              <w:top w:val="double" w:color="auto" w:sz="6" w:space="0"/>
              <w:bottom w:val="single" w:color="auto" w:sz="6" w:space="0"/>
            </w:tcBorders>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984" w:type="dxa"/>
            <w:tcBorders>
              <w:top w:val="nil"/>
            </w:tcBorders>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851" w:type="dxa"/>
            <w:tcBorders>
              <w:top w:val="nil"/>
            </w:tcBorders>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774" w:type="dxa"/>
            <w:tcBorders>
              <w:top w:val="nil"/>
            </w:tcBorders>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52" w:type="dxa"/>
            <w:tcBorders>
              <w:top w:val="nil"/>
            </w:tcBorders>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418" w:type="dxa"/>
            <w:tcBorders>
              <w:top w:val="nil"/>
            </w:tcBorders>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03" w:type="dxa"/>
            <w:tcBorders>
              <w:top w:val="nil"/>
            </w:tcBorders>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98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851"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77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52"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418"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0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98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851"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77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52"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418"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0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98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851"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77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52"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418"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0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98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851"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77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52"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418"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0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98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851"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77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52"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418"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0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98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851"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77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52"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418"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0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98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851"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77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52"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418"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0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98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851"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77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52"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418"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0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98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851"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77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52"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418"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0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98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851"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77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52"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418"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0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98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851"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77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52"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418"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0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98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851"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77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52"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418"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0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98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851"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77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52"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418"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0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98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851"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77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52"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418"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0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98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851"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77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52"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418"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0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98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851"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77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52"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418"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0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98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851"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77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52"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418"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0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98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851"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77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52"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418"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0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98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851"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77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52"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418"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0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98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851"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77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52"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418"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0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98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851"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77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52"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418"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0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98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851"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77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52"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418"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0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98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851"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77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52"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418"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303"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r>
    </w:tbl>
    <w:p>
      <w:pPr>
        <w:spacing w:line="440" w:lineRule="exact"/>
        <w:rPr>
          <w:rFonts w:hint="eastAsia" w:ascii="宋体" w:hAnsi="宋体" w:eastAsia="宋体" w:cs="宋体"/>
          <w:color w:val="auto"/>
          <w:sz w:val="21"/>
          <w:szCs w:val="21"/>
          <w:highlight w:val="none"/>
        </w:rPr>
      </w:pPr>
    </w:p>
    <w:p>
      <w:pPr>
        <w:spacing w:before="120" w:beforeLines="50" w:after="120" w:afterLines="50"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r>
        <w:rPr>
          <w:rFonts w:hint="eastAsia" w:ascii="宋体" w:hAnsi="宋体" w:eastAsia="宋体" w:cs="宋体"/>
          <w:color w:val="auto"/>
          <w:sz w:val="21"/>
          <w:szCs w:val="21"/>
          <w:highlight w:val="none"/>
        </w:rPr>
        <w:t>11-3：专业工程暂估价表</w:t>
      </w:r>
    </w:p>
    <w:tbl>
      <w:tblPr>
        <w:tblStyle w:val="19"/>
        <w:tblW w:w="867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79"/>
        <w:gridCol w:w="1984"/>
        <w:gridCol w:w="4395"/>
        <w:gridCol w:w="14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single" w:color="auto" w:sz="12" w:space="0"/>
              <w:bottom w:val="double" w:color="auto" w:sz="6" w:space="0"/>
            </w:tcBorders>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序号</w:t>
            </w:r>
          </w:p>
        </w:tc>
        <w:tc>
          <w:tcPr>
            <w:tcW w:w="1984" w:type="dxa"/>
            <w:tcBorders>
              <w:top w:val="single" w:color="auto" w:sz="12" w:space="0"/>
              <w:bottom w:val="double" w:color="auto" w:sz="6" w:space="0"/>
            </w:tcBorders>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专业工程名称</w:t>
            </w:r>
          </w:p>
        </w:tc>
        <w:tc>
          <w:tcPr>
            <w:tcW w:w="4395" w:type="dxa"/>
            <w:tcBorders>
              <w:top w:val="single" w:color="auto" w:sz="12" w:space="0"/>
              <w:bottom w:val="double" w:color="auto" w:sz="6" w:space="0"/>
            </w:tcBorders>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工程内容</w:t>
            </w:r>
          </w:p>
        </w:tc>
        <w:tc>
          <w:tcPr>
            <w:tcW w:w="1417" w:type="dxa"/>
            <w:tcBorders>
              <w:top w:val="single" w:color="auto" w:sz="12" w:space="0"/>
              <w:bottom w:val="double" w:color="auto" w:sz="6" w:space="0"/>
            </w:tcBorders>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double" w:color="auto" w:sz="6" w:space="0"/>
              <w:bottom w:val="single" w:color="auto" w:sz="6" w:space="0"/>
            </w:tcBorders>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984" w:type="dxa"/>
            <w:tcBorders>
              <w:top w:val="double" w:color="auto" w:sz="6" w:space="0"/>
              <w:bottom w:val="single" w:color="auto" w:sz="6" w:space="0"/>
            </w:tcBorders>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4395" w:type="dxa"/>
            <w:tcBorders>
              <w:top w:val="double" w:color="auto" w:sz="6" w:space="0"/>
              <w:bottom w:val="single" w:color="auto" w:sz="6" w:space="0"/>
            </w:tcBorders>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417" w:type="dxa"/>
            <w:tcBorders>
              <w:top w:val="double" w:color="auto" w:sz="6" w:space="0"/>
              <w:bottom w:val="single" w:color="auto" w:sz="6" w:space="0"/>
            </w:tcBorders>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nil"/>
            </w:tcBorders>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984" w:type="dxa"/>
            <w:tcBorders>
              <w:top w:val="nil"/>
            </w:tcBorders>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4395" w:type="dxa"/>
            <w:tcBorders>
              <w:top w:val="nil"/>
            </w:tcBorders>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417" w:type="dxa"/>
            <w:tcBorders>
              <w:top w:val="nil"/>
            </w:tcBorders>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nil"/>
            </w:tcBorders>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984" w:type="dxa"/>
            <w:tcBorders>
              <w:top w:val="nil"/>
            </w:tcBorders>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4395" w:type="dxa"/>
            <w:tcBorders>
              <w:top w:val="nil"/>
            </w:tcBorders>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417" w:type="dxa"/>
            <w:tcBorders>
              <w:top w:val="nil"/>
            </w:tcBorders>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98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4395"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417"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98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4395"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417"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98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4395"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417"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98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4395"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417"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98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4395"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417"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98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4395"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417"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98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4395"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417"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98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4395"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417"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98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4395"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417"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98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4395"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417"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98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4395"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417"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98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4395"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417"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98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4395"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417"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98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4395"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417"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98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4395"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417"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98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4395"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417"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98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4395"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417"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98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4395"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417"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98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4395"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417"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98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4395"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417"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98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4395"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417"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98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4395"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417"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984"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4395"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c>
          <w:tcPr>
            <w:tcW w:w="1417" w:type="dxa"/>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675" w:type="dxa"/>
            <w:gridSpan w:val="4"/>
            <w:vAlign w:val="top"/>
          </w:tcPr>
          <w:p>
            <w:pPr>
              <w:pStyle w:val="8"/>
              <w:keepNext/>
              <w:spacing w:after="0" w:line="440" w:lineRule="exact"/>
              <w:ind w:left="63" w:right="63"/>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小计：</w:t>
            </w:r>
          </w:p>
        </w:tc>
      </w:tr>
    </w:tbl>
    <w:p>
      <w:pPr>
        <w:spacing w:line="480" w:lineRule="auto"/>
        <w:rPr>
          <w:rFonts w:hint="eastAsia" w:ascii="宋体" w:hAnsi="宋体" w:eastAsia="宋体" w:cs="宋体"/>
          <w:color w:val="auto"/>
          <w:sz w:val="21"/>
          <w:szCs w:val="21"/>
          <w:highlight w:val="none"/>
        </w:rPr>
      </w:pPr>
    </w:p>
    <w:p>
      <w:pPr>
        <w:pStyle w:val="2"/>
        <w:keepNext/>
        <w:keepLines/>
        <w:pageBreakBefore w:val="0"/>
        <w:widowControl w:val="0"/>
        <w:tabs>
          <w:tab w:val="left" w:pos="567"/>
        </w:tabs>
        <w:kinsoku/>
        <w:wordWrap/>
        <w:overflowPunct/>
        <w:topLinePunct w:val="0"/>
        <w:autoSpaceDE/>
        <w:autoSpaceDN/>
        <w:bidi w:val="0"/>
        <w:adjustRightInd/>
        <w:snapToGrid/>
        <w:spacing w:before="0" w:after="0" w:line="400" w:lineRule="exact"/>
        <w:ind w:left="0" w:leftChars="0" w:firstLine="0" w:firstLineChars="0"/>
        <w:jc w:val="center"/>
        <w:textAlignment w:val="auto"/>
        <w:rPr>
          <w:rFonts w:hint="eastAsia" w:ascii="宋体" w:hAnsi="宋体" w:eastAsia="宋体" w:cs="宋体"/>
          <w:b/>
          <w:bCs/>
          <w:color w:val="auto"/>
          <w:sz w:val="32"/>
          <w:szCs w:val="32"/>
          <w:highlight w:val="none"/>
        </w:rPr>
      </w:pPr>
      <w:bookmarkStart w:id="1943" w:name="_Toc6509"/>
      <w:bookmarkStart w:id="1944" w:name="_Toc2274"/>
      <w:r>
        <w:rPr>
          <w:rFonts w:hint="eastAsia" w:ascii="宋体" w:hAnsi="宋体" w:eastAsia="宋体" w:cs="宋体"/>
          <w:b/>
          <w:bCs/>
          <w:color w:val="auto"/>
          <w:kern w:val="44"/>
          <w:sz w:val="32"/>
          <w:szCs w:val="32"/>
          <w:highlight w:val="none"/>
        </w:rPr>
        <w:t xml:space="preserve">第六章  </w:t>
      </w:r>
      <w:bookmarkEnd w:id="150"/>
      <w:bookmarkEnd w:id="151"/>
      <w:bookmarkStart w:id="1945" w:name="_Toc13185"/>
      <w:r>
        <w:rPr>
          <w:rFonts w:hint="eastAsia" w:ascii="宋体" w:hAnsi="宋体" w:eastAsia="宋体" w:cs="宋体"/>
          <w:b/>
          <w:bCs/>
          <w:color w:val="auto"/>
          <w:sz w:val="32"/>
          <w:szCs w:val="32"/>
          <w:highlight w:val="none"/>
        </w:rPr>
        <w:t>响应文件（格式）</w:t>
      </w:r>
      <w:bookmarkEnd w:id="1943"/>
      <w:bookmarkEnd w:id="1944"/>
      <w:bookmarkEnd w:id="1945"/>
    </w:p>
    <w:p>
      <w:pPr>
        <w:rPr>
          <w:rFonts w:hint="eastAsia" w:ascii="宋体" w:hAnsi="宋体" w:eastAsia="宋体" w:cs="宋体"/>
          <w:color w:val="auto"/>
          <w:sz w:val="24"/>
          <w:szCs w:val="24"/>
          <w:highlight w:val="none"/>
        </w:rPr>
      </w:pPr>
    </w:p>
    <w:p>
      <w:pPr>
        <w:pStyle w:val="11"/>
        <w:jc w:val="both"/>
        <w:rPr>
          <w:rFonts w:hint="eastAsia" w:ascii="宋体" w:hAnsi="宋体" w:eastAsia="宋体" w:cs="宋体"/>
          <w:b/>
          <w:color w:val="auto"/>
          <w:sz w:val="24"/>
          <w:szCs w:val="24"/>
          <w:highlight w:val="none"/>
          <w:lang w:eastAsia="zh-CN"/>
        </w:rPr>
      </w:pPr>
      <w:bookmarkStart w:id="1946" w:name="_Toc497927069"/>
      <w:bookmarkStart w:id="1947" w:name="_Toc18351"/>
      <w:bookmarkStart w:id="1948" w:name="_Toc21496"/>
      <w:r>
        <w:rPr>
          <w:rFonts w:hint="eastAsia" w:ascii="宋体" w:hAnsi="宋体" w:eastAsia="宋体" w:cs="宋体"/>
          <w:b/>
          <w:color w:val="auto"/>
          <w:sz w:val="24"/>
          <w:szCs w:val="24"/>
          <w:highlight w:val="none"/>
          <w:lang w:eastAsia="zh-CN"/>
        </w:rPr>
        <w:t>一、响应文件标记</w:t>
      </w:r>
      <w:bookmarkEnd w:id="1946"/>
      <w:bookmarkEnd w:id="1947"/>
      <w:bookmarkEnd w:id="1948"/>
    </w:p>
    <w:p>
      <w:pPr>
        <w:adjustRightInd w:val="0"/>
        <w:snapToGrid w:val="0"/>
        <w:rPr>
          <w:rFonts w:hint="eastAsia" w:ascii="宋体" w:hAnsi="宋体" w:eastAsia="宋体" w:cs="宋体"/>
          <w:b/>
          <w:color w:val="auto"/>
          <w:sz w:val="21"/>
          <w:szCs w:val="21"/>
          <w:highlight w:val="none"/>
        </w:rPr>
      </w:pPr>
    </w:p>
    <w:p>
      <w:pPr>
        <w:pStyle w:val="24"/>
        <w:rPr>
          <w:rFonts w:hint="eastAsia" w:ascii="宋体" w:hAnsi="宋体" w:eastAsia="宋体" w:cs="宋体"/>
          <w:color w:val="auto"/>
          <w:sz w:val="21"/>
          <w:szCs w:val="21"/>
          <w:highlight w:val="none"/>
        </w:rPr>
      </w:pPr>
    </w:p>
    <w:p>
      <w:pPr>
        <w:pStyle w:val="24"/>
        <w:rPr>
          <w:rFonts w:hint="eastAsia" w:ascii="宋体" w:hAnsi="宋体" w:eastAsia="宋体" w:cs="宋体"/>
          <w:color w:val="auto"/>
          <w:sz w:val="24"/>
          <w:szCs w:val="24"/>
          <w:highlight w:val="none"/>
        </w:rPr>
      </w:pPr>
    </w:p>
    <w:p>
      <w:pPr>
        <w:pStyle w:val="24"/>
        <w:rPr>
          <w:rFonts w:hint="eastAsia" w:ascii="宋体" w:hAnsi="宋体" w:eastAsia="宋体" w:cs="宋体"/>
          <w:color w:val="auto"/>
          <w:sz w:val="24"/>
          <w:szCs w:val="24"/>
          <w:highlight w:val="none"/>
        </w:rPr>
      </w:pPr>
    </w:p>
    <w:p>
      <w:pPr>
        <w:pStyle w:val="24"/>
        <w:rPr>
          <w:rFonts w:hint="eastAsia" w:ascii="宋体" w:hAnsi="宋体" w:eastAsia="宋体" w:cs="宋体"/>
          <w:color w:val="auto"/>
          <w:sz w:val="24"/>
          <w:szCs w:val="24"/>
          <w:highlight w:val="none"/>
        </w:rPr>
      </w:pPr>
    </w:p>
    <w:p>
      <w:pPr>
        <w:snapToGrid w:val="0"/>
        <w:spacing w:before="156" w:beforeLines="50" w:after="50"/>
        <w:jc w:val="center"/>
        <w:rPr>
          <w:rFonts w:hint="eastAsia" w:ascii="宋体" w:hAnsi="宋体" w:eastAsia="宋体" w:cs="宋体"/>
          <w:b/>
          <w:color w:val="auto"/>
          <w:sz w:val="30"/>
          <w:szCs w:val="30"/>
          <w:highlight w:val="none"/>
        </w:rPr>
      </w:pPr>
    </w:p>
    <w:p>
      <w:pPr>
        <w:snapToGrid w:val="0"/>
        <w:spacing w:before="156" w:beforeLines="50" w:after="50"/>
        <w:jc w:val="center"/>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响 应 文 件</w:t>
      </w:r>
    </w:p>
    <w:p>
      <w:pPr>
        <w:snapToGrid w:val="0"/>
        <w:spacing w:before="156" w:beforeLines="50" w:after="50"/>
        <w:ind w:firstLine="360" w:firstLineChars="150"/>
        <w:jc w:val="both"/>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lang w:val="en-US" w:eastAsia="zh-CN"/>
        </w:rPr>
        <w:t xml:space="preserve">                       </w:t>
      </w:r>
    </w:p>
    <w:p>
      <w:pPr>
        <w:snapToGrid w:val="0"/>
        <w:spacing w:before="156" w:beforeLines="50" w:after="50"/>
        <w:ind w:firstLine="361" w:firstLineChars="150"/>
        <w:rPr>
          <w:rFonts w:hint="eastAsia" w:ascii="宋体" w:hAnsi="宋体" w:eastAsia="宋体" w:cs="宋体"/>
          <w:b/>
          <w:color w:val="auto"/>
          <w:sz w:val="24"/>
          <w:szCs w:val="24"/>
          <w:highlight w:val="none"/>
        </w:rPr>
      </w:pPr>
    </w:p>
    <w:p>
      <w:pPr>
        <w:pStyle w:val="8"/>
        <w:rPr>
          <w:rFonts w:hint="eastAsia"/>
          <w:color w:val="auto"/>
          <w:highlight w:val="none"/>
        </w:rPr>
      </w:pPr>
    </w:p>
    <w:p>
      <w:pPr>
        <w:pStyle w:val="8"/>
        <w:rPr>
          <w:rFonts w:hint="eastAsia"/>
          <w:color w:val="auto"/>
          <w:highlight w:val="none"/>
        </w:rPr>
      </w:pPr>
    </w:p>
    <w:p>
      <w:pPr>
        <w:snapToGrid w:val="0"/>
        <w:spacing w:before="156" w:beforeLines="50" w:after="50"/>
        <w:ind w:firstLine="361" w:firstLineChars="150"/>
        <w:rPr>
          <w:rFonts w:hint="eastAsia" w:ascii="宋体" w:hAnsi="宋体" w:eastAsia="宋体" w:cs="宋体"/>
          <w:b/>
          <w:color w:val="auto"/>
          <w:sz w:val="24"/>
          <w:szCs w:val="24"/>
          <w:highlight w:val="none"/>
        </w:rPr>
      </w:pPr>
    </w:p>
    <w:p>
      <w:pPr>
        <w:snapToGrid w:val="0"/>
        <w:spacing w:before="156" w:beforeLines="50" w:after="50"/>
        <w:ind w:firstLine="1205" w:firstLineChars="500"/>
        <w:rPr>
          <w:rFonts w:hint="eastAsia" w:ascii="宋体" w:hAnsi="宋体" w:eastAsia="宋体" w:cs="宋体"/>
          <w:b/>
          <w:bCs w:val="0"/>
          <w:color w:val="auto"/>
          <w:sz w:val="24"/>
          <w:szCs w:val="24"/>
          <w:highlight w:val="none"/>
          <w:u w:val="single"/>
          <w:lang w:eastAsia="zh-CN"/>
        </w:rPr>
      </w:pPr>
      <w:r>
        <w:rPr>
          <w:rFonts w:hint="eastAsia" w:ascii="宋体" w:hAnsi="宋体" w:eastAsia="宋体" w:cs="宋体"/>
          <w:b/>
          <w:bCs w:val="0"/>
          <w:color w:val="auto"/>
          <w:sz w:val="24"/>
          <w:szCs w:val="24"/>
          <w:highlight w:val="none"/>
        </w:rPr>
        <w:t>项目名称：</w:t>
      </w:r>
      <w:r>
        <w:rPr>
          <w:rFonts w:hint="eastAsia" w:ascii="宋体" w:hAnsi="宋体" w:eastAsia="宋体" w:cs="宋体"/>
          <w:b/>
          <w:bCs w:val="0"/>
          <w:color w:val="auto"/>
          <w:sz w:val="24"/>
          <w:szCs w:val="24"/>
          <w:highlight w:val="none"/>
          <w:u w:val="single"/>
        </w:rPr>
        <w:t>兴安县</w:t>
      </w:r>
      <w:r>
        <w:rPr>
          <w:rFonts w:hint="eastAsia" w:ascii="宋体" w:hAnsi="宋体" w:cs="宋体"/>
          <w:b/>
          <w:bCs w:val="0"/>
          <w:color w:val="auto"/>
          <w:sz w:val="24"/>
          <w:szCs w:val="24"/>
          <w:highlight w:val="none"/>
          <w:u w:val="single"/>
          <w:lang w:val="en-US" w:eastAsia="zh-CN"/>
        </w:rPr>
        <w:t>溶江镇市民广场阙楼工程</w:t>
      </w:r>
      <w:r>
        <w:rPr>
          <w:rFonts w:hint="eastAsia" w:ascii="宋体" w:hAnsi="宋体" w:eastAsia="宋体" w:cs="宋体"/>
          <w:color w:val="auto"/>
          <w:sz w:val="24"/>
          <w:szCs w:val="24"/>
          <w:highlight w:val="none"/>
        </w:rPr>
        <w:t xml:space="preserve">   </w:t>
      </w:r>
    </w:p>
    <w:p>
      <w:pPr>
        <w:snapToGrid w:val="0"/>
        <w:spacing w:before="156" w:beforeLines="50" w:after="50"/>
        <w:ind w:firstLine="2318" w:firstLineChars="962"/>
        <w:rPr>
          <w:rFonts w:hint="eastAsia" w:ascii="宋体" w:hAnsi="宋体" w:eastAsia="宋体" w:cs="宋体"/>
          <w:b/>
          <w:bCs w:val="0"/>
          <w:color w:val="auto"/>
          <w:sz w:val="24"/>
          <w:szCs w:val="24"/>
          <w:highlight w:val="none"/>
        </w:rPr>
      </w:pPr>
    </w:p>
    <w:p>
      <w:pPr>
        <w:snapToGrid w:val="0"/>
        <w:spacing w:before="156" w:beforeLines="50" w:after="50"/>
        <w:ind w:firstLine="1205" w:firstLineChars="500"/>
        <w:rPr>
          <w:rFonts w:hint="default"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rPr>
        <w:t>项目编号：</w:t>
      </w:r>
      <w:r>
        <w:rPr>
          <w:rFonts w:hint="eastAsia" w:ascii="宋体" w:hAnsi="宋体" w:eastAsia="宋体" w:cs="宋体"/>
          <w:b/>
          <w:bCs w:val="0"/>
          <w:color w:val="auto"/>
          <w:sz w:val="24"/>
          <w:szCs w:val="24"/>
          <w:highlight w:val="none"/>
          <w:u w:val="single"/>
        </w:rPr>
        <w:t>GLZC2024-C2-250181-GXXX</w:t>
      </w:r>
    </w:p>
    <w:p>
      <w:pPr>
        <w:rPr>
          <w:rFonts w:hint="eastAsia" w:ascii="宋体" w:hAnsi="宋体" w:eastAsia="宋体" w:cs="宋体"/>
          <w:b/>
          <w:color w:val="auto"/>
          <w:sz w:val="24"/>
          <w:szCs w:val="24"/>
          <w:highlight w:val="none"/>
        </w:rPr>
      </w:pPr>
    </w:p>
    <w:p>
      <w:pPr>
        <w:spacing w:line="400" w:lineRule="exact"/>
        <w:ind w:firstLine="2318" w:firstLineChars="962"/>
        <w:rPr>
          <w:rFonts w:hint="eastAsia" w:ascii="宋体" w:hAnsi="宋体" w:eastAsia="宋体" w:cs="宋体"/>
          <w:b/>
          <w:color w:val="auto"/>
          <w:sz w:val="24"/>
          <w:szCs w:val="24"/>
          <w:highlight w:val="none"/>
        </w:rPr>
      </w:pPr>
    </w:p>
    <w:p>
      <w:pPr>
        <w:pStyle w:val="8"/>
        <w:rPr>
          <w:rFonts w:hint="eastAsia" w:ascii="宋体" w:hAnsi="宋体" w:eastAsia="宋体" w:cs="宋体"/>
          <w:b/>
          <w:color w:val="auto"/>
          <w:sz w:val="24"/>
          <w:szCs w:val="24"/>
          <w:highlight w:val="none"/>
        </w:rPr>
      </w:pPr>
    </w:p>
    <w:p>
      <w:pPr>
        <w:rPr>
          <w:rFonts w:hint="eastAsia"/>
          <w:color w:val="auto"/>
          <w:highlight w:val="none"/>
        </w:rPr>
      </w:pPr>
    </w:p>
    <w:p>
      <w:pPr>
        <w:pStyle w:val="24"/>
        <w:rPr>
          <w:rFonts w:hint="eastAsia" w:ascii="宋体" w:hAnsi="宋体" w:eastAsia="宋体" w:cs="宋体"/>
          <w:b/>
          <w:color w:val="auto"/>
          <w:sz w:val="24"/>
          <w:szCs w:val="24"/>
          <w:highlight w:val="none"/>
        </w:rPr>
      </w:pPr>
    </w:p>
    <w:p>
      <w:pPr>
        <w:pStyle w:val="24"/>
        <w:rPr>
          <w:rFonts w:hint="eastAsia" w:ascii="宋体" w:hAnsi="宋体" w:eastAsia="宋体" w:cs="宋体"/>
          <w:b/>
          <w:color w:val="auto"/>
          <w:sz w:val="24"/>
          <w:szCs w:val="24"/>
          <w:highlight w:val="none"/>
        </w:rPr>
      </w:pPr>
    </w:p>
    <w:p>
      <w:pPr>
        <w:pStyle w:val="24"/>
        <w:rPr>
          <w:rFonts w:hint="eastAsia" w:ascii="宋体" w:hAnsi="宋体" w:eastAsia="宋体" w:cs="宋体"/>
          <w:b/>
          <w:color w:val="auto"/>
          <w:sz w:val="24"/>
          <w:szCs w:val="24"/>
          <w:highlight w:val="none"/>
        </w:rPr>
      </w:pPr>
    </w:p>
    <w:p>
      <w:pPr>
        <w:pStyle w:val="24"/>
        <w:rPr>
          <w:rFonts w:hint="eastAsia" w:ascii="宋体" w:hAnsi="宋体" w:eastAsia="宋体" w:cs="宋体"/>
          <w:b/>
          <w:color w:val="auto"/>
          <w:sz w:val="24"/>
          <w:szCs w:val="24"/>
          <w:highlight w:val="none"/>
        </w:rPr>
      </w:pPr>
    </w:p>
    <w:p>
      <w:pPr>
        <w:pStyle w:val="24"/>
        <w:rPr>
          <w:rFonts w:hint="eastAsia" w:ascii="宋体" w:hAnsi="宋体" w:eastAsia="宋体" w:cs="宋体"/>
          <w:b/>
          <w:color w:val="auto"/>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1200" w:firstLineChars="500"/>
        <w:textAlignment w:val="auto"/>
        <w:rPr>
          <w:rFonts w:hint="eastAsia" w:ascii="宋体" w:hAnsi="宋体" w:eastAsia="宋体" w:cs="宋体"/>
          <w:b w:val="0"/>
          <w:bCs/>
          <w:color w:val="auto"/>
          <w:sz w:val="24"/>
          <w:szCs w:val="24"/>
          <w:highlight w:val="none"/>
          <w:u w:val="single"/>
        </w:rPr>
      </w:pPr>
      <w:r>
        <w:rPr>
          <w:rFonts w:hint="eastAsia" w:ascii="宋体" w:hAnsi="宋体" w:eastAsia="宋体" w:cs="宋体"/>
          <w:b w:val="0"/>
          <w:bCs/>
          <w:color w:val="auto"/>
          <w:sz w:val="24"/>
          <w:szCs w:val="24"/>
          <w:highlight w:val="none"/>
        </w:rPr>
        <w:t>采购代理机构</w:t>
      </w:r>
      <w:r>
        <w:rPr>
          <w:rFonts w:hint="eastAsia" w:ascii="宋体" w:hAnsi="宋体" w:eastAsia="宋体" w:cs="宋体"/>
          <w:b w:val="0"/>
          <w:bCs/>
          <w:color w:val="auto"/>
          <w:sz w:val="24"/>
          <w:szCs w:val="24"/>
          <w:highlight w:val="none"/>
        </w:rPr>
        <w:t>：</w:t>
      </w:r>
      <w:r>
        <w:rPr>
          <w:rFonts w:hint="eastAsia" w:ascii="宋体" w:hAnsi="宋体" w:eastAsia="宋体" w:cs="宋体"/>
          <w:b w:val="0"/>
          <w:bCs/>
          <w:color w:val="auto"/>
          <w:sz w:val="24"/>
          <w:szCs w:val="24"/>
          <w:highlight w:val="none"/>
          <w:u w:val="single"/>
          <w:lang w:eastAsia="zh-CN"/>
        </w:rPr>
        <w:t>广西星鑫建设工程咨询有限公司</w:t>
      </w:r>
    </w:p>
    <w:p>
      <w:pPr>
        <w:pStyle w:val="9"/>
        <w:keepNext w:val="0"/>
        <w:keepLines w:val="0"/>
        <w:pageBreakBefore w:val="0"/>
        <w:widowControl w:val="0"/>
        <w:kinsoku/>
        <w:wordWrap/>
        <w:overflowPunct/>
        <w:topLinePunct w:val="0"/>
        <w:autoSpaceDE/>
        <w:autoSpaceDN/>
        <w:bidi w:val="0"/>
        <w:adjustRightInd/>
        <w:snapToGrid/>
        <w:spacing w:after="0" w:line="400" w:lineRule="exact"/>
        <w:ind w:left="0" w:leftChars="0" w:firstLine="1200" w:firstLineChars="500"/>
        <w:textAlignment w:val="auto"/>
        <w:rPr>
          <w:rFonts w:hint="eastAsia" w:ascii="宋体" w:hAnsi="宋体" w:eastAsia="宋体" w:cs="宋体"/>
          <w:bCs/>
          <w:color w:val="auto"/>
          <w:sz w:val="24"/>
          <w:szCs w:val="24"/>
          <w:highlight w:val="none"/>
        </w:rPr>
      </w:pPr>
      <w:bookmarkStart w:id="1949" w:name="_Toc4932_WPSOffice_Level2"/>
      <w:bookmarkStart w:id="1950" w:name="_Toc20319_WPSOffice_Level2"/>
      <w:r>
        <w:rPr>
          <w:rFonts w:hint="eastAsia" w:ascii="宋体" w:hAnsi="宋体" w:eastAsia="宋体" w:cs="宋体"/>
          <w:bCs/>
          <w:color w:val="auto"/>
          <w:sz w:val="24"/>
          <w:szCs w:val="24"/>
          <w:highlight w:val="none"/>
          <w:lang w:eastAsia="zh-CN"/>
        </w:rPr>
        <w:t>磋商供应商</w:t>
      </w:r>
      <w:r>
        <w:rPr>
          <w:rFonts w:hint="eastAsia" w:ascii="宋体" w:hAnsi="宋体" w:eastAsia="宋体" w:cs="宋体"/>
          <w:bCs/>
          <w:color w:val="auto"/>
          <w:sz w:val="24"/>
          <w:szCs w:val="24"/>
          <w:highlight w:val="none"/>
          <w:lang w:val="en-US" w:eastAsia="zh-CN"/>
        </w:rPr>
        <w:t>[</w:t>
      </w:r>
      <w:r>
        <w:rPr>
          <w:rFonts w:hint="eastAsia" w:ascii="宋体" w:hAnsi="宋体" w:eastAsia="宋体" w:cs="宋体"/>
          <w:bCs/>
          <w:color w:val="auto"/>
          <w:sz w:val="24"/>
          <w:szCs w:val="24"/>
          <w:highlight w:val="none"/>
        </w:rPr>
        <w:t>公章</w:t>
      </w:r>
      <w:r>
        <w:rPr>
          <w:rFonts w:hint="eastAsia" w:ascii="宋体" w:hAnsi="宋体" w:eastAsia="宋体" w:cs="宋体"/>
          <w:bCs/>
          <w:color w:val="auto"/>
          <w:sz w:val="24"/>
          <w:szCs w:val="24"/>
          <w:highlight w:val="none"/>
          <w:lang w:val="en-US" w:eastAsia="zh-CN"/>
        </w:rPr>
        <w:t>(CA签章)</w:t>
      </w:r>
      <w:r>
        <w:rPr>
          <w:rFonts w:hint="eastAsia" w:ascii="宋体" w:hAnsi="宋体" w:eastAsia="宋体" w:cs="宋体"/>
          <w:bCs/>
          <w:color w:val="auto"/>
          <w:sz w:val="24"/>
          <w:szCs w:val="24"/>
          <w:highlight w:val="none"/>
        </w:rPr>
        <w:t>、自然人除外</w:t>
      </w:r>
      <w:r>
        <w:rPr>
          <w:rFonts w:hint="eastAsia" w:ascii="宋体" w:hAnsi="宋体" w:eastAsia="宋体" w:cs="宋体"/>
          <w:bCs/>
          <w:color w:val="auto"/>
          <w:sz w:val="24"/>
          <w:szCs w:val="24"/>
          <w:highlight w:val="none"/>
          <w:lang w:val="en-US" w:eastAsia="zh-CN"/>
        </w:rPr>
        <w:t>]</w:t>
      </w:r>
      <w:r>
        <w:rPr>
          <w:rFonts w:hint="eastAsia" w:ascii="宋体" w:hAnsi="宋体" w:eastAsia="宋体" w:cs="宋体"/>
          <w:bCs/>
          <w:color w:val="auto"/>
          <w:sz w:val="24"/>
          <w:szCs w:val="24"/>
          <w:highlight w:val="none"/>
        </w:rPr>
        <w:t>：</w:t>
      </w:r>
      <w:r>
        <w:rPr>
          <w:rFonts w:hint="eastAsia" w:ascii="宋体" w:hAnsi="宋体" w:eastAsia="宋体" w:cs="宋体"/>
          <w:bCs/>
          <w:color w:val="auto"/>
          <w:sz w:val="24"/>
          <w:szCs w:val="24"/>
          <w:highlight w:val="none"/>
          <w:u w:val="single"/>
        </w:rPr>
        <w:t xml:space="preserve">            </w:t>
      </w:r>
      <w:bookmarkEnd w:id="1949"/>
      <w:bookmarkEnd w:id="1950"/>
      <w:r>
        <w:rPr>
          <w:rFonts w:hint="eastAsia" w:ascii="宋体" w:hAnsi="宋体" w:eastAsia="宋体" w:cs="宋体"/>
          <w:bCs/>
          <w:color w:val="auto"/>
          <w:sz w:val="24"/>
          <w:szCs w:val="24"/>
          <w:highlight w:val="none"/>
          <w:u w:val="single"/>
        </w:rPr>
        <w:t xml:space="preserve">     </w:t>
      </w:r>
      <w:r>
        <w:rPr>
          <w:rFonts w:hint="eastAsia" w:ascii="宋体" w:hAnsi="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p>
    <w:p>
      <w:pPr>
        <w:pStyle w:val="11"/>
        <w:keepNext w:val="0"/>
        <w:keepLines w:val="0"/>
        <w:pageBreakBefore w:val="0"/>
        <w:widowControl w:val="0"/>
        <w:kinsoku/>
        <w:wordWrap/>
        <w:overflowPunct/>
        <w:topLinePunct w:val="0"/>
        <w:autoSpaceDE/>
        <w:autoSpaceDN/>
        <w:bidi w:val="0"/>
        <w:adjustRightInd/>
        <w:snapToGrid/>
        <w:spacing w:line="400" w:lineRule="exact"/>
        <w:ind w:left="0" w:leftChars="0" w:firstLine="1200" w:firstLineChars="500"/>
        <w:textAlignment w:val="auto"/>
        <w:rPr>
          <w:rFonts w:hint="eastAsia" w:ascii="宋体" w:hAnsi="宋体" w:eastAsia="宋体" w:cs="宋体"/>
          <w:color w:val="auto"/>
          <w:sz w:val="24"/>
          <w:szCs w:val="24"/>
          <w:highlight w:val="none"/>
          <w:lang w:val="en-US" w:eastAsia="zh-CN"/>
        </w:rPr>
      </w:pPr>
      <w:bookmarkStart w:id="1951" w:name="_Toc9622_WPSOffice_Level2"/>
      <w:bookmarkStart w:id="1952" w:name="_Toc32056_WPSOffice_Level2"/>
      <w:r>
        <w:rPr>
          <w:rFonts w:hint="eastAsia" w:ascii="宋体" w:hAnsi="宋体" w:eastAsia="宋体" w:cs="宋体"/>
          <w:color w:val="auto"/>
          <w:sz w:val="24"/>
          <w:szCs w:val="24"/>
          <w:highlight w:val="none"/>
        </w:rPr>
        <w:t>法定代表人、负责人、自然人或相应的委托代理人签字</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或盖章</w:t>
      </w:r>
      <w:r>
        <w:rPr>
          <w:rFonts w:hint="eastAsia" w:ascii="宋体" w:hAnsi="宋体" w:eastAsia="宋体" w:cs="宋体"/>
          <w:color w:val="auto"/>
          <w:sz w:val="24"/>
          <w:szCs w:val="24"/>
          <w:highlight w:val="none"/>
          <w:lang w:val="en-US" w:eastAsia="zh-CN"/>
        </w:rPr>
        <w:t>(CA签章)]</w:t>
      </w:r>
    </w:p>
    <w:p>
      <w:pPr>
        <w:pStyle w:val="9"/>
        <w:keepNext w:val="0"/>
        <w:keepLines w:val="0"/>
        <w:pageBreakBefore w:val="0"/>
        <w:widowControl w:val="0"/>
        <w:kinsoku/>
        <w:wordWrap/>
        <w:overflowPunct/>
        <w:topLinePunct w:val="0"/>
        <w:autoSpaceDE/>
        <w:autoSpaceDN/>
        <w:bidi w:val="0"/>
        <w:adjustRightInd/>
        <w:snapToGrid/>
        <w:spacing w:after="0" w:line="400" w:lineRule="exact"/>
        <w:ind w:left="0" w:leftChars="0" w:firstLine="1200" w:firstLineChars="5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（属自然人的应在签名处加盖大拇指指印</w:t>
      </w:r>
      <w:r>
        <w:rPr>
          <w:rFonts w:hint="eastAsia" w:ascii="宋体" w:hAnsi="宋体" w:eastAsia="宋体" w:cs="宋体"/>
          <w:color w:val="auto"/>
          <w:sz w:val="24"/>
          <w:szCs w:val="24"/>
          <w:highlight w:val="none"/>
          <w:lang w:eastAsia="zh-CN"/>
        </w:rPr>
        <w:t>或</w:t>
      </w:r>
      <w:r>
        <w:rPr>
          <w:rFonts w:hint="eastAsia" w:ascii="宋体" w:hAnsi="宋体" w:eastAsia="宋体" w:cs="宋体"/>
          <w:color w:val="auto"/>
          <w:sz w:val="24"/>
          <w:szCs w:val="24"/>
          <w:highlight w:val="none"/>
          <w:lang w:val="en-US" w:eastAsia="zh-CN"/>
        </w:rPr>
        <w:t>个人CA签章</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p>
    <w:p>
      <w:pPr>
        <w:pStyle w:val="9"/>
        <w:keepNext w:val="0"/>
        <w:keepLines w:val="0"/>
        <w:pageBreakBefore w:val="0"/>
        <w:widowControl w:val="0"/>
        <w:kinsoku/>
        <w:wordWrap/>
        <w:overflowPunct/>
        <w:topLinePunct w:val="0"/>
        <w:autoSpaceDE/>
        <w:autoSpaceDN/>
        <w:bidi w:val="0"/>
        <w:adjustRightInd/>
        <w:snapToGrid/>
        <w:spacing w:after="0" w:line="400" w:lineRule="exact"/>
        <w:ind w:left="0" w:leftChars="0" w:firstLine="1200" w:firstLineChars="500"/>
        <w:textAlignment w:val="auto"/>
        <w:rPr>
          <w:rFonts w:hint="eastAsia" w:ascii="宋体" w:hAnsi="宋体" w:eastAsia="宋体" w:cs="宋体"/>
          <w:bCs/>
          <w:color w:val="auto"/>
          <w:sz w:val="24"/>
          <w:szCs w:val="24"/>
          <w:highlight w:val="none"/>
          <w:u w:val="single"/>
        </w:rPr>
      </w:pPr>
      <w:r>
        <w:rPr>
          <w:rFonts w:hint="eastAsia" w:ascii="宋体" w:hAnsi="宋体" w:eastAsia="宋体" w:cs="宋体"/>
          <w:bCs/>
          <w:color w:val="auto"/>
          <w:sz w:val="24"/>
          <w:szCs w:val="24"/>
          <w:highlight w:val="none"/>
        </w:rPr>
        <w:t>联系电话：</w:t>
      </w:r>
      <w:bookmarkEnd w:id="1951"/>
      <w:bookmarkEnd w:id="1952"/>
      <w:r>
        <w:rPr>
          <w:rFonts w:hint="eastAsia" w:ascii="宋体" w:hAnsi="宋体" w:eastAsia="宋体" w:cs="宋体"/>
          <w:bCs/>
          <w:color w:val="auto"/>
          <w:sz w:val="24"/>
          <w:szCs w:val="24"/>
          <w:highlight w:val="none"/>
          <w:u w:val="single"/>
        </w:rPr>
        <w:t xml:space="preserve">         </w:t>
      </w:r>
      <w:r>
        <w:rPr>
          <w:rFonts w:hint="eastAsia" w:ascii="宋体" w:hAnsi="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p>
    <w:p>
      <w:pPr>
        <w:pStyle w:val="9"/>
        <w:keepNext w:val="0"/>
        <w:keepLines w:val="0"/>
        <w:pageBreakBefore w:val="0"/>
        <w:widowControl w:val="0"/>
        <w:kinsoku/>
        <w:wordWrap/>
        <w:overflowPunct/>
        <w:topLinePunct w:val="0"/>
        <w:autoSpaceDE/>
        <w:autoSpaceDN/>
        <w:bidi w:val="0"/>
        <w:adjustRightInd/>
        <w:snapToGrid/>
        <w:spacing w:after="0" w:line="400" w:lineRule="exact"/>
        <w:ind w:left="0" w:leftChars="0" w:firstLine="1200" w:firstLineChars="500"/>
        <w:textAlignment w:val="auto"/>
        <w:rPr>
          <w:rFonts w:hint="eastAsia" w:ascii="宋体" w:hAnsi="宋体" w:eastAsia="宋体" w:cs="宋体"/>
          <w:bCs/>
          <w:color w:val="auto"/>
          <w:sz w:val="24"/>
          <w:szCs w:val="24"/>
          <w:highlight w:val="none"/>
        </w:rPr>
      </w:pPr>
      <w:bookmarkStart w:id="1953" w:name="_Toc26465_WPSOffice_Level2"/>
      <w:bookmarkStart w:id="1954" w:name="_Toc15933_WPSOffice_Level2"/>
      <w:r>
        <w:rPr>
          <w:rFonts w:hint="eastAsia" w:ascii="宋体" w:hAnsi="宋体" w:eastAsia="宋体" w:cs="宋体"/>
          <w:bCs/>
          <w:color w:val="auto"/>
          <w:sz w:val="24"/>
          <w:szCs w:val="24"/>
          <w:highlight w:val="none"/>
        </w:rPr>
        <w:t>日期：</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年</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月</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日</w:t>
      </w:r>
      <w:bookmarkEnd w:id="1953"/>
      <w:bookmarkEnd w:id="1954"/>
    </w:p>
    <w:p>
      <w:pPr>
        <w:pStyle w:val="9"/>
        <w:keepNext w:val="0"/>
        <w:keepLines w:val="0"/>
        <w:pageBreakBefore w:val="0"/>
        <w:widowControl w:val="0"/>
        <w:kinsoku/>
        <w:wordWrap/>
        <w:overflowPunct/>
        <w:topLinePunct w:val="0"/>
        <w:autoSpaceDE/>
        <w:autoSpaceDN/>
        <w:bidi w:val="0"/>
        <w:adjustRightInd/>
        <w:snapToGrid/>
        <w:spacing w:line="440" w:lineRule="exact"/>
        <w:ind w:left="980" w:hanging="480" w:hangingChars="200"/>
        <w:textAlignment w:val="auto"/>
        <w:rPr>
          <w:rFonts w:hint="eastAsia" w:ascii="宋体" w:hAnsi="宋体" w:eastAsia="宋体" w:cs="宋体"/>
          <w:bCs/>
          <w:color w:val="auto"/>
          <w:sz w:val="24"/>
          <w:szCs w:val="24"/>
          <w:highlight w:val="none"/>
        </w:rPr>
      </w:pPr>
    </w:p>
    <w:p>
      <w:pPr>
        <w:pStyle w:val="9"/>
        <w:keepNext w:val="0"/>
        <w:keepLines w:val="0"/>
        <w:pageBreakBefore w:val="0"/>
        <w:widowControl w:val="0"/>
        <w:kinsoku/>
        <w:wordWrap/>
        <w:overflowPunct/>
        <w:topLinePunct w:val="0"/>
        <w:autoSpaceDE/>
        <w:autoSpaceDN/>
        <w:bidi w:val="0"/>
        <w:adjustRightInd/>
        <w:snapToGrid/>
        <w:spacing w:line="440" w:lineRule="exact"/>
        <w:ind w:left="980" w:hanging="420" w:hangingChars="200"/>
        <w:textAlignment w:val="auto"/>
        <w:rPr>
          <w:rFonts w:hint="eastAsia" w:ascii="宋体" w:hAnsi="宋体" w:eastAsia="宋体" w:cs="宋体"/>
          <w:bCs/>
          <w:color w:val="auto"/>
          <w:sz w:val="21"/>
          <w:szCs w:val="21"/>
          <w:highlight w:val="none"/>
        </w:rPr>
      </w:pPr>
    </w:p>
    <w:p>
      <w:pPr>
        <w:numPr>
          <w:ilvl w:val="0"/>
          <w:numId w:val="0"/>
        </w:numPr>
        <w:rPr>
          <w:rFonts w:hint="eastAsia" w:ascii="宋体" w:hAnsi="宋体" w:eastAsia="宋体" w:cs="宋体"/>
          <w:b/>
          <w:bCs/>
          <w:color w:val="auto"/>
          <w:kern w:val="2"/>
          <w:sz w:val="21"/>
          <w:szCs w:val="21"/>
          <w:highlight w:val="none"/>
          <w:lang w:val="en-US" w:eastAsia="zh-CN" w:bidi="ar-SA"/>
        </w:rPr>
      </w:pPr>
      <w:bookmarkStart w:id="1955" w:name="_Toc497927070"/>
      <w:bookmarkStart w:id="1956" w:name="_Toc21615"/>
      <w:bookmarkStart w:id="1957" w:name="_Toc19430"/>
    </w:p>
    <w:p>
      <w:pPr>
        <w:numPr>
          <w:ilvl w:val="0"/>
          <w:numId w:val="0"/>
        </w:numPr>
        <w:rPr>
          <w:rFonts w:hint="eastAsia" w:ascii="宋体" w:hAnsi="宋体" w:eastAsia="宋体" w:cs="宋体"/>
          <w:b/>
          <w:bCs/>
          <w:color w:val="auto"/>
          <w:kern w:val="2"/>
          <w:sz w:val="24"/>
          <w:szCs w:val="24"/>
          <w:highlight w:val="none"/>
          <w:lang w:val="en-US" w:eastAsia="zh-CN" w:bidi="ar-SA"/>
        </w:rPr>
      </w:pPr>
    </w:p>
    <w:p>
      <w:pPr>
        <w:numPr>
          <w:ilvl w:val="0"/>
          <w:numId w:val="0"/>
        </w:numPr>
        <w:rPr>
          <w:rFonts w:hint="eastAsia" w:ascii="宋体" w:hAnsi="宋体" w:eastAsia="宋体" w:cs="宋体"/>
          <w:b/>
          <w:bCs/>
          <w:color w:val="auto"/>
          <w:sz w:val="24"/>
          <w:szCs w:val="24"/>
          <w:highlight w:val="none"/>
        </w:rPr>
      </w:pPr>
      <w:r>
        <w:rPr>
          <w:rFonts w:hint="eastAsia" w:ascii="宋体" w:hAnsi="宋体" w:eastAsia="宋体" w:cs="宋体"/>
          <w:b/>
          <w:bCs/>
          <w:color w:val="auto"/>
          <w:kern w:val="2"/>
          <w:sz w:val="24"/>
          <w:szCs w:val="24"/>
          <w:highlight w:val="none"/>
          <w:lang w:val="en-US" w:eastAsia="zh-CN" w:bidi="ar-SA"/>
        </w:rPr>
        <w:t>二、</w:t>
      </w:r>
      <w:r>
        <w:rPr>
          <w:rFonts w:hint="eastAsia" w:ascii="宋体" w:hAnsi="宋体" w:eastAsia="宋体" w:cs="宋体"/>
          <w:b/>
          <w:bCs/>
          <w:color w:val="auto"/>
          <w:sz w:val="24"/>
          <w:szCs w:val="24"/>
          <w:highlight w:val="none"/>
        </w:rPr>
        <w:t>响应文件组成</w:t>
      </w:r>
      <w:bookmarkEnd w:id="1955"/>
      <w:bookmarkEnd w:id="1956"/>
      <w:bookmarkEnd w:id="1957"/>
    </w:p>
    <w:p>
      <w:pPr>
        <w:pStyle w:val="8"/>
        <w:numPr>
          <w:ilvl w:val="0"/>
          <w:numId w:val="0"/>
        </w:numPr>
        <w:rPr>
          <w:rFonts w:hint="eastAsia" w:ascii="宋体" w:hAnsi="宋体" w:eastAsia="宋体" w:cs="宋体"/>
          <w:color w:val="auto"/>
          <w:sz w:val="24"/>
          <w:szCs w:val="24"/>
          <w:highlight w:val="none"/>
        </w:rPr>
      </w:pPr>
    </w:p>
    <w:p>
      <w:pPr>
        <w:numPr>
          <w:ilvl w:val="0"/>
          <w:numId w:val="0"/>
        </w:numPr>
        <w:spacing w:line="400" w:lineRule="exact"/>
        <w:rPr>
          <w:rFonts w:hint="eastAsia" w:ascii="宋体" w:hAnsi="宋体" w:eastAsia="宋体" w:cs="宋体"/>
          <w:b/>
          <w:bCs/>
          <w:color w:val="auto"/>
          <w:sz w:val="24"/>
          <w:szCs w:val="24"/>
          <w:highlight w:val="none"/>
        </w:rPr>
      </w:pPr>
    </w:p>
    <w:p>
      <w:pPr>
        <w:pStyle w:val="8"/>
        <w:rPr>
          <w:rFonts w:hint="eastAsia" w:ascii="宋体" w:hAnsi="宋体" w:eastAsia="宋体" w:cs="宋体"/>
          <w:b/>
          <w:bCs/>
          <w:color w:val="auto"/>
          <w:sz w:val="24"/>
          <w:szCs w:val="24"/>
          <w:highlight w:val="none"/>
          <w:lang w:eastAsia="zh-CN"/>
        </w:rPr>
      </w:pPr>
    </w:p>
    <w:p>
      <w:pPr>
        <w:numPr>
          <w:ilvl w:val="0"/>
          <w:numId w:val="0"/>
        </w:numPr>
        <w:spacing w:line="400" w:lineRule="exact"/>
        <w:ind w:firstLine="487" w:firstLineChars="202"/>
        <w:rPr>
          <w:rFonts w:hint="eastAsia" w:ascii="宋体" w:hAnsi="宋体" w:eastAsia="宋体" w:cs="宋体"/>
          <w:b/>
          <w:bCs/>
          <w:color w:val="auto"/>
          <w:sz w:val="24"/>
          <w:szCs w:val="24"/>
          <w:highlight w:val="none"/>
        </w:rPr>
      </w:pPr>
      <w:r>
        <w:rPr>
          <w:rFonts w:hint="eastAsia" w:ascii="宋体" w:hAnsi="宋体" w:eastAsia="宋体" w:cs="宋体"/>
          <w:b/>
          <w:bCs/>
          <w:color w:val="auto"/>
          <w:kern w:val="2"/>
          <w:sz w:val="24"/>
          <w:szCs w:val="24"/>
          <w:highlight w:val="none"/>
          <w:lang w:val="en-US" w:eastAsia="zh-CN" w:bidi="ar-SA"/>
        </w:rPr>
        <w:t>（一）</w:t>
      </w:r>
      <w:r>
        <w:rPr>
          <w:rFonts w:hint="eastAsia" w:ascii="宋体" w:hAnsi="宋体" w:eastAsia="宋体" w:cs="宋体"/>
          <w:b/>
          <w:bCs/>
          <w:color w:val="auto"/>
          <w:sz w:val="24"/>
          <w:szCs w:val="24"/>
          <w:highlight w:val="none"/>
        </w:rPr>
        <w:t>资格性响应证明材料</w:t>
      </w:r>
    </w:p>
    <w:p>
      <w:pPr>
        <w:pStyle w:val="8"/>
        <w:rPr>
          <w:rFonts w:hint="eastAsia" w:ascii="宋体" w:hAnsi="宋体" w:eastAsia="宋体" w:cs="宋体"/>
          <w:b/>
          <w:bCs/>
          <w:color w:val="auto"/>
          <w:sz w:val="24"/>
          <w:szCs w:val="24"/>
          <w:highlight w:val="none"/>
        </w:rPr>
      </w:pPr>
    </w:p>
    <w:p>
      <w:pPr>
        <w:rPr>
          <w:rFonts w:hint="eastAsia"/>
          <w:color w:val="auto"/>
          <w:sz w:val="24"/>
          <w:szCs w:val="24"/>
          <w:highlight w:val="none"/>
        </w:rPr>
      </w:pPr>
    </w:p>
    <w:p>
      <w:pPr>
        <w:pStyle w:val="8"/>
        <w:rPr>
          <w:rFonts w:hint="eastAsia" w:ascii="宋体" w:hAnsi="宋体" w:eastAsia="宋体" w:cs="宋体"/>
          <w:b/>
          <w:bCs/>
          <w:color w:val="auto"/>
          <w:sz w:val="24"/>
          <w:szCs w:val="24"/>
          <w:highlight w:val="none"/>
        </w:rPr>
      </w:pPr>
    </w:p>
    <w:p>
      <w:pPr>
        <w:numPr>
          <w:ilvl w:val="0"/>
          <w:numId w:val="0"/>
        </w:numPr>
        <w:spacing w:line="400" w:lineRule="exact"/>
        <w:ind w:firstLine="487" w:firstLineChars="202"/>
        <w:rPr>
          <w:rFonts w:hint="eastAsia" w:ascii="宋体" w:hAnsi="宋体" w:eastAsia="宋体" w:cs="宋体"/>
          <w:b/>
          <w:bCs/>
          <w:color w:val="auto"/>
          <w:sz w:val="24"/>
          <w:szCs w:val="24"/>
          <w:highlight w:val="none"/>
        </w:rPr>
      </w:pPr>
      <w:r>
        <w:rPr>
          <w:rFonts w:hint="eastAsia" w:ascii="宋体" w:hAnsi="宋体" w:eastAsia="宋体" w:cs="宋体"/>
          <w:b/>
          <w:bCs/>
          <w:color w:val="auto"/>
          <w:kern w:val="2"/>
          <w:sz w:val="24"/>
          <w:szCs w:val="24"/>
          <w:highlight w:val="none"/>
          <w:lang w:val="en-US" w:eastAsia="zh-CN" w:bidi="ar-SA"/>
        </w:rPr>
        <w:t>（二）</w:t>
      </w:r>
      <w:r>
        <w:rPr>
          <w:rFonts w:hint="eastAsia" w:ascii="宋体" w:hAnsi="宋体" w:eastAsia="宋体" w:cs="宋体"/>
          <w:b/>
          <w:bCs/>
          <w:color w:val="auto"/>
          <w:sz w:val="24"/>
          <w:szCs w:val="24"/>
          <w:highlight w:val="none"/>
        </w:rPr>
        <w:t>符合性响应证明材料</w:t>
      </w:r>
    </w:p>
    <w:p>
      <w:pPr>
        <w:pStyle w:val="8"/>
        <w:rPr>
          <w:rFonts w:hint="eastAsia" w:ascii="宋体" w:hAnsi="宋体" w:eastAsia="宋体" w:cs="宋体"/>
          <w:b/>
          <w:bCs/>
          <w:color w:val="auto"/>
          <w:sz w:val="24"/>
          <w:szCs w:val="24"/>
          <w:highlight w:val="none"/>
        </w:rPr>
      </w:pPr>
    </w:p>
    <w:p>
      <w:pPr>
        <w:rPr>
          <w:rFonts w:hint="eastAsia"/>
          <w:color w:val="auto"/>
          <w:sz w:val="24"/>
          <w:szCs w:val="24"/>
          <w:highlight w:val="none"/>
        </w:rPr>
      </w:pPr>
    </w:p>
    <w:p>
      <w:pPr>
        <w:pStyle w:val="8"/>
        <w:rPr>
          <w:rFonts w:hint="eastAsia" w:ascii="宋体" w:hAnsi="宋体" w:eastAsia="宋体" w:cs="宋体"/>
          <w:b/>
          <w:bCs/>
          <w:color w:val="auto"/>
          <w:sz w:val="24"/>
          <w:szCs w:val="24"/>
          <w:highlight w:val="none"/>
        </w:rPr>
      </w:pPr>
    </w:p>
    <w:p>
      <w:pPr>
        <w:numPr>
          <w:ilvl w:val="0"/>
          <w:numId w:val="0"/>
        </w:numPr>
        <w:spacing w:line="400" w:lineRule="exact"/>
        <w:ind w:firstLine="487" w:firstLineChars="202"/>
        <w:rPr>
          <w:rFonts w:hint="eastAsia" w:ascii="宋体" w:hAnsi="宋体" w:eastAsia="宋体" w:cs="宋体"/>
          <w:b/>
          <w:bCs/>
          <w:color w:val="auto"/>
          <w:sz w:val="24"/>
          <w:szCs w:val="24"/>
          <w:highlight w:val="none"/>
        </w:rPr>
      </w:pPr>
      <w:r>
        <w:rPr>
          <w:rFonts w:hint="eastAsia" w:ascii="宋体" w:hAnsi="宋体" w:eastAsia="宋体" w:cs="宋体"/>
          <w:b/>
          <w:bCs/>
          <w:color w:val="auto"/>
          <w:kern w:val="2"/>
          <w:sz w:val="24"/>
          <w:szCs w:val="24"/>
          <w:highlight w:val="none"/>
          <w:lang w:val="en-US" w:eastAsia="zh-CN" w:bidi="ar-SA"/>
        </w:rPr>
        <w:t>（三）</w:t>
      </w:r>
      <w:r>
        <w:rPr>
          <w:rFonts w:hint="eastAsia" w:ascii="宋体" w:hAnsi="宋体" w:eastAsia="宋体" w:cs="宋体"/>
          <w:b/>
          <w:bCs/>
          <w:color w:val="auto"/>
          <w:sz w:val="24"/>
          <w:szCs w:val="24"/>
          <w:highlight w:val="none"/>
        </w:rPr>
        <w:t>其</w:t>
      </w:r>
      <w:r>
        <w:rPr>
          <w:rFonts w:hint="eastAsia" w:ascii="宋体" w:hAnsi="宋体" w:eastAsia="宋体" w:cs="宋体"/>
          <w:b/>
          <w:bCs/>
          <w:color w:val="auto"/>
          <w:sz w:val="24"/>
          <w:szCs w:val="24"/>
          <w:highlight w:val="none"/>
          <w:lang w:eastAsia="zh-CN"/>
        </w:rPr>
        <w:t>他</w:t>
      </w:r>
      <w:r>
        <w:rPr>
          <w:rFonts w:hint="eastAsia" w:ascii="宋体" w:hAnsi="宋体" w:eastAsia="宋体" w:cs="宋体"/>
          <w:b/>
          <w:bCs/>
          <w:color w:val="auto"/>
          <w:sz w:val="24"/>
          <w:szCs w:val="24"/>
          <w:highlight w:val="none"/>
        </w:rPr>
        <w:t>有效证明材料</w:t>
      </w:r>
    </w:p>
    <w:p>
      <w:pPr>
        <w:pStyle w:val="24"/>
        <w:rPr>
          <w:rFonts w:hint="eastAsia" w:ascii="宋体" w:hAnsi="宋体" w:eastAsia="宋体" w:cs="宋体"/>
          <w:color w:val="auto"/>
          <w:sz w:val="21"/>
          <w:szCs w:val="21"/>
          <w:highlight w:val="none"/>
        </w:rPr>
      </w:pPr>
    </w:p>
    <w:p>
      <w:pPr>
        <w:tabs>
          <w:tab w:val="left" w:pos="5040"/>
        </w:tabs>
        <w:spacing w:line="400" w:lineRule="exact"/>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rPr>
          <w:rFonts w:hint="eastAsia" w:ascii="宋体" w:hAnsi="宋体" w:eastAsia="宋体" w:cs="宋体"/>
          <w:color w:val="auto"/>
          <w:sz w:val="21"/>
          <w:szCs w:val="21"/>
          <w:highlight w:val="none"/>
        </w:rPr>
      </w:pPr>
    </w:p>
    <w:p>
      <w:pPr>
        <w:pStyle w:val="24"/>
        <w:rPr>
          <w:rFonts w:hint="eastAsia" w:ascii="宋体" w:hAnsi="宋体" w:eastAsia="宋体" w:cs="宋体"/>
          <w:color w:val="auto"/>
          <w:sz w:val="21"/>
          <w:szCs w:val="21"/>
          <w:highlight w:val="none"/>
        </w:rPr>
      </w:pPr>
    </w:p>
    <w:p>
      <w:pPr>
        <w:pStyle w:val="24"/>
        <w:rPr>
          <w:rFonts w:hint="eastAsia" w:ascii="宋体" w:hAnsi="宋体" w:eastAsia="宋体" w:cs="宋体"/>
          <w:color w:val="auto"/>
          <w:sz w:val="21"/>
          <w:szCs w:val="21"/>
          <w:highlight w:val="none"/>
        </w:rPr>
      </w:pPr>
    </w:p>
    <w:p>
      <w:pPr>
        <w:pStyle w:val="24"/>
        <w:rPr>
          <w:rFonts w:hint="eastAsia" w:ascii="宋体" w:hAnsi="宋体" w:eastAsia="宋体" w:cs="宋体"/>
          <w:color w:val="auto"/>
          <w:sz w:val="21"/>
          <w:szCs w:val="21"/>
          <w:highlight w:val="none"/>
        </w:rPr>
      </w:pPr>
    </w:p>
    <w:p>
      <w:pPr>
        <w:pStyle w:val="24"/>
        <w:rPr>
          <w:rFonts w:hint="eastAsia" w:ascii="宋体" w:hAnsi="宋体" w:eastAsia="宋体" w:cs="宋体"/>
          <w:color w:val="auto"/>
          <w:sz w:val="21"/>
          <w:szCs w:val="21"/>
          <w:highlight w:val="none"/>
        </w:rPr>
      </w:pPr>
    </w:p>
    <w:p>
      <w:pPr>
        <w:pStyle w:val="24"/>
        <w:rPr>
          <w:rFonts w:hint="eastAsia" w:ascii="宋体" w:hAnsi="宋体" w:eastAsia="宋体" w:cs="宋体"/>
          <w:color w:val="auto"/>
          <w:sz w:val="21"/>
          <w:szCs w:val="21"/>
          <w:highlight w:val="none"/>
        </w:rPr>
      </w:pPr>
    </w:p>
    <w:p>
      <w:pPr>
        <w:pStyle w:val="24"/>
        <w:rPr>
          <w:rFonts w:hint="eastAsia" w:ascii="宋体" w:hAnsi="宋体" w:eastAsia="宋体" w:cs="宋体"/>
          <w:color w:val="auto"/>
          <w:sz w:val="21"/>
          <w:szCs w:val="21"/>
          <w:highlight w:val="none"/>
        </w:rPr>
      </w:pPr>
    </w:p>
    <w:p>
      <w:pPr>
        <w:pStyle w:val="24"/>
        <w:rPr>
          <w:rFonts w:hint="eastAsia" w:ascii="宋体" w:hAnsi="宋体" w:eastAsia="宋体" w:cs="宋体"/>
          <w:color w:val="auto"/>
          <w:sz w:val="21"/>
          <w:szCs w:val="21"/>
          <w:highlight w:val="none"/>
        </w:rPr>
      </w:pPr>
    </w:p>
    <w:p>
      <w:pPr>
        <w:pStyle w:val="24"/>
        <w:rPr>
          <w:rFonts w:hint="eastAsia" w:ascii="宋体" w:hAnsi="宋体" w:eastAsia="宋体" w:cs="宋体"/>
          <w:color w:val="auto"/>
          <w:sz w:val="21"/>
          <w:szCs w:val="21"/>
          <w:highlight w:val="none"/>
        </w:rPr>
      </w:pPr>
    </w:p>
    <w:p>
      <w:pPr>
        <w:pStyle w:val="24"/>
        <w:rPr>
          <w:rFonts w:hint="eastAsia" w:ascii="宋体" w:hAnsi="宋体" w:eastAsia="宋体" w:cs="宋体"/>
          <w:color w:val="auto"/>
          <w:sz w:val="21"/>
          <w:szCs w:val="21"/>
          <w:highlight w:val="none"/>
        </w:rPr>
      </w:pPr>
    </w:p>
    <w:p>
      <w:pPr>
        <w:pStyle w:val="24"/>
        <w:rPr>
          <w:rFonts w:hint="eastAsia" w:ascii="宋体" w:hAnsi="宋体" w:eastAsia="宋体" w:cs="宋体"/>
          <w:color w:val="auto"/>
          <w:sz w:val="21"/>
          <w:szCs w:val="21"/>
          <w:highlight w:val="none"/>
        </w:rPr>
      </w:pPr>
    </w:p>
    <w:p>
      <w:pPr>
        <w:pStyle w:val="24"/>
        <w:rPr>
          <w:rFonts w:hint="eastAsia" w:ascii="宋体" w:hAnsi="宋体" w:eastAsia="宋体" w:cs="宋体"/>
          <w:color w:val="auto"/>
          <w:sz w:val="21"/>
          <w:szCs w:val="21"/>
          <w:highlight w:val="none"/>
        </w:rPr>
      </w:pPr>
    </w:p>
    <w:p>
      <w:pPr>
        <w:pStyle w:val="24"/>
        <w:rPr>
          <w:rFonts w:hint="eastAsia" w:ascii="宋体" w:hAnsi="宋体" w:eastAsia="宋体" w:cs="宋体"/>
          <w:color w:val="auto"/>
          <w:sz w:val="21"/>
          <w:szCs w:val="21"/>
          <w:highlight w:val="none"/>
        </w:rPr>
      </w:pPr>
    </w:p>
    <w:p>
      <w:pPr>
        <w:pStyle w:val="24"/>
        <w:rPr>
          <w:rFonts w:hint="eastAsia" w:ascii="宋体" w:hAnsi="宋体" w:eastAsia="宋体" w:cs="宋体"/>
          <w:color w:val="auto"/>
          <w:sz w:val="21"/>
          <w:szCs w:val="21"/>
          <w:highlight w:val="none"/>
        </w:rPr>
      </w:pPr>
    </w:p>
    <w:p>
      <w:pPr>
        <w:pStyle w:val="24"/>
        <w:rPr>
          <w:rFonts w:hint="eastAsia" w:ascii="宋体" w:hAnsi="宋体" w:eastAsia="宋体" w:cs="宋体"/>
          <w:color w:val="auto"/>
          <w:sz w:val="21"/>
          <w:szCs w:val="21"/>
          <w:highlight w:val="none"/>
        </w:rPr>
      </w:pPr>
    </w:p>
    <w:p>
      <w:pPr>
        <w:pStyle w:val="24"/>
        <w:rPr>
          <w:rFonts w:hint="eastAsia" w:ascii="宋体" w:hAnsi="宋体" w:eastAsia="宋体" w:cs="宋体"/>
          <w:color w:val="auto"/>
          <w:sz w:val="21"/>
          <w:szCs w:val="21"/>
          <w:highlight w:val="none"/>
        </w:rPr>
      </w:pPr>
    </w:p>
    <w:p>
      <w:pPr>
        <w:pStyle w:val="24"/>
        <w:rPr>
          <w:rFonts w:hint="eastAsia" w:ascii="宋体" w:hAnsi="宋体" w:eastAsia="宋体" w:cs="宋体"/>
          <w:color w:val="auto"/>
          <w:sz w:val="21"/>
          <w:szCs w:val="21"/>
          <w:highlight w:val="none"/>
        </w:rPr>
      </w:pPr>
    </w:p>
    <w:p>
      <w:pPr>
        <w:pStyle w:val="24"/>
        <w:rPr>
          <w:rFonts w:hint="eastAsia" w:ascii="宋体" w:hAnsi="宋体" w:eastAsia="宋体" w:cs="宋体"/>
          <w:color w:val="auto"/>
          <w:sz w:val="21"/>
          <w:szCs w:val="21"/>
          <w:highlight w:val="none"/>
        </w:rPr>
      </w:pPr>
    </w:p>
    <w:p>
      <w:pPr>
        <w:pStyle w:val="24"/>
        <w:rPr>
          <w:rFonts w:hint="eastAsia" w:ascii="宋体" w:hAnsi="宋体" w:eastAsia="宋体" w:cs="宋体"/>
          <w:color w:val="auto"/>
          <w:sz w:val="21"/>
          <w:szCs w:val="21"/>
          <w:highlight w:val="none"/>
        </w:rPr>
      </w:pPr>
    </w:p>
    <w:p>
      <w:pPr>
        <w:pStyle w:val="24"/>
        <w:rPr>
          <w:rFonts w:hint="eastAsia" w:ascii="宋体" w:hAnsi="宋体" w:eastAsia="宋体" w:cs="宋体"/>
          <w:color w:val="auto"/>
          <w:sz w:val="21"/>
          <w:szCs w:val="21"/>
          <w:highlight w:val="none"/>
        </w:rPr>
      </w:pPr>
    </w:p>
    <w:p>
      <w:pPr>
        <w:pStyle w:val="24"/>
        <w:rPr>
          <w:rFonts w:hint="eastAsia" w:ascii="宋体" w:hAnsi="宋体" w:eastAsia="宋体" w:cs="宋体"/>
          <w:color w:val="auto"/>
          <w:sz w:val="21"/>
          <w:szCs w:val="21"/>
          <w:highlight w:val="none"/>
        </w:rPr>
      </w:pPr>
    </w:p>
    <w:p>
      <w:pPr>
        <w:pStyle w:val="24"/>
        <w:rPr>
          <w:rFonts w:hint="eastAsia" w:ascii="宋体" w:hAnsi="宋体" w:eastAsia="宋体" w:cs="宋体"/>
          <w:color w:val="auto"/>
          <w:sz w:val="21"/>
          <w:szCs w:val="21"/>
          <w:highlight w:val="none"/>
        </w:rPr>
      </w:pPr>
    </w:p>
    <w:p>
      <w:pPr>
        <w:pStyle w:val="5"/>
        <w:numPr>
          <w:ilvl w:val="0"/>
          <w:numId w:val="0"/>
        </w:numPr>
        <w:jc w:val="both"/>
        <w:rPr>
          <w:rFonts w:hint="eastAsia" w:ascii="宋体" w:hAnsi="宋体" w:eastAsia="宋体" w:cs="宋体"/>
          <w:color w:val="auto"/>
          <w:sz w:val="21"/>
          <w:szCs w:val="21"/>
          <w:highlight w:val="none"/>
          <w:lang w:eastAsia="zh-CN"/>
        </w:rPr>
      </w:pPr>
      <w:bookmarkStart w:id="1958" w:name="_Toc11067"/>
      <w:bookmarkStart w:id="1959" w:name="_Toc497927071"/>
      <w:bookmarkStart w:id="1960" w:name="_Toc7185"/>
      <w:r>
        <w:rPr>
          <w:rFonts w:hint="eastAsia" w:ascii="宋体" w:hAnsi="宋体" w:eastAsia="宋体" w:cs="宋体"/>
          <w:color w:val="auto"/>
          <w:sz w:val="21"/>
          <w:szCs w:val="21"/>
          <w:highlight w:val="none"/>
          <w:lang w:eastAsia="zh-CN"/>
        </w:rPr>
        <w:t>（一）</w:t>
      </w:r>
      <w:r>
        <w:rPr>
          <w:rFonts w:hint="eastAsia" w:ascii="宋体" w:hAnsi="宋体" w:eastAsia="宋体" w:cs="宋体"/>
          <w:color w:val="auto"/>
          <w:sz w:val="21"/>
          <w:szCs w:val="21"/>
          <w:highlight w:val="none"/>
        </w:rPr>
        <w:t>资格性响应证明材料目录</w:t>
      </w:r>
      <w:bookmarkEnd w:id="1958"/>
      <w:bookmarkEnd w:id="1959"/>
      <w:bookmarkEnd w:id="1960"/>
      <w:r>
        <w:rPr>
          <w:rFonts w:hint="eastAsia" w:ascii="宋体" w:hAnsi="宋体" w:eastAsia="宋体" w:cs="宋体"/>
          <w:color w:val="auto"/>
          <w:sz w:val="21"/>
          <w:szCs w:val="21"/>
          <w:highlight w:val="none"/>
          <w:lang w:eastAsia="zh-CN"/>
        </w:rPr>
        <w:t>（根据所提供内容自行编写）</w:t>
      </w:r>
    </w:p>
    <w:p>
      <w:pPr>
        <w:rPr>
          <w:rFonts w:hint="eastAsia" w:ascii="宋体" w:hAnsi="宋体" w:eastAsia="宋体" w:cs="宋体"/>
          <w:color w:val="auto"/>
          <w:sz w:val="21"/>
          <w:szCs w:val="21"/>
          <w:highlight w:val="none"/>
        </w:rPr>
      </w:pPr>
    </w:p>
    <w:p>
      <w:pPr>
        <w:keepNext w:val="0"/>
        <w:keepLines w:val="0"/>
        <w:pageBreakBefore w:val="0"/>
        <w:widowControl w:val="0"/>
        <w:tabs>
          <w:tab w:val="left" w:pos="3570"/>
        </w:tabs>
        <w:kinsoku/>
        <w:wordWrap/>
        <w:overflowPunct/>
        <w:topLinePunct w:val="0"/>
        <w:autoSpaceDE/>
        <w:autoSpaceDN/>
        <w:bidi w:val="0"/>
        <w:adjustRightInd/>
        <w:snapToGrid/>
        <w:spacing w:line="380" w:lineRule="exact"/>
        <w:ind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供应商相应的法定代表人、负责人、自然人身份证正反两面复印件</w:t>
      </w:r>
      <w:r>
        <w:rPr>
          <w:rFonts w:hint="eastAsia" w:ascii="宋体" w:hAnsi="宋体" w:eastAsia="宋体" w:cs="宋体"/>
          <w:b/>
          <w:bCs/>
          <w:color w:val="auto"/>
          <w:sz w:val="21"/>
          <w:szCs w:val="21"/>
          <w:highlight w:val="none"/>
        </w:rPr>
        <w:t>（必须提供）</w:t>
      </w:r>
      <w:r>
        <w:rPr>
          <w:rFonts w:hint="eastAsia" w:ascii="宋体" w:hAnsi="宋体" w:eastAsia="宋体" w:cs="宋体"/>
          <w:color w:val="auto"/>
          <w:sz w:val="21"/>
          <w:szCs w:val="21"/>
          <w:highlight w:val="none"/>
        </w:rPr>
        <w:t>；</w:t>
      </w:r>
    </w:p>
    <w:p>
      <w:pPr>
        <w:keepNext w:val="0"/>
        <w:keepLines w:val="0"/>
        <w:pageBreakBefore w:val="0"/>
        <w:widowControl w:val="0"/>
        <w:tabs>
          <w:tab w:val="left" w:pos="3570"/>
        </w:tabs>
        <w:kinsoku/>
        <w:wordWrap/>
        <w:overflowPunct/>
        <w:topLinePunct w:val="0"/>
        <w:autoSpaceDE/>
        <w:autoSpaceDN/>
        <w:bidi w:val="0"/>
        <w:adjustRightInd/>
        <w:snapToGrid/>
        <w:spacing w:line="380" w:lineRule="exact"/>
        <w:ind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.供应商的授权委托书</w:t>
      </w:r>
      <w:r>
        <w:rPr>
          <w:rFonts w:hint="eastAsia" w:ascii="宋体" w:hAnsi="宋体" w:eastAsia="宋体" w:cs="宋体"/>
          <w:color w:val="auto"/>
          <w:sz w:val="21"/>
          <w:szCs w:val="21"/>
          <w:highlight w:val="none"/>
          <w:lang w:eastAsia="zh-CN"/>
        </w:rPr>
        <w:t>原件</w:t>
      </w:r>
      <w:r>
        <w:rPr>
          <w:rFonts w:hint="eastAsia" w:ascii="宋体" w:hAnsi="宋体" w:eastAsia="宋体" w:cs="宋体"/>
          <w:color w:val="auto"/>
          <w:sz w:val="21"/>
          <w:szCs w:val="21"/>
          <w:highlight w:val="none"/>
        </w:rPr>
        <w:t>、委托代理人身份证正反面复印件以及由县级以上（含县级）社会养老保险经办机构出具的供应商为委托代理人交纳的响应文件递交截止时间前半年内任意连续三个月社保证明复印件</w:t>
      </w:r>
      <w:r>
        <w:rPr>
          <w:rFonts w:hint="eastAsia" w:ascii="宋体" w:hAnsi="宋体" w:eastAsia="宋体" w:cs="宋体"/>
          <w:color w:val="auto"/>
          <w:sz w:val="21"/>
          <w:szCs w:val="21"/>
          <w:highlight w:val="none"/>
          <w:lang w:eastAsia="zh-CN"/>
        </w:rPr>
        <w:t>（委托代理时必须提供）。</w:t>
      </w:r>
      <w:r>
        <w:rPr>
          <w:rFonts w:hint="eastAsia" w:ascii="宋体" w:hAnsi="宋体" w:eastAsia="宋体" w:cs="宋体"/>
          <w:color w:val="auto"/>
          <w:sz w:val="21"/>
          <w:szCs w:val="21"/>
          <w:highlight w:val="none"/>
        </w:rPr>
        <w:t>除供应商为以下三种情形的：</w:t>
      </w:r>
    </w:p>
    <w:p>
      <w:pPr>
        <w:keepNext w:val="0"/>
        <w:keepLines w:val="0"/>
        <w:pageBreakBefore w:val="0"/>
        <w:widowControl w:val="0"/>
        <w:tabs>
          <w:tab w:val="left" w:pos="3570"/>
        </w:tabs>
        <w:kinsoku/>
        <w:wordWrap/>
        <w:overflowPunct/>
        <w:topLinePunct w:val="0"/>
        <w:autoSpaceDE/>
        <w:autoSpaceDN/>
        <w:bidi w:val="0"/>
        <w:adjustRightInd/>
        <w:snapToGrid/>
        <w:spacing w:line="380" w:lineRule="exact"/>
        <w:ind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 如供应商为截标时间前60日以内成立的公司，可以提供供应商与委托代理人签订的劳动合同复印件代替社保证明复印件；</w:t>
      </w:r>
    </w:p>
    <w:p>
      <w:pPr>
        <w:keepNext w:val="0"/>
        <w:keepLines w:val="0"/>
        <w:pageBreakBefore w:val="0"/>
        <w:widowControl w:val="0"/>
        <w:kinsoku/>
        <w:wordWrap/>
        <w:overflowPunct/>
        <w:topLinePunct w:val="0"/>
        <w:autoSpaceDE/>
        <w:autoSpaceDN/>
        <w:bidi w:val="0"/>
        <w:adjustRightInd/>
        <w:snapToGrid/>
        <w:spacing w:line="380" w:lineRule="exact"/>
        <w:ind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（2）如供应商为事业单位，可以提供事业单位机构编制管理证复印件或事业单位机构为其发放工资的工资条复印件代替社保证明复印件；</w:t>
      </w:r>
    </w:p>
    <w:p>
      <w:pPr>
        <w:keepNext w:val="0"/>
        <w:keepLines w:val="0"/>
        <w:pageBreakBefore w:val="0"/>
        <w:widowControl w:val="0"/>
        <w:kinsoku/>
        <w:wordWrap/>
        <w:overflowPunct/>
        <w:topLinePunct w:val="0"/>
        <w:autoSpaceDE/>
        <w:autoSpaceDN/>
        <w:bidi w:val="0"/>
        <w:adjustRightInd/>
        <w:snapToGrid/>
        <w:spacing w:line="380" w:lineRule="exact"/>
        <w:ind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（3）如委托代理人为免缴纳社保人员，提供免缴纳社保的证明材料复印件及供应商与委托代理人签订的劳动合同复印件代替社保证明复印件。</w:t>
      </w:r>
    </w:p>
    <w:p>
      <w:pPr>
        <w:keepNext w:val="0"/>
        <w:keepLines w:val="0"/>
        <w:pageBreakBefore w:val="0"/>
        <w:widowControl w:val="0"/>
        <w:kinsoku/>
        <w:wordWrap/>
        <w:overflowPunct/>
        <w:topLinePunct w:val="0"/>
        <w:autoSpaceDE/>
        <w:autoSpaceDN/>
        <w:bidi w:val="0"/>
        <w:adjustRightInd/>
        <w:snapToGrid/>
        <w:spacing w:line="380" w:lineRule="exact"/>
        <w:ind w:leftChars="0" w:firstLine="422" w:firstLineChars="200"/>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w:t>
      </w:r>
      <w:r>
        <w:rPr>
          <w:rFonts w:hint="eastAsia" w:ascii="宋体" w:hAnsi="宋体" w:eastAsia="宋体" w:cs="宋体"/>
          <w:b/>
          <w:bCs/>
          <w:color w:val="auto"/>
          <w:sz w:val="21"/>
          <w:szCs w:val="21"/>
          <w:highlight w:val="none"/>
          <w:lang w:eastAsia="zh-CN"/>
        </w:rPr>
        <w:t>属</w:t>
      </w:r>
      <w:r>
        <w:rPr>
          <w:rFonts w:hint="eastAsia" w:ascii="宋体" w:hAnsi="宋体" w:eastAsia="宋体" w:cs="宋体"/>
          <w:b/>
          <w:bCs/>
          <w:color w:val="auto"/>
          <w:sz w:val="21"/>
          <w:szCs w:val="21"/>
          <w:highlight w:val="none"/>
        </w:rPr>
        <w:t>自然人的应提供由县级以上（含县级）社会养老保险经办机构出具的自然人本人及委托代理人所交纳的响应文件递交截止时间前半年内任意连续三个月社保证明复印件</w:t>
      </w:r>
      <w:r>
        <w:rPr>
          <w:rFonts w:hint="eastAsia" w:ascii="宋体" w:hAnsi="宋体" w:eastAsia="宋体" w:cs="宋体"/>
          <w:color w:val="auto"/>
          <w:sz w:val="21"/>
          <w:szCs w:val="21"/>
          <w:highlight w:val="none"/>
        </w:rPr>
        <w:t>】</w:t>
      </w:r>
      <w:r>
        <w:rPr>
          <w:rFonts w:hint="eastAsia" w:ascii="宋体" w:hAnsi="宋体" w:eastAsia="宋体" w:cs="宋体"/>
          <w:b/>
          <w:bCs/>
          <w:color w:val="auto"/>
          <w:sz w:val="21"/>
          <w:szCs w:val="21"/>
          <w:highlight w:val="none"/>
        </w:rPr>
        <w:t>（委托代理时必须提供）</w:t>
      </w:r>
      <w:r>
        <w:rPr>
          <w:rFonts w:hint="eastAsia" w:ascii="宋体" w:hAnsi="宋体" w:eastAsia="宋体" w:cs="宋体"/>
          <w:color w:val="auto"/>
          <w:sz w:val="21"/>
          <w:szCs w:val="21"/>
          <w:highlight w:val="none"/>
          <w:lang w:eastAsia="zh-CN"/>
        </w:rPr>
        <w:t>；</w:t>
      </w:r>
    </w:p>
    <w:p>
      <w:pPr>
        <w:keepNext w:val="0"/>
        <w:keepLines w:val="0"/>
        <w:pageBreakBefore w:val="0"/>
        <w:widowControl w:val="0"/>
        <w:tabs>
          <w:tab w:val="left" w:pos="3570"/>
        </w:tabs>
        <w:kinsoku/>
        <w:wordWrap/>
        <w:overflowPunct/>
        <w:topLinePunct w:val="0"/>
        <w:autoSpaceDE/>
        <w:autoSpaceDN/>
        <w:bidi w:val="0"/>
        <w:adjustRightInd/>
        <w:snapToGrid/>
        <w:spacing w:line="380" w:lineRule="exact"/>
        <w:ind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供应商参加政府采购活动前3年内在经营活动中没有重大违法记录及有关信用信息的书面声明</w:t>
      </w:r>
      <w:r>
        <w:rPr>
          <w:rFonts w:hint="eastAsia" w:ascii="宋体" w:hAnsi="宋体" w:eastAsia="宋体" w:cs="宋体"/>
          <w:b/>
          <w:bCs/>
          <w:color w:val="auto"/>
          <w:sz w:val="21"/>
          <w:szCs w:val="21"/>
          <w:highlight w:val="none"/>
        </w:rPr>
        <w:t>（必须提供）</w:t>
      </w:r>
      <w:r>
        <w:rPr>
          <w:rFonts w:hint="eastAsia" w:ascii="宋体" w:hAnsi="宋体" w:eastAsia="宋体" w:cs="宋体"/>
          <w:color w:val="auto"/>
          <w:sz w:val="21"/>
          <w:szCs w:val="21"/>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firstLine="420" w:firstLineChars="200"/>
        <w:textAlignment w:val="auto"/>
        <w:rPr>
          <w:rFonts w:hint="eastAsia" w:ascii="宋体" w:hAnsi="宋体" w:eastAsia="宋体" w:cs="宋体"/>
          <w:bCs/>
          <w:color w:val="auto"/>
          <w:kern w:val="0"/>
          <w:sz w:val="21"/>
          <w:szCs w:val="21"/>
          <w:highlight w:val="none"/>
          <w:lang w:val="en-US" w:eastAsia="zh-CN"/>
        </w:rPr>
      </w:pPr>
      <w:r>
        <w:rPr>
          <w:rFonts w:hint="eastAsia" w:ascii="宋体" w:hAnsi="宋体" w:eastAsia="宋体" w:cs="宋体"/>
          <w:bCs/>
          <w:color w:val="auto"/>
          <w:kern w:val="0"/>
          <w:sz w:val="21"/>
          <w:szCs w:val="21"/>
          <w:highlight w:val="none"/>
          <w:lang w:val="en-US" w:eastAsia="zh-CN"/>
        </w:rPr>
        <w:t>4.</w:t>
      </w:r>
      <w:r>
        <w:rPr>
          <w:rFonts w:hint="eastAsia" w:ascii="宋体" w:hAnsi="宋体" w:eastAsia="宋体" w:cs="宋体"/>
          <w:bCs/>
          <w:color w:val="auto"/>
          <w:kern w:val="0"/>
          <w:sz w:val="21"/>
          <w:szCs w:val="21"/>
          <w:highlight w:val="none"/>
        </w:rPr>
        <w:t>供应商的法人或者其他组织营业执照等证明文件复印件</w:t>
      </w:r>
      <w:r>
        <w:rPr>
          <w:rFonts w:hint="eastAsia" w:ascii="宋体" w:hAnsi="宋体" w:eastAsia="宋体" w:cs="宋体"/>
          <w:b/>
          <w:bCs w:val="0"/>
          <w:color w:val="auto"/>
          <w:kern w:val="0"/>
          <w:sz w:val="21"/>
          <w:szCs w:val="21"/>
          <w:highlight w:val="none"/>
        </w:rPr>
        <w:t>（必须提供，自然人除外）</w:t>
      </w:r>
      <w:r>
        <w:rPr>
          <w:rFonts w:hint="eastAsia" w:ascii="宋体" w:hAnsi="宋体" w:eastAsia="宋体" w:cs="宋体"/>
          <w:bCs/>
          <w:color w:val="auto"/>
          <w:kern w:val="0"/>
          <w:sz w:val="21"/>
          <w:szCs w:val="21"/>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firstLine="420" w:firstLineChars="200"/>
        <w:textAlignment w:val="auto"/>
        <w:rPr>
          <w:rFonts w:hint="eastAsia" w:ascii="宋体" w:hAnsi="宋体" w:eastAsia="宋体" w:cs="宋体"/>
          <w:bCs/>
          <w:color w:val="auto"/>
          <w:kern w:val="0"/>
          <w:sz w:val="21"/>
          <w:szCs w:val="21"/>
          <w:highlight w:val="none"/>
          <w:lang w:val="en-US" w:eastAsia="zh-CN"/>
        </w:rPr>
      </w:pPr>
      <w:r>
        <w:rPr>
          <w:rFonts w:hint="eastAsia" w:ascii="宋体" w:hAnsi="宋体" w:eastAsia="宋体" w:cs="宋体"/>
          <w:bCs/>
          <w:color w:val="auto"/>
          <w:kern w:val="0"/>
          <w:sz w:val="21"/>
          <w:szCs w:val="21"/>
          <w:highlight w:val="none"/>
          <w:lang w:val="en-US" w:eastAsia="zh-CN"/>
        </w:rPr>
        <w:t>5.</w:t>
      </w:r>
      <w:r>
        <w:rPr>
          <w:rFonts w:hint="eastAsia" w:ascii="宋体" w:hAnsi="宋体" w:eastAsia="宋体" w:cs="宋体"/>
          <w:bCs/>
          <w:color w:val="auto"/>
          <w:kern w:val="0"/>
          <w:sz w:val="21"/>
          <w:szCs w:val="21"/>
          <w:highlight w:val="none"/>
        </w:rPr>
        <w:t>供应商有效的资质证书复印件</w:t>
      </w:r>
      <w:r>
        <w:rPr>
          <w:rFonts w:hint="eastAsia" w:ascii="宋体" w:hAnsi="宋体" w:eastAsia="宋体" w:cs="宋体"/>
          <w:b/>
          <w:bCs w:val="0"/>
          <w:color w:val="auto"/>
          <w:kern w:val="0"/>
          <w:sz w:val="21"/>
          <w:szCs w:val="21"/>
          <w:highlight w:val="none"/>
          <w:lang w:val="en-US" w:eastAsia="zh-CN"/>
        </w:rPr>
        <w:t>（必须提供）</w:t>
      </w:r>
      <w:r>
        <w:rPr>
          <w:rFonts w:hint="eastAsia" w:ascii="宋体" w:hAnsi="宋体" w:eastAsia="宋体" w:cs="宋体"/>
          <w:bCs/>
          <w:color w:val="auto"/>
          <w:kern w:val="0"/>
          <w:sz w:val="21"/>
          <w:szCs w:val="21"/>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firstLine="420" w:firstLineChars="200"/>
        <w:textAlignment w:val="auto"/>
        <w:rPr>
          <w:rFonts w:hint="eastAsia" w:ascii="宋体" w:hAnsi="宋体" w:eastAsia="宋体" w:cs="宋体"/>
          <w:bCs/>
          <w:color w:val="auto"/>
          <w:kern w:val="0"/>
          <w:sz w:val="21"/>
          <w:szCs w:val="21"/>
          <w:highlight w:val="none"/>
          <w:lang w:val="en-US" w:eastAsia="zh-CN"/>
        </w:rPr>
      </w:pPr>
      <w:r>
        <w:rPr>
          <w:rFonts w:hint="eastAsia" w:ascii="宋体" w:hAnsi="宋体" w:eastAsia="宋体" w:cs="宋体"/>
          <w:bCs/>
          <w:color w:val="auto"/>
          <w:kern w:val="0"/>
          <w:sz w:val="21"/>
          <w:szCs w:val="21"/>
          <w:highlight w:val="none"/>
          <w:lang w:val="en-US" w:eastAsia="zh-CN"/>
        </w:rPr>
        <w:t>6.</w:t>
      </w:r>
      <w:r>
        <w:rPr>
          <w:rFonts w:hint="eastAsia" w:ascii="宋体" w:hAnsi="宋体" w:cs="宋体"/>
          <w:bCs/>
          <w:color w:val="auto"/>
          <w:kern w:val="0"/>
          <w:sz w:val="21"/>
          <w:szCs w:val="21"/>
          <w:highlight w:val="none"/>
          <w:lang w:val="en-US" w:eastAsia="zh-CN"/>
        </w:rPr>
        <w:t>《</w:t>
      </w:r>
      <w:r>
        <w:rPr>
          <w:rFonts w:hint="eastAsia" w:ascii="宋体" w:hAnsi="宋体" w:eastAsia="宋体" w:cs="宋体"/>
          <w:bCs/>
          <w:color w:val="auto"/>
          <w:kern w:val="0"/>
          <w:sz w:val="21"/>
          <w:szCs w:val="21"/>
          <w:highlight w:val="none"/>
          <w:lang w:val="en-US" w:eastAsia="zh-CN"/>
        </w:rPr>
        <w:t>中小企业声明函》或《残疾人福利性单位声明函》或省级以上监狱管理局、戒毒管理局（含新疆生产建设兵团）出具的属于监狱企业的证明文件复印件</w:t>
      </w:r>
      <w:r>
        <w:rPr>
          <w:rFonts w:hint="eastAsia" w:ascii="宋体" w:hAnsi="宋体" w:eastAsia="宋体" w:cs="宋体"/>
          <w:b/>
          <w:bCs w:val="0"/>
          <w:color w:val="auto"/>
          <w:kern w:val="0"/>
          <w:sz w:val="21"/>
          <w:szCs w:val="21"/>
          <w:highlight w:val="none"/>
          <w:lang w:val="en-US" w:eastAsia="zh-CN"/>
        </w:rPr>
        <w:t>（必须提供其中一项）</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Cs/>
          <w:color w:val="auto"/>
          <w:kern w:val="0"/>
          <w:sz w:val="21"/>
          <w:szCs w:val="21"/>
          <w:highlight w:val="none"/>
          <w:lang w:val="en-US" w:eastAsia="zh-CN"/>
        </w:rPr>
        <w:t>7.</w:t>
      </w:r>
      <w:r>
        <w:rPr>
          <w:rFonts w:hint="eastAsia" w:ascii="宋体" w:hAnsi="宋体" w:eastAsia="宋体" w:cs="宋体"/>
          <w:bCs/>
          <w:color w:val="auto"/>
          <w:kern w:val="0"/>
          <w:sz w:val="21"/>
          <w:szCs w:val="21"/>
          <w:highlight w:val="none"/>
        </w:rPr>
        <w:t>供应商有效的安全生产许可证书复印件</w:t>
      </w:r>
      <w:r>
        <w:rPr>
          <w:rFonts w:hint="eastAsia" w:ascii="宋体" w:hAnsi="宋体" w:eastAsia="宋体" w:cs="宋体"/>
          <w:b/>
          <w:bCs/>
          <w:color w:val="auto"/>
          <w:sz w:val="21"/>
          <w:szCs w:val="21"/>
          <w:highlight w:val="none"/>
          <w:lang w:val="en-US" w:eastAsia="zh-CN"/>
        </w:rPr>
        <w:t>（必须提供）</w:t>
      </w:r>
      <w:r>
        <w:rPr>
          <w:rFonts w:hint="eastAsia" w:ascii="宋体" w:hAnsi="宋体" w:eastAsia="宋体" w:cs="宋体"/>
          <w:b w:val="0"/>
          <w:bCs w:val="0"/>
          <w:color w:val="auto"/>
          <w:sz w:val="21"/>
          <w:szCs w:val="21"/>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w:t>
      </w:r>
      <w:r>
        <w:rPr>
          <w:rFonts w:hint="eastAsia" w:ascii="宋体" w:hAnsi="宋体" w:eastAsia="宋体" w:cs="宋体"/>
          <w:bCs/>
          <w:color w:val="auto"/>
          <w:kern w:val="0"/>
          <w:sz w:val="21"/>
          <w:szCs w:val="21"/>
          <w:highlight w:val="none"/>
          <w:lang w:eastAsia="zh-CN"/>
        </w:rPr>
        <w:t>供应商</w:t>
      </w:r>
      <w:r>
        <w:rPr>
          <w:rFonts w:hint="eastAsia" w:ascii="宋体" w:hAnsi="宋体" w:eastAsia="宋体" w:cs="宋体"/>
          <w:bCs/>
          <w:color w:val="auto"/>
          <w:kern w:val="0"/>
          <w:sz w:val="21"/>
          <w:szCs w:val="21"/>
          <w:highlight w:val="none"/>
          <w:lang w:eastAsia="zh-CN"/>
        </w:rPr>
        <w:t>2022年</w:t>
      </w:r>
      <w:r>
        <w:rPr>
          <w:rFonts w:hint="eastAsia" w:ascii="宋体" w:hAnsi="宋体" w:eastAsia="宋体" w:cs="宋体"/>
          <w:bCs/>
          <w:color w:val="auto"/>
          <w:kern w:val="0"/>
          <w:sz w:val="21"/>
          <w:szCs w:val="21"/>
          <w:highlight w:val="none"/>
          <w:lang w:eastAsia="zh-CN"/>
        </w:rPr>
        <w:t>度财务状况报告</w:t>
      </w:r>
      <w:r>
        <w:rPr>
          <w:rFonts w:hint="eastAsia" w:ascii="宋体" w:hAnsi="宋体" w:cs="宋体"/>
          <w:bCs/>
          <w:color w:val="auto"/>
          <w:kern w:val="0"/>
          <w:sz w:val="21"/>
          <w:szCs w:val="21"/>
          <w:highlight w:val="none"/>
          <w:lang w:eastAsia="zh-CN"/>
        </w:rPr>
        <w:t>复印件</w:t>
      </w:r>
      <w:r>
        <w:rPr>
          <w:rFonts w:hint="eastAsia" w:ascii="宋体" w:hAnsi="宋体" w:eastAsia="宋体" w:cs="宋体"/>
          <w:b/>
          <w:bCs/>
          <w:color w:val="auto"/>
          <w:sz w:val="21"/>
          <w:szCs w:val="21"/>
          <w:highlight w:val="none"/>
          <w:lang w:val="en-US" w:eastAsia="zh-CN"/>
        </w:rPr>
        <w:t>（必须提供</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可</w:t>
      </w:r>
      <w:r>
        <w:rPr>
          <w:rFonts w:hint="eastAsia" w:ascii="宋体" w:hAnsi="宋体" w:eastAsia="宋体" w:cs="宋体"/>
          <w:b/>
          <w:bCs/>
          <w:color w:val="auto"/>
          <w:sz w:val="21"/>
          <w:szCs w:val="21"/>
          <w:highlight w:val="none"/>
          <w:lang w:eastAsia="zh-CN"/>
        </w:rPr>
        <w:t>以是磋商供应商</w:t>
      </w:r>
      <w:r>
        <w:rPr>
          <w:rFonts w:hint="eastAsia" w:ascii="宋体" w:hAnsi="宋体" w:eastAsia="宋体" w:cs="宋体"/>
          <w:b/>
          <w:bCs/>
          <w:color w:val="auto"/>
          <w:sz w:val="21"/>
          <w:szCs w:val="21"/>
          <w:highlight w:val="none"/>
        </w:rPr>
        <w:t>自行编制也可</w:t>
      </w:r>
      <w:r>
        <w:rPr>
          <w:rFonts w:hint="eastAsia" w:ascii="宋体" w:hAnsi="宋体" w:eastAsia="宋体" w:cs="宋体"/>
          <w:b/>
          <w:bCs/>
          <w:color w:val="auto"/>
          <w:sz w:val="21"/>
          <w:szCs w:val="21"/>
          <w:highlight w:val="none"/>
          <w:lang w:eastAsia="zh-CN"/>
        </w:rPr>
        <w:t>是</w:t>
      </w:r>
      <w:r>
        <w:rPr>
          <w:rFonts w:hint="eastAsia" w:ascii="宋体" w:hAnsi="宋体" w:eastAsia="宋体" w:cs="宋体"/>
          <w:b/>
          <w:bCs/>
          <w:color w:val="auto"/>
          <w:sz w:val="21"/>
          <w:szCs w:val="21"/>
          <w:highlight w:val="none"/>
        </w:rPr>
        <w:t>通过</w:t>
      </w:r>
      <w:r>
        <w:rPr>
          <w:rFonts w:hint="eastAsia" w:ascii="宋体" w:hAnsi="宋体" w:eastAsia="宋体" w:cs="宋体"/>
          <w:b/>
          <w:bCs/>
          <w:color w:val="auto"/>
          <w:sz w:val="21"/>
          <w:szCs w:val="21"/>
          <w:highlight w:val="none"/>
          <w:lang w:eastAsia="zh-CN"/>
        </w:rPr>
        <w:t>第三方</w:t>
      </w:r>
      <w:r>
        <w:rPr>
          <w:rFonts w:hint="eastAsia" w:ascii="宋体" w:hAnsi="宋体" w:eastAsia="宋体" w:cs="宋体"/>
          <w:b/>
          <w:bCs/>
          <w:color w:val="auto"/>
          <w:sz w:val="21"/>
          <w:szCs w:val="21"/>
          <w:highlight w:val="none"/>
        </w:rPr>
        <w:t>审计公司编制，如为自行编制至少须提供现金流量表、负债表及利润表</w:t>
      </w:r>
      <w:r>
        <w:rPr>
          <w:rFonts w:hint="eastAsia" w:ascii="宋体" w:hAnsi="宋体" w:eastAsia="宋体" w:cs="宋体"/>
          <w:b/>
          <w:bCs/>
          <w:color w:val="auto"/>
          <w:sz w:val="21"/>
          <w:szCs w:val="21"/>
          <w:highlight w:val="none"/>
          <w:lang w:val="en-US" w:eastAsia="zh-CN"/>
        </w:rPr>
        <w:t>）</w:t>
      </w:r>
      <w:r>
        <w:rPr>
          <w:rFonts w:hint="eastAsia" w:ascii="宋体" w:hAnsi="宋体" w:eastAsia="宋体" w:cs="宋体"/>
          <w:b w:val="0"/>
          <w:bCs w:val="0"/>
          <w:color w:val="auto"/>
          <w:sz w:val="21"/>
          <w:szCs w:val="21"/>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firstLine="420" w:firstLineChars="2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color w:val="auto"/>
          <w:sz w:val="21"/>
          <w:szCs w:val="21"/>
          <w:highlight w:val="none"/>
          <w:lang w:val="en-US" w:eastAsia="zh-CN"/>
        </w:rPr>
        <w:t>9.供应商近半年内任意一个月或任一季度依法缴纳税收的证明材料[增值税缴纳发票(税收完税证明)或企业所得税完税证明或税务部门出具的免税证明]复印件</w:t>
      </w:r>
      <w:r>
        <w:rPr>
          <w:rFonts w:hint="eastAsia" w:ascii="宋体" w:hAnsi="宋体" w:eastAsia="宋体" w:cs="宋体"/>
          <w:b/>
          <w:bCs/>
          <w:color w:val="auto"/>
          <w:sz w:val="21"/>
          <w:szCs w:val="21"/>
          <w:highlight w:val="none"/>
          <w:lang w:val="en-US" w:eastAsia="zh-CN"/>
        </w:rPr>
        <w:t>（必须提供）</w:t>
      </w:r>
      <w:r>
        <w:rPr>
          <w:rFonts w:hint="eastAsia" w:ascii="宋体" w:hAnsi="宋体" w:eastAsia="宋体" w:cs="宋体"/>
          <w:b w:val="0"/>
          <w:bCs w:val="0"/>
          <w:color w:val="auto"/>
          <w:sz w:val="21"/>
          <w:szCs w:val="21"/>
          <w:highlight w:val="none"/>
          <w:lang w:val="en-US" w:eastAsia="zh-CN"/>
        </w:rPr>
        <w:t>。</w:t>
      </w:r>
    </w:p>
    <w:p>
      <w:pPr>
        <w:spacing w:line="440" w:lineRule="atLeast"/>
        <w:rPr>
          <w:rFonts w:hint="eastAsia" w:ascii="宋体" w:hAnsi="宋体" w:eastAsia="宋体" w:cs="宋体"/>
          <w:b/>
          <w:color w:val="auto"/>
          <w:sz w:val="21"/>
          <w:szCs w:val="21"/>
          <w:highlight w:val="none"/>
          <w:lang w:val="en-US" w:eastAsia="zh-CN"/>
        </w:rPr>
      </w:pPr>
    </w:p>
    <w:p>
      <w:pPr>
        <w:pStyle w:val="10"/>
        <w:ind w:left="0" w:leftChars="0" w:firstLine="0" w:firstLineChars="0"/>
        <w:rPr>
          <w:rFonts w:hint="eastAsia" w:ascii="宋体" w:hAnsi="宋体" w:eastAsia="宋体" w:cs="宋体"/>
          <w:b/>
          <w:color w:val="auto"/>
          <w:sz w:val="21"/>
          <w:szCs w:val="21"/>
          <w:highlight w:val="none"/>
          <w:lang w:val="en-US" w:eastAsia="zh-CN"/>
        </w:rPr>
      </w:pPr>
    </w:p>
    <w:p>
      <w:pPr>
        <w:pStyle w:val="10"/>
        <w:ind w:left="0" w:leftChars="0" w:firstLine="0" w:firstLineChars="0"/>
        <w:rPr>
          <w:rFonts w:hint="eastAsia" w:ascii="宋体" w:hAnsi="宋体" w:eastAsia="宋体" w:cs="宋体"/>
          <w:b/>
          <w:color w:val="auto"/>
          <w:sz w:val="21"/>
          <w:szCs w:val="21"/>
          <w:highlight w:val="none"/>
          <w:lang w:val="en-US" w:eastAsia="zh-CN"/>
        </w:rPr>
      </w:pPr>
    </w:p>
    <w:p>
      <w:pPr>
        <w:pStyle w:val="10"/>
        <w:ind w:left="0" w:leftChars="0" w:firstLine="0" w:firstLineChars="0"/>
        <w:rPr>
          <w:rFonts w:hint="eastAsia" w:ascii="宋体" w:hAnsi="宋体" w:eastAsia="宋体" w:cs="宋体"/>
          <w:b/>
          <w:color w:val="auto"/>
          <w:sz w:val="21"/>
          <w:szCs w:val="21"/>
          <w:highlight w:val="none"/>
          <w:lang w:val="en-US" w:eastAsia="zh-CN"/>
        </w:rPr>
      </w:pPr>
    </w:p>
    <w:p>
      <w:pPr>
        <w:pStyle w:val="10"/>
        <w:ind w:left="0" w:leftChars="0" w:firstLine="0" w:firstLineChars="0"/>
        <w:rPr>
          <w:rFonts w:hint="eastAsia" w:ascii="宋体" w:hAnsi="宋体" w:eastAsia="宋体" w:cs="宋体"/>
          <w:b/>
          <w:color w:val="auto"/>
          <w:sz w:val="21"/>
          <w:szCs w:val="21"/>
          <w:highlight w:val="none"/>
          <w:lang w:val="en-US" w:eastAsia="zh-CN"/>
        </w:rPr>
      </w:pPr>
    </w:p>
    <w:p>
      <w:pPr>
        <w:pStyle w:val="10"/>
        <w:ind w:left="0" w:leftChars="0" w:firstLine="0" w:firstLineChars="0"/>
        <w:rPr>
          <w:rFonts w:hint="eastAsia" w:ascii="宋体" w:hAnsi="宋体" w:eastAsia="宋体" w:cs="宋体"/>
          <w:b/>
          <w:color w:val="auto"/>
          <w:sz w:val="21"/>
          <w:szCs w:val="21"/>
          <w:highlight w:val="none"/>
          <w:lang w:val="en-US" w:eastAsia="zh-CN"/>
        </w:rPr>
      </w:pPr>
    </w:p>
    <w:p>
      <w:pPr>
        <w:pStyle w:val="10"/>
        <w:ind w:left="0" w:leftChars="0" w:firstLine="0" w:firstLineChars="0"/>
        <w:rPr>
          <w:rFonts w:hint="eastAsia" w:ascii="宋体" w:hAnsi="宋体" w:eastAsia="宋体" w:cs="宋体"/>
          <w:b/>
          <w:color w:val="auto"/>
          <w:sz w:val="21"/>
          <w:szCs w:val="21"/>
          <w:highlight w:val="none"/>
          <w:lang w:val="en-US" w:eastAsia="zh-CN"/>
        </w:rPr>
      </w:pPr>
    </w:p>
    <w:p>
      <w:pPr>
        <w:pStyle w:val="10"/>
        <w:ind w:left="0" w:leftChars="0" w:firstLine="0" w:firstLineChars="0"/>
        <w:rPr>
          <w:rFonts w:hint="eastAsia" w:ascii="宋体" w:hAnsi="宋体" w:eastAsia="宋体" w:cs="宋体"/>
          <w:b/>
          <w:color w:val="auto"/>
          <w:sz w:val="21"/>
          <w:szCs w:val="21"/>
          <w:highlight w:val="none"/>
          <w:lang w:val="en-US" w:eastAsia="zh-CN"/>
        </w:rPr>
      </w:pPr>
    </w:p>
    <w:p>
      <w:pPr>
        <w:pStyle w:val="10"/>
        <w:ind w:left="0" w:leftChars="0" w:firstLine="0" w:firstLineChars="0"/>
        <w:rPr>
          <w:rFonts w:hint="eastAsia" w:ascii="宋体" w:hAnsi="宋体" w:eastAsia="宋体" w:cs="宋体"/>
          <w:b/>
          <w:color w:val="auto"/>
          <w:sz w:val="24"/>
          <w:szCs w:val="24"/>
          <w:highlight w:val="none"/>
          <w:lang w:val="en-US" w:eastAsia="zh-CN"/>
        </w:rPr>
      </w:pPr>
    </w:p>
    <w:p>
      <w:pPr>
        <w:pStyle w:val="10"/>
        <w:ind w:left="0" w:leftChars="0" w:firstLine="0" w:firstLineChars="0"/>
        <w:rPr>
          <w:rFonts w:hint="eastAsia" w:ascii="宋体" w:hAnsi="宋体" w:eastAsia="宋体" w:cs="宋体"/>
          <w:b/>
          <w:color w:val="auto"/>
          <w:sz w:val="24"/>
          <w:szCs w:val="24"/>
          <w:highlight w:val="none"/>
          <w:lang w:val="en-US" w:eastAsia="zh-CN"/>
        </w:rPr>
      </w:pPr>
    </w:p>
    <w:p>
      <w:pPr>
        <w:pStyle w:val="10"/>
        <w:ind w:left="0" w:leftChars="0" w:firstLine="0" w:firstLineChars="0"/>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资格性响应证明材料排序：</w:t>
      </w:r>
    </w:p>
    <w:p>
      <w:pPr>
        <w:numPr>
          <w:ilvl w:val="0"/>
          <w:numId w:val="0"/>
        </w:numPr>
        <w:spacing w:line="440" w:lineRule="atLeast"/>
        <w:rPr>
          <w:rFonts w:hint="eastAsia" w:ascii="宋体" w:hAnsi="宋体" w:eastAsia="宋体" w:cs="宋体"/>
          <w:b/>
          <w:bCs w:val="0"/>
          <w:color w:val="auto"/>
          <w:sz w:val="24"/>
          <w:szCs w:val="24"/>
          <w:highlight w:val="none"/>
        </w:rPr>
      </w:pPr>
      <w:r>
        <w:rPr>
          <w:rFonts w:hint="eastAsia" w:ascii="宋体" w:hAnsi="宋体" w:eastAsia="宋体" w:cs="宋体"/>
          <w:b/>
          <w:bCs w:val="0"/>
          <w:color w:val="auto"/>
          <w:kern w:val="2"/>
          <w:sz w:val="24"/>
          <w:szCs w:val="24"/>
          <w:highlight w:val="none"/>
          <w:lang w:val="en-US" w:eastAsia="zh-CN" w:bidi="ar-SA"/>
        </w:rPr>
        <w:t>1.</w:t>
      </w:r>
      <w:r>
        <w:rPr>
          <w:rFonts w:hint="eastAsia" w:ascii="宋体" w:hAnsi="宋体" w:eastAsia="宋体" w:cs="宋体"/>
          <w:b/>
          <w:bCs w:val="0"/>
          <w:color w:val="auto"/>
          <w:sz w:val="24"/>
          <w:szCs w:val="24"/>
          <w:highlight w:val="none"/>
        </w:rPr>
        <w:t>供应商相应的法定代表人、负责人、自然人身份证正反两面复印件（必须提供）；</w:t>
      </w:r>
    </w:p>
    <w:p>
      <w:pPr>
        <w:spacing w:line="440" w:lineRule="atLeast"/>
        <w:rPr>
          <w:rFonts w:hint="eastAsia" w:ascii="宋体" w:hAnsi="宋体" w:eastAsia="宋体" w:cs="宋体"/>
          <w:b/>
          <w:bCs w:val="0"/>
          <w:color w:val="auto"/>
          <w:sz w:val="24"/>
          <w:szCs w:val="24"/>
          <w:highlight w:val="none"/>
          <w:lang w:val="en-US" w:eastAsia="zh-CN"/>
        </w:rPr>
      </w:pPr>
    </w:p>
    <w:p>
      <w:pPr>
        <w:spacing w:line="440" w:lineRule="atLeast"/>
        <w:rPr>
          <w:rFonts w:hint="eastAsia" w:ascii="宋体" w:hAnsi="宋体" w:eastAsia="宋体" w:cs="宋体"/>
          <w:b/>
          <w:bCs w:val="0"/>
          <w:color w:val="auto"/>
          <w:sz w:val="24"/>
          <w:szCs w:val="24"/>
          <w:highlight w:val="none"/>
          <w:lang w:val="en-US" w:eastAsia="zh-CN"/>
        </w:rPr>
      </w:pPr>
    </w:p>
    <w:p>
      <w:pPr>
        <w:spacing w:line="440" w:lineRule="atLeast"/>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lang w:val="en-US" w:eastAsia="zh-CN"/>
        </w:rPr>
        <w:t>2</w:t>
      </w:r>
      <w:r>
        <w:rPr>
          <w:rFonts w:hint="eastAsia" w:ascii="宋体" w:hAnsi="宋体" w:eastAsia="宋体" w:cs="宋体"/>
          <w:b/>
          <w:bCs w:val="0"/>
          <w:color w:val="auto"/>
          <w:sz w:val="24"/>
          <w:szCs w:val="24"/>
          <w:highlight w:val="none"/>
        </w:rPr>
        <w:t>.供应商的授权委托书</w:t>
      </w:r>
      <w:r>
        <w:rPr>
          <w:rFonts w:hint="eastAsia" w:ascii="宋体" w:hAnsi="宋体" w:eastAsia="宋体" w:cs="宋体"/>
          <w:b/>
          <w:bCs w:val="0"/>
          <w:color w:val="auto"/>
          <w:sz w:val="24"/>
          <w:szCs w:val="24"/>
          <w:highlight w:val="none"/>
          <w:lang w:eastAsia="zh-CN"/>
        </w:rPr>
        <w:t>原件</w:t>
      </w:r>
      <w:r>
        <w:rPr>
          <w:rFonts w:hint="eastAsia" w:ascii="宋体" w:hAnsi="宋体" w:eastAsia="宋体" w:cs="宋体"/>
          <w:b/>
          <w:bCs w:val="0"/>
          <w:color w:val="auto"/>
          <w:sz w:val="24"/>
          <w:szCs w:val="24"/>
          <w:highlight w:val="none"/>
        </w:rPr>
        <w:t>、委托代理人身份证正反面复印件以及由县级以上（含县级）社会养老保险经办机构出具的供应商为委托代理人交纳的响应文件递交截止时间前半年内任意连续三个月社保证明复印件</w:t>
      </w:r>
      <w:r>
        <w:rPr>
          <w:rFonts w:hint="eastAsia" w:ascii="宋体" w:hAnsi="宋体" w:eastAsia="宋体" w:cs="宋体"/>
          <w:b/>
          <w:bCs w:val="0"/>
          <w:color w:val="auto"/>
          <w:sz w:val="24"/>
          <w:szCs w:val="24"/>
          <w:highlight w:val="none"/>
          <w:lang w:eastAsia="zh-CN"/>
        </w:rPr>
        <w:t>（委托代理时必须提供）。</w:t>
      </w:r>
      <w:r>
        <w:rPr>
          <w:rFonts w:hint="eastAsia" w:ascii="宋体" w:hAnsi="宋体" w:eastAsia="宋体" w:cs="宋体"/>
          <w:b/>
          <w:bCs w:val="0"/>
          <w:color w:val="auto"/>
          <w:sz w:val="24"/>
          <w:szCs w:val="24"/>
          <w:highlight w:val="none"/>
        </w:rPr>
        <w:t>除供应商为以下三种情形的：</w:t>
      </w:r>
    </w:p>
    <w:p>
      <w:pPr>
        <w:spacing w:line="440" w:lineRule="atLeast"/>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（1）如供应商为截标时间前60日以内成立的公司，可以提供供应商与委托代理人签订的劳动合同复印件代替社保证明复印件；</w:t>
      </w:r>
    </w:p>
    <w:p>
      <w:pPr>
        <w:spacing w:line="440" w:lineRule="atLeast"/>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（2）如供应商为事业单位，可以提供事业单位机构编制管理证复印件或事业单位机构为其发放工资的工资条复印件代替社保证明复印件；</w:t>
      </w:r>
    </w:p>
    <w:p>
      <w:pPr>
        <w:spacing w:line="440" w:lineRule="atLeast"/>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（3）如委托代理人为免缴纳社保人员，提供免缴纳社保的证明材料复印件及供应商与委托代理人签订的劳动合同复印件代替社保证明复印件。</w:t>
      </w:r>
    </w:p>
    <w:p>
      <w:pPr>
        <w:spacing w:line="440" w:lineRule="atLeast"/>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w:t>
      </w:r>
      <w:r>
        <w:rPr>
          <w:rFonts w:hint="eastAsia" w:ascii="宋体" w:hAnsi="宋体" w:eastAsia="宋体" w:cs="宋体"/>
          <w:b/>
          <w:bCs w:val="0"/>
          <w:color w:val="auto"/>
          <w:sz w:val="24"/>
          <w:szCs w:val="24"/>
          <w:highlight w:val="none"/>
          <w:lang w:eastAsia="zh-CN"/>
        </w:rPr>
        <w:t>属</w:t>
      </w:r>
      <w:r>
        <w:rPr>
          <w:rFonts w:hint="eastAsia" w:ascii="宋体" w:hAnsi="宋体" w:eastAsia="宋体" w:cs="宋体"/>
          <w:b/>
          <w:bCs w:val="0"/>
          <w:color w:val="auto"/>
          <w:sz w:val="24"/>
          <w:szCs w:val="24"/>
          <w:highlight w:val="none"/>
        </w:rPr>
        <w:t>自然人的应提供由县级以上（含县级）社会养老保险经办机构出具的自然人本人及委托代理人所交纳的响应文件递交截止时间前半年内任意连续三个月社保证明复印件】（委托代理时必须提供）</w:t>
      </w:r>
    </w:p>
    <w:p>
      <w:pPr>
        <w:spacing w:line="440" w:lineRule="atLeast"/>
        <w:rPr>
          <w:rFonts w:hint="eastAsia" w:ascii="宋体" w:hAnsi="宋体" w:eastAsia="宋体" w:cs="宋体"/>
          <w:b/>
          <w:color w:val="auto"/>
          <w:sz w:val="21"/>
          <w:szCs w:val="21"/>
          <w:highlight w:val="none"/>
        </w:rPr>
      </w:pPr>
    </w:p>
    <w:p>
      <w:pPr>
        <w:pStyle w:val="11"/>
        <w:rPr>
          <w:rFonts w:hint="eastAsia" w:ascii="宋体" w:hAnsi="宋体" w:eastAsia="宋体" w:cs="宋体"/>
          <w:b/>
          <w:color w:val="auto"/>
          <w:sz w:val="21"/>
          <w:szCs w:val="21"/>
          <w:highlight w:val="none"/>
        </w:rPr>
      </w:pPr>
    </w:p>
    <w:p>
      <w:pPr>
        <w:rPr>
          <w:rFonts w:hint="eastAsia" w:ascii="宋体" w:hAnsi="宋体" w:eastAsia="宋体" w:cs="宋体"/>
          <w:b/>
          <w:color w:val="auto"/>
          <w:sz w:val="21"/>
          <w:szCs w:val="21"/>
          <w:highlight w:val="none"/>
        </w:rPr>
      </w:pPr>
    </w:p>
    <w:p>
      <w:pPr>
        <w:pStyle w:val="2"/>
        <w:tabs>
          <w:tab w:val="left" w:pos="567"/>
        </w:tabs>
        <w:rPr>
          <w:rFonts w:hint="eastAsia" w:ascii="宋体" w:hAnsi="宋体" w:eastAsia="宋体" w:cs="宋体"/>
          <w:color w:val="auto"/>
          <w:sz w:val="21"/>
          <w:szCs w:val="21"/>
          <w:highlight w:val="none"/>
        </w:rPr>
      </w:pPr>
    </w:p>
    <w:p>
      <w:pPr>
        <w:rPr>
          <w:rFonts w:hint="eastAsia" w:ascii="宋体" w:hAnsi="宋体" w:eastAsia="宋体" w:cs="宋体"/>
          <w:color w:val="auto"/>
          <w:sz w:val="21"/>
          <w:szCs w:val="21"/>
          <w:highlight w:val="none"/>
        </w:rPr>
      </w:pPr>
    </w:p>
    <w:p>
      <w:pPr>
        <w:pStyle w:val="2"/>
        <w:rPr>
          <w:rFonts w:hint="eastAsia" w:ascii="宋体" w:hAnsi="宋体" w:eastAsia="宋体" w:cs="宋体"/>
          <w:color w:val="auto"/>
          <w:sz w:val="21"/>
          <w:szCs w:val="21"/>
          <w:highlight w:val="none"/>
        </w:rPr>
      </w:pPr>
    </w:p>
    <w:p>
      <w:pPr>
        <w:rPr>
          <w:rFonts w:hint="eastAsia" w:ascii="宋体" w:hAnsi="宋体" w:eastAsia="宋体" w:cs="宋体"/>
          <w:color w:val="auto"/>
          <w:sz w:val="21"/>
          <w:szCs w:val="21"/>
          <w:highlight w:val="none"/>
        </w:rPr>
      </w:pPr>
    </w:p>
    <w:p>
      <w:pPr>
        <w:pStyle w:val="23"/>
        <w:rPr>
          <w:rFonts w:hint="eastAsia" w:ascii="宋体" w:hAnsi="宋体" w:eastAsia="宋体" w:cs="宋体"/>
          <w:color w:val="auto"/>
          <w:sz w:val="21"/>
          <w:szCs w:val="21"/>
          <w:highlight w:val="none"/>
        </w:rPr>
      </w:pPr>
    </w:p>
    <w:p>
      <w:pPr>
        <w:pStyle w:val="23"/>
        <w:rPr>
          <w:rFonts w:hint="eastAsia" w:ascii="宋体" w:hAnsi="宋体" w:eastAsia="宋体" w:cs="宋体"/>
          <w:color w:val="auto"/>
          <w:sz w:val="21"/>
          <w:szCs w:val="21"/>
          <w:highlight w:val="none"/>
        </w:rPr>
      </w:pPr>
    </w:p>
    <w:p>
      <w:pPr>
        <w:pStyle w:val="23"/>
        <w:rPr>
          <w:rFonts w:hint="eastAsia" w:ascii="宋体" w:hAnsi="宋体" w:eastAsia="宋体" w:cs="宋体"/>
          <w:color w:val="auto"/>
          <w:sz w:val="21"/>
          <w:szCs w:val="21"/>
          <w:highlight w:val="none"/>
        </w:rPr>
      </w:pPr>
    </w:p>
    <w:p>
      <w:pPr>
        <w:pStyle w:val="11"/>
        <w:rPr>
          <w:rFonts w:hint="eastAsia" w:ascii="宋体" w:hAnsi="宋体" w:eastAsia="宋体" w:cs="宋体"/>
          <w:b/>
          <w:color w:val="auto"/>
          <w:sz w:val="21"/>
          <w:szCs w:val="21"/>
          <w:highlight w:val="none"/>
        </w:rPr>
      </w:pPr>
    </w:p>
    <w:p>
      <w:pPr>
        <w:pStyle w:val="11"/>
        <w:rPr>
          <w:rFonts w:hint="eastAsia" w:ascii="宋体" w:hAnsi="宋体" w:eastAsia="宋体" w:cs="宋体"/>
          <w:b/>
          <w:color w:val="auto"/>
          <w:sz w:val="21"/>
          <w:szCs w:val="21"/>
          <w:highlight w:val="none"/>
        </w:rPr>
      </w:pPr>
    </w:p>
    <w:p>
      <w:pPr>
        <w:pStyle w:val="11"/>
        <w:rPr>
          <w:rFonts w:hint="eastAsia" w:ascii="宋体" w:hAnsi="宋体" w:eastAsia="宋体" w:cs="宋体"/>
          <w:b/>
          <w:color w:val="auto"/>
          <w:sz w:val="21"/>
          <w:szCs w:val="21"/>
          <w:highlight w:val="none"/>
        </w:rPr>
      </w:pPr>
    </w:p>
    <w:p>
      <w:pPr>
        <w:pStyle w:val="11"/>
        <w:rPr>
          <w:rFonts w:hint="eastAsia" w:ascii="宋体" w:hAnsi="宋体" w:eastAsia="宋体" w:cs="宋体"/>
          <w:b/>
          <w:color w:val="auto"/>
          <w:sz w:val="21"/>
          <w:szCs w:val="21"/>
          <w:highlight w:val="none"/>
        </w:rPr>
      </w:pPr>
    </w:p>
    <w:p>
      <w:pPr>
        <w:pStyle w:val="11"/>
        <w:rPr>
          <w:rFonts w:hint="eastAsia" w:ascii="宋体" w:hAnsi="宋体" w:eastAsia="宋体" w:cs="宋体"/>
          <w:b/>
          <w:color w:val="auto"/>
          <w:sz w:val="21"/>
          <w:szCs w:val="21"/>
          <w:highlight w:val="none"/>
        </w:rPr>
      </w:pPr>
    </w:p>
    <w:p>
      <w:pPr>
        <w:pStyle w:val="11"/>
        <w:rPr>
          <w:rFonts w:hint="eastAsia" w:ascii="宋体" w:hAnsi="宋体" w:eastAsia="宋体" w:cs="宋体"/>
          <w:b/>
          <w:color w:val="auto"/>
          <w:sz w:val="21"/>
          <w:szCs w:val="21"/>
          <w:highlight w:val="none"/>
        </w:rPr>
      </w:pPr>
    </w:p>
    <w:p>
      <w:pPr>
        <w:pStyle w:val="11"/>
        <w:rPr>
          <w:rFonts w:hint="eastAsia" w:ascii="宋体" w:hAnsi="宋体" w:eastAsia="宋体" w:cs="宋体"/>
          <w:b/>
          <w:color w:val="auto"/>
          <w:sz w:val="21"/>
          <w:szCs w:val="21"/>
          <w:highlight w:val="none"/>
        </w:rPr>
      </w:pPr>
    </w:p>
    <w:p>
      <w:pPr>
        <w:pStyle w:val="11"/>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 xml:space="preserve">附件：            </w:t>
      </w:r>
    </w:p>
    <w:p>
      <w:pPr>
        <w:pStyle w:val="11"/>
        <w:ind w:firstLine="472" w:firstLineChars="196"/>
        <w:jc w:val="center"/>
        <w:rPr>
          <w:rFonts w:hint="eastAsia" w:ascii="宋体" w:hAnsi="宋体" w:eastAsia="宋体" w:cs="宋体"/>
          <w:b/>
          <w:color w:val="auto"/>
          <w:sz w:val="24"/>
          <w:szCs w:val="24"/>
          <w:highlight w:val="none"/>
        </w:rPr>
      </w:pPr>
      <w:bookmarkStart w:id="1961" w:name="_Toc964_WPSOffice_Level1"/>
      <w:bookmarkStart w:id="1962" w:name="_Toc5420_WPSOffice_Level1"/>
      <w:r>
        <w:rPr>
          <w:rFonts w:hint="eastAsia" w:ascii="宋体" w:hAnsi="宋体" w:eastAsia="宋体" w:cs="宋体"/>
          <w:b/>
          <w:color w:val="auto"/>
          <w:sz w:val="24"/>
          <w:szCs w:val="24"/>
          <w:highlight w:val="none"/>
        </w:rPr>
        <w:t>授权委托书（格式一）</w:t>
      </w:r>
      <w:bookmarkEnd w:id="1961"/>
      <w:bookmarkEnd w:id="1962"/>
    </w:p>
    <w:p>
      <w:pPr>
        <w:spacing w:line="400" w:lineRule="exact"/>
        <w:rPr>
          <w:rFonts w:hint="eastAsia" w:ascii="宋体" w:hAnsi="宋体" w:eastAsia="宋体" w:cs="宋体"/>
          <w:color w:val="auto"/>
          <w:sz w:val="21"/>
          <w:szCs w:val="21"/>
          <w:highlight w:val="none"/>
        </w:rPr>
      </w:pPr>
    </w:p>
    <w:p>
      <w:pPr>
        <w:spacing w:line="400" w:lineRule="exact"/>
        <w:rPr>
          <w:rFonts w:hint="eastAsia" w:ascii="宋体" w:hAnsi="宋体" w:eastAsia="宋体" w:cs="宋体"/>
          <w:color w:val="auto"/>
          <w:sz w:val="21"/>
          <w:szCs w:val="21"/>
          <w:highlight w:val="none"/>
          <w:u w:val="single"/>
          <w:lang w:eastAsia="zh-CN"/>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lang w:eastAsia="zh-CN"/>
        </w:rPr>
        <w:t>广西星鑫建设工程咨询有限公司</w:t>
      </w:r>
    </w:p>
    <w:p>
      <w:pPr>
        <w:spacing w:line="400" w:lineRule="exact"/>
        <w:rPr>
          <w:rFonts w:hint="eastAsia" w:ascii="宋体" w:hAnsi="宋体" w:eastAsia="宋体" w:cs="宋体"/>
          <w:color w:val="auto"/>
          <w:sz w:val="21"/>
          <w:szCs w:val="21"/>
          <w:highlight w:val="none"/>
        </w:rPr>
      </w:pPr>
    </w:p>
    <w:p>
      <w:pPr>
        <w:pStyle w:val="11"/>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我</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（姓名）系</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（供应商名称）的法定代表人（负责人），现授权委托本单位在职职工</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（姓 名）以我公司名义参加</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sz w:val="21"/>
          <w:szCs w:val="21"/>
          <w:highlight w:val="none"/>
          <w:u w:val="single"/>
        </w:rPr>
        <w:t xml:space="preserve">（项目名称及项目编号）        </w:t>
      </w:r>
      <w:r>
        <w:rPr>
          <w:rFonts w:hint="eastAsia" w:ascii="宋体" w:hAnsi="宋体" w:eastAsia="宋体" w:cs="宋体"/>
          <w:color w:val="auto"/>
          <w:sz w:val="21"/>
          <w:szCs w:val="21"/>
          <w:highlight w:val="none"/>
        </w:rPr>
        <w:t>项目的磋商活动，并代表我方全权办理针对上述项目的磋商、签约等具体事务和签署相关文件。</w:t>
      </w:r>
    </w:p>
    <w:p>
      <w:pPr>
        <w:pStyle w:val="11"/>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我方对被授权人的签字事项负全部责任。</w:t>
      </w:r>
    </w:p>
    <w:p>
      <w:pPr>
        <w:pStyle w:val="11"/>
        <w:spacing w:line="400" w:lineRule="exact"/>
        <w:ind w:firstLine="420" w:firstLineChars="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授权委托代理期限：从</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月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日起至</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月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日止。</w:t>
      </w:r>
    </w:p>
    <w:p>
      <w:pPr>
        <w:pStyle w:val="11"/>
        <w:spacing w:line="400" w:lineRule="exac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 xml:space="preserve">                                                                                             </w:t>
      </w:r>
    </w:p>
    <w:p>
      <w:pPr>
        <w:spacing w:line="400" w:lineRule="exact"/>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代理人无转委托权,特此委托。 </w:t>
      </w:r>
    </w:p>
    <w:p>
      <w:pPr>
        <w:spacing w:line="400" w:lineRule="exact"/>
        <w:ind w:firstLine="420" w:firstLineChars="200"/>
        <w:rPr>
          <w:rFonts w:hint="eastAsia" w:ascii="宋体" w:hAnsi="宋体" w:eastAsia="宋体" w:cs="宋体"/>
          <w:color w:val="auto"/>
          <w:kern w:val="0"/>
          <w:sz w:val="21"/>
          <w:szCs w:val="21"/>
          <w:highlight w:val="none"/>
        </w:rPr>
      </w:pPr>
    </w:p>
    <w:p>
      <w:pPr>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我已在下面签字，以资证明。</w:t>
      </w:r>
    </w:p>
    <w:p>
      <w:pPr>
        <w:spacing w:line="400" w:lineRule="exact"/>
        <w:ind w:firstLine="420" w:firstLineChars="200"/>
        <w:rPr>
          <w:rFonts w:hint="eastAsia" w:ascii="宋体" w:hAnsi="宋体" w:eastAsia="宋体" w:cs="宋体"/>
          <w:color w:val="auto"/>
          <w:sz w:val="21"/>
          <w:szCs w:val="21"/>
          <w:highlight w:val="none"/>
        </w:rPr>
      </w:pPr>
    </w:p>
    <w:p>
      <w:pPr>
        <w:spacing w:line="400" w:lineRule="exact"/>
        <w:ind w:firstLine="420" w:firstLineChars="200"/>
        <w:rPr>
          <w:rFonts w:hint="eastAsia" w:ascii="宋体" w:hAnsi="宋体" w:eastAsia="宋体" w:cs="宋体"/>
          <w:color w:val="auto"/>
          <w:sz w:val="21"/>
          <w:szCs w:val="21"/>
          <w:highlight w:val="none"/>
        </w:rPr>
      </w:pPr>
    </w:p>
    <w:p>
      <w:pPr>
        <w:snapToGrid w:val="0"/>
        <w:spacing w:line="400" w:lineRule="exact"/>
        <w:ind w:firstLine="42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lang w:eastAsia="zh-CN"/>
        </w:rPr>
        <w:t>磋商供应商</w:t>
      </w:r>
      <w:r>
        <w:rPr>
          <w:rFonts w:hint="eastAsia" w:ascii="宋体" w:hAnsi="宋体" w:eastAsia="宋体" w:cs="宋体"/>
          <w:color w:val="auto"/>
          <w:sz w:val="21"/>
          <w:szCs w:val="21"/>
          <w:highlight w:val="none"/>
          <w:lang w:val="en-US" w:eastAsia="zh-CN"/>
        </w:rPr>
        <w:t>[公章</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CA签章</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rPr>
        <w:t xml:space="preserve">                                   </w:t>
      </w:r>
    </w:p>
    <w:p>
      <w:pPr>
        <w:snapToGrid w:val="0"/>
        <w:spacing w:line="400" w:lineRule="exact"/>
        <w:ind w:firstLine="420"/>
        <w:rPr>
          <w:rFonts w:hint="eastAsia" w:ascii="宋体" w:hAnsi="宋体" w:eastAsia="宋体" w:cs="宋体"/>
          <w:color w:val="auto"/>
          <w:sz w:val="21"/>
          <w:szCs w:val="21"/>
          <w:highlight w:val="none"/>
        </w:rPr>
      </w:pPr>
    </w:p>
    <w:p>
      <w:pPr>
        <w:snapToGrid w:val="0"/>
        <w:spacing w:line="400" w:lineRule="exact"/>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法定代表人（负责人）签字（或</w:t>
      </w:r>
      <w:r>
        <w:rPr>
          <w:rFonts w:hint="eastAsia" w:ascii="宋体" w:hAnsi="宋体" w:eastAsia="宋体" w:cs="宋体"/>
          <w:color w:val="auto"/>
          <w:sz w:val="21"/>
          <w:szCs w:val="21"/>
          <w:highlight w:val="none"/>
          <w:lang w:eastAsia="zh-CN"/>
        </w:rPr>
        <w:t>个人</w:t>
      </w:r>
      <w:r>
        <w:rPr>
          <w:rFonts w:hint="eastAsia" w:ascii="宋体" w:hAnsi="宋体" w:eastAsia="宋体" w:cs="宋体"/>
          <w:color w:val="auto"/>
          <w:sz w:val="21"/>
          <w:szCs w:val="21"/>
          <w:highlight w:val="none"/>
          <w:lang w:val="en-US" w:eastAsia="zh-CN"/>
        </w:rPr>
        <w:t>CA签章</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p>
    <w:p>
      <w:pPr>
        <w:snapToGrid w:val="0"/>
        <w:spacing w:line="400" w:lineRule="exact"/>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p>
    <w:p>
      <w:pPr>
        <w:pStyle w:val="8"/>
        <w:rPr>
          <w:rFonts w:hint="eastAsia"/>
          <w:color w:val="auto"/>
          <w:highlight w:val="none"/>
        </w:rPr>
      </w:pPr>
    </w:p>
    <w:p>
      <w:pPr>
        <w:snapToGrid w:val="0"/>
        <w:spacing w:line="400" w:lineRule="exact"/>
        <w:ind w:firstLine="420"/>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spacing w:line="440" w:lineRule="atLeas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附：供应商的授权委托书</w:t>
      </w:r>
      <w:r>
        <w:rPr>
          <w:rFonts w:hint="eastAsia" w:ascii="宋体" w:hAnsi="宋体" w:eastAsia="宋体" w:cs="宋体"/>
          <w:b/>
          <w:color w:val="auto"/>
          <w:sz w:val="21"/>
          <w:szCs w:val="21"/>
          <w:highlight w:val="none"/>
          <w:lang w:eastAsia="zh-CN"/>
        </w:rPr>
        <w:t>原件</w:t>
      </w:r>
      <w:r>
        <w:rPr>
          <w:rFonts w:hint="eastAsia" w:ascii="宋体" w:hAnsi="宋体" w:eastAsia="宋体" w:cs="宋体"/>
          <w:b/>
          <w:color w:val="auto"/>
          <w:sz w:val="21"/>
          <w:szCs w:val="21"/>
          <w:highlight w:val="none"/>
        </w:rPr>
        <w:t>、委托代理人身份证正反面复印件以及由县级以上（含县级）社会养老保险经办机构出具的供应商为委托代理人交纳的响应文件递交截止时间前半年内任意连续三个月社保证明复印件</w:t>
      </w:r>
      <w:r>
        <w:rPr>
          <w:rFonts w:hint="eastAsia" w:ascii="宋体" w:hAnsi="宋体" w:eastAsia="宋体" w:cs="宋体"/>
          <w:b/>
          <w:color w:val="auto"/>
          <w:sz w:val="21"/>
          <w:szCs w:val="21"/>
          <w:highlight w:val="none"/>
          <w:lang w:eastAsia="zh-CN"/>
        </w:rPr>
        <w:t>，</w:t>
      </w:r>
      <w:r>
        <w:rPr>
          <w:rFonts w:hint="eastAsia" w:ascii="宋体" w:hAnsi="宋体" w:eastAsia="宋体" w:cs="宋体"/>
          <w:b/>
          <w:color w:val="auto"/>
          <w:sz w:val="21"/>
          <w:szCs w:val="21"/>
          <w:highlight w:val="none"/>
        </w:rPr>
        <w:t>除供应商为以下三种情形的：</w:t>
      </w:r>
    </w:p>
    <w:p>
      <w:pPr>
        <w:spacing w:line="440" w:lineRule="atLeas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 如供应商为截标时间前60日以内成立的公司，可以提供供应商与委托代理人签订的劳动合同复印件代替社保证明复印件；</w:t>
      </w:r>
    </w:p>
    <w:p>
      <w:pPr>
        <w:spacing w:line="440" w:lineRule="atLeas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（2）如供应商为事业单位，可以提供事业单位机构编制管理证复印件或事业单位机构为其发放工资的工资条复印件代替社保证明复印件；</w:t>
      </w:r>
    </w:p>
    <w:p>
      <w:pPr>
        <w:spacing w:line="440" w:lineRule="atLeas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（3）如委托代理人为免缴纳社保人员，提供免缴纳社保的证明材料复印件及供应商与委托代理人签订的劳动合同复印件代替社保证明复印件。</w:t>
      </w:r>
    </w:p>
    <w:p>
      <w:pPr>
        <w:pStyle w:val="11"/>
        <w:spacing w:line="340" w:lineRule="exact"/>
        <w:ind w:firstLine="420" w:firstLineChars="200"/>
        <w:rPr>
          <w:rFonts w:hint="eastAsia" w:ascii="宋体" w:hAnsi="宋体" w:eastAsia="宋体" w:cs="宋体"/>
          <w:color w:val="auto"/>
          <w:sz w:val="21"/>
          <w:szCs w:val="21"/>
          <w:highlight w:val="none"/>
        </w:rPr>
      </w:pPr>
    </w:p>
    <w:p>
      <w:pPr>
        <w:pStyle w:val="6"/>
        <w:rPr>
          <w:rFonts w:hint="eastAsia" w:ascii="宋体" w:hAnsi="宋体" w:eastAsia="宋体" w:cs="宋体"/>
          <w:color w:val="auto"/>
          <w:sz w:val="21"/>
          <w:szCs w:val="21"/>
          <w:highlight w:val="none"/>
        </w:rPr>
      </w:pPr>
    </w:p>
    <w:p>
      <w:pPr>
        <w:pStyle w:val="11"/>
        <w:jc w:val="center"/>
        <w:rPr>
          <w:rFonts w:hint="eastAsia" w:ascii="宋体" w:hAnsi="宋体" w:eastAsia="宋体" w:cs="宋体"/>
          <w:b/>
          <w:color w:val="auto"/>
          <w:sz w:val="21"/>
          <w:szCs w:val="21"/>
          <w:highlight w:val="none"/>
        </w:rPr>
      </w:pPr>
      <w:bookmarkStart w:id="1963" w:name="_Toc21370_WPSOffice_Level1"/>
      <w:bookmarkStart w:id="1964" w:name="_Toc6975_WPSOffice_Level1"/>
    </w:p>
    <w:p>
      <w:pPr>
        <w:pStyle w:val="11"/>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授权委托书（格式二）</w:t>
      </w:r>
      <w:bookmarkEnd w:id="1963"/>
      <w:bookmarkEnd w:id="1964"/>
    </w:p>
    <w:p>
      <w:pPr>
        <w:pStyle w:val="11"/>
        <w:jc w:val="both"/>
        <w:rPr>
          <w:rFonts w:hint="eastAsia" w:ascii="宋体" w:hAnsi="宋体" w:eastAsia="宋体" w:cs="宋体"/>
          <w:b/>
          <w:color w:val="auto"/>
          <w:sz w:val="21"/>
          <w:szCs w:val="21"/>
          <w:highlight w:val="none"/>
        </w:rPr>
      </w:pPr>
    </w:p>
    <w:p>
      <w:pPr>
        <w:spacing w:line="400" w:lineRule="exact"/>
        <w:rPr>
          <w:rFonts w:hint="eastAsia" w:ascii="宋体" w:hAnsi="宋体" w:eastAsia="宋体" w:cs="宋体"/>
          <w:color w:val="auto"/>
          <w:sz w:val="21"/>
          <w:szCs w:val="21"/>
          <w:highlight w:val="none"/>
          <w:lang w:eastAsia="zh-CN"/>
        </w:rPr>
      </w:pPr>
      <w:r>
        <w:rPr>
          <w:rFonts w:hint="eastAsia" w:ascii="宋体" w:hAnsi="宋体" w:eastAsia="宋体" w:cs="宋体"/>
          <w:b/>
          <w:color w:val="auto"/>
          <w:sz w:val="21"/>
          <w:szCs w:val="21"/>
          <w:highlight w:val="none"/>
        </w:rPr>
        <w:t>致</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lang w:eastAsia="zh-CN"/>
        </w:rPr>
        <w:t>广西星鑫建设工程咨询有限公司</w:t>
      </w:r>
    </w:p>
    <w:p>
      <w:pPr>
        <w:pStyle w:val="11"/>
        <w:jc w:val="both"/>
        <w:rPr>
          <w:rFonts w:hint="eastAsia" w:ascii="宋体" w:hAnsi="宋体" w:eastAsia="宋体" w:cs="宋体"/>
          <w:color w:val="auto"/>
          <w:sz w:val="21"/>
          <w:szCs w:val="21"/>
          <w:highlight w:val="none"/>
          <w:u w:val="single"/>
        </w:rPr>
      </w:pPr>
    </w:p>
    <w:p>
      <w:pPr>
        <w:rPr>
          <w:rFonts w:hint="eastAsia" w:ascii="宋体" w:hAnsi="宋体" w:eastAsia="宋体" w:cs="宋体"/>
          <w:color w:val="auto"/>
          <w:sz w:val="21"/>
          <w:szCs w:val="21"/>
          <w:highlight w:val="none"/>
        </w:rPr>
      </w:pPr>
    </w:p>
    <w:p>
      <w:pPr>
        <w:pStyle w:val="11"/>
        <w:spacing w:line="3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我</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（姓名）系自然人，现授权委托</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（姓 名）以本人名义参加</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sz w:val="21"/>
          <w:szCs w:val="21"/>
          <w:highlight w:val="none"/>
          <w:u w:val="single"/>
        </w:rPr>
        <w:t xml:space="preserve">（项目名称及项目编号）        </w:t>
      </w:r>
      <w:r>
        <w:rPr>
          <w:rFonts w:hint="eastAsia" w:ascii="宋体" w:hAnsi="宋体" w:eastAsia="宋体" w:cs="宋体"/>
          <w:color w:val="auto"/>
          <w:sz w:val="21"/>
          <w:szCs w:val="21"/>
          <w:highlight w:val="none"/>
        </w:rPr>
        <w:t>项目的磋商活动，并代表本人全权办理针对上述项目的磋商、签约等具体事务和签署相关文件。</w:t>
      </w:r>
    </w:p>
    <w:p>
      <w:pPr>
        <w:pStyle w:val="11"/>
        <w:spacing w:line="3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本人对被授权人的签字事项负全部责任。</w:t>
      </w:r>
    </w:p>
    <w:p>
      <w:pPr>
        <w:pStyle w:val="11"/>
        <w:spacing w:line="340" w:lineRule="exact"/>
        <w:ind w:firstLine="420" w:firstLineChars="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授权委托代理期限：从</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月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日起至</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月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日止。</w:t>
      </w:r>
    </w:p>
    <w:p>
      <w:pPr>
        <w:pStyle w:val="11"/>
        <w:spacing w:line="340" w:lineRule="exac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 xml:space="preserve">                                                                                             </w:t>
      </w:r>
    </w:p>
    <w:p>
      <w:pPr>
        <w:spacing w:line="340" w:lineRule="exact"/>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代理人无转委托权,特此委托。 </w:t>
      </w:r>
    </w:p>
    <w:p>
      <w:pPr>
        <w:spacing w:line="340" w:lineRule="exact"/>
        <w:ind w:firstLine="420" w:firstLineChars="200"/>
        <w:rPr>
          <w:rFonts w:hint="eastAsia" w:ascii="宋体" w:hAnsi="宋体" w:eastAsia="宋体" w:cs="宋体"/>
          <w:color w:val="auto"/>
          <w:kern w:val="0"/>
          <w:sz w:val="21"/>
          <w:szCs w:val="21"/>
          <w:highlight w:val="none"/>
        </w:rPr>
      </w:pPr>
    </w:p>
    <w:p>
      <w:pPr>
        <w:spacing w:line="3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我已在下面签字，以资证明。</w:t>
      </w:r>
    </w:p>
    <w:p>
      <w:pPr>
        <w:spacing w:line="340" w:lineRule="exact"/>
        <w:ind w:firstLine="420" w:firstLineChars="200"/>
        <w:rPr>
          <w:rFonts w:hint="eastAsia" w:ascii="宋体" w:hAnsi="宋体" w:eastAsia="宋体" w:cs="宋体"/>
          <w:color w:val="auto"/>
          <w:sz w:val="21"/>
          <w:szCs w:val="21"/>
          <w:highlight w:val="none"/>
        </w:rPr>
      </w:pPr>
    </w:p>
    <w:p>
      <w:pPr>
        <w:snapToGrid w:val="0"/>
        <w:spacing w:line="340" w:lineRule="exact"/>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自然人签字并在签名处加盖大拇指指印</w:t>
      </w:r>
      <w:r>
        <w:rPr>
          <w:rFonts w:hint="eastAsia" w:ascii="宋体" w:hAnsi="宋体" w:eastAsia="宋体" w:cs="宋体"/>
          <w:color w:val="auto"/>
          <w:sz w:val="21"/>
          <w:szCs w:val="21"/>
          <w:highlight w:val="none"/>
          <w:lang w:eastAsia="zh-CN"/>
        </w:rPr>
        <w:t>或个人</w:t>
      </w:r>
      <w:r>
        <w:rPr>
          <w:rFonts w:hint="eastAsia" w:ascii="宋体" w:hAnsi="宋体" w:eastAsia="宋体" w:cs="宋体"/>
          <w:color w:val="auto"/>
          <w:sz w:val="21"/>
          <w:szCs w:val="21"/>
          <w:highlight w:val="none"/>
          <w:lang w:val="en-US" w:eastAsia="zh-CN"/>
        </w:rPr>
        <w:t>CA签章</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p>
    <w:p>
      <w:pPr>
        <w:snapToGrid w:val="0"/>
        <w:spacing w:line="340" w:lineRule="exact"/>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p>
    <w:p>
      <w:pPr>
        <w:pStyle w:val="8"/>
        <w:rPr>
          <w:rFonts w:hint="eastAsia"/>
          <w:color w:val="auto"/>
          <w:highlight w:val="none"/>
        </w:rPr>
      </w:pPr>
    </w:p>
    <w:p>
      <w:pPr>
        <w:pStyle w:val="11"/>
        <w:spacing w:line="400" w:lineRule="exact"/>
        <w:ind w:left="420" w:leftChars="200"/>
        <w:rPr>
          <w:rFonts w:hint="eastAsia" w:ascii="宋体" w:hAnsi="宋体" w:eastAsia="宋体" w:cs="宋体"/>
          <w:color w:val="auto"/>
          <w:sz w:val="21"/>
          <w:szCs w:val="21"/>
          <w:highlight w:val="none"/>
        </w:rPr>
      </w:pPr>
    </w:p>
    <w:p>
      <w:pPr>
        <w:pStyle w:val="11"/>
        <w:spacing w:line="40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附：委托代理人身份证正反面复印件</w:t>
      </w:r>
    </w:p>
    <w:p>
      <w:pPr>
        <w:rPr>
          <w:rFonts w:hint="eastAsia" w:ascii="宋体" w:hAnsi="宋体" w:eastAsia="宋体" w:cs="宋体"/>
          <w:b/>
          <w:color w:val="auto"/>
          <w:sz w:val="21"/>
          <w:szCs w:val="21"/>
          <w:highlight w:val="none"/>
        </w:rPr>
      </w:pPr>
    </w:p>
    <w:p>
      <w:pPr>
        <w:pStyle w:val="8"/>
        <w:rPr>
          <w:rFonts w:hint="eastAsia" w:ascii="宋体" w:hAnsi="宋体" w:eastAsia="宋体" w:cs="宋体"/>
          <w:b/>
          <w:color w:val="auto"/>
          <w:sz w:val="21"/>
          <w:szCs w:val="21"/>
          <w:highlight w:val="none"/>
        </w:rPr>
      </w:pPr>
    </w:p>
    <w:p>
      <w:pPr>
        <w:pStyle w:val="8"/>
        <w:rPr>
          <w:rFonts w:hint="eastAsia" w:ascii="宋体" w:hAnsi="宋体" w:eastAsia="宋体" w:cs="宋体"/>
          <w:b/>
          <w:color w:val="auto"/>
          <w:sz w:val="21"/>
          <w:szCs w:val="21"/>
          <w:highlight w:val="none"/>
        </w:rPr>
      </w:pPr>
    </w:p>
    <w:p>
      <w:pPr>
        <w:pStyle w:val="8"/>
        <w:rPr>
          <w:rFonts w:hint="eastAsia" w:ascii="宋体" w:hAnsi="宋体" w:eastAsia="宋体" w:cs="宋体"/>
          <w:b/>
          <w:color w:val="auto"/>
          <w:sz w:val="21"/>
          <w:szCs w:val="21"/>
          <w:highlight w:val="none"/>
        </w:rPr>
      </w:pPr>
    </w:p>
    <w:p>
      <w:pPr>
        <w:pStyle w:val="8"/>
        <w:rPr>
          <w:rFonts w:hint="eastAsia" w:ascii="宋体" w:hAnsi="宋体" w:eastAsia="宋体" w:cs="宋体"/>
          <w:b/>
          <w:color w:val="auto"/>
          <w:sz w:val="21"/>
          <w:szCs w:val="21"/>
          <w:highlight w:val="none"/>
        </w:rPr>
      </w:pPr>
    </w:p>
    <w:p>
      <w:pPr>
        <w:pStyle w:val="8"/>
        <w:rPr>
          <w:rFonts w:hint="eastAsia" w:ascii="宋体" w:hAnsi="宋体" w:eastAsia="宋体" w:cs="宋体"/>
          <w:b/>
          <w:color w:val="auto"/>
          <w:sz w:val="21"/>
          <w:szCs w:val="21"/>
          <w:highlight w:val="none"/>
        </w:rPr>
      </w:pPr>
    </w:p>
    <w:p>
      <w:pPr>
        <w:pStyle w:val="8"/>
        <w:rPr>
          <w:rFonts w:hint="eastAsia" w:ascii="宋体" w:hAnsi="宋体" w:eastAsia="宋体" w:cs="宋体"/>
          <w:b/>
          <w:color w:val="auto"/>
          <w:sz w:val="21"/>
          <w:szCs w:val="21"/>
          <w:highlight w:val="none"/>
        </w:rPr>
      </w:pPr>
    </w:p>
    <w:p>
      <w:pPr>
        <w:pStyle w:val="8"/>
        <w:rPr>
          <w:rFonts w:hint="eastAsia" w:ascii="宋体" w:hAnsi="宋体" w:eastAsia="宋体" w:cs="宋体"/>
          <w:b/>
          <w:color w:val="auto"/>
          <w:sz w:val="21"/>
          <w:szCs w:val="21"/>
          <w:highlight w:val="none"/>
        </w:rPr>
      </w:pPr>
    </w:p>
    <w:p>
      <w:pPr>
        <w:pStyle w:val="8"/>
        <w:rPr>
          <w:rFonts w:hint="eastAsia" w:ascii="宋体" w:hAnsi="宋体" w:eastAsia="宋体" w:cs="宋体"/>
          <w:b/>
          <w:color w:val="auto"/>
          <w:sz w:val="21"/>
          <w:szCs w:val="21"/>
          <w:highlight w:val="none"/>
        </w:rPr>
      </w:pPr>
    </w:p>
    <w:p>
      <w:pPr>
        <w:pStyle w:val="8"/>
        <w:rPr>
          <w:rFonts w:hint="eastAsia" w:ascii="宋体" w:hAnsi="宋体" w:eastAsia="宋体" w:cs="宋体"/>
          <w:b/>
          <w:color w:val="auto"/>
          <w:sz w:val="21"/>
          <w:szCs w:val="21"/>
          <w:highlight w:val="none"/>
        </w:rPr>
      </w:pPr>
    </w:p>
    <w:p>
      <w:pPr>
        <w:pStyle w:val="8"/>
        <w:rPr>
          <w:rFonts w:hint="eastAsia" w:ascii="宋体" w:hAnsi="宋体" w:eastAsia="宋体" w:cs="宋体"/>
          <w:b/>
          <w:color w:val="auto"/>
          <w:sz w:val="21"/>
          <w:szCs w:val="21"/>
          <w:highlight w:val="none"/>
        </w:rPr>
      </w:pPr>
    </w:p>
    <w:p>
      <w:pPr>
        <w:pStyle w:val="8"/>
        <w:rPr>
          <w:rFonts w:hint="eastAsia" w:ascii="宋体" w:hAnsi="宋体" w:eastAsia="宋体" w:cs="宋体"/>
          <w:b/>
          <w:color w:val="auto"/>
          <w:sz w:val="21"/>
          <w:szCs w:val="21"/>
          <w:highlight w:val="none"/>
        </w:rPr>
      </w:pPr>
    </w:p>
    <w:p>
      <w:pPr>
        <w:pStyle w:val="8"/>
        <w:rPr>
          <w:rFonts w:hint="eastAsia" w:ascii="宋体" w:hAnsi="宋体" w:eastAsia="宋体" w:cs="宋体"/>
          <w:b/>
          <w:color w:val="auto"/>
          <w:sz w:val="21"/>
          <w:szCs w:val="21"/>
          <w:highlight w:val="none"/>
        </w:rPr>
      </w:pPr>
    </w:p>
    <w:p>
      <w:pPr>
        <w:pStyle w:val="8"/>
        <w:rPr>
          <w:rFonts w:hint="eastAsia" w:ascii="宋体" w:hAnsi="宋体" w:eastAsia="宋体" w:cs="宋体"/>
          <w:b/>
          <w:color w:val="auto"/>
          <w:sz w:val="21"/>
          <w:szCs w:val="21"/>
          <w:highlight w:val="none"/>
        </w:rPr>
      </w:pPr>
    </w:p>
    <w:p>
      <w:pPr>
        <w:pStyle w:val="8"/>
        <w:rPr>
          <w:rFonts w:hint="eastAsia" w:ascii="宋体" w:hAnsi="宋体" w:eastAsia="宋体" w:cs="宋体"/>
          <w:b/>
          <w:color w:val="auto"/>
          <w:sz w:val="21"/>
          <w:szCs w:val="21"/>
          <w:highlight w:val="none"/>
        </w:rPr>
      </w:pPr>
    </w:p>
    <w:p>
      <w:pPr>
        <w:rPr>
          <w:rFonts w:hint="eastAsia" w:ascii="宋体" w:hAnsi="宋体" w:eastAsia="宋体" w:cs="宋体"/>
          <w:b/>
          <w:color w:val="auto"/>
          <w:sz w:val="21"/>
          <w:szCs w:val="21"/>
          <w:highlight w:val="none"/>
        </w:rPr>
      </w:pPr>
    </w:p>
    <w:p>
      <w:pPr>
        <w:pStyle w:val="8"/>
        <w:rPr>
          <w:rFonts w:hint="eastAsia" w:ascii="宋体" w:hAnsi="宋体" w:eastAsia="宋体" w:cs="宋体"/>
          <w:b/>
          <w:color w:val="auto"/>
          <w:sz w:val="21"/>
          <w:szCs w:val="21"/>
          <w:highlight w:val="none"/>
        </w:rPr>
      </w:pPr>
    </w:p>
    <w:p>
      <w:pPr>
        <w:rPr>
          <w:rFonts w:hint="eastAsia" w:ascii="宋体" w:hAnsi="宋体" w:eastAsia="宋体" w:cs="宋体"/>
          <w:color w:val="auto"/>
          <w:sz w:val="21"/>
          <w:szCs w:val="21"/>
          <w:highlight w:val="none"/>
        </w:rPr>
      </w:pPr>
    </w:p>
    <w:p>
      <w:pPr>
        <w:pStyle w:val="8"/>
        <w:rPr>
          <w:rFonts w:hint="eastAsia"/>
          <w:color w:val="auto"/>
          <w:highlight w:val="none"/>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3</w:t>
      </w:r>
      <w:r>
        <w:rPr>
          <w:rFonts w:hint="eastAsia" w:ascii="宋体" w:hAnsi="宋体" w:eastAsia="宋体" w:cs="宋体"/>
          <w:b/>
          <w:color w:val="auto"/>
          <w:sz w:val="24"/>
          <w:szCs w:val="24"/>
          <w:highlight w:val="none"/>
        </w:rPr>
        <w:t>.供应商参加政府采购活动前3年内在经营活动中没有重大违法记录及有关信用信息的书面声明（必须提供）；</w:t>
      </w:r>
    </w:p>
    <w:p>
      <w:pPr>
        <w:pStyle w:val="11"/>
        <w:spacing w:line="400" w:lineRule="exact"/>
        <w:ind w:left="420" w:leftChars="200" w:firstLine="103" w:firstLineChars="49"/>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 xml:space="preserve">                       </w:t>
      </w:r>
    </w:p>
    <w:p>
      <w:pPr>
        <w:pStyle w:val="11"/>
        <w:spacing w:line="40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附件：</w:t>
      </w:r>
    </w:p>
    <w:p>
      <w:pPr>
        <w:pStyle w:val="11"/>
        <w:spacing w:line="400" w:lineRule="exact"/>
        <w:jc w:val="center"/>
        <w:rPr>
          <w:rFonts w:hint="eastAsia" w:ascii="宋体" w:hAnsi="宋体" w:eastAsia="宋体" w:cs="宋体"/>
          <w:b/>
          <w:color w:val="auto"/>
          <w:sz w:val="21"/>
          <w:szCs w:val="21"/>
          <w:highlight w:val="none"/>
        </w:rPr>
      </w:pPr>
      <w:bookmarkStart w:id="1965" w:name="_Toc30304_WPSOffice_Level1"/>
      <w:bookmarkStart w:id="1966" w:name="_Toc30890_WPSOffice_Level1"/>
      <w:r>
        <w:rPr>
          <w:rFonts w:hint="eastAsia" w:ascii="宋体" w:hAnsi="宋体" w:eastAsia="宋体" w:cs="宋体"/>
          <w:b/>
          <w:color w:val="auto"/>
          <w:sz w:val="21"/>
          <w:szCs w:val="21"/>
          <w:highlight w:val="none"/>
        </w:rPr>
        <w:t>声   明</w:t>
      </w:r>
      <w:bookmarkEnd w:id="1965"/>
      <w:bookmarkEnd w:id="1966"/>
    </w:p>
    <w:p>
      <w:pPr>
        <w:pStyle w:val="11"/>
        <w:spacing w:line="400" w:lineRule="exact"/>
        <w:jc w:val="both"/>
        <w:rPr>
          <w:rFonts w:hint="eastAsia" w:ascii="宋体" w:hAnsi="宋体" w:eastAsia="宋体" w:cs="宋体"/>
          <w:b/>
          <w:color w:val="auto"/>
          <w:sz w:val="21"/>
          <w:szCs w:val="21"/>
          <w:highlight w:val="none"/>
        </w:rPr>
      </w:pPr>
    </w:p>
    <w:p>
      <w:pPr>
        <w:spacing w:line="400" w:lineRule="exact"/>
        <w:rPr>
          <w:rFonts w:hint="eastAsia" w:ascii="宋体" w:hAnsi="宋体" w:eastAsia="宋体" w:cs="宋体"/>
          <w:color w:val="auto"/>
          <w:sz w:val="21"/>
          <w:szCs w:val="21"/>
          <w:highlight w:val="none"/>
          <w:lang w:eastAsia="zh-CN"/>
        </w:rPr>
      </w:pPr>
      <w:r>
        <w:rPr>
          <w:rFonts w:hint="eastAsia" w:ascii="宋体" w:hAnsi="宋体" w:eastAsia="宋体" w:cs="宋体"/>
          <w:b/>
          <w:color w:val="auto"/>
          <w:sz w:val="21"/>
          <w:szCs w:val="21"/>
          <w:highlight w:val="none"/>
        </w:rPr>
        <w:t>致</w:t>
      </w:r>
      <w:r>
        <w:rPr>
          <w:rFonts w:hint="eastAsia" w:ascii="宋体" w:hAnsi="宋体" w:eastAsia="宋体" w:cs="宋体"/>
          <w:color w:val="auto"/>
          <w:sz w:val="21"/>
          <w:szCs w:val="21"/>
          <w:highlight w:val="none"/>
        </w:rPr>
        <w:t>：</w:t>
      </w:r>
      <w:r>
        <w:rPr>
          <w:rFonts w:hint="eastAsia" w:ascii="宋体" w:hAnsi="宋体" w:eastAsia="宋体" w:cs="宋体"/>
          <w:color w:val="auto"/>
          <w:szCs w:val="21"/>
          <w:highlight w:val="none"/>
          <w:u w:val="single"/>
          <w:lang w:eastAsia="zh-CN"/>
        </w:rPr>
        <w:t>广西星鑫建设工程咨询有限公司</w:t>
      </w:r>
    </w:p>
    <w:p>
      <w:pPr>
        <w:pStyle w:val="11"/>
        <w:spacing w:line="400" w:lineRule="exact"/>
        <w:jc w:val="both"/>
        <w:rPr>
          <w:rFonts w:hint="eastAsia" w:ascii="宋体" w:hAnsi="宋体" w:eastAsia="宋体" w:cs="宋体"/>
          <w:color w:val="auto"/>
          <w:sz w:val="21"/>
          <w:szCs w:val="21"/>
          <w:highlight w:val="none"/>
          <w:u w:val="single"/>
        </w:rPr>
      </w:pPr>
    </w:p>
    <w:p>
      <w:pPr>
        <w:rPr>
          <w:rFonts w:hint="eastAsia" w:ascii="宋体" w:hAnsi="宋体" w:eastAsia="宋体" w:cs="宋体"/>
          <w:color w:val="auto"/>
          <w:sz w:val="21"/>
          <w:szCs w:val="21"/>
          <w:highlight w:val="none"/>
          <w:u w:val="single"/>
        </w:rPr>
      </w:pPr>
    </w:p>
    <w:p>
      <w:pPr>
        <w:pStyle w:val="8"/>
        <w:rPr>
          <w:rFonts w:hint="eastAsia" w:ascii="宋体" w:hAnsi="宋体" w:eastAsia="宋体" w:cs="宋体"/>
          <w:color w:val="auto"/>
          <w:sz w:val="21"/>
          <w:szCs w:val="21"/>
          <w:highlight w:val="none"/>
        </w:rPr>
      </w:pPr>
    </w:p>
    <w:p>
      <w:pPr>
        <w:pStyle w:val="11"/>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公司）郑重声明，在参加本项目政府采购活动前3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rPr>
          <w:rFonts w:hint="eastAsia" w:ascii="宋体" w:hAnsi="宋体" w:eastAsia="宋体" w:cs="宋体"/>
          <w:color w:val="auto"/>
          <w:sz w:val="21"/>
          <w:szCs w:val="21"/>
          <w:highlight w:val="none"/>
        </w:rPr>
      </w:pPr>
    </w:p>
    <w:p>
      <w:pPr>
        <w:snapToGrid w:val="0"/>
        <w:spacing w:line="400" w:lineRule="exact"/>
        <w:ind w:firstLine="1890" w:firstLineChars="9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磋商供应商</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公章</w:t>
      </w:r>
      <w:r>
        <w:rPr>
          <w:rFonts w:hint="eastAsia" w:ascii="宋体" w:hAnsi="宋体" w:eastAsia="宋体" w:cs="宋体"/>
          <w:color w:val="auto"/>
          <w:sz w:val="21"/>
          <w:szCs w:val="21"/>
          <w:highlight w:val="none"/>
          <w:lang w:val="en-US" w:eastAsia="zh-CN"/>
        </w:rPr>
        <w:t>(CA签章)</w:t>
      </w:r>
      <w:r>
        <w:rPr>
          <w:rFonts w:hint="eastAsia" w:ascii="宋体" w:hAnsi="宋体" w:eastAsia="宋体" w:cs="宋体"/>
          <w:color w:val="auto"/>
          <w:sz w:val="21"/>
          <w:szCs w:val="21"/>
          <w:highlight w:val="none"/>
        </w:rPr>
        <w:t>，自然人</w:t>
      </w:r>
      <w:r>
        <w:rPr>
          <w:rFonts w:hint="eastAsia" w:ascii="宋体" w:hAnsi="宋体" w:eastAsia="宋体" w:cs="宋体"/>
          <w:color w:val="auto"/>
          <w:sz w:val="21"/>
          <w:szCs w:val="21"/>
          <w:highlight w:val="none"/>
          <w:lang w:eastAsia="zh-CN"/>
        </w:rPr>
        <w:t>签字或个人</w:t>
      </w:r>
      <w:r>
        <w:rPr>
          <w:rFonts w:hint="eastAsia" w:ascii="宋体" w:hAnsi="宋体" w:eastAsia="宋体" w:cs="宋体"/>
          <w:color w:val="auto"/>
          <w:sz w:val="21"/>
          <w:szCs w:val="21"/>
          <w:highlight w:val="none"/>
          <w:lang w:val="en-US" w:eastAsia="zh-CN"/>
        </w:rPr>
        <w:t>CA签章]</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rPr>
        <w:t xml:space="preserve">                                         </w:t>
      </w:r>
    </w:p>
    <w:p>
      <w:pPr>
        <w:pStyle w:val="11"/>
        <w:ind w:firstLine="3990" w:firstLineChars="1900"/>
        <w:rPr>
          <w:rFonts w:hint="eastAsia" w:ascii="宋体" w:hAnsi="宋体" w:eastAsia="宋体" w:cs="宋体"/>
          <w:color w:val="auto"/>
          <w:sz w:val="21"/>
          <w:szCs w:val="21"/>
          <w:highlight w:val="none"/>
        </w:rPr>
      </w:pPr>
    </w:p>
    <w:p>
      <w:pPr>
        <w:pStyle w:val="11"/>
        <w:ind w:firstLine="3990" w:firstLineChars="19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日          期：</w:t>
      </w:r>
      <w:r>
        <w:rPr>
          <w:rFonts w:hint="eastAsia" w:ascii="宋体" w:hAnsi="宋体" w:eastAsia="宋体" w:cs="宋体"/>
          <w:color w:val="auto"/>
          <w:sz w:val="21"/>
          <w:szCs w:val="21"/>
          <w:highlight w:val="none"/>
          <w:u w:val="single"/>
        </w:rPr>
        <w:t xml:space="preserve">                            </w:t>
      </w:r>
    </w:p>
    <w:p>
      <w:pPr>
        <w:pStyle w:val="11"/>
        <w:spacing w:line="340" w:lineRule="exact"/>
        <w:rPr>
          <w:rFonts w:hint="eastAsia" w:ascii="宋体" w:hAnsi="宋体" w:eastAsia="宋体" w:cs="宋体"/>
          <w:b/>
          <w:color w:val="auto"/>
          <w:sz w:val="21"/>
          <w:szCs w:val="21"/>
          <w:highlight w:val="none"/>
        </w:rPr>
      </w:pPr>
    </w:p>
    <w:p>
      <w:pPr>
        <w:pStyle w:val="11"/>
        <w:spacing w:line="340" w:lineRule="exact"/>
        <w:rPr>
          <w:rFonts w:hint="eastAsia" w:ascii="宋体" w:hAnsi="宋体" w:eastAsia="宋体" w:cs="宋体"/>
          <w:b/>
          <w:color w:val="auto"/>
          <w:sz w:val="21"/>
          <w:szCs w:val="21"/>
          <w:highlight w:val="none"/>
          <w:lang w:val="en-US" w:eastAsia="zh-CN"/>
        </w:rPr>
      </w:pPr>
    </w:p>
    <w:p>
      <w:pPr>
        <w:pStyle w:val="11"/>
        <w:spacing w:line="340" w:lineRule="exact"/>
        <w:rPr>
          <w:rFonts w:hint="eastAsia" w:ascii="宋体" w:hAnsi="宋体" w:eastAsia="宋体" w:cs="宋体"/>
          <w:b/>
          <w:color w:val="auto"/>
          <w:sz w:val="24"/>
          <w:szCs w:val="24"/>
          <w:highlight w:val="none"/>
          <w:lang w:val="en-US" w:eastAsia="zh-CN"/>
        </w:rPr>
      </w:pPr>
    </w:p>
    <w:p>
      <w:pPr>
        <w:pStyle w:val="11"/>
        <w:spacing w:line="34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4</w:t>
      </w:r>
      <w:r>
        <w:rPr>
          <w:rFonts w:hint="eastAsia" w:ascii="宋体" w:hAnsi="宋体" w:eastAsia="宋体" w:cs="宋体"/>
          <w:b/>
          <w:color w:val="auto"/>
          <w:sz w:val="24"/>
          <w:szCs w:val="24"/>
          <w:highlight w:val="none"/>
        </w:rPr>
        <w:t>.供应商的法人或者其他组织营业执照等证明文件复印件（必须提供，自然人除外）；</w:t>
      </w:r>
    </w:p>
    <w:p>
      <w:pPr>
        <w:tabs>
          <w:tab w:val="left" w:pos="1305"/>
        </w:tabs>
        <w:spacing w:line="340" w:lineRule="exact"/>
        <w:rPr>
          <w:rFonts w:hint="eastAsia" w:ascii="宋体" w:hAnsi="宋体" w:eastAsia="宋体" w:cs="宋体"/>
          <w:b/>
          <w:color w:val="auto"/>
          <w:sz w:val="21"/>
          <w:szCs w:val="21"/>
          <w:highlight w:val="none"/>
        </w:rPr>
      </w:pPr>
    </w:p>
    <w:p>
      <w:pPr>
        <w:tabs>
          <w:tab w:val="left" w:pos="1305"/>
        </w:tabs>
        <w:spacing w:line="40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w:t>
      </w:r>
      <w:r>
        <w:rPr>
          <w:rFonts w:hint="eastAsia" w:ascii="宋体" w:hAnsi="宋体" w:eastAsia="宋体" w:cs="宋体"/>
          <w:b/>
          <w:color w:val="auto"/>
          <w:sz w:val="21"/>
          <w:szCs w:val="21"/>
          <w:highlight w:val="none"/>
          <w:lang w:eastAsia="zh-CN"/>
        </w:rPr>
        <w:t>”</w:t>
      </w:r>
      <w:r>
        <w:rPr>
          <w:rFonts w:hint="eastAsia" w:ascii="宋体" w:hAnsi="宋体" w:eastAsia="宋体" w:cs="宋体"/>
          <w:b/>
          <w:color w:val="auto"/>
          <w:sz w:val="21"/>
          <w:szCs w:val="21"/>
          <w:highlight w:val="none"/>
        </w:rPr>
        <w:t>；供应商为事业单位，应提供有效的“事业单位法人证书”；供应商为非企业专业服务机构的，应提供执业许可证等证明文件；供应商为个体工商户，应提供有效的“个体工商户营业执照”。</w:t>
      </w:r>
    </w:p>
    <w:p>
      <w:pPr>
        <w:rPr>
          <w:rFonts w:hint="eastAsia" w:ascii="宋体" w:hAnsi="宋体" w:eastAsia="宋体" w:cs="宋体"/>
          <w:b/>
          <w:bCs/>
          <w:color w:val="auto"/>
          <w:sz w:val="21"/>
          <w:szCs w:val="21"/>
          <w:highlight w:val="none"/>
        </w:rPr>
      </w:pPr>
    </w:p>
    <w:p>
      <w:pPr>
        <w:pStyle w:val="8"/>
        <w:rPr>
          <w:rFonts w:hint="eastAsia" w:ascii="宋体" w:hAnsi="宋体" w:eastAsia="宋体" w:cs="宋体"/>
          <w:b/>
          <w:bCs/>
          <w:color w:val="auto"/>
          <w:sz w:val="21"/>
          <w:szCs w:val="21"/>
          <w:highlight w:val="none"/>
        </w:rPr>
      </w:pPr>
    </w:p>
    <w:p>
      <w:pPr>
        <w:rPr>
          <w:rFonts w:hint="eastAsia"/>
          <w:color w:val="auto"/>
          <w:highlight w:val="none"/>
        </w:rPr>
      </w:pPr>
    </w:p>
    <w:p>
      <w:pPr>
        <w:pStyle w:val="11"/>
        <w:numPr>
          <w:ilvl w:val="0"/>
          <w:numId w:val="0"/>
        </w:numPr>
        <w:spacing w:line="340" w:lineRule="exact"/>
        <w:rPr>
          <w:rFonts w:hint="eastAsia" w:ascii="宋体" w:hAnsi="宋体" w:eastAsia="宋体" w:cs="宋体"/>
          <w:b/>
          <w:color w:val="auto"/>
          <w:sz w:val="21"/>
          <w:szCs w:val="21"/>
          <w:highlight w:val="none"/>
          <w:lang w:val="en-US" w:eastAsia="zh-CN"/>
        </w:rPr>
      </w:pPr>
    </w:p>
    <w:p>
      <w:pPr>
        <w:pStyle w:val="11"/>
        <w:numPr>
          <w:ilvl w:val="0"/>
          <w:numId w:val="0"/>
        </w:numPr>
        <w:spacing w:line="340" w:lineRule="exact"/>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5.供应商有效的资质证书复印件（必须提供）；</w:t>
      </w:r>
    </w:p>
    <w:p>
      <w:pPr>
        <w:pStyle w:val="6"/>
        <w:numPr>
          <w:ilvl w:val="0"/>
          <w:numId w:val="0"/>
        </w:numPr>
        <w:ind w:leftChars="200"/>
        <w:rPr>
          <w:rFonts w:hint="eastAsia" w:ascii="宋体" w:hAnsi="宋体" w:eastAsia="宋体" w:cs="宋体"/>
          <w:color w:val="auto"/>
          <w:sz w:val="21"/>
          <w:szCs w:val="21"/>
          <w:highlight w:val="none"/>
          <w:lang w:val="en-US" w:eastAsia="zh-CN"/>
        </w:rPr>
      </w:pPr>
    </w:p>
    <w:p>
      <w:pPr>
        <w:pStyle w:val="11"/>
        <w:spacing w:line="340" w:lineRule="exact"/>
        <w:rPr>
          <w:rFonts w:hint="eastAsia" w:ascii="宋体" w:hAnsi="宋体" w:eastAsia="宋体" w:cs="宋体"/>
          <w:b/>
          <w:color w:val="auto"/>
          <w:sz w:val="21"/>
          <w:szCs w:val="21"/>
          <w:highlight w:val="none"/>
          <w:lang w:val="en-US" w:eastAsia="zh-CN"/>
        </w:rPr>
      </w:pPr>
    </w:p>
    <w:p>
      <w:pPr>
        <w:pStyle w:val="11"/>
        <w:spacing w:line="340" w:lineRule="exact"/>
        <w:rPr>
          <w:rFonts w:hint="eastAsia" w:ascii="宋体" w:hAnsi="宋体" w:eastAsia="宋体" w:cs="宋体"/>
          <w:b/>
          <w:color w:val="auto"/>
          <w:sz w:val="21"/>
          <w:szCs w:val="21"/>
          <w:highlight w:val="none"/>
          <w:lang w:val="en-US" w:eastAsia="zh-CN"/>
        </w:rPr>
      </w:pPr>
    </w:p>
    <w:p>
      <w:pPr>
        <w:pStyle w:val="11"/>
        <w:spacing w:line="340" w:lineRule="exact"/>
        <w:rPr>
          <w:rFonts w:hint="eastAsia" w:ascii="宋体" w:hAnsi="宋体" w:eastAsia="宋体" w:cs="宋体"/>
          <w:b/>
          <w:color w:val="auto"/>
          <w:sz w:val="21"/>
          <w:szCs w:val="21"/>
          <w:highlight w:val="none"/>
          <w:lang w:val="en-US" w:eastAsia="zh-CN"/>
        </w:rPr>
      </w:pPr>
    </w:p>
    <w:p>
      <w:pPr>
        <w:pStyle w:val="11"/>
        <w:spacing w:line="340" w:lineRule="exact"/>
        <w:rPr>
          <w:rFonts w:hint="eastAsia" w:ascii="宋体" w:hAnsi="宋体" w:eastAsia="宋体" w:cs="宋体"/>
          <w:b/>
          <w:color w:val="auto"/>
          <w:sz w:val="21"/>
          <w:szCs w:val="21"/>
          <w:highlight w:val="none"/>
          <w:lang w:val="en-US" w:eastAsia="zh-CN"/>
        </w:rPr>
      </w:pPr>
    </w:p>
    <w:p>
      <w:pPr>
        <w:pStyle w:val="11"/>
        <w:spacing w:line="340" w:lineRule="exact"/>
        <w:rPr>
          <w:rFonts w:hint="eastAsia" w:ascii="宋体" w:hAnsi="宋体" w:eastAsia="宋体" w:cs="宋体"/>
          <w:b/>
          <w:color w:val="auto"/>
          <w:sz w:val="24"/>
          <w:szCs w:val="24"/>
          <w:highlight w:val="none"/>
          <w:lang w:val="en-US" w:eastAsia="zh-CN"/>
        </w:rPr>
      </w:pPr>
      <w:r>
        <w:rPr>
          <w:rFonts w:hint="eastAsia" w:ascii="宋体" w:hAnsi="宋体" w:eastAsia="宋体" w:cs="宋体"/>
          <w:b/>
          <w:bCs/>
          <w:iCs/>
          <w:color w:val="auto"/>
          <w:kern w:val="2"/>
          <w:sz w:val="24"/>
          <w:szCs w:val="24"/>
          <w:highlight w:val="none"/>
          <w:lang w:val="en-US" w:eastAsia="zh-CN" w:bidi="ar-SA"/>
        </w:rPr>
        <w:t>6.</w:t>
      </w:r>
      <w:r>
        <w:rPr>
          <w:rFonts w:hint="eastAsia" w:ascii="宋体" w:hAnsi="宋体" w:eastAsia="宋体" w:cs="宋体"/>
          <w:b/>
          <w:color w:val="auto"/>
          <w:sz w:val="24"/>
          <w:szCs w:val="24"/>
          <w:highlight w:val="none"/>
          <w:lang w:val="en-US" w:eastAsia="zh-CN"/>
        </w:rPr>
        <w:t>中小企业声明函》或《残疾人福利性单位声明函》或省级以上监狱管理局、戒毒管理局（含新疆生产建设兵团）出具的属于监狱企业的证明文件复印件（必须提供其中一项）；</w:t>
      </w:r>
    </w:p>
    <w:p>
      <w:pPr>
        <w:spacing w:line="240" w:lineRule="auto"/>
        <w:rPr>
          <w:rFonts w:hint="eastAsia" w:ascii="宋体" w:hAnsi="宋体" w:eastAsia="宋体" w:cs="宋体"/>
          <w:b/>
          <w:bCs/>
          <w:iCs/>
          <w:color w:val="auto"/>
          <w:kern w:val="2"/>
          <w:sz w:val="24"/>
          <w:szCs w:val="24"/>
          <w:highlight w:val="none"/>
          <w:lang w:val="en-US" w:eastAsia="zh-CN" w:bidi="ar-SA"/>
        </w:rPr>
      </w:pPr>
    </w:p>
    <w:p>
      <w:pPr>
        <w:jc w:val="center"/>
        <w:outlineLvl w:val="9"/>
        <w:rPr>
          <w:rStyle w:val="41"/>
          <w:rFonts w:hint="eastAsia" w:ascii="宋体" w:hAnsi="宋体" w:eastAsia="宋体" w:cs="宋体"/>
          <w:b/>
          <w:bCs/>
          <w:color w:val="auto"/>
          <w:kern w:val="0"/>
          <w:sz w:val="21"/>
          <w:szCs w:val="21"/>
          <w:highlight w:val="none"/>
        </w:rPr>
      </w:pPr>
    </w:p>
    <w:p>
      <w:pPr>
        <w:jc w:val="center"/>
        <w:outlineLvl w:val="9"/>
        <w:rPr>
          <w:rStyle w:val="41"/>
          <w:rFonts w:hint="eastAsia" w:ascii="宋体" w:hAnsi="宋体" w:eastAsia="宋体" w:cs="宋体"/>
          <w:b/>
          <w:bCs/>
          <w:color w:val="auto"/>
          <w:kern w:val="0"/>
          <w:sz w:val="21"/>
          <w:szCs w:val="21"/>
          <w:highlight w:val="none"/>
        </w:rPr>
      </w:pPr>
      <w:r>
        <w:rPr>
          <w:rStyle w:val="41"/>
          <w:rFonts w:hint="eastAsia" w:ascii="宋体" w:hAnsi="宋体" w:cs="宋体"/>
          <w:b/>
          <w:bCs/>
          <w:color w:val="auto"/>
          <w:kern w:val="0"/>
          <w:sz w:val="21"/>
          <w:szCs w:val="21"/>
          <w:highlight w:val="none"/>
          <w:lang w:eastAsia="zh-CN"/>
        </w:rPr>
        <w:t>（</w:t>
      </w:r>
      <w:r>
        <w:rPr>
          <w:rStyle w:val="41"/>
          <w:rFonts w:hint="eastAsia" w:ascii="宋体" w:hAnsi="宋体" w:cs="宋体"/>
          <w:b/>
          <w:bCs/>
          <w:color w:val="auto"/>
          <w:kern w:val="0"/>
          <w:sz w:val="21"/>
          <w:szCs w:val="21"/>
          <w:highlight w:val="none"/>
          <w:lang w:val="en-US" w:eastAsia="zh-CN"/>
        </w:rPr>
        <w:t>1</w:t>
      </w:r>
      <w:r>
        <w:rPr>
          <w:rStyle w:val="41"/>
          <w:rFonts w:hint="eastAsia" w:ascii="宋体" w:hAnsi="宋体" w:cs="宋体"/>
          <w:b/>
          <w:bCs/>
          <w:color w:val="auto"/>
          <w:kern w:val="0"/>
          <w:sz w:val="21"/>
          <w:szCs w:val="21"/>
          <w:highlight w:val="none"/>
          <w:lang w:eastAsia="zh-CN"/>
        </w:rPr>
        <w:t>）</w:t>
      </w:r>
      <w:r>
        <w:rPr>
          <w:rStyle w:val="41"/>
          <w:rFonts w:hint="eastAsia" w:ascii="宋体" w:hAnsi="宋体" w:eastAsia="宋体" w:cs="宋体"/>
          <w:b/>
          <w:bCs/>
          <w:color w:val="auto"/>
          <w:kern w:val="0"/>
          <w:sz w:val="21"/>
          <w:szCs w:val="21"/>
          <w:highlight w:val="none"/>
        </w:rPr>
        <w:t>中小企业声明函（工程）</w:t>
      </w:r>
    </w:p>
    <w:p>
      <w:pPr>
        <w:pStyle w:val="42"/>
        <w:ind w:left="63" w:right="63"/>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exact"/>
        <w:ind w:firstLine="482"/>
        <w:jc w:val="left"/>
        <w:textAlignment w:val="auto"/>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本公司郑重声明，根据《政府采购促进中小企业发展管理办法》（财库﹝2020﹞46 号）的规定，本公司参加</w:t>
      </w:r>
      <w:r>
        <w:rPr>
          <w:rStyle w:val="41"/>
          <w:rFonts w:hint="eastAsia" w:ascii="宋体" w:hAnsi="宋体" w:eastAsia="宋体" w:cs="宋体"/>
          <w:color w:val="auto"/>
          <w:kern w:val="0"/>
          <w:sz w:val="21"/>
          <w:szCs w:val="21"/>
          <w:highlight w:val="none"/>
          <w:u w:val="single" w:color="000000"/>
        </w:rPr>
        <w:t>（单位名称）</w:t>
      </w:r>
      <w:r>
        <w:rPr>
          <w:rStyle w:val="41"/>
          <w:rFonts w:hint="eastAsia" w:ascii="宋体" w:hAnsi="宋体" w:eastAsia="宋体" w:cs="宋体"/>
          <w:color w:val="auto"/>
          <w:kern w:val="0"/>
          <w:sz w:val="21"/>
          <w:szCs w:val="21"/>
          <w:highlight w:val="none"/>
        </w:rPr>
        <w:t>的</w:t>
      </w:r>
      <w:r>
        <w:rPr>
          <w:rStyle w:val="41"/>
          <w:rFonts w:hint="eastAsia" w:ascii="宋体" w:hAnsi="宋体" w:eastAsia="宋体" w:cs="宋体"/>
          <w:color w:val="auto"/>
          <w:kern w:val="0"/>
          <w:sz w:val="21"/>
          <w:szCs w:val="21"/>
          <w:highlight w:val="none"/>
          <w:u w:val="single" w:color="000000"/>
        </w:rPr>
        <w:t>（项目名称）</w:t>
      </w:r>
      <w:r>
        <w:rPr>
          <w:rStyle w:val="41"/>
          <w:rFonts w:hint="eastAsia" w:ascii="宋体" w:hAnsi="宋体" w:eastAsia="宋体" w:cs="宋体"/>
          <w:color w:val="auto"/>
          <w:kern w:val="0"/>
          <w:sz w:val="21"/>
          <w:szCs w:val="21"/>
          <w:highlight w:val="none"/>
        </w:rPr>
        <w:t>采购活动，</w:t>
      </w:r>
      <w:r>
        <w:rPr>
          <w:rStyle w:val="41"/>
          <w:rFonts w:hint="eastAsia" w:ascii="宋体" w:hAnsi="宋体" w:eastAsia="宋体" w:cs="宋体"/>
          <w:color w:val="auto"/>
          <w:kern w:val="0"/>
          <w:sz w:val="21"/>
          <w:szCs w:val="21"/>
          <w:highlight w:val="none"/>
          <w:lang w:val="en-US" w:eastAsia="zh-CN"/>
        </w:rPr>
        <w:t>工程的施工单位</w:t>
      </w:r>
      <w:r>
        <w:rPr>
          <w:rStyle w:val="41"/>
          <w:rFonts w:hint="eastAsia" w:ascii="宋体" w:hAnsi="宋体" w:eastAsia="宋体" w:cs="宋体"/>
          <w:color w:val="auto"/>
          <w:kern w:val="0"/>
          <w:sz w:val="21"/>
          <w:szCs w:val="21"/>
          <w:highlight w:val="none"/>
        </w:rPr>
        <w:t>全部</w:t>
      </w:r>
      <w:r>
        <w:rPr>
          <w:rStyle w:val="41"/>
          <w:rFonts w:hint="eastAsia" w:ascii="宋体" w:hAnsi="宋体" w:eastAsia="宋体" w:cs="宋体"/>
          <w:color w:val="auto"/>
          <w:kern w:val="0"/>
          <w:sz w:val="21"/>
          <w:szCs w:val="21"/>
          <w:highlight w:val="none"/>
          <w:lang w:val="en-US" w:eastAsia="zh-CN"/>
        </w:rPr>
        <w:t>为</w:t>
      </w:r>
      <w:r>
        <w:rPr>
          <w:rStyle w:val="41"/>
          <w:rFonts w:hint="eastAsia" w:ascii="宋体" w:hAnsi="宋体" w:eastAsia="宋体" w:cs="宋体"/>
          <w:color w:val="auto"/>
          <w:kern w:val="0"/>
          <w:sz w:val="21"/>
          <w:szCs w:val="21"/>
          <w:highlight w:val="none"/>
        </w:rPr>
        <w:t>符合政策要求的中小企业。相关企业（含联合体中的中小企业、签订分包意向协议的中小企业）的具体情况如下：</w:t>
      </w:r>
    </w:p>
    <w:p>
      <w:pPr>
        <w:keepNext w:val="0"/>
        <w:keepLines w:val="0"/>
        <w:pageBreakBefore w:val="0"/>
        <w:widowControl w:val="0"/>
        <w:kinsoku/>
        <w:wordWrap/>
        <w:overflowPunct/>
        <w:topLinePunct w:val="0"/>
        <w:autoSpaceDE/>
        <w:autoSpaceDN/>
        <w:bidi w:val="0"/>
        <w:adjustRightInd/>
        <w:snapToGrid/>
        <w:spacing w:line="360" w:lineRule="exact"/>
        <w:ind w:firstLine="482"/>
        <w:jc w:val="left"/>
        <w:textAlignment w:val="auto"/>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 xml:space="preserve">1. </w:t>
      </w:r>
      <w:r>
        <w:rPr>
          <w:rStyle w:val="41"/>
          <w:rFonts w:hint="eastAsia" w:ascii="宋体" w:hAnsi="宋体" w:eastAsia="宋体" w:cs="宋体"/>
          <w:color w:val="auto"/>
          <w:kern w:val="0"/>
          <w:sz w:val="21"/>
          <w:szCs w:val="21"/>
          <w:highlight w:val="none"/>
          <w:u w:val="single" w:color="000000"/>
        </w:rPr>
        <w:t xml:space="preserve">（标的名称） </w:t>
      </w:r>
      <w:r>
        <w:rPr>
          <w:rStyle w:val="41"/>
          <w:rFonts w:hint="eastAsia" w:ascii="宋体" w:hAnsi="宋体" w:eastAsia="宋体" w:cs="宋体"/>
          <w:color w:val="auto"/>
          <w:kern w:val="0"/>
          <w:sz w:val="21"/>
          <w:szCs w:val="21"/>
          <w:highlight w:val="none"/>
        </w:rPr>
        <w:t xml:space="preserve">，属于 </w:t>
      </w:r>
      <w:r>
        <w:rPr>
          <w:rStyle w:val="41"/>
          <w:rFonts w:hint="eastAsia" w:ascii="宋体" w:hAnsi="宋体" w:eastAsia="宋体" w:cs="宋体"/>
          <w:color w:val="auto"/>
          <w:kern w:val="0"/>
          <w:sz w:val="21"/>
          <w:szCs w:val="21"/>
          <w:highlight w:val="none"/>
          <w:u w:val="single" w:color="000000"/>
        </w:rPr>
        <w:t xml:space="preserve">（招标文件中明确的所属行业） </w:t>
      </w:r>
      <w:r>
        <w:rPr>
          <w:rStyle w:val="41"/>
          <w:rFonts w:hint="eastAsia" w:ascii="宋体" w:hAnsi="宋体" w:eastAsia="宋体" w:cs="宋体"/>
          <w:color w:val="auto"/>
          <w:kern w:val="0"/>
          <w:sz w:val="21"/>
          <w:szCs w:val="21"/>
          <w:highlight w:val="none"/>
        </w:rPr>
        <w:t>； 承接企业为</w:t>
      </w:r>
      <w:r>
        <w:rPr>
          <w:rStyle w:val="41"/>
          <w:rFonts w:hint="eastAsia" w:ascii="宋体" w:hAnsi="宋体" w:eastAsia="宋体" w:cs="宋体"/>
          <w:color w:val="auto"/>
          <w:kern w:val="0"/>
          <w:sz w:val="21"/>
          <w:szCs w:val="21"/>
          <w:highlight w:val="none"/>
          <w:u w:val="single" w:color="000000"/>
        </w:rPr>
        <w:t>（企业名称）</w:t>
      </w:r>
      <w:r>
        <w:rPr>
          <w:rStyle w:val="41"/>
          <w:rFonts w:hint="eastAsia" w:ascii="宋体" w:hAnsi="宋体" w:eastAsia="宋体" w:cs="宋体"/>
          <w:color w:val="auto"/>
          <w:kern w:val="0"/>
          <w:sz w:val="21"/>
          <w:szCs w:val="21"/>
          <w:highlight w:val="none"/>
        </w:rPr>
        <w:t>，从业人员</w:t>
      </w:r>
      <w:r>
        <w:rPr>
          <w:rStyle w:val="41"/>
          <w:rFonts w:hint="eastAsia" w:ascii="宋体" w:hAnsi="宋体" w:eastAsia="宋体" w:cs="宋体"/>
          <w:color w:val="auto"/>
          <w:kern w:val="0"/>
          <w:sz w:val="21"/>
          <w:szCs w:val="21"/>
          <w:highlight w:val="none"/>
          <w:u w:val="single" w:color="000000"/>
        </w:rPr>
        <w:t xml:space="preserve">    </w:t>
      </w:r>
      <w:r>
        <w:rPr>
          <w:rStyle w:val="41"/>
          <w:rFonts w:hint="eastAsia" w:ascii="宋体" w:hAnsi="宋体" w:eastAsia="宋体" w:cs="宋体"/>
          <w:color w:val="auto"/>
          <w:kern w:val="0"/>
          <w:sz w:val="21"/>
          <w:szCs w:val="21"/>
          <w:highlight w:val="none"/>
        </w:rPr>
        <w:t>人，营业收入为</w:t>
      </w:r>
      <w:r>
        <w:rPr>
          <w:rStyle w:val="41"/>
          <w:rFonts w:hint="eastAsia" w:ascii="宋体" w:hAnsi="宋体" w:eastAsia="宋体" w:cs="宋体"/>
          <w:color w:val="auto"/>
          <w:kern w:val="0"/>
          <w:sz w:val="21"/>
          <w:szCs w:val="21"/>
          <w:highlight w:val="none"/>
          <w:u w:val="single" w:color="000000"/>
        </w:rPr>
        <w:t xml:space="preserve">    </w:t>
      </w:r>
      <w:r>
        <w:rPr>
          <w:rStyle w:val="41"/>
          <w:rFonts w:hint="eastAsia" w:ascii="宋体" w:hAnsi="宋体" w:eastAsia="宋体" w:cs="宋体"/>
          <w:color w:val="auto"/>
          <w:kern w:val="0"/>
          <w:sz w:val="21"/>
          <w:szCs w:val="21"/>
          <w:highlight w:val="none"/>
        </w:rPr>
        <w:t>万元，资产总额为</w:t>
      </w:r>
      <w:r>
        <w:rPr>
          <w:rStyle w:val="41"/>
          <w:rFonts w:hint="eastAsia" w:ascii="宋体" w:hAnsi="宋体" w:eastAsia="宋体" w:cs="宋体"/>
          <w:color w:val="auto"/>
          <w:kern w:val="0"/>
          <w:sz w:val="21"/>
          <w:szCs w:val="21"/>
          <w:highlight w:val="none"/>
          <w:u w:val="single" w:color="000000"/>
        </w:rPr>
        <w:t xml:space="preserve">    </w:t>
      </w:r>
      <w:r>
        <w:rPr>
          <w:rStyle w:val="41"/>
          <w:rFonts w:hint="eastAsia" w:ascii="宋体" w:hAnsi="宋体" w:eastAsia="宋体" w:cs="宋体"/>
          <w:color w:val="auto"/>
          <w:kern w:val="0"/>
          <w:sz w:val="21"/>
          <w:szCs w:val="21"/>
          <w:highlight w:val="none"/>
        </w:rPr>
        <w:t>万元，属于</w:t>
      </w:r>
      <w:r>
        <w:rPr>
          <w:rStyle w:val="41"/>
          <w:rFonts w:hint="eastAsia" w:ascii="宋体" w:hAnsi="宋体" w:eastAsia="宋体" w:cs="宋体"/>
          <w:color w:val="auto"/>
          <w:kern w:val="0"/>
          <w:sz w:val="21"/>
          <w:szCs w:val="21"/>
          <w:highlight w:val="none"/>
          <w:u w:val="single" w:color="000000"/>
        </w:rPr>
        <w:t>（中型企业、 小型企业、微型企业）</w:t>
      </w:r>
      <w:r>
        <w:rPr>
          <w:rStyle w:val="41"/>
          <w:rFonts w:hint="eastAsia" w:ascii="宋体" w:hAnsi="宋体" w:eastAsia="宋体" w:cs="宋体"/>
          <w:color w:val="auto"/>
          <w:kern w:val="0"/>
          <w:sz w:val="21"/>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482"/>
        <w:jc w:val="left"/>
        <w:textAlignment w:val="auto"/>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以上企业，不属于大企业的分支机构，不存在控股股东 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spacing w:line="360" w:lineRule="exact"/>
        <w:ind w:firstLine="482"/>
        <w:jc w:val="left"/>
        <w:textAlignment w:val="auto"/>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 xml:space="preserve">本企业对上述声明内容的真实性负责。如有虚假，将依法承担相应责任。 </w:t>
      </w:r>
    </w:p>
    <w:p>
      <w:pPr>
        <w:keepNext w:val="0"/>
        <w:keepLines w:val="0"/>
        <w:pageBreakBefore w:val="0"/>
        <w:widowControl w:val="0"/>
        <w:kinsoku/>
        <w:wordWrap/>
        <w:overflowPunct/>
        <w:topLinePunct w:val="0"/>
        <w:autoSpaceDE/>
        <w:autoSpaceDN/>
        <w:bidi w:val="0"/>
        <w:adjustRightInd/>
        <w:snapToGrid/>
        <w:spacing w:line="360" w:lineRule="exact"/>
        <w:ind w:firstLine="482"/>
        <w:jc w:val="left"/>
        <w:textAlignment w:val="auto"/>
        <w:rPr>
          <w:rStyle w:val="41"/>
          <w:rFonts w:hint="eastAsia" w:ascii="宋体" w:hAnsi="宋体" w:eastAsia="宋体" w:cs="宋体"/>
          <w:color w:val="auto"/>
          <w:kern w:val="0"/>
          <w:sz w:val="21"/>
          <w:szCs w:val="21"/>
          <w:highlight w:val="none"/>
        </w:rPr>
      </w:pPr>
    </w:p>
    <w:p>
      <w:pPr>
        <w:widowControl/>
        <w:ind w:firstLine="2310" w:firstLineChars="11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磋商供应商</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公章</w:t>
      </w:r>
      <w:r>
        <w:rPr>
          <w:rFonts w:hint="eastAsia" w:ascii="宋体" w:hAnsi="宋体" w:eastAsia="宋体" w:cs="宋体"/>
          <w:color w:val="auto"/>
          <w:sz w:val="21"/>
          <w:szCs w:val="21"/>
          <w:highlight w:val="none"/>
          <w:lang w:val="en-US" w:eastAsia="zh-CN"/>
        </w:rPr>
        <w:t>(CA签章)]</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rPr>
        <w:t xml:space="preserve">                                    </w:t>
      </w:r>
    </w:p>
    <w:p>
      <w:pPr>
        <w:pStyle w:val="11"/>
        <w:spacing w:line="300" w:lineRule="exact"/>
        <w:ind w:left="2940" w:leftChars="1400" w:firstLine="630" w:firstLineChars="300"/>
        <w:rPr>
          <w:rFonts w:hint="eastAsia" w:ascii="宋体" w:hAnsi="宋体" w:eastAsia="宋体" w:cs="宋体"/>
          <w:color w:val="auto"/>
          <w:sz w:val="21"/>
          <w:szCs w:val="21"/>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420" w:left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          期：</w:t>
      </w:r>
      <w:r>
        <w:rPr>
          <w:rFonts w:hint="eastAsia" w:ascii="宋体" w:hAnsi="宋体" w:eastAsia="宋体" w:cs="宋体"/>
          <w:color w:val="auto"/>
          <w:sz w:val="21"/>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482"/>
        <w:jc w:val="left"/>
        <w:textAlignment w:val="auto"/>
        <w:rPr>
          <w:rStyle w:val="41"/>
          <w:rFonts w:hint="eastAsia" w:ascii="宋体" w:hAnsi="宋体" w:eastAsia="宋体" w:cs="宋体"/>
          <w:color w:val="auto"/>
          <w:kern w:val="0"/>
          <w:sz w:val="21"/>
          <w:szCs w:val="21"/>
          <w:highlight w:val="none"/>
        </w:rPr>
      </w:pPr>
    </w:p>
    <w:p>
      <w:pPr>
        <w:pStyle w:val="16"/>
        <w:rPr>
          <w:rFonts w:hint="eastAsia" w:ascii="宋体" w:hAnsi="宋体" w:eastAsia="宋体" w:cs="宋体"/>
          <w:b/>
          <w:color w:val="auto"/>
          <w:sz w:val="21"/>
          <w:szCs w:val="21"/>
          <w:highlight w:val="none"/>
        </w:rPr>
      </w:pPr>
    </w:p>
    <w:p>
      <w:pPr>
        <w:pStyle w:val="16"/>
        <w:rPr>
          <w:rFonts w:hint="eastAsia" w:ascii="宋体" w:hAnsi="宋体" w:eastAsia="宋体" w:cs="宋体"/>
          <w:b/>
          <w:bCs/>
          <w:color w:val="auto"/>
          <w:sz w:val="21"/>
          <w:szCs w:val="21"/>
          <w:highlight w:val="none"/>
        </w:rPr>
      </w:pPr>
      <w:r>
        <w:rPr>
          <w:rFonts w:hint="eastAsia" w:ascii="宋体" w:hAnsi="宋体" w:eastAsia="宋体" w:cs="宋体"/>
          <w:b/>
          <w:color w:val="auto"/>
          <w:sz w:val="21"/>
          <w:szCs w:val="21"/>
          <w:highlight w:val="none"/>
        </w:rPr>
        <w:t>备注：供应商应按照</w:t>
      </w:r>
      <w:r>
        <w:rPr>
          <w:rFonts w:hint="eastAsia" w:ascii="宋体" w:hAnsi="宋体" w:eastAsia="宋体" w:cs="宋体"/>
          <w:b/>
          <w:color w:val="auto"/>
          <w:sz w:val="21"/>
          <w:szCs w:val="21"/>
          <w:highlight w:val="none"/>
          <w:lang w:val="en-US" w:eastAsia="zh-CN"/>
        </w:rPr>
        <w:t>中小微型企业划分标准按照《国家统计局关于印发《统计上大中小微型企业划分办法〔2017〕》的通知》（国统字〔2017〕213号）</w:t>
      </w:r>
      <w:r>
        <w:rPr>
          <w:rFonts w:hint="eastAsia" w:ascii="宋体" w:hAnsi="宋体" w:eastAsia="宋体" w:cs="宋体"/>
          <w:b/>
          <w:color w:val="auto"/>
          <w:sz w:val="21"/>
          <w:szCs w:val="21"/>
          <w:highlight w:val="none"/>
        </w:rPr>
        <w:t>的划分标准进行如实申明，如提供虚假申明应依法承担相应法律责任。如成交人为小型和微型企业的，</w:t>
      </w:r>
      <w:r>
        <w:rPr>
          <w:rFonts w:hint="eastAsia" w:ascii="宋体" w:hAnsi="宋体" w:eastAsia="宋体" w:cs="宋体"/>
          <w:b/>
          <w:color w:val="auto"/>
          <w:sz w:val="21"/>
          <w:szCs w:val="21"/>
          <w:highlight w:val="none"/>
          <w:lang w:val="en-US" w:eastAsia="zh-CN"/>
        </w:rPr>
        <w:t>成交</w:t>
      </w:r>
      <w:r>
        <w:rPr>
          <w:rFonts w:hint="eastAsia" w:ascii="宋体" w:hAnsi="宋体" w:eastAsia="宋体" w:cs="宋体"/>
          <w:b/>
          <w:color w:val="auto"/>
          <w:sz w:val="21"/>
          <w:szCs w:val="21"/>
          <w:highlight w:val="none"/>
        </w:rPr>
        <w:t>结果将同时公告（或成交人的《中小企业声明函》，接受社会监督。</w:t>
      </w:r>
    </w:p>
    <w:p>
      <w:pPr>
        <w:spacing w:line="360" w:lineRule="auto"/>
        <w:rPr>
          <w:rFonts w:hint="eastAsia" w:ascii="宋体" w:hAnsi="宋体" w:eastAsia="宋体" w:cs="宋体"/>
          <w:b/>
          <w:color w:val="auto"/>
          <w:kern w:val="0"/>
          <w:sz w:val="21"/>
          <w:szCs w:val="21"/>
          <w:highlight w:val="none"/>
        </w:rPr>
      </w:pPr>
    </w:p>
    <w:p>
      <w:pPr>
        <w:spacing w:line="460" w:lineRule="exact"/>
        <w:rPr>
          <w:rFonts w:hint="eastAsia" w:ascii="宋体" w:hAnsi="宋体" w:eastAsia="宋体" w:cs="宋体"/>
          <w:b/>
          <w:color w:val="auto"/>
          <w:kern w:val="0"/>
          <w:sz w:val="21"/>
          <w:szCs w:val="21"/>
          <w:highlight w:val="none"/>
        </w:rPr>
      </w:pPr>
    </w:p>
    <w:p>
      <w:pPr>
        <w:pStyle w:val="8"/>
        <w:rPr>
          <w:rFonts w:hint="eastAsia" w:ascii="宋体" w:hAnsi="宋体" w:eastAsia="宋体" w:cs="宋体"/>
          <w:b/>
          <w:color w:val="auto"/>
          <w:kern w:val="0"/>
          <w:sz w:val="21"/>
          <w:szCs w:val="21"/>
          <w:highlight w:val="none"/>
        </w:rPr>
      </w:pPr>
    </w:p>
    <w:p>
      <w:pPr>
        <w:rPr>
          <w:rFonts w:hint="eastAsia" w:ascii="宋体" w:hAnsi="宋体" w:eastAsia="宋体" w:cs="宋体"/>
          <w:color w:val="auto"/>
          <w:sz w:val="21"/>
          <w:szCs w:val="21"/>
          <w:highlight w:val="none"/>
        </w:rPr>
      </w:pPr>
    </w:p>
    <w:p>
      <w:pPr>
        <w:rPr>
          <w:rStyle w:val="41"/>
          <w:rFonts w:hint="eastAsia" w:ascii="宋体" w:hAnsi="宋体" w:eastAsia="宋体" w:cs="宋体"/>
          <w:b/>
          <w:bCs/>
          <w:color w:val="auto"/>
          <w:sz w:val="21"/>
          <w:szCs w:val="21"/>
          <w:highlight w:val="none"/>
        </w:rPr>
      </w:pPr>
    </w:p>
    <w:p>
      <w:pPr>
        <w:rPr>
          <w:rStyle w:val="41"/>
          <w:rFonts w:hint="eastAsia" w:ascii="宋体" w:hAnsi="宋体" w:eastAsia="宋体" w:cs="宋体"/>
          <w:b/>
          <w:bCs/>
          <w:color w:val="auto"/>
          <w:sz w:val="21"/>
          <w:szCs w:val="21"/>
          <w:highlight w:val="none"/>
        </w:rPr>
      </w:pPr>
    </w:p>
    <w:p>
      <w:pPr>
        <w:rPr>
          <w:rStyle w:val="41"/>
          <w:rFonts w:hint="eastAsia" w:ascii="宋体" w:hAnsi="宋体" w:eastAsia="宋体" w:cs="宋体"/>
          <w:b/>
          <w:bCs/>
          <w:color w:val="auto"/>
          <w:sz w:val="21"/>
          <w:szCs w:val="21"/>
          <w:highlight w:val="none"/>
        </w:rPr>
      </w:pPr>
    </w:p>
    <w:p>
      <w:pPr>
        <w:rPr>
          <w:rStyle w:val="41"/>
          <w:rFonts w:hint="eastAsia" w:ascii="宋体" w:hAnsi="宋体" w:eastAsia="宋体" w:cs="宋体"/>
          <w:b/>
          <w:bCs/>
          <w:color w:val="auto"/>
          <w:sz w:val="21"/>
          <w:szCs w:val="21"/>
          <w:highlight w:val="none"/>
        </w:rPr>
      </w:pPr>
    </w:p>
    <w:p>
      <w:pPr>
        <w:pStyle w:val="2"/>
        <w:rPr>
          <w:rFonts w:hint="eastAsia"/>
          <w:color w:val="auto"/>
          <w:highlight w:val="none"/>
        </w:rPr>
      </w:pPr>
    </w:p>
    <w:p>
      <w:pPr>
        <w:pStyle w:val="8"/>
        <w:rPr>
          <w:rStyle w:val="41"/>
          <w:rFonts w:hint="eastAsia" w:ascii="宋体" w:hAnsi="宋体" w:eastAsia="宋体" w:cs="宋体"/>
          <w:b/>
          <w:bCs/>
          <w:color w:val="auto"/>
          <w:sz w:val="21"/>
          <w:szCs w:val="21"/>
          <w:highlight w:val="none"/>
        </w:rPr>
      </w:pPr>
    </w:p>
    <w:p>
      <w:pPr>
        <w:rPr>
          <w:rStyle w:val="41"/>
          <w:rFonts w:hint="eastAsia" w:ascii="宋体" w:hAnsi="宋体" w:eastAsia="宋体" w:cs="宋体"/>
          <w:b/>
          <w:bCs/>
          <w:color w:val="auto"/>
          <w:sz w:val="21"/>
          <w:szCs w:val="21"/>
          <w:highlight w:val="none"/>
        </w:rPr>
      </w:pPr>
    </w:p>
    <w:p>
      <w:pPr>
        <w:pStyle w:val="8"/>
        <w:rPr>
          <w:rFonts w:hint="eastAsia"/>
          <w:color w:val="auto"/>
          <w:highlight w:val="none"/>
        </w:rPr>
      </w:pPr>
    </w:p>
    <w:p>
      <w:pPr>
        <w:rPr>
          <w:rStyle w:val="41"/>
          <w:rFonts w:hint="eastAsia" w:ascii="宋体" w:hAnsi="宋体" w:eastAsia="宋体" w:cs="宋体"/>
          <w:b/>
          <w:bCs/>
          <w:color w:val="auto"/>
          <w:sz w:val="21"/>
          <w:szCs w:val="21"/>
          <w:highlight w:val="none"/>
        </w:rPr>
      </w:pPr>
      <w:r>
        <w:rPr>
          <w:rStyle w:val="41"/>
          <w:rFonts w:hint="eastAsia" w:ascii="宋体" w:hAnsi="宋体" w:eastAsia="宋体" w:cs="宋体"/>
          <w:b/>
          <w:bCs/>
          <w:color w:val="auto"/>
          <w:sz w:val="21"/>
          <w:szCs w:val="21"/>
          <w:highlight w:val="none"/>
        </w:rPr>
        <w:t>附表</w:t>
      </w:r>
    </w:p>
    <w:p>
      <w:pPr>
        <w:spacing w:before="120" w:after="120" w:line="400" w:lineRule="exact"/>
        <w:jc w:val="center"/>
        <w:rPr>
          <w:rStyle w:val="41"/>
          <w:rFonts w:hint="eastAsia" w:ascii="宋体" w:hAnsi="宋体" w:eastAsia="宋体" w:cs="宋体"/>
          <w:b/>
          <w:bCs/>
          <w:color w:val="auto"/>
          <w:kern w:val="0"/>
          <w:sz w:val="21"/>
          <w:szCs w:val="21"/>
          <w:highlight w:val="none"/>
        </w:rPr>
      </w:pPr>
      <w:r>
        <w:rPr>
          <w:rStyle w:val="41"/>
          <w:rFonts w:hint="eastAsia" w:ascii="宋体" w:hAnsi="宋体" w:eastAsia="宋体" w:cs="宋体"/>
          <w:b/>
          <w:bCs/>
          <w:color w:val="auto"/>
          <w:kern w:val="0"/>
          <w:sz w:val="21"/>
          <w:szCs w:val="21"/>
          <w:highlight w:val="none"/>
        </w:rPr>
        <w:t>统计上大中小微型企业划分标准</w:t>
      </w:r>
    </w:p>
    <w:tbl>
      <w:tblPr>
        <w:tblStyle w:val="19"/>
        <w:tblW w:w="943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13"/>
        <w:gridCol w:w="1369"/>
        <w:gridCol w:w="709"/>
        <w:gridCol w:w="1125"/>
        <w:gridCol w:w="1701"/>
        <w:gridCol w:w="1426"/>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tblHeader/>
        </w:trPr>
        <w:tc>
          <w:tcPr>
            <w:tcW w:w="2113" w:type="dxa"/>
            <w:tcBorders>
              <w:top w:val="single" w:color="000000" w:sz="4" w:space="0"/>
              <w:left w:val="single" w:color="000000" w:sz="4" w:space="0"/>
              <w:bottom w:val="single" w:color="000000" w:sz="4" w:space="0"/>
              <w:right w:val="single" w:color="000000" w:sz="4" w:space="0"/>
            </w:tcBorders>
            <w:shd w:val="clear" w:color="auto" w:fill="8DB3E2"/>
            <w:vAlign w:val="center"/>
          </w:tcPr>
          <w:p>
            <w:pPr>
              <w:spacing w:line="240" w:lineRule="exact"/>
              <w:jc w:val="center"/>
              <w:rPr>
                <w:rStyle w:val="41"/>
                <w:rFonts w:hint="eastAsia" w:ascii="宋体" w:hAnsi="宋体" w:eastAsia="宋体" w:cs="宋体"/>
                <w:b/>
                <w:bCs/>
                <w:color w:val="auto"/>
                <w:kern w:val="0"/>
                <w:sz w:val="21"/>
                <w:szCs w:val="21"/>
                <w:highlight w:val="none"/>
              </w:rPr>
            </w:pPr>
            <w:r>
              <w:rPr>
                <w:rStyle w:val="41"/>
                <w:rFonts w:hint="eastAsia" w:ascii="宋体" w:hAnsi="宋体" w:eastAsia="宋体" w:cs="宋体"/>
                <w:b/>
                <w:bCs/>
                <w:color w:val="auto"/>
                <w:kern w:val="0"/>
                <w:sz w:val="21"/>
                <w:szCs w:val="21"/>
                <w:highlight w:val="none"/>
              </w:rPr>
              <w:t>行业名称</w:t>
            </w:r>
          </w:p>
        </w:tc>
        <w:tc>
          <w:tcPr>
            <w:tcW w:w="1369" w:type="dxa"/>
            <w:tcBorders>
              <w:top w:val="single" w:color="000000" w:sz="4" w:space="0"/>
              <w:left w:val="single" w:color="000000" w:sz="4" w:space="0"/>
              <w:bottom w:val="single" w:color="000000" w:sz="4" w:space="0"/>
              <w:right w:val="single" w:color="000000" w:sz="4" w:space="0"/>
            </w:tcBorders>
            <w:shd w:val="clear" w:color="auto" w:fill="8DB3E2"/>
            <w:vAlign w:val="center"/>
          </w:tcPr>
          <w:p>
            <w:pPr>
              <w:jc w:val="center"/>
              <w:rPr>
                <w:rStyle w:val="41"/>
                <w:rFonts w:hint="eastAsia" w:ascii="宋体" w:hAnsi="宋体" w:eastAsia="宋体" w:cs="宋体"/>
                <w:b/>
                <w:bCs/>
                <w:color w:val="auto"/>
                <w:kern w:val="0"/>
                <w:sz w:val="21"/>
                <w:szCs w:val="21"/>
                <w:highlight w:val="none"/>
              </w:rPr>
            </w:pPr>
            <w:r>
              <w:rPr>
                <w:rStyle w:val="41"/>
                <w:rFonts w:hint="eastAsia" w:ascii="宋体" w:hAnsi="宋体" w:eastAsia="宋体" w:cs="宋体"/>
                <w:b/>
                <w:bCs/>
                <w:color w:val="auto"/>
                <w:kern w:val="0"/>
                <w:sz w:val="21"/>
                <w:szCs w:val="21"/>
                <w:highlight w:val="none"/>
              </w:rPr>
              <w:t>指标名称</w:t>
            </w:r>
          </w:p>
        </w:tc>
        <w:tc>
          <w:tcPr>
            <w:tcW w:w="709" w:type="dxa"/>
            <w:tcBorders>
              <w:top w:val="single" w:color="000000" w:sz="4" w:space="0"/>
              <w:left w:val="single" w:color="000000" w:sz="4" w:space="0"/>
              <w:bottom w:val="single" w:color="000000" w:sz="4" w:space="0"/>
              <w:right w:val="single" w:color="000000" w:sz="4" w:space="0"/>
            </w:tcBorders>
            <w:shd w:val="clear" w:color="auto" w:fill="8DB3E2"/>
            <w:vAlign w:val="center"/>
          </w:tcPr>
          <w:p>
            <w:pPr>
              <w:jc w:val="center"/>
              <w:rPr>
                <w:rStyle w:val="41"/>
                <w:rFonts w:hint="eastAsia" w:ascii="宋体" w:hAnsi="宋体" w:eastAsia="宋体" w:cs="宋体"/>
                <w:b/>
                <w:bCs/>
                <w:color w:val="auto"/>
                <w:kern w:val="0"/>
                <w:sz w:val="21"/>
                <w:szCs w:val="21"/>
                <w:highlight w:val="none"/>
                <w:lang w:eastAsia="zh-CN"/>
              </w:rPr>
            </w:pPr>
            <w:r>
              <w:rPr>
                <w:rStyle w:val="41"/>
                <w:rFonts w:hint="eastAsia" w:ascii="宋体" w:hAnsi="宋体" w:eastAsia="宋体" w:cs="宋体"/>
                <w:b/>
                <w:bCs/>
                <w:color w:val="auto"/>
                <w:kern w:val="0"/>
                <w:sz w:val="21"/>
                <w:szCs w:val="21"/>
                <w:highlight w:val="none"/>
              </w:rPr>
              <w:t>计量</w:t>
            </w:r>
          </w:p>
          <w:p>
            <w:pPr>
              <w:jc w:val="center"/>
              <w:rPr>
                <w:rStyle w:val="41"/>
                <w:rFonts w:hint="eastAsia" w:ascii="宋体" w:hAnsi="宋体" w:eastAsia="宋体" w:cs="宋体"/>
                <w:b/>
                <w:bCs/>
                <w:color w:val="auto"/>
                <w:kern w:val="0"/>
                <w:sz w:val="21"/>
                <w:szCs w:val="21"/>
                <w:highlight w:val="none"/>
              </w:rPr>
            </w:pPr>
            <w:r>
              <w:rPr>
                <w:rStyle w:val="41"/>
                <w:rFonts w:hint="eastAsia" w:ascii="宋体" w:hAnsi="宋体" w:eastAsia="宋体" w:cs="宋体"/>
                <w:b/>
                <w:bCs/>
                <w:color w:val="auto"/>
                <w:kern w:val="0"/>
                <w:sz w:val="21"/>
                <w:szCs w:val="21"/>
                <w:highlight w:val="none"/>
              </w:rPr>
              <w:t>单位</w:t>
            </w:r>
          </w:p>
        </w:tc>
        <w:tc>
          <w:tcPr>
            <w:tcW w:w="1125" w:type="dxa"/>
            <w:tcBorders>
              <w:top w:val="single" w:color="000000" w:sz="4" w:space="0"/>
              <w:left w:val="single" w:color="000000" w:sz="4" w:space="0"/>
              <w:bottom w:val="single" w:color="000000" w:sz="4" w:space="0"/>
              <w:right w:val="single" w:color="000000" w:sz="4" w:space="0"/>
            </w:tcBorders>
            <w:shd w:val="clear" w:color="auto" w:fill="8DB3E2"/>
            <w:vAlign w:val="center"/>
          </w:tcPr>
          <w:p>
            <w:pPr>
              <w:jc w:val="center"/>
              <w:rPr>
                <w:rStyle w:val="41"/>
                <w:rFonts w:hint="eastAsia" w:ascii="宋体" w:hAnsi="宋体" w:eastAsia="宋体" w:cs="宋体"/>
                <w:b/>
                <w:bCs/>
                <w:color w:val="auto"/>
                <w:kern w:val="0"/>
                <w:sz w:val="21"/>
                <w:szCs w:val="21"/>
                <w:highlight w:val="none"/>
              </w:rPr>
            </w:pPr>
            <w:r>
              <w:rPr>
                <w:rStyle w:val="41"/>
                <w:rFonts w:hint="eastAsia" w:ascii="宋体" w:hAnsi="宋体" w:eastAsia="宋体" w:cs="宋体"/>
                <w:b/>
                <w:bCs/>
                <w:color w:val="auto"/>
                <w:kern w:val="0"/>
                <w:sz w:val="21"/>
                <w:szCs w:val="21"/>
                <w:highlight w:val="none"/>
              </w:rPr>
              <w:t>大型</w:t>
            </w:r>
          </w:p>
        </w:tc>
        <w:tc>
          <w:tcPr>
            <w:tcW w:w="1701" w:type="dxa"/>
            <w:tcBorders>
              <w:top w:val="single" w:color="000000" w:sz="4" w:space="0"/>
              <w:left w:val="single" w:color="000000" w:sz="4" w:space="0"/>
              <w:bottom w:val="single" w:color="000000" w:sz="4" w:space="0"/>
              <w:right w:val="single" w:color="000000" w:sz="4" w:space="0"/>
            </w:tcBorders>
            <w:shd w:val="clear" w:color="auto" w:fill="8DB3E2"/>
            <w:vAlign w:val="center"/>
          </w:tcPr>
          <w:p>
            <w:pPr>
              <w:jc w:val="center"/>
              <w:rPr>
                <w:rStyle w:val="41"/>
                <w:rFonts w:hint="eastAsia" w:ascii="宋体" w:hAnsi="宋体" w:eastAsia="宋体" w:cs="宋体"/>
                <w:b/>
                <w:bCs/>
                <w:color w:val="auto"/>
                <w:kern w:val="0"/>
                <w:sz w:val="21"/>
                <w:szCs w:val="21"/>
                <w:highlight w:val="none"/>
              </w:rPr>
            </w:pPr>
            <w:r>
              <w:rPr>
                <w:rStyle w:val="41"/>
                <w:rFonts w:hint="eastAsia" w:ascii="宋体" w:hAnsi="宋体" w:eastAsia="宋体" w:cs="宋体"/>
                <w:b/>
                <w:bCs/>
                <w:color w:val="auto"/>
                <w:kern w:val="0"/>
                <w:sz w:val="21"/>
                <w:szCs w:val="21"/>
                <w:highlight w:val="none"/>
              </w:rPr>
              <w:t>中型</w:t>
            </w:r>
          </w:p>
        </w:tc>
        <w:tc>
          <w:tcPr>
            <w:tcW w:w="1426" w:type="dxa"/>
            <w:tcBorders>
              <w:top w:val="single" w:color="000000" w:sz="4" w:space="0"/>
              <w:left w:val="single" w:color="000000" w:sz="4" w:space="0"/>
              <w:bottom w:val="single" w:color="000000" w:sz="4" w:space="0"/>
              <w:right w:val="single" w:color="000000" w:sz="4" w:space="0"/>
            </w:tcBorders>
            <w:shd w:val="clear" w:color="auto" w:fill="8DB3E2"/>
            <w:vAlign w:val="center"/>
          </w:tcPr>
          <w:p>
            <w:pPr>
              <w:jc w:val="center"/>
              <w:rPr>
                <w:rStyle w:val="41"/>
                <w:rFonts w:hint="eastAsia" w:ascii="宋体" w:hAnsi="宋体" w:eastAsia="宋体" w:cs="宋体"/>
                <w:b/>
                <w:bCs/>
                <w:color w:val="auto"/>
                <w:kern w:val="0"/>
                <w:sz w:val="21"/>
                <w:szCs w:val="21"/>
                <w:highlight w:val="none"/>
              </w:rPr>
            </w:pPr>
            <w:r>
              <w:rPr>
                <w:rStyle w:val="41"/>
                <w:rFonts w:hint="eastAsia" w:ascii="宋体" w:hAnsi="宋体" w:eastAsia="宋体" w:cs="宋体"/>
                <w:b/>
                <w:bCs/>
                <w:color w:val="auto"/>
                <w:kern w:val="0"/>
                <w:sz w:val="21"/>
                <w:szCs w:val="21"/>
                <w:highlight w:val="none"/>
              </w:rPr>
              <w:t>小型</w:t>
            </w:r>
          </w:p>
        </w:tc>
        <w:tc>
          <w:tcPr>
            <w:tcW w:w="992" w:type="dxa"/>
            <w:tcBorders>
              <w:top w:val="single" w:color="000000" w:sz="4" w:space="0"/>
              <w:left w:val="single" w:color="000000" w:sz="4" w:space="0"/>
              <w:bottom w:val="single" w:color="000000" w:sz="4" w:space="0"/>
              <w:right w:val="single" w:color="000000" w:sz="4" w:space="0"/>
            </w:tcBorders>
            <w:shd w:val="clear" w:color="auto" w:fill="8DB3E2"/>
            <w:vAlign w:val="center"/>
          </w:tcPr>
          <w:p>
            <w:pPr>
              <w:jc w:val="center"/>
              <w:rPr>
                <w:rStyle w:val="41"/>
                <w:rFonts w:hint="eastAsia" w:ascii="宋体" w:hAnsi="宋体" w:eastAsia="宋体" w:cs="宋体"/>
                <w:b/>
                <w:bCs/>
                <w:color w:val="auto"/>
                <w:kern w:val="0"/>
                <w:sz w:val="21"/>
                <w:szCs w:val="21"/>
                <w:highlight w:val="none"/>
              </w:rPr>
            </w:pPr>
            <w:r>
              <w:rPr>
                <w:rStyle w:val="41"/>
                <w:rFonts w:hint="eastAsia" w:ascii="宋体" w:hAnsi="宋体" w:eastAsia="宋体" w:cs="宋体"/>
                <w:b/>
                <w:bCs/>
                <w:color w:val="auto"/>
                <w:kern w:val="0"/>
                <w:sz w:val="21"/>
                <w:szCs w:val="21"/>
                <w:highlight w:val="none"/>
              </w:rPr>
              <w:t>微型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211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农、林、牧、渔业</w:t>
            </w:r>
          </w:p>
        </w:tc>
        <w:tc>
          <w:tcPr>
            <w:tcW w:w="1369"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营业收入(Y)</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万元</w:t>
            </w: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Y≥20000</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500≤Y＜20000</w:t>
            </w:r>
          </w:p>
        </w:tc>
        <w:tc>
          <w:tcPr>
            <w:tcW w:w="1426"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50≤Y＜500</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Y＜50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2113"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工业 *</w:t>
            </w:r>
          </w:p>
        </w:tc>
        <w:tc>
          <w:tcPr>
            <w:tcW w:w="1369"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从业人员(X)</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人</w:t>
            </w: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X≥1000</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300≤X＜1000</w:t>
            </w:r>
          </w:p>
        </w:tc>
        <w:tc>
          <w:tcPr>
            <w:tcW w:w="1426"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20≤X＜300</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X＜20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211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41"/>
                <w:rFonts w:hint="eastAsia" w:ascii="宋体" w:hAnsi="宋体" w:eastAsia="宋体" w:cs="宋体"/>
                <w:color w:val="auto"/>
                <w:kern w:val="0"/>
                <w:sz w:val="21"/>
                <w:szCs w:val="21"/>
                <w:highlight w:val="none"/>
              </w:rPr>
            </w:pPr>
          </w:p>
        </w:tc>
        <w:tc>
          <w:tcPr>
            <w:tcW w:w="1369"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营业收入(Y)</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万元</w:t>
            </w: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Y≥40000</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2000≤Y＜40000</w:t>
            </w:r>
          </w:p>
        </w:tc>
        <w:tc>
          <w:tcPr>
            <w:tcW w:w="1426"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300≤Y＜2000</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Y＜300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2113"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建筑业</w:t>
            </w:r>
          </w:p>
        </w:tc>
        <w:tc>
          <w:tcPr>
            <w:tcW w:w="1369"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营业收入(Y)</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万元</w:t>
            </w: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Y≥80000</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6000≤Y＜80000</w:t>
            </w:r>
          </w:p>
        </w:tc>
        <w:tc>
          <w:tcPr>
            <w:tcW w:w="1426"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300≤Y＜6000</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Y＜300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211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41"/>
                <w:rFonts w:hint="eastAsia" w:ascii="宋体" w:hAnsi="宋体" w:eastAsia="宋体" w:cs="宋体"/>
                <w:color w:val="auto"/>
                <w:kern w:val="0"/>
                <w:sz w:val="21"/>
                <w:szCs w:val="21"/>
                <w:highlight w:val="none"/>
              </w:rPr>
            </w:pPr>
          </w:p>
        </w:tc>
        <w:tc>
          <w:tcPr>
            <w:tcW w:w="1369"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资产总额(Z)</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万元</w:t>
            </w: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Z≥80000</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5000≤Z＜80000</w:t>
            </w:r>
          </w:p>
        </w:tc>
        <w:tc>
          <w:tcPr>
            <w:tcW w:w="1426"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300≤Z＜5000</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Z＜300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2113"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批发业</w:t>
            </w:r>
          </w:p>
        </w:tc>
        <w:tc>
          <w:tcPr>
            <w:tcW w:w="1369"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从业人员(X)</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人</w:t>
            </w: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X≥200</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20≤X＜200</w:t>
            </w:r>
          </w:p>
        </w:tc>
        <w:tc>
          <w:tcPr>
            <w:tcW w:w="1426"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5≤X＜20</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X＜5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211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41"/>
                <w:rFonts w:hint="eastAsia" w:ascii="宋体" w:hAnsi="宋体" w:eastAsia="宋体" w:cs="宋体"/>
                <w:color w:val="auto"/>
                <w:kern w:val="0"/>
                <w:sz w:val="21"/>
                <w:szCs w:val="21"/>
                <w:highlight w:val="none"/>
              </w:rPr>
            </w:pPr>
          </w:p>
        </w:tc>
        <w:tc>
          <w:tcPr>
            <w:tcW w:w="1369"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营业收入(Y)</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万元</w:t>
            </w: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Y≥40000</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5000≤Y＜40000</w:t>
            </w:r>
          </w:p>
        </w:tc>
        <w:tc>
          <w:tcPr>
            <w:tcW w:w="1426" w:type="dxa"/>
            <w:tcBorders>
              <w:top w:val="single" w:color="000000" w:sz="4" w:space="0"/>
              <w:left w:val="single" w:color="000000" w:sz="4" w:space="0"/>
              <w:bottom w:val="single" w:color="000000" w:sz="4" w:space="0"/>
              <w:right w:val="single" w:color="000000" w:sz="4" w:space="0"/>
            </w:tcBorders>
            <w:vAlign w:val="center"/>
          </w:tcPr>
          <w:p>
            <w:pPr>
              <w:ind w:left="-1" w:leftChars="-1" w:hanging="1"/>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1000≤Y＜5000</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Y＜1000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2113"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零售业</w:t>
            </w:r>
          </w:p>
        </w:tc>
        <w:tc>
          <w:tcPr>
            <w:tcW w:w="1369"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从业人员(X)</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人</w:t>
            </w: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X≥300</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50≤X＜300</w:t>
            </w:r>
          </w:p>
        </w:tc>
        <w:tc>
          <w:tcPr>
            <w:tcW w:w="1426" w:type="dxa"/>
            <w:tcBorders>
              <w:top w:val="single" w:color="000000" w:sz="4" w:space="0"/>
              <w:left w:val="single" w:color="000000" w:sz="4" w:space="0"/>
              <w:bottom w:val="single" w:color="000000" w:sz="4" w:space="0"/>
              <w:right w:val="single" w:color="000000" w:sz="4" w:space="0"/>
            </w:tcBorders>
            <w:vAlign w:val="center"/>
          </w:tcPr>
          <w:p>
            <w:pPr>
              <w:ind w:left="-1" w:leftChars="-1" w:hanging="1"/>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 xml:space="preserve">10≤X＜50 </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X＜10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211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41"/>
                <w:rFonts w:hint="eastAsia" w:ascii="宋体" w:hAnsi="宋体" w:eastAsia="宋体" w:cs="宋体"/>
                <w:color w:val="auto"/>
                <w:kern w:val="0"/>
                <w:sz w:val="21"/>
                <w:szCs w:val="21"/>
                <w:highlight w:val="none"/>
              </w:rPr>
            </w:pPr>
          </w:p>
        </w:tc>
        <w:tc>
          <w:tcPr>
            <w:tcW w:w="1369"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营业收入(Y)</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万元</w:t>
            </w: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Y≥20000</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500≤Y＜20000</w:t>
            </w:r>
          </w:p>
        </w:tc>
        <w:tc>
          <w:tcPr>
            <w:tcW w:w="1426" w:type="dxa"/>
            <w:tcBorders>
              <w:top w:val="single" w:color="000000" w:sz="4" w:space="0"/>
              <w:left w:val="single" w:color="000000" w:sz="4" w:space="0"/>
              <w:bottom w:val="single" w:color="000000" w:sz="4" w:space="0"/>
              <w:right w:val="single" w:color="000000" w:sz="4" w:space="0"/>
            </w:tcBorders>
            <w:vAlign w:val="center"/>
          </w:tcPr>
          <w:p>
            <w:pPr>
              <w:ind w:left="-1" w:leftChars="-1" w:hanging="1"/>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100≤Y＜500</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Y＜100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2113"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交通运输业 *</w:t>
            </w:r>
          </w:p>
        </w:tc>
        <w:tc>
          <w:tcPr>
            <w:tcW w:w="1369"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从业人员(X)</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人</w:t>
            </w: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X≥1000</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300≤X＜1000</w:t>
            </w:r>
          </w:p>
        </w:tc>
        <w:tc>
          <w:tcPr>
            <w:tcW w:w="1426"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20≤X＜300</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X＜20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211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41"/>
                <w:rFonts w:hint="eastAsia" w:ascii="宋体" w:hAnsi="宋体" w:eastAsia="宋体" w:cs="宋体"/>
                <w:color w:val="auto"/>
                <w:kern w:val="0"/>
                <w:sz w:val="21"/>
                <w:szCs w:val="21"/>
                <w:highlight w:val="none"/>
              </w:rPr>
            </w:pPr>
          </w:p>
        </w:tc>
        <w:tc>
          <w:tcPr>
            <w:tcW w:w="1369"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营业收入(Y)</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万元</w:t>
            </w: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Y≥30000</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3000≤Y＜30000</w:t>
            </w:r>
          </w:p>
        </w:tc>
        <w:tc>
          <w:tcPr>
            <w:tcW w:w="1426"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200≤Y＜3000</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Y＜200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2113"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仓储业*</w:t>
            </w:r>
          </w:p>
        </w:tc>
        <w:tc>
          <w:tcPr>
            <w:tcW w:w="1369"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从业人员(X)</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人</w:t>
            </w: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X≥200</w:t>
            </w:r>
          </w:p>
        </w:tc>
        <w:tc>
          <w:tcPr>
            <w:tcW w:w="1701" w:type="dxa"/>
            <w:tcBorders>
              <w:top w:val="single" w:color="000000" w:sz="4" w:space="0"/>
              <w:left w:val="single" w:color="000000" w:sz="4" w:space="0"/>
              <w:bottom w:val="single" w:color="000000" w:sz="4" w:space="0"/>
              <w:right w:val="single" w:color="000000" w:sz="4" w:space="0"/>
            </w:tcBorders>
            <w:vAlign w:val="center"/>
          </w:tcPr>
          <w:p>
            <w:pPr>
              <w:ind w:left="1" w:leftChars="-51" w:hanging="108"/>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100≤X＜200</w:t>
            </w:r>
          </w:p>
        </w:tc>
        <w:tc>
          <w:tcPr>
            <w:tcW w:w="1426"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20≤X＜100</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X＜20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211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41"/>
                <w:rFonts w:hint="eastAsia" w:ascii="宋体" w:hAnsi="宋体" w:eastAsia="宋体" w:cs="宋体"/>
                <w:color w:val="auto"/>
                <w:kern w:val="0"/>
                <w:sz w:val="21"/>
                <w:szCs w:val="21"/>
                <w:highlight w:val="none"/>
              </w:rPr>
            </w:pPr>
          </w:p>
        </w:tc>
        <w:tc>
          <w:tcPr>
            <w:tcW w:w="1369"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营业收入(Y)</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万元</w:t>
            </w: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Y≥30000</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1000≤Y＜30000</w:t>
            </w:r>
          </w:p>
        </w:tc>
        <w:tc>
          <w:tcPr>
            <w:tcW w:w="1426"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100≤Y＜1000</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Y＜100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2113"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邮政业</w:t>
            </w:r>
          </w:p>
        </w:tc>
        <w:tc>
          <w:tcPr>
            <w:tcW w:w="1369"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从业人员(X)</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人</w:t>
            </w: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X≥1000</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300≤X＜1000</w:t>
            </w:r>
          </w:p>
        </w:tc>
        <w:tc>
          <w:tcPr>
            <w:tcW w:w="1426"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20≤X＜300</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X＜20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211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41"/>
                <w:rFonts w:hint="eastAsia" w:ascii="宋体" w:hAnsi="宋体" w:eastAsia="宋体" w:cs="宋体"/>
                <w:color w:val="auto"/>
                <w:kern w:val="0"/>
                <w:sz w:val="21"/>
                <w:szCs w:val="21"/>
                <w:highlight w:val="none"/>
              </w:rPr>
            </w:pPr>
          </w:p>
        </w:tc>
        <w:tc>
          <w:tcPr>
            <w:tcW w:w="1369"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营业收入(Y)</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万元</w:t>
            </w: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Y≥30000</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2000≤Y＜30000</w:t>
            </w:r>
          </w:p>
        </w:tc>
        <w:tc>
          <w:tcPr>
            <w:tcW w:w="1426"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100≤Y＜2000</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Y＜100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2113"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住宿业</w:t>
            </w:r>
          </w:p>
        </w:tc>
        <w:tc>
          <w:tcPr>
            <w:tcW w:w="1369"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从业人员(X)</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人</w:t>
            </w: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X≥300</w:t>
            </w:r>
          </w:p>
        </w:tc>
        <w:tc>
          <w:tcPr>
            <w:tcW w:w="1701" w:type="dxa"/>
            <w:tcBorders>
              <w:top w:val="single" w:color="000000" w:sz="4" w:space="0"/>
              <w:left w:val="single" w:color="000000" w:sz="4" w:space="0"/>
              <w:bottom w:val="single" w:color="000000" w:sz="4" w:space="0"/>
              <w:right w:val="single" w:color="000000" w:sz="4" w:space="0"/>
            </w:tcBorders>
            <w:vAlign w:val="center"/>
          </w:tcPr>
          <w:p>
            <w:pPr>
              <w:ind w:left="1" w:leftChars="-51" w:hanging="108"/>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100≤X＜300</w:t>
            </w:r>
          </w:p>
        </w:tc>
        <w:tc>
          <w:tcPr>
            <w:tcW w:w="1426"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10≤X＜100</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X＜10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211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41"/>
                <w:rFonts w:hint="eastAsia" w:ascii="宋体" w:hAnsi="宋体" w:eastAsia="宋体" w:cs="宋体"/>
                <w:color w:val="auto"/>
                <w:kern w:val="0"/>
                <w:sz w:val="21"/>
                <w:szCs w:val="21"/>
                <w:highlight w:val="none"/>
              </w:rPr>
            </w:pPr>
          </w:p>
        </w:tc>
        <w:tc>
          <w:tcPr>
            <w:tcW w:w="1369"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营业收入(Y)</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万元</w:t>
            </w: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Y≥10000</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2000≤Y＜10000</w:t>
            </w:r>
          </w:p>
        </w:tc>
        <w:tc>
          <w:tcPr>
            <w:tcW w:w="1426"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100≤Y＜2000</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Y＜100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2113"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餐饮业</w:t>
            </w:r>
          </w:p>
        </w:tc>
        <w:tc>
          <w:tcPr>
            <w:tcW w:w="1369"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从业人员(X)</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人</w:t>
            </w: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X≥300</w:t>
            </w:r>
          </w:p>
        </w:tc>
        <w:tc>
          <w:tcPr>
            <w:tcW w:w="1701" w:type="dxa"/>
            <w:tcBorders>
              <w:top w:val="single" w:color="000000" w:sz="4" w:space="0"/>
              <w:left w:val="single" w:color="000000" w:sz="4" w:space="0"/>
              <w:bottom w:val="single" w:color="000000" w:sz="4" w:space="0"/>
              <w:right w:val="single" w:color="000000" w:sz="4" w:space="0"/>
            </w:tcBorders>
            <w:vAlign w:val="center"/>
          </w:tcPr>
          <w:p>
            <w:pPr>
              <w:ind w:left="1" w:leftChars="-51" w:hanging="108"/>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 xml:space="preserve">100≤X＜300 </w:t>
            </w:r>
          </w:p>
        </w:tc>
        <w:tc>
          <w:tcPr>
            <w:tcW w:w="1426"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10≤X＜100</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X＜10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211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41"/>
                <w:rFonts w:hint="eastAsia" w:ascii="宋体" w:hAnsi="宋体" w:eastAsia="宋体" w:cs="宋体"/>
                <w:color w:val="auto"/>
                <w:kern w:val="0"/>
                <w:sz w:val="21"/>
                <w:szCs w:val="21"/>
                <w:highlight w:val="none"/>
              </w:rPr>
            </w:pPr>
          </w:p>
        </w:tc>
        <w:tc>
          <w:tcPr>
            <w:tcW w:w="1369"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营业收入(Y)</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万元</w:t>
            </w: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Y≥10000</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2000≤Y＜10000</w:t>
            </w:r>
          </w:p>
        </w:tc>
        <w:tc>
          <w:tcPr>
            <w:tcW w:w="1426"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100≤Y＜2000</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Y＜100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2113"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信息传输业 *</w:t>
            </w:r>
          </w:p>
        </w:tc>
        <w:tc>
          <w:tcPr>
            <w:tcW w:w="1369"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从业人员(X)</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人</w:t>
            </w: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X≥2000</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100≤X＜2000</w:t>
            </w:r>
          </w:p>
        </w:tc>
        <w:tc>
          <w:tcPr>
            <w:tcW w:w="1426"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10≤X＜100</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X＜10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211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41"/>
                <w:rFonts w:hint="eastAsia" w:ascii="宋体" w:hAnsi="宋体" w:eastAsia="宋体" w:cs="宋体"/>
                <w:color w:val="auto"/>
                <w:kern w:val="0"/>
                <w:sz w:val="21"/>
                <w:szCs w:val="21"/>
                <w:highlight w:val="none"/>
              </w:rPr>
            </w:pPr>
          </w:p>
        </w:tc>
        <w:tc>
          <w:tcPr>
            <w:tcW w:w="1369"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营业收入(Y)</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万元</w:t>
            </w: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Y≥100000</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1000≤Y＜100000</w:t>
            </w:r>
          </w:p>
        </w:tc>
        <w:tc>
          <w:tcPr>
            <w:tcW w:w="1426"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100≤Y＜1000</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Y＜100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2113"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Style w:val="41"/>
                <w:rFonts w:hint="eastAsia" w:ascii="宋体" w:hAnsi="宋体" w:eastAsia="宋体" w:cs="宋体"/>
                <w:color w:val="auto"/>
                <w:spacing w:val="-12"/>
                <w:kern w:val="0"/>
                <w:sz w:val="21"/>
                <w:szCs w:val="21"/>
                <w:highlight w:val="none"/>
              </w:rPr>
            </w:pPr>
            <w:r>
              <w:rPr>
                <w:rStyle w:val="41"/>
                <w:rFonts w:hint="eastAsia" w:ascii="宋体" w:hAnsi="宋体" w:eastAsia="宋体" w:cs="宋体"/>
                <w:color w:val="auto"/>
                <w:spacing w:val="-12"/>
                <w:kern w:val="0"/>
                <w:sz w:val="21"/>
                <w:szCs w:val="21"/>
                <w:highlight w:val="none"/>
              </w:rPr>
              <w:t>软件和信息技术服</w:t>
            </w:r>
            <w:r>
              <w:rPr>
                <w:rStyle w:val="41"/>
                <w:rFonts w:hint="eastAsia" w:ascii="宋体" w:hAnsi="宋体" w:eastAsia="宋体" w:cs="宋体"/>
                <w:color w:val="auto"/>
                <w:kern w:val="0"/>
                <w:sz w:val="21"/>
                <w:szCs w:val="21"/>
                <w:highlight w:val="none"/>
              </w:rPr>
              <w:t>务业</w:t>
            </w:r>
          </w:p>
        </w:tc>
        <w:tc>
          <w:tcPr>
            <w:tcW w:w="1369"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从业人员(X)</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人</w:t>
            </w: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X≥300</w:t>
            </w:r>
          </w:p>
        </w:tc>
        <w:tc>
          <w:tcPr>
            <w:tcW w:w="1701" w:type="dxa"/>
            <w:tcBorders>
              <w:top w:val="single" w:color="000000" w:sz="4" w:space="0"/>
              <w:left w:val="single" w:color="000000" w:sz="4" w:space="0"/>
              <w:bottom w:val="single" w:color="000000" w:sz="4" w:space="0"/>
              <w:right w:val="single" w:color="000000" w:sz="4" w:space="0"/>
            </w:tcBorders>
            <w:vAlign w:val="center"/>
          </w:tcPr>
          <w:p>
            <w:pPr>
              <w:ind w:left="1" w:leftChars="-51" w:hanging="108"/>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 xml:space="preserve">100≤X＜300 </w:t>
            </w:r>
          </w:p>
        </w:tc>
        <w:tc>
          <w:tcPr>
            <w:tcW w:w="1426"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10≤X＜100</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X＜10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211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41"/>
                <w:rFonts w:hint="eastAsia" w:ascii="宋体" w:hAnsi="宋体" w:eastAsia="宋体" w:cs="宋体"/>
                <w:color w:val="auto"/>
                <w:spacing w:val="-12"/>
                <w:kern w:val="0"/>
                <w:sz w:val="21"/>
                <w:szCs w:val="21"/>
                <w:highlight w:val="none"/>
              </w:rPr>
            </w:pPr>
          </w:p>
        </w:tc>
        <w:tc>
          <w:tcPr>
            <w:tcW w:w="1369"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营业收入(Y)</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万元</w:t>
            </w: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Y≥10000</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1000≤Y＜10000</w:t>
            </w:r>
          </w:p>
        </w:tc>
        <w:tc>
          <w:tcPr>
            <w:tcW w:w="1426"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50≤Y＜1000</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Y＜50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2113"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房地产开发经营</w:t>
            </w:r>
          </w:p>
        </w:tc>
        <w:tc>
          <w:tcPr>
            <w:tcW w:w="1369"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营业收入(Y)</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万元</w:t>
            </w: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Y≥200000</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1000≤Y＜200000</w:t>
            </w:r>
          </w:p>
        </w:tc>
        <w:tc>
          <w:tcPr>
            <w:tcW w:w="1426"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100≤Y＜1000</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Y＜100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211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41"/>
                <w:rFonts w:hint="eastAsia" w:ascii="宋体" w:hAnsi="宋体" w:eastAsia="宋体" w:cs="宋体"/>
                <w:color w:val="auto"/>
                <w:kern w:val="0"/>
                <w:sz w:val="21"/>
                <w:szCs w:val="21"/>
                <w:highlight w:val="none"/>
              </w:rPr>
            </w:pPr>
          </w:p>
        </w:tc>
        <w:tc>
          <w:tcPr>
            <w:tcW w:w="1369"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资产总额(Z)</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万元</w:t>
            </w: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Z≥10000</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5000≤Z＜10000</w:t>
            </w:r>
          </w:p>
        </w:tc>
        <w:tc>
          <w:tcPr>
            <w:tcW w:w="1426"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2000≤Z＜5000</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Z＜2000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2113"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物业管理</w:t>
            </w:r>
          </w:p>
        </w:tc>
        <w:tc>
          <w:tcPr>
            <w:tcW w:w="1369"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从业人员(X)</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人</w:t>
            </w: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X≥1000</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300≤X＜1000</w:t>
            </w:r>
          </w:p>
        </w:tc>
        <w:tc>
          <w:tcPr>
            <w:tcW w:w="1426"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100≤X＜300</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X＜100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211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41"/>
                <w:rFonts w:hint="eastAsia" w:ascii="宋体" w:hAnsi="宋体" w:eastAsia="宋体" w:cs="宋体"/>
                <w:color w:val="auto"/>
                <w:kern w:val="0"/>
                <w:sz w:val="21"/>
                <w:szCs w:val="21"/>
                <w:highlight w:val="none"/>
              </w:rPr>
            </w:pPr>
          </w:p>
        </w:tc>
        <w:tc>
          <w:tcPr>
            <w:tcW w:w="1369"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营业收入(Y)</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万元</w:t>
            </w: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Y≥5000</w:t>
            </w:r>
          </w:p>
        </w:tc>
        <w:tc>
          <w:tcPr>
            <w:tcW w:w="1701" w:type="dxa"/>
            <w:tcBorders>
              <w:top w:val="single" w:color="000000" w:sz="4" w:space="0"/>
              <w:left w:val="single" w:color="000000" w:sz="4" w:space="0"/>
              <w:bottom w:val="single" w:color="000000" w:sz="4" w:space="0"/>
              <w:right w:val="single" w:color="000000" w:sz="4" w:space="0"/>
            </w:tcBorders>
            <w:vAlign w:val="center"/>
          </w:tcPr>
          <w:p>
            <w:pPr>
              <w:ind w:left="1" w:leftChars="-51" w:hanging="108"/>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1000≤Y＜5000</w:t>
            </w:r>
          </w:p>
        </w:tc>
        <w:tc>
          <w:tcPr>
            <w:tcW w:w="1426"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500≤Y＜1000</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Y＜500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2113"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租赁和商务服务业</w:t>
            </w:r>
          </w:p>
        </w:tc>
        <w:tc>
          <w:tcPr>
            <w:tcW w:w="1369"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从业人员(X)</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人</w:t>
            </w: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X≥300</w:t>
            </w:r>
          </w:p>
        </w:tc>
        <w:tc>
          <w:tcPr>
            <w:tcW w:w="1701" w:type="dxa"/>
            <w:tcBorders>
              <w:top w:val="single" w:color="000000" w:sz="4" w:space="0"/>
              <w:left w:val="single" w:color="000000" w:sz="4" w:space="0"/>
              <w:bottom w:val="single" w:color="000000" w:sz="4" w:space="0"/>
              <w:right w:val="single" w:color="000000" w:sz="4" w:space="0"/>
            </w:tcBorders>
            <w:vAlign w:val="center"/>
          </w:tcPr>
          <w:p>
            <w:pPr>
              <w:ind w:left="1" w:leftChars="-51" w:hanging="108"/>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100≤X＜300</w:t>
            </w:r>
          </w:p>
        </w:tc>
        <w:tc>
          <w:tcPr>
            <w:tcW w:w="1426"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10≤X＜100</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X＜10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211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41"/>
                <w:rFonts w:hint="eastAsia" w:ascii="宋体" w:hAnsi="宋体" w:eastAsia="宋体" w:cs="宋体"/>
                <w:color w:val="auto"/>
                <w:kern w:val="0"/>
                <w:sz w:val="21"/>
                <w:szCs w:val="21"/>
                <w:highlight w:val="none"/>
              </w:rPr>
            </w:pPr>
          </w:p>
        </w:tc>
        <w:tc>
          <w:tcPr>
            <w:tcW w:w="1369"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资产总额(Z)</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万元</w:t>
            </w: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Z≥120000</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8000≤Z＜120000</w:t>
            </w:r>
          </w:p>
        </w:tc>
        <w:tc>
          <w:tcPr>
            <w:tcW w:w="1426"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100≤Z＜8000</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Z＜100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211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其他未列明行业 *</w:t>
            </w:r>
          </w:p>
        </w:tc>
        <w:tc>
          <w:tcPr>
            <w:tcW w:w="1369"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从业人员(X)</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人</w:t>
            </w: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X≥300</w:t>
            </w:r>
          </w:p>
        </w:tc>
        <w:tc>
          <w:tcPr>
            <w:tcW w:w="1701" w:type="dxa"/>
            <w:tcBorders>
              <w:top w:val="single" w:color="000000" w:sz="4" w:space="0"/>
              <w:left w:val="single" w:color="000000" w:sz="4" w:space="0"/>
              <w:bottom w:val="single" w:color="000000" w:sz="4" w:space="0"/>
              <w:right w:val="single" w:color="000000" w:sz="4" w:space="0"/>
            </w:tcBorders>
            <w:vAlign w:val="center"/>
          </w:tcPr>
          <w:p>
            <w:pPr>
              <w:ind w:left="1" w:leftChars="-51" w:hanging="108"/>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100≤X＜300</w:t>
            </w:r>
          </w:p>
        </w:tc>
        <w:tc>
          <w:tcPr>
            <w:tcW w:w="1426"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10≤X＜100</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Style w:val="41"/>
                <w:rFonts w:hint="eastAsia" w:ascii="宋体" w:hAnsi="宋体" w:eastAsia="宋体" w:cs="宋体"/>
                <w:color w:val="auto"/>
                <w:kern w:val="0"/>
                <w:sz w:val="21"/>
                <w:szCs w:val="21"/>
                <w:highlight w:val="none"/>
              </w:rPr>
            </w:pPr>
            <w:r>
              <w:rPr>
                <w:rStyle w:val="41"/>
                <w:rFonts w:hint="eastAsia" w:ascii="宋体" w:hAnsi="宋体" w:eastAsia="宋体" w:cs="宋体"/>
                <w:color w:val="auto"/>
                <w:kern w:val="0"/>
                <w:sz w:val="21"/>
                <w:szCs w:val="21"/>
                <w:highlight w:val="none"/>
              </w:rPr>
              <w:t>X＜10</w:t>
            </w:r>
          </w:p>
        </w:tc>
      </w:tr>
    </w:tbl>
    <w:p>
      <w:pPr>
        <w:spacing w:line="540" w:lineRule="exact"/>
        <w:rPr>
          <w:rStyle w:val="41"/>
          <w:rFonts w:hint="eastAsia" w:ascii="宋体" w:hAnsi="宋体" w:eastAsia="宋体" w:cs="宋体"/>
          <w:color w:val="auto"/>
          <w:spacing w:val="8"/>
          <w:kern w:val="0"/>
          <w:sz w:val="21"/>
          <w:szCs w:val="21"/>
          <w:highlight w:val="none"/>
        </w:rPr>
      </w:pPr>
    </w:p>
    <w:p>
      <w:pPr>
        <w:spacing w:line="540" w:lineRule="exact"/>
        <w:rPr>
          <w:rStyle w:val="41"/>
          <w:rFonts w:hint="eastAsia" w:ascii="宋体" w:hAnsi="宋体" w:eastAsia="宋体" w:cs="宋体"/>
          <w:color w:val="auto"/>
          <w:spacing w:val="8"/>
          <w:kern w:val="0"/>
          <w:sz w:val="21"/>
          <w:szCs w:val="21"/>
          <w:highlight w:val="none"/>
        </w:rPr>
      </w:pPr>
      <w:r>
        <w:rPr>
          <w:rStyle w:val="41"/>
          <w:rFonts w:hint="eastAsia" w:ascii="宋体" w:hAnsi="宋体" w:eastAsia="宋体" w:cs="宋体"/>
          <w:color w:val="auto"/>
          <w:spacing w:val="8"/>
          <w:kern w:val="0"/>
          <w:sz w:val="21"/>
          <w:szCs w:val="21"/>
          <w:highlight w:val="none"/>
        </w:rPr>
        <w:t>说明：</w:t>
      </w:r>
    </w:p>
    <w:p>
      <w:pPr>
        <w:pStyle w:val="43"/>
        <w:spacing w:line="380" w:lineRule="exact"/>
        <w:ind w:firstLine="452" w:firstLineChars="200"/>
        <w:rPr>
          <w:rStyle w:val="41"/>
          <w:rFonts w:hint="eastAsia" w:ascii="宋体" w:hAnsi="宋体" w:eastAsia="宋体" w:cs="宋体"/>
          <w:color w:val="auto"/>
          <w:spacing w:val="8"/>
          <w:sz w:val="21"/>
          <w:szCs w:val="21"/>
          <w:highlight w:val="none"/>
        </w:rPr>
      </w:pPr>
      <w:r>
        <w:rPr>
          <w:rStyle w:val="41"/>
          <w:rFonts w:hint="eastAsia" w:ascii="宋体" w:hAnsi="宋体" w:eastAsia="宋体" w:cs="宋体"/>
          <w:color w:val="auto"/>
          <w:spacing w:val="8"/>
          <w:sz w:val="21"/>
          <w:szCs w:val="21"/>
          <w:highlight w:val="none"/>
        </w:rPr>
        <w:t>1.大型、中型和小型企业须同时满足所列指标的下限，否则下划一档；微型企业只须满足所列指标中的一项即可。</w:t>
      </w:r>
    </w:p>
    <w:p>
      <w:pPr>
        <w:pStyle w:val="43"/>
        <w:spacing w:line="380" w:lineRule="exact"/>
        <w:ind w:firstLine="452" w:firstLineChars="200"/>
        <w:rPr>
          <w:rStyle w:val="41"/>
          <w:rFonts w:hint="eastAsia" w:ascii="宋体" w:hAnsi="宋体" w:eastAsia="宋体" w:cs="宋体"/>
          <w:color w:val="auto"/>
          <w:spacing w:val="8"/>
          <w:sz w:val="21"/>
          <w:szCs w:val="21"/>
          <w:highlight w:val="none"/>
        </w:rPr>
      </w:pPr>
      <w:r>
        <w:rPr>
          <w:rStyle w:val="41"/>
          <w:rFonts w:hint="eastAsia" w:ascii="宋体" w:hAnsi="宋体" w:eastAsia="宋体" w:cs="宋体"/>
          <w:color w:val="auto"/>
          <w:spacing w:val="8"/>
          <w:sz w:val="21"/>
          <w:szCs w:val="21"/>
          <w:highlight w:val="none"/>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pStyle w:val="11"/>
        <w:spacing w:line="340" w:lineRule="exact"/>
        <w:rPr>
          <w:rFonts w:hint="eastAsia" w:ascii="宋体" w:hAnsi="宋体" w:eastAsia="宋体" w:cs="宋体"/>
          <w:b/>
          <w:color w:val="auto"/>
          <w:sz w:val="21"/>
          <w:szCs w:val="21"/>
          <w:highlight w:val="none"/>
          <w:lang w:val="en-US" w:eastAsia="zh-CN"/>
        </w:rPr>
      </w:pPr>
      <w:r>
        <w:rPr>
          <w:rStyle w:val="41"/>
          <w:rFonts w:hint="eastAsia" w:ascii="宋体" w:hAnsi="宋体" w:eastAsia="宋体" w:cs="宋体"/>
          <w:color w:val="auto"/>
          <w:spacing w:val="8"/>
          <w:sz w:val="21"/>
          <w:szCs w:val="21"/>
          <w:highlight w:val="none"/>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pStyle w:val="11"/>
        <w:spacing w:line="340" w:lineRule="exact"/>
        <w:rPr>
          <w:rFonts w:hint="eastAsia" w:ascii="宋体" w:hAnsi="宋体" w:eastAsia="宋体" w:cs="宋体"/>
          <w:b/>
          <w:color w:val="auto"/>
          <w:sz w:val="21"/>
          <w:szCs w:val="21"/>
          <w:highlight w:val="none"/>
          <w:lang w:val="en-US" w:eastAsia="zh-CN"/>
        </w:rPr>
      </w:pPr>
    </w:p>
    <w:p>
      <w:pPr>
        <w:rPr>
          <w:rFonts w:hint="eastAsia" w:ascii="宋体" w:hAnsi="宋体" w:eastAsia="宋体" w:cs="宋体"/>
          <w:b/>
          <w:color w:val="auto"/>
          <w:kern w:val="0"/>
          <w:sz w:val="21"/>
          <w:szCs w:val="21"/>
          <w:highlight w:val="none"/>
          <w:lang w:eastAsia="zh-CN"/>
        </w:rPr>
      </w:pPr>
      <w:r>
        <w:rPr>
          <w:rFonts w:hint="eastAsia" w:ascii="宋体" w:hAnsi="宋体" w:eastAsia="宋体" w:cs="宋体"/>
          <w:b/>
          <w:color w:val="auto"/>
          <w:kern w:val="0"/>
          <w:sz w:val="21"/>
          <w:szCs w:val="21"/>
          <w:highlight w:val="none"/>
          <w:lang w:eastAsia="zh-CN"/>
        </w:rPr>
        <w:br w:type="page"/>
      </w:r>
    </w:p>
    <w:p>
      <w:pPr>
        <w:spacing w:line="588" w:lineRule="exact"/>
        <w:jc w:val="cente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lang w:eastAsia="zh-CN"/>
        </w:rPr>
        <w:t>（</w:t>
      </w:r>
      <w:r>
        <w:rPr>
          <w:rFonts w:hint="eastAsia" w:ascii="宋体" w:hAnsi="宋体" w:eastAsia="宋体" w:cs="宋体"/>
          <w:b/>
          <w:color w:val="auto"/>
          <w:kern w:val="0"/>
          <w:sz w:val="21"/>
          <w:szCs w:val="21"/>
          <w:highlight w:val="none"/>
          <w:lang w:val="en-US" w:eastAsia="zh-CN"/>
        </w:rPr>
        <w:t>2</w:t>
      </w:r>
      <w:r>
        <w:rPr>
          <w:rFonts w:hint="eastAsia" w:ascii="宋体" w:hAnsi="宋体" w:eastAsia="宋体" w:cs="宋体"/>
          <w:b/>
          <w:color w:val="auto"/>
          <w:kern w:val="0"/>
          <w:sz w:val="21"/>
          <w:szCs w:val="21"/>
          <w:highlight w:val="none"/>
          <w:lang w:eastAsia="zh-CN"/>
        </w:rPr>
        <w:t>）</w:t>
      </w:r>
      <w:r>
        <w:rPr>
          <w:rFonts w:hint="eastAsia" w:ascii="宋体" w:hAnsi="宋体" w:eastAsia="宋体" w:cs="宋体"/>
          <w:b/>
          <w:color w:val="auto"/>
          <w:kern w:val="0"/>
          <w:sz w:val="21"/>
          <w:szCs w:val="21"/>
          <w:highlight w:val="none"/>
        </w:rPr>
        <w:t>残疾人福利性单位声明函（格式）</w:t>
      </w:r>
    </w:p>
    <w:p>
      <w:pPr>
        <w:spacing w:line="588" w:lineRule="exact"/>
        <w:rPr>
          <w:rFonts w:hint="eastAsia" w:ascii="宋体" w:hAnsi="宋体" w:eastAsia="宋体" w:cs="宋体"/>
          <w:b/>
          <w:color w:val="auto"/>
          <w:kern w:val="0"/>
          <w:sz w:val="21"/>
          <w:szCs w:val="21"/>
          <w:highlight w:val="none"/>
        </w:rPr>
      </w:pPr>
    </w:p>
    <w:p>
      <w:pPr>
        <w:spacing w:line="588" w:lineRule="exact"/>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本单位对上述声明的真实性负责。如有虚假，将依法承担相应责任。</w:t>
      </w:r>
    </w:p>
    <w:p>
      <w:pPr>
        <w:spacing w:line="588" w:lineRule="exact"/>
        <w:ind w:firstLine="420" w:firstLineChars="200"/>
        <w:rPr>
          <w:rFonts w:hint="eastAsia" w:ascii="宋体" w:hAnsi="宋体" w:eastAsia="宋体" w:cs="宋体"/>
          <w:color w:val="auto"/>
          <w:kern w:val="0"/>
          <w:sz w:val="21"/>
          <w:szCs w:val="21"/>
          <w:highlight w:val="none"/>
        </w:rPr>
      </w:pPr>
    </w:p>
    <w:p>
      <w:pPr>
        <w:widowControl/>
        <w:ind w:firstLine="2310" w:firstLineChars="110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 xml:space="preserve">      </w:t>
      </w:r>
      <w:r>
        <w:rPr>
          <w:rFonts w:hint="eastAsia" w:ascii="宋体" w:hAnsi="宋体" w:eastAsia="宋体" w:cs="宋体"/>
          <w:color w:val="auto"/>
          <w:sz w:val="21"/>
          <w:szCs w:val="21"/>
          <w:highlight w:val="none"/>
          <w:lang w:eastAsia="zh-CN"/>
        </w:rPr>
        <w:t>磋商供应商</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公章</w:t>
      </w:r>
      <w:r>
        <w:rPr>
          <w:rFonts w:hint="eastAsia" w:ascii="宋体" w:hAnsi="宋体" w:eastAsia="宋体" w:cs="宋体"/>
          <w:color w:val="auto"/>
          <w:sz w:val="21"/>
          <w:szCs w:val="21"/>
          <w:highlight w:val="none"/>
          <w:lang w:val="en-US" w:eastAsia="zh-CN"/>
        </w:rPr>
        <w:t>(CA签章)]</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rPr>
        <w:t xml:space="preserve">                                    </w:t>
      </w:r>
    </w:p>
    <w:p>
      <w:pPr>
        <w:pStyle w:val="11"/>
        <w:spacing w:line="300" w:lineRule="exact"/>
        <w:ind w:left="2940" w:leftChars="1400" w:firstLine="630" w:firstLineChars="300"/>
        <w:rPr>
          <w:rFonts w:hint="eastAsia" w:ascii="宋体" w:hAnsi="宋体" w:eastAsia="宋体" w:cs="宋体"/>
          <w:color w:val="auto"/>
          <w:sz w:val="21"/>
          <w:szCs w:val="21"/>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420" w:left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          期：</w:t>
      </w:r>
      <w:r>
        <w:rPr>
          <w:rFonts w:hint="eastAsia" w:ascii="宋体" w:hAnsi="宋体" w:eastAsia="宋体" w:cs="宋体"/>
          <w:color w:val="auto"/>
          <w:sz w:val="21"/>
          <w:szCs w:val="21"/>
          <w:highlight w:val="none"/>
          <w:u w:val="single"/>
        </w:rPr>
        <w:t xml:space="preserve">                         </w:t>
      </w:r>
    </w:p>
    <w:p>
      <w:pPr>
        <w:keepNext w:val="0"/>
        <w:keepLines w:val="0"/>
        <w:pageBreakBefore w:val="0"/>
        <w:widowControl w:val="0"/>
        <w:tabs>
          <w:tab w:val="left" w:pos="1305"/>
        </w:tabs>
        <w:kinsoku/>
        <w:wordWrap/>
        <w:overflowPunct/>
        <w:topLinePunct w:val="0"/>
        <w:autoSpaceDE/>
        <w:autoSpaceDN/>
        <w:bidi w:val="0"/>
        <w:adjustRightInd/>
        <w:snapToGrid/>
        <w:spacing w:line="360" w:lineRule="exact"/>
        <w:ind w:left="0" w:leftChars="0" w:right="0" w:firstLine="420" w:firstLineChars="200"/>
        <w:textAlignment w:val="auto"/>
        <w:rPr>
          <w:rFonts w:hint="eastAsia" w:ascii="宋体" w:hAnsi="宋体" w:eastAsia="宋体" w:cs="宋体"/>
          <w:b w:val="0"/>
          <w:bCs/>
          <w:color w:val="auto"/>
          <w:kern w:val="0"/>
          <w:sz w:val="21"/>
          <w:szCs w:val="21"/>
          <w:highlight w:val="none"/>
          <w:lang w:val="en-US" w:eastAsia="zh-CN"/>
        </w:rPr>
      </w:pPr>
    </w:p>
    <w:p>
      <w:pPr>
        <w:pStyle w:val="2"/>
        <w:rPr>
          <w:rFonts w:hint="eastAsia" w:ascii="宋体" w:hAnsi="宋体" w:eastAsia="宋体" w:cs="宋体"/>
          <w:b/>
          <w:bCs/>
          <w:iCs/>
          <w:color w:val="auto"/>
          <w:kern w:val="2"/>
          <w:sz w:val="21"/>
          <w:szCs w:val="21"/>
          <w:highlight w:val="none"/>
          <w:lang w:val="en-US" w:eastAsia="zh-CN" w:bidi="ar-SA"/>
        </w:rPr>
      </w:pPr>
    </w:p>
    <w:p>
      <w:pPr>
        <w:rPr>
          <w:rFonts w:hint="eastAsia"/>
          <w:color w:val="auto"/>
          <w:highlight w:val="none"/>
          <w:lang w:val="en-US" w:eastAsia="zh-CN"/>
        </w:rPr>
      </w:pPr>
    </w:p>
    <w:p>
      <w:pPr>
        <w:spacing w:line="240" w:lineRule="auto"/>
        <w:rPr>
          <w:rFonts w:hint="eastAsia" w:ascii="宋体" w:hAnsi="宋体" w:cs="宋体"/>
          <w:b/>
          <w:bCs/>
          <w:iCs/>
          <w:color w:val="auto"/>
          <w:kern w:val="2"/>
          <w:sz w:val="21"/>
          <w:szCs w:val="21"/>
          <w:highlight w:val="none"/>
          <w:lang w:val="en-US" w:eastAsia="zh-CN" w:bidi="ar-SA"/>
        </w:rPr>
      </w:pPr>
    </w:p>
    <w:p>
      <w:pPr>
        <w:spacing w:line="240" w:lineRule="auto"/>
        <w:rPr>
          <w:rFonts w:hint="eastAsia" w:ascii="宋体" w:hAnsi="宋体" w:cs="宋体"/>
          <w:b/>
          <w:bCs/>
          <w:iCs/>
          <w:color w:val="auto"/>
          <w:kern w:val="2"/>
          <w:sz w:val="21"/>
          <w:szCs w:val="21"/>
          <w:highlight w:val="none"/>
          <w:lang w:val="en-US" w:eastAsia="zh-CN" w:bidi="ar-SA"/>
        </w:rPr>
      </w:pPr>
    </w:p>
    <w:p>
      <w:pPr>
        <w:spacing w:line="240" w:lineRule="auto"/>
        <w:jc w:val="center"/>
        <w:rPr>
          <w:rFonts w:hint="eastAsia" w:ascii="宋体" w:hAnsi="宋体" w:eastAsia="宋体" w:cs="宋体"/>
          <w:b/>
          <w:color w:val="auto"/>
          <w:spacing w:val="6"/>
          <w:sz w:val="21"/>
          <w:szCs w:val="21"/>
          <w:highlight w:val="none"/>
        </w:rPr>
      </w:pPr>
      <w:r>
        <w:rPr>
          <w:rFonts w:hint="eastAsia" w:ascii="宋体" w:hAnsi="宋体" w:cs="宋体"/>
          <w:b/>
          <w:bCs/>
          <w:iCs/>
          <w:color w:val="auto"/>
          <w:kern w:val="2"/>
          <w:sz w:val="21"/>
          <w:szCs w:val="21"/>
          <w:highlight w:val="none"/>
          <w:lang w:val="en-US" w:eastAsia="zh-CN" w:bidi="ar-SA"/>
        </w:rPr>
        <w:t>（3）</w:t>
      </w:r>
      <w:r>
        <w:rPr>
          <w:rFonts w:hint="eastAsia" w:ascii="宋体" w:hAnsi="宋体" w:eastAsia="宋体" w:cs="宋体"/>
          <w:b/>
          <w:color w:val="auto"/>
          <w:sz w:val="21"/>
          <w:szCs w:val="21"/>
          <w:highlight w:val="none"/>
          <w:lang w:val="en-US" w:eastAsia="zh-CN" w:bidi="ar"/>
        </w:rPr>
        <w:t>监狱企业的证明文件复印件[供应商如为监狱企业的，应当提供由省级以上监狱管理局、戒毒管理局（含新疆生产建设兵团）出具的属于监狱企业的证明文件, 否则不予享受优惠政策。</w:t>
      </w:r>
    </w:p>
    <w:p>
      <w:pPr>
        <w:pStyle w:val="5"/>
        <w:rPr>
          <w:rFonts w:hint="eastAsia" w:ascii="宋体" w:hAnsi="宋体" w:eastAsia="宋体" w:cs="宋体"/>
          <w:b/>
          <w:color w:val="auto"/>
          <w:sz w:val="21"/>
          <w:szCs w:val="21"/>
          <w:highlight w:val="none"/>
          <w:lang w:val="en-US" w:eastAsia="zh-CN"/>
        </w:rPr>
      </w:pPr>
    </w:p>
    <w:p>
      <w:pPr>
        <w:rPr>
          <w:rFonts w:hint="eastAsia" w:ascii="宋体" w:hAnsi="宋体" w:eastAsia="宋体" w:cs="宋体"/>
          <w:color w:val="auto"/>
          <w:sz w:val="21"/>
          <w:szCs w:val="21"/>
          <w:highlight w:val="none"/>
          <w:lang w:val="en-US" w:eastAsia="zh-CN"/>
        </w:rPr>
      </w:pPr>
    </w:p>
    <w:p>
      <w:pPr>
        <w:rPr>
          <w:rFonts w:hint="eastAsia" w:ascii="宋体" w:hAnsi="宋体" w:eastAsia="宋体" w:cs="宋体"/>
          <w:color w:val="auto"/>
          <w:sz w:val="21"/>
          <w:szCs w:val="21"/>
          <w:highlight w:val="none"/>
          <w:lang w:val="en-US" w:eastAsia="zh-CN"/>
        </w:rPr>
      </w:pPr>
    </w:p>
    <w:p>
      <w:pPr>
        <w:pStyle w:val="8"/>
        <w:rPr>
          <w:rFonts w:hint="eastAsia"/>
          <w:color w:val="auto"/>
          <w:highlight w:val="none"/>
          <w:lang w:val="en-US" w:eastAsia="zh-CN"/>
        </w:rPr>
      </w:pPr>
    </w:p>
    <w:p>
      <w:pPr>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br w:type="page"/>
      </w:r>
    </w:p>
    <w:p>
      <w:pPr>
        <w:pStyle w:val="11"/>
        <w:spacing w:line="340" w:lineRule="exact"/>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7.供应商有效的安全生产许可证书复印件（必须提供）；</w:t>
      </w:r>
    </w:p>
    <w:p>
      <w:pPr>
        <w:pStyle w:val="11"/>
        <w:spacing w:line="340" w:lineRule="exact"/>
        <w:rPr>
          <w:rFonts w:hint="eastAsia" w:ascii="宋体" w:hAnsi="宋体" w:eastAsia="宋体" w:cs="宋体"/>
          <w:b/>
          <w:color w:val="auto"/>
          <w:sz w:val="24"/>
          <w:szCs w:val="24"/>
          <w:highlight w:val="none"/>
          <w:lang w:val="en-US" w:eastAsia="zh-CN"/>
        </w:rPr>
      </w:pPr>
    </w:p>
    <w:p>
      <w:pPr>
        <w:rPr>
          <w:rFonts w:hint="eastAsia" w:ascii="宋体" w:hAnsi="宋体" w:eastAsia="宋体" w:cs="宋体"/>
          <w:color w:val="auto"/>
          <w:sz w:val="24"/>
          <w:szCs w:val="24"/>
          <w:highlight w:val="none"/>
          <w:lang w:val="en-US" w:eastAsia="zh-CN"/>
        </w:rPr>
      </w:pPr>
    </w:p>
    <w:p>
      <w:pPr>
        <w:pStyle w:val="8"/>
        <w:rPr>
          <w:rFonts w:hint="eastAsia"/>
          <w:color w:val="auto"/>
          <w:highlight w:val="none"/>
          <w:lang w:val="en-US" w:eastAsia="zh-CN"/>
        </w:rPr>
      </w:pPr>
    </w:p>
    <w:p>
      <w:pPr>
        <w:pStyle w:val="8"/>
        <w:rPr>
          <w:rFonts w:hint="eastAsia"/>
          <w:color w:val="auto"/>
          <w:sz w:val="24"/>
          <w:szCs w:val="24"/>
          <w:highlight w:val="none"/>
          <w:lang w:val="en-US" w:eastAsia="zh-CN"/>
        </w:rPr>
      </w:pPr>
    </w:p>
    <w:p>
      <w:pPr>
        <w:pStyle w:val="11"/>
        <w:spacing w:line="340" w:lineRule="exact"/>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8.供应商</w:t>
      </w:r>
      <w:r>
        <w:rPr>
          <w:rFonts w:hint="eastAsia" w:ascii="宋体" w:hAnsi="宋体" w:eastAsia="宋体" w:cs="宋体"/>
          <w:b/>
          <w:color w:val="auto"/>
          <w:sz w:val="24"/>
          <w:szCs w:val="24"/>
          <w:highlight w:val="none"/>
          <w:lang w:val="en-US" w:eastAsia="zh-CN"/>
        </w:rPr>
        <w:t>2022</w:t>
      </w:r>
      <w:r>
        <w:rPr>
          <w:rFonts w:hint="eastAsia" w:ascii="宋体" w:hAnsi="宋体" w:eastAsia="宋体" w:cs="宋体"/>
          <w:b/>
          <w:color w:val="auto"/>
          <w:sz w:val="24"/>
          <w:szCs w:val="24"/>
          <w:highlight w:val="none"/>
          <w:lang w:val="en-US" w:eastAsia="zh-CN"/>
        </w:rPr>
        <w:t>年度财务状况报告</w:t>
      </w:r>
      <w:r>
        <w:rPr>
          <w:rFonts w:hint="eastAsia" w:hAnsi="宋体" w:cs="宋体"/>
          <w:b/>
          <w:color w:val="auto"/>
          <w:sz w:val="24"/>
          <w:szCs w:val="24"/>
          <w:highlight w:val="none"/>
          <w:lang w:val="en-US" w:eastAsia="zh-CN"/>
        </w:rPr>
        <w:t>复印件</w:t>
      </w:r>
      <w:r>
        <w:rPr>
          <w:rFonts w:hint="eastAsia" w:ascii="宋体" w:hAnsi="宋体" w:eastAsia="宋体" w:cs="宋体"/>
          <w:b/>
          <w:color w:val="auto"/>
          <w:sz w:val="24"/>
          <w:szCs w:val="24"/>
          <w:highlight w:val="none"/>
          <w:lang w:val="en-US" w:eastAsia="zh-CN"/>
        </w:rPr>
        <w:t>（必须提供，可以是磋商供应商自行编制也可是通过第三方审计公司编制，如为自行编制至少须提供现金流量表、负债表及利润表）；</w:t>
      </w:r>
    </w:p>
    <w:p>
      <w:pPr>
        <w:pStyle w:val="6"/>
        <w:numPr>
          <w:ilvl w:val="0"/>
          <w:numId w:val="0"/>
        </w:numPr>
        <w:rPr>
          <w:rFonts w:hint="eastAsia" w:ascii="宋体" w:hAnsi="宋体" w:eastAsia="宋体" w:cs="宋体"/>
          <w:b/>
          <w:color w:val="auto"/>
          <w:sz w:val="24"/>
          <w:szCs w:val="24"/>
          <w:highlight w:val="none"/>
          <w:lang w:val="en-US" w:eastAsia="zh-CN"/>
        </w:rPr>
      </w:pPr>
    </w:p>
    <w:p>
      <w:pPr>
        <w:pStyle w:val="8"/>
        <w:rPr>
          <w:rFonts w:hint="eastAsia" w:ascii="宋体" w:hAnsi="宋体" w:eastAsia="宋体" w:cs="宋体"/>
          <w:color w:val="auto"/>
          <w:sz w:val="24"/>
          <w:szCs w:val="24"/>
          <w:highlight w:val="none"/>
          <w:lang w:val="en-US" w:eastAsia="zh-CN"/>
        </w:rPr>
      </w:pPr>
    </w:p>
    <w:p>
      <w:pPr>
        <w:rPr>
          <w:rFonts w:hint="eastAsia"/>
          <w:color w:val="auto"/>
          <w:highlight w:val="none"/>
          <w:lang w:val="en-US" w:eastAsia="zh-CN"/>
        </w:rPr>
      </w:pPr>
    </w:p>
    <w:p>
      <w:pPr>
        <w:rPr>
          <w:rFonts w:hint="eastAsia"/>
          <w:color w:val="auto"/>
          <w:sz w:val="24"/>
          <w:szCs w:val="24"/>
          <w:highlight w:val="none"/>
          <w:lang w:val="en-US" w:eastAsia="zh-CN"/>
        </w:rPr>
      </w:pPr>
    </w:p>
    <w:p>
      <w:pPr>
        <w:pStyle w:val="6"/>
        <w:numPr>
          <w:ilvl w:val="0"/>
          <w:numId w:val="0"/>
        </w:numPr>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9.供应商在磋商当天前近半年内任意一个月或任一季度依法缴纳税收的证明材料（增值税发票(税收完税证明)或企业所得税完税证明或税务部门出具的免税证明）复印件（必须提供）。</w:t>
      </w:r>
    </w:p>
    <w:p>
      <w:pPr>
        <w:numPr>
          <w:ilvl w:val="0"/>
          <w:numId w:val="0"/>
        </w:numPr>
        <w:ind w:left="420" w:leftChars="0"/>
        <w:jc w:val="center"/>
        <w:rPr>
          <w:rFonts w:hint="eastAsia" w:ascii="宋体" w:hAnsi="宋体" w:eastAsia="宋体" w:cs="宋体"/>
          <w:b/>
          <w:bCs/>
          <w:color w:val="auto"/>
          <w:sz w:val="21"/>
          <w:szCs w:val="21"/>
          <w:highlight w:val="none"/>
          <w:lang w:eastAsia="zh-CN"/>
        </w:rPr>
      </w:pPr>
    </w:p>
    <w:p>
      <w:pPr>
        <w:numPr>
          <w:ilvl w:val="0"/>
          <w:numId w:val="0"/>
        </w:numPr>
        <w:ind w:left="420" w:leftChars="0"/>
        <w:jc w:val="center"/>
        <w:rPr>
          <w:rFonts w:hint="eastAsia" w:ascii="宋体" w:hAnsi="宋体" w:eastAsia="宋体" w:cs="宋体"/>
          <w:b/>
          <w:bCs/>
          <w:color w:val="auto"/>
          <w:sz w:val="21"/>
          <w:szCs w:val="21"/>
          <w:highlight w:val="none"/>
          <w:lang w:eastAsia="zh-CN"/>
        </w:rPr>
      </w:pPr>
    </w:p>
    <w:p>
      <w:pPr>
        <w:pStyle w:val="23"/>
        <w:rPr>
          <w:rFonts w:hint="eastAsia" w:ascii="宋体" w:hAnsi="宋体" w:eastAsia="宋体" w:cs="宋体"/>
          <w:b/>
          <w:bCs/>
          <w:color w:val="auto"/>
          <w:sz w:val="21"/>
          <w:szCs w:val="21"/>
          <w:highlight w:val="none"/>
          <w:lang w:eastAsia="zh-CN"/>
        </w:rPr>
      </w:pPr>
    </w:p>
    <w:p>
      <w:pPr>
        <w:pStyle w:val="23"/>
        <w:rPr>
          <w:rFonts w:hint="eastAsia" w:ascii="宋体" w:hAnsi="宋体" w:eastAsia="宋体" w:cs="宋体"/>
          <w:b/>
          <w:bCs/>
          <w:color w:val="auto"/>
          <w:sz w:val="21"/>
          <w:szCs w:val="21"/>
          <w:highlight w:val="none"/>
          <w:lang w:eastAsia="zh-CN"/>
        </w:rPr>
      </w:pPr>
    </w:p>
    <w:p>
      <w:pPr>
        <w:pStyle w:val="23"/>
        <w:rPr>
          <w:rFonts w:hint="eastAsia" w:ascii="宋体" w:hAnsi="宋体" w:eastAsia="宋体" w:cs="宋体"/>
          <w:b/>
          <w:bCs/>
          <w:color w:val="auto"/>
          <w:sz w:val="21"/>
          <w:szCs w:val="21"/>
          <w:highlight w:val="none"/>
          <w:lang w:eastAsia="zh-CN"/>
        </w:rPr>
      </w:pPr>
    </w:p>
    <w:p>
      <w:pPr>
        <w:numPr>
          <w:ilvl w:val="0"/>
          <w:numId w:val="0"/>
        </w:numPr>
        <w:jc w:val="center"/>
        <w:rPr>
          <w:rFonts w:hint="eastAsia" w:ascii="宋体" w:hAnsi="宋体" w:eastAsia="宋体" w:cs="宋体"/>
          <w:b/>
          <w:bCs/>
          <w:color w:val="auto"/>
          <w:sz w:val="21"/>
          <w:szCs w:val="21"/>
          <w:highlight w:val="none"/>
          <w:lang w:eastAsia="zh-CN"/>
        </w:rPr>
      </w:pPr>
    </w:p>
    <w:p>
      <w:pPr>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br w:type="page"/>
      </w:r>
    </w:p>
    <w:p>
      <w:pPr>
        <w:numPr>
          <w:ilvl w:val="0"/>
          <w:numId w:val="0"/>
        </w:numPr>
        <w:jc w:val="both"/>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eastAsia="zh-CN"/>
        </w:rPr>
        <w:t>（二）</w:t>
      </w:r>
      <w:r>
        <w:rPr>
          <w:rFonts w:hint="eastAsia" w:ascii="宋体" w:hAnsi="宋体" w:eastAsia="宋体" w:cs="宋体"/>
          <w:b/>
          <w:bCs/>
          <w:color w:val="auto"/>
          <w:sz w:val="21"/>
          <w:szCs w:val="21"/>
          <w:highlight w:val="none"/>
        </w:rPr>
        <w:t>符合性响应证明材料目录</w:t>
      </w:r>
    </w:p>
    <w:p>
      <w:pPr>
        <w:numPr>
          <w:ilvl w:val="0"/>
          <w:numId w:val="0"/>
        </w:numPr>
        <w:spacing w:line="360" w:lineRule="auto"/>
        <w:ind w:left="420" w:leftChars="0"/>
        <w:rPr>
          <w:rFonts w:hint="eastAsia" w:ascii="宋体" w:hAnsi="宋体" w:eastAsia="宋体" w:cs="宋体"/>
          <w:color w:val="auto"/>
          <w:sz w:val="21"/>
          <w:szCs w:val="21"/>
          <w:highlight w:val="none"/>
          <w:lang w:val="en-US" w:eastAsia="zh-CN"/>
        </w:rPr>
      </w:pPr>
    </w:p>
    <w:p>
      <w:pPr>
        <w:pageBreakBefore w:val="0"/>
        <w:widowControl w:val="0"/>
        <w:numPr>
          <w:ilvl w:val="0"/>
          <w:numId w:val="0"/>
        </w:numPr>
        <w:kinsoku/>
        <w:wordWrap/>
        <w:overflowPunct/>
        <w:topLinePunct w:val="0"/>
        <w:autoSpaceDE/>
        <w:autoSpaceDN/>
        <w:bidi w:val="0"/>
        <w:adjustRightInd/>
        <w:snapToGrid/>
        <w:spacing w:line="380" w:lineRule="exact"/>
        <w:ind w:left="0" w:leftChars="0" w:firstLine="420" w:firstLineChars="200"/>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响应函</w:t>
      </w:r>
      <w:r>
        <w:rPr>
          <w:rFonts w:hint="eastAsia" w:ascii="宋体" w:hAnsi="宋体" w:eastAsia="宋体" w:cs="宋体"/>
          <w:b/>
          <w:bCs/>
          <w:color w:val="auto"/>
          <w:sz w:val="21"/>
          <w:szCs w:val="21"/>
          <w:highlight w:val="none"/>
        </w:rPr>
        <w:t>（格式见附件）（必须提供</w:t>
      </w:r>
      <w:r>
        <w:rPr>
          <w:rFonts w:hint="eastAsia" w:ascii="宋体" w:hAnsi="宋体" w:eastAsia="宋体" w:cs="宋体"/>
          <w:color w:val="auto"/>
          <w:sz w:val="21"/>
          <w:szCs w:val="21"/>
          <w:highlight w:val="none"/>
        </w:rPr>
        <w:t>）</w:t>
      </w:r>
      <w:r>
        <w:rPr>
          <w:rFonts w:hint="eastAsia" w:ascii="宋体" w:hAnsi="宋体" w:eastAsia="宋体" w:cs="宋体"/>
          <w:b/>
          <w:bCs/>
          <w:color w:val="auto"/>
          <w:sz w:val="21"/>
          <w:szCs w:val="21"/>
          <w:highlight w:val="none"/>
          <w:lang w:eastAsia="zh-CN"/>
        </w:rPr>
        <w:t>；</w:t>
      </w:r>
    </w:p>
    <w:p>
      <w:pPr>
        <w:pageBreakBefore w:val="0"/>
        <w:widowControl w:val="0"/>
        <w:numPr>
          <w:ilvl w:val="0"/>
          <w:numId w:val="0"/>
        </w:numPr>
        <w:kinsoku/>
        <w:wordWrap/>
        <w:overflowPunct/>
        <w:topLinePunct w:val="0"/>
        <w:autoSpaceDE/>
        <w:autoSpaceDN/>
        <w:bidi w:val="0"/>
        <w:adjustRightInd/>
        <w:snapToGrid/>
        <w:spacing w:line="380" w:lineRule="exact"/>
        <w:ind w:left="0" w:leftChars="0" w:firstLine="420" w:firstLineChars="200"/>
        <w:textAlignment w:val="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工程报价汇总表</w:t>
      </w:r>
      <w:r>
        <w:rPr>
          <w:rFonts w:hint="eastAsia" w:ascii="宋体" w:hAnsi="宋体" w:eastAsia="宋体" w:cs="宋体"/>
          <w:b/>
          <w:bCs/>
          <w:color w:val="auto"/>
          <w:sz w:val="21"/>
          <w:szCs w:val="21"/>
          <w:highlight w:val="none"/>
        </w:rPr>
        <w:t>（格式见附件）（必须提供）；</w:t>
      </w:r>
    </w:p>
    <w:p>
      <w:pPr>
        <w:pageBreakBefore w:val="0"/>
        <w:widowControl w:val="0"/>
        <w:numPr>
          <w:ilvl w:val="0"/>
          <w:numId w:val="0"/>
        </w:numPr>
        <w:kinsoku/>
        <w:wordWrap/>
        <w:overflowPunct/>
        <w:topLinePunct w:val="0"/>
        <w:autoSpaceDE/>
        <w:autoSpaceDN/>
        <w:bidi w:val="0"/>
        <w:adjustRightInd/>
        <w:snapToGrid/>
        <w:spacing w:line="380" w:lineRule="exact"/>
        <w:ind w:left="0" w:lef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3.标价工程量清单</w:t>
      </w:r>
      <w:r>
        <w:rPr>
          <w:rFonts w:hint="eastAsia" w:ascii="宋体" w:hAnsi="宋体" w:eastAsia="宋体" w:cs="宋体"/>
          <w:b/>
          <w:bCs/>
          <w:color w:val="auto"/>
          <w:sz w:val="21"/>
          <w:szCs w:val="21"/>
          <w:highlight w:val="none"/>
          <w:lang w:val="en-US" w:eastAsia="zh-CN"/>
        </w:rPr>
        <w:t>（必须提供）</w:t>
      </w:r>
      <w:r>
        <w:rPr>
          <w:rFonts w:hint="eastAsia" w:ascii="宋体" w:hAnsi="宋体" w:eastAsia="宋体" w:cs="宋体"/>
          <w:b w:val="0"/>
          <w:bCs w:val="0"/>
          <w:color w:val="auto"/>
          <w:sz w:val="21"/>
          <w:szCs w:val="21"/>
          <w:highlight w:val="none"/>
          <w:lang w:val="en-US" w:eastAsia="zh-CN"/>
        </w:rPr>
        <w:t>；</w:t>
      </w:r>
    </w:p>
    <w:p>
      <w:pPr>
        <w:pageBreakBefore w:val="0"/>
        <w:widowControl w:val="0"/>
        <w:numPr>
          <w:ilvl w:val="0"/>
          <w:numId w:val="0"/>
        </w:numPr>
        <w:kinsoku/>
        <w:wordWrap/>
        <w:overflowPunct/>
        <w:topLinePunct w:val="0"/>
        <w:autoSpaceDE/>
        <w:autoSpaceDN/>
        <w:bidi w:val="0"/>
        <w:adjustRightInd/>
        <w:snapToGrid/>
        <w:spacing w:line="38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拟投入本工程主要施工管理人员表</w:t>
      </w:r>
      <w:r>
        <w:rPr>
          <w:rFonts w:hint="eastAsia" w:ascii="宋体" w:hAnsi="宋体" w:eastAsia="宋体" w:cs="宋体"/>
          <w:b/>
          <w:bCs/>
          <w:color w:val="auto"/>
          <w:sz w:val="21"/>
          <w:szCs w:val="21"/>
          <w:highlight w:val="none"/>
        </w:rPr>
        <w:t>（必须提供）；</w:t>
      </w:r>
    </w:p>
    <w:p>
      <w:pPr>
        <w:pageBreakBefore w:val="0"/>
        <w:widowControl w:val="0"/>
        <w:kinsoku/>
        <w:wordWrap/>
        <w:overflowPunct/>
        <w:topLinePunct w:val="0"/>
        <w:autoSpaceDE/>
        <w:autoSpaceDN/>
        <w:bidi w:val="0"/>
        <w:adjustRightInd/>
        <w:snapToGrid/>
        <w:spacing w:line="380" w:lineRule="exact"/>
        <w:ind w:left="0" w:leftChars="0" w:firstLine="422" w:firstLineChars="200"/>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rPr>
        <w:t>并一起提供由县级以上（含县级）社会养老保险经办机构出具的供应商为项目实施人员交纳的响应文件递交截止时间前半年内任意连续三个月社保证明复印件</w:t>
      </w:r>
      <w:r>
        <w:rPr>
          <w:rFonts w:hint="eastAsia" w:ascii="宋体" w:hAnsi="宋体" w:cs="宋体"/>
          <w:b/>
          <w:bCs/>
          <w:color w:val="auto"/>
          <w:sz w:val="21"/>
          <w:szCs w:val="21"/>
          <w:highlight w:val="none"/>
          <w:lang w:eastAsia="zh-CN"/>
        </w:rPr>
        <w:t>。</w:t>
      </w:r>
    </w:p>
    <w:p>
      <w:pPr>
        <w:pageBreakBefore w:val="0"/>
        <w:widowControl w:val="0"/>
        <w:numPr>
          <w:ilvl w:val="0"/>
          <w:numId w:val="0"/>
        </w:numPr>
        <w:kinsoku/>
        <w:wordWrap/>
        <w:overflowPunct/>
        <w:topLinePunct w:val="0"/>
        <w:autoSpaceDE/>
        <w:autoSpaceDN/>
        <w:bidi w:val="0"/>
        <w:adjustRightInd/>
        <w:snapToGrid/>
        <w:spacing w:line="380" w:lineRule="exact"/>
        <w:ind w:left="0" w:leftChars="0"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lang w:eastAsia="zh-CN"/>
        </w:rPr>
        <w:t>担任本工程的项目经理简历表（应附相关证书、身份证复印件）</w:t>
      </w:r>
      <w:r>
        <w:rPr>
          <w:rFonts w:hint="eastAsia" w:ascii="宋体" w:hAnsi="宋体" w:eastAsia="宋体" w:cs="宋体"/>
          <w:b/>
          <w:bCs/>
          <w:color w:val="auto"/>
          <w:sz w:val="21"/>
          <w:szCs w:val="21"/>
          <w:highlight w:val="none"/>
          <w:lang w:eastAsia="zh-CN"/>
        </w:rPr>
        <w:t>（必须提供）</w:t>
      </w:r>
      <w:r>
        <w:rPr>
          <w:rFonts w:hint="eastAsia" w:ascii="宋体" w:hAnsi="宋体" w:eastAsia="宋体" w:cs="宋体"/>
          <w:color w:val="auto"/>
          <w:sz w:val="21"/>
          <w:szCs w:val="21"/>
          <w:highlight w:val="none"/>
          <w:lang w:eastAsia="zh-CN"/>
        </w:rPr>
        <w:t>；</w:t>
      </w:r>
    </w:p>
    <w:p>
      <w:pPr>
        <w:pageBreakBefore w:val="0"/>
        <w:widowControl w:val="0"/>
        <w:numPr>
          <w:ilvl w:val="0"/>
          <w:numId w:val="0"/>
        </w:numPr>
        <w:kinsoku/>
        <w:wordWrap/>
        <w:overflowPunct/>
        <w:topLinePunct w:val="0"/>
        <w:autoSpaceDE/>
        <w:autoSpaceDN/>
        <w:bidi w:val="0"/>
        <w:adjustRightInd/>
        <w:snapToGrid/>
        <w:spacing w:line="380" w:lineRule="exact"/>
        <w:ind w:left="0" w:leftChars="0" w:firstLine="420" w:firstLineChars="2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6.</w:t>
      </w:r>
      <w:r>
        <w:rPr>
          <w:rFonts w:hint="eastAsia" w:ascii="宋体" w:hAnsi="宋体" w:eastAsia="宋体" w:cs="宋体"/>
          <w:b w:val="0"/>
          <w:bCs w:val="0"/>
          <w:color w:val="auto"/>
          <w:sz w:val="21"/>
          <w:szCs w:val="21"/>
          <w:highlight w:val="none"/>
          <w:lang w:eastAsia="zh-CN"/>
        </w:rPr>
        <w:t>施工组织设计方案</w:t>
      </w:r>
      <w:r>
        <w:rPr>
          <w:rFonts w:hint="eastAsia" w:ascii="宋体" w:hAnsi="宋体" w:eastAsia="宋体" w:cs="宋体"/>
          <w:b/>
          <w:bCs/>
          <w:color w:val="auto"/>
          <w:sz w:val="21"/>
          <w:szCs w:val="21"/>
          <w:highlight w:val="none"/>
          <w:lang w:eastAsia="zh-CN"/>
        </w:rPr>
        <w:t>（必须提供）</w:t>
      </w:r>
      <w:r>
        <w:rPr>
          <w:rFonts w:hint="eastAsia" w:ascii="宋体" w:hAnsi="宋体" w:eastAsia="宋体" w:cs="宋体"/>
          <w:color w:val="auto"/>
          <w:sz w:val="21"/>
          <w:szCs w:val="21"/>
          <w:highlight w:val="none"/>
          <w:lang w:eastAsia="zh-CN"/>
        </w:rPr>
        <w:t>；</w:t>
      </w:r>
    </w:p>
    <w:p>
      <w:pPr>
        <w:pageBreakBefore w:val="0"/>
        <w:widowControl w:val="0"/>
        <w:numPr>
          <w:ilvl w:val="0"/>
          <w:numId w:val="0"/>
        </w:numPr>
        <w:kinsoku/>
        <w:wordWrap/>
        <w:overflowPunct/>
        <w:topLinePunct w:val="0"/>
        <w:autoSpaceDE/>
        <w:autoSpaceDN/>
        <w:bidi w:val="0"/>
        <w:adjustRightInd/>
        <w:snapToGrid/>
        <w:spacing w:line="380" w:lineRule="exact"/>
        <w:ind w:left="0" w:leftChars="0" w:firstLine="420" w:firstLineChars="2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7.工程完工服务承诺书</w:t>
      </w:r>
      <w:r>
        <w:rPr>
          <w:rFonts w:hint="eastAsia" w:ascii="宋体" w:hAnsi="宋体" w:eastAsia="宋体" w:cs="宋体"/>
          <w:b/>
          <w:bCs/>
          <w:color w:val="auto"/>
          <w:sz w:val="21"/>
          <w:szCs w:val="21"/>
          <w:highlight w:val="none"/>
          <w:lang w:val="en-US" w:eastAsia="zh-CN"/>
        </w:rPr>
        <w:t>（必须提供）</w:t>
      </w:r>
      <w:r>
        <w:rPr>
          <w:rFonts w:hint="eastAsia" w:ascii="宋体" w:hAnsi="宋体" w:eastAsia="宋体" w:cs="宋体"/>
          <w:b w:val="0"/>
          <w:bCs w:val="0"/>
          <w:color w:val="auto"/>
          <w:sz w:val="21"/>
          <w:szCs w:val="21"/>
          <w:highlight w:val="none"/>
          <w:lang w:val="en-US" w:eastAsia="zh-CN"/>
        </w:rPr>
        <w:t>；</w:t>
      </w:r>
    </w:p>
    <w:p>
      <w:pPr>
        <w:pStyle w:val="2"/>
        <w:pageBreakBefore w:val="0"/>
        <w:widowControl w:val="0"/>
        <w:numPr>
          <w:ilvl w:val="0"/>
          <w:numId w:val="0"/>
        </w:numPr>
        <w:kinsoku/>
        <w:wordWrap/>
        <w:overflowPunct/>
        <w:topLinePunct w:val="0"/>
        <w:autoSpaceDE/>
        <w:autoSpaceDN/>
        <w:bidi w:val="0"/>
        <w:adjustRightInd/>
        <w:snapToGrid/>
        <w:spacing w:before="0" w:after="0" w:line="380" w:lineRule="exact"/>
        <w:ind w:left="0" w:leftChars="0" w:firstLine="420" w:firstLineChars="200"/>
        <w:textAlignment w:val="auto"/>
        <w:rPr>
          <w:rFonts w:hint="eastAsia" w:ascii="宋体" w:hAnsi="宋体" w:eastAsia="宋体" w:cs="宋体"/>
          <w:b/>
          <w:bCs/>
          <w:color w:val="auto"/>
          <w:kern w:val="2"/>
          <w:sz w:val="21"/>
          <w:szCs w:val="21"/>
          <w:highlight w:val="none"/>
          <w:lang w:val="en-US" w:eastAsia="zh-CN" w:bidi="ar-SA"/>
        </w:rPr>
      </w:pPr>
      <w:bookmarkStart w:id="1967" w:name="_Toc15523"/>
      <w:bookmarkStart w:id="1968" w:name="_Toc6633"/>
      <w:bookmarkStart w:id="1969" w:name="_Toc1014"/>
      <w:r>
        <w:rPr>
          <w:rFonts w:hint="eastAsia" w:ascii="宋体" w:hAnsi="宋体" w:eastAsia="宋体" w:cs="宋体"/>
          <w:b w:val="0"/>
          <w:bCs w:val="0"/>
          <w:color w:val="auto"/>
          <w:kern w:val="2"/>
          <w:sz w:val="21"/>
          <w:szCs w:val="21"/>
          <w:highlight w:val="none"/>
          <w:lang w:val="en-US" w:eastAsia="zh-CN" w:bidi="ar-SA"/>
        </w:rPr>
        <w:t>8.农民工工资保障金交纳与使用承诺书</w:t>
      </w:r>
      <w:r>
        <w:rPr>
          <w:rFonts w:hint="eastAsia" w:ascii="宋体" w:hAnsi="宋体" w:eastAsia="宋体" w:cs="宋体"/>
          <w:b/>
          <w:bCs/>
          <w:color w:val="auto"/>
          <w:kern w:val="2"/>
          <w:sz w:val="21"/>
          <w:szCs w:val="21"/>
          <w:highlight w:val="none"/>
          <w:lang w:val="en-US" w:eastAsia="zh-CN" w:bidi="ar-SA"/>
        </w:rPr>
        <w:t>（必须提供）</w:t>
      </w:r>
      <w:r>
        <w:rPr>
          <w:rFonts w:hint="eastAsia" w:ascii="宋体" w:hAnsi="宋体" w:eastAsia="宋体" w:cs="宋体"/>
          <w:b w:val="0"/>
          <w:bCs w:val="0"/>
          <w:color w:val="auto"/>
          <w:kern w:val="2"/>
          <w:sz w:val="21"/>
          <w:szCs w:val="21"/>
          <w:highlight w:val="none"/>
          <w:lang w:val="en-US" w:eastAsia="zh-CN" w:bidi="ar-SA"/>
        </w:rPr>
        <w:t>；</w:t>
      </w:r>
      <w:bookmarkEnd w:id="1967"/>
      <w:bookmarkEnd w:id="1968"/>
      <w:bookmarkEnd w:id="1969"/>
    </w:p>
    <w:p>
      <w:pPr>
        <w:pStyle w:val="2"/>
        <w:pageBreakBefore w:val="0"/>
        <w:widowControl w:val="0"/>
        <w:numPr>
          <w:ilvl w:val="0"/>
          <w:numId w:val="0"/>
        </w:numPr>
        <w:kinsoku/>
        <w:wordWrap/>
        <w:overflowPunct/>
        <w:topLinePunct w:val="0"/>
        <w:autoSpaceDE/>
        <w:autoSpaceDN/>
        <w:bidi w:val="0"/>
        <w:adjustRightInd/>
        <w:snapToGrid/>
        <w:spacing w:before="0" w:after="0" w:line="380" w:lineRule="exact"/>
        <w:ind w:left="0" w:leftChars="0" w:firstLine="420" w:firstLineChars="200"/>
        <w:textAlignment w:val="auto"/>
        <w:rPr>
          <w:rFonts w:hint="eastAsia" w:ascii="宋体" w:hAnsi="宋体" w:eastAsia="宋体" w:cs="宋体"/>
          <w:color w:val="auto"/>
          <w:sz w:val="21"/>
          <w:szCs w:val="21"/>
          <w:highlight w:val="none"/>
          <w:lang w:val="en-US" w:eastAsia="zh-CN"/>
        </w:rPr>
      </w:pPr>
      <w:bookmarkStart w:id="1970" w:name="_Toc6752"/>
      <w:bookmarkStart w:id="1971" w:name="_Toc13958"/>
      <w:bookmarkStart w:id="1972" w:name="_Toc19490"/>
      <w:r>
        <w:rPr>
          <w:rFonts w:hint="eastAsia" w:ascii="宋体" w:hAnsi="宋体" w:eastAsia="宋体" w:cs="宋体"/>
          <w:b w:val="0"/>
          <w:bCs w:val="0"/>
          <w:color w:val="auto"/>
          <w:kern w:val="2"/>
          <w:sz w:val="21"/>
          <w:szCs w:val="21"/>
          <w:highlight w:val="none"/>
          <w:lang w:val="en-US" w:eastAsia="zh-CN" w:bidi="ar-SA"/>
        </w:rPr>
        <w:t>9.城乡清洁工程渣土清运承诺书</w:t>
      </w:r>
      <w:r>
        <w:rPr>
          <w:rFonts w:hint="eastAsia" w:ascii="宋体" w:hAnsi="宋体" w:eastAsia="宋体" w:cs="宋体"/>
          <w:b/>
          <w:bCs/>
          <w:color w:val="auto"/>
          <w:kern w:val="2"/>
          <w:sz w:val="21"/>
          <w:szCs w:val="21"/>
          <w:highlight w:val="none"/>
          <w:lang w:val="en-US" w:eastAsia="zh-CN" w:bidi="ar-SA"/>
        </w:rPr>
        <w:t>（必须提供）</w:t>
      </w:r>
      <w:r>
        <w:rPr>
          <w:rFonts w:hint="eastAsia" w:ascii="宋体" w:hAnsi="宋体" w:eastAsia="宋体" w:cs="宋体"/>
          <w:b w:val="0"/>
          <w:bCs w:val="0"/>
          <w:color w:val="auto"/>
          <w:kern w:val="2"/>
          <w:sz w:val="21"/>
          <w:szCs w:val="21"/>
          <w:highlight w:val="none"/>
          <w:lang w:val="en-US" w:eastAsia="zh-CN" w:bidi="ar-SA"/>
        </w:rPr>
        <w:t>。</w:t>
      </w:r>
      <w:bookmarkEnd w:id="1970"/>
      <w:bookmarkEnd w:id="1971"/>
      <w:bookmarkEnd w:id="1972"/>
    </w:p>
    <w:p>
      <w:pPr>
        <w:pStyle w:val="8"/>
        <w:rPr>
          <w:rFonts w:hint="eastAsia" w:ascii="宋体" w:hAnsi="宋体" w:eastAsia="宋体" w:cs="宋体"/>
          <w:color w:val="auto"/>
          <w:sz w:val="21"/>
          <w:szCs w:val="21"/>
          <w:highlight w:val="none"/>
        </w:rPr>
      </w:pPr>
    </w:p>
    <w:p>
      <w:pPr>
        <w:rPr>
          <w:rFonts w:hint="eastAsia"/>
          <w:color w:val="auto"/>
          <w:highlight w:val="none"/>
        </w:rPr>
      </w:pPr>
    </w:p>
    <w:p>
      <w:pPr>
        <w:rPr>
          <w:rFonts w:hint="eastAsia" w:ascii="宋体" w:hAnsi="宋体" w:eastAsia="宋体" w:cs="宋体"/>
          <w:b/>
          <w:bCs/>
          <w:color w:val="auto"/>
          <w:sz w:val="24"/>
          <w:szCs w:val="24"/>
          <w:highlight w:val="none"/>
        </w:rPr>
      </w:pPr>
      <w:bookmarkStart w:id="1973" w:name="_Toc12920"/>
      <w:bookmarkStart w:id="1974" w:name="_Toc497927072"/>
      <w:bookmarkStart w:id="1975" w:name="_Toc17617"/>
      <w:r>
        <w:rPr>
          <w:rFonts w:hint="eastAsia" w:ascii="宋体" w:hAnsi="宋体" w:eastAsia="宋体" w:cs="宋体"/>
          <w:b/>
          <w:bCs/>
          <w:color w:val="auto"/>
          <w:sz w:val="24"/>
          <w:szCs w:val="24"/>
          <w:highlight w:val="none"/>
        </w:rPr>
        <w:br w:type="page"/>
      </w:r>
    </w:p>
    <w:p>
      <w:pPr>
        <w:spacing w:line="40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1.响应函（格式见附件）（必须提供）</w:t>
      </w:r>
      <w:bookmarkEnd w:id="1973"/>
      <w:bookmarkEnd w:id="1974"/>
      <w:bookmarkEnd w:id="1975"/>
    </w:p>
    <w:p>
      <w:pPr>
        <w:pStyle w:val="24"/>
        <w:rPr>
          <w:rFonts w:hint="eastAsia" w:ascii="宋体" w:hAnsi="宋体" w:eastAsia="宋体" w:cs="宋体"/>
          <w:color w:val="auto"/>
          <w:sz w:val="21"/>
          <w:szCs w:val="21"/>
          <w:highlight w:val="none"/>
        </w:rPr>
      </w:pPr>
    </w:p>
    <w:p>
      <w:pPr>
        <w:pStyle w:val="11"/>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附件：</w:t>
      </w:r>
    </w:p>
    <w:p>
      <w:pPr>
        <w:pStyle w:val="11"/>
        <w:ind w:firstLine="527" w:firstLineChars="250"/>
        <w:jc w:val="center"/>
        <w:rPr>
          <w:rFonts w:hint="eastAsia" w:ascii="宋体" w:hAnsi="宋体" w:eastAsia="宋体" w:cs="宋体"/>
          <w:b/>
          <w:color w:val="auto"/>
          <w:sz w:val="21"/>
          <w:szCs w:val="21"/>
          <w:highlight w:val="none"/>
        </w:rPr>
      </w:pPr>
      <w:bookmarkStart w:id="1976" w:name="_Toc17832_WPSOffice_Level1"/>
      <w:bookmarkStart w:id="1977" w:name="_Toc7273_WPSOffice_Level1"/>
      <w:r>
        <w:rPr>
          <w:rFonts w:hint="eastAsia" w:ascii="宋体" w:hAnsi="宋体" w:eastAsia="宋体" w:cs="宋体"/>
          <w:b/>
          <w:color w:val="auto"/>
          <w:sz w:val="21"/>
          <w:szCs w:val="21"/>
          <w:highlight w:val="none"/>
        </w:rPr>
        <w:t>响应函（格式）</w:t>
      </w:r>
      <w:bookmarkEnd w:id="1976"/>
      <w:bookmarkEnd w:id="1977"/>
    </w:p>
    <w:p>
      <w:pPr>
        <w:pStyle w:val="8"/>
        <w:spacing w:before="71" w:line="257" w:lineRule="auto"/>
        <w:ind w:left="12" w:firstLine="468"/>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根据贵方</w:t>
      </w:r>
      <w:r>
        <w:rPr>
          <w:rFonts w:hint="eastAsia" w:ascii="宋体" w:hAnsi="宋体" w:eastAsia="宋体" w:cs="宋体"/>
          <w:color w:val="auto"/>
          <w:spacing w:val="111"/>
          <w:sz w:val="21"/>
          <w:szCs w:val="21"/>
          <w:highlight w:val="none"/>
          <w:u w:val="single"/>
        </w:rPr>
        <w:t xml:space="preserve"> </w:t>
      </w:r>
      <w:r>
        <w:rPr>
          <w:rFonts w:hint="eastAsia" w:ascii="宋体" w:hAnsi="宋体" w:eastAsia="宋体" w:cs="宋体"/>
          <w:color w:val="auto"/>
          <w:spacing w:val="-2"/>
          <w:sz w:val="21"/>
          <w:szCs w:val="21"/>
          <w:highlight w:val="none"/>
          <w:u w:val="single"/>
        </w:rPr>
        <w:t>（项目名称）</w:t>
      </w:r>
      <w:r>
        <w:rPr>
          <w:rFonts w:hint="eastAsia" w:ascii="宋体" w:hAnsi="宋体" w:eastAsia="宋体" w:cs="宋体"/>
          <w:color w:val="auto"/>
          <w:spacing w:val="103"/>
          <w:sz w:val="21"/>
          <w:szCs w:val="21"/>
          <w:highlight w:val="none"/>
          <w:u w:val="single"/>
        </w:rPr>
        <w:t xml:space="preserve"> </w:t>
      </w:r>
      <w:r>
        <w:rPr>
          <w:rFonts w:hint="eastAsia" w:ascii="宋体" w:hAnsi="宋体" w:eastAsia="宋体" w:cs="宋体"/>
          <w:color w:val="auto"/>
          <w:spacing w:val="-106"/>
          <w:sz w:val="21"/>
          <w:szCs w:val="21"/>
          <w:highlight w:val="none"/>
        </w:rPr>
        <w:t xml:space="preserve"> </w:t>
      </w:r>
      <w:r>
        <w:rPr>
          <w:rFonts w:hint="eastAsia" w:ascii="宋体" w:hAnsi="宋体" w:eastAsia="宋体" w:cs="宋体"/>
          <w:color w:val="auto"/>
          <w:spacing w:val="-2"/>
          <w:sz w:val="21"/>
          <w:szCs w:val="21"/>
          <w:highlight w:val="none"/>
        </w:rPr>
        <w:t>项目磋商文件，项</w:t>
      </w:r>
      <w:r>
        <w:rPr>
          <w:rFonts w:hint="eastAsia" w:ascii="宋体" w:hAnsi="宋体" w:eastAsia="宋体" w:cs="宋体"/>
          <w:color w:val="auto"/>
          <w:spacing w:val="-11"/>
          <w:sz w:val="21"/>
          <w:szCs w:val="21"/>
          <w:highlight w:val="none"/>
        </w:rPr>
        <w:t>目</w:t>
      </w:r>
      <w:r>
        <w:rPr>
          <w:rFonts w:hint="eastAsia" w:ascii="宋体" w:hAnsi="宋体" w:eastAsia="宋体" w:cs="宋体"/>
          <w:color w:val="auto"/>
          <w:spacing w:val="-52"/>
          <w:sz w:val="21"/>
          <w:szCs w:val="21"/>
          <w:highlight w:val="none"/>
        </w:rPr>
        <w:t xml:space="preserve"> </w:t>
      </w:r>
      <w:r>
        <w:rPr>
          <w:rFonts w:hint="eastAsia" w:ascii="宋体" w:hAnsi="宋体" w:eastAsia="宋体" w:cs="宋体"/>
          <w:color w:val="auto"/>
          <w:spacing w:val="-11"/>
          <w:sz w:val="21"/>
          <w:szCs w:val="21"/>
          <w:highlight w:val="none"/>
        </w:rPr>
        <w:t>编</w:t>
      </w:r>
      <w:r>
        <w:rPr>
          <w:rFonts w:hint="eastAsia" w:ascii="宋体" w:hAnsi="宋体" w:eastAsia="宋体" w:cs="宋体"/>
          <w:color w:val="auto"/>
          <w:spacing w:val="-64"/>
          <w:sz w:val="21"/>
          <w:szCs w:val="21"/>
          <w:highlight w:val="none"/>
        </w:rPr>
        <w:t xml:space="preserve"> </w:t>
      </w:r>
      <w:r>
        <w:rPr>
          <w:rFonts w:hint="eastAsia" w:ascii="宋体" w:hAnsi="宋体" w:eastAsia="宋体" w:cs="宋体"/>
          <w:color w:val="auto"/>
          <w:spacing w:val="-11"/>
          <w:sz w:val="21"/>
          <w:szCs w:val="21"/>
          <w:highlight w:val="none"/>
        </w:rPr>
        <w:t>号</w:t>
      </w:r>
      <w:r>
        <w:rPr>
          <w:rFonts w:hint="eastAsia" w:ascii="宋体" w:hAnsi="宋体" w:eastAsia="宋体" w:cs="宋体"/>
          <w:color w:val="auto"/>
          <w:spacing w:val="-77"/>
          <w:sz w:val="21"/>
          <w:szCs w:val="21"/>
          <w:highlight w:val="none"/>
        </w:rPr>
        <w:t xml:space="preserve"> </w:t>
      </w:r>
      <w:r>
        <w:rPr>
          <w:rFonts w:hint="eastAsia" w:ascii="宋体" w:hAnsi="宋体" w:eastAsia="宋体" w:cs="宋体"/>
          <w:color w:val="auto"/>
          <w:spacing w:val="1"/>
          <w:sz w:val="21"/>
          <w:szCs w:val="21"/>
          <w:highlight w:val="none"/>
          <w:u w:val="single"/>
        </w:rPr>
        <w:t xml:space="preserve">            </w:t>
      </w:r>
      <w:r>
        <w:rPr>
          <w:rFonts w:hint="eastAsia" w:ascii="宋体" w:hAnsi="宋体" w:eastAsia="宋体" w:cs="宋体"/>
          <w:color w:val="auto"/>
          <w:spacing w:val="-81"/>
          <w:sz w:val="21"/>
          <w:szCs w:val="21"/>
          <w:highlight w:val="none"/>
        </w:rPr>
        <w:t xml:space="preserve"> </w:t>
      </w:r>
      <w:r>
        <w:rPr>
          <w:rFonts w:hint="eastAsia" w:ascii="宋体" w:hAnsi="宋体" w:eastAsia="宋体" w:cs="宋体"/>
          <w:color w:val="auto"/>
          <w:spacing w:val="-11"/>
          <w:sz w:val="21"/>
          <w:szCs w:val="21"/>
          <w:highlight w:val="none"/>
        </w:rPr>
        <w:t>，</w:t>
      </w:r>
      <w:r>
        <w:rPr>
          <w:rFonts w:hint="eastAsia" w:ascii="宋体" w:hAnsi="宋体" w:eastAsia="宋体" w:cs="宋体"/>
          <w:color w:val="auto"/>
          <w:spacing w:val="-67"/>
          <w:sz w:val="21"/>
          <w:szCs w:val="21"/>
          <w:highlight w:val="none"/>
        </w:rPr>
        <w:t xml:space="preserve"> </w:t>
      </w:r>
      <w:r>
        <w:rPr>
          <w:rFonts w:hint="eastAsia" w:ascii="宋体" w:hAnsi="宋体" w:eastAsia="宋体" w:cs="宋体"/>
          <w:color w:val="auto"/>
          <w:spacing w:val="-11"/>
          <w:sz w:val="21"/>
          <w:szCs w:val="21"/>
          <w:highlight w:val="none"/>
        </w:rPr>
        <w:t>签</w:t>
      </w:r>
      <w:r>
        <w:rPr>
          <w:rFonts w:hint="eastAsia" w:ascii="宋体" w:hAnsi="宋体" w:eastAsia="宋体" w:cs="宋体"/>
          <w:color w:val="auto"/>
          <w:spacing w:val="-69"/>
          <w:sz w:val="21"/>
          <w:szCs w:val="21"/>
          <w:highlight w:val="none"/>
        </w:rPr>
        <w:t xml:space="preserve"> </w:t>
      </w:r>
      <w:r>
        <w:rPr>
          <w:rFonts w:hint="eastAsia" w:ascii="宋体" w:hAnsi="宋体" w:eastAsia="宋体" w:cs="宋体"/>
          <w:color w:val="auto"/>
          <w:spacing w:val="-11"/>
          <w:sz w:val="21"/>
          <w:szCs w:val="21"/>
          <w:highlight w:val="none"/>
        </w:rPr>
        <w:t>字</w:t>
      </w:r>
      <w:r>
        <w:rPr>
          <w:rFonts w:hint="eastAsia" w:ascii="宋体" w:hAnsi="宋体" w:eastAsia="宋体" w:cs="宋体"/>
          <w:color w:val="auto"/>
          <w:spacing w:val="-69"/>
          <w:sz w:val="21"/>
          <w:szCs w:val="21"/>
          <w:highlight w:val="none"/>
        </w:rPr>
        <w:t xml:space="preserve"> </w:t>
      </w:r>
      <w:r>
        <w:rPr>
          <w:rFonts w:hint="eastAsia" w:ascii="宋体" w:hAnsi="宋体" w:eastAsia="宋体" w:cs="宋体"/>
          <w:color w:val="auto"/>
          <w:spacing w:val="-11"/>
          <w:sz w:val="21"/>
          <w:szCs w:val="21"/>
          <w:highlight w:val="none"/>
        </w:rPr>
        <w:t>代</w:t>
      </w:r>
      <w:r>
        <w:rPr>
          <w:rFonts w:hint="eastAsia" w:ascii="宋体" w:hAnsi="宋体" w:eastAsia="宋体" w:cs="宋体"/>
          <w:color w:val="auto"/>
          <w:spacing w:val="-68"/>
          <w:sz w:val="21"/>
          <w:szCs w:val="21"/>
          <w:highlight w:val="none"/>
        </w:rPr>
        <w:t xml:space="preserve"> </w:t>
      </w:r>
      <w:r>
        <w:rPr>
          <w:rFonts w:hint="eastAsia" w:ascii="宋体" w:hAnsi="宋体" w:eastAsia="宋体" w:cs="宋体"/>
          <w:color w:val="auto"/>
          <w:spacing w:val="-11"/>
          <w:sz w:val="21"/>
          <w:szCs w:val="21"/>
          <w:highlight w:val="none"/>
        </w:rPr>
        <w:t>表</w:t>
      </w:r>
      <w:r>
        <w:rPr>
          <w:rFonts w:hint="eastAsia" w:ascii="宋体" w:hAnsi="宋体" w:eastAsia="宋体" w:cs="宋体"/>
          <w:color w:val="auto"/>
          <w:spacing w:val="-79"/>
          <w:sz w:val="21"/>
          <w:szCs w:val="21"/>
          <w:highlight w:val="none"/>
        </w:rPr>
        <w:t xml:space="preserve"> </w:t>
      </w:r>
      <w:r>
        <w:rPr>
          <w:rFonts w:hint="eastAsia" w:ascii="宋体" w:hAnsi="宋体" w:eastAsia="宋体" w:cs="宋体"/>
          <w:color w:val="auto"/>
          <w:spacing w:val="6"/>
          <w:sz w:val="21"/>
          <w:szCs w:val="21"/>
          <w:highlight w:val="none"/>
          <w:u w:val="single"/>
        </w:rPr>
        <w:t xml:space="preserve">         </w:t>
      </w:r>
      <w:r>
        <w:rPr>
          <w:rFonts w:hint="eastAsia" w:ascii="宋体" w:hAnsi="宋体" w:eastAsia="宋体" w:cs="宋体"/>
          <w:color w:val="auto"/>
          <w:spacing w:val="-11"/>
          <w:sz w:val="21"/>
          <w:szCs w:val="21"/>
          <w:highlight w:val="none"/>
        </w:rPr>
        <w:t>（姓</w:t>
      </w:r>
      <w:r>
        <w:rPr>
          <w:rFonts w:hint="eastAsia" w:ascii="宋体" w:hAnsi="宋体" w:eastAsia="宋体" w:cs="宋体"/>
          <w:color w:val="auto"/>
          <w:spacing w:val="-66"/>
          <w:sz w:val="21"/>
          <w:szCs w:val="21"/>
          <w:highlight w:val="none"/>
        </w:rPr>
        <w:t xml:space="preserve"> </w:t>
      </w:r>
      <w:r>
        <w:rPr>
          <w:rFonts w:hint="eastAsia" w:ascii="宋体" w:hAnsi="宋体" w:eastAsia="宋体" w:cs="宋体"/>
          <w:color w:val="auto"/>
          <w:spacing w:val="-11"/>
          <w:sz w:val="21"/>
          <w:szCs w:val="21"/>
          <w:highlight w:val="none"/>
        </w:rPr>
        <w:t>名</w:t>
      </w:r>
      <w:r>
        <w:rPr>
          <w:rFonts w:hint="eastAsia" w:ascii="宋体" w:hAnsi="宋体" w:eastAsia="宋体" w:cs="宋体"/>
          <w:color w:val="auto"/>
          <w:spacing w:val="-42"/>
          <w:sz w:val="21"/>
          <w:szCs w:val="21"/>
          <w:highlight w:val="none"/>
        </w:rPr>
        <w:t xml:space="preserve"> </w:t>
      </w:r>
      <w:r>
        <w:rPr>
          <w:rFonts w:hint="eastAsia" w:ascii="宋体" w:hAnsi="宋体" w:eastAsia="宋体" w:cs="宋体"/>
          <w:color w:val="auto"/>
          <w:spacing w:val="-11"/>
          <w:sz w:val="21"/>
          <w:szCs w:val="21"/>
          <w:highlight w:val="none"/>
        </w:rPr>
        <w:t>）</w:t>
      </w:r>
      <w:r>
        <w:rPr>
          <w:rFonts w:hint="eastAsia" w:ascii="宋体" w:hAnsi="宋体" w:eastAsia="宋体" w:cs="宋体"/>
          <w:color w:val="auto"/>
          <w:spacing w:val="-66"/>
          <w:sz w:val="21"/>
          <w:szCs w:val="21"/>
          <w:highlight w:val="none"/>
        </w:rPr>
        <w:t xml:space="preserve"> </w:t>
      </w:r>
      <w:r>
        <w:rPr>
          <w:rFonts w:hint="eastAsia" w:ascii="宋体" w:hAnsi="宋体" w:eastAsia="宋体" w:cs="宋体"/>
          <w:color w:val="auto"/>
          <w:spacing w:val="-11"/>
          <w:sz w:val="21"/>
          <w:szCs w:val="21"/>
          <w:highlight w:val="none"/>
        </w:rPr>
        <w:t>经</w:t>
      </w:r>
      <w:r>
        <w:rPr>
          <w:rFonts w:hint="eastAsia" w:ascii="宋体" w:hAnsi="宋体" w:eastAsia="宋体" w:cs="宋体"/>
          <w:color w:val="auto"/>
          <w:spacing w:val="-65"/>
          <w:sz w:val="21"/>
          <w:szCs w:val="21"/>
          <w:highlight w:val="none"/>
        </w:rPr>
        <w:t xml:space="preserve"> </w:t>
      </w:r>
      <w:r>
        <w:rPr>
          <w:rFonts w:hint="eastAsia" w:ascii="宋体" w:hAnsi="宋体" w:eastAsia="宋体" w:cs="宋体"/>
          <w:color w:val="auto"/>
          <w:spacing w:val="-11"/>
          <w:sz w:val="21"/>
          <w:szCs w:val="21"/>
          <w:highlight w:val="none"/>
        </w:rPr>
        <w:t>正</w:t>
      </w:r>
      <w:r>
        <w:rPr>
          <w:rFonts w:hint="eastAsia" w:ascii="宋体" w:hAnsi="宋体" w:eastAsia="宋体" w:cs="宋体"/>
          <w:color w:val="auto"/>
          <w:spacing w:val="-62"/>
          <w:sz w:val="21"/>
          <w:szCs w:val="21"/>
          <w:highlight w:val="none"/>
        </w:rPr>
        <w:t xml:space="preserve"> </w:t>
      </w:r>
      <w:r>
        <w:rPr>
          <w:rFonts w:hint="eastAsia" w:ascii="宋体" w:hAnsi="宋体" w:eastAsia="宋体" w:cs="宋体"/>
          <w:color w:val="auto"/>
          <w:spacing w:val="-11"/>
          <w:sz w:val="21"/>
          <w:szCs w:val="21"/>
          <w:highlight w:val="none"/>
        </w:rPr>
        <w:t>式</w:t>
      </w:r>
      <w:r>
        <w:rPr>
          <w:rFonts w:hint="eastAsia" w:ascii="宋体" w:hAnsi="宋体" w:eastAsia="宋体" w:cs="宋体"/>
          <w:color w:val="auto"/>
          <w:spacing w:val="-69"/>
          <w:sz w:val="21"/>
          <w:szCs w:val="21"/>
          <w:highlight w:val="none"/>
        </w:rPr>
        <w:t xml:space="preserve"> </w:t>
      </w:r>
      <w:r>
        <w:rPr>
          <w:rFonts w:hint="eastAsia" w:ascii="宋体" w:hAnsi="宋体" w:eastAsia="宋体" w:cs="宋体"/>
          <w:color w:val="auto"/>
          <w:spacing w:val="-11"/>
          <w:sz w:val="21"/>
          <w:szCs w:val="21"/>
          <w:highlight w:val="none"/>
        </w:rPr>
        <w:t>授</w:t>
      </w:r>
      <w:r>
        <w:rPr>
          <w:rFonts w:hint="eastAsia" w:ascii="宋体" w:hAnsi="宋体" w:eastAsia="宋体" w:cs="宋体"/>
          <w:color w:val="auto"/>
          <w:spacing w:val="-71"/>
          <w:sz w:val="21"/>
          <w:szCs w:val="21"/>
          <w:highlight w:val="none"/>
        </w:rPr>
        <w:t xml:space="preserve"> </w:t>
      </w:r>
      <w:r>
        <w:rPr>
          <w:rFonts w:hint="eastAsia" w:ascii="宋体" w:hAnsi="宋体" w:eastAsia="宋体" w:cs="宋体"/>
          <w:color w:val="auto"/>
          <w:spacing w:val="-11"/>
          <w:sz w:val="21"/>
          <w:szCs w:val="21"/>
          <w:highlight w:val="none"/>
        </w:rPr>
        <w:t>权</w:t>
      </w:r>
      <w:r>
        <w:rPr>
          <w:rFonts w:hint="eastAsia" w:ascii="宋体" w:hAnsi="宋体" w:eastAsia="宋体" w:cs="宋体"/>
          <w:color w:val="auto"/>
          <w:spacing w:val="-61"/>
          <w:sz w:val="21"/>
          <w:szCs w:val="21"/>
          <w:highlight w:val="none"/>
        </w:rPr>
        <w:t xml:space="preserve"> </w:t>
      </w:r>
      <w:r>
        <w:rPr>
          <w:rFonts w:hint="eastAsia" w:ascii="宋体" w:hAnsi="宋体" w:eastAsia="宋体" w:cs="宋体"/>
          <w:color w:val="auto"/>
          <w:spacing w:val="-11"/>
          <w:sz w:val="21"/>
          <w:szCs w:val="21"/>
          <w:highlight w:val="none"/>
        </w:rPr>
        <w:t>并</w:t>
      </w:r>
      <w:r>
        <w:rPr>
          <w:rFonts w:hint="eastAsia" w:ascii="宋体" w:hAnsi="宋体" w:eastAsia="宋体" w:cs="宋体"/>
          <w:color w:val="auto"/>
          <w:spacing w:val="-69"/>
          <w:sz w:val="21"/>
          <w:szCs w:val="21"/>
          <w:highlight w:val="none"/>
        </w:rPr>
        <w:t xml:space="preserve"> </w:t>
      </w:r>
      <w:r>
        <w:rPr>
          <w:rFonts w:hint="eastAsia" w:ascii="宋体" w:hAnsi="宋体" w:eastAsia="宋体" w:cs="宋体"/>
          <w:color w:val="auto"/>
          <w:spacing w:val="-11"/>
          <w:sz w:val="21"/>
          <w:szCs w:val="21"/>
          <w:highlight w:val="none"/>
        </w:rPr>
        <w:t>代</w:t>
      </w:r>
      <w:r>
        <w:rPr>
          <w:rFonts w:hint="eastAsia" w:ascii="宋体" w:hAnsi="宋体" w:eastAsia="宋体" w:cs="宋体"/>
          <w:color w:val="auto"/>
          <w:spacing w:val="-71"/>
          <w:sz w:val="21"/>
          <w:szCs w:val="21"/>
          <w:highlight w:val="none"/>
        </w:rPr>
        <w:t xml:space="preserve"> </w:t>
      </w:r>
      <w:r>
        <w:rPr>
          <w:rFonts w:hint="eastAsia" w:ascii="宋体" w:hAnsi="宋体" w:eastAsia="宋体" w:cs="宋体"/>
          <w:color w:val="auto"/>
          <w:spacing w:val="-11"/>
          <w:sz w:val="21"/>
          <w:szCs w:val="21"/>
          <w:highlight w:val="none"/>
        </w:rPr>
        <w:t>表</w:t>
      </w:r>
      <w:r>
        <w:rPr>
          <w:rFonts w:hint="eastAsia" w:ascii="宋体" w:hAnsi="宋体" w:eastAsia="宋体" w:cs="宋体"/>
          <w:color w:val="auto"/>
          <w:spacing w:val="-67"/>
          <w:sz w:val="21"/>
          <w:szCs w:val="21"/>
          <w:highlight w:val="none"/>
        </w:rPr>
        <w:t xml:space="preserve"> </w:t>
      </w:r>
      <w:r>
        <w:rPr>
          <w:rFonts w:hint="eastAsia" w:ascii="宋体" w:hAnsi="宋体" w:eastAsia="宋体" w:cs="宋体"/>
          <w:color w:val="auto"/>
          <w:spacing w:val="-11"/>
          <w:sz w:val="21"/>
          <w:szCs w:val="21"/>
          <w:highlight w:val="none"/>
        </w:rPr>
        <w:t>供</w:t>
      </w:r>
      <w:r>
        <w:rPr>
          <w:rFonts w:hint="eastAsia" w:ascii="宋体" w:hAnsi="宋体" w:eastAsia="宋体" w:cs="宋体"/>
          <w:color w:val="auto"/>
          <w:spacing w:val="-70"/>
          <w:sz w:val="21"/>
          <w:szCs w:val="21"/>
          <w:highlight w:val="none"/>
        </w:rPr>
        <w:t xml:space="preserve"> </w:t>
      </w:r>
      <w:r>
        <w:rPr>
          <w:rFonts w:hint="eastAsia" w:ascii="宋体" w:hAnsi="宋体" w:eastAsia="宋体" w:cs="宋体"/>
          <w:color w:val="auto"/>
          <w:spacing w:val="-11"/>
          <w:sz w:val="21"/>
          <w:szCs w:val="21"/>
          <w:highlight w:val="none"/>
        </w:rPr>
        <w:t>应</w:t>
      </w:r>
      <w:r>
        <w:rPr>
          <w:rFonts w:hint="eastAsia" w:ascii="宋体" w:hAnsi="宋体" w:eastAsia="宋体" w:cs="宋体"/>
          <w:color w:val="auto"/>
          <w:spacing w:val="-62"/>
          <w:sz w:val="21"/>
          <w:szCs w:val="21"/>
          <w:highlight w:val="none"/>
        </w:rPr>
        <w:t xml:space="preserve"> </w:t>
      </w:r>
      <w:r>
        <w:rPr>
          <w:rFonts w:hint="eastAsia" w:ascii="宋体" w:hAnsi="宋体" w:eastAsia="宋体" w:cs="宋体"/>
          <w:color w:val="auto"/>
          <w:spacing w:val="-11"/>
          <w:sz w:val="21"/>
          <w:szCs w:val="21"/>
          <w:highlight w:val="none"/>
        </w:rPr>
        <w:t>商</w:t>
      </w:r>
      <w:r>
        <w:rPr>
          <w:rFonts w:hint="eastAsia" w:ascii="宋体" w:hAnsi="宋体" w:eastAsia="宋体" w:cs="宋体"/>
          <w:color w:val="auto"/>
          <w:spacing w:val="-2"/>
          <w:sz w:val="21"/>
          <w:szCs w:val="21"/>
          <w:highlight w:val="none"/>
        </w:rPr>
        <w:t>（供应商单位名称</w:t>
      </w:r>
      <w:r>
        <w:rPr>
          <w:rFonts w:hint="eastAsia" w:ascii="宋体" w:hAnsi="宋体" w:eastAsia="宋体" w:cs="宋体"/>
          <w:color w:val="auto"/>
          <w:spacing w:val="6"/>
          <w:sz w:val="21"/>
          <w:szCs w:val="21"/>
          <w:highlight w:val="none"/>
        </w:rPr>
        <w:t>），</w:t>
      </w:r>
      <w:r>
        <w:rPr>
          <w:rFonts w:hint="eastAsia" w:ascii="宋体" w:hAnsi="宋体" w:eastAsia="宋体" w:cs="宋体"/>
          <w:color w:val="auto"/>
          <w:spacing w:val="-2"/>
          <w:sz w:val="21"/>
          <w:szCs w:val="21"/>
          <w:highlight w:val="none"/>
        </w:rPr>
        <w:t>提交电子响应文件。</w:t>
      </w:r>
    </w:p>
    <w:p>
      <w:pPr>
        <w:pStyle w:val="8"/>
        <w:spacing w:before="75" w:line="219" w:lineRule="auto"/>
        <w:ind w:left="480"/>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据此函，签字代表宣布同意如下：</w:t>
      </w:r>
    </w:p>
    <w:p>
      <w:pPr>
        <w:pStyle w:val="8"/>
        <w:tabs>
          <w:tab w:val="left" w:pos="126"/>
        </w:tabs>
        <w:spacing w:before="75" w:line="258" w:lineRule="auto"/>
        <w:ind w:left="6" w:firstLine="49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1.我方已仔细研究磋商文件的全部内容，愿意以人民币（大写）</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pacing w:val="-98"/>
          <w:sz w:val="21"/>
          <w:szCs w:val="21"/>
          <w:highlight w:val="none"/>
        </w:rPr>
        <w:t xml:space="preserve"> </w:t>
      </w:r>
      <w:r>
        <w:rPr>
          <w:rFonts w:hint="eastAsia" w:ascii="宋体" w:hAnsi="宋体" w:eastAsia="宋体" w:cs="宋体"/>
          <w:color w:val="auto"/>
          <w:sz w:val="21"/>
          <w:szCs w:val="21"/>
          <w:highlight w:val="none"/>
        </w:rPr>
        <w:t>元</w:t>
      </w:r>
      <w:r>
        <w:rPr>
          <w:rFonts w:hint="eastAsia" w:ascii="宋体" w:hAnsi="宋体" w:eastAsia="宋体" w:cs="宋体"/>
          <w:color w:val="auto"/>
          <w:spacing w:val="-1"/>
          <w:sz w:val="21"/>
          <w:szCs w:val="21"/>
          <w:highlight w:val="none"/>
        </w:rPr>
        <w:t>(¥</w:t>
      </w:r>
      <w:r>
        <w:rPr>
          <w:rFonts w:hint="eastAsia" w:ascii="宋体" w:hAnsi="宋体" w:eastAsia="宋体" w:cs="宋体"/>
          <w:color w:val="auto"/>
          <w:spacing w:val="15"/>
          <w:sz w:val="21"/>
          <w:szCs w:val="21"/>
          <w:highlight w:val="none"/>
          <w:u w:val="single"/>
        </w:rPr>
        <w:t xml:space="preserve">     </w:t>
      </w:r>
      <w:r>
        <w:rPr>
          <w:rFonts w:hint="eastAsia" w:ascii="宋体" w:hAnsi="宋体" w:eastAsia="宋体" w:cs="宋体"/>
          <w:color w:val="auto"/>
          <w:spacing w:val="-84"/>
          <w:sz w:val="21"/>
          <w:szCs w:val="21"/>
          <w:highlight w:val="none"/>
        </w:rPr>
        <w:t xml:space="preserve"> </w:t>
      </w:r>
      <w:r>
        <w:rPr>
          <w:rFonts w:hint="eastAsia" w:ascii="宋体" w:hAnsi="宋体" w:eastAsia="宋体" w:cs="宋体"/>
          <w:color w:val="auto"/>
          <w:spacing w:val="-1"/>
          <w:sz w:val="21"/>
          <w:szCs w:val="21"/>
          <w:highlight w:val="none"/>
        </w:rPr>
        <w:t>)的磋商报价（</w:t>
      </w:r>
      <w:r>
        <w:rPr>
          <w:rFonts w:hint="eastAsia" w:ascii="宋体" w:hAnsi="宋体" w:eastAsia="宋体" w:cs="宋体"/>
          <w:color w:val="auto"/>
          <w:sz w:val="21"/>
          <w:szCs w:val="21"/>
          <w:highlight w:val="none"/>
        </w:rPr>
        <w:t>其中：预算价：</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元、安全文明施工费</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元、规费</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元、增值税/税金</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元）</w:t>
      </w:r>
      <w:r>
        <w:rPr>
          <w:rFonts w:hint="eastAsia" w:ascii="宋体" w:hAnsi="宋体" w:eastAsia="宋体" w:cs="宋体"/>
          <w:color w:val="auto"/>
          <w:spacing w:val="-1"/>
          <w:sz w:val="21"/>
          <w:szCs w:val="21"/>
          <w:highlight w:val="none"/>
        </w:rPr>
        <w:t>（或根据磋商文件规定修正核实后确定的另一金额</w:t>
      </w:r>
      <w:r>
        <w:rPr>
          <w:rFonts w:hint="eastAsia" w:ascii="宋体" w:hAnsi="宋体" w:eastAsia="宋体" w:cs="宋体"/>
          <w:color w:val="auto"/>
          <w:spacing w:val="13"/>
          <w:sz w:val="21"/>
          <w:szCs w:val="21"/>
          <w:highlight w:val="none"/>
        </w:rPr>
        <w:t>），</w:t>
      </w:r>
      <w:r>
        <w:rPr>
          <w:rFonts w:hint="eastAsia" w:ascii="宋体" w:hAnsi="宋体" w:eastAsia="宋体" w:cs="宋体"/>
          <w:color w:val="auto"/>
          <w:spacing w:val="-1"/>
          <w:sz w:val="21"/>
          <w:szCs w:val="21"/>
          <w:highlight w:val="none"/>
        </w:rPr>
        <w:t>按合同约定实施和完成承包工程，修补工程中的任何缺陷。</w:t>
      </w:r>
    </w:p>
    <w:p>
      <w:pPr>
        <w:pStyle w:val="8"/>
        <w:spacing w:before="75" w:line="220" w:lineRule="auto"/>
        <w:ind w:left="483"/>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2.工程质量</w:t>
      </w:r>
      <w:r>
        <w:rPr>
          <w:rFonts w:hint="eastAsia" w:ascii="宋体" w:hAnsi="宋体" w:eastAsia="宋体" w:cs="宋体"/>
          <w:color w:val="auto"/>
          <w:spacing w:val="-8"/>
          <w:sz w:val="21"/>
          <w:szCs w:val="21"/>
          <w:highlight w:val="none"/>
        </w:rPr>
        <w:t>：</w:t>
      </w:r>
      <w:r>
        <w:rPr>
          <w:rFonts w:hint="eastAsia" w:ascii="宋体" w:hAnsi="宋体" w:eastAsia="宋体" w:cs="宋体"/>
          <w:color w:val="auto"/>
          <w:spacing w:val="7"/>
          <w:sz w:val="21"/>
          <w:szCs w:val="21"/>
          <w:highlight w:val="none"/>
          <w:u w:val="single"/>
        </w:rPr>
        <w:t xml:space="preserve">        </w:t>
      </w:r>
      <w:r>
        <w:rPr>
          <w:rFonts w:hint="eastAsia" w:ascii="宋体" w:hAnsi="宋体" w:eastAsia="宋体" w:cs="宋体"/>
          <w:color w:val="auto"/>
          <w:spacing w:val="-86"/>
          <w:sz w:val="21"/>
          <w:szCs w:val="21"/>
          <w:highlight w:val="none"/>
        </w:rPr>
        <w:t xml:space="preserve"> </w:t>
      </w:r>
      <w:r>
        <w:rPr>
          <w:rFonts w:hint="eastAsia" w:ascii="宋体" w:hAnsi="宋体" w:eastAsia="宋体" w:cs="宋体"/>
          <w:color w:val="auto"/>
          <w:spacing w:val="-8"/>
          <w:sz w:val="21"/>
          <w:szCs w:val="21"/>
          <w:highlight w:val="none"/>
        </w:rPr>
        <w:t>，</w:t>
      </w:r>
      <w:r>
        <w:rPr>
          <w:rFonts w:hint="eastAsia" w:ascii="宋体" w:hAnsi="宋体" w:eastAsia="宋体" w:cs="宋体"/>
          <w:color w:val="auto"/>
          <w:spacing w:val="-6"/>
          <w:sz w:val="21"/>
          <w:szCs w:val="21"/>
          <w:highlight w:val="none"/>
        </w:rPr>
        <w:t>工期：</w:t>
      </w:r>
      <w:r>
        <w:rPr>
          <w:rFonts w:hint="eastAsia" w:ascii="宋体" w:hAnsi="宋体" w:eastAsia="宋体" w:cs="宋体"/>
          <w:color w:val="auto"/>
          <w:spacing w:val="10"/>
          <w:sz w:val="21"/>
          <w:szCs w:val="21"/>
          <w:highlight w:val="none"/>
          <w:u w:val="single"/>
        </w:rPr>
        <w:t xml:space="preserve">      </w:t>
      </w:r>
      <w:r>
        <w:rPr>
          <w:rFonts w:hint="eastAsia" w:ascii="宋体" w:hAnsi="宋体" w:eastAsia="宋体" w:cs="宋体"/>
          <w:color w:val="auto"/>
          <w:spacing w:val="-70"/>
          <w:sz w:val="21"/>
          <w:szCs w:val="21"/>
          <w:highlight w:val="none"/>
        </w:rPr>
        <w:t xml:space="preserve"> </w:t>
      </w:r>
      <w:r>
        <w:rPr>
          <w:rFonts w:hint="eastAsia" w:ascii="宋体" w:hAnsi="宋体" w:eastAsia="宋体" w:cs="宋体"/>
          <w:color w:val="auto"/>
          <w:spacing w:val="-6"/>
          <w:sz w:val="21"/>
          <w:szCs w:val="21"/>
          <w:highlight w:val="none"/>
        </w:rPr>
        <w:t>日历天。</w:t>
      </w:r>
    </w:p>
    <w:p>
      <w:pPr>
        <w:pStyle w:val="8"/>
        <w:spacing w:before="73" w:line="219" w:lineRule="auto"/>
        <w:ind w:left="485"/>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3.我方承诺已具备磋商文件规定的供应商资格条件。</w:t>
      </w:r>
    </w:p>
    <w:p>
      <w:pPr>
        <w:pStyle w:val="8"/>
        <w:spacing w:before="76" w:line="248" w:lineRule="auto"/>
        <w:ind w:left="19" w:firstLine="460"/>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4.我方已详细审核磋商文件，包括修改文件（如有的话）和有关附件</w:t>
      </w:r>
      <w:r>
        <w:rPr>
          <w:rFonts w:hint="eastAsia" w:ascii="宋体" w:hAnsi="宋体" w:eastAsia="宋体" w:cs="宋体"/>
          <w:color w:val="auto"/>
          <w:spacing w:val="-3"/>
          <w:sz w:val="21"/>
          <w:szCs w:val="21"/>
          <w:highlight w:val="none"/>
        </w:rPr>
        <w:t>，将自行承担</w:t>
      </w:r>
      <w:r>
        <w:rPr>
          <w:rFonts w:hint="eastAsia" w:ascii="宋体" w:hAnsi="宋体" w:eastAsia="宋体" w:cs="宋体"/>
          <w:color w:val="auto"/>
          <w:spacing w:val="-1"/>
          <w:sz w:val="21"/>
          <w:szCs w:val="21"/>
          <w:highlight w:val="none"/>
        </w:rPr>
        <w:t>因对全部磋商文件理解不正确或误解而产生的</w:t>
      </w:r>
      <w:r>
        <w:rPr>
          <w:rFonts w:hint="eastAsia" w:ascii="宋体" w:hAnsi="宋体" w:eastAsia="宋体" w:cs="宋体"/>
          <w:color w:val="auto"/>
          <w:spacing w:val="-2"/>
          <w:sz w:val="21"/>
          <w:szCs w:val="21"/>
          <w:highlight w:val="none"/>
        </w:rPr>
        <w:t>相应后果。</w:t>
      </w:r>
    </w:p>
    <w:p>
      <w:pPr>
        <w:pStyle w:val="8"/>
        <w:spacing w:before="75" w:line="360" w:lineRule="exact"/>
        <w:ind w:left="485"/>
        <w:rPr>
          <w:rFonts w:hint="eastAsia" w:ascii="宋体" w:hAnsi="宋体" w:eastAsia="宋体" w:cs="宋体"/>
          <w:color w:val="auto"/>
          <w:sz w:val="21"/>
          <w:szCs w:val="21"/>
          <w:highlight w:val="none"/>
        </w:rPr>
      </w:pPr>
      <w:r>
        <w:rPr>
          <w:rFonts w:hint="eastAsia" w:ascii="宋体" w:hAnsi="宋体" w:eastAsia="宋体" w:cs="宋体"/>
          <w:color w:val="auto"/>
          <w:spacing w:val="-2"/>
          <w:position w:val="8"/>
          <w:sz w:val="21"/>
          <w:szCs w:val="21"/>
          <w:highlight w:val="none"/>
        </w:rPr>
        <w:t>5.响应文件有效期为响应文件递交截止时间之日起</w:t>
      </w:r>
      <w:r>
        <w:rPr>
          <w:rFonts w:hint="eastAsia" w:ascii="宋体" w:hAnsi="宋体" w:eastAsia="宋体" w:cs="宋体"/>
          <w:color w:val="auto"/>
          <w:spacing w:val="-36"/>
          <w:position w:val="8"/>
          <w:sz w:val="21"/>
          <w:szCs w:val="21"/>
          <w:highlight w:val="none"/>
        </w:rPr>
        <w:t xml:space="preserve"> </w:t>
      </w:r>
      <w:r>
        <w:rPr>
          <w:rFonts w:hint="eastAsia" w:ascii="宋体" w:hAnsi="宋体" w:eastAsia="宋体" w:cs="宋体"/>
          <w:color w:val="auto"/>
          <w:spacing w:val="-2"/>
          <w:position w:val="8"/>
          <w:sz w:val="21"/>
          <w:szCs w:val="21"/>
          <w:highlight w:val="none"/>
        </w:rPr>
        <w:t>90</w:t>
      </w:r>
      <w:r>
        <w:rPr>
          <w:rFonts w:hint="eastAsia" w:ascii="宋体" w:hAnsi="宋体" w:eastAsia="宋体" w:cs="宋体"/>
          <w:color w:val="auto"/>
          <w:spacing w:val="-46"/>
          <w:position w:val="8"/>
          <w:sz w:val="21"/>
          <w:szCs w:val="21"/>
          <w:highlight w:val="none"/>
        </w:rPr>
        <w:t xml:space="preserve"> </w:t>
      </w:r>
      <w:r>
        <w:rPr>
          <w:rFonts w:hint="eastAsia" w:ascii="宋体" w:hAnsi="宋体" w:eastAsia="宋体" w:cs="宋体"/>
          <w:color w:val="auto"/>
          <w:spacing w:val="-2"/>
          <w:position w:val="8"/>
          <w:sz w:val="21"/>
          <w:szCs w:val="21"/>
          <w:highlight w:val="none"/>
        </w:rPr>
        <w:t>天。</w:t>
      </w:r>
    </w:p>
    <w:p>
      <w:pPr>
        <w:pStyle w:val="8"/>
        <w:spacing w:line="220" w:lineRule="auto"/>
        <w:ind w:left="482"/>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6.如我方成交：</w:t>
      </w:r>
    </w:p>
    <w:p>
      <w:pPr>
        <w:pStyle w:val="8"/>
        <w:spacing w:before="75" w:line="249" w:lineRule="auto"/>
        <w:ind w:left="24" w:firstLine="467"/>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（1）我方承诺在收到成交通知书后，在成交通知书规定的期限</w:t>
      </w:r>
      <w:r>
        <w:rPr>
          <w:rFonts w:hint="eastAsia" w:ascii="宋体" w:hAnsi="宋体" w:eastAsia="宋体" w:cs="宋体"/>
          <w:color w:val="auto"/>
          <w:sz w:val="21"/>
          <w:szCs w:val="21"/>
          <w:highlight w:val="none"/>
        </w:rPr>
        <w:t>内与采购人签订合</w:t>
      </w:r>
      <w:r>
        <w:rPr>
          <w:rFonts w:hint="eastAsia" w:ascii="宋体" w:hAnsi="宋体" w:eastAsia="宋体" w:cs="宋体"/>
          <w:color w:val="auto"/>
          <w:spacing w:val="-17"/>
          <w:sz w:val="21"/>
          <w:szCs w:val="21"/>
          <w:highlight w:val="none"/>
        </w:rPr>
        <w:t>同。</w:t>
      </w:r>
    </w:p>
    <w:p>
      <w:pPr>
        <w:pStyle w:val="8"/>
        <w:spacing w:before="72" w:line="219" w:lineRule="auto"/>
        <w:ind w:left="492"/>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（2）我方承诺按照磋商文件规定递交履约担保。</w:t>
      </w:r>
    </w:p>
    <w:p>
      <w:pPr>
        <w:pStyle w:val="8"/>
        <w:spacing w:before="75" w:line="248" w:lineRule="auto"/>
        <w:ind w:firstLine="492"/>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（3）我方承诺本响应文件至本项目合同履行完毕止均保持有效</w:t>
      </w:r>
      <w:r>
        <w:rPr>
          <w:rFonts w:hint="eastAsia" w:ascii="宋体" w:hAnsi="宋体" w:eastAsia="宋体" w:cs="宋体"/>
          <w:color w:val="auto"/>
          <w:sz w:val="21"/>
          <w:szCs w:val="21"/>
          <w:highlight w:val="none"/>
        </w:rPr>
        <w:t>，按磋商文件及政</w:t>
      </w:r>
      <w:r>
        <w:rPr>
          <w:rFonts w:hint="eastAsia" w:ascii="宋体" w:hAnsi="宋体" w:eastAsia="宋体" w:cs="宋体"/>
          <w:color w:val="auto"/>
          <w:spacing w:val="-1"/>
          <w:sz w:val="21"/>
          <w:szCs w:val="21"/>
          <w:highlight w:val="none"/>
        </w:rPr>
        <w:t>府采购法律、法规的规定履行合同责任和义务。</w:t>
      </w:r>
    </w:p>
    <w:p>
      <w:pPr>
        <w:spacing w:line="355" w:lineRule="auto"/>
        <w:rPr>
          <w:rFonts w:hint="eastAsia" w:ascii="宋体" w:hAnsi="宋体" w:eastAsia="宋体" w:cs="宋体"/>
          <w:color w:val="auto"/>
          <w:sz w:val="21"/>
          <w:szCs w:val="21"/>
          <w:highlight w:val="none"/>
        </w:rPr>
      </w:pPr>
    </w:p>
    <w:p>
      <w:pPr>
        <w:pStyle w:val="8"/>
        <w:keepNext w:val="0"/>
        <w:keepLines w:val="0"/>
        <w:pageBreakBefore w:val="0"/>
        <w:widowControl w:val="0"/>
        <w:kinsoku/>
        <w:wordWrap/>
        <w:overflowPunct/>
        <w:topLinePunct w:val="0"/>
        <w:autoSpaceDE/>
        <w:autoSpaceDN/>
        <w:bidi w:val="0"/>
        <w:adjustRightInd/>
        <w:snapToGrid/>
        <w:spacing w:after="0" w:line="380" w:lineRule="exact"/>
        <w:ind w:left="0" w:firstLine="416"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与本项目有关的正式通讯地址为：</w:t>
      </w:r>
    </w:p>
    <w:p>
      <w:pPr>
        <w:pStyle w:val="8"/>
        <w:keepNext w:val="0"/>
        <w:keepLines w:val="0"/>
        <w:pageBreakBefore w:val="0"/>
        <w:widowControl w:val="0"/>
        <w:kinsoku/>
        <w:wordWrap/>
        <w:overflowPunct/>
        <w:topLinePunct w:val="0"/>
        <w:autoSpaceDE/>
        <w:autoSpaceDN/>
        <w:bidi w:val="0"/>
        <w:adjustRightInd/>
        <w:snapToGrid/>
        <w:spacing w:after="0" w:line="380" w:lineRule="exact"/>
        <w:ind w:left="0" w:firstLine="404"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地址：</w:t>
      </w:r>
      <w:r>
        <w:rPr>
          <w:rFonts w:hint="eastAsia" w:ascii="宋体" w:hAnsi="宋体" w:eastAsia="宋体" w:cs="宋体"/>
          <w:color w:val="auto"/>
          <w:spacing w:val="-4"/>
          <w:sz w:val="21"/>
          <w:szCs w:val="21"/>
          <w:highlight w:val="none"/>
          <w:u w:val="single"/>
        </w:rPr>
        <w:t xml:space="preserve">                                    </w:t>
      </w:r>
      <w:r>
        <w:rPr>
          <w:rFonts w:hint="eastAsia" w:ascii="宋体" w:hAnsi="宋体" w:eastAsia="宋体" w:cs="宋体"/>
          <w:color w:val="auto"/>
          <w:spacing w:val="27"/>
          <w:sz w:val="21"/>
          <w:szCs w:val="21"/>
          <w:highlight w:val="none"/>
        </w:rPr>
        <w:t xml:space="preserve"> </w:t>
      </w:r>
      <w:r>
        <w:rPr>
          <w:rFonts w:hint="eastAsia" w:ascii="宋体" w:hAnsi="宋体" w:eastAsia="宋体" w:cs="宋体"/>
          <w:color w:val="auto"/>
          <w:spacing w:val="-4"/>
          <w:sz w:val="21"/>
          <w:szCs w:val="21"/>
          <w:highlight w:val="none"/>
        </w:rPr>
        <w:t>邮编：</w:t>
      </w:r>
      <w:r>
        <w:rPr>
          <w:rFonts w:hint="eastAsia" w:ascii="宋体" w:hAnsi="宋体" w:eastAsia="宋体" w:cs="宋体"/>
          <w:color w:val="auto"/>
          <w:spacing w:val="-4"/>
          <w:sz w:val="21"/>
          <w:szCs w:val="21"/>
          <w:highlight w:val="none"/>
          <w:u w:val="single"/>
        </w:rPr>
        <w:t xml:space="preserve">        </w:t>
      </w:r>
      <w:r>
        <w:rPr>
          <w:rFonts w:hint="eastAsia" w:ascii="宋体" w:hAnsi="宋体" w:eastAsia="宋体" w:cs="宋体"/>
          <w:color w:val="auto"/>
          <w:spacing w:val="-5"/>
          <w:sz w:val="21"/>
          <w:szCs w:val="21"/>
          <w:highlight w:val="none"/>
          <w:u w:val="single"/>
        </w:rPr>
        <w:t xml:space="preserve">  </w:t>
      </w:r>
      <w:r>
        <w:rPr>
          <w:rFonts w:hint="eastAsia" w:ascii="宋体" w:hAnsi="宋体" w:eastAsia="宋体" w:cs="宋体"/>
          <w:color w:val="auto"/>
          <w:spacing w:val="13"/>
          <w:sz w:val="21"/>
          <w:szCs w:val="21"/>
          <w:highlight w:val="none"/>
        </w:rPr>
        <w:t xml:space="preserve">  </w:t>
      </w:r>
      <w:r>
        <w:rPr>
          <w:rFonts w:hint="eastAsia" w:ascii="宋体" w:hAnsi="宋体" w:eastAsia="宋体" w:cs="宋体"/>
          <w:color w:val="auto"/>
          <w:spacing w:val="-5"/>
          <w:sz w:val="21"/>
          <w:szCs w:val="21"/>
          <w:highlight w:val="none"/>
        </w:rPr>
        <w:t>邮箱：</w:t>
      </w:r>
      <w:r>
        <w:rPr>
          <w:rFonts w:hint="eastAsia" w:ascii="宋体" w:hAnsi="宋体" w:eastAsia="宋体" w:cs="宋体"/>
          <w:color w:val="auto"/>
          <w:spacing w:val="-5"/>
          <w:sz w:val="21"/>
          <w:szCs w:val="21"/>
          <w:highlight w:val="none"/>
          <w:u w:val="single"/>
        </w:rPr>
        <w:t xml:space="preserve">      </w:t>
      </w:r>
    </w:p>
    <w:p>
      <w:pPr>
        <w:pStyle w:val="8"/>
        <w:keepNext w:val="0"/>
        <w:keepLines w:val="0"/>
        <w:pageBreakBefore w:val="0"/>
        <w:widowControl w:val="0"/>
        <w:kinsoku/>
        <w:wordWrap/>
        <w:overflowPunct/>
        <w:topLinePunct w:val="0"/>
        <w:autoSpaceDE/>
        <w:autoSpaceDN/>
        <w:bidi w:val="0"/>
        <w:adjustRightInd/>
        <w:snapToGrid/>
        <w:spacing w:after="0" w:line="380" w:lineRule="exact"/>
        <w:ind w:left="0" w:firstLine="416"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办公电话：</w:t>
      </w:r>
      <w:r>
        <w:rPr>
          <w:rFonts w:hint="eastAsia" w:ascii="宋体" w:hAnsi="宋体" w:eastAsia="宋体" w:cs="宋体"/>
          <w:color w:val="auto"/>
          <w:spacing w:val="-1"/>
          <w:sz w:val="21"/>
          <w:szCs w:val="21"/>
          <w:highlight w:val="none"/>
          <w:u w:val="single"/>
        </w:rPr>
        <w:t xml:space="preserve">                </w:t>
      </w:r>
      <w:r>
        <w:rPr>
          <w:rFonts w:hint="eastAsia" w:ascii="宋体" w:hAnsi="宋体" w:eastAsia="宋体" w:cs="宋体"/>
          <w:color w:val="auto"/>
          <w:spacing w:val="-1"/>
          <w:sz w:val="21"/>
          <w:szCs w:val="21"/>
          <w:highlight w:val="none"/>
        </w:rPr>
        <w:t xml:space="preserve">   传真：</w:t>
      </w:r>
      <w:r>
        <w:rPr>
          <w:rFonts w:hint="eastAsia" w:ascii="宋体" w:hAnsi="宋体" w:eastAsia="宋体" w:cs="宋体"/>
          <w:color w:val="auto"/>
          <w:sz w:val="21"/>
          <w:szCs w:val="21"/>
          <w:highlight w:val="none"/>
          <w:u w:val="single"/>
        </w:rPr>
        <w:t xml:space="preserve">          </w:t>
      </w:r>
    </w:p>
    <w:p>
      <w:pPr>
        <w:pStyle w:val="8"/>
        <w:keepNext w:val="0"/>
        <w:keepLines w:val="0"/>
        <w:pageBreakBefore w:val="0"/>
        <w:widowControl w:val="0"/>
        <w:kinsoku/>
        <w:wordWrap/>
        <w:overflowPunct/>
        <w:topLinePunct w:val="0"/>
        <w:autoSpaceDE/>
        <w:autoSpaceDN/>
        <w:bidi w:val="0"/>
        <w:adjustRightInd/>
        <w:snapToGrid/>
        <w:spacing w:after="0" w:line="380" w:lineRule="exact"/>
        <w:ind w:left="0" w:firstLine="416"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委托代理人联系电话：</w:t>
      </w:r>
      <w:r>
        <w:rPr>
          <w:rFonts w:hint="eastAsia" w:ascii="宋体" w:hAnsi="宋体" w:eastAsia="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p>
    <w:p>
      <w:pPr>
        <w:pStyle w:val="8"/>
        <w:keepNext w:val="0"/>
        <w:keepLines w:val="0"/>
        <w:pageBreakBefore w:val="0"/>
        <w:widowControl w:val="0"/>
        <w:kinsoku/>
        <w:wordWrap/>
        <w:overflowPunct/>
        <w:topLinePunct w:val="0"/>
        <w:autoSpaceDE/>
        <w:autoSpaceDN/>
        <w:bidi w:val="0"/>
        <w:adjustRightInd/>
        <w:snapToGrid/>
        <w:spacing w:after="0" w:line="380" w:lineRule="exact"/>
        <w:ind w:left="0" w:firstLine="408"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3"/>
          <w:sz w:val="21"/>
          <w:szCs w:val="21"/>
          <w:highlight w:val="none"/>
        </w:rPr>
        <w:t>开户名称：</w:t>
      </w:r>
      <w:r>
        <w:rPr>
          <w:rFonts w:hint="eastAsia" w:ascii="宋体" w:hAnsi="宋体" w:eastAsia="宋体" w:cs="宋体"/>
          <w:color w:val="auto"/>
          <w:sz w:val="21"/>
          <w:szCs w:val="21"/>
          <w:highlight w:val="none"/>
          <w:u w:val="single"/>
        </w:rPr>
        <w:t xml:space="preserve">                                   </w:t>
      </w:r>
    </w:p>
    <w:p>
      <w:pPr>
        <w:pStyle w:val="8"/>
        <w:keepNext w:val="0"/>
        <w:keepLines w:val="0"/>
        <w:pageBreakBefore w:val="0"/>
        <w:widowControl w:val="0"/>
        <w:kinsoku/>
        <w:wordWrap/>
        <w:overflowPunct/>
        <w:topLinePunct w:val="0"/>
        <w:autoSpaceDE/>
        <w:autoSpaceDN/>
        <w:bidi w:val="0"/>
        <w:adjustRightInd/>
        <w:snapToGrid/>
        <w:spacing w:after="0" w:line="380" w:lineRule="exact"/>
        <w:ind w:left="0" w:firstLine="408"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3"/>
          <w:sz w:val="21"/>
          <w:szCs w:val="21"/>
          <w:highlight w:val="none"/>
        </w:rPr>
        <w:t>开户银行：</w:t>
      </w:r>
      <w:r>
        <w:rPr>
          <w:rFonts w:hint="eastAsia" w:ascii="宋体" w:hAnsi="宋体" w:eastAsia="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p>
    <w:p>
      <w:pPr>
        <w:pStyle w:val="8"/>
        <w:keepNext w:val="0"/>
        <w:keepLines w:val="0"/>
        <w:pageBreakBefore w:val="0"/>
        <w:widowControl w:val="0"/>
        <w:kinsoku/>
        <w:wordWrap/>
        <w:overflowPunct/>
        <w:topLinePunct w:val="0"/>
        <w:autoSpaceDE/>
        <w:autoSpaceDN/>
        <w:bidi w:val="0"/>
        <w:adjustRightInd/>
        <w:snapToGrid/>
        <w:spacing w:after="0" w:line="380" w:lineRule="exact"/>
        <w:ind w:left="0" w:firstLine="408"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3"/>
          <w:sz w:val="21"/>
          <w:szCs w:val="21"/>
          <w:highlight w:val="none"/>
        </w:rPr>
        <w:t>账号：</w:t>
      </w:r>
      <w:r>
        <w:rPr>
          <w:rFonts w:hint="eastAsia" w:ascii="宋体" w:hAnsi="宋体" w:eastAsia="宋体" w:cs="宋体"/>
          <w:color w:val="auto"/>
          <w:spacing w:val="-3"/>
          <w:sz w:val="21"/>
          <w:szCs w:val="21"/>
          <w:highlight w:val="none"/>
          <w:u w:val="single"/>
        </w:rPr>
        <w:t xml:space="preserve">                                         </w:t>
      </w:r>
    </w:p>
    <w:p>
      <w:pPr>
        <w:pStyle w:val="8"/>
        <w:keepNext w:val="0"/>
        <w:keepLines w:val="0"/>
        <w:pageBreakBefore w:val="0"/>
        <w:widowControl w:val="0"/>
        <w:kinsoku/>
        <w:wordWrap/>
        <w:overflowPunct/>
        <w:topLinePunct w:val="0"/>
        <w:autoSpaceDE/>
        <w:autoSpaceDN/>
        <w:bidi w:val="0"/>
        <w:adjustRightInd/>
        <w:snapToGrid/>
        <w:spacing w:after="0" w:line="380" w:lineRule="exact"/>
        <w:ind w:left="0" w:firstLine="412"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供应商[公章(CA</w:t>
      </w:r>
      <w:r>
        <w:rPr>
          <w:rFonts w:hint="eastAsia" w:ascii="宋体" w:hAnsi="宋体" w:eastAsia="宋体" w:cs="宋体"/>
          <w:color w:val="auto"/>
          <w:spacing w:val="-43"/>
          <w:sz w:val="21"/>
          <w:szCs w:val="21"/>
          <w:highlight w:val="none"/>
        </w:rPr>
        <w:t xml:space="preserve"> </w:t>
      </w:r>
      <w:r>
        <w:rPr>
          <w:rFonts w:hint="eastAsia" w:ascii="宋体" w:hAnsi="宋体" w:eastAsia="宋体" w:cs="宋体"/>
          <w:color w:val="auto"/>
          <w:spacing w:val="-2"/>
          <w:sz w:val="21"/>
          <w:szCs w:val="21"/>
          <w:highlight w:val="none"/>
        </w:rPr>
        <w:t>签章)]：</w:t>
      </w:r>
      <w:r>
        <w:rPr>
          <w:rFonts w:hint="eastAsia" w:ascii="宋体" w:hAnsi="宋体" w:eastAsia="宋体" w:cs="宋体"/>
          <w:color w:val="auto"/>
          <w:sz w:val="21"/>
          <w:szCs w:val="21"/>
          <w:highlight w:val="none"/>
          <w:u w:val="single"/>
        </w:rPr>
        <w:t xml:space="preserve">                       </w:t>
      </w:r>
    </w:p>
    <w:p>
      <w:pPr>
        <w:pStyle w:val="11"/>
        <w:keepNext w:val="0"/>
        <w:keepLines w:val="0"/>
        <w:pageBreakBefore w:val="0"/>
        <w:widowControl w:val="0"/>
        <w:kinsoku/>
        <w:wordWrap/>
        <w:overflowPunct/>
        <w:topLinePunct w:val="0"/>
        <w:autoSpaceDE/>
        <w:autoSpaceDN/>
        <w:bidi w:val="0"/>
        <w:adjustRightInd/>
        <w:snapToGrid/>
        <w:spacing w:line="380" w:lineRule="exact"/>
        <w:ind w:left="0" w:firstLine="420" w:firstLineChars="200"/>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法定代表人、负责人、自然人或相应的委托代理人签字[或盖章(CA签章)]（属自然人的应在签名处加盖大拇指指印或个人CA签章）：</w:t>
      </w:r>
      <w:r>
        <w:rPr>
          <w:rFonts w:hint="eastAsia" w:ascii="宋体" w:hAnsi="宋体" w:eastAsia="宋体" w:cs="宋体"/>
          <w:color w:val="auto"/>
          <w:sz w:val="21"/>
          <w:szCs w:val="21"/>
          <w:highlight w:val="none"/>
          <w:u w:val="single"/>
        </w:rPr>
        <w:t xml:space="preserve">              </w:t>
      </w:r>
    </w:p>
    <w:p>
      <w:pPr>
        <w:pStyle w:val="8"/>
        <w:keepNext w:val="0"/>
        <w:keepLines w:val="0"/>
        <w:pageBreakBefore w:val="0"/>
        <w:widowControl w:val="0"/>
        <w:kinsoku/>
        <w:wordWrap/>
        <w:overflowPunct/>
        <w:topLinePunct w:val="0"/>
        <w:autoSpaceDE/>
        <w:autoSpaceDN/>
        <w:bidi w:val="0"/>
        <w:adjustRightInd/>
        <w:snapToGrid/>
        <w:spacing w:after="0" w:line="380" w:lineRule="exact"/>
        <w:ind w:left="0" w:firstLine="400" w:firstLineChars="200"/>
        <w:textAlignment w:val="auto"/>
        <w:rPr>
          <w:rFonts w:hint="eastAsia" w:ascii="宋体" w:hAnsi="宋体" w:eastAsia="宋体" w:cs="宋体"/>
          <w:b/>
          <w:color w:val="auto"/>
          <w:sz w:val="21"/>
          <w:szCs w:val="21"/>
          <w:highlight w:val="none"/>
          <w:lang w:val="en-US" w:eastAsia="zh-CN"/>
        </w:rPr>
      </w:pPr>
      <w:r>
        <w:rPr>
          <w:rFonts w:hint="eastAsia" w:ascii="宋体" w:hAnsi="宋体" w:eastAsia="宋体" w:cs="宋体"/>
          <w:color w:val="auto"/>
          <w:spacing w:val="-5"/>
          <w:sz w:val="21"/>
          <w:szCs w:val="21"/>
          <w:highlight w:val="none"/>
        </w:rPr>
        <w:t>响应日期：</w:t>
      </w:r>
      <w:r>
        <w:rPr>
          <w:rFonts w:hint="eastAsia" w:ascii="宋体" w:hAnsi="宋体" w:eastAsia="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p>
    <w:p>
      <w:pPr>
        <w:pStyle w:val="5"/>
        <w:rPr>
          <w:rFonts w:hint="eastAsia" w:ascii="宋体" w:hAnsi="宋体" w:eastAsia="宋体" w:cs="宋体"/>
          <w:color w:val="auto"/>
          <w:sz w:val="21"/>
          <w:szCs w:val="21"/>
          <w:highlight w:val="none"/>
          <w:lang w:val="en-US" w:eastAsia="zh-CN"/>
        </w:rPr>
      </w:pPr>
    </w:p>
    <w:p>
      <w:pPr>
        <w:rPr>
          <w:rFonts w:hint="eastAsia" w:ascii="宋体" w:hAnsi="宋体" w:eastAsia="宋体" w:cs="宋体"/>
          <w:color w:val="auto"/>
          <w:sz w:val="21"/>
          <w:szCs w:val="21"/>
          <w:highlight w:val="none"/>
          <w:lang w:val="en-US" w:eastAsia="zh-CN"/>
        </w:rPr>
      </w:pPr>
    </w:p>
    <w:p>
      <w:pPr>
        <w:pStyle w:val="8"/>
        <w:rPr>
          <w:rFonts w:hint="eastAsia" w:ascii="宋体" w:hAnsi="宋体" w:eastAsia="宋体" w:cs="宋体"/>
          <w:color w:val="auto"/>
          <w:sz w:val="21"/>
          <w:szCs w:val="21"/>
          <w:highlight w:val="none"/>
          <w:lang w:val="en-US" w:eastAsia="zh-CN"/>
        </w:rPr>
      </w:pPr>
    </w:p>
    <w:p>
      <w:pPr>
        <w:rPr>
          <w:rFonts w:hint="eastAsia" w:ascii="宋体" w:hAnsi="宋体" w:eastAsia="宋体" w:cs="宋体"/>
          <w:color w:val="auto"/>
          <w:sz w:val="21"/>
          <w:szCs w:val="21"/>
          <w:highlight w:val="none"/>
          <w:lang w:val="en-US" w:eastAsia="zh-CN"/>
        </w:rPr>
      </w:pPr>
    </w:p>
    <w:p>
      <w:pPr>
        <w:pStyle w:val="8"/>
        <w:rPr>
          <w:rFonts w:hint="eastAsia"/>
          <w:color w:val="auto"/>
          <w:highlight w:val="none"/>
          <w:lang w:val="en-US" w:eastAsia="zh-CN"/>
        </w:rPr>
      </w:pPr>
    </w:p>
    <w:p>
      <w:pPr>
        <w:pStyle w:val="11"/>
        <w:numPr>
          <w:ilvl w:val="0"/>
          <w:numId w:val="0"/>
        </w:numPr>
        <w:spacing w:line="340" w:lineRule="exact"/>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lang w:val="en-US" w:eastAsia="zh-CN"/>
        </w:rPr>
        <w:t>2.工程报价汇总表</w:t>
      </w:r>
      <w:r>
        <w:rPr>
          <w:rFonts w:hint="eastAsia" w:ascii="宋体" w:hAnsi="宋体" w:eastAsia="宋体" w:cs="宋体"/>
          <w:b/>
          <w:color w:val="auto"/>
          <w:sz w:val="24"/>
          <w:szCs w:val="24"/>
          <w:highlight w:val="none"/>
        </w:rPr>
        <w:t>（必须提供）；</w:t>
      </w:r>
    </w:p>
    <w:p>
      <w:pPr>
        <w:pStyle w:val="11"/>
        <w:spacing w:line="320" w:lineRule="exact"/>
        <w:jc w:val="left"/>
        <w:rPr>
          <w:rFonts w:hint="eastAsia" w:ascii="宋体" w:hAnsi="宋体" w:eastAsia="宋体" w:cs="宋体"/>
          <w:b/>
          <w:color w:val="auto"/>
          <w:sz w:val="21"/>
          <w:szCs w:val="21"/>
          <w:highlight w:val="none"/>
        </w:rPr>
      </w:pPr>
    </w:p>
    <w:p>
      <w:pPr>
        <w:widowControl/>
        <w:jc w:val="center"/>
        <w:rPr>
          <w:rFonts w:hint="eastAsia" w:ascii="宋体" w:hAnsi="宋体" w:eastAsia="宋体" w:cs="宋体"/>
          <w:b/>
          <w:color w:val="auto"/>
          <w:kern w:val="0"/>
          <w:sz w:val="21"/>
          <w:szCs w:val="21"/>
          <w:highlight w:val="none"/>
          <w:lang w:eastAsia="zh-CN"/>
        </w:rPr>
      </w:pPr>
      <w:r>
        <w:rPr>
          <w:rFonts w:hint="eastAsia" w:ascii="宋体" w:hAnsi="宋体" w:eastAsia="宋体" w:cs="宋体"/>
          <w:b/>
          <w:color w:val="auto"/>
          <w:kern w:val="0"/>
          <w:sz w:val="21"/>
          <w:szCs w:val="21"/>
          <w:highlight w:val="none"/>
        </w:rPr>
        <w:t>工程报价汇总表</w:t>
      </w:r>
      <w:r>
        <w:rPr>
          <w:rFonts w:hint="eastAsia" w:ascii="宋体" w:hAnsi="宋体" w:eastAsia="宋体" w:cs="宋体"/>
          <w:b/>
          <w:color w:val="auto"/>
          <w:kern w:val="0"/>
          <w:sz w:val="21"/>
          <w:szCs w:val="21"/>
          <w:highlight w:val="none"/>
          <w:lang w:eastAsia="zh-CN"/>
        </w:rPr>
        <w:t>（</w:t>
      </w:r>
      <w:r>
        <w:rPr>
          <w:rFonts w:hint="eastAsia" w:ascii="宋体" w:hAnsi="宋体" w:eastAsia="宋体" w:cs="宋体"/>
          <w:b/>
          <w:color w:val="auto"/>
          <w:kern w:val="0"/>
          <w:sz w:val="21"/>
          <w:szCs w:val="21"/>
          <w:highlight w:val="none"/>
          <w:lang w:val="en-US" w:eastAsia="zh-CN"/>
        </w:rPr>
        <w:t>格式</w:t>
      </w:r>
      <w:r>
        <w:rPr>
          <w:rFonts w:hint="eastAsia" w:ascii="宋体" w:hAnsi="宋体" w:eastAsia="宋体" w:cs="宋体"/>
          <w:b/>
          <w:color w:val="auto"/>
          <w:kern w:val="0"/>
          <w:sz w:val="21"/>
          <w:szCs w:val="21"/>
          <w:highlight w:val="none"/>
          <w:lang w:eastAsia="zh-CN"/>
        </w:rPr>
        <w:t>）</w:t>
      </w:r>
    </w:p>
    <w:p>
      <w:pPr>
        <w:widowControl/>
        <w:jc w:val="center"/>
        <w:rPr>
          <w:rFonts w:hint="eastAsia" w:ascii="宋体" w:hAnsi="宋体" w:eastAsia="宋体" w:cs="宋体"/>
          <w:color w:val="auto"/>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工程名称:</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sz w:val="21"/>
          <w:szCs w:val="21"/>
          <w:highlight w:val="none"/>
        </w:rPr>
        <w:t xml:space="preserve">             </w:t>
      </w:r>
      <w:r>
        <w:rPr>
          <w:rFonts w:hint="eastAsia" w:ascii="宋体" w:hAnsi="宋体" w:eastAsia="宋体" w:cs="宋体"/>
          <w:color w:val="auto"/>
          <w:kern w:val="0"/>
          <w:sz w:val="21"/>
          <w:szCs w:val="21"/>
          <w:highlight w:val="none"/>
        </w:rPr>
        <w:t>币种：人民币</w:t>
      </w:r>
    </w:p>
    <w:tbl>
      <w:tblPr>
        <w:tblStyle w:val="19"/>
        <w:tblW w:w="9184" w:type="dxa"/>
        <w:tblInd w:w="108" w:type="dxa"/>
        <w:tblLayout w:type="fixed"/>
        <w:tblCellMar>
          <w:top w:w="0" w:type="dxa"/>
          <w:left w:w="108" w:type="dxa"/>
          <w:bottom w:w="0" w:type="dxa"/>
          <w:right w:w="108" w:type="dxa"/>
        </w:tblCellMar>
      </w:tblPr>
      <w:tblGrid>
        <w:gridCol w:w="720"/>
        <w:gridCol w:w="5944"/>
        <w:gridCol w:w="2520"/>
      </w:tblGrid>
      <w:tr>
        <w:tblPrEx>
          <w:tblCellMar>
            <w:top w:w="0" w:type="dxa"/>
            <w:left w:w="108" w:type="dxa"/>
            <w:bottom w:w="0" w:type="dxa"/>
            <w:right w:w="108" w:type="dxa"/>
          </w:tblCellMar>
        </w:tblPrEx>
        <w:trPr>
          <w:trHeight w:val="454" w:hRule="atLeast"/>
        </w:trPr>
        <w:tc>
          <w:tcPr>
            <w:tcW w:w="720" w:type="dxa"/>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一</w:t>
            </w:r>
          </w:p>
        </w:tc>
        <w:tc>
          <w:tcPr>
            <w:tcW w:w="5944" w:type="dxa"/>
            <w:tcBorders>
              <w:top w:val="single" w:color="auto" w:sz="8"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eastAsia="zh-CN"/>
              </w:rPr>
              <w:t>磋商报价</w:t>
            </w:r>
            <w:r>
              <w:rPr>
                <w:rFonts w:hint="eastAsia" w:ascii="宋体" w:hAnsi="宋体" w:eastAsia="宋体" w:cs="宋体"/>
                <w:color w:val="auto"/>
                <w:kern w:val="0"/>
                <w:sz w:val="21"/>
                <w:szCs w:val="21"/>
                <w:highlight w:val="none"/>
              </w:rPr>
              <w:t>：二＋三＋四＋五</w:t>
            </w:r>
          </w:p>
        </w:tc>
        <w:tc>
          <w:tcPr>
            <w:tcW w:w="2520" w:type="dxa"/>
            <w:tcBorders>
              <w:top w:val="single" w:color="auto" w:sz="8" w:space="0"/>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（元）</w:t>
            </w:r>
          </w:p>
        </w:tc>
      </w:tr>
      <w:tr>
        <w:tblPrEx>
          <w:tblCellMar>
            <w:top w:w="0" w:type="dxa"/>
            <w:left w:w="108" w:type="dxa"/>
            <w:bottom w:w="0" w:type="dxa"/>
            <w:right w:w="108" w:type="dxa"/>
          </w:tblCellMar>
        </w:tblPrEx>
        <w:trPr>
          <w:trHeight w:val="454" w:hRule="atLeast"/>
        </w:trPr>
        <w:tc>
          <w:tcPr>
            <w:tcW w:w="720" w:type="dxa"/>
            <w:tcBorders>
              <w:top w:val="nil"/>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二</w:t>
            </w:r>
          </w:p>
        </w:tc>
        <w:tc>
          <w:tcPr>
            <w:tcW w:w="594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预算价</w:t>
            </w:r>
            <w:r>
              <w:rPr>
                <w:rFonts w:hint="eastAsia" w:ascii="宋体" w:hAnsi="宋体" w:eastAsia="宋体" w:cs="宋体"/>
                <w:color w:val="auto"/>
                <w:kern w:val="0"/>
                <w:sz w:val="21"/>
                <w:szCs w:val="21"/>
                <w:highlight w:val="none"/>
              </w:rPr>
              <w:t>：</w:t>
            </w:r>
          </w:p>
        </w:tc>
        <w:tc>
          <w:tcPr>
            <w:tcW w:w="2520" w:type="dxa"/>
            <w:tcBorders>
              <w:top w:val="nil"/>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（元）</w:t>
            </w:r>
          </w:p>
        </w:tc>
      </w:tr>
      <w:tr>
        <w:tblPrEx>
          <w:tblCellMar>
            <w:top w:w="0" w:type="dxa"/>
            <w:left w:w="108" w:type="dxa"/>
            <w:bottom w:w="0" w:type="dxa"/>
            <w:right w:w="108" w:type="dxa"/>
          </w:tblCellMar>
        </w:tblPrEx>
        <w:trPr>
          <w:trHeight w:val="454" w:hRule="atLeast"/>
        </w:trPr>
        <w:tc>
          <w:tcPr>
            <w:tcW w:w="720" w:type="dxa"/>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三</w:t>
            </w:r>
          </w:p>
        </w:tc>
        <w:tc>
          <w:tcPr>
            <w:tcW w:w="594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安全文明施工费</w:t>
            </w:r>
            <w:r>
              <w:rPr>
                <w:rFonts w:hint="eastAsia" w:ascii="宋体" w:hAnsi="宋体" w:cs="宋体"/>
                <w:color w:val="auto"/>
                <w:kern w:val="0"/>
                <w:sz w:val="21"/>
                <w:szCs w:val="21"/>
                <w:highlight w:val="none"/>
                <w:lang w:eastAsia="zh-CN"/>
              </w:rPr>
              <w:t>：</w:t>
            </w:r>
          </w:p>
        </w:tc>
        <w:tc>
          <w:tcPr>
            <w:tcW w:w="2520" w:type="dxa"/>
            <w:tcBorders>
              <w:top w:val="nil"/>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（元）</w:t>
            </w:r>
          </w:p>
        </w:tc>
      </w:tr>
      <w:tr>
        <w:tblPrEx>
          <w:tblCellMar>
            <w:top w:w="0" w:type="dxa"/>
            <w:left w:w="108" w:type="dxa"/>
            <w:bottom w:w="0" w:type="dxa"/>
            <w:right w:w="108" w:type="dxa"/>
          </w:tblCellMar>
        </w:tblPrEx>
        <w:trPr>
          <w:trHeight w:val="454" w:hRule="atLeast"/>
        </w:trPr>
        <w:tc>
          <w:tcPr>
            <w:tcW w:w="720" w:type="dxa"/>
            <w:tcBorders>
              <w:top w:val="nil"/>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四</w:t>
            </w:r>
          </w:p>
        </w:tc>
        <w:tc>
          <w:tcPr>
            <w:tcW w:w="594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规费：</w:t>
            </w:r>
          </w:p>
        </w:tc>
        <w:tc>
          <w:tcPr>
            <w:tcW w:w="2520" w:type="dxa"/>
            <w:tcBorders>
              <w:top w:val="nil"/>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（元）</w:t>
            </w:r>
          </w:p>
        </w:tc>
      </w:tr>
      <w:tr>
        <w:tblPrEx>
          <w:tblCellMar>
            <w:top w:w="0" w:type="dxa"/>
            <w:left w:w="108" w:type="dxa"/>
            <w:bottom w:w="0" w:type="dxa"/>
            <w:right w:w="108" w:type="dxa"/>
          </w:tblCellMar>
        </w:tblPrEx>
        <w:trPr>
          <w:trHeight w:val="454" w:hRule="atLeast"/>
        </w:trPr>
        <w:tc>
          <w:tcPr>
            <w:tcW w:w="720" w:type="dxa"/>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五</w:t>
            </w:r>
          </w:p>
        </w:tc>
        <w:tc>
          <w:tcPr>
            <w:tcW w:w="594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增值税</w:t>
            </w:r>
            <w:r>
              <w:rPr>
                <w:rFonts w:hint="eastAsia" w:ascii="宋体" w:hAnsi="宋体" w:eastAsia="宋体" w:cs="宋体"/>
                <w:color w:val="auto"/>
                <w:kern w:val="0"/>
                <w:sz w:val="21"/>
                <w:szCs w:val="21"/>
                <w:highlight w:val="none"/>
                <w:lang w:val="en-US" w:eastAsia="zh-CN"/>
              </w:rPr>
              <w:t>/税金</w:t>
            </w:r>
            <w:r>
              <w:rPr>
                <w:rFonts w:hint="eastAsia" w:ascii="宋体" w:hAnsi="宋体" w:cs="宋体"/>
                <w:color w:val="auto"/>
                <w:kern w:val="0"/>
                <w:sz w:val="21"/>
                <w:szCs w:val="21"/>
                <w:highlight w:val="none"/>
                <w:lang w:val="en-US" w:eastAsia="zh-CN"/>
              </w:rPr>
              <w:t>：</w:t>
            </w:r>
          </w:p>
        </w:tc>
        <w:tc>
          <w:tcPr>
            <w:tcW w:w="2520" w:type="dxa"/>
            <w:tcBorders>
              <w:top w:val="nil"/>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（元）</w:t>
            </w:r>
          </w:p>
        </w:tc>
      </w:tr>
      <w:tr>
        <w:tblPrEx>
          <w:tblCellMar>
            <w:top w:w="0" w:type="dxa"/>
            <w:left w:w="108" w:type="dxa"/>
            <w:bottom w:w="0" w:type="dxa"/>
            <w:right w:w="108" w:type="dxa"/>
          </w:tblCellMar>
        </w:tblPrEx>
        <w:trPr>
          <w:trHeight w:val="454" w:hRule="atLeast"/>
        </w:trPr>
        <w:tc>
          <w:tcPr>
            <w:tcW w:w="6664" w:type="dxa"/>
            <w:gridSpan w:val="2"/>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承诺工期</w:t>
            </w:r>
          </w:p>
        </w:tc>
        <w:tc>
          <w:tcPr>
            <w:tcW w:w="2520" w:type="dxa"/>
            <w:tcBorders>
              <w:top w:val="nil"/>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天（日历日）</w:t>
            </w:r>
          </w:p>
        </w:tc>
      </w:tr>
      <w:tr>
        <w:tblPrEx>
          <w:tblCellMar>
            <w:top w:w="0" w:type="dxa"/>
            <w:left w:w="108" w:type="dxa"/>
            <w:bottom w:w="0" w:type="dxa"/>
            <w:right w:w="108" w:type="dxa"/>
          </w:tblCellMar>
        </w:tblPrEx>
        <w:trPr>
          <w:trHeight w:val="454" w:hRule="atLeast"/>
        </w:trPr>
        <w:tc>
          <w:tcPr>
            <w:tcW w:w="6664" w:type="dxa"/>
            <w:gridSpan w:val="2"/>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承诺质量等级</w:t>
            </w:r>
          </w:p>
        </w:tc>
        <w:tc>
          <w:tcPr>
            <w:tcW w:w="2520" w:type="dxa"/>
            <w:tcBorders>
              <w:top w:val="nil"/>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CellMar>
            <w:top w:w="0" w:type="dxa"/>
            <w:left w:w="108" w:type="dxa"/>
            <w:bottom w:w="0" w:type="dxa"/>
            <w:right w:w="108" w:type="dxa"/>
          </w:tblCellMar>
        </w:tblPrEx>
        <w:trPr>
          <w:trHeight w:val="1104" w:hRule="atLeast"/>
        </w:trPr>
        <w:tc>
          <w:tcPr>
            <w:tcW w:w="9184"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auto"/>
                <w:kern w:val="0"/>
                <w:sz w:val="21"/>
                <w:szCs w:val="21"/>
                <w:highlight w:val="none"/>
              </w:rPr>
            </w:pPr>
          </w:p>
        </w:tc>
      </w:tr>
    </w:tbl>
    <w:p>
      <w:pPr>
        <w:spacing w:line="340" w:lineRule="exact"/>
        <w:rPr>
          <w:rFonts w:hint="eastAsia" w:ascii="宋体" w:hAnsi="宋体" w:eastAsia="宋体" w:cs="宋体"/>
          <w:color w:val="auto"/>
          <w:sz w:val="21"/>
          <w:szCs w:val="21"/>
          <w:highlight w:val="none"/>
        </w:rPr>
      </w:pPr>
    </w:p>
    <w:p>
      <w:pPr>
        <w:spacing w:line="340" w:lineRule="exac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lang w:eastAsia="zh-CN"/>
        </w:rPr>
        <w:t>磋商供应商</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CA签章</w:t>
      </w:r>
      <w:r>
        <w:rPr>
          <w:rFonts w:hint="eastAsia" w:ascii="宋体" w:hAnsi="宋体" w:eastAsia="宋体" w:cs="宋体"/>
          <w:color w:val="auto"/>
          <w:sz w:val="21"/>
          <w:szCs w:val="21"/>
          <w:highlight w:val="none"/>
        </w:rPr>
        <w:t>，自然人除外）：</w:t>
      </w:r>
      <w:r>
        <w:rPr>
          <w:rFonts w:hint="eastAsia" w:ascii="宋体" w:hAnsi="宋体" w:eastAsia="宋体" w:cs="宋体"/>
          <w:color w:val="auto"/>
          <w:sz w:val="21"/>
          <w:szCs w:val="21"/>
          <w:highlight w:val="none"/>
          <w:u w:val="single"/>
        </w:rPr>
        <w:t xml:space="preserve">                                        </w:t>
      </w:r>
    </w:p>
    <w:p>
      <w:pPr>
        <w:spacing w:line="340" w:lineRule="exac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法定代表人、负责人、自然人或相应的委托代理人签字或</w:t>
      </w:r>
      <w:r>
        <w:rPr>
          <w:rFonts w:hint="eastAsia" w:ascii="宋体" w:hAnsi="宋体" w:eastAsia="宋体" w:cs="宋体"/>
          <w:color w:val="auto"/>
          <w:sz w:val="21"/>
          <w:szCs w:val="21"/>
          <w:highlight w:val="none"/>
          <w:lang w:eastAsia="zh-CN"/>
        </w:rPr>
        <w:t>个人</w:t>
      </w:r>
      <w:r>
        <w:rPr>
          <w:rFonts w:hint="eastAsia" w:ascii="宋体" w:hAnsi="宋体" w:eastAsia="宋体" w:cs="宋体"/>
          <w:color w:val="auto"/>
          <w:sz w:val="21"/>
          <w:szCs w:val="21"/>
          <w:highlight w:val="none"/>
          <w:lang w:val="en-US" w:eastAsia="zh-CN"/>
        </w:rPr>
        <w:t>CA签章</w:t>
      </w:r>
      <w:r>
        <w:rPr>
          <w:rFonts w:hint="eastAsia" w:ascii="宋体" w:hAnsi="宋体" w:eastAsia="宋体" w:cs="宋体"/>
          <w:color w:val="auto"/>
          <w:sz w:val="21"/>
          <w:szCs w:val="21"/>
          <w:highlight w:val="none"/>
        </w:rPr>
        <w:t>（属自然人的应在签名处加盖食指指印</w:t>
      </w:r>
      <w:r>
        <w:rPr>
          <w:rFonts w:hint="eastAsia" w:ascii="宋体" w:hAnsi="宋体" w:eastAsia="宋体" w:cs="宋体"/>
          <w:color w:val="auto"/>
          <w:sz w:val="21"/>
          <w:szCs w:val="21"/>
          <w:highlight w:val="none"/>
          <w:lang w:eastAsia="zh-CN"/>
        </w:rPr>
        <w:t>或个人</w:t>
      </w:r>
      <w:r>
        <w:rPr>
          <w:rFonts w:hint="eastAsia" w:ascii="宋体" w:hAnsi="宋体" w:eastAsia="宋体" w:cs="宋体"/>
          <w:color w:val="auto"/>
          <w:sz w:val="21"/>
          <w:szCs w:val="21"/>
          <w:highlight w:val="none"/>
          <w:lang w:val="en-US" w:eastAsia="zh-CN"/>
        </w:rPr>
        <w:t>CA签章</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rPr>
        <w:t xml:space="preserve">                                    </w:t>
      </w:r>
    </w:p>
    <w:p>
      <w:pPr>
        <w:tabs>
          <w:tab w:val="left" w:pos="1305"/>
        </w:tabs>
        <w:spacing w:line="340" w:lineRule="exact"/>
        <w:rPr>
          <w:rFonts w:hint="eastAsia" w:ascii="宋体" w:hAnsi="宋体" w:eastAsia="宋体" w:cs="宋体"/>
          <w:bCs/>
          <w:color w:val="auto"/>
          <w:sz w:val="21"/>
          <w:szCs w:val="21"/>
          <w:highlight w:val="none"/>
        </w:rPr>
      </w:pPr>
    </w:p>
    <w:p>
      <w:pPr>
        <w:pStyle w:val="11"/>
        <w:numPr>
          <w:ilvl w:val="0"/>
          <w:numId w:val="0"/>
        </w:numPr>
        <w:spacing w:line="340" w:lineRule="exact"/>
        <w:rPr>
          <w:rFonts w:hint="eastAsia" w:ascii="宋体" w:hAnsi="宋体" w:eastAsia="宋体" w:cs="宋体"/>
          <w:b/>
          <w:color w:val="auto"/>
          <w:sz w:val="21"/>
          <w:szCs w:val="21"/>
          <w:highlight w:val="none"/>
          <w:lang w:val="en-US" w:eastAsia="zh-CN"/>
        </w:rPr>
      </w:pPr>
    </w:p>
    <w:p>
      <w:pPr>
        <w:pStyle w:val="11"/>
        <w:numPr>
          <w:ilvl w:val="0"/>
          <w:numId w:val="0"/>
        </w:numPr>
        <w:spacing w:line="340" w:lineRule="exact"/>
        <w:rPr>
          <w:rFonts w:hint="eastAsia" w:ascii="宋体" w:hAnsi="宋体" w:eastAsia="宋体" w:cs="宋体"/>
          <w:b/>
          <w:color w:val="auto"/>
          <w:sz w:val="21"/>
          <w:szCs w:val="21"/>
          <w:highlight w:val="none"/>
          <w:lang w:val="en-US" w:eastAsia="zh-CN"/>
        </w:rPr>
      </w:pPr>
    </w:p>
    <w:p>
      <w:pPr>
        <w:pStyle w:val="11"/>
        <w:numPr>
          <w:ilvl w:val="0"/>
          <w:numId w:val="0"/>
        </w:numPr>
        <w:spacing w:line="340" w:lineRule="exact"/>
        <w:rPr>
          <w:rFonts w:hint="eastAsia" w:ascii="宋体" w:hAnsi="宋体" w:eastAsia="宋体" w:cs="宋体"/>
          <w:b/>
          <w:color w:val="auto"/>
          <w:sz w:val="21"/>
          <w:szCs w:val="21"/>
          <w:highlight w:val="none"/>
          <w:lang w:val="en-US" w:eastAsia="zh-CN"/>
        </w:rPr>
      </w:pPr>
    </w:p>
    <w:p>
      <w:pPr>
        <w:pStyle w:val="11"/>
        <w:numPr>
          <w:ilvl w:val="0"/>
          <w:numId w:val="0"/>
        </w:numPr>
        <w:spacing w:line="340" w:lineRule="exact"/>
        <w:rPr>
          <w:rFonts w:hint="eastAsia" w:ascii="宋体" w:hAnsi="宋体" w:eastAsia="宋体" w:cs="宋体"/>
          <w:b/>
          <w:color w:val="auto"/>
          <w:sz w:val="21"/>
          <w:szCs w:val="21"/>
          <w:highlight w:val="none"/>
          <w:lang w:val="en-US" w:eastAsia="zh-CN"/>
        </w:rPr>
      </w:pPr>
    </w:p>
    <w:p>
      <w:pPr>
        <w:pStyle w:val="11"/>
        <w:numPr>
          <w:ilvl w:val="0"/>
          <w:numId w:val="0"/>
        </w:numPr>
        <w:spacing w:line="340" w:lineRule="exact"/>
        <w:rPr>
          <w:rFonts w:hint="eastAsia" w:ascii="宋体" w:hAnsi="宋体" w:eastAsia="宋体" w:cs="宋体"/>
          <w:b/>
          <w:color w:val="auto"/>
          <w:sz w:val="21"/>
          <w:szCs w:val="21"/>
          <w:highlight w:val="none"/>
          <w:lang w:val="en-US" w:eastAsia="zh-CN"/>
        </w:rPr>
      </w:pPr>
    </w:p>
    <w:p>
      <w:pPr>
        <w:pStyle w:val="11"/>
        <w:numPr>
          <w:ilvl w:val="0"/>
          <w:numId w:val="0"/>
        </w:numPr>
        <w:spacing w:line="340" w:lineRule="exact"/>
        <w:rPr>
          <w:rFonts w:hint="eastAsia" w:ascii="宋体" w:hAnsi="宋体" w:eastAsia="宋体" w:cs="宋体"/>
          <w:b/>
          <w:color w:val="auto"/>
          <w:sz w:val="21"/>
          <w:szCs w:val="21"/>
          <w:highlight w:val="none"/>
          <w:lang w:val="en-US" w:eastAsia="zh-CN"/>
        </w:rPr>
      </w:pPr>
    </w:p>
    <w:p>
      <w:pPr>
        <w:pStyle w:val="11"/>
        <w:numPr>
          <w:ilvl w:val="0"/>
          <w:numId w:val="0"/>
        </w:numPr>
        <w:spacing w:line="340" w:lineRule="exact"/>
        <w:rPr>
          <w:rFonts w:hint="eastAsia" w:ascii="宋体" w:hAnsi="宋体" w:eastAsia="宋体" w:cs="宋体"/>
          <w:b/>
          <w:color w:val="auto"/>
          <w:sz w:val="21"/>
          <w:szCs w:val="21"/>
          <w:highlight w:val="none"/>
          <w:lang w:val="en-US" w:eastAsia="zh-CN"/>
        </w:rPr>
      </w:pPr>
    </w:p>
    <w:p>
      <w:pPr>
        <w:pStyle w:val="11"/>
        <w:numPr>
          <w:ilvl w:val="0"/>
          <w:numId w:val="0"/>
        </w:numPr>
        <w:spacing w:line="340" w:lineRule="exact"/>
        <w:rPr>
          <w:rFonts w:hint="eastAsia" w:ascii="宋体" w:hAnsi="宋体" w:eastAsia="宋体" w:cs="宋体"/>
          <w:b/>
          <w:color w:val="auto"/>
          <w:sz w:val="21"/>
          <w:szCs w:val="21"/>
          <w:highlight w:val="none"/>
          <w:lang w:val="en-US" w:eastAsia="zh-CN"/>
        </w:rPr>
      </w:pPr>
    </w:p>
    <w:p>
      <w:pPr>
        <w:pStyle w:val="11"/>
        <w:numPr>
          <w:ilvl w:val="0"/>
          <w:numId w:val="0"/>
        </w:numPr>
        <w:spacing w:line="340" w:lineRule="exact"/>
        <w:rPr>
          <w:rFonts w:hint="eastAsia" w:ascii="宋体" w:hAnsi="宋体" w:eastAsia="宋体" w:cs="宋体"/>
          <w:b/>
          <w:color w:val="auto"/>
          <w:sz w:val="21"/>
          <w:szCs w:val="21"/>
          <w:highlight w:val="none"/>
          <w:lang w:val="en-US" w:eastAsia="zh-CN"/>
        </w:rPr>
      </w:pPr>
    </w:p>
    <w:p>
      <w:pPr>
        <w:pStyle w:val="11"/>
        <w:numPr>
          <w:ilvl w:val="0"/>
          <w:numId w:val="0"/>
        </w:numPr>
        <w:spacing w:line="340" w:lineRule="exact"/>
        <w:rPr>
          <w:rFonts w:hint="eastAsia" w:ascii="宋体" w:hAnsi="宋体" w:eastAsia="宋体" w:cs="宋体"/>
          <w:b/>
          <w:color w:val="auto"/>
          <w:sz w:val="21"/>
          <w:szCs w:val="21"/>
          <w:highlight w:val="none"/>
          <w:lang w:val="en-US" w:eastAsia="zh-CN"/>
        </w:rPr>
      </w:pPr>
    </w:p>
    <w:p>
      <w:pPr>
        <w:pStyle w:val="11"/>
        <w:numPr>
          <w:ilvl w:val="0"/>
          <w:numId w:val="0"/>
        </w:numPr>
        <w:spacing w:line="340" w:lineRule="exact"/>
        <w:rPr>
          <w:rFonts w:hint="eastAsia" w:ascii="宋体" w:hAnsi="宋体" w:eastAsia="宋体" w:cs="宋体"/>
          <w:b/>
          <w:color w:val="auto"/>
          <w:sz w:val="21"/>
          <w:szCs w:val="21"/>
          <w:highlight w:val="none"/>
          <w:lang w:val="en-US" w:eastAsia="zh-CN"/>
        </w:rPr>
      </w:pPr>
    </w:p>
    <w:p>
      <w:pPr>
        <w:pStyle w:val="11"/>
        <w:numPr>
          <w:ilvl w:val="0"/>
          <w:numId w:val="0"/>
        </w:numPr>
        <w:spacing w:line="340" w:lineRule="exact"/>
        <w:rPr>
          <w:rFonts w:hint="eastAsia" w:ascii="宋体" w:hAnsi="宋体" w:eastAsia="宋体" w:cs="宋体"/>
          <w:b/>
          <w:color w:val="auto"/>
          <w:sz w:val="21"/>
          <w:szCs w:val="21"/>
          <w:highlight w:val="none"/>
          <w:lang w:val="en-US" w:eastAsia="zh-CN"/>
        </w:rPr>
      </w:pPr>
    </w:p>
    <w:p>
      <w:pPr>
        <w:pStyle w:val="11"/>
        <w:numPr>
          <w:ilvl w:val="0"/>
          <w:numId w:val="0"/>
        </w:numPr>
        <w:spacing w:line="340" w:lineRule="exact"/>
        <w:rPr>
          <w:rFonts w:hint="eastAsia" w:ascii="宋体" w:hAnsi="宋体" w:eastAsia="宋体" w:cs="宋体"/>
          <w:b/>
          <w:color w:val="auto"/>
          <w:sz w:val="21"/>
          <w:szCs w:val="21"/>
          <w:highlight w:val="none"/>
          <w:lang w:val="en-US" w:eastAsia="zh-CN"/>
        </w:rPr>
      </w:pPr>
    </w:p>
    <w:p>
      <w:pPr>
        <w:pStyle w:val="11"/>
        <w:numPr>
          <w:ilvl w:val="0"/>
          <w:numId w:val="0"/>
        </w:numPr>
        <w:spacing w:line="340" w:lineRule="exact"/>
        <w:rPr>
          <w:rFonts w:hint="eastAsia" w:ascii="宋体" w:hAnsi="宋体" w:eastAsia="宋体" w:cs="宋体"/>
          <w:b/>
          <w:color w:val="auto"/>
          <w:sz w:val="21"/>
          <w:szCs w:val="21"/>
          <w:highlight w:val="none"/>
          <w:lang w:val="en-US" w:eastAsia="zh-CN"/>
        </w:rPr>
      </w:pPr>
    </w:p>
    <w:p>
      <w:pPr>
        <w:pStyle w:val="5"/>
        <w:rPr>
          <w:rFonts w:hint="eastAsia" w:ascii="宋体" w:hAnsi="宋体" w:eastAsia="宋体" w:cs="宋体"/>
          <w:b/>
          <w:color w:val="auto"/>
          <w:sz w:val="21"/>
          <w:szCs w:val="21"/>
          <w:highlight w:val="none"/>
          <w:lang w:val="en-US" w:eastAsia="zh-CN"/>
        </w:rPr>
      </w:pPr>
    </w:p>
    <w:p>
      <w:pPr>
        <w:rPr>
          <w:rFonts w:hint="eastAsia" w:ascii="宋体" w:hAnsi="宋体" w:eastAsia="宋体" w:cs="宋体"/>
          <w:b/>
          <w:color w:val="auto"/>
          <w:sz w:val="21"/>
          <w:szCs w:val="21"/>
          <w:highlight w:val="none"/>
          <w:lang w:val="en-US" w:eastAsia="zh-CN"/>
        </w:rPr>
      </w:pPr>
    </w:p>
    <w:p>
      <w:pPr>
        <w:pStyle w:val="8"/>
        <w:rPr>
          <w:rFonts w:hint="eastAsia" w:ascii="宋体" w:hAnsi="宋体" w:eastAsia="宋体" w:cs="宋体"/>
          <w:b/>
          <w:color w:val="auto"/>
          <w:sz w:val="21"/>
          <w:szCs w:val="21"/>
          <w:highlight w:val="none"/>
          <w:lang w:val="en-US" w:eastAsia="zh-CN"/>
        </w:rPr>
      </w:pPr>
    </w:p>
    <w:p>
      <w:pPr>
        <w:rPr>
          <w:rFonts w:hint="eastAsia"/>
          <w:color w:val="auto"/>
          <w:highlight w:val="none"/>
          <w:lang w:val="en-US" w:eastAsia="zh-CN"/>
        </w:rPr>
      </w:pPr>
    </w:p>
    <w:p>
      <w:pPr>
        <w:pStyle w:val="11"/>
        <w:numPr>
          <w:ilvl w:val="0"/>
          <w:numId w:val="0"/>
        </w:numPr>
        <w:spacing w:line="340" w:lineRule="exact"/>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3.已标价工程量清单（必须提供）</w:t>
      </w:r>
    </w:p>
    <w:p>
      <w:pPr>
        <w:snapToGrid w:val="0"/>
        <w:spacing w:line="240" w:lineRule="auto"/>
        <w:ind w:firstLine="420"/>
        <w:jc w:val="right"/>
        <w:rPr>
          <w:rFonts w:hint="eastAsia" w:ascii="宋体" w:hAnsi="宋体" w:eastAsia="宋体" w:cs="宋体"/>
          <w:color w:val="auto"/>
          <w:sz w:val="21"/>
          <w:szCs w:val="21"/>
          <w:highlight w:val="none"/>
        </w:rPr>
      </w:pPr>
    </w:p>
    <w:p>
      <w:pPr>
        <w:pStyle w:val="5"/>
        <w:spacing w:line="240" w:lineRule="auto"/>
        <w:jc w:val="center"/>
        <w:rPr>
          <w:rFonts w:hint="eastAsia" w:ascii="宋体" w:hAnsi="宋体" w:eastAsia="宋体" w:cs="宋体"/>
          <w:color w:val="auto"/>
          <w:sz w:val="21"/>
          <w:szCs w:val="21"/>
          <w:highlight w:val="none"/>
        </w:rPr>
      </w:pPr>
      <w:bookmarkStart w:id="1978" w:name="_Toc234659851"/>
      <w:bookmarkStart w:id="1979" w:name="_Toc446943082"/>
      <w:bookmarkStart w:id="1980" w:name="_Toc394929435"/>
      <w:bookmarkStart w:id="1981" w:name="_Toc271557289"/>
      <w:r>
        <w:rPr>
          <w:rFonts w:hint="eastAsia" w:ascii="宋体" w:hAnsi="宋体" w:eastAsia="宋体" w:cs="宋体"/>
          <w:color w:val="auto"/>
          <w:sz w:val="21"/>
          <w:szCs w:val="21"/>
          <w:highlight w:val="none"/>
        </w:rPr>
        <w:t>已标价工程量清单</w:t>
      </w:r>
      <w:bookmarkEnd w:id="1978"/>
      <w:bookmarkEnd w:id="1979"/>
      <w:bookmarkEnd w:id="1980"/>
      <w:bookmarkEnd w:id="1981"/>
    </w:p>
    <w:p>
      <w:pPr>
        <w:spacing w:line="240" w:lineRule="auto"/>
        <w:ind w:firstLine="420"/>
        <w:jc w:val="center"/>
        <w:rPr>
          <w:rFonts w:hint="eastAsia" w:ascii="宋体" w:hAnsi="宋体" w:eastAsia="宋体" w:cs="宋体"/>
          <w:color w:val="auto"/>
          <w:sz w:val="21"/>
          <w:szCs w:val="21"/>
          <w:highlight w:val="none"/>
        </w:rPr>
      </w:pPr>
    </w:p>
    <w:p>
      <w:pPr>
        <w:spacing w:line="360" w:lineRule="auto"/>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应按照第</w:t>
      </w:r>
      <w:r>
        <w:rPr>
          <w:rFonts w:hint="eastAsia" w:ascii="宋体" w:hAnsi="宋体" w:eastAsia="宋体" w:cs="宋体"/>
          <w:color w:val="auto"/>
          <w:sz w:val="21"/>
          <w:szCs w:val="21"/>
          <w:highlight w:val="none"/>
          <w:lang w:eastAsia="zh-CN"/>
        </w:rPr>
        <w:t>三</w:t>
      </w:r>
      <w:r>
        <w:rPr>
          <w:rFonts w:hint="eastAsia" w:ascii="宋体" w:hAnsi="宋体" w:eastAsia="宋体" w:cs="宋体"/>
          <w:color w:val="auto"/>
          <w:sz w:val="21"/>
          <w:szCs w:val="21"/>
          <w:highlight w:val="none"/>
        </w:rPr>
        <w:t>章“工程量清单”的要求逐项填报工程量清单，包括工程量清单说明、</w:t>
      </w:r>
      <w:r>
        <w:rPr>
          <w:rFonts w:hint="eastAsia" w:ascii="宋体" w:hAnsi="宋体" w:eastAsia="宋体" w:cs="宋体"/>
          <w:color w:val="auto"/>
          <w:sz w:val="21"/>
          <w:szCs w:val="21"/>
          <w:highlight w:val="none"/>
          <w:lang w:eastAsia="zh-CN"/>
        </w:rPr>
        <w:t>磋商报价</w:t>
      </w:r>
      <w:r>
        <w:rPr>
          <w:rFonts w:hint="eastAsia" w:ascii="宋体" w:hAnsi="宋体" w:eastAsia="宋体" w:cs="宋体"/>
          <w:color w:val="auto"/>
          <w:sz w:val="21"/>
          <w:szCs w:val="21"/>
          <w:highlight w:val="none"/>
        </w:rPr>
        <w:t>说明及工程量清单各项表格</w:t>
      </w:r>
      <w:r>
        <w:rPr>
          <w:rFonts w:hint="eastAsia" w:ascii="宋体" w:hAnsi="宋体" w:eastAsia="宋体" w:cs="宋体"/>
          <w:b/>
          <w:bCs/>
          <w:color w:val="auto"/>
          <w:sz w:val="21"/>
          <w:szCs w:val="21"/>
          <w:highlight w:val="none"/>
        </w:rPr>
        <w:t>（</w:t>
      </w:r>
      <w:r>
        <w:rPr>
          <w:rFonts w:hint="eastAsia" w:ascii="宋体" w:hAnsi="宋体" w:eastAsia="宋体" w:cs="宋体"/>
          <w:b/>
          <w:bCs/>
          <w:color w:val="auto"/>
          <w:sz w:val="21"/>
          <w:szCs w:val="21"/>
          <w:highlight w:val="none"/>
          <w:lang w:eastAsia="zh-CN"/>
        </w:rPr>
        <w:t>采购人</w:t>
      </w:r>
      <w:r>
        <w:rPr>
          <w:rFonts w:hint="eastAsia" w:ascii="宋体" w:hAnsi="宋体" w:eastAsia="宋体" w:cs="宋体"/>
          <w:b/>
          <w:bCs/>
          <w:color w:val="auto"/>
          <w:sz w:val="21"/>
          <w:szCs w:val="21"/>
          <w:highlight w:val="none"/>
        </w:rPr>
        <w:t>提供的工程量清单）。</w:t>
      </w:r>
    </w:p>
    <w:p>
      <w:pPr>
        <w:spacing w:line="340" w:lineRule="exact"/>
        <w:rPr>
          <w:rFonts w:hint="eastAsia" w:ascii="宋体" w:hAnsi="宋体" w:eastAsia="宋体" w:cs="宋体"/>
          <w:color w:val="auto"/>
          <w:sz w:val="21"/>
          <w:szCs w:val="21"/>
          <w:highlight w:val="none"/>
        </w:rPr>
      </w:pPr>
    </w:p>
    <w:p>
      <w:pPr>
        <w:spacing w:line="400" w:lineRule="exac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注：</w:t>
      </w:r>
      <w:r>
        <w:rPr>
          <w:rFonts w:hint="eastAsia" w:ascii="宋体" w:hAnsi="宋体" w:eastAsia="宋体" w:cs="宋体"/>
          <w:b/>
          <w:color w:val="auto"/>
          <w:sz w:val="21"/>
          <w:szCs w:val="21"/>
          <w:highlight w:val="none"/>
        </w:rPr>
        <w:t>当本</w:t>
      </w:r>
      <w:r>
        <w:rPr>
          <w:rFonts w:hint="eastAsia" w:ascii="宋体" w:hAnsi="宋体" w:eastAsia="宋体" w:cs="宋体"/>
          <w:b/>
          <w:color w:val="auto"/>
          <w:sz w:val="21"/>
          <w:szCs w:val="21"/>
          <w:highlight w:val="none"/>
          <w:lang w:eastAsia="zh-CN"/>
        </w:rPr>
        <w:t>清单</w:t>
      </w:r>
      <w:r>
        <w:rPr>
          <w:rFonts w:hint="eastAsia" w:ascii="宋体" w:hAnsi="宋体" w:eastAsia="宋体" w:cs="宋体"/>
          <w:b/>
          <w:color w:val="auto"/>
          <w:sz w:val="21"/>
          <w:szCs w:val="21"/>
          <w:highlight w:val="none"/>
        </w:rPr>
        <w:t>由多页构成时，需逐页加盖</w:t>
      </w:r>
      <w:r>
        <w:rPr>
          <w:rFonts w:hint="eastAsia" w:ascii="宋体" w:hAnsi="宋体" w:eastAsia="宋体" w:cs="宋体"/>
          <w:b/>
          <w:color w:val="auto"/>
          <w:sz w:val="21"/>
          <w:szCs w:val="21"/>
          <w:highlight w:val="none"/>
          <w:lang w:eastAsia="zh-CN"/>
        </w:rPr>
        <w:t>磋商供应商</w:t>
      </w:r>
      <w:r>
        <w:rPr>
          <w:rFonts w:hint="eastAsia" w:ascii="宋体" w:hAnsi="宋体" w:eastAsia="宋体" w:cs="宋体"/>
          <w:b/>
          <w:color w:val="auto"/>
          <w:sz w:val="21"/>
          <w:szCs w:val="21"/>
          <w:highlight w:val="none"/>
        </w:rPr>
        <w:t>公章</w:t>
      </w:r>
      <w:r>
        <w:rPr>
          <w:rFonts w:hint="eastAsia" w:ascii="宋体" w:hAnsi="宋体" w:eastAsia="宋体" w:cs="宋体"/>
          <w:b/>
          <w:color w:val="auto"/>
          <w:sz w:val="21"/>
          <w:szCs w:val="21"/>
          <w:highlight w:val="none"/>
          <w:lang w:eastAsia="zh-CN"/>
        </w:rPr>
        <w:t>（</w:t>
      </w:r>
      <w:r>
        <w:rPr>
          <w:rFonts w:hint="eastAsia" w:ascii="宋体" w:hAnsi="宋体" w:eastAsia="宋体" w:cs="宋体"/>
          <w:b/>
          <w:color w:val="auto"/>
          <w:sz w:val="21"/>
          <w:szCs w:val="21"/>
          <w:highlight w:val="none"/>
          <w:lang w:val="en-US" w:eastAsia="zh-CN"/>
        </w:rPr>
        <w:t>CA签章</w:t>
      </w:r>
      <w:r>
        <w:rPr>
          <w:rFonts w:hint="eastAsia" w:ascii="宋体" w:hAnsi="宋体" w:eastAsia="宋体" w:cs="宋体"/>
          <w:b/>
          <w:color w:val="auto"/>
          <w:sz w:val="21"/>
          <w:szCs w:val="21"/>
          <w:highlight w:val="none"/>
          <w:lang w:eastAsia="zh-CN"/>
        </w:rPr>
        <w:t>）</w:t>
      </w:r>
      <w:r>
        <w:rPr>
          <w:rFonts w:hint="eastAsia" w:ascii="宋体" w:hAnsi="宋体" w:eastAsia="宋体" w:cs="宋体"/>
          <w:b/>
          <w:color w:val="auto"/>
          <w:sz w:val="21"/>
          <w:szCs w:val="21"/>
          <w:highlight w:val="none"/>
        </w:rPr>
        <w:t>（属自然人的须逐页签字</w:t>
      </w:r>
      <w:r>
        <w:rPr>
          <w:rFonts w:hint="eastAsia" w:ascii="宋体" w:hAnsi="宋体" w:eastAsia="宋体" w:cs="宋体"/>
          <w:b/>
          <w:color w:val="auto"/>
          <w:sz w:val="21"/>
          <w:szCs w:val="21"/>
          <w:highlight w:val="none"/>
          <w:lang w:eastAsia="zh-CN"/>
        </w:rPr>
        <w:t>或</w:t>
      </w:r>
      <w:r>
        <w:rPr>
          <w:rFonts w:hint="eastAsia" w:ascii="宋体" w:hAnsi="宋体" w:eastAsia="宋体" w:cs="宋体"/>
          <w:b/>
          <w:color w:val="auto"/>
          <w:sz w:val="21"/>
          <w:szCs w:val="21"/>
          <w:highlight w:val="none"/>
          <w:lang w:val="en-US" w:eastAsia="zh-CN"/>
        </w:rPr>
        <w:t>个人CA签章</w:t>
      </w:r>
      <w:r>
        <w:rPr>
          <w:rFonts w:hint="eastAsia" w:ascii="宋体" w:hAnsi="宋体" w:eastAsia="宋体" w:cs="宋体"/>
          <w:b/>
          <w:color w:val="auto"/>
          <w:sz w:val="21"/>
          <w:szCs w:val="21"/>
          <w:highlight w:val="none"/>
        </w:rPr>
        <w:t>）。</w:t>
      </w: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rPr>
          <w:rFonts w:hint="eastAsia" w:ascii="宋体" w:hAnsi="宋体" w:eastAsia="宋体" w:cs="宋体"/>
          <w:color w:val="auto"/>
          <w:sz w:val="21"/>
          <w:szCs w:val="21"/>
          <w:highlight w:val="none"/>
        </w:rPr>
      </w:pPr>
    </w:p>
    <w:p>
      <w:pPr>
        <w:pStyle w:val="24"/>
        <w:rPr>
          <w:rFonts w:hint="eastAsia" w:ascii="宋体" w:hAnsi="宋体" w:eastAsia="宋体" w:cs="宋体"/>
          <w:color w:val="auto"/>
          <w:sz w:val="21"/>
          <w:szCs w:val="21"/>
          <w:highlight w:val="none"/>
        </w:rPr>
      </w:pPr>
    </w:p>
    <w:p>
      <w:pPr>
        <w:pStyle w:val="24"/>
        <w:rPr>
          <w:rFonts w:hint="eastAsia" w:ascii="宋体" w:hAnsi="宋体" w:eastAsia="宋体" w:cs="宋体"/>
          <w:color w:val="auto"/>
          <w:sz w:val="21"/>
          <w:szCs w:val="21"/>
          <w:highlight w:val="none"/>
        </w:rPr>
      </w:pPr>
    </w:p>
    <w:p>
      <w:pPr>
        <w:pStyle w:val="24"/>
        <w:rPr>
          <w:rFonts w:hint="eastAsia" w:ascii="宋体" w:hAnsi="宋体" w:eastAsia="宋体" w:cs="宋体"/>
          <w:color w:val="auto"/>
          <w:sz w:val="21"/>
          <w:szCs w:val="21"/>
          <w:highlight w:val="none"/>
        </w:rPr>
      </w:pPr>
    </w:p>
    <w:p>
      <w:pPr>
        <w:pStyle w:val="24"/>
        <w:rPr>
          <w:rFonts w:hint="eastAsia" w:ascii="宋体" w:hAnsi="宋体" w:eastAsia="宋体" w:cs="宋体"/>
          <w:color w:val="auto"/>
          <w:sz w:val="21"/>
          <w:szCs w:val="21"/>
          <w:highlight w:val="none"/>
        </w:rPr>
      </w:pPr>
    </w:p>
    <w:p>
      <w:pPr>
        <w:pStyle w:val="24"/>
        <w:rPr>
          <w:rFonts w:hint="eastAsia" w:ascii="宋体" w:hAnsi="宋体" w:eastAsia="宋体" w:cs="宋体"/>
          <w:color w:val="auto"/>
          <w:sz w:val="21"/>
          <w:szCs w:val="21"/>
          <w:highlight w:val="none"/>
        </w:rPr>
      </w:pPr>
    </w:p>
    <w:p>
      <w:pPr>
        <w:pStyle w:val="24"/>
        <w:rPr>
          <w:rFonts w:hint="eastAsia" w:ascii="宋体" w:hAnsi="宋体" w:eastAsia="宋体" w:cs="宋体"/>
          <w:color w:val="auto"/>
          <w:sz w:val="21"/>
          <w:szCs w:val="21"/>
          <w:highlight w:val="none"/>
        </w:rPr>
      </w:pPr>
    </w:p>
    <w:p>
      <w:pPr>
        <w:pStyle w:val="24"/>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rPr>
          <w:rFonts w:hint="eastAsia" w:ascii="宋体" w:hAnsi="宋体" w:eastAsia="宋体" w:cs="宋体"/>
          <w:color w:val="auto"/>
          <w:sz w:val="21"/>
          <w:szCs w:val="21"/>
          <w:highlight w:val="none"/>
        </w:rPr>
      </w:pPr>
    </w:p>
    <w:p>
      <w:pPr>
        <w:rPr>
          <w:rFonts w:hint="eastAsia" w:ascii="宋体" w:hAnsi="宋体" w:eastAsia="宋体" w:cs="宋体"/>
          <w:color w:val="auto"/>
          <w:sz w:val="21"/>
          <w:szCs w:val="21"/>
          <w:highlight w:val="none"/>
        </w:rPr>
      </w:pPr>
    </w:p>
    <w:p>
      <w:pPr>
        <w:pStyle w:val="12"/>
        <w:rPr>
          <w:rFonts w:hint="eastAsia" w:ascii="宋体" w:hAnsi="宋体" w:eastAsia="宋体" w:cs="宋体"/>
          <w:color w:val="auto"/>
          <w:sz w:val="21"/>
          <w:szCs w:val="21"/>
          <w:highlight w:val="none"/>
        </w:rPr>
      </w:pPr>
    </w:p>
    <w:p>
      <w:pPr>
        <w:pStyle w:val="12"/>
        <w:rPr>
          <w:rFonts w:hint="eastAsia" w:ascii="宋体" w:hAnsi="宋体" w:eastAsia="宋体" w:cs="宋体"/>
          <w:color w:val="auto"/>
          <w:sz w:val="21"/>
          <w:szCs w:val="21"/>
          <w:highlight w:val="none"/>
        </w:rPr>
      </w:pPr>
    </w:p>
    <w:p>
      <w:pPr>
        <w:pStyle w:val="12"/>
        <w:rPr>
          <w:rFonts w:hint="eastAsia" w:ascii="宋体" w:hAnsi="宋体" w:eastAsia="宋体" w:cs="宋体"/>
          <w:color w:val="auto"/>
          <w:sz w:val="21"/>
          <w:szCs w:val="21"/>
          <w:highlight w:val="none"/>
        </w:rPr>
      </w:pPr>
    </w:p>
    <w:p>
      <w:pPr>
        <w:pStyle w:val="12"/>
        <w:rPr>
          <w:rFonts w:hint="eastAsia" w:ascii="宋体" w:hAnsi="宋体" w:eastAsia="宋体" w:cs="宋体"/>
          <w:color w:val="auto"/>
          <w:sz w:val="21"/>
          <w:szCs w:val="21"/>
          <w:highlight w:val="none"/>
        </w:rPr>
      </w:pPr>
    </w:p>
    <w:p>
      <w:pPr>
        <w:pStyle w:val="12"/>
        <w:rPr>
          <w:rFonts w:hint="eastAsia" w:ascii="宋体" w:hAnsi="宋体" w:eastAsia="宋体" w:cs="宋体"/>
          <w:color w:val="auto"/>
          <w:sz w:val="21"/>
          <w:szCs w:val="21"/>
          <w:highlight w:val="none"/>
        </w:rPr>
      </w:pPr>
    </w:p>
    <w:p>
      <w:pPr>
        <w:pStyle w:val="12"/>
        <w:rPr>
          <w:rFonts w:hint="eastAsia" w:ascii="宋体" w:hAnsi="宋体" w:eastAsia="宋体" w:cs="宋体"/>
          <w:color w:val="auto"/>
          <w:sz w:val="21"/>
          <w:szCs w:val="21"/>
          <w:highlight w:val="none"/>
        </w:rPr>
      </w:pPr>
    </w:p>
    <w:p>
      <w:pPr>
        <w:pStyle w:val="12"/>
        <w:rPr>
          <w:rFonts w:hint="eastAsia" w:ascii="宋体" w:hAnsi="宋体" w:eastAsia="宋体" w:cs="宋体"/>
          <w:color w:val="auto"/>
          <w:sz w:val="21"/>
          <w:szCs w:val="21"/>
          <w:highlight w:val="none"/>
        </w:rPr>
      </w:pPr>
    </w:p>
    <w:p>
      <w:pPr>
        <w:pStyle w:val="12"/>
        <w:rPr>
          <w:rFonts w:hint="eastAsia" w:ascii="宋体" w:hAnsi="宋体" w:eastAsia="宋体" w:cs="宋体"/>
          <w:color w:val="auto"/>
          <w:sz w:val="21"/>
          <w:szCs w:val="21"/>
          <w:highlight w:val="none"/>
        </w:rPr>
      </w:pPr>
    </w:p>
    <w:p>
      <w:pPr>
        <w:pStyle w:val="12"/>
        <w:rPr>
          <w:rFonts w:hint="eastAsia" w:ascii="宋体" w:hAnsi="宋体" w:eastAsia="宋体" w:cs="宋体"/>
          <w:color w:val="auto"/>
          <w:sz w:val="21"/>
          <w:szCs w:val="21"/>
          <w:highlight w:val="none"/>
        </w:rPr>
      </w:pPr>
    </w:p>
    <w:p>
      <w:pPr>
        <w:pStyle w:val="12"/>
        <w:rPr>
          <w:rFonts w:hint="eastAsia" w:ascii="宋体" w:hAnsi="宋体" w:eastAsia="宋体" w:cs="宋体"/>
          <w:color w:val="auto"/>
          <w:sz w:val="21"/>
          <w:szCs w:val="21"/>
          <w:highlight w:val="none"/>
        </w:rPr>
      </w:pPr>
    </w:p>
    <w:p>
      <w:pPr>
        <w:rPr>
          <w:rFonts w:hint="eastAsia" w:ascii="宋体" w:hAnsi="宋体" w:eastAsia="宋体" w:cs="宋体"/>
          <w:color w:val="auto"/>
          <w:sz w:val="21"/>
          <w:szCs w:val="21"/>
          <w:highlight w:val="none"/>
        </w:rPr>
      </w:pPr>
    </w:p>
    <w:p>
      <w:pPr>
        <w:pStyle w:val="10"/>
        <w:rPr>
          <w:rFonts w:hint="eastAsia" w:ascii="宋体" w:hAnsi="宋体" w:eastAsia="宋体" w:cs="宋体"/>
          <w:color w:val="auto"/>
          <w:sz w:val="21"/>
          <w:szCs w:val="21"/>
          <w:highlight w:val="none"/>
        </w:rPr>
      </w:pPr>
    </w:p>
    <w:p>
      <w:pPr>
        <w:pStyle w:val="10"/>
        <w:rPr>
          <w:rFonts w:hint="eastAsia" w:ascii="宋体" w:hAnsi="宋体" w:eastAsia="宋体" w:cs="宋体"/>
          <w:color w:val="auto"/>
          <w:sz w:val="21"/>
          <w:szCs w:val="21"/>
          <w:highlight w:val="none"/>
        </w:rPr>
      </w:pPr>
    </w:p>
    <w:p>
      <w:pPr>
        <w:pStyle w:val="10"/>
        <w:rPr>
          <w:rFonts w:hint="eastAsia" w:ascii="宋体" w:hAnsi="宋体" w:eastAsia="宋体" w:cs="宋体"/>
          <w:color w:val="auto"/>
          <w:sz w:val="21"/>
          <w:szCs w:val="21"/>
          <w:highlight w:val="none"/>
        </w:rPr>
      </w:pPr>
    </w:p>
    <w:p>
      <w:pPr>
        <w:pStyle w:val="10"/>
        <w:rPr>
          <w:rFonts w:hint="eastAsia" w:ascii="宋体" w:hAnsi="宋体" w:eastAsia="宋体" w:cs="宋体"/>
          <w:color w:val="auto"/>
          <w:sz w:val="21"/>
          <w:szCs w:val="21"/>
          <w:highlight w:val="none"/>
        </w:rPr>
      </w:pPr>
    </w:p>
    <w:p>
      <w:pPr>
        <w:spacing w:line="240" w:lineRule="auto"/>
        <w:rPr>
          <w:rFonts w:hint="eastAsia" w:ascii="宋体" w:hAnsi="宋体" w:eastAsia="宋体" w:cs="宋体"/>
          <w:b/>
          <w:bCs/>
          <w:iCs/>
          <w:color w:val="auto"/>
          <w:kern w:val="2"/>
          <w:sz w:val="24"/>
          <w:szCs w:val="24"/>
          <w:highlight w:val="none"/>
          <w:lang w:val="en-US" w:eastAsia="zh-CN" w:bidi="ar-SA"/>
        </w:rPr>
      </w:pPr>
      <w:r>
        <w:rPr>
          <w:rFonts w:hint="eastAsia" w:ascii="宋体" w:hAnsi="宋体" w:eastAsia="宋体" w:cs="宋体"/>
          <w:b/>
          <w:color w:val="auto"/>
          <w:sz w:val="24"/>
          <w:szCs w:val="24"/>
          <w:highlight w:val="none"/>
          <w:lang w:val="en-US" w:eastAsia="zh-CN"/>
        </w:rPr>
        <w:t xml:space="preserve">4. </w:t>
      </w:r>
      <w:r>
        <w:rPr>
          <w:rFonts w:hint="eastAsia" w:ascii="宋体" w:hAnsi="宋体" w:eastAsia="宋体" w:cs="宋体"/>
          <w:b/>
          <w:bCs/>
          <w:iCs/>
          <w:color w:val="auto"/>
          <w:kern w:val="2"/>
          <w:sz w:val="24"/>
          <w:szCs w:val="24"/>
          <w:highlight w:val="none"/>
          <w:lang w:val="en-US" w:eastAsia="zh-CN" w:bidi="ar-SA"/>
        </w:rPr>
        <w:t>拟投入本工程主要施工管理人员表（必须提供）；</w:t>
      </w:r>
    </w:p>
    <w:p>
      <w:pPr>
        <w:spacing w:line="500" w:lineRule="exact"/>
        <w:jc w:val="center"/>
        <w:rPr>
          <w:rFonts w:hint="eastAsia" w:ascii="宋体" w:hAnsi="宋体" w:eastAsia="宋体" w:cs="宋体"/>
          <w:b/>
          <w:color w:val="auto"/>
          <w:sz w:val="21"/>
          <w:szCs w:val="21"/>
          <w:highlight w:val="none"/>
          <w:lang w:val="en-US" w:eastAsia="zh-CN"/>
        </w:rPr>
      </w:pPr>
    </w:p>
    <w:p>
      <w:pPr>
        <w:spacing w:line="500" w:lineRule="exact"/>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val="en-US" w:eastAsia="zh-CN"/>
        </w:rPr>
        <w:t>主要施工管理人员表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工程名称：</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p>
    <w:tbl>
      <w:tblPr>
        <w:tblStyle w:val="19"/>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50"/>
        <w:gridCol w:w="793"/>
        <w:gridCol w:w="792"/>
        <w:gridCol w:w="1447"/>
        <w:gridCol w:w="3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名   称</w:t>
            </w:r>
          </w:p>
        </w:tc>
        <w:tc>
          <w:tcPr>
            <w:tcW w:w="7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姓名</w:t>
            </w:r>
          </w:p>
        </w:tc>
        <w:tc>
          <w:tcPr>
            <w:tcW w:w="7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职务</w:t>
            </w:r>
          </w:p>
        </w:tc>
        <w:tc>
          <w:tcPr>
            <w:tcW w:w="14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资质/职称</w:t>
            </w:r>
          </w:p>
        </w:tc>
        <w:tc>
          <w:tcPr>
            <w:tcW w:w="36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执业资格证号/上岗证号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一、总部</w:t>
            </w:r>
          </w:p>
        </w:tc>
        <w:tc>
          <w:tcPr>
            <w:tcW w:w="7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highlight w:val="none"/>
              </w:rPr>
            </w:pPr>
          </w:p>
        </w:tc>
        <w:tc>
          <w:tcPr>
            <w:tcW w:w="7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highlight w:val="none"/>
              </w:rPr>
            </w:pPr>
          </w:p>
        </w:tc>
        <w:tc>
          <w:tcPr>
            <w:tcW w:w="14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highlight w:val="none"/>
              </w:rPr>
            </w:pPr>
          </w:p>
        </w:tc>
        <w:tc>
          <w:tcPr>
            <w:tcW w:w="36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1.项目主管</w:t>
            </w:r>
          </w:p>
        </w:tc>
        <w:tc>
          <w:tcPr>
            <w:tcW w:w="7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highlight w:val="none"/>
              </w:rPr>
            </w:pPr>
          </w:p>
        </w:tc>
        <w:tc>
          <w:tcPr>
            <w:tcW w:w="7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highlight w:val="none"/>
              </w:rPr>
            </w:pPr>
          </w:p>
        </w:tc>
        <w:tc>
          <w:tcPr>
            <w:tcW w:w="14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highlight w:val="none"/>
              </w:rPr>
            </w:pPr>
          </w:p>
        </w:tc>
        <w:tc>
          <w:tcPr>
            <w:tcW w:w="36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2.其他人员</w:t>
            </w:r>
          </w:p>
        </w:tc>
        <w:tc>
          <w:tcPr>
            <w:tcW w:w="7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highlight w:val="none"/>
              </w:rPr>
            </w:pPr>
          </w:p>
        </w:tc>
        <w:tc>
          <w:tcPr>
            <w:tcW w:w="7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highlight w:val="none"/>
              </w:rPr>
            </w:pPr>
          </w:p>
        </w:tc>
        <w:tc>
          <w:tcPr>
            <w:tcW w:w="14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highlight w:val="none"/>
              </w:rPr>
            </w:pPr>
          </w:p>
        </w:tc>
        <w:tc>
          <w:tcPr>
            <w:tcW w:w="36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exact"/>
          <w:jc w:val="center"/>
        </w:trPr>
        <w:tc>
          <w:tcPr>
            <w:tcW w:w="31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highlight w:val="none"/>
              </w:rPr>
            </w:pPr>
          </w:p>
        </w:tc>
        <w:tc>
          <w:tcPr>
            <w:tcW w:w="7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highlight w:val="none"/>
              </w:rPr>
            </w:pPr>
          </w:p>
        </w:tc>
        <w:tc>
          <w:tcPr>
            <w:tcW w:w="7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highlight w:val="none"/>
              </w:rPr>
            </w:pPr>
          </w:p>
        </w:tc>
        <w:tc>
          <w:tcPr>
            <w:tcW w:w="14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highlight w:val="none"/>
              </w:rPr>
            </w:pPr>
          </w:p>
        </w:tc>
        <w:tc>
          <w:tcPr>
            <w:tcW w:w="36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二、现场</w:t>
            </w:r>
          </w:p>
        </w:tc>
        <w:tc>
          <w:tcPr>
            <w:tcW w:w="7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highlight w:val="none"/>
              </w:rPr>
            </w:pPr>
          </w:p>
        </w:tc>
        <w:tc>
          <w:tcPr>
            <w:tcW w:w="7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highlight w:val="none"/>
              </w:rPr>
            </w:pPr>
          </w:p>
        </w:tc>
        <w:tc>
          <w:tcPr>
            <w:tcW w:w="14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highlight w:val="none"/>
              </w:rPr>
            </w:pPr>
          </w:p>
        </w:tc>
        <w:tc>
          <w:tcPr>
            <w:tcW w:w="36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eastAsia="zh-CN"/>
              </w:rPr>
              <w:t>项目经理</w:t>
            </w:r>
          </w:p>
        </w:tc>
        <w:tc>
          <w:tcPr>
            <w:tcW w:w="7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highlight w:val="none"/>
              </w:rPr>
            </w:pPr>
          </w:p>
        </w:tc>
        <w:tc>
          <w:tcPr>
            <w:tcW w:w="7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highlight w:val="none"/>
              </w:rPr>
            </w:pPr>
          </w:p>
        </w:tc>
        <w:tc>
          <w:tcPr>
            <w:tcW w:w="14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highlight w:val="none"/>
              </w:rPr>
            </w:pPr>
          </w:p>
        </w:tc>
        <w:tc>
          <w:tcPr>
            <w:tcW w:w="36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2.项目副经理（如有）</w:t>
            </w:r>
          </w:p>
        </w:tc>
        <w:tc>
          <w:tcPr>
            <w:tcW w:w="7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highlight w:val="none"/>
              </w:rPr>
            </w:pPr>
          </w:p>
        </w:tc>
        <w:tc>
          <w:tcPr>
            <w:tcW w:w="7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highlight w:val="none"/>
              </w:rPr>
            </w:pPr>
          </w:p>
        </w:tc>
        <w:tc>
          <w:tcPr>
            <w:tcW w:w="14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highlight w:val="none"/>
              </w:rPr>
            </w:pPr>
          </w:p>
        </w:tc>
        <w:tc>
          <w:tcPr>
            <w:tcW w:w="36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3.技术负责人</w:t>
            </w:r>
          </w:p>
        </w:tc>
        <w:tc>
          <w:tcPr>
            <w:tcW w:w="7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highlight w:val="none"/>
              </w:rPr>
            </w:pPr>
          </w:p>
        </w:tc>
        <w:tc>
          <w:tcPr>
            <w:tcW w:w="7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highlight w:val="none"/>
              </w:rPr>
            </w:pPr>
          </w:p>
        </w:tc>
        <w:tc>
          <w:tcPr>
            <w:tcW w:w="14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highlight w:val="none"/>
              </w:rPr>
            </w:pPr>
          </w:p>
        </w:tc>
        <w:tc>
          <w:tcPr>
            <w:tcW w:w="36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4.施工员</w:t>
            </w:r>
          </w:p>
        </w:tc>
        <w:tc>
          <w:tcPr>
            <w:tcW w:w="7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highlight w:val="none"/>
              </w:rPr>
            </w:pPr>
          </w:p>
        </w:tc>
        <w:tc>
          <w:tcPr>
            <w:tcW w:w="7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highlight w:val="none"/>
              </w:rPr>
            </w:pPr>
          </w:p>
        </w:tc>
        <w:tc>
          <w:tcPr>
            <w:tcW w:w="14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highlight w:val="none"/>
              </w:rPr>
            </w:pPr>
          </w:p>
        </w:tc>
        <w:tc>
          <w:tcPr>
            <w:tcW w:w="36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5.质检</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量</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员</w:t>
            </w:r>
          </w:p>
        </w:tc>
        <w:tc>
          <w:tcPr>
            <w:tcW w:w="7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highlight w:val="none"/>
              </w:rPr>
            </w:pPr>
          </w:p>
        </w:tc>
        <w:tc>
          <w:tcPr>
            <w:tcW w:w="7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highlight w:val="none"/>
              </w:rPr>
            </w:pPr>
          </w:p>
        </w:tc>
        <w:tc>
          <w:tcPr>
            <w:tcW w:w="14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highlight w:val="none"/>
              </w:rPr>
            </w:pPr>
          </w:p>
        </w:tc>
        <w:tc>
          <w:tcPr>
            <w:tcW w:w="36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6.专职安全生产管理人员</w:t>
            </w:r>
          </w:p>
        </w:tc>
        <w:tc>
          <w:tcPr>
            <w:tcW w:w="7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highlight w:val="none"/>
              </w:rPr>
            </w:pPr>
          </w:p>
        </w:tc>
        <w:tc>
          <w:tcPr>
            <w:tcW w:w="7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highlight w:val="none"/>
              </w:rPr>
            </w:pPr>
          </w:p>
        </w:tc>
        <w:tc>
          <w:tcPr>
            <w:tcW w:w="14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highlight w:val="none"/>
              </w:rPr>
            </w:pPr>
          </w:p>
        </w:tc>
        <w:tc>
          <w:tcPr>
            <w:tcW w:w="36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7.材料员</w:t>
            </w:r>
          </w:p>
        </w:tc>
        <w:tc>
          <w:tcPr>
            <w:tcW w:w="7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highlight w:val="none"/>
              </w:rPr>
            </w:pPr>
          </w:p>
        </w:tc>
        <w:tc>
          <w:tcPr>
            <w:tcW w:w="7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highlight w:val="none"/>
              </w:rPr>
            </w:pPr>
          </w:p>
        </w:tc>
        <w:tc>
          <w:tcPr>
            <w:tcW w:w="14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highlight w:val="none"/>
              </w:rPr>
            </w:pPr>
          </w:p>
        </w:tc>
        <w:tc>
          <w:tcPr>
            <w:tcW w:w="36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w:t>
            </w:r>
          </w:p>
        </w:tc>
        <w:tc>
          <w:tcPr>
            <w:tcW w:w="7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highlight w:val="none"/>
              </w:rPr>
            </w:pPr>
          </w:p>
        </w:tc>
        <w:tc>
          <w:tcPr>
            <w:tcW w:w="7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highlight w:val="none"/>
              </w:rPr>
            </w:pPr>
          </w:p>
        </w:tc>
        <w:tc>
          <w:tcPr>
            <w:tcW w:w="14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highlight w:val="none"/>
              </w:rPr>
            </w:pPr>
          </w:p>
        </w:tc>
        <w:tc>
          <w:tcPr>
            <w:tcW w:w="36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highlight w:val="none"/>
              </w:rPr>
            </w:pP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pacing w:val="-2"/>
          <w:kern w:val="0"/>
          <w:sz w:val="21"/>
          <w:szCs w:val="21"/>
          <w:highlight w:val="none"/>
        </w:rPr>
      </w:pPr>
      <w:r>
        <w:rPr>
          <w:rFonts w:hint="eastAsia" w:ascii="宋体" w:hAnsi="宋体" w:eastAsia="宋体" w:cs="宋体"/>
          <w:bCs/>
          <w:color w:val="auto"/>
          <w:spacing w:val="-2"/>
          <w:sz w:val="21"/>
          <w:szCs w:val="21"/>
          <w:highlight w:val="none"/>
        </w:rPr>
        <w:t>注：人员配备</w:t>
      </w:r>
      <w:r>
        <w:rPr>
          <w:rFonts w:hint="eastAsia" w:ascii="宋体" w:hAnsi="宋体" w:eastAsia="宋体" w:cs="宋体"/>
          <w:color w:val="auto"/>
          <w:spacing w:val="-2"/>
          <w:sz w:val="21"/>
          <w:szCs w:val="21"/>
          <w:highlight w:val="none"/>
        </w:rPr>
        <w:t>应按桂林市建设与规划委员会市建规〔2006〕270号文《关于调整建筑施工现场项目部管理的通知》的规定执行，须满足最低要求。</w:t>
      </w:r>
      <w:r>
        <w:rPr>
          <w:rFonts w:hint="eastAsia" w:ascii="宋体" w:hAnsi="宋体" w:eastAsia="宋体" w:cs="宋体"/>
          <w:color w:val="auto"/>
          <w:spacing w:val="-2"/>
          <w:kern w:val="0"/>
          <w:sz w:val="21"/>
          <w:szCs w:val="21"/>
          <w:highlight w:val="none"/>
        </w:rPr>
        <w:t>其中，</w:t>
      </w:r>
      <w:r>
        <w:rPr>
          <w:rFonts w:hint="eastAsia" w:ascii="宋体" w:hAnsi="宋体" w:eastAsia="宋体" w:cs="宋体"/>
          <w:color w:val="auto"/>
          <w:spacing w:val="-2"/>
          <w:kern w:val="0"/>
          <w:sz w:val="21"/>
          <w:szCs w:val="21"/>
          <w:highlight w:val="none"/>
          <w:lang w:eastAsia="zh-CN"/>
        </w:rPr>
        <w:t>项目经理</w:t>
      </w:r>
      <w:r>
        <w:rPr>
          <w:rFonts w:hint="eastAsia" w:ascii="宋体" w:hAnsi="宋体" w:eastAsia="宋体" w:cs="宋体"/>
          <w:color w:val="auto"/>
          <w:spacing w:val="-2"/>
          <w:kern w:val="0"/>
          <w:sz w:val="21"/>
          <w:szCs w:val="21"/>
          <w:highlight w:val="none"/>
        </w:rPr>
        <w:t>至少应附身份证复印件、</w:t>
      </w:r>
      <w:r>
        <w:rPr>
          <w:rFonts w:hint="eastAsia" w:ascii="宋体" w:hAnsi="宋体" w:eastAsia="宋体" w:cs="宋体"/>
          <w:color w:val="auto"/>
          <w:spacing w:val="-2"/>
          <w:kern w:val="0"/>
          <w:sz w:val="21"/>
          <w:szCs w:val="21"/>
          <w:highlight w:val="none"/>
          <w:lang w:val="en-US" w:eastAsia="zh-CN"/>
        </w:rPr>
        <w:t>建造师注册证书</w:t>
      </w:r>
      <w:r>
        <w:rPr>
          <w:rFonts w:hint="eastAsia" w:ascii="宋体" w:hAnsi="宋体" w:eastAsia="宋体" w:cs="宋体"/>
          <w:color w:val="auto"/>
          <w:spacing w:val="-2"/>
          <w:kern w:val="0"/>
          <w:sz w:val="21"/>
          <w:szCs w:val="21"/>
          <w:highlight w:val="none"/>
        </w:rPr>
        <w:t>复印件、安全生产考核合格证书（B类）复印件；技术负责人应附身份证复印件、职称证复印件；专职安全生产管理人员至少应附身份证复印件、专职安全员安全生产考核合格证书（C类）复印件；其他主要人员（施工员、质检</w:t>
      </w:r>
      <w:r>
        <w:rPr>
          <w:rFonts w:hint="eastAsia" w:ascii="宋体" w:hAnsi="宋体" w:eastAsia="宋体" w:cs="宋体"/>
          <w:color w:val="auto"/>
          <w:spacing w:val="-2"/>
          <w:kern w:val="0"/>
          <w:sz w:val="21"/>
          <w:szCs w:val="21"/>
          <w:highlight w:val="none"/>
          <w:lang w:eastAsia="zh-CN"/>
        </w:rPr>
        <w:t>（</w:t>
      </w:r>
      <w:r>
        <w:rPr>
          <w:rFonts w:hint="eastAsia" w:ascii="宋体" w:hAnsi="宋体" w:eastAsia="宋体" w:cs="宋体"/>
          <w:color w:val="auto"/>
          <w:spacing w:val="-2"/>
          <w:kern w:val="0"/>
          <w:sz w:val="21"/>
          <w:szCs w:val="21"/>
          <w:highlight w:val="none"/>
          <w:lang w:val="en-US" w:eastAsia="zh-CN"/>
        </w:rPr>
        <w:t>量</w:t>
      </w:r>
      <w:r>
        <w:rPr>
          <w:rFonts w:hint="eastAsia" w:ascii="宋体" w:hAnsi="宋体" w:eastAsia="宋体" w:cs="宋体"/>
          <w:color w:val="auto"/>
          <w:spacing w:val="-2"/>
          <w:kern w:val="0"/>
          <w:sz w:val="21"/>
          <w:szCs w:val="21"/>
          <w:highlight w:val="none"/>
          <w:lang w:eastAsia="zh-CN"/>
        </w:rPr>
        <w:t>）</w:t>
      </w:r>
      <w:r>
        <w:rPr>
          <w:rFonts w:hint="eastAsia" w:ascii="宋体" w:hAnsi="宋体" w:eastAsia="宋体" w:cs="宋体"/>
          <w:color w:val="auto"/>
          <w:spacing w:val="-2"/>
          <w:kern w:val="0"/>
          <w:sz w:val="21"/>
          <w:szCs w:val="21"/>
          <w:highlight w:val="none"/>
        </w:rPr>
        <w:t>员、材料员）应附执业证或上岗证书复印件。</w:t>
      </w:r>
      <w:r>
        <w:rPr>
          <w:rFonts w:hint="eastAsia" w:ascii="宋体" w:hAnsi="宋体" w:eastAsia="宋体" w:cs="宋体"/>
          <w:color w:val="auto"/>
          <w:kern w:val="0"/>
          <w:sz w:val="21"/>
          <w:szCs w:val="21"/>
          <w:highlight w:val="none"/>
        </w:rPr>
        <w:t>同时还需提供社保部门出具</w:t>
      </w:r>
      <w:r>
        <w:rPr>
          <w:rFonts w:hint="eastAsia" w:ascii="宋体" w:hAnsi="宋体" w:eastAsia="宋体" w:cs="宋体"/>
          <w:color w:val="auto"/>
          <w:kern w:val="0"/>
          <w:sz w:val="21"/>
          <w:szCs w:val="21"/>
          <w:highlight w:val="none"/>
          <w:lang w:val="en-US" w:eastAsia="zh-CN"/>
        </w:rPr>
        <w:t>供应商</w:t>
      </w:r>
      <w:r>
        <w:rPr>
          <w:rFonts w:hint="eastAsia" w:ascii="宋体" w:hAnsi="宋体" w:eastAsia="宋体" w:cs="宋体"/>
          <w:color w:val="auto"/>
          <w:kern w:val="0"/>
          <w:sz w:val="21"/>
          <w:szCs w:val="21"/>
          <w:highlight w:val="none"/>
        </w:rPr>
        <w:t>为项目管理机构成员（包含项目经理、技术负责人、专职安全员、施工员、质检</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rPr>
        <w:t>量</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员、材料员）缴纳的响应文件递交截止时间前半年内任意连续三个月社保证明复印件。若为近期新聘员工的，以提供劳动合同证明材料复印件</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若</w:t>
      </w:r>
      <w:r>
        <w:rPr>
          <w:rFonts w:hint="eastAsia" w:ascii="宋体" w:hAnsi="宋体" w:eastAsia="宋体" w:cs="宋体"/>
          <w:color w:val="auto"/>
          <w:kern w:val="0"/>
          <w:sz w:val="21"/>
          <w:szCs w:val="21"/>
          <w:highlight w:val="none"/>
          <w:lang w:val="en-US" w:eastAsia="zh-CN"/>
        </w:rPr>
        <w:t>为退休员工则需提供退休证明及劳动合同</w:t>
      </w:r>
      <w:r>
        <w:rPr>
          <w:rFonts w:hint="eastAsia" w:ascii="宋体" w:hAnsi="宋体" w:eastAsia="宋体" w:cs="宋体"/>
          <w:color w:val="auto"/>
          <w:kern w:val="0"/>
          <w:sz w:val="21"/>
          <w:szCs w:val="21"/>
          <w:highlight w:val="none"/>
        </w:rPr>
        <w:t>为准</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spacing w:val="-2"/>
          <w:kern w:val="0"/>
          <w:sz w:val="21"/>
          <w:szCs w:val="21"/>
          <w:highlight w:val="none"/>
        </w:rPr>
        <w:t>上述复印件均需加盖</w:t>
      </w:r>
      <w:r>
        <w:rPr>
          <w:rFonts w:hint="eastAsia" w:ascii="宋体" w:hAnsi="宋体" w:eastAsia="宋体" w:cs="宋体"/>
          <w:color w:val="auto"/>
          <w:spacing w:val="-2"/>
          <w:kern w:val="0"/>
          <w:sz w:val="21"/>
          <w:szCs w:val="21"/>
          <w:highlight w:val="none"/>
          <w:lang w:val="en-US" w:eastAsia="zh-CN"/>
        </w:rPr>
        <w:t>供应商</w:t>
      </w:r>
      <w:r>
        <w:rPr>
          <w:rFonts w:hint="eastAsia" w:ascii="宋体" w:hAnsi="宋体" w:eastAsia="宋体" w:cs="宋体"/>
          <w:color w:val="auto"/>
          <w:spacing w:val="-2"/>
          <w:kern w:val="0"/>
          <w:sz w:val="21"/>
          <w:szCs w:val="21"/>
          <w:highlight w:val="none"/>
        </w:rPr>
        <w:t>公章。</w:t>
      </w:r>
    </w:p>
    <w:p>
      <w:pPr>
        <w:pStyle w:val="11"/>
        <w:spacing w:line="340" w:lineRule="exact"/>
        <w:jc w:val="center"/>
        <w:rPr>
          <w:rFonts w:hint="eastAsia" w:ascii="宋体" w:hAnsi="宋体" w:eastAsia="宋体" w:cs="宋体"/>
          <w:b/>
          <w:color w:val="auto"/>
          <w:sz w:val="21"/>
          <w:szCs w:val="21"/>
          <w:highlight w:val="none"/>
        </w:rPr>
      </w:pPr>
    </w:p>
    <w:p>
      <w:pPr>
        <w:pStyle w:val="6"/>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firstLine="1890" w:firstLineChars="9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磋商供应商</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公章</w:t>
      </w:r>
      <w:r>
        <w:rPr>
          <w:rFonts w:hint="eastAsia" w:ascii="宋体" w:hAnsi="宋体" w:eastAsia="宋体" w:cs="宋体"/>
          <w:color w:val="auto"/>
          <w:sz w:val="21"/>
          <w:szCs w:val="21"/>
          <w:highlight w:val="none"/>
          <w:lang w:val="en-US" w:eastAsia="zh-CN"/>
        </w:rPr>
        <w:t>(CA签章)</w:t>
      </w:r>
      <w:r>
        <w:rPr>
          <w:rFonts w:hint="eastAsia" w:ascii="宋体" w:hAnsi="宋体" w:eastAsia="宋体" w:cs="宋体"/>
          <w:color w:val="auto"/>
          <w:sz w:val="21"/>
          <w:szCs w:val="21"/>
          <w:highlight w:val="none"/>
        </w:rPr>
        <w:t>，自然人</w:t>
      </w:r>
      <w:r>
        <w:rPr>
          <w:rFonts w:hint="eastAsia" w:ascii="宋体" w:hAnsi="宋体" w:eastAsia="宋体" w:cs="宋体"/>
          <w:color w:val="auto"/>
          <w:sz w:val="21"/>
          <w:szCs w:val="21"/>
          <w:highlight w:val="none"/>
          <w:lang w:eastAsia="zh-CN"/>
        </w:rPr>
        <w:t>签字或个人</w:t>
      </w:r>
      <w:r>
        <w:rPr>
          <w:rFonts w:hint="eastAsia" w:ascii="宋体" w:hAnsi="宋体" w:eastAsia="宋体" w:cs="宋体"/>
          <w:color w:val="auto"/>
          <w:sz w:val="21"/>
          <w:szCs w:val="21"/>
          <w:highlight w:val="none"/>
          <w:lang w:val="en-US" w:eastAsia="zh-CN"/>
        </w:rPr>
        <w:t>CA签章]</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1890" w:firstLineChars="900"/>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lang w:eastAsia="zh-CN"/>
        </w:rPr>
        <w:t>日</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期：</w:t>
      </w:r>
      <w:r>
        <w:rPr>
          <w:rFonts w:hint="eastAsia" w:ascii="宋体" w:hAnsi="宋体" w:eastAsia="宋体" w:cs="宋体"/>
          <w:color w:val="auto"/>
          <w:sz w:val="21"/>
          <w:szCs w:val="21"/>
          <w:highlight w:val="none"/>
          <w:u w:val="single"/>
        </w:rPr>
        <w:t xml:space="preserve">                            </w:t>
      </w:r>
    </w:p>
    <w:p>
      <w:pPr>
        <w:pStyle w:val="8"/>
        <w:rPr>
          <w:rFonts w:hint="eastAsia" w:ascii="宋体" w:hAnsi="宋体" w:eastAsia="宋体" w:cs="宋体"/>
          <w:color w:val="auto"/>
          <w:sz w:val="21"/>
          <w:szCs w:val="21"/>
          <w:highlight w:val="none"/>
          <w:u w:val="single"/>
        </w:rPr>
      </w:pPr>
    </w:p>
    <w:p>
      <w:pPr>
        <w:rPr>
          <w:rFonts w:hint="eastAsia" w:ascii="宋体" w:hAnsi="宋体" w:eastAsia="宋体" w:cs="宋体"/>
          <w:color w:val="auto"/>
          <w:sz w:val="21"/>
          <w:szCs w:val="21"/>
          <w:highlight w:val="none"/>
        </w:rPr>
      </w:pPr>
    </w:p>
    <w:p>
      <w:pPr>
        <w:pStyle w:val="8"/>
        <w:rPr>
          <w:rFonts w:hint="eastAsia" w:ascii="宋体" w:hAnsi="宋体" w:eastAsia="宋体" w:cs="宋体"/>
          <w:b/>
          <w:bCs/>
          <w:color w:val="auto"/>
          <w:sz w:val="21"/>
          <w:szCs w:val="21"/>
          <w:highlight w:val="none"/>
        </w:rPr>
      </w:pPr>
    </w:p>
    <w:p>
      <w:pPr>
        <w:pStyle w:val="8"/>
        <w:rPr>
          <w:rFonts w:hint="eastAsia" w:ascii="宋体" w:hAnsi="宋体" w:eastAsia="宋体" w:cs="宋体"/>
          <w:b/>
          <w:bCs/>
          <w:color w:val="auto"/>
          <w:sz w:val="21"/>
          <w:szCs w:val="21"/>
          <w:highlight w:val="none"/>
        </w:rPr>
      </w:pPr>
    </w:p>
    <w:p>
      <w:pPr>
        <w:pStyle w:val="11"/>
        <w:numPr>
          <w:ilvl w:val="0"/>
          <w:numId w:val="0"/>
        </w:numPr>
        <w:spacing w:line="340" w:lineRule="exact"/>
        <w:ind w:left="0" w:firstLine="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5.担任本工程的项目经理简历表（应附相关证书、身份证复印件）（必须提供）</w:t>
      </w:r>
      <w:r>
        <w:rPr>
          <w:rFonts w:hint="eastAsia" w:ascii="宋体" w:hAnsi="宋体" w:eastAsia="宋体" w:cs="宋体"/>
          <w:b/>
          <w:color w:val="auto"/>
          <w:sz w:val="24"/>
          <w:szCs w:val="24"/>
          <w:highlight w:val="none"/>
        </w:rPr>
        <w:t>；</w:t>
      </w:r>
    </w:p>
    <w:p>
      <w:pPr>
        <w:rPr>
          <w:rFonts w:hint="eastAsia" w:ascii="宋体" w:hAnsi="宋体" w:eastAsia="宋体" w:cs="宋体"/>
          <w:color w:val="auto"/>
          <w:sz w:val="21"/>
          <w:szCs w:val="21"/>
          <w:highlight w:val="none"/>
        </w:rPr>
      </w:pPr>
    </w:p>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担任本工程的项目经理简历表</w:t>
      </w:r>
    </w:p>
    <w:p>
      <w:pPr>
        <w:jc w:val="center"/>
        <w:rPr>
          <w:rFonts w:hint="eastAsia" w:ascii="宋体" w:hAnsi="宋体" w:eastAsia="宋体" w:cs="宋体"/>
          <w:b/>
          <w:color w:val="auto"/>
          <w:sz w:val="21"/>
          <w:szCs w:val="21"/>
          <w:highlight w:val="none"/>
        </w:rPr>
      </w:pPr>
    </w:p>
    <w:tbl>
      <w:tblPr>
        <w:tblStyle w:val="19"/>
        <w:tblW w:w="8416"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0"/>
        <w:gridCol w:w="1608"/>
        <w:gridCol w:w="1072"/>
        <w:gridCol w:w="28"/>
        <w:gridCol w:w="508"/>
        <w:gridCol w:w="536"/>
        <w:gridCol w:w="1072"/>
        <w:gridCol w:w="268"/>
        <w:gridCol w:w="496"/>
        <w:gridCol w:w="442"/>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Borders>
              <w:top w:val="single" w:color="auto" w:sz="8" w:space="0"/>
              <w:left w:val="single" w:color="auto" w:sz="8" w:space="0"/>
            </w:tcBorders>
            <w:vAlign w:val="top"/>
          </w:tcPr>
          <w:p>
            <w:pPr>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姓  名</w:t>
            </w:r>
          </w:p>
        </w:tc>
        <w:tc>
          <w:tcPr>
            <w:tcW w:w="1608" w:type="dxa"/>
            <w:tcBorders>
              <w:top w:val="single" w:color="auto" w:sz="8" w:space="0"/>
            </w:tcBorders>
            <w:vAlign w:val="top"/>
          </w:tcPr>
          <w:p>
            <w:pPr>
              <w:spacing w:line="440" w:lineRule="exact"/>
              <w:jc w:val="center"/>
              <w:rPr>
                <w:rFonts w:hint="eastAsia" w:ascii="宋体" w:hAnsi="宋体" w:eastAsia="宋体" w:cs="宋体"/>
                <w:color w:val="auto"/>
                <w:sz w:val="21"/>
                <w:szCs w:val="21"/>
                <w:highlight w:val="none"/>
              </w:rPr>
            </w:pPr>
          </w:p>
        </w:tc>
        <w:tc>
          <w:tcPr>
            <w:tcW w:w="1072" w:type="dxa"/>
            <w:tcBorders>
              <w:top w:val="single" w:color="auto" w:sz="8" w:space="0"/>
            </w:tcBorders>
            <w:vAlign w:val="top"/>
          </w:tcPr>
          <w:p>
            <w:pPr>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性  别</w:t>
            </w:r>
          </w:p>
        </w:tc>
        <w:tc>
          <w:tcPr>
            <w:tcW w:w="1072" w:type="dxa"/>
            <w:gridSpan w:val="3"/>
            <w:tcBorders>
              <w:top w:val="single" w:color="auto" w:sz="8" w:space="0"/>
            </w:tcBorders>
            <w:vAlign w:val="top"/>
          </w:tcPr>
          <w:p>
            <w:pPr>
              <w:spacing w:line="440" w:lineRule="exact"/>
              <w:jc w:val="center"/>
              <w:rPr>
                <w:rFonts w:hint="eastAsia" w:ascii="宋体" w:hAnsi="宋体" w:eastAsia="宋体" w:cs="宋体"/>
                <w:color w:val="auto"/>
                <w:sz w:val="21"/>
                <w:szCs w:val="21"/>
                <w:highlight w:val="none"/>
              </w:rPr>
            </w:pPr>
          </w:p>
        </w:tc>
        <w:tc>
          <w:tcPr>
            <w:tcW w:w="1340" w:type="dxa"/>
            <w:gridSpan w:val="2"/>
            <w:tcBorders>
              <w:top w:val="single" w:color="auto" w:sz="8" w:space="0"/>
            </w:tcBorders>
            <w:vAlign w:val="top"/>
          </w:tcPr>
          <w:p>
            <w:pPr>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年  龄</w:t>
            </w:r>
          </w:p>
        </w:tc>
        <w:tc>
          <w:tcPr>
            <w:tcW w:w="2144" w:type="dxa"/>
            <w:gridSpan w:val="3"/>
            <w:tcBorders>
              <w:top w:val="single" w:color="auto" w:sz="8" w:space="0"/>
              <w:right w:val="single" w:color="auto" w:sz="8" w:space="0"/>
            </w:tcBorders>
            <w:vAlign w:val="top"/>
          </w:tcPr>
          <w:p>
            <w:pPr>
              <w:spacing w:line="44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Borders>
              <w:left w:val="single" w:color="auto" w:sz="8" w:space="0"/>
            </w:tcBorders>
            <w:vAlign w:val="top"/>
          </w:tcPr>
          <w:p>
            <w:pPr>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职  务</w:t>
            </w:r>
          </w:p>
        </w:tc>
        <w:tc>
          <w:tcPr>
            <w:tcW w:w="1608" w:type="dxa"/>
            <w:vAlign w:val="top"/>
          </w:tcPr>
          <w:p>
            <w:pPr>
              <w:spacing w:line="440" w:lineRule="exact"/>
              <w:jc w:val="center"/>
              <w:rPr>
                <w:rFonts w:hint="eastAsia" w:ascii="宋体" w:hAnsi="宋体" w:eastAsia="宋体" w:cs="宋体"/>
                <w:color w:val="auto"/>
                <w:sz w:val="21"/>
                <w:szCs w:val="21"/>
                <w:highlight w:val="none"/>
              </w:rPr>
            </w:pPr>
          </w:p>
        </w:tc>
        <w:tc>
          <w:tcPr>
            <w:tcW w:w="1072" w:type="dxa"/>
            <w:vAlign w:val="top"/>
          </w:tcPr>
          <w:p>
            <w:pPr>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职  称</w:t>
            </w:r>
          </w:p>
        </w:tc>
        <w:tc>
          <w:tcPr>
            <w:tcW w:w="1072" w:type="dxa"/>
            <w:gridSpan w:val="3"/>
            <w:vAlign w:val="top"/>
          </w:tcPr>
          <w:p>
            <w:pPr>
              <w:spacing w:line="440" w:lineRule="exact"/>
              <w:jc w:val="center"/>
              <w:rPr>
                <w:rFonts w:hint="eastAsia" w:ascii="宋体" w:hAnsi="宋体" w:eastAsia="宋体" w:cs="宋体"/>
                <w:color w:val="auto"/>
                <w:sz w:val="21"/>
                <w:szCs w:val="21"/>
                <w:highlight w:val="none"/>
              </w:rPr>
            </w:pPr>
          </w:p>
        </w:tc>
        <w:tc>
          <w:tcPr>
            <w:tcW w:w="1340" w:type="dxa"/>
            <w:gridSpan w:val="2"/>
            <w:vAlign w:val="top"/>
          </w:tcPr>
          <w:p>
            <w:pPr>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学  历</w:t>
            </w:r>
          </w:p>
        </w:tc>
        <w:tc>
          <w:tcPr>
            <w:tcW w:w="2144" w:type="dxa"/>
            <w:gridSpan w:val="3"/>
            <w:tcBorders>
              <w:right w:val="single" w:color="auto" w:sz="8" w:space="0"/>
            </w:tcBorders>
            <w:vAlign w:val="top"/>
          </w:tcPr>
          <w:p>
            <w:pPr>
              <w:spacing w:line="44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0" w:type="dxa"/>
            <w:tcBorders>
              <w:left w:val="single" w:color="auto" w:sz="8" w:space="0"/>
            </w:tcBorders>
            <w:vAlign w:val="top"/>
          </w:tcPr>
          <w:p>
            <w:pPr>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专  业</w:t>
            </w:r>
          </w:p>
        </w:tc>
        <w:tc>
          <w:tcPr>
            <w:tcW w:w="2708" w:type="dxa"/>
            <w:gridSpan w:val="3"/>
            <w:vAlign w:val="top"/>
          </w:tcPr>
          <w:p>
            <w:pPr>
              <w:spacing w:line="440" w:lineRule="exact"/>
              <w:rPr>
                <w:rFonts w:hint="eastAsia" w:ascii="宋体" w:hAnsi="宋体" w:eastAsia="宋体" w:cs="宋体"/>
                <w:color w:val="auto"/>
                <w:sz w:val="21"/>
                <w:szCs w:val="21"/>
                <w:highlight w:val="none"/>
              </w:rPr>
            </w:pPr>
          </w:p>
        </w:tc>
        <w:tc>
          <w:tcPr>
            <w:tcW w:w="2880" w:type="dxa"/>
            <w:gridSpan w:val="5"/>
            <w:vAlign w:val="top"/>
          </w:tcPr>
          <w:p>
            <w:pPr>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从事项目经理或建造师年限</w:t>
            </w:r>
          </w:p>
        </w:tc>
        <w:tc>
          <w:tcPr>
            <w:tcW w:w="1648" w:type="dxa"/>
            <w:gridSpan w:val="2"/>
            <w:tcBorders>
              <w:right w:val="single" w:color="auto" w:sz="8" w:space="0"/>
            </w:tcBorders>
            <w:vAlign w:val="top"/>
          </w:tcPr>
          <w:p>
            <w:pPr>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416" w:type="dxa"/>
            <w:gridSpan w:val="11"/>
            <w:tcBorders>
              <w:left w:val="single" w:color="auto" w:sz="8" w:space="0"/>
              <w:right w:val="single" w:color="auto" w:sz="8" w:space="0"/>
            </w:tcBorders>
            <w:vAlign w:val="top"/>
          </w:tcPr>
          <w:p>
            <w:pPr>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Borders>
              <w:left w:val="single" w:color="auto" w:sz="8" w:space="0"/>
            </w:tcBorders>
            <w:vAlign w:val="top"/>
          </w:tcPr>
          <w:p>
            <w:pPr>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建设单位</w:t>
            </w:r>
          </w:p>
        </w:tc>
        <w:tc>
          <w:tcPr>
            <w:tcW w:w="1608" w:type="dxa"/>
            <w:vAlign w:val="top"/>
          </w:tcPr>
          <w:p>
            <w:pPr>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项目名称</w:t>
            </w:r>
          </w:p>
        </w:tc>
        <w:tc>
          <w:tcPr>
            <w:tcW w:w="1608" w:type="dxa"/>
            <w:gridSpan w:val="3"/>
            <w:vAlign w:val="top"/>
          </w:tcPr>
          <w:p>
            <w:pPr>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建设规模</w:t>
            </w:r>
          </w:p>
        </w:tc>
        <w:tc>
          <w:tcPr>
            <w:tcW w:w="1608" w:type="dxa"/>
            <w:gridSpan w:val="2"/>
            <w:vAlign w:val="top"/>
          </w:tcPr>
          <w:p>
            <w:pPr>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开、竣工日期</w:t>
            </w:r>
          </w:p>
        </w:tc>
        <w:tc>
          <w:tcPr>
            <w:tcW w:w="1206" w:type="dxa"/>
            <w:gridSpan w:val="3"/>
            <w:vAlign w:val="top"/>
          </w:tcPr>
          <w:p>
            <w:pPr>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工程质量</w:t>
            </w:r>
          </w:p>
        </w:tc>
        <w:tc>
          <w:tcPr>
            <w:tcW w:w="1206" w:type="dxa"/>
            <w:tcBorders>
              <w:right w:val="single" w:color="auto" w:sz="8" w:space="0"/>
            </w:tcBorders>
            <w:vAlign w:val="top"/>
          </w:tcPr>
          <w:p>
            <w:pPr>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受奖情况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Borders>
              <w:left w:val="single" w:color="auto" w:sz="8" w:space="0"/>
            </w:tcBorders>
            <w:vAlign w:val="top"/>
          </w:tcPr>
          <w:p>
            <w:pPr>
              <w:spacing w:line="440" w:lineRule="exact"/>
              <w:jc w:val="center"/>
              <w:rPr>
                <w:rFonts w:hint="eastAsia" w:ascii="宋体" w:hAnsi="宋体" w:eastAsia="宋体" w:cs="宋体"/>
                <w:color w:val="auto"/>
                <w:sz w:val="21"/>
                <w:szCs w:val="21"/>
                <w:highlight w:val="none"/>
              </w:rPr>
            </w:pPr>
          </w:p>
        </w:tc>
        <w:tc>
          <w:tcPr>
            <w:tcW w:w="1608" w:type="dxa"/>
            <w:vAlign w:val="top"/>
          </w:tcPr>
          <w:p>
            <w:pPr>
              <w:spacing w:line="440" w:lineRule="exact"/>
              <w:jc w:val="center"/>
              <w:rPr>
                <w:rFonts w:hint="eastAsia" w:ascii="宋体" w:hAnsi="宋体" w:eastAsia="宋体" w:cs="宋体"/>
                <w:color w:val="auto"/>
                <w:sz w:val="21"/>
                <w:szCs w:val="21"/>
                <w:highlight w:val="none"/>
              </w:rPr>
            </w:pPr>
          </w:p>
        </w:tc>
        <w:tc>
          <w:tcPr>
            <w:tcW w:w="1608" w:type="dxa"/>
            <w:gridSpan w:val="3"/>
            <w:vAlign w:val="top"/>
          </w:tcPr>
          <w:p>
            <w:pPr>
              <w:spacing w:line="440" w:lineRule="exact"/>
              <w:jc w:val="center"/>
              <w:rPr>
                <w:rFonts w:hint="eastAsia" w:ascii="宋体" w:hAnsi="宋体" w:eastAsia="宋体" w:cs="宋体"/>
                <w:color w:val="auto"/>
                <w:sz w:val="21"/>
                <w:szCs w:val="21"/>
                <w:highlight w:val="none"/>
              </w:rPr>
            </w:pPr>
          </w:p>
        </w:tc>
        <w:tc>
          <w:tcPr>
            <w:tcW w:w="1608" w:type="dxa"/>
            <w:gridSpan w:val="2"/>
            <w:vAlign w:val="top"/>
          </w:tcPr>
          <w:p>
            <w:pPr>
              <w:spacing w:line="440" w:lineRule="exact"/>
              <w:jc w:val="center"/>
              <w:rPr>
                <w:rFonts w:hint="eastAsia" w:ascii="宋体" w:hAnsi="宋体" w:eastAsia="宋体" w:cs="宋体"/>
                <w:color w:val="auto"/>
                <w:sz w:val="21"/>
                <w:szCs w:val="21"/>
                <w:highlight w:val="none"/>
              </w:rPr>
            </w:pPr>
          </w:p>
        </w:tc>
        <w:tc>
          <w:tcPr>
            <w:tcW w:w="1206" w:type="dxa"/>
            <w:gridSpan w:val="3"/>
            <w:vAlign w:val="top"/>
          </w:tcPr>
          <w:p>
            <w:pPr>
              <w:spacing w:line="440" w:lineRule="exact"/>
              <w:jc w:val="center"/>
              <w:rPr>
                <w:rFonts w:hint="eastAsia" w:ascii="宋体" w:hAnsi="宋体" w:eastAsia="宋体" w:cs="宋体"/>
                <w:color w:val="auto"/>
                <w:sz w:val="21"/>
                <w:szCs w:val="21"/>
                <w:highlight w:val="none"/>
              </w:rPr>
            </w:pPr>
          </w:p>
        </w:tc>
        <w:tc>
          <w:tcPr>
            <w:tcW w:w="1206" w:type="dxa"/>
            <w:tcBorders>
              <w:right w:val="single" w:color="auto" w:sz="8" w:space="0"/>
            </w:tcBorders>
            <w:vAlign w:val="top"/>
          </w:tcPr>
          <w:p>
            <w:pPr>
              <w:spacing w:line="44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Borders>
              <w:left w:val="single" w:color="auto" w:sz="8" w:space="0"/>
            </w:tcBorders>
            <w:vAlign w:val="top"/>
          </w:tcPr>
          <w:p>
            <w:pPr>
              <w:spacing w:line="440" w:lineRule="exact"/>
              <w:jc w:val="center"/>
              <w:rPr>
                <w:rFonts w:hint="eastAsia" w:ascii="宋体" w:hAnsi="宋体" w:eastAsia="宋体" w:cs="宋体"/>
                <w:color w:val="auto"/>
                <w:sz w:val="21"/>
                <w:szCs w:val="21"/>
                <w:highlight w:val="none"/>
              </w:rPr>
            </w:pPr>
          </w:p>
        </w:tc>
        <w:tc>
          <w:tcPr>
            <w:tcW w:w="1608" w:type="dxa"/>
            <w:vAlign w:val="top"/>
          </w:tcPr>
          <w:p>
            <w:pPr>
              <w:spacing w:line="440" w:lineRule="exact"/>
              <w:jc w:val="center"/>
              <w:rPr>
                <w:rFonts w:hint="eastAsia" w:ascii="宋体" w:hAnsi="宋体" w:eastAsia="宋体" w:cs="宋体"/>
                <w:color w:val="auto"/>
                <w:sz w:val="21"/>
                <w:szCs w:val="21"/>
                <w:highlight w:val="none"/>
              </w:rPr>
            </w:pPr>
          </w:p>
        </w:tc>
        <w:tc>
          <w:tcPr>
            <w:tcW w:w="1608" w:type="dxa"/>
            <w:gridSpan w:val="3"/>
            <w:vAlign w:val="top"/>
          </w:tcPr>
          <w:p>
            <w:pPr>
              <w:spacing w:line="440" w:lineRule="exact"/>
              <w:jc w:val="center"/>
              <w:rPr>
                <w:rFonts w:hint="eastAsia" w:ascii="宋体" w:hAnsi="宋体" w:eastAsia="宋体" w:cs="宋体"/>
                <w:color w:val="auto"/>
                <w:sz w:val="21"/>
                <w:szCs w:val="21"/>
                <w:highlight w:val="none"/>
              </w:rPr>
            </w:pPr>
          </w:p>
        </w:tc>
        <w:tc>
          <w:tcPr>
            <w:tcW w:w="1608" w:type="dxa"/>
            <w:gridSpan w:val="2"/>
            <w:vAlign w:val="top"/>
          </w:tcPr>
          <w:p>
            <w:pPr>
              <w:spacing w:line="440" w:lineRule="exact"/>
              <w:jc w:val="center"/>
              <w:rPr>
                <w:rFonts w:hint="eastAsia" w:ascii="宋体" w:hAnsi="宋体" w:eastAsia="宋体" w:cs="宋体"/>
                <w:color w:val="auto"/>
                <w:sz w:val="21"/>
                <w:szCs w:val="21"/>
                <w:highlight w:val="none"/>
              </w:rPr>
            </w:pPr>
          </w:p>
        </w:tc>
        <w:tc>
          <w:tcPr>
            <w:tcW w:w="1206" w:type="dxa"/>
            <w:gridSpan w:val="3"/>
            <w:vAlign w:val="top"/>
          </w:tcPr>
          <w:p>
            <w:pPr>
              <w:spacing w:line="440" w:lineRule="exact"/>
              <w:jc w:val="center"/>
              <w:rPr>
                <w:rFonts w:hint="eastAsia" w:ascii="宋体" w:hAnsi="宋体" w:eastAsia="宋体" w:cs="宋体"/>
                <w:color w:val="auto"/>
                <w:sz w:val="21"/>
                <w:szCs w:val="21"/>
                <w:highlight w:val="none"/>
              </w:rPr>
            </w:pPr>
          </w:p>
        </w:tc>
        <w:tc>
          <w:tcPr>
            <w:tcW w:w="1206" w:type="dxa"/>
            <w:tcBorders>
              <w:right w:val="single" w:color="auto" w:sz="8" w:space="0"/>
            </w:tcBorders>
            <w:vAlign w:val="top"/>
          </w:tcPr>
          <w:p>
            <w:pPr>
              <w:spacing w:line="44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Borders>
              <w:left w:val="single" w:color="auto" w:sz="8" w:space="0"/>
            </w:tcBorders>
            <w:vAlign w:val="top"/>
          </w:tcPr>
          <w:p>
            <w:pPr>
              <w:spacing w:line="440" w:lineRule="exact"/>
              <w:jc w:val="center"/>
              <w:rPr>
                <w:rFonts w:hint="eastAsia" w:ascii="宋体" w:hAnsi="宋体" w:eastAsia="宋体" w:cs="宋体"/>
                <w:color w:val="auto"/>
                <w:sz w:val="21"/>
                <w:szCs w:val="21"/>
                <w:highlight w:val="none"/>
              </w:rPr>
            </w:pPr>
          </w:p>
        </w:tc>
        <w:tc>
          <w:tcPr>
            <w:tcW w:w="1608" w:type="dxa"/>
            <w:vAlign w:val="top"/>
          </w:tcPr>
          <w:p>
            <w:pPr>
              <w:spacing w:line="440" w:lineRule="exact"/>
              <w:jc w:val="center"/>
              <w:rPr>
                <w:rFonts w:hint="eastAsia" w:ascii="宋体" w:hAnsi="宋体" w:eastAsia="宋体" w:cs="宋体"/>
                <w:color w:val="auto"/>
                <w:sz w:val="21"/>
                <w:szCs w:val="21"/>
                <w:highlight w:val="none"/>
              </w:rPr>
            </w:pPr>
          </w:p>
        </w:tc>
        <w:tc>
          <w:tcPr>
            <w:tcW w:w="1608" w:type="dxa"/>
            <w:gridSpan w:val="3"/>
            <w:vAlign w:val="top"/>
          </w:tcPr>
          <w:p>
            <w:pPr>
              <w:spacing w:line="440" w:lineRule="exact"/>
              <w:jc w:val="center"/>
              <w:rPr>
                <w:rFonts w:hint="eastAsia" w:ascii="宋体" w:hAnsi="宋体" w:eastAsia="宋体" w:cs="宋体"/>
                <w:color w:val="auto"/>
                <w:sz w:val="21"/>
                <w:szCs w:val="21"/>
                <w:highlight w:val="none"/>
              </w:rPr>
            </w:pPr>
          </w:p>
        </w:tc>
        <w:tc>
          <w:tcPr>
            <w:tcW w:w="1608" w:type="dxa"/>
            <w:gridSpan w:val="2"/>
            <w:vAlign w:val="top"/>
          </w:tcPr>
          <w:p>
            <w:pPr>
              <w:spacing w:line="440" w:lineRule="exact"/>
              <w:jc w:val="center"/>
              <w:rPr>
                <w:rFonts w:hint="eastAsia" w:ascii="宋体" w:hAnsi="宋体" w:eastAsia="宋体" w:cs="宋体"/>
                <w:color w:val="auto"/>
                <w:sz w:val="21"/>
                <w:szCs w:val="21"/>
                <w:highlight w:val="none"/>
              </w:rPr>
            </w:pPr>
          </w:p>
        </w:tc>
        <w:tc>
          <w:tcPr>
            <w:tcW w:w="1206" w:type="dxa"/>
            <w:gridSpan w:val="3"/>
            <w:vAlign w:val="top"/>
          </w:tcPr>
          <w:p>
            <w:pPr>
              <w:spacing w:line="440" w:lineRule="exact"/>
              <w:jc w:val="center"/>
              <w:rPr>
                <w:rFonts w:hint="eastAsia" w:ascii="宋体" w:hAnsi="宋体" w:eastAsia="宋体" w:cs="宋体"/>
                <w:color w:val="auto"/>
                <w:sz w:val="21"/>
                <w:szCs w:val="21"/>
                <w:highlight w:val="none"/>
              </w:rPr>
            </w:pPr>
          </w:p>
        </w:tc>
        <w:tc>
          <w:tcPr>
            <w:tcW w:w="1206" w:type="dxa"/>
            <w:tcBorders>
              <w:right w:val="single" w:color="auto" w:sz="8" w:space="0"/>
            </w:tcBorders>
            <w:vAlign w:val="top"/>
          </w:tcPr>
          <w:p>
            <w:pPr>
              <w:spacing w:line="44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Borders>
              <w:left w:val="single" w:color="auto" w:sz="8" w:space="0"/>
            </w:tcBorders>
            <w:vAlign w:val="top"/>
          </w:tcPr>
          <w:p>
            <w:pPr>
              <w:spacing w:line="440" w:lineRule="exact"/>
              <w:jc w:val="center"/>
              <w:rPr>
                <w:rFonts w:hint="eastAsia" w:ascii="宋体" w:hAnsi="宋体" w:eastAsia="宋体" w:cs="宋体"/>
                <w:color w:val="auto"/>
                <w:sz w:val="21"/>
                <w:szCs w:val="21"/>
                <w:highlight w:val="none"/>
              </w:rPr>
            </w:pPr>
          </w:p>
        </w:tc>
        <w:tc>
          <w:tcPr>
            <w:tcW w:w="1608" w:type="dxa"/>
            <w:vAlign w:val="top"/>
          </w:tcPr>
          <w:p>
            <w:pPr>
              <w:spacing w:line="440" w:lineRule="exact"/>
              <w:jc w:val="center"/>
              <w:rPr>
                <w:rFonts w:hint="eastAsia" w:ascii="宋体" w:hAnsi="宋体" w:eastAsia="宋体" w:cs="宋体"/>
                <w:color w:val="auto"/>
                <w:sz w:val="21"/>
                <w:szCs w:val="21"/>
                <w:highlight w:val="none"/>
              </w:rPr>
            </w:pPr>
          </w:p>
        </w:tc>
        <w:tc>
          <w:tcPr>
            <w:tcW w:w="1608" w:type="dxa"/>
            <w:gridSpan w:val="3"/>
            <w:vAlign w:val="top"/>
          </w:tcPr>
          <w:p>
            <w:pPr>
              <w:spacing w:line="440" w:lineRule="exact"/>
              <w:jc w:val="center"/>
              <w:rPr>
                <w:rFonts w:hint="eastAsia" w:ascii="宋体" w:hAnsi="宋体" w:eastAsia="宋体" w:cs="宋体"/>
                <w:color w:val="auto"/>
                <w:sz w:val="21"/>
                <w:szCs w:val="21"/>
                <w:highlight w:val="none"/>
              </w:rPr>
            </w:pPr>
          </w:p>
        </w:tc>
        <w:tc>
          <w:tcPr>
            <w:tcW w:w="1608" w:type="dxa"/>
            <w:gridSpan w:val="2"/>
            <w:vAlign w:val="top"/>
          </w:tcPr>
          <w:p>
            <w:pPr>
              <w:spacing w:line="440" w:lineRule="exact"/>
              <w:jc w:val="center"/>
              <w:rPr>
                <w:rFonts w:hint="eastAsia" w:ascii="宋体" w:hAnsi="宋体" w:eastAsia="宋体" w:cs="宋体"/>
                <w:color w:val="auto"/>
                <w:sz w:val="21"/>
                <w:szCs w:val="21"/>
                <w:highlight w:val="none"/>
              </w:rPr>
            </w:pPr>
          </w:p>
        </w:tc>
        <w:tc>
          <w:tcPr>
            <w:tcW w:w="1206" w:type="dxa"/>
            <w:gridSpan w:val="3"/>
            <w:vAlign w:val="top"/>
          </w:tcPr>
          <w:p>
            <w:pPr>
              <w:spacing w:line="440" w:lineRule="exact"/>
              <w:jc w:val="center"/>
              <w:rPr>
                <w:rFonts w:hint="eastAsia" w:ascii="宋体" w:hAnsi="宋体" w:eastAsia="宋体" w:cs="宋体"/>
                <w:color w:val="auto"/>
                <w:sz w:val="21"/>
                <w:szCs w:val="21"/>
                <w:highlight w:val="none"/>
              </w:rPr>
            </w:pPr>
          </w:p>
        </w:tc>
        <w:tc>
          <w:tcPr>
            <w:tcW w:w="1206" w:type="dxa"/>
            <w:tcBorders>
              <w:right w:val="single" w:color="auto" w:sz="8" w:space="0"/>
            </w:tcBorders>
            <w:vAlign w:val="top"/>
          </w:tcPr>
          <w:p>
            <w:pPr>
              <w:spacing w:line="44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Borders>
              <w:left w:val="single" w:color="auto" w:sz="8" w:space="0"/>
            </w:tcBorders>
            <w:vAlign w:val="top"/>
          </w:tcPr>
          <w:p>
            <w:pPr>
              <w:spacing w:line="440" w:lineRule="exact"/>
              <w:jc w:val="center"/>
              <w:rPr>
                <w:rFonts w:hint="eastAsia" w:ascii="宋体" w:hAnsi="宋体" w:eastAsia="宋体" w:cs="宋体"/>
                <w:color w:val="auto"/>
                <w:sz w:val="21"/>
                <w:szCs w:val="21"/>
                <w:highlight w:val="none"/>
              </w:rPr>
            </w:pPr>
          </w:p>
        </w:tc>
        <w:tc>
          <w:tcPr>
            <w:tcW w:w="1608" w:type="dxa"/>
            <w:vAlign w:val="top"/>
          </w:tcPr>
          <w:p>
            <w:pPr>
              <w:spacing w:line="440" w:lineRule="exact"/>
              <w:jc w:val="center"/>
              <w:rPr>
                <w:rFonts w:hint="eastAsia" w:ascii="宋体" w:hAnsi="宋体" w:eastAsia="宋体" w:cs="宋体"/>
                <w:color w:val="auto"/>
                <w:sz w:val="21"/>
                <w:szCs w:val="21"/>
                <w:highlight w:val="none"/>
              </w:rPr>
            </w:pPr>
          </w:p>
        </w:tc>
        <w:tc>
          <w:tcPr>
            <w:tcW w:w="1608" w:type="dxa"/>
            <w:gridSpan w:val="3"/>
            <w:vAlign w:val="top"/>
          </w:tcPr>
          <w:p>
            <w:pPr>
              <w:spacing w:line="440" w:lineRule="exact"/>
              <w:jc w:val="center"/>
              <w:rPr>
                <w:rFonts w:hint="eastAsia" w:ascii="宋体" w:hAnsi="宋体" w:eastAsia="宋体" w:cs="宋体"/>
                <w:color w:val="auto"/>
                <w:sz w:val="21"/>
                <w:szCs w:val="21"/>
                <w:highlight w:val="none"/>
              </w:rPr>
            </w:pPr>
          </w:p>
        </w:tc>
        <w:tc>
          <w:tcPr>
            <w:tcW w:w="1608" w:type="dxa"/>
            <w:gridSpan w:val="2"/>
            <w:vAlign w:val="top"/>
          </w:tcPr>
          <w:p>
            <w:pPr>
              <w:spacing w:line="440" w:lineRule="exact"/>
              <w:jc w:val="center"/>
              <w:rPr>
                <w:rFonts w:hint="eastAsia" w:ascii="宋体" w:hAnsi="宋体" w:eastAsia="宋体" w:cs="宋体"/>
                <w:color w:val="auto"/>
                <w:sz w:val="21"/>
                <w:szCs w:val="21"/>
                <w:highlight w:val="none"/>
              </w:rPr>
            </w:pPr>
          </w:p>
        </w:tc>
        <w:tc>
          <w:tcPr>
            <w:tcW w:w="1206" w:type="dxa"/>
            <w:gridSpan w:val="3"/>
            <w:vAlign w:val="top"/>
          </w:tcPr>
          <w:p>
            <w:pPr>
              <w:spacing w:line="440" w:lineRule="exact"/>
              <w:jc w:val="center"/>
              <w:rPr>
                <w:rFonts w:hint="eastAsia" w:ascii="宋体" w:hAnsi="宋体" w:eastAsia="宋体" w:cs="宋体"/>
                <w:color w:val="auto"/>
                <w:sz w:val="21"/>
                <w:szCs w:val="21"/>
                <w:highlight w:val="none"/>
              </w:rPr>
            </w:pPr>
          </w:p>
        </w:tc>
        <w:tc>
          <w:tcPr>
            <w:tcW w:w="1206" w:type="dxa"/>
            <w:tcBorders>
              <w:right w:val="single" w:color="auto" w:sz="8" w:space="0"/>
            </w:tcBorders>
            <w:vAlign w:val="top"/>
          </w:tcPr>
          <w:p>
            <w:pPr>
              <w:spacing w:line="44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Borders>
              <w:left w:val="single" w:color="auto" w:sz="8" w:space="0"/>
            </w:tcBorders>
            <w:vAlign w:val="top"/>
          </w:tcPr>
          <w:p>
            <w:pPr>
              <w:spacing w:line="440" w:lineRule="exact"/>
              <w:jc w:val="center"/>
              <w:rPr>
                <w:rFonts w:hint="eastAsia" w:ascii="宋体" w:hAnsi="宋体" w:eastAsia="宋体" w:cs="宋体"/>
                <w:color w:val="auto"/>
                <w:sz w:val="21"/>
                <w:szCs w:val="21"/>
                <w:highlight w:val="none"/>
              </w:rPr>
            </w:pPr>
          </w:p>
        </w:tc>
        <w:tc>
          <w:tcPr>
            <w:tcW w:w="1608" w:type="dxa"/>
            <w:vAlign w:val="top"/>
          </w:tcPr>
          <w:p>
            <w:pPr>
              <w:spacing w:line="440" w:lineRule="exact"/>
              <w:jc w:val="center"/>
              <w:rPr>
                <w:rFonts w:hint="eastAsia" w:ascii="宋体" w:hAnsi="宋体" w:eastAsia="宋体" w:cs="宋体"/>
                <w:color w:val="auto"/>
                <w:sz w:val="21"/>
                <w:szCs w:val="21"/>
                <w:highlight w:val="none"/>
              </w:rPr>
            </w:pPr>
          </w:p>
        </w:tc>
        <w:tc>
          <w:tcPr>
            <w:tcW w:w="1608" w:type="dxa"/>
            <w:gridSpan w:val="3"/>
            <w:vAlign w:val="top"/>
          </w:tcPr>
          <w:p>
            <w:pPr>
              <w:spacing w:line="440" w:lineRule="exact"/>
              <w:jc w:val="center"/>
              <w:rPr>
                <w:rFonts w:hint="eastAsia" w:ascii="宋体" w:hAnsi="宋体" w:eastAsia="宋体" w:cs="宋体"/>
                <w:color w:val="auto"/>
                <w:sz w:val="21"/>
                <w:szCs w:val="21"/>
                <w:highlight w:val="none"/>
              </w:rPr>
            </w:pPr>
          </w:p>
        </w:tc>
        <w:tc>
          <w:tcPr>
            <w:tcW w:w="1608" w:type="dxa"/>
            <w:gridSpan w:val="2"/>
            <w:vAlign w:val="top"/>
          </w:tcPr>
          <w:p>
            <w:pPr>
              <w:spacing w:line="440" w:lineRule="exact"/>
              <w:jc w:val="center"/>
              <w:rPr>
                <w:rFonts w:hint="eastAsia" w:ascii="宋体" w:hAnsi="宋体" w:eastAsia="宋体" w:cs="宋体"/>
                <w:color w:val="auto"/>
                <w:sz w:val="21"/>
                <w:szCs w:val="21"/>
                <w:highlight w:val="none"/>
              </w:rPr>
            </w:pPr>
          </w:p>
        </w:tc>
        <w:tc>
          <w:tcPr>
            <w:tcW w:w="1206" w:type="dxa"/>
            <w:gridSpan w:val="3"/>
            <w:vAlign w:val="top"/>
          </w:tcPr>
          <w:p>
            <w:pPr>
              <w:spacing w:line="440" w:lineRule="exact"/>
              <w:jc w:val="center"/>
              <w:rPr>
                <w:rFonts w:hint="eastAsia" w:ascii="宋体" w:hAnsi="宋体" w:eastAsia="宋体" w:cs="宋体"/>
                <w:color w:val="auto"/>
                <w:sz w:val="21"/>
                <w:szCs w:val="21"/>
                <w:highlight w:val="none"/>
              </w:rPr>
            </w:pPr>
          </w:p>
        </w:tc>
        <w:tc>
          <w:tcPr>
            <w:tcW w:w="1206" w:type="dxa"/>
            <w:tcBorders>
              <w:right w:val="single" w:color="auto" w:sz="8" w:space="0"/>
            </w:tcBorders>
            <w:vAlign w:val="top"/>
          </w:tcPr>
          <w:p>
            <w:pPr>
              <w:spacing w:line="44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Borders>
              <w:left w:val="single" w:color="auto" w:sz="8" w:space="0"/>
            </w:tcBorders>
            <w:vAlign w:val="top"/>
          </w:tcPr>
          <w:p>
            <w:pPr>
              <w:spacing w:line="440" w:lineRule="exact"/>
              <w:jc w:val="center"/>
              <w:rPr>
                <w:rFonts w:hint="eastAsia" w:ascii="宋体" w:hAnsi="宋体" w:eastAsia="宋体" w:cs="宋体"/>
                <w:color w:val="auto"/>
                <w:sz w:val="21"/>
                <w:szCs w:val="21"/>
                <w:highlight w:val="none"/>
              </w:rPr>
            </w:pPr>
          </w:p>
        </w:tc>
        <w:tc>
          <w:tcPr>
            <w:tcW w:w="1608" w:type="dxa"/>
            <w:vAlign w:val="top"/>
          </w:tcPr>
          <w:p>
            <w:pPr>
              <w:spacing w:line="440" w:lineRule="exact"/>
              <w:jc w:val="center"/>
              <w:rPr>
                <w:rFonts w:hint="eastAsia" w:ascii="宋体" w:hAnsi="宋体" w:eastAsia="宋体" w:cs="宋体"/>
                <w:color w:val="auto"/>
                <w:sz w:val="21"/>
                <w:szCs w:val="21"/>
                <w:highlight w:val="none"/>
              </w:rPr>
            </w:pPr>
          </w:p>
        </w:tc>
        <w:tc>
          <w:tcPr>
            <w:tcW w:w="1608" w:type="dxa"/>
            <w:gridSpan w:val="3"/>
            <w:vAlign w:val="top"/>
          </w:tcPr>
          <w:p>
            <w:pPr>
              <w:spacing w:line="440" w:lineRule="exact"/>
              <w:jc w:val="center"/>
              <w:rPr>
                <w:rFonts w:hint="eastAsia" w:ascii="宋体" w:hAnsi="宋体" w:eastAsia="宋体" w:cs="宋体"/>
                <w:color w:val="auto"/>
                <w:sz w:val="21"/>
                <w:szCs w:val="21"/>
                <w:highlight w:val="none"/>
              </w:rPr>
            </w:pPr>
          </w:p>
        </w:tc>
        <w:tc>
          <w:tcPr>
            <w:tcW w:w="1608" w:type="dxa"/>
            <w:gridSpan w:val="2"/>
            <w:vAlign w:val="top"/>
          </w:tcPr>
          <w:p>
            <w:pPr>
              <w:spacing w:line="440" w:lineRule="exact"/>
              <w:jc w:val="center"/>
              <w:rPr>
                <w:rFonts w:hint="eastAsia" w:ascii="宋体" w:hAnsi="宋体" w:eastAsia="宋体" w:cs="宋体"/>
                <w:color w:val="auto"/>
                <w:sz w:val="21"/>
                <w:szCs w:val="21"/>
                <w:highlight w:val="none"/>
              </w:rPr>
            </w:pPr>
          </w:p>
        </w:tc>
        <w:tc>
          <w:tcPr>
            <w:tcW w:w="1206" w:type="dxa"/>
            <w:gridSpan w:val="3"/>
            <w:vAlign w:val="top"/>
          </w:tcPr>
          <w:p>
            <w:pPr>
              <w:spacing w:line="440" w:lineRule="exact"/>
              <w:jc w:val="center"/>
              <w:rPr>
                <w:rFonts w:hint="eastAsia" w:ascii="宋体" w:hAnsi="宋体" w:eastAsia="宋体" w:cs="宋体"/>
                <w:color w:val="auto"/>
                <w:sz w:val="21"/>
                <w:szCs w:val="21"/>
                <w:highlight w:val="none"/>
              </w:rPr>
            </w:pPr>
          </w:p>
        </w:tc>
        <w:tc>
          <w:tcPr>
            <w:tcW w:w="1206" w:type="dxa"/>
            <w:tcBorders>
              <w:right w:val="single" w:color="auto" w:sz="8" w:space="0"/>
            </w:tcBorders>
            <w:vAlign w:val="top"/>
          </w:tcPr>
          <w:p>
            <w:pPr>
              <w:spacing w:line="44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Borders>
              <w:left w:val="single" w:color="auto" w:sz="8" w:space="0"/>
              <w:bottom w:val="single" w:color="auto" w:sz="8" w:space="0"/>
            </w:tcBorders>
            <w:vAlign w:val="top"/>
          </w:tcPr>
          <w:p>
            <w:pPr>
              <w:spacing w:line="440" w:lineRule="exact"/>
              <w:jc w:val="center"/>
              <w:rPr>
                <w:rFonts w:hint="eastAsia" w:ascii="宋体" w:hAnsi="宋体" w:eastAsia="宋体" w:cs="宋体"/>
                <w:color w:val="auto"/>
                <w:sz w:val="21"/>
                <w:szCs w:val="21"/>
                <w:highlight w:val="none"/>
              </w:rPr>
            </w:pPr>
          </w:p>
        </w:tc>
        <w:tc>
          <w:tcPr>
            <w:tcW w:w="1608" w:type="dxa"/>
            <w:tcBorders>
              <w:bottom w:val="single" w:color="auto" w:sz="8" w:space="0"/>
            </w:tcBorders>
            <w:vAlign w:val="top"/>
          </w:tcPr>
          <w:p>
            <w:pPr>
              <w:spacing w:line="440" w:lineRule="exact"/>
              <w:jc w:val="center"/>
              <w:rPr>
                <w:rFonts w:hint="eastAsia" w:ascii="宋体" w:hAnsi="宋体" w:eastAsia="宋体" w:cs="宋体"/>
                <w:color w:val="auto"/>
                <w:sz w:val="21"/>
                <w:szCs w:val="21"/>
                <w:highlight w:val="none"/>
              </w:rPr>
            </w:pPr>
          </w:p>
        </w:tc>
        <w:tc>
          <w:tcPr>
            <w:tcW w:w="1608" w:type="dxa"/>
            <w:gridSpan w:val="3"/>
            <w:tcBorders>
              <w:bottom w:val="single" w:color="auto" w:sz="8" w:space="0"/>
            </w:tcBorders>
            <w:vAlign w:val="top"/>
          </w:tcPr>
          <w:p>
            <w:pPr>
              <w:spacing w:line="440" w:lineRule="exact"/>
              <w:jc w:val="center"/>
              <w:rPr>
                <w:rFonts w:hint="eastAsia" w:ascii="宋体" w:hAnsi="宋体" w:eastAsia="宋体" w:cs="宋体"/>
                <w:color w:val="auto"/>
                <w:sz w:val="21"/>
                <w:szCs w:val="21"/>
                <w:highlight w:val="none"/>
              </w:rPr>
            </w:pPr>
          </w:p>
        </w:tc>
        <w:tc>
          <w:tcPr>
            <w:tcW w:w="1608" w:type="dxa"/>
            <w:gridSpan w:val="2"/>
            <w:tcBorders>
              <w:bottom w:val="single" w:color="auto" w:sz="8" w:space="0"/>
            </w:tcBorders>
            <w:vAlign w:val="top"/>
          </w:tcPr>
          <w:p>
            <w:pPr>
              <w:spacing w:line="440" w:lineRule="exact"/>
              <w:jc w:val="center"/>
              <w:rPr>
                <w:rFonts w:hint="eastAsia" w:ascii="宋体" w:hAnsi="宋体" w:eastAsia="宋体" w:cs="宋体"/>
                <w:color w:val="auto"/>
                <w:sz w:val="21"/>
                <w:szCs w:val="21"/>
                <w:highlight w:val="none"/>
              </w:rPr>
            </w:pPr>
          </w:p>
        </w:tc>
        <w:tc>
          <w:tcPr>
            <w:tcW w:w="1206" w:type="dxa"/>
            <w:gridSpan w:val="3"/>
            <w:tcBorders>
              <w:bottom w:val="single" w:color="auto" w:sz="8" w:space="0"/>
            </w:tcBorders>
            <w:vAlign w:val="top"/>
          </w:tcPr>
          <w:p>
            <w:pPr>
              <w:spacing w:line="440" w:lineRule="exact"/>
              <w:jc w:val="center"/>
              <w:rPr>
                <w:rFonts w:hint="eastAsia" w:ascii="宋体" w:hAnsi="宋体" w:eastAsia="宋体" w:cs="宋体"/>
                <w:color w:val="auto"/>
                <w:sz w:val="21"/>
                <w:szCs w:val="21"/>
                <w:highlight w:val="none"/>
              </w:rPr>
            </w:pPr>
          </w:p>
        </w:tc>
        <w:tc>
          <w:tcPr>
            <w:tcW w:w="1206" w:type="dxa"/>
            <w:tcBorders>
              <w:bottom w:val="single" w:color="auto" w:sz="8" w:space="0"/>
              <w:right w:val="single" w:color="auto" w:sz="8" w:space="0"/>
            </w:tcBorders>
            <w:vAlign w:val="top"/>
          </w:tcPr>
          <w:p>
            <w:pPr>
              <w:spacing w:line="440" w:lineRule="exact"/>
              <w:jc w:val="center"/>
              <w:rPr>
                <w:rFonts w:hint="eastAsia" w:ascii="宋体" w:hAnsi="宋体" w:eastAsia="宋体" w:cs="宋体"/>
                <w:color w:val="auto"/>
                <w:sz w:val="21"/>
                <w:szCs w:val="21"/>
                <w:highlight w:val="none"/>
              </w:rPr>
            </w:pPr>
          </w:p>
        </w:tc>
      </w:tr>
    </w:tbl>
    <w:p>
      <w:pPr>
        <w:snapToGrid w:val="0"/>
        <w:spacing w:line="400" w:lineRule="exact"/>
        <w:outlineLvl w:val="4"/>
        <w:rPr>
          <w:rFonts w:hint="eastAsia" w:ascii="宋体" w:hAnsi="宋体" w:eastAsia="宋体" w:cs="宋体"/>
          <w:b/>
          <w:color w:val="auto"/>
          <w:sz w:val="21"/>
          <w:szCs w:val="21"/>
          <w:highlight w:val="none"/>
        </w:rPr>
      </w:pPr>
    </w:p>
    <w:p>
      <w:pPr>
        <w:widowControl/>
        <w:ind w:firstLine="2319" w:firstLineChars="1100"/>
        <w:jc w:val="left"/>
        <w:rPr>
          <w:rFonts w:hint="eastAsia" w:ascii="宋体" w:hAnsi="宋体" w:eastAsia="宋体" w:cs="宋体"/>
          <w:b/>
          <w:color w:val="auto"/>
          <w:kern w:val="0"/>
          <w:sz w:val="21"/>
          <w:szCs w:val="21"/>
          <w:highlight w:val="none"/>
        </w:rPr>
      </w:pPr>
    </w:p>
    <w:p>
      <w:pPr>
        <w:widowControl/>
        <w:ind w:firstLine="1470" w:firstLineChars="7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磋商供应商</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公章</w:t>
      </w:r>
      <w:r>
        <w:rPr>
          <w:rFonts w:hint="eastAsia" w:ascii="宋体" w:hAnsi="宋体" w:eastAsia="宋体" w:cs="宋体"/>
          <w:color w:val="auto"/>
          <w:sz w:val="21"/>
          <w:szCs w:val="21"/>
          <w:highlight w:val="none"/>
          <w:lang w:val="en-US" w:eastAsia="zh-CN"/>
        </w:rPr>
        <w:t>(CA签章)</w:t>
      </w:r>
      <w:r>
        <w:rPr>
          <w:rFonts w:hint="eastAsia" w:ascii="宋体" w:hAnsi="宋体" w:eastAsia="宋体" w:cs="宋体"/>
          <w:color w:val="auto"/>
          <w:sz w:val="21"/>
          <w:szCs w:val="21"/>
          <w:highlight w:val="none"/>
        </w:rPr>
        <w:t>，自然人</w:t>
      </w:r>
      <w:r>
        <w:rPr>
          <w:rFonts w:hint="eastAsia" w:ascii="宋体" w:hAnsi="宋体" w:eastAsia="宋体" w:cs="宋体"/>
          <w:color w:val="auto"/>
          <w:sz w:val="21"/>
          <w:szCs w:val="21"/>
          <w:highlight w:val="none"/>
          <w:lang w:eastAsia="zh-CN"/>
        </w:rPr>
        <w:t>签字或个人</w:t>
      </w:r>
      <w:r>
        <w:rPr>
          <w:rFonts w:hint="eastAsia" w:ascii="宋体" w:hAnsi="宋体" w:eastAsia="宋体" w:cs="宋体"/>
          <w:color w:val="auto"/>
          <w:sz w:val="21"/>
          <w:szCs w:val="21"/>
          <w:highlight w:val="none"/>
          <w:lang w:val="en-US" w:eastAsia="zh-CN"/>
        </w:rPr>
        <w:t>CA签章]</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rPr>
        <w:t xml:space="preserve">                                                       </w:t>
      </w:r>
    </w:p>
    <w:p>
      <w:pPr>
        <w:pStyle w:val="11"/>
        <w:spacing w:line="300" w:lineRule="exact"/>
        <w:ind w:left="2940" w:leftChars="1400" w:firstLine="630" w:firstLineChars="300"/>
        <w:rPr>
          <w:rFonts w:hint="eastAsia" w:ascii="宋体" w:hAnsi="宋体" w:eastAsia="宋体" w:cs="宋体"/>
          <w:color w:val="auto"/>
          <w:sz w:val="21"/>
          <w:szCs w:val="21"/>
          <w:highlight w:val="none"/>
        </w:rPr>
      </w:pPr>
    </w:p>
    <w:p>
      <w:pPr>
        <w:pStyle w:val="11"/>
        <w:spacing w:line="300" w:lineRule="exact"/>
        <w:ind w:firstLine="3479" w:firstLineChars="165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 xml:space="preserve"> </w:t>
      </w:r>
    </w:p>
    <w:p>
      <w:pPr>
        <w:pStyle w:val="11"/>
        <w:spacing w:line="300" w:lineRule="exact"/>
        <w:rPr>
          <w:rFonts w:hint="eastAsia" w:ascii="宋体" w:hAnsi="宋体" w:eastAsia="宋体" w:cs="宋体"/>
          <w:b/>
          <w:color w:val="auto"/>
          <w:sz w:val="21"/>
          <w:szCs w:val="21"/>
          <w:highlight w:val="none"/>
        </w:rPr>
      </w:pPr>
    </w:p>
    <w:p>
      <w:pPr>
        <w:snapToGrid w:val="0"/>
        <w:spacing w:line="300" w:lineRule="exact"/>
        <w:ind w:firstLine="4830" w:firstLineChars="23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日          期：</w:t>
      </w:r>
      <w:r>
        <w:rPr>
          <w:rFonts w:hint="eastAsia" w:ascii="宋体" w:hAnsi="宋体" w:eastAsia="宋体" w:cs="宋体"/>
          <w:color w:val="auto"/>
          <w:sz w:val="21"/>
          <w:szCs w:val="21"/>
          <w:highlight w:val="none"/>
          <w:u w:val="single"/>
        </w:rPr>
        <w:t xml:space="preserve">                              </w:t>
      </w:r>
    </w:p>
    <w:p>
      <w:pPr>
        <w:snapToGrid w:val="0"/>
        <w:spacing w:line="300" w:lineRule="exact"/>
        <w:ind w:firstLine="3570" w:firstLineChars="1700"/>
        <w:rPr>
          <w:rFonts w:hint="eastAsia" w:ascii="宋体" w:hAnsi="宋体" w:eastAsia="宋体" w:cs="宋体"/>
          <w:color w:val="auto"/>
          <w:sz w:val="21"/>
          <w:szCs w:val="21"/>
          <w:highlight w:val="none"/>
          <w:u w:val="single"/>
        </w:rPr>
      </w:pPr>
    </w:p>
    <w:p>
      <w:pPr>
        <w:pStyle w:val="8"/>
        <w:rPr>
          <w:rFonts w:hint="eastAsia" w:ascii="宋体" w:hAnsi="宋体" w:eastAsia="宋体" w:cs="宋体"/>
          <w:color w:val="auto"/>
          <w:sz w:val="21"/>
          <w:szCs w:val="21"/>
          <w:highlight w:val="none"/>
          <w:u w:val="single"/>
        </w:rPr>
      </w:pPr>
    </w:p>
    <w:p>
      <w:pPr>
        <w:pStyle w:val="8"/>
        <w:rPr>
          <w:rFonts w:hint="eastAsia" w:ascii="宋体" w:hAnsi="宋体" w:eastAsia="宋体" w:cs="宋体"/>
          <w:color w:val="auto"/>
          <w:sz w:val="21"/>
          <w:szCs w:val="21"/>
          <w:highlight w:val="none"/>
          <w:u w:val="single"/>
        </w:rPr>
      </w:pPr>
    </w:p>
    <w:p>
      <w:pPr>
        <w:pStyle w:val="8"/>
        <w:rPr>
          <w:rFonts w:hint="eastAsia" w:ascii="宋体" w:hAnsi="宋体" w:eastAsia="宋体" w:cs="宋体"/>
          <w:b/>
          <w:bCs/>
          <w:color w:val="auto"/>
          <w:sz w:val="21"/>
          <w:szCs w:val="21"/>
          <w:highlight w:val="none"/>
        </w:rPr>
      </w:pPr>
    </w:p>
    <w:p>
      <w:pPr>
        <w:pStyle w:val="8"/>
        <w:rPr>
          <w:rFonts w:hint="eastAsia" w:ascii="宋体" w:hAnsi="宋体" w:eastAsia="宋体" w:cs="宋体"/>
          <w:b/>
          <w:bCs/>
          <w:color w:val="auto"/>
          <w:sz w:val="21"/>
          <w:szCs w:val="21"/>
          <w:highlight w:val="none"/>
        </w:rPr>
      </w:pPr>
    </w:p>
    <w:p>
      <w:pPr>
        <w:pStyle w:val="8"/>
        <w:rPr>
          <w:rFonts w:hint="eastAsia" w:ascii="宋体" w:hAnsi="宋体" w:eastAsia="宋体" w:cs="宋体"/>
          <w:b/>
          <w:bCs/>
          <w:color w:val="auto"/>
          <w:sz w:val="21"/>
          <w:szCs w:val="21"/>
          <w:highlight w:val="none"/>
        </w:rPr>
      </w:pPr>
    </w:p>
    <w:p>
      <w:pPr>
        <w:pStyle w:val="8"/>
        <w:rPr>
          <w:rFonts w:hint="eastAsia" w:ascii="宋体" w:hAnsi="宋体" w:eastAsia="宋体" w:cs="宋体"/>
          <w:b/>
          <w:bCs/>
          <w:color w:val="auto"/>
          <w:sz w:val="21"/>
          <w:szCs w:val="21"/>
          <w:highlight w:val="none"/>
        </w:rPr>
      </w:pPr>
    </w:p>
    <w:p>
      <w:pPr>
        <w:pStyle w:val="8"/>
        <w:rPr>
          <w:rFonts w:hint="eastAsia" w:ascii="宋体" w:hAnsi="宋体" w:eastAsia="宋体" w:cs="宋体"/>
          <w:b/>
          <w:bCs/>
          <w:color w:val="auto"/>
          <w:sz w:val="21"/>
          <w:szCs w:val="21"/>
          <w:highlight w:val="none"/>
        </w:rPr>
      </w:pPr>
    </w:p>
    <w:p>
      <w:pPr>
        <w:pStyle w:val="8"/>
        <w:rPr>
          <w:rFonts w:hint="eastAsia" w:ascii="宋体" w:hAnsi="宋体" w:eastAsia="宋体" w:cs="宋体"/>
          <w:b/>
          <w:bCs/>
          <w:color w:val="auto"/>
          <w:sz w:val="21"/>
          <w:szCs w:val="21"/>
          <w:highlight w:val="none"/>
        </w:rPr>
      </w:pPr>
    </w:p>
    <w:p>
      <w:pPr>
        <w:pStyle w:val="8"/>
        <w:rPr>
          <w:rFonts w:hint="eastAsia" w:ascii="宋体" w:hAnsi="宋体" w:eastAsia="宋体" w:cs="宋体"/>
          <w:b/>
          <w:bCs/>
          <w:color w:val="auto"/>
          <w:sz w:val="21"/>
          <w:szCs w:val="21"/>
          <w:highlight w:val="none"/>
        </w:rPr>
      </w:pPr>
    </w:p>
    <w:p>
      <w:pPr>
        <w:pStyle w:val="11"/>
        <w:numPr>
          <w:ilvl w:val="0"/>
          <w:numId w:val="0"/>
        </w:numPr>
        <w:spacing w:line="340" w:lineRule="exact"/>
        <w:ind w:left="0" w:firstLine="0"/>
        <w:rPr>
          <w:rFonts w:hint="eastAsia" w:ascii="宋体" w:hAnsi="宋体" w:eastAsia="宋体" w:cs="宋体"/>
          <w:b/>
          <w:color w:val="auto"/>
          <w:sz w:val="24"/>
          <w:szCs w:val="24"/>
          <w:highlight w:val="none"/>
          <w:lang w:val="en-US" w:eastAsia="zh-CN"/>
        </w:rPr>
      </w:pPr>
    </w:p>
    <w:p>
      <w:pPr>
        <w:pStyle w:val="11"/>
        <w:numPr>
          <w:ilvl w:val="0"/>
          <w:numId w:val="0"/>
        </w:numPr>
        <w:spacing w:line="340" w:lineRule="exact"/>
        <w:ind w:left="0" w:firstLine="0"/>
        <w:rPr>
          <w:rFonts w:hint="eastAsia" w:ascii="宋体" w:hAnsi="宋体" w:eastAsia="宋体" w:cs="宋体"/>
          <w:b/>
          <w:color w:val="auto"/>
          <w:sz w:val="24"/>
          <w:szCs w:val="24"/>
          <w:highlight w:val="none"/>
          <w:lang w:val="en-US" w:eastAsia="zh-CN"/>
        </w:rPr>
      </w:pPr>
    </w:p>
    <w:p>
      <w:pPr>
        <w:pStyle w:val="11"/>
        <w:numPr>
          <w:ilvl w:val="0"/>
          <w:numId w:val="0"/>
        </w:numPr>
        <w:spacing w:line="340" w:lineRule="exact"/>
        <w:ind w:left="0" w:firstLine="0"/>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6.施工组织设计方案（必须提供）；</w:t>
      </w:r>
    </w:p>
    <w:p>
      <w:pPr>
        <w:snapToGrid w:val="0"/>
        <w:spacing w:line="400" w:lineRule="exact"/>
        <w:jc w:val="center"/>
        <w:outlineLvl w:val="4"/>
        <w:rPr>
          <w:rFonts w:hint="eastAsia" w:ascii="宋体" w:hAnsi="宋体" w:eastAsia="宋体" w:cs="宋体"/>
          <w:b/>
          <w:color w:val="auto"/>
          <w:sz w:val="21"/>
          <w:szCs w:val="21"/>
          <w:highlight w:val="none"/>
          <w:lang w:val="en-US" w:eastAsia="zh-CN"/>
        </w:rPr>
      </w:pPr>
    </w:p>
    <w:p>
      <w:pPr>
        <w:snapToGrid w:val="0"/>
        <w:spacing w:line="400" w:lineRule="exact"/>
        <w:jc w:val="center"/>
        <w:outlineLvl w:val="4"/>
        <w:rPr>
          <w:rFonts w:hint="eastAsia" w:ascii="宋体" w:hAnsi="宋体" w:eastAsia="宋体" w:cs="宋体"/>
          <w:b/>
          <w:color w:val="auto"/>
          <w:sz w:val="21"/>
          <w:szCs w:val="21"/>
          <w:highlight w:val="none"/>
          <w:lang w:eastAsia="zh-CN"/>
        </w:rPr>
      </w:pPr>
      <w:r>
        <w:rPr>
          <w:rFonts w:hint="eastAsia" w:ascii="宋体" w:hAnsi="宋体" w:eastAsia="宋体" w:cs="宋体"/>
          <w:b/>
          <w:color w:val="auto"/>
          <w:sz w:val="21"/>
          <w:szCs w:val="21"/>
          <w:highlight w:val="none"/>
          <w:lang w:val="en-US" w:eastAsia="zh-CN"/>
        </w:rPr>
        <w:t>施工组织设计方案</w:t>
      </w:r>
      <w:r>
        <w:rPr>
          <w:rFonts w:hint="eastAsia" w:ascii="宋体" w:hAnsi="宋体" w:eastAsia="宋体" w:cs="宋体"/>
          <w:b/>
          <w:color w:val="auto"/>
          <w:sz w:val="21"/>
          <w:szCs w:val="21"/>
          <w:highlight w:val="none"/>
          <w:lang w:eastAsia="zh-CN"/>
        </w:rPr>
        <w:t>（</w:t>
      </w:r>
      <w:r>
        <w:rPr>
          <w:rFonts w:hint="eastAsia" w:ascii="宋体" w:hAnsi="宋体" w:eastAsia="宋体" w:cs="宋体"/>
          <w:b/>
          <w:color w:val="auto"/>
          <w:sz w:val="21"/>
          <w:szCs w:val="21"/>
          <w:highlight w:val="none"/>
          <w:lang w:val="en-US" w:eastAsia="zh-CN"/>
        </w:rPr>
        <w:t>格式</w:t>
      </w:r>
      <w:r>
        <w:rPr>
          <w:rFonts w:hint="eastAsia" w:ascii="宋体" w:hAnsi="宋体" w:eastAsia="宋体" w:cs="宋体"/>
          <w:b/>
          <w:color w:val="auto"/>
          <w:sz w:val="21"/>
          <w:szCs w:val="21"/>
          <w:highlight w:val="none"/>
          <w:lang w:eastAsia="zh-CN"/>
        </w:rPr>
        <w:t>）</w:t>
      </w:r>
    </w:p>
    <w:p>
      <w:pPr>
        <w:snapToGrid w:val="0"/>
        <w:spacing w:line="400" w:lineRule="exact"/>
        <w:jc w:val="center"/>
        <w:outlineLvl w:val="4"/>
        <w:rPr>
          <w:rFonts w:hint="eastAsia" w:ascii="宋体" w:hAnsi="宋体" w:eastAsia="宋体" w:cs="宋体"/>
          <w:b/>
          <w:color w:val="auto"/>
          <w:sz w:val="21"/>
          <w:szCs w:val="21"/>
          <w:highlight w:val="none"/>
        </w:rPr>
      </w:pPr>
    </w:p>
    <w:p>
      <w:pPr>
        <w:pStyle w:val="27"/>
        <w:spacing w:line="300" w:lineRule="exact"/>
        <w:ind w:firstLine="425"/>
        <w:rPr>
          <w:rFonts w:hint="eastAsia" w:ascii="宋体" w:hAnsi="宋体" w:eastAsia="宋体" w:cs="宋体"/>
          <w:color w:val="auto"/>
          <w:sz w:val="21"/>
          <w:szCs w:val="21"/>
          <w:highlight w:val="none"/>
        </w:rPr>
      </w:pPr>
    </w:p>
    <w:p>
      <w:pPr>
        <w:pStyle w:val="27"/>
        <w:spacing w:line="300" w:lineRule="exact"/>
        <w:ind w:firstLine="42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  </w:t>
      </w:r>
      <w:r>
        <w:rPr>
          <w:rFonts w:hint="eastAsia" w:ascii="宋体" w:hAnsi="宋体" w:eastAsia="宋体" w:cs="宋体"/>
          <w:color w:val="auto"/>
          <w:sz w:val="21"/>
          <w:szCs w:val="21"/>
          <w:highlight w:val="none"/>
          <w:lang w:val="en-US" w:eastAsia="zh-CN"/>
        </w:rPr>
        <w:t>供应商</w:t>
      </w:r>
      <w:r>
        <w:rPr>
          <w:rFonts w:hint="eastAsia" w:ascii="宋体" w:hAnsi="宋体" w:eastAsia="宋体" w:cs="宋体"/>
          <w:color w:val="auto"/>
          <w:sz w:val="21"/>
          <w:szCs w:val="21"/>
          <w:highlight w:val="none"/>
        </w:rPr>
        <w:t>编制施工组织设计的要求：</w:t>
      </w:r>
    </w:p>
    <w:p>
      <w:pPr>
        <w:pStyle w:val="27"/>
        <w:spacing w:line="300" w:lineRule="exact"/>
        <w:ind w:firstLine="42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编制时应按以下章顺序采用文字并结合图表形式进行说明：</w:t>
      </w:r>
    </w:p>
    <w:p>
      <w:pPr>
        <w:pStyle w:val="27"/>
        <w:numPr>
          <w:ilvl w:val="0"/>
          <w:numId w:val="0"/>
        </w:numPr>
        <w:spacing w:line="300" w:lineRule="exact"/>
        <w:ind w:left="0" w:leftChars="0" w:firstLine="425" w:firstLineChars="0"/>
        <w:jc w:val="left"/>
        <w:rPr>
          <w:rFonts w:hint="eastAsia" w:ascii="宋体" w:hAnsi="宋体" w:eastAsia="宋体" w:cs="宋体"/>
          <w:color w:val="auto"/>
          <w:sz w:val="21"/>
          <w:szCs w:val="21"/>
          <w:highlight w:val="none"/>
        </w:rPr>
      </w:pPr>
      <w:r>
        <w:rPr>
          <w:rFonts w:hint="default" w:ascii="Times New Roman" w:hAnsi="Times New Roman" w:eastAsia="宋体" w:cs="Times New Roman"/>
          <w:color w:val="auto"/>
          <w:kern w:val="0"/>
          <w:sz w:val="21"/>
          <w:szCs w:val="21"/>
          <w:highlight w:val="none"/>
          <w:lang w:val="en-US" w:eastAsia="zh-CN" w:bidi="ar-SA"/>
        </w:rPr>
        <w:t>第一章</w:t>
      </w:r>
      <w:r>
        <w:rPr>
          <w:rFonts w:hint="eastAsia" w:ascii="Times New Roman" w:hAnsi="Times New Roman" w:cs="Times New Roman"/>
          <w:color w:val="auto"/>
          <w:kern w:val="0"/>
          <w:sz w:val="21"/>
          <w:szCs w:val="21"/>
          <w:highlight w:val="none"/>
          <w:lang w:val="en-US" w:eastAsia="zh-CN" w:bidi="ar-SA"/>
        </w:rPr>
        <w:t xml:space="preserve">  </w:t>
      </w:r>
      <w:r>
        <w:rPr>
          <w:rFonts w:hint="eastAsia" w:ascii="宋体" w:hAnsi="宋体" w:eastAsia="宋体" w:cs="宋体"/>
          <w:color w:val="auto"/>
          <w:sz w:val="21"/>
          <w:szCs w:val="21"/>
          <w:highlight w:val="none"/>
        </w:rPr>
        <w:t>总体概述；</w:t>
      </w:r>
    </w:p>
    <w:p>
      <w:pPr>
        <w:pStyle w:val="27"/>
        <w:numPr>
          <w:ilvl w:val="0"/>
          <w:numId w:val="0"/>
        </w:numPr>
        <w:spacing w:line="300" w:lineRule="exact"/>
        <w:ind w:left="0" w:leftChars="0" w:firstLine="425" w:firstLineChars="0"/>
        <w:jc w:val="left"/>
        <w:rPr>
          <w:rFonts w:hint="eastAsia" w:ascii="宋体" w:hAnsi="宋体" w:eastAsia="宋体" w:cs="宋体"/>
          <w:color w:val="auto"/>
          <w:sz w:val="21"/>
          <w:szCs w:val="21"/>
          <w:highlight w:val="none"/>
        </w:rPr>
      </w:pPr>
      <w:r>
        <w:rPr>
          <w:rFonts w:hint="default" w:ascii="Times New Roman" w:hAnsi="Times New Roman" w:eastAsia="宋体" w:cs="Times New Roman"/>
          <w:color w:val="auto"/>
          <w:kern w:val="0"/>
          <w:sz w:val="21"/>
          <w:szCs w:val="21"/>
          <w:highlight w:val="none"/>
          <w:lang w:val="en-US" w:eastAsia="zh-CN" w:bidi="ar-SA"/>
        </w:rPr>
        <w:t>第二章</w:t>
      </w:r>
      <w:r>
        <w:rPr>
          <w:rFonts w:hint="eastAsia" w:ascii="Times New Roman" w:hAnsi="Times New Roman" w:cs="Times New Roman"/>
          <w:color w:val="auto"/>
          <w:kern w:val="0"/>
          <w:sz w:val="21"/>
          <w:szCs w:val="21"/>
          <w:highlight w:val="none"/>
          <w:lang w:val="en-US" w:eastAsia="zh-CN" w:bidi="ar-SA"/>
        </w:rPr>
        <w:t xml:space="preserve">  </w:t>
      </w:r>
      <w:r>
        <w:rPr>
          <w:rFonts w:hint="eastAsia" w:ascii="宋体" w:hAnsi="宋体" w:eastAsia="宋体" w:cs="宋体"/>
          <w:color w:val="auto"/>
          <w:sz w:val="21"/>
          <w:szCs w:val="21"/>
          <w:highlight w:val="none"/>
        </w:rPr>
        <w:t>主要施工方法；</w:t>
      </w:r>
    </w:p>
    <w:p>
      <w:pPr>
        <w:pStyle w:val="27"/>
        <w:numPr>
          <w:ilvl w:val="0"/>
          <w:numId w:val="0"/>
        </w:numPr>
        <w:spacing w:line="300" w:lineRule="exact"/>
        <w:ind w:left="0" w:leftChars="0" w:firstLine="425" w:firstLineChars="0"/>
        <w:jc w:val="left"/>
        <w:rPr>
          <w:rFonts w:hint="eastAsia" w:ascii="宋体" w:hAnsi="宋体" w:eastAsia="宋体" w:cs="宋体"/>
          <w:color w:val="auto"/>
          <w:sz w:val="21"/>
          <w:szCs w:val="21"/>
          <w:highlight w:val="none"/>
        </w:rPr>
      </w:pPr>
      <w:r>
        <w:rPr>
          <w:rFonts w:hint="default" w:ascii="Times New Roman" w:hAnsi="Times New Roman" w:eastAsia="宋体" w:cs="Times New Roman"/>
          <w:color w:val="auto"/>
          <w:kern w:val="0"/>
          <w:sz w:val="21"/>
          <w:szCs w:val="21"/>
          <w:highlight w:val="none"/>
          <w:lang w:val="en-US" w:eastAsia="zh-CN" w:bidi="ar-SA"/>
        </w:rPr>
        <w:t>第三章</w:t>
      </w:r>
      <w:r>
        <w:rPr>
          <w:rFonts w:hint="eastAsia" w:ascii="Times New Roman" w:hAnsi="Times New Roman" w:cs="Times New Roman"/>
          <w:color w:val="auto"/>
          <w:kern w:val="0"/>
          <w:sz w:val="21"/>
          <w:szCs w:val="21"/>
          <w:highlight w:val="none"/>
          <w:lang w:val="en-US" w:eastAsia="zh-CN" w:bidi="ar-SA"/>
        </w:rPr>
        <w:t xml:space="preserve">  </w:t>
      </w:r>
      <w:r>
        <w:rPr>
          <w:rFonts w:hint="eastAsia" w:ascii="宋体" w:hAnsi="宋体" w:eastAsia="宋体" w:cs="宋体"/>
          <w:color w:val="auto"/>
          <w:sz w:val="21"/>
          <w:szCs w:val="21"/>
          <w:highlight w:val="none"/>
        </w:rPr>
        <w:t>施工进度、施工进度计划和各阶段进度的保证措施；</w:t>
      </w:r>
    </w:p>
    <w:p>
      <w:pPr>
        <w:pStyle w:val="27"/>
        <w:numPr>
          <w:ilvl w:val="0"/>
          <w:numId w:val="0"/>
        </w:numPr>
        <w:spacing w:line="300" w:lineRule="exact"/>
        <w:ind w:left="0" w:leftChars="0" w:firstLine="425" w:firstLineChars="0"/>
        <w:jc w:val="left"/>
        <w:rPr>
          <w:rFonts w:hint="eastAsia" w:ascii="宋体" w:hAnsi="宋体" w:eastAsia="宋体" w:cs="宋体"/>
          <w:color w:val="auto"/>
          <w:sz w:val="21"/>
          <w:szCs w:val="21"/>
          <w:highlight w:val="none"/>
        </w:rPr>
      </w:pPr>
      <w:r>
        <w:rPr>
          <w:rFonts w:hint="default" w:ascii="Times New Roman" w:hAnsi="Times New Roman" w:eastAsia="宋体" w:cs="Times New Roman"/>
          <w:color w:val="auto"/>
          <w:kern w:val="0"/>
          <w:sz w:val="21"/>
          <w:szCs w:val="21"/>
          <w:highlight w:val="none"/>
          <w:lang w:val="en-US" w:eastAsia="zh-CN" w:bidi="ar-SA"/>
        </w:rPr>
        <w:t>第四章</w:t>
      </w:r>
      <w:r>
        <w:rPr>
          <w:rFonts w:hint="eastAsia" w:ascii="Times New Roman" w:hAnsi="Times New Roman" w:cs="Times New Roman"/>
          <w:color w:val="auto"/>
          <w:kern w:val="0"/>
          <w:sz w:val="21"/>
          <w:szCs w:val="21"/>
          <w:highlight w:val="none"/>
          <w:lang w:val="en-US" w:eastAsia="zh-CN" w:bidi="ar-SA"/>
        </w:rPr>
        <w:t xml:space="preserve">  </w:t>
      </w:r>
      <w:r>
        <w:rPr>
          <w:rFonts w:hint="eastAsia" w:ascii="宋体" w:hAnsi="宋体" w:eastAsia="宋体" w:cs="宋体"/>
          <w:color w:val="auto"/>
          <w:sz w:val="21"/>
          <w:szCs w:val="21"/>
          <w:highlight w:val="none"/>
        </w:rPr>
        <w:t>劳动力和材料投入计划及其保证措施；</w:t>
      </w:r>
    </w:p>
    <w:p>
      <w:pPr>
        <w:pStyle w:val="27"/>
        <w:numPr>
          <w:ilvl w:val="0"/>
          <w:numId w:val="0"/>
        </w:numPr>
        <w:spacing w:line="300" w:lineRule="exact"/>
        <w:ind w:left="0" w:leftChars="0" w:firstLine="425" w:firstLineChars="0"/>
        <w:jc w:val="left"/>
        <w:rPr>
          <w:rFonts w:hint="eastAsia" w:ascii="宋体" w:hAnsi="宋体" w:eastAsia="宋体" w:cs="宋体"/>
          <w:color w:val="auto"/>
          <w:sz w:val="21"/>
          <w:szCs w:val="21"/>
          <w:highlight w:val="none"/>
        </w:rPr>
      </w:pPr>
      <w:r>
        <w:rPr>
          <w:rFonts w:hint="default" w:ascii="Times New Roman" w:hAnsi="Times New Roman" w:eastAsia="宋体" w:cs="Times New Roman"/>
          <w:color w:val="auto"/>
          <w:kern w:val="0"/>
          <w:sz w:val="21"/>
          <w:szCs w:val="21"/>
          <w:highlight w:val="none"/>
          <w:lang w:val="en-US" w:eastAsia="zh-CN" w:bidi="ar-SA"/>
        </w:rPr>
        <w:t>第五章</w:t>
      </w:r>
      <w:r>
        <w:rPr>
          <w:rFonts w:hint="eastAsia" w:ascii="Times New Roman" w:hAnsi="Times New Roman" w:cs="Times New Roman"/>
          <w:color w:val="auto"/>
          <w:kern w:val="0"/>
          <w:sz w:val="21"/>
          <w:szCs w:val="21"/>
          <w:highlight w:val="none"/>
          <w:lang w:val="en-US" w:eastAsia="zh-CN" w:bidi="ar-SA"/>
        </w:rPr>
        <w:t xml:space="preserve">  </w:t>
      </w:r>
      <w:r>
        <w:rPr>
          <w:rFonts w:hint="eastAsia" w:ascii="宋体" w:hAnsi="宋体" w:eastAsia="宋体" w:cs="宋体"/>
          <w:color w:val="auto"/>
          <w:sz w:val="21"/>
          <w:szCs w:val="21"/>
          <w:highlight w:val="none"/>
        </w:rPr>
        <w:t>施工平面布置和临时设施布置；</w:t>
      </w:r>
    </w:p>
    <w:p>
      <w:pPr>
        <w:pStyle w:val="27"/>
        <w:numPr>
          <w:ilvl w:val="0"/>
          <w:numId w:val="0"/>
        </w:numPr>
        <w:spacing w:line="300" w:lineRule="exact"/>
        <w:ind w:left="0" w:leftChars="0" w:firstLine="425" w:firstLineChars="0"/>
        <w:jc w:val="left"/>
        <w:rPr>
          <w:rFonts w:hint="eastAsia" w:ascii="宋体" w:hAnsi="宋体" w:eastAsia="宋体" w:cs="宋体"/>
          <w:color w:val="auto"/>
          <w:sz w:val="21"/>
          <w:szCs w:val="21"/>
          <w:highlight w:val="none"/>
        </w:rPr>
      </w:pPr>
      <w:r>
        <w:rPr>
          <w:rFonts w:hint="default" w:ascii="Times New Roman" w:hAnsi="Times New Roman" w:eastAsia="宋体" w:cs="Times New Roman"/>
          <w:color w:val="auto"/>
          <w:kern w:val="0"/>
          <w:sz w:val="21"/>
          <w:szCs w:val="21"/>
          <w:highlight w:val="none"/>
          <w:lang w:val="en-US" w:eastAsia="zh-CN" w:bidi="ar-SA"/>
        </w:rPr>
        <w:t>第六章</w:t>
      </w:r>
      <w:r>
        <w:rPr>
          <w:rFonts w:hint="eastAsia" w:ascii="Times New Roman" w:hAnsi="Times New Roman" w:cs="Times New Roman"/>
          <w:color w:val="auto"/>
          <w:kern w:val="0"/>
          <w:sz w:val="21"/>
          <w:szCs w:val="21"/>
          <w:highlight w:val="none"/>
          <w:lang w:val="en-US" w:eastAsia="zh-CN" w:bidi="ar-SA"/>
        </w:rPr>
        <w:t xml:space="preserve">  </w:t>
      </w:r>
      <w:r>
        <w:rPr>
          <w:rFonts w:hint="eastAsia" w:ascii="宋体" w:hAnsi="宋体" w:eastAsia="宋体" w:cs="宋体"/>
          <w:color w:val="auto"/>
          <w:sz w:val="21"/>
          <w:szCs w:val="21"/>
          <w:highlight w:val="none"/>
        </w:rPr>
        <w:t>关键施工技术、工艺及工程实施的重点、难点和解决方案；</w:t>
      </w:r>
    </w:p>
    <w:p>
      <w:pPr>
        <w:pStyle w:val="27"/>
        <w:numPr>
          <w:ilvl w:val="0"/>
          <w:numId w:val="0"/>
        </w:numPr>
        <w:spacing w:line="300" w:lineRule="exact"/>
        <w:ind w:left="0" w:leftChars="0" w:firstLine="425" w:firstLineChars="0"/>
        <w:jc w:val="left"/>
        <w:rPr>
          <w:rFonts w:hint="eastAsia" w:ascii="宋体" w:hAnsi="宋体" w:eastAsia="宋体" w:cs="宋体"/>
          <w:color w:val="auto"/>
          <w:sz w:val="21"/>
          <w:szCs w:val="21"/>
          <w:highlight w:val="none"/>
        </w:rPr>
      </w:pPr>
      <w:r>
        <w:rPr>
          <w:rFonts w:hint="default" w:ascii="Times New Roman" w:hAnsi="Times New Roman" w:eastAsia="宋体" w:cs="Times New Roman"/>
          <w:color w:val="auto"/>
          <w:kern w:val="0"/>
          <w:sz w:val="21"/>
          <w:szCs w:val="21"/>
          <w:highlight w:val="none"/>
          <w:lang w:val="en-US" w:eastAsia="zh-CN" w:bidi="ar-SA"/>
        </w:rPr>
        <w:t>第七章</w:t>
      </w:r>
      <w:r>
        <w:rPr>
          <w:rFonts w:hint="eastAsia" w:ascii="Times New Roman" w:hAnsi="Times New Roman" w:cs="Times New Roman"/>
          <w:color w:val="auto"/>
          <w:kern w:val="0"/>
          <w:sz w:val="21"/>
          <w:szCs w:val="21"/>
          <w:highlight w:val="none"/>
          <w:lang w:val="en-US" w:eastAsia="zh-CN" w:bidi="ar-SA"/>
        </w:rPr>
        <w:t xml:space="preserve">  </w:t>
      </w:r>
      <w:r>
        <w:rPr>
          <w:rFonts w:hint="eastAsia" w:ascii="宋体" w:hAnsi="宋体" w:eastAsia="宋体" w:cs="宋体"/>
          <w:color w:val="auto"/>
          <w:sz w:val="21"/>
          <w:szCs w:val="21"/>
          <w:highlight w:val="none"/>
        </w:rPr>
        <w:t>安全文明施工措施；</w:t>
      </w:r>
    </w:p>
    <w:p>
      <w:pPr>
        <w:pStyle w:val="27"/>
        <w:numPr>
          <w:ilvl w:val="0"/>
          <w:numId w:val="0"/>
        </w:numPr>
        <w:spacing w:line="300" w:lineRule="exact"/>
        <w:ind w:left="0" w:leftChars="0" w:firstLine="425" w:firstLineChars="0"/>
        <w:jc w:val="left"/>
        <w:rPr>
          <w:rFonts w:hint="eastAsia" w:ascii="宋体" w:hAnsi="宋体" w:eastAsia="宋体" w:cs="宋体"/>
          <w:color w:val="auto"/>
          <w:sz w:val="21"/>
          <w:szCs w:val="21"/>
          <w:highlight w:val="none"/>
        </w:rPr>
      </w:pPr>
      <w:r>
        <w:rPr>
          <w:rFonts w:hint="default" w:ascii="Times New Roman" w:hAnsi="Times New Roman" w:eastAsia="宋体" w:cs="Times New Roman"/>
          <w:color w:val="auto"/>
          <w:kern w:val="0"/>
          <w:sz w:val="21"/>
          <w:szCs w:val="21"/>
          <w:highlight w:val="none"/>
          <w:lang w:val="en-US" w:eastAsia="zh-CN" w:bidi="ar-SA"/>
        </w:rPr>
        <w:t>第八章</w:t>
      </w:r>
      <w:r>
        <w:rPr>
          <w:rFonts w:hint="eastAsia" w:ascii="Times New Roman" w:hAnsi="Times New Roman" w:cs="Times New Roman"/>
          <w:color w:val="auto"/>
          <w:kern w:val="0"/>
          <w:sz w:val="21"/>
          <w:szCs w:val="21"/>
          <w:highlight w:val="none"/>
          <w:lang w:val="en-US" w:eastAsia="zh-CN" w:bidi="ar-SA"/>
        </w:rPr>
        <w:t xml:space="preserve">  </w:t>
      </w:r>
      <w:r>
        <w:rPr>
          <w:rFonts w:hint="eastAsia" w:ascii="宋体" w:hAnsi="宋体" w:eastAsia="宋体" w:cs="宋体"/>
          <w:color w:val="auto"/>
          <w:sz w:val="21"/>
          <w:szCs w:val="21"/>
          <w:highlight w:val="none"/>
          <w:lang w:eastAsia="zh-CN"/>
        </w:rPr>
        <w:t>质量保证与承诺；</w:t>
      </w:r>
    </w:p>
    <w:p>
      <w:pPr>
        <w:pStyle w:val="27"/>
        <w:numPr>
          <w:ilvl w:val="0"/>
          <w:numId w:val="0"/>
        </w:numPr>
        <w:spacing w:line="300" w:lineRule="exact"/>
        <w:ind w:left="0" w:leftChars="0" w:firstLine="425" w:firstLineChars="0"/>
        <w:jc w:val="left"/>
        <w:rPr>
          <w:rFonts w:hint="eastAsia" w:ascii="宋体" w:hAnsi="宋体" w:eastAsia="宋体" w:cs="宋体"/>
          <w:color w:val="auto"/>
          <w:sz w:val="21"/>
          <w:szCs w:val="21"/>
          <w:highlight w:val="none"/>
        </w:rPr>
      </w:pPr>
      <w:r>
        <w:rPr>
          <w:rFonts w:hint="default" w:ascii="Times New Roman" w:hAnsi="Times New Roman" w:eastAsia="宋体" w:cs="Times New Roman"/>
          <w:color w:val="auto"/>
          <w:kern w:val="0"/>
          <w:sz w:val="21"/>
          <w:szCs w:val="21"/>
          <w:highlight w:val="none"/>
          <w:lang w:val="en-US" w:eastAsia="zh-CN" w:bidi="ar-SA"/>
        </w:rPr>
        <w:t>第九章</w:t>
      </w:r>
      <w:r>
        <w:rPr>
          <w:rFonts w:hint="eastAsia" w:ascii="Times New Roman" w:hAnsi="Times New Roman" w:cs="Times New Roman"/>
          <w:color w:val="auto"/>
          <w:kern w:val="0"/>
          <w:sz w:val="21"/>
          <w:szCs w:val="21"/>
          <w:highlight w:val="none"/>
          <w:lang w:val="en-US" w:eastAsia="zh-CN" w:bidi="ar-SA"/>
        </w:rPr>
        <w:t xml:space="preserve">  </w:t>
      </w:r>
      <w:r>
        <w:rPr>
          <w:rFonts w:hint="eastAsia" w:ascii="宋体" w:hAnsi="宋体" w:eastAsia="宋体" w:cs="宋体"/>
          <w:color w:val="auto"/>
          <w:sz w:val="21"/>
          <w:szCs w:val="21"/>
          <w:highlight w:val="none"/>
        </w:rPr>
        <w:t>新技术应用与承诺</w:t>
      </w:r>
      <w:r>
        <w:rPr>
          <w:rFonts w:hint="eastAsia" w:ascii="宋体" w:hAnsi="宋体" w:cs="宋体"/>
          <w:color w:val="auto"/>
          <w:sz w:val="21"/>
          <w:szCs w:val="21"/>
          <w:highlight w:val="none"/>
          <w:lang w:eastAsia="zh-CN"/>
        </w:rPr>
        <w:t>。</w:t>
      </w:r>
    </w:p>
    <w:p>
      <w:pPr>
        <w:pStyle w:val="27"/>
        <w:spacing w:line="300" w:lineRule="exact"/>
        <w:ind w:firstLine="42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  </w:t>
      </w:r>
      <w:r>
        <w:rPr>
          <w:rFonts w:hint="eastAsia" w:ascii="宋体" w:hAnsi="宋体" w:eastAsia="宋体" w:cs="宋体"/>
          <w:color w:val="auto"/>
          <w:spacing w:val="-15"/>
          <w:sz w:val="21"/>
          <w:szCs w:val="21"/>
          <w:highlight w:val="none"/>
        </w:rPr>
        <w:t xml:space="preserve"> </w:t>
      </w:r>
      <w:r>
        <w:rPr>
          <w:rFonts w:hint="eastAsia" w:ascii="宋体" w:hAnsi="宋体" w:eastAsia="宋体" w:cs="宋体"/>
          <w:color w:val="auto"/>
          <w:sz w:val="21"/>
          <w:szCs w:val="21"/>
          <w:highlight w:val="none"/>
        </w:rPr>
        <w:t>施工组织设计除采用文字表述外可附下列图表，图表及格式要求附后。</w:t>
      </w:r>
    </w:p>
    <w:p>
      <w:pPr>
        <w:pStyle w:val="27"/>
        <w:spacing w:line="300" w:lineRule="exact"/>
        <w:ind w:firstLine="42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附表一</w:t>
      </w:r>
      <w:r>
        <w:rPr>
          <w:rFonts w:hint="eastAsia" w:ascii="宋体" w:hAnsi="宋体" w:eastAsia="宋体" w:cs="宋体"/>
          <w:color w:val="auto"/>
          <w:sz w:val="21"/>
          <w:szCs w:val="21"/>
          <w:highlight w:val="none"/>
        </w:rPr>
        <w:tab/>
      </w:r>
      <w:r>
        <w:rPr>
          <w:rFonts w:hint="eastAsia" w:ascii="宋体" w:hAnsi="宋体" w:eastAsia="宋体" w:cs="宋体"/>
          <w:color w:val="auto"/>
          <w:spacing w:val="-1"/>
          <w:sz w:val="21"/>
          <w:szCs w:val="21"/>
          <w:highlight w:val="none"/>
        </w:rPr>
        <w:t>拟</w:t>
      </w:r>
      <w:r>
        <w:rPr>
          <w:rFonts w:hint="eastAsia" w:ascii="宋体" w:hAnsi="宋体" w:eastAsia="宋体" w:cs="宋体"/>
          <w:color w:val="auto"/>
          <w:sz w:val="21"/>
          <w:szCs w:val="21"/>
          <w:highlight w:val="none"/>
        </w:rPr>
        <w:t>投入本项目的主要施工设备表</w:t>
      </w:r>
    </w:p>
    <w:p>
      <w:pPr>
        <w:pStyle w:val="27"/>
        <w:spacing w:line="300" w:lineRule="exact"/>
        <w:ind w:firstLine="42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附表二</w:t>
      </w:r>
      <w:r>
        <w:rPr>
          <w:rFonts w:hint="eastAsia" w:ascii="宋体" w:hAnsi="宋体" w:eastAsia="宋体" w:cs="宋体"/>
          <w:color w:val="auto"/>
          <w:sz w:val="21"/>
          <w:szCs w:val="21"/>
          <w:highlight w:val="none"/>
        </w:rPr>
        <w:tab/>
      </w:r>
      <w:r>
        <w:rPr>
          <w:rFonts w:hint="eastAsia" w:ascii="宋体" w:hAnsi="宋体" w:eastAsia="宋体" w:cs="宋体"/>
          <w:color w:val="auto"/>
          <w:spacing w:val="-1"/>
          <w:sz w:val="21"/>
          <w:szCs w:val="21"/>
          <w:highlight w:val="none"/>
        </w:rPr>
        <w:t>拟</w:t>
      </w:r>
      <w:r>
        <w:rPr>
          <w:rFonts w:hint="eastAsia" w:ascii="宋体" w:hAnsi="宋体" w:eastAsia="宋体" w:cs="宋体"/>
          <w:color w:val="auto"/>
          <w:sz w:val="21"/>
          <w:szCs w:val="21"/>
          <w:highlight w:val="none"/>
        </w:rPr>
        <w:t>配备本项目的试验和检测仪器设备表</w:t>
      </w:r>
    </w:p>
    <w:p>
      <w:pPr>
        <w:pStyle w:val="27"/>
        <w:spacing w:line="300" w:lineRule="exact"/>
        <w:ind w:firstLine="42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附表三</w:t>
      </w:r>
      <w:r>
        <w:rPr>
          <w:rFonts w:hint="eastAsia" w:ascii="宋体" w:hAnsi="宋体" w:eastAsia="宋体" w:cs="宋体"/>
          <w:color w:val="auto"/>
          <w:sz w:val="21"/>
          <w:szCs w:val="21"/>
          <w:highlight w:val="none"/>
        </w:rPr>
        <w:tab/>
      </w:r>
      <w:r>
        <w:rPr>
          <w:rFonts w:hint="eastAsia" w:ascii="宋体" w:hAnsi="宋体" w:eastAsia="宋体" w:cs="宋体"/>
          <w:color w:val="auto"/>
          <w:spacing w:val="-1"/>
          <w:sz w:val="21"/>
          <w:szCs w:val="21"/>
          <w:highlight w:val="none"/>
        </w:rPr>
        <w:t>劳</w:t>
      </w:r>
      <w:r>
        <w:rPr>
          <w:rFonts w:hint="eastAsia" w:ascii="宋体" w:hAnsi="宋体" w:eastAsia="宋体" w:cs="宋体"/>
          <w:color w:val="auto"/>
          <w:sz w:val="21"/>
          <w:szCs w:val="21"/>
          <w:highlight w:val="none"/>
        </w:rPr>
        <w:t>动力计划表</w:t>
      </w:r>
    </w:p>
    <w:p>
      <w:pPr>
        <w:pStyle w:val="27"/>
        <w:spacing w:line="300" w:lineRule="exact"/>
        <w:ind w:firstLine="42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附表四</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计划开、竣工日期和施工进度网络图</w:t>
      </w:r>
      <w:r>
        <w:rPr>
          <w:rFonts w:hint="eastAsia" w:ascii="宋体" w:hAnsi="宋体" w:eastAsia="宋体" w:cs="宋体"/>
          <w:color w:val="auto"/>
          <w:sz w:val="21"/>
          <w:szCs w:val="21"/>
          <w:highlight w:val="none"/>
          <w:lang w:val="en-US" w:eastAsia="zh-CN"/>
        </w:rPr>
        <w:t>或</w:t>
      </w:r>
      <w:r>
        <w:rPr>
          <w:rFonts w:hint="eastAsia" w:ascii="宋体" w:hAnsi="宋体" w:eastAsia="宋体" w:cs="宋体"/>
          <w:color w:val="auto"/>
          <w:sz w:val="21"/>
          <w:szCs w:val="21"/>
          <w:highlight w:val="none"/>
        </w:rPr>
        <w:t>横道图</w:t>
      </w:r>
    </w:p>
    <w:p>
      <w:pPr>
        <w:pStyle w:val="27"/>
        <w:spacing w:line="300" w:lineRule="exact"/>
        <w:ind w:firstLine="42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附表五</w:t>
      </w:r>
      <w:r>
        <w:rPr>
          <w:rFonts w:hint="eastAsia" w:ascii="宋体" w:hAnsi="宋体" w:eastAsia="宋体" w:cs="宋体"/>
          <w:color w:val="auto"/>
          <w:sz w:val="21"/>
          <w:szCs w:val="21"/>
          <w:highlight w:val="none"/>
        </w:rPr>
        <w:tab/>
      </w:r>
      <w:r>
        <w:rPr>
          <w:rFonts w:hint="eastAsia" w:ascii="宋体" w:hAnsi="宋体" w:eastAsia="宋体" w:cs="宋体"/>
          <w:color w:val="auto"/>
          <w:spacing w:val="-1"/>
          <w:sz w:val="21"/>
          <w:szCs w:val="21"/>
          <w:highlight w:val="none"/>
        </w:rPr>
        <w:t>施</w:t>
      </w:r>
      <w:r>
        <w:rPr>
          <w:rFonts w:hint="eastAsia" w:ascii="宋体" w:hAnsi="宋体" w:eastAsia="宋体" w:cs="宋体"/>
          <w:color w:val="auto"/>
          <w:sz w:val="21"/>
          <w:szCs w:val="21"/>
          <w:highlight w:val="none"/>
        </w:rPr>
        <w:t>工总平面图</w:t>
      </w:r>
    </w:p>
    <w:p>
      <w:pPr>
        <w:pStyle w:val="27"/>
        <w:spacing w:line="300" w:lineRule="exact"/>
        <w:ind w:firstLine="425"/>
        <w:rPr>
          <w:rFonts w:hint="eastAsia" w:ascii="宋体" w:hAnsi="宋体" w:eastAsia="宋体" w:cs="宋体"/>
          <w:color w:val="auto"/>
          <w:sz w:val="21"/>
          <w:szCs w:val="21"/>
          <w:highlight w:val="none"/>
        </w:rPr>
      </w:pPr>
      <w:r>
        <w:rPr>
          <w:rFonts w:hint="eastAsia" w:ascii="宋体" w:hAnsi="宋体" w:eastAsia="宋体" w:cs="宋体"/>
          <w:color w:val="auto"/>
          <w:position w:val="-2"/>
          <w:sz w:val="21"/>
          <w:szCs w:val="21"/>
          <w:highlight w:val="none"/>
        </w:rPr>
        <w:t>附表六</w:t>
      </w:r>
      <w:r>
        <w:rPr>
          <w:rFonts w:hint="eastAsia" w:ascii="宋体" w:hAnsi="宋体" w:eastAsia="宋体" w:cs="宋体"/>
          <w:color w:val="auto"/>
          <w:position w:val="-2"/>
          <w:sz w:val="21"/>
          <w:szCs w:val="21"/>
          <w:highlight w:val="none"/>
        </w:rPr>
        <w:tab/>
      </w:r>
      <w:r>
        <w:rPr>
          <w:rFonts w:hint="eastAsia" w:ascii="宋体" w:hAnsi="宋体" w:eastAsia="宋体" w:cs="宋体"/>
          <w:color w:val="auto"/>
          <w:spacing w:val="-1"/>
          <w:position w:val="-2"/>
          <w:sz w:val="21"/>
          <w:szCs w:val="21"/>
          <w:highlight w:val="none"/>
        </w:rPr>
        <w:t>临</w:t>
      </w:r>
      <w:r>
        <w:rPr>
          <w:rFonts w:hint="eastAsia" w:ascii="宋体" w:hAnsi="宋体" w:eastAsia="宋体" w:cs="宋体"/>
          <w:color w:val="auto"/>
          <w:position w:val="-2"/>
          <w:sz w:val="21"/>
          <w:szCs w:val="21"/>
          <w:highlight w:val="none"/>
        </w:rPr>
        <w:t>时用地表</w:t>
      </w:r>
    </w:p>
    <w:p>
      <w:pPr>
        <w:rPr>
          <w:rFonts w:hint="eastAsia" w:ascii="宋体" w:hAnsi="宋体" w:eastAsia="宋体" w:cs="宋体"/>
          <w:color w:val="auto"/>
          <w:sz w:val="21"/>
          <w:szCs w:val="21"/>
          <w:highlight w:val="none"/>
        </w:rPr>
      </w:pPr>
      <w:bookmarkStart w:id="1982" w:name="_Toc418751905"/>
      <w:bookmarkStart w:id="1983" w:name="_Toc483317224"/>
      <w:bookmarkStart w:id="1984" w:name="_Toc418752351"/>
    </w:p>
    <w:p>
      <w:pP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附表一：拟投入本项目的主要施工设备表</w:t>
      </w:r>
      <w:bookmarkEnd w:id="1982"/>
      <w:bookmarkEnd w:id="1983"/>
      <w:bookmarkEnd w:id="1984"/>
    </w:p>
    <w:tbl>
      <w:tblPr>
        <w:tblStyle w:val="19"/>
        <w:tblW w:w="9648" w:type="dxa"/>
        <w:tblInd w:w="-5" w:type="dxa"/>
        <w:tblLayout w:type="fixed"/>
        <w:tblCellMar>
          <w:top w:w="0" w:type="dxa"/>
          <w:left w:w="0" w:type="dxa"/>
          <w:bottom w:w="0" w:type="dxa"/>
          <w:right w:w="0" w:type="dxa"/>
        </w:tblCellMar>
      </w:tblPr>
      <w:tblGrid>
        <w:gridCol w:w="734"/>
        <w:gridCol w:w="1198"/>
        <w:gridCol w:w="839"/>
        <w:gridCol w:w="1092"/>
        <w:gridCol w:w="741"/>
        <w:gridCol w:w="814"/>
        <w:gridCol w:w="1337"/>
        <w:gridCol w:w="965"/>
        <w:gridCol w:w="1164"/>
        <w:gridCol w:w="764"/>
      </w:tblGrid>
      <w:tr>
        <w:tblPrEx>
          <w:tblCellMar>
            <w:top w:w="0" w:type="dxa"/>
            <w:left w:w="0" w:type="dxa"/>
            <w:bottom w:w="0" w:type="dxa"/>
            <w:right w:w="0" w:type="dxa"/>
          </w:tblCellMar>
        </w:tblPrEx>
        <w:trPr>
          <w:trHeight w:val="827" w:hRule="atLeast"/>
        </w:trPr>
        <w:tc>
          <w:tcPr>
            <w:tcW w:w="734" w:type="dxa"/>
            <w:tcBorders>
              <w:top w:val="single" w:color="000000" w:sz="4" w:space="0"/>
              <w:left w:val="single" w:color="000000" w:sz="4" w:space="0"/>
              <w:bottom w:val="single" w:color="000000" w:sz="4" w:space="0"/>
              <w:right w:val="single" w:color="000000" w:sz="4" w:space="0"/>
            </w:tcBorders>
            <w:vAlign w:val="center"/>
          </w:tcPr>
          <w:p>
            <w:pPr>
              <w:pStyle w:val="27"/>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1198" w:type="dxa"/>
            <w:tcBorders>
              <w:top w:val="single" w:color="000000" w:sz="4" w:space="0"/>
              <w:left w:val="nil"/>
              <w:bottom w:val="single" w:color="000000" w:sz="4" w:space="0"/>
              <w:right w:val="single" w:color="000000" w:sz="4" w:space="0"/>
            </w:tcBorders>
            <w:vAlign w:val="center"/>
          </w:tcPr>
          <w:p>
            <w:pPr>
              <w:pStyle w:val="27"/>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设备名称</w:t>
            </w:r>
          </w:p>
        </w:tc>
        <w:tc>
          <w:tcPr>
            <w:tcW w:w="839" w:type="dxa"/>
            <w:tcBorders>
              <w:top w:val="single" w:color="000000" w:sz="4" w:space="0"/>
              <w:left w:val="nil"/>
              <w:bottom w:val="single" w:color="000000" w:sz="4" w:space="0"/>
              <w:right w:val="single" w:color="000000" w:sz="4" w:space="0"/>
            </w:tcBorders>
            <w:vAlign w:val="center"/>
          </w:tcPr>
          <w:p>
            <w:pPr>
              <w:pStyle w:val="27"/>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型号</w:t>
            </w:r>
          </w:p>
          <w:p>
            <w:pPr>
              <w:pStyle w:val="27"/>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规格</w:t>
            </w:r>
          </w:p>
        </w:tc>
        <w:tc>
          <w:tcPr>
            <w:tcW w:w="1092" w:type="dxa"/>
            <w:tcBorders>
              <w:top w:val="single" w:color="000000" w:sz="4" w:space="0"/>
              <w:left w:val="nil"/>
              <w:bottom w:val="single" w:color="000000" w:sz="4" w:space="0"/>
              <w:right w:val="single" w:color="000000" w:sz="4" w:space="0"/>
            </w:tcBorders>
            <w:vAlign w:val="center"/>
          </w:tcPr>
          <w:p>
            <w:pPr>
              <w:pStyle w:val="27"/>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数量</w:t>
            </w:r>
          </w:p>
        </w:tc>
        <w:tc>
          <w:tcPr>
            <w:tcW w:w="741" w:type="dxa"/>
            <w:tcBorders>
              <w:top w:val="single" w:color="000000" w:sz="4" w:space="0"/>
              <w:left w:val="nil"/>
              <w:bottom w:val="single" w:color="000000" w:sz="4" w:space="0"/>
              <w:right w:val="single" w:color="000000" w:sz="4" w:space="0"/>
            </w:tcBorders>
            <w:vAlign w:val="center"/>
          </w:tcPr>
          <w:p>
            <w:pPr>
              <w:pStyle w:val="27"/>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国别</w:t>
            </w:r>
          </w:p>
          <w:p>
            <w:pPr>
              <w:pStyle w:val="27"/>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产地</w:t>
            </w:r>
          </w:p>
        </w:tc>
        <w:tc>
          <w:tcPr>
            <w:tcW w:w="814" w:type="dxa"/>
            <w:tcBorders>
              <w:top w:val="single" w:color="000000" w:sz="4" w:space="0"/>
              <w:left w:val="nil"/>
              <w:bottom w:val="single" w:color="000000" w:sz="4" w:space="0"/>
              <w:right w:val="single" w:color="000000" w:sz="4" w:space="0"/>
            </w:tcBorders>
            <w:vAlign w:val="center"/>
          </w:tcPr>
          <w:p>
            <w:pPr>
              <w:pStyle w:val="27"/>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制造</w:t>
            </w:r>
          </w:p>
          <w:p>
            <w:pPr>
              <w:pStyle w:val="27"/>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年份</w:t>
            </w:r>
          </w:p>
        </w:tc>
        <w:tc>
          <w:tcPr>
            <w:tcW w:w="1337" w:type="dxa"/>
            <w:tcBorders>
              <w:top w:val="single" w:color="000000" w:sz="4" w:space="0"/>
              <w:left w:val="nil"/>
              <w:bottom w:val="single" w:color="000000" w:sz="4" w:space="0"/>
              <w:right w:val="single" w:color="000000" w:sz="4" w:space="0"/>
            </w:tcBorders>
            <w:vAlign w:val="center"/>
          </w:tcPr>
          <w:p>
            <w:pPr>
              <w:pStyle w:val="27"/>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额定功率</w:t>
            </w:r>
          </w:p>
          <w:p>
            <w:pPr>
              <w:pStyle w:val="27"/>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（KW）</w:t>
            </w:r>
          </w:p>
        </w:tc>
        <w:tc>
          <w:tcPr>
            <w:tcW w:w="965" w:type="dxa"/>
            <w:tcBorders>
              <w:top w:val="single" w:color="000000" w:sz="4" w:space="0"/>
              <w:left w:val="nil"/>
              <w:bottom w:val="single" w:color="000000" w:sz="4" w:space="0"/>
              <w:right w:val="single" w:color="000000" w:sz="4" w:space="0"/>
            </w:tcBorders>
            <w:vAlign w:val="center"/>
          </w:tcPr>
          <w:p>
            <w:pPr>
              <w:pStyle w:val="27"/>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生产</w:t>
            </w:r>
          </w:p>
          <w:p>
            <w:pPr>
              <w:pStyle w:val="27"/>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能力</w:t>
            </w:r>
          </w:p>
        </w:tc>
        <w:tc>
          <w:tcPr>
            <w:tcW w:w="1164" w:type="dxa"/>
            <w:tcBorders>
              <w:top w:val="single" w:color="000000" w:sz="4" w:space="0"/>
              <w:left w:val="nil"/>
              <w:bottom w:val="single" w:color="000000" w:sz="4" w:space="0"/>
              <w:right w:val="single" w:color="000000" w:sz="4" w:space="0"/>
            </w:tcBorders>
            <w:vAlign w:val="center"/>
          </w:tcPr>
          <w:p>
            <w:pPr>
              <w:pStyle w:val="27"/>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用于施</w:t>
            </w:r>
          </w:p>
          <w:p>
            <w:pPr>
              <w:pStyle w:val="27"/>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工部位</w:t>
            </w:r>
          </w:p>
        </w:tc>
        <w:tc>
          <w:tcPr>
            <w:tcW w:w="764" w:type="dxa"/>
            <w:tcBorders>
              <w:top w:val="single" w:color="000000" w:sz="4" w:space="0"/>
              <w:left w:val="nil"/>
              <w:bottom w:val="single" w:color="000000" w:sz="4" w:space="0"/>
              <w:right w:val="single" w:color="000000" w:sz="4" w:space="0"/>
            </w:tcBorders>
            <w:vAlign w:val="center"/>
          </w:tcPr>
          <w:p>
            <w:pPr>
              <w:pStyle w:val="27"/>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tc>
      </w:tr>
      <w:tr>
        <w:tblPrEx>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1198"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839"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1092"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741"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814"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1337"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965"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1164"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764"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1198"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839"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1092"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741"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814"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1337"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965"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1164"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764"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1198"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839"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1092"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741"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814"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1337"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965"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1164"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764"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1198"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839"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1092"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741"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814"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1337"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965"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1164"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764"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r>
    </w:tbl>
    <w:p>
      <w:pPr>
        <w:pStyle w:val="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p>
      <w:pPr>
        <w:rPr>
          <w:rFonts w:hint="eastAsia" w:ascii="宋体" w:hAnsi="宋体" w:eastAsia="宋体" w:cs="宋体"/>
          <w:b/>
          <w:color w:val="auto"/>
          <w:sz w:val="21"/>
          <w:szCs w:val="21"/>
          <w:highlight w:val="none"/>
        </w:rPr>
      </w:pPr>
      <w:bookmarkStart w:id="1985" w:name="_Toc418752352"/>
      <w:bookmarkStart w:id="1986" w:name="_Toc418751906"/>
      <w:bookmarkStart w:id="1987" w:name="_Toc483317225"/>
      <w:r>
        <w:rPr>
          <w:rFonts w:hint="eastAsia" w:ascii="宋体" w:hAnsi="宋体" w:eastAsia="宋体" w:cs="宋体"/>
          <w:b/>
          <w:color w:val="auto"/>
          <w:sz w:val="21"/>
          <w:szCs w:val="21"/>
          <w:highlight w:val="none"/>
        </w:rPr>
        <w:t>附表二：拟配备本项目的试验和检测仪器设备表</w:t>
      </w:r>
      <w:bookmarkEnd w:id="1985"/>
      <w:bookmarkEnd w:id="1986"/>
      <w:bookmarkEnd w:id="1987"/>
    </w:p>
    <w:tbl>
      <w:tblPr>
        <w:tblStyle w:val="19"/>
        <w:tblW w:w="9648" w:type="dxa"/>
        <w:tblInd w:w="-5" w:type="dxa"/>
        <w:tblLayout w:type="fixed"/>
        <w:tblCellMar>
          <w:top w:w="0" w:type="dxa"/>
          <w:left w:w="0" w:type="dxa"/>
          <w:bottom w:w="0" w:type="dxa"/>
          <w:right w:w="0" w:type="dxa"/>
        </w:tblCellMar>
      </w:tblPr>
      <w:tblGrid>
        <w:gridCol w:w="759"/>
        <w:gridCol w:w="1239"/>
        <w:gridCol w:w="866"/>
        <w:gridCol w:w="1129"/>
        <w:gridCol w:w="766"/>
        <w:gridCol w:w="841"/>
        <w:gridCol w:w="1382"/>
        <w:gridCol w:w="1885"/>
        <w:gridCol w:w="781"/>
      </w:tblGrid>
      <w:tr>
        <w:tblPrEx>
          <w:tblCellMar>
            <w:top w:w="0" w:type="dxa"/>
            <w:left w:w="0" w:type="dxa"/>
            <w:bottom w:w="0" w:type="dxa"/>
            <w:right w:w="0" w:type="dxa"/>
          </w:tblCellMar>
        </w:tblPrEx>
        <w:trPr>
          <w:trHeight w:val="889"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pStyle w:val="27"/>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1239" w:type="dxa"/>
            <w:tcBorders>
              <w:top w:val="single" w:color="000000" w:sz="4" w:space="0"/>
              <w:left w:val="nil"/>
              <w:bottom w:val="single" w:color="000000" w:sz="4" w:space="0"/>
              <w:right w:val="single" w:color="000000" w:sz="4" w:space="0"/>
            </w:tcBorders>
            <w:vAlign w:val="center"/>
          </w:tcPr>
          <w:p>
            <w:pPr>
              <w:pStyle w:val="27"/>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仪器设备</w:t>
            </w:r>
          </w:p>
          <w:p>
            <w:pPr>
              <w:pStyle w:val="27"/>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名称</w:t>
            </w:r>
          </w:p>
        </w:tc>
        <w:tc>
          <w:tcPr>
            <w:tcW w:w="866" w:type="dxa"/>
            <w:tcBorders>
              <w:top w:val="single" w:color="000000" w:sz="4" w:space="0"/>
              <w:left w:val="nil"/>
              <w:bottom w:val="single" w:color="000000" w:sz="4" w:space="0"/>
              <w:right w:val="single" w:color="000000" w:sz="4" w:space="0"/>
            </w:tcBorders>
            <w:vAlign w:val="center"/>
          </w:tcPr>
          <w:p>
            <w:pPr>
              <w:pStyle w:val="27"/>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型号</w:t>
            </w:r>
          </w:p>
          <w:p>
            <w:pPr>
              <w:pStyle w:val="27"/>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规格</w:t>
            </w:r>
          </w:p>
        </w:tc>
        <w:tc>
          <w:tcPr>
            <w:tcW w:w="1129" w:type="dxa"/>
            <w:tcBorders>
              <w:top w:val="single" w:color="000000" w:sz="4" w:space="0"/>
              <w:left w:val="nil"/>
              <w:bottom w:val="single" w:color="000000" w:sz="4" w:space="0"/>
              <w:right w:val="single" w:color="000000" w:sz="4" w:space="0"/>
            </w:tcBorders>
            <w:vAlign w:val="center"/>
          </w:tcPr>
          <w:p>
            <w:pPr>
              <w:pStyle w:val="27"/>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数量</w:t>
            </w:r>
          </w:p>
        </w:tc>
        <w:tc>
          <w:tcPr>
            <w:tcW w:w="766" w:type="dxa"/>
            <w:tcBorders>
              <w:top w:val="single" w:color="000000" w:sz="4" w:space="0"/>
              <w:left w:val="nil"/>
              <w:bottom w:val="single" w:color="000000" w:sz="4" w:space="0"/>
              <w:right w:val="single" w:color="000000" w:sz="4" w:space="0"/>
            </w:tcBorders>
            <w:vAlign w:val="center"/>
          </w:tcPr>
          <w:p>
            <w:pPr>
              <w:pStyle w:val="27"/>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国别</w:t>
            </w:r>
          </w:p>
          <w:p>
            <w:pPr>
              <w:pStyle w:val="27"/>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产地</w:t>
            </w:r>
          </w:p>
        </w:tc>
        <w:tc>
          <w:tcPr>
            <w:tcW w:w="841" w:type="dxa"/>
            <w:tcBorders>
              <w:top w:val="single" w:color="000000" w:sz="4" w:space="0"/>
              <w:left w:val="nil"/>
              <w:bottom w:val="single" w:color="000000" w:sz="4" w:space="0"/>
              <w:right w:val="single" w:color="000000" w:sz="4" w:space="0"/>
            </w:tcBorders>
            <w:vAlign w:val="center"/>
          </w:tcPr>
          <w:p>
            <w:pPr>
              <w:pStyle w:val="27"/>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制造</w:t>
            </w:r>
          </w:p>
          <w:p>
            <w:pPr>
              <w:pStyle w:val="27"/>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年份</w:t>
            </w:r>
          </w:p>
        </w:tc>
        <w:tc>
          <w:tcPr>
            <w:tcW w:w="1382" w:type="dxa"/>
            <w:tcBorders>
              <w:top w:val="single" w:color="000000" w:sz="4" w:space="0"/>
              <w:left w:val="nil"/>
              <w:bottom w:val="single" w:color="000000" w:sz="4" w:space="0"/>
              <w:right w:val="single" w:color="000000" w:sz="4" w:space="0"/>
            </w:tcBorders>
            <w:vAlign w:val="center"/>
          </w:tcPr>
          <w:p>
            <w:pPr>
              <w:pStyle w:val="27"/>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已使用</w:t>
            </w:r>
          </w:p>
          <w:p>
            <w:pPr>
              <w:pStyle w:val="27"/>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台时数</w:t>
            </w:r>
          </w:p>
        </w:tc>
        <w:tc>
          <w:tcPr>
            <w:tcW w:w="1885" w:type="dxa"/>
            <w:tcBorders>
              <w:top w:val="single" w:color="000000" w:sz="4" w:space="0"/>
              <w:left w:val="nil"/>
              <w:bottom w:val="single" w:color="000000" w:sz="4" w:space="0"/>
              <w:right w:val="single" w:color="000000" w:sz="4" w:space="0"/>
            </w:tcBorders>
            <w:vAlign w:val="center"/>
          </w:tcPr>
          <w:p>
            <w:pPr>
              <w:pStyle w:val="27"/>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用途</w:t>
            </w:r>
          </w:p>
        </w:tc>
        <w:tc>
          <w:tcPr>
            <w:tcW w:w="781" w:type="dxa"/>
            <w:tcBorders>
              <w:top w:val="single" w:color="000000" w:sz="4" w:space="0"/>
              <w:left w:val="nil"/>
              <w:bottom w:val="single" w:color="000000" w:sz="4" w:space="0"/>
              <w:right w:val="single" w:color="000000" w:sz="4" w:space="0"/>
            </w:tcBorders>
            <w:vAlign w:val="center"/>
          </w:tcPr>
          <w:p>
            <w:pPr>
              <w:pStyle w:val="27"/>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tc>
      </w:tr>
      <w:tr>
        <w:tblPrEx>
          <w:tblCellMar>
            <w:top w:w="0" w:type="dxa"/>
            <w:left w:w="0" w:type="dxa"/>
            <w:bottom w:w="0" w:type="dxa"/>
            <w:right w:w="0" w:type="dxa"/>
          </w:tblCellMar>
        </w:tblPrEx>
        <w:trPr>
          <w:trHeight w:val="450" w:hRule="atLeast"/>
        </w:trPr>
        <w:tc>
          <w:tcPr>
            <w:tcW w:w="759" w:type="dxa"/>
            <w:tcBorders>
              <w:top w:val="single" w:color="000000" w:sz="4" w:space="0"/>
              <w:left w:val="single" w:color="000000" w:sz="4" w:space="0"/>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1239"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866"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1129"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766"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841"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1382"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1885"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781"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450" w:hRule="atLeast"/>
        </w:trPr>
        <w:tc>
          <w:tcPr>
            <w:tcW w:w="759" w:type="dxa"/>
            <w:tcBorders>
              <w:top w:val="single" w:color="000000" w:sz="4" w:space="0"/>
              <w:left w:val="single" w:color="000000" w:sz="4" w:space="0"/>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1239"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866"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1129"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766"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841"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1382"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1885"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781"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450" w:hRule="atLeast"/>
        </w:trPr>
        <w:tc>
          <w:tcPr>
            <w:tcW w:w="759" w:type="dxa"/>
            <w:tcBorders>
              <w:top w:val="single" w:color="000000" w:sz="4" w:space="0"/>
              <w:left w:val="single" w:color="000000" w:sz="4" w:space="0"/>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1239"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866"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1129"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766"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841"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1382"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1885"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781"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450" w:hRule="atLeast"/>
        </w:trPr>
        <w:tc>
          <w:tcPr>
            <w:tcW w:w="759" w:type="dxa"/>
            <w:tcBorders>
              <w:top w:val="single" w:color="000000" w:sz="4" w:space="0"/>
              <w:left w:val="single" w:color="000000" w:sz="4" w:space="0"/>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1239"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866"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1129"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766"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841"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1382"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1885"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781"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r>
    </w:tbl>
    <w:p>
      <w:pPr>
        <w:pStyle w:val="27"/>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 xml:space="preserve"> </w:t>
      </w:r>
      <w:bookmarkStart w:id="1988" w:name="_Toc418752353"/>
      <w:bookmarkStart w:id="1989" w:name="_Toc418751907"/>
      <w:bookmarkStart w:id="1990" w:name="_Toc483317226"/>
      <w:r>
        <w:rPr>
          <w:rFonts w:hint="eastAsia" w:ascii="宋体" w:hAnsi="宋体" w:eastAsia="宋体" w:cs="宋体"/>
          <w:b/>
          <w:color w:val="auto"/>
          <w:sz w:val="21"/>
          <w:szCs w:val="21"/>
          <w:highlight w:val="none"/>
        </w:rPr>
        <w:t>附表三：劳动力计划表</w:t>
      </w:r>
      <w:bookmarkEnd w:id="1988"/>
      <w:bookmarkEnd w:id="1989"/>
      <w:bookmarkEnd w:id="1990"/>
    </w:p>
    <w:p>
      <w:pPr>
        <w:pStyle w:val="27"/>
        <w:jc w:val="righ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单位：人</w:t>
      </w:r>
    </w:p>
    <w:tbl>
      <w:tblPr>
        <w:tblStyle w:val="19"/>
        <w:tblW w:w="9648" w:type="dxa"/>
        <w:tblInd w:w="-5" w:type="dxa"/>
        <w:tblLayout w:type="fixed"/>
        <w:tblCellMar>
          <w:top w:w="0" w:type="dxa"/>
          <w:left w:w="0" w:type="dxa"/>
          <w:bottom w:w="0" w:type="dxa"/>
          <w:right w:w="0" w:type="dxa"/>
        </w:tblCellMar>
      </w:tblPr>
      <w:tblGrid>
        <w:gridCol w:w="938"/>
        <w:gridCol w:w="1478"/>
        <w:gridCol w:w="1204"/>
        <w:gridCol w:w="1206"/>
        <w:gridCol w:w="1204"/>
        <w:gridCol w:w="1206"/>
        <w:gridCol w:w="1204"/>
        <w:gridCol w:w="1208"/>
      </w:tblGrid>
      <w:tr>
        <w:tblPrEx>
          <w:tblCellMar>
            <w:top w:w="0" w:type="dxa"/>
            <w:left w:w="0" w:type="dxa"/>
            <w:bottom w:w="0" w:type="dxa"/>
            <w:right w:w="0" w:type="dxa"/>
          </w:tblCellMar>
        </w:tblPrEx>
        <w:trPr>
          <w:trHeight w:val="450" w:hRule="atLeast"/>
        </w:trPr>
        <w:tc>
          <w:tcPr>
            <w:tcW w:w="938" w:type="dxa"/>
            <w:tcBorders>
              <w:top w:val="single" w:color="000000" w:sz="4" w:space="0"/>
              <w:left w:val="single" w:color="000000" w:sz="4" w:space="0"/>
              <w:bottom w:val="single" w:color="000000" w:sz="4" w:space="0"/>
              <w:right w:val="single" w:color="000000" w:sz="4" w:space="0"/>
            </w:tcBorders>
            <w:vAlign w:val="center"/>
          </w:tcPr>
          <w:p>
            <w:pPr>
              <w:pStyle w:val="27"/>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工种</w:t>
            </w:r>
          </w:p>
        </w:tc>
        <w:tc>
          <w:tcPr>
            <w:tcW w:w="8710" w:type="dxa"/>
            <w:gridSpan w:val="7"/>
            <w:tcBorders>
              <w:top w:val="single" w:color="000000" w:sz="4" w:space="0"/>
              <w:left w:val="nil"/>
              <w:bottom w:val="single" w:color="000000" w:sz="4" w:space="0"/>
              <w:right w:val="single" w:color="000000" w:sz="4" w:space="0"/>
            </w:tcBorders>
            <w:vAlign w:val="center"/>
          </w:tcPr>
          <w:p>
            <w:pPr>
              <w:pStyle w:val="27"/>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按工程施工阶段投入劳动力情况</w:t>
            </w:r>
          </w:p>
        </w:tc>
      </w:tr>
      <w:tr>
        <w:tblPrEx>
          <w:tblCellMar>
            <w:top w:w="0" w:type="dxa"/>
            <w:left w:w="0" w:type="dxa"/>
            <w:bottom w:w="0" w:type="dxa"/>
            <w:right w:w="0" w:type="dxa"/>
          </w:tblCellMar>
        </w:tblPrEx>
        <w:trPr>
          <w:trHeight w:val="450" w:hRule="atLeast"/>
        </w:trPr>
        <w:tc>
          <w:tcPr>
            <w:tcW w:w="938" w:type="dxa"/>
            <w:tcBorders>
              <w:top w:val="single" w:color="000000" w:sz="4" w:space="0"/>
              <w:left w:val="single" w:color="000000" w:sz="4" w:space="0"/>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1478"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1204"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1206"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1204"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1206"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1204"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1208"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450" w:hRule="atLeast"/>
        </w:trPr>
        <w:tc>
          <w:tcPr>
            <w:tcW w:w="938" w:type="dxa"/>
            <w:tcBorders>
              <w:top w:val="single" w:color="000000" w:sz="4" w:space="0"/>
              <w:left w:val="single" w:color="000000" w:sz="4" w:space="0"/>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1478"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1204"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1206"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1204"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1206"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1204"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1208"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450" w:hRule="atLeast"/>
        </w:trPr>
        <w:tc>
          <w:tcPr>
            <w:tcW w:w="938" w:type="dxa"/>
            <w:tcBorders>
              <w:top w:val="single" w:color="000000" w:sz="4" w:space="0"/>
              <w:left w:val="single" w:color="000000" w:sz="4" w:space="0"/>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1478"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1204"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1206"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1204"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1206"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1204"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1208"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450" w:hRule="atLeast"/>
        </w:trPr>
        <w:tc>
          <w:tcPr>
            <w:tcW w:w="938" w:type="dxa"/>
            <w:tcBorders>
              <w:top w:val="single" w:color="000000" w:sz="4" w:space="0"/>
              <w:left w:val="single" w:color="000000" w:sz="4" w:space="0"/>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1478"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1204"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1206"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1204"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1206"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1204"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1208"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r>
    </w:tbl>
    <w:p>
      <w:pPr>
        <w:pStyle w:val="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p>
      <w:pPr>
        <w:rPr>
          <w:rFonts w:hint="eastAsia" w:ascii="宋体" w:hAnsi="宋体" w:eastAsia="宋体" w:cs="宋体"/>
          <w:b/>
          <w:color w:val="auto"/>
          <w:sz w:val="21"/>
          <w:szCs w:val="21"/>
          <w:highlight w:val="none"/>
        </w:rPr>
      </w:pPr>
      <w:bookmarkStart w:id="1991" w:name="_Toc418751908"/>
      <w:bookmarkStart w:id="1992" w:name="_Toc483317227"/>
      <w:bookmarkStart w:id="1993" w:name="_Toc418752354"/>
      <w:r>
        <w:rPr>
          <w:rFonts w:hint="eastAsia" w:ascii="宋体" w:hAnsi="宋体" w:eastAsia="宋体" w:cs="宋体"/>
          <w:b/>
          <w:color w:val="auto"/>
          <w:sz w:val="21"/>
          <w:szCs w:val="21"/>
          <w:highlight w:val="none"/>
        </w:rPr>
        <w:t>附表四：计划开、竣工日期和施工进度网络图</w:t>
      </w:r>
      <w:r>
        <w:rPr>
          <w:rFonts w:hint="eastAsia" w:ascii="宋体" w:hAnsi="宋体" w:eastAsia="宋体" w:cs="宋体"/>
          <w:b/>
          <w:color w:val="auto"/>
          <w:sz w:val="21"/>
          <w:szCs w:val="21"/>
          <w:highlight w:val="none"/>
          <w:lang w:val="en-US" w:eastAsia="zh-CN"/>
        </w:rPr>
        <w:t>或</w:t>
      </w:r>
      <w:r>
        <w:rPr>
          <w:rFonts w:hint="eastAsia" w:ascii="宋体" w:hAnsi="宋体" w:eastAsia="宋体" w:cs="宋体"/>
          <w:b/>
          <w:color w:val="auto"/>
          <w:sz w:val="21"/>
          <w:szCs w:val="21"/>
          <w:highlight w:val="none"/>
        </w:rPr>
        <w:t>横道图</w:t>
      </w:r>
      <w:bookmarkEnd w:id="1991"/>
      <w:bookmarkEnd w:id="1992"/>
      <w:bookmarkEnd w:id="1993"/>
    </w:p>
    <w:p>
      <w:pPr>
        <w:pStyle w:val="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p>
      <w:pPr>
        <w:pStyle w:val="27"/>
        <w:ind w:firstLine="424"/>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供应商</w:t>
      </w:r>
      <w:r>
        <w:rPr>
          <w:rFonts w:hint="eastAsia" w:ascii="宋体" w:hAnsi="宋体" w:eastAsia="宋体" w:cs="宋体"/>
          <w:color w:val="auto"/>
          <w:sz w:val="21"/>
          <w:szCs w:val="21"/>
          <w:highlight w:val="none"/>
        </w:rPr>
        <w:t>应递交施工进度网络图</w:t>
      </w:r>
      <w:r>
        <w:rPr>
          <w:rFonts w:hint="eastAsia" w:ascii="宋体" w:hAnsi="宋体" w:eastAsia="宋体" w:cs="宋体"/>
          <w:color w:val="auto"/>
          <w:sz w:val="21"/>
          <w:szCs w:val="21"/>
          <w:highlight w:val="none"/>
          <w:lang w:eastAsia="zh-CN"/>
        </w:rPr>
        <w:t>或</w:t>
      </w:r>
      <w:r>
        <w:rPr>
          <w:rFonts w:hint="eastAsia" w:ascii="宋体" w:hAnsi="宋体" w:eastAsia="宋体" w:cs="宋体"/>
          <w:color w:val="auto"/>
          <w:sz w:val="21"/>
          <w:szCs w:val="21"/>
          <w:highlight w:val="none"/>
        </w:rPr>
        <w:t>横道图</w:t>
      </w:r>
      <w:r>
        <w:rPr>
          <w:rFonts w:hint="eastAsia" w:ascii="宋体" w:hAnsi="宋体" w:eastAsia="宋体" w:cs="宋体"/>
          <w:color w:val="auto"/>
          <w:spacing w:val="1"/>
          <w:sz w:val="21"/>
          <w:szCs w:val="21"/>
          <w:highlight w:val="none"/>
        </w:rPr>
        <w:t>，说</w:t>
      </w:r>
      <w:r>
        <w:rPr>
          <w:rFonts w:hint="eastAsia" w:ascii="宋体" w:hAnsi="宋体" w:eastAsia="宋体" w:cs="宋体"/>
          <w:color w:val="auto"/>
          <w:spacing w:val="2"/>
          <w:sz w:val="21"/>
          <w:szCs w:val="21"/>
          <w:highlight w:val="none"/>
        </w:rPr>
        <w:t>明</w:t>
      </w:r>
      <w:r>
        <w:rPr>
          <w:rFonts w:hint="eastAsia" w:ascii="宋体" w:hAnsi="宋体" w:eastAsia="宋体" w:cs="宋体"/>
          <w:color w:val="auto"/>
          <w:spacing w:val="1"/>
          <w:sz w:val="21"/>
          <w:szCs w:val="21"/>
          <w:highlight w:val="none"/>
        </w:rPr>
        <w:t>按</w:t>
      </w:r>
      <w:r>
        <w:rPr>
          <w:rFonts w:hint="eastAsia" w:ascii="宋体" w:hAnsi="宋体" w:eastAsia="宋体" w:cs="宋体"/>
          <w:color w:val="auto"/>
          <w:spacing w:val="2"/>
          <w:sz w:val="21"/>
          <w:szCs w:val="21"/>
          <w:highlight w:val="none"/>
          <w:lang w:val="en-US" w:eastAsia="zh-CN"/>
        </w:rPr>
        <w:t>竞争性磋商</w:t>
      </w:r>
      <w:r>
        <w:rPr>
          <w:rFonts w:hint="eastAsia" w:ascii="宋体" w:hAnsi="宋体" w:eastAsia="宋体" w:cs="宋体"/>
          <w:color w:val="auto"/>
          <w:spacing w:val="1"/>
          <w:sz w:val="21"/>
          <w:szCs w:val="21"/>
          <w:highlight w:val="none"/>
        </w:rPr>
        <w:t>文</w:t>
      </w:r>
      <w:r>
        <w:rPr>
          <w:rFonts w:hint="eastAsia" w:ascii="宋体" w:hAnsi="宋体" w:eastAsia="宋体" w:cs="宋体"/>
          <w:color w:val="auto"/>
          <w:spacing w:val="2"/>
          <w:sz w:val="21"/>
          <w:szCs w:val="21"/>
          <w:highlight w:val="none"/>
        </w:rPr>
        <w:t>件</w:t>
      </w:r>
      <w:r>
        <w:rPr>
          <w:rFonts w:hint="eastAsia" w:ascii="宋体" w:hAnsi="宋体" w:eastAsia="宋体" w:cs="宋体"/>
          <w:color w:val="auto"/>
          <w:spacing w:val="1"/>
          <w:sz w:val="21"/>
          <w:szCs w:val="21"/>
          <w:highlight w:val="none"/>
        </w:rPr>
        <w:t>要</w:t>
      </w:r>
      <w:r>
        <w:rPr>
          <w:rFonts w:hint="eastAsia" w:ascii="宋体" w:hAnsi="宋体" w:eastAsia="宋体" w:cs="宋体"/>
          <w:color w:val="auto"/>
          <w:spacing w:val="2"/>
          <w:sz w:val="21"/>
          <w:szCs w:val="21"/>
          <w:highlight w:val="none"/>
        </w:rPr>
        <w:t>求</w:t>
      </w:r>
      <w:r>
        <w:rPr>
          <w:rFonts w:hint="eastAsia" w:ascii="宋体" w:hAnsi="宋体" w:eastAsia="宋体" w:cs="宋体"/>
          <w:color w:val="auto"/>
          <w:spacing w:val="1"/>
          <w:sz w:val="21"/>
          <w:szCs w:val="21"/>
          <w:highlight w:val="none"/>
        </w:rPr>
        <w:t>的计</w:t>
      </w:r>
      <w:r>
        <w:rPr>
          <w:rFonts w:hint="eastAsia" w:ascii="宋体" w:hAnsi="宋体" w:eastAsia="宋体" w:cs="宋体"/>
          <w:color w:val="auto"/>
          <w:spacing w:val="2"/>
          <w:sz w:val="21"/>
          <w:szCs w:val="21"/>
          <w:highlight w:val="none"/>
        </w:rPr>
        <w:t>划</w:t>
      </w:r>
      <w:r>
        <w:rPr>
          <w:rFonts w:hint="eastAsia" w:ascii="宋体" w:hAnsi="宋体" w:eastAsia="宋体" w:cs="宋体"/>
          <w:color w:val="auto"/>
          <w:spacing w:val="1"/>
          <w:sz w:val="21"/>
          <w:szCs w:val="21"/>
          <w:highlight w:val="none"/>
        </w:rPr>
        <w:t>工</w:t>
      </w:r>
      <w:r>
        <w:rPr>
          <w:rFonts w:hint="eastAsia" w:ascii="宋体" w:hAnsi="宋体" w:eastAsia="宋体" w:cs="宋体"/>
          <w:color w:val="auto"/>
          <w:spacing w:val="4"/>
          <w:sz w:val="21"/>
          <w:szCs w:val="21"/>
          <w:highlight w:val="none"/>
        </w:rPr>
        <w:t>期</w:t>
      </w:r>
      <w:r>
        <w:rPr>
          <w:rFonts w:hint="eastAsia" w:ascii="宋体" w:hAnsi="宋体" w:eastAsia="宋体" w:cs="宋体"/>
          <w:color w:val="auto"/>
          <w:spacing w:val="2"/>
          <w:sz w:val="21"/>
          <w:szCs w:val="21"/>
          <w:highlight w:val="none"/>
        </w:rPr>
        <w:t>进</w:t>
      </w:r>
      <w:r>
        <w:rPr>
          <w:rFonts w:hint="eastAsia" w:ascii="宋体" w:hAnsi="宋体" w:eastAsia="宋体" w:cs="宋体"/>
          <w:color w:val="auto"/>
          <w:spacing w:val="1"/>
          <w:sz w:val="21"/>
          <w:szCs w:val="21"/>
          <w:highlight w:val="none"/>
        </w:rPr>
        <w:t>行</w:t>
      </w:r>
      <w:r>
        <w:rPr>
          <w:rFonts w:hint="eastAsia" w:ascii="宋体" w:hAnsi="宋体" w:eastAsia="宋体" w:cs="宋体"/>
          <w:color w:val="auto"/>
          <w:sz w:val="21"/>
          <w:szCs w:val="21"/>
          <w:highlight w:val="none"/>
        </w:rPr>
        <w:t>施工的各个关键日期。</w:t>
      </w:r>
    </w:p>
    <w:p>
      <w:pPr>
        <w:pStyle w:val="27"/>
        <w:ind w:firstLine="424"/>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2.计划开工日期：</w:t>
      </w:r>
      <w:r>
        <w:rPr>
          <w:rFonts w:hint="eastAsia" w:ascii="宋体" w:hAnsi="宋体" w:eastAsia="宋体" w:cs="宋体"/>
          <w:color w:val="auto"/>
          <w:sz w:val="21"/>
          <w:szCs w:val="21"/>
          <w:highlight w:val="none"/>
          <w:lang w:val="en-US" w:eastAsia="zh-CN"/>
        </w:rPr>
        <w:t>自合同签订之日起至 年 月 日</w:t>
      </w:r>
      <w:r>
        <w:rPr>
          <w:rFonts w:hint="eastAsia" w:ascii="宋体" w:hAnsi="宋体" w:eastAsia="宋体" w:cs="宋体"/>
          <w:i w:val="0"/>
          <w:iCs w:val="0"/>
          <w:color w:val="auto"/>
          <w:sz w:val="21"/>
          <w:szCs w:val="21"/>
          <w:highlight w:val="none"/>
          <w:lang w:val="en-US" w:eastAsia="zh-CN"/>
        </w:rPr>
        <w:t>。</w:t>
      </w:r>
    </w:p>
    <w:p>
      <w:pPr>
        <w:pStyle w:val="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p>
      <w:pPr>
        <w:rPr>
          <w:rFonts w:hint="eastAsia" w:ascii="宋体" w:hAnsi="宋体" w:eastAsia="宋体" w:cs="宋体"/>
          <w:b/>
          <w:color w:val="auto"/>
          <w:sz w:val="21"/>
          <w:szCs w:val="21"/>
          <w:highlight w:val="none"/>
        </w:rPr>
      </w:pPr>
      <w:bookmarkStart w:id="1994" w:name="_Toc418752355"/>
      <w:bookmarkStart w:id="1995" w:name="_Toc483317228"/>
      <w:bookmarkStart w:id="1996" w:name="_Toc418751909"/>
      <w:r>
        <w:rPr>
          <w:rFonts w:hint="eastAsia" w:ascii="宋体" w:hAnsi="宋体" w:eastAsia="宋体" w:cs="宋体"/>
          <w:b/>
          <w:color w:val="auto"/>
          <w:sz w:val="21"/>
          <w:szCs w:val="21"/>
          <w:highlight w:val="none"/>
        </w:rPr>
        <w:t>附表五：施工总平面图</w:t>
      </w:r>
      <w:bookmarkEnd w:id="1994"/>
      <w:bookmarkEnd w:id="1995"/>
      <w:bookmarkEnd w:id="1996"/>
    </w:p>
    <w:p>
      <w:pPr>
        <w:pStyle w:val="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p>
      <w:pPr>
        <w:pStyle w:val="27"/>
        <w:ind w:firstLine="424"/>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供应商</w:t>
      </w:r>
      <w:r>
        <w:rPr>
          <w:rFonts w:hint="eastAsia" w:ascii="宋体" w:hAnsi="宋体" w:eastAsia="宋体" w:cs="宋体"/>
          <w:color w:val="auto"/>
          <w:sz w:val="21"/>
          <w:szCs w:val="21"/>
          <w:highlight w:val="none"/>
        </w:rPr>
        <w:t>应递交一份施工总平面图</w:t>
      </w:r>
      <w:r>
        <w:rPr>
          <w:rFonts w:hint="eastAsia" w:ascii="宋体" w:hAnsi="宋体" w:eastAsia="宋体" w:cs="宋体"/>
          <w:color w:val="auto"/>
          <w:spacing w:val="-47"/>
          <w:sz w:val="21"/>
          <w:szCs w:val="21"/>
          <w:highlight w:val="none"/>
        </w:rPr>
        <w:t>，</w:t>
      </w:r>
      <w:r>
        <w:rPr>
          <w:rFonts w:hint="eastAsia" w:ascii="宋体" w:hAnsi="宋体" w:eastAsia="宋体" w:cs="宋体"/>
          <w:color w:val="auto"/>
          <w:sz w:val="21"/>
          <w:szCs w:val="21"/>
          <w:highlight w:val="none"/>
        </w:rPr>
        <w:t>绘出现场临时设施布置图表并附文字说明</w:t>
      </w:r>
      <w:r>
        <w:rPr>
          <w:rFonts w:hint="eastAsia" w:ascii="宋体" w:hAnsi="宋体" w:eastAsia="宋体" w:cs="宋体"/>
          <w:color w:val="auto"/>
          <w:spacing w:val="-47"/>
          <w:sz w:val="21"/>
          <w:szCs w:val="21"/>
          <w:highlight w:val="none"/>
        </w:rPr>
        <w:t>，</w:t>
      </w:r>
      <w:r>
        <w:rPr>
          <w:rFonts w:hint="eastAsia" w:ascii="宋体" w:hAnsi="宋体" w:eastAsia="宋体" w:cs="宋体"/>
          <w:color w:val="auto"/>
          <w:sz w:val="21"/>
          <w:szCs w:val="21"/>
          <w:highlight w:val="none"/>
        </w:rPr>
        <w:t>说明临时设施</w:t>
      </w:r>
      <w:r>
        <w:rPr>
          <w:rFonts w:hint="eastAsia" w:ascii="宋体" w:hAnsi="宋体" w:eastAsia="宋体" w:cs="宋体"/>
          <w:color w:val="auto"/>
          <w:spacing w:val="-11"/>
          <w:sz w:val="21"/>
          <w:szCs w:val="21"/>
          <w:highlight w:val="none"/>
        </w:rPr>
        <w:t>、</w:t>
      </w:r>
      <w:r>
        <w:rPr>
          <w:rFonts w:hint="eastAsia" w:ascii="宋体" w:hAnsi="宋体" w:eastAsia="宋体" w:cs="宋体"/>
          <w:color w:val="auto"/>
          <w:sz w:val="21"/>
          <w:szCs w:val="21"/>
          <w:highlight w:val="none"/>
        </w:rPr>
        <w:t>加工车间</w:t>
      </w:r>
      <w:r>
        <w:rPr>
          <w:rFonts w:hint="eastAsia" w:ascii="宋体" w:hAnsi="宋体" w:eastAsia="宋体" w:cs="宋体"/>
          <w:color w:val="auto"/>
          <w:spacing w:val="-11"/>
          <w:sz w:val="21"/>
          <w:szCs w:val="21"/>
          <w:highlight w:val="none"/>
        </w:rPr>
        <w:t>、</w:t>
      </w:r>
      <w:r>
        <w:rPr>
          <w:rFonts w:hint="eastAsia" w:ascii="宋体" w:hAnsi="宋体" w:eastAsia="宋体" w:cs="宋体"/>
          <w:color w:val="auto"/>
          <w:sz w:val="21"/>
          <w:szCs w:val="21"/>
          <w:highlight w:val="none"/>
        </w:rPr>
        <w:t>现场办公</w:t>
      </w:r>
      <w:r>
        <w:rPr>
          <w:rFonts w:hint="eastAsia" w:ascii="宋体" w:hAnsi="宋体" w:eastAsia="宋体" w:cs="宋体"/>
          <w:color w:val="auto"/>
          <w:spacing w:val="-11"/>
          <w:sz w:val="21"/>
          <w:szCs w:val="21"/>
          <w:highlight w:val="none"/>
        </w:rPr>
        <w:t>、</w:t>
      </w:r>
      <w:r>
        <w:rPr>
          <w:rFonts w:hint="eastAsia" w:ascii="宋体" w:hAnsi="宋体" w:eastAsia="宋体" w:cs="宋体"/>
          <w:color w:val="auto"/>
          <w:sz w:val="21"/>
          <w:szCs w:val="21"/>
          <w:highlight w:val="none"/>
        </w:rPr>
        <w:t>设备及仓储</w:t>
      </w:r>
      <w:r>
        <w:rPr>
          <w:rFonts w:hint="eastAsia" w:ascii="宋体" w:hAnsi="宋体" w:eastAsia="宋体" w:cs="宋体"/>
          <w:color w:val="auto"/>
          <w:spacing w:val="-11"/>
          <w:sz w:val="21"/>
          <w:szCs w:val="21"/>
          <w:highlight w:val="none"/>
        </w:rPr>
        <w:t>、</w:t>
      </w:r>
      <w:r>
        <w:rPr>
          <w:rFonts w:hint="eastAsia" w:ascii="宋体" w:hAnsi="宋体" w:eastAsia="宋体" w:cs="宋体"/>
          <w:color w:val="auto"/>
          <w:sz w:val="21"/>
          <w:szCs w:val="21"/>
          <w:highlight w:val="none"/>
        </w:rPr>
        <w:t>供电</w:t>
      </w:r>
      <w:r>
        <w:rPr>
          <w:rFonts w:hint="eastAsia" w:ascii="宋体" w:hAnsi="宋体" w:eastAsia="宋体" w:cs="宋体"/>
          <w:color w:val="auto"/>
          <w:spacing w:val="-11"/>
          <w:sz w:val="21"/>
          <w:szCs w:val="21"/>
          <w:highlight w:val="none"/>
        </w:rPr>
        <w:t>、</w:t>
      </w:r>
      <w:r>
        <w:rPr>
          <w:rFonts w:hint="eastAsia" w:ascii="宋体" w:hAnsi="宋体" w:eastAsia="宋体" w:cs="宋体"/>
          <w:color w:val="auto"/>
          <w:sz w:val="21"/>
          <w:szCs w:val="21"/>
          <w:highlight w:val="none"/>
        </w:rPr>
        <w:t>供水</w:t>
      </w:r>
      <w:r>
        <w:rPr>
          <w:rFonts w:hint="eastAsia" w:ascii="宋体" w:hAnsi="宋体" w:eastAsia="宋体" w:cs="宋体"/>
          <w:color w:val="auto"/>
          <w:spacing w:val="-10"/>
          <w:sz w:val="21"/>
          <w:szCs w:val="21"/>
          <w:highlight w:val="none"/>
        </w:rPr>
        <w:t>、</w:t>
      </w:r>
      <w:r>
        <w:rPr>
          <w:rFonts w:hint="eastAsia" w:ascii="宋体" w:hAnsi="宋体" w:eastAsia="宋体" w:cs="宋体"/>
          <w:color w:val="auto"/>
          <w:sz w:val="21"/>
          <w:szCs w:val="21"/>
          <w:highlight w:val="none"/>
        </w:rPr>
        <w:t>卫生</w:t>
      </w:r>
      <w:r>
        <w:rPr>
          <w:rFonts w:hint="eastAsia" w:ascii="宋体" w:hAnsi="宋体" w:eastAsia="宋体" w:cs="宋体"/>
          <w:color w:val="auto"/>
          <w:spacing w:val="-11"/>
          <w:sz w:val="21"/>
          <w:szCs w:val="21"/>
          <w:highlight w:val="none"/>
        </w:rPr>
        <w:t>、</w:t>
      </w:r>
      <w:r>
        <w:rPr>
          <w:rFonts w:hint="eastAsia" w:ascii="宋体" w:hAnsi="宋体" w:eastAsia="宋体" w:cs="宋体"/>
          <w:color w:val="auto"/>
          <w:sz w:val="21"/>
          <w:szCs w:val="21"/>
          <w:highlight w:val="none"/>
        </w:rPr>
        <w:t>生活</w:t>
      </w:r>
      <w:r>
        <w:rPr>
          <w:rFonts w:hint="eastAsia" w:ascii="宋体" w:hAnsi="宋体" w:eastAsia="宋体" w:cs="宋体"/>
          <w:color w:val="auto"/>
          <w:spacing w:val="-11"/>
          <w:sz w:val="21"/>
          <w:szCs w:val="21"/>
          <w:highlight w:val="none"/>
        </w:rPr>
        <w:t>、</w:t>
      </w:r>
      <w:r>
        <w:rPr>
          <w:rFonts w:hint="eastAsia" w:ascii="宋体" w:hAnsi="宋体" w:eastAsia="宋体" w:cs="宋体"/>
          <w:color w:val="auto"/>
          <w:sz w:val="21"/>
          <w:szCs w:val="21"/>
          <w:highlight w:val="none"/>
        </w:rPr>
        <w:t>道路</w:t>
      </w:r>
      <w:r>
        <w:rPr>
          <w:rFonts w:hint="eastAsia" w:ascii="宋体" w:hAnsi="宋体" w:eastAsia="宋体" w:cs="宋体"/>
          <w:color w:val="auto"/>
          <w:spacing w:val="-11"/>
          <w:sz w:val="21"/>
          <w:szCs w:val="21"/>
          <w:highlight w:val="none"/>
        </w:rPr>
        <w:t>、</w:t>
      </w:r>
      <w:r>
        <w:rPr>
          <w:rFonts w:hint="eastAsia" w:ascii="宋体" w:hAnsi="宋体" w:eastAsia="宋体" w:cs="宋体"/>
          <w:color w:val="auto"/>
          <w:spacing w:val="1"/>
          <w:sz w:val="21"/>
          <w:szCs w:val="21"/>
          <w:highlight w:val="none"/>
        </w:rPr>
        <w:t>消</w:t>
      </w:r>
      <w:r>
        <w:rPr>
          <w:rFonts w:hint="eastAsia" w:ascii="宋体" w:hAnsi="宋体" w:eastAsia="宋体" w:cs="宋体"/>
          <w:color w:val="auto"/>
          <w:sz w:val="21"/>
          <w:szCs w:val="21"/>
          <w:highlight w:val="none"/>
        </w:rPr>
        <w:t>防等设施的情况和布置。</w:t>
      </w:r>
    </w:p>
    <w:p>
      <w:pPr>
        <w:pStyle w:val="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p>
      <w:pPr>
        <w:rPr>
          <w:rFonts w:hint="eastAsia" w:ascii="宋体" w:hAnsi="宋体" w:eastAsia="宋体" w:cs="宋体"/>
          <w:b/>
          <w:color w:val="auto"/>
          <w:sz w:val="21"/>
          <w:szCs w:val="21"/>
          <w:highlight w:val="none"/>
        </w:rPr>
      </w:pPr>
      <w:bookmarkStart w:id="1997" w:name="_Toc483317229"/>
      <w:bookmarkStart w:id="1998" w:name="_Toc418752356"/>
      <w:bookmarkStart w:id="1999" w:name="_Toc418751910"/>
      <w:r>
        <w:rPr>
          <w:rFonts w:hint="eastAsia" w:ascii="宋体" w:hAnsi="宋体" w:eastAsia="宋体" w:cs="宋体"/>
          <w:b/>
          <w:color w:val="auto"/>
          <w:sz w:val="21"/>
          <w:szCs w:val="21"/>
          <w:highlight w:val="none"/>
        </w:rPr>
        <w:t>附表六：临时用地表</w:t>
      </w:r>
      <w:bookmarkEnd w:id="1997"/>
      <w:bookmarkEnd w:id="1998"/>
      <w:bookmarkEnd w:id="1999"/>
    </w:p>
    <w:tbl>
      <w:tblPr>
        <w:tblStyle w:val="19"/>
        <w:tblW w:w="9648" w:type="dxa"/>
        <w:tblInd w:w="-5" w:type="dxa"/>
        <w:tblLayout w:type="fixed"/>
        <w:tblCellMar>
          <w:top w:w="0" w:type="dxa"/>
          <w:left w:w="0" w:type="dxa"/>
          <w:bottom w:w="0" w:type="dxa"/>
          <w:right w:w="0" w:type="dxa"/>
        </w:tblCellMar>
      </w:tblPr>
      <w:tblGrid>
        <w:gridCol w:w="2412"/>
        <w:gridCol w:w="2412"/>
        <w:gridCol w:w="2412"/>
        <w:gridCol w:w="2412"/>
      </w:tblGrid>
      <w:tr>
        <w:tblPrEx>
          <w:tblCellMar>
            <w:top w:w="0" w:type="dxa"/>
            <w:left w:w="0" w:type="dxa"/>
            <w:bottom w:w="0" w:type="dxa"/>
            <w:right w:w="0" w:type="dxa"/>
          </w:tblCellMar>
        </w:tblPrEx>
        <w:trPr>
          <w:trHeight w:val="450" w:hRule="atLeast"/>
        </w:trPr>
        <w:tc>
          <w:tcPr>
            <w:tcW w:w="2412" w:type="dxa"/>
            <w:tcBorders>
              <w:top w:val="single" w:color="000000" w:sz="4" w:space="0"/>
              <w:left w:val="single" w:color="000000" w:sz="4" w:space="0"/>
              <w:bottom w:val="single" w:color="000000" w:sz="4" w:space="0"/>
              <w:right w:val="single" w:color="000000" w:sz="4" w:space="0"/>
            </w:tcBorders>
            <w:vAlign w:val="center"/>
          </w:tcPr>
          <w:p>
            <w:pPr>
              <w:pStyle w:val="27"/>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用 </w:t>
            </w:r>
            <w:r>
              <w:rPr>
                <w:rFonts w:hint="eastAsia" w:ascii="宋体" w:hAnsi="宋体" w:eastAsia="宋体" w:cs="宋体"/>
                <w:color w:val="auto"/>
                <w:spacing w:val="1"/>
                <w:sz w:val="21"/>
                <w:szCs w:val="21"/>
                <w:highlight w:val="none"/>
              </w:rPr>
              <w:t> </w:t>
            </w:r>
            <w:r>
              <w:rPr>
                <w:rFonts w:hint="eastAsia" w:ascii="宋体" w:hAnsi="宋体" w:eastAsia="宋体" w:cs="宋体"/>
                <w:color w:val="auto"/>
                <w:sz w:val="21"/>
                <w:szCs w:val="21"/>
                <w:highlight w:val="none"/>
              </w:rPr>
              <w:t>途</w:t>
            </w:r>
          </w:p>
        </w:tc>
        <w:tc>
          <w:tcPr>
            <w:tcW w:w="2412" w:type="dxa"/>
            <w:tcBorders>
              <w:top w:val="single" w:color="000000" w:sz="4" w:space="0"/>
              <w:left w:val="nil"/>
              <w:bottom w:val="single" w:color="000000" w:sz="4" w:space="0"/>
              <w:right w:val="single" w:color="000000" w:sz="4" w:space="0"/>
            </w:tcBorders>
            <w:vAlign w:val="center"/>
          </w:tcPr>
          <w:p>
            <w:pPr>
              <w:pStyle w:val="27"/>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面 </w:t>
            </w:r>
            <w:r>
              <w:rPr>
                <w:rFonts w:hint="eastAsia" w:ascii="宋体" w:hAnsi="宋体" w:eastAsia="宋体" w:cs="宋体"/>
                <w:color w:val="auto"/>
                <w:spacing w:val="1"/>
                <w:sz w:val="21"/>
                <w:szCs w:val="21"/>
                <w:highlight w:val="none"/>
              </w:rPr>
              <w:t> </w:t>
            </w:r>
            <w:r>
              <w:rPr>
                <w:rFonts w:hint="eastAsia" w:ascii="宋体" w:hAnsi="宋体" w:eastAsia="宋体" w:cs="宋体"/>
                <w:color w:val="auto"/>
                <w:sz w:val="21"/>
                <w:szCs w:val="21"/>
                <w:highlight w:val="none"/>
              </w:rPr>
              <w:t>积（平</w:t>
            </w:r>
            <w:r>
              <w:rPr>
                <w:rFonts w:hint="eastAsia" w:ascii="宋体" w:hAnsi="宋体" w:eastAsia="宋体" w:cs="宋体"/>
                <w:color w:val="auto"/>
                <w:spacing w:val="-1"/>
                <w:sz w:val="21"/>
                <w:szCs w:val="21"/>
                <w:highlight w:val="none"/>
              </w:rPr>
              <w:t>方</w:t>
            </w:r>
            <w:r>
              <w:rPr>
                <w:rFonts w:hint="eastAsia" w:ascii="宋体" w:hAnsi="宋体" w:eastAsia="宋体" w:cs="宋体"/>
                <w:color w:val="auto"/>
                <w:sz w:val="21"/>
                <w:szCs w:val="21"/>
                <w:highlight w:val="none"/>
              </w:rPr>
              <w:t>米）</w:t>
            </w:r>
          </w:p>
        </w:tc>
        <w:tc>
          <w:tcPr>
            <w:tcW w:w="2412" w:type="dxa"/>
            <w:tcBorders>
              <w:top w:val="single" w:color="000000" w:sz="4" w:space="0"/>
              <w:left w:val="nil"/>
              <w:bottom w:val="single" w:color="000000" w:sz="4" w:space="0"/>
              <w:right w:val="single" w:color="000000" w:sz="4" w:space="0"/>
            </w:tcBorders>
            <w:vAlign w:val="center"/>
          </w:tcPr>
          <w:p>
            <w:pPr>
              <w:pStyle w:val="27"/>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位 </w:t>
            </w:r>
            <w:r>
              <w:rPr>
                <w:rFonts w:hint="eastAsia" w:ascii="宋体" w:hAnsi="宋体" w:eastAsia="宋体" w:cs="宋体"/>
                <w:color w:val="auto"/>
                <w:spacing w:val="1"/>
                <w:sz w:val="21"/>
                <w:szCs w:val="21"/>
                <w:highlight w:val="none"/>
              </w:rPr>
              <w:t> </w:t>
            </w:r>
            <w:r>
              <w:rPr>
                <w:rFonts w:hint="eastAsia" w:ascii="宋体" w:hAnsi="宋体" w:eastAsia="宋体" w:cs="宋体"/>
                <w:color w:val="auto"/>
                <w:sz w:val="21"/>
                <w:szCs w:val="21"/>
                <w:highlight w:val="none"/>
              </w:rPr>
              <w:t>置</w:t>
            </w:r>
          </w:p>
        </w:tc>
        <w:tc>
          <w:tcPr>
            <w:tcW w:w="2412" w:type="dxa"/>
            <w:tcBorders>
              <w:top w:val="single" w:color="000000" w:sz="4" w:space="0"/>
              <w:left w:val="nil"/>
              <w:bottom w:val="single" w:color="000000" w:sz="4" w:space="0"/>
              <w:right w:val="single" w:color="000000" w:sz="4" w:space="0"/>
            </w:tcBorders>
            <w:vAlign w:val="center"/>
          </w:tcPr>
          <w:p>
            <w:pPr>
              <w:pStyle w:val="27"/>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需用时间</w:t>
            </w:r>
          </w:p>
        </w:tc>
      </w:tr>
      <w:tr>
        <w:tblPrEx>
          <w:tblCellMar>
            <w:top w:w="0" w:type="dxa"/>
            <w:left w:w="0" w:type="dxa"/>
            <w:bottom w:w="0" w:type="dxa"/>
            <w:right w:w="0" w:type="dxa"/>
          </w:tblCellMar>
        </w:tblPrEx>
        <w:trPr>
          <w:trHeight w:val="450" w:hRule="atLeast"/>
        </w:trPr>
        <w:tc>
          <w:tcPr>
            <w:tcW w:w="2412" w:type="dxa"/>
            <w:tcBorders>
              <w:top w:val="single" w:color="000000" w:sz="4" w:space="0"/>
              <w:left w:val="single" w:color="000000" w:sz="4" w:space="0"/>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2412"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2412"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2412"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450" w:hRule="atLeast"/>
        </w:trPr>
        <w:tc>
          <w:tcPr>
            <w:tcW w:w="2412" w:type="dxa"/>
            <w:tcBorders>
              <w:top w:val="single" w:color="000000" w:sz="4" w:space="0"/>
              <w:left w:val="single" w:color="000000" w:sz="4" w:space="0"/>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2412"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2412"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2412"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450" w:hRule="atLeast"/>
        </w:trPr>
        <w:tc>
          <w:tcPr>
            <w:tcW w:w="2412" w:type="dxa"/>
            <w:tcBorders>
              <w:top w:val="single" w:color="000000" w:sz="4" w:space="0"/>
              <w:left w:val="single" w:color="000000" w:sz="4" w:space="0"/>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2412"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2412"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c>
          <w:tcPr>
            <w:tcW w:w="2412" w:type="dxa"/>
            <w:tcBorders>
              <w:top w:val="single" w:color="000000" w:sz="4" w:space="0"/>
              <w:left w:val="nil"/>
              <w:bottom w:val="single" w:color="000000" w:sz="4" w:space="0"/>
              <w:right w:val="single" w:color="000000" w:sz="4" w:space="0"/>
            </w:tcBorders>
            <w:vAlign w:val="top"/>
          </w:tcPr>
          <w:p>
            <w:pPr>
              <w:pStyle w:val="27"/>
              <w:rPr>
                <w:rFonts w:hint="eastAsia" w:ascii="宋体" w:hAnsi="宋体" w:eastAsia="宋体" w:cs="宋体"/>
                <w:color w:val="auto"/>
                <w:sz w:val="21"/>
                <w:szCs w:val="21"/>
                <w:highlight w:val="none"/>
              </w:rPr>
            </w:pPr>
          </w:p>
        </w:tc>
      </w:tr>
    </w:tbl>
    <w:p>
      <w:pPr>
        <w:pStyle w:val="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p>
      <w:pPr>
        <w:pStyle w:val="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p>
      <w:pPr>
        <w:pStyle w:val="27"/>
        <w:rPr>
          <w:rFonts w:hint="eastAsia" w:ascii="宋体" w:hAnsi="宋体" w:eastAsia="宋体" w:cs="宋体"/>
          <w:color w:val="auto"/>
          <w:sz w:val="21"/>
          <w:szCs w:val="21"/>
          <w:highlight w:val="none"/>
        </w:rPr>
      </w:pPr>
    </w:p>
    <w:p>
      <w:pPr>
        <w:pStyle w:val="6"/>
        <w:widowControl w:val="0"/>
        <w:numPr>
          <w:ilvl w:val="0"/>
          <w:numId w:val="0"/>
        </w:numPr>
        <w:jc w:val="both"/>
        <w:rPr>
          <w:rFonts w:hint="eastAsia" w:ascii="宋体" w:hAnsi="宋体" w:eastAsia="宋体" w:cs="宋体"/>
          <w:color w:val="auto"/>
          <w:sz w:val="21"/>
          <w:szCs w:val="21"/>
          <w:highlight w:val="none"/>
        </w:rPr>
      </w:pPr>
    </w:p>
    <w:p>
      <w:pPr>
        <w:widowControl/>
        <w:ind w:firstLine="1470" w:firstLineChars="7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磋商供应商</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公章</w:t>
      </w:r>
      <w:r>
        <w:rPr>
          <w:rFonts w:hint="eastAsia" w:ascii="宋体" w:hAnsi="宋体" w:eastAsia="宋体" w:cs="宋体"/>
          <w:color w:val="auto"/>
          <w:sz w:val="21"/>
          <w:szCs w:val="21"/>
          <w:highlight w:val="none"/>
          <w:lang w:val="en-US" w:eastAsia="zh-CN"/>
        </w:rPr>
        <w:t>(CA签章)</w:t>
      </w:r>
      <w:r>
        <w:rPr>
          <w:rFonts w:hint="eastAsia" w:ascii="宋体" w:hAnsi="宋体" w:eastAsia="宋体" w:cs="宋体"/>
          <w:color w:val="auto"/>
          <w:sz w:val="21"/>
          <w:szCs w:val="21"/>
          <w:highlight w:val="none"/>
        </w:rPr>
        <w:t>，自然人</w:t>
      </w:r>
      <w:r>
        <w:rPr>
          <w:rFonts w:hint="eastAsia" w:ascii="宋体" w:hAnsi="宋体" w:eastAsia="宋体" w:cs="宋体"/>
          <w:color w:val="auto"/>
          <w:sz w:val="21"/>
          <w:szCs w:val="21"/>
          <w:highlight w:val="none"/>
          <w:lang w:eastAsia="zh-CN"/>
        </w:rPr>
        <w:t>签字或个人</w:t>
      </w:r>
      <w:r>
        <w:rPr>
          <w:rFonts w:hint="eastAsia" w:ascii="宋体" w:hAnsi="宋体" w:eastAsia="宋体" w:cs="宋体"/>
          <w:color w:val="auto"/>
          <w:sz w:val="21"/>
          <w:szCs w:val="21"/>
          <w:highlight w:val="none"/>
          <w:lang w:val="en-US" w:eastAsia="zh-CN"/>
        </w:rPr>
        <w:t>CA签章]</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rPr>
        <w:t xml:space="preserve">                                                       </w:t>
      </w:r>
    </w:p>
    <w:p>
      <w:pPr>
        <w:pStyle w:val="11"/>
        <w:spacing w:line="300" w:lineRule="exact"/>
        <w:ind w:left="2940" w:leftChars="1400" w:firstLine="630" w:firstLineChars="300"/>
        <w:rPr>
          <w:rFonts w:hint="eastAsia" w:ascii="宋体" w:hAnsi="宋体" w:eastAsia="宋体" w:cs="宋体"/>
          <w:color w:val="auto"/>
          <w:sz w:val="21"/>
          <w:szCs w:val="21"/>
          <w:highlight w:val="none"/>
        </w:rPr>
      </w:pPr>
    </w:p>
    <w:p>
      <w:pPr>
        <w:pStyle w:val="11"/>
        <w:spacing w:line="300" w:lineRule="exact"/>
        <w:ind w:firstLine="3479" w:firstLineChars="165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 xml:space="preserve"> </w:t>
      </w:r>
    </w:p>
    <w:p>
      <w:pPr>
        <w:pStyle w:val="11"/>
        <w:spacing w:line="300" w:lineRule="exact"/>
        <w:rPr>
          <w:rFonts w:hint="eastAsia" w:ascii="宋体" w:hAnsi="宋体" w:eastAsia="宋体" w:cs="宋体"/>
          <w:b/>
          <w:color w:val="auto"/>
          <w:sz w:val="21"/>
          <w:szCs w:val="21"/>
          <w:highlight w:val="none"/>
        </w:rPr>
      </w:pPr>
    </w:p>
    <w:p>
      <w:pPr>
        <w:ind w:firstLine="1470" w:firstLineChars="7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          期：</w:t>
      </w:r>
      <w:r>
        <w:rPr>
          <w:rFonts w:hint="eastAsia" w:ascii="宋体" w:hAnsi="宋体" w:eastAsia="宋体" w:cs="宋体"/>
          <w:color w:val="auto"/>
          <w:sz w:val="21"/>
          <w:szCs w:val="21"/>
          <w:highlight w:val="none"/>
          <w:u w:val="single"/>
        </w:rPr>
        <w:t xml:space="preserve">                         </w:t>
      </w:r>
    </w:p>
    <w:p>
      <w:pPr>
        <w:pStyle w:val="2"/>
        <w:rPr>
          <w:rFonts w:hint="eastAsia" w:ascii="宋体" w:hAnsi="宋体" w:eastAsia="宋体" w:cs="宋体"/>
          <w:color w:val="auto"/>
          <w:sz w:val="21"/>
          <w:szCs w:val="21"/>
          <w:highlight w:val="none"/>
        </w:rPr>
      </w:pPr>
    </w:p>
    <w:p>
      <w:pPr>
        <w:rPr>
          <w:rFonts w:hint="eastAsia" w:ascii="宋体" w:hAnsi="宋体" w:eastAsia="宋体" w:cs="宋体"/>
          <w:color w:val="auto"/>
          <w:sz w:val="21"/>
          <w:szCs w:val="21"/>
          <w:highlight w:val="none"/>
        </w:rPr>
      </w:pPr>
    </w:p>
    <w:p>
      <w:pPr>
        <w:pStyle w:val="11"/>
        <w:numPr>
          <w:ilvl w:val="0"/>
          <w:numId w:val="0"/>
        </w:numPr>
        <w:spacing w:line="340" w:lineRule="exact"/>
        <w:rPr>
          <w:rFonts w:hint="eastAsia" w:ascii="宋体" w:hAnsi="宋体" w:eastAsia="宋体" w:cs="宋体"/>
          <w:b/>
          <w:color w:val="auto"/>
          <w:sz w:val="21"/>
          <w:szCs w:val="21"/>
          <w:highlight w:val="none"/>
          <w:lang w:val="en-US" w:eastAsia="zh-CN"/>
        </w:rPr>
      </w:pPr>
    </w:p>
    <w:p>
      <w:pPr>
        <w:pStyle w:val="5"/>
        <w:rPr>
          <w:rFonts w:hint="eastAsia" w:ascii="宋体" w:hAnsi="宋体" w:eastAsia="宋体" w:cs="宋体"/>
          <w:b/>
          <w:color w:val="auto"/>
          <w:sz w:val="21"/>
          <w:szCs w:val="21"/>
          <w:highlight w:val="none"/>
          <w:lang w:val="en-US" w:eastAsia="zh-CN"/>
        </w:rPr>
      </w:pPr>
    </w:p>
    <w:p>
      <w:pPr>
        <w:rPr>
          <w:rFonts w:hint="eastAsia" w:ascii="宋体" w:hAnsi="宋体" w:eastAsia="宋体" w:cs="宋体"/>
          <w:b/>
          <w:color w:val="auto"/>
          <w:sz w:val="21"/>
          <w:szCs w:val="21"/>
          <w:highlight w:val="none"/>
          <w:lang w:val="en-US" w:eastAsia="zh-CN"/>
        </w:rPr>
      </w:pPr>
    </w:p>
    <w:p>
      <w:pPr>
        <w:pStyle w:val="8"/>
        <w:rPr>
          <w:rFonts w:hint="eastAsia" w:ascii="宋体" w:hAnsi="宋体" w:eastAsia="宋体" w:cs="宋体"/>
          <w:b/>
          <w:color w:val="auto"/>
          <w:sz w:val="21"/>
          <w:szCs w:val="21"/>
          <w:highlight w:val="none"/>
          <w:lang w:val="en-US" w:eastAsia="zh-CN"/>
        </w:rPr>
      </w:pPr>
    </w:p>
    <w:p>
      <w:pPr>
        <w:rPr>
          <w:rFonts w:hint="eastAsia"/>
          <w:color w:val="auto"/>
          <w:highlight w:val="none"/>
          <w:lang w:val="en-US" w:eastAsia="zh-CN"/>
        </w:rPr>
      </w:pPr>
    </w:p>
    <w:p>
      <w:pPr>
        <w:pStyle w:val="11"/>
        <w:numPr>
          <w:ilvl w:val="0"/>
          <w:numId w:val="0"/>
        </w:numPr>
        <w:spacing w:line="34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7.工程完工服务承诺书（必须提供）</w:t>
      </w:r>
      <w:r>
        <w:rPr>
          <w:rFonts w:hint="eastAsia" w:ascii="宋体" w:hAnsi="宋体" w:eastAsia="宋体" w:cs="宋体"/>
          <w:b/>
          <w:color w:val="auto"/>
          <w:sz w:val="24"/>
          <w:szCs w:val="24"/>
          <w:highlight w:val="none"/>
        </w:rPr>
        <w:t>；</w:t>
      </w:r>
    </w:p>
    <w:p>
      <w:pPr>
        <w:spacing w:line="360" w:lineRule="auto"/>
        <w:jc w:val="center"/>
        <w:rPr>
          <w:rFonts w:hint="eastAsia" w:ascii="宋体" w:hAnsi="宋体" w:eastAsia="宋体" w:cs="宋体"/>
          <w:b/>
          <w:color w:val="auto"/>
          <w:sz w:val="21"/>
          <w:szCs w:val="21"/>
          <w:highlight w:val="none"/>
        </w:rPr>
      </w:pPr>
    </w:p>
    <w:p>
      <w:pPr>
        <w:spacing w:line="36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工程完工服务承诺书（格式）</w:t>
      </w:r>
    </w:p>
    <w:p>
      <w:pPr>
        <w:pStyle w:val="11"/>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（由供应商按《工程量清单》中工程完工服务及要求自行分别填写）</w:t>
      </w:r>
    </w:p>
    <w:p>
      <w:pPr>
        <w:pStyle w:val="11"/>
        <w:rPr>
          <w:rFonts w:hint="eastAsia" w:ascii="宋体" w:hAnsi="宋体" w:eastAsia="宋体" w:cs="宋体"/>
          <w:color w:val="auto"/>
          <w:sz w:val="21"/>
          <w:szCs w:val="21"/>
          <w:highlight w:val="none"/>
        </w:rPr>
      </w:pPr>
    </w:p>
    <w:p>
      <w:pPr>
        <w:widowControl/>
        <w:ind w:firstLine="1470" w:firstLineChars="700"/>
        <w:jc w:val="left"/>
        <w:rPr>
          <w:rFonts w:hint="eastAsia" w:ascii="宋体" w:hAnsi="宋体" w:eastAsia="宋体" w:cs="宋体"/>
          <w:color w:val="auto"/>
          <w:sz w:val="21"/>
          <w:szCs w:val="21"/>
          <w:highlight w:val="none"/>
          <w:lang w:eastAsia="zh-CN"/>
        </w:rPr>
      </w:pPr>
    </w:p>
    <w:p>
      <w:pPr>
        <w:widowControl/>
        <w:ind w:firstLine="1470" w:firstLineChars="700"/>
        <w:jc w:val="left"/>
        <w:rPr>
          <w:rFonts w:hint="eastAsia" w:ascii="宋体" w:hAnsi="宋体" w:eastAsia="宋体" w:cs="宋体"/>
          <w:color w:val="auto"/>
          <w:sz w:val="21"/>
          <w:szCs w:val="21"/>
          <w:highlight w:val="none"/>
          <w:lang w:eastAsia="zh-CN"/>
        </w:rPr>
      </w:pPr>
    </w:p>
    <w:p>
      <w:pPr>
        <w:widowControl/>
        <w:ind w:firstLine="1470" w:firstLineChars="7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磋商供应商</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公章</w:t>
      </w:r>
      <w:r>
        <w:rPr>
          <w:rFonts w:hint="eastAsia" w:ascii="宋体" w:hAnsi="宋体" w:eastAsia="宋体" w:cs="宋体"/>
          <w:color w:val="auto"/>
          <w:sz w:val="21"/>
          <w:szCs w:val="21"/>
          <w:highlight w:val="none"/>
          <w:lang w:val="en-US" w:eastAsia="zh-CN"/>
        </w:rPr>
        <w:t>(CA签章)</w:t>
      </w:r>
      <w:r>
        <w:rPr>
          <w:rFonts w:hint="eastAsia" w:ascii="宋体" w:hAnsi="宋体" w:eastAsia="宋体" w:cs="宋体"/>
          <w:color w:val="auto"/>
          <w:sz w:val="21"/>
          <w:szCs w:val="21"/>
          <w:highlight w:val="none"/>
        </w:rPr>
        <w:t>，自然人</w:t>
      </w:r>
      <w:r>
        <w:rPr>
          <w:rFonts w:hint="eastAsia" w:ascii="宋体" w:hAnsi="宋体" w:eastAsia="宋体" w:cs="宋体"/>
          <w:color w:val="auto"/>
          <w:sz w:val="21"/>
          <w:szCs w:val="21"/>
          <w:highlight w:val="none"/>
          <w:lang w:eastAsia="zh-CN"/>
        </w:rPr>
        <w:t>签字或个人</w:t>
      </w:r>
      <w:r>
        <w:rPr>
          <w:rFonts w:hint="eastAsia" w:ascii="宋体" w:hAnsi="宋体" w:eastAsia="宋体" w:cs="宋体"/>
          <w:color w:val="auto"/>
          <w:sz w:val="21"/>
          <w:szCs w:val="21"/>
          <w:highlight w:val="none"/>
          <w:lang w:val="en-US" w:eastAsia="zh-CN"/>
        </w:rPr>
        <w:t>CA签章]</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rPr>
        <w:t xml:space="preserve">                                                       </w:t>
      </w:r>
    </w:p>
    <w:p>
      <w:pPr>
        <w:pStyle w:val="11"/>
        <w:spacing w:line="300" w:lineRule="exact"/>
        <w:ind w:left="2940" w:leftChars="1400" w:firstLine="630" w:firstLineChars="300"/>
        <w:rPr>
          <w:rFonts w:hint="eastAsia" w:ascii="宋体" w:hAnsi="宋体" w:eastAsia="宋体" w:cs="宋体"/>
          <w:color w:val="auto"/>
          <w:sz w:val="21"/>
          <w:szCs w:val="21"/>
          <w:highlight w:val="none"/>
        </w:rPr>
      </w:pPr>
    </w:p>
    <w:p>
      <w:pPr>
        <w:ind w:firstLine="1470" w:firstLineChars="7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          期：</w:t>
      </w:r>
      <w:r>
        <w:rPr>
          <w:rFonts w:hint="eastAsia" w:ascii="宋体" w:hAnsi="宋体" w:eastAsia="宋体" w:cs="宋体"/>
          <w:color w:val="auto"/>
          <w:sz w:val="21"/>
          <w:szCs w:val="21"/>
          <w:highlight w:val="none"/>
          <w:u w:val="single"/>
        </w:rPr>
        <w:t xml:space="preserve">                         </w:t>
      </w:r>
    </w:p>
    <w:p>
      <w:pPr>
        <w:pStyle w:val="2"/>
        <w:rPr>
          <w:rFonts w:hint="eastAsia" w:ascii="宋体" w:hAnsi="宋体" w:eastAsia="宋体" w:cs="宋体"/>
          <w:b/>
          <w:color w:val="auto"/>
          <w:sz w:val="21"/>
          <w:szCs w:val="21"/>
          <w:highlight w:val="none"/>
          <w:lang w:val="en-US" w:eastAsia="zh-CN"/>
        </w:rPr>
      </w:pPr>
    </w:p>
    <w:p>
      <w:pPr>
        <w:rPr>
          <w:rFonts w:hint="eastAsia"/>
          <w:color w:val="auto"/>
          <w:highlight w:val="none"/>
          <w:lang w:val="en-US" w:eastAsia="zh-CN"/>
        </w:rPr>
      </w:pPr>
    </w:p>
    <w:p>
      <w:pPr>
        <w:pStyle w:val="11"/>
        <w:numPr>
          <w:ilvl w:val="0"/>
          <w:numId w:val="0"/>
        </w:numPr>
        <w:spacing w:line="340" w:lineRule="exact"/>
        <w:rPr>
          <w:rFonts w:hint="eastAsia" w:ascii="宋体" w:hAnsi="宋体" w:eastAsia="宋体" w:cs="宋体"/>
          <w:b/>
          <w:color w:val="auto"/>
          <w:sz w:val="24"/>
          <w:szCs w:val="24"/>
          <w:highlight w:val="none"/>
          <w:lang w:val="en-US" w:eastAsia="zh-CN"/>
        </w:rPr>
      </w:pPr>
      <w:bookmarkStart w:id="2000" w:name="_Toc24798"/>
      <w:bookmarkStart w:id="2001" w:name="_Toc32582"/>
      <w:bookmarkStart w:id="2002" w:name="_Toc9582"/>
      <w:r>
        <w:rPr>
          <w:rFonts w:hint="eastAsia" w:ascii="宋体" w:hAnsi="宋体" w:eastAsia="宋体" w:cs="宋体"/>
          <w:b/>
          <w:color w:val="auto"/>
          <w:sz w:val="24"/>
          <w:szCs w:val="24"/>
          <w:highlight w:val="none"/>
          <w:lang w:val="en-US" w:eastAsia="zh-CN"/>
        </w:rPr>
        <w:t>8.农民工工资保障金交纳与使用承诺书（必须提供）</w:t>
      </w:r>
      <w:bookmarkEnd w:id="2000"/>
      <w:bookmarkEnd w:id="2001"/>
      <w:r>
        <w:rPr>
          <w:rFonts w:hint="eastAsia" w:ascii="宋体" w:hAnsi="宋体" w:eastAsia="宋体" w:cs="宋体"/>
          <w:b/>
          <w:color w:val="auto"/>
          <w:sz w:val="24"/>
          <w:szCs w:val="24"/>
          <w:highlight w:val="none"/>
          <w:lang w:val="en-US" w:eastAsia="zh-CN"/>
        </w:rPr>
        <w:t>；</w:t>
      </w:r>
      <w:bookmarkEnd w:id="2002"/>
    </w:p>
    <w:p>
      <w:pPr>
        <w:spacing w:line="420" w:lineRule="exact"/>
        <w:ind w:firstLine="422" w:firstLineChars="200"/>
        <w:jc w:val="center"/>
        <w:rPr>
          <w:rFonts w:hint="eastAsia" w:ascii="宋体" w:hAnsi="宋体" w:eastAsia="宋体" w:cs="宋体"/>
          <w:b/>
          <w:color w:val="auto"/>
          <w:kern w:val="0"/>
          <w:sz w:val="21"/>
          <w:szCs w:val="21"/>
          <w:highlight w:val="none"/>
        </w:rPr>
      </w:pPr>
    </w:p>
    <w:p>
      <w:pPr>
        <w:spacing w:line="420" w:lineRule="exact"/>
        <w:ind w:firstLine="422" w:firstLineChars="200"/>
        <w:jc w:val="cente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农民工工资保证金交纳与使用承诺书</w:t>
      </w:r>
      <w:r>
        <w:rPr>
          <w:rFonts w:hint="eastAsia" w:ascii="宋体" w:hAnsi="宋体" w:eastAsia="宋体" w:cs="宋体"/>
          <w:b/>
          <w:color w:val="auto"/>
          <w:kern w:val="0"/>
          <w:sz w:val="21"/>
          <w:szCs w:val="21"/>
          <w:highlight w:val="none"/>
          <w:lang w:val="en-US" w:eastAsia="zh-CN"/>
        </w:rPr>
        <w:t>（格式）</w:t>
      </w:r>
    </w:p>
    <w:p>
      <w:pPr>
        <w:spacing w:line="420" w:lineRule="exact"/>
        <w:rPr>
          <w:rFonts w:hint="eastAsia" w:ascii="宋体" w:hAnsi="宋体" w:eastAsia="宋体" w:cs="宋体"/>
          <w:color w:val="auto"/>
          <w:kern w:val="0"/>
          <w:sz w:val="21"/>
          <w:szCs w:val="21"/>
          <w:highlight w:val="none"/>
        </w:rPr>
      </w:pPr>
    </w:p>
    <w:p>
      <w:pPr>
        <w:spacing w:line="400" w:lineRule="exact"/>
        <w:rPr>
          <w:rFonts w:hint="eastAsia" w:ascii="宋体" w:hAnsi="宋体" w:eastAsia="宋体" w:cs="宋体"/>
          <w:color w:val="auto"/>
          <w:sz w:val="21"/>
          <w:szCs w:val="21"/>
          <w:highlight w:val="none"/>
          <w:u w:val="single"/>
          <w:lang w:eastAsia="zh-CN"/>
        </w:rPr>
      </w:pPr>
      <w:r>
        <w:rPr>
          <w:rFonts w:hint="eastAsia" w:ascii="宋体" w:hAnsi="宋体" w:eastAsia="宋体" w:cs="宋体"/>
          <w:color w:val="auto"/>
          <w:kern w:val="0"/>
          <w:sz w:val="21"/>
          <w:szCs w:val="21"/>
          <w:highlight w:val="none"/>
        </w:rPr>
        <w:t>致：</w:t>
      </w:r>
      <w:r>
        <w:rPr>
          <w:rFonts w:hint="eastAsia" w:ascii="宋体" w:hAnsi="宋体" w:eastAsia="宋体" w:cs="宋体"/>
          <w:color w:val="auto"/>
          <w:szCs w:val="21"/>
          <w:highlight w:val="none"/>
          <w:u w:val="single"/>
          <w:lang w:eastAsia="zh-CN"/>
        </w:rPr>
        <w:t>广西星鑫建设工程咨询有限公司</w:t>
      </w:r>
    </w:p>
    <w:p>
      <w:pPr>
        <w:spacing w:line="420" w:lineRule="exact"/>
        <w:rPr>
          <w:rFonts w:hint="eastAsia" w:ascii="宋体" w:hAnsi="宋体" w:eastAsia="宋体" w:cs="宋体"/>
          <w:b/>
          <w:color w:val="auto"/>
          <w:kern w:val="0"/>
          <w:sz w:val="21"/>
          <w:szCs w:val="21"/>
          <w:highlight w:val="none"/>
          <w:u w:val="single"/>
        </w:rPr>
      </w:pPr>
    </w:p>
    <w:p>
      <w:pPr>
        <w:spacing w:line="420" w:lineRule="exact"/>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我方在此承诺：</w:t>
      </w:r>
    </w:p>
    <w:p>
      <w:pPr>
        <w:spacing w:line="420" w:lineRule="exact"/>
        <w:ind w:firstLine="525" w:firstLineChars="25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1.我方在本项目</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（项目名称及编号）响应文件递交截止之日前所承建工程中，无拖欠或克扣农民工工资的行为。</w:t>
      </w:r>
    </w:p>
    <w:p>
      <w:pPr>
        <w:spacing w:line="420" w:lineRule="exact"/>
        <w:ind w:firstLine="495"/>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 我方参与</w:t>
      </w:r>
      <w:r>
        <w:rPr>
          <w:rFonts w:hint="eastAsia" w:ascii="宋体" w:hAnsi="宋体" w:eastAsia="宋体" w:cs="宋体"/>
          <w:color w:val="auto"/>
          <w:kern w:val="0"/>
          <w:sz w:val="21"/>
          <w:szCs w:val="21"/>
          <w:highlight w:val="none"/>
          <w:lang w:val="en-US" w:eastAsia="zh-CN"/>
        </w:rPr>
        <w:t>磋商</w:t>
      </w:r>
      <w:r>
        <w:rPr>
          <w:rFonts w:hint="eastAsia" w:ascii="宋体" w:hAnsi="宋体" w:eastAsia="宋体" w:cs="宋体"/>
          <w:color w:val="auto"/>
          <w:kern w:val="0"/>
          <w:sz w:val="21"/>
          <w:szCs w:val="21"/>
          <w:highlight w:val="none"/>
        </w:rPr>
        <w:t>的</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项目，一旦成交，我方保证在签订施工合同后，及时并足额将农民工工资保证金足额存入指定的账户，作为本项目农民工工资保证金。</w:t>
      </w:r>
    </w:p>
    <w:p>
      <w:pPr>
        <w:spacing w:line="420" w:lineRule="exact"/>
        <w:ind w:firstLine="495"/>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 如我方在承包的</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项目中出现拖欠农民工和工人工资情况的，由相关部门从其农民工工资保证金中先予划支。</w:t>
      </w:r>
    </w:p>
    <w:p>
      <w:pPr>
        <w:numPr>
          <w:ilvl w:val="0"/>
          <w:numId w:val="0"/>
        </w:numPr>
        <w:ind w:leftChars="200"/>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4. 如我方不按时、足额存入农民工工资保证金，采购人有权取消我方承包资格。</w:t>
      </w:r>
    </w:p>
    <w:p>
      <w:pPr>
        <w:pStyle w:val="11"/>
        <w:spacing w:line="340" w:lineRule="exact"/>
        <w:rPr>
          <w:rFonts w:hint="eastAsia" w:ascii="宋体" w:hAnsi="宋体" w:eastAsia="宋体" w:cs="宋体"/>
          <w:b/>
          <w:color w:val="auto"/>
          <w:sz w:val="21"/>
          <w:szCs w:val="21"/>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420" w:leftChars="0"/>
        <w:jc w:val="center"/>
        <w:textAlignment w:val="auto"/>
        <w:rPr>
          <w:rFonts w:hint="eastAsia" w:ascii="宋体" w:hAnsi="宋体" w:eastAsia="宋体" w:cs="宋体"/>
          <w:b/>
          <w:bCs/>
          <w:color w:val="auto"/>
          <w:sz w:val="21"/>
          <w:szCs w:val="21"/>
          <w:highlight w:val="none"/>
        </w:rPr>
      </w:pPr>
      <w:bookmarkStart w:id="2003" w:name="_Toc9339"/>
      <w:bookmarkStart w:id="2004" w:name="_Toc497927084"/>
      <w:bookmarkStart w:id="2005" w:name="_Toc28672"/>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420" w:leftChars="0"/>
        <w:jc w:val="center"/>
        <w:textAlignment w:val="auto"/>
        <w:rPr>
          <w:rFonts w:hint="eastAsia" w:ascii="宋体" w:hAnsi="宋体" w:eastAsia="宋体" w:cs="宋体"/>
          <w:b/>
          <w:bCs/>
          <w:color w:val="auto"/>
          <w:sz w:val="21"/>
          <w:szCs w:val="21"/>
          <w:highlight w:val="none"/>
        </w:rPr>
      </w:pPr>
    </w:p>
    <w:p>
      <w:pPr>
        <w:widowControl/>
        <w:ind w:firstLine="1470" w:firstLineChars="7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磋商供应商</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公章</w:t>
      </w:r>
      <w:r>
        <w:rPr>
          <w:rFonts w:hint="eastAsia" w:ascii="宋体" w:hAnsi="宋体" w:eastAsia="宋体" w:cs="宋体"/>
          <w:color w:val="auto"/>
          <w:sz w:val="21"/>
          <w:szCs w:val="21"/>
          <w:highlight w:val="none"/>
          <w:lang w:val="en-US" w:eastAsia="zh-CN"/>
        </w:rPr>
        <w:t>(CA签章)</w:t>
      </w:r>
      <w:r>
        <w:rPr>
          <w:rFonts w:hint="eastAsia" w:ascii="宋体" w:hAnsi="宋体" w:eastAsia="宋体" w:cs="宋体"/>
          <w:color w:val="auto"/>
          <w:sz w:val="21"/>
          <w:szCs w:val="21"/>
          <w:highlight w:val="none"/>
        </w:rPr>
        <w:t>，自然人</w:t>
      </w:r>
      <w:r>
        <w:rPr>
          <w:rFonts w:hint="eastAsia" w:ascii="宋体" w:hAnsi="宋体" w:eastAsia="宋体" w:cs="宋体"/>
          <w:color w:val="auto"/>
          <w:sz w:val="21"/>
          <w:szCs w:val="21"/>
          <w:highlight w:val="none"/>
          <w:lang w:eastAsia="zh-CN"/>
        </w:rPr>
        <w:t>签字或个人</w:t>
      </w:r>
      <w:r>
        <w:rPr>
          <w:rFonts w:hint="eastAsia" w:ascii="宋体" w:hAnsi="宋体" w:eastAsia="宋体" w:cs="宋体"/>
          <w:color w:val="auto"/>
          <w:sz w:val="21"/>
          <w:szCs w:val="21"/>
          <w:highlight w:val="none"/>
          <w:lang w:val="en-US" w:eastAsia="zh-CN"/>
        </w:rPr>
        <w:t>CA签章]</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p>
    <w:p>
      <w:pPr>
        <w:pStyle w:val="11"/>
        <w:spacing w:line="300" w:lineRule="exact"/>
        <w:ind w:left="2940" w:leftChars="1400" w:firstLine="630" w:firstLineChars="300"/>
        <w:rPr>
          <w:rFonts w:hint="eastAsia" w:ascii="宋体" w:hAnsi="宋体" w:eastAsia="宋体" w:cs="宋体"/>
          <w:color w:val="auto"/>
          <w:sz w:val="21"/>
          <w:szCs w:val="21"/>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420" w:leftChars="0"/>
        <w:jc w:val="center"/>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日          期：</w:t>
      </w:r>
      <w:r>
        <w:rPr>
          <w:rFonts w:hint="eastAsia" w:ascii="宋体" w:hAnsi="宋体" w:eastAsia="宋体" w:cs="宋体"/>
          <w:color w:val="auto"/>
          <w:sz w:val="21"/>
          <w:szCs w:val="21"/>
          <w:highlight w:val="none"/>
          <w:u w:val="single"/>
        </w:rPr>
        <w:t xml:space="preserve">                         </w:t>
      </w:r>
    </w:p>
    <w:p>
      <w:pPr>
        <w:pStyle w:val="8"/>
        <w:rPr>
          <w:rFonts w:hint="eastAsia" w:ascii="宋体" w:hAnsi="宋体" w:eastAsia="宋体" w:cs="宋体"/>
          <w:color w:val="auto"/>
          <w:sz w:val="21"/>
          <w:szCs w:val="21"/>
          <w:highlight w:val="none"/>
          <w:u w:val="single"/>
        </w:rPr>
      </w:pPr>
    </w:p>
    <w:p>
      <w:pPr>
        <w:rPr>
          <w:rFonts w:hint="eastAsia" w:ascii="宋体" w:hAnsi="宋体" w:eastAsia="宋体" w:cs="宋体"/>
          <w:color w:val="auto"/>
          <w:sz w:val="21"/>
          <w:szCs w:val="21"/>
          <w:highlight w:val="none"/>
          <w:lang w:val="en-US" w:eastAsia="zh-CN"/>
        </w:rPr>
      </w:pPr>
    </w:p>
    <w:p>
      <w:pPr>
        <w:pStyle w:val="2"/>
        <w:numPr>
          <w:ilvl w:val="0"/>
          <w:numId w:val="0"/>
        </w:numPr>
        <w:rPr>
          <w:rFonts w:hint="eastAsia" w:ascii="宋体" w:hAnsi="宋体" w:eastAsia="宋体" w:cs="宋体"/>
          <w:b/>
          <w:color w:val="auto"/>
          <w:sz w:val="21"/>
          <w:szCs w:val="21"/>
          <w:highlight w:val="none"/>
          <w:lang w:val="en-US" w:eastAsia="zh-CN"/>
        </w:rPr>
      </w:pPr>
      <w:bookmarkStart w:id="2006" w:name="_Toc10529"/>
      <w:bookmarkStart w:id="2007" w:name="_Toc26788"/>
      <w:bookmarkStart w:id="2008" w:name="_Toc21352"/>
      <w:r>
        <w:rPr>
          <w:rFonts w:hint="eastAsia" w:ascii="宋体" w:hAnsi="宋体" w:eastAsia="宋体" w:cs="宋体"/>
          <w:b/>
          <w:color w:val="auto"/>
          <w:sz w:val="21"/>
          <w:szCs w:val="21"/>
          <w:highlight w:val="none"/>
          <w:lang w:val="en-US" w:eastAsia="zh-CN"/>
        </w:rPr>
        <w:t>9.城乡清洁工程渣土清运承诺书（必须提供）。</w:t>
      </w:r>
      <w:bookmarkEnd w:id="2006"/>
      <w:bookmarkEnd w:id="2007"/>
      <w:bookmarkEnd w:id="2008"/>
    </w:p>
    <w:p>
      <w:pPr>
        <w:widowControl w:val="0"/>
        <w:numPr>
          <w:ilvl w:val="0"/>
          <w:numId w:val="0"/>
        </w:numPr>
        <w:jc w:val="both"/>
        <w:rPr>
          <w:rFonts w:hint="eastAsia" w:ascii="宋体" w:hAnsi="宋体" w:eastAsia="宋体" w:cs="宋体"/>
          <w:color w:val="auto"/>
          <w:sz w:val="21"/>
          <w:szCs w:val="21"/>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w:t>
      </w:r>
      <w:r>
        <w:rPr>
          <w:rFonts w:hint="eastAsia" w:ascii="宋体" w:hAnsi="宋体" w:eastAsia="宋体" w:cs="宋体"/>
          <w:b/>
          <w:bCs/>
          <w:color w:val="auto"/>
          <w:sz w:val="21"/>
          <w:szCs w:val="21"/>
          <w:highlight w:val="none"/>
          <w:lang w:eastAsia="zh-CN"/>
        </w:rPr>
        <w:t>三</w:t>
      </w:r>
      <w:r>
        <w:rPr>
          <w:rFonts w:hint="eastAsia" w:ascii="宋体" w:hAnsi="宋体" w:eastAsia="宋体" w:cs="宋体"/>
          <w:b/>
          <w:bCs/>
          <w:color w:val="auto"/>
          <w:sz w:val="21"/>
          <w:szCs w:val="21"/>
          <w:highlight w:val="none"/>
        </w:rPr>
        <w:t>）其</w:t>
      </w:r>
      <w:r>
        <w:rPr>
          <w:rFonts w:hint="eastAsia" w:ascii="宋体" w:hAnsi="宋体" w:eastAsia="宋体" w:cs="宋体"/>
          <w:b/>
          <w:bCs/>
          <w:color w:val="auto"/>
          <w:sz w:val="21"/>
          <w:szCs w:val="21"/>
          <w:highlight w:val="none"/>
          <w:lang w:eastAsia="zh-CN"/>
        </w:rPr>
        <w:t>他</w:t>
      </w:r>
      <w:r>
        <w:rPr>
          <w:rFonts w:hint="eastAsia" w:ascii="宋体" w:hAnsi="宋体" w:eastAsia="宋体" w:cs="宋体"/>
          <w:b/>
          <w:bCs/>
          <w:color w:val="auto"/>
          <w:sz w:val="21"/>
          <w:szCs w:val="21"/>
          <w:highlight w:val="none"/>
        </w:rPr>
        <w:t>有效证明材料目录</w:t>
      </w:r>
      <w:bookmarkEnd w:id="2003"/>
      <w:bookmarkEnd w:id="2004"/>
      <w:bookmarkEnd w:id="2005"/>
    </w:p>
    <w:p>
      <w:pPr>
        <w:pStyle w:val="23"/>
        <w:rPr>
          <w:rFonts w:hint="eastAsia" w:ascii="宋体" w:hAnsi="宋体" w:eastAsia="宋体" w:cs="宋体"/>
          <w:color w:val="auto"/>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lang w:eastAsia="zh-CN"/>
        </w:rPr>
        <w:t>20</w:t>
      </w:r>
      <w:r>
        <w:rPr>
          <w:rFonts w:hint="eastAsia" w:ascii="宋体" w:hAnsi="宋体" w:eastAsia="宋体" w:cs="宋体"/>
          <w:color w:val="auto"/>
          <w:sz w:val="21"/>
          <w:szCs w:val="21"/>
          <w:highlight w:val="none"/>
          <w:lang w:val="en-US" w:eastAsia="zh-CN"/>
        </w:rPr>
        <w:t>2</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年1月1日</w:t>
      </w:r>
      <w:r>
        <w:rPr>
          <w:rFonts w:hint="eastAsia" w:ascii="宋体" w:hAnsi="宋体" w:eastAsia="宋体" w:cs="宋体"/>
          <w:color w:val="auto"/>
          <w:sz w:val="21"/>
          <w:szCs w:val="21"/>
          <w:highlight w:val="none"/>
          <w:lang w:eastAsia="zh-CN"/>
        </w:rPr>
        <w:t>以来</w:t>
      </w:r>
      <w:r>
        <w:rPr>
          <w:rFonts w:hint="eastAsia" w:ascii="宋体" w:hAnsi="宋体" w:eastAsia="宋体" w:cs="宋体"/>
          <w:color w:val="auto"/>
          <w:sz w:val="21"/>
          <w:szCs w:val="21"/>
          <w:highlight w:val="none"/>
          <w:lang w:eastAsia="zh-CN"/>
        </w:rPr>
        <w:t>具有与本工程同类项目</w:t>
      </w:r>
      <w:r>
        <w:rPr>
          <w:rFonts w:hint="eastAsia" w:ascii="宋体" w:hAnsi="宋体" w:eastAsia="宋体" w:cs="宋体"/>
          <w:color w:val="auto"/>
          <w:sz w:val="21"/>
          <w:szCs w:val="21"/>
          <w:highlight w:val="none"/>
        </w:rPr>
        <w:t>业绩相关证明材料（</w:t>
      </w:r>
      <w:r>
        <w:rPr>
          <w:rFonts w:hint="eastAsia" w:ascii="宋体" w:hAnsi="宋体" w:eastAsia="宋体" w:cs="宋体"/>
          <w:color w:val="auto"/>
          <w:sz w:val="21"/>
          <w:szCs w:val="21"/>
          <w:highlight w:val="none"/>
        </w:rPr>
        <w:t>无不良记录，以中标、成交通知书或签订的合同</w:t>
      </w:r>
      <w:r>
        <w:rPr>
          <w:rFonts w:hint="eastAsia" w:ascii="宋体" w:hAnsi="宋体" w:cs="宋体"/>
          <w:color w:val="auto"/>
          <w:sz w:val="21"/>
          <w:szCs w:val="21"/>
          <w:highlight w:val="none"/>
          <w:lang w:eastAsia="zh-CN"/>
        </w:rPr>
        <w:t>复印件</w:t>
      </w:r>
      <w:r>
        <w:rPr>
          <w:rFonts w:hint="eastAsia" w:ascii="宋体" w:hAnsi="宋体" w:eastAsia="宋体" w:cs="宋体"/>
          <w:color w:val="auto"/>
          <w:sz w:val="21"/>
          <w:szCs w:val="21"/>
          <w:highlight w:val="none"/>
        </w:rPr>
        <w:t>为准，并能清晰反映</w:t>
      </w:r>
      <w:r>
        <w:rPr>
          <w:rFonts w:hint="eastAsia" w:ascii="宋体" w:hAnsi="宋体" w:eastAsia="宋体" w:cs="宋体"/>
          <w:color w:val="auto"/>
          <w:sz w:val="21"/>
          <w:szCs w:val="21"/>
          <w:highlight w:val="none"/>
          <w:lang w:eastAsia="zh-CN"/>
        </w:rPr>
        <w:t>项目</w:t>
      </w:r>
      <w:r>
        <w:rPr>
          <w:rFonts w:hint="eastAsia" w:ascii="宋体" w:hAnsi="宋体" w:eastAsia="宋体" w:cs="宋体"/>
          <w:color w:val="auto"/>
          <w:sz w:val="21"/>
          <w:szCs w:val="21"/>
          <w:highlight w:val="none"/>
        </w:rPr>
        <w:t>的名称、</w:t>
      </w:r>
      <w:r>
        <w:rPr>
          <w:rFonts w:hint="eastAsia" w:ascii="宋体" w:hAnsi="宋体" w:eastAsia="宋体" w:cs="宋体"/>
          <w:color w:val="auto"/>
          <w:sz w:val="21"/>
          <w:szCs w:val="21"/>
          <w:highlight w:val="none"/>
          <w:lang w:eastAsia="zh-CN"/>
        </w:rPr>
        <w:t>采购内容</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采购</w:t>
      </w:r>
      <w:r>
        <w:rPr>
          <w:rFonts w:hint="eastAsia" w:ascii="宋体" w:hAnsi="宋体" w:eastAsia="宋体" w:cs="宋体"/>
          <w:color w:val="auto"/>
          <w:sz w:val="21"/>
          <w:szCs w:val="21"/>
          <w:highlight w:val="none"/>
        </w:rPr>
        <w:t>金额</w:t>
      </w:r>
      <w:r>
        <w:rPr>
          <w:rFonts w:hint="eastAsia" w:ascii="宋体" w:hAnsi="宋体" w:eastAsia="宋体" w:cs="宋体"/>
          <w:color w:val="auto"/>
          <w:sz w:val="21"/>
          <w:szCs w:val="21"/>
          <w:highlight w:val="none"/>
          <w:lang w:eastAsia="zh-CN"/>
        </w:rPr>
        <w:t>、采购时间</w:t>
      </w:r>
      <w:r>
        <w:rPr>
          <w:rFonts w:hint="eastAsia" w:ascii="宋体" w:hAnsi="宋体" w:eastAsia="宋体" w:cs="宋体"/>
          <w:color w:val="auto"/>
          <w:sz w:val="21"/>
          <w:szCs w:val="21"/>
          <w:highlight w:val="none"/>
        </w:rPr>
        <w:t>）</w:t>
      </w:r>
      <w:r>
        <w:rPr>
          <w:rFonts w:hint="eastAsia" w:ascii="宋体" w:hAnsi="宋体" w:eastAsia="宋体" w:cs="宋体"/>
          <w:b/>
          <w:bCs/>
          <w:color w:val="auto"/>
          <w:sz w:val="21"/>
          <w:szCs w:val="21"/>
          <w:highlight w:val="none"/>
        </w:rPr>
        <w:t>（如有，请提供）；</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供应商可结合本项目的评审办法视自身情况自行提交其它相关证明材料。</w:t>
      </w:r>
    </w:p>
    <w:p>
      <w:pPr>
        <w:spacing w:line="360" w:lineRule="auto"/>
        <w:ind w:firstLine="420" w:firstLineChars="200"/>
        <w:rPr>
          <w:rFonts w:hint="eastAsia" w:ascii="宋体" w:hAnsi="宋体" w:eastAsia="宋体" w:cs="宋体"/>
          <w:color w:val="auto"/>
          <w:sz w:val="21"/>
          <w:szCs w:val="21"/>
          <w:highlight w:val="none"/>
        </w:rPr>
      </w:pPr>
    </w:p>
    <w:p>
      <w:pPr>
        <w:pStyle w:val="24"/>
        <w:rPr>
          <w:rFonts w:hint="eastAsia" w:ascii="宋体" w:hAnsi="宋体" w:eastAsia="宋体" w:cs="宋体"/>
          <w:b/>
          <w:bCs/>
          <w:color w:val="auto"/>
          <w:sz w:val="21"/>
          <w:szCs w:val="21"/>
          <w:highlight w:val="none"/>
        </w:rPr>
      </w:pPr>
    </w:p>
    <w:p>
      <w:pPr>
        <w:pStyle w:val="24"/>
        <w:rPr>
          <w:rFonts w:hint="eastAsia" w:ascii="宋体" w:hAnsi="宋体" w:eastAsia="宋体" w:cs="宋体"/>
          <w:b/>
          <w:bCs/>
          <w:color w:val="auto"/>
          <w:sz w:val="21"/>
          <w:szCs w:val="21"/>
          <w:highlight w:val="none"/>
        </w:rPr>
      </w:pPr>
    </w:p>
    <w:p>
      <w:pPr>
        <w:pStyle w:val="24"/>
        <w:rPr>
          <w:rFonts w:hint="eastAsia" w:ascii="宋体" w:hAnsi="宋体" w:eastAsia="宋体" w:cs="宋体"/>
          <w:b/>
          <w:bCs/>
          <w:color w:val="auto"/>
          <w:sz w:val="21"/>
          <w:szCs w:val="21"/>
          <w:highlight w:val="none"/>
        </w:rPr>
      </w:pPr>
    </w:p>
    <w:p>
      <w:pPr>
        <w:pStyle w:val="24"/>
        <w:rPr>
          <w:rFonts w:hint="eastAsia" w:ascii="宋体" w:hAnsi="宋体" w:eastAsia="宋体" w:cs="宋体"/>
          <w:b/>
          <w:bCs/>
          <w:color w:val="auto"/>
          <w:sz w:val="21"/>
          <w:szCs w:val="21"/>
          <w:highlight w:val="none"/>
        </w:rPr>
      </w:pPr>
    </w:p>
    <w:p>
      <w:pPr>
        <w:pStyle w:val="24"/>
        <w:rPr>
          <w:rFonts w:hint="eastAsia" w:ascii="宋体" w:hAnsi="宋体" w:eastAsia="宋体" w:cs="宋体"/>
          <w:b/>
          <w:bCs/>
          <w:color w:val="auto"/>
          <w:sz w:val="21"/>
          <w:szCs w:val="21"/>
          <w:highlight w:val="none"/>
        </w:rPr>
      </w:pPr>
    </w:p>
    <w:p>
      <w:pPr>
        <w:pStyle w:val="24"/>
        <w:rPr>
          <w:rFonts w:hint="eastAsia" w:ascii="宋体" w:hAnsi="宋体" w:eastAsia="宋体" w:cs="宋体"/>
          <w:b/>
          <w:bCs/>
          <w:color w:val="auto"/>
          <w:sz w:val="21"/>
          <w:szCs w:val="21"/>
          <w:highlight w:val="none"/>
        </w:rPr>
      </w:pPr>
    </w:p>
    <w:p>
      <w:pPr>
        <w:pStyle w:val="24"/>
        <w:rPr>
          <w:rFonts w:hint="eastAsia" w:ascii="宋体" w:hAnsi="宋体" w:eastAsia="宋体" w:cs="宋体"/>
          <w:b/>
          <w:bCs/>
          <w:color w:val="auto"/>
          <w:sz w:val="21"/>
          <w:szCs w:val="21"/>
          <w:highlight w:val="none"/>
        </w:rPr>
      </w:pPr>
    </w:p>
    <w:p>
      <w:pPr>
        <w:pStyle w:val="24"/>
        <w:rPr>
          <w:rFonts w:hint="eastAsia" w:ascii="宋体" w:hAnsi="宋体" w:eastAsia="宋体" w:cs="宋体"/>
          <w:b/>
          <w:bCs/>
          <w:color w:val="auto"/>
          <w:sz w:val="21"/>
          <w:szCs w:val="21"/>
          <w:highlight w:val="none"/>
        </w:rPr>
      </w:pPr>
    </w:p>
    <w:p>
      <w:pPr>
        <w:pStyle w:val="24"/>
        <w:rPr>
          <w:rFonts w:hint="eastAsia" w:ascii="宋体" w:hAnsi="宋体" w:eastAsia="宋体" w:cs="宋体"/>
          <w:b/>
          <w:bCs/>
          <w:color w:val="auto"/>
          <w:sz w:val="21"/>
          <w:szCs w:val="21"/>
          <w:highlight w:val="none"/>
        </w:rPr>
      </w:pPr>
    </w:p>
    <w:p>
      <w:pPr>
        <w:pStyle w:val="24"/>
        <w:rPr>
          <w:rFonts w:hint="eastAsia" w:ascii="宋体" w:hAnsi="宋体" w:eastAsia="宋体" w:cs="宋体"/>
          <w:b/>
          <w:bCs/>
          <w:color w:val="auto"/>
          <w:sz w:val="21"/>
          <w:szCs w:val="21"/>
          <w:highlight w:val="none"/>
        </w:rPr>
      </w:pPr>
    </w:p>
    <w:p>
      <w:pPr>
        <w:pStyle w:val="24"/>
        <w:rPr>
          <w:rFonts w:hint="eastAsia" w:ascii="宋体" w:hAnsi="宋体" w:eastAsia="宋体" w:cs="宋体"/>
          <w:b/>
          <w:bCs/>
          <w:color w:val="auto"/>
          <w:sz w:val="21"/>
          <w:szCs w:val="21"/>
          <w:highlight w:val="none"/>
        </w:rPr>
      </w:pPr>
    </w:p>
    <w:p>
      <w:pPr>
        <w:pStyle w:val="24"/>
        <w:rPr>
          <w:rFonts w:hint="eastAsia" w:ascii="宋体" w:hAnsi="宋体" w:eastAsia="宋体" w:cs="宋体"/>
          <w:b/>
          <w:bCs/>
          <w:color w:val="auto"/>
          <w:sz w:val="21"/>
          <w:szCs w:val="21"/>
          <w:highlight w:val="none"/>
        </w:rPr>
      </w:pPr>
    </w:p>
    <w:p>
      <w:pPr>
        <w:pStyle w:val="8"/>
        <w:rPr>
          <w:rFonts w:hint="eastAsia" w:ascii="宋体" w:hAnsi="宋体" w:eastAsia="宋体" w:cs="宋体"/>
          <w:b/>
          <w:bCs/>
          <w:iCs/>
          <w:color w:val="auto"/>
          <w:kern w:val="2"/>
          <w:sz w:val="21"/>
          <w:szCs w:val="21"/>
          <w:highlight w:val="none"/>
          <w:lang w:val="en-US" w:eastAsia="zh-CN" w:bidi="ar-SA"/>
        </w:rPr>
      </w:pPr>
    </w:p>
    <w:p>
      <w:pPr>
        <w:spacing w:line="240" w:lineRule="auto"/>
        <w:rPr>
          <w:rFonts w:hint="eastAsia" w:ascii="宋体" w:hAnsi="宋体" w:eastAsia="宋体" w:cs="宋体"/>
          <w:b/>
          <w:bCs/>
          <w:iCs/>
          <w:color w:val="auto"/>
          <w:kern w:val="2"/>
          <w:sz w:val="21"/>
          <w:szCs w:val="21"/>
          <w:highlight w:val="none"/>
          <w:lang w:val="en-US" w:eastAsia="zh-CN" w:bidi="ar-SA"/>
        </w:rPr>
      </w:pPr>
    </w:p>
    <w:p>
      <w:pPr>
        <w:pStyle w:val="8"/>
        <w:rPr>
          <w:rFonts w:hint="eastAsia" w:ascii="宋体" w:hAnsi="宋体" w:eastAsia="宋体" w:cs="宋体"/>
          <w:b/>
          <w:bCs/>
          <w:iCs/>
          <w:color w:val="auto"/>
          <w:kern w:val="2"/>
          <w:sz w:val="21"/>
          <w:szCs w:val="21"/>
          <w:highlight w:val="none"/>
          <w:lang w:val="en-US" w:eastAsia="zh-CN" w:bidi="ar-SA"/>
        </w:rPr>
      </w:pPr>
    </w:p>
    <w:p>
      <w:pPr>
        <w:rPr>
          <w:rFonts w:hint="eastAsia" w:ascii="宋体" w:hAnsi="宋体" w:eastAsia="宋体" w:cs="宋体"/>
          <w:b/>
          <w:bCs/>
          <w:iCs/>
          <w:color w:val="auto"/>
          <w:kern w:val="2"/>
          <w:sz w:val="21"/>
          <w:szCs w:val="21"/>
          <w:highlight w:val="none"/>
          <w:lang w:val="en-US" w:eastAsia="zh-CN" w:bidi="ar-SA"/>
        </w:rPr>
      </w:pPr>
    </w:p>
    <w:p>
      <w:pPr>
        <w:pStyle w:val="8"/>
        <w:rPr>
          <w:rFonts w:hint="eastAsia" w:ascii="宋体" w:hAnsi="宋体" w:eastAsia="宋体" w:cs="宋体"/>
          <w:b/>
          <w:bCs/>
          <w:iCs/>
          <w:color w:val="auto"/>
          <w:kern w:val="2"/>
          <w:sz w:val="21"/>
          <w:szCs w:val="21"/>
          <w:highlight w:val="none"/>
          <w:lang w:val="en-US" w:eastAsia="zh-CN" w:bidi="ar-SA"/>
        </w:rPr>
      </w:pPr>
    </w:p>
    <w:p>
      <w:pPr>
        <w:rPr>
          <w:rFonts w:hint="eastAsia" w:ascii="宋体" w:hAnsi="宋体" w:eastAsia="宋体" w:cs="宋体"/>
          <w:b/>
          <w:bCs/>
          <w:iCs/>
          <w:color w:val="auto"/>
          <w:kern w:val="2"/>
          <w:sz w:val="21"/>
          <w:szCs w:val="21"/>
          <w:highlight w:val="none"/>
          <w:lang w:val="en-US" w:eastAsia="zh-CN" w:bidi="ar-SA"/>
        </w:rPr>
      </w:pPr>
    </w:p>
    <w:p>
      <w:pPr>
        <w:pStyle w:val="8"/>
        <w:rPr>
          <w:rFonts w:hint="eastAsia" w:ascii="宋体" w:hAnsi="宋体" w:eastAsia="宋体" w:cs="宋体"/>
          <w:b/>
          <w:bCs/>
          <w:iCs/>
          <w:color w:val="auto"/>
          <w:kern w:val="2"/>
          <w:sz w:val="21"/>
          <w:szCs w:val="21"/>
          <w:highlight w:val="none"/>
          <w:lang w:val="en-US" w:eastAsia="zh-CN" w:bidi="ar-SA"/>
        </w:rPr>
      </w:pPr>
    </w:p>
    <w:p>
      <w:pPr>
        <w:rPr>
          <w:rFonts w:hint="eastAsia" w:ascii="宋体" w:hAnsi="宋体" w:eastAsia="宋体" w:cs="宋体"/>
          <w:b/>
          <w:bCs/>
          <w:iCs/>
          <w:color w:val="auto"/>
          <w:kern w:val="2"/>
          <w:sz w:val="21"/>
          <w:szCs w:val="21"/>
          <w:highlight w:val="none"/>
          <w:lang w:val="en-US" w:eastAsia="zh-CN" w:bidi="ar-SA"/>
        </w:rPr>
      </w:pPr>
    </w:p>
    <w:p>
      <w:pPr>
        <w:pStyle w:val="8"/>
        <w:rPr>
          <w:rFonts w:hint="eastAsia" w:ascii="宋体" w:hAnsi="宋体" w:eastAsia="宋体" w:cs="宋体"/>
          <w:b/>
          <w:bCs/>
          <w:iCs/>
          <w:color w:val="auto"/>
          <w:kern w:val="2"/>
          <w:sz w:val="21"/>
          <w:szCs w:val="21"/>
          <w:highlight w:val="none"/>
          <w:lang w:val="en-US" w:eastAsia="zh-CN" w:bidi="ar-SA"/>
        </w:rPr>
      </w:pPr>
    </w:p>
    <w:p>
      <w:pPr>
        <w:rPr>
          <w:rFonts w:hint="eastAsia" w:ascii="宋体" w:hAnsi="宋体" w:eastAsia="宋体" w:cs="宋体"/>
          <w:b/>
          <w:bCs/>
          <w:iCs/>
          <w:color w:val="auto"/>
          <w:kern w:val="2"/>
          <w:sz w:val="21"/>
          <w:szCs w:val="21"/>
          <w:highlight w:val="none"/>
          <w:lang w:val="en-US" w:eastAsia="zh-CN" w:bidi="ar-SA"/>
        </w:rPr>
      </w:pPr>
    </w:p>
    <w:p>
      <w:pPr>
        <w:pStyle w:val="8"/>
        <w:rPr>
          <w:rFonts w:hint="eastAsia" w:ascii="宋体" w:hAnsi="宋体" w:eastAsia="宋体" w:cs="宋体"/>
          <w:b/>
          <w:bCs/>
          <w:iCs/>
          <w:color w:val="auto"/>
          <w:kern w:val="2"/>
          <w:sz w:val="21"/>
          <w:szCs w:val="21"/>
          <w:highlight w:val="none"/>
          <w:lang w:val="en-US" w:eastAsia="zh-CN" w:bidi="ar-SA"/>
        </w:rPr>
      </w:pPr>
    </w:p>
    <w:p>
      <w:pPr>
        <w:rPr>
          <w:rFonts w:hint="eastAsia" w:ascii="宋体" w:hAnsi="宋体" w:eastAsia="宋体" w:cs="宋体"/>
          <w:b/>
          <w:bCs/>
          <w:iCs/>
          <w:color w:val="auto"/>
          <w:kern w:val="2"/>
          <w:sz w:val="21"/>
          <w:szCs w:val="21"/>
          <w:highlight w:val="none"/>
          <w:lang w:val="en-US" w:eastAsia="zh-CN" w:bidi="ar-SA"/>
        </w:rPr>
      </w:pPr>
    </w:p>
    <w:p>
      <w:pPr>
        <w:pStyle w:val="8"/>
        <w:rPr>
          <w:rFonts w:hint="eastAsia" w:ascii="宋体" w:hAnsi="宋体" w:eastAsia="宋体" w:cs="宋体"/>
          <w:b/>
          <w:bCs/>
          <w:iCs/>
          <w:color w:val="auto"/>
          <w:kern w:val="2"/>
          <w:sz w:val="21"/>
          <w:szCs w:val="21"/>
          <w:highlight w:val="none"/>
          <w:lang w:val="en-US" w:eastAsia="zh-CN" w:bidi="ar-SA"/>
        </w:rPr>
      </w:pPr>
    </w:p>
    <w:p>
      <w:pPr>
        <w:rPr>
          <w:rFonts w:hint="eastAsia" w:ascii="宋体" w:hAnsi="宋体" w:eastAsia="宋体" w:cs="宋体"/>
          <w:b/>
          <w:bCs/>
          <w:iCs/>
          <w:color w:val="auto"/>
          <w:kern w:val="2"/>
          <w:sz w:val="21"/>
          <w:szCs w:val="21"/>
          <w:highlight w:val="none"/>
          <w:lang w:val="en-US" w:eastAsia="zh-CN" w:bidi="ar-SA"/>
        </w:rPr>
      </w:pPr>
    </w:p>
    <w:p>
      <w:pPr>
        <w:pStyle w:val="8"/>
        <w:rPr>
          <w:rFonts w:hint="eastAsia" w:ascii="宋体" w:hAnsi="宋体" w:eastAsia="宋体" w:cs="宋体"/>
          <w:b/>
          <w:bCs/>
          <w:iCs/>
          <w:color w:val="auto"/>
          <w:kern w:val="2"/>
          <w:sz w:val="21"/>
          <w:szCs w:val="21"/>
          <w:highlight w:val="none"/>
          <w:lang w:val="en-US" w:eastAsia="zh-CN" w:bidi="ar-SA"/>
        </w:rPr>
      </w:pPr>
    </w:p>
    <w:p>
      <w:pPr>
        <w:rPr>
          <w:rFonts w:hint="eastAsia" w:ascii="宋体" w:hAnsi="宋体" w:eastAsia="宋体" w:cs="宋体"/>
          <w:b/>
          <w:bCs/>
          <w:iCs/>
          <w:color w:val="auto"/>
          <w:kern w:val="2"/>
          <w:sz w:val="21"/>
          <w:szCs w:val="21"/>
          <w:highlight w:val="none"/>
          <w:lang w:val="en-US" w:eastAsia="zh-CN" w:bidi="ar-SA"/>
        </w:rPr>
      </w:pPr>
    </w:p>
    <w:p>
      <w:pPr>
        <w:pStyle w:val="8"/>
        <w:rPr>
          <w:rFonts w:hint="eastAsia" w:ascii="宋体" w:hAnsi="宋体" w:eastAsia="宋体" w:cs="宋体"/>
          <w:b/>
          <w:bCs/>
          <w:iCs/>
          <w:color w:val="auto"/>
          <w:kern w:val="2"/>
          <w:sz w:val="21"/>
          <w:szCs w:val="21"/>
          <w:highlight w:val="none"/>
          <w:lang w:val="en-US" w:eastAsia="zh-CN" w:bidi="ar-SA"/>
        </w:rPr>
      </w:pPr>
    </w:p>
    <w:p>
      <w:pPr>
        <w:rPr>
          <w:rFonts w:hint="eastAsia" w:ascii="宋体" w:hAnsi="宋体" w:eastAsia="宋体" w:cs="宋体"/>
          <w:b/>
          <w:bCs/>
          <w:iCs/>
          <w:color w:val="auto"/>
          <w:kern w:val="2"/>
          <w:sz w:val="21"/>
          <w:szCs w:val="21"/>
          <w:highlight w:val="none"/>
          <w:lang w:val="en-US" w:eastAsia="zh-CN" w:bidi="ar-SA"/>
        </w:rPr>
      </w:pPr>
    </w:p>
    <w:p>
      <w:pPr>
        <w:pStyle w:val="8"/>
        <w:rPr>
          <w:rFonts w:hint="eastAsia"/>
          <w:color w:val="auto"/>
          <w:highlight w:val="none"/>
          <w:lang w:val="en-US" w:eastAsia="zh-CN"/>
        </w:rPr>
      </w:pPr>
    </w:p>
    <w:p>
      <w:pPr>
        <w:spacing w:line="240" w:lineRule="auto"/>
        <w:rPr>
          <w:rFonts w:hint="eastAsia" w:ascii="宋体" w:hAnsi="宋体" w:eastAsia="宋体" w:cs="宋体"/>
          <w:b/>
          <w:bCs/>
          <w:iCs/>
          <w:color w:val="auto"/>
          <w:kern w:val="2"/>
          <w:sz w:val="21"/>
          <w:szCs w:val="21"/>
          <w:highlight w:val="none"/>
          <w:lang w:val="en-US" w:eastAsia="zh-CN" w:bidi="ar-SA"/>
        </w:rPr>
      </w:pPr>
    </w:p>
    <w:p>
      <w:pPr>
        <w:spacing w:line="240" w:lineRule="auto"/>
        <w:rPr>
          <w:rFonts w:hint="eastAsia" w:ascii="宋体" w:hAnsi="宋体" w:eastAsia="宋体" w:cs="宋体"/>
          <w:b/>
          <w:bCs/>
          <w:iCs/>
          <w:color w:val="auto"/>
          <w:kern w:val="2"/>
          <w:sz w:val="21"/>
          <w:szCs w:val="21"/>
          <w:highlight w:val="none"/>
          <w:lang w:val="en-US" w:eastAsia="zh-CN" w:bidi="ar-SA"/>
        </w:rPr>
      </w:pPr>
    </w:p>
    <w:p>
      <w:pPr>
        <w:spacing w:line="240" w:lineRule="auto"/>
        <w:rPr>
          <w:rFonts w:hint="eastAsia" w:ascii="宋体" w:hAnsi="宋体" w:eastAsia="宋体" w:cs="宋体"/>
          <w:b/>
          <w:bCs/>
          <w:iCs/>
          <w:color w:val="auto"/>
          <w:kern w:val="2"/>
          <w:sz w:val="21"/>
          <w:szCs w:val="21"/>
          <w:highlight w:val="none"/>
          <w:lang w:val="en-US" w:eastAsia="zh-CN" w:bidi="ar-SA"/>
        </w:rPr>
      </w:pPr>
    </w:p>
    <w:p>
      <w:pPr>
        <w:spacing w:line="240" w:lineRule="auto"/>
        <w:rPr>
          <w:rFonts w:hint="eastAsia" w:ascii="宋体" w:hAnsi="宋体" w:eastAsia="宋体" w:cs="宋体"/>
          <w:b/>
          <w:bCs/>
          <w:iCs/>
          <w:color w:val="auto"/>
          <w:kern w:val="2"/>
          <w:sz w:val="21"/>
          <w:szCs w:val="21"/>
          <w:highlight w:val="none"/>
          <w:lang w:val="en-US" w:eastAsia="zh-CN" w:bidi="ar-SA"/>
        </w:rPr>
      </w:pPr>
    </w:p>
    <w:p>
      <w:pPr>
        <w:spacing w:line="240" w:lineRule="auto"/>
        <w:rPr>
          <w:rFonts w:hint="eastAsia" w:ascii="宋体" w:hAnsi="宋体" w:eastAsia="宋体" w:cs="宋体"/>
          <w:b/>
          <w:bCs/>
          <w:iCs/>
          <w:color w:val="auto"/>
          <w:kern w:val="2"/>
          <w:sz w:val="21"/>
          <w:szCs w:val="21"/>
          <w:highlight w:val="none"/>
          <w:lang w:val="en-US" w:eastAsia="zh-CN" w:bidi="ar-SA"/>
        </w:rPr>
      </w:pPr>
    </w:p>
    <w:p>
      <w:pPr>
        <w:spacing w:line="240" w:lineRule="auto"/>
        <w:rPr>
          <w:rFonts w:hint="eastAsia" w:ascii="宋体" w:hAnsi="宋体" w:eastAsia="宋体" w:cs="宋体"/>
          <w:b/>
          <w:bCs/>
          <w:iCs/>
          <w:color w:val="auto"/>
          <w:kern w:val="2"/>
          <w:sz w:val="21"/>
          <w:szCs w:val="21"/>
          <w:highlight w:val="none"/>
          <w:lang w:val="en-US" w:eastAsia="zh-CN" w:bidi="ar-SA"/>
        </w:rPr>
      </w:pPr>
    </w:p>
    <w:p>
      <w:pPr>
        <w:spacing w:line="240" w:lineRule="auto"/>
        <w:rPr>
          <w:rFonts w:hint="eastAsia" w:ascii="宋体" w:hAnsi="宋体" w:eastAsia="宋体" w:cs="宋体"/>
          <w:b/>
          <w:bCs/>
          <w:iCs/>
          <w:color w:val="auto"/>
          <w:kern w:val="2"/>
          <w:sz w:val="21"/>
          <w:szCs w:val="21"/>
          <w:highlight w:val="none"/>
          <w:lang w:val="en-US" w:eastAsia="zh-CN" w:bidi="ar-SA"/>
        </w:rPr>
      </w:pPr>
      <w:r>
        <w:rPr>
          <w:rFonts w:hint="eastAsia" w:ascii="宋体" w:hAnsi="宋体" w:eastAsia="宋体" w:cs="宋体"/>
          <w:b/>
          <w:bCs/>
          <w:iCs/>
          <w:color w:val="auto"/>
          <w:kern w:val="2"/>
          <w:sz w:val="21"/>
          <w:szCs w:val="21"/>
          <w:highlight w:val="none"/>
          <w:lang w:val="en-US" w:eastAsia="zh-CN" w:bidi="ar-SA"/>
        </w:rPr>
        <w:t>1.供应商</w:t>
      </w:r>
      <w:r>
        <w:rPr>
          <w:rFonts w:hint="eastAsia" w:ascii="宋体" w:hAnsi="宋体" w:eastAsia="宋体" w:cs="宋体"/>
          <w:b/>
          <w:bCs/>
          <w:iCs/>
          <w:color w:val="auto"/>
          <w:kern w:val="2"/>
          <w:sz w:val="21"/>
          <w:szCs w:val="21"/>
          <w:highlight w:val="none"/>
          <w:lang w:val="en-US" w:eastAsia="zh-CN" w:bidi="ar-SA"/>
        </w:rPr>
        <w:t>2021年1月1日</w:t>
      </w:r>
      <w:r>
        <w:rPr>
          <w:rFonts w:hint="eastAsia" w:ascii="宋体" w:hAnsi="宋体" w:eastAsia="宋体" w:cs="宋体"/>
          <w:b/>
          <w:bCs/>
          <w:iCs/>
          <w:color w:val="auto"/>
          <w:kern w:val="2"/>
          <w:sz w:val="21"/>
          <w:szCs w:val="21"/>
          <w:highlight w:val="none"/>
          <w:lang w:val="en-US" w:eastAsia="zh-CN" w:bidi="ar-SA"/>
        </w:rPr>
        <w:t>以来具有与本工程同类项目业绩相关证明材料（无不良记录，以中标、成交通知书或签订的合同复印件为准，并能清晰反映项目的名称、采购内容、采购金额、采购时间）（如有，请提供）</w:t>
      </w:r>
    </w:p>
    <w:p>
      <w:pPr>
        <w:spacing w:line="240" w:lineRule="auto"/>
        <w:rPr>
          <w:rFonts w:hint="eastAsia" w:ascii="宋体" w:hAnsi="宋体" w:eastAsia="宋体" w:cs="宋体"/>
          <w:b/>
          <w:bCs/>
          <w:iCs/>
          <w:color w:val="auto"/>
          <w:kern w:val="2"/>
          <w:sz w:val="21"/>
          <w:szCs w:val="21"/>
          <w:highlight w:val="none"/>
          <w:lang w:val="en-US" w:eastAsia="zh-CN" w:bidi="ar-SA"/>
        </w:rPr>
      </w:pPr>
    </w:p>
    <w:p>
      <w:pPr>
        <w:spacing w:line="240" w:lineRule="auto"/>
        <w:rPr>
          <w:rFonts w:hint="eastAsia" w:ascii="宋体" w:hAnsi="宋体" w:eastAsia="宋体" w:cs="宋体"/>
          <w:b/>
          <w:bCs/>
          <w:iCs/>
          <w:color w:val="auto"/>
          <w:kern w:val="2"/>
          <w:sz w:val="21"/>
          <w:szCs w:val="21"/>
          <w:highlight w:val="none"/>
          <w:lang w:val="en-US" w:eastAsia="zh-CN" w:bidi="ar-SA"/>
        </w:rPr>
      </w:pPr>
    </w:p>
    <w:p>
      <w:pPr>
        <w:pStyle w:val="8"/>
        <w:rPr>
          <w:rFonts w:hint="eastAsia"/>
          <w:color w:val="auto"/>
          <w:highlight w:val="none"/>
          <w:lang w:val="en-US" w:eastAsia="zh-CN"/>
        </w:rPr>
      </w:pPr>
    </w:p>
    <w:p>
      <w:pPr>
        <w:spacing w:line="240" w:lineRule="auto"/>
        <w:rPr>
          <w:rFonts w:hint="eastAsia" w:ascii="宋体" w:hAnsi="宋体" w:cs="宋体"/>
          <w:b/>
          <w:bCs/>
          <w:iCs/>
          <w:color w:val="auto"/>
          <w:kern w:val="2"/>
          <w:sz w:val="21"/>
          <w:szCs w:val="21"/>
          <w:highlight w:val="none"/>
          <w:lang w:val="en-US" w:eastAsia="zh-CN" w:bidi="ar-SA"/>
        </w:rPr>
      </w:pPr>
    </w:p>
    <w:p>
      <w:pPr>
        <w:spacing w:line="240" w:lineRule="auto"/>
        <w:rPr>
          <w:rFonts w:hint="eastAsia" w:ascii="宋体" w:hAnsi="宋体" w:cs="宋体"/>
          <w:b/>
          <w:bCs/>
          <w:iCs/>
          <w:color w:val="auto"/>
          <w:kern w:val="2"/>
          <w:sz w:val="21"/>
          <w:szCs w:val="21"/>
          <w:highlight w:val="none"/>
          <w:lang w:val="en-US" w:eastAsia="zh-CN" w:bidi="ar-SA"/>
        </w:rPr>
      </w:pPr>
    </w:p>
    <w:p>
      <w:pPr>
        <w:spacing w:line="240" w:lineRule="auto"/>
        <w:rPr>
          <w:rFonts w:hint="eastAsia" w:ascii="宋体" w:hAnsi="宋体" w:eastAsia="宋体" w:cs="宋体"/>
          <w:b/>
          <w:bCs/>
          <w:iCs/>
          <w:color w:val="auto"/>
          <w:kern w:val="2"/>
          <w:sz w:val="21"/>
          <w:szCs w:val="21"/>
          <w:highlight w:val="none"/>
          <w:lang w:val="en-US" w:eastAsia="zh-CN" w:bidi="ar-SA"/>
        </w:rPr>
      </w:pPr>
      <w:r>
        <w:rPr>
          <w:rFonts w:hint="eastAsia" w:ascii="宋体" w:hAnsi="宋体" w:cs="宋体"/>
          <w:b/>
          <w:bCs/>
          <w:iCs/>
          <w:color w:val="auto"/>
          <w:kern w:val="2"/>
          <w:sz w:val="21"/>
          <w:szCs w:val="21"/>
          <w:highlight w:val="none"/>
          <w:lang w:val="en-US" w:eastAsia="zh-CN" w:bidi="ar-SA"/>
        </w:rPr>
        <w:t>2</w:t>
      </w:r>
      <w:r>
        <w:rPr>
          <w:rFonts w:hint="eastAsia" w:ascii="宋体" w:hAnsi="宋体" w:eastAsia="宋体" w:cs="宋体"/>
          <w:b/>
          <w:bCs/>
          <w:iCs/>
          <w:color w:val="auto"/>
          <w:kern w:val="2"/>
          <w:sz w:val="21"/>
          <w:szCs w:val="21"/>
          <w:highlight w:val="none"/>
          <w:lang w:val="en-US" w:eastAsia="zh-CN" w:bidi="ar-SA"/>
        </w:rPr>
        <w:t>.供应商可结合本项目自身情况自行提交其它相关证明材料。</w:t>
      </w:r>
    </w:p>
    <w:p>
      <w:pPr>
        <w:bidi w:val="0"/>
        <w:rPr>
          <w:rFonts w:hint="eastAsia" w:ascii="宋体" w:hAnsi="宋体" w:eastAsia="宋体" w:cs="宋体"/>
          <w:color w:val="auto"/>
          <w:sz w:val="21"/>
          <w:szCs w:val="21"/>
          <w:highlight w:val="none"/>
          <w:lang w:val="en-US" w:eastAsia="zh-CN"/>
        </w:rPr>
      </w:pPr>
    </w:p>
    <w:p>
      <w:pPr>
        <w:rPr>
          <w:rFonts w:hint="eastAsia" w:ascii="宋体" w:hAnsi="宋体" w:eastAsia="宋体" w:cs="宋体"/>
          <w:color w:val="auto"/>
          <w:sz w:val="21"/>
          <w:szCs w:val="21"/>
          <w:highlight w:val="none"/>
          <w:lang w:val="en-US" w:eastAsia="zh-CN"/>
        </w:rPr>
      </w:pPr>
    </w:p>
    <w:p>
      <w:pPr>
        <w:pStyle w:val="3"/>
        <w:spacing w:line="240" w:lineRule="auto"/>
        <w:jc w:val="center"/>
        <w:rPr>
          <w:rFonts w:hint="eastAsia" w:ascii="宋体" w:hAnsi="宋体" w:eastAsia="宋体" w:cs="宋体"/>
          <w:color w:val="auto"/>
          <w:sz w:val="21"/>
          <w:szCs w:val="21"/>
          <w:highlight w:val="none"/>
        </w:rPr>
      </w:pPr>
      <w:bookmarkStart w:id="2009" w:name="_Toc18780"/>
      <w:bookmarkStart w:id="2010" w:name="_Toc22545"/>
      <w:bookmarkStart w:id="2011" w:name="_Toc12385"/>
      <w:bookmarkStart w:id="2012" w:name="_Toc16390"/>
      <w:bookmarkStart w:id="2013" w:name="_Toc2237"/>
      <w:bookmarkStart w:id="2014" w:name="_Toc6973"/>
      <w:bookmarkStart w:id="2015" w:name="_Toc1637952"/>
    </w:p>
    <w:p>
      <w:pPr>
        <w:pStyle w:val="3"/>
        <w:spacing w:line="240" w:lineRule="auto"/>
        <w:jc w:val="center"/>
        <w:rPr>
          <w:rFonts w:hint="eastAsia" w:ascii="宋体" w:hAnsi="宋体" w:eastAsia="宋体" w:cs="宋体"/>
          <w:color w:val="auto"/>
          <w:sz w:val="21"/>
          <w:szCs w:val="21"/>
          <w:highlight w:val="none"/>
        </w:rPr>
      </w:pPr>
    </w:p>
    <w:p>
      <w:pPr>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rPr>
          <w:rFonts w:hint="eastAsia"/>
          <w:color w:val="auto"/>
          <w:highlight w:val="none"/>
        </w:rPr>
      </w:pPr>
    </w:p>
    <w:p>
      <w:pPr>
        <w:pStyle w:val="3"/>
        <w:spacing w:line="240" w:lineRule="auto"/>
        <w:jc w:val="center"/>
        <w:rPr>
          <w:rFonts w:hint="eastAsia" w:ascii="宋体" w:hAnsi="宋体" w:eastAsia="宋体" w:cs="宋体"/>
          <w:color w:val="auto"/>
          <w:sz w:val="24"/>
          <w:szCs w:val="24"/>
          <w:highlight w:val="none"/>
        </w:rPr>
      </w:pPr>
      <w:bookmarkStart w:id="2016" w:name="_Toc15967"/>
    </w:p>
    <w:p>
      <w:pPr>
        <w:pStyle w:val="3"/>
        <w:spacing w:line="240" w:lineRule="auto"/>
        <w:jc w:val="center"/>
        <w:rPr>
          <w:rFonts w:hint="eastAsia" w:ascii="宋体" w:hAnsi="宋体" w:eastAsia="宋体" w:cs="宋体"/>
          <w:color w:val="auto"/>
          <w:sz w:val="24"/>
          <w:szCs w:val="24"/>
          <w:highlight w:val="none"/>
        </w:rPr>
      </w:pPr>
    </w:p>
    <w:p>
      <w:pPr>
        <w:pStyle w:val="3"/>
        <w:spacing w:line="240" w:lineRule="auto"/>
        <w:jc w:val="center"/>
        <w:rPr>
          <w:rFonts w:hint="eastAsia" w:ascii="宋体" w:hAnsi="宋体" w:eastAsia="宋体" w:cs="宋体"/>
          <w:color w:val="auto"/>
          <w:sz w:val="24"/>
          <w:szCs w:val="24"/>
          <w:highlight w:val="none"/>
        </w:rPr>
      </w:pPr>
    </w:p>
    <w:p>
      <w:pPr>
        <w:pStyle w:val="3"/>
        <w:spacing w:line="240" w:lineRule="auto"/>
        <w:jc w:val="center"/>
        <w:rPr>
          <w:rFonts w:hint="eastAsia" w:ascii="宋体" w:hAnsi="宋体" w:eastAsia="宋体" w:cs="宋体"/>
          <w:color w:val="auto"/>
          <w:sz w:val="24"/>
          <w:szCs w:val="24"/>
          <w:highlight w:val="none"/>
        </w:rPr>
      </w:pPr>
    </w:p>
    <w:p>
      <w:pPr>
        <w:pStyle w:val="3"/>
        <w:spacing w:line="240" w:lineRule="auto"/>
        <w:jc w:val="center"/>
        <w:rPr>
          <w:rFonts w:hint="eastAsia" w:ascii="宋体" w:hAnsi="宋体" w:eastAsia="宋体" w:cs="宋体"/>
          <w:color w:val="auto"/>
          <w:sz w:val="24"/>
          <w:szCs w:val="24"/>
          <w:highlight w:val="none"/>
        </w:rPr>
      </w:pPr>
    </w:p>
    <w:p>
      <w:pPr>
        <w:pStyle w:val="3"/>
        <w:spacing w:line="240" w:lineRule="auto"/>
        <w:jc w:val="center"/>
        <w:rPr>
          <w:rFonts w:hint="eastAsia" w:ascii="宋体" w:hAnsi="宋体" w:eastAsia="宋体" w:cs="宋体"/>
          <w:color w:val="auto"/>
          <w:sz w:val="24"/>
          <w:szCs w:val="24"/>
          <w:highlight w:val="none"/>
        </w:rPr>
      </w:pPr>
    </w:p>
    <w:p>
      <w:pPr>
        <w:pStyle w:val="3"/>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第七章</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图纸</w:t>
      </w:r>
      <w:bookmarkEnd w:id="2009"/>
      <w:bookmarkEnd w:id="2010"/>
      <w:bookmarkEnd w:id="2011"/>
      <w:bookmarkEnd w:id="2012"/>
      <w:bookmarkEnd w:id="2013"/>
      <w:bookmarkEnd w:id="2014"/>
      <w:bookmarkEnd w:id="2016"/>
    </w:p>
    <w:bookmarkEnd w:id="2015"/>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另附</w:t>
      </w:r>
    </w:p>
    <w:sectPr>
      <w:headerReference r:id="rId11" w:type="default"/>
      <w:footerReference r:id="rId12" w:type="default"/>
      <w:pgSz w:w="11910" w:h="16850"/>
      <w:pgMar w:top="1417" w:right="1417" w:bottom="1417" w:left="1417" w:header="876" w:footer="861" w:gutter="0"/>
      <w:pgNumType w:fmt="decimal"/>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2"/>
      </w:rPr>
    </w:pPr>
    <w:r>
      <w:fldChar w:fldCharType="begin"/>
    </w:r>
    <w:r>
      <w:rPr>
        <w:rStyle w:val="22"/>
      </w:rPr>
      <w:instrText xml:space="preserve">PAGE  </w:instrText>
    </w:r>
    <w: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15"/>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22</w:t>
                    </w:r>
                    <w:r>
                      <w:fldChar w:fldCharType="end"/>
                    </w:r>
                  </w:p>
                </w:txbxContent>
              </v:textbox>
            </v:shape>
          </w:pict>
        </mc:Fallback>
      </mc:AlternateContent>
    </w:r>
    <w:r>
      <w:rPr>
        <w:rFonts w:ascii="Times New Roman" w:hAnsi="Times New Roman" w:eastAsia="Times New Roman" w:cs="Times New Roman"/>
        <w:spacing w:val="-2"/>
        <w:sz w:val="18"/>
        <w:szCs w:val="18"/>
      </w:rPr>
      <w:t>24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63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63</w:t>
                    </w:r>
                    <w:r>
                      <w:fldChar w:fldCharType="end"/>
                    </w:r>
                  </w:p>
                </w:txbxContent>
              </v:textbox>
            </v:shape>
          </w:pict>
        </mc:Fallback>
      </mc:AlternateContent>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none" w:color="auto" w:sz="0" w:space="0"/>
        <w:left w:val="none" w:color="auto" w:sz="0" w:space="0"/>
        <w:bottom w:val="none" w:color="auto" w:sz="0" w:space="1"/>
        <w:right w:val="none" w:color="auto" w:sz="0" w:space="0"/>
        <w:between w:val="none" w:color="auto" w:sz="0" w:space="0"/>
      </w:pBdr>
      <w:ind w:firstLine="0" w:firstLineChars="0"/>
      <w:jc w:val="both"/>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2484BF"/>
    <w:multiLevelType w:val="singleLevel"/>
    <w:tmpl w:val="DD2484BF"/>
    <w:lvl w:ilvl="0" w:tentative="0">
      <w:start w:val="8"/>
      <w:numFmt w:val="chineseCounting"/>
      <w:suff w:val="nothing"/>
      <w:lvlText w:val="%1、"/>
      <w:lvlJc w:val="left"/>
      <w:rPr>
        <w:rFonts w:hint="eastAsia"/>
      </w:rPr>
    </w:lvl>
  </w:abstractNum>
  <w:abstractNum w:abstractNumId="1">
    <w:nsid w:val="00000003"/>
    <w:multiLevelType w:val="singleLevel"/>
    <w:tmpl w:val="00000003"/>
    <w:lvl w:ilvl="0" w:tentative="0">
      <w:start w:val="1"/>
      <w:numFmt w:val="chineseCounting"/>
      <w:suff w:val="space"/>
      <w:lvlText w:val="第%1部分"/>
      <w:lvlJc w:val="left"/>
      <w:rPr>
        <w:rFonts w:hint="eastAsia"/>
      </w:rPr>
    </w:lvl>
  </w:abstractNum>
  <w:abstractNum w:abstractNumId="2">
    <w:nsid w:val="00000005"/>
    <w:multiLevelType w:val="multilevel"/>
    <w:tmpl w:val="00000005"/>
    <w:lvl w:ilvl="0" w:tentative="0">
      <w:start w:val="1"/>
      <w:numFmt w:val="chineseCounting"/>
      <w:suff w:val="nothing"/>
      <w:lvlText w:val="第%1章　"/>
      <w:lvlJc w:val="left"/>
      <w:pPr>
        <w:ind w:left="0" w:firstLine="402"/>
      </w:pPr>
      <w:rPr>
        <w:rFonts w:hint="eastAsia"/>
      </w:rPr>
    </w:lvl>
    <w:lvl w:ilvl="1" w:tentative="0">
      <w:start w:val="1"/>
      <w:numFmt w:val="chineseCounting"/>
      <w:suff w:val="nothing"/>
      <w:lvlText w:val="第%2节　"/>
      <w:lvlJc w:val="left"/>
      <w:pPr>
        <w:ind w:left="0" w:firstLine="402"/>
      </w:pPr>
      <w:rPr>
        <w:rFonts w:hint="eastAsia"/>
      </w:rPr>
    </w:lvl>
    <w:lvl w:ilvl="2" w:tentative="0">
      <w:start w:val="1"/>
      <w:numFmt w:val="chineseCounting"/>
      <w:suff w:val="nothing"/>
      <w:lvlText w:val="第%3条　"/>
      <w:lvlJc w:val="left"/>
      <w:pPr>
        <w:ind w:left="0" w:firstLine="402"/>
      </w:pPr>
      <w:rPr>
        <w:rFonts w:hint="eastAsia"/>
      </w:rPr>
    </w:lvl>
    <w:lvl w:ilvl="3" w:tentative="0">
      <w:start w:val="1"/>
      <w:numFmt w:val="chineseCounting"/>
      <w:suff w:val="nothing"/>
      <w:lvlText w:val="（%4）"/>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decimalEnclosedCircleChinese"/>
      <w:suff w:val="nothing"/>
      <w:lvlText w:val="%7 "/>
      <w:lvlJc w:val="left"/>
      <w:pPr>
        <w:ind w:left="0" w:firstLine="402"/>
      </w:pPr>
      <w:rPr>
        <w:rFonts w:hint="eastAsia"/>
      </w:rPr>
    </w:lvl>
    <w:lvl w:ilvl="7" w:tentative="0">
      <w:start w:val="1"/>
      <w:numFmt w:val="decimal"/>
      <w:suff w:val="nothing"/>
      <w:lvlText w:val="%8）"/>
      <w:lvlJc w:val="left"/>
      <w:pPr>
        <w:ind w:left="0" w:firstLine="402"/>
      </w:pPr>
      <w:rPr>
        <w:rFonts w:hint="eastAsia"/>
      </w:rPr>
    </w:lvl>
    <w:lvl w:ilvl="8" w:tentative="0">
      <w:start w:val="1"/>
      <w:numFmt w:val="lowerLetter"/>
      <w:suff w:val="nothing"/>
      <w:lvlText w:val="%9．"/>
      <w:lvlJc w:val="left"/>
      <w:pPr>
        <w:ind w:left="0" w:firstLine="402"/>
      </w:pPr>
      <w:rPr>
        <w:rFonts w:hint="eastAsia"/>
      </w:rPr>
    </w:lvl>
  </w:abstractNum>
  <w:abstractNum w:abstractNumId="3">
    <w:nsid w:val="00000008"/>
    <w:multiLevelType w:val="singleLevel"/>
    <w:tmpl w:val="00000008"/>
    <w:lvl w:ilvl="0" w:tentative="0">
      <w:start w:val="26"/>
      <w:numFmt w:val="decimal"/>
      <w:suff w:val="space"/>
      <w:lvlText w:val="%1."/>
      <w:lvlJc w:val="left"/>
    </w:lvl>
  </w:abstractNum>
  <w:abstractNum w:abstractNumId="4">
    <w:nsid w:val="00000009"/>
    <w:multiLevelType w:val="singleLevel"/>
    <w:tmpl w:val="00000009"/>
    <w:lvl w:ilvl="0" w:tentative="0">
      <w:start w:val="4"/>
      <w:numFmt w:val="decimal"/>
      <w:suff w:val="nothing"/>
      <w:lvlText w:val="（%1）"/>
      <w:lvlJc w:val="left"/>
    </w:lvl>
  </w:abstractNum>
  <w:abstractNum w:abstractNumId="5">
    <w:nsid w:val="0000000A"/>
    <w:multiLevelType w:val="singleLevel"/>
    <w:tmpl w:val="0000000A"/>
    <w:lvl w:ilvl="0" w:tentative="0">
      <w:start w:val="2"/>
      <w:numFmt w:val="decimal"/>
      <w:suff w:val="nothing"/>
      <w:lvlText w:val="（%1）"/>
      <w:lvlJc w:val="left"/>
    </w:lvl>
  </w:abstractNum>
  <w:abstractNum w:abstractNumId="6">
    <w:nsid w:val="0000000B"/>
    <w:multiLevelType w:val="singleLevel"/>
    <w:tmpl w:val="0000000B"/>
    <w:lvl w:ilvl="0" w:tentative="0">
      <w:start w:val="8"/>
      <w:numFmt w:val="decimal"/>
      <w:suff w:val="space"/>
      <w:lvlText w:val="%1."/>
      <w:lvlJc w:val="left"/>
    </w:lvl>
  </w:abstractNum>
  <w:abstractNum w:abstractNumId="7">
    <w:nsid w:val="11A8AE59"/>
    <w:multiLevelType w:val="singleLevel"/>
    <w:tmpl w:val="11A8AE59"/>
    <w:lvl w:ilvl="0" w:tentative="0">
      <w:start w:val="1"/>
      <w:numFmt w:val="decimal"/>
      <w:suff w:val="space"/>
      <w:lvlText w:val="（%1）"/>
      <w:lvlJc w:val="left"/>
    </w:lvl>
  </w:abstractNum>
  <w:abstractNum w:abstractNumId="8">
    <w:nsid w:val="34D014F5"/>
    <w:multiLevelType w:val="singleLevel"/>
    <w:tmpl w:val="34D014F5"/>
    <w:lvl w:ilvl="0" w:tentative="0">
      <w:start w:val="2"/>
      <w:numFmt w:val="decimal"/>
      <w:suff w:val="nothing"/>
      <w:lvlText w:val="%1、"/>
      <w:lvlJc w:val="left"/>
    </w:lvl>
  </w:abstractNum>
  <w:abstractNum w:abstractNumId="9">
    <w:nsid w:val="45209809"/>
    <w:multiLevelType w:val="singleLevel"/>
    <w:tmpl w:val="45209809"/>
    <w:lvl w:ilvl="0" w:tentative="0">
      <w:start w:val="5"/>
      <w:numFmt w:val="decimal"/>
      <w:suff w:val="space"/>
      <w:lvlText w:val="%1."/>
      <w:lvlJc w:val="left"/>
    </w:lvl>
  </w:abstractNum>
  <w:num w:numId="1">
    <w:abstractNumId w:val="2"/>
  </w:num>
  <w:num w:numId="2">
    <w:abstractNumId w:val="0"/>
  </w:num>
  <w:num w:numId="3">
    <w:abstractNumId w:val="9"/>
  </w:num>
  <w:num w:numId="4">
    <w:abstractNumId w:val="3"/>
  </w:num>
  <w:num w:numId="5">
    <w:abstractNumId w:val="8"/>
  </w:num>
  <w:num w:numId="6">
    <w:abstractNumId w:val="7"/>
  </w:num>
  <w:num w:numId="7">
    <w:abstractNumId w:val="1"/>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djNzNjOGM3NzJmZDFkMTNlNDE0ZTJjMzZkNDRhNmQifQ=="/>
    <w:docVar w:name="KSO_WPS_MARK_KEY" w:val="a565c4c6-cdbb-421b-a993-67cfb3d4f25f"/>
  </w:docVars>
  <w:rsids>
    <w:rsidRoot w:val="5EF00040"/>
    <w:rsid w:val="000507AF"/>
    <w:rsid w:val="00455F50"/>
    <w:rsid w:val="00733E26"/>
    <w:rsid w:val="00757B9E"/>
    <w:rsid w:val="00BA37FE"/>
    <w:rsid w:val="010D1AC6"/>
    <w:rsid w:val="012832B8"/>
    <w:rsid w:val="0183453D"/>
    <w:rsid w:val="01987FE8"/>
    <w:rsid w:val="01E574A6"/>
    <w:rsid w:val="02013399"/>
    <w:rsid w:val="02A9590D"/>
    <w:rsid w:val="034B3E47"/>
    <w:rsid w:val="038E67AE"/>
    <w:rsid w:val="03A04F32"/>
    <w:rsid w:val="03C22016"/>
    <w:rsid w:val="03EB630D"/>
    <w:rsid w:val="040000C7"/>
    <w:rsid w:val="040A684F"/>
    <w:rsid w:val="046B508B"/>
    <w:rsid w:val="04DE21B6"/>
    <w:rsid w:val="04E723E0"/>
    <w:rsid w:val="05A36F5B"/>
    <w:rsid w:val="05F15F19"/>
    <w:rsid w:val="066F5090"/>
    <w:rsid w:val="06BD404D"/>
    <w:rsid w:val="06ED3844"/>
    <w:rsid w:val="07153E89"/>
    <w:rsid w:val="076B7C79"/>
    <w:rsid w:val="0772074A"/>
    <w:rsid w:val="07893C2B"/>
    <w:rsid w:val="08B51B6E"/>
    <w:rsid w:val="08BE3EF5"/>
    <w:rsid w:val="08F31FA8"/>
    <w:rsid w:val="090C523D"/>
    <w:rsid w:val="092E1232"/>
    <w:rsid w:val="092E2FE0"/>
    <w:rsid w:val="09997BB9"/>
    <w:rsid w:val="0A74381B"/>
    <w:rsid w:val="0B3222C4"/>
    <w:rsid w:val="0B770C6E"/>
    <w:rsid w:val="0BA15CEB"/>
    <w:rsid w:val="0BCF7E8A"/>
    <w:rsid w:val="0BD40DA4"/>
    <w:rsid w:val="0C1B382B"/>
    <w:rsid w:val="0C630709"/>
    <w:rsid w:val="0D584ACF"/>
    <w:rsid w:val="0D896876"/>
    <w:rsid w:val="0D996408"/>
    <w:rsid w:val="0DCB34F3"/>
    <w:rsid w:val="0EAF2A15"/>
    <w:rsid w:val="0EBA46A3"/>
    <w:rsid w:val="0EE83C31"/>
    <w:rsid w:val="0F2904D1"/>
    <w:rsid w:val="0F36499C"/>
    <w:rsid w:val="0F5C492A"/>
    <w:rsid w:val="0F733B5B"/>
    <w:rsid w:val="0FC95811"/>
    <w:rsid w:val="0FD42EAB"/>
    <w:rsid w:val="102D7ECC"/>
    <w:rsid w:val="105510DD"/>
    <w:rsid w:val="106A1193"/>
    <w:rsid w:val="10843F90"/>
    <w:rsid w:val="109776BD"/>
    <w:rsid w:val="11F62D5C"/>
    <w:rsid w:val="122B4561"/>
    <w:rsid w:val="1238629D"/>
    <w:rsid w:val="12552003"/>
    <w:rsid w:val="126B3346"/>
    <w:rsid w:val="12AC01B1"/>
    <w:rsid w:val="13960100"/>
    <w:rsid w:val="142B4CEC"/>
    <w:rsid w:val="149E2DF8"/>
    <w:rsid w:val="14FF3F1F"/>
    <w:rsid w:val="1504385E"/>
    <w:rsid w:val="154F67B8"/>
    <w:rsid w:val="156264EB"/>
    <w:rsid w:val="1565422D"/>
    <w:rsid w:val="15935560"/>
    <w:rsid w:val="15BA6327"/>
    <w:rsid w:val="15FD7FC2"/>
    <w:rsid w:val="16573B76"/>
    <w:rsid w:val="169150FA"/>
    <w:rsid w:val="16A6065A"/>
    <w:rsid w:val="16FA5506"/>
    <w:rsid w:val="171C00F0"/>
    <w:rsid w:val="172F3566"/>
    <w:rsid w:val="176D18F5"/>
    <w:rsid w:val="17992095"/>
    <w:rsid w:val="179A6980"/>
    <w:rsid w:val="187355C6"/>
    <w:rsid w:val="18736C61"/>
    <w:rsid w:val="18770500"/>
    <w:rsid w:val="18AC0FBE"/>
    <w:rsid w:val="19257911"/>
    <w:rsid w:val="19546C0C"/>
    <w:rsid w:val="19617762"/>
    <w:rsid w:val="1A30271F"/>
    <w:rsid w:val="1A8B2040"/>
    <w:rsid w:val="1A930EF5"/>
    <w:rsid w:val="1A98475D"/>
    <w:rsid w:val="1A9A2DBB"/>
    <w:rsid w:val="1AE35E18"/>
    <w:rsid w:val="1B09565B"/>
    <w:rsid w:val="1BA809D0"/>
    <w:rsid w:val="1C464130"/>
    <w:rsid w:val="1E330A0C"/>
    <w:rsid w:val="1EBD0C36"/>
    <w:rsid w:val="1ECD4AB3"/>
    <w:rsid w:val="1ED52081"/>
    <w:rsid w:val="1F5570C1"/>
    <w:rsid w:val="1FF754EA"/>
    <w:rsid w:val="213827F6"/>
    <w:rsid w:val="217A0AD8"/>
    <w:rsid w:val="21A63C04"/>
    <w:rsid w:val="23503E27"/>
    <w:rsid w:val="23627FFE"/>
    <w:rsid w:val="237328F7"/>
    <w:rsid w:val="23931F66"/>
    <w:rsid w:val="239F6AF1"/>
    <w:rsid w:val="241E3F25"/>
    <w:rsid w:val="246A0F18"/>
    <w:rsid w:val="25534FFB"/>
    <w:rsid w:val="25A2609B"/>
    <w:rsid w:val="25C24D84"/>
    <w:rsid w:val="264F6618"/>
    <w:rsid w:val="26B4291F"/>
    <w:rsid w:val="26D4495E"/>
    <w:rsid w:val="26EB3E67"/>
    <w:rsid w:val="26F23447"/>
    <w:rsid w:val="271931E2"/>
    <w:rsid w:val="273E72B0"/>
    <w:rsid w:val="27A91D58"/>
    <w:rsid w:val="27B07790"/>
    <w:rsid w:val="27C2106B"/>
    <w:rsid w:val="27FA4B70"/>
    <w:rsid w:val="28060F58"/>
    <w:rsid w:val="28212236"/>
    <w:rsid w:val="284058F6"/>
    <w:rsid w:val="28425D08"/>
    <w:rsid w:val="287B7B98"/>
    <w:rsid w:val="28BC3A57"/>
    <w:rsid w:val="29341AF5"/>
    <w:rsid w:val="29392739"/>
    <w:rsid w:val="29453D02"/>
    <w:rsid w:val="29863A77"/>
    <w:rsid w:val="29CE620A"/>
    <w:rsid w:val="2A0E5353"/>
    <w:rsid w:val="2A3873C3"/>
    <w:rsid w:val="2ABD7112"/>
    <w:rsid w:val="2ACC6349"/>
    <w:rsid w:val="2B2D0EF2"/>
    <w:rsid w:val="2B557467"/>
    <w:rsid w:val="2B715282"/>
    <w:rsid w:val="2C2426F0"/>
    <w:rsid w:val="2CB15EA6"/>
    <w:rsid w:val="2DEC59F1"/>
    <w:rsid w:val="2E0A46C0"/>
    <w:rsid w:val="2E162111"/>
    <w:rsid w:val="2E562A17"/>
    <w:rsid w:val="2E9A4AF0"/>
    <w:rsid w:val="2EF336DC"/>
    <w:rsid w:val="2F307202"/>
    <w:rsid w:val="2F32242C"/>
    <w:rsid w:val="2F554149"/>
    <w:rsid w:val="2FC736C3"/>
    <w:rsid w:val="305F38FB"/>
    <w:rsid w:val="30882505"/>
    <w:rsid w:val="3089305D"/>
    <w:rsid w:val="30BD7020"/>
    <w:rsid w:val="31A55C86"/>
    <w:rsid w:val="32132053"/>
    <w:rsid w:val="3220530C"/>
    <w:rsid w:val="3249282A"/>
    <w:rsid w:val="327318E0"/>
    <w:rsid w:val="327F2033"/>
    <w:rsid w:val="32837286"/>
    <w:rsid w:val="333077D1"/>
    <w:rsid w:val="33662EFE"/>
    <w:rsid w:val="338D077F"/>
    <w:rsid w:val="34520411"/>
    <w:rsid w:val="34532B23"/>
    <w:rsid w:val="34B36291"/>
    <w:rsid w:val="34F12F90"/>
    <w:rsid w:val="353510CF"/>
    <w:rsid w:val="354511B0"/>
    <w:rsid w:val="357F67EE"/>
    <w:rsid w:val="35A45811"/>
    <w:rsid w:val="35FB4B7E"/>
    <w:rsid w:val="360630D9"/>
    <w:rsid w:val="36232DC2"/>
    <w:rsid w:val="369D517D"/>
    <w:rsid w:val="36AB4D47"/>
    <w:rsid w:val="36B3591A"/>
    <w:rsid w:val="37EB2F17"/>
    <w:rsid w:val="37F05781"/>
    <w:rsid w:val="37F214F9"/>
    <w:rsid w:val="38387E65"/>
    <w:rsid w:val="38547ABE"/>
    <w:rsid w:val="38631FB3"/>
    <w:rsid w:val="38C033A5"/>
    <w:rsid w:val="38C31254"/>
    <w:rsid w:val="38F52C52"/>
    <w:rsid w:val="393242EC"/>
    <w:rsid w:val="39553D5C"/>
    <w:rsid w:val="3A5B5D7C"/>
    <w:rsid w:val="3A685AA2"/>
    <w:rsid w:val="3AB531AD"/>
    <w:rsid w:val="3B484019"/>
    <w:rsid w:val="3B516536"/>
    <w:rsid w:val="3B796F44"/>
    <w:rsid w:val="3B8701AA"/>
    <w:rsid w:val="3C3A2D02"/>
    <w:rsid w:val="3C9568F7"/>
    <w:rsid w:val="3CDC5C48"/>
    <w:rsid w:val="3E9820B8"/>
    <w:rsid w:val="3EB05C6A"/>
    <w:rsid w:val="3EF3324B"/>
    <w:rsid w:val="3F1C1B1A"/>
    <w:rsid w:val="3F3A29B5"/>
    <w:rsid w:val="3FB12D7B"/>
    <w:rsid w:val="3FD33ACF"/>
    <w:rsid w:val="40A02991"/>
    <w:rsid w:val="419F0A7B"/>
    <w:rsid w:val="41EF14D0"/>
    <w:rsid w:val="4341737A"/>
    <w:rsid w:val="439A7D6E"/>
    <w:rsid w:val="43AA2C88"/>
    <w:rsid w:val="447B63D2"/>
    <w:rsid w:val="448B4FEE"/>
    <w:rsid w:val="44DF2E05"/>
    <w:rsid w:val="45390767"/>
    <w:rsid w:val="45592BB7"/>
    <w:rsid w:val="459B6790"/>
    <w:rsid w:val="46096450"/>
    <w:rsid w:val="46B06807"/>
    <w:rsid w:val="478C4C87"/>
    <w:rsid w:val="479C3360"/>
    <w:rsid w:val="47AC7348"/>
    <w:rsid w:val="47AD21BF"/>
    <w:rsid w:val="47F81D88"/>
    <w:rsid w:val="47FA3CDB"/>
    <w:rsid w:val="47FB627E"/>
    <w:rsid w:val="480908C5"/>
    <w:rsid w:val="484D62D8"/>
    <w:rsid w:val="48DA5DBD"/>
    <w:rsid w:val="48EE1869"/>
    <w:rsid w:val="48EE7ABB"/>
    <w:rsid w:val="49144504"/>
    <w:rsid w:val="49272E20"/>
    <w:rsid w:val="4929310F"/>
    <w:rsid w:val="4929464F"/>
    <w:rsid w:val="495F4514"/>
    <w:rsid w:val="49C56A6D"/>
    <w:rsid w:val="49ED1B20"/>
    <w:rsid w:val="4AAA655F"/>
    <w:rsid w:val="4B1112E1"/>
    <w:rsid w:val="4B967CA0"/>
    <w:rsid w:val="4B982181"/>
    <w:rsid w:val="4BA27C60"/>
    <w:rsid w:val="4BCD736F"/>
    <w:rsid w:val="4C4D76AC"/>
    <w:rsid w:val="4D472C4C"/>
    <w:rsid w:val="4E236FAC"/>
    <w:rsid w:val="4E807407"/>
    <w:rsid w:val="4EA36C51"/>
    <w:rsid w:val="4EFB083B"/>
    <w:rsid w:val="4F4D6A91"/>
    <w:rsid w:val="4FB41ED2"/>
    <w:rsid w:val="4FBA3327"/>
    <w:rsid w:val="502C494D"/>
    <w:rsid w:val="50487AB0"/>
    <w:rsid w:val="504F0E3F"/>
    <w:rsid w:val="50E33C7D"/>
    <w:rsid w:val="510F39DF"/>
    <w:rsid w:val="51DA0BDC"/>
    <w:rsid w:val="51E732F9"/>
    <w:rsid w:val="522919DD"/>
    <w:rsid w:val="525B6CEF"/>
    <w:rsid w:val="534F3F30"/>
    <w:rsid w:val="539A6875"/>
    <w:rsid w:val="53D524B6"/>
    <w:rsid w:val="53E14A15"/>
    <w:rsid w:val="54B06E11"/>
    <w:rsid w:val="54E56216"/>
    <w:rsid w:val="54EC46B9"/>
    <w:rsid w:val="554A0159"/>
    <w:rsid w:val="55816FCE"/>
    <w:rsid w:val="55A75279"/>
    <w:rsid w:val="55C951EF"/>
    <w:rsid w:val="55E44620"/>
    <w:rsid w:val="55E72D6A"/>
    <w:rsid w:val="5606767B"/>
    <w:rsid w:val="567C6706"/>
    <w:rsid w:val="568E01E7"/>
    <w:rsid w:val="56A456C1"/>
    <w:rsid w:val="576616F1"/>
    <w:rsid w:val="57B8376D"/>
    <w:rsid w:val="585A0B36"/>
    <w:rsid w:val="58782EFD"/>
    <w:rsid w:val="58797859"/>
    <w:rsid w:val="588F30E3"/>
    <w:rsid w:val="58B043B9"/>
    <w:rsid w:val="58FA5D24"/>
    <w:rsid w:val="593B71D3"/>
    <w:rsid w:val="596671F9"/>
    <w:rsid w:val="596820CB"/>
    <w:rsid w:val="59A73A9A"/>
    <w:rsid w:val="59F1740B"/>
    <w:rsid w:val="5A44753A"/>
    <w:rsid w:val="5A5F03A4"/>
    <w:rsid w:val="5ADE798F"/>
    <w:rsid w:val="5B2E188E"/>
    <w:rsid w:val="5C1B251D"/>
    <w:rsid w:val="5C215F1B"/>
    <w:rsid w:val="5C2528EA"/>
    <w:rsid w:val="5D600B2F"/>
    <w:rsid w:val="5D6E6986"/>
    <w:rsid w:val="5DA94ECA"/>
    <w:rsid w:val="5E0F0A83"/>
    <w:rsid w:val="5E354142"/>
    <w:rsid w:val="5E9D6065"/>
    <w:rsid w:val="5ECA1FD8"/>
    <w:rsid w:val="5EF00040"/>
    <w:rsid w:val="5F7C2472"/>
    <w:rsid w:val="5F9D6EEC"/>
    <w:rsid w:val="5FA22D09"/>
    <w:rsid w:val="5FA82319"/>
    <w:rsid w:val="602045A6"/>
    <w:rsid w:val="604F6C39"/>
    <w:rsid w:val="60786190"/>
    <w:rsid w:val="608C7E04"/>
    <w:rsid w:val="612358BE"/>
    <w:rsid w:val="614E6EF1"/>
    <w:rsid w:val="61891CD7"/>
    <w:rsid w:val="61AD1E69"/>
    <w:rsid w:val="61C3343B"/>
    <w:rsid w:val="61E4459E"/>
    <w:rsid w:val="61EB2991"/>
    <w:rsid w:val="62986BDB"/>
    <w:rsid w:val="62AB3E7A"/>
    <w:rsid w:val="652C7549"/>
    <w:rsid w:val="65BD4645"/>
    <w:rsid w:val="667967BE"/>
    <w:rsid w:val="66C57C55"/>
    <w:rsid w:val="686D54A1"/>
    <w:rsid w:val="68E5013A"/>
    <w:rsid w:val="691E175E"/>
    <w:rsid w:val="69203758"/>
    <w:rsid w:val="69601EB7"/>
    <w:rsid w:val="6A835E5D"/>
    <w:rsid w:val="6A876ECF"/>
    <w:rsid w:val="6ADF2F7C"/>
    <w:rsid w:val="6AFE7291"/>
    <w:rsid w:val="6B0F4348"/>
    <w:rsid w:val="6B1765A5"/>
    <w:rsid w:val="6B2F1B41"/>
    <w:rsid w:val="6B8D36C3"/>
    <w:rsid w:val="6B985938"/>
    <w:rsid w:val="6BDB5825"/>
    <w:rsid w:val="6BFF7765"/>
    <w:rsid w:val="6C824A7F"/>
    <w:rsid w:val="6D667493"/>
    <w:rsid w:val="6DB63E53"/>
    <w:rsid w:val="6DD54C21"/>
    <w:rsid w:val="6E192634"/>
    <w:rsid w:val="6E1F649C"/>
    <w:rsid w:val="6E414C6E"/>
    <w:rsid w:val="6E666A33"/>
    <w:rsid w:val="6ED66437"/>
    <w:rsid w:val="6EE756FF"/>
    <w:rsid w:val="6F834209"/>
    <w:rsid w:val="7021086D"/>
    <w:rsid w:val="70F27898"/>
    <w:rsid w:val="7105540B"/>
    <w:rsid w:val="71A820FF"/>
    <w:rsid w:val="71B96608"/>
    <w:rsid w:val="71BF3A88"/>
    <w:rsid w:val="72457E9C"/>
    <w:rsid w:val="724A54B2"/>
    <w:rsid w:val="72606E89"/>
    <w:rsid w:val="72D134DE"/>
    <w:rsid w:val="72F541D6"/>
    <w:rsid w:val="73734595"/>
    <w:rsid w:val="739B4217"/>
    <w:rsid w:val="73A43E98"/>
    <w:rsid w:val="740E3197"/>
    <w:rsid w:val="740F0761"/>
    <w:rsid w:val="75526B58"/>
    <w:rsid w:val="75B55115"/>
    <w:rsid w:val="75C018B9"/>
    <w:rsid w:val="75C45344"/>
    <w:rsid w:val="761D55D2"/>
    <w:rsid w:val="767C2D4B"/>
    <w:rsid w:val="76932CC2"/>
    <w:rsid w:val="76A21419"/>
    <w:rsid w:val="76DC7606"/>
    <w:rsid w:val="77020109"/>
    <w:rsid w:val="770976EA"/>
    <w:rsid w:val="774424D0"/>
    <w:rsid w:val="775C13BB"/>
    <w:rsid w:val="77752FD1"/>
    <w:rsid w:val="77866F8C"/>
    <w:rsid w:val="783E7867"/>
    <w:rsid w:val="78B5342E"/>
    <w:rsid w:val="78CC09CF"/>
    <w:rsid w:val="79A457A7"/>
    <w:rsid w:val="7A5A50FB"/>
    <w:rsid w:val="7AEA15E0"/>
    <w:rsid w:val="7AEE65ED"/>
    <w:rsid w:val="7BAE6AB2"/>
    <w:rsid w:val="7BCE0F02"/>
    <w:rsid w:val="7C4420A4"/>
    <w:rsid w:val="7C503581"/>
    <w:rsid w:val="7C621BBC"/>
    <w:rsid w:val="7C9020F0"/>
    <w:rsid w:val="7CCD740C"/>
    <w:rsid w:val="7DA1085A"/>
    <w:rsid w:val="7DF22173"/>
    <w:rsid w:val="7E9755DB"/>
    <w:rsid w:val="7F156D37"/>
    <w:rsid w:val="7FCE40DF"/>
    <w:rsid w:val="7FD34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36"/>
      <w:szCs w:val="44"/>
    </w:rPr>
  </w:style>
  <w:style w:type="paragraph" w:styleId="2">
    <w:name w:val="heading 2"/>
    <w:basedOn w:val="1"/>
    <w:next w:val="1"/>
    <w:qFormat/>
    <w:uiPriority w:val="0"/>
    <w:pPr>
      <w:keepNext/>
      <w:keepLines/>
      <w:spacing w:before="260" w:after="260" w:line="415" w:lineRule="auto"/>
      <w:outlineLvl w:val="1"/>
    </w:pPr>
    <w:rPr>
      <w:rFonts w:ascii="Cambria" w:hAnsi="Cambria"/>
      <w:b/>
      <w:bCs/>
      <w:sz w:val="32"/>
      <w:szCs w:val="32"/>
    </w:rPr>
  </w:style>
  <w:style w:type="paragraph" w:styleId="4">
    <w:name w:val="heading 3"/>
    <w:basedOn w:val="1"/>
    <w:next w:val="1"/>
    <w:link w:val="26"/>
    <w:qFormat/>
    <w:uiPriority w:val="0"/>
    <w:pPr>
      <w:keepNext/>
      <w:keepLines/>
      <w:widowControl/>
      <w:spacing w:before="260" w:after="260" w:line="416" w:lineRule="auto"/>
      <w:outlineLvl w:val="2"/>
    </w:pPr>
    <w:rPr>
      <w:b/>
      <w:bCs/>
      <w:sz w:val="24"/>
      <w:szCs w:val="32"/>
    </w:rPr>
  </w:style>
  <w:style w:type="paragraph" w:styleId="5">
    <w:name w:val="heading 4"/>
    <w:basedOn w:val="1"/>
    <w:next w:val="1"/>
    <w:qFormat/>
    <w:uiPriority w:val="0"/>
    <w:pPr>
      <w:keepNext/>
      <w:keepLines/>
      <w:widowControl/>
      <w:spacing w:before="200" w:line="276" w:lineRule="auto"/>
      <w:jc w:val="left"/>
      <w:outlineLvl w:val="3"/>
    </w:pPr>
    <w:rPr>
      <w:rFonts w:ascii="Calibri Light" w:hAnsi="Calibri Light" w:cs="Times New Roman"/>
      <w:b/>
      <w:bCs/>
      <w:iCs/>
      <w:szCs w:val="22"/>
    </w:rPr>
  </w:style>
  <w:style w:type="character" w:default="1" w:styleId="21">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styleId="6">
    <w:name w:val="index 8"/>
    <w:basedOn w:val="1"/>
    <w:next w:val="1"/>
    <w:qFormat/>
    <w:uiPriority w:val="0"/>
    <w:pPr>
      <w:ind w:left="1400" w:leftChars="1400" w:firstLine="0"/>
    </w:pPr>
  </w:style>
  <w:style w:type="paragraph" w:styleId="7">
    <w:name w:val="annotation text"/>
    <w:basedOn w:val="1"/>
    <w:qFormat/>
    <w:uiPriority w:val="0"/>
    <w:pPr>
      <w:widowControl/>
      <w:jc w:val="left"/>
    </w:pPr>
    <w:rPr>
      <w:rFonts w:ascii="Calibri" w:hAnsi="Calibri" w:eastAsia="宋体" w:cs="Times New Roman"/>
    </w:rPr>
  </w:style>
  <w:style w:type="paragraph" w:styleId="8">
    <w:name w:val="Body Text"/>
    <w:basedOn w:val="1"/>
    <w:next w:val="1"/>
    <w:autoRedefine/>
    <w:qFormat/>
    <w:uiPriority w:val="0"/>
    <w:pPr>
      <w:spacing w:after="120"/>
    </w:pPr>
  </w:style>
  <w:style w:type="paragraph" w:styleId="9">
    <w:name w:val="Body Text Indent"/>
    <w:basedOn w:val="1"/>
    <w:qFormat/>
    <w:uiPriority w:val="0"/>
    <w:pPr>
      <w:spacing w:after="120" w:line="360" w:lineRule="exact"/>
      <w:ind w:left="420" w:leftChars="200" w:firstLine="200" w:firstLineChars="200"/>
    </w:pPr>
  </w:style>
  <w:style w:type="paragraph" w:styleId="10">
    <w:name w:val="Block Text"/>
    <w:basedOn w:val="1"/>
    <w:qFormat/>
    <w:uiPriority w:val="0"/>
    <w:pPr>
      <w:widowControl/>
      <w:overflowPunct w:val="0"/>
      <w:autoSpaceDE w:val="0"/>
      <w:autoSpaceDN w:val="0"/>
      <w:adjustRightInd w:val="0"/>
      <w:snapToGrid w:val="0"/>
      <w:spacing w:line="360" w:lineRule="auto"/>
      <w:ind w:left="1440" w:right="-510" w:hanging="759"/>
      <w:textAlignment w:val="baseline"/>
    </w:pPr>
    <w:rPr>
      <w:kern w:val="0"/>
      <w:sz w:val="24"/>
      <w:szCs w:val="20"/>
    </w:rPr>
  </w:style>
  <w:style w:type="paragraph" w:styleId="11">
    <w:name w:val="Plain Text"/>
    <w:basedOn w:val="1"/>
    <w:next w:val="5"/>
    <w:autoRedefine/>
    <w:qFormat/>
    <w:uiPriority w:val="0"/>
    <w:rPr>
      <w:rFonts w:ascii="宋体" w:hAnsi="Courier New" w:cs="Times New Roman"/>
      <w:szCs w:val="22"/>
    </w:rPr>
  </w:style>
  <w:style w:type="paragraph" w:styleId="12">
    <w:name w:val="footer"/>
    <w:basedOn w:val="1"/>
    <w:autoRedefine/>
    <w:qFormat/>
    <w:uiPriority w:val="0"/>
    <w:pPr>
      <w:tabs>
        <w:tab w:val="center" w:pos="4153"/>
        <w:tab w:val="right" w:pos="8306"/>
      </w:tabs>
      <w:snapToGrid w:val="0"/>
      <w:jc w:val="left"/>
    </w:pPr>
    <w:rPr>
      <w:sz w:val="18"/>
      <w:szCs w:val="18"/>
    </w:rPr>
  </w:style>
  <w:style w:type="paragraph" w:styleId="13">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style>
  <w:style w:type="paragraph" w:styleId="15">
    <w:name w:val="toc 2"/>
    <w:basedOn w:val="1"/>
    <w:next w:val="1"/>
    <w:qFormat/>
    <w:uiPriority w:val="39"/>
    <w:pPr>
      <w:ind w:left="420" w:leftChars="200"/>
    </w:pPr>
  </w:style>
  <w:style w:type="paragraph" w:styleId="16">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paragraph" w:styleId="17">
    <w:name w:val="Body Text First Indent"/>
    <w:basedOn w:val="8"/>
    <w:qFormat/>
    <w:uiPriority w:val="99"/>
    <w:pPr>
      <w:ind w:firstLine="420" w:firstLineChars="100"/>
    </w:pPr>
  </w:style>
  <w:style w:type="paragraph" w:styleId="18">
    <w:name w:val="Body Text First Indent 2"/>
    <w:basedOn w:val="9"/>
    <w:qFormat/>
    <w:uiPriority w:val="99"/>
    <w:pPr>
      <w:ind w:firstLine="420" w:firstLineChars="200"/>
    </w:pPr>
  </w:style>
  <w:style w:type="table" w:styleId="20">
    <w:name w:val="Table Grid"/>
    <w:basedOn w:val="1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page number"/>
    <w:basedOn w:val="21"/>
    <w:autoRedefine/>
    <w:qFormat/>
    <w:uiPriority w:val="99"/>
  </w:style>
  <w:style w:type="paragraph" w:customStyle="1" w:styleId="23">
    <w:name w:val="表格文字"/>
    <w:basedOn w:val="1"/>
    <w:qFormat/>
    <w:uiPriority w:val="0"/>
    <w:pPr>
      <w:spacing w:before="25" w:after="25" w:line="240" w:lineRule="auto"/>
      <w:ind w:firstLine="0"/>
      <w:jc w:val="left"/>
    </w:pPr>
    <w:rPr>
      <w:bCs/>
      <w:spacing w:val="10"/>
      <w:kern w:val="0"/>
      <w:sz w:val="24"/>
    </w:rPr>
  </w:style>
  <w:style w:type="paragraph" w:customStyle="1" w:styleId="24">
    <w:name w:val="Default"/>
    <w:autoRedefine/>
    <w:qFormat/>
    <w:uiPriority w:val="0"/>
    <w:pPr>
      <w:widowControl w:val="0"/>
      <w:autoSpaceDE w:val="0"/>
      <w:autoSpaceDN w:val="0"/>
      <w:adjustRightInd w:val="0"/>
    </w:pPr>
    <w:rPr>
      <w:rFonts w:ascii="Times New Roman" w:hAnsi="Times New Roman" w:eastAsia="宋体" w:cs="Calibri"/>
      <w:color w:val="000000"/>
      <w:sz w:val="24"/>
      <w:szCs w:val="24"/>
      <w:lang w:val="en-US" w:eastAsia="zh-CN" w:bidi="ar-SA"/>
    </w:rPr>
  </w:style>
  <w:style w:type="paragraph" w:styleId="25">
    <w:name w:val="List Paragraph"/>
    <w:basedOn w:val="1"/>
    <w:qFormat/>
    <w:uiPriority w:val="0"/>
    <w:pPr>
      <w:ind w:firstLine="420" w:firstLineChars="200"/>
    </w:pPr>
  </w:style>
  <w:style w:type="character" w:customStyle="1" w:styleId="26">
    <w:name w:val="标题 3 字符"/>
    <w:link w:val="4"/>
    <w:qFormat/>
    <w:uiPriority w:val="0"/>
    <w:rPr>
      <w:b/>
      <w:bCs/>
      <w:sz w:val="24"/>
      <w:szCs w:val="32"/>
    </w:rPr>
  </w:style>
  <w:style w:type="paragraph" w:customStyle="1" w:styleId="27">
    <w:name w:val="p0"/>
    <w:basedOn w:val="1"/>
    <w:autoRedefine/>
    <w:qFormat/>
    <w:uiPriority w:val="0"/>
    <w:pPr>
      <w:widowControl/>
    </w:pPr>
    <w:rPr>
      <w:rFonts w:ascii="Calibri" w:hAnsi="Calibri" w:cs="宋体"/>
      <w:kern w:val="0"/>
      <w:szCs w:val="21"/>
    </w:rPr>
  </w:style>
  <w:style w:type="paragraph" w:customStyle="1" w:styleId="28">
    <w:name w:val="首行缩进"/>
    <w:basedOn w:val="1"/>
    <w:qFormat/>
    <w:uiPriority w:val="0"/>
    <w:pPr>
      <w:spacing w:line="360" w:lineRule="auto"/>
      <w:ind w:firstLine="480" w:firstLineChars="200"/>
    </w:pPr>
    <w:rPr>
      <w:rFonts w:ascii="宋体" w:hAnsi="宋体"/>
      <w:kern w:val="0"/>
      <w:sz w:val="24"/>
    </w:rPr>
  </w:style>
  <w:style w:type="paragraph" w:customStyle="1" w:styleId="29">
    <w:name w:val="正文小标题_0"/>
    <w:basedOn w:val="30"/>
    <w:qFormat/>
    <w:uiPriority w:val="0"/>
    <w:pPr>
      <w:spacing w:line="420" w:lineRule="exact"/>
    </w:pPr>
    <w:rPr>
      <w:rFonts w:hAnsi="宋体" w:eastAsia="宋体"/>
      <w:sz w:val="21"/>
      <w:szCs w:val="21"/>
    </w:rPr>
  </w:style>
  <w:style w:type="paragraph" w:customStyle="1" w:styleId="30">
    <w:name w:val="标题 1_0"/>
    <w:basedOn w:val="31"/>
    <w:next w:val="31"/>
    <w:autoRedefine/>
    <w:qFormat/>
    <w:uiPriority w:val="99"/>
    <w:pPr>
      <w:keepNext/>
      <w:keepLines/>
      <w:spacing w:line="360" w:lineRule="auto"/>
      <w:outlineLvl w:val="0"/>
    </w:pPr>
    <w:rPr>
      <w:rFonts w:eastAsia="黑体"/>
      <w:b/>
      <w:bCs/>
      <w:kern w:val="44"/>
      <w:sz w:val="32"/>
      <w:szCs w:val="44"/>
    </w:rPr>
  </w:style>
  <w:style w:type="paragraph" w:customStyle="1" w:styleId="31">
    <w:name w:val="正文_0"/>
    <w:next w:val="3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
    <w:name w:val="正文文本_0"/>
    <w:basedOn w:val="31"/>
    <w:qFormat/>
    <w:uiPriority w:val="99"/>
    <w:pPr>
      <w:adjustRightInd w:val="0"/>
      <w:spacing w:after="60" w:line="360" w:lineRule="atLeast"/>
      <w:ind w:left="72" w:leftChars="30" w:right="30" w:rightChars="30"/>
      <w:jc w:val="center"/>
    </w:pPr>
    <w:rPr>
      <w:rFonts w:ascii="Calibri" w:hAnsi="Calibri"/>
      <w:kern w:val="0"/>
      <w:sz w:val="20"/>
      <w:szCs w:val="20"/>
      <w:lang w:val="zh-CN" w:eastAsia="zh-CN"/>
    </w:rPr>
  </w:style>
  <w:style w:type="paragraph" w:customStyle="1" w:styleId="33">
    <w:name w:val="正文_1_0"/>
    <w:autoRedefine/>
    <w:qFormat/>
    <w:uiPriority w:val="99"/>
    <w:pPr>
      <w:widowControl w:val="0"/>
      <w:jc w:val="both"/>
    </w:pPr>
    <w:rPr>
      <w:rFonts w:ascii="Times New Roman" w:hAnsi="Times New Roman" w:eastAsia="宋体" w:cs="Times New Roman"/>
      <w:kern w:val="2"/>
      <w:sz w:val="21"/>
      <w:szCs w:val="20"/>
      <w:lang w:val="en-US" w:eastAsia="zh-CN" w:bidi="ar-SA"/>
    </w:rPr>
  </w:style>
  <w:style w:type="paragraph" w:customStyle="1" w:styleId="34">
    <w:name w:val="正文呀2_0"/>
    <w:basedOn w:val="35"/>
    <w:qFormat/>
    <w:uiPriority w:val="0"/>
    <w:rPr>
      <w:rFonts w:ascii="Times New Roman" w:hAnsi="Times New Roman"/>
    </w:rPr>
  </w:style>
  <w:style w:type="paragraph" w:customStyle="1" w:styleId="35">
    <w:name w:val="正文呀_0"/>
    <w:basedOn w:val="33"/>
    <w:qFormat/>
    <w:uiPriority w:val="0"/>
    <w:pPr>
      <w:spacing w:line="420" w:lineRule="exact"/>
      <w:ind w:firstLine="420" w:firstLineChars="200"/>
    </w:pPr>
    <w:rPr>
      <w:rFonts w:ascii="宋体" w:hAnsi="宋体"/>
      <w:szCs w:val="21"/>
    </w:rPr>
  </w:style>
  <w:style w:type="paragraph" w:customStyle="1" w:styleId="36">
    <w:name w:val="正文呀2_1"/>
    <w:basedOn w:val="37"/>
    <w:autoRedefine/>
    <w:qFormat/>
    <w:uiPriority w:val="0"/>
    <w:rPr>
      <w:rFonts w:ascii="Times New Roman" w:hAnsi="Times New Roman" w:eastAsia="宋体" w:cs="Times New Roman"/>
      <w:kern w:val="2"/>
      <w:sz w:val="21"/>
      <w:lang w:val="en-US" w:eastAsia="zh-CN"/>
    </w:rPr>
  </w:style>
  <w:style w:type="paragraph" w:customStyle="1" w:styleId="37">
    <w:name w:val="正文呀_1"/>
    <w:basedOn w:val="31"/>
    <w:qFormat/>
    <w:uiPriority w:val="0"/>
    <w:pPr>
      <w:spacing w:line="420" w:lineRule="exact"/>
      <w:ind w:firstLine="420" w:firstLineChars="200"/>
    </w:pPr>
    <w:rPr>
      <w:rFonts w:ascii="宋体" w:hAnsi="宋体"/>
      <w:kern w:val="0"/>
      <w:sz w:val="20"/>
      <w:szCs w:val="21"/>
      <w:lang w:val="zh-CN" w:eastAsia="zh-CN"/>
    </w:rPr>
  </w:style>
  <w:style w:type="paragraph" w:customStyle="1" w:styleId="38">
    <w:name w:val="纯文本_0"/>
    <w:basedOn w:val="31"/>
    <w:qFormat/>
    <w:uiPriority w:val="0"/>
    <w:rPr>
      <w:rFonts w:ascii="宋体" w:hAnsi="Courier New"/>
      <w:szCs w:val="24"/>
    </w:rPr>
  </w:style>
  <w:style w:type="paragraph" w:customStyle="1" w:styleId="39">
    <w:name w:val="无间隔_0"/>
    <w:autoRedefine/>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正文_2"/>
    <w:qFormat/>
    <w:uiPriority w:val="0"/>
    <w:pPr>
      <w:widowControl w:val="0"/>
      <w:jc w:val="both"/>
    </w:pPr>
    <w:rPr>
      <w:rFonts w:ascii="Calibri" w:hAnsi="Calibri" w:eastAsia="宋体" w:cs="Times New Roman"/>
      <w:kern w:val="2"/>
      <w:sz w:val="21"/>
      <w:szCs w:val="22"/>
      <w:lang w:val="en-US" w:eastAsia="zh-CN" w:bidi="ar-SA"/>
    </w:rPr>
  </w:style>
  <w:style w:type="character" w:customStyle="1" w:styleId="41">
    <w:name w:val="NormalCharacter"/>
    <w:qFormat/>
    <w:uiPriority w:val="0"/>
  </w:style>
  <w:style w:type="paragraph" w:customStyle="1" w:styleId="42">
    <w:name w:val="BodyText"/>
    <w:basedOn w:val="1"/>
    <w:autoRedefine/>
    <w:qFormat/>
    <w:uiPriority w:val="0"/>
    <w:pPr>
      <w:spacing w:after="60" w:line="360" w:lineRule="atLeast"/>
      <w:ind w:left="72" w:leftChars="30" w:right="30" w:rightChars="30"/>
      <w:jc w:val="center"/>
    </w:pPr>
    <w:rPr>
      <w:kern w:val="0"/>
      <w:sz w:val="20"/>
      <w:szCs w:val="20"/>
    </w:rPr>
  </w:style>
  <w:style w:type="paragraph" w:customStyle="1" w:styleId="43">
    <w:name w:val="PlainText"/>
    <w:basedOn w:val="1"/>
    <w:next w:val="44"/>
    <w:qFormat/>
    <w:uiPriority w:val="0"/>
    <w:rPr>
      <w:rFonts w:ascii="宋体" w:hAnsi="Courier New"/>
      <w:szCs w:val="20"/>
    </w:rPr>
  </w:style>
  <w:style w:type="paragraph" w:customStyle="1" w:styleId="44">
    <w:name w:val="Index8"/>
    <w:basedOn w:val="1"/>
    <w:next w:val="1"/>
    <w:qFormat/>
    <w:uiPriority w:val="0"/>
    <w:pPr>
      <w:ind w:left="2940"/>
    </w:pPr>
  </w:style>
  <w:style w:type="paragraph" w:customStyle="1" w:styleId="45">
    <w:name w:val="style4"/>
    <w:basedOn w:val="1"/>
    <w:next w:val="46"/>
    <w:autoRedefine/>
    <w:qFormat/>
    <w:uiPriority w:val="0"/>
    <w:pPr>
      <w:widowControl/>
      <w:spacing w:before="280" w:after="280"/>
    </w:pPr>
    <w:rPr>
      <w:rFonts w:ascii="宋体"/>
      <w:sz w:val="18"/>
    </w:rPr>
  </w:style>
  <w:style w:type="paragraph" w:customStyle="1" w:styleId="46">
    <w:name w:val="2"/>
    <w:basedOn w:val="4"/>
    <w:next w:val="1"/>
    <w:qFormat/>
    <w:uiPriority w:val="0"/>
    <w:pPr>
      <w:widowControl w:val="0"/>
      <w:spacing w:before="120" w:beforeLines="50" w:after="120" w:afterLines="50" w:line="240" w:lineRule="auto"/>
      <w:jc w:val="center"/>
    </w:pPr>
    <w:rPr>
      <w:rFonts w:ascii="黑体" w:eastAsia="黑体"/>
      <w:sz w:val="44"/>
      <w:szCs w:val="28"/>
    </w:rPr>
  </w:style>
  <w:style w:type="paragraph" w:customStyle="1" w:styleId="47">
    <w:name w:val="Table Text"/>
    <w:basedOn w:val="1"/>
    <w:semiHidden/>
    <w:qFormat/>
    <w:uiPriority w:val="0"/>
    <w:rPr>
      <w:rFonts w:ascii="宋体" w:hAnsi="宋体" w:eastAsia="宋体" w:cs="宋体"/>
      <w:sz w:val="20"/>
      <w:szCs w:val="20"/>
      <w:lang w:val="en-US" w:eastAsia="en-US" w:bidi="ar-SA"/>
    </w:rPr>
  </w:style>
  <w:style w:type="table" w:customStyle="1" w:styleId="48">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8.xml"/><Relationship Id="rId11" Type="http://schemas.openxmlformats.org/officeDocument/2006/relationships/header" Target="header2.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101</Pages>
  <Words>62292</Words>
  <Characters>65793</Characters>
  <Lines>0</Lines>
  <Paragraphs>0</Paragraphs>
  <TotalTime>26</TotalTime>
  <ScaleCrop>false</ScaleCrop>
  <LinksUpToDate>false</LinksUpToDate>
  <CharactersWithSpaces>71197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2023-10-09T06:18:00Z</dcterms:created>
  <dc:creator>歪歪</dc:creator>
  <cp:lastModifiedBy>★旗木★ζ</cp:lastModifiedBy>
  <cp:lastPrinted>2024-04-15T03:53:00Z</cp:lastPrinted>
  <dcterms:modified xsi:type="dcterms:W3CDTF">2024-04-23T09:28:38Z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3B3E3A45971E4AB8A136DFD97A33AAEF_13</vt:lpwstr>
  </property>
</Properties>
</file>